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61" w:rsidRDefault="00805061" w:rsidP="00805061">
      <w:pPr>
        <w:pStyle w:val="HeadingCenter"/>
      </w:pPr>
      <w:bookmarkStart w:id="0" w:name="_GoBack"/>
      <w:bookmarkEnd w:id="0"/>
      <w:r>
        <w:t>Preconsidered Int.</w:t>
      </w:r>
      <w:r w:rsidR="00746E45">
        <w:t xml:space="preserve"> No. </w:t>
      </w:r>
      <w:r w:rsidR="00746DB6">
        <w:t>1</w:t>
      </w:r>
    </w:p>
    <w:p w:rsidR="00805061" w:rsidRDefault="00805061" w:rsidP="00805061">
      <w:r>
        <w:t>By Council Member Dromm (by request of the Mayor)</w:t>
      </w:r>
    </w:p>
    <w:p w:rsidR="00805061" w:rsidRPr="00805061" w:rsidRDefault="00805061" w:rsidP="00805061"/>
    <w:p w:rsidR="00746E45" w:rsidRPr="00746E45" w:rsidRDefault="00746E45" w:rsidP="00805061">
      <w:pPr>
        <w:rPr>
          <w:vanish/>
        </w:rPr>
      </w:pPr>
      <w:r w:rsidRPr="00746E45">
        <w:rPr>
          <w:vanish/>
        </w:rPr>
        <w:t>..Title</w:t>
      </w:r>
    </w:p>
    <w:p w:rsidR="00805061" w:rsidRDefault="00746E45" w:rsidP="00746E45">
      <w:pPr>
        <w:jc w:val="both"/>
      </w:pPr>
      <w:r>
        <w:t>A Local Law i</w:t>
      </w:r>
      <w:r w:rsidR="00805061">
        <w:t>n relation to the date of submission by the mayor of a preliminary management report and the date prior to which the council shall conduct public hearings and the date by which the council shall submit a report or reports pertaining thereto, the date of submission by the mayor of the preliminary certificate regarding debt and reserves and appropriations and expenditures for capital projects, the date of submission by the mayor of the preliminary budget, the date of publication by the director of the independent budget office of a report on revenues and expenditures, the date of submission by the community boards of statements in regard to the preliminary budget, the date of submission by the commissioner of finance of an estimate of the assessed valuation of real property and statement of real property taxes due, expected to be received, and uncollected, the date of submission by the mayor of a tax benefit report, the date of submission by the borough boards of statements on budget priorities, the date of submission by the council of estimates of the financial needs of the council, the date of submission by the borough presidents of proposed modifications of the preliminary budget, the date of publication by the director of the independent budget office of a report analyzing the preliminary budget, the date by which the council shall hold hearings and submit recommendations in regard to the preliminary budget, and the date of submission by the campaign finance board of estimates of the financial needs of the campaign finance board, relating to the fiscal year two thousand nineteen</w:t>
      </w:r>
    </w:p>
    <w:p w:rsidR="00746E45" w:rsidRPr="00746E45" w:rsidRDefault="00746E45" w:rsidP="00805061">
      <w:pPr>
        <w:rPr>
          <w:vanish/>
        </w:rPr>
      </w:pPr>
      <w:r w:rsidRPr="00746E45">
        <w:rPr>
          <w:vanish/>
        </w:rPr>
        <w:t>..Body</w:t>
      </w:r>
    </w:p>
    <w:p w:rsidR="00A225ED" w:rsidRDefault="00A225ED"/>
    <w:p w:rsidR="00A225ED" w:rsidRDefault="00A225ED" w:rsidP="00805061">
      <w:pPr>
        <w:suppressAutoHyphens/>
        <w:spacing w:line="480" w:lineRule="auto"/>
        <w:jc w:val="both"/>
      </w:pPr>
      <w:r>
        <w:rPr>
          <w:u w:val="single"/>
        </w:rPr>
        <w:t>Be it enacted by the Council as follows:</w:t>
      </w:r>
    </w:p>
    <w:p w:rsidR="00A225ED" w:rsidRDefault="00A225ED">
      <w:pPr>
        <w:tabs>
          <w:tab w:val="left" w:pos="1464"/>
          <w:tab w:val="left" w:pos="2268"/>
          <w:tab w:val="left" w:pos="2928"/>
          <w:tab w:val="left" w:pos="5052"/>
          <w:tab w:val="left" w:pos="7320"/>
        </w:tabs>
        <w:suppressAutoHyphens/>
        <w:spacing w:line="480" w:lineRule="auto"/>
        <w:jc w:val="both"/>
        <w:sectPr w:rsidR="00A225ED">
          <w:footerReference w:type="default" r:id="rId8"/>
          <w:footerReference w:type="first" r:id="rId9"/>
          <w:type w:val="continuous"/>
          <w:pgSz w:w="12240" w:h="15840"/>
          <w:pgMar w:top="1440" w:right="1440" w:bottom="1440" w:left="1440" w:header="720" w:footer="720" w:gutter="0"/>
          <w:cols w:space="720"/>
          <w:titlePg/>
        </w:sectPr>
      </w:pPr>
    </w:p>
    <w:p w:rsidR="00A225ED" w:rsidRDefault="00A225ED" w:rsidP="00805061">
      <w:pPr>
        <w:pStyle w:val="DoubleSpaceParagaph"/>
        <w:ind w:firstLine="720"/>
      </w:pPr>
      <w:r>
        <w:t xml:space="preserve">Section </w:t>
      </w:r>
      <w:r w:rsidR="00AB4AA3">
        <w:t xml:space="preserve">1. During the calendar year </w:t>
      </w:r>
      <w:r w:rsidR="008135A3">
        <w:t>201</w:t>
      </w:r>
      <w:r w:rsidR="00E773E8">
        <w:t>8</w:t>
      </w:r>
      <w:r w:rsidR="00AB4AA3">
        <w:t xml:space="preserve"> and in relation to the </w:t>
      </w:r>
      <w:r w:rsidR="008135A3">
        <w:t>201</w:t>
      </w:r>
      <w:r w:rsidR="00E773E8">
        <w:t>9</w:t>
      </w:r>
      <w:r>
        <w:t xml:space="preserve"> fiscal year:</w:t>
      </w:r>
    </w:p>
    <w:p w:rsidR="00A225ED" w:rsidRDefault="00A225ED" w:rsidP="00805061">
      <w:pPr>
        <w:pStyle w:val="DoubleSpaceParagaph"/>
        <w:ind w:firstLine="720"/>
      </w:pPr>
      <w:r>
        <w:t>1. Notwithstanding any inconsistent provisions of section 12 of the New York city charter, as amended by vote of the electors on November 7, 1989, the mayor shall pursuant to such section submit a preliminary management report as therein desc</w:t>
      </w:r>
      <w:r w:rsidR="00EF370E">
        <w:t xml:space="preserve">ribed not later than </w:t>
      </w:r>
      <w:r w:rsidR="008F676C">
        <w:t>February 15</w:t>
      </w:r>
      <w:r w:rsidR="00E773E8">
        <w:t>, 2018</w:t>
      </w:r>
      <w:r>
        <w:t xml:space="preserve">, and the council shall conduct public hearings </w:t>
      </w:r>
      <w:r w:rsidR="00EF370E">
        <w:t xml:space="preserve">on such report prior to </w:t>
      </w:r>
      <w:r w:rsidR="008F676C">
        <w:t>April 24</w:t>
      </w:r>
      <w:r w:rsidR="00E773E8">
        <w:t>, 2018</w:t>
      </w:r>
      <w:r>
        <w:t xml:space="preserve"> and submit to the mayor and mak</w:t>
      </w:r>
      <w:r w:rsidR="00EF370E">
        <w:t xml:space="preserve">e public not later than </w:t>
      </w:r>
      <w:r w:rsidR="008F676C">
        <w:t>April 24</w:t>
      </w:r>
      <w:r w:rsidR="00E773E8">
        <w:t>, 2018</w:t>
      </w:r>
      <w:r>
        <w:t>, a report or reports of findings and recommendations.</w:t>
      </w:r>
    </w:p>
    <w:p w:rsidR="00A225ED" w:rsidRDefault="00A225ED" w:rsidP="00805061">
      <w:pPr>
        <w:pStyle w:val="DoubleSpaceParagaph"/>
        <w:ind w:firstLine="720"/>
      </w:pPr>
      <w:r>
        <w:t>2. Notwithstanding any inconsistent provisions of section 235 of the New York city charter, as added by vote of the electors on November 7, 1989, the mayor shall pursuant to such section submit and publish a preliminary certificate regarding debt and reserves and appropriations and expenditures for capital projects as therein des</w:t>
      </w:r>
      <w:r w:rsidR="000D1DD6">
        <w:t xml:space="preserve">cribed not later than </w:t>
      </w:r>
      <w:r w:rsidR="00E773E8">
        <w:t>February 1, 2018</w:t>
      </w:r>
      <w:r>
        <w:t>.</w:t>
      </w:r>
    </w:p>
    <w:p w:rsidR="00A225ED" w:rsidRDefault="00A225ED" w:rsidP="00805061">
      <w:pPr>
        <w:pStyle w:val="DoubleSpaceParagaph"/>
        <w:ind w:firstLine="720"/>
      </w:pPr>
      <w:r>
        <w:lastRenderedPageBreak/>
        <w:t xml:space="preserve">3. Notwithstanding any inconsistent provisions of section 236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amended by local law number 25 for the year 1998, the mayor shall pursuant to such section submit a preliminary budget as therein described</w:t>
      </w:r>
      <w:r w:rsidR="000D1DD6">
        <w:t xml:space="preserve"> not later than </w:t>
      </w:r>
      <w:r w:rsidR="00E773E8">
        <w:t>February 1, 2018</w:t>
      </w:r>
      <w:r>
        <w:t>.</w:t>
      </w:r>
    </w:p>
    <w:p w:rsidR="00A225ED" w:rsidRDefault="00A225ED" w:rsidP="00805061">
      <w:pPr>
        <w:pStyle w:val="DoubleSpaceParagaph"/>
        <w:ind w:firstLine="720"/>
      </w:pPr>
      <w:r>
        <w:t xml:space="preserve">4. Notwithstanding any inconsistent provisions of section 237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the director of the independent budget office shall publish a report on revenues and expenditures as therein de</w:t>
      </w:r>
      <w:r w:rsidR="00EF370E">
        <w:t xml:space="preserve">scribed on or before </w:t>
      </w:r>
      <w:r w:rsidR="008F676C">
        <w:t>February 16</w:t>
      </w:r>
      <w:r w:rsidR="00E773E8">
        <w:t>, 2018</w:t>
      </w:r>
      <w:r>
        <w:t>.</w:t>
      </w:r>
    </w:p>
    <w:p w:rsidR="00A225ED" w:rsidRDefault="00A225ED" w:rsidP="00805061">
      <w:pPr>
        <w:pStyle w:val="DoubleSpaceParagaph"/>
        <w:ind w:firstLine="720"/>
      </w:pPr>
      <w:r>
        <w:t xml:space="preserve">5. Notwithstanding any inconsistent provisions of section 238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each community board shall pursuant to such section submit a statement and recommendations in regard to the preliminary budget as therein desc</w:t>
      </w:r>
      <w:r w:rsidR="00EF370E">
        <w:t xml:space="preserve">ribed not later than </w:t>
      </w:r>
      <w:r w:rsidR="00E773E8">
        <w:t xml:space="preserve">March </w:t>
      </w:r>
      <w:r w:rsidR="008F676C">
        <w:t>5</w:t>
      </w:r>
      <w:r w:rsidR="00E773E8">
        <w:t>, 2018</w:t>
      </w:r>
      <w:r>
        <w:t>.</w:t>
      </w:r>
    </w:p>
    <w:p w:rsidR="00A225ED" w:rsidRDefault="00A225ED" w:rsidP="00805061">
      <w:pPr>
        <w:pStyle w:val="DoubleSpaceParagaph"/>
        <w:ind w:firstLine="720"/>
      </w:pPr>
      <w:r>
        <w:t xml:space="preserve">6. Notwithstanding any inconsistent provisions of section 239 of the New York city charter, as added by vote of the electors on November 7, 1989, the commissioner of finance shall pursuant to such section submit an estimate of the assessed valuation of real property and a certified statement of all real property taxes due as therein described </w:t>
      </w:r>
      <w:r w:rsidR="00EF370E">
        <w:t xml:space="preserve">not later than </w:t>
      </w:r>
      <w:r w:rsidR="00E773E8">
        <w:t xml:space="preserve">March </w:t>
      </w:r>
      <w:r w:rsidR="008F676C">
        <w:t>5</w:t>
      </w:r>
      <w:r w:rsidR="00E773E8">
        <w:t>, 2018</w:t>
      </w:r>
      <w:r>
        <w:t>.</w:t>
      </w:r>
    </w:p>
    <w:p w:rsidR="00A225ED" w:rsidRDefault="00A225ED" w:rsidP="00805061">
      <w:pPr>
        <w:pStyle w:val="DoubleSpaceParagaph"/>
        <w:ind w:firstLine="720"/>
      </w:pPr>
      <w:r>
        <w:t xml:space="preserve">7. Notwithstanding any inconsistent provisions of section 240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the mayor shall pursuant to such section submit a tax benefit report as therein described </w:t>
      </w:r>
      <w:r w:rsidR="00EF370E">
        <w:t xml:space="preserve">not later than </w:t>
      </w:r>
      <w:r w:rsidR="00E773E8">
        <w:t xml:space="preserve">March </w:t>
      </w:r>
      <w:r w:rsidR="008F676C">
        <w:t>5</w:t>
      </w:r>
      <w:r w:rsidR="00E773E8">
        <w:t>, 2018</w:t>
      </w:r>
      <w:r>
        <w:t>.</w:t>
      </w:r>
    </w:p>
    <w:p w:rsidR="00A225ED" w:rsidRDefault="00A225ED" w:rsidP="00805061">
      <w:pPr>
        <w:pStyle w:val="DoubleSpaceParagaph"/>
        <w:ind w:firstLine="720"/>
      </w:pPr>
      <w:r>
        <w:t xml:space="preserve">8. Notwithstanding any inconsistent provisions of section 241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each borough board shall pursuant to such section submit a statement of budget priorities as therein </w:t>
      </w:r>
      <w:r w:rsidR="000D1DD6">
        <w:t>d</w:t>
      </w:r>
      <w:r w:rsidR="00EF370E">
        <w:t xml:space="preserve">escribed not later than </w:t>
      </w:r>
      <w:r w:rsidR="003B6083">
        <w:t xml:space="preserve">March </w:t>
      </w:r>
      <w:r w:rsidR="008F676C">
        <w:t>13</w:t>
      </w:r>
      <w:r w:rsidR="003B6083">
        <w:t>, 2018</w:t>
      </w:r>
      <w:r>
        <w:t>.</w:t>
      </w:r>
    </w:p>
    <w:p w:rsidR="00A225ED" w:rsidRDefault="00A225ED" w:rsidP="00805061">
      <w:pPr>
        <w:pStyle w:val="DoubleSpaceParagaph"/>
        <w:ind w:firstLine="720"/>
      </w:pPr>
      <w:r>
        <w:t>9. Notwithstanding any inconsistent provisions of section 243 of the New York city charter, as added by vote of the electors on November 7, 1989, the council shall pursuant to such section approve and submit estimates of the financial needs of the council as therein d</w:t>
      </w:r>
      <w:r w:rsidR="00EF370E">
        <w:t xml:space="preserve">escribed not later than </w:t>
      </w:r>
      <w:r w:rsidR="008F676C">
        <w:t>March 26</w:t>
      </w:r>
      <w:r w:rsidR="003B6083">
        <w:t>, 2018</w:t>
      </w:r>
      <w:r>
        <w:t>.</w:t>
      </w:r>
    </w:p>
    <w:p w:rsidR="00A225ED" w:rsidRDefault="00A225ED" w:rsidP="00805061">
      <w:pPr>
        <w:pStyle w:val="DoubleSpaceParagaph"/>
        <w:ind w:firstLine="720"/>
      </w:pPr>
      <w:r>
        <w:t xml:space="preserve">10. Notwithstanding any inconsistent provisions of section 245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each borough president shall pursuant to such section submit any proposed modifications of the preliminary budget as therein describ</w:t>
      </w:r>
      <w:r w:rsidR="00EF370E">
        <w:t xml:space="preserve">ed not later than </w:t>
      </w:r>
      <w:r w:rsidR="008F676C">
        <w:t>March 26</w:t>
      </w:r>
      <w:r w:rsidR="003B6083">
        <w:t>, 2018</w:t>
      </w:r>
      <w:r>
        <w:t>.</w:t>
      </w:r>
    </w:p>
    <w:p w:rsidR="00A225ED" w:rsidRDefault="00A225ED" w:rsidP="00805061">
      <w:pPr>
        <w:pStyle w:val="DoubleSpaceParagaph"/>
        <w:ind w:firstLine="720"/>
      </w:pPr>
      <w:r>
        <w:t xml:space="preserve">11. Notwithstanding any inconsistent provisions of section 246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the director of the independent budget office shall pursuant to such section publish a report analyzing the preliminary budget as therein</w:t>
      </w:r>
      <w:r w:rsidR="00EF370E">
        <w:t xml:space="preserve"> described on or before </w:t>
      </w:r>
      <w:r w:rsidR="008F676C">
        <w:t>March 30</w:t>
      </w:r>
      <w:r w:rsidR="003B6083">
        <w:t>, 2018</w:t>
      </w:r>
      <w:r>
        <w:t>.</w:t>
      </w:r>
    </w:p>
    <w:p w:rsidR="00A225ED" w:rsidRDefault="00A225ED" w:rsidP="00805061">
      <w:pPr>
        <w:pStyle w:val="DoubleSpaceParagaph"/>
        <w:ind w:firstLine="720"/>
      </w:pPr>
      <w:r>
        <w:t xml:space="preserve">12. Notwithstanding any inconsistent provisions of section 247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7, 1989, the council shall pursuant to such section hold hearings and submit recommendations as therein described </w:t>
      </w:r>
      <w:r w:rsidR="000E032F">
        <w:t xml:space="preserve">not later </w:t>
      </w:r>
      <w:r w:rsidR="000D1DD6">
        <w:t>t</w:t>
      </w:r>
      <w:r w:rsidR="00EF370E">
        <w:t xml:space="preserve">han </w:t>
      </w:r>
      <w:r w:rsidR="003B6083">
        <w:t xml:space="preserve">April </w:t>
      </w:r>
      <w:r w:rsidR="008F676C">
        <w:t>10</w:t>
      </w:r>
      <w:r w:rsidR="003B6083">
        <w:t>, 2018</w:t>
      </w:r>
      <w:r>
        <w:t>.</w:t>
      </w:r>
    </w:p>
    <w:p w:rsidR="00A225ED" w:rsidRDefault="00A225ED" w:rsidP="00805061">
      <w:pPr>
        <w:pStyle w:val="DoubleSpaceParagaph"/>
        <w:ind w:firstLine="720"/>
      </w:pPr>
      <w:r>
        <w:t xml:space="preserve">13. Notwithstanding any inconsistent provisions of subdivision c of section 1052 of the </w:t>
      </w:r>
      <w:smartTag w:uri="urn:schemas-microsoft-com:office:smarttags" w:element="place">
        <w:smartTag w:uri="urn:schemas-microsoft-com:office:smarttags" w:element="City">
          <w:r>
            <w:t xml:space="preserve">New York </w:t>
          </w:r>
          <w:proofErr w:type="gramStart"/>
          <w:r>
            <w:t>city</w:t>
          </w:r>
        </w:smartTag>
      </w:smartTag>
      <w:proofErr w:type="gramEnd"/>
      <w:r>
        <w:t xml:space="preserve"> charter, as added by vote of the electors on November 3, 1998, the campaign finance board shall pursuant to such subdivision submit estimates of the financial needs of the campaign finance board as therein describ</w:t>
      </w:r>
      <w:r w:rsidR="00EF370E">
        <w:t xml:space="preserve">ed not later than </w:t>
      </w:r>
      <w:r w:rsidR="008F676C">
        <w:t>March 26</w:t>
      </w:r>
      <w:r w:rsidR="003B6083">
        <w:t>, 2018</w:t>
      </w:r>
      <w:r>
        <w:t>.</w:t>
      </w:r>
    </w:p>
    <w:p w:rsidR="00A225ED" w:rsidRDefault="00A225ED" w:rsidP="00805061">
      <w:pPr>
        <w:suppressAutoHyphens/>
        <w:spacing w:line="480" w:lineRule="auto"/>
        <w:ind w:firstLine="720"/>
        <w:jc w:val="both"/>
      </w:pPr>
      <w:r>
        <w:t>§ 2. This local law take</w:t>
      </w:r>
      <w:r w:rsidR="00FC6C5E">
        <w:t>s</w:t>
      </w:r>
      <w:r>
        <w:t xml:space="preserve"> effect immediately, except that if it bec</w:t>
      </w:r>
      <w:r w:rsidR="009A0B51">
        <w:t>ome</w:t>
      </w:r>
      <w:r w:rsidR="00A511CD">
        <w:t>s</w:t>
      </w:r>
      <w:r w:rsidR="009A0B51">
        <w:t xml:space="preserve"> law after January 16, 201</w:t>
      </w:r>
      <w:r w:rsidR="003B6083">
        <w:t>8</w:t>
      </w:r>
      <w:r>
        <w:t xml:space="preserve">, it </w:t>
      </w:r>
      <w:r w:rsidR="00A511CD">
        <w:t>is</w:t>
      </w:r>
      <w:r>
        <w:t xml:space="preserve"> retroactive to and deemed to have been in full force a</w:t>
      </w:r>
      <w:r w:rsidR="009A0B51">
        <w:t>nd effect as of January 16, 201</w:t>
      </w:r>
      <w:r w:rsidR="003B6083">
        <w:t>8</w:t>
      </w:r>
      <w:r>
        <w:t>.</w:t>
      </w:r>
    </w:p>
    <w:sectPr w:rsidR="00A225ED">
      <w:type w:val="continuous"/>
      <w:pgSz w:w="12240" w:h="15840"/>
      <w:pgMar w:top="1440" w:right="1440" w:bottom="960" w:left="1440" w:header="1440" w:footer="960" w:gutter="0"/>
      <w:lnNumType w:countBy="1" w:distance="420"/>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71A" w:rsidRDefault="00A8171A">
      <w:r>
        <w:separator/>
      </w:r>
    </w:p>
  </w:endnote>
  <w:endnote w:type="continuationSeparator" w:id="0">
    <w:p w:rsidR="00A8171A" w:rsidRDefault="00A8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9A0B51">
      <w:tblPrEx>
        <w:tblCellMar>
          <w:top w:w="0" w:type="dxa"/>
          <w:bottom w:w="0" w:type="dxa"/>
        </w:tblCellMar>
      </w:tblPrEx>
      <w:trPr>
        <w:jc w:val="center"/>
      </w:trPr>
      <w:tc>
        <w:tcPr>
          <w:tcW w:w="3192" w:type="dxa"/>
          <w:vAlign w:val="center"/>
        </w:tcPr>
        <w:p w:rsidR="009A0B51" w:rsidRDefault="009A0B51">
          <w:pPr>
            <w:pStyle w:val="Footer"/>
            <w:rPr>
              <w:sz w:val="16"/>
            </w:rPr>
          </w:pPr>
        </w:p>
      </w:tc>
      <w:tc>
        <w:tcPr>
          <w:tcW w:w="3192" w:type="dxa"/>
        </w:tcPr>
        <w:p w:rsidR="009A0B51" w:rsidRDefault="009A0B51">
          <w:pPr>
            <w:pStyle w:val="Footer"/>
            <w:jc w:val="center"/>
          </w:pPr>
        </w:p>
      </w:tc>
      <w:tc>
        <w:tcPr>
          <w:tcW w:w="3192" w:type="dxa"/>
          <w:vAlign w:val="center"/>
        </w:tcPr>
        <w:p w:rsidR="009A0B51" w:rsidRDefault="009A0B51">
          <w:pPr>
            <w:pStyle w:val="Footer"/>
            <w:jc w:val="right"/>
            <w:rPr>
              <w:sz w:val="16"/>
            </w:rPr>
          </w:pPr>
        </w:p>
      </w:tc>
    </w:tr>
  </w:tbl>
  <w:p w:rsidR="009A0B51" w:rsidRDefault="009A0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tblGrid>
    <w:tr w:rsidR="006510E1">
      <w:tblPrEx>
        <w:tblCellMar>
          <w:top w:w="0" w:type="dxa"/>
          <w:bottom w:w="0" w:type="dxa"/>
        </w:tblCellMar>
      </w:tblPrEx>
      <w:trPr>
        <w:jc w:val="center"/>
      </w:trPr>
      <w:tc>
        <w:tcPr>
          <w:tcW w:w="3192" w:type="dxa"/>
        </w:tcPr>
        <w:p w:rsidR="006510E1" w:rsidRPr="003A2DFE" w:rsidRDefault="006510E1" w:rsidP="003A2DFE">
          <w:pPr>
            <w:pStyle w:val="Footer"/>
            <w:rPr>
              <w:sz w:val="16"/>
              <w:szCs w:val="16"/>
            </w:rPr>
          </w:pPr>
        </w:p>
      </w:tc>
      <w:tc>
        <w:tcPr>
          <w:tcW w:w="3192" w:type="dxa"/>
        </w:tcPr>
        <w:p w:rsidR="006510E1" w:rsidRDefault="006510E1">
          <w:pPr>
            <w:pStyle w:val="Footer"/>
            <w:jc w:val="right"/>
          </w:pPr>
        </w:p>
      </w:tc>
    </w:tr>
  </w:tbl>
  <w:p w:rsidR="009A0B51" w:rsidRDefault="009A0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71A" w:rsidRDefault="00A8171A">
      <w:r>
        <w:separator/>
      </w:r>
    </w:p>
  </w:footnote>
  <w:footnote w:type="continuationSeparator" w:id="0">
    <w:p w:rsidR="00A8171A" w:rsidRDefault="00A817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6AE2"/>
    <w:multiLevelType w:val="singleLevel"/>
    <w:tmpl w:val="96222796"/>
    <w:lvl w:ilvl="0">
      <w:start w:val="1"/>
      <w:numFmt w:val="upperRoman"/>
      <w:lvlText w:val="%1."/>
      <w:lvlJc w:val="left"/>
      <w:pPr>
        <w:tabs>
          <w:tab w:val="num" w:pos="720"/>
        </w:tabs>
        <w:ind w:left="720" w:hanging="720"/>
      </w:pPr>
    </w:lvl>
  </w:abstractNum>
  <w:abstractNum w:abstractNumId="1" w15:restartNumberingAfterBreak="0">
    <w:nsid w:val="028D1A92"/>
    <w:multiLevelType w:val="singleLevel"/>
    <w:tmpl w:val="39363666"/>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051243D1"/>
    <w:multiLevelType w:val="singleLevel"/>
    <w:tmpl w:val="E11A25CC"/>
    <w:lvl w:ilvl="0">
      <w:start w:val="1"/>
      <w:numFmt w:val="lowerLetter"/>
      <w:lvlText w:val="%1)"/>
      <w:lvlJc w:val="left"/>
      <w:pPr>
        <w:tabs>
          <w:tab w:val="num" w:pos="720"/>
        </w:tabs>
        <w:ind w:left="720" w:hanging="720"/>
      </w:pPr>
    </w:lvl>
  </w:abstractNum>
  <w:abstractNum w:abstractNumId="3" w15:restartNumberingAfterBreak="0">
    <w:nsid w:val="09971C9B"/>
    <w:multiLevelType w:val="singleLevel"/>
    <w:tmpl w:val="4900E644"/>
    <w:lvl w:ilvl="0">
      <w:start w:val="1"/>
      <w:numFmt w:val="lowerRoman"/>
      <w:lvlText w:val="(%1)"/>
      <w:lvlJc w:val="left"/>
      <w:pPr>
        <w:tabs>
          <w:tab w:val="num" w:pos="1440"/>
        </w:tabs>
        <w:ind w:left="1440" w:hanging="720"/>
      </w:pPr>
    </w:lvl>
  </w:abstractNum>
  <w:abstractNum w:abstractNumId="4" w15:restartNumberingAfterBreak="0">
    <w:nsid w:val="13304625"/>
    <w:multiLevelType w:val="singleLevel"/>
    <w:tmpl w:val="C73A9BAA"/>
    <w:lvl w:ilvl="0">
      <w:start w:val="1"/>
      <w:numFmt w:val="decimal"/>
      <w:lvlText w:val="%1."/>
      <w:lvlJc w:val="left"/>
      <w:pPr>
        <w:tabs>
          <w:tab w:val="num" w:pos="720"/>
        </w:tabs>
        <w:ind w:left="720" w:hanging="720"/>
      </w:pPr>
    </w:lvl>
  </w:abstractNum>
  <w:abstractNum w:abstractNumId="5" w15:restartNumberingAfterBreak="0">
    <w:nsid w:val="1A323267"/>
    <w:multiLevelType w:val="singleLevel"/>
    <w:tmpl w:val="2408CBAC"/>
    <w:lvl w:ilvl="0">
      <w:start w:val="1"/>
      <w:numFmt w:val="decimal"/>
      <w:lvlText w:val="%1."/>
      <w:lvlJc w:val="left"/>
      <w:pPr>
        <w:tabs>
          <w:tab w:val="num" w:pos="1080"/>
        </w:tabs>
        <w:ind w:left="0" w:firstLine="720"/>
      </w:pPr>
    </w:lvl>
  </w:abstractNum>
  <w:abstractNum w:abstractNumId="6" w15:restartNumberingAfterBreak="0">
    <w:nsid w:val="254E5264"/>
    <w:multiLevelType w:val="singleLevel"/>
    <w:tmpl w:val="D2244A5A"/>
    <w:lvl w:ilvl="0">
      <w:start w:val="1"/>
      <w:numFmt w:val="upperLetter"/>
      <w:lvlText w:val="%1."/>
      <w:lvlJc w:val="left"/>
      <w:pPr>
        <w:tabs>
          <w:tab w:val="num" w:pos="1440"/>
        </w:tabs>
        <w:ind w:left="1440" w:hanging="720"/>
      </w:pPr>
    </w:lvl>
  </w:abstractNum>
  <w:abstractNum w:abstractNumId="7" w15:restartNumberingAfterBreak="0">
    <w:nsid w:val="275C1B4A"/>
    <w:multiLevelType w:val="singleLevel"/>
    <w:tmpl w:val="5C06BD14"/>
    <w:lvl w:ilvl="0">
      <w:start w:val="1"/>
      <w:numFmt w:val="upperLetter"/>
      <w:lvlText w:val="%1."/>
      <w:lvlJc w:val="left"/>
      <w:pPr>
        <w:tabs>
          <w:tab w:val="num" w:pos="720"/>
        </w:tabs>
        <w:ind w:left="720" w:hanging="720"/>
      </w:pPr>
    </w:lvl>
  </w:abstractNum>
  <w:abstractNum w:abstractNumId="8" w15:restartNumberingAfterBreak="0">
    <w:nsid w:val="2F546029"/>
    <w:multiLevelType w:val="singleLevel"/>
    <w:tmpl w:val="5DAADFCC"/>
    <w:lvl w:ilvl="0">
      <w:start w:val="1"/>
      <w:numFmt w:val="decimal"/>
      <w:lvlText w:val="%1."/>
      <w:lvlJc w:val="left"/>
      <w:pPr>
        <w:tabs>
          <w:tab w:val="num" w:pos="1080"/>
        </w:tabs>
        <w:ind w:left="0" w:firstLine="720"/>
      </w:pPr>
    </w:lvl>
  </w:abstractNum>
  <w:abstractNum w:abstractNumId="9" w15:restartNumberingAfterBreak="0">
    <w:nsid w:val="347E73D7"/>
    <w:multiLevelType w:val="singleLevel"/>
    <w:tmpl w:val="13C2501C"/>
    <w:lvl w:ilvl="0">
      <w:start w:val="1"/>
      <w:numFmt w:val="bullet"/>
      <w:lvlText w:val=""/>
      <w:lvlJc w:val="left"/>
      <w:pPr>
        <w:tabs>
          <w:tab w:val="num" w:pos="720"/>
        </w:tabs>
        <w:ind w:left="720" w:hanging="720"/>
      </w:pPr>
      <w:rPr>
        <w:rFonts w:ascii="Wingdings" w:hAnsi="Wingdings" w:hint="default"/>
        <w:sz w:val="16"/>
      </w:rPr>
    </w:lvl>
  </w:abstractNum>
  <w:abstractNum w:abstractNumId="10" w15:restartNumberingAfterBreak="0">
    <w:nsid w:val="4366707F"/>
    <w:multiLevelType w:val="singleLevel"/>
    <w:tmpl w:val="39BE849C"/>
    <w:lvl w:ilvl="0">
      <w:start w:val="1"/>
      <w:numFmt w:val="lowerLetter"/>
      <w:lvlText w:val="%1)"/>
      <w:lvlJc w:val="left"/>
      <w:pPr>
        <w:tabs>
          <w:tab w:val="num" w:pos="1440"/>
        </w:tabs>
        <w:ind w:left="1440" w:hanging="720"/>
      </w:pPr>
    </w:lvl>
  </w:abstractNum>
  <w:abstractNum w:abstractNumId="11" w15:restartNumberingAfterBreak="0">
    <w:nsid w:val="452F64C0"/>
    <w:multiLevelType w:val="singleLevel"/>
    <w:tmpl w:val="57221B74"/>
    <w:lvl w:ilvl="0">
      <w:start w:val="1"/>
      <w:numFmt w:val="upperRoman"/>
      <w:lvlText w:val="%1."/>
      <w:lvlJc w:val="left"/>
      <w:pPr>
        <w:tabs>
          <w:tab w:val="num" w:pos="1440"/>
        </w:tabs>
        <w:ind w:left="1440" w:hanging="720"/>
      </w:pPr>
    </w:lvl>
  </w:abstractNum>
  <w:abstractNum w:abstractNumId="12" w15:restartNumberingAfterBreak="0">
    <w:nsid w:val="45865FD2"/>
    <w:multiLevelType w:val="singleLevel"/>
    <w:tmpl w:val="A29EF652"/>
    <w:lvl w:ilvl="0">
      <w:start w:val="1"/>
      <w:numFmt w:val="bullet"/>
      <w:lvlText w:val=""/>
      <w:lvlJc w:val="left"/>
      <w:pPr>
        <w:tabs>
          <w:tab w:val="num" w:pos="720"/>
        </w:tabs>
        <w:ind w:left="720" w:hanging="720"/>
      </w:pPr>
      <w:rPr>
        <w:rFonts w:ascii="Wingdings" w:hAnsi="Wingdings" w:hint="default"/>
      </w:rPr>
    </w:lvl>
  </w:abstractNum>
  <w:abstractNum w:abstractNumId="13" w15:restartNumberingAfterBreak="0">
    <w:nsid w:val="47444189"/>
    <w:multiLevelType w:val="singleLevel"/>
    <w:tmpl w:val="6E8A34F6"/>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49882445"/>
    <w:multiLevelType w:val="singleLevel"/>
    <w:tmpl w:val="F33AAAE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5" w15:restartNumberingAfterBreak="0">
    <w:nsid w:val="4E943911"/>
    <w:multiLevelType w:val="multilevel"/>
    <w:tmpl w:val="EE3CF6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EFC6154"/>
    <w:multiLevelType w:val="singleLevel"/>
    <w:tmpl w:val="1632C9FA"/>
    <w:lvl w:ilvl="0">
      <w:start w:val="1"/>
      <w:numFmt w:val="lowerRoman"/>
      <w:lvlText w:val="(%1)"/>
      <w:lvlJc w:val="left"/>
      <w:pPr>
        <w:tabs>
          <w:tab w:val="num" w:pos="720"/>
        </w:tabs>
        <w:ind w:left="720" w:hanging="720"/>
      </w:pPr>
    </w:lvl>
  </w:abstractNum>
  <w:abstractNum w:abstractNumId="17" w15:restartNumberingAfterBreak="0">
    <w:nsid w:val="4F441EA6"/>
    <w:multiLevelType w:val="singleLevel"/>
    <w:tmpl w:val="AFAC089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18" w15:restartNumberingAfterBreak="0">
    <w:nsid w:val="56FD67C1"/>
    <w:multiLevelType w:val="singleLevel"/>
    <w:tmpl w:val="7474031E"/>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9" w15:restartNumberingAfterBreak="0">
    <w:nsid w:val="669F3840"/>
    <w:multiLevelType w:val="singleLevel"/>
    <w:tmpl w:val="BECE7376"/>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0" w15:restartNumberingAfterBreak="0">
    <w:nsid w:val="6C4D01A4"/>
    <w:multiLevelType w:val="singleLevel"/>
    <w:tmpl w:val="5F8A867C"/>
    <w:lvl w:ilvl="0">
      <w:start w:val="1"/>
      <w:numFmt w:val="decimal"/>
      <w:lvlText w:val="%1."/>
      <w:lvlJc w:val="left"/>
      <w:pPr>
        <w:tabs>
          <w:tab w:val="num" w:pos="1440"/>
        </w:tabs>
        <w:ind w:left="1440" w:hanging="720"/>
      </w:pPr>
    </w:lvl>
  </w:abstractNum>
  <w:abstractNum w:abstractNumId="21" w15:restartNumberingAfterBreak="0">
    <w:nsid w:val="71B1608C"/>
    <w:multiLevelType w:val="singleLevel"/>
    <w:tmpl w:val="1BB2BD92"/>
    <w:lvl w:ilvl="0">
      <w:start w:val="1"/>
      <w:numFmt w:val="decimal"/>
      <w:lvlText w:val="%1."/>
      <w:lvlJc w:val="left"/>
      <w:pPr>
        <w:tabs>
          <w:tab w:val="num" w:pos="720"/>
        </w:tabs>
        <w:ind w:left="720" w:hanging="720"/>
      </w:pPr>
    </w:lvl>
  </w:abstractNum>
  <w:num w:numId="1">
    <w:abstractNumId w:val="8"/>
  </w:num>
  <w:num w:numId="2">
    <w:abstractNumId w:val="5"/>
  </w:num>
  <w:num w:numId="3">
    <w:abstractNumId w:val="21"/>
  </w:num>
  <w:num w:numId="4">
    <w:abstractNumId w:val="13"/>
  </w:num>
  <w:num w:numId="5">
    <w:abstractNumId w:val="9"/>
  </w:num>
  <w:num w:numId="6">
    <w:abstractNumId w:val="12"/>
  </w:num>
  <w:num w:numId="7">
    <w:abstractNumId w:val="20"/>
  </w:num>
  <w:num w:numId="8">
    <w:abstractNumId w:val="4"/>
  </w:num>
  <w:num w:numId="9">
    <w:abstractNumId w:val="10"/>
  </w:num>
  <w:num w:numId="10">
    <w:abstractNumId w:val="6"/>
  </w:num>
  <w:num w:numId="11">
    <w:abstractNumId w:val="2"/>
  </w:num>
  <w:num w:numId="12">
    <w:abstractNumId w:val="7"/>
  </w:num>
  <w:num w:numId="13">
    <w:abstractNumId w:val="3"/>
  </w:num>
  <w:num w:numId="14">
    <w:abstractNumId w:val="11"/>
  </w:num>
  <w:num w:numId="15">
    <w:abstractNumId w:val="0"/>
  </w:num>
  <w:num w:numId="16">
    <w:abstractNumId w:val="16"/>
  </w:num>
  <w:num w:numId="17">
    <w:abstractNumId w:val="1"/>
  </w:num>
  <w:num w:numId="18">
    <w:abstractNumId w:val="13"/>
  </w:num>
  <w:num w:numId="19">
    <w:abstractNumId w:val="9"/>
  </w:num>
  <w:num w:numId="20">
    <w:abstractNumId w:val="12"/>
  </w:num>
  <w:num w:numId="21">
    <w:abstractNumId w:val="20"/>
  </w:num>
  <w:num w:numId="22">
    <w:abstractNumId w:val="4"/>
  </w:num>
  <w:num w:numId="23">
    <w:abstractNumId w:val="10"/>
  </w:num>
  <w:num w:numId="24">
    <w:abstractNumId w:val="6"/>
  </w:num>
  <w:num w:numId="25">
    <w:abstractNumId w:val="2"/>
  </w:num>
  <w:num w:numId="26">
    <w:abstractNumId w:val="7"/>
  </w:num>
  <w:num w:numId="27">
    <w:abstractNumId w:val="3"/>
  </w:num>
  <w:num w:numId="28">
    <w:abstractNumId w:val="11"/>
  </w:num>
  <w:num w:numId="29">
    <w:abstractNumId w:val="0"/>
  </w:num>
  <w:num w:numId="30">
    <w:abstractNumId w:val="16"/>
  </w:num>
  <w:num w:numId="31">
    <w:abstractNumId w:val="1"/>
  </w:num>
  <w:num w:numId="32">
    <w:abstractNumId w:val="13"/>
  </w:num>
  <w:num w:numId="33">
    <w:abstractNumId w:val="9"/>
  </w:num>
  <w:num w:numId="34">
    <w:abstractNumId w:val="12"/>
  </w:num>
  <w:num w:numId="35">
    <w:abstractNumId w:val="20"/>
  </w:num>
  <w:num w:numId="36">
    <w:abstractNumId w:val="4"/>
  </w:num>
  <w:num w:numId="37">
    <w:abstractNumId w:val="10"/>
  </w:num>
  <w:num w:numId="38">
    <w:abstractNumId w:val="6"/>
  </w:num>
  <w:num w:numId="39">
    <w:abstractNumId w:val="2"/>
  </w:num>
  <w:num w:numId="40">
    <w:abstractNumId w:val="7"/>
  </w:num>
  <w:num w:numId="41">
    <w:abstractNumId w:val="3"/>
  </w:num>
  <w:num w:numId="42">
    <w:abstractNumId w:val="11"/>
  </w:num>
  <w:num w:numId="43">
    <w:abstractNumId w:val="0"/>
  </w:num>
  <w:num w:numId="44">
    <w:abstractNumId w:val="16"/>
  </w:num>
  <w:num w:numId="45">
    <w:abstractNumId w:val="1"/>
  </w:num>
  <w:num w:numId="46">
    <w:abstractNumId w:val="18"/>
  </w:num>
  <w:num w:numId="47">
    <w:abstractNumId w:val="14"/>
  </w:num>
  <w:num w:numId="48">
    <w:abstractNumId w:val="17"/>
  </w:num>
  <w:num w:numId="49">
    <w:abstractNumId w:val="19"/>
  </w:num>
  <w:num w:numId="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prelmbdg.98"/>
    <w:docVar w:name="DOCX97_10" w:val="12/5/97 5:17:18 PM"/>
    <w:docVar w:name="DOCX97_11" w:val="4561"/>
    <w:docVar w:name="DOCX97_2" w:val="s:\nyclaw_source\nyc_111899\legalcounsel\sackerma\document\prelmbdg.98"/>
    <w:docVar w:name="DOCX97_20" w:val="DocX97Begin"/>
    <w:docVar w:name="DOCX97_3" w:val="UNIDENTIFIEDHEADER"/>
    <w:docVar w:name="DOCX97_4" w:val="s:\nyclaw_target\nyc_111899\legalcounsel\sackerma\document\prelmbdg.98"/>
    <w:docVar w:name="DOCX97_45" w:val="1"/>
    <w:docVar w:name="DOCX97_46" w:val="1"/>
    <w:docVar w:name="DOCX97_47" w:val="0.666666666666667"/>
    <w:docVar w:name="DOCX97_48" w:val="1"/>
    <w:docVar w:name="DOCX97_49" w:val="11"/>
    <w:docVar w:name="DOCX97_5" w:val=" 15364"/>
    <w:docVar w:name="DOCX97_51" w:val="NoDocType"/>
    <w:docVar w:name="DOCX97_58" w:val="GoodLabelDoc"/>
    <w:docVar w:name="DOCX97_59" w:val="8.5"/>
    <w:docVar w:name="DOCX97_6" w:val="40,960"/>
    <w:docVar w:name="DOCX97_61" w:val="NoSpacers"/>
    <w:docVar w:name="DOCX97_66" w:val="GoodQuotes"/>
    <w:docVar w:name="DOCX97_7" w:val="11/18/99 11:08:09 AM"/>
    <w:docVar w:name="DOCX97_8" w:val="11/18/99 11:08:18 AM"/>
    <w:docVar w:name="DOCX97_89" w:val="WordMacrosDone"/>
    <w:docVar w:name="DOCX97_91" w:val="NYC Law Department"/>
    <w:docVar w:name="DOCX97_92" w:val="11/18/99"/>
    <w:docVar w:name="DOCX97_93" w:val="11:08:24 AM"/>
  </w:docVars>
  <w:rsids>
    <w:rsidRoot w:val="00A225ED"/>
    <w:rsid w:val="00064E09"/>
    <w:rsid w:val="00066E25"/>
    <w:rsid w:val="000B50F7"/>
    <w:rsid w:val="000D1DD6"/>
    <w:rsid w:val="000E032F"/>
    <w:rsid w:val="001402B5"/>
    <w:rsid w:val="0015269A"/>
    <w:rsid w:val="00253451"/>
    <w:rsid w:val="00276100"/>
    <w:rsid w:val="00293BED"/>
    <w:rsid w:val="002A475B"/>
    <w:rsid w:val="00331C8C"/>
    <w:rsid w:val="00347894"/>
    <w:rsid w:val="003A2DFE"/>
    <w:rsid w:val="003B6083"/>
    <w:rsid w:val="003D6E3B"/>
    <w:rsid w:val="003F7CDA"/>
    <w:rsid w:val="00434740"/>
    <w:rsid w:val="0046370A"/>
    <w:rsid w:val="00466658"/>
    <w:rsid w:val="004B7605"/>
    <w:rsid w:val="004E6876"/>
    <w:rsid w:val="00534983"/>
    <w:rsid w:val="005A5609"/>
    <w:rsid w:val="0060436C"/>
    <w:rsid w:val="00621B55"/>
    <w:rsid w:val="006510E1"/>
    <w:rsid w:val="007204F1"/>
    <w:rsid w:val="00746DB6"/>
    <w:rsid w:val="00746E45"/>
    <w:rsid w:val="00785B81"/>
    <w:rsid w:val="00805061"/>
    <w:rsid w:val="008135A3"/>
    <w:rsid w:val="00825C5C"/>
    <w:rsid w:val="008F676C"/>
    <w:rsid w:val="00901475"/>
    <w:rsid w:val="009A0B51"/>
    <w:rsid w:val="009A1112"/>
    <w:rsid w:val="009A45B8"/>
    <w:rsid w:val="009C301F"/>
    <w:rsid w:val="00A225ED"/>
    <w:rsid w:val="00A511CD"/>
    <w:rsid w:val="00A8171A"/>
    <w:rsid w:val="00AB4AA3"/>
    <w:rsid w:val="00AB7517"/>
    <w:rsid w:val="00AC352C"/>
    <w:rsid w:val="00AD09E7"/>
    <w:rsid w:val="00AE38C6"/>
    <w:rsid w:val="00AE7B7F"/>
    <w:rsid w:val="00B65CEB"/>
    <w:rsid w:val="00B757A0"/>
    <w:rsid w:val="00B76E45"/>
    <w:rsid w:val="00B84F9D"/>
    <w:rsid w:val="00C63606"/>
    <w:rsid w:val="00D05282"/>
    <w:rsid w:val="00D06627"/>
    <w:rsid w:val="00D15608"/>
    <w:rsid w:val="00DF76E7"/>
    <w:rsid w:val="00DF7BAA"/>
    <w:rsid w:val="00E10B7A"/>
    <w:rsid w:val="00E647BA"/>
    <w:rsid w:val="00E773E8"/>
    <w:rsid w:val="00EF370E"/>
    <w:rsid w:val="00F447B9"/>
    <w:rsid w:val="00F501DE"/>
    <w:rsid w:val="00FC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BD4B8514-1DF3-43F4-BCCB-7E39F488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qFormat/>
    <w:pPr>
      <w:keepNext/>
      <w:suppressAutoHyphens/>
      <w:spacing w:after="240"/>
      <w:outlineLvl w:val="0"/>
    </w:pPr>
    <w:rPr>
      <w:snapToGrid w:val="0"/>
    </w:rPr>
  </w:style>
  <w:style w:type="paragraph" w:styleId="Heading2">
    <w:name w:val="heading 2"/>
    <w:basedOn w:val="Normal"/>
    <w:qFormat/>
    <w:pPr>
      <w:suppressAutoHyphens/>
      <w:spacing w:after="240"/>
      <w:outlineLvl w:val="1"/>
    </w:pPr>
    <w:rPr>
      <w:snapToGrid w:val="0"/>
    </w:rPr>
  </w:style>
  <w:style w:type="paragraph" w:styleId="Heading3">
    <w:name w:val="heading 3"/>
    <w:basedOn w:val="Normal"/>
    <w:qFormat/>
    <w:pPr>
      <w:suppressAutoHyphens/>
      <w:spacing w:after="240"/>
      <w:outlineLvl w:val="2"/>
    </w:pPr>
    <w:rPr>
      <w:snapToGrid w:val="0"/>
    </w:rPr>
  </w:style>
  <w:style w:type="paragraph" w:styleId="Heading4">
    <w:name w:val="heading 4"/>
    <w:basedOn w:val="Normal"/>
    <w:qFormat/>
    <w:pPr>
      <w:tabs>
        <w:tab w:val="left" w:pos="1440"/>
      </w:tabs>
      <w:suppressAutoHyphens/>
      <w:spacing w:after="240"/>
      <w:outlineLvl w:val="3"/>
    </w:pPr>
    <w:rPr>
      <w:snapToGrid w:val="0"/>
    </w:rPr>
  </w:style>
  <w:style w:type="paragraph" w:styleId="Heading5">
    <w:name w:val="heading 5"/>
    <w:basedOn w:val="Normal"/>
    <w:qFormat/>
    <w:pPr>
      <w:suppressAutoHyphens/>
      <w:spacing w:after="240"/>
      <w:outlineLvl w:val="4"/>
    </w:pPr>
    <w:rPr>
      <w:snapToGrid w:val="0"/>
    </w:rPr>
  </w:style>
  <w:style w:type="paragraph" w:styleId="Heading6">
    <w:name w:val="heading 6"/>
    <w:basedOn w:val="Normal"/>
    <w:qFormat/>
    <w:pPr>
      <w:suppressAutoHyphens/>
      <w:spacing w:after="240"/>
      <w:outlineLvl w:val="5"/>
    </w:pPr>
    <w:rPr>
      <w:snapToGrid w:val="0"/>
    </w:rPr>
  </w:style>
  <w:style w:type="paragraph" w:styleId="Heading7">
    <w:name w:val="heading 7"/>
    <w:basedOn w:val="Normal"/>
    <w:qFormat/>
    <w:pPr>
      <w:suppressAutoHyphens/>
      <w:spacing w:after="240"/>
      <w:outlineLvl w:val="6"/>
    </w:pPr>
    <w:rPr>
      <w:snapToGrid w:val="0"/>
    </w:rPr>
  </w:style>
  <w:style w:type="paragraph" w:styleId="Heading8">
    <w:name w:val="heading 8"/>
    <w:basedOn w:val="Normal"/>
    <w:qFormat/>
    <w:pPr>
      <w:suppressAutoHyphens/>
      <w:spacing w:after="240"/>
      <w:outlineLvl w:val="7"/>
    </w:pPr>
    <w:rPr>
      <w:snapToGrid w:val="0"/>
    </w:rPr>
  </w:style>
  <w:style w:type="paragraph" w:styleId="Heading9">
    <w:name w:val="heading 9"/>
    <w:basedOn w:val="Normal"/>
    <w:qFormat/>
    <w:pPr>
      <w:suppressAutoHyphens/>
      <w:spacing w:after="240"/>
      <w:outlineLvl w:val="8"/>
    </w:pPr>
    <w:rPr>
      <w:snapToGrid w:val="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Left">
    <w:name w:val="Block Left"/>
    <w:aliases w:val="BL"/>
    <w:basedOn w:val="Normal"/>
    <w:next w:val="Normal"/>
    <w:pPr>
      <w:suppressAutoHyphens/>
      <w:spacing w:after="480"/>
    </w:pPr>
  </w:style>
  <w:style w:type="paragraph" w:customStyle="1" w:styleId="BlockNarrowUnderline">
    <w:name w:val="Block Narrow Underline"/>
    <w:aliases w:val="BNU"/>
    <w:basedOn w:val="Normal"/>
    <w:next w:val="Normal"/>
    <w:pPr>
      <w:pBdr>
        <w:bottom w:val="single" w:sz="4" w:space="1" w:color="auto"/>
      </w:pBdr>
      <w:suppressAutoHyphens/>
      <w:spacing w:after="240"/>
      <w:ind w:left="2160" w:right="2160"/>
      <w:jc w:val="both"/>
      <w:outlineLvl w:val="2"/>
    </w:pPr>
    <w:rPr>
      <w:b/>
      <w:caps/>
    </w:rPr>
  </w:style>
  <w:style w:type="paragraph" w:customStyle="1" w:styleId="BlockNarrow">
    <w:name w:val="Block Narrow"/>
    <w:aliases w:val="BN"/>
    <w:basedOn w:val="Normal"/>
    <w:next w:val="Normal"/>
    <w:pPr>
      <w:suppressAutoHyphens/>
      <w:spacing w:after="240"/>
      <w:ind w:left="2160" w:right="2160"/>
      <w:jc w:val="both"/>
      <w:outlineLvl w:val="2"/>
    </w:pPr>
  </w:style>
  <w:style w:type="paragraph" w:customStyle="1" w:styleId="BlockWideUnderline">
    <w:name w:val="Block Wide Underline"/>
    <w:aliases w:val="BWU"/>
    <w:basedOn w:val="Normal"/>
    <w:next w:val="Normal"/>
    <w:pPr>
      <w:pBdr>
        <w:bottom w:val="single" w:sz="4" w:space="1" w:color="auto"/>
      </w:pBdr>
      <w:suppressAutoHyphens/>
      <w:spacing w:after="240"/>
      <w:ind w:left="1440" w:right="1440"/>
      <w:jc w:val="both"/>
      <w:outlineLvl w:val="2"/>
    </w:pPr>
  </w:style>
  <w:style w:type="paragraph" w:customStyle="1" w:styleId="BlockWide">
    <w:name w:val="Block Wide"/>
    <w:aliases w:val="BW"/>
    <w:basedOn w:val="Normal"/>
    <w:next w:val="Normal"/>
    <w:pPr>
      <w:suppressAutoHyphens/>
      <w:spacing w:after="240"/>
      <w:ind w:left="1440" w:right="1440"/>
      <w:jc w:val="both"/>
    </w:pPr>
  </w:style>
  <w:style w:type="paragraph" w:styleId="BodyText">
    <w:name w:val="Body Text"/>
    <w:basedOn w:val="Normal"/>
    <w:pPr>
      <w:spacing w:after="120"/>
    </w:pPr>
  </w:style>
  <w:style w:type="paragraph" w:customStyle="1" w:styleId="By">
    <w:name w:val="By"/>
    <w:basedOn w:val="Normal"/>
    <w:next w:val="Normal"/>
    <w:pPr>
      <w:suppressAutoHyphens/>
      <w:ind w:left="4320"/>
    </w:pPr>
  </w:style>
  <w:style w:type="paragraph" w:customStyle="1" w:styleId="ByLine">
    <w:name w:val="By Line"/>
    <w:aliases w:val="ByL"/>
    <w:basedOn w:val="Normal"/>
    <w:next w:val="Normal"/>
    <w:pPr>
      <w:pBdr>
        <w:top w:val="single" w:sz="4" w:space="1" w:color="auto"/>
      </w:pBdr>
      <w:suppressAutoHyphens/>
      <w:spacing w:after="720"/>
      <w:ind w:left="5040"/>
    </w:pPr>
  </w:style>
  <w:style w:type="paragraph" w:customStyle="1" w:styleId="CaptionAgainst">
    <w:name w:val="Caption Against"/>
    <w:aliases w:val="CA"/>
    <w:basedOn w:val="Normal"/>
    <w:next w:val="Normal"/>
    <w:pPr>
      <w:suppressAutoHyphens/>
      <w:spacing w:after="240"/>
      <w:jc w:val="center"/>
    </w:pPr>
  </w:style>
  <w:style w:type="paragraph" w:customStyle="1" w:styleId="CaptionBottomLine">
    <w:name w:val="Caption Bottom Line"/>
    <w:aliases w:val="CBL"/>
    <w:basedOn w:val="Normal"/>
    <w:next w:val="Normal"/>
    <w:pPr>
      <w:suppressAutoHyphens/>
      <w:spacing w:after="480"/>
    </w:pPr>
  </w:style>
  <w:style w:type="paragraph" w:customStyle="1" w:styleId="CaptionDocument">
    <w:name w:val="Caption Document"/>
    <w:aliases w:val="CD"/>
    <w:basedOn w:val="Normal"/>
    <w:next w:val="Normal"/>
    <w:pPr>
      <w:pBdr>
        <w:bottom w:val="single" w:sz="4" w:space="1" w:color="auto"/>
      </w:pBdr>
      <w:suppressAutoHyphens/>
      <w:spacing w:before="720" w:after="240"/>
    </w:pPr>
    <w:rPr>
      <w:rFonts w:ascii="Times New Roman Bold" w:hAnsi="Times New Roman Bold"/>
      <w:b/>
      <w:caps/>
    </w:rPr>
  </w:style>
  <w:style w:type="paragraph" w:customStyle="1" w:styleId="CaptionHeading">
    <w:name w:val="Caption Heading"/>
    <w:aliases w:val="CH"/>
    <w:basedOn w:val="Normal"/>
    <w:next w:val="Normal"/>
    <w:pPr>
      <w:suppressAutoHyphens/>
    </w:pPr>
    <w:rPr>
      <w:caps/>
    </w:rPr>
  </w:style>
  <w:style w:type="paragraph" w:customStyle="1" w:styleId="CaptionID">
    <w:name w:val="Caption ID"/>
    <w:aliases w:val="CI"/>
    <w:basedOn w:val="Normal"/>
    <w:pPr>
      <w:suppressAutoHyphens/>
      <w:spacing w:after="240"/>
    </w:pPr>
  </w:style>
  <w:style w:type="paragraph" w:customStyle="1" w:styleId="CaptionTextRight">
    <w:name w:val="Caption Text Right"/>
    <w:aliases w:val="CTR"/>
    <w:basedOn w:val="Normal"/>
    <w:next w:val="CaptionAgainst"/>
    <w:pPr>
      <w:suppressAutoHyphens/>
      <w:spacing w:after="240"/>
      <w:ind w:right="720"/>
      <w:jc w:val="right"/>
    </w:pPr>
  </w:style>
  <w:style w:type="paragraph" w:customStyle="1" w:styleId="CaptionText">
    <w:name w:val="Caption Text"/>
    <w:aliases w:val="CT"/>
    <w:basedOn w:val="Normal"/>
    <w:next w:val="CaptionTextRight"/>
    <w:pPr>
      <w:suppressAutoHyphens/>
      <w:spacing w:after="240"/>
    </w:pPr>
  </w:style>
  <w:style w:type="paragraph" w:customStyle="1" w:styleId="CaptionTopLine">
    <w:name w:val="Caption Top Line"/>
    <w:aliases w:val="CTL"/>
    <w:basedOn w:val="Normal"/>
    <w:next w:val="CaptionText"/>
    <w:pPr>
      <w:suppressAutoHyphens/>
      <w:spacing w:after="240"/>
    </w:pPr>
  </w:style>
  <w:style w:type="paragraph" w:styleId="Closing">
    <w:name w:val="Closing"/>
    <w:aliases w:val="C"/>
    <w:basedOn w:val="Normal"/>
    <w:next w:val="By"/>
    <w:pPr>
      <w:suppressAutoHyphens/>
      <w:spacing w:after="480"/>
      <w:ind w:left="4320"/>
    </w:pPr>
  </w:style>
  <w:style w:type="paragraph" w:customStyle="1" w:styleId="CourtesyCopy">
    <w:name w:val="Courtesy Copy"/>
    <w:aliases w:val="cc"/>
    <w:basedOn w:val="Normal"/>
    <w:pPr>
      <w:suppressAutoHyphens/>
      <w:ind w:left="720" w:hanging="720"/>
    </w:pPr>
  </w:style>
  <w:style w:type="paragraph" w:customStyle="1" w:styleId="Dated">
    <w:name w:val="Dated"/>
    <w:aliases w:val="D"/>
    <w:basedOn w:val="Normal"/>
    <w:next w:val="Closing"/>
    <w:pPr>
      <w:suppressAutoHyphens/>
      <w:spacing w:after="480"/>
      <w:ind w:left="1440" w:hanging="1440"/>
    </w:pPr>
  </w:style>
  <w:style w:type="paragraph" w:customStyle="1" w:styleId="DocX97Comment">
    <w:name w:val="DocX97Comment"/>
    <w:basedOn w:val="Normal"/>
    <w:rPr>
      <w:b/>
      <w:i/>
      <w:color w:val="FF0000"/>
      <w:sz w:val="16"/>
    </w:rPr>
  </w:style>
  <w:style w:type="paragraph" w:customStyle="1" w:styleId="DoubleSpaceParagaph">
    <w:name w:val="Double Space Paragaph"/>
    <w:aliases w:val="DS"/>
    <w:basedOn w:val="Normal"/>
    <w:pPr>
      <w:suppressAutoHyphens/>
      <w:spacing w:line="480" w:lineRule="auto"/>
      <w:ind w:firstLine="1440"/>
      <w:jc w:val="both"/>
    </w:pPr>
  </w:style>
  <w:style w:type="paragraph" w:customStyle="1" w:styleId="DoubleSpaceParagraphwParaNum">
    <w:name w:val="Double Space Paragraph w/Para Num"/>
    <w:aliases w:val="DSN"/>
    <w:basedOn w:val="Normal"/>
    <w:pPr>
      <w:numPr>
        <w:numId w:val="46"/>
      </w:numPr>
      <w:tabs>
        <w:tab w:val="clear" w:pos="1800"/>
      </w:tabs>
      <w:suppressAutoHyphens/>
      <w:spacing w:line="480" w:lineRule="auto"/>
      <w:jc w:val="both"/>
    </w:pPr>
  </w:style>
  <w:style w:type="paragraph" w:customStyle="1" w:styleId="EndnoteTextMore">
    <w:name w:val="Endnote TextMore"/>
    <w:basedOn w:val="Normal"/>
    <w:pPr>
      <w:spacing w:after="240"/>
    </w:pPr>
  </w:style>
  <w:style w:type="paragraph" w:customStyle="1" w:styleId="FlushLeftDoublewParaNum">
    <w:name w:val="Flush Left Double w/Para Num"/>
    <w:aliases w:val="FLDN"/>
    <w:basedOn w:val="Normal"/>
    <w:pPr>
      <w:numPr>
        <w:numId w:val="47"/>
      </w:numPr>
      <w:tabs>
        <w:tab w:val="clear" w:pos="360"/>
      </w:tabs>
      <w:suppressAutoHyphens/>
      <w:spacing w:line="480" w:lineRule="auto"/>
      <w:jc w:val="both"/>
    </w:pPr>
  </w:style>
  <w:style w:type="paragraph" w:customStyle="1" w:styleId="FlushLeftDouble">
    <w:name w:val="Flush Left Double"/>
    <w:aliases w:val="FLD"/>
    <w:basedOn w:val="Normal"/>
    <w:pPr>
      <w:suppressAutoHyphens/>
      <w:spacing w:line="480" w:lineRule="auto"/>
      <w:jc w:val="both"/>
    </w:pPr>
  </w:style>
  <w:style w:type="paragraph" w:customStyle="1" w:styleId="FlushLeftwParaNum">
    <w:name w:val="Flush Left w/Para Num"/>
    <w:aliases w:val="FLN"/>
    <w:basedOn w:val="Normal"/>
    <w:pPr>
      <w:numPr>
        <w:numId w:val="48"/>
      </w:numPr>
      <w:tabs>
        <w:tab w:val="clear" w:pos="360"/>
      </w:tabs>
      <w:suppressAutoHyphens/>
      <w:spacing w:after="240"/>
      <w:jc w:val="both"/>
    </w:pPr>
  </w:style>
  <w:style w:type="paragraph" w:customStyle="1" w:styleId="FlushLeft">
    <w:name w:val="Flush Left"/>
    <w:aliases w:val="FL"/>
    <w:basedOn w:val="Normal"/>
    <w:pPr>
      <w:suppressAutoHyphens/>
      <w:spacing w:after="240"/>
      <w:jc w:val="both"/>
    </w:pPr>
  </w:style>
  <w:style w:type="paragraph" w:styleId="FootnoteText">
    <w:name w:val="footnote text"/>
    <w:aliases w:val="FT"/>
    <w:basedOn w:val="Normal"/>
    <w:semiHidden/>
    <w:pPr>
      <w:suppressAutoHyphens/>
      <w:spacing w:after="240"/>
      <w:ind w:firstLine="360"/>
      <w:jc w:val="both"/>
    </w:pPr>
  </w:style>
  <w:style w:type="paragraph" w:customStyle="1" w:styleId="FootnoteTextMore">
    <w:name w:val="Footnote TextMore"/>
    <w:basedOn w:val="FootnoteText"/>
    <w:pPr>
      <w:suppressAutoHyphens w:val="0"/>
      <w:ind w:firstLine="0"/>
      <w:jc w:val="left"/>
    </w:pPr>
  </w:style>
  <w:style w:type="paragraph" w:customStyle="1" w:styleId="HeadingBold">
    <w:name w:val="Heading Bold"/>
    <w:aliases w:val="HCB"/>
    <w:basedOn w:val="Normal"/>
    <w:next w:val="Normal"/>
    <w:pPr>
      <w:keepNext/>
      <w:suppressAutoHyphens/>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uppressAutoHyphens/>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pPr>
      <w:keepNext/>
      <w:suppressAutoHyphens/>
      <w:spacing w:after="240"/>
      <w:jc w:val="center"/>
      <w:outlineLvl w:val="0"/>
    </w:pPr>
  </w:style>
  <w:style w:type="paragraph" w:customStyle="1" w:styleId="HeadingPoint">
    <w:name w:val="Heading Point"/>
    <w:aliases w:val="HP"/>
    <w:basedOn w:val="Normal"/>
    <w:next w:val="BlockNarrowUnderline"/>
    <w:pPr>
      <w:keepNext/>
      <w:suppressAutoHyphens/>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uppressAutoHyphens/>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suppressAutoHyphens/>
      <w:spacing w:after="240"/>
    </w:pPr>
    <w:rPr>
      <w:b/>
      <w:caps/>
      <w:u w:val="single"/>
    </w:rPr>
  </w:style>
  <w:style w:type="paragraph" w:customStyle="1" w:styleId="Interrogatory">
    <w:name w:val="Interrogatory"/>
    <w:aliases w:val="I"/>
    <w:basedOn w:val="Normal"/>
    <w:next w:val="Normal"/>
    <w:pPr>
      <w:suppressAutoHyphens/>
      <w:spacing w:after="240"/>
    </w:pPr>
    <w:rPr>
      <w:b/>
      <w:caps/>
      <w:u w:val="single"/>
    </w:rPr>
  </w:style>
  <w:style w:type="paragraph" w:customStyle="1" w:styleId="LetterAddress">
    <w:name w:val="Letter Address"/>
    <w:aliases w:val="LA"/>
    <w:basedOn w:val="Normal"/>
    <w:next w:val="Normal"/>
    <w:pPr>
      <w:suppressAutoHyphens/>
      <w:spacing w:after="480"/>
    </w:pPr>
  </w:style>
  <w:style w:type="paragraph" w:customStyle="1" w:styleId="LetterAuthor">
    <w:name w:val="Letter Author"/>
    <w:aliases w:val="LAu"/>
    <w:basedOn w:val="Normal"/>
    <w:next w:val="CourtesyCopy"/>
    <w:pPr>
      <w:suppressAutoHyphens/>
      <w:spacing w:after="480"/>
      <w:ind w:left="5760"/>
    </w:pPr>
  </w:style>
  <w:style w:type="paragraph" w:customStyle="1" w:styleId="LetterClosing">
    <w:name w:val="Letter Closing"/>
    <w:aliases w:val="LC"/>
    <w:basedOn w:val="Normal"/>
    <w:next w:val="LetterAuthor"/>
    <w:pPr>
      <w:suppressAutoHyphens/>
      <w:spacing w:before="240" w:after="720"/>
      <w:ind w:left="5760"/>
    </w:pPr>
  </w:style>
  <w:style w:type="paragraph" w:customStyle="1" w:styleId="LetterDate">
    <w:name w:val="Letter Date"/>
    <w:aliases w:val="LD"/>
    <w:basedOn w:val="Normal"/>
    <w:next w:val="LetterAddress"/>
    <w:pPr>
      <w:suppressAutoHyphens/>
      <w:spacing w:after="720"/>
      <w:ind w:left="5760"/>
    </w:pPr>
  </w:style>
  <w:style w:type="paragraph" w:customStyle="1" w:styleId="LetterRe">
    <w:name w:val="Letter Re"/>
    <w:aliases w:val="LRe"/>
    <w:basedOn w:val="Normal"/>
    <w:next w:val="Normal"/>
    <w:pPr>
      <w:tabs>
        <w:tab w:val="left" w:pos="1944"/>
      </w:tabs>
      <w:suppressAutoHyphens/>
      <w:spacing w:after="480"/>
      <w:ind w:left="1944" w:hanging="504"/>
    </w:pPr>
  </w:style>
  <w:style w:type="paragraph" w:customStyle="1" w:styleId="LetterSalutation">
    <w:name w:val="Letter Salutation"/>
    <w:aliases w:val="LS"/>
    <w:basedOn w:val="Normal"/>
    <w:next w:val="Normal"/>
    <w:pPr>
      <w:suppressAutoHyphens/>
      <w:spacing w:after="480"/>
    </w:pPr>
  </w:style>
  <w:style w:type="paragraph" w:customStyle="1" w:styleId="LetterTelephone">
    <w:name w:val="Letter Telephone"/>
    <w:aliases w:val="LT"/>
    <w:basedOn w:val="Normal"/>
    <w:next w:val="LetterDate"/>
    <w:pPr>
      <w:suppressAutoHyphens/>
      <w:spacing w:after="480"/>
      <w:jc w:val="right"/>
    </w:pPr>
    <w:rPr>
      <w:sz w:val="20"/>
    </w:rPr>
  </w:style>
  <w:style w:type="paragraph" w:customStyle="1" w:styleId="LocalLawBlock">
    <w:name w:val="Local Law Block"/>
    <w:aliases w:val="LLB"/>
    <w:basedOn w:val="Normal"/>
    <w:next w:val="FlushLeftDouble"/>
    <w:pPr>
      <w:tabs>
        <w:tab w:val="left" w:pos="2160"/>
      </w:tabs>
      <w:suppressAutoHyphens/>
      <w:spacing w:after="480"/>
      <w:ind w:left="2160" w:right="1008" w:hanging="2160"/>
      <w:jc w:val="both"/>
    </w:pPr>
  </w:style>
  <w:style w:type="paragraph" w:customStyle="1" w:styleId="LocalLawTitle">
    <w:name w:val="Local Law Title"/>
    <w:aliases w:val="LLT"/>
    <w:basedOn w:val="Normal"/>
    <w:next w:val="LocalLawBlock"/>
    <w:pPr>
      <w:keepNext/>
      <w:suppressAutoHyphens/>
      <w:spacing w:after="480"/>
      <w:jc w:val="right"/>
    </w:pPr>
    <w:rPr>
      <w:rFonts w:ascii="Times New Roman Bold" w:hAnsi="Times New Roman Bold"/>
      <w:b/>
      <w:caps/>
    </w:rPr>
  </w:style>
  <w:style w:type="paragraph" w:customStyle="1" w:styleId="MemoAuthor">
    <w:name w:val="Memo Author"/>
    <w:aliases w:val="MAu"/>
    <w:basedOn w:val="Normal"/>
    <w:next w:val="Normal"/>
    <w:pPr>
      <w:suppressAutoHyphens/>
      <w:spacing w:after="240"/>
    </w:pPr>
  </w:style>
  <w:style w:type="paragraph" w:customStyle="1" w:styleId="MemoDate">
    <w:name w:val="Memo Date"/>
    <w:aliases w:val="MD"/>
    <w:basedOn w:val="Normal"/>
    <w:next w:val="Normal"/>
    <w:pPr>
      <w:suppressAutoHyphens/>
      <w:spacing w:after="240"/>
    </w:pPr>
    <w:rPr>
      <w:caps/>
    </w:rPr>
  </w:style>
  <w:style w:type="paragraph" w:customStyle="1" w:styleId="MemoLine">
    <w:name w:val="Memo Line"/>
    <w:aliases w:val="ML"/>
    <w:basedOn w:val="Normal"/>
    <w:next w:val="DoubleSpaceParagaph"/>
    <w:pPr>
      <w:suppressAutoHyphens/>
      <w:spacing w:after="120"/>
    </w:pPr>
  </w:style>
  <w:style w:type="paragraph" w:customStyle="1" w:styleId="MemoSubject">
    <w:name w:val="Memo Subject"/>
    <w:aliases w:val="MS"/>
    <w:basedOn w:val="Normal"/>
    <w:next w:val="MemoLine"/>
    <w:pPr>
      <w:suppressAutoHyphens/>
      <w:spacing w:after="480"/>
    </w:pPr>
    <w:rPr>
      <w:caps/>
    </w:rPr>
  </w:style>
  <w:style w:type="paragraph" w:customStyle="1" w:styleId="MemoTo">
    <w:name w:val="Memo To"/>
    <w:aliases w:val="MT"/>
    <w:basedOn w:val="Normal"/>
    <w:next w:val="MemoAuthor"/>
    <w:pPr>
      <w:suppressAutoHyphens/>
      <w:spacing w:before="480" w:after="240"/>
    </w:pPr>
  </w:style>
  <w:style w:type="character" w:customStyle="1" w:styleId="ParaNum">
    <w:name w:val="ParaNum"/>
    <w:basedOn w:val="DefaultParagraphFont"/>
  </w:style>
  <w:style w:type="paragraph" w:customStyle="1" w:styleId="SignatureBlock">
    <w:name w:val="Signature Block"/>
    <w:aliases w:val="SB"/>
    <w:basedOn w:val="Normal"/>
    <w:next w:val="BodyText"/>
    <w:pPr>
      <w:pBdr>
        <w:top w:val="single" w:sz="4" w:space="1" w:color="auto"/>
      </w:pBdr>
      <w:suppressAutoHyphens/>
      <w:spacing w:after="720"/>
      <w:ind w:left="5040"/>
    </w:pPr>
    <w:rPr>
      <w:caps/>
    </w:rPr>
  </w:style>
  <w:style w:type="paragraph" w:customStyle="1" w:styleId="SignatureLeft">
    <w:name w:val="Signature Left"/>
    <w:aliases w:val="SL"/>
    <w:basedOn w:val="Normal"/>
    <w:next w:val="Normal"/>
    <w:pPr>
      <w:pBdr>
        <w:top w:val="single" w:sz="4" w:space="1" w:color="auto"/>
      </w:pBdr>
      <w:suppressAutoHyphens/>
      <w:spacing w:after="240"/>
      <w:ind w:right="5760"/>
    </w:pPr>
  </w:style>
  <w:style w:type="paragraph" w:customStyle="1" w:styleId="SingleSpaceParagraphwParaNum">
    <w:name w:val="Single Space Paragraph w/Para Num"/>
    <w:aliases w:val="SSN"/>
    <w:basedOn w:val="Normal"/>
    <w:pPr>
      <w:numPr>
        <w:numId w:val="49"/>
      </w:numPr>
      <w:tabs>
        <w:tab w:val="clear" w:pos="1800"/>
      </w:tabs>
      <w:suppressAutoHyphens/>
      <w:spacing w:after="240"/>
      <w:jc w:val="both"/>
    </w:pPr>
  </w:style>
  <w:style w:type="paragraph" w:customStyle="1" w:styleId="SingleSpaceParagraph">
    <w:name w:val="Single Space Paragraph"/>
    <w:aliases w:val="SS"/>
    <w:basedOn w:val="Normal"/>
    <w:pPr>
      <w:suppressAutoHyphens/>
      <w:spacing w:after="240"/>
      <w:ind w:firstLine="1440"/>
      <w:jc w:val="both"/>
    </w:pPr>
  </w:style>
  <w:style w:type="paragraph" w:customStyle="1" w:styleId="SSBlock">
    <w:name w:val="SS Block"/>
    <w:aliases w:val="SSB"/>
    <w:basedOn w:val="Normal"/>
    <w:next w:val="DoubleSpaceParagaph"/>
    <w:pPr>
      <w:tabs>
        <w:tab w:val="left" w:pos="3168"/>
        <w:tab w:val="left" w:pos="3600"/>
      </w:tabs>
      <w:suppressAutoHyphens/>
      <w:spacing w:before="240" w:after="480"/>
    </w:pPr>
    <w:rPr>
      <w:caps/>
    </w:rPr>
  </w:style>
  <w:style w:type="paragraph" w:customStyle="1" w:styleId="SubHeading">
    <w:name w:val="Sub Heading"/>
    <w:aliases w:val="SH"/>
    <w:basedOn w:val="Normal"/>
    <w:next w:val="DoubleSpaceParagaph"/>
    <w:pPr>
      <w:numPr>
        <w:ilvl w:val="3"/>
        <w:numId w:val="50"/>
      </w:numPr>
      <w:tabs>
        <w:tab w:val="left" w:pos="720"/>
        <w:tab w:val="right" w:pos="9360"/>
      </w:tabs>
      <w:suppressAutoHyphens/>
      <w:spacing w:after="240"/>
      <w:jc w:val="both"/>
      <w:outlineLvl w:val="3"/>
    </w:pPr>
    <w:rPr>
      <w:rFonts w:ascii="Times New Roman Bold" w:hAnsi="Times New Roman Bold"/>
      <w:b/>
    </w:rPr>
  </w:style>
  <w:style w:type="paragraph" w:styleId="TOC1">
    <w:name w:val="toc 1"/>
    <w:basedOn w:val="Normal"/>
    <w:autoRedefine/>
    <w:semiHidden/>
    <w:pPr>
      <w:suppressAutoHyphens/>
      <w:spacing w:after="240"/>
    </w:pPr>
    <w:rPr>
      <w:caps/>
    </w:rPr>
  </w:style>
  <w:style w:type="paragraph" w:styleId="TOC2">
    <w:name w:val="toc 2"/>
    <w:basedOn w:val="Normal"/>
    <w:next w:val="TOC3"/>
    <w:autoRedefine/>
    <w:semiHidden/>
    <w:pPr>
      <w:suppressAutoHyphens/>
      <w:spacing w:after="240"/>
      <w:ind w:left="1440"/>
    </w:pPr>
    <w:rPr>
      <w:caps/>
    </w:rPr>
  </w:style>
  <w:style w:type="paragraph" w:styleId="TOC3">
    <w:name w:val="toc 3"/>
    <w:basedOn w:val="Normal"/>
    <w:next w:val="TOC2"/>
    <w:autoRedefine/>
    <w:semiHidden/>
    <w:pPr>
      <w:suppressAutoHyphens/>
      <w:spacing w:after="240"/>
      <w:ind w:left="2160" w:right="2160"/>
    </w:pPr>
  </w:style>
  <w:style w:type="paragraph" w:styleId="TOC4">
    <w:name w:val="toc 4"/>
    <w:basedOn w:val="Normal"/>
    <w:autoRedefine/>
    <w:semiHidden/>
    <w:pPr>
      <w:suppressAutoHyphens/>
      <w:spacing w:after="240"/>
      <w:ind w:left="2592" w:right="2160" w:hanging="432"/>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LineNumber">
    <w:name w:val="lin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convproj</dc:creator>
  <cp:keywords/>
  <dc:description/>
  <cp:lastModifiedBy>DelFranco, Ruthie</cp:lastModifiedBy>
  <cp:revision>2</cp:revision>
  <cp:lastPrinted>2013-12-06T13:33:00Z</cp:lastPrinted>
  <dcterms:created xsi:type="dcterms:W3CDTF">2021-02-17T15:48:00Z</dcterms:created>
  <dcterms:modified xsi:type="dcterms:W3CDTF">2021-02-17T15:48:00Z</dcterms:modified>
  <cp:category/>
</cp:coreProperties>
</file>