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0DB" w:rsidRPr="0034397F" w:rsidRDefault="009D60DB" w:rsidP="00492326">
      <w:pPr>
        <w:pBdr>
          <w:top w:val="nil"/>
          <w:left w:val="nil"/>
          <w:bottom w:val="nil"/>
          <w:right w:val="nil"/>
          <w:between w:val="nil"/>
          <w:bar w:val="nil"/>
        </w:pBdr>
        <w:spacing w:after="0" w:line="240" w:lineRule="auto"/>
        <w:jc w:val="right"/>
        <w:rPr>
          <w:rFonts w:ascii="Times New Roman" w:eastAsia="Times New Roman" w:hAnsi="Times New Roman"/>
          <w:color w:val="000000"/>
          <w:sz w:val="24"/>
          <w:szCs w:val="24"/>
          <w:u w:color="000000"/>
          <w:bdr w:val="nil"/>
        </w:rPr>
      </w:pPr>
      <w:bookmarkStart w:id="0" w:name="_GoBack"/>
      <w:bookmarkEnd w:id="0"/>
      <w:r w:rsidRPr="0034397F">
        <w:rPr>
          <w:rFonts w:ascii="Times New Roman" w:hAnsi="Times New Roman" w:cs="Calibri"/>
          <w:color w:val="000000"/>
          <w:sz w:val="24"/>
          <w:szCs w:val="24"/>
          <w:u w:val="single" w:color="000000"/>
          <w:bdr w:val="nil"/>
        </w:rPr>
        <w:t xml:space="preserve">Committee on Public Housing </w:t>
      </w:r>
    </w:p>
    <w:p w:rsidR="009D60DB" w:rsidRPr="0034397F" w:rsidRDefault="009D60DB" w:rsidP="009D60DB">
      <w:pPr>
        <w:pBdr>
          <w:top w:val="nil"/>
          <w:left w:val="nil"/>
          <w:bottom w:val="nil"/>
          <w:right w:val="nil"/>
          <w:between w:val="nil"/>
          <w:bar w:val="nil"/>
        </w:pBdr>
        <w:spacing w:after="0" w:line="240" w:lineRule="auto"/>
        <w:jc w:val="right"/>
        <w:rPr>
          <w:rFonts w:ascii="Times New Roman" w:eastAsia="Times New Roman" w:hAnsi="Times New Roman"/>
          <w:color w:val="000000"/>
          <w:sz w:val="24"/>
          <w:szCs w:val="24"/>
          <w:u w:color="000000"/>
          <w:bdr w:val="nil"/>
        </w:rPr>
      </w:pPr>
      <w:r w:rsidRPr="0034397F">
        <w:rPr>
          <w:rFonts w:ascii="Times New Roman" w:hAnsi="Times New Roman" w:cs="Calibri"/>
          <w:color w:val="000000"/>
          <w:sz w:val="24"/>
          <w:szCs w:val="24"/>
          <w:u w:color="000000"/>
          <w:bdr w:val="nil"/>
        </w:rPr>
        <w:t xml:space="preserve">                            Madiba Dennie, Counsel                                                                        </w:t>
      </w:r>
    </w:p>
    <w:p w:rsidR="009D60DB" w:rsidRDefault="009D60DB" w:rsidP="009D60DB">
      <w:pPr>
        <w:pBdr>
          <w:top w:val="nil"/>
          <w:left w:val="nil"/>
          <w:bottom w:val="nil"/>
          <w:right w:val="nil"/>
          <w:between w:val="nil"/>
          <w:bar w:val="nil"/>
        </w:pBdr>
        <w:spacing w:after="0" w:line="240" w:lineRule="auto"/>
        <w:jc w:val="right"/>
        <w:rPr>
          <w:rFonts w:ascii="Times New Roman" w:hAnsi="Times New Roman" w:cs="Calibri"/>
          <w:color w:val="000000"/>
          <w:sz w:val="24"/>
          <w:szCs w:val="24"/>
          <w:u w:color="000000"/>
          <w:bdr w:val="nil"/>
        </w:rPr>
      </w:pPr>
      <w:r w:rsidRPr="0034397F">
        <w:rPr>
          <w:rFonts w:ascii="Times New Roman" w:hAnsi="Times New Roman" w:cs="Calibri"/>
          <w:color w:val="000000"/>
          <w:sz w:val="24"/>
          <w:szCs w:val="24"/>
          <w:u w:color="000000"/>
          <w:bdr w:val="nil"/>
        </w:rPr>
        <w:t xml:space="preserve">                                                   Jose Conde, </w:t>
      </w:r>
      <w:r>
        <w:rPr>
          <w:rFonts w:ascii="Times New Roman" w:hAnsi="Times New Roman" w:cs="Calibri"/>
          <w:color w:val="000000"/>
          <w:sz w:val="24"/>
          <w:szCs w:val="24"/>
          <w:u w:color="000000"/>
          <w:bdr w:val="nil"/>
        </w:rPr>
        <w:t xml:space="preserve">Senior </w:t>
      </w:r>
      <w:r w:rsidRPr="0034397F">
        <w:rPr>
          <w:rFonts w:ascii="Times New Roman" w:hAnsi="Times New Roman" w:cs="Calibri"/>
          <w:color w:val="000000"/>
          <w:sz w:val="24"/>
          <w:szCs w:val="24"/>
          <w:u w:color="000000"/>
          <w:bdr w:val="nil"/>
        </w:rPr>
        <w:t>Legislative Policy Analyst</w:t>
      </w:r>
    </w:p>
    <w:p w:rsidR="00E25867" w:rsidRPr="0034397F" w:rsidRDefault="00E25867" w:rsidP="009D60DB">
      <w:pPr>
        <w:pBdr>
          <w:top w:val="nil"/>
          <w:left w:val="nil"/>
          <w:bottom w:val="nil"/>
          <w:right w:val="nil"/>
          <w:between w:val="nil"/>
          <w:bar w:val="nil"/>
        </w:pBdr>
        <w:spacing w:after="0" w:line="240" w:lineRule="auto"/>
        <w:jc w:val="right"/>
        <w:rPr>
          <w:rFonts w:ascii="Times New Roman" w:eastAsia="Times New Roman" w:hAnsi="Times New Roman"/>
          <w:color w:val="000000"/>
          <w:sz w:val="24"/>
          <w:szCs w:val="24"/>
          <w:u w:color="000000"/>
          <w:bdr w:val="nil"/>
        </w:rPr>
      </w:pPr>
      <w:r>
        <w:rPr>
          <w:rFonts w:ascii="Times New Roman" w:hAnsi="Times New Roman" w:cs="Calibri"/>
          <w:color w:val="000000"/>
          <w:sz w:val="24"/>
          <w:szCs w:val="24"/>
          <w:u w:color="000000"/>
          <w:bdr w:val="nil"/>
        </w:rPr>
        <w:t>Ricky Chawla, Legislative Policy Analyst</w:t>
      </w:r>
    </w:p>
    <w:p w:rsidR="009D60DB" w:rsidRPr="0034397F" w:rsidRDefault="009D60DB" w:rsidP="009D60DB">
      <w:pPr>
        <w:pBdr>
          <w:top w:val="nil"/>
          <w:left w:val="nil"/>
          <w:bottom w:val="nil"/>
          <w:right w:val="nil"/>
          <w:between w:val="nil"/>
          <w:bar w:val="nil"/>
        </w:pBdr>
        <w:spacing w:after="0" w:line="240" w:lineRule="auto"/>
        <w:jc w:val="right"/>
        <w:rPr>
          <w:rFonts w:ascii="Times New Roman" w:eastAsia="Times New Roman" w:hAnsi="Times New Roman"/>
          <w:color w:val="000000"/>
          <w:sz w:val="24"/>
          <w:szCs w:val="24"/>
          <w:u w:color="000000"/>
          <w:bdr w:val="nil"/>
        </w:rPr>
      </w:pPr>
      <w:r w:rsidRPr="0034397F">
        <w:rPr>
          <w:rFonts w:ascii="Times New Roman" w:hAnsi="Times New Roman" w:cs="Calibri"/>
          <w:color w:val="000000"/>
          <w:sz w:val="24"/>
          <w:szCs w:val="24"/>
          <w:u w:color="000000"/>
          <w:bdr w:val="nil"/>
        </w:rPr>
        <w:t xml:space="preserve">                                                                        Sarah Gastelum, </w:t>
      </w:r>
      <w:r w:rsidR="00D52C20">
        <w:rPr>
          <w:rFonts w:ascii="Times New Roman" w:hAnsi="Times New Roman" w:cs="Calibri"/>
          <w:color w:val="000000"/>
          <w:sz w:val="24"/>
          <w:szCs w:val="24"/>
          <w:u w:color="000000"/>
          <w:bdr w:val="nil"/>
        </w:rPr>
        <w:t xml:space="preserve">Principal </w:t>
      </w:r>
      <w:r w:rsidR="00A0300C">
        <w:rPr>
          <w:rFonts w:ascii="Times New Roman" w:hAnsi="Times New Roman" w:cs="Calibri"/>
          <w:color w:val="000000"/>
          <w:sz w:val="24"/>
          <w:szCs w:val="24"/>
          <w:u w:color="000000"/>
          <w:bdr w:val="nil"/>
        </w:rPr>
        <w:t>Financial</w:t>
      </w:r>
      <w:r w:rsidR="00A0300C" w:rsidRPr="00D74DC2">
        <w:rPr>
          <w:rFonts w:ascii="Times New Roman" w:hAnsi="Times New Roman" w:cs="Calibri"/>
          <w:color w:val="000000"/>
          <w:sz w:val="24"/>
          <w:szCs w:val="24"/>
          <w:u w:color="000000"/>
          <w:bdr w:val="nil"/>
        </w:rPr>
        <w:t xml:space="preserve"> </w:t>
      </w:r>
      <w:r w:rsidR="00D74DC2" w:rsidRPr="00D74DC2">
        <w:rPr>
          <w:rFonts w:ascii="Times New Roman" w:hAnsi="Times New Roman" w:cs="Calibri"/>
          <w:color w:val="000000"/>
          <w:sz w:val="24"/>
          <w:szCs w:val="24"/>
          <w:u w:color="000000"/>
          <w:bdr w:val="nil"/>
        </w:rPr>
        <w:t>Analyst</w:t>
      </w:r>
      <w:r w:rsidR="00A57501">
        <w:rPr>
          <w:rFonts w:ascii="Arial Unicode MS" w:eastAsia="Arial Unicode MS" w:hAnsi="Arial Unicode MS" w:cs="Arial Unicode MS"/>
          <w:color w:val="000000"/>
          <w:sz w:val="24"/>
          <w:szCs w:val="24"/>
          <w:u w:color="000000"/>
          <w:bdr w:val="nil"/>
        </w:rPr>
        <w:br/>
      </w:r>
      <w:r w:rsidR="00A57501">
        <w:rPr>
          <w:rFonts w:ascii="Arial Unicode MS" w:eastAsia="Arial Unicode MS" w:hAnsi="Arial Unicode MS" w:cs="Arial Unicode MS"/>
          <w:color w:val="000000"/>
          <w:sz w:val="24"/>
          <w:szCs w:val="24"/>
          <w:u w:color="000000"/>
          <w:bdr w:val="nil"/>
        </w:rPr>
        <w:br/>
      </w:r>
      <w:r w:rsidR="00A57501">
        <w:rPr>
          <w:rFonts w:ascii="Arial Unicode MS" w:eastAsia="Arial Unicode MS" w:hAnsi="Arial Unicode MS" w:cs="Arial Unicode MS"/>
          <w:color w:val="000000"/>
          <w:sz w:val="24"/>
          <w:szCs w:val="24"/>
          <w:u w:color="000000"/>
          <w:bdr w:val="nil"/>
        </w:rPr>
        <w:br/>
      </w:r>
      <w:r w:rsidRPr="0034397F">
        <w:rPr>
          <w:rFonts w:ascii="Arial Unicode MS" w:eastAsia="Arial Unicode MS" w:hAnsi="Arial Unicode MS" w:cs="Arial Unicode MS"/>
          <w:color w:val="000000"/>
          <w:sz w:val="24"/>
          <w:szCs w:val="24"/>
          <w:u w:color="000000"/>
          <w:bdr w:val="nil"/>
        </w:rPr>
        <w:br/>
      </w:r>
    </w:p>
    <w:p w:rsidR="009D60DB" w:rsidRPr="0034397F" w:rsidRDefault="009D60DB" w:rsidP="009D60DB">
      <w:pPr>
        <w:widowControl w:val="0"/>
        <w:pBdr>
          <w:top w:val="nil"/>
          <w:left w:val="nil"/>
          <w:bottom w:val="nil"/>
          <w:right w:val="nil"/>
          <w:between w:val="nil"/>
          <w:bar w:val="nil"/>
        </w:pBdr>
        <w:spacing w:after="0" w:line="240" w:lineRule="auto"/>
        <w:jc w:val="center"/>
        <w:outlineLvl w:val="5"/>
        <w:rPr>
          <w:rFonts w:ascii="Times New Roman" w:eastAsia="Times New Roman" w:hAnsi="Times New Roman"/>
          <w:b/>
          <w:bCs/>
          <w:caps/>
          <w:color w:val="000000"/>
          <w:sz w:val="24"/>
          <w:szCs w:val="24"/>
          <w:u w:val="single" w:color="000000"/>
          <w:bdr w:val="nil"/>
        </w:rPr>
      </w:pPr>
    </w:p>
    <w:p w:rsidR="009D60DB" w:rsidRPr="0034397F" w:rsidRDefault="008F7BC9" w:rsidP="009D60DB">
      <w:pPr>
        <w:widowControl w:val="0"/>
        <w:pBdr>
          <w:top w:val="nil"/>
          <w:left w:val="nil"/>
          <w:bottom w:val="nil"/>
          <w:right w:val="nil"/>
          <w:between w:val="nil"/>
          <w:bar w:val="nil"/>
        </w:pBdr>
        <w:spacing w:after="0" w:line="240" w:lineRule="auto"/>
        <w:jc w:val="center"/>
        <w:outlineLvl w:val="5"/>
        <w:rPr>
          <w:rFonts w:ascii="Times New Roman" w:eastAsia="Times New Roman" w:hAnsi="Times New Roman"/>
          <w:b/>
          <w:bCs/>
          <w:caps/>
          <w:color w:val="000000"/>
          <w:sz w:val="24"/>
          <w:szCs w:val="24"/>
          <w:u w:val="single" w:color="000000"/>
          <w:bdr w:val="nil"/>
        </w:rPr>
      </w:pPr>
      <w:r w:rsidRPr="00751878">
        <w:rPr>
          <w:rFonts w:ascii="Times New Roman" w:eastAsia="Times New Roman" w:hAnsi="Times New Roman"/>
          <w:noProof/>
          <w:color w:val="000000"/>
          <w:sz w:val="24"/>
          <w:szCs w:val="24"/>
          <w:u w:color="000000"/>
          <w:bdr w:val="nil"/>
        </w:rPr>
        <w:drawing>
          <wp:inline distT="0" distB="0" distL="0" distR="0">
            <wp:extent cx="112395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1143000"/>
                    </a:xfrm>
                    <a:prstGeom prst="rect">
                      <a:avLst/>
                    </a:prstGeom>
                    <a:noFill/>
                    <a:ln>
                      <a:noFill/>
                    </a:ln>
                  </pic:spPr>
                </pic:pic>
              </a:graphicData>
            </a:graphic>
          </wp:inline>
        </w:drawing>
      </w:r>
    </w:p>
    <w:p w:rsidR="009D60DB" w:rsidRPr="0034397F" w:rsidRDefault="009D60DB" w:rsidP="009D60DB">
      <w:pPr>
        <w:widowControl w:val="0"/>
        <w:pBdr>
          <w:top w:val="nil"/>
          <w:left w:val="nil"/>
          <w:bottom w:val="nil"/>
          <w:right w:val="nil"/>
          <w:between w:val="nil"/>
          <w:bar w:val="nil"/>
        </w:pBdr>
        <w:spacing w:after="0" w:line="240" w:lineRule="auto"/>
        <w:jc w:val="center"/>
        <w:outlineLvl w:val="5"/>
        <w:rPr>
          <w:rFonts w:ascii="Times New Roman" w:eastAsia="Times New Roman" w:hAnsi="Times New Roman"/>
          <w:b/>
          <w:bCs/>
          <w:caps/>
          <w:color w:val="000000"/>
          <w:sz w:val="24"/>
          <w:szCs w:val="24"/>
          <w:u w:val="single" w:color="000000"/>
          <w:bdr w:val="nil"/>
        </w:rPr>
      </w:pPr>
      <w:r w:rsidRPr="0034397F">
        <w:rPr>
          <w:rFonts w:ascii="Times New Roman" w:hAnsi="Times New Roman" w:cs="Calibri"/>
          <w:b/>
          <w:bCs/>
          <w:caps/>
          <w:color w:val="000000"/>
          <w:sz w:val="24"/>
          <w:szCs w:val="24"/>
          <w:u w:val="single" w:color="000000"/>
          <w:bdr w:val="nil"/>
        </w:rPr>
        <w:t>The New York City Council</w:t>
      </w:r>
    </w:p>
    <w:p w:rsidR="009D60DB" w:rsidRPr="0034397F" w:rsidRDefault="009D60DB" w:rsidP="009D60DB">
      <w:pPr>
        <w:pBdr>
          <w:top w:val="nil"/>
          <w:left w:val="nil"/>
          <w:bottom w:val="nil"/>
          <w:right w:val="nil"/>
          <w:between w:val="nil"/>
          <w:bar w:val="nil"/>
        </w:pBdr>
        <w:spacing w:after="0" w:line="240" w:lineRule="auto"/>
        <w:rPr>
          <w:rFonts w:ascii="Times New Roman" w:eastAsia="Times New Roman" w:hAnsi="Times New Roman"/>
          <w:color w:val="000000"/>
          <w:sz w:val="24"/>
          <w:szCs w:val="24"/>
          <w:u w:color="000000"/>
          <w:bdr w:val="nil"/>
        </w:rPr>
      </w:pPr>
    </w:p>
    <w:p w:rsidR="009D60DB" w:rsidRPr="0034397F" w:rsidRDefault="00BB1CDA" w:rsidP="009D60DB">
      <w:pPr>
        <w:pBdr>
          <w:top w:val="nil"/>
          <w:left w:val="nil"/>
          <w:bottom w:val="nil"/>
          <w:right w:val="nil"/>
          <w:between w:val="nil"/>
          <w:bar w:val="nil"/>
        </w:pBdr>
        <w:spacing w:after="0" w:line="240" w:lineRule="auto"/>
        <w:jc w:val="center"/>
        <w:rPr>
          <w:rFonts w:ascii="Times New Roman" w:eastAsia="Times New Roman" w:hAnsi="Times New Roman"/>
          <w:b/>
          <w:bCs/>
          <w:color w:val="000000"/>
          <w:sz w:val="24"/>
          <w:szCs w:val="24"/>
          <w:u w:color="000000"/>
          <w:bdr w:val="nil"/>
        </w:rPr>
      </w:pPr>
      <w:r>
        <w:rPr>
          <w:rFonts w:ascii="Times New Roman" w:hAnsi="Times New Roman" w:cs="Calibri"/>
          <w:b/>
          <w:bCs/>
          <w:color w:val="000000"/>
          <w:sz w:val="24"/>
          <w:szCs w:val="24"/>
          <w:u w:color="000000"/>
          <w:bdr w:val="nil"/>
        </w:rPr>
        <w:t>Briefing Paper</w:t>
      </w:r>
      <w:r w:rsidR="009D60DB" w:rsidRPr="0034397F">
        <w:rPr>
          <w:rFonts w:ascii="Times New Roman" w:hAnsi="Times New Roman" w:cs="Calibri"/>
          <w:b/>
          <w:bCs/>
          <w:color w:val="000000"/>
          <w:sz w:val="24"/>
          <w:szCs w:val="24"/>
          <w:u w:color="000000"/>
          <w:bdr w:val="nil"/>
        </w:rPr>
        <w:t xml:space="preserve"> of the Infrastructure Division</w:t>
      </w:r>
      <w:r w:rsidR="009D60DB" w:rsidRPr="0034397F">
        <w:rPr>
          <w:rFonts w:ascii="Arial Unicode MS" w:eastAsia="Arial Unicode MS" w:hAnsi="Arial Unicode MS" w:cs="Arial Unicode MS"/>
          <w:color w:val="000000"/>
          <w:sz w:val="24"/>
          <w:szCs w:val="24"/>
          <w:u w:color="000000"/>
          <w:bdr w:val="nil"/>
        </w:rPr>
        <w:br/>
      </w:r>
    </w:p>
    <w:p w:rsidR="00D74DC2" w:rsidRPr="00D74DC2" w:rsidRDefault="00D74DC2" w:rsidP="00D74DC2">
      <w:pPr>
        <w:tabs>
          <w:tab w:val="center" w:pos="4680"/>
        </w:tabs>
        <w:jc w:val="center"/>
        <w:rPr>
          <w:rFonts w:ascii="Times New Roman" w:eastAsia="Times New Roman" w:hAnsi="Times New Roman"/>
          <w:sz w:val="24"/>
          <w:szCs w:val="24"/>
        </w:rPr>
      </w:pPr>
      <w:r w:rsidRPr="00D74DC2">
        <w:rPr>
          <w:rFonts w:ascii="Times New Roman" w:eastAsia="Times New Roman" w:hAnsi="Times New Roman"/>
          <w:sz w:val="24"/>
          <w:szCs w:val="24"/>
        </w:rPr>
        <w:t xml:space="preserve"> Jeffrey Baker, </w:t>
      </w:r>
      <w:r w:rsidRPr="00D74DC2">
        <w:rPr>
          <w:rFonts w:ascii="Times New Roman" w:eastAsia="Times New Roman" w:hAnsi="Times New Roman"/>
          <w:i/>
          <w:sz w:val="24"/>
          <w:szCs w:val="24"/>
        </w:rPr>
        <w:t>Legislative Director</w:t>
      </w:r>
    </w:p>
    <w:p w:rsidR="009D60DB" w:rsidRPr="00492326" w:rsidRDefault="00D74DC2" w:rsidP="00492326">
      <w:pPr>
        <w:tabs>
          <w:tab w:val="center" w:pos="4680"/>
        </w:tabs>
        <w:spacing w:after="0" w:line="480" w:lineRule="auto"/>
        <w:jc w:val="center"/>
        <w:rPr>
          <w:rFonts w:ascii="Times New Roman" w:eastAsia="Times New Roman" w:hAnsi="Times New Roman"/>
          <w:i/>
          <w:sz w:val="24"/>
          <w:szCs w:val="24"/>
        </w:rPr>
      </w:pPr>
      <w:r w:rsidRPr="00D74DC2">
        <w:rPr>
          <w:rFonts w:ascii="Times New Roman" w:eastAsia="Times New Roman" w:hAnsi="Times New Roman"/>
          <w:sz w:val="24"/>
          <w:szCs w:val="24"/>
        </w:rPr>
        <w:t>Terzah Nasser,</w:t>
      </w:r>
      <w:r w:rsidRPr="00D74DC2">
        <w:rPr>
          <w:rFonts w:ascii="Times New Roman" w:eastAsia="Times New Roman" w:hAnsi="Times New Roman"/>
          <w:i/>
          <w:sz w:val="24"/>
          <w:szCs w:val="24"/>
        </w:rPr>
        <w:t xml:space="preserve"> Deputy Director for Infrastructure</w:t>
      </w:r>
      <w:r w:rsidR="009D60DB" w:rsidRPr="0034397F">
        <w:rPr>
          <w:rFonts w:ascii="Times New Roman" w:hAnsi="Times New Roman" w:cs="Calibri"/>
          <w:color w:val="000000"/>
          <w:sz w:val="24"/>
          <w:szCs w:val="24"/>
          <w:u w:color="000000"/>
          <w:bdr w:val="nil"/>
        </w:rPr>
        <w:t xml:space="preserve">, </w:t>
      </w:r>
    </w:p>
    <w:p w:rsidR="009D60DB" w:rsidRPr="0034397F" w:rsidRDefault="009D60DB" w:rsidP="009D60DB">
      <w:pPr>
        <w:pBdr>
          <w:top w:val="nil"/>
          <w:left w:val="nil"/>
          <w:bottom w:val="nil"/>
          <w:right w:val="nil"/>
          <w:between w:val="nil"/>
          <w:bar w:val="nil"/>
        </w:pBdr>
        <w:spacing w:after="0" w:line="240" w:lineRule="auto"/>
        <w:rPr>
          <w:rFonts w:ascii="Times New Roman" w:eastAsia="Times New Roman" w:hAnsi="Times New Roman"/>
          <w:color w:val="000000"/>
          <w:sz w:val="24"/>
          <w:szCs w:val="24"/>
          <w:u w:color="000000"/>
          <w:bdr w:val="nil"/>
        </w:rPr>
      </w:pPr>
    </w:p>
    <w:p w:rsidR="009D60DB" w:rsidRPr="0034397F" w:rsidRDefault="009D60DB" w:rsidP="009D60DB">
      <w:pPr>
        <w:pBdr>
          <w:top w:val="nil"/>
          <w:left w:val="nil"/>
          <w:bottom w:val="nil"/>
          <w:right w:val="nil"/>
          <w:between w:val="nil"/>
          <w:bar w:val="nil"/>
        </w:pBdr>
        <w:spacing w:after="0" w:line="240" w:lineRule="auto"/>
        <w:jc w:val="center"/>
        <w:rPr>
          <w:rFonts w:ascii="Times New Roman" w:eastAsia="Times New Roman" w:hAnsi="Times New Roman"/>
          <w:caps/>
          <w:color w:val="000000"/>
          <w:sz w:val="24"/>
          <w:szCs w:val="24"/>
          <w:u w:val="single" w:color="000000"/>
          <w:bdr w:val="nil"/>
        </w:rPr>
      </w:pPr>
      <w:r w:rsidRPr="0034397F">
        <w:rPr>
          <w:rFonts w:ascii="Times New Roman" w:hAnsi="Times New Roman" w:cs="Calibri"/>
          <w:caps/>
          <w:color w:val="000000"/>
          <w:sz w:val="24"/>
          <w:szCs w:val="24"/>
          <w:u w:val="single" w:color="000000"/>
          <w:bdr w:val="nil"/>
        </w:rPr>
        <w:t>Committee on Public housing</w:t>
      </w:r>
    </w:p>
    <w:p w:rsidR="009D60DB" w:rsidRPr="0034397F" w:rsidRDefault="009D60DB" w:rsidP="009D60DB">
      <w:pPr>
        <w:pBdr>
          <w:top w:val="nil"/>
          <w:left w:val="nil"/>
          <w:bottom w:val="nil"/>
          <w:right w:val="nil"/>
          <w:between w:val="nil"/>
          <w:bar w:val="nil"/>
        </w:pBdr>
        <w:spacing w:after="0" w:line="240" w:lineRule="auto"/>
        <w:jc w:val="center"/>
        <w:rPr>
          <w:rFonts w:ascii="Times New Roman" w:eastAsia="Times New Roman" w:hAnsi="Times New Roman"/>
          <w:color w:val="000000"/>
          <w:sz w:val="24"/>
          <w:szCs w:val="24"/>
          <w:u w:color="000000"/>
          <w:bdr w:val="nil"/>
        </w:rPr>
      </w:pPr>
      <w:r w:rsidRPr="0034397F">
        <w:rPr>
          <w:rFonts w:ascii="Arial Unicode MS" w:eastAsia="Arial Unicode MS" w:hAnsi="Arial Unicode MS" w:cs="Arial Unicode MS"/>
          <w:color w:val="000000"/>
          <w:sz w:val="24"/>
          <w:szCs w:val="24"/>
          <w:u w:color="000000"/>
          <w:bdr w:val="nil"/>
        </w:rPr>
        <w:br/>
      </w:r>
      <w:r w:rsidRPr="0034397F">
        <w:rPr>
          <w:rFonts w:ascii="Times New Roman" w:hAnsi="Times New Roman" w:cs="Calibri"/>
          <w:color w:val="000000"/>
          <w:sz w:val="24"/>
          <w:szCs w:val="24"/>
          <w:u w:color="000000"/>
          <w:bdr w:val="nil"/>
        </w:rPr>
        <w:t xml:space="preserve">Hon. </w:t>
      </w:r>
      <w:r w:rsidR="00D74DC2">
        <w:rPr>
          <w:rFonts w:ascii="Times New Roman" w:hAnsi="Times New Roman" w:cs="Calibri"/>
          <w:color w:val="000000"/>
          <w:sz w:val="24"/>
          <w:szCs w:val="24"/>
          <w:u w:color="000000"/>
          <w:bdr w:val="nil"/>
        </w:rPr>
        <w:t>Ampry-Samuel</w:t>
      </w:r>
    </w:p>
    <w:p w:rsidR="009D60DB" w:rsidRPr="0034397F" w:rsidRDefault="009D60DB" w:rsidP="009D60DB">
      <w:pPr>
        <w:pBdr>
          <w:top w:val="nil"/>
          <w:left w:val="nil"/>
          <w:bottom w:val="nil"/>
          <w:right w:val="nil"/>
          <w:between w:val="nil"/>
          <w:bar w:val="nil"/>
        </w:pBdr>
        <w:spacing w:after="0" w:line="240" w:lineRule="auto"/>
        <w:rPr>
          <w:rFonts w:ascii="Times New Roman" w:eastAsia="Times New Roman" w:hAnsi="Times New Roman"/>
          <w:color w:val="000000"/>
          <w:sz w:val="24"/>
          <w:szCs w:val="24"/>
          <w:u w:color="000000"/>
          <w:bdr w:val="nil"/>
        </w:rPr>
      </w:pPr>
    </w:p>
    <w:p w:rsidR="00A57501" w:rsidRDefault="00D74DC2" w:rsidP="009D60DB">
      <w:pPr>
        <w:pBdr>
          <w:top w:val="nil"/>
          <w:left w:val="nil"/>
          <w:bottom w:val="nil"/>
          <w:right w:val="nil"/>
          <w:between w:val="nil"/>
          <w:bar w:val="nil"/>
        </w:pBdr>
        <w:spacing w:after="0" w:line="240" w:lineRule="auto"/>
        <w:jc w:val="center"/>
        <w:rPr>
          <w:rFonts w:ascii="Times New Roman" w:hAnsi="Times New Roman" w:cs="Calibri"/>
          <w:color w:val="000000"/>
          <w:sz w:val="24"/>
          <w:szCs w:val="24"/>
          <w:u w:color="000000"/>
          <w:bdr w:val="nil"/>
        </w:rPr>
      </w:pPr>
      <w:r>
        <w:rPr>
          <w:rFonts w:ascii="Times New Roman" w:hAnsi="Times New Roman" w:cs="Calibri"/>
          <w:color w:val="000000"/>
          <w:sz w:val="24"/>
          <w:szCs w:val="24"/>
          <w:u w:color="000000"/>
          <w:bdr w:val="nil"/>
        </w:rPr>
        <w:t xml:space="preserve"> </w:t>
      </w:r>
      <w:r w:rsidR="00E25867">
        <w:rPr>
          <w:rFonts w:ascii="Times New Roman" w:hAnsi="Times New Roman" w:cs="Calibri"/>
          <w:color w:val="000000"/>
          <w:sz w:val="24"/>
          <w:szCs w:val="24"/>
          <w:u w:color="000000"/>
          <w:bdr w:val="nil"/>
        </w:rPr>
        <w:t>April 15</w:t>
      </w:r>
      <w:r>
        <w:rPr>
          <w:rFonts w:ascii="Times New Roman" w:hAnsi="Times New Roman" w:cs="Calibri"/>
          <w:color w:val="000000"/>
          <w:sz w:val="24"/>
          <w:szCs w:val="24"/>
          <w:u w:color="000000"/>
          <w:bdr w:val="nil"/>
        </w:rPr>
        <w:t>, 2019</w:t>
      </w:r>
    </w:p>
    <w:p w:rsidR="00A57501" w:rsidRPr="0034397F" w:rsidRDefault="00A57501" w:rsidP="009D60DB">
      <w:pPr>
        <w:pBdr>
          <w:top w:val="nil"/>
          <w:left w:val="nil"/>
          <w:bottom w:val="nil"/>
          <w:right w:val="nil"/>
          <w:between w:val="nil"/>
          <w:bar w:val="nil"/>
        </w:pBdr>
        <w:spacing w:after="0" w:line="240" w:lineRule="auto"/>
        <w:jc w:val="center"/>
        <w:rPr>
          <w:rFonts w:ascii="Times New Roman" w:eastAsia="Times New Roman" w:hAnsi="Times New Roman"/>
          <w:color w:val="000000"/>
          <w:sz w:val="24"/>
          <w:szCs w:val="24"/>
          <w:u w:color="000000"/>
          <w:bdr w:val="nil"/>
        </w:rPr>
      </w:pPr>
    </w:p>
    <w:p w:rsidR="009D60DB" w:rsidRPr="0034397F" w:rsidRDefault="009D60DB" w:rsidP="009D60DB">
      <w:pPr>
        <w:pBdr>
          <w:top w:val="nil"/>
          <w:left w:val="nil"/>
          <w:bottom w:val="nil"/>
          <w:right w:val="nil"/>
          <w:between w:val="nil"/>
          <w:bar w:val="nil"/>
        </w:pBdr>
        <w:spacing w:after="0" w:line="240" w:lineRule="auto"/>
        <w:rPr>
          <w:rFonts w:ascii="Times New Roman" w:eastAsia="Times New Roman" w:hAnsi="Times New Roman"/>
          <w:color w:val="000000"/>
          <w:sz w:val="24"/>
          <w:szCs w:val="24"/>
          <w:u w:color="000000"/>
          <w:bdr w:val="nil"/>
        </w:rPr>
      </w:pPr>
    </w:p>
    <w:p w:rsidR="009D60DB" w:rsidRPr="0034397F" w:rsidRDefault="009D60DB" w:rsidP="009D60DB">
      <w:pPr>
        <w:pBdr>
          <w:top w:val="nil"/>
          <w:left w:val="nil"/>
          <w:bottom w:val="nil"/>
          <w:right w:val="nil"/>
          <w:between w:val="nil"/>
          <w:bar w:val="nil"/>
        </w:pBdr>
        <w:spacing w:after="0" w:line="240" w:lineRule="auto"/>
        <w:ind w:left="2160" w:hanging="2160"/>
        <w:jc w:val="center"/>
        <w:rPr>
          <w:rFonts w:ascii="Times New Roman" w:hAnsi="Times New Roman" w:cs="Calibri"/>
          <w:b/>
          <w:bCs/>
          <w:color w:val="000000"/>
          <w:sz w:val="24"/>
          <w:szCs w:val="24"/>
          <w:u w:color="000000"/>
          <w:bdr w:val="nil"/>
        </w:rPr>
      </w:pPr>
      <w:r w:rsidRPr="0034397F">
        <w:rPr>
          <w:rFonts w:ascii="Times New Roman" w:hAnsi="Times New Roman" w:cs="Calibri"/>
          <w:b/>
          <w:bCs/>
          <w:color w:val="000000"/>
          <w:sz w:val="24"/>
          <w:szCs w:val="24"/>
          <w:u w:color="000000"/>
          <w:bdr w:val="nil"/>
        </w:rPr>
        <w:t>Oversight –</w:t>
      </w:r>
    </w:p>
    <w:p w:rsidR="009D60DB" w:rsidRPr="0034397F" w:rsidRDefault="00D74DC2" w:rsidP="009D60DB">
      <w:pPr>
        <w:pBdr>
          <w:top w:val="nil"/>
          <w:left w:val="nil"/>
          <w:bottom w:val="nil"/>
          <w:right w:val="nil"/>
          <w:between w:val="nil"/>
          <w:bar w:val="nil"/>
        </w:pBdr>
        <w:spacing w:after="0" w:line="240" w:lineRule="auto"/>
        <w:ind w:left="2160" w:hanging="2160"/>
        <w:jc w:val="center"/>
        <w:rPr>
          <w:rFonts w:ascii="Times New Roman" w:eastAsia="Times New Roman" w:hAnsi="Times New Roman"/>
          <w:b/>
          <w:bCs/>
          <w:color w:val="000000"/>
          <w:sz w:val="24"/>
          <w:szCs w:val="24"/>
          <w:u w:color="000000"/>
          <w:bdr w:val="nil"/>
        </w:rPr>
      </w:pPr>
      <w:r>
        <w:rPr>
          <w:rFonts w:ascii="Times New Roman" w:hAnsi="Times New Roman" w:cs="Calibri"/>
          <w:b/>
          <w:bCs/>
          <w:color w:val="000000"/>
          <w:sz w:val="24"/>
          <w:szCs w:val="24"/>
          <w:u w:color="000000"/>
          <w:bdr w:val="nil"/>
        </w:rPr>
        <w:t xml:space="preserve">NYCHA Management of </w:t>
      </w:r>
      <w:r w:rsidR="00BA3FEF">
        <w:rPr>
          <w:rFonts w:ascii="Times New Roman" w:hAnsi="Times New Roman" w:cs="Calibri"/>
          <w:b/>
          <w:bCs/>
          <w:color w:val="000000"/>
          <w:sz w:val="24"/>
          <w:szCs w:val="24"/>
          <w:u w:color="000000"/>
          <w:bdr w:val="nil"/>
        </w:rPr>
        <w:t>Tenant Participation Activities (</w:t>
      </w:r>
      <w:r>
        <w:rPr>
          <w:rFonts w:ascii="Times New Roman" w:hAnsi="Times New Roman" w:cs="Calibri"/>
          <w:b/>
          <w:bCs/>
          <w:color w:val="000000"/>
          <w:sz w:val="24"/>
          <w:szCs w:val="24"/>
          <w:u w:color="000000"/>
          <w:bdr w:val="nil"/>
        </w:rPr>
        <w:t>TPA</w:t>
      </w:r>
      <w:r w:rsidR="00BA3FEF">
        <w:rPr>
          <w:rFonts w:ascii="Times New Roman" w:hAnsi="Times New Roman" w:cs="Calibri"/>
          <w:b/>
          <w:bCs/>
          <w:color w:val="000000"/>
          <w:sz w:val="24"/>
          <w:szCs w:val="24"/>
          <w:u w:color="000000"/>
          <w:bdr w:val="nil"/>
        </w:rPr>
        <w:t>)</w:t>
      </w:r>
      <w:r>
        <w:rPr>
          <w:rFonts w:ascii="Times New Roman" w:hAnsi="Times New Roman" w:cs="Calibri"/>
          <w:b/>
          <w:bCs/>
          <w:color w:val="000000"/>
          <w:sz w:val="24"/>
          <w:szCs w:val="24"/>
          <w:u w:color="000000"/>
          <w:bdr w:val="nil"/>
        </w:rPr>
        <w:t xml:space="preserve"> Funds</w:t>
      </w:r>
    </w:p>
    <w:p w:rsidR="009D60DB" w:rsidRPr="0034397F" w:rsidRDefault="009D60DB" w:rsidP="009D60DB">
      <w:pPr>
        <w:pBdr>
          <w:top w:val="nil"/>
          <w:left w:val="nil"/>
          <w:bottom w:val="nil"/>
          <w:right w:val="nil"/>
          <w:between w:val="nil"/>
          <w:bar w:val="nil"/>
        </w:pBdr>
        <w:rPr>
          <w:rFonts w:cs="Calibri"/>
          <w:color w:val="000000"/>
          <w:u w:color="000000"/>
          <w:bdr w:val="nil"/>
        </w:rPr>
      </w:pPr>
    </w:p>
    <w:p w:rsidR="00A57501" w:rsidRDefault="00A57501" w:rsidP="009D60DB">
      <w:pPr>
        <w:pBdr>
          <w:top w:val="nil"/>
          <w:left w:val="nil"/>
          <w:bottom w:val="nil"/>
          <w:right w:val="nil"/>
          <w:between w:val="nil"/>
          <w:bar w:val="nil"/>
        </w:pBdr>
        <w:rPr>
          <w:rFonts w:cs="Calibri"/>
          <w:color w:val="000000"/>
          <w:u w:color="000000"/>
          <w:bdr w:val="nil"/>
        </w:rPr>
      </w:pPr>
    </w:p>
    <w:p w:rsidR="00492326" w:rsidRDefault="00492326" w:rsidP="009D60DB">
      <w:pPr>
        <w:pBdr>
          <w:top w:val="nil"/>
          <w:left w:val="nil"/>
          <w:bottom w:val="nil"/>
          <w:right w:val="nil"/>
          <w:between w:val="nil"/>
          <w:bar w:val="nil"/>
        </w:pBdr>
        <w:rPr>
          <w:rFonts w:cs="Calibri"/>
          <w:color w:val="000000"/>
          <w:u w:color="000000"/>
          <w:bdr w:val="nil"/>
        </w:rPr>
      </w:pPr>
    </w:p>
    <w:p w:rsidR="00492326" w:rsidRDefault="00492326" w:rsidP="009D60DB">
      <w:pPr>
        <w:pBdr>
          <w:top w:val="nil"/>
          <w:left w:val="nil"/>
          <w:bottom w:val="nil"/>
          <w:right w:val="nil"/>
          <w:between w:val="nil"/>
          <w:bar w:val="nil"/>
        </w:pBdr>
        <w:rPr>
          <w:rFonts w:cs="Calibri"/>
          <w:color w:val="000000"/>
          <w:u w:color="000000"/>
          <w:bdr w:val="nil"/>
        </w:rPr>
      </w:pPr>
    </w:p>
    <w:p w:rsidR="00492326" w:rsidRPr="0034397F" w:rsidRDefault="00492326" w:rsidP="009D60DB">
      <w:pPr>
        <w:pBdr>
          <w:top w:val="nil"/>
          <w:left w:val="nil"/>
          <w:bottom w:val="nil"/>
          <w:right w:val="nil"/>
          <w:between w:val="nil"/>
          <w:bar w:val="nil"/>
        </w:pBdr>
        <w:rPr>
          <w:rFonts w:cs="Calibri"/>
          <w:color w:val="000000"/>
          <w:u w:color="000000"/>
          <w:bdr w:val="nil"/>
        </w:rPr>
      </w:pPr>
    </w:p>
    <w:p w:rsidR="009D60DB" w:rsidRPr="0034397F" w:rsidRDefault="009D60DB" w:rsidP="004131EB">
      <w:pPr>
        <w:numPr>
          <w:ilvl w:val="0"/>
          <w:numId w:val="2"/>
        </w:numPr>
        <w:pBdr>
          <w:top w:val="nil"/>
          <w:left w:val="nil"/>
          <w:bottom w:val="nil"/>
          <w:right w:val="nil"/>
          <w:between w:val="nil"/>
          <w:bar w:val="nil"/>
        </w:pBdr>
        <w:ind w:left="540" w:hanging="540"/>
        <w:jc w:val="both"/>
        <w:rPr>
          <w:rFonts w:ascii="Times New Roman" w:eastAsia="Times New Roman" w:hAnsi="Times New Roman"/>
          <w:b/>
          <w:bCs/>
          <w:color w:val="000000"/>
          <w:sz w:val="24"/>
          <w:szCs w:val="24"/>
          <w:u w:color="000000"/>
          <w:bdr w:val="nil"/>
        </w:rPr>
      </w:pPr>
      <w:r w:rsidRPr="0034397F">
        <w:rPr>
          <w:rFonts w:ascii="Times New Roman" w:hAnsi="Times New Roman" w:cs="Calibri"/>
          <w:b/>
          <w:bCs/>
          <w:color w:val="000000"/>
          <w:sz w:val="24"/>
          <w:szCs w:val="24"/>
          <w:u w:color="000000"/>
          <w:bdr w:val="nil"/>
        </w:rPr>
        <w:t>Introduction</w:t>
      </w:r>
    </w:p>
    <w:p w:rsidR="009D60DB" w:rsidRPr="0034397F" w:rsidRDefault="009D60DB" w:rsidP="004131EB">
      <w:pPr>
        <w:pBdr>
          <w:top w:val="nil"/>
          <w:left w:val="nil"/>
          <w:bottom w:val="nil"/>
          <w:right w:val="nil"/>
          <w:between w:val="nil"/>
          <w:bar w:val="nil"/>
        </w:pBdr>
        <w:spacing w:line="480" w:lineRule="auto"/>
        <w:ind w:firstLine="720"/>
        <w:jc w:val="both"/>
        <w:rPr>
          <w:rFonts w:ascii="Times New Roman" w:eastAsia="Times New Roman" w:hAnsi="Times New Roman"/>
          <w:color w:val="000000"/>
          <w:sz w:val="24"/>
          <w:szCs w:val="24"/>
          <w:u w:color="000000"/>
          <w:bdr w:val="nil"/>
        </w:rPr>
      </w:pPr>
      <w:r w:rsidRPr="0034397F">
        <w:rPr>
          <w:rFonts w:ascii="Times New Roman" w:hAnsi="Times New Roman" w:cs="Calibri"/>
          <w:color w:val="000000"/>
          <w:sz w:val="24"/>
          <w:szCs w:val="24"/>
          <w:u w:color="000000"/>
          <w:bdr w:val="nil"/>
        </w:rPr>
        <w:lastRenderedPageBreak/>
        <w:t xml:space="preserve">On </w:t>
      </w:r>
      <w:r w:rsidR="00E25867">
        <w:rPr>
          <w:rFonts w:ascii="Times New Roman" w:hAnsi="Times New Roman" w:cs="Calibri"/>
          <w:color w:val="000000"/>
          <w:sz w:val="24"/>
          <w:szCs w:val="24"/>
          <w:u w:color="000000"/>
          <w:bdr w:val="nil"/>
        </w:rPr>
        <w:t>April 15</w:t>
      </w:r>
      <w:r w:rsidR="00D74DC2">
        <w:rPr>
          <w:rFonts w:ascii="Times New Roman" w:hAnsi="Times New Roman" w:cs="Calibri"/>
          <w:color w:val="000000"/>
          <w:sz w:val="24"/>
          <w:szCs w:val="24"/>
          <w:u w:color="000000"/>
          <w:bdr w:val="nil"/>
        </w:rPr>
        <w:t>, 2019</w:t>
      </w:r>
      <w:r w:rsidRPr="0034397F">
        <w:rPr>
          <w:rFonts w:ascii="Times New Roman" w:hAnsi="Times New Roman" w:cs="Calibri"/>
          <w:color w:val="000000"/>
          <w:sz w:val="24"/>
          <w:szCs w:val="24"/>
          <w:u w:color="000000"/>
          <w:bdr w:val="nil"/>
        </w:rPr>
        <w:t>, the Committee on Public Housing, chaired by Council Member</w:t>
      </w:r>
      <w:r w:rsidR="00E25867">
        <w:rPr>
          <w:rFonts w:ascii="Times New Roman" w:hAnsi="Times New Roman" w:cs="Calibri"/>
          <w:color w:val="000000"/>
          <w:sz w:val="24"/>
          <w:szCs w:val="24"/>
          <w:u w:color="000000"/>
          <w:bdr w:val="nil"/>
        </w:rPr>
        <w:t xml:space="preserve"> </w:t>
      </w:r>
      <w:r w:rsidR="00D74DC2">
        <w:rPr>
          <w:rFonts w:ascii="Times New Roman" w:hAnsi="Times New Roman" w:cs="Calibri"/>
          <w:color w:val="000000"/>
          <w:sz w:val="24"/>
          <w:szCs w:val="24"/>
          <w:u w:color="000000"/>
          <w:bdr w:val="nil"/>
        </w:rPr>
        <w:t>Ampry-Samuel</w:t>
      </w:r>
      <w:r w:rsidRPr="0034397F">
        <w:rPr>
          <w:rFonts w:ascii="Times New Roman" w:hAnsi="Times New Roman" w:cs="Calibri"/>
          <w:color w:val="000000"/>
          <w:sz w:val="24"/>
          <w:szCs w:val="24"/>
          <w:u w:color="000000"/>
          <w:bdr w:val="nil"/>
        </w:rPr>
        <w:t>, will hold an oversight hearing entitled “</w:t>
      </w:r>
      <w:r w:rsidR="00657E02" w:rsidRPr="0034397F">
        <w:rPr>
          <w:rFonts w:ascii="Times New Roman" w:hAnsi="Times New Roman" w:cs="Calibri"/>
          <w:color w:val="000000"/>
          <w:sz w:val="24"/>
          <w:szCs w:val="24"/>
          <w:u w:color="000000"/>
          <w:bdr w:val="nil"/>
        </w:rPr>
        <w:t>New York City Housing Authority (NYCHA)</w:t>
      </w:r>
      <w:r w:rsidR="0027787C">
        <w:rPr>
          <w:rFonts w:ascii="Times New Roman" w:hAnsi="Times New Roman" w:cs="Calibri"/>
          <w:color w:val="000000"/>
          <w:sz w:val="24"/>
          <w:szCs w:val="24"/>
          <w:u w:color="000000"/>
          <w:bdr w:val="nil"/>
        </w:rPr>
        <w:t xml:space="preserve"> Management</w:t>
      </w:r>
      <w:r w:rsidRPr="0034397F">
        <w:rPr>
          <w:rFonts w:ascii="Times New Roman" w:hAnsi="Times New Roman" w:cs="Calibri"/>
          <w:color w:val="000000"/>
          <w:sz w:val="24"/>
          <w:szCs w:val="24"/>
          <w:u w:color="000000"/>
          <w:bdr w:val="nil"/>
        </w:rPr>
        <w:t xml:space="preserve"> of Tenant Participation Activities (TPA) Funds.” The Committee expects to hear testimony from officials of the New York City Housing Authority (NYCHA) regarding reforms to the TPA process, </w:t>
      </w:r>
      <w:r w:rsidR="00492326">
        <w:rPr>
          <w:rFonts w:ascii="Times New Roman" w:hAnsi="Times New Roman" w:cs="Calibri"/>
          <w:color w:val="000000"/>
          <w:sz w:val="24"/>
          <w:szCs w:val="24"/>
          <w:u w:color="000000"/>
          <w:bdr w:val="nil"/>
        </w:rPr>
        <w:t xml:space="preserve">allocation of funds, </w:t>
      </w:r>
      <w:r w:rsidR="00D74DC2">
        <w:rPr>
          <w:rFonts w:ascii="Times New Roman" w:hAnsi="Times New Roman" w:cs="Calibri"/>
          <w:color w:val="000000"/>
          <w:sz w:val="24"/>
          <w:szCs w:val="24"/>
          <w:u w:color="000000"/>
          <w:bdr w:val="nil"/>
        </w:rPr>
        <w:t xml:space="preserve">and </w:t>
      </w:r>
      <w:r w:rsidRPr="0034397F">
        <w:rPr>
          <w:rFonts w:ascii="Times New Roman" w:hAnsi="Times New Roman" w:cs="Calibri"/>
          <w:color w:val="000000"/>
          <w:sz w:val="24"/>
          <w:szCs w:val="24"/>
          <w:u w:color="000000"/>
          <w:bdr w:val="nil"/>
        </w:rPr>
        <w:t>eligible activities</w:t>
      </w:r>
      <w:r w:rsidR="00D74DC2">
        <w:rPr>
          <w:rFonts w:ascii="Times New Roman" w:hAnsi="Times New Roman" w:cs="Calibri"/>
          <w:color w:val="000000"/>
          <w:sz w:val="24"/>
          <w:szCs w:val="24"/>
          <w:u w:color="000000"/>
          <w:bdr w:val="nil"/>
        </w:rPr>
        <w:t>.</w:t>
      </w:r>
      <w:r w:rsidRPr="0034397F">
        <w:rPr>
          <w:rFonts w:ascii="Times New Roman" w:hAnsi="Times New Roman" w:cs="Calibri"/>
          <w:color w:val="000000"/>
          <w:sz w:val="24"/>
          <w:szCs w:val="24"/>
          <w:u w:color="000000"/>
          <w:bdr w:val="nil"/>
        </w:rPr>
        <w:t xml:space="preserve"> The Committee also expects to hear from NYCHA tenants, resident associations, and advocacy groups </w:t>
      </w:r>
      <w:r w:rsidR="00D74DC2">
        <w:rPr>
          <w:rFonts w:ascii="Times New Roman" w:hAnsi="Times New Roman" w:cs="Calibri"/>
          <w:color w:val="000000"/>
          <w:sz w:val="24"/>
          <w:szCs w:val="24"/>
          <w:u w:color="000000"/>
          <w:bdr w:val="nil"/>
        </w:rPr>
        <w:t>to discuss the support, tra</w:t>
      </w:r>
      <w:r w:rsidR="00792A68">
        <w:rPr>
          <w:rFonts w:ascii="Times New Roman" w:hAnsi="Times New Roman" w:cs="Calibri"/>
          <w:color w:val="000000"/>
          <w:sz w:val="24"/>
          <w:szCs w:val="24"/>
          <w:u w:color="000000"/>
          <w:bdr w:val="nil"/>
        </w:rPr>
        <w:t>i</w:t>
      </w:r>
      <w:r w:rsidR="00D74DC2">
        <w:rPr>
          <w:rFonts w:ascii="Times New Roman" w:hAnsi="Times New Roman" w:cs="Calibri"/>
          <w:color w:val="000000"/>
          <w:sz w:val="24"/>
          <w:szCs w:val="24"/>
          <w:u w:color="000000"/>
          <w:bdr w:val="nil"/>
        </w:rPr>
        <w:t>ning</w:t>
      </w:r>
      <w:r w:rsidR="00492326">
        <w:rPr>
          <w:rFonts w:ascii="Times New Roman" w:hAnsi="Times New Roman" w:cs="Calibri"/>
          <w:color w:val="000000"/>
          <w:sz w:val="24"/>
          <w:szCs w:val="24"/>
          <w:u w:color="000000"/>
          <w:bdr w:val="nil"/>
        </w:rPr>
        <w:t>,</w:t>
      </w:r>
      <w:r w:rsidR="00D74DC2">
        <w:rPr>
          <w:rFonts w:ascii="Times New Roman" w:hAnsi="Times New Roman" w:cs="Calibri"/>
          <w:color w:val="000000"/>
          <w:sz w:val="24"/>
          <w:szCs w:val="24"/>
          <w:u w:color="000000"/>
          <w:bdr w:val="nil"/>
        </w:rPr>
        <w:t xml:space="preserve"> and guidance NYCHA provides Resident Council</w:t>
      </w:r>
      <w:r w:rsidR="00792A68">
        <w:rPr>
          <w:rFonts w:ascii="Times New Roman" w:hAnsi="Times New Roman" w:cs="Calibri"/>
          <w:color w:val="000000"/>
          <w:sz w:val="24"/>
          <w:szCs w:val="24"/>
          <w:u w:color="000000"/>
          <w:bdr w:val="nil"/>
        </w:rPr>
        <w:t>s</w:t>
      </w:r>
      <w:r w:rsidR="00657E02">
        <w:rPr>
          <w:rFonts w:ascii="Times New Roman" w:hAnsi="Times New Roman" w:cs="Calibri"/>
          <w:color w:val="000000"/>
          <w:sz w:val="24"/>
          <w:szCs w:val="24"/>
          <w:u w:color="000000"/>
          <w:bdr w:val="nil"/>
        </w:rPr>
        <w:t xml:space="preserve">, which are </w:t>
      </w:r>
      <w:r w:rsidR="00657E02" w:rsidRPr="0034397F">
        <w:rPr>
          <w:rFonts w:ascii="Times New Roman" w:hAnsi="Times New Roman" w:cs="Calibri"/>
          <w:color w:val="000000"/>
          <w:sz w:val="24"/>
          <w:szCs w:val="24"/>
          <w:u w:color="000000"/>
          <w:bdr w:val="nil"/>
        </w:rPr>
        <w:t>resident membership organization</w:t>
      </w:r>
      <w:r w:rsidR="00657E02">
        <w:rPr>
          <w:rFonts w:ascii="Times New Roman" w:hAnsi="Times New Roman" w:cs="Calibri"/>
          <w:color w:val="000000"/>
          <w:sz w:val="24"/>
          <w:szCs w:val="24"/>
          <w:u w:color="000000"/>
          <w:bdr w:val="nil"/>
        </w:rPr>
        <w:t>s,</w:t>
      </w:r>
      <w:r w:rsidR="00D74DC2">
        <w:rPr>
          <w:rFonts w:ascii="Times New Roman" w:hAnsi="Times New Roman" w:cs="Calibri"/>
          <w:color w:val="000000"/>
          <w:sz w:val="24"/>
          <w:szCs w:val="24"/>
          <w:u w:color="000000"/>
          <w:bdr w:val="nil"/>
        </w:rPr>
        <w:t xml:space="preserve"> </w:t>
      </w:r>
      <w:r w:rsidR="0060686D">
        <w:rPr>
          <w:rFonts w:ascii="Times New Roman" w:hAnsi="Times New Roman" w:cs="Calibri"/>
          <w:color w:val="000000"/>
          <w:sz w:val="24"/>
          <w:szCs w:val="24"/>
          <w:u w:color="000000"/>
          <w:bdr w:val="nil"/>
        </w:rPr>
        <w:t>on how to use TPA f</w:t>
      </w:r>
      <w:r w:rsidR="00D74DC2">
        <w:rPr>
          <w:rFonts w:ascii="Times New Roman" w:hAnsi="Times New Roman" w:cs="Calibri"/>
          <w:color w:val="000000"/>
          <w:sz w:val="24"/>
          <w:szCs w:val="24"/>
          <w:u w:color="000000"/>
          <w:bdr w:val="nil"/>
        </w:rPr>
        <w:t xml:space="preserve">unds. </w:t>
      </w:r>
      <w:r w:rsidRPr="0034397F">
        <w:rPr>
          <w:rFonts w:ascii="Times New Roman" w:hAnsi="Times New Roman" w:cs="Calibri"/>
          <w:color w:val="000000"/>
          <w:sz w:val="24"/>
          <w:szCs w:val="24"/>
          <w:u w:color="000000"/>
          <w:bdr w:val="nil"/>
        </w:rPr>
        <w:t xml:space="preserve"> </w:t>
      </w:r>
    </w:p>
    <w:p w:rsidR="009D60DB" w:rsidRPr="0034397F" w:rsidRDefault="009D60DB" w:rsidP="004131EB">
      <w:pPr>
        <w:numPr>
          <w:ilvl w:val="0"/>
          <w:numId w:val="2"/>
        </w:numPr>
        <w:pBdr>
          <w:top w:val="nil"/>
          <w:left w:val="nil"/>
          <w:bottom w:val="nil"/>
          <w:right w:val="nil"/>
          <w:between w:val="nil"/>
          <w:bar w:val="nil"/>
        </w:pBdr>
        <w:ind w:left="540" w:hanging="540"/>
        <w:jc w:val="both"/>
        <w:rPr>
          <w:rFonts w:ascii="Times New Roman" w:eastAsia="Times New Roman" w:hAnsi="Times New Roman"/>
          <w:b/>
          <w:bCs/>
          <w:color w:val="000000"/>
          <w:sz w:val="24"/>
          <w:szCs w:val="24"/>
          <w:u w:color="000000"/>
          <w:bdr w:val="nil"/>
        </w:rPr>
      </w:pPr>
      <w:r w:rsidRPr="0034397F">
        <w:rPr>
          <w:rFonts w:ascii="Times New Roman" w:hAnsi="Times New Roman" w:cs="Calibri"/>
          <w:b/>
          <w:bCs/>
          <w:color w:val="000000"/>
          <w:sz w:val="24"/>
          <w:szCs w:val="24"/>
          <w:u w:color="000000"/>
          <w:bdr w:val="nil"/>
        </w:rPr>
        <w:t>Background on NYCHA and Public Housing</w:t>
      </w:r>
    </w:p>
    <w:p w:rsidR="00D74DC2" w:rsidRPr="00492326" w:rsidRDefault="00D74DC2" w:rsidP="00D52C20">
      <w:pPr>
        <w:spacing w:after="0" w:line="480" w:lineRule="auto"/>
        <w:ind w:firstLine="720"/>
        <w:jc w:val="both"/>
        <w:rPr>
          <w:rFonts w:ascii="Times New Roman" w:eastAsia="Times New Roman" w:hAnsi="Times New Roman"/>
          <w:sz w:val="24"/>
          <w:szCs w:val="24"/>
          <w:lang w:eastAsia="zh-CN"/>
        </w:rPr>
      </w:pPr>
      <w:r w:rsidRPr="00D74DC2">
        <w:rPr>
          <w:rFonts w:ascii="Times New Roman" w:eastAsia="Times New Roman" w:hAnsi="Times New Roman"/>
          <w:sz w:val="24"/>
          <w:szCs w:val="24"/>
          <w:lang w:eastAsia="zh-CN"/>
        </w:rPr>
        <w:t>Former New York City (NYC) Mayor Fiorello La Guardia created NYCHA in 1934 in order to replace dilapidated tenements using funds from The New Deal,</w:t>
      </w:r>
      <w:r w:rsidRPr="00D74DC2">
        <w:rPr>
          <w:rFonts w:ascii="Times New Roman" w:eastAsia="Times New Roman" w:hAnsi="Times New Roman"/>
          <w:sz w:val="24"/>
          <w:szCs w:val="24"/>
          <w:vertAlign w:val="superscript"/>
          <w:lang w:eastAsia="zh-CN"/>
        </w:rPr>
        <w:footnoteReference w:id="1"/>
      </w:r>
      <w:r w:rsidRPr="00D74DC2">
        <w:rPr>
          <w:rFonts w:ascii="Times New Roman" w:eastAsia="Times New Roman" w:hAnsi="Times New Roman"/>
          <w:sz w:val="24"/>
          <w:szCs w:val="24"/>
          <w:lang w:eastAsia="zh-CN"/>
        </w:rPr>
        <w:t xml:space="preserve"> three years before the Housing Act of 1937 established public housing nationwide.</w:t>
      </w:r>
      <w:r w:rsidRPr="00D74DC2">
        <w:rPr>
          <w:rFonts w:ascii="Times New Roman" w:eastAsia="Times New Roman" w:hAnsi="Times New Roman"/>
          <w:sz w:val="24"/>
          <w:szCs w:val="24"/>
          <w:vertAlign w:val="superscript"/>
          <w:lang w:eastAsia="zh-CN"/>
        </w:rPr>
        <w:footnoteReference w:id="2"/>
      </w:r>
      <w:r w:rsidRPr="00D74DC2">
        <w:rPr>
          <w:rFonts w:ascii="Times New Roman" w:eastAsia="Times New Roman" w:hAnsi="Times New Roman"/>
          <w:sz w:val="24"/>
          <w:szCs w:val="24"/>
          <w:lang w:eastAsia="zh-CN"/>
        </w:rPr>
        <w:t xml:space="preserve"> NYCHA originally served two purposes: (1) to provide low-cost housing for middle-class, working families temporarily unemployed because of the Depression and (2) to bolster the lagging economy by creating jobs for the building trades.</w:t>
      </w:r>
      <w:r w:rsidRPr="00D74DC2">
        <w:rPr>
          <w:rFonts w:ascii="Times New Roman" w:eastAsia="Times New Roman" w:hAnsi="Times New Roman"/>
          <w:sz w:val="24"/>
          <w:szCs w:val="24"/>
          <w:vertAlign w:val="superscript"/>
          <w:lang w:eastAsia="zh-CN"/>
        </w:rPr>
        <w:footnoteReference w:id="3"/>
      </w:r>
      <w:r w:rsidRPr="00D74DC2">
        <w:rPr>
          <w:rFonts w:ascii="Times New Roman" w:eastAsia="Times New Roman" w:hAnsi="Times New Roman"/>
          <w:sz w:val="24"/>
          <w:szCs w:val="24"/>
          <w:lang w:eastAsia="zh-CN"/>
        </w:rPr>
        <w:t xml:space="preserve"> Later, NYCHA’s purpose evolved into providing safe, decent housing for families with the lowest incomes.</w:t>
      </w:r>
      <w:r w:rsidRPr="00D74DC2">
        <w:rPr>
          <w:rFonts w:ascii="Times New Roman" w:eastAsia="Times New Roman" w:hAnsi="Times New Roman"/>
          <w:sz w:val="24"/>
          <w:szCs w:val="24"/>
          <w:vertAlign w:val="superscript"/>
          <w:lang w:eastAsia="zh-CN"/>
        </w:rPr>
        <w:footnoteReference w:id="4"/>
      </w:r>
      <w:r w:rsidRPr="00D74DC2">
        <w:rPr>
          <w:rFonts w:ascii="Times New Roman" w:eastAsia="Times New Roman" w:hAnsi="Times New Roman"/>
          <w:sz w:val="24"/>
          <w:szCs w:val="24"/>
          <w:lang w:eastAsia="zh-CN"/>
        </w:rPr>
        <w:t xml:space="preserve"> Today, NYCHA has 325 developments, 2,418 buildings, </w:t>
      </w:r>
      <w:r w:rsidRPr="00D74DC2">
        <w:rPr>
          <w:rFonts w:ascii="Times New Roman" w:eastAsia="Times New Roman" w:hAnsi="Times New Roman"/>
          <w:sz w:val="24"/>
          <w:szCs w:val="24"/>
          <w:lang w:eastAsia="zh-CN"/>
        </w:rPr>
        <w:lastRenderedPageBreak/>
        <w:t>and 175,636 units that are home to 392,259 authorized residents, making it the largest public housing authority in North America.</w:t>
      </w:r>
      <w:r w:rsidRPr="00D74DC2">
        <w:rPr>
          <w:rFonts w:ascii="Times New Roman" w:eastAsia="Times New Roman" w:hAnsi="Times New Roman"/>
          <w:sz w:val="24"/>
          <w:szCs w:val="24"/>
          <w:vertAlign w:val="superscript"/>
          <w:lang w:eastAsia="zh-CN"/>
        </w:rPr>
        <w:footnoteReference w:id="5"/>
      </w:r>
    </w:p>
    <w:p w:rsidR="009D60DB" w:rsidRPr="0034397F" w:rsidRDefault="009D60DB" w:rsidP="004131EB">
      <w:pPr>
        <w:numPr>
          <w:ilvl w:val="0"/>
          <w:numId w:val="2"/>
        </w:numPr>
        <w:pBdr>
          <w:top w:val="nil"/>
          <w:left w:val="nil"/>
          <w:bottom w:val="nil"/>
          <w:right w:val="nil"/>
          <w:between w:val="nil"/>
          <w:bar w:val="nil"/>
        </w:pBdr>
        <w:ind w:left="720"/>
        <w:jc w:val="both"/>
        <w:rPr>
          <w:rFonts w:ascii="Times New Roman" w:eastAsia="Times New Roman" w:hAnsi="Times New Roman"/>
          <w:b/>
          <w:bCs/>
          <w:color w:val="000000"/>
          <w:sz w:val="24"/>
          <w:szCs w:val="24"/>
          <w:u w:color="000000"/>
          <w:bdr w:val="nil"/>
        </w:rPr>
      </w:pPr>
      <w:r w:rsidRPr="0034397F">
        <w:rPr>
          <w:rFonts w:ascii="Times New Roman" w:hAnsi="Times New Roman" w:cs="Calibri"/>
          <w:b/>
          <w:bCs/>
          <w:color w:val="000000"/>
          <w:sz w:val="24"/>
          <w:szCs w:val="24"/>
          <w:u w:color="000000"/>
          <w:bdr w:val="nil"/>
        </w:rPr>
        <w:t xml:space="preserve">Tenant Participation Activity Funds </w:t>
      </w:r>
    </w:p>
    <w:p w:rsidR="009D60DB" w:rsidRPr="0034397F" w:rsidRDefault="009D60DB" w:rsidP="004131EB">
      <w:pPr>
        <w:numPr>
          <w:ilvl w:val="1"/>
          <w:numId w:val="2"/>
        </w:numPr>
        <w:pBdr>
          <w:top w:val="nil"/>
          <w:left w:val="nil"/>
          <w:bottom w:val="nil"/>
          <w:right w:val="nil"/>
          <w:between w:val="nil"/>
          <w:bar w:val="nil"/>
        </w:pBdr>
        <w:spacing w:line="480" w:lineRule="auto"/>
        <w:ind w:left="360"/>
        <w:jc w:val="both"/>
        <w:rPr>
          <w:rFonts w:ascii="Times New Roman" w:eastAsia="Times New Roman" w:hAnsi="Times New Roman"/>
          <w:i/>
          <w:iCs/>
          <w:color w:val="000000"/>
          <w:sz w:val="24"/>
          <w:szCs w:val="24"/>
          <w:u w:color="000000"/>
          <w:bdr w:val="nil"/>
        </w:rPr>
      </w:pPr>
      <w:r w:rsidRPr="0034397F">
        <w:rPr>
          <w:rFonts w:ascii="Times New Roman" w:hAnsi="Times New Roman" w:cs="Calibri"/>
          <w:i/>
          <w:iCs/>
          <w:color w:val="000000"/>
          <w:sz w:val="24"/>
          <w:szCs w:val="24"/>
          <w:u w:color="000000"/>
          <w:bdr w:val="nil"/>
        </w:rPr>
        <w:t>Purpose</w:t>
      </w:r>
    </w:p>
    <w:p w:rsidR="009D60DB" w:rsidRPr="0034397F" w:rsidRDefault="0060686D" w:rsidP="004131EB">
      <w:pPr>
        <w:pBdr>
          <w:top w:val="nil"/>
          <w:left w:val="nil"/>
          <w:bottom w:val="nil"/>
          <w:right w:val="nil"/>
          <w:between w:val="nil"/>
          <w:bar w:val="nil"/>
        </w:pBdr>
        <w:spacing w:line="480" w:lineRule="auto"/>
        <w:ind w:firstLine="720"/>
        <w:jc w:val="both"/>
        <w:rPr>
          <w:rFonts w:ascii="Times New Roman" w:eastAsia="Times New Roman" w:hAnsi="Times New Roman"/>
          <w:color w:val="000000"/>
          <w:sz w:val="24"/>
          <w:szCs w:val="24"/>
          <w:u w:color="000000"/>
          <w:bdr w:val="nil"/>
        </w:rPr>
      </w:pPr>
      <w:r>
        <w:rPr>
          <w:rFonts w:ascii="Times New Roman" w:hAnsi="Times New Roman" w:cs="Calibri"/>
          <w:color w:val="000000"/>
          <w:sz w:val="24"/>
          <w:szCs w:val="24"/>
          <w:u w:color="000000"/>
          <w:bdr w:val="nil"/>
        </w:rPr>
        <w:t>Tenant Participation Activity f</w:t>
      </w:r>
      <w:r w:rsidR="009D60DB" w:rsidRPr="0034397F">
        <w:rPr>
          <w:rFonts w:ascii="Times New Roman" w:hAnsi="Times New Roman" w:cs="Calibri"/>
          <w:color w:val="000000"/>
          <w:sz w:val="24"/>
          <w:szCs w:val="24"/>
          <w:u w:color="000000"/>
          <w:bdr w:val="nil"/>
        </w:rPr>
        <w:t>unds are funds provided by the United States Department of Housing and Urban Development (HUD) to support “tenant participation activities,” pursuant to 24 C.F.R. § 964.150.</w:t>
      </w:r>
      <w:r w:rsidR="009D60DB" w:rsidRPr="0034397F">
        <w:rPr>
          <w:rFonts w:ascii="Times New Roman" w:eastAsia="Times New Roman" w:hAnsi="Times New Roman"/>
          <w:color w:val="000000"/>
          <w:sz w:val="24"/>
          <w:szCs w:val="24"/>
          <w:u w:color="000000"/>
          <w:bdr w:val="nil"/>
          <w:vertAlign w:val="superscript"/>
        </w:rPr>
        <w:footnoteReference w:id="6"/>
      </w:r>
      <w:r w:rsidR="00006644">
        <w:rPr>
          <w:rFonts w:ascii="Times New Roman" w:hAnsi="Times New Roman" w:cs="Calibri"/>
          <w:color w:val="000000"/>
          <w:sz w:val="24"/>
          <w:szCs w:val="24"/>
          <w:u w:color="000000"/>
          <w:bdr w:val="nil"/>
        </w:rPr>
        <w:t xml:space="preserve"> These activities are intended to support specific resident engagement and </w:t>
      </w:r>
      <w:r w:rsidR="00492326">
        <w:rPr>
          <w:rFonts w:ascii="Times New Roman" w:hAnsi="Times New Roman" w:cs="Calibri"/>
          <w:color w:val="000000"/>
          <w:sz w:val="24"/>
          <w:szCs w:val="24"/>
          <w:u w:color="000000"/>
          <w:bdr w:val="nil"/>
        </w:rPr>
        <w:t>self-sufficiency activities.</w:t>
      </w:r>
      <w:r w:rsidR="009D60DB" w:rsidRPr="0034397F">
        <w:rPr>
          <w:rFonts w:ascii="Times New Roman" w:eastAsia="Times New Roman" w:hAnsi="Times New Roman"/>
          <w:color w:val="000000"/>
          <w:sz w:val="24"/>
          <w:szCs w:val="24"/>
          <w:u w:color="000000"/>
          <w:bdr w:val="nil"/>
          <w:vertAlign w:val="superscript"/>
        </w:rPr>
        <w:footnoteReference w:id="7"/>
      </w:r>
      <w:r w:rsidR="009D60DB" w:rsidRPr="0034397F">
        <w:rPr>
          <w:rFonts w:ascii="Times New Roman" w:hAnsi="Times New Roman" w:cs="Calibri"/>
          <w:color w:val="000000"/>
          <w:sz w:val="24"/>
          <w:szCs w:val="24"/>
          <w:u w:color="000000"/>
          <w:bdr w:val="nil"/>
        </w:rPr>
        <w:t xml:space="preserve"> </w:t>
      </w:r>
      <w:r w:rsidR="00492326">
        <w:rPr>
          <w:rFonts w:ascii="Times New Roman" w:hAnsi="Times New Roman" w:cs="Calibri"/>
          <w:color w:val="000000"/>
          <w:sz w:val="24"/>
          <w:szCs w:val="24"/>
          <w:u w:color="000000"/>
          <w:bdr w:val="nil"/>
        </w:rPr>
        <w:t>NYCHA’s Tenant Participation Activity program is administered by its Department of Community Engagement and Partnerships.</w:t>
      </w:r>
      <w:r w:rsidR="00492326">
        <w:rPr>
          <w:rStyle w:val="FootnoteReference"/>
          <w:rFonts w:ascii="Times New Roman" w:hAnsi="Times New Roman" w:cs="Calibri"/>
          <w:color w:val="000000"/>
          <w:sz w:val="24"/>
          <w:szCs w:val="24"/>
          <w:u w:color="000000"/>
          <w:bdr w:val="nil"/>
        </w:rPr>
        <w:footnoteReference w:id="8"/>
      </w:r>
      <w:r w:rsidR="00492326">
        <w:rPr>
          <w:rFonts w:ascii="Times New Roman" w:hAnsi="Times New Roman" w:cs="Calibri"/>
          <w:color w:val="000000"/>
          <w:sz w:val="24"/>
          <w:szCs w:val="24"/>
          <w:u w:color="000000"/>
          <w:bdr w:val="nil"/>
        </w:rPr>
        <w:t xml:space="preserve"> </w:t>
      </w:r>
      <w:r w:rsidR="009D60DB" w:rsidRPr="0034397F">
        <w:rPr>
          <w:rFonts w:ascii="Times New Roman" w:hAnsi="Times New Roman" w:cs="Calibri"/>
          <w:color w:val="000000"/>
          <w:sz w:val="24"/>
          <w:szCs w:val="24"/>
          <w:u w:color="000000"/>
          <w:bdr w:val="nil"/>
        </w:rPr>
        <w:t>In order to determine what is eligible as a Tenant Participation Activity, NYCHA relies on HUD P</w:t>
      </w:r>
      <w:r>
        <w:rPr>
          <w:rFonts w:ascii="Times New Roman" w:hAnsi="Times New Roman" w:cs="Calibri"/>
          <w:color w:val="000000"/>
          <w:sz w:val="24"/>
          <w:szCs w:val="24"/>
          <w:u w:color="000000"/>
          <w:bdr w:val="nil"/>
        </w:rPr>
        <w:t xml:space="preserve">ublic and Indian Housing (PIH) </w:t>
      </w:r>
      <w:r w:rsidR="009D60DB" w:rsidRPr="0034397F">
        <w:rPr>
          <w:rFonts w:ascii="Times New Roman" w:hAnsi="Times New Roman" w:cs="Calibri"/>
          <w:color w:val="000000"/>
          <w:sz w:val="24"/>
          <w:szCs w:val="24"/>
          <w:u w:color="000000"/>
          <w:bdr w:val="nil"/>
        </w:rPr>
        <w:t xml:space="preserve">Notice 2013-21, which provides </w:t>
      </w:r>
      <w:r w:rsidR="00392A38">
        <w:rPr>
          <w:rFonts w:ascii="Times New Roman" w:hAnsi="Times New Roman" w:cs="Calibri"/>
          <w:color w:val="000000"/>
          <w:sz w:val="24"/>
          <w:szCs w:val="24"/>
          <w:u w:color="000000"/>
          <w:bdr w:val="nil"/>
        </w:rPr>
        <w:t>non-</w:t>
      </w:r>
      <w:r w:rsidR="00492326">
        <w:rPr>
          <w:rFonts w:ascii="Times New Roman" w:hAnsi="Times New Roman" w:cs="Calibri"/>
          <w:color w:val="000000"/>
          <w:sz w:val="24"/>
          <w:szCs w:val="24"/>
          <w:u w:color="000000"/>
          <w:bdr w:val="nil"/>
        </w:rPr>
        <w:t xml:space="preserve">comprehensive </w:t>
      </w:r>
      <w:r w:rsidR="009D60DB" w:rsidRPr="0034397F">
        <w:rPr>
          <w:rFonts w:ascii="Times New Roman" w:hAnsi="Times New Roman" w:cs="Calibri"/>
          <w:color w:val="000000"/>
          <w:sz w:val="24"/>
          <w:szCs w:val="24"/>
          <w:u w:color="000000"/>
          <w:bdr w:val="nil"/>
        </w:rPr>
        <w:t xml:space="preserve">sample lists of allowable and unallowable activities. TPA </w:t>
      </w:r>
      <w:r>
        <w:rPr>
          <w:rFonts w:ascii="Times New Roman" w:hAnsi="Times New Roman" w:cs="Calibri"/>
          <w:color w:val="000000"/>
          <w:sz w:val="24"/>
          <w:szCs w:val="24"/>
          <w:u w:color="000000"/>
          <w:bdr w:val="nil"/>
        </w:rPr>
        <w:t>f</w:t>
      </w:r>
      <w:r w:rsidR="009D60DB" w:rsidRPr="0034397F">
        <w:rPr>
          <w:rFonts w:ascii="Times New Roman" w:hAnsi="Times New Roman" w:cs="Calibri"/>
          <w:color w:val="000000"/>
          <w:sz w:val="24"/>
          <w:szCs w:val="24"/>
          <w:u w:color="000000"/>
          <w:bdr w:val="nil"/>
        </w:rPr>
        <w:t xml:space="preserve">unds help </w:t>
      </w:r>
      <w:r w:rsidR="00657E02">
        <w:rPr>
          <w:rFonts w:ascii="Times New Roman" w:hAnsi="Times New Roman" w:cs="Calibri"/>
          <w:color w:val="000000"/>
          <w:sz w:val="24"/>
          <w:szCs w:val="24"/>
          <w:u w:color="000000"/>
          <w:bdr w:val="nil"/>
        </w:rPr>
        <w:t xml:space="preserve">to </w:t>
      </w:r>
      <w:r w:rsidR="009D60DB" w:rsidRPr="0034397F">
        <w:rPr>
          <w:rFonts w:ascii="Times New Roman" w:hAnsi="Times New Roman" w:cs="Calibri"/>
          <w:color w:val="000000"/>
          <w:sz w:val="24"/>
          <w:szCs w:val="24"/>
          <w:u w:color="000000"/>
          <w:bdr w:val="nil"/>
        </w:rPr>
        <w:t xml:space="preserve">facilitate the social and community services </w:t>
      </w:r>
      <w:r w:rsidR="00657E02">
        <w:rPr>
          <w:rFonts w:ascii="Times New Roman" w:hAnsi="Times New Roman" w:cs="Calibri"/>
          <w:color w:val="000000"/>
          <w:sz w:val="24"/>
          <w:szCs w:val="24"/>
          <w:u w:color="000000"/>
          <w:bdr w:val="nil"/>
        </w:rPr>
        <w:t xml:space="preserve">that </w:t>
      </w:r>
      <w:r w:rsidR="009D60DB" w:rsidRPr="0034397F">
        <w:rPr>
          <w:rFonts w:ascii="Times New Roman" w:hAnsi="Times New Roman" w:cs="Calibri"/>
          <w:color w:val="000000"/>
          <w:sz w:val="24"/>
          <w:szCs w:val="24"/>
          <w:u w:color="000000"/>
          <w:bdr w:val="nil"/>
        </w:rPr>
        <w:t>NYCHA provides.</w:t>
      </w:r>
      <w:r w:rsidR="009D60DB" w:rsidRPr="0034397F">
        <w:rPr>
          <w:rFonts w:ascii="Times New Roman" w:eastAsia="Times New Roman" w:hAnsi="Times New Roman"/>
          <w:color w:val="000000"/>
          <w:sz w:val="24"/>
          <w:szCs w:val="24"/>
          <w:u w:color="000000"/>
          <w:bdr w:val="nil"/>
          <w:vertAlign w:val="superscript"/>
        </w:rPr>
        <w:footnoteReference w:id="9"/>
      </w:r>
      <w:r w:rsidR="009D60DB" w:rsidRPr="0034397F">
        <w:rPr>
          <w:rFonts w:ascii="Times New Roman" w:hAnsi="Times New Roman" w:cs="Calibri"/>
          <w:color w:val="000000"/>
          <w:sz w:val="24"/>
          <w:szCs w:val="24"/>
          <w:u w:color="000000"/>
          <w:bdr w:val="nil"/>
        </w:rPr>
        <w:t xml:space="preserve"> </w:t>
      </w:r>
    </w:p>
    <w:p w:rsidR="009D60DB" w:rsidRPr="0034397F" w:rsidRDefault="009D60DB" w:rsidP="004131EB">
      <w:pPr>
        <w:numPr>
          <w:ilvl w:val="1"/>
          <w:numId w:val="2"/>
        </w:numPr>
        <w:pBdr>
          <w:top w:val="nil"/>
          <w:left w:val="nil"/>
          <w:bottom w:val="nil"/>
          <w:right w:val="nil"/>
          <w:between w:val="nil"/>
          <w:bar w:val="nil"/>
        </w:pBdr>
        <w:spacing w:line="480" w:lineRule="auto"/>
        <w:ind w:left="360"/>
        <w:jc w:val="both"/>
        <w:rPr>
          <w:rFonts w:ascii="Times New Roman" w:eastAsia="Times New Roman" w:hAnsi="Times New Roman"/>
          <w:i/>
          <w:iCs/>
          <w:color w:val="000000"/>
          <w:sz w:val="24"/>
          <w:szCs w:val="24"/>
          <w:u w:color="000000"/>
          <w:bdr w:val="nil"/>
        </w:rPr>
      </w:pPr>
      <w:r w:rsidRPr="0034397F">
        <w:rPr>
          <w:rFonts w:ascii="Times New Roman" w:hAnsi="Times New Roman" w:cs="Calibri"/>
          <w:i/>
          <w:iCs/>
          <w:color w:val="000000"/>
          <w:sz w:val="24"/>
          <w:szCs w:val="24"/>
          <w:u w:color="000000"/>
          <w:bdr w:val="nil"/>
        </w:rPr>
        <w:t>Who Can Use TPA Funds</w:t>
      </w:r>
    </w:p>
    <w:p w:rsidR="009D60DB" w:rsidRPr="0034397F" w:rsidRDefault="0060686D" w:rsidP="004131EB">
      <w:pPr>
        <w:pBdr>
          <w:top w:val="nil"/>
          <w:left w:val="nil"/>
          <w:bottom w:val="nil"/>
          <w:right w:val="nil"/>
          <w:between w:val="nil"/>
          <w:bar w:val="nil"/>
        </w:pBdr>
        <w:spacing w:line="480" w:lineRule="auto"/>
        <w:ind w:firstLine="720"/>
        <w:jc w:val="both"/>
        <w:rPr>
          <w:rFonts w:ascii="Times New Roman" w:eastAsia="Times New Roman" w:hAnsi="Times New Roman"/>
          <w:color w:val="000000"/>
          <w:sz w:val="24"/>
          <w:szCs w:val="24"/>
          <w:u w:color="000000"/>
          <w:bdr w:val="nil"/>
        </w:rPr>
      </w:pPr>
      <w:r>
        <w:rPr>
          <w:rFonts w:ascii="Times New Roman" w:hAnsi="Times New Roman" w:cs="Calibri"/>
          <w:color w:val="000000"/>
          <w:sz w:val="24"/>
          <w:szCs w:val="24"/>
          <w:u w:color="000000"/>
          <w:bdr w:val="nil"/>
        </w:rPr>
        <w:t>TPA f</w:t>
      </w:r>
      <w:r w:rsidR="009D60DB" w:rsidRPr="0034397F">
        <w:rPr>
          <w:rFonts w:ascii="Times New Roman" w:hAnsi="Times New Roman" w:cs="Calibri"/>
          <w:color w:val="000000"/>
          <w:sz w:val="24"/>
          <w:szCs w:val="24"/>
          <w:u w:color="000000"/>
          <w:bdr w:val="nil"/>
        </w:rPr>
        <w:t>unds are used by Resident Councils</w:t>
      </w:r>
      <w:r w:rsidR="00006644">
        <w:rPr>
          <w:rFonts w:ascii="Times New Roman" w:hAnsi="Times New Roman" w:cs="Calibri"/>
          <w:color w:val="000000"/>
          <w:sz w:val="24"/>
          <w:szCs w:val="24"/>
          <w:u w:color="000000"/>
          <w:bdr w:val="nil"/>
        </w:rPr>
        <w:t xml:space="preserve"> to plan tenant participation activities</w:t>
      </w:r>
      <w:r w:rsidR="009D60DB" w:rsidRPr="0034397F">
        <w:rPr>
          <w:rFonts w:ascii="Times New Roman" w:hAnsi="Times New Roman" w:cs="Calibri"/>
          <w:color w:val="000000"/>
          <w:sz w:val="24"/>
          <w:szCs w:val="24"/>
          <w:u w:color="000000"/>
          <w:bdr w:val="nil"/>
        </w:rPr>
        <w:t xml:space="preserve">. A Resident Council is a resident membership organization that is duly recognized by NYCHA, pursuant to 24 C.F.R. Part 964, as the representative of the authorized residents of a NYCHA </w:t>
      </w:r>
      <w:r w:rsidR="009D60DB" w:rsidRPr="0034397F">
        <w:rPr>
          <w:rFonts w:ascii="Times New Roman" w:hAnsi="Times New Roman" w:cs="Calibri"/>
          <w:color w:val="000000"/>
          <w:sz w:val="24"/>
          <w:szCs w:val="24"/>
          <w:u w:color="000000"/>
          <w:bdr w:val="nil"/>
        </w:rPr>
        <w:lastRenderedPageBreak/>
        <w:t>development.</w:t>
      </w:r>
      <w:r w:rsidR="009D60DB" w:rsidRPr="0034397F">
        <w:rPr>
          <w:rFonts w:ascii="Times New Roman" w:eastAsia="Times New Roman" w:hAnsi="Times New Roman"/>
          <w:color w:val="000000"/>
          <w:sz w:val="24"/>
          <w:szCs w:val="24"/>
          <w:u w:color="000000"/>
          <w:bdr w:val="nil"/>
          <w:vertAlign w:val="superscript"/>
        </w:rPr>
        <w:footnoteReference w:id="10"/>
      </w:r>
      <w:r w:rsidR="009D60DB" w:rsidRPr="0034397F">
        <w:rPr>
          <w:rFonts w:ascii="Times New Roman" w:hAnsi="Times New Roman" w:cs="Calibri"/>
          <w:color w:val="000000"/>
          <w:sz w:val="24"/>
          <w:szCs w:val="24"/>
          <w:u w:color="000000"/>
          <w:bdr w:val="nil"/>
        </w:rPr>
        <w:t xml:space="preserve"> According to HUD, the </w:t>
      </w:r>
      <w:r w:rsidR="00006644">
        <w:rPr>
          <w:rFonts w:ascii="Times New Roman" w:hAnsi="Times New Roman" w:cs="Calibri"/>
          <w:color w:val="000000"/>
          <w:sz w:val="24"/>
          <w:szCs w:val="24"/>
          <w:u w:color="000000"/>
          <w:bdr w:val="nil"/>
        </w:rPr>
        <w:t>purpose</w:t>
      </w:r>
      <w:r w:rsidR="00006644" w:rsidRPr="0034397F">
        <w:rPr>
          <w:rFonts w:ascii="Times New Roman" w:hAnsi="Times New Roman" w:cs="Calibri"/>
          <w:color w:val="000000"/>
          <w:sz w:val="24"/>
          <w:szCs w:val="24"/>
          <w:u w:color="000000"/>
          <w:bdr w:val="nil"/>
        </w:rPr>
        <w:t xml:space="preserve"> </w:t>
      </w:r>
      <w:r w:rsidR="009D60DB" w:rsidRPr="0034397F">
        <w:rPr>
          <w:rFonts w:ascii="Times New Roman" w:hAnsi="Times New Roman" w:cs="Calibri"/>
          <w:color w:val="000000"/>
          <w:sz w:val="24"/>
          <w:szCs w:val="24"/>
          <w:u w:color="000000"/>
          <w:bdr w:val="nil"/>
        </w:rPr>
        <w:t xml:space="preserve">of the Resident Council is to improve the quality of life </w:t>
      </w:r>
      <w:r w:rsidR="00006644">
        <w:rPr>
          <w:rFonts w:ascii="Times New Roman" w:hAnsi="Times New Roman" w:cs="Calibri"/>
          <w:color w:val="000000"/>
          <w:sz w:val="24"/>
          <w:szCs w:val="24"/>
          <w:u w:color="000000"/>
          <w:bdr w:val="nil"/>
        </w:rPr>
        <w:t>of residents</w:t>
      </w:r>
      <w:r w:rsidR="009D60DB" w:rsidRPr="0034397F">
        <w:rPr>
          <w:rFonts w:ascii="Times New Roman" w:hAnsi="Times New Roman" w:cs="Calibri"/>
          <w:color w:val="000000"/>
          <w:sz w:val="24"/>
          <w:szCs w:val="24"/>
          <w:u w:color="000000"/>
          <w:bdr w:val="nil"/>
        </w:rPr>
        <w:t xml:space="preserve"> and participate in self-help initiatives to enable residents to create a positive living environment for families living in public housing.</w:t>
      </w:r>
      <w:r w:rsidR="009D60DB" w:rsidRPr="0034397F">
        <w:rPr>
          <w:rFonts w:ascii="Times New Roman" w:eastAsia="Times New Roman" w:hAnsi="Times New Roman"/>
          <w:color w:val="000000"/>
          <w:sz w:val="24"/>
          <w:szCs w:val="24"/>
          <w:u w:color="000000"/>
          <w:bdr w:val="nil"/>
          <w:vertAlign w:val="superscript"/>
        </w:rPr>
        <w:footnoteReference w:id="11"/>
      </w:r>
    </w:p>
    <w:p w:rsidR="009D60DB" w:rsidRDefault="009D60DB" w:rsidP="004131EB">
      <w:pPr>
        <w:pBdr>
          <w:top w:val="nil"/>
          <w:left w:val="nil"/>
          <w:bottom w:val="nil"/>
          <w:right w:val="nil"/>
          <w:between w:val="nil"/>
          <w:bar w:val="nil"/>
        </w:pBdr>
        <w:spacing w:line="480" w:lineRule="auto"/>
        <w:ind w:firstLine="720"/>
        <w:jc w:val="both"/>
        <w:rPr>
          <w:rFonts w:ascii="Times New Roman" w:hAnsi="Times New Roman" w:cs="Calibri"/>
          <w:color w:val="000000"/>
          <w:sz w:val="24"/>
          <w:szCs w:val="24"/>
          <w:u w:color="000000"/>
          <w:bdr w:val="nil"/>
        </w:rPr>
      </w:pPr>
      <w:r w:rsidRPr="0034397F">
        <w:rPr>
          <w:rFonts w:ascii="Times New Roman" w:hAnsi="Times New Roman" w:cs="Calibri"/>
          <w:color w:val="000000"/>
          <w:sz w:val="24"/>
          <w:szCs w:val="24"/>
          <w:u w:color="000000"/>
          <w:bdr w:val="nil"/>
        </w:rPr>
        <w:t>Among other requirements, a Resident Council must have a governing board that is elected by the voting membership.</w:t>
      </w:r>
      <w:r w:rsidR="0060686D">
        <w:rPr>
          <w:rStyle w:val="FootnoteReference"/>
          <w:rFonts w:ascii="Times New Roman" w:hAnsi="Times New Roman" w:cs="Calibri"/>
          <w:color w:val="000000"/>
          <w:sz w:val="24"/>
          <w:szCs w:val="24"/>
          <w:u w:color="000000"/>
          <w:bdr w:val="nil"/>
        </w:rPr>
        <w:footnoteReference w:id="12"/>
      </w:r>
      <w:r w:rsidRPr="0034397F">
        <w:rPr>
          <w:rFonts w:ascii="Times New Roman" w:hAnsi="Times New Roman" w:cs="Calibri"/>
          <w:color w:val="000000"/>
          <w:sz w:val="24"/>
          <w:szCs w:val="24"/>
          <w:u w:color="000000"/>
          <w:bdr w:val="nil"/>
        </w:rPr>
        <w:t xml:space="preserve"> At a minimum, the governing board should consist of five elected board members.</w:t>
      </w:r>
      <w:r w:rsidR="00273ED3">
        <w:rPr>
          <w:rStyle w:val="FootnoteReference"/>
          <w:rFonts w:ascii="Times New Roman" w:hAnsi="Times New Roman" w:cs="Calibri"/>
          <w:color w:val="000000"/>
          <w:sz w:val="24"/>
          <w:szCs w:val="24"/>
          <w:u w:color="000000"/>
          <w:bdr w:val="nil"/>
        </w:rPr>
        <w:footnoteReference w:id="13"/>
      </w:r>
      <w:r w:rsidRPr="0034397F">
        <w:rPr>
          <w:rFonts w:ascii="Times New Roman" w:hAnsi="Times New Roman" w:cs="Calibri"/>
          <w:color w:val="000000"/>
          <w:sz w:val="24"/>
          <w:szCs w:val="24"/>
          <w:u w:color="000000"/>
          <w:bdr w:val="nil"/>
        </w:rPr>
        <w:t xml:space="preserve"> </w:t>
      </w:r>
      <w:r w:rsidR="009A7A54">
        <w:rPr>
          <w:rFonts w:ascii="Times New Roman" w:hAnsi="Times New Roman" w:cs="Calibri"/>
          <w:color w:val="000000"/>
          <w:sz w:val="24"/>
          <w:szCs w:val="24"/>
          <w:u w:color="000000"/>
          <w:bdr w:val="nil"/>
        </w:rPr>
        <w:t>A</w:t>
      </w:r>
      <w:r w:rsidR="000A4D45">
        <w:rPr>
          <w:rFonts w:ascii="Times New Roman" w:hAnsi="Times New Roman" w:cs="Calibri"/>
          <w:color w:val="000000"/>
          <w:sz w:val="24"/>
          <w:szCs w:val="24"/>
          <w:u w:color="000000"/>
          <w:bdr w:val="nil"/>
        </w:rPr>
        <w:t>ccording to HUD regulations, a</w:t>
      </w:r>
      <w:r w:rsidR="009A7A54">
        <w:rPr>
          <w:rFonts w:ascii="Times New Roman" w:hAnsi="Times New Roman" w:cs="Calibri"/>
          <w:color w:val="000000"/>
          <w:sz w:val="24"/>
          <w:szCs w:val="24"/>
          <w:u w:color="000000"/>
          <w:bdr w:val="nil"/>
        </w:rPr>
        <w:t>ny funding of resident activities and resident input into decisions concerning public housing operations can only be made by an officially recognized Resident Council.</w:t>
      </w:r>
      <w:r w:rsidR="000A4D45">
        <w:rPr>
          <w:rStyle w:val="FootnoteReference"/>
          <w:rFonts w:ascii="Times New Roman" w:hAnsi="Times New Roman" w:cs="Calibri"/>
          <w:color w:val="000000"/>
          <w:sz w:val="24"/>
          <w:szCs w:val="24"/>
          <w:u w:color="000000"/>
          <w:bdr w:val="nil"/>
        </w:rPr>
        <w:footnoteReference w:id="14"/>
      </w:r>
      <w:r w:rsidR="009A7A54">
        <w:rPr>
          <w:rFonts w:ascii="Times New Roman" w:hAnsi="Times New Roman" w:cs="Calibri"/>
          <w:color w:val="000000"/>
          <w:sz w:val="24"/>
          <w:szCs w:val="24"/>
          <w:u w:color="000000"/>
          <w:bdr w:val="nil"/>
        </w:rPr>
        <w:t xml:space="preserve"> </w:t>
      </w:r>
      <w:r w:rsidRPr="0034397F">
        <w:rPr>
          <w:rFonts w:ascii="Times New Roman" w:hAnsi="Times New Roman" w:cs="Calibri"/>
          <w:color w:val="000000"/>
          <w:sz w:val="24"/>
          <w:szCs w:val="24"/>
          <w:u w:color="000000"/>
          <w:bdr w:val="nil"/>
        </w:rPr>
        <w:t xml:space="preserve">If a Resident Council fails to satisfy HUD minimum standards for fair and frequent elections, or fails to follow its own election procedures as adopted, HUD requires NYCHA to withdraw recognition of the Resident Council and to withhold </w:t>
      </w:r>
      <w:r w:rsidR="003802A7">
        <w:rPr>
          <w:rFonts w:ascii="Times New Roman" w:hAnsi="Times New Roman" w:cs="Calibri"/>
          <w:color w:val="000000"/>
          <w:sz w:val="24"/>
          <w:szCs w:val="24"/>
          <w:u w:color="000000"/>
          <w:bdr w:val="nil"/>
        </w:rPr>
        <w:t xml:space="preserve"> tenant participation funds </w:t>
      </w:r>
      <w:r w:rsidR="00233E37">
        <w:rPr>
          <w:rFonts w:ascii="Times New Roman" w:hAnsi="Times New Roman" w:cs="Calibri"/>
          <w:color w:val="000000"/>
          <w:sz w:val="24"/>
          <w:szCs w:val="24"/>
          <w:u w:color="000000"/>
          <w:bdr w:val="nil"/>
        </w:rPr>
        <w:t>meant to support tenant participation activities</w:t>
      </w:r>
      <w:r w:rsidRPr="0034397F">
        <w:rPr>
          <w:rFonts w:ascii="Times New Roman" w:hAnsi="Times New Roman" w:cs="Calibri"/>
          <w:color w:val="000000"/>
          <w:sz w:val="24"/>
          <w:szCs w:val="24"/>
          <w:u w:color="000000"/>
          <w:bdr w:val="nil"/>
        </w:rPr>
        <w:t>. Resident Councils also must attend all trainings required by NYCHA in order</w:t>
      </w:r>
      <w:r w:rsidR="0060686D">
        <w:rPr>
          <w:rFonts w:ascii="Times New Roman" w:hAnsi="Times New Roman" w:cs="Calibri"/>
          <w:color w:val="000000"/>
          <w:sz w:val="24"/>
          <w:szCs w:val="24"/>
          <w:u w:color="000000"/>
          <w:bdr w:val="nil"/>
        </w:rPr>
        <w:t xml:space="preserve"> to be eligible to receive TPA f</w:t>
      </w:r>
      <w:r w:rsidRPr="0034397F">
        <w:rPr>
          <w:rFonts w:ascii="Times New Roman" w:hAnsi="Times New Roman" w:cs="Calibri"/>
          <w:color w:val="000000"/>
          <w:sz w:val="24"/>
          <w:szCs w:val="24"/>
          <w:u w:color="000000"/>
          <w:bdr w:val="nil"/>
        </w:rPr>
        <w:t>unds.</w:t>
      </w:r>
      <w:r w:rsidRPr="0034397F">
        <w:rPr>
          <w:rFonts w:ascii="Times New Roman" w:eastAsia="Times New Roman" w:hAnsi="Times New Roman"/>
          <w:color w:val="000000"/>
          <w:sz w:val="24"/>
          <w:szCs w:val="24"/>
          <w:u w:color="000000"/>
          <w:bdr w:val="nil"/>
          <w:vertAlign w:val="superscript"/>
        </w:rPr>
        <w:footnoteReference w:id="15"/>
      </w:r>
    </w:p>
    <w:p w:rsidR="003D5C58" w:rsidRDefault="003D5C58" w:rsidP="004131EB">
      <w:pPr>
        <w:pBdr>
          <w:top w:val="nil"/>
          <w:left w:val="nil"/>
          <w:bottom w:val="nil"/>
          <w:right w:val="nil"/>
          <w:between w:val="nil"/>
          <w:bar w:val="nil"/>
        </w:pBdr>
        <w:spacing w:line="480" w:lineRule="auto"/>
        <w:ind w:firstLine="720"/>
        <w:jc w:val="both"/>
        <w:rPr>
          <w:rFonts w:ascii="Times New Roman" w:hAnsi="Times New Roman" w:cs="Calibri"/>
          <w:color w:val="000000"/>
          <w:sz w:val="24"/>
          <w:szCs w:val="24"/>
          <w:u w:color="000000"/>
          <w:bdr w:val="nil"/>
        </w:rPr>
      </w:pPr>
    </w:p>
    <w:p w:rsidR="003D5C58" w:rsidRPr="0034397F" w:rsidRDefault="003D5C58" w:rsidP="004131EB">
      <w:pPr>
        <w:pBdr>
          <w:top w:val="nil"/>
          <w:left w:val="nil"/>
          <w:bottom w:val="nil"/>
          <w:right w:val="nil"/>
          <w:between w:val="nil"/>
          <w:bar w:val="nil"/>
        </w:pBdr>
        <w:spacing w:line="480" w:lineRule="auto"/>
        <w:ind w:firstLine="720"/>
        <w:jc w:val="both"/>
        <w:rPr>
          <w:rFonts w:ascii="Times New Roman" w:eastAsia="Times New Roman" w:hAnsi="Times New Roman"/>
          <w:color w:val="000000"/>
          <w:sz w:val="24"/>
          <w:szCs w:val="24"/>
          <w:u w:color="000000"/>
          <w:bdr w:val="nil"/>
        </w:rPr>
      </w:pPr>
    </w:p>
    <w:p w:rsidR="009D60DB" w:rsidRPr="0034397F" w:rsidRDefault="009D60DB" w:rsidP="004131EB">
      <w:pPr>
        <w:numPr>
          <w:ilvl w:val="1"/>
          <w:numId w:val="2"/>
        </w:numPr>
        <w:pBdr>
          <w:top w:val="nil"/>
          <w:left w:val="nil"/>
          <w:bottom w:val="nil"/>
          <w:right w:val="nil"/>
          <w:between w:val="nil"/>
          <w:bar w:val="nil"/>
        </w:pBdr>
        <w:spacing w:line="480" w:lineRule="auto"/>
        <w:ind w:left="360"/>
        <w:jc w:val="both"/>
        <w:rPr>
          <w:rFonts w:ascii="Times New Roman" w:eastAsia="Times New Roman" w:hAnsi="Times New Roman"/>
          <w:i/>
          <w:iCs/>
          <w:color w:val="000000"/>
          <w:sz w:val="24"/>
          <w:szCs w:val="24"/>
          <w:u w:color="000000"/>
          <w:bdr w:val="nil"/>
        </w:rPr>
      </w:pPr>
      <w:r w:rsidRPr="0034397F">
        <w:rPr>
          <w:rFonts w:ascii="Times New Roman" w:hAnsi="Times New Roman" w:cs="Calibri"/>
          <w:i/>
          <w:iCs/>
          <w:color w:val="000000"/>
          <w:sz w:val="24"/>
          <w:szCs w:val="24"/>
          <w:u w:color="000000"/>
          <w:bdr w:val="nil"/>
        </w:rPr>
        <w:lastRenderedPageBreak/>
        <w:t>Allocation of TPA Funds</w:t>
      </w:r>
    </w:p>
    <w:p w:rsidR="009D60DB" w:rsidRPr="0034397F" w:rsidRDefault="0060686D" w:rsidP="004131EB">
      <w:pPr>
        <w:pBdr>
          <w:top w:val="nil"/>
          <w:left w:val="nil"/>
          <w:bottom w:val="nil"/>
          <w:right w:val="nil"/>
          <w:between w:val="nil"/>
          <w:bar w:val="nil"/>
        </w:pBdr>
        <w:spacing w:line="480" w:lineRule="auto"/>
        <w:ind w:firstLine="720"/>
        <w:jc w:val="both"/>
        <w:rPr>
          <w:rFonts w:ascii="Times New Roman" w:eastAsia="Times New Roman" w:hAnsi="Times New Roman"/>
          <w:color w:val="000000"/>
          <w:sz w:val="24"/>
          <w:szCs w:val="24"/>
          <w:u w:color="000000"/>
          <w:bdr w:val="nil"/>
        </w:rPr>
      </w:pPr>
      <w:r>
        <w:rPr>
          <w:rFonts w:ascii="Times New Roman" w:hAnsi="Times New Roman" w:cs="Calibri"/>
          <w:color w:val="000000"/>
          <w:sz w:val="24"/>
          <w:szCs w:val="24"/>
          <w:u w:color="000000"/>
          <w:bdr w:val="nil"/>
        </w:rPr>
        <w:t>HUD allocates annual TPA f</w:t>
      </w:r>
      <w:r w:rsidR="009D60DB" w:rsidRPr="0034397F">
        <w:rPr>
          <w:rFonts w:ascii="Times New Roman" w:hAnsi="Times New Roman" w:cs="Calibri"/>
          <w:color w:val="000000"/>
          <w:sz w:val="24"/>
          <w:szCs w:val="24"/>
          <w:u w:color="000000"/>
          <w:bdr w:val="nil"/>
        </w:rPr>
        <w:t xml:space="preserve">unds to NYCHA based on a formula of $25 per unit of occupied public housing. The actual per unit amount provided by HUD to NYCHA may vary </w:t>
      </w:r>
      <w:r w:rsidR="007A5671">
        <w:rPr>
          <w:rFonts w:ascii="Times New Roman" w:hAnsi="Times New Roman" w:cs="Calibri"/>
          <w:color w:val="000000"/>
          <w:sz w:val="24"/>
          <w:szCs w:val="24"/>
          <w:u w:color="000000"/>
          <w:bdr w:val="nil"/>
        </w:rPr>
        <w:t xml:space="preserve">due </w:t>
      </w:r>
      <w:r w:rsidR="009D60DB" w:rsidRPr="0034397F">
        <w:rPr>
          <w:rFonts w:ascii="Times New Roman" w:hAnsi="Times New Roman" w:cs="Calibri"/>
          <w:color w:val="000000"/>
          <w:sz w:val="24"/>
          <w:szCs w:val="24"/>
          <w:u w:color="000000"/>
          <w:bdr w:val="nil"/>
        </w:rPr>
        <w:t xml:space="preserve">to the availability of appropriations. For example, </w:t>
      </w:r>
      <w:r w:rsidR="007A5671">
        <w:rPr>
          <w:rFonts w:ascii="Times New Roman" w:hAnsi="Times New Roman" w:cs="Calibri"/>
          <w:color w:val="000000"/>
          <w:sz w:val="24"/>
          <w:szCs w:val="24"/>
          <w:u w:color="000000"/>
          <w:bdr w:val="nil"/>
        </w:rPr>
        <w:t xml:space="preserve">although </w:t>
      </w:r>
      <w:r w:rsidR="009D60DB" w:rsidRPr="0034397F">
        <w:rPr>
          <w:rFonts w:ascii="Times New Roman" w:hAnsi="Times New Roman" w:cs="Calibri"/>
          <w:color w:val="000000"/>
          <w:sz w:val="24"/>
          <w:szCs w:val="24"/>
          <w:u w:color="000000"/>
          <w:bdr w:val="nil"/>
        </w:rPr>
        <w:t xml:space="preserve">NYCHA </w:t>
      </w:r>
      <w:r w:rsidR="007A5671">
        <w:rPr>
          <w:rFonts w:ascii="Times New Roman" w:hAnsi="Times New Roman" w:cs="Calibri"/>
          <w:color w:val="000000"/>
          <w:sz w:val="24"/>
          <w:szCs w:val="24"/>
          <w:u w:color="000000"/>
          <w:bdr w:val="nil"/>
        </w:rPr>
        <w:t>could</w:t>
      </w:r>
      <w:r w:rsidR="007A5671" w:rsidRPr="0034397F">
        <w:rPr>
          <w:rFonts w:ascii="Times New Roman" w:hAnsi="Times New Roman" w:cs="Calibri"/>
          <w:color w:val="000000"/>
          <w:sz w:val="24"/>
          <w:szCs w:val="24"/>
          <w:u w:color="000000"/>
          <w:bdr w:val="nil"/>
        </w:rPr>
        <w:t xml:space="preserve"> </w:t>
      </w:r>
      <w:r w:rsidR="009D60DB" w:rsidRPr="0034397F">
        <w:rPr>
          <w:rFonts w:ascii="Times New Roman" w:hAnsi="Times New Roman" w:cs="Calibri"/>
          <w:color w:val="000000"/>
          <w:sz w:val="24"/>
          <w:szCs w:val="24"/>
          <w:u w:color="000000"/>
          <w:bdr w:val="nil"/>
        </w:rPr>
        <w:t>receive $25 per unit if HUD provides the full appropriation, it would receive $22.50 per unit if HUD provides</w:t>
      </w:r>
      <w:r w:rsidR="007A5671">
        <w:rPr>
          <w:rFonts w:ascii="Times New Roman" w:hAnsi="Times New Roman" w:cs="Calibri"/>
          <w:color w:val="000000"/>
          <w:sz w:val="24"/>
          <w:szCs w:val="24"/>
          <w:u w:color="000000"/>
          <w:bdr w:val="nil"/>
        </w:rPr>
        <w:t xml:space="preserve"> only</w:t>
      </w:r>
      <w:r w:rsidR="009D60DB" w:rsidRPr="0034397F">
        <w:rPr>
          <w:rFonts w:ascii="Times New Roman" w:hAnsi="Times New Roman" w:cs="Calibri"/>
          <w:color w:val="000000"/>
          <w:sz w:val="24"/>
          <w:szCs w:val="24"/>
          <w:u w:color="000000"/>
          <w:bdr w:val="nil"/>
        </w:rPr>
        <w:t xml:space="preserve"> 90% of the appropriation.</w:t>
      </w:r>
      <w:r w:rsidR="009D60DB" w:rsidRPr="0034397F">
        <w:rPr>
          <w:rFonts w:ascii="Times New Roman" w:eastAsia="Times New Roman" w:hAnsi="Times New Roman"/>
          <w:color w:val="000000"/>
          <w:sz w:val="24"/>
          <w:szCs w:val="24"/>
          <w:u w:color="000000"/>
          <w:bdr w:val="nil"/>
          <w:vertAlign w:val="superscript"/>
        </w:rPr>
        <w:footnoteReference w:id="16"/>
      </w:r>
    </w:p>
    <w:p w:rsidR="00392A38" w:rsidRDefault="009D60DB" w:rsidP="004131EB">
      <w:pPr>
        <w:pBdr>
          <w:top w:val="nil"/>
          <w:left w:val="nil"/>
          <w:bottom w:val="nil"/>
          <w:right w:val="nil"/>
          <w:between w:val="nil"/>
          <w:bar w:val="nil"/>
        </w:pBdr>
        <w:spacing w:line="480" w:lineRule="auto"/>
        <w:ind w:firstLine="720"/>
        <w:jc w:val="both"/>
        <w:rPr>
          <w:rFonts w:ascii="Times New Roman" w:hAnsi="Times New Roman" w:cs="Calibri"/>
          <w:color w:val="000000"/>
          <w:sz w:val="24"/>
          <w:szCs w:val="24"/>
          <w:u w:color="000000"/>
          <w:bdr w:val="nil"/>
        </w:rPr>
      </w:pPr>
      <w:r w:rsidRPr="0034397F">
        <w:rPr>
          <w:rFonts w:ascii="Times New Roman" w:hAnsi="Times New Roman" w:cs="Calibri"/>
          <w:color w:val="000000"/>
          <w:sz w:val="24"/>
          <w:szCs w:val="24"/>
          <w:u w:color="000000"/>
          <w:bdr w:val="nil"/>
        </w:rPr>
        <w:t xml:space="preserve">Resident Councils </w:t>
      </w:r>
      <w:r w:rsidR="0060686D">
        <w:rPr>
          <w:rFonts w:ascii="Times New Roman" w:hAnsi="Times New Roman" w:cs="Calibri"/>
          <w:color w:val="000000"/>
          <w:sz w:val="24"/>
          <w:szCs w:val="24"/>
          <w:u w:color="000000"/>
          <w:bdr w:val="nil"/>
        </w:rPr>
        <w:t xml:space="preserve">nationwide </w:t>
      </w:r>
      <w:r w:rsidRPr="0034397F">
        <w:rPr>
          <w:rFonts w:ascii="Times New Roman" w:hAnsi="Times New Roman" w:cs="Calibri"/>
          <w:color w:val="000000"/>
          <w:sz w:val="24"/>
          <w:szCs w:val="24"/>
          <w:u w:color="000000"/>
          <w:bdr w:val="nil"/>
        </w:rPr>
        <w:t>rece</w:t>
      </w:r>
      <w:r w:rsidR="0060686D">
        <w:rPr>
          <w:rFonts w:ascii="Times New Roman" w:hAnsi="Times New Roman" w:cs="Calibri"/>
          <w:color w:val="000000"/>
          <w:sz w:val="24"/>
          <w:szCs w:val="24"/>
          <w:u w:color="000000"/>
          <w:bdr w:val="nil"/>
        </w:rPr>
        <w:t>ive sixty percent of the TPA f</w:t>
      </w:r>
      <w:r w:rsidRPr="0034397F">
        <w:rPr>
          <w:rFonts w:ascii="Times New Roman" w:hAnsi="Times New Roman" w:cs="Calibri"/>
          <w:color w:val="000000"/>
          <w:sz w:val="24"/>
          <w:szCs w:val="24"/>
          <w:u w:color="000000"/>
          <w:bdr w:val="nil"/>
        </w:rPr>
        <w:t>unds allocated by HUD.</w:t>
      </w:r>
      <w:r w:rsidR="0060686D">
        <w:rPr>
          <w:rStyle w:val="FootnoteReference"/>
          <w:rFonts w:ascii="Times New Roman" w:hAnsi="Times New Roman" w:cs="Calibri"/>
          <w:color w:val="000000"/>
          <w:sz w:val="24"/>
          <w:szCs w:val="24"/>
          <w:u w:color="000000"/>
          <w:bdr w:val="nil"/>
        </w:rPr>
        <w:footnoteReference w:id="17"/>
      </w:r>
      <w:r w:rsidRPr="0034397F">
        <w:rPr>
          <w:rFonts w:ascii="Times New Roman" w:hAnsi="Times New Roman" w:cs="Calibri"/>
          <w:color w:val="000000"/>
          <w:sz w:val="24"/>
          <w:szCs w:val="24"/>
          <w:u w:color="000000"/>
          <w:bdr w:val="nil"/>
        </w:rPr>
        <w:t xml:space="preserve"> NYCHA receives the remaining forty percent of allocated funds ($10 per unit at full subsidy), and uses the money for costs incurred in administering Tenant Participation Activities and TPA </w:t>
      </w:r>
      <w:r w:rsidR="0060686D">
        <w:rPr>
          <w:rFonts w:ascii="Times New Roman" w:hAnsi="Times New Roman" w:cs="Calibri"/>
          <w:color w:val="000000"/>
          <w:sz w:val="24"/>
          <w:szCs w:val="24"/>
          <w:u w:color="000000"/>
          <w:bdr w:val="nil"/>
        </w:rPr>
        <w:t>f</w:t>
      </w:r>
      <w:r w:rsidRPr="0034397F">
        <w:rPr>
          <w:rFonts w:ascii="Times New Roman" w:hAnsi="Times New Roman" w:cs="Calibri"/>
          <w:color w:val="000000"/>
          <w:sz w:val="24"/>
          <w:szCs w:val="24"/>
          <w:u w:color="000000"/>
          <w:bdr w:val="nil"/>
        </w:rPr>
        <w:t>unds.</w:t>
      </w:r>
      <w:r w:rsidR="0060686D">
        <w:rPr>
          <w:rStyle w:val="FootnoteReference"/>
          <w:rFonts w:ascii="Times New Roman" w:hAnsi="Times New Roman" w:cs="Calibri"/>
          <w:color w:val="000000"/>
          <w:sz w:val="24"/>
          <w:szCs w:val="24"/>
          <w:u w:color="000000"/>
          <w:bdr w:val="nil"/>
        </w:rPr>
        <w:footnoteReference w:id="18"/>
      </w:r>
      <w:r w:rsidRPr="0034397F">
        <w:rPr>
          <w:rFonts w:ascii="Times New Roman" w:hAnsi="Times New Roman" w:cs="Calibri"/>
          <w:color w:val="000000"/>
          <w:sz w:val="24"/>
          <w:szCs w:val="24"/>
          <w:u w:color="000000"/>
          <w:bdr w:val="nil"/>
        </w:rPr>
        <w:t xml:space="preserve"> NYCHA strongly encourages Resid</w:t>
      </w:r>
      <w:r w:rsidR="0060686D">
        <w:rPr>
          <w:rFonts w:ascii="Times New Roman" w:hAnsi="Times New Roman" w:cs="Calibri"/>
          <w:color w:val="000000"/>
          <w:sz w:val="24"/>
          <w:szCs w:val="24"/>
          <w:u w:color="000000"/>
          <w:bdr w:val="nil"/>
        </w:rPr>
        <w:t>ent Councils to supplement TPA f</w:t>
      </w:r>
      <w:r w:rsidRPr="0034397F">
        <w:rPr>
          <w:rFonts w:ascii="Times New Roman" w:hAnsi="Times New Roman" w:cs="Calibri"/>
          <w:color w:val="000000"/>
          <w:sz w:val="24"/>
          <w:szCs w:val="24"/>
          <w:u w:color="000000"/>
          <w:bdr w:val="nil"/>
        </w:rPr>
        <w:t>unds with other sources of funding.</w:t>
      </w:r>
      <w:r w:rsidRPr="0034397F">
        <w:rPr>
          <w:rFonts w:ascii="Times New Roman" w:eastAsia="Times New Roman" w:hAnsi="Times New Roman"/>
          <w:color w:val="000000"/>
          <w:sz w:val="24"/>
          <w:szCs w:val="24"/>
          <w:u w:color="000000"/>
          <w:bdr w:val="nil"/>
          <w:vertAlign w:val="superscript"/>
        </w:rPr>
        <w:footnoteReference w:id="19"/>
      </w:r>
      <w:r w:rsidRPr="0034397F">
        <w:rPr>
          <w:rFonts w:ascii="Times New Roman" w:hAnsi="Times New Roman" w:cs="Calibri"/>
          <w:color w:val="000000"/>
          <w:sz w:val="24"/>
          <w:szCs w:val="24"/>
          <w:u w:color="000000"/>
          <w:bdr w:val="nil"/>
        </w:rPr>
        <w:t xml:space="preserve"> </w:t>
      </w:r>
      <w:r w:rsidR="00273ED3">
        <w:rPr>
          <w:rFonts w:ascii="Times New Roman" w:hAnsi="Times New Roman" w:cs="Calibri"/>
          <w:color w:val="000000"/>
          <w:sz w:val="24"/>
          <w:szCs w:val="24"/>
          <w:u w:color="000000"/>
          <w:bdr w:val="nil"/>
        </w:rPr>
        <w:t>HUD regulations dictate that, if funds are available through appropriations, a housing authority must provide tenant services</w:t>
      </w:r>
      <w:r w:rsidR="00392A38">
        <w:rPr>
          <w:rFonts w:ascii="Times New Roman" w:hAnsi="Times New Roman" w:cs="Calibri"/>
          <w:color w:val="000000"/>
          <w:sz w:val="24"/>
          <w:szCs w:val="24"/>
          <w:u w:color="000000"/>
          <w:bdr w:val="nil"/>
        </w:rPr>
        <w:t xml:space="preserve"> funding to the duly elected Resident C</w:t>
      </w:r>
      <w:r w:rsidR="00273ED3">
        <w:rPr>
          <w:rFonts w:ascii="Times New Roman" w:hAnsi="Times New Roman" w:cs="Calibri"/>
          <w:color w:val="000000"/>
          <w:sz w:val="24"/>
          <w:szCs w:val="24"/>
          <w:u w:color="000000"/>
          <w:bdr w:val="nil"/>
        </w:rPr>
        <w:t>ouncils regardless of the Housing Authority’s financial status, and its financial stat</w:t>
      </w:r>
      <w:r w:rsidR="00392A38">
        <w:rPr>
          <w:rFonts w:ascii="Times New Roman" w:hAnsi="Times New Roman" w:cs="Calibri"/>
          <w:color w:val="000000"/>
          <w:sz w:val="24"/>
          <w:szCs w:val="24"/>
          <w:u w:color="000000"/>
          <w:bdr w:val="nil"/>
        </w:rPr>
        <w:t>us must not impact or restrict Resident C</w:t>
      </w:r>
      <w:r w:rsidR="00273ED3">
        <w:rPr>
          <w:rFonts w:ascii="Times New Roman" w:hAnsi="Times New Roman" w:cs="Calibri"/>
          <w:color w:val="000000"/>
          <w:sz w:val="24"/>
          <w:szCs w:val="24"/>
          <w:u w:color="000000"/>
          <w:bdr w:val="nil"/>
        </w:rPr>
        <w:t>ouncil funds.</w:t>
      </w:r>
      <w:r w:rsidR="00273ED3">
        <w:rPr>
          <w:rStyle w:val="FootnoteReference"/>
          <w:rFonts w:ascii="Times New Roman" w:hAnsi="Times New Roman" w:cs="Calibri"/>
          <w:color w:val="000000"/>
          <w:sz w:val="24"/>
          <w:szCs w:val="24"/>
          <w:u w:color="000000"/>
          <w:bdr w:val="nil"/>
        </w:rPr>
        <w:footnoteReference w:id="20"/>
      </w:r>
      <w:r w:rsidR="00273ED3">
        <w:rPr>
          <w:rFonts w:ascii="Times New Roman" w:hAnsi="Times New Roman" w:cs="Calibri"/>
          <w:color w:val="000000"/>
          <w:sz w:val="24"/>
          <w:szCs w:val="24"/>
          <w:u w:color="000000"/>
          <w:bdr w:val="nil"/>
        </w:rPr>
        <w:t xml:space="preserve"> Additionally, HUD encourages housing authorities to provide stipends to </w:t>
      </w:r>
      <w:r w:rsidR="00657E02">
        <w:rPr>
          <w:rFonts w:ascii="Times New Roman" w:hAnsi="Times New Roman" w:cs="Calibri"/>
          <w:color w:val="000000"/>
          <w:sz w:val="24"/>
          <w:szCs w:val="24"/>
          <w:u w:color="000000"/>
          <w:bdr w:val="nil"/>
        </w:rPr>
        <w:t xml:space="preserve">Resident Council </w:t>
      </w:r>
      <w:r w:rsidR="00273ED3">
        <w:rPr>
          <w:rFonts w:ascii="Times New Roman" w:hAnsi="Times New Roman" w:cs="Calibri"/>
          <w:color w:val="000000"/>
          <w:sz w:val="24"/>
          <w:szCs w:val="24"/>
          <w:u w:color="000000"/>
          <w:bdr w:val="nil"/>
        </w:rPr>
        <w:t>officers, up to $200 per month per officer.</w:t>
      </w:r>
      <w:r w:rsidR="00273ED3">
        <w:rPr>
          <w:rStyle w:val="FootnoteReference"/>
          <w:rFonts w:ascii="Times New Roman" w:hAnsi="Times New Roman" w:cs="Calibri"/>
          <w:color w:val="000000"/>
          <w:sz w:val="24"/>
          <w:szCs w:val="24"/>
          <w:u w:color="000000"/>
          <w:bdr w:val="nil"/>
        </w:rPr>
        <w:footnoteReference w:id="21"/>
      </w:r>
      <w:r w:rsidR="00273ED3">
        <w:rPr>
          <w:rFonts w:ascii="Times New Roman" w:hAnsi="Times New Roman" w:cs="Calibri"/>
          <w:color w:val="000000"/>
          <w:sz w:val="24"/>
          <w:szCs w:val="24"/>
          <w:u w:color="000000"/>
          <w:bdr w:val="nil"/>
        </w:rPr>
        <w:t xml:space="preserve"> </w:t>
      </w:r>
    </w:p>
    <w:p w:rsidR="009D60DB" w:rsidRPr="00492326" w:rsidRDefault="00392A38" w:rsidP="004131EB">
      <w:pPr>
        <w:pBdr>
          <w:top w:val="nil"/>
          <w:left w:val="nil"/>
          <w:bottom w:val="nil"/>
          <w:right w:val="nil"/>
          <w:between w:val="nil"/>
          <w:bar w:val="nil"/>
        </w:pBdr>
        <w:spacing w:line="480" w:lineRule="auto"/>
        <w:ind w:firstLine="720"/>
        <w:jc w:val="both"/>
        <w:rPr>
          <w:rFonts w:ascii="Times New Roman" w:hAnsi="Times New Roman" w:cs="Calibri"/>
          <w:color w:val="000000"/>
          <w:sz w:val="24"/>
          <w:szCs w:val="24"/>
          <w:u w:color="000000"/>
          <w:bdr w:val="nil"/>
        </w:rPr>
      </w:pPr>
      <w:r>
        <w:rPr>
          <w:rFonts w:ascii="Times New Roman" w:hAnsi="Times New Roman" w:cs="Calibri"/>
          <w:color w:val="000000"/>
          <w:sz w:val="24"/>
          <w:szCs w:val="24"/>
          <w:u w:color="000000"/>
          <w:bdr w:val="nil"/>
        </w:rPr>
        <w:t>At a prior Committee on Public Housing hearing, NYCHA testified that it accrued approximately $13.5 million in unspent TPA funds before 2016.</w:t>
      </w:r>
      <w:r>
        <w:rPr>
          <w:rStyle w:val="FootnoteReference"/>
          <w:rFonts w:ascii="Times New Roman" w:hAnsi="Times New Roman" w:cs="Calibri"/>
          <w:color w:val="000000"/>
          <w:sz w:val="24"/>
          <w:szCs w:val="24"/>
          <w:u w:color="000000"/>
          <w:bdr w:val="nil"/>
        </w:rPr>
        <w:footnoteReference w:id="22"/>
      </w:r>
      <w:r>
        <w:rPr>
          <w:rFonts w:ascii="Times New Roman" w:hAnsi="Times New Roman" w:cs="Calibri"/>
          <w:color w:val="000000"/>
          <w:sz w:val="24"/>
          <w:szCs w:val="24"/>
          <w:u w:color="000000"/>
          <w:bdr w:val="nil"/>
        </w:rPr>
        <w:t xml:space="preserve"> According to NYCHA, funds allocated prior to 2015 were reallocated to developments equitably based on the number of </w:t>
      </w:r>
      <w:r>
        <w:rPr>
          <w:rFonts w:ascii="Times New Roman" w:hAnsi="Times New Roman" w:cs="Calibri"/>
          <w:color w:val="000000"/>
          <w:sz w:val="24"/>
          <w:szCs w:val="24"/>
          <w:u w:color="000000"/>
          <w:bdr w:val="nil"/>
        </w:rPr>
        <w:lastRenderedPageBreak/>
        <w:t>dwelling units.</w:t>
      </w:r>
      <w:r>
        <w:rPr>
          <w:rStyle w:val="FootnoteReference"/>
          <w:rFonts w:ascii="Times New Roman" w:hAnsi="Times New Roman" w:cs="Calibri"/>
          <w:color w:val="000000"/>
          <w:sz w:val="24"/>
          <w:szCs w:val="24"/>
          <w:u w:color="000000"/>
          <w:bdr w:val="nil"/>
        </w:rPr>
        <w:footnoteReference w:id="23"/>
      </w:r>
      <w:r>
        <w:rPr>
          <w:rFonts w:ascii="Times New Roman" w:hAnsi="Times New Roman" w:cs="Calibri"/>
          <w:color w:val="000000"/>
          <w:sz w:val="24"/>
          <w:szCs w:val="24"/>
          <w:u w:color="000000"/>
          <w:bdr w:val="nil"/>
        </w:rPr>
        <w:t xml:space="preserve"> NYCHA has stated that Resident Councils have access to the funds from 2006-2015 by submitting budget proposals against the unspent funds: all approved events and activities submitted beyond what is available in the current allocation can be funded through available unspent funds from 2006-2015.</w:t>
      </w:r>
      <w:r>
        <w:rPr>
          <w:rStyle w:val="FootnoteReference"/>
          <w:rFonts w:ascii="Times New Roman" w:hAnsi="Times New Roman" w:cs="Calibri"/>
          <w:color w:val="000000"/>
          <w:sz w:val="24"/>
          <w:szCs w:val="24"/>
          <w:u w:color="000000"/>
          <w:bdr w:val="nil"/>
        </w:rPr>
        <w:footnoteReference w:id="24"/>
      </w:r>
      <w:r w:rsidR="0060686D">
        <w:rPr>
          <w:rFonts w:ascii="Times New Roman" w:hAnsi="Times New Roman" w:cs="Calibri"/>
          <w:color w:val="000000"/>
          <w:sz w:val="24"/>
          <w:szCs w:val="24"/>
          <w:u w:color="000000"/>
          <w:bdr w:val="nil"/>
        </w:rPr>
        <w:t xml:space="preserve"> For developments that do</w:t>
      </w:r>
      <w:r>
        <w:rPr>
          <w:rFonts w:ascii="Times New Roman" w:hAnsi="Times New Roman" w:cs="Calibri"/>
          <w:color w:val="000000"/>
          <w:sz w:val="24"/>
          <w:szCs w:val="24"/>
          <w:u w:color="000000"/>
          <w:bdr w:val="nil"/>
        </w:rPr>
        <w:t xml:space="preserve"> not have resident associations, NYCHA testified that they would reserve their portion of the $13.5 million, and it could be used for the </w:t>
      </w:r>
      <w:r w:rsidR="00705858">
        <w:rPr>
          <w:rFonts w:ascii="Times New Roman" w:hAnsi="Times New Roman" w:cs="Calibri"/>
          <w:color w:val="000000"/>
          <w:sz w:val="24"/>
          <w:szCs w:val="24"/>
          <w:u w:color="000000"/>
          <w:bdr w:val="nil"/>
        </w:rPr>
        <w:t xml:space="preserve">establishment </w:t>
      </w:r>
      <w:r>
        <w:rPr>
          <w:rFonts w:ascii="Times New Roman" w:hAnsi="Times New Roman" w:cs="Calibri"/>
          <w:color w:val="000000"/>
          <w:sz w:val="24"/>
          <w:szCs w:val="24"/>
          <w:u w:color="000000"/>
          <w:bdr w:val="nil"/>
        </w:rPr>
        <w:t>of a new Resident Council.</w:t>
      </w:r>
      <w:r>
        <w:rPr>
          <w:rStyle w:val="FootnoteReference"/>
          <w:rFonts w:ascii="Times New Roman" w:hAnsi="Times New Roman" w:cs="Calibri"/>
          <w:color w:val="000000"/>
          <w:sz w:val="24"/>
          <w:szCs w:val="24"/>
          <w:u w:color="000000"/>
          <w:bdr w:val="nil"/>
        </w:rPr>
        <w:footnoteReference w:id="25"/>
      </w:r>
      <w:r>
        <w:rPr>
          <w:rFonts w:ascii="Times New Roman" w:hAnsi="Times New Roman" w:cs="Calibri"/>
          <w:color w:val="000000"/>
          <w:sz w:val="24"/>
          <w:szCs w:val="24"/>
          <w:u w:color="000000"/>
          <w:bdr w:val="nil"/>
        </w:rPr>
        <w:t xml:space="preserve"> Some residents indicated</w:t>
      </w:r>
      <w:r w:rsidR="00705858">
        <w:rPr>
          <w:rFonts w:ascii="Times New Roman" w:hAnsi="Times New Roman" w:cs="Calibri"/>
          <w:color w:val="000000"/>
          <w:sz w:val="24"/>
          <w:szCs w:val="24"/>
          <w:u w:color="000000"/>
          <w:bdr w:val="nil"/>
        </w:rPr>
        <w:t xml:space="preserve"> that</w:t>
      </w:r>
      <w:r>
        <w:rPr>
          <w:rFonts w:ascii="Times New Roman" w:hAnsi="Times New Roman" w:cs="Calibri"/>
          <w:color w:val="000000"/>
          <w:sz w:val="24"/>
          <w:szCs w:val="24"/>
          <w:u w:color="000000"/>
          <w:bdr w:val="nil"/>
        </w:rPr>
        <w:t xml:space="preserve"> they were not receiving their fair share of the funds.</w:t>
      </w:r>
      <w:r>
        <w:rPr>
          <w:rStyle w:val="FootnoteReference"/>
          <w:rFonts w:ascii="Times New Roman" w:hAnsi="Times New Roman" w:cs="Calibri"/>
          <w:color w:val="000000"/>
          <w:sz w:val="24"/>
          <w:szCs w:val="24"/>
          <w:u w:color="000000"/>
          <w:bdr w:val="nil"/>
        </w:rPr>
        <w:footnoteReference w:id="26"/>
      </w:r>
      <w:r>
        <w:rPr>
          <w:rFonts w:ascii="Times New Roman" w:hAnsi="Times New Roman" w:cs="Calibri"/>
          <w:color w:val="000000"/>
          <w:sz w:val="24"/>
          <w:szCs w:val="24"/>
          <w:u w:color="000000"/>
          <w:bdr w:val="nil"/>
        </w:rPr>
        <w:t xml:space="preserve"> Residents also testified that they did not always receive budgets or accurate accountings of TPA expenditures from NYCHA.</w:t>
      </w:r>
      <w:r>
        <w:rPr>
          <w:rStyle w:val="FootnoteReference"/>
          <w:rFonts w:ascii="Times New Roman" w:hAnsi="Times New Roman" w:cs="Calibri"/>
          <w:color w:val="000000"/>
          <w:sz w:val="24"/>
          <w:szCs w:val="24"/>
          <w:u w:color="000000"/>
          <w:bdr w:val="nil"/>
        </w:rPr>
        <w:footnoteReference w:id="27"/>
      </w:r>
      <w:r>
        <w:rPr>
          <w:rFonts w:ascii="Times New Roman" w:hAnsi="Times New Roman" w:cs="Calibri"/>
          <w:color w:val="000000"/>
          <w:sz w:val="24"/>
          <w:szCs w:val="24"/>
          <w:u w:color="000000"/>
          <w:bdr w:val="nil"/>
        </w:rPr>
        <w:t xml:space="preserve"> </w:t>
      </w:r>
      <w:r w:rsidR="007A5671">
        <w:rPr>
          <w:rFonts w:ascii="Times New Roman" w:hAnsi="Times New Roman" w:cs="Calibri"/>
          <w:color w:val="000000"/>
          <w:sz w:val="24"/>
          <w:szCs w:val="24"/>
          <w:u w:color="000000"/>
          <w:bdr w:val="nil"/>
        </w:rPr>
        <w:t xml:space="preserve">In 2018, NYCHA began to become more transparent by </w:t>
      </w:r>
      <w:r w:rsidR="00955914">
        <w:rPr>
          <w:rFonts w:ascii="Times New Roman" w:hAnsi="Times New Roman" w:cs="Calibri"/>
          <w:color w:val="000000"/>
          <w:sz w:val="24"/>
          <w:szCs w:val="24"/>
          <w:u w:color="000000"/>
          <w:bdr w:val="nil"/>
        </w:rPr>
        <w:t>releasing quarterly</w:t>
      </w:r>
      <w:r w:rsidR="007A5671">
        <w:rPr>
          <w:rFonts w:ascii="Times New Roman" w:hAnsi="Times New Roman" w:cs="Calibri"/>
          <w:color w:val="000000"/>
          <w:sz w:val="24"/>
          <w:szCs w:val="24"/>
          <w:u w:color="000000"/>
          <w:bdr w:val="nil"/>
        </w:rPr>
        <w:t xml:space="preserve"> reports on the amount of TPA funds a</w:t>
      </w:r>
      <w:r>
        <w:rPr>
          <w:rFonts w:ascii="Times New Roman" w:hAnsi="Times New Roman" w:cs="Calibri"/>
          <w:color w:val="000000"/>
          <w:sz w:val="24"/>
          <w:szCs w:val="24"/>
          <w:u w:color="000000"/>
          <w:bdr w:val="nil"/>
        </w:rPr>
        <w:t>vailable to NYCHA developments.</w:t>
      </w:r>
      <w:r w:rsidR="00955914">
        <w:rPr>
          <w:rStyle w:val="FootnoteReference"/>
          <w:rFonts w:ascii="Times New Roman" w:hAnsi="Times New Roman" w:cs="Calibri"/>
          <w:color w:val="000000"/>
          <w:sz w:val="24"/>
          <w:szCs w:val="24"/>
          <w:u w:color="000000"/>
          <w:bdr w:val="nil"/>
        </w:rPr>
        <w:footnoteReference w:id="28"/>
      </w:r>
      <w:r w:rsidR="00AA3671">
        <w:rPr>
          <w:rFonts w:ascii="Times New Roman" w:hAnsi="Times New Roman" w:cs="Calibri"/>
          <w:color w:val="000000"/>
          <w:sz w:val="24"/>
          <w:szCs w:val="24"/>
          <w:u w:color="000000"/>
          <w:bdr w:val="nil"/>
        </w:rPr>
        <w:t xml:space="preserve"> </w:t>
      </w:r>
      <w:r w:rsidR="007A5671">
        <w:rPr>
          <w:rFonts w:ascii="Times New Roman" w:hAnsi="Times New Roman" w:cs="Calibri"/>
          <w:color w:val="000000"/>
          <w:sz w:val="24"/>
          <w:szCs w:val="24"/>
          <w:u w:color="000000"/>
          <w:bdr w:val="nil"/>
        </w:rPr>
        <w:t xml:space="preserve">These quarterly reports provide a summary on </w:t>
      </w:r>
      <w:r w:rsidR="00AA3671">
        <w:rPr>
          <w:rFonts w:ascii="Times New Roman" w:hAnsi="Times New Roman" w:cs="Calibri"/>
          <w:color w:val="000000"/>
          <w:sz w:val="24"/>
          <w:szCs w:val="24"/>
          <w:u w:color="000000"/>
          <w:bdr w:val="nil"/>
        </w:rPr>
        <w:t xml:space="preserve">the use of these funds, </w:t>
      </w:r>
      <w:r w:rsidR="007A5671">
        <w:rPr>
          <w:rFonts w:ascii="Times New Roman" w:hAnsi="Times New Roman" w:cs="Calibri"/>
          <w:color w:val="000000"/>
          <w:sz w:val="24"/>
          <w:szCs w:val="24"/>
          <w:u w:color="000000"/>
          <w:bdr w:val="nil"/>
        </w:rPr>
        <w:t>how much money was rolled over to the following ye</w:t>
      </w:r>
      <w:r w:rsidR="00AA3671">
        <w:rPr>
          <w:rFonts w:ascii="Times New Roman" w:hAnsi="Times New Roman" w:cs="Calibri"/>
          <w:color w:val="000000"/>
          <w:sz w:val="24"/>
          <w:szCs w:val="24"/>
          <w:u w:color="000000"/>
          <w:bdr w:val="nil"/>
        </w:rPr>
        <w:t>ar and the total budget for each</w:t>
      </w:r>
      <w:r w:rsidR="007A5671">
        <w:rPr>
          <w:rFonts w:ascii="Times New Roman" w:hAnsi="Times New Roman" w:cs="Calibri"/>
          <w:color w:val="000000"/>
          <w:sz w:val="24"/>
          <w:szCs w:val="24"/>
          <w:u w:color="000000"/>
          <w:bdr w:val="nil"/>
        </w:rPr>
        <w:t xml:space="preserve"> development.</w:t>
      </w:r>
      <w:r w:rsidR="007A5671">
        <w:rPr>
          <w:rStyle w:val="FootnoteReference"/>
          <w:rFonts w:ascii="Times New Roman" w:hAnsi="Times New Roman" w:cs="Calibri"/>
          <w:color w:val="000000"/>
          <w:sz w:val="24"/>
          <w:szCs w:val="24"/>
          <w:u w:color="000000"/>
          <w:bdr w:val="nil"/>
        </w:rPr>
        <w:footnoteReference w:id="29"/>
      </w:r>
    </w:p>
    <w:p w:rsidR="009D60DB" w:rsidRPr="0034397F" w:rsidRDefault="009D60DB" w:rsidP="004131EB">
      <w:pPr>
        <w:numPr>
          <w:ilvl w:val="1"/>
          <w:numId w:val="2"/>
        </w:numPr>
        <w:pBdr>
          <w:top w:val="nil"/>
          <w:left w:val="nil"/>
          <w:bottom w:val="nil"/>
          <w:right w:val="nil"/>
          <w:between w:val="nil"/>
          <w:bar w:val="nil"/>
        </w:pBdr>
        <w:spacing w:line="480" w:lineRule="auto"/>
        <w:ind w:left="360"/>
        <w:jc w:val="both"/>
        <w:rPr>
          <w:rFonts w:ascii="Times New Roman" w:eastAsia="Times New Roman" w:hAnsi="Times New Roman"/>
          <w:i/>
          <w:iCs/>
          <w:color w:val="000000"/>
          <w:sz w:val="24"/>
          <w:szCs w:val="24"/>
          <w:u w:color="000000"/>
          <w:bdr w:val="nil"/>
        </w:rPr>
      </w:pPr>
      <w:r w:rsidRPr="0034397F">
        <w:rPr>
          <w:rFonts w:ascii="Times New Roman" w:hAnsi="Times New Roman" w:cs="Calibri"/>
          <w:i/>
          <w:iCs/>
          <w:color w:val="000000"/>
          <w:sz w:val="24"/>
          <w:szCs w:val="24"/>
          <w:u w:color="000000"/>
          <w:bdr w:val="nil"/>
        </w:rPr>
        <w:t>Usage of TPA Funds</w:t>
      </w:r>
    </w:p>
    <w:p w:rsidR="007A5671" w:rsidRDefault="009D60DB" w:rsidP="004131EB">
      <w:pPr>
        <w:spacing w:after="0" w:line="480" w:lineRule="auto"/>
        <w:ind w:firstLine="720"/>
        <w:jc w:val="both"/>
        <w:rPr>
          <w:rFonts w:ascii="Times New Roman" w:hAnsi="Times New Roman" w:cs="Calibri"/>
          <w:color w:val="000000"/>
          <w:sz w:val="24"/>
          <w:szCs w:val="24"/>
          <w:u w:color="000000"/>
          <w:bdr w:val="nil"/>
        </w:rPr>
      </w:pPr>
      <w:r w:rsidRPr="0034397F">
        <w:rPr>
          <w:rFonts w:ascii="Times New Roman" w:hAnsi="Times New Roman" w:cs="Calibri"/>
          <w:color w:val="000000"/>
          <w:sz w:val="24"/>
          <w:szCs w:val="24"/>
          <w:u w:color="000000"/>
          <w:bdr w:val="nil"/>
        </w:rPr>
        <w:t>Each Resident C</w:t>
      </w:r>
      <w:r w:rsidR="00392A38">
        <w:rPr>
          <w:rFonts w:ascii="Times New Roman" w:hAnsi="Times New Roman" w:cs="Calibri"/>
          <w:color w:val="000000"/>
          <w:sz w:val="24"/>
          <w:szCs w:val="24"/>
          <w:u w:color="000000"/>
          <w:bdr w:val="nil"/>
        </w:rPr>
        <w:t>ouncil can determine for itself</w:t>
      </w:r>
      <w:r w:rsidRPr="0034397F">
        <w:rPr>
          <w:rFonts w:ascii="Times New Roman" w:hAnsi="Times New Roman" w:cs="Calibri"/>
          <w:color w:val="000000"/>
          <w:sz w:val="24"/>
          <w:szCs w:val="24"/>
          <w:u w:color="000000"/>
          <w:bdr w:val="nil"/>
        </w:rPr>
        <w:t xml:space="preserve"> which tenant participation activities it will pursue, </w:t>
      </w:r>
      <w:r w:rsidR="007A5671">
        <w:rPr>
          <w:rFonts w:ascii="Times New Roman" w:hAnsi="Times New Roman" w:cs="Calibri"/>
          <w:color w:val="000000"/>
          <w:sz w:val="24"/>
          <w:szCs w:val="24"/>
          <w:u w:color="000000"/>
          <w:bdr w:val="nil"/>
        </w:rPr>
        <w:t>as</w:t>
      </w:r>
      <w:r w:rsidR="007A5671" w:rsidRPr="0034397F">
        <w:rPr>
          <w:rFonts w:ascii="Times New Roman" w:hAnsi="Times New Roman" w:cs="Calibri"/>
          <w:color w:val="000000"/>
          <w:sz w:val="24"/>
          <w:szCs w:val="24"/>
          <w:u w:color="000000"/>
          <w:bdr w:val="nil"/>
        </w:rPr>
        <w:t xml:space="preserve"> </w:t>
      </w:r>
      <w:r w:rsidRPr="0034397F">
        <w:rPr>
          <w:rFonts w:ascii="Times New Roman" w:hAnsi="Times New Roman" w:cs="Calibri"/>
          <w:color w:val="000000"/>
          <w:sz w:val="24"/>
          <w:szCs w:val="24"/>
          <w:u w:color="000000"/>
          <w:bdr w:val="nil"/>
        </w:rPr>
        <w:t xml:space="preserve">long as the proposed activities fulfill the following criteria: </w:t>
      </w:r>
    </w:p>
    <w:p w:rsidR="007A5671" w:rsidRDefault="009D60DB" w:rsidP="004131EB">
      <w:pPr>
        <w:spacing w:after="0" w:line="480" w:lineRule="auto"/>
        <w:ind w:firstLine="720"/>
        <w:jc w:val="both"/>
        <w:rPr>
          <w:rFonts w:ascii="Times New Roman" w:hAnsi="Times New Roman" w:cs="Calibri"/>
          <w:color w:val="000000"/>
          <w:sz w:val="24"/>
          <w:szCs w:val="24"/>
          <w:u w:color="000000"/>
          <w:bdr w:val="nil"/>
        </w:rPr>
      </w:pPr>
      <w:r w:rsidRPr="0034397F">
        <w:rPr>
          <w:rFonts w:ascii="Times New Roman" w:hAnsi="Times New Roman" w:cs="Calibri"/>
          <w:color w:val="000000"/>
          <w:sz w:val="24"/>
          <w:szCs w:val="24"/>
          <w:u w:color="000000"/>
          <w:bdr w:val="nil"/>
        </w:rPr>
        <w:t xml:space="preserve">1) </w:t>
      </w:r>
      <w:r w:rsidR="007A5671" w:rsidRPr="0034397F">
        <w:rPr>
          <w:rFonts w:ascii="Times New Roman" w:hAnsi="Times New Roman" w:cs="Calibri"/>
          <w:color w:val="000000"/>
          <w:sz w:val="24"/>
          <w:szCs w:val="24"/>
          <w:u w:color="000000"/>
          <w:bdr w:val="nil"/>
        </w:rPr>
        <w:t>Meet</w:t>
      </w:r>
      <w:r w:rsidRPr="0034397F">
        <w:rPr>
          <w:rFonts w:ascii="Times New Roman" w:hAnsi="Times New Roman" w:cs="Calibri"/>
          <w:color w:val="000000"/>
          <w:sz w:val="24"/>
          <w:szCs w:val="24"/>
          <w:u w:color="000000"/>
          <w:bdr w:val="nil"/>
        </w:rPr>
        <w:t xml:space="preserve"> the intent of HUD’s regulations</w:t>
      </w:r>
      <w:r w:rsidR="007A5671">
        <w:rPr>
          <w:rStyle w:val="FootnoteReference"/>
          <w:rFonts w:ascii="Times New Roman" w:hAnsi="Times New Roman" w:cs="Calibri"/>
          <w:color w:val="000000"/>
          <w:sz w:val="24"/>
          <w:szCs w:val="24"/>
          <w:u w:color="000000"/>
          <w:bdr w:val="nil"/>
        </w:rPr>
        <w:footnoteReference w:id="30"/>
      </w:r>
      <w:r w:rsidRPr="0034397F">
        <w:rPr>
          <w:rFonts w:ascii="Times New Roman" w:hAnsi="Times New Roman" w:cs="Calibri"/>
          <w:color w:val="000000"/>
          <w:sz w:val="24"/>
          <w:szCs w:val="24"/>
          <w:u w:color="000000"/>
          <w:bdr w:val="nil"/>
        </w:rPr>
        <w:t xml:space="preserve"> </w:t>
      </w:r>
    </w:p>
    <w:p w:rsidR="007A5671" w:rsidRDefault="009D60DB" w:rsidP="004131EB">
      <w:pPr>
        <w:spacing w:after="0" w:line="480" w:lineRule="auto"/>
        <w:ind w:left="720"/>
        <w:jc w:val="both"/>
        <w:rPr>
          <w:rFonts w:ascii="Times New Roman" w:hAnsi="Times New Roman" w:cs="Calibri"/>
          <w:color w:val="000000"/>
          <w:sz w:val="24"/>
          <w:szCs w:val="24"/>
          <w:u w:color="000000"/>
          <w:bdr w:val="nil"/>
        </w:rPr>
      </w:pPr>
      <w:r w:rsidRPr="0034397F">
        <w:rPr>
          <w:rFonts w:ascii="Times New Roman" w:hAnsi="Times New Roman" w:cs="Calibri"/>
          <w:color w:val="000000"/>
          <w:sz w:val="24"/>
          <w:szCs w:val="24"/>
          <w:u w:color="000000"/>
          <w:bdr w:val="nil"/>
        </w:rPr>
        <w:lastRenderedPageBreak/>
        <w:t xml:space="preserve">2) </w:t>
      </w:r>
      <w:r w:rsidR="007A5671" w:rsidRPr="0034397F">
        <w:rPr>
          <w:rFonts w:ascii="Times New Roman" w:hAnsi="Times New Roman" w:cs="Calibri"/>
          <w:color w:val="000000"/>
          <w:sz w:val="24"/>
          <w:szCs w:val="24"/>
          <w:u w:color="000000"/>
          <w:bdr w:val="nil"/>
        </w:rPr>
        <w:t>Comply</w:t>
      </w:r>
      <w:r w:rsidRPr="0034397F">
        <w:rPr>
          <w:rFonts w:ascii="Times New Roman" w:hAnsi="Times New Roman" w:cs="Calibri"/>
          <w:color w:val="000000"/>
          <w:sz w:val="24"/>
          <w:szCs w:val="24"/>
          <w:u w:color="000000"/>
          <w:bdr w:val="nil"/>
        </w:rPr>
        <w:t xml:space="preserve"> with NYCHA’s Tenant Participation Funding guidelines and </w:t>
      </w:r>
      <w:r w:rsidR="00705858">
        <w:rPr>
          <w:rFonts w:ascii="Times New Roman" w:hAnsi="Times New Roman" w:cs="Calibri"/>
          <w:color w:val="000000"/>
          <w:sz w:val="24"/>
          <w:szCs w:val="24"/>
          <w:u w:color="000000"/>
          <w:bdr w:val="nil"/>
        </w:rPr>
        <w:t>p</w:t>
      </w:r>
      <w:r w:rsidR="00705858" w:rsidRPr="0034397F">
        <w:rPr>
          <w:rFonts w:ascii="Times New Roman" w:hAnsi="Times New Roman" w:cs="Calibri"/>
          <w:color w:val="000000"/>
          <w:sz w:val="24"/>
          <w:szCs w:val="24"/>
          <w:u w:color="000000"/>
          <w:bdr w:val="nil"/>
        </w:rPr>
        <w:t xml:space="preserve">rocurement </w:t>
      </w:r>
      <w:r w:rsidRPr="0034397F">
        <w:rPr>
          <w:rFonts w:ascii="Times New Roman" w:hAnsi="Times New Roman" w:cs="Calibri"/>
          <w:color w:val="000000"/>
          <w:sz w:val="24"/>
          <w:szCs w:val="24"/>
          <w:u w:color="000000"/>
          <w:bdr w:val="nil"/>
        </w:rPr>
        <w:t>policies</w:t>
      </w:r>
      <w:r w:rsidR="007A5671">
        <w:rPr>
          <w:rStyle w:val="FootnoteReference"/>
          <w:rFonts w:ascii="Times New Roman" w:hAnsi="Times New Roman" w:cs="Calibri"/>
          <w:color w:val="000000"/>
          <w:sz w:val="24"/>
          <w:szCs w:val="24"/>
          <w:u w:color="000000"/>
          <w:bdr w:val="nil"/>
        </w:rPr>
        <w:footnoteReference w:id="31"/>
      </w:r>
      <w:r w:rsidRPr="0034397F">
        <w:rPr>
          <w:rFonts w:ascii="Times New Roman" w:hAnsi="Times New Roman" w:cs="Calibri"/>
          <w:color w:val="000000"/>
          <w:sz w:val="24"/>
          <w:szCs w:val="24"/>
          <w:u w:color="000000"/>
          <w:bdr w:val="nil"/>
        </w:rPr>
        <w:t xml:space="preserve"> </w:t>
      </w:r>
    </w:p>
    <w:p w:rsidR="00392A38" w:rsidRDefault="009D60DB" w:rsidP="004131EB">
      <w:pPr>
        <w:spacing w:after="0" w:line="480" w:lineRule="auto"/>
        <w:ind w:left="720"/>
        <w:jc w:val="both"/>
        <w:rPr>
          <w:rFonts w:ascii="Times New Roman" w:hAnsi="Times New Roman" w:cs="Calibri"/>
          <w:color w:val="000000"/>
          <w:sz w:val="24"/>
          <w:szCs w:val="24"/>
          <w:u w:color="000000"/>
          <w:bdr w:val="nil"/>
        </w:rPr>
      </w:pPr>
      <w:r w:rsidRPr="0034397F">
        <w:rPr>
          <w:rFonts w:ascii="Times New Roman" w:hAnsi="Times New Roman" w:cs="Calibri"/>
          <w:color w:val="000000"/>
          <w:sz w:val="24"/>
          <w:szCs w:val="24"/>
          <w:u w:color="000000"/>
          <w:bdr w:val="nil"/>
        </w:rPr>
        <w:t xml:space="preserve">3) </w:t>
      </w:r>
      <w:r w:rsidR="007A5671" w:rsidRPr="0034397F">
        <w:rPr>
          <w:rFonts w:ascii="Times New Roman" w:hAnsi="Times New Roman" w:cs="Calibri"/>
          <w:color w:val="000000"/>
          <w:sz w:val="24"/>
          <w:szCs w:val="24"/>
          <w:u w:color="000000"/>
          <w:bdr w:val="nil"/>
        </w:rPr>
        <w:t>Are</w:t>
      </w:r>
      <w:r w:rsidRPr="0034397F">
        <w:rPr>
          <w:rFonts w:ascii="Times New Roman" w:hAnsi="Times New Roman" w:cs="Calibri"/>
          <w:color w:val="000000"/>
          <w:sz w:val="24"/>
          <w:szCs w:val="24"/>
          <w:u w:color="000000"/>
          <w:bdr w:val="nil"/>
        </w:rPr>
        <w:t xml:space="preserve"> conducted in accordance with the Resident Council’s written agreement with NYCHA.</w:t>
      </w:r>
      <w:r w:rsidR="00392A38">
        <w:rPr>
          <w:rStyle w:val="FootnoteReference"/>
          <w:rFonts w:ascii="Times New Roman" w:hAnsi="Times New Roman" w:cs="Calibri"/>
          <w:color w:val="000000"/>
          <w:sz w:val="24"/>
          <w:szCs w:val="24"/>
          <w:u w:color="000000"/>
          <w:bdr w:val="nil"/>
        </w:rPr>
        <w:footnoteReference w:id="32"/>
      </w:r>
      <w:r w:rsidRPr="0034397F">
        <w:rPr>
          <w:rFonts w:ascii="Times New Roman" w:hAnsi="Times New Roman" w:cs="Calibri"/>
          <w:color w:val="000000"/>
          <w:sz w:val="24"/>
          <w:szCs w:val="24"/>
          <w:u w:color="000000"/>
          <w:bdr w:val="nil"/>
        </w:rPr>
        <w:t xml:space="preserve"> </w:t>
      </w:r>
    </w:p>
    <w:p w:rsidR="007A5671" w:rsidRDefault="009D60DB" w:rsidP="004131EB">
      <w:pPr>
        <w:spacing w:after="0" w:line="480" w:lineRule="auto"/>
        <w:ind w:firstLine="720"/>
        <w:jc w:val="both"/>
        <w:rPr>
          <w:rFonts w:ascii="Times New Roman" w:hAnsi="Times New Roman" w:cs="Calibri"/>
          <w:color w:val="000000"/>
          <w:sz w:val="24"/>
          <w:szCs w:val="24"/>
          <w:u w:color="000000"/>
          <w:bdr w:val="nil"/>
        </w:rPr>
      </w:pPr>
      <w:r w:rsidRPr="0034397F">
        <w:rPr>
          <w:rFonts w:ascii="Times New Roman" w:hAnsi="Times New Roman" w:cs="Calibri"/>
          <w:color w:val="000000"/>
          <w:sz w:val="24"/>
          <w:szCs w:val="24"/>
          <w:u w:color="000000"/>
          <w:bdr w:val="nil"/>
        </w:rPr>
        <w:t>Moreover, Resident Councils may only use TPA Funds for eligible activities to benefit authorized residents of NYCHA public housing developments and maximize resident participation. Residents must be listed on the official Family Composition</w:t>
      </w:r>
      <w:r w:rsidR="0060686D">
        <w:rPr>
          <w:rStyle w:val="FootnoteReference"/>
          <w:rFonts w:ascii="Times New Roman" w:hAnsi="Times New Roman" w:cs="Calibri"/>
          <w:color w:val="000000"/>
          <w:sz w:val="24"/>
          <w:szCs w:val="24"/>
          <w:u w:color="000000"/>
          <w:bdr w:val="nil"/>
        </w:rPr>
        <w:footnoteReference w:id="33"/>
      </w:r>
      <w:r w:rsidRPr="0034397F">
        <w:rPr>
          <w:rFonts w:ascii="Times New Roman" w:hAnsi="Times New Roman" w:cs="Calibri"/>
          <w:color w:val="000000"/>
          <w:sz w:val="24"/>
          <w:szCs w:val="24"/>
          <w:u w:color="000000"/>
          <w:bdr w:val="nil"/>
        </w:rPr>
        <w:t xml:space="preserve"> for a public housing unit in order to participate in tenant participation activities funded by TPA Funds.</w:t>
      </w:r>
      <w:r w:rsidR="00392A38">
        <w:rPr>
          <w:rStyle w:val="FootnoteReference"/>
          <w:rFonts w:ascii="Times New Roman" w:hAnsi="Times New Roman" w:cs="Calibri"/>
          <w:color w:val="000000"/>
          <w:sz w:val="24"/>
          <w:szCs w:val="24"/>
          <w:u w:color="000000"/>
          <w:bdr w:val="nil"/>
        </w:rPr>
        <w:footnoteReference w:id="34"/>
      </w:r>
      <w:r w:rsidRPr="0034397F">
        <w:rPr>
          <w:rFonts w:ascii="Times New Roman" w:hAnsi="Times New Roman" w:cs="Calibri"/>
          <w:color w:val="000000"/>
          <w:sz w:val="24"/>
          <w:szCs w:val="24"/>
          <w:u w:color="000000"/>
          <w:bdr w:val="nil"/>
        </w:rPr>
        <w:t xml:space="preserve"> </w:t>
      </w:r>
    </w:p>
    <w:p w:rsidR="0088016C" w:rsidRPr="00A57501" w:rsidRDefault="009D60DB" w:rsidP="004131EB">
      <w:pPr>
        <w:spacing w:after="0" w:line="480" w:lineRule="auto"/>
        <w:ind w:firstLine="720"/>
        <w:jc w:val="both"/>
        <w:rPr>
          <w:rFonts w:ascii="Times New Roman" w:hAnsi="Times New Roman" w:cs="Calibri"/>
          <w:color w:val="000000"/>
          <w:sz w:val="24"/>
          <w:szCs w:val="24"/>
          <w:u w:color="000000"/>
          <w:bdr w:val="nil"/>
        </w:rPr>
      </w:pPr>
      <w:r w:rsidRPr="0034397F">
        <w:rPr>
          <w:rFonts w:ascii="Times New Roman" w:hAnsi="Times New Roman" w:cs="Calibri"/>
          <w:color w:val="000000"/>
          <w:sz w:val="24"/>
          <w:szCs w:val="24"/>
          <w:u w:color="000000"/>
          <w:bdr w:val="nil"/>
        </w:rPr>
        <w:t>Examples of common tenant participation activities as stated in the TPA Guidebook include stipends for Resident Council officers; consulting services; Family Day events if structured to offer certain self-sufficiency activities</w:t>
      </w:r>
      <w:r w:rsidR="0060686D">
        <w:rPr>
          <w:rFonts w:ascii="Times New Roman" w:hAnsi="Times New Roman" w:cs="Calibri"/>
          <w:color w:val="000000"/>
          <w:sz w:val="24"/>
          <w:szCs w:val="24"/>
          <w:u w:color="000000"/>
          <w:bdr w:val="nil"/>
        </w:rPr>
        <w:t xml:space="preserve"> like potential employment and training opportunities, or information on community-based organizations</w:t>
      </w:r>
      <w:r w:rsidRPr="0034397F">
        <w:rPr>
          <w:rFonts w:ascii="Times New Roman" w:hAnsi="Times New Roman" w:cs="Calibri"/>
          <w:color w:val="000000"/>
          <w:sz w:val="24"/>
          <w:szCs w:val="24"/>
          <w:u w:color="000000"/>
          <w:bdr w:val="nil"/>
        </w:rPr>
        <w:t>; and conferences, retreats, travel and lodging.</w:t>
      </w:r>
      <w:r w:rsidRPr="0034397F">
        <w:rPr>
          <w:rFonts w:ascii="Times New Roman" w:eastAsia="Times New Roman" w:hAnsi="Times New Roman"/>
          <w:color w:val="000000"/>
          <w:sz w:val="24"/>
          <w:szCs w:val="24"/>
          <w:u w:color="000000"/>
          <w:bdr w:val="nil"/>
          <w:vertAlign w:val="superscript"/>
        </w:rPr>
        <w:footnoteReference w:id="35"/>
      </w:r>
    </w:p>
    <w:p w:rsidR="00955914" w:rsidRPr="00ED7DDD" w:rsidRDefault="00B15A0E" w:rsidP="004131EB">
      <w:pPr>
        <w:widowControl w:val="0"/>
        <w:spacing w:line="480" w:lineRule="auto"/>
        <w:ind w:left="360"/>
        <w:jc w:val="both"/>
        <w:rPr>
          <w:rFonts w:ascii="Times New Roman" w:eastAsia="Times New Roman" w:hAnsi="Times New Roman"/>
          <w:b/>
          <w:bCs/>
          <w:color w:val="000000"/>
          <w:sz w:val="24"/>
          <w:szCs w:val="24"/>
          <w:bdr w:val="none" w:sz="0" w:space="0" w:color="auto" w:frame="1"/>
        </w:rPr>
      </w:pPr>
      <w:r w:rsidRPr="00ED7DDD">
        <w:rPr>
          <w:rFonts w:ascii="Times New Roman" w:hAnsi="Times New Roman"/>
          <w:b/>
          <w:color w:val="333333"/>
          <w:sz w:val="24"/>
          <w:szCs w:val="24"/>
          <w:shd w:val="clear" w:color="auto" w:fill="FFFFFF"/>
        </w:rPr>
        <w:t xml:space="preserve">IV. </w:t>
      </w:r>
      <w:r w:rsidR="00955914" w:rsidRPr="00ED7DDD">
        <w:rPr>
          <w:rFonts w:ascii="Times New Roman" w:hAnsi="Times New Roman" w:cs="Calibri"/>
          <w:b/>
          <w:bCs/>
          <w:color w:val="000000"/>
          <w:sz w:val="24"/>
          <w:szCs w:val="24"/>
          <w:bdr w:val="none" w:sz="0" w:space="0" w:color="auto" w:frame="1"/>
        </w:rPr>
        <w:t xml:space="preserve">Modernizing Tenant Participation Activity Funds </w:t>
      </w:r>
    </w:p>
    <w:p w:rsidR="00AA3671" w:rsidRDefault="00955914" w:rsidP="00D52C20">
      <w:pPr>
        <w:widowControl w:val="0"/>
        <w:spacing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t>In November 2015, NYCHA announced a new process to allocate TPA Funds through an online system.</w:t>
      </w:r>
      <w:r>
        <w:rPr>
          <w:rFonts w:ascii="Times New Roman" w:hAnsi="Times New Roman" w:cs="Calibri"/>
          <w:color w:val="000000"/>
          <w:sz w:val="24"/>
          <w:szCs w:val="24"/>
          <w:bdr w:val="none" w:sz="0" w:space="0" w:color="auto" w:frame="1"/>
          <w:vertAlign w:val="superscript"/>
        </w:rPr>
        <w:footnoteReference w:id="36"/>
      </w:r>
      <w:r>
        <w:rPr>
          <w:rFonts w:ascii="Times New Roman" w:hAnsi="Times New Roman" w:cs="Calibri"/>
          <w:color w:val="000000"/>
          <w:sz w:val="24"/>
          <w:szCs w:val="24"/>
          <w:bdr w:val="none" w:sz="0" w:space="0" w:color="auto" w:frame="1"/>
        </w:rPr>
        <w:t xml:space="preserve"> Under the new process, before the Resident Council presidents can use TPA Funds, they must first obtain approval from NYCHA. The new NYCHA approval process has the following steps: </w:t>
      </w:r>
    </w:p>
    <w:p w:rsidR="00AA3671" w:rsidRDefault="00955914" w:rsidP="004131EB">
      <w:pPr>
        <w:widowControl w:val="0"/>
        <w:spacing w:after="0"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lastRenderedPageBreak/>
        <w:t xml:space="preserve">1) </w:t>
      </w:r>
      <w:r w:rsidR="00ED7DDD">
        <w:rPr>
          <w:rFonts w:ascii="Times New Roman" w:hAnsi="Times New Roman" w:cs="Calibri"/>
          <w:color w:val="000000"/>
          <w:sz w:val="24"/>
          <w:szCs w:val="24"/>
          <w:bdr w:val="none" w:sz="0" w:space="0" w:color="auto" w:frame="1"/>
        </w:rPr>
        <w:t>Prepare</w:t>
      </w:r>
      <w:r>
        <w:rPr>
          <w:rFonts w:ascii="Times New Roman" w:hAnsi="Times New Roman" w:cs="Calibri"/>
          <w:color w:val="000000"/>
          <w:sz w:val="24"/>
          <w:szCs w:val="24"/>
          <w:bdr w:val="none" w:sz="0" w:space="0" w:color="auto" w:frame="1"/>
        </w:rPr>
        <w:t xml:space="preserve"> an annual spending plan</w:t>
      </w:r>
      <w:r w:rsidR="00AA3671">
        <w:rPr>
          <w:rStyle w:val="FootnoteReference"/>
          <w:rFonts w:ascii="Times New Roman" w:hAnsi="Times New Roman" w:cs="Calibri"/>
          <w:color w:val="000000"/>
          <w:sz w:val="24"/>
          <w:szCs w:val="24"/>
          <w:bdr w:val="none" w:sz="0" w:space="0" w:color="auto" w:frame="1"/>
        </w:rPr>
        <w:footnoteReference w:id="37"/>
      </w:r>
      <w:r>
        <w:rPr>
          <w:rFonts w:ascii="Times New Roman" w:hAnsi="Times New Roman" w:cs="Calibri"/>
          <w:color w:val="000000"/>
          <w:sz w:val="24"/>
          <w:szCs w:val="24"/>
          <w:bdr w:val="none" w:sz="0" w:space="0" w:color="auto" w:frame="1"/>
        </w:rPr>
        <w:t xml:space="preserve"> </w:t>
      </w:r>
    </w:p>
    <w:p w:rsidR="00AA3671" w:rsidRDefault="00955914" w:rsidP="004131EB">
      <w:pPr>
        <w:widowControl w:val="0"/>
        <w:spacing w:after="0"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t xml:space="preserve">2) </w:t>
      </w:r>
      <w:r w:rsidR="00ED7DDD">
        <w:rPr>
          <w:rFonts w:ascii="Times New Roman" w:hAnsi="Times New Roman" w:cs="Calibri"/>
          <w:color w:val="000000"/>
          <w:sz w:val="24"/>
          <w:szCs w:val="24"/>
          <w:bdr w:val="none" w:sz="0" w:space="0" w:color="auto" w:frame="1"/>
        </w:rPr>
        <w:t>Submit</w:t>
      </w:r>
      <w:r>
        <w:rPr>
          <w:rFonts w:ascii="Times New Roman" w:hAnsi="Times New Roman" w:cs="Calibri"/>
          <w:color w:val="000000"/>
          <w:sz w:val="24"/>
          <w:szCs w:val="24"/>
          <w:bdr w:val="none" w:sz="0" w:space="0" w:color="auto" w:frame="1"/>
        </w:rPr>
        <w:t xml:space="preserve"> proposals</w:t>
      </w:r>
      <w:r w:rsidR="00AA3671">
        <w:rPr>
          <w:rStyle w:val="FootnoteReference"/>
          <w:rFonts w:ascii="Times New Roman" w:hAnsi="Times New Roman" w:cs="Calibri"/>
          <w:color w:val="000000"/>
          <w:sz w:val="24"/>
          <w:szCs w:val="24"/>
          <w:bdr w:val="none" w:sz="0" w:space="0" w:color="auto" w:frame="1"/>
        </w:rPr>
        <w:footnoteReference w:id="38"/>
      </w:r>
    </w:p>
    <w:p w:rsidR="00AA3671" w:rsidRDefault="00955914" w:rsidP="004131EB">
      <w:pPr>
        <w:widowControl w:val="0"/>
        <w:spacing w:after="0"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t xml:space="preserve">3) </w:t>
      </w:r>
      <w:r w:rsidR="00ED7DDD">
        <w:rPr>
          <w:rFonts w:ascii="Times New Roman" w:hAnsi="Times New Roman" w:cs="Calibri"/>
          <w:color w:val="000000"/>
          <w:sz w:val="24"/>
          <w:szCs w:val="24"/>
          <w:bdr w:val="none" w:sz="0" w:space="0" w:color="auto" w:frame="1"/>
        </w:rPr>
        <w:t>Procure</w:t>
      </w:r>
      <w:r>
        <w:rPr>
          <w:rFonts w:ascii="Times New Roman" w:hAnsi="Times New Roman" w:cs="Calibri"/>
          <w:color w:val="000000"/>
          <w:sz w:val="24"/>
          <w:szCs w:val="24"/>
          <w:bdr w:val="none" w:sz="0" w:space="0" w:color="auto" w:frame="1"/>
        </w:rPr>
        <w:t xml:space="preserve"> goods and services</w:t>
      </w:r>
      <w:r w:rsidR="00AA3671">
        <w:rPr>
          <w:rStyle w:val="FootnoteReference"/>
          <w:rFonts w:ascii="Times New Roman" w:hAnsi="Times New Roman" w:cs="Calibri"/>
          <w:color w:val="000000"/>
          <w:sz w:val="24"/>
          <w:szCs w:val="24"/>
          <w:bdr w:val="none" w:sz="0" w:space="0" w:color="auto" w:frame="1"/>
        </w:rPr>
        <w:footnoteReference w:id="39"/>
      </w:r>
      <w:r>
        <w:rPr>
          <w:rFonts w:ascii="Times New Roman" w:hAnsi="Times New Roman" w:cs="Calibri"/>
          <w:color w:val="000000"/>
          <w:sz w:val="24"/>
          <w:szCs w:val="24"/>
          <w:bdr w:val="none" w:sz="0" w:space="0" w:color="auto" w:frame="1"/>
        </w:rPr>
        <w:t xml:space="preserve"> </w:t>
      </w:r>
    </w:p>
    <w:p w:rsidR="00AA3671" w:rsidRDefault="00ED7DDD" w:rsidP="004131EB">
      <w:pPr>
        <w:widowControl w:val="0"/>
        <w:spacing w:after="0"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t>4) P</w:t>
      </w:r>
      <w:r w:rsidR="00955914">
        <w:rPr>
          <w:rFonts w:ascii="Times New Roman" w:hAnsi="Times New Roman" w:cs="Calibri"/>
          <w:color w:val="000000"/>
          <w:sz w:val="24"/>
          <w:szCs w:val="24"/>
          <w:bdr w:val="none" w:sz="0" w:space="0" w:color="auto" w:frame="1"/>
        </w:rPr>
        <w:t>ay for goods and services</w:t>
      </w:r>
      <w:r w:rsidR="00AA3671">
        <w:rPr>
          <w:rStyle w:val="FootnoteReference"/>
          <w:rFonts w:ascii="Times New Roman" w:hAnsi="Times New Roman" w:cs="Calibri"/>
          <w:color w:val="000000"/>
          <w:sz w:val="24"/>
          <w:szCs w:val="24"/>
          <w:bdr w:val="none" w:sz="0" w:space="0" w:color="auto" w:frame="1"/>
        </w:rPr>
        <w:footnoteReference w:id="40"/>
      </w:r>
      <w:r w:rsidR="00955914">
        <w:rPr>
          <w:rFonts w:ascii="Times New Roman" w:hAnsi="Times New Roman" w:cs="Calibri"/>
          <w:color w:val="000000"/>
          <w:sz w:val="24"/>
          <w:szCs w:val="24"/>
          <w:bdr w:val="none" w:sz="0" w:space="0" w:color="auto" w:frame="1"/>
        </w:rPr>
        <w:t xml:space="preserve"> </w:t>
      </w:r>
    </w:p>
    <w:p w:rsidR="00AA3671" w:rsidRDefault="00955914" w:rsidP="004131EB">
      <w:pPr>
        <w:widowControl w:val="0"/>
        <w:spacing w:after="0"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t xml:space="preserve">5) </w:t>
      </w:r>
      <w:r w:rsidR="00ED7DDD">
        <w:rPr>
          <w:rFonts w:ascii="Times New Roman" w:hAnsi="Times New Roman" w:cs="Calibri"/>
          <w:color w:val="000000"/>
          <w:sz w:val="24"/>
          <w:szCs w:val="24"/>
          <w:bdr w:val="none" w:sz="0" w:space="0" w:color="auto" w:frame="1"/>
        </w:rPr>
        <w:t>Reconciling</w:t>
      </w:r>
      <w:r>
        <w:rPr>
          <w:rFonts w:ascii="Times New Roman" w:hAnsi="Times New Roman" w:cs="Calibri"/>
          <w:color w:val="000000"/>
          <w:sz w:val="24"/>
          <w:szCs w:val="24"/>
          <w:bdr w:val="none" w:sz="0" w:space="0" w:color="auto" w:frame="1"/>
        </w:rPr>
        <w:t xml:space="preserve"> expenses</w:t>
      </w:r>
      <w:r w:rsidR="00705858">
        <w:rPr>
          <w:rFonts w:ascii="Times New Roman" w:hAnsi="Times New Roman" w:cs="Calibri"/>
          <w:color w:val="000000"/>
          <w:sz w:val="24"/>
          <w:szCs w:val="24"/>
          <w:bdr w:val="none" w:sz="0" w:space="0" w:color="auto" w:frame="1"/>
        </w:rPr>
        <w:t>.</w:t>
      </w:r>
      <w:r>
        <w:rPr>
          <w:rFonts w:ascii="Times New Roman" w:eastAsia="Times New Roman" w:hAnsi="Times New Roman"/>
          <w:color w:val="000000"/>
          <w:sz w:val="24"/>
          <w:szCs w:val="24"/>
          <w:bdr w:val="none" w:sz="0" w:space="0" w:color="auto" w:frame="1"/>
          <w:vertAlign w:val="superscript"/>
        </w:rPr>
        <w:footnoteReference w:id="41"/>
      </w:r>
      <w:r>
        <w:rPr>
          <w:rFonts w:ascii="Times New Roman" w:hAnsi="Times New Roman" w:cs="Calibri"/>
          <w:color w:val="000000"/>
          <w:sz w:val="24"/>
          <w:szCs w:val="24"/>
          <w:bdr w:val="none" w:sz="0" w:space="0" w:color="auto" w:frame="1"/>
        </w:rPr>
        <w:t xml:space="preserve">  </w:t>
      </w:r>
    </w:p>
    <w:p w:rsidR="00955914" w:rsidRDefault="00955914" w:rsidP="004131EB">
      <w:pPr>
        <w:widowControl w:val="0"/>
        <w:spacing w:line="480" w:lineRule="auto"/>
        <w:ind w:firstLine="720"/>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 xml:space="preserve">During this process, NYCHA coordinators </w:t>
      </w:r>
      <w:r w:rsidR="00AA3671">
        <w:rPr>
          <w:rFonts w:ascii="Times New Roman" w:hAnsi="Times New Roman" w:cs="Calibri"/>
          <w:color w:val="000000"/>
          <w:sz w:val="24"/>
          <w:szCs w:val="24"/>
          <w:bdr w:val="none" w:sz="0" w:space="0" w:color="auto" w:frame="1"/>
        </w:rPr>
        <w:t xml:space="preserve">can assist resident tenant leaders with </w:t>
      </w:r>
      <w:r>
        <w:rPr>
          <w:rFonts w:ascii="Times New Roman" w:hAnsi="Times New Roman" w:cs="Calibri"/>
          <w:color w:val="000000"/>
          <w:sz w:val="24"/>
          <w:szCs w:val="24"/>
          <w:bdr w:val="none" w:sz="0" w:space="0" w:color="auto" w:frame="1"/>
        </w:rPr>
        <w:t>clarification</w:t>
      </w:r>
      <w:r w:rsidR="00AA3671">
        <w:rPr>
          <w:rFonts w:ascii="Times New Roman" w:hAnsi="Times New Roman" w:cs="Calibri"/>
          <w:color w:val="000000"/>
          <w:sz w:val="24"/>
          <w:szCs w:val="24"/>
          <w:bdr w:val="none" w:sz="0" w:space="0" w:color="auto" w:frame="1"/>
        </w:rPr>
        <w:t>s</w:t>
      </w:r>
      <w:r>
        <w:rPr>
          <w:rFonts w:ascii="Times New Roman" w:hAnsi="Times New Roman" w:cs="Calibri"/>
          <w:color w:val="000000"/>
          <w:sz w:val="24"/>
          <w:szCs w:val="24"/>
          <w:bdr w:val="none" w:sz="0" w:space="0" w:color="auto" w:frame="1"/>
        </w:rPr>
        <w:t xml:space="preserve"> </w:t>
      </w:r>
      <w:r w:rsidR="00AA3671">
        <w:rPr>
          <w:rFonts w:ascii="Times New Roman" w:hAnsi="Times New Roman" w:cs="Calibri"/>
          <w:color w:val="000000"/>
          <w:sz w:val="24"/>
          <w:szCs w:val="24"/>
          <w:bdr w:val="none" w:sz="0" w:space="0" w:color="auto" w:frame="1"/>
        </w:rPr>
        <w:t xml:space="preserve">to the process </w:t>
      </w:r>
      <w:r>
        <w:rPr>
          <w:rFonts w:ascii="Times New Roman" w:hAnsi="Times New Roman" w:cs="Calibri"/>
          <w:color w:val="000000"/>
          <w:sz w:val="24"/>
          <w:szCs w:val="24"/>
          <w:bdr w:val="none" w:sz="0" w:space="0" w:color="auto" w:frame="1"/>
        </w:rPr>
        <w:t xml:space="preserve">and </w:t>
      </w:r>
      <w:r w:rsidR="00AA3671">
        <w:rPr>
          <w:rFonts w:ascii="Times New Roman" w:hAnsi="Times New Roman" w:cs="Calibri"/>
          <w:color w:val="000000"/>
          <w:sz w:val="24"/>
          <w:szCs w:val="24"/>
          <w:bdr w:val="none" w:sz="0" w:space="0" w:color="auto" w:frame="1"/>
        </w:rPr>
        <w:t xml:space="preserve">give </w:t>
      </w:r>
      <w:r>
        <w:rPr>
          <w:rFonts w:ascii="Times New Roman" w:hAnsi="Times New Roman" w:cs="Calibri"/>
          <w:color w:val="000000"/>
          <w:sz w:val="24"/>
          <w:szCs w:val="24"/>
          <w:bdr w:val="none" w:sz="0" w:space="0" w:color="auto" w:frame="1"/>
        </w:rPr>
        <w:t>technical assistance. Resident Council leaders and board members</w:t>
      </w:r>
      <w:r w:rsidR="00AA3671">
        <w:rPr>
          <w:rFonts w:ascii="Times New Roman" w:hAnsi="Times New Roman" w:cs="Calibri"/>
          <w:color w:val="000000"/>
          <w:sz w:val="24"/>
          <w:szCs w:val="24"/>
          <w:bdr w:val="none" w:sz="0" w:space="0" w:color="auto" w:frame="1"/>
        </w:rPr>
        <w:t xml:space="preserve"> also receive </w:t>
      </w:r>
      <w:r>
        <w:rPr>
          <w:rFonts w:ascii="Times New Roman" w:hAnsi="Times New Roman" w:cs="Calibri"/>
          <w:color w:val="000000"/>
          <w:sz w:val="24"/>
          <w:szCs w:val="24"/>
          <w:bdr w:val="none" w:sz="0" w:space="0" w:color="auto" w:frame="1"/>
        </w:rPr>
        <w:t xml:space="preserve">financial training </w:t>
      </w:r>
      <w:r w:rsidR="00ED7DDD">
        <w:rPr>
          <w:rFonts w:ascii="Times New Roman" w:hAnsi="Times New Roman" w:cs="Calibri"/>
          <w:color w:val="000000"/>
          <w:sz w:val="24"/>
          <w:szCs w:val="24"/>
          <w:bdr w:val="none" w:sz="0" w:space="0" w:color="auto" w:frame="1"/>
        </w:rPr>
        <w:t>on</w:t>
      </w:r>
      <w:r>
        <w:rPr>
          <w:rFonts w:ascii="Times New Roman" w:hAnsi="Times New Roman" w:cs="Calibri"/>
          <w:color w:val="000000"/>
          <w:sz w:val="24"/>
          <w:szCs w:val="24"/>
          <w:bdr w:val="none" w:sz="0" w:space="0" w:color="auto" w:frame="1"/>
        </w:rPr>
        <w:t xml:space="preserve"> how to plan future events, report on spending, and how to keep track of their financ</w:t>
      </w:r>
      <w:r w:rsidR="0060686D">
        <w:rPr>
          <w:rFonts w:ascii="Times New Roman" w:hAnsi="Times New Roman" w:cs="Calibri"/>
          <w:color w:val="000000"/>
          <w:sz w:val="24"/>
          <w:szCs w:val="24"/>
          <w:bdr w:val="none" w:sz="0" w:space="0" w:color="auto" w:frame="1"/>
        </w:rPr>
        <w:t>es. NYCHA may withhold the TPA f</w:t>
      </w:r>
      <w:r>
        <w:rPr>
          <w:rFonts w:ascii="Times New Roman" w:hAnsi="Times New Roman" w:cs="Calibri"/>
          <w:color w:val="000000"/>
          <w:sz w:val="24"/>
          <w:szCs w:val="24"/>
          <w:bdr w:val="none" w:sz="0" w:space="0" w:color="auto" w:frame="1"/>
        </w:rPr>
        <w:t>unds or the Resident Council may not be recognized by NYCHA</w:t>
      </w:r>
      <w:r w:rsidR="00AA3671">
        <w:rPr>
          <w:rFonts w:ascii="Times New Roman" w:hAnsi="Times New Roman" w:cs="Calibri"/>
          <w:color w:val="000000"/>
          <w:sz w:val="24"/>
          <w:szCs w:val="24"/>
          <w:bdr w:val="none" w:sz="0" w:space="0" w:color="auto" w:frame="1"/>
        </w:rPr>
        <w:t xml:space="preserve"> if Resident Councils do not follow these procedures</w:t>
      </w:r>
      <w:r>
        <w:rPr>
          <w:rFonts w:ascii="Times New Roman" w:hAnsi="Times New Roman" w:cs="Calibri"/>
          <w:color w:val="000000"/>
          <w:sz w:val="24"/>
          <w:szCs w:val="24"/>
          <w:bdr w:val="none" w:sz="0" w:space="0" w:color="auto" w:frame="1"/>
        </w:rPr>
        <w:t>.</w:t>
      </w:r>
      <w:r>
        <w:rPr>
          <w:rFonts w:ascii="Times New Roman" w:eastAsia="Times New Roman" w:hAnsi="Times New Roman"/>
          <w:color w:val="000000"/>
          <w:sz w:val="24"/>
          <w:szCs w:val="24"/>
          <w:bdr w:val="none" w:sz="0" w:space="0" w:color="auto" w:frame="1"/>
          <w:vertAlign w:val="superscript"/>
        </w:rPr>
        <w:footnoteReference w:id="42"/>
      </w:r>
      <w:r>
        <w:rPr>
          <w:rFonts w:ascii="Times New Roman" w:hAnsi="Times New Roman" w:cs="Calibri"/>
          <w:color w:val="000000"/>
          <w:sz w:val="24"/>
          <w:szCs w:val="24"/>
          <w:bdr w:val="none" w:sz="0" w:space="0" w:color="auto" w:frame="1"/>
        </w:rPr>
        <w:t xml:space="preserve"> </w:t>
      </w:r>
    </w:p>
    <w:p w:rsidR="00955914" w:rsidRDefault="00955914" w:rsidP="004131EB">
      <w:pPr>
        <w:widowControl w:val="0"/>
        <w:numPr>
          <w:ilvl w:val="1"/>
          <w:numId w:val="3"/>
        </w:numPr>
        <w:spacing w:line="480" w:lineRule="auto"/>
        <w:jc w:val="both"/>
        <w:rPr>
          <w:rFonts w:ascii="Times New Roman" w:eastAsia="Times New Roman" w:hAnsi="Times New Roman"/>
          <w:i/>
          <w:iCs/>
          <w:color w:val="000000"/>
          <w:sz w:val="24"/>
          <w:szCs w:val="24"/>
          <w:bdr w:val="none" w:sz="0" w:space="0" w:color="auto" w:frame="1"/>
        </w:rPr>
      </w:pPr>
      <w:r>
        <w:rPr>
          <w:rFonts w:ascii="Times New Roman" w:hAnsi="Times New Roman" w:cs="Calibri"/>
          <w:i/>
          <w:iCs/>
          <w:color w:val="000000"/>
          <w:sz w:val="24"/>
          <w:szCs w:val="24"/>
          <w:bdr w:val="none" w:sz="0" w:space="0" w:color="auto" w:frame="1"/>
        </w:rPr>
        <w:t>Preparing the Annual Spending Plan</w:t>
      </w:r>
    </w:p>
    <w:p w:rsidR="007436E1" w:rsidRDefault="00955914" w:rsidP="004131EB">
      <w:pPr>
        <w:widowControl w:val="0"/>
        <w:spacing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t>Under the new process,</w:t>
      </w:r>
      <w:r>
        <w:rPr>
          <w:rFonts w:ascii="Times New Roman" w:hAnsi="Times New Roman" w:cs="Calibri"/>
          <w:color w:val="000000"/>
          <w:bdr w:val="none" w:sz="0" w:space="0" w:color="auto" w:frame="1"/>
        </w:rPr>
        <w:t xml:space="preserve"> </w:t>
      </w:r>
      <w:r>
        <w:rPr>
          <w:rFonts w:ascii="Times New Roman" w:hAnsi="Times New Roman" w:cs="Calibri"/>
          <w:color w:val="000000"/>
          <w:sz w:val="24"/>
          <w:szCs w:val="24"/>
          <w:bdr w:val="none" w:sz="0" w:space="0" w:color="auto" w:frame="1"/>
        </w:rPr>
        <w:t xml:space="preserve">Resident Councils </w:t>
      </w:r>
      <w:r w:rsidR="00447F7F">
        <w:rPr>
          <w:rFonts w:ascii="Times New Roman" w:hAnsi="Times New Roman" w:cs="Calibri"/>
          <w:color w:val="000000"/>
          <w:sz w:val="24"/>
          <w:szCs w:val="24"/>
          <w:bdr w:val="none" w:sz="0" w:space="0" w:color="auto" w:frame="1"/>
        </w:rPr>
        <w:t xml:space="preserve">must </w:t>
      </w:r>
      <w:r>
        <w:rPr>
          <w:rFonts w:ascii="Times New Roman" w:hAnsi="Times New Roman" w:cs="Calibri"/>
          <w:color w:val="000000"/>
          <w:sz w:val="24"/>
          <w:szCs w:val="24"/>
          <w:bdr w:val="none" w:sz="0" w:space="0" w:color="auto" w:frame="1"/>
        </w:rPr>
        <w:t xml:space="preserve">submit an Annual Spending Plan </w:t>
      </w:r>
      <w:r w:rsidR="00447F7F">
        <w:rPr>
          <w:rFonts w:ascii="Times New Roman" w:hAnsi="Times New Roman" w:cs="Calibri"/>
          <w:color w:val="000000"/>
          <w:sz w:val="24"/>
          <w:szCs w:val="24"/>
          <w:bdr w:val="none" w:sz="0" w:space="0" w:color="auto" w:frame="1"/>
        </w:rPr>
        <w:t xml:space="preserve">to NYCHA for </w:t>
      </w:r>
      <w:r>
        <w:rPr>
          <w:rFonts w:ascii="Times New Roman" w:hAnsi="Times New Roman" w:cs="Calibri"/>
          <w:color w:val="000000"/>
          <w:sz w:val="24"/>
          <w:szCs w:val="24"/>
          <w:bdr w:val="none" w:sz="0" w:space="0" w:color="auto" w:frame="1"/>
        </w:rPr>
        <w:t>each fiscal year (January 1- December 31).</w:t>
      </w:r>
      <w:r>
        <w:rPr>
          <w:rFonts w:ascii="Times New Roman" w:eastAsia="Times New Roman" w:hAnsi="Times New Roman"/>
          <w:color w:val="000000"/>
          <w:sz w:val="24"/>
          <w:szCs w:val="24"/>
          <w:bdr w:val="none" w:sz="0" w:space="0" w:color="auto" w:frame="1"/>
          <w:vertAlign w:val="superscript"/>
        </w:rPr>
        <w:footnoteReference w:id="43"/>
      </w:r>
      <w:r>
        <w:rPr>
          <w:rFonts w:ascii="Times New Roman" w:hAnsi="Times New Roman" w:cs="Calibri"/>
          <w:color w:val="000000"/>
          <w:sz w:val="24"/>
          <w:szCs w:val="24"/>
          <w:bdr w:val="none" w:sz="0" w:space="0" w:color="auto" w:frame="1"/>
        </w:rPr>
        <w:t xml:space="preserve"> By the end of July, NYCHA will send the Resident Councils a notice of their annual allocations for the upcoming fiscal year and </w:t>
      </w:r>
      <w:r w:rsidR="00447F7F">
        <w:rPr>
          <w:rFonts w:ascii="Times New Roman" w:hAnsi="Times New Roman" w:cs="Calibri"/>
          <w:color w:val="000000"/>
          <w:sz w:val="24"/>
          <w:szCs w:val="24"/>
          <w:bdr w:val="none" w:sz="0" w:space="0" w:color="auto" w:frame="1"/>
        </w:rPr>
        <w:t xml:space="preserve">the </w:t>
      </w:r>
      <w:r w:rsidR="00447F7F">
        <w:rPr>
          <w:rFonts w:ascii="Times New Roman" w:hAnsi="Times New Roman" w:cs="Calibri"/>
          <w:color w:val="000000"/>
          <w:sz w:val="24"/>
          <w:szCs w:val="24"/>
          <w:bdr w:val="none" w:sz="0" w:space="0" w:color="auto" w:frame="1"/>
        </w:rPr>
        <w:lastRenderedPageBreak/>
        <w:t>Resident Councils</w:t>
      </w:r>
      <w:r>
        <w:rPr>
          <w:rFonts w:ascii="Times New Roman" w:hAnsi="Times New Roman" w:cs="Calibri"/>
          <w:color w:val="000000"/>
          <w:sz w:val="24"/>
          <w:szCs w:val="24"/>
          <w:bdr w:val="none" w:sz="0" w:space="0" w:color="auto" w:frame="1"/>
        </w:rPr>
        <w:t xml:space="preserve"> have until October 31 to submit their spending plans to NYCHA.</w:t>
      </w:r>
      <w:r>
        <w:rPr>
          <w:rFonts w:ascii="Times New Roman" w:eastAsia="Times New Roman" w:hAnsi="Times New Roman"/>
          <w:color w:val="000000"/>
          <w:sz w:val="24"/>
          <w:szCs w:val="24"/>
          <w:bdr w:val="none" w:sz="0" w:space="0" w:color="auto" w:frame="1"/>
          <w:vertAlign w:val="superscript"/>
        </w:rPr>
        <w:footnoteReference w:id="44"/>
      </w:r>
      <w:r>
        <w:rPr>
          <w:rFonts w:ascii="Times New Roman" w:hAnsi="Times New Roman" w:cs="Calibri"/>
          <w:color w:val="000000"/>
          <w:sz w:val="24"/>
          <w:szCs w:val="24"/>
          <w:bdr w:val="none" w:sz="0" w:space="0" w:color="auto" w:frame="1"/>
        </w:rPr>
        <w:t xml:space="preserve"> </w:t>
      </w:r>
    </w:p>
    <w:p w:rsidR="00955914" w:rsidRPr="00492326" w:rsidRDefault="00955914" w:rsidP="004131EB">
      <w:pPr>
        <w:widowControl w:val="0"/>
        <w:spacing w:line="480" w:lineRule="auto"/>
        <w:ind w:firstLine="720"/>
        <w:jc w:val="both"/>
        <w:rPr>
          <w:rFonts w:ascii="Times New Roman" w:hAnsi="Times New Roman" w:cs="Calibri"/>
          <w:color w:val="000000"/>
          <w:bdr w:val="none" w:sz="0" w:space="0" w:color="auto" w:frame="1"/>
        </w:rPr>
      </w:pPr>
      <w:r>
        <w:rPr>
          <w:rFonts w:ascii="Times New Roman" w:hAnsi="Times New Roman" w:cs="Calibri"/>
          <w:color w:val="000000"/>
          <w:sz w:val="24"/>
          <w:szCs w:val="24"/>
          <w:bdr w:val="none" w:sz="0" w:space="0" w:color="auto" w:frame="1"/>
        </w:rPr>
        <w:t>The spending plan will document the activities and the expenses for NYCHA. If the Resident Council decides to fund their District Council, NYCHA will deduct 20 percent of the Resident Council’s TPA budget and allocate it to the District Council funds.</w:t>
      </w:r>
      <w:r>
        <w:rPr>
          <w:rFonts w:ascii="Times New Roman" w:eastAsia="Times New Roman" w:hAnsi="Times New Roman"/>
          <w:color w:val="000000"/>
          <w:sz w:val="24"/>
          <w:szCs w:val="24"/>
          <w:bdr w:val="none" w:sz="0" w:space="0" w:color="auto" w:frame="1"/>
          <w:vertAlign w:val="superscript"/>
        </w:rPr>
        <w:footnoteReference w:id="45"/>
      </w:r>
      <w:r w:rsidR="00ED7DDD">
        <w:rPr>
          <w:rFonts w:ascii="Times New Roman" w:hAnsi="Times New Roman" w:cs="Calibri"/>
          <w:color w:val="000000"/>
          <w:sz w:val="24"/>
          <w:szCs w:val="24"/>
          <w:bdr w:val="none" w:sz="0" w:space="0" w:color="auto" w:frame="1"/>
        </w:rPr>
        <w:t xml:space="preserve"> The nine</w:t>
      </w:r>
      <w:r>
        <w:rPr>
          <w:rFonts w:ascii="Times New Roman" w:hAnsi="Times New Roman" w:cs="Calibri"/>
          <w:color w:val="000000"/>
          <w:sz w:val="24"/>
          <w:szCs w:val="24"/>
          <w:bdr w:val="none" w:sz="0" w:space="0" w:color="auto" w:frame="1"/>
        </w:rPr>
        <w:t xml:space="preserve"> District Councils in NYCHA are known as: Bronx South, Bronx North, Brooklyn East, Brooklyn West, Brooklyn South, Manhattan North, Manhattan South, Queens and Staten Island.</w:t>
      </w:r>
      <w:r>
        <w:rPr>
          <w:rFonts w:ascii="Times New Roman" w:eastAsia="Times New Roman" w:hAnsi="Times New Roman"/>
          <w:color w:val="000000"/>
          <w:sz w:val="24"/>
          <w:szCs w:val="24"/>
          <w:bdr w:val="none" w:sz="0" w:space="0" w:color="auto" w:frame="1"/>
          <w:vertAlign w:val="superscript"/>
        </w:rPr>
        <w:footnoteReference w:id="46"/>
      </w:r>
    </w:p>
    <w:p w:rsidR="00955914" w:rsidRDefault="00955914" w:rsidP="004131EB">
      <w:pPr>
        <w:widowControl w:val="0"/>
        <w:numPr>
          <w:ilvl w:val="1"/>
          <w:numId w:val="3"/>
        </w:numPr>
        <w:spacing w:line="480" w:lineRule="auto"/>
        <w:jc w:val="both"/>
        <w:rPr>
          <w:rFonts w:ascii="Times New Roman" w:eastAsia="Times New Roman" w:hAnsi="Times New Roman"/>
          <w:i/>
          <w:iCs/>
          <w:color w:val="000000"/>
          <w:sz w:val="24"/>
          <w:szCs w:val="24"/>
          <w:bdr w:val="none" w:sz="0" w:space="0" w:color="auto" w:frame="1"/>
        </w:rPr>
      </w:pPr>
      <w:r>
        <w:rPr>
          <w:rFonts w:ascii="Times New Roman" w:hAnsi="Times New Roman" w:cs="Calibri"/>
          <w:i/>
          <w:iCs/>
          <w:color w:val="000000"/>
          <w:sz w:val="24"/>
          <w:szCs w:val="24"/>
          <w:bdr w:val="none" w:sz="0" w:space="0" w:color="auto" w:frame="1"/>
        </w:rPr>
        <w:t>Submitting Proposals</w:t>
      </w:r>
    </w:p>
    <w:p w:rsidR="00955914" w:rsidRDefault="0060686D" w:rsidP="004131EB">
      <w:pPr>
        <w:widowControl w:val="0"/>
        <w:spacing w:line="480" w:lineRule="auto"/>
        <w:ind w:firstLine="720"/>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The TPA f</w:t>
      </w:r>
      <w:r w:rsidR="00955914">
        <w:rPr>
          <w:rFonts w:ascii="Times New Roman" w:hAnsi="Times New Roman" w:cs="Calibri"/>
          <w:color w:val="000000"/>
          <w:sz w:val="24"/>
          <w:szCs w:val="24"/>
          <w:bdr w:val="none" w:sz="0" w:space="0" w:color="auto" w:frame="1"/>
        </w:rPr>
        <w:t>unds cannot be used until the Resident Council submits a proposal to NYCHA.</w:t>
      </w:r>
      <w:r w:rsidR="00955914">
        <w:rPr>
          <w:rFonts w:ascii="Times New Roman" w:eastAsia="Times New Roman" w:hAnsi="Times New Roman"/>
          <w:color w:val="000000"/>
          <w:sz w:val="24"/>
          <w:szCs w:val="24"/>
          <w:bdr w:val="none" w:sz="0" w:space="0" w:color="auto" w:frame="1"/>
          <w:vertAlign w:val="superscript"/>
        </w:rPr>
        <w:footnoteReference w:id="47"/>
      </w:r>
      <w:r w:rsidR="00955914">
        <w:rPr>
          <w:rFonts w:ascii="Times New Roman" w:hAnsi="Times New Roman" w:cs="Calibri"/>
          <w:color w:val="000000"/>
          <w:sz w:val="24"/>
          <w:szCs w:val="24"/>
          <w:bdr w:val="none" w:sz="0" w:space="0" w:color="auto" w:frame="1"/>
        </w:rPr>
        <w:t xml:space="preserve">  The Resident Council can submit a proposal on their own or they can work with the District Council President or the Citywide Council of Presidents</w:t>
      </w:r>
      <w:r w:rsidR="00ED7DDD">
        <w:rPr>
          <w:rFonts w:ascii="Times New Roman" w:hAnsi="Times New Roman" w:cs="Calibri"/>
          <w:color w:val="000000"/>
          <w:sz w:val="24"/>
          <w:szCs w:val="24"/>
          <w:bdr w:val="none" w:sz="0" w:space="0" w:color="auto" w:frame="1"/>
        </w:rPr>
        <w:t xml:space="preserve"> to submit a proposal to NYCHA.</w:t>
      </w:r>
      <w:r w:rsidR="00955914">
        <w:rPr>
          <w:rFonts w:ascii="Times New Roman" w:eastAsia="Times New Roman" w:hAnsi="Times New Roman"/>
          <w:color w:val="000000"/>
          <w:sz w:val="24"/>
          <w:szCs w:val="24"/>
          <w:bdr w:val="none" w:sz="0" w:space="0" w:color="auto" w:frame="1"/>
          <w:vertAlign w:val="superscript"/>
        </w:rPr>
        <w:footnoteReference w:id="48"/>
      </w:r>
      <w:r w:rsidR="00955914">
        <w:rPr>
          <w:rFonts w:ascii="Times New Roman" w:hAnsi="Times New Roman" w:cs="Calibri"/>
          <w:color w:val="000000"/>
          <w:sz w:val="24"/>
          <w:szCs w:val="24"/>
          <w:bdr w:val="none" w:sz="0" w:space="0" w:color="auto" w:frame="1"/>
        </w:rPr>
        <w:t xml:space="preserve"> Each proposal should have the scope of work, independent cost estimate, and appropriate procurement option.</w:t>
      </w:r>
      <w:r w:rsidR="00955914">
        <w:rPr>
          <w:rFonts w:ascii="Times New Roman" w:eastAsia="Times New Roman" w:hAnsi="Times New Roman"/>
          <w:color w:val="000000"/>
          <w:sz w:val="24"/>
          <w:szCs w:val="24"/>
          <w:bdr w:val="none" w:sz="0" w:space="0" w:color="auto" w:frame="1"/>
          <w:vertAlign w:val="superscript"/>
        </w:rPr>
        <w:footnoteReference w:id="49"/>
      </w:r>
      <w:r w:rsidR="00955914">
        <w:rPr>
          <w:rFonts w:ascii="Times New Roman" w:hAnsi="Times New Roman" w:cs="Calibri"/>
          <w:color w:val="000000"/>
          <w:sz w:val="24"/>
          <w:szCs w:val="24"/>
          <w:bdr w:val="none" w:sz="0" w:space="0" w:color="auto" w:frame="1"/>
        </w:rPr>
        <w:t xml:space="preserve"> </w:t>
      </w:r>
    </w:p>
    <w:p w:rsidR="007436E1" w:rsidRDefault="00955914" w:rsidP="004131EB">
      <w:pPr>
        <w:widowControl w:val="0"/>
        <w:spacing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t>NYCHA created two options when Resident Councils submit proposals for TPA, known as Group A or Group B.</w:t>
      </w:r>
      <w:r>
        <w:rPr>
          <w:rFonts w:ascii="Times New Roman" w:eastAsia="Times New Roman" w:hAnsi="Times New Roman"/>
          <w:color w:val="000000"/>
          <w:sz w:val="24"/>
          <w:szCs w:val="24"/>
          <w:bdr w:val="none" w:sz="0" w:space="0" w:color="auto" w:frame="1"/>
          <w:vertAlign w:val="superscript"/>
        </w:rPr>
        <w:footnoteReference w:id="50"/>
      </w:r>
      <w:r w:rsidR="003802A7">
        <w:rPr>
          <w:rFonts w:ascii="Times New Roman" w:hAnsi="Times New Roman" w:cs="Calibri"/>
          <w:color w:val="000000"/>
          <w:sz w:val="24"/>
          <w:szCs w:val="24"/>
          <w:bdr w:val="none" w:sz="0" w:space="0" w:color="auto" w:frame="1"/>
        </w:rPr>
        <w:t xml:space="preserve"> However, all proposal approvals and vendor payments are subject to HUD procurement rules.</w:t>
      </w:r>
      <w:r w:rsidR="003802A7">
        <w:rPr>
          <w:rStyle w:val="FootnoteReference"/>
          <w:rFonts w:ascii="Times New Roman" w:hAnsi="Times New Roman" w:cs="Calibri"/>
          <w:color w:val="000000"/>
          <w:sz w:val="24"/>
          <w:szCs w:val="24"/>
          <w:bdr w:val="none" w:sz="0" w:space="0" w:color="auto" w:frame="1"/>
        </w:rPr>
        <w:footnoteReference w:id="51"/>
      </w:r>
      <w:r w:rsidR="003802A7">
        <w:rPr>
          <w:rFonts w:ascii="Times New Roman" w:hAnsi="Times New Roman" w:cs="Calibri"/>
          <w:color w:val="000000"/>
          <w:sz w:val="24"/>
          <w:szCs w:val="24"/>
          <w:bdr w:val="none" w:sz="0" w:space="0" w:color="auto" w:frame="1"/>
        </w:rPr>
        <w:t xml:space="preserve"> </w:t>
      </w:r>
    </w:p>
    <w:p w:rsidR="007436E1" w:rsidRPr="00492326" w:rsidRDefault="007436E1" w:rsidP="004131EB">
      <w:pPr>
        <w:widowControl w:val="0"/>
        <w:spacing w:line="480" w:lineRule="auto"/>
        <w:jc w:val="both"/>
        <w:rPr>
          <w:rFonts w:ascii="Times New Roman" w:hAnsi="Times New Roman" w:cs="Calibri"/>
          <w:i/>
          <w:color w:val="000000"/>
          <w:sz w:val="24"/>
          <w:szCs w:val="24"/>
          <w:bdr w:val="none" w:sz="0" w:space="0" w:color="auto" w:frame="1"/>
        </w:rPr>
      </w:pPr>
      <w:r w:rsidRPr="00492326">
        <w:rPr>
          <w:rFonts w:ascii="Times New Roman" w:hAnsi="Times New Roman" w:cs="Calibri"/>
          <w:i/>
          <w:color w:val="000000"/>
          <w:sz w:val="24"/>
          <w:szCs w:val="24"/>
          <w:bdr w:val="none" w:sz="0" w:space="0" w:color="auto" w:frame="1"/>
        </w:rPr>
        <w:t>Group A</w:t>
      </w:r>
    </w:p>
    <w:p w:rsidR="007436E1" w:rsidRDefault="00955914" w:rsidP="004131EB">
      <w:pPr>
        <w:widowControl w:val="0"/>
        <w:spacing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lastRenderedPageBreak/>
        <w:t xml:space="preserve"> Resident Councils that select Group A submit their proposals quarterly and the proposals are due 30 days before the start of the next quarter.</w:t>
      </w:r>
      <w:r>
        <w:rPr>
          <w:rFonts w:ascii="Times New Roman" w:eastAsia="Times New Roman" w:hAnsi="Times New Roman"/>
          <w:color w:val="000000"/>
          <w:sz w:val="24"/>
          <w:szCs w:val="24"/>
          <w:bdr w:val="none" w:sz="0" w:space="0" w:color="auto" w:frame="1"/>
          <w:vertAlign w:val="superscript"/>
        </w:rPr>
        <w:footnoteReference w:id="52"/>
      </w:r>
      <w:r w:rsidR="00ED7DDD">
        <w:rPr>
          <w:rFonts w:ascii="Times New Roman" w:hAnsi="Times New Roman" w:cs="Calibri"/>
          <w:color w:val="000000"/>
          <w:sz w:val="24"/>
          <w:szCs w:val="24"/>
          <w:bdr w:val="none" w:sz="0" w:space="0" w:color="auto" w:frame="1"/>
        </w:rPr>
        <w:t xml:space="preserve"> </w:t>
      </w:r>
      <w:r>
        <w:rPr>
          <w:rFonts w:ascii="Times New Roman" w:hAnsi="Times New Roman" w:cs="Calibri"/>
          <w:color w:val="000000"/>
          <w:sz w:val="24"/>
          <w:szCs w:val="24"/>
          <w:bdr w:val="none" w:sz="0" w:space="0" w:color="auto" w:frame="1"/>
        </w:rPr>
        <w:t>The proposal would have the planned events for the quarter</w:t>
      </w:r>
      <w:r w:rsidR="00ED7DDD">
        <w:rPr>
          <w:rFonts w:ascii="Times New Roman" w:hAnsi="Times New Roman" w:cs="Calibri"/>
          <w:color w:val="000000"/>
          <w:sz w:val="24"/>
          <w:szCs w:val="24"/>
          <w:bdr w:val="none" w:sz="0" w:space="0" w:color="auto" w:frame="1"/>
        </w:rPr>
        <w:t>,</w:t>
      </w:r>
      <w:r>
        <w:rPr>
          <w:rFonts w:ascii="Times New Roman" w:hAnsi="Times New Roman" w:cs="Calibri"/>
          <w:color w:val="000000"/>
          <w:sz w:val="24"/>
          <w:szCs w:val="24"/>
          <w:bdr w:val="none" w:sz="0" w:space="0" w:color="auto" w:frame="1"/>
        </w:rPr>
        <w:t xml:space="preserve"> and NYCHA would receive details of the planned events via email.</w:t>
      </w:r>
      <w:r>
        <w:rPr>
          <w:rFonts w:ascii="Times New Roman" w:eastAsia="Times New Roman" w:hAnsi="Times New Roman"/>
          <w:color w:val="000000"/>
          <w:sz w:val="24"/>
          <w:szCs w:val="24"/>
          <w:bdr w:val="none" w:sz="0" w:space="0" w:color="auto" w:frame="1"/>
          <w:vertAlign w:val="superscript"/>
        </w:rPr>
        <w:footnoteReference w:id="53"/>
      </w:r>
      <w:r>
        <w:rPr>
          <w:rFonts w:ascii="Times New Roman" w:hAnsi="Times New Roman" w:cs="Calibri"/>
          <w:color w:val="000000"/>
          <w:sz w:val="24"/>
          <w:szCs w:val="24"/>
          <w:bdr w:val="none" w:sz="0" w:space="0" w:color="auto" w:frame="1"/>
        </w:rPr>
        <w:t xml:space="preserve">  </w:t>
      </w:r>
    </w:p>
    <w:p w:rsidR="007436E1" w:rsidRPr="00492326" w:rsidRDefault="007436E1" w:rsidP="004131EB">
      <w:pPr>
        <w:widowControl w:val="0"/>
        <w:spacing w:line="480" w:lineRule="auto"/>
        <w:jc w:val="both"/>
        <w:rPr>
          <w:rFonts w:ascii="Times New Roman" w:hAnsi="Times New Roman" w:cs="Calibri"/>
          <w:i/>
          <w:color w:val="000000"/>
          <w:sz w:val="24"/>
          <w:szCs w:val="24"/>
          <w:bdr w:val="none" w:sz="0" w:space="0" w:color="auto" w:frame="1"/>
        </w:rPr>
      </w:pPr>
      <w:r w:rsidRPr="00492326">
        <w:rPr>
          <w:rFonts w:ascii="Times New Roman" w:hAnsi="Times New Roman" w:cs="Calibri"/>
          <w:i/>
          <w:color w:val="000000"/>
          <w:sz w:val="24"/>
          <w:szCs w:val="24"/>
          <w:bdr w:val="none" w:sz="0" w:space="0" w:color="auto" w:frame="1"/>
        </w:rPr>
        <w:t>Group B</w:t>
      </w:r>
    </w:p>
    <w:p w:rsidR="00955914" w:rsidRPr="00492326" w:rsidRDefault="00955914" w:rsidP="004131EB">
      <w:pPr>
        <w:widowControl w:val="0"/>
        <w:spacing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t>Residents Councils that select Group B submit their proposals 30 day</w:t>
      </w:r>
      <w:r w:rsidR="00ED7DDD">
        <w:rPr>
          <w:rFonts w:ascii="Times New Roman" w:hAnsi="Times New Roman" w:cs="Calibri"/>
          <w:color w:val="000000"/>
          <w:sz w:val="24"/>
          <w:szCs w:val="24"/>
          <w:bdr w:val="none" w:sz="0" w:space="0" w:color="auto" w:frame="1"/>
        </w:rPr>
        <w:t xml:space="preserve">s before each scheduled event. </w:t>
      </w:r>
      <w:r>
        <w:rPr>
          <w:rFonts w:ascii="Times New Roman" w:hAnsi="Times New Roman" w:cs="Calibri"/>
          <w:color w:val="000000"/>
          <w:sz w:val="24"/>
          <w:szCs w:val="24"/>
          <w:bdr w:val="none" w:sz="0" w:space="0" w:color="auto" w:frame="1"/>
        </w:rPr>
        <w:t>NYCHA has an ex</w:t>
      </w:r>
      <w:r w:rsidR="00ED7DDD">
        <w:rPr>
          <w:rFonts w:ascii="Times New Roman" w:hAnsi="Times New Roman" w:cs="Calibri"/>
          <w:color w:val="000000"/>
          <w:sz w:val="24"/>
          <w:szCs w:val="24"/>
          <w:bdr w:val="none" w:sz="0" w:space="0" w:color="auto" w:frame="1"/>
        </w:rPr>
        <w:t>ception</w:t>
      </w:r>
      <w:r>
        <w:rPr>
          <w:rFonts w:ascii="Times New Roman" w:hAnsi="Times New Roman" w:cs="Calibri"/>
          <w:color w:val="000000"/>
          <w:sz w:val="24"/>
          <w:szCs w:val="24"/>
          <w:bdr w:val="none" w:sz="0" w:space="0" w:color="auto" w:frame="1"/>
        </w:rPr>
        <w:t xml:space="preserve"> for events, such as conferences and retreats that require travel, which would require them to submit the proposal at least six </w:t>
      </w:r>
      <w:r w:rsidR="00ED7DDD">
        <w:rPr>
          <w:rFonts w:ascii="Times New Roman" w:hAnsi="Times New Roman" w:cs="Calibri"/>
          <w:color w:val="000000"/>
          <w:sz w:val="24"/>
          <w:szCs w:val="24"/>
          <w:bdr w:val="none" w:sz="0" w:space="0" w:color="auto" w:frame="1"/>
        </w:rPr>
        <w:t>week</w:t>
      </w:r>
      <w:r>
        <w:rPr>
          <w:rFonts w:ascii="Times New Roman" w:hAnsi="Times New Roman" w:cs="Calibri"/>
          <w:color w:val="000000"/>
          <w:sz w:val="24"/>
          <w:szCs w:val="24"/>
          <w:bdr w:val="none" w:sz="0" w:space="0" w:color="auto" w:frame="1"/>
        </w:rPr>
        <w:t xml:space="preserve"> before the event.</w:t>
      </w:r>
      <w:r>
        <w:rPr>
          <w:rFonts w:ascii="Times New Roman" w:eastAsia="Times New Roman" w:hAnsi="Times New Roman"/>
          <w:color w:val="000000"/>
          <w:sz w:val="24"/>
          <w:szCs w:val="24"/>
          <w:bdr w:val="none" w:sz="0" w:space="0" w:color="auto" w:frame="1"/>
          <w:vertAlign w:val="superscript"/>
        </w:rPr>
        <w:footnoteReference w:id="54"/>
      </w:r>
      <w:r>
        <w:rPr>
          <w:rFonts w:ascii="Times New Roman" w:hAnsi="Times New Roman" w:cs="Calibri"/>
          <w:color w:val="000000"/>
          <w:sz w:val="24"/>
          <w:szCs w:val="24"/>
          <w:bdr w:val="none" w:sz="0" w:space="0" w:color="auto" w:frame="1"/>
        </w:rPr>
        <w:t xml:space="preserve"> </w:t>
      </w:r>
    </w:p>
    <w:p w:rsidR="00955914" w:rsidRDefault="00955914" w:rsidP="004131EB">
      <w:pPr>
        <w:widowControl w:val="0"/>
        <w:numPr>
          <w:ilvl w:val="1"/>
          <w:numId w:val="3"/>
        </w:numPr>
        <w:spacing w:line="480" w:lineRule="auto"/>
        <w:jc w:val="both"/>
        <w:rPr>
          <w:rFonts w:ascii="Times New Roman" w:eastAsia="Times New Roman" w:hAnsi="Times New Roman"/>
          <w:i/>
          <w:iCs/>
          <w:color w:val="000000"/>
          <w:sz w:val="24"/>
          <w:szCs w:val="24"/>
          <w:bdr w:val="none" w:sz="0" w:space="0" w:color="auto" w:frame="1"/>
        </w:rPr>
      </w:pPr>
      <w:r>
        <w:rPr>
          <w:rFonts w:ascii="Times New Roman" w:hAnsi="Times New Roman" w:cs="Calibri"/>
          <w:i/>
          <w:iCs/>
          <w:color w:val="000000"/>
          <w:sz w:val="24"/>
          <w:szCs w:val="24"/>
          <w:bdr w:val="none" w:sz="0" w:space="0" w:color="auto" w:frame="1"/>
        </w:rPr>
        <w:t>Procurement</w:t>
      </w:r>
    </w:p>
    <w:p w:rsidR="00955914" w:rsidRDefault="00ED7DDD" w:rsidP="004131EB">
      <w:pPr>
        <w:widowControl w:val="0"/>
        <w:spacing w:line="480" w:lineRule="auto"/>
        <w:ind w:firstLine="720"/>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HUD</w:t>
      </w:r>
      <w:r w:rsidR="007436E1">
        <w:rPr>
          <w:rFonts w:ascii="Times New Roman" w:hAnsi="Times New Roman" w:cs="Calibri"/>
          <w:color w:val="000000"/>
          <w:sz w:val="24"/>
          <w:szCs w:val="24"/>
          <w:bdr w:val="none" w:sz="0" w:space="0" w:color="auto" w:frame="1"/>
        </w:rPr>
        <w:t xml:space="preserve"> </w:t>
      </w:r>
      <w:r w:rsidR="00447F7F">
        <w:rPr>
          <w:rFonts w:ascii="Times New Roman" w:hAnsi="Times New Roman" w:cs="Calibri"/>
          <w:color w:val="000000"/>
          <w:sz w:val="24"/>
          <w:szCs w:val="24"/>
          <w:bdr w:val="none" w:sz="0" w:space="0" w:color="auto" w:frame="1"/>
        </w:rPr>
        <w:t>also has</w:t>
      </w:r>
      <w:r>
        <w:rPr>
          <w:rFonts w:ascii="Times New Roman" w:hAnsi="Times New Roman" w:cs="Calibri"/>
          <w:color w:val="000000"/>
          <w:sz w:val="24"/>
          <w:szCs w:val="24"/>
          <w:bdr w:val="none" w:sz="0" w:space="0" w:color="auto" w:frame="1"/>
        </w:rPr>
        <w:t xml:space="preserve"> requirements on how TPA funds can be</w:t>
      </w:r>
      <w:r w:rsidR="00955914">
        <w:rPr>
          <w:rFonts w:ascii="Times New Roman" w:hAnsi="Times New Roman" w:cs="Calibri"/>
          <w:color w:val="000000"/>
          <w:sz w:val="24"/>
          <w:szCs w:val="24"/>
          <w:bdr w:val="none" w:sz="0" w:space="0" w:color="auto" w:frame="1"/>
        </w:rPr>
        <w:t xml:space="preserve"> used by Resident Councils.  During the procurement process, the Resident Council are required to develop a written scope of work of the services that they are seeking to purchase from a vendor.</w:t>
      </w:r>
      <w:r w:rsidR="00955914">
        <w:rPr>
          <w:rFonts w:ascii="Times New Roman" w:eastAsia="Times New Roman" w:hAnsi="Times New Roman"/>
          <w:color w:val="000000"/>
          <w:sz w:val="24"/>
          <w:szCs w:val="24"/>
          <w:bdr w:val="none" w:sz="0" w:space="0" w:color="auto" w:frame="1"/>
          <w:vertAlign w:val="superscript"/>
        </w:rPr>
        <w:footnoteReference w:id="55"/>
      </w:r>
      <w:r w:rsidR="00955914">
        <w:rPr>
          <w:rFonts w:ascii="Times New Roman" w:hAnsi="Times New Roman" w:cs="Calibri"/>
          <w:color w:val="000000"/>
          <w:sz w:val="24"/>
          <w:szCs w:val="24"/>
          <w:bdr w:val="none" w:sz="0" w:space="0" w:color="auto" w:frame="1"/>
        </w:rPr>
        <w:t xml:space="preserve">  The Resident Council can then estimate the cost of goods or services they intend to purchase by using cost estimates from what other Resident Council</w:t>
      </w:r>
      <w:r w:rsidR="00447F7F">
        <w:rPr>
          <w:rFonts w:ascii="Times New Roman" w:hAnsi="Times New Roman" w:cs="Calibri"/>
          <w:color w:val="000000"/>
          <w:sz w:val="24"/>
          <w:szCs w:val="24"/>
          <w:bdr w:val="none" w:sz="0" w:space="0" w:color="auto" w:frame="1"/>
        </w:rPr>
        <w:t>s</w:t>
      </w:r>
      <w:r w:rsidR="00955914">
        <w:rPr>
          <w:rFonts w:ascii="Times New Roman" w:hAnsi="Times New Roman" w:cs="Calibri"/>
          <w:color w:val="000000"/>
          <w:sz w:val="24"/>
          <w:szCs w:val="24"/>
          <w:bdr w:val="none" w:sz="0" w:space="0" w:color="auto" w:frame="1"/>
        </w:rPr>
        <w:t xml:space="preserve"> have paid in the past</w:t>
      </w:r>
      <w:r w:rsidR="00447F7F">
        <w:rPr>
          <w:rFonts w:ascii="Times New Roman" w:hAnsi="Times New Roman" w:cs="Calibri"/>
          <w:color w:val="000000"/>
          <w:sz w:val="24"/>
          <w:szCs w:val="24"/>
          <w:bdr w:val="none" w:sz="0" w:space="0" w:color="auto" w:frame="1"/>
        </w:rPr>
        <w:t>,</w:t>
      </w:r>
      <w:r w:rsidR="00955914">
        <w:rPr>
          <w:rFonts w:ascii="Times New Roman" w:hAnsi="Times New Roman" w:cs="Calibri"/>
          <w:color w:val="000000"/>
          <w:sz w:val="24"/>
          <w:szCs w:val="24"/>
          <w:bdr w:val="none" w:sz="0" w:space="0" w:color="auto" w:frame="1"/>
        </w:rPr>
        <w:t xml:space="preserve"> or prices that they find from a store or on the </w:t>
      </w:r>
      <w:r w:rsidR="00447F7F">
        <w:rPr>
          <w:rFonts w:ascii="Times New Roman" w:hAnsi="Times New Roman" w:cs="Calibri"/>
          <w:color w:val="000000"/>
          <w:sz w:val="24"/>
          <w:szCs w:val="24"/>
          <w:bdr w:val="none" w:sz="0" w:space="0" w:color="auto" w:frame="1"/>
        </w:rPr>
        <w:t>Internet</w:t>
      </w:r>
      <w:r w:rsidR="00955914">
        <w:rPr>
          <w:rFonts w:ascii="Times New Roman" w:hAnsi="Times New Roman" w:cs="Calibri"/>
          <w:color w:val="000000"/>
          <w:sz w:val="24"/>
          <w:szCs w:val="24"/>
          <w:bdr w:val="none" w:sz="0" w:space="0" w:color="auto" w:frame="1"/>
        </w:rPr>
        <w:t>.</w:t>
      </w:r>
      <w:r w:rsidR="00955914">
        <w:rPr>
          <w:rFonts w:ascii="Times New Roman" w:eastAsia="Times New Roman" w:hAnsi="Times New Roman"/>
          <w:color w:val="000000"/>
          <w:sz w:val="24"/>
          <w:szCs w:val="24"/>
          <w:bdr w:val="none" w:sz="0" w:space="0" w:color="auto" w:frame="1"/>
          <w:vertAlign w:val="superscript"/>
        </w:rPr>
        <w:footnoteReference w:id="56"/>
      </w:r>
      <w:r w:rsidR="00955914">
        <w:rPr>
          <w:rFonts w:ascii="Times New Roman" w:hAnsi="Times New Roman" w:cs="Calibri"/>
          <w:color w:val="000000"/>
          <w:sz w:val="24"/>
          <w:szCs w:val="24"/>
          <w:bdr w:val="none" w:sz="0" w:space="0" w:color="auto" w:frame="1"/>
        </w:rPr>
        <w:t xml:space="preserve"> Once the Resident Council identifies the cost estimate, the following procurement method must be selected:</w:t>
      </w:r>
    </w:p>
    <w:p w:rsidR="00955914" w:rsidRDefault="00955914" w:rsidP="004131EB">
      <w:pPr>
        <w:widowControl w:val="0"/>
        <w:numPr>
          <w:ilvl w:val="0"/>
          <w:numId w:val="4"/>
        </w:numPr>
        <w:spacing w:line="480" w:lineRule="auto"/>
        <w:jc w:val="both"/>
        <w:rPr>
          <w:rFonts w:ascii="Times New Roman" w:eastAsia="Times New Roman" w:hAnsi="Times New Roman"/>
          <w:color w:val="000000"/>
          <w:sz w:val="24"/>
          <w:szCs w:val="24"/>
          <w:bdr w:val="none" w:sz="0" w:space="0" w:color="auto" w:frame="1"/>
        </w:rPr>
      </w:pPr>
      <w:r>
        <w:rPr>
          <w:rFonts w:ascii="Times New Roman" w:hAnsi="Times New Roman" w:cs="Calibri"/>
          <w:b/>
          <w:bCs/>
          <w:color w:val="000000"/>
          <w:sz w:val="24"/>
          <w:szCs w:val="24"/>
          <w:bdr w:val="none" w:sz="0" w:space="0" w:color="auto" w:frame="1"/>
        </w:rPr>
        <w:t>Micro Purchases</w:t>
      </w:r>
      <w:r>
        <w:rPr>
          <w:rFonts w:ascii="Times New Roman" w:hAnsi="Times New Roman" w:cs="Calibri"/>
          <w:color w:val="000000"/>
          <w:sz w:val="24"/>
          <w:szCs w:val="24"/>
          <w:bdr w:val="none" w:sz="0" w:space="0" w:color="auto" w:frame="1"/>
        </w:rPr>
        <w:t>. If the Resident Council determines that the price is fair and reasonable</w:t>
      </w:r>
      <w:r w:rsidR="00ED7DDD">
        <w:rPr>
          <w:rFonts w:ascii="Times New Roman" w:hAnsi="Times New Roman" w:cs="Calibri"/>
          <w:color w:val="000000"/>
          <w:sz w:val="24"/>
          <w:szCs w:val="24"/>
          <w:bdr w:val="none" w:sz="0" w:space="0" w:color="auto" w:frame="1"/>
        </w:rPr>
        <w:t>,</w:t>
      </w:r>
      <w:r>
        <w:rPr>
          <w:rFonts w:ascii="Times New Roman" w:hAnsi="Times New Roman" w:cs="Calibri"/>
          <w:color w:val="000000"/>
          <w:sz w:val="24"/>
          <w:szCs w:val="24"/>
          <w:bdr w:val="none" w:sz="0" w:space="0" w:color="auto" w:frame="1"/>
        </w:rPr>
        <w:t xml:space="preserve"> then one written bid from</w:t>
      </w:r>
      <w:r w:rsidR="00ED7DDD">
        <w:rPr>
          <w:rFonts w:ascii="Times New Roman" w:hAnsi="Times New Roman" w:cs="Calibri"/>
          <w:color w:val="000000"/>
          <w:sz w:val="24"/>
          <w:szCs w:val="24"/>
          <w:bdr w:val="none" w:sz="0" w:space="0" w:color="auto" w:frame="1"/>
        </w:rPr>
        <w:t xml:space="preserve"> a qualified vendor is enough. </w:t>
      </w:r>
      <w:r>
        <w:rPr>
          <w:rFonts w:ascii="Times New Roman" w:hAnsi="Times New Roman" w:cs="Calibri"/>
          <w:color w:val="000000"/>
          <w:sz w:val="24"/>
          <w:szCs w:val="24"/>
          <w:bdr w:val="none" w:sz="0" w:space="0" w:color="auto" w:frame="1"/>
        </w:rPr>
        <w:t xml:space="preserve">This </w:t>
      </w:r>
      <w:r>
        <w:rPr>
          <w:rFonts w:ascii="Times New Roman" w:hAnsi="Times New Roman" w:cs="Calibri"/>
          <w:color w:val="000000"/>
          <w:sz w:val="24"/>
          <w:szCs w:val="24"/>
          <w:bdr w:val="none" w:sz="0" w:space="0" w:color="auto" w:frame="1"/>
        </w:rPr>
        <w:lastRenderedPageBreak/>
        <w:t>procurement method can only be used for procurements of $5,000 or less.</w:t>
      </w:r>
      <w:r>
        <w:rPr>
          <w:rFonts w:ascii="Times New Roman" w:eastAsia="Times New Roman" w:hAnsi="Times New Roman"/>
          <w:color w:val="000000"/>
          <w:sz w:val="24"/>
          <w:szCs w:val="24"/>
          <w:bdr w:val="none" w:sz="0" w:space="0" w:color="auto" w:frame="1"/>
          <w:vertAlign w:val="superscript"/>
        </w:rPr>
        <w:footnoteReference w:id="57"/>
      </w:r>
    </w:p>
    <w:p w:rsidR="00955914" w:rsidRDefault="00955914" w:rsidP="004131EB">
      <w:pPr>
        <w:widowControl w:val="0"/>
        <w:numPr>
          <w:ilvl w:val="0"/>
          <w:numId w:val="4"/>
        </w:numPr>
        <w:spacing w:line="480" w:lineRule="auto"/>
        <w:jc w:val="both"/>
        <w:rPr>
          <w:rFonts w:ascii="Times New Roman" w:eastAsia="Times New Roman" w:hAnsi="Times New Roman"/>
          <w:color w:val="000000"/>
          <w:sz w:val="24"/>
          <w:szCs w:val="24"/>
          <w:bdr w:val="none" w:sz="0" w:space="0" w:color="auto" w:frame="1"/>
        </w:rPr>
      </w:pPr>
      <w:r>
        <w:rPr>
          <w:rFonts w:ascii="Times New Roman" w:hAnsi="Times New Roman" w:cs="Calibri"/>
          <w:b/>
          <w:bCs/>
          <w:color w:val="000000"/>
          <w:sz w:val="24"/>
          <w:szCs w:val="24"/>
          <w:bdr w:val="none" w:sz="0" w:space="0" w:color="auto" w:frame="1"/>
        </w:rPr>
        <w:t xml:space="preserve">Small Purchases. </w:t>
      </w:r>
      <w:r>
        <w:rPr>
          <w:rFonts w:ascii="Times New Roman" w:hAnsi="Times New Roman" w:cs="Calibri"/>
          <w:color w:val="000000"/>
          <w:sz w:val="24"/>
          <w:szCs w:val="24"/>
          <w:bdr w:val="none" w:sz="0" w:space="0" w:color="auto" w:frame="1"/>
        </w:rPr>
        <w:t xml:space="preserve">The Resident Council must obtain three written bids from three vendors or make a solicitation that is publicly available for ten days if the procurement is for more than $5,000 but not more than $150,000.  If the Resident Council decides to </w:t>
      </w:r>
      <w:r w:rsidR="00ED7DDD">
        <w:rPr>
          <w:rFonts w:ascii="Times New Roman" w:hAnsi="Times New Roman" w:cs="Calibri"/>
          <w:color w:val="000000"/>
          <w:sz w:val="24"/>
          <w:szCs w:val="24"/>
          <w:bdr w:val="none" w:sz="0" w:space="0" w:color="auto" w:frame="1"/>
        </w:rPr>
        <w:t xml:space="preserve">publicly </w:t>
      </w:r>
      <w:r>
        <w:rPr>
          <w:rFonts w:ascii="Times New Roman" w:hAnsi="Times New Roman" w:cs="Calibri"/>
          <w:color w:val="000000"/>
          <w:sz w:val="24"/>
          <w:szCs w:val="24"/>
          <w:bdr w:val="none" w:sz="0" w:space="0" w:color="auto" w:frame="1"/>
        </w:rPr>
        <w:t>solicit the bid then no minimum number of bids are required.</w:t>
      </w:r>
      <w:r>
        <w:rPr>
          <w:rFonts w:ascii="Times New Roman" w:eastAsia="Times New Roman" w:hAnsi="Times New Roman"/>
          <w:color w:val="000000"/>
          <w:sz w:val="24"/>
          <w:szCs w:val="24"/>
          <w:bdr w:val="none" w:sz="0" w:space="0" w:color="auto" w:frame="1"/>
          <w:vertAlign w:val="superscript"/>
        </w:rPr>
        <w:footnoteReference w:id="58"/>
      </w:r>
      <w:r>
        <w:rPr>
          <w:rFonts w:ascii="Times New Roman" w:hAnsi="Times New Roman" w:cs="Calibri"/>
          <w:color w:val="000000"/>
          <w:sz w:val="24"/>
          <w:szCs w:val="24"/>
          <w:bdr w:val="none" w:sz="0" w:space="0" w:color="auto" w:frame="1"/>
        </w:rPr>
        <w:t xml:space="preserve"> </w:t>
      </w:r>
    </w:p>
    <w:p w:rsidR="00955914" w:rsidRDefault="00955914" w:rsidP="004131EB">
      <w:pPr>
        <w:widowControl w:val="0"/>
        <w:numPr>
          <w:ilvl w:val="0"/>
          <w:numId w:val="4"/>
        </w:numPr>
        <w:spacing w:line="480" w:lineRule="auto"/>
        <w:jc w:val="both"/>
        <w:rPr>
          <w:rFonts w:ascii="Times New Roman" w:eastAsia="Times New Roman" w:hAnsi="Times New Roman"/>
          <w:b/>
          <w:bCs/>
          <w:color w:val="000000"/>
          <w:sz w:val="24"/>
          <w:szCs w:val="24"/>
          <w:bdr w:val="none" w:sz="0" w:space="0" w:color="auto" w:frame="1"/>
        </w:rPr>
      </w:pPr>
      <w:r>
        <w:rPr>
          <w:rFonts w:ascii="Times New Roman" w:hAnsi="Times New Roman" w:cs="Calibri"/>
          <w:b/>
          <w:bCs/>
          <w:color w:val="000000"/>
          <w:sz w:val="24"/>
          <w:szCs w:val="24"/>
          <w:bdr w:val="none" w:sz="0" w:space="0" w:color="auto" w:frame="1"/>
        </w:rPr>
        <w:t xml:space="preserve">Competitive Proposals.  </w:t>
      </w:r>
      <w:r>
        <w:rPr>
          <w:rFonts w:ascii="Times New Roman" w:hAnsi="Times New Roman" w:cs="Calibri"/>
          <w:color w:val="000000"/>
          <w:sz w:val="24"/>
          <w:szCs w:val="24"/>
          <w:bdr w:val="none" w:sz="0" w:space="0" w:color="auto" w:frame="1"/>
        </w:rPr>
        <w:t>If the procurement is more than $150,000, the Resident Council must ask NYCHA for assistance with drafting and advertising the Request for Proposal.</w:t>
      </w:r>
      <w:r>
        <w:rPr>
          <w:rFonts w:ascii="Times New Roman" w:eastAsia="Times New Roman" w:hAnsi="Times New Roman"/>
          <w:color w:val="000000"/>
          <w:sz w:val="24"/>
          <w:szCs w:val="24"/>
          <w:bdr w:val="none" w:sz="0" w:space="0" w:color="auto" w:frame="1"/>
          <w:vertAlign w:val="superscript"/>
        </w:rPr>
        <w:footnoteReference w:id="59"/>
      </w:r>
      <w:r>
        <w:rPr>
          <w:rFonts w:ascii="Times New Roman" w:hAnsi="Times New Roman" w:cs="Calibri"/>
          <w:color w:val="000000"/>
          <w:sz w:val="24"/>
          <w:szCs w:val="24"/>
          <w:bdr w:val="none" w:sz="0" w:space="0" w:color="auto" w:frame="1"/>
        </w:rPr>
        <w:t xml:space="preserve"> </w:t>
      </w:r>
    </w:p>
    <w:p w:rsidR="00955914" w:rsidRDefault="00955914" w:rsidP="004131EB">
      <w:pPr>
        <w:widowControl w:val="0"/>
        <w:spacing w:line="480" w:lineRule="auto"/>
        <w:ind w:firstLine="720"/>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Once the Resident Council selects a procurement method, it will solicit bids from vendors. The solicitation needs to include the type of factors the Resident Council and NYCHA will use to select a bid.</w:t>
      </w:r>
      <w:r>
        <w:rPr>
          <w:rFonts w:ascii="Times New Roman" w:eastAsia="Times New Roman" w:hAnsi="Times New Roman"/>
          <w:color w:val="000000"/>
          <w:sz w:val="24"/>
          <w:szCs w:val="24"/>
          <w:bdr w:val="none" w:sz="0" w:space="0" w:color="auto" w:frame="1"/>
          <w:vertAlign w:val="superscript"/>
        </w:rPr>
        <w:footnoteReference w:id="60"/>
      </w:r>
      <w:r>
        <w:rPr>
          <w:rFonts w:ascii="Times New Roman" w:hAnsi="Times New Roman" w:cs="Calibri"/>
          <w:color w:val="000000"/>
          <w:sz w:val="24"/>
          <w:szCs w:val="24"/>
          <w:bdr w:val="none" w:sz="0" w:space="0" w:color="auto" w:frame="1"/>
        </w:rPr>
        <w:t xml:space="preserve"> The evaluation criteria varies for each procurement but some of the common factors that would be included are </w:t>
      </w:r>
      <w:r w:rsidR="007436E1">
        <w:rPr>
          <w:rFonts w:ascii="Times New Roman" w:hAnsi="Times New Roman" w:cs="Calibri"/>
          <w:color w:val="000000"/>
          <w:sz w:val="24"/>
          <w:szCs w:val="24"/>
          <w:bdr w:val="none" w:sz="0" w:space="0" w:color="auto" w:frame="1"/>
        </w:rPr>
        <w:t xml:space="preserve">the </w:t>
      </w:r>
      <w:r>
        <w:rPr>
          <w:rFonts w:ascii="Times New Roman" w:hAnsi="Times New Roman" w:cs="Calibri"/>
          <w:color w:val="000000"/>
          <w:sz w:val="24"/>
          <w:szCs w:val="24"/>
          <w:bdr w:val="none" w:sz="0" w:space="0" w:color="auto" w:frame="1"/>
        </w:rPr>
        <w:t xml:space="preserve">cost, demonstration of experience for similar work, technical capabilities, references and the quality of the work plan. The Resident Council would </w:t>
      </w:r>
      <w:r w:rsidR="007436E1">
        <w:rPr>
          <w:rFonts w:ascii="Times New Roman" w:hAnsi="Times New Roman" w:cs="Calibri"/>
          <w:color w:val="000000"/>
          <w:sz w:val="24"/>
          <w:szCs w:val="24"/>
          <w:bdr w:val="none" w:sz="0" w:space="0" w:color="auto" w:frame="1"/>
        </w:rPr>
        <w:t xml:space="preserve">form a committee to evaluate and </w:t>
      </w:r>
      <w:r>
        <w:rPr>
          <w:rFonts w:ascii="Times New Roman" w:hAnsi="Times New Roman" w:cs="Calibri"/>
          <w:color w:val="000000"/>
          <w:sz w:val="24"/>
          <w:szCs w:val="24"/>
          <w:bdr w:val="none" w:sz="0" w:space="0" w:color="auto" w:frame="1"/>
        </w:rPr>
        <w:t>prepare a report that ranks all of the proposals.</w:t>
      </w:r>
      <w:r>
        <w:rPr>
          <w:rFonts w:ascii="Times New Roman" w:eastAsia="Times New Roman" w:hAnsi="Times New Roman"/>
          <w:color w:val="000000"/>
          <w:sz w:val="24"/>
          <w:szCs w:val="24"/>
          <w:bdr w:val="none" w:sz="0" w:space="0" w:color="auto" w:frame="1"/>
          <w:vertAlign w:val="superscript"/>
        </w:rPr>
        <w:footnoteReference w:id="61"/>
      </w:r>
      <w:r>
        <w:rPr>
          <w:rFonts w:ascii="Times New Roman" w:hAnsi="Times New Roman" w:cs="Calibri"/>
          <w:color w:val="000000"/>
          <w:sz w:val="24"/>
          <w:szCs w:val="24"/>
          <w:bdr w:val="none" w:sz="0" w:space="0" w:color="auto" w:frame="1"/>
        </w:rPr>
        <w:t xml:space="preserve"> The committee will look at the strength and weakness of each proposal and a report will be created.</w:t>
      </w:r>
      <w:r>
        <w:rPr>
          <w:rFonts w:ascii="Times New Roman" w:eastAsia="Times New Roman" w:hAnsi="Times New Roman"/>
          <w:color w:val="000000"/>
          <w:sz w:val="24"/>
          <w:szCs w:val="24"/>
          <w:bdr w:val="none" w:sz="0" w:space="0" w:color="auto" w:frame="1"/>
          <w:vertAlign w:val="superscript"/>
        </w:rPr>
        <w:footnoteReference w:id="62"/>
      </w:r>
      <w:r>
        <w:rPr>
          <w:rFonts w:ascii="Times New Roman" w:hAnsi="Times New Roman" w:cs="Calibri"/>
          <w:color w:val="000000"/>
          <w:sz w:val="24"/>
          <w:szCs w:val="24"/>
          <w:bdr w:val="none" w:sz="0" w:space="0" w:color="auto" w:frame="1"/>
        </w:rPr>
        <w:t xml:space="preserve"> The Resident Councils are not required to select the lowest price but the Resident Council needs to ensure that the cost is comparable to the independent cost estimate.  The </w:t>
      </w:r>
      <w:r w:rsidR="007436E1">
        <w:rPr>
          <w:rFonts w:ascii="Times New Roman" w:hAnsi="Times New Roman" w:cs="Calibri"/>
          <w:color w:val="000000"/>
          <w:sz w:val="24"/>
          <w:szCs w:val="24"/>
          <w:bdr w:val="none" w:sz="0" w:space="0" w:color="auto" w:frame="1"/>
        </w:rPr>
        <w:t xml:space="preserve">records of these </w:t>
      </w:r>
      <w:r w:rsidR="007436E1">
        <w:rPr>
          <w:rFonts w:ascii="Times New Roman" w:hAnsi="Times New Roman" w:cs="Calibri"/>
          <w:color w:val="000000"/>
          <w:sz w:val="24"/>
          <w:szCs w:val="24"/>
          <w:bdr w:val="none" w:sz="0" w:space="0" w:color="auto" w:frame="1"/>
        </w:rPr>
        <w:lastRenderedPageBreak/>
        <w:t xml:space="preserve">reports will be saved by the </w:t>
      </w:r>
      <w:r>
        <w:rPr>
          <w:rFonts w:ascii="Times New Roman" w:hAnsi="Times New Roman" w:cs="Calibri"/>
          <w:color w:val="000000"/>
          <w:sz w:val="24"/>
          <w:szCs w:val="24"/>
          <w:bdr w:val="none" w:sz="0" w:space="0" w:color="auto" w:frame="1"/>
        </w:rPr>
        <w:t xml:space="preserve">Resident Council. </w:t>
      </w:r>
      <w:r>
        <w:rPr>
          <w:rFonts w:ascii="Times New Roman" w:eastAsia="Times New Roman" w:hAnsi="Times New Roman"/>
          <w:color w:val="000000"/>
          <w:sz w:val="24"/>
          <w:szCs w:val="24"/>
          <w:bdr w:val="none" w:sz="0" w:space="0" w:color="auto" w:frame="1"/>
          <w:vertAlign w:val="superscript"/>
        </w:rPr>
        <w:footnoteReference w:id="63"/>
      </w:r>
    </w:p>
    <w:p w:rsidR="004131EB" w:rsidRPr="0060686D" w:rsidRDefault="00ED7DDD" w:rsidP="0060686D">
      <w:pPr>
        <w:widowControl w:val="0"/>
        <w:spacing w:line="480" w:lineRule="auto"/>
        <w:ind w:firstLine="720"/>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 xml:space="preserve">For services commonly used by Resident Councils, such as </w:t>
      </w:r>
      <w:r w:rsidR="00447F7F">
        <w:rPr>
          <w:rFonts w:ascii="Times New Roman" w:hAnsi="Times New Roman" w:cs="Calibri"/>
          <w:color w:val="000000"/>
          <w:sz w:val="24"/>
          <w:szCs w:val="24"/>
          <w:bdr w:val="none" w:sz="0" w:space="0" w:color="auto" w:frame="1"/>
        </w:rPr>
        <w:t xml:space="preserve">Internet </w:t>
      </w:r>
      <w:r>
        <w:rPr>
          <w:rFonts w:ascii="Times New Roman" w:hAnsi="Times New Roman" w:cs="Calibri"/>
          <w:color w:val="000000"/>
          <w:sz w:val="24"/>
          <w:szCs w:val="24"/>
          <w:bdr w:val="none" w:sz="0" w:space="0" w:color="auto" w:frame="1"/>
        </w:rPr>
        <w:t xml:space="preserve">or cable services, NYCHA </w:t>
      </w:r>
      <w:r w:rsidR="00955914">
        <w:rPr>
          <w:rFonts w:ascii="Times New Roman" w:hAnsi="Times New Roman" w:cs="Calibri"/>
          <w:color w:val="000000"/>
          <w:sz w:val="24"/>
          <w:szCs w:val="24"/>
          <w:bdr w:val="none" w:sz="0" w:space="0" w:color="auto" w:frame="1"/>
        </w:rPr>
        <w:t>obtain</w:t>
      </w:r>
      <w:r>
        <w:rPr>
          <w:rFonts w:ascii="Times New Roman" w:hAnsi="Times New Roman" w:cs="Calibri"/>
          <w:color w:val="000000"/>
          <w:sz w:val="24"/>
          <w:szCs w:val="24"/>
          <w:bdr w:val="none" w:sz="0" w:space="0" w:color="auto" w:frame="1"/>
        </w:rPr>
        <w:t>s</w:t>
      </w:r>
      <w:r w:rsidR="00955914">
        <w:rPr>
          <w:rFonts w:ascii="Times New Roman" w:hAnsi="Times New Roman" w:cs="Calibri"/>
          <w:color w:val="000000"/>
          <w:sz w:val="24"/>
          <w:szCs w:val="24"/>
          <w:bdr w:val="none" w:sz="0" w:space="0" w:color="auto" w:frame="1"/>
        </w:rPr>
        <w:t xml:space="preserve"> centralized contracts</w:t>
      </w:r>
      <w:r>
        <w:rPr>
          <w:rFonts w:ascii="Times New Roman" w:hAnsi="Times New Roman" w:cs="Calibri"/>
          <w:color w:val="000000"/>
          <w:sz w:val="24"/>
          <w:szCs w:val="24"/>
          <w:bdr w:val="none" w:sz="0" w:space="0" w:color="auto" w:frame="1"/>
        </w:rPr>
        <w:t xml:space="preserve"> </w:t>
      </w:r>
      <w:r w:rsidR="005F5842">
        <w:rPr>
          <w:rFonts w:ascii="Times New Roman" w:hAnsi="Times New Roman" w:cs="Calibri"/>
          <w:color w:val="000000"/>
          <w:sz w:val="24"/>
          <w:szCs w:val="24"/>
          <w:bdr w:val="none" w:sz="0" w:space="0" w:color="auto" w:frame="1"/>
        </w:rPr>
        <w:t xml:space="preserve">for </w:t>
      </w:r>
      <w:r>
        <w:rPr>
          <w:rFonts w:ascii="Times New Roman" w:hAnsi="Times New Roman" w:cs="Calibri"/>
          <w:color w:val="000000"/>
          <w:sz w:val="24"/>
          <w:szCs w:val="24"/>
          <w:bdr w:val="none" w:sz="0" w:space="0" w:color="auto" w:frame="1"/>
        </w:rPr>
        <w:t>the Resident Councils to use.</w:t>
      </w:r>
      <w:r w:rsidR="00955914">
        <w:rPr>
          <w:rFonts w:ascii="Times New Roman" w:eastAsia="Times New Roman" w:hAnsi="Times New Roman"/>
          <w:color w:val="000000"/>
          <w:sz w:val="24"/>
          <w:szCs w:val="24"/>
          <w:bdr w:val="none" w:sz="0" w:space="0" w:color="auto" w:frame="1"/>
          <w:vertAlign w:val="superscript"/>
        </w:rPr>
        <w:footnoteReference w:id="64"/>
      </w:r>
    </w:p>
    <w:p w:rsidR="00955914" w:rsidRDefault="00955914" w:rsidP="004131EB">
      <w:pPr>
        <w:widowControl w:val="0"/>
        <w:numPr>
          <w:ilvl w:val="1"/>
          <w:numId w:val="5"/>
        </w:numPr>
        <w:spacing w:line="480" w:lineRule="auto"/>
        <w:jc w:val="both"/>
        <w:rPr>
          <w:rFonts w:ascii="Times New Roman" w:eastAsia="Times New Roman" w:hAnsi="Times New Roman"/>
          <w:i/>
          <w:iCs/>
          <w:color w:val="000000"/>
          <w:sz w:val="24"/>
          <w:szCs w:val="24"/>
          <w:bdr w:val="none" w:sz="0" w:space="0" w:color="auto" w:frame="1"/>
        </w:rPr>
      </w:pPr>
      <w:r>
        <w:rPr>
          <w:rFonts w:ascii="Times New Roman" w:hAnsi="Times New Roman" w:cs="Calibri"/>
          <w:i/>
          <w:iCs/>
          <w:color w:val="000000"/>
          <w:sz w:val="24"/>
          <w:szCs w:val="24"/>
          <w:bdr w:val="none" w:sz="0" w:space="0" w:color="auto" w:frame="1"/>
        </w:rPr>
        <w:t>Payments</w:t>
      </w:r>
    </w:p>
    <w:p w:rsidR="00955914" w:rsidRDefault="00955914" w:rsidP="004131EB">
      <w:pPr>
        <w:widowControl w:val="0"/>
        <w:spacing w:line="480" w:lineRule="auto"/>
        <w:ind w:firstLine="720"/>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Resident Councils that select to be in Group A when they submit proposals to NYCHA will receive a commer</w:t>
      </w:r>
      <w:r w:rsidR="00ED7DDD">
        <w:rPr>
          <w:rFonts w:ascii="Times New Roman" w:hAnsi="Times New Roman" w:cs="Calibri"/>
          <w:color w:val="000000"/>
          <w:sz w:val="24"/>
          <w:szCs w:val="24"/>
          <w:bdr w:val="none" w:sz="0" w:space="0" w:color="auto" w:frame="1"/>
        </w:rPr>
        <w:t>cial card for Micro Purchases.</w:t>
      </w:r>
      <w:r w:rsidR="00ED7DDD">
        <w:rPr>
          <w:rStyle w:val="FootnoteReference"/>
          <w:rFonts w:ascii="Times New Roman" w:hAnsi="Times New Roman" w:cs="Calibri"/>
          <w:color w:val="000000"/>
          <w:sz w:val="24"/>
          <w:szCs w:val="24"/>
          <w:bdr w:val="none" w:sz="0" w:space="0" w:color="auto" w:frame="1"/>
        </w:rPr>
        <w:footnoteReference w:id="65"/>
      </w:r>
      <w:r w:rsidR="00ED7DDD">
        <w:rPr>
          <w:rFonts w:ascii="Times New Roman" w:hAnsi="Times New Roman" w:cs="Calibri"/>
          <w:color w:val="000000"/>
          <w:sz w:val="24"/>
          <w:szCs w:val="24"/>
          <w:bdr w:val="none" w:sz="0" w:space="0" w:color="auto" w:frame="1"/>
        </w:rPr>
        <w:t xml:space="preserve"> </w:t>
      </w:r>
      <w:r>
        <w:rPr>
          <w:rFonts w:ascii="Times New Roman" w:hAnsi="Times New Roman" w:cs="Calibri"/>
          <w:color w:val="000000"/>
          <w:sz w:val="24"/>
          <w:szCs w:val="24"/>
          <w:bdr w:val="none" w:sz="0" w:space="0" w:color="auto" w:frame="1"/>
        </w:rPr>
        <w:t>The commercial card will have a spending limit that is based on the spending plan and proposals that were approved by NYCHA. The Resident Council wil</w:t>
      </w:r>
      <w:r w:rsidR="00ED7DDD">
        <w:rPr>
          <w:rFonts w:ascii="Times New Roman" w:hAnsi="Times New Roman" w:cs="Calibri"/>
          <w:color w:val="000000"/>
          <w:sz w:val="24"/>
          <w:szCs w:val="24"/>
          <w:bdr w:val="none" w:sz="0" w:space="0" w:color="auto" w:frame="1"/>
        </w:rPr>
        <w:t>l submit a copy of the receipt within seven days of</w:t>
      </w:r>
      <w:r>
        <w:rPr>
          <w:rFonts w:ascii="Times New Roman" w:hAnsi="Times New Roman" w:cs="Calibri"/>
          <w:color w:val="000000"/>
          <w:sz w:val="24"/>
          <w:szCs w:val="24"/>
          <w:bdr w:val="none" w:sz="0" w:space="0" w:color="auto" w:frame="1"/>
        </w:rPr>
        <w:t xml:space="preserve"> making a purchase with the commercial card</w:t>
      </w:r>
      <w:r w:rsidR="00ED7DDD">
        <w:rPr>
          <w:rFonts w:ascii="Times New Roman" w:hAnsi="Times New Roman" w:cs="Calibri"/>
          <w:color w:val="000000"/>
          <w:sz w:val="24"/>
          <w:szCs w:val="24"/>
          <w:bdr w:val="none" w:sz="0" w:space="0" w:color="auto" w:frame="1"/>
        </w:rPr>
        <w:t>,</w:t>
      </w:r>
      <w:r>
        <w:rPr>
          <w:rFonts w:ascii="Times New Roman" w:hAnsi="Times New Roman" w:cs="Calibri"/>
          <w:color w:val="000000"/>
          <w:sz w:val="24"/>
          <w:szCs w:val="24"/>
          <w:bdr w:val="none" w:sz="0" w:space="0" w:color="auto" w:frame="1"/>
        </w:rPr>
        <w:t xml:space="preserve"> and the use of the ca</w:t>
      </w:r>
      <w:r w:rsidR="00ED7DDD">
        <w:rPr>
          <w:rFonts w:ascii="Times New Roman" w:hAnsi="Times New Roman" w:cs="Calibri"/>
          <w:color w:val="000000"/>
          <w:sz w:val="24"/>
          <w:szCs w:val="24"/>
          <w:bdr w:val="none" w:sz="0" w:space="0" w:color="auto" w:frame="1"/>
        </w:rPr>
        <w:t>rd will be monitored by NYCHA.</w:t>
      </w:r>
      <w:r w:rsidR="00ED7DDD">
        <w:rPr>
          <w:rStyle w:val="FootnoteReference"/>
          <w:rFonts w:ascii="Times New Roman" w:hAnsi="Times New Roman" w:cs="Calibri"/>
          <w:color w:val="000000"/>
          <w:sz w:val="24"/>
          <w:szCs w:val="24"/>
          <w:bdr w:val="none" w:sz="0" w:space="0" w:color="auto" w:frame="1"/>
        </w:rPr>
        <w:footnoteReference w:id="66"/>
      </w:r>
    </w:p>
    <w:p w:rsidR="00955914" w:rsidRDefault="00955914" w:rsidP="004131EB">
      <w:pPr>
        <w:widowControl w:val="0"/>
        <w:spacing w:line="480" w:lineRule="auto"/>
        <w:ind w:firstLine="720"/>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If the Resident Council does not have a commercial card or the Resident Council is making a purchase over $5,000</w:t>
      </w:r>
      <w:r w:rsidR="007133D9">
        <w:rPr>
          <w:rFonts w:ascii="Times New Roman" w:hAnsi="Times New Roman" w:cs="Calibri"/>
          <w:color w:val="000000"/>
          <w:sz w:val="24"/>
          <w:szCs w:val="24"/>
          <w:bdr w:val="none" w:sz="0" w:space="0" w:color="auto" w:frame="1"/>
        </w:rPr>
        <w:t>,</w:t>
      </w:r>
      <w:r>
        <w:rPr>
          <w:rFonts w:ascii="Times New Roman" w:hAnsi="Times New Roman" w:cs="Calibri"/>
          <w:color w:val="000000"/>
          <w:sz w:val="24"/>
          <w:szCs w:val="24"/>
          <w:bdr w:val="none" w:sz="0" w:space="0" w:color="auto" w:frame="1"/>
        </w:rPr>
        <w:t xml:space="preserve"> then NYCHA will pay a vendor directly from the TPA funds that are allocated to the Resident Council.</w:t>
      </w:r>
      <w:r>
        <w:rPr>
          <w:rFonts w:ascii="Times New Roman" w:eastAsia="Times New Roman" w:hAnsi="Times New Roman"/>
          <w:color w:val="000000"/>
          <w:sz w:val="24"/>
          <w:szCs w:val="24"/>
          <w:bdr w:val="none" w:sz="0" w:space="0" w:color="auto" w:frame="1"/>
          <w:vertAlign w:val="superscript"/>
        </w:rPr>
        <w:footnoteReference w:id="67"/>
      </w:r>
      <w:r w:rsidR="007133D9">
        <w:rPr>
          <w:rFonts w:ascii="Times New Roman" w:hAnsi="Times New Roman" w:cs="Calibri"/>
          <w:color w:val="000000"/>
          <w:sz w:val="24"/>
          <w:szCs w:val="24"/>
          <w:bdr w:val="none" w:sz="0" w:space="0" w:color="auto" w:frame="1"/>
        </w:rPr>
        <w:t xml:space="preserve"> </w:t>
      </w:r>
      <w:r>
        <w:rPr>
          <w:rFonts w:ascii="Times New Roman" w:hAnsi="Times New Roman" w:cs="Calibri"/>
          <w:color w:val="000000"/>
          <w:sz w:val="24"/>
          <w:szCs w:val="24"/>
          <w:bdr w:val="none" w:sz="0" w:space="0" w:color="auto" w:frame="1"/>
        </w:rPr>
        <w:t>In order for NYCHA to pay the vendor, the following steps need to occur</w:t>
      </w:r>
      <w:r>
        <w:rPr>
          <w:rFonts w:ascii="Times New Roman" w:eastAsia="Times New Roman" w:hAnsi="Times New Roman"/>
          <w:color w:val="000000"/>
          <w:sz w:val="24"/>
          <w:szCs w:val="24"/>
          <w:bdr w:val="none" w:sz="0" w:space="0" w:color="auto" w:frame="1"/>
          <w:vertAlign w:val="superscript"/>
        </w:rPr>
        <w:footnoteReference w:id="68"/>
      </w:r>
      <w:r>
        <w:rPr>
          <w:rFonts w:ascii="Times New Roman" w:hAnsi="Times New Roman" w:cs="Calibri"/>
          <w:color w:val="000000"/>
          <w:sz w:val="24"/>
          <w:szCs w:val="24"/>
          <w:bdr w:val="none" w:sz="0" w:space="0" w:color="auto" w:frame="1"/>
        </w:rPr>
        <w:t xml:space="preserve">: </w:t>
      </w:r>
    </w:p>
    <w:p w:rsidR="00955914" w:rsidRDefault="00955914" w:rsidP="004131EB">
      <w:pPr>
        <w:widowControl w:val="0"/>
        <w:numPr>
          <w:ilvl w:val="0"/>
          <w:numId w:val="6"/>
        </w:numPr>
        <w:spacing w:after="0" w:line="480" w:lineRule="auto"/>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 xml:space="preserve">Resident Council </w:t>
      </w:r>
      <w:r w:rsidR="00447F7F">
        <w:rPr>
          <w:rFonts w:ascii="Times New Roman" w:hAnsi="Times New Roman" w:cs="Calibri"/>
          <w:color w:val="000000"/>
          <w:sz w:val="24"/>
          <w:szCs w:val="24"/>
          <w:bdr w:val="none" w:sz="0" w:space="0" w:color="auto" w:frame="1"/>
        </w:rPr>
        <w:t xml:space="preserve">must obtain </w:t>
      </w:r>
      <w:r>
        <w:rPr>
          <w:rFonts w:ascii="Times New Roman" w:hAnsi="Times New Roman" w:cs="Calibri"/>
          <w:color w:val="000000"/>
          <w:sz w:val="24"/>
          <w:szCs w:val="24"/>
          <w:bdr w:val="none" w:sz="0" w:space="0" w:color="auto" w:frame="1"/>
        </w:rPr>
        <w:t>an invoice from vendor.</w:t>
      </w:r>
    </w:p>
    <w:p w:rsidR="00955914" w:rsidRDefault="00955914" w:rsidP="004131EB">
      <w:pPr>
        <w:widowControl w:val="0"/>
        <w:numPr>
          <w:ilvl w:val="0"/>
          <w:numId w:val="6"/>
        </w:numPr>
        <w:spacing w:after="0" w:line="480" w:lineRule="auto"/>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 xml:space="preserve">Resident Council </w:t>
      </w:r>
      <w:r w:rsidR="00447F7F">
        <w:rPr>
          <w:rFonts w:ascii="Times New Roman" w:hAnsi="Times New Roman" w:cs="Calibri"/>
          <w:color w:val="000000"/>
          <w:sz w:val="24"/>
          <w:szCs w:val="24"/>
          <w:bdr w:val="none" w:sz="0" w:space="0" w:color="auto" w:frame="1"/>
        </w:rPr>
        <w:t xml:space="preserve">must review </w:t>
      </w:r>
      <w:r>
        <w:rPr>
          <w:rFonts w:ascii="Times New Roman" w:hAnsi="Times New Roman" w:cs="Calibri"/>
          <w:color w:val="000000"/>
          <w:sz w:val="24"/>
          <w:szCs w:val="24"/>
          <w:bdr w:val="none" w:sz="0" w:space="0" w:color="auto" w:frame="1"/>
        </w:rPr>
        <w:t xml:space="preserve">the invoice and </w:t>
      </w:r>
      <w:r w:rsidR="00447F7F">
        <w:rPr>
          <w:rFonts w:ascii="Times New Roman" w:hAnsi="Times New Roman" w:cs="Calibri"/>
          <w:color w:val="000000"/>
          <w:sz w:val="24"/>
          <w:szCs w:val="24"/>
          <w:bdr w:val="none" w:sz="0" w:space="0" w:color="auto" w:frame="1"/>
        </w:rPr>
        <w:t xml:space="preserve">certify </w:t>
      </w:r>
      <w:r>
        <w:rPr>
          <w:rFonts w:ascii="Times New Roman" w:hAnsi="Times New Roman" w:cs="Calibri"/>
          <w:color w:val="000000"/>
          <w:sz w:val="24"/>
          <w:szCs w:val="24"/>
          <w:bdr w:val="none" w:sz="0" w:space="0" w:color="auto" w:frame="1"/>
        </w:rPr>
        <w:t>that it received the services.</w:t>
      </w:r>
    </w:p>
    <w:p w:rsidR="00955914" w:rsidRDefault="00955914" w:rsidP="004131EB">
      <w:pPr>
        <w:widowControl w:val="0"/>
        <w:numPr>
          <w:ilvl w:val="0"/>
          <w:numId w:val="6"/>
        </w:numPr>
        <w:spacing w:after="0" w:line="480" w:lineRule="auto"/>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 xml:space="preserve">Resident Council </w:t>
      </w:r>
      <w:r w:rsidR="00447F7F">
        <w:rPr>
          <w:rFonts w:ascii="Times New Roman" w:hAnsi="Times New Roman" w:cs="Calibri"/>
          <w:color w:val="000000"/>
          <w:sz w:val="24"/>
          <w:szCs w:val="24"/>
          <w:bdr w:val="none" w:sz="0" w:space="0" w:color="auto" w:frame="1"/>
        </w:rPr>
        <w:t xml:space="preserve">must submit </w:t>
      </w:r>
      <w:r>
        <w:rPr>
          <w:rFonts w:ascii="Times New Roman" w:hAnsi="Times New Roman" w:cs="Calibri"/>
          <w:color w:val="000000"/>
          <w:sz w:val="24"/>
          <w:szCs w:val="24"/>
          <w:bdr w:val="none" w:sz="0" w:space="0" w:color="auto" w:frame="1"/>
        </w:rPr>
        <w:t>a payment request to NYCHA.</w:t>
      </w:r>
    </w:p>
    <w:p w:rsidR="00955914" w:rsidRDefault="00955914" w:rsidP="004131EB">
      <w:pPr>
        <w:widowControl w:val="0"/>
        <w:numPr>
          <w:ilvl w:val="0"/>
          <w:numId w:val="6"/>
        </w:numPr>
        <w:spacing w:after="0" w:line="480" w:lineRule="auto"/>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 xml:space="preserve">NYCHA </w:t>
      </w:r>
      <w:r w:rsidR="00447F7F">
        <w:rPr>
          <w:rFonts w:ascii="Times New Roman" w:hAnsi="Times New Roman" w:cs="Calibri"/>
          <w:color w:val="000000"/>
          <w:sz w:val="24"/>
          <w:szCs w:val="24"/>
          <w:bdr w:val="none" w:sz="0" w:space="0" w:color="auto" w:frame="1"/>
        </w:rPr>
        <w:t xml:space="preserve">must review </w:t>
      </w:r>
      <w:r>
        <w:rPr>
          <w:rFonts w:ascii="Times New Roman" w:hAnsi="Times New Roman" w:cs="Calibri"/>
          <w:color w:val="000000"/>
          <w:sz w:val="24"/>
          <w:szCs w:val="24"/>
          <w:bdr w:val="none" w:sz="0" w:space="0" w:color="auto" w:frame="1"/>
        </w:rPr>
        <w:t>and</w:t>
      </w:r>
      <w:r w:rsidR="00447F7F">
        <w:rPr>
          <w:rFonts w:ascii="Times New Roman" w:hAnsi="Times New Roman" w:cs="Calibri"/>
          <w:color w:val="000000"/>
          <w:sz w:val="24"/>
          <w:szCs w:val="24"/>
          <w:bdr w:val="none" w:sz="0" w:space="0" w:color="auto" w:frame="1"/>
        </w:rPr>
        <w:t xml:space="preserve"> subsequently</w:t>
      </w:r>
      <w:r>
        <w:rPr>
          <w:rFonts w:ascii="Times New Roman" w:hAnsi="Times New Roman" w:cs="Calibri"/>
          <w:color w:val="000000"/>
          <w:sz w:val="24"/>
          <w:szCs w:val="24"/>
          <w:bdr w:val="none" w:sz="0" w:space="0" w:color="auto" w:frame="1"/>
        </w:rPr>
        <w:t xml:space="preserve"> approve the invoice for payment. </w:t>
      </w:r>
    </w:p>
    <w:p w:rsidR="00447F7F" w:rsidRPr="0060686D" w:rsidRDefault="00447F7F" w:rsidP="004131EB">
      <w:pPr>
        <w:widowControl w:val="0"/>
        <w:spacing w:line="480" w:lineRule="auto"/>
        <w:jc w:val="both"/>
        <w:rPr>
          <w:rFonts w:ascii="Times New Roman" w:hAnsi="Times New Roman" w:cs="Calibri"/>
          <w:iCs/>
          <w:color w:val="000000"/>
          <w:sz w:val="24"/>
          <w:szCs w:val="24"/>
          <w:bdr w:val="none" w:sz="0" w:space="0" w:color="auto" w:frame="1"/>
        </w:rPr>
      </w:pPr>
      <w:r>
        <w:rPr>
          <w:rFonts w:ascii="Times New Roman" w:hAnsi="Times New Roman" w:cs="Calibri"/>
          <w:iCs/>
          <w:color w:val="000000"/>
          <w:sz w:val="24"/>
          <w:szCs w:val="24"/>
          <w:bdr w:val="none" w:sz="0" w:space="0" w:color="auto" w:frame="1"/>
        </w:rPr>
        <w:lastRenderedPageBreak/>
        <w:t>After these steps, NYCHA will send payment to the vendor.</w:t>
      </w:r>
    </w:p>
    <w:p w:rsidR="00955914" w:rsidRDefault="00955914" w:rsidP="004131EB">
      <w:pPr>
        <w:widowControl w:val="0"/>
        <w:spacing w:line="480" w:lineRule="auto"/>
        <w:jc w:val="both"/>
        <w:rPr>
          <w:rFonts w:ascii="Times New Roman" w:hAnsi="Times New Roman" w:cs="Calibri"/>
          <w:i/>
          <w:iCs/>
          <w:color w:val="000000"/>
          <w:sz w:val="24"/>
          <w:szCs w:val="24"/>
          <w:bdr w:val="none" w:sz="0" w:space="0" w:color="auto" w:frame="1"/>
        </w:rPr>
      </w:pPr>
      <w:r>
        <w:rPr>
          <w:rFonts w:ascii="Times New Roman" w:hAnsi="Times New Roman" w:cs="Calibri"/>
          <w:i/>
          <w:iCs/>
          <w:color w:val="000000"/>
          <w:sz w:val="24"/>
          <w:szCs w:val="24"/>
          <w:bdr w:val="none" w:sz="0" w:space="0" w:color="auto" w:frame="1"/>
        </w:rPr>
        <w:t>Reconciling Expenses</w:t>
      </w:r>
    </w:p>
    <w:p w:rsidR="00955914" w:rsidRDefault="00955914" w:rsidP="004131EB">
      <w:pPr>
        <w:widowControl w:val="0"/>
        <w:spacing w:line="480" w:lineRule="auto"/>
        <w:ind w:firstLine="720"/>
        <w:jc w:val="both"/>
        <w:rPr>
          <w:rFonts w:ascii="Times New Roman" w:eastAsia="Times New Roman" w:hAnsi="Times New Roman"/>
          <w:color w:val="000000"/>
          <w:sz w:val="24"/>
          <w:szCs w:val="24"/>
          <w:bdr w:val="none" w:sz="0" w:space="0" w:color="auto" w:frame="1"/>
        </w:rPr>
      </w:pPr>
      <w:r>
        <w:rPr>
          <w:rFonts w:ascii="Times New Roman" w:hAnsi="Times New Roman" w:cs="Calibri"/>
          <w:color w:val="000000"/>
          <w:sz w:val="24"/>
          <w:szCs w:val="24"/>
          <w:bdr w:val="none" w:sz="0" w:space="0" w:color="auto" w:frame="1"/>
        </w:rPr>
        <w:t>The Resident Council is required to submit all supporting documents of activities no</w:t>
      </w:r>
      <w:r w:rsidR="007133D9">
        <w:rPr>
          <w:rFonts w:ascii="Times New Roman" w:hAnsi="Times New Roman" w:cs="Calibri"/>
          <w:color w:val="000000"/>
          <w:sz w:val="24"/>
          <w:szCs w:val="24"/>
          <w:bdr w:val="none" w:sz="0" w:space="0" w:color="auto" w:frame="1"/>
        </w:rPr>
        <w:t xml:space="preserve"> later than six</w:t>
      </w:r>
      <w:r>
        <w:rPr>
          <w:rFonts w:ascii="Times New Roman" w:hAnsi="Times New Roman" w:cs="Calibri"/>
          <w:color w:val="000000"/>
          <w:sz w:val="24"/>
          <w:szCs w:val="24"/>
          <w:bdr w:val="none" w:sz="0" w:space="0" w:color="auto" w:frame="1"/>
        </w:rPr>
        <w:t xml:space="preserve"> weeks after the end of the quarter. NYCHA will then adjust the Resident Council’s projected budget with actual expenses.</w:t>
      </w:r>
      <w:r>
        <w:rPr>
          <w:rFonts w:ascii="Times New Roman" w:eastAsia="Times New Roman" w:hAnsi="Times New Roman"/>
          <w:color w:val="000000"/>
          <w:sz w:val="24"/>
          <w:szCs w:val="24"/>
          <w:bdr w:val="none" w:sz="0" w:space="0" w:color="auto" w:frame="1"/>
          <w:vertAlign w:val="superscript"/>
        </w:rPr>
        <w:footnoteReference w:id="69"/>
      </w:r>
      <w:r w:rsidR="007133D9">
        <w:rPr>
          <w:rFonts w:ascii="Times New Roman" w:hAnsi="Times New Roman" w:cs="Calibri"/>
          <w:color w:val="000000"/>
          <w:sz w:val="24"/>
          <w:szCs w:val="24"/>
          <w:bdr w:val="none" w:sz="0" w:space="0" w:color="auto" w:frame="1"/>
        </w:rPr>
        <w:t xml:space="preserve"> </w:t>
      </w:r>
      <w:r>
        <w:rPr>
          <w:rFonts w:ascii="Times New Roman" w:hAnsi="Times New Roman" w:cs="Calibri"/>
          <w:color w:val="000000"/>
          <w:sz w:val="24"/>
          <w:szCs w:val="24"/>
          <w:bdr w:val="none" w:sz="0" w:space="0" w:color="auto" w:frame="1"/>
        </w:rPr>
        <w:t>If the Resident Council fails to submit these document</w:t>
      </w:r>
      <w:r w:rsidR="0060686D">
        <w:rPr>
          <w:rFonts w:ascii="Times New Roman" w:hAnsi="Times New Roman" w:cs="Calibri"/>
          <w:color w:val="000000"/>
          <w:sz w:val="24"/>
          <w:szCs w:val="24"/>
          <w:bdr w:val="none" w:sz="0" w:space="0" w:color="auto" w:frame="1"/>
        </w:rPr>
        <w:t>s, NYCHA could suspend the TPA f</w:t>
      </w:r>
      <w:r>
        <w:rPr>
          <w:rFonts w:ascii="Times New Roman" w:hAnsi="Times New Roman" w:cs="Calibri"/>
          <w:color w:val="000000"/>
          <w:sz w:val="24"/>
          <w:szCs w:val="24"/>
          <w:bdr w:val="none" w:sz="0" w:space="0" w:color="auto" w:frame="1"/>
        </w:rPr>
        <w:t>unds until they receive all of the required paperwork.</w:t>
      </w:r>
      <w:r>
        <w:rPr>
          <w:rFonts w:ascii="Times New Roman" w:eastAsia="Times New Roman" w:hAnsi="Times New Roman"/>
          <w:color w:val="000000"/>
          <w:sz w:val="24"/>
          <w:szCs w:val="24"/>
          <w:bdr w:val="none" w:sz="0" w:space="0" w:color="auto" w:frame="1"/>
          <w:vertAlign w:val="superscript"/>
        </w:rPr>
        <w:footnoteReference w:id="70"/>
      </w:r>
      <w:r>
        <w:rPr>
          <w:rFonts w:ascii="Times New Roman" w:hAnsi="Times New Roman" w:cs="Calibri"/>
          <w:color w:val="000000"/>
          <w:sz w:val="24"/>
          <w:szCs w:val="24"/>
          <w:bdr w:val="none" w:sz="0" w:space="0" w:color="auto" w:frame="1"/>
        </w:rPr>
        <w:t xml:space="preserve"> </w:t>
      </w:r>
    </w:p>
    <w:p w:rsidR="00B15A0E" w:rsidRDefault="00955914" w:rsidP="004131EB">
      <w:pPr>
        <w:widowControl w:val="0"/>
        <w:spacing w:line="480" w:lineRule="auto"/>
        <w:ind w:firstLine="720"/>
        <w:jc w:val="both"/>
        <w:rPr>
          <w:rFonts w:ascii="Times New Roman" w:hAnsi="Times New Roman" w:cs="Calibri"/>
          <w:color w:val="000000"/>
          <w:sz w:val="24"/>
          <w:szCs w:val="24"/>
          <w:bdr w:val="none" w:sz="0" w:space="0" w:color="auto" w:frame="1"/>
        </w:rPr>
      </w:pPr>
      <w:r>
        <w:rPr>
          <w:rFonts w:ascii="Times New Roman" w:hAnsi="Times New Roman" w:cs="Calibri"/>
          <w:color w:val="000000"/>
          <w:sz w:val="24"/>
          <w:szCs w:val="24"/>
          <w:bdr w:val="none" w:sz="0" w:space="0" w:color="auto" w:frame="1"/>
        </w:rPr>
        <w:t>If the Resident Council spends over what was budgeted, then the spending plan for the Resident Council will be adjusted.</w:t>
      </w:r>
      <w:r>
        <w:rPr>
          <w:rFonts w:ascii="Times New Roman" w:eastAsia="Times New Roman" w:hAnsi="Times New Roman"/>
          <w:color w:val="000000"/>
          <w:sz w:val="24"/>
          <w:szCs w:val="24"/>
          <w:bdr w:val="none" w:sz="0" w:space="0" w:color="auto" w:frame="1"/>
          <w:vertAlign w:val="superscript"/>
        </w:rPr>
        <w:footnoteReference w:id="71"/>
      </w:r>
      <w:r w:rsidR="007133D9">
        <w:rPr>
          <w:rFonts w:ascii="Times New Roman" w:hAnsi="Times New Roman" w:cs="Calibri"/>
          <w:color w:val="000000"/>
          <w:sz w:val="24"/>
          <w:szCs w:val="24"/>
          <w:bdr w:val="none" w:sz="0" w:space="0" w:color="auto" w:frame="1"/>
        </w:rPr>
        <w:t xml:space="preserve"> A</w:t>
      </w:r>
      <w:r>
        <w:rPr>
          <w:rFonts w:ascii="Times New Roman" w:hAnsi="Times New Roman" w:cs="Calibri"/>
          <w:color w:val="000000"/>
          <w:sz w:val="24"/>
          <w:szCs w:val="24"/>
          <w:bdr w:val="none" w:sz="0" w:space="0" w:color="auto" w:frame="1"/>
        </w:rPr>
        <w:t xml:space="preserve"> Resident Council </w:t>
      </w:r>
      <w:r w:rsidR="007133D9">
        <w:rPr>
          <w:rFonts w:ascii="Times New Roman" w:hAnsi="Times New Roman" w:cs="Calibri"/>
          <w:color w:val="000000"/>
          <w:sz w:val="24"/>
          <w:szCs w:val="24"/>
          <w:bdr w:val="none" w:sz="0" w:space="0" w:color="auto" w:frame="1"/>
        </w:rPr>
        <w:t>may</w:t>
      </w:r>
      <w:r>
        <w:rPr>
          <w:rFonts w:ascii="Times New Roman" w:hAnsi="Times New Roman" w:cs="Calibri"/>
          <w:color w:val="000000"/>
          <w:sz w:val="24"/>
          <w:szCs w:val="24"/>
          <w:bdr w:val="none" w:sz="0" w:space="0" w:color="auto" w:frame="1"/>
        </w:rPr>
        <w:t xml:space="preserve"> add another activity or increase the budge</w:t>
      </w:r>
      <w:r w:rsidR="007133D9">
        <w:rPr>
          <w:rFonts w:ascii="Times New Roman" w:hAnsi="Times New Roman" w:cs="Calibri"/>
          <w:color w:val="000000"/>
          <w:sz w:val="24"/>
          <w:szCs w:val="24"/>
          <w:bdr w:val="none" w:sz="0" w:space="0" w:color="auto" w:frame="1"/>
        </w:rPr>
        <w:t>t for a planned activity if it</w:t>
      </w:r>
      <w:r>
        <w:rPr>
          <w:rFonts w:ascii="Times New Roman" w:hAnsi="Times New Roman" w:cs="Calibri"/>
          <w:color w:val="000000"/>
          <w:sz w:val="24"/>
          <w:szCs w:val="24"/>
          <w:bdr w:val="none" w:sz="0" w:space="0" w:color="auto" w:frame="1"/>
        </w:rPr>
        <w:t xml:space="preserve"> spend</w:t>
      </w:r>
      <w:r w:rsidR="007133D9">
        <w:rPr>
          <w:rFonts w:ascii="Times New Roman" w:hAnsi="Times New Roman" w:cs="Calibri"/>
          <w:color w:val="000000"/>
          <w:sz w:val="24"/>
          <w:szCs w:val="24"/>
          <w:bdr w:val="none" w:sz="0" w:space="0" w:color="auto" w:frame="1"/>
        </w:rPr>
        <w:t>s</w:t>
      </w:r>
      <w:r>
        <w:rPr>
          <w:rFonts w:ascii="Times New Roman" w:hAnsi="Times New Roman" w:cs="Calibri"/>
          <w:color w:val="000000"/>
          <w:sz w:val="24"/>
          <w:szCs w:val="24"/>
          <w:bdr w:val="none" w:sz="0" w:space="0" w:color="auto" w:frame="1"/>
        </w:rPr>
        <w:t xml:space="preserve"> less then what was budgeted at another event. At the end of the year, if the Resident Council has unspent funds</w:t>
      </w:r>
      <w:r w:rsidR="00447F7F">
        <w:rPr>
          <w:rFonts w:ascii="Times New Roman" w:hAnsi="Times New Roman" w:cs="Calibri"/>
          <w:color w:val="000000"/>
          <w:sz w:val="24"/>
          <w:szCs w:val="24"/>
          <w:bdr w:val="none" w:sz="0" w:space="0" w:color="auto" w:frame="1"/>
        </w:rPr>
        <w:t>,</w:t>
      </w:r>
      <w:r>
        <w:rPr>
          <w:rFonts w:ascii="Times New Roman" w:hAnsi="Times New Roman" w:cs="Calibri"/>
          <w:color w:val="000000"/>
          <w:sz w:val="24"/>
          <w:szCs w:val="24"/>
          <w:bdr w:val="none" w:sz="0" w:space="0" w:color="auto" w:frame="1"/>
        </w:rPr>
        <w:t xml:space="preserve"> the money will go to the general Tenant Participation Account that is administered by NYCHA.</w:t>
      </w:r>
      <w:r>
        <w:rPr>
          <w:rFonts w:ascii="Times New Roman" w:eastAsia="Times New Roman" w:hAnsi="Times New Roman"/>
          <w:color w:val="000000"/>
          <w:sz w:val="24"/>
          <w:szCs w:val="24"/>
          <w:bdr w:val="none" w:sz="0" w:space="0" w:color="auto" w:frame="1"/>
          <w:vertAlign w:val="superscript"/>
        </w:rPr>
        <w:footnoteReference w:id="72"/>
      </w:r>
      <w:r>
        <w:rPr>
          <w:rFonts w:ascii="Times New Roman" w:hAnsi="Times New Roman" w:cs="Calibri"/>
          <w:color w:val="000000"/>
          <w:sz w:val="24"/>
          <w:szCs w:val="24"/>
          <w:bdr w:val="none" w:sz="0" w:space="0" w:color="auto" w:frame="1"/>
        </w:rPr>
        <w:t xml:space="preserve"> The Resident Councils </w:t>
      </w:r>
      <w:r w:rsidR="00447F7F">
        <w:rPr>
          <w:rFonts w:ascii="Times New Roman" w:hAnsi="Times New Roman" w:cs="Calibri"/>
          <w:color w:val="000000"/>
          <w:sz w:val="24"/>
          <w:szCs w:val="24"/>
          <w:bdr w:val="none" w:sz="0" w:space="0" w:color="auto" w:frame="1"/>
        </w:rPr>
        <w:t>are</w:t>
      </w:r>
      <w:r>
        <w:rPr>
          <w:rFonts w:ascii="Times New Roman" w:hAnsi="Times New Roman" w:cs="Calibri"/>
          <w:color w:val="000000"/>
          <w:sz w:val="24"/>
          <w:szCs w:val="24"/>
          <w:bdr w:val="none" w:sz="0" w:space="0" w:color="auto" w:frame="1"/>
        </w:rPr>
        <w:t xml:space="preserve"> required to keep records of the TPA Funds for six years. </w:t>
      </w:r>
      <w:r>
        <w:rPr>
          <w:rFonts w:ascii="Times New Roman" w:eastAsia="Times New Roman" w:hAnsi="Times New Roman"/>
          <w:color w:val="000000"/>
          <w:sz w:val="24"/>
          <w:szCs w:val="24"/>
          <w:bdr w:val="none" w:sz="0" w:space="0" w:color="auto" w:frame="1"/>
          <w:vertAlign w:val="superscript"/>
        </w:rPr>
        <w:footnoteReference w:id="73"/>
      </w:r>
    </w:p>
    <w:p w:rsidR="007133D9" w:rsidRPr="007133D9" w:rsidRDefault="00955914" w:rsidP="004131EB">
      <w:pPr>
        <w:widowControl w:val="0"/>
        <w:numPr>
          <w:ilvl w:val="0"/>
          <w:numId w:val="9"/>
        </w:numPr>
        <w:spacing w:line="480" w:lineRule="auto"/>
        <w:jc w:val="both"/>
        <w:rPr>
          <w:rFonts w:cs="Calibri"/>
          <w:b/>
          <w:color w:val="000000"/>
          <w:bdr w:val="none" w:sz="0" w:space="0" w:color="auto" w:frame="1"/>
        </w:rPr>
      </w:pPr>
      <w:r w:rsidRPr="007133D9">
        <w:rPr>
          <w:rFonts w:ascii="Times New Roman" w:hAnsi="Times New Roman" w:cs="Calibri"/>
          <w:b/>
          <w:color w:val="000000"/>
          <w:sz w:val="24"/>
          <w:szCs w:val="24"/>
          <w:bdr w:val="none" w:sz="0" w:space="0" w:color="auto" w:frame="1"/>
        </w:rPr>
        <w:t>Conclusion</w:t>
      </w:r>
    </w:p>
    <w:p w:rsidR="0088016C" w:rsidRPr="0060686D" w:rsidRDefault="00447F7F" w:rsidP="0060686D">
      <w:pPr>
        <w:widowControl w:val="0"/>
        <w:spacing w:line="480" w:lineRule="auto"/>
        <w:ind w:firstLine="360"/>
        <w:jc w:val="both"/>
        <w:rPr>
          <w:rFonts w:cs="Calibri"/>
          <w:b/>
          <w:color w:val="000000"/>
          <w:bdr w:val="none" w:sz="0" w:space="0" w:color="auto" w:frame="1"/>
        </w:rPr>
      </w:pPr>
      <w:r>
        <w:rPr>
          <w:rFonts w:ascii="Times New Roman" w:hAnsi="Times New Roman"/>
          <w:sz w:val="24"/>
        </w:rPr>
        <w:t>TPA</w:t>
      </w:r>
      <w:r w:rsidR="007133D9" w:rsidRPr="007133D9">
        <w:rPr>
          <w:rFonts w:ascii="Times New Roman" w:hAnsi="Times New Roman"/>
          <w:sz w:val="24"/>
        </w:rPr>
        <w:t xml:space="preserve"> </w:t>
      </w:r>
      <w:r w:rsidR="0060686D">
        <w:rPr>
          <w:rFonts w:ascii="Times New Roman" w:hAnsi="Times New Roman"/>
          <w:sz w:val="24"/>
        </w:rPr>
        <w:t>f</w:t>
      </w:r>
      <w:r w:rsidR="007133D9" w:rsidRPr="007133D9">
        <w:rPr>
          <w:rFonts w:ascii="Times New Roman" w:hAnsi="Times New Roman"/>
          <w:sz w:val="24"/>
        </w:rPr>
        <w:t>unds provide valuable resources for residents and their local communities. This hearing will allow the Committ</w:t>
      </w:r>
      <w:r w:rsidR="0060686D">
        <w:rPr>
          <w:rFonts w:ascii="Times New Roman" w:hAnsi="Times New Roman"/>
          <w:sz w:val="24"/>
        </w:rPr>
        <w:t>ee to learn more about how TPA f</w:t>
      </w:r>
      <w:r w:rsidR="007133D9" w:rsidRPr="007133D9">
        <w:rPr>
          <w:rFonts w:ascii="Times New Roman" w:hAnsi="Times New Roman"/>
          <w:sz w:val="24"/>
        </w:rPr>
        <w:t>unds are managed and identify areas for improvement, so that NYCHA and residents together can promote community involvement, leadership development, education, and cultural enrichment.</w:t>
      </w:r>
    </w:p>
    <w:sectPr w:rsidR="0088016C" w:rsidRPr="0060686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0E5" w:rsidRDefault="00B620E5" w:rsidP="009D60DB">
      <w:pPr>
        <w:spacing w:after="0" w:line="240" w:lineRule="auto"/>
      </w:pPr>
      <w:r>
        <w:separator/>
      </w:r>
    </w:p>
  </w:endnote>
  <w:endnote w:type="continuationSeparator" w:id="0">
    <w:p w:rsidR="00B620E5" w:rsidRDefault="00B620E5" w:rsidP="009D6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753" w:rsidRDefault="00387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205" w:rsidRPr="00F17205" w:rsidRDefault="00F17205">
    <w:pPr>
      <w:pStyle w:val="Footer"/>
      <w:jc w:val="center"/>
      <w:rPr>
        <w:rFonts w:ascii="Times New Roman" w:hAnsi="Times New Roman"/>
        <w:sz w:val="20"/>
      </w:rPr>
    </w:pPr>
    <w:r w:rsidRPr="00F17205">
      <w:rPr>
        <w:rFonts w:ascii="Times New Roman" w:hAnsi="Times New Roman"/>
        <w:sz w:val="20"/>
      </w:rPr>
      <w:fldChar w:fldCharType="begin"/>
    </w:r>
    <w:r w:rsidRPr="00F17205">
      <w:rPr>
        <w:rFonts w:ascii="Times New Roman" w:hAnsi="Times New Roman"/>
        <w:sz w:val="20"/>
      </w:rPr>
      <w:instrText xml:space="preserve"> PAGE   \* MERGEFORMAT </w:instrText>
    </w:r>
    <w:r w:rsidRPr="00F17205">
      <w:rPr>
        <w:rFonts w:ascii="Times New Roman" w:hAnsi="Times New Roman"/>
        <w:sz w:val="20"/>
      </w:rPr>
      <w:fldChar w:fldCharType="separate"/>
    </w:r>
    <w:r w:rsidR="008F7BC9">
      <w:rPr>
        <w:rFonts w:ascii="Times New Roman" w:hAnsi="Times New Roman"/>
        <w:noProof/>
        <w:sz w:val="20"/>
      </w:rPr>
      <w:t>1</w:t>
    </w:r>
    <w:r w:rsidRPr="00F17205">
      <w:rPr>
        <w:rFonts w:ascii="Times New Roman" w:hAnsi="Times New Roman"/>
        <w:noProof/>
        <w:sz w:val="20"/>
      </w:rPr>
      <w:fldChar w:fldCharType="end"/>
    </w:r>
  </w:p>
  <w:p w:rsidR="00F17205" w:rsidRDefault="00F172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753" w:rsidRDefault="00387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0E5" w:rsidRDefault="00B620E5" w:rsidP="009D60DB">
      <w:pPr>
        <w:spacing w:after="0" w:line="240" w:lineRule="auto"/>
      </w:pPr>
      <w:r>
        <w:separator/>
      </w:r>
    </w:p>
  </w:footnote>
  <w:footnote w:type="continuationSeparator" w:id="0">
    <w:p w:rsidR="00B620E5" w:rsidRDefault="00B620E5" w:rsidP="009D60DB">
      <w:pPr>
        <w:spacing w:after="0" w:line="240" w:lineRule="auto"/>
      </w:pPr>
      <w:r>
        <w:continuationSeparator/>
      </w:r>
    </w:p>
  </w:footnote>
  <w:footnote w:id="1">
    <w:p w:rsidR="00D74DC2" w:rsidRPr="00492326" w:rsidRDefault="00D74DC2" w:rsidP="00D74DC2">
      <w:pPr>
        <w:pStyle w:val="FootnoteText"/>
        <w:rPr>
          <w:rFonts w:ascii="Times New Roman" w:hAnsi="Times New Roman"/>
        </w:rPr>
      </w:pPr>
      <w:r w:rsidRPr="00492326">
        <w:rPr>
          <w:rStyle w:val="FootnoteReference"/>
          <w:rFonts w:ascii="Times New Roman" w:hAnsi="Times New Roman"/>
        </w:rPr>
        <w:footnoteRef/>
      </w:r>
      <w:r w:rsidRPr="00492326">
        <w:rPr>
          <w:rFonts w:ascii="Times New Roman" w:hAnsi="Times New Roman"/>
        </w:rPr>
        <w:t xml:space="preserve">  Ferre-Sadurni, Luis, “The Rise and Fall of New York Public Housing: An Oral History,” The New York Times, </w:t>
      </w:r>
      <w:r w:rsidRPr="00492326">
        <w:rPr>
          <w:rFonts w:ascii="Times New Roman" w:hAnsi="Times New Roman"/>
          <w:i/>
        </w:rPr>
        <w:t xml:space="preserve">available at </w:t>
      </w:r>
      <w:r w:rsidRPr="00492326">
        <w:rPr>
          <w:rFonts w:ascii="Times New Roman" w:hAnsi="Times New Roman"/>
          <w:color w:val="0000FF"/>
          <w:u w:val="single"/>
        </w:rPr>
        <w:t>https://www.nytimes.com/interactive/2018/06/25/nyregion/new-york-city-public-housing-history.html.</w:t>
      </w:r>
    </w:p>
  </w:footnote>
  <w:footnote w:id="2">
    <w:p w:rsidR="00D74DC2" w:rsidRPr="00492326" w:rsidRDefault="00D74DC2" w:rsidP="00D74DC2">
      <w:pPr>
        <w:pStyle w:val="FootnoteText"/>
        <w:rPr>
          <w:rFonts w:ascii="Times New Roman" w:hAnsi="Times New Roman"/>
        </w:rPr>
      </w:pPr>
      <w:r w:rsidRPr="00492326">
        <w:rPr>
          <w:rStyle w:val="FootnoteCharacters"/>
          <w:rFonts w:ascii="Times New Roman" w:hAnsi="Times New Roman"/>
        </w:rPr>
        <w:footnoteRef/>
      </w:r>
      <w:r w:rsidRPr="00492326">
        <w:rPr>
          <w:rFonts w:ascii="Times New Roman" w:hAnsi="Times New Roman"/>
        </w:rPr>
        <w:t xml:space="preserve"> Housing Act of 1937, </w:t>
      </w:r>
      <w:r w:rsidRPr="00492326">
        <w:rPr>
          <w:rFonts w:ascii="Times New Roman" w:hAnsi="Times New Roman"/>
          <w:i/>
        </w:rPr>
        <w:t>available at</w:t>
      </w:r>
      <w:r w:rsidRPr="00492326">
        <w:rPr>
          <w:rFonts w:ascii="Times New Roman" w:hAnsi="Times New Roman"/>
        </w:rPr>
        <w:t xml:space="preserve"> </w:t>
      </w:r>
      <w:hyperlink r:id="rId1" w:history="1">
        <w:r w:rsidRPr="00492326">
          <w:rPr>
            <w:rStyle w:val="Hyperlink"/>
            <w:rFonts w:ascii="Times New Roman" w:hAnsi="Times New Roman"/>
          </w:rPr>
          <w:t>https://www.gpo.gov/fdsys/pkg/USCODE-2009-title42/pdf/USCODE-2009-title42-chap8.pdf</w:t>
        </w:r>
      </w:hyperlink>
      <w:r w:rsidRPr="00492326">
        <w:rPr>
          <w:rFonts w:ascii="Times New Roman" w:hAnsi="Times New Roman"/>
        </w:rPr>
        <w:t xml:space="preserve">. </w:t>
      </w:r>
    </w:p>
  </w:footnote>
  <w:footnote w:id="3">
    <w:p w:rsidR="00D74DC2" w:rsidRPr="00492326" w:rsidRDefault="00D74DC2" w:rsidP="00D74DC2">
      <w:pPr>
        <w:pStyle w:val="FootnoteText"/>
        <w:rPr>
          <w:rFonts w:ascii="Times New Roman" w:hAnsi="Times New Roman"/>
        </w:rPr>
      </w:pPr>
      <w:r w:rsidRPr="00492326">
        <w:rPr>
          <w:rStyle w:val="FootnoteCharacters"/>
          <w:rFonts w:ascii="Times New Roman" w:hAnsi="Times New Roman"/>
        </w:rPr>
        <w:footnoteRef/>
      </w:r>
      <w:r w:rsidRPr="00492326">
        <w:rPr>
          <w:rFonts w:ascii="Times New Roman" w:hAnsi="Times New Roman"/>
        </w:rPr>
        <w:t xml:space="preserve"> Peter Marcuse, “The Beginnings of Public Housing in New York,” Journal of Urban History 12(4) at 353-54 (1986); J.A. Stoloff, A Brief History of Public Housing, Paper presented at Aug. 14 meeting of the American Sociological Association, at 3 (2004).</w:t>
      </w:r>
    </w:p>
  </w:footnote>
  <w:footnote w:id="4">
    <w:p w:rsidR="00D74DC2" w:rsidRPr="00492326" w:rsidRDefault="00D74DC2" w:rsidP="00D74DC2">
      <w:pPr>
        <w:pStyle w:val="FootnoteText"/>
        <w:rPr>
          <w:rFonts w:ascii="Times New Roman" w:hAnsi="Times New Roman"/>
        </w:rPr>
      </w:pPr>
      <w:r w:rsidRPr="00492326">
        <w:rPr>
          <w:rStyle w:val="FootnoteCharacters"/>
          <w:rFonts w:ascii="Times New Roman" w:hAnsi="Times New Roman"/>
        </w:rPr>
        <w:footnoteRef/>
      </w:r>
      <w:r w:rsidRPr="00492326">
        <w:rPr>
          <w:rFonts w:ascii="Times New Roman" w:hAnsi="Times New Roman"/>
        </w:rPr>
        <w:t xml:space="preserve">  Marcuse, 354; Stoloff, 1; </w:t>
      </w:r>
      <w:r w:rsidRPr="00492326">
        <w:rPr>
          <w:rFonts w:ascii="Times New Roman" w:hAnsi="Times New Roman"/>
          <w:i/>
        </w:rPr>
        <w:t>see also</w:t>
      </w:r>
      <w:r w:rsidRPr="00492326">
        <w:rPr>
          <w:rFonts w:ascii="Times New Roman" w:hAnsi="Times New Roman"/>
        </w:rPr>
        <w:t xml:space="preserve"> Judith D. Feins, et al., Revised Methods of Providing Federal Funds for Public Housing Agencies, US Department of Housing and Urban Development, at 9 (1994).</w:t>
      </w:r>
    </w:p>
  </w:footnote>
  <w:footnote w:id="5">
    <w:p w:rsidR="00D74DC2" w:rsidRDefault="00D74DC2" w:rsidP="00D74DC2">
      <w:pPr>
        <w:pStyle w:val="FootnoteText"/>
      </w:pPr>
      <w:r w:rsidRPr="00492326">
        <w:rPr>
          <w:rStyle w:val="FootnoteCharacters"/>
          <w:rFonts w:ascii="Times New Roman" w:hAnsi="Times New Roman"/>
        </w:rPr>
        <w:footnoteRef/>
      </w:r>
      <w:r w:rsidRPr="00492326">
        <w:rPr>
          <w:rFonts w:ascii="Times New Roman" w:hAnsi="Times New Roman"/>
        </w:rPr>
        <w:t xml:space="preserve">  </w:t>
      </w:r>
      <w:r w:rsidRPr="00492326">
        <w:rPr>
          <w:rFonts w:ascii="Times New Roman" w:hAnsi="Times New Roman"/>
          <w:i/>
        </w:rPr>
        <w:t>See</w:t>
      </w:r>
      <w:r w:rsidRPr="00492326">
        <w:rPr>
          <w:rFonts w:ascii="Times New Roman" w:hAnsi="Times New Roman"/>
        </w:rPr>
        <w:t xml:space="preserve"> NYCHA Fact Sheet, </w:t>
      </w:r>
      <w:r w:rsidRPr="00492326">
        <w:rPr>
          <w:rFonts w:ascii="Times New Roman" w:hAnsi="Times New Roman"/>
          <w:i/>
        </w:rPr>
        <w:t>available at</w:t>
      </w:r>
      <w:r w:rsidRPr="00492326">
        <w:rPr>
          <w:rFonts w:ascii="Times New Roman" w:hAnsi="Times New Roman"/>
        </w:rPr>
        <w:t xml:space="preserve"> </w:t>
      </w:r>
      <w:r w:rsidRPr="0060686D">
        <w:rPr>
          <w:rStyle w:val="Hyperlink"/>
          <w:rFonts w:ascii="Times New Roman" w:hAnsi="Times New Roman"/>
        </w:rPr>
        <w:t>https://www1.nyc.gov/assets/nycha/downloads/pdf</w:t>
      </w:r>
      <w:r w:rsidR="0060686D">
        <w:rPr>
          <w:rStyle w:val="Hyperlink"/>
          <w:rFonts w:ascii="Times New Roman" w:hAnsi="Times New Roman"/>
        </w:rPr>
        <w:t>/NYCHA-Fact-Sheet_2018_Final.pdf</w:t>
      </w:r>
    </w:p>
  </w:footnote>
  <w:footnote w:id="6">
    <w:p w:rsidR="009D60DB" w:rsidRDefault="009D60DB" w:rsidP="009D60DB">
      <w:pPr>
        <w:pStyle w:val="FootnoteText"/>
      </w:pPr>
      <w:r>
        <w:rPr>
          <w:rFonts w:ascii="Times New Roman" w:eastAsia="Times New Roman" w:hAnsi="Times New Roman"/>
          <w:sz w:val="24"/>
          <w:szCs w:val="24"/>
          <w:vertAlign w:val="superscript"/>
        </w:rPr>
        <w:footnoteRef/>
      </w:r>
      <w:r>
        <w:rPr>
          <w:rFonts w:ascii="Times New Roman" w:hAnsi="Times New Roman"/>
        </w:rPr>
        <w:t xml:space="preserve"> New York City Housing Authority, Tenant Participation Fund – Resident Council Guidebook 2017, available at http://www1.nyc.gov/assets/nycha/downloads/pdf/tpa-guidebook-20170123.pdf</w:t>
      </w:r>
    </w:p>
  </w:footnote>
  <w:footnote w:id="7">
    <w:p w:rsidR="009D60DB" w:rsidRDefault="009D60DB" w:rsidP="009D60DB">
      <w:pPr>
        <w:pStyle w:val="FootnoteText"/>
      </w:pPr>
      <w:r>
        <w:rPr>
          <w:rFonts w:ascii="Times New Roman" w:eastAsia="Times New Roman" w:hAnsi="Times New Roman"/>
          <w:sz w:val="24"/>
          <w:szCs w:val="24"/>
          <w:vertAlign w:val="superscript"/>
        </w:rPr>
        <w:footnoteRef/>
      </w:r>
      <w:r>
        <w:rPr>
          <w:rFonts w:ascii="Times New Roman" w:hAnsi="Times New Roman"/>
        </w:rPr>
        <w:t xml:space="preserve"> Getting Involved as a Resident, available at http://www1.nyc.gov/site/nycha/residents/getting-involved-as-a-resident.page</w:t>
      </w:r>
    </w:p>
  </w:footnote>
  <w:footnote w:id="8">
    <w:p w:rsidR="00492326" w:rsidRDefault="00492326">
      <w:pPr>
        <w:pStyle w:val="FootnoteText"/>
      </w:pPr>
      <w:r w:rsidRPr="00492326">
        <w:rPr>
          <w:rStyle w:val="FootnoteReference"/>
          <w:rFonts w:ascii="Times New Roman" w:hAnsi="Times New Roman"/>
        </w:rPr>
        <w:footnoteRef/>
      </w:r>
      <w:r w:rsidRPr="00492326">
        <w:rPr>
          <w:rFonts w:ascii="Times New Roman" w:hAnsi="Times New Roman"/>
        </w:rPr>
        <w:t xml:space="preserve"> </w:t>
      </w:r>
      <w:r>
        <w:rPr>
          <w:rFonts w:ascii="Times New Roman" w:hAnsi="Times New Roman"/>
        </w:rPr>
        <w:t>New York City Housing Authority, Tenant Participation Fund – Resident Council Guidebook 2017, available at http://www1.nyc.gov/assets/nycha/downloads/pdf/tpa-guidebook-20170123.pdf</w:t>
      </w:r>
    </w:p>
  </w:footnote>
  <w:footnote w:id="9">
    <w:p w:rsidR="009D60DB" w:rsidRDefault="009D60DB" w:rsidP="009D60DB">
      <w:pPr>
        <w:pStyle w:val="FootnoteText"/>
      </w:pPr>
      <w:r>
        <w:rPr>
          <w:rFonts w:ascii="Times New Roman" w:eastAsia="Times New Roman" w:hAnsi="Times New Roman"/>
          <w:sz w:val="24"/>
          <w:szCs w:val="24"/>
          <w:vertAlign w:val="superscript"/>
        </w:rPr>
        <w:footnoteRef/>
      </w:r>
      <w:r>
        <w:rPr>
          <w:rFonts w:ascii="Times New Roman" w:hAnsi="Times New Roman"/>
        </w:rPr>
        <w:t xml:space="preserve"> NextGeneration NYCHA, available at http://www1.nyc.gov/assets/nycha/downloads/pdf/nextgen-nycha-web.pdf</w:t>
      </w:r>
    </w:p>
  </w:footnote>
  <w:footnote w:id="10">
    <w:p w:rsidR="009D60DB" w:rsidRDefault="009D60DB" w:rsidP="009D60DB">
      <w:pPr>
        <w:pStyle w:val="FootnoteText"/>
      </w:pPr>
      <w:r>
        <w:rPr>
          <w:rFonts w:ascii="Times New Roman" w:eastAsia="Times New Roman" w:hAnsi="Times New Roman"/>
          <w:sz w:val="24"/>
          <w:szCs w:val="24"/>
          <w:vertAlign w:val="superscript"/>
        </w:rPr>
        <w:footnoteRef/>
      </w:r>
      <w:r>
        <w:rPr>
          <w:rFonts w:ascii="Times New Roman" w:hAnsi="Times New Roman"/>
        </w:rPr>
        <w:t xml:space="preserve"> New York City Housing Authority, Tenant Participation Fund – Resident Council Guidebook 2017, available at http://www1.nyc.gov/assets/nycha/downloads/pdf/tpa-guidebook-20170123.pdf</w:t>
      </w:r>
    </w:p>
  </w:footnote>
  <w:footnote w:id="11">
    <w:p w:rsidR="009D60DB" w:rsidRDefault="009D60DB" w:rsidP="009D60DB">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sidR="0060686D" w:rsidRPr="0060686D">
        <w:rPr>
          <w:rFonts w:ascii="Times New Roman" w:hAnsi="Times New Roman"/>
        </w:rPr>
        <w:t>Self-sufficiency and capacity building activities include tutorial services, parenting skills trainings, and technical assistance for job training</w:t>
      </w:r>
      <w:r w:rsidR="0060686D">
        <w:rPr>
          <w:rFonts w:ascii="Times New Roman" w:hAnsi="Times New Roman"/>
        </w:rPr>
        <w:t>s</w:t>
      </w:r>
      <w:r w:rsidR="0060686D" w:rsidRPr="0060686D">
        <w:rPr>
          <w:rFonts w:ascii="Times New Roman" w:hAnsi="Times New Roman"/>
        </w:rPr>
        <w:t xml:space="preserve"> and placement</w:t>
      </w:r>
      <w:r w:rsidR="0060686D">
        <w:rPr>
          <w:rFonts w:ascii="Times New Roman" w:hAnsi="Times New Roman"/>
        </w:rPr>
        <w:t>s</w:t>
      </w:r>
      <w:r w:rsidR="0060686D" w:rsidRPr="0060686D">
        <w:rPr>
          <w:rFonts w:ascii="Times New Roman" w:hAnsi="Times New Roman"/>
        </w:rPr>
        <w:t>.</w:t>
      </w:r>
      <w:r w:rsidR="0060686D">
        <w:rPr>
          <w:rFonts w:ascii="Times New Roman" w:hAnsi="Times New Roman"/>
        </w:rPr>
        <w:t xml:space="preserve"> See HUD Notice PIH 2013-21 available at </w:t>
      </w:r>
      <w:r>
        <w:rPr>
          <w:rFonts w:ascii="Times New Roman" w:hAnsi="Times New Roman"/>
        </w:rPr>
        <w:t>https://portal.hud.gov/hudportal/documents/huddoc?id=pih2013-21.pdf</w:t>
      </w:r>
    </w:p>
  </w:footnote>
  <w:footnote w:id="12">
    <w:p w:rsidR="0060686D" w:rsidRPr="0060686D" w:rsidRDefault="0060686D" w:rsidP="0060686D">
      <w:pPr>
        <w:pStyle w:val="FootnoteText"/>
        <w:rPr>
          <w:rFonts w:ascii="Times New Roman" w:hAnsi="Times New Roman"/>
        </w:rPr>
      </w:pPr>
      <w:r w:rsidRPr="0060686D">
        <w:rPr>
          <w:rStyle w:val="FootnoteReference"/>
          <w:rFonts w:ascii="Times New Roman" w:hAnsi="Times New Roman"/>
        </w:rPr>
        <w:footnoteRef/>
      </w:r>
      <w:r w:rsidRPr="0060686D">
        <w:rPr>
          <w:rFonts w:ascii="Times New Roman" w:hAnsi="Times New Roman"/>
        </w:rPr>
        <w:t xml:space="preserve"> The right to vote for resident council board </w:t>
      </w:r>
      <w:r>
        <w:rPr>
          <w:rFonts w:ascii="Times New Roman" w:hAnsi="Times New Roman"/>
        </w:rPr>
        <w:t>is</w:t>
      </w:r>
      <w:r w:rsidRPr="0060686D">
        <w:rPr>
          <w:rFonts w:ascii="Times New Roman" w:hAnsi="Times New Roman"/>
        </w:rPr>
        <w:t xml:space="preserve"> limited to d</w:t>
      </w:r>
      <w:r>
        <w:rPr>
          <w:rFonts w:ascii="Times New Roman" w:hAnsi="Times New Roman"/>
        </w:rPr>
        <w:t>esignated heads of households, of any age,</w:t>
      </w:r>
      <w:r w:rsidRPr="0060686D">
        <w:rPr>
          <w:rFonts w:ascii="Times New Roman" w:hAnsi="Times New Roman"/>
        </w:rPr>
        <w:t xml:space="preserve"> and other members of the household who are 18 years or older whose name appears on the lease of a unit in the public housing development represented by the resident council.</w:t>
      </w:r>
      <w:r>
        <w:rPr>
          <w:rFonts w:ascii="Times New Roman" w:hAnsi="Times New Roman"/>
        </w:rPr>
        <w:t xml:space="preserve"> See CFR 964.12</w:t>
      </w:r>
      <w:r w:rsidRPr="0060686D">
        <w:rPr>
          <w:rFonts w:ascii="Times New Roman" w:hAnsi="Times New Roman"/>
        </w:rPr>
        <w:t>5 available at https://www.govinfo.gov/content/pkg/CFR-2012-title24-vol4/pdf/CFR-2012-title24-vol4-part964.pdf</w:t>
      </w:r>
    </w:p>
  </w:footnote>
  <w:footnote w:id="13">
    <w:p w:rsidR="00273ED3" w:rsidRPr="00392A38" w:rsidRDefault="00273ED3">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CFR 964.115 </w:t>
      </w:r>
      <w:r w:rsidR="00392A38">
        <w:rPr>
          <w:rFonts w:ascii="Times New Roman" w:hAnsi="Times New Roman"/>
        </w:rPr>
        <w:t xml:space="preserve">available at </w:t>
      </w:r>
      <w:r w:rsidRPr="00392A38">
        <w:rPr>
          <w:rFonts w:ascii="Times New Roman" w:hAnsi="Times New Roman"/>
        </w:rPr>
        <w:t>https://www.govinfo.gov/content/pkg/CFR-2012-title24-vol4/pdf/CFR-2012-title24-vol4-part964.pdf</w:t>
      </w:r>
    </w:p>
  </w:footnote>
  <w:footnote w:id="14">
    <w:p w:rsidR="000A4D45" w:rsidRDefault="000A4D45">
      <w:pPr>
        <w:pStyle w:val="FootnoteText"/>
      </w:pPr>
      <w:r w:rsidRPr="00392A38">
        <w:rPr>
          <w:rStyle w:val="FootnoteReference"/>
          <w:rFonts w:ascii="Times New Roman" w:hAnsi="Times New Roman"/>
        </w:rPr>
        <w:footnoteRef/>
      </w:r>
      <w:r w:rsidRPr="00392A38">
        <w:rPr>
          <w:rFonts w:ascii="Times New Roman" w:hAnsi="Times New Roman"/>
        </w:rPr>
        <w:t xml:space="preserve"> CFR 964.18 </w:t>
      </w:r>
      <w:r w:rsidR="00392A38">
        <w:rPr>
          <w:rFonts w:ascii="Times New Roman" w:hAnsi="Times New Roman"/>
        </w:rPr>
        <w:t xml:space="preserve">available at </w:t>
      </w:r>
      <w:r w:rsidRPr="00392A38">
        <w:rPr>
          <w:rFonts w:ascii="Times New Roman" w:hAnsi="Times New Roman"/>
        </w:rPr>
        <w:t>https://www.govinfo.gov/content/pkg/CFR-2012-title24-vol4/pdf/CFR-2012-title24-vol4-part964.pdf</w:t>
      </w:r>
    </w:p>
  </w:footnote>
  <w:footnote w:id="15">
    <w:p w:rsidR="009D60DB" w:rsidRDefault="009D60DB" w:rsidP="009D60DB">
      <w:pPr>
        <w:pStyle w:val="FootnoteText"/>
      </w:pPr>
      <w:r>
        <w:rPr>
          <w:rFonts w:ascii="Times New Roman" w:eastAsia="Times New Roman" w:hAnsi="Times New Roman"/>
          <w:sz w:val="24"/>
          <w:szCs w:val="24"/>
          <w:vertAlign w:val="superscript"/>
        </w:rPr>
        <w:footnoteRef/>
      </w:r>
      <w:r>
        <w:rPr>
          <w:rFonts w:ascii="Times New Roman" w:hAnsi="Times New Roman"/>
        </w:rPr>
        <w:t xml:space="preserve"> New York City Housing Authority, Tenant Participation Fund – Resident Council Guidebook 2017, available at http://www1.nyc.gov/assets/nycha/downloads/pdf/tpa-guidebook-20170123.pdf</w:t>
      </w:r>
    </w:p>
  </w:footnote>
  <w:footnote w:id="16">
    <w:p w:rsidR="009D60DB" w:rsidRPr="00392A38" w:rsidRDefault="009D60DB" w:rsidP="009D60DB">
      <w:pPr>
        <w:pStyle w:val="FootnoteText"/>
        <w:rPr>
          <w:rFonts w:ascii="Times New Roman" w:hAnsi="Times New Roman"/>
          <w:i/>
        </w:rPr>
      </w:pPr>
      <w:r w:rsidRPr="00392A38">
        <w:rPr>
          <w:rFonts w:ascii="Times New Roman" w:eastAsia="Times New Roman" w:hAnsi="Times New Roman"/>
          <w:vertAlign w:val="superscript"/>
        </w:rPr>
        <w:footnoteRef/>
      </w:r>
      <w:r w:rsidRPr="00392A38">
        <w:rPr>
          <w:rFonts w:ascii="Times New Roman" w:hAnsi="Times New Roman"/>
        </w:rPr>
        <w:t xml:space="preserve"> </w:t>
      </w:r>
      <w:r w:rsidRPr="00392A38">
        <w:rPr>
          <w:rFonts w:ascii="Times New Roman" w:hAnsi="Times New Roman"/>
          <w:i/>
        </w:rPr>
        <w:t>Id.</w:t>
      </w:r>
    </w:p>
  </w:footnote>
  <w:footnote w:id="17">
    <w:p w:rsidR="0060686D" w:rsidRPr="0060686D" w:rsidRDefault="0060686D">
      <w:pPr>
        <w:pStyle w:val="FootnoteText"/>
        <w:rPr>
          <w:rFonts w:ascii="Times New Roman" w:hAnsi="Times New Roman"/>
        </w:rPr>
      </w:pPr>
      <w:r w:rsidRPr="0060686D">
        <w:rPr>
          <w:rStyle w:val="FootnoteReference"/>
          <w:rFonts w:ascii="Times New Roman" w:hAnsi="Times New Roman"/>
        </w:rPr>
        <w:footnoteRef/>
      </w:r>
      <w:r w:rsidRPr="0060686D">
        <w:rPr>
          <w:rFonts w:ascii="Times New Roman" w:hAnsi="Times New Roman"/>
        </w:rPr>
        <w:t xml:space="preserve"> </w:t>
      </w:r>
      <w:r w:rsidRPr="0060686D">
        <w:rPr>
          <w:rFonts w:ascii="Times New Roman" w:hAnsi="Times New Roman"/>
          <w:i/>
        </w:rPr>
        <w:t>Id</w:t>
      </w:r>
      <w:r w:rsidRPr="0060686D">
        <w:rPr>
          <w:rFonts w:ascii="Times New Roman" w:hAnsi="Times New Roman"/>
        </w:rPr>
        <w:t>.</w:t>
      </w:r>
    </w:p>
  </w:footnote>
  <w:footnote w:id="18">
    <w:p w:rsidR="0060686D" w:rsidRPr="0060686D" w:rsidRDefault="0060686D">
      <w:pPr>
        <w:pStyle w:val="FootnoteText"/>
        <w:rPr>
          <w:rFonts w:ascii="Times New Roman" w:hAnsi="Times New Roman"/>
        </w:rPr>
      </w:pPr>
      <w:r w:rsidRPr="0060686D">
        <w:rPr>
          <w:rStyle w:val="FootnoteReference"/>
          <w:rFonts w:ascii="Times New Roman" w:hAnsi="Times New Roman"/>
        </w:rPr>
        <w:footnoteRef/>
      </w:r>
      <w:r w:rsidRPr="0060686D">
        <w:rPr>
          <w:rFonts w:ascii="Times New Roman" w:hAnsi="Times New Roman"/>
        </w:rPr>
        <w:t xml:space="preserve"> </w:t>
      </w:r>
      <w:r w:rsidRPr="0060686D">
        <w:rPr>
          <w:rFonts w:ascii="Times New Roman" w:hAnsi="Times New Roman"/>
          <w:i/>
        </w:rPr>
        <w:t>Id</w:t>
      </w:r>
      <w:r w:rsidRPr="0060686D">
        <w:rPr>
          <w:rFonts w:ascii="Times New Roman" w:hAnsi="Times New Roman"/>
        </w:rPr>
        <w:t>.</w:t>
      </w:r>
    </w:p>
  </w:footnote>
  <w:footnote w:id="19">
    <w:p w:rsidR="009D60DB" w:rsidRPr="00392A38" w:rsidRDefault="009D60DB" w:rsidP="009D60DB">
      <w:pPr>
        <w:pStyle w:val="FootnoteText"/>
        <w:rPr>
          <w:rFonts w:ascii="Times New Roman" w:hAnsi="Times New Roman"/>
        </w:rPr>
      </w:pPr>
      <w:r w:rsidRPr="00392A38">
        <w:rPr>
          <w:rFonts w:ascii="Times New Roman" w:eastAsia="Times New Roman" w:hAnsi="Times New Roman"/>
          <w:i/>
          <w:vertAlign w:val="superscript"/>
        </w:rPr>
        <w:footnoteRef/>
      </w:r>
      <w:r w:rsidRPr="00392A38">
        <w:rPr>
          <w:rFonts w:ascii="Times New Roman" w:hAnsi="Times New Roman"/>
          <w:i/>
        </w:rPr>
        <w:t xml:space="preserve"> Id.</w:t>
      </w:r>
    </w:p>
  </w:footnote>
  <w:footnote w:id="20">
    <w:p w:rsidR="00273ED3" w:rsidRPr="00392A38" w:rsidRDefault="00273ED3">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C.F.R. 941.150 https://www.govinfo.gov/content/pkg/CFR-2012-title24-vol4/pdf/CFR-2012-title24-vol4-part964.pdf</w:t>
      </w:r>
    </w:p>
  </w:footnote>
  <w:footnote w:id="21">
    <w:p w:rsidR="00273ED3" w:rsidRPr="00392A38" w:rsidRDefault="00273ED3">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w:t>
      </w:r>
      <w:r w:rsidRPr="00392A38">
        <w:rPr>
          <w:rFonts w:ascii="Times New Roman" w:hAnsi="Times New Roman"/>
          <w:i/>
        </w:rPr>
        <w:t>Id</w:t>
      </w:r>
      <w:r w:rsidRPr="00392A38">
        <w:rPr>
          <w:rFonts w:ascii="Times New Roman" w:hAnsi="Times New Roman"/>
        </w:rPr>
        <w:t>.</w:t>
      </w:r>
    </w:p>
  </w:footnote>
  <w:footnote w:id="22">
    <w:p w:rsidR="00392A38" w:rsidRPr="00392A38" w:rsidRDefault="00392A38">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Committee on Public Housing Hearing Transcript, “Oversight – Examining NYCHA’s Restructuring of Tenant Participation Activities (TPA) Funds” (June 20, 2017), available at https://legistar.council.nyc.gov </w:t>
      </w:r>
    </w:p>
  </w:footnote>
  <w:footnote w:id="23">
    <w:p w:rsidR="00392A38" w:rsidRDefault="00392A38">
      <w:pPr>
        <w:pStyle w:val="FootnoteText"/>
      </w:pPr>
      <w:r w:rsidRPr="00392A38">
        <w:rPr>
          <w:rStyle w:val="FootnoteReference"/>
          <w:rFonts w:ascii="Times New Roman" w:hAnsi="Times New Roman"/>
        </w:rPr>
        <w:footnoteRef/>
      </w:r>
      <w:r w:rsidRPr="00392A38">
        <w:rPr>
          <w:rFonts w:ascii="Times New Roman" w:hAnsi="Times New Roman"/>
        </w:rPr>
        <w:t xml:space="preserve"> NYCHA, Tenant Participation Activity Process Reform Frequently Asked Questions, available at https://www1.nyc.gov/assets/nycha/downloads/pdf/tpa-reform-faq.pdf</w:t>
      </w:r>
    </w:p>
  </w:footnote>
  <w:footnote w:id="24">
    <w:p w:rsidR="00392A38" w:rsidRPr="00392A38" w:rsidRDefault="00392A38">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w:t>
      </w:r>
      <w:r w:rsidRPr="00392A38">
        <w:rPr>
          <w:rFonts w:ascii="Times New Roman" w:hAnsi="Times New Roman"/>
          <w:i/>
        </w:rPr>
        <w:t>Id</w:t>
      </w:r>
      <w:r w:rsidRPr="00392A38">
        <w:rPr>
          <w:rFonts w:ascii="Times New Roman" w:hAnsi="Times New Roman"/>
        </w:rPr>
        <w:t>.</w:t>
      </w:r>
    </w:p>
  </w:footnote>
  <w:footnote w:id="25">
    <w:p w:rsidR="00392A38" w:rsidRPr="00392A38" w:rsidRDefault="00392A38" w:rsidP="00392A38">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Committee on Public Housing Hearing Transcript, “Oversight – Examining NYCHA’s Restructuring of Tenant Participation Activities (TPA) Funds” (June 20, 2017), available at https://legistar.council.nyc.gov</w:t>
      </w:r>
    </w:p>
  </w:footnote>
  <w:footnote w:id="26">
    <w:p w:rsidR="00392A38" w:rsidRPr="00392A38" w:rsidRDefault="00392A38">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Ungar-Sargon, Batya, “Tenants’ Voice Lacks Power as NYCHA Faces Crucial Chapter” (May 7, 2015) available at https://citylimits.org/2015/05/07/tenants-voice-lacks-power-as-nycha-faces-crucial-chapter/</w:t>
      </w:r>
    </w:p>
  </w:footnote>
  <w:footnote w:id="27">
    <w:p w:rsidR="00392A38" w:rsidRDefault="00392A38" w:rsidP="00392A38">
      <w:pPr>
        <w:pStyle w:val="FootnoteText"/>
      </w:pPr>
      <w:r>
        <w:rPr>
          <w:rStyle w:val="FootnoteReference"/>
        </w:rPr>
        <w:footnoteRef/>
      </w:r>
      <w:r>
        <w:t xml:space="preserve"> </w:t>
      </w:r>
      <w:r w:rsidRPr="00392A38">
        <w:rPr>
          <w:rFonts w:ascii="Times New Roman" w:hAnsi="Times New Roman"/>
        </w:rPr>
        <w:t>Committee on Public Housing Hearing Transcript, “Oversight – Examining NYCHA’s Restructuring of Tenant Participation Activities (TPA) Funds” (June 20, 2017), available at https://legistar.council.nyc.gov</w:t>
      </w:r>
    </w:p>
  </w:footnote>
  <w:footnote w:id="28">
    <w:p w:rsidR="00955914" w:rsidRPr="00392A38" w:rsidRDefault="00955914">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w:t>
      </w:r>
      <w:r w:rsidR="00ED7DDD">
        <w:rPr>
          <w:rFonts w:ascii="Times New Roman" w:hAnsi="Times New Roman"/>
        </w:rPr>
        <w:t xml:space="preserve">NYCHA Tenant Participation Activity, available at </w:t>
      </w:r>
      <w:r w:rsidR="00ED7DDD" w:rsidRPr="00ED7DDD">
        <w:rPr>
          <w:rFonts w:ascii="Times New Roman" w:hAnsi="Times New Roman"/>
        </w:rPr>
        <w:t>https://www1.nyc.gov/site/nycha/residents/nycha-tpa.page</w:t>
      </w:r>
    </w:p>
  </w:footnote>
  <w:footnote w:id="29">
    <w:p w:rsidR="007A5671" w:rsidRPr="00392A38" w:rsidRDefault="007A5671">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w:t>
      </w:r>
      <w:r w:rsidR="00ED7DDD">
        <w:rPr>
          <w:rFonts w:ascii="Times New Roman" w:hAnsi="Times New Roman"/>
          <w:i/>
        </w:rPr>
        <w:t>Id.</w:t>
      </w:r>
    </w:p>
  </w:footnote>
  <w:footnote w:id="30">
    <w:p w:rsidR="007A5671" w:rsidRPr="00392A38" w:rsidRDefault="007A5671">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w:t>
      </w:r>
      <w:r w:rsidR="00955914" w:rsidRPr="00392A38">
        <w:rPr>
          <w:rFonts w:ascii="Times New Roman" w:hAnsi="Times New Roman"/>
          <w:i/>
        </w:rPr>
        <w:t>Id.</w:t>
      </w:r>
    </w:p>
  </w:footnote>
  <w:footnote w:id="31">
    <w:p w:rsidR="007A5671" w:rsidRPr="00392A38" w:rsidRDefault="007A5671">
      <w:pPr>
        <w:pStyle w:val="FootnoteText"/>
        <w:rPr>
          <w:rFonts w:ascii="Times New Roman" w:hAnsi="Times New Roman"/>
        </w:rPr>
      </w:pPr>
      <w:r w:rsidRPr="00392A38">
        <w:rPr>
          <w:rStyle w:val="FootnoteReference"/>
          <w:rFonts w:ascii="Times New Roman" w:hAnsi="Times New Roman"/>
        </w:rPr>
        <w:footnoteRef/>
      </w:r>
      <w:r w:rsidRPr="00392A38">
        <w:rPr>
          <w:rFonts w:ascii="Times New Roman" w:hAnsi="Times New Roman"/>
        </w:rPr>
        <w:t xml:space="preserve"> </w:t>
      </w:r>
      <w:r w:rsidR="00955914" w:rsidRPr="00392A38">
        <w:rPr>
          <w:rFonts w:ascii="Times New Roman" w:hAnsi="Times New Roman"/>
          <w:i/>
        </w:rPr>
        <w:t>Id.</w:t>
      </w:r>
    </w:p>
  </w:footnote>
  <w:footnote w:id="32">
    <w:p w:rsidR="00392A38" w:rsidRDefault="00392A38">
      <w:pPr>
        <w:pStyle w:val="FootnoteText"/>
      </w:pPr>
      <w:r w:rsidRPr="00392A38">
        <w:rPr>
          <w:rStyle w:val="FootnoteReference"/>
          <w:rFonts w:ascii="Times New Roman" w:hAnsi="Times New Roman"/>
        </w:rPr>
        <w:footnoteRef/>
      </w:r>
      <w:r>
        <w:t xml:space="preserve"> </w:t>
      </w:r>
      <w:r w:rsidRPr="00392A38">
        <w:rPr>
          <w:rFonts w:ascii="Times New Roman" w:hAnsi="Times New Roman"/>
          <w:i/>
        </w:rPr>
        <w:t>Id.</w:t>
      </w:r>
    </w:p>
  </w:footnote>
  <w:footnote w:id="33">
    <w:p w:rsidR="0060686D" w:rsidRPr="0060686D" w:rsidRDefault="0060686D">
      <w:pPr>
        <w:pStyle w:val="FootnoteText"/>
        <w:rPr>
          <w:rFonts w:ascii="Times New Roman" w:hAnsi="Times New Roman"/>
        </w:rPr>
      </w:pPr>
      <w:r w:rsidRPr="0060686D">
        <w:rPr>
          <w:rStyle w:val="FootnoteReference"/>
          <w:rFonts w:ascii="Times New Roman" w:hAnsi="Times New Roman"/>
        </w:rPr>
        <w:footnoteRef/>
      </w:r>
      <w:r w:rsidRPr="0060686D">
        <w:rPr>
          <w:rFonts w:ascii="Times New Roman" w:hAnsi="Times New Roman"/>
        </w:rPr>
        <w:t xml:space="preserve"> NYCHA is required by HUD to reexamine every tenant’s family composition – or the number of household members – every twelve months. See NYCHA Tenant Handbook 2017, available at https://www1.nyc.gov/assets/nycha/downloads/pdf/nycha-tenant-handbook-2017.pdf</w:t>
      </w:r>
    </w:p>
  </w:footnote>
  <w:footnote w:id="34">
    <w:p w:rsidR="00392A38" w:rsidRDefault="00392A38">
      <w:pPr>
        <w:pStyle w:val="FootnoteText"/>
      </w:pPr>
      <w:r w:rsidRPr="00392A38">
        <w:rPr>
          <w:rStyle w:val="FootnoteReference"/>
          <w:rFonts w:ascii="Times New Roman" w:hAnsi="Times New Roman"/>
        </w:rPr>
        <w:footnoteRef/>
      </w:r>
      <w:r w:rsidRPr="00392A38">
        <w:rPr>
          <w:rFonts w:ascii="Times New Roman" w:hAnsi="Times New Roman"/>
        </w:rPr>
        <w:t xml:space="preserve"> </w:t>
      </w:r>
      <w:r w:rsidRPr="00392A38">
        <w:rPr>
          <w:rFonts w:ascii="Times New Roman" w:hAnsi="Times New Roman"/>
          <w:i/>
        </w:rPr>
        <w:t>Id.</w:t>
      </w:r>
    </w:p>
  </w:footnote>
  <w:footnote w:id="35">
    <w:p w:rsidR="009D60DB" w:rsidRPr="0097052C" w:rsidRDefault="009D60DB" w:rsidP="009D60DB">
      <w:pPr>
        <w:pStyle w:val="FootnoteText"/>
        <w:rPr>
          <w:rFonts w:ascii="Times New Roman" w:hAnsi="Times New Roman"/>
        </w:rPr>
      </w:pPr>
      <w:r w:rsidRPr="00392A38">
        <w:rPr>
          <w:rFonts w:ascii="Times New Roman" w:eastAsia="Times New Roman" w:hAnsi="Times New Roman"/>
          <w:vertAlign w:val="superscript"/>
        </w:rPr>
        <w:footnoteRef/>
      </w:r>
      <w:r w:rsidRPr="00392A38">
        <w:rPr>
          <w:rFonts w:ascii="Times New Roman" w:hAnsi="Times New Roman"/>
        </w:rPr>
        <w:t xml:space="preserve"> </w:t>
      </w:r>
      <w:r w:rsidRPr="00392A38">
        <w:rPr>
          <w:rFonts w:ascii="Times New Roman" w:hAnsi="Times New Roman"/>
          <w:i/>
        </w:rPr>
        <w:t>Id.</w:t>
      </w:r>
    </w:p>
  </w:footnote>
  <w:footnote w:id="36">
    <w:p w:rsidR="00955914" w:rsidRDefault="00955914" w:rsidP="00955914">
      <w:pPr>
        <w:pStyle w:val="FootnoteText"/>
      </w:pPr>
      <w:r>
        <w:rPr>
          <w:rStyle w:val="FootnoteReference"/>
          <w:rFonts w:ascii="Times New Roman" w:hAnsi="Times New Roman"/>
        </w:rPr>
        <w:footnoteRef/>
      </w:r>
      <w:r>
        <w:rPr>
          <w:rFonts w:ascii="Times New Roman" w:hAnsi="Times New Roman"/>
        </w:rPr>
        <w:t xml:space="preserve"> New York City Housing Authority, The Road to Reform, available at http://www1.nyc.gov/assets/nycha/downloads/pdf/tpa-reform-timeline.pdf</w:t>
      </w:r>
    </w:p>
  </w:footnote>
  <w:footnote w:id="37">
    <w:p w:rsidR="00AA3671" w:rsidRDefault="00AA3671">
      <w:pPr>
        <w:pStyle w:val="FootnoteText"/>
      </w:pPr>
      <w:r w:rsidRPr="00ED7DDD">
        <w:rPr>
          <w:rStyle w:val="FootnoteReference"/>
          <w:rFonts w:ascii="Times New Roman" w:hAnsi="Times New Roman"/>
        </w:rPr>
        <w:footnoteRef/>
      </w:r>
      <w:r w:rsidRPr="00ED7DDD">
        <w:rPr>
          <w:rFonts w:ascii="Times New Roman" w:hAnsi="Times New Roman"/>
        </w:rPr>
        <w:t xml:space="preserve"> </w:t>
      </w:r>
      <w:r>
        <w:rPr>
          <w:rFonts w:ascii="Times New Roman" w:hAnsi="Times New Roman"/>
        </w:rPr>
        <w:t>New York City Housing Authority, Tenant Participation Fund – Resident Council Guidebook 2017, available at http://www1.nyc.gov/assets/nycha/downloads/pdf/tpa-guidebook-20170123.pdf</w:t>
      </w:r>
    </w:p>
  </w:footnote>
  <w:footnote w:id="38">
    <w:p w:rsidR="00AA3671" w:rsidRDefault="00AA3671">
      <w:pPr>
        <w:pStyle w:val="FootnoteText"/>
      </w:pPr>
      <w:r>
        <w:rPr>
          <w:rStyle w:val="FootnoteReference"/>
        </w:rPr>
        <w:footnoteRef/>
      </w:r>
      <w:r>
        <w:t xml:space="preserve"> </w:t>
      </w:r>
      <w:r>
        <w:rPr>
          <w:rFonts w:ascii="Times New Roman" w:hAnsi="Times New Roman"/>
        </w:rPr>
        <w:t>New York City Housing Authority, Tenant Participation Fund – Resident Council Guidebook 2017, available at http://www1.nyc.gov/assets/nycha/downloads/pdf/tpa-guidebook-20170123.pdf</w:t>
      </w:r>
    </w:p>
  </w:footnote>
  <w:footnote w:id="39">
    <w:p w:rsidR="00AA3671" w:rsidRDefault="00AA3671">
      <w:pPr>
        <w:pStyle w:val="FootnoteText"/>
      </w:pPr>
      <w:r>
        <w:rPr>
          <w:rStyle w:val="FootnoteReference"/>
        </w:rPr>
        <w:footnoteRef/>
      </w:r>
      <w:r>
        <w:t xml:space="preserve"> </w:t>
      </w:r>
      <w:r>
        <w:rPr>
          <w:rFonts w:ascii="Times New Roman" w:hAnsi="Times New Roman"/>
        </w:rPr>
        <w:t>New York City Housing Authority, Tenant Participation Fund – Resident Council Guidebook 2017, available at http://www1.nyc.gov/assets/nycha/downloads/pdf/tpa-guidebook-20170123.pdf</w:t>
      </w:r>
    </w:p>
  </w:footnote>
  <w:footnote w:id="40">
    <w:p w:rsidR="00AA3671" w:rsidRDefault="00AA3671">
      <w:pPr>
        <w:pStyle w:val="FootnoteText"/>
      </w:pPr>
      <w:r>
        <w:rPr>
          <w:rStyle w:val="FootnoteReference"/>
        </w:rPr>
        <w:footnoteRef/>
      </w:r>
      <w:r>
        <w:t xml:space="preserve"> </w:t>
      </w:r>
      <w:r>
        <w:rPr>
          <w:rFonts w:ascii="Times New Roman" w:hAnsi="Times New Roman"/>
        </w:rPr>
        <w:t>New York City Housing Authority, Tenant Participation Fund – Resident Council Guidebook 2017, available at http://www1.nyc.gov/assets/nycha/downloads/pdf/tpa-guidebook-20170123.pdf</w:t>
      </w:r>
    </w:p>
  </w:footnote>
  <w:footnote w:id="41">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New York City Housing Authority, Tenant Participation Fund – Resident Council Guidebook 2017, available at http://www1.nyc.gov/assets/nycha/downloads/pdf/tpa-guidebook-20170123.pdf</w:t>
      </w:r>
    </w:p>
  </w:footnote>
  <w:footnote w:id="42">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r>
        <w:rPr>
          <w:rFonts w:ascii="Times New Roman" w:hAnsi="Times New Roman"/>
        </w:rPr>
        <w:t>.</w:t>
      </w:r>
    </w:p>
  </w:footnote>
  <w:footnote w:id="43">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44">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New York City Housing Authority, Tenant Participation Fund – Resident Council Guidebook 2017, available at http://www1.nyc.gov/assets/nycha/downloads/pdf/tpa-guidebook-20170123.pdf</w:t>
      </w:r>
    </w:p>
  </w:footnote>
  <w:footnote w:id="45">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46">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47">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48">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49">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50">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51">
    <w:p w:rsidR="003802A7" w:rsidRDefault="003802A7">
      <w:pPr>
        <w:pStyle w:val="FootnoteText"/>
      </w:pPr>
      <w:r>
        <w:rPr>
          <w:rStyle w:val="FootnoteReference"/>
        </w:rPr>
        <w:footnoteRef/>
      </w:r>
      <w:r>
        <w:t xml:space="preserve"> </w:t>
      </w:r>
      <w:r w:rsidRPr="003D5C58">
        <w:rPr>
          <w:i/>
        </w:rPr>
        <w:t>Id.</w:t>
      </w:r>
    </w:p>
  </w:footnote>
  <w:footnote w:id="52">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53">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New York City Housing Authority, Tenant Participation Fund – Resident Council Guidebook 2017, available at http://www1.nyc.gov/assets/nycha/downloads/pdf/tpa-guidebook-20170123.pdf</w:t>
      </w:r>
    </w:p>
  </w:footnote>
  <w:footnote w:id="54">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55">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56">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57">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58">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New York City Housing Authority, Tenant Participation Fund – Resident Council Guidebook 2017, available at http://www1.nyc.gov/assets/nycha/downloads/pdf/tpa-guidebook-20170123.pdf</w:t>
      </w:r>
    </w:p>
  </w:footnote>
  <w:footnote w:id="59">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60">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61">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62">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63">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64">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New York City Housing Authority, Tenant Participation Fund – Resident Council Guidebook 2017, available at http://www1.nyc.gov/assets/nycha/downloads/pdf/tpa-guidebook-20170123.pdf</w:t>
      </w:r>
    </w:p>
  </w:footnote>
  <w:footnote w:id="65">
    <w:p w:rsidR="00ED7DDD" w:rsidRPr="00ED7DDD" w:rsidRDefault="00ED7DDD">
      <w:pPr>
        <w:pStyle w:val="FootnoteText"/>
        <w:rPr>
          <w:rFonts w:ascii="Times New Roman" w:hAnsi="Times New Roman"/>
        </w:rPr>
      </w:pPr>
      <w:r w:rsidRPr="00ED7DDD">
        <w:rPr>
          <w:rStyle w:val="FootnoteReference"/>
          <w:rFonts w:ascii="Times New Roman" w:hAnsi="Times New Roman"/>
        </w:rPr>
        <w:footnoteRef/>
      </w:r>
      <w:r w:rsidRPr="00ED7DDD">
        <w:rPr>
          <w:rFonts w:ascii="Times New Roman" w:hAnsi="Times New Roman"/>
        </w:rPr>
        <w:t xml:space="preserve"> </w:t>
      </w:r>
      <w:r w:rsidRPr="00ED7DDD">
        <w:rPr>
          <w:rFonts w:ascii="Times New Roman" w:hAnsi="Times New Roman"/>
          <w:i/>
        </w:rPr>
        <w:t>Id.</w:t>
      </w:r>
    </w:p>
  </w:footnote>
  <w:footnote w:id="66">
    <w:p w:rsidR="00ED7DDD" w:rsidRDefault="00ED7DDD">
      <w:pPr>
        <w:pStyle w:val="FootnoteText"/>
      </w:pPr>
      <w:r w:rsidRPr="00ED7DDD">
        <w:rPr>
          <w:rStyle w:val="FootnoteReference"/>
          <w:rFonts w:ascii="Times New Roman" w:hAnsi="Times New Roman"/>
        </w:rPr>
        <w:footnoteRef/>
      </w:r>
      <w:r w:rsidRPr="00ED7DDD">
        <w:rPr>
          <w:rFonts w:ascii="Times New Roman" w:hAnsi="Times New Roman"/>
        </w:rPr>
        <w:t xml:space="preserve"> </w:t>
      </w:r>
      <w:r w:rsidRPr="00ED7DDD">
        <w:rPr>
          <w:rFonts w:ascii="Times New Roman" w:hAnsi="Times New Roman"/>
          <w:i/>
        </w:rPr>
        <w:t>Id.</w:t>
      </w:r>
    </w:p>
  </w:footnote>
  <w:footnote w:id="67">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68">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69">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New York City Housing Authority, Tenant Participation Fund – Resident Council Guidebook 2017, available at http://www1.nyc.gov/assets/nycha/downloads/pdf/tpa-guidebook-20170123.pdf</w:t>
      </w:r>
    </w:p>
  </w:footnote>
  <w:footnote w:id="70">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71">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72">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 w:id="73">
    <w:p w:rsidR="00955914" w:rsidRDefault="00955914" w:rsidP="00955914">
      <w:pPr>
        <w:pStyle w:val="FootnoteText"/>
      </w:pPr>
      <w:r>
        <w:rPr>
          <w:rFonts w:ascii="Times New Roman" w:eastAsia="Times New Roman" w:hAnsi="Times New Roman"/>
          <w:sz w:val="24"/>
          <w:szCs w:val="24"/>
          <w:vertAlign w:val="superscript"/>
        </w:rPr>
        <w:footnoteRef/>
      </w:r>
      <w:r>
        <w:rPr>
          <w:rFonts w:ascii="Times New Roman" w:hAnsi="Times New Roman"/>
        </w:rPr>
        <w:t xml:space="preserve"> </w:t>
      </w:r>
      <w:r>
        <w:rPr>
          <w:rFonts w:ascii="Times New Roman" w:hAnsi="Times New Roman"/>
          <w:i/>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753" w:rsidRDefault="003877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1EB" w:rsidRDefault="004131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753" w:rsidRDefault="003877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F5BA0"/>
    <w:multiLevelType w:val="hybridMultilevel"/>
    <w:tmpl w:val="CCC2C404"/>
    <w:numStyleLink w:val="ImportedStyle2"/>
  </w:abstractNum>
  <w:abstractNum w:abstractNumId="1" w15:restartNumberingAfterBreak="0">
    <w:nsid w:val="37EB7AB6"/>
    <w:multiLevelType w:val="hybridMultilevel"/>
    <w:tmpl w:val="CCC2C404"/>
    <w:styleLink w:val="ImportedStyle2"/>
    <w:lvl w:ilvl="0" w:tplc="49F24D4E">
      <w:start w:val="1"/>
      <w:numFmt w:val="bullet"/>
      <w:lvlText w:val="●"/>
      <w:lvlJc w:val="left"/>
      <w:pPr>
        <w:ind w:left="144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CD45116">
      <w:start w:val="1"/>
      <w:numFmt w:val="bullet"/>
      <w:lvlText w:val="○"/>
      <w:lvlJc w:val="left"/>
      <w:pPr>
        <w:ind w:left="216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C2492B8">
      <w:start w:val="1"/>
      <w:numFmt w:val="bullet"/>
      <w:lvlText w:val="■"/>
      <w:lvlJc w:val="left"/>
      <w:pPr>
        <w:ind w:left="288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BEA61AE">
      <w:start w:val="1"/>
      <w:numFmt w:val="bullet"/>
      <w:lvlText w:val="●"/>
      <w:lvlJc w:val="left"/>
      <w:pPr>
        <w:ind w:left="360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8ECC6E2">
      <w:start w:val="1"/>
      <w:numFmt w:val="bullet"/>
      <w:lvlText w:val="○"/>
      <w:lvlJc w:val="left"/>
      <w:pPr>
        <w:ind w:left="432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A784C4A">
      <w:start w:val="1"/>
      <w:numFmt w:val="bullet"/>
      <w:lvlText w:val="■"/>
      <w:lvlJc w:val="left"/>
      <w:pPr>
        <w:ind w:left="504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36501EE4">
      <w:start w:val="1"/>
      <w:numFmt w:val="bullet"/>
      <w:lvlText w:val="●"/>
      <w:lvlJc w:val="left"/>
      <w:pPr>
        <w:ind w:left="576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730D1A6">
      <w:start w:val="1"/>
      <w:numFmt w:val="bullet"/>
      <w:lvlText w:val="○"/>
      <w:lvlJc w:val="left"/>
      <w:pPr>
        <w:ind w:left="648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C7AA814">
      <w:start w:val="1"/>
      <w:numFmt w:val="bullet"/>
      <w:lvlText w:val="■"/>
      <w:lvlJc w:val="left"/>
      <w:pPr>
        <w:ind w:left="720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3F3636CC"/>
    <w:multiLevelType w:val="hybridMultilevel"/>
    <w:tmpl w:val="B030A5F0"/>
    <w:numStyleLink w:val="ImportedStyle1"/>
  </w:abstractNum>
  <w:abstractNum w:abstractNumId="3" w15:restartNumberingAfterBreak="0">
    <w:nsid w:val="43A963EA"/>
    <w:multiLevelType w:val="hybridMultilevel"/>
    <w:tmpl w:val="6CA68D10"/>
    <w:lvl w:ilvl="0" w:tplc="439C3A56">
      <w:start w:val="5"/>
      <w:numFmt w:val="upperRoman"/>
      <w:lvlText w:val="%1."/>
      <w:lvlJc w:val="left"/>
      <w:pPr>
        <w:ind w:left="1080" w:hanging="720"/>
      </w:pPr>
      <w:rPr>
        <w:rFonts w:ascii="Times New Roman" w:hAnsi="Times New Roman" w:cs="Times New Roman"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F7461C"/>
    <w:multiLevelType w:val="hybridMultilevel"/>
    <w:tmpl w:val="B030A5F0"/>
    <w:styleLink w:val="ImportedStyle1"/>
    <w:lvl w:ilvl="0" w:tplc="7F8C9BD6">
      <w:start w:val="1"/>
      <w:numFmt w:val="upperRoman"/>
      <w:lvlText w:val="%1."/>
      <w:lvlJc w:val="left"/>
      <w:pPr>
        <w:tabs>
          <w:tab w:val="num" w:pos="720"/>
        </w:tabs>
        <w:ind w:left="1080" w:hanging="720"/>
      </w:pPr>
      <w:rPr>
        <w:rFonts w:hAnsi="Arial Unicode MS"/>
        <w:b/>
        <w:bCs/>
        <w:caps w:val="0"/>
        <w:smallCaps w:val="0"/>
        <w:strike w:val="0"/>
        <w:dstrike w:val="0"/>
        <w:color w:val="000000"/>
        <w:spacing w:val="0"/>
        <w:w w:val="100"/>
        <w:kern w:val="0"/>
        <w:position w:val="0"/>
        <w:highlight w:val="none"/>
        <w:vertAlign w:val="baseline"/>
      </w:rPr>
    </w:lvl>
    <w:lvl w:ilvl="1" w:tplc="E9B67E90">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C0CABE7A">
      <w:start w:val="1"/>
      <w:numFmt w:val="lowerRoman"/>
      <w:lvlText w:val="%3."/>
      <w:lvlJc w:val="left"/>
      <w:pPr>
        <w:ind w:left="2160" w:hanging="300"/>
      </w:pPr>
      <w:rPr>
        <w:rFonts w:hAnsi="Arial Unicode MS"/>
        <w:i/>
        <w:iCs/>
        <w:caps w:val="0"/>
        <w:smallCaps w:val="0"/>
        <w:strike w:val="0"/>
        <w:dstrike w:val="0"/>
        <w:color w:val="000000"/>
        <w:spacing w:val="0"/>
        <w:w w:val="100"/>
        <w:kern w:val="0"/>
        <w:position w:val="0"/>
        <w:highlight w:val="none"/>
        <w:vertAlign w:val="baseline"/>
      </w:rPr>
    </w:lvl>
    <w:lvl w:ilvl="3" w:tplc="C206102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E9A29A42">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54ACCD90">
      <w:start w:val="1"/>
      <w:numFmt w:val="lowerRoman"/>
      <w:lvlText w:val="%6."/>
      <w:lvlJc w:val="left"/>
      <w:pPr>
        <w:ind w:left="4320" w:hanging="300"/>
      </w:pPr>
      <w:rPr>
        <w:rFonts w:hAnsi="Arial Unicode MS"/>
        <w:i/>
        <w:iCs/>
        <w:caps w:val="0"/>
        <w:smallCaps w:val="0"/>
        <w:strike w:val="0"/>
        <w:dstrike w:val="0"/>
        <w:color w:val="000000"/>
        <w:spacing w:val="0"/>
        <w:w w:val="100"/>
        <w:kern w:val="0"/>
        <w:position w:val="0"/>
        <w:highlight w:val="none"/>
        <w:vertAlign w:val="baseline"/>
      </w:rPr>
    </w:lvl>
    <w:lvl w:ilvl="6" w:tplc="B1521C2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826CED9C">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2370F9F8">
      <w:start w:val="1"/>
      <w:numFmt w:val="lowerRoman"/>
      <w:lvlText w:val="%9."/>
      <w:lvlJc w:val="left"/>
      <w:pPr>
        <w:ind w:left="648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5" w15:restartNumberingAfterBreak="0">
    <w:nsid w:val="5E1754A6"/>
    <w:multiLevelType w:val="hybridMultilevel"/>
    <w:tmpl w:val="F56A6C0C"/>
    <w:numStyleLink w:val="ImportedStyle3"/>
  </w:abstractNum>
  <w:abstractNum w:abstractNumId="6" w15:restartNumberingAfterBreak="0">
    <w:nsid w:val="71C44D69"/>
    <w:multiLevelType w:val="hybridMultilevel"/>
    <w:tmpl w:val="F56A6C0C"/>
    <w:styleLink w:val="ImportedStyle3"/>
    <w:lvl w:ilvl="0" w:tplc="64EC0810">
      <w:start w:val="1"/>
      <w:numFmt w:val="decimal"/>
      <w:lvlText w:val="(%1)"/>
      <w:lvlJc w:val="left"/>
      <w:pPr>
        <w:ind w:left="108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BEA06AC">
      <w:start w:val="1"/>
      <w:numFmt w:val="lowerLetter"/>
      <w:lvlText w:val="%2."/>
      <w:lvlJc w:val="left"/>
      <w:pPr>
        <w:ind w:left="180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032353A">
      <w:start w:val="1"/>
      <w:numFmt w:val="lowerRoman"/>
      <w:lvlText w:val="%3."/>
      <w:lvlJc w:val="left"/>
      <w:pPr>
        <w:ind w:left="2520" w:hanging="30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25257E6">
      <w:start w:val="1"/>
      <w:numFmt w:val="decimal"/>
      <w:lvlText w:val="%4."/>
      <w:lvlJc w:val="left"/>
      <w:pPr>
        <w:ind w:left="324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6C74F62E">
      <w:start w:val="1"/>
      <w:numFmt w:val="lowerLetter"/>
      <w:lvlText w:val="%5."/>
      <w:lvlJc w:val="left"/>
      <w:pPr>
        <w:ind w:left="396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05E0D8FA">
      <w:start w:val="1"/>
      <w:numFmt w:val="lowerRoman"/>
      <w:lvlText w:val="%6."/>
      <w:lvlJc w:val="left"/>
      <w:pPr>
        <w:ind w:left="4680" w:hanging="30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22014C0">
      <w:start w:val="1"/>
      <w:numFmt w:val="decimal"/>
      <w:lvlText w:val="%7."/>
      <w:lvlJc w:val="left"/>
      <w:pPr>
        <w:ind w:left="540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266E546">
      <w:start w:val="1"/>
      <w:numFmt w:val="lowerLetter"/>
      <w:lvlText w:val="%8."/>
      <w:lvlJc w:val="left"/>
      <w:pPr>
        <w:ind w:left="6120" w:hanging="36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830D55C">
      <w:start w:val="1"/>
      <w:numFmt w:val="lowerRoman"/>
      <w:lvlText w:val="%9."/>
      <w:lvlJc w:val="left"/>
      <w:pPr>
        <w:ind w:left="6840" w:hanging="30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4"/>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lvlOverride w:ilvl="0">
      <w:startOverride w:val="1"/>
      <w:lvl w:ilvl="0" w:tplc="9BD2524C">
        <w:start w:val="1"/>
        <w:numFmt w:val="upperRoman"/>
        <w:lvlText w:val="%1."/>
        <w:lvlJc w:val="left"/>
        <w:pPr>
          <w:tabs>
            <w:tab w:val="num" w:pos="720"/>
          </w:tabs>
          <w:ind w:left="1080" w:hanging="720"/>
        </w:pPr>
        <w:rPr>
          <w:rFonts w:ascii="Times New Roman" w:hAnsi="Times New Roman" w:cs="Times New Roman" w:hint="default"/>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4"/>
      <w:lvl w:ilvl="1" w:tplc="AEFA5A06">
        <w:start w:val="4"/>
        <w:numFmt w:val="decimal"/>
        <w:lvlText w:val=""/>
        <w:lvlJc w:val="left"/>
      </w:lvl>
    </w:lvlOverride>
    <w:lvlOverride w:ilvl="2">
      <w:startOverride w:val="1"/>
      <w:lvl w:ilvl="2" w:tplc="205829FC">
        <w:start w:val="1"/>
        <w:numFmt w:val="decimal"/>
        <w:lvlText w:val=""/>
        <w:lvlJc w:val="left"/>
      </w:lvl>
    </w:lvlOverride>
    <w:lvlOverride w:ilvl="3">
      <w:startOverride w:val="1"/>
      <w:lvl w:ilvl="3" w:tplc="3120FD4A">
        <w:start w:val="1"/>
        <w:numFmt w:val="decimal"/>
        <w:lvlText w:val=""/>
        <w:lvlJc w:val="left"/>
      </w:lvl>
    </w:lvlOverride>
    <w:lvlOverride w:ilvl="4">
      <w:startOverride w:val="1"/>
      <w:lvl w:ilvl="4" w:tplc="8AF8BD2E">
        <w:start w:val="1"/>
        <w:numFmt w:val="decimal"/>
        <w:lvlText w:val=""/>
        <w:lvlJc w:val="left"/>
      </w:lvl>
    </w:lvlOverride>
    <w:lvlOverride w:ilvl="5">
      <w:startOverride w:val="1"/>
      <w:lvl w:ilvl="5" w:tplc="39865BDA">
        <w:start w:val="1"/>
        <w:numFmt w:val="decimal"/>
        <w:lvlText w:val=""/>
        <w:lvlJc w:val="left"/>
      </w:lvl>
    </w:lvlOverride>
    <w:lvlOverride w:ilvl="6">
      <w:startOverride w:val="1"/>
      <w:lvl w:ilvl="6" w:tplc="44503CEE">
        <w:start w:val="1"/>
        <w:numFmt w:val="decimal"/>
        <w:lvlText w:val=""/>
        <w:lvlJc w:val="left"/>
      </w:lvl>
    </w:lvlOverride>
    <w:lvlOverride w:ilvl="7">
      <w:startOverride w:val="1"/>
      <w:lvl w:ilvl="7" w:tplc="08FE591A">
        <w:start w:val="1"/>
        <w:numFmt w:val="decimal"/>
        <w:lvlText w:val=""/>
        <w:lvlJc w:val="left"/>
      </w:lvl>
    </w:lvlOverride>
    <w:lvlOverride w:ilvl="8">
      <w:startOverride w:val="1"/>
      <w:lvl w:ilvl="8" w:tplc="BF42D348">
        <w:start w:val="1"/>
        <w:numFmt w:val="decimal"/>
        <w:lvlText w:val=""/>
        <w:lvlJc w:val="left"/>
      </w:lvl>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0DB"/>
    <w:rsid w:val="00006644"/>
    <w:rsid w:val="00016505"/>
    <w:rsid w:val="00070064"/>
    <w:rsid w:val="000A4D45"/>
    <w:rsid w:val="000C2796"/>
    <w:rsid w:val="00185E5D"/>
    <w:rsid w:val="00210B97"/>
    <w:rsid w:val="00233E37"/>
    <w:rsid w:val="00273ED3"/>
    <w:rsid w:val="0027787C"/>
    <w:rsid w:val="00314539"/>
    <w:rsid w:val="003802A7"/>
    <w:rsid w:val="00387753"/>
    <w:rsid w:val="003928D0"/>
    <w:rsid w:val="00392A38"/>
    <w:rsid w:val="003D5C58"/>
    <w:rsid w:val="004131EB"/>
    <w:rsid w:val="00447F7F"/>
    <w:rsid w:val="00492326"/>
    <w:rsid w:val="004C4A9F"/>
    <w:rsid w:val="00565B82"/>
    <w:rsid w:val="005F5842"/>
    <w:rsid w:val="0060686D"/>
    <w:rsid w:val="00657E02"/>
    <w:rsid w:val="006645AD"/>
    <w:rsid w:val="006A579F"/>
    <w:rsid w:val="006C649F"/>
    <w:rsid w:val="00705858"/>
    <w:rsid w:val="007133D9"/>
    <w:rsid w:val="007436E1"/>
    <w:rsid w:val="00751878"/>
    <w:rsid w:val="00792A68"/>
    <w:rsid w:val="007A5671"/>
    <w:rsid w:val="0088016C"/>
    <w:rsid w:val="008F7BC9"/>
    <w:rsid w:val="00955914"/>
    <w:rsid w:val="009A7A54"/>
    <w:rsid w:val="009D60DB"/>
    <w:rsid w:val="00A0300C"/>
    <w:rsid w:val="00A405E5"/>
    <w:rsid w:val="00A57501"/>
    <w:rsid w:val="00A70516"/>
    <w:rsid w:val="00A718F8"/>
    <w:rsid w:val="00AA3671"/>
    <w:rsid w:val="00B15A0E"/>
    <w:rsid w:val="00B620E5"/>
    <w:rsid w:val="00BA3FEF"/>
    <w:rsid w:val="00BB1CDA"/>
    <w:rsid w:val="00C57AD9"/>
    <w:rsid w:val="00D52C20"/>
    <w:rsid w:val="00D74DC2"/>
    <w:rsid w:val="00E25867"/>
    <w:rsid w:val="00E339D5"/>
    <w:rsid w:val="00E621D1"/>
    <w:rsid w:val="00ED7DDD"/>
    <w:rsid w:val="00F025BD"/>
    <w:rsid w:val="00F17205"/>
    <w:rsid w:val="00FC686F"/>
    <w:rsid w:val="00FD2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1BE123FF-9E0E-4D09-868C-468841DC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0DB"/>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D60DB"/>
    <w:pPr>
      <w:spacing w:after="0" w:line="240" w:lineRule="auto"/>
    </w:pPr>
    <w:rPr>
      <w:sz w:val="20"/>
      <w:szCs w:val="20"/>
    </w:rPr>
  </w:style>
  <w:style w:type="character" w:customStyle="1" w:styleId="FootnoteTextChar">
    <w:name w:val="Footnote Text Char"/>
    <w:link w:val="FootnoteText"/>
    <w:uiPriority w:val="99"/>
    <w:semiHidden/>
    <w:rsid w:val="009D60DB"/>
    <w:rPr>
      <w:rFonts w:ascii="Calibri" w:eastAsia="Calibri" w:hAnsi="Calibri" w:cs="Times New Roman"/>
      <w:sz w:val="20"/>
      <w:szCs w:val="20"/>
    </w:rPr>
  </w:style>
  <w:style w:type="numbering" w:customStyle="1" w:styleId="ImportedStyle1">
    <w:name w:val="Imported Style 1"/>
    <w:rsid w:val="009D60DB"/>
    <w:pPr>
      <w:numPr>
        <w:numId w:val="1"/>
      </w:numPr>
    </w:pPr>
  </w:style>
  <w:style w:type="paragraph" w:styleId="BalloonText">
    <w:name w:val="Balloon Text"/>
    <w:basedOn w:val="Normal"/>
    <w:link w:val="BalloonTextChar"/>
    <w:uiPriority w:val="99"/>
    <w:semiHidden/>
    <w:unhideWhenUsed/>
    <w:rsid w:val="0000664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644"/>
    <w:rPr>
      <w:rFonts w:ascii="Tahoma" w:eastAsia="Calibri" w:hAnsi="Tahoma" w:cs="Tahoma"/>
      <w:sz w:val="16"/>
      <w:szCs w:val="16"/>
    </w:rPr>
  </w:style>
  <w:style w:type="character" w:styleId="FootnoteReference">
    <w:name w:val="footnote reference"/>
    <w:uiPriority w:val="99"/>
    <w:semiHidden/>
    <w:unhideWhenUsed/>
    <w:rsid w:val="007A5671"/>
    <w:rPr>
      <w:vertAlign w:val="superscript"/>
    </w:rPr>
  </w:style>
  <w:style w:type="numbering" w:customStyle="1" w:styleId="ImportedStyle2">
    <w:name w:val="Imported Style 2"/>
    <w:rsid w:val="00955914"/>
    <w:pPr>
      <w:numPr>
        <w:numId w:val="7"/>
      </w:numPr>
    </w:pPr>
  </w:style>
  <w:style w:type="numbering" w:customStyle="1" w:styleId="ImportedStyle3">
    <w:name w:val="Imported Style 3"/>
    <w:rsid w:val="00955914"/>
    <w:pPr>
      <w:numPr>
        <w:numId w:val="8"/>
      </w:numPr>
    </w:pPr>
  </w:style>
  <w:style w:type="character" w:styleId="CommentReference">
    <w:name w:val="annotation reference"/>
    <w:uiPriority w:val="99"/>
    <w:semiHidden/>
    <w:unhideWhenUsed/>
    <w:rsid w:val="007436E1"/>
    <w:rPr>
      <w:sz w:val="16"/>
      <w:szCs w:val="16"/>
    </w:rPr>
  </w:style>
  <w:style w:type="paragraph" w:styleId="CommentText">
    <w:name w:val="annotation text"/>
    <w:basedOn w:val="Normal"/>
    <w:link w:val="CommentTextChar"/>
    <w:uiPriority w:val="99"/>
    <w:semiHidden/>
    <w:unhideWhenUsed/>
    <w:rsid w:val="007436E1"/>
    <w:pPr>
      <w:spacing w:line="240" w:lineRule="auto"/>
    </w:pPr>
    <w:rPr>
      <w:sz w:val="20"/>
      <w:szCs w:val="20"/>
    </w:rPr>
  </w:style>
  <w:style w:type="character" w:customStyle="1" w:styleId="CommentTextChar">
    <w:name w:val="Comment Text Char"/>
    <w:link w:val="CommentText"/>
    <w:uiPriority w:val="99"/>
    <w:semiHidden/>
    <w:rsid w:val="007436E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436E1"/>
    <w:rPr>
      <w:b/>
      <w:bCs/>
    </w:rPr>
  </w:style>
  <w:style w:type="character" w:customStyle="1" w:styleId="CommentSubjectChar">
    <w:name w:val="Comment Subject Char"/>
    <w:link w:val="CommentSubject"/>
    <w:uiPriority w:val="99"/>
    <w:semiHidden/>
    <w:rsid w:val="007436E1"/>
    <w:rPr>
      <w:rFonts w:ascii="Calibri" w:eastAsia="Calibri" w:hAnsi="Calibri" w:cs="Times New Roman"/>
      <w:b/>
      <w:bCs/>
      <w:sz w:val="20"/>
      <w:szCs w:val="20"/>
    </w:rPr>
  </w:style>
  <w:style w:type="character" w:styleId="Hyperlink">
    <w:name w:val="Hyperlink"/>
    <w:uiPriority w:val="99"/>
    <w:unhideWhenUsed/>
    <w:rsid w:val="00D74DC2"/>
    <w:rPr>
      <w:color w:val="0000FF"/>
      <w:u w:val="single"/>
    </w:rPr>
  </w:style>
  <w:style w:type="character" w:customStyle="1" w:styleId="FootnoteCharacters">
    <w:name w:val="Footnote Characters"/>
    <w:rsid w:val="00D74DC2"/>
    <w:rPr>
      <w:vertAlign w:val="superscript"/>
    </w:rPr>
  </w:style>
  <w:style w:type="paragraph" w:styleId="Header">
    <w:name w:val="header"/>
    <w:basedOn w:val="Normal"/>
    <w:link w:val="HeaderChar"/>
    <w:uiPriority w:val="99"/>
    <w:unhideWhenUsed/>
    <w:rsid w:val="00F17205"/>
    <w:pPr>
      <w:tabs>
        <w:tab w:val="center" w:pos="4680"/>
        <w:tab w:val="right" w:pos="9360"/>
      </w:tabs>
    </w:pPr>
  </w:style>
  <w:style w:type="character" w:customStyle="1" w:styleId="HeaderChar">
    <w:name w:val="Header Char"/>
    <w:link w:val="Header"/>
    <w:uiPriority w:val="99"/>
    <w:rsid w:val="00F17205"/>
    <w:rPr>
      <w:sz w:val="22"/>
      <w:szCs w:val="22"/>
    </w:rPr>
  </w:style>
  <w:style w:type="paragraph" w:styleId="Footer">
    <w:name w:val="footer"/>
    <w:basedOn w:val="Normal"/>
    <w:link w:val="FooterChar"/>
    <w:uiPriority w:val="99"/>
    <w:unhideWhenUsed/>
    <w:rsid w:val="00F17205"/>
    <w:pPr>
      <w:tabs>
        <w:tab w:val="center" w:pos="4680"/>
        <w:tab w:val="right" w:pos="9360"/>
      </w:tabs>
    </w:pPr>
  </w:style>
  <w:style w:type="character" w:customStyle="1" w:styleId="FooterChar">
    <w:name w:val="Footer Char"/>
    <w:link w:val="Footer"/>
    <w:uiPriority w:val="99"/>
    <w:rsid w:val="00F172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704733">
      <w:bodyDiv w:val="1"/>
      <w:marLeft w:val="0"/>
      <w:marRight w:val="0"/>
      <w:marTop w:val="0"/>
      <w:marBottom w:val="0"/>
      <w:divBdr>
        <w:top w:val="none" w:sz="0" w:space="0" w:color="auto"/>
        <w:left w:val="none" w:sz="0" w:space="0" w:color="auto"/>
        <w:bottom w:val="none" w:sz="0" w:space="0" w:color="auto"/>
        <w:right w:val="none" w:sz="0" w:space="0" w:color="auto"/>
      </w:divBdr>
    </w:div>
    <w:div w:id="880365382">
      <w:bodyDiv w:val="1"/>
      <w:marLeft w:val="0"/>
      <w:marRight w:val="0"/>
      <w:marTop w:val="0"/>
      <w:marBottom w:val="0"/>
      <w:divBdr>
        <w:top w:val="none" w:sz="0" w:space="0" w:color="auto"/>
        <w:left w:val="none" w:sz="0" w:space="0" w:color="auto"/>
        <w:bottom w:val="none" w:sz="0" w:space="0" w:color="auto"/>
        <w:right w:val="none" w:sz="0" w:space="0" w:color="auto"/>
      </w:divBdr>
    </w:div>
    <w:div w:id="145760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gpo.gov/fdsys/pkg/USCODE-2009-title42/pdf/USCODE-2009-title42-chap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9624D-E3ED-43CF-87A5-D0685DE1C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2330</Words>
  <Characters>13285</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15584</CharactersWithSpaces>
  <SharedDoc>false</SharedDoc>
  <HLinks>
    <vt:vector size="6" baseType="variant">
      <vt:variant>
        <vt:i4>3866740</vt:i4>
      </vt:variant>
      <vt:variant>
        <vt:i4>0</vt:i4>
      </vt:variant>
      <vt:variant>
        <vt:i4>0</vt:i4>
      </vt:variant>
      <vt:variant>
        <vt:i4>5</vt:i4>
      </vt:variant>
      <vt:variant>
        <vt:lpwstr>https://www.gpo.gov/fdsys/pkg/USCODE-2009-title42/pdf/USCODE-2009-title42-chap8.pdf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Conde, Jose</dc:creator>
  <cp:keywords/>
  <cp:lastModifiedBy>DelFranco, Ruthie</cp:lastModifiedBy>
  <cp:revision>2</cp:revision>
  <cp:lastPrinted>2019-04-12T19:54:00Z</cp:lastPrinted>
  <dcterms:created xsi:type="dcterms:W3CDTF">2019-04-15T21:16:00Z</dcterms:created>
  <dcterms:modified xsi:type="dcterms:W3CDTF">2019-04-15T21:16:00Z</dcterms:modified>
</cp:coreProperties>
</file>