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B28EB" w:rsidRPr="00B66E0D" w:rsidRDefault="00C82D98" w:rsidP="00EF49DC">
      <w:pPr>
        <w:spacing w:after="0" w:line="240" w:lineRule="auto"/>
        <w:jc w:val="right"/>
        <w:rPr>
          <w:rFonts w:ascii="Times New Roman" w:hAnsi="Times New Roman" w:cs="Times New Roman"/>
          <w:bCs/>
          <w:color w:val="000000"/>
          <w:sz w:val="24"/>
          <w:szCs w:val="24"/>
          <w:u w:val="single"/>
        </w:rPr>
      </w:pPr>
      <w:r w:rsidRPr="00B66E0D">
        <w:rPr>
          <w:rFonts w:ascii="Times New Roman" w:eastAsia="Times New Roman" w:hAnsi="Times New Roman" w:cs="Times New Roman"/>
          <w:noProof/>
          <w:color w:val="000000"/>
          <w:sz w:val="24"/>
          <w:szCs w:val="24"/>
          <w:u w:val="single"/>
        </w:rPr>
        <mc:AlternateContent>
          <mc:Choice Requires="wps">
            <w:drawing>
              <wp:anchor distT="45720" distB="45720" distL="114300" distR="114300" simplePos="0" relativeHeight="251659264" behindDoc="0" locked="0" layoutInCell="1" allowOverlap="1" wp14:anchorId="69029AFD" wp14:editId="3FFF9363">
                <wp:simplePos x="0" y="0"/>
                <wp:positionH relativeFrom="column">
                  <wp:posOffset>-611505</wp:posOffset>
                </wp:positionH>
                <wp:positionV relativeFrom="paragraph">
                  <wp:posOffset>-57150</wp:posOffset>
                </wp:positionV>
                <wp:extent cx="3726180" cy="988695"/>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988695"/>
                        </a:xfrm>
                        <a:prstGeom prst="rect">
                          <a:avLst/>
                        </a:prstGeom>
                        <a:noFill/>
                        <a:ln w="9525">
                          <a:noFill/>
                          <a:miter lim="800000"/>
                          <a:headEnd/>
                          <a:tailEnd/>
                        </a:ln>
                      </wps:spPr>
                      <wps:txbx>
                        <w:txbxContent>
                          <w:p w:rsidR="003F5EAB" w:rsidRPr="004B28EB" w:rsidRDefault="003F5EAB" w:rsidP="00C82D98">
                            <w:pPr>
                              <w:spacing w:after="0" w:line="240" w:lineRule="auto"/>
                              <w:jc w:val="right"/>
                              <w:rPr>
                                <w:rFonts w:ascii="Times New Roman" w:hAnsi="Times New Roman" w:cs="Times New Roman"/>
                                <w:sz w:val="24"/>
                                <w:szCs w:val="24"/>
                              </w:rPr>
                            </w:pPr>
                            <w:r w:rsidRPr="004B28EB">
                              <w:rPr>
                                <w:rFonts w:ascii="Times New Roman" w:hAnsi="Times New Roman" w:cs="Times New Roman"/>
                                <w:sz w:val="24"/>
                                <w:szCs w:val="24"/>
                                <w:u w:val="single"/>
                              </w:rPr>
                              <w:t xml:space="preserve">Committee </w:t>
                            </w:r>
                            <w:r>
                              <w:rPr>
                                <w:rFonts w:ascii="Times New Roman" w:hAnsi="Times New Roman" w:cs="Times New Roman"/>
                                <w:sz w:val="24"/>
                                <w:szCs w:val="24"/>
                                <w:u w:val="single"/>
                              </w:rPr>
                              <w:t xml:space="preserve">on Consumer </w:t>
                            </w:r>
                            <w:r w:rsidRPr="004B28EB">
                              <w:rPr>
                                <w:rFonts w:ascii="Times New Roman" w:hAnsi="Times New Roman" w:cs="Times New Roman"/>
                                <w:sz w:val="24"/>
                                <w:szCs w:val="24"/>
                                <w:u w:val="single"/>
                              </w:rPr>
                              <w:t xml:space="preserve">Affairs and Business Licensing </w:t>
                            </w:r>
                          </w:p>
                          <w:p w:rsidR="003F5EAB" w:rsidRPr="004B28EB" w:rsidRDefault="003F5EAB" w:rsidP="00C82D98">
                            <w:pPr>
                              <w:spacing w:after="0" w:line="240" w:lineRule="auto"/>
                              <w:jc w:val="right"/>
                              <w:rPr>
                                <w:rFonts w:ascii="Times New Roman" w:hAnsi="Times New Roman" w:cs="Times New Roman"/>
                                <w:sz w:val="24"/>
                                <w:szCs w:val="24"/>
                              </w:rPr>
                            </w:pPr>
                            <w:r w:rsidRPr="004B28EB">
                              <w:rPr>
                                <w:rFonts w:ascii="Times New Roman" w:hAnsi="Times New Roman" w:cs="Times New Roman"/>
                                <w:sz w:val="24"/>
                                <w:szCs w:val="24"/>
                              </w:rPr>
                              <w:t xml:space="preserve">Balqees Mihirig, </w:t>
                            </w:r>
                            <w:r w:rsidRPr="004B28EB">
                              <w:rPr>
                                <w:rFonts w:ascii="Times New Roman" w:hAnsi="Times New Roman" w:cs="Times New Roman"/>
                                <w:i/>
                                <w:sz w:val="24"/>
                                <w:szCs w:val="24"/>
                              </w:rPr>
                              <w:t>Senior Counsel</w:t>
                            </w:r>
                          </w:p>
                          <w:p w:rsidR="003F5EAB" w:rsidRPr="00C82D98" w:rsidRDefault="003F5EAB" w:rsidP="00C82D98">
                            <w:pPr>
                              <w:spacing w:after="0" w:line="240" w:lineRule="auto"/>
                              <w:ind w:left="1440" w:firstLine="720"/>
                              <w:jc w:val="right"/>
                              <w:rPr>
                                <w:rFonts w:ascii="Times New Roman" w:hAnsi="Times New Roman" w:cs="Times New Roman"/>
                                <w:sz w:val="24"/>
                                <w:szCs w:val="24"/>
                              </w:rPr>
                            </w:pPr>
                            <w:r w:rsidRPr="004B28EB">
                              <w:rPr>
                                <w:rFonts w:ascii="Times New Roman" w:hAnsi="Times New Roman" w:cs="Times New Roman"/>
                                <w:sz w:val="24"/>
                                <w:szCs w:val="24"/>
                              </w:rPr>
                              <w:t xml:space="preserve">Leah Skrzypiec, </w:t>
                            </w:r>
                            <w:r w:rsidRPr="004B28EB">
                              <w:rPr>
                                <w:rFonts w:ascii="Times New Roman" w:hAnsi="Times New Roman" w:cs="Times New Roman"/>
                                <w:i/>
                                <w:sz w:val="24"/>
                                <w:szCs w:val="24"/>
                              </w:rPr>
                              <w:t>Policy Analyst</w:t>
                            </w:r>
                            <w:r>
                              <w:rPr>
                                <w:rFonts w:ascii="Times New Roman" w:hAnsi="Times New Roman" w:cs="Times New Roman"/>
                                <w:sz w:val="24"/>
                                <w:szCs w:val="24"/>
                              </w:rPr>
                              <w:tab/>
                              <w:t xml:space="preserve"> </w:t>
                            </w:r>
                            <w:r w:rsidRPr="004B28EB">
                              <w:rPr>
                                <w:rFonts w:ascii="Times New Roman" w:hAnsi="Times New Roman" w:cs="Times New Roman"/>
                                <w:sz w:val="24"/>
                                <w:szCs w:val="24"/>
                              </w:rPr>
                              <w:t xml:space="preserve">Andrew Wilber, </w:t>
                            </w:r>
                            <w:r w:rsidR="00674DC2">
                              <w:rPr>
                                <w:rFonts w:ascii="Times New Roman" w:hAnsi="Times New Roman" w:cs="Times New Roman"/>
                                <w:i/>
                                <w:sz w:val="24"/>
                                <w:szCs w:val="24"/>
                              </w:rPr>
                              <w:t>Finance</w:t>
                            </w:r>
                            <w:r w:rsidRPr="004B28EB">
                              <w:rPr>
                                <w:rFonts w:ascii="Times New Roman" w:hAnsi="Times New Roman" w:cs="Times New Roman"/>
                                <w:i/>
                                <w:sz w:val="24"/>
                                <w:szCs w:val="24"/>
                              </w:rPr>
                              <w:t xml:space="preserve"> Analyst</w:t>
                            </w:r>
                            <w:r w:rsidRPr="004B28EB">
                              <w:rPr>
                                <w:rFonts w:ascii="Times New Roman" w:hAnsi="Times New Roman" w:cs="Times New Roman"/>
                                <w:sz w:val="24"/>
                                <w:szCs w:val="24"/>
                                <w:u w:val="single"/>
                              </w:rPr>
                              <w:t xml:space="preserve"> </w:t>
                            </w:r>
                          </w:p>
                          <w:p w:rsidR="003F5EAB" w:rsidRPr="0073506B" w:rsidRDefault="003F5EAB" w:rsidP="0073506B">
                            <w:pPr>
                              <w:spacing w:after="0" w:line="240" w:lineRule="auto"/>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29AFD" id="_x0000_t202" coordsize="21600,21600" o:spt="202" path="m,l,21600r21600,l21600,xe">
                <v:stroke joinstyle="miter"/>
                <v:path gradientshapeok="t" o:connecttype="rect"/>
              </v:shapetype>
              <v:shape id="Text Box 2" o:spid="_x0000_s1026" type="#_x0000_t202" style="position:absolute;left:0;text-align:left;margin-left:-48.15pt;margin-top:-4.5pt;width:293.4pt;height:77.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" filled="f" stroked="f">
                <v:textbox>
                  <w:txbxContent>
                    <w:p w:rsidR="003F5EAB" w:rsidRPr="004B28EB" w:rsidRDefault="003F5EAB" w:rsidP="00C82D98">
                      <w:pPr>
                        <w:spacing w:after="0" w:line="240" w:lineRule="auto"/>
                        <w:jc w:val="right"/>
                        <w:rPr>
                          <w:rFonts w:ascii="Times New Roman" w:hAnsi="Times New Roman" w:cs="Times New Roman"/>
                          <w:sz w:val="24"/>
                          <w:szCs w:val="24"/>
                        </w:rPr>
                      </w:pPr>
                      <w:r w:rsidRPr="004B28EB">
                        <w:rPr>
                          <w:rFonts w:ascii="Times New Roman" w:hAnsi="Times New Roman" w:cs="Times New Roman"/>
                          <w:sz w:val="24"/>
                          <w:szCs w:val="24"/>
                          <w:u w:val="single"/>
                        </w:rPr>
                        <w:t xml:space="preserve">Committee </w:t>
                      </w:r>
                      <w:r>
                        <w:rPr>
                          <w:rFonts w:ascii="Times New Roman" w:hAnsi="Times New Roman" w:cs="Times New Roman"/>
                          <w:sz w:val="24"/>
                          <w:szCs w:val="24"/>
                          <w:u w:val="single"/>
                        </w:rPr>
                        <w:t xml:space="preserve">on Consumer </w:t>
                      </w:r>
                      <w:r w:rsidRPr="004B28EB">
                        <w:rPr>
                          <w:rFonts w:ascii="Times New Roman" w:hAnsi="Times New Roman" w:cs="Times New Roman"/>
                          <w:sz w:val="24"/>
                          <w:szCs w:val="24"/>
                          <w:u w:val="single"/>
                        </w:rPr>
                        <w:t xml:space="preserve">Affairs and Business Licensing </w:t>
                      </w:r>
                    </w:p>
                    <w:p w:rsidR="003F5EAB" w:rsidRPr="004B28EB" w:rsidRDefault="003F5EAB" w:rsidP="00C82D98">
                      <w:pPr>
                        <w:spacing w:after="0" w:line="240" w:lineRule="auto"/>
                        <w:jc w:val="right"/>
                        <w:rPr>
                          <w:rFonts w:ascii="Times New Roman" w:hAnsi="Times New Roman" w:cs="Times New Roman"/>
                          <w:sz w:val="24"/>
                          <w:szCs w:val="24"/>
                        </w:rPr>
                      </w:pPr>
                      <w:r w:rsidRPr="004B28EB">
                        <w:rPr>
                          <w:rFonts w:ascii="Times New Roman" w:hAnsi="Times New Roman" w:cs="Times New Roman"/>
                          <w:sz w:val="24"/>
                          <w:szCs w:val="24"/>
                        </w:rPr>
                        <w:t xml:space="preserve">Balqees Mihirig, </w:t>
                      </w:r>
                      <w:r w:rsidRPr="004B28EB">
                        <w:rPr>
                          <w:rFonts w:ascii="Times New Roman" w:hAnsi="Times New Roman" w:cs="Times New Roman"/>
                          <w:i/>
                          <w:sz w:val="24"/>
                          <w:szCs w:val="24"/>
                        </w:rPr>
                        <w:t>Senior Counsel</w:t>
                      </w:r>
                    </w:p>
                    <w:p w:rsidR="003F5EAB" w:rsidRPr="00C82D98" w:rsidRDefault="003F5EAB" w:rsidP="00C82D98">
                      <w:pPr>
                        <w:spacing w:after="0" w:line="240" w:lineRule="auto"/>
                        <w:ind w:left="1440" w:firstLine="720"/>
                        <w:jc w:val="right"/>
                        <w:rPr>
                          <w:rFonts w:ascii="Times New Roman" w:hAnsi="Times New Roman" w:cs="Times New Roman"/>
                          <w:sz w:val="24"/>
                          <w:szCs w:val="24"/>
                        </w:rPr>
                      </w:pPr>
                      <w:r w:rsidRPr="004B28EB">
                        <w:rPr>
                          <w:rFonts w:ascii="Times New Roman" w:hAnsi="Times New Roman" w:cs="Times New Roman"/>
                          <w:sz w:val="24"/>
                          <w:szCs w:val="24"/>
                        </w:rPr>
                        <w:t xml:space="preserve">Leah Skrzypiec, </w:t>
                      </w:r>
                      <w:r w:rsidRPr="004B28EB">
                        <w:rPr>
                          <w:rFonts w:ascii="Times New Roman" w:hAnsi="Times New Roman" w:cs="Times New Roman"/>
                          <w:i/>
                          <w:sz w:val="24"/>
                          <w:szCs w:val="24"/>
                        </w:rPr>
                        <w:t>Policy Analyst</w:t>
                      </w:r>
                      <w:r>
                        <w:rPr>
                          <w:rFonts w:ascii="Times New Roman" w:hAnsi="Times New Roman" w:cs="Times New Roman"/>
                          <w:sz w:val="24"/>
                          <w:szCs w:val="24"/>
                        </w:rPr>
                        <w:tab/>
                        <w:t xml:space="preserve"> </w:t>
                      </w:r>
                      <w:r w:rsidRPr="004B28EB">
                        <w:rPr>
                          <w:rFonts w:ascii="Times New Roman" w:hAnsi="Times New Roman" w:cs="Times New Roman"/>
                          <w:sz w:val="24"/>
                          <w:szCs w:val="24"/>
                        </w:rPr>
                        <w:t xml:space="preserve">Andrew Wilber, </w:t>
                      </w:r>
                      <w:r w:rsidR="00674DC2">
                        <w:rPr>
                          <w:rFonts w:ascii="Times New Roman" w:hAnsi="Times New Roman" w:cs="Times New Roman"/>
                          <w:i/>
                          <w:sz w:val="24"/>
                          <w:szCs w:val="24"/>
                        </w:rPr>
                        <w:t>Finance</w:t>
                      </w:r>
                      <w:r w:rsidRPr="004B28EB">
                        <w:rPr>
                          <w:rFonts w:ascii="Times New Roman" w:hAnsi="Times New Roman" w:cs="Times New Roman"/>
                          <w:i/>
                          <w:sz w:val="24"/>
                          <w:szCs w:val="24"/>
                        </w:rPr>
                        <w:t xml:space="preserve"> Analyst</w:t>
                      </w:r>
                      <w:r w:rsidRPr="004B28EB">
                        <w:rPr>
                          <w:rFonts w:ascii="Times New Roman" w:hAnsi="Times New Roman" w:cs="Times New Roman"/>
                          <w:sz w:val="24"/>
                          <w:szCs w:val="24"/>
                          <w:u w:val="single"/>
                        </w:rPr>
                        <w:t xml:space="preserve"> </w:t>
                      </w:r>
                    </w:p>
                    <w:p w:rsidR="003F5EAB" w:rsidRPr="0073506B" w:rsidRDefault="003F5EAB" w:rsidP="0073506B">
                      <w:pPr>
                        <w:spacing w:after="0" w:line="240" w:lineRule="auto"/>
                        <w:rPr>
                          <w:rFonts w:ascii="Times New Roman" w:hAnsi="Times New Roman" w:cs="Times New Roman"/>
                          <w:sz w:val="24"/>
                          <w:szCs w:val="24"/>
                        </w:rPr>
                      </w:pPr>
                    </w:p>
                  </w:txbxContent>
                </v:textbox>
              </v:shape>
            </w:pict>
          </mc:Fallback>
        </mc:AlternateContent>
      </w:r>
      <w:r w:rsidR="004B28EB" w:rsidRPr="00B66E0D">
        <w:rPr>
          <w:rFonts w:ascii="Times New Roman" w:hAnsi="Times New Roman" w:cs="Times New Roman"/>
          <w:bCs/>
          <w:color w:val="000000"/>
          <w:sz w:val="24"/>
          <w:szCs w:val="24"/>
          <w:u w:val="single"/>
        </w:rPr>
        <w:t>Committee on Resiliency and Waterfronts</w:t>
      </w:r>
    </w:p>
    <w:p w:rsidR="004B28EB" w:rsidRPr="00B66E0D" w:rsidRDefault="004B28EB" w:rsidP="00EF49DC">
      <w:pPr>
        <w:spacing w:after="0" w:line="240" w:lineRule="auto"/>
        <w:jc w:val="right"/>
        <w:rPr>
          <w:rFonts w:ascii="Times New Roman" w:eastAsia="MS Mincho" w:hAnsi="Times New Roman" w:cs="Times New Roman"/>
          <w:bCs/>
          <w:sz w:val="24"/>
          <w:szCs w:val="24"/>
        </w:rPr>
      </w:pPr>
      <w:r w:rsidRPr="00B66E0D">
        <w:rPr>
          <w:rFonts w:ascii="Times New Roman" w:eastAsia="MS Mincho" w:hAnsi="Times New Roman" w:cs="Times New Roman"/>
          <w:bCs/>
          <w:sz w:val="24"/>
          <w:szCs w:val="24"/>
        </w:rPr>
        <w:t xml:space="preserve">Jessica </w:t>
      </w:r>
      <w:r w:rsidR="00157738" w:rsidRPr="00B66E0D">
        <w:rPr>
          <w:rFonts w:ascii="Times New Roman" w:eastAsia="MS Mincho" w:hAnsi="Times New Roman" w:cs="Times New Roman"/>
          <w:bCs/>
          <w:sz w:val="24"/>
          <w:szCs w:val="24"/>
        </w:rPr>
        <w:t xml:space="preserve">Steinberg </w:t>
      </w:r>
      <w:r w:rsidRPr="00B66E0D">
        <w:rPr>
          <w:rFonts w:ascii="Times New Roman" w:eastAsia="MS Mincho" w:hAnsi="Times New Roman" w:cs="Times New Roman"/>
          <w:bCs/>
          <w:sz w:val="24"/>
          <w:szCs w:val="24"/>
        </w:rPr>
        <w:t xml:space="preserve">Albin, </w:t>
      </w:r>
      <w:r w:rsidRPr="00B66E0D">
        <w:rPr>
          <w:rFonts w:ascii="Times New Roman" w:eastAsia="MS Mincho" w:hAnsi="Times New Roman" w:cs="Times New Roman"/>
          <w:bCs/>
          <w:i/>
          <w:sz w:val="24"/>
          <w:szCs w:val="24"/>
        </w:rPr>
        <w:t>Counsel</w:t>
      </w:r>
    </w:p>
    <w:p w:rsidR="004B28EB" w:rsidRPr="00B66E0D" w:rsidRDefault="00157738" w:rsidP="00EF49DC">
      <w:pPr>
        <w:spacing w:after="0" w:line="240" w:lineRule="auto"/>
        <w:jc w:val="right"/>
        <w:rPr>
          <w:rFonts w:ascii="Times New Roman" w:eastAsia="MS Mincho" w:hAnsi="Times New Roman" w:cs="Times New Roman"/>
          <w:bCs/>
          <w:i/>
          <w:sz w:val="24"/>
          <w:szCs w:val="24"/>
        </w:rPr>
      </w:pPr>
      <w:r w:rsidRPr="00B66E0D">
        <w:rPr>
          <w:rFonts w:ascii="Times New Roman" w:eastAsia="MS Mincho" w:hAnsi="Times New Roman" w:cs="Times New Roman"/>
          <w:bCs/>
          <w:sz w:val="24"/>
          <w:szCs w:val="24"/>
        </w:rPr>
        <w:t>Patrick Mulvihill</w:t>
      </w:r>
      <w:r w:rsidR="004B28EB" w:rsidRPr="00B66E0D">
        <w:rPr>
          <w:rFonts w:ascii="Times New Roman" w:eastAsia="MS Mincho" w:hAnsi="Times New Roman" w:cs="Times New Roman"/>
          <w:bCs/>
          <w:sz w:val="24"/>
          <w:szCs w:val="24"/>
        </w:rPr>
        <w:t xml:space="preserve">, </w:t>
      </w:r>
      <w:r w:rsidRPr="00B66E0D">
        <w:rPr>
          <w:rFonts w:ascii="Times New Roman" w:eastAsia="MS Mincho" w:hAnsi="Times New Roman" w:cs="Times New Roman"/>
          <w:bCs/>
          <w:i/>
          <w:sz w:val="24"/>
          <w:szCs w:val="24"/>
        </w:rPr>
        <w:t xml:space="preserve">Senior </w:t>
      </w:r>
      <w:r w:rsidR="004B28EB" w:rsidRPr="00B66E0D">
        <w:rPr>
          <w:rFonts w:ascii="Times New Roman" w:eastAsia="MS Mincho" w:hAnsi="Times New Roman" w:cs="Times New Roman"/>
          <w:bCs/>
          <w:i/>
          <w:sz w:val="24"/>
          <w:szCs w:val="24"/>
        </w:rPr>
        <w:t>Policy Analyst</w:t>
      </w:r>
    </w:p>
    <w:p w:rsidR="00157738" w:rsidRPr="00B66E0D" w:rsidRDefault="00157738" w:rsidP="00EF49DC">
      <w:pPr>
        <w:spacing w:after="0" w:line="240" w:lineRule="auto"/>
        <w:jc w:val="right"/>
        <w:rPr>
          <w:rFonts w:ascii="Times New Roman" w:eastAsia="MS Mincho" w:hAnsi="Times New Roman" w:cs="Times New Roman"/>
          <w:i/>
          <w:iCs/>
          <w:sz w:val="24"/>
          <w:szCs w:val="24"/>
        </w:rPr>
      </w:pPr>
      <w:r w:rsidRPr="00B66E0D">
        <w:rPr>
          <w:rFonts w:ascii="Times New Roman" w:eastAsia="MS Mincho" w:hAnsi="Times New Roman" w:cs="Times New Roman"/>
          <w:iCs/>
          <w:sz w:val="24"/>
          <w:szCs w:val="24"/>
        </w:rPr>
        <w:t xml:space="preserve">Jonathan Seltzer, </w:t>
      </w:r>
      <w:r w:rsidRPr="00B66E0D">
        <w:rPr>
          <w:rFonts w:ascii="Times New Roman" w:eastAsia="MS Mincho" w:hAnsi="Times New Roman" w:cs="Times New Roman"/>
          <w:i/>
          <w:iCs/>
          <w:sz w:val="24"/>
          <w:szCs w:val="24"/>
        </w:rPr>
        <w:t>Senior Finance Analyst</w:t>
      </w:r>
    </w:p>
    <w:p w:rsidR="00EC1B72" w:rsidRPr="00B66E0D" w:rsidRDefault="00EC1B72" w:rsidP="00EF49DC">
      <w:pPr>
        <w:spacing w:after="0" w:line="240" w:lineRule="auto"/>
        <w:rPr>
          <w:rFonts w:ascii="Times New Roman" w:eastAsia="Times New Roman" w:hAnsi="Times New Roman" w:cs="Times New Roman"/>
          <w:noProof/>
          <w:color w:val="000000"/>
          <w:sz w:val="24"/>
          <w:szCs w:val="24"/>
          <w:u w:val="single"/>
        </w:rPr>
      </w:pPr>
      <w:r w:rsidRPr="00B66E0D">
        <w:rPr>
          <w:rFonts w:ascii="Times New Roman" w:eastAsia="MS Mincho" w:hAnsi="Times New Roman" w:cs="Times New Roman"/>
          <w:sz w:val="24"/>
          <w:szCs w:val="24"/>
          <w:u w:val="single"/>
        </w:rPr>
        <w:t xml:space="preserve"> </w:t>
      </w:r>
    </w:p>
    <w:p w:rsidR="00EC1B72" w:rsidRPr="00B66E0D" w:rsidRDefault="00EC1B72" w:rsidP="00EF49DC">
      <w:pPr>
        <w:spacing w:after="0" w:line="240" w:lineRule="auto"/>
        <w:jc w:val="right"/>
        <w:rPr>
          <w:rFonts w:ascii="Times New Roman" w:eastAsia="Times New Roman" w:hAnsi="Times New Roman" w:cs="Times New Roman"/>
          <w:sz w:val="24"/>
          <w:szCs w:val="24"/>
          <w:u w:val="single"/>
        </w:rPr>
      </w:pPr>
      <w:r w:rsidRPr="00B66E0D">
        <w:rPr>
          <w:rFonts w:ascii="Times New Roman" w:eastAsia="Times New Roman" w:hAnsi="Times New Roman" w:cs="Times New Roman"/>
          <w:sz w:val="24"/>
          <w:szCs w:val="24"/>
          <w:u w:val="single"/>
        </w:rPr>
        <w:t xml:space="preserve">Committee on </w:t>
      </w:r>
      <w:r w:rsidR="00B74D14" w:rsidRPr="00B66E0D">
        <w:rPr>
          <w:rFonts w:ascii="Times New Roman" w:eastAsia="Times New Roman" w:hAnsi="Times New Roman" w:cs="Times New Roman"/>
          <w:sz w:val="24"/>
          <w:szCs w:val="24"/>
          <w:u w:val="single"/>
        </w:rPr>
        <w:t>Environmental Protection</w:t>
      </w:r>
    </w:p>
    <w:p w:rsidR="00EC1B72" w:rsidRPr="00B66E0D" w:rsidRDefault="00B74D14" w:rsidP="00EF49DC">
      <w:pPr>
        <w:spacing w:after="0" w:line="240" w:lineRule="auto"/>
        <w:jc w:val="right"/>
        <w:rPr>
          <w:rFonts w:ascii="Times New Roman" w:eastAsia="Times New Roman" w:hAnsi="Times New Roman" w:cs="Times New Roman"/>
          <w:sz w:val="24"/>
          <w:szCs w:val="24"/>
        </w:rPr>
      </w:pPr>
      <w:r w:rsidRPr="00B66E0D">
        <w:rPr>
          <w:rFonts w:ascii="Times New Roman" w:eastAsia="Times New Roman" w:hAnsi="Times New Roman" w:cs="Times New Roman"/>
          <w:sz w:val="24"/>
          <w:szCs w:val="24"/>
        </w:rPr>
        <w:t>Samara Swanston</w:t>
      </w:r>
      <w:r w:rsidR="00EC1B72" w:rsidRPr="00B66E0D">
        <w:rPr>
          <w:rFonts w:ascii="Times New Roman" w:eastAsia="Times New Roman" w:hAnsi="Times New Roman" w:cs="Times New Roman"/>
          <w:sz w:val="24"/>
          <w:szCs w:val="24"/>
        </w:rPr>
        <w:t xml:space="preserve">, </w:t>
      </w:r>
      <w:r w:rsidR="00EC1B72" w:rsidRPr="00B66E0D">
        <w:rPr>
          <w:rFonts w:ascii="Times New Roman" w:eastAsia="Times New Roman" w:hAnsi="Times New Roman" w:cs="Times New Roman"/>
          <w:i/>
          <w:sz w:val="24"/>
          <w:szCs w:val="24"/>
        </w:rPr>
        <w:t>Counsel</w:t>
      </w:r>
    </w:p>
    <w:p w:rsidR="00EC1B72" w:rsidRPr="00B66E0D" w:rsidRDefault="00B74D14" w:rsidP="00EF49DC">
      <w:pPr>
        <w:spacing w:after="0" w:line="240" w:lineRule="auto"/>
        <w:jc w:val="right"/>
        <w:rPr>
          <w:rFonts w:ascii="Times New Roman" w:eastAsia="Times New Roman" w:hAnsi="Times New Roman" w:cs="Times New Roman"/>
          <w:i/>
          <w:sz w:val="24"/>
          <w:szCs w:val="24"/>
        </w:rPr>
      </w:pPr>
      <w:r w:rsidRPr="00B66E0D">
        <w:rPr>
          <w:rFonts w:ascii="Times New Roman" w:eastAsia="Times New Roman" w:hAnsi="Times New Roman" w:cs="Times New Roman"/>
          <w:sz w:val="24"/>
          <w:szCs w:val="24"/>
        </w:rPr>
        <w:t>Nadia Johnson</w:t>
      </w:r>
      <w:r w:rsidR="00EC1B72" w:rsidRPr="00B66E0D">
        <w:rPr>
          <w:rFonts w:ascii="Times New Roman" w:eastAsia="Times New Roman" w:hAnsi="Times New Roman" w:cs="Times New Roman"/>
          <w:sz w:val="24"/>
          <w:szCs w:val="24"/>
        </w:rPr>
        <w:t xml:space="preserve">, </w:t>
      </w:r>
      <w:r w:rsidRPr="00B66E0D">
        <w:rPr>
          <w:rFonts w:ascii="Times New Roman" w:eastAsia="Times New Roman" w:hAnsi="Times New Roman" w:cs="Times New Roman"/>
          <w:i/>
          <w:sz w:val="24"/>
          <w:szCs w:val="24"/>
        </w:rPr>
        <w:t xml:space="preserve">Senior </w:t>
      </w:r>
      <w:r w:rsidR="00EC1B72" w:rsidRPr="00B66E0D">
        <w:rPr>
          <w:rFonts w:ascii="Times New Roman" w:eastAsia="Times New Roman" w:hAnsi="Times New Roman" w:cs="Times New Roman"/>
          <w:i/>
          <w:sz w:val="24"/>
          <w:szCs w:val="24"/>
        </w:rPr>
        <w:t>Policy Analyst</w:t>
      </w:r>
    </w:p>
    <w:p w:rsidR="00B74D14" w:rsidRPr="00B66E0D" w:rsidRDefault="00B74D14" w:rsidP="00EF49DC">
      <w:pPr>
        <w:spacing w:after="0" w:line="240" w:lineRule="auto"/>
        <w:jc w:val="right"/>
        <w:rPr>
          <w:rFonts w:ascii="Times New Roman" w:eastAsia="Times New Roman" w:hAnsi="Times New Roman" w:cs="Times New Roman"/>
          <w:sz w:val="24"/>
          <w:szCs w:val="24"/>
        </w:rPr>
      </w:pPr>
      <w:r w:rsidRPr="00B66E0D">
        <w:rPr>
          <w:rFonts w:ascii="Times New Roman" w:eastAsia="Times New Roman" w:hAnsi="Times New Roman" w:cs="Times New Roman"/>
          <w:sz w:val="24"/>
          <w:szCs w:val="24"/>
        </w:rPr>
        <w:t xml:space="preserve">Ricky Chawla, </w:t>
      </w:r>
      <w:r w:rsidRPr="00B66E0D">
        <w:rPr>
          <w:rFonts w:ascii="Times New Roman" w:eastAsia="Times New Roman" w:hAnsi="Times New Roman" w:cs="Times New Roman"/>
          <w:i/>
          <w:sz w:val="24"/>
          <w:szCs w:val="24"/>
        </w:rPr>
        <w:t>Policy Analyst</w:t>
      </w:r>
    </w:p>
    <w:p w:rsidR="00EC1B72" w:rsidRPr="00B66E0D" w:rsidRDefault="00B74D14" w:rsidP="00EF49DC">
      <w:pPr>
        <w:spacing w:after="0" w:line="240" w:lineRule="auto"/>
        <w:jc w:val="right"/>
        <w:rPr>
          <w:rFonts w:ascii="Times New Roman" w:eastAsia="Times New Roman" w:hAnsi="Times New Roman" w:cs="Times New Roman"/>
          <w:i/>
          <w:sz w:val="24"/>
          <w:szCs w:val="24"/>
        </w:rPr>
      </w:pPr>
      <w:r w:rsidRPr="00B66E0D">
        <w:rPr>
          <w:rFonts w:ascii="Times New Roman" w:eastAsia="Times New Roman" w:hAnsi="Times New Roman" w:cs="Times New Roman"/>
          <w:sz w:val="24"/>
          <w:szCs w:val="24"/>
        </w:rPr>
        <w:t xml:space="preserve">Jonathan Seltzer, </w:t>
      </w:r>
      <w:r w:rsidRPr="00B66E0D">
        <w:rPr>
          <w:rFonts w:ascii="Times New Roman" w:eastAsia="Times New Roman" w:hAnsi="Times New Roman" w:cs="Times New Roman"/>
          <w:i/>
          <w:sz w:val="24"/>
          <w:szCs w:val="24"/>
        </w:rPr>
        <w:t>Senior Finance Analyst</w:t>
      </w:r>
    </w:p>
    <w:p w:rsidR="00EC1B72" w:rsidRPr="00B66E0D" w:rsidRDefault="00EC1B72" w:rsidP="00EF49DC">
      <w:pPr>
        <w:spacing w:after="0" w:line="240" w:lineRule="auto"/>
        <w:jc w:val="right"/>
        <w:rPr>
          <w:rFonts w:ascii="Times New Roman" w:eastAsia="MS Mincho" w:hAnsi="Times New Roman" w:cs="Times New Roman"/>
          <w:sz w:val="24"/>
          <w:szCs w:val="24"/>
        </w:rPr>
      </w:pPr>
    </w:p>
    <w:p w:rsidR="00EC1B72" w:rsidRPr="00B66E0D" w:rsidRDefault="00EC1B72" w:rsidP="00EF49DC">
      <w:pPr>
        <w:tabs>
          <w:tab w:val="left" w:pos="7517"/>
        </w:tabs>
        <w:spacing w:after="0" w:line="240" w:lineRule="auto"/>
        <w:jc w:val="center"/>
        <w:rPr>
          <w:rFonts w:ascii="Times New Roman" w:eastAsia="Times New Roman" w:hAnsi="Times New Roman" w:cs="Times New Roman"/>
          <w:color w:val="FF0000"/>
          <w:sz w:val="24"/>
          <w:szCs w:val="24"/>
        </w:rPr>
      </w:pPr>
      <w:r w:rsidRPr="00B66E0D">
        <w:rPr>
          <w:rFonts w:ascii="Times New Roman" w:eastAsia="Times New Roman" w:hAnsi="Times New Roman" w:cs="Times New Roman"/>
          <w:noProof/>
          <w:color w:val="FF0000"/>
          <w:sz w:val="24"/>
          <w:szCs w:val="24"/>
        </w:rPr>
        <w:drawing>
          <wp:inline distT="0" distB="0" distL="0" distR="0" wp14:anchorId="2400C842" wp14:editId="4D0F587A">
            <wp:extent cx="1169670" cy="1095375"/>
            <wp:effectExtent l="0" t="0" r="0"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9670" cy="1095375"/>
                    </a:xfrm>
                    <a:prstGeom prst="rect">
                      <a:avLst/>
                    </a:prstGeom>
                    <a:noFill/>
                    <a:ln>
                      <a:noFill/>
                    </a:ln>
                  </pic:spPr>
                </pic:pic>
              </a:graphicData>
            </a:graphic>
          </wp:inline>
        </w:drawing>
      </w:r>
    </w:p>
    <w:p w:rsidR="00EC1B72" w:rsidRPr="00B66E0D" w:rsidRDefault="00EC1B72" w:rsidP="00EF49DC">
      <w:pPr>
        <w:keepNext/>
        <w:spacing w:after="0" w:line="240" w:lineRule="auto"/>
        <w:jc w:val="center"/>
        <w:outlineLvl w:val="1"/>
        <w:rPr>
          <w:rFonts w:ascii="Times New Roman" w:eastAsia="Times New Roman" w:hAnsi="Times New Roman" w:cs="Times New Roman"/>
          <w:b/>
          <w:bCs/>
          <w:sz w:val="24"/>
          <w:szCs w:val="24"/>
        </w:rPr>
      </w:pPr>
      <w:r w:rsidRPr="00B66E0D">
        <w:rPr>
          <w:rFonts w:ascii="Times New Roman" w:eastAsia="Times New Roman" w:hAnsi="Times New Roman" w:cs="Times New Roman"/>
          <w:b/>
          <w:bCs/>
          <w:sz w:val="24"/>
          <w:szCs w:val="24"/>
        </w:rPr>
        <w:t>THE COUNCIL OF THE CITY OF NEW YORK</w:t>
      </w:r>
    </w:p>
    <w:p w:rsidR="00EC1B72" w:rsidRPr="00B66E0D" w:rsidRDefault="00EC1B72" w:rsidP="00EF49DC">
      <w:pPr>
        <w:spacing w:after="0" w:line="240" w:lineRule="auto"/>
        <w:rPr>
          <w:rFonts w:ascii="Times New Roman" w:eastAsia="Times New Roman" w:hAnsi="Times New Roman" w:cs="Times New Roman"/>
          <w:sz w:val="24"/>
          <w:szCs w:val="24"/>
        </w:rPr>
      </w:pPr>
    </w:p>
    <w:p w:rsidR="00EC1B72" w:rsidRPr="00B66E0D" w:rsidRDefault="00365EBA" w:rsidP="00EF49DC">
      <w:pPr>
        <w:keepNext/>
        <w:spacing w:after="0" w:line="240" w:lineRule="auto"/>
        <w:jc w:val="center"/>
        <w:outlineLvl w:val="0"/>
        <w:rPr>
          <w:rFonts w:ascii="Times New Roman" w:eastAsia="Times New Roman" w:hAnsi="Times New Roman" w:cs="Times New Roman"/>
          <w:b/>
          <w:bCs/>
          <w:caps/>
          <w:sz w:val="24"/>
          <w:szCs w:val="24"/>
          <w:u w:val="single"/>
        </w:rPr>
      </w:pPr>
      <w:r w:rsidRPr="00B66E0D">
        <w:rPr>
          <w:rFonts w:ascii="Times New Roman" w:eastAsia="Times New Roman" w:hAnsi="Times New Roman" w:cs="Times New Roman"/>
          <w:b/>
          <w:bCs/>
          <w:caps/>
          <w:sz w:val="24"/>
          <w:szCs w:val="24"/>
          <w:u w:val="single"/>
        </w:rPr>
        <w:t>BRIEFING PAPER</w:t>
      </w:r>
      <w:r w:rsidR="00EC1B72" w:rsidRPr="00B66E0D">
        <w:rPr>
          <w:rFonts w:ascii="Times New Roman" w:eastAsia="Times New Roman" w:hAnsi="Times New Roman" w:cs="Times New Roman"/>
          <w:b/>
          <w:bCs/>
          <w:caps/>
          <w:sz w:val="24"/>
          <w:szCs w:val="24"/>
          <w:u w:val="single"/>
        </w:rPr>
        <w:t xml:space="preserve"> OF THE </w:t>
      </w:r>
    </w:p>
    <w:p w:rsidR="00EC1B72" w:rsidRPr="00B66E0D" w:rsidRDefault="00EC1B72" w:rsidP="00EF49DC">
      <w:pPr>
        <w:keepNext/>
        <w:spacing w:after="0" w:line="240" w:lineRule="auto"/>
        <w:jc w:val="center"/>
        <w:outlineLvl w:val="0"/>
        <w:rPr>
          <w:rFonts w:ascii="Times New Roman" w:eastAsia="Times New Roman" w:hAnsi="Times New Roman" w:cs="Times New Roman"/>
          <w:b/>
          <w:bCs/>
          <w:caps/>
          <w:sz w:val="24"/>
          <w:szCs w:val="24"/>
          <w:u w:val="single"/>
        </w:rPr>
      </w:pPr>
      <w:r w:rsidRPr="00B66E0D">
        <w:rPr>
          <w:rFonts w:ascii="Times New Roman" w:eastAsia="Times New Roman" w:hAnsi="Times New Roman" w:cs="Times New Roman"/>
          <w:b/>
          <w:bCs/>
          <w:caps/>
          <w:sz w:val="24"/>
          <w:szCs w:val="24"/>
          <w:u w:val="single"/>
        </w:rPr>
        <w:t xml:space="preserve">GOVERNMENTAL AFFAIRS </w:t>
      </w:r>
      <w:r w:rsidR="003D1886">
        <w:rPr>
          <w:rFonts w:ascii="Times New Roman" w:eastAsia="Times New Roman" w:hAnsi="Times New Roman" w:cs="Times New Roman"/>
          <w:b/>
          <w:bCs/>
          <w:caps/>
          <w:sz w:val="24"/>
          <w:szCs w:val="24"/>
          <w:u w:val="single"/>
        </w:rPr>
        <w:t xml:space="preserve">AND </w:t>
      </w:r>
      <w:r w:rsidR="003D1886" w:rsidRPr="00B66E0D">
        <w:rPr>
          <w:rFonts w:ascii="Times New Roman" w:eastAsia="Times New Roman" w:hAnsi="Times New Roman" w:cs="Times New Roman"/>
          <w:b/>
          <w:bCs/>
          <w:caps/>
          <w:sz w:val="24"/>
          <w:szCs w:val="24"/>
          <w:u w:val="single"/>
        </w:rPr>
        <w:t>INFRASTRUCTURE</w:t>
      </w:r>
      <w:r w:rsidR="003D1886" w:rsidRPr="003D1886">
        <w:rPr>
          <w:rFonts w:ascii="Times New Roman" w:eastAsia="Times New Roman" w:hAnsi="Times New Roman" w:cs="Times New Roman"/>
          <w:b/>
          <w:bCs/>
          <w:caps/>
          <w:sz w:val="24"/>
          <w:szCs w:val="24"/>
          <w:u w:val="single"/>
        </w:rPr>
        <w:t xml:space="preserve"> </w:t>
      </w:r>
      <w:r w:rsidR="003D1886" w:rsidRPr="00B66E0D">
        <w:rPr>
          <w:rFonts w:ascii="Times New Roman" w:eastAsia="Times New Roman" w:hAnsi="Times New Roman" w:cs="Times New Roman"/>
          <w:b/>
          <w:bCs/>
          <w:caps/>
          <w:sz w:val="24"/>
          <w:szCs w:val="24"/>
          <w:u w:val="single"/>
        </w:rPr>
        <w:t>DIVISIONS</w:t>
      </w:r>
    </w:p>
    <w:p w:rsidR="00EC1B72" w:rsidRPr="00B66E0D" w:rsidRDefault="00EC1B72" w:rsidP="00EF49DC">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Jeffrey Baker</w:t>
      </w:r>
      <w:r w:rsidRPr="00B66E0D">
        <w:rPr>
          <w:rFonts w:ascii="Times New Roman" w:eastAsia="Times New Roman" w:hAnsi="Times New Roman" w:cs="Times New Roman"/>
          <w:i/>
          <w:iCs/>
          <w:sz w:val="24"/>
          <w:szCs w:val="24"/>
        </w:rPr>
        <w:t xml:space="preserve">, Legislative Director </w:t>
      </w:r>
    </w:p>
    <w:p w:rsidR="004B28EB" w:rsidRPr="00B66E0D" w:rsidRDefault="004B28EB" w:rsidP="00EF49DC">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Rachel Cordero</w:t>
      </w:r>
      <w:r w:rsidRPr="00B66E0D">
        <w:rPr>
          <w:rFonts w:ascii="Times New Roman" w:eastAsia="Times New Roman" w:hAnsi="Times New Roman" w:cs="Times New Roman"/>
          <w:i/>
          <w:iCs/>
          <w:sz w:val="24"/>
          <w:szCs w:val="24"/>
        </w:rPr>
        <w:t>, Deputy Director, Governmental Affairs Division</w:t>
      </w:r>
    </w:p>
    <w:p w:rsidR="00EC1B72" w:rsidRPr="00B66E0D" w:rsidRDefault="004B28EB" w:rsidP="00EF49DC">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Terzah Nasser</w:t>
      </w:r>
      <w:r w:rsidR="00EC1B72" w:rsidRPr="00B66E0D">
        <w:rPr>
          <w:rFonts w:ascii="Times New Roman" w:eastAsia="Times New Roman" w:hAnsi="Times New Roman" w:cs="Times New Roman"/>
          <w:i/>
          <w:iCs/>
          <w:sz w:val="24"/>
          <w:szCs w:val="24"/>
        </w:rPr>
        <w:t>, D</w:t>
      </w:r>
      <w:r w:rsidRPr="00B66E0D">
        <w:rPr>
          <w:rFonts w:ascii="Times New Roman" w:eastAsia="Times New Roman" w:hAnsi="Times New Roman" w:cs="Times New Roman"/>
          <w:i/>
          <w:iCs/>
          <w:sz w:val="24"/>
          <w:szCs w:val="24"/>
        </w:rPr>
        <w:t>eputy Director, Infrastructure Division</w:t>
      </w:r>
    </w:p>
    <w:p w:rsidR="00EC1B72" w:rsidRPr="00B66E0D" w:rsidRDefault="00EC1B72" w:rsidP="00EF49DC">
      <w:pPr>
        <w:spacing w:after="0" w:line="240" w:lineRule="auto"/>
        <w:jc w:val="center"/>
        <w:rPr>
          <w:rFonts w:ascii="Times New Roman" w:eastAsia="Times New Roman" w:hAnsi="Times New Roman" w:cs="Times New Roman"/>
          <w:i/>
          <w:sz w:val="24"/>
          <w:szCs w:val="24"/>
        </w:rPr>
      </w:pPr>
    </w:p>
    <w:p w:rsidR="00EC1B72" w:rsidRPr="00B66E0D" w:rsidRDefault="00EC1B72" w:rsidP="00EF49DC">
      <w:pPr>
        <w:spacing w:after="0" w:line="240" w:lineRule="auto"/>
        <w:jc w:val="center"/>
        <w:rPr>
          <w:rFonts w:ascii="Times New Roman" w:eastAsia="Times New Roman" w:hAnsi="Times New Roman" w:cs="Times New Roman"/>
          <w:i/>
          <w:sz w:val="24"/>
          <w:szCs w:val="24"/>
        </w:rPr>
      </w:pPr>
    </w:p>
    <w:p w:rsidR="00EA0FF8" w:rsidRPr="00B66E0D" w:rsidRDefault="00EA0FF8" w:rsidP="00EF49DC">
      <w:pPr>
        <w:keepNext/>
        <w:spacing w:after="0" w:line="240" w:lineRule="auto"/>
        <w:jc w:val="center"/>
        <w:outlineLvl w:val="0"/>
        <w:rPr>
          <w:rFonts w:ascii="Times New Roman" w:eastAsia="Times New Roman" w:hAnsi="Times New Roman" w:cs="Times New Roman"/>
          <w:b/>
          <w:bCs/>
          <w:sz w:val="24"/>
          <w:szCs w:val="24"/>
          <w:u w:val="single"/>
        </w:rPr>
      </w:pPr>
      <w:r w:rsidRPr="00B66E0D">
        <w:rPr>
          <w:rFonts w:ascii="Times New Roman" w:eastAsia="Times New Roman" w:hAnsi="Times New Roman" w:cs="Times New Roman"/>
          <w:b/>
          <w:bCs/>
          <w:sz w:val="24"/>
          <w:szCs w:val="24"/>
          <w:u w:val="single"/>
        </w:rPr>
        <w:t>COMMITTEE ON CONSUMER AFFAIRS AND BUSINESS LICENSING</w:t>
      </w:r>
    </w:p>
    <w:p w:rsidR="00EA0FF8" w:rsidRPr="00B66E0D" w:rsidRDefault="00EA0FF8" w:rsidP="00EF49DC">
      <w:pPr>
        <w:keepNext/>
        <w:spacing w:after="0" w:line="240" w:lineRule="auto"/>
        <w:jc w:val="center"/>
        <w:outlineLvl w:val="0"/>
        <w:rPr>
          <w:rFonts w:ascii="Times New Roman" w:eastAsia="Times New Roman" w:hAnsi="Times New Roman" w:cs="Times New Roman"/>
          <w:i/>
          <w:iCs/>
          <w:sz w:val="24"/>
          <w:szCs w:val="24"/>
        </w:rPr>
      </w:pPr>
    </w:p>
    <w:p w:rsidR="00EA0FF8" w:rsidRPr="00B66E0D" w:rsidRDefault="00EA0FF8" w:rsidP="00EF49DC">
      <w:pPr>
        <w:keepNext/>
        <w:spacing w:after="0" w:line="240" w:lineRule="auto"/>
        <w:jc w:val="center"/>
        <w:outlineLvl w:val="0"/>
        <w:rPr>
          <w:rFonts w:ascii="Times New Roman" w:eastAsia="Times New Roman" w:hAnsi="Times New Roman" w:cs="Times New Roman"/>
          <w:i/>
          <w:iCs/>
          <w:sz w:val="24"/>
          <w:szCs w:val="24"/>
        </w:rPr>
      </w:pPr>
      <w:r w:rsidRPr="00B66E0D">
        <w:rPr>
          <w:rFonts w:ascii="Times New Roman" w:eastAsia="Times New Roman" w:hAnsi="Times New Roman" w:cs="Times New Roman"/>
          <w:i/>
          <w:iCs/>
          <w:sz w:val="24"/>
          <w:szCs w:val="24"/>
        </w:rPr>
        <w:t>Hon. Rafael L. Espinal, Chair</w:t>
      </w:r>
    </w:p>
    <w:p w:rsidR="00EA0FF8" w:rsidRPr="00B66E0D" w:rsidRDefault="00EA0FF8" w:rsidP="00EF49DC">
      <w:pPr>
        <w:keepNext/>
        <w:spacing w:after="0" w:line="240" w:lineRule="auto"/>
        <w:jc w:val="center"/>
        <w:outlineLvl w:val="0"/>
        <w:rPr>
          <w:rFonts w:ascii="Times New Roman" w:eastAsia="Times New Roman" w:hAnsi="Times New Roman" w:cs="Times New Roman"/>
          <w:b/>
          <w:bCs/>
          <w:sz w:val="24"/>
          <w:szCs w:val="24"/>
          <w:u w:val="single"/>
        </w:rPr>
      </w:pPr>
    </w:p>
    <w:p w:rsidR="00EC1B72" w:rsidRPr="00B66E0D" w:rsidRDefault="00EA0FF8" w:rsidP="00EF49DC">
      <w:pPr>
        <w:keepNext/>
        <w:spacing w:after="0" w:line="240" w:lineRule="auto"/>
        <w:jc w:val="center"/>
        <w:outlineLvl w:val="0"/>
        <w:rPr>
          <w:rFonts w:ascii="Times New Roman" w:eastAsia="Times New Roman" w:hAnsi="Times New Roman" w:cs="Times New Roman"/>
          <w:b/>
          <w:bCs/>
          <w:sz w:val="24"/>
          <w:szCs w:val="24"/>
          <w:u w:val="single"/>
        </w:rPr>
      </w:pPr>
      <w:r w:rsidRPr="00B66E0D">
        <w:rPr>
          <w:rFonts w:ascii="Times New Roman" w:eastAsia="Times New Roman" w:hAnsi="Times New Roman" w:cs="Times New Roman"/>
          <w:b/>
          <w:bCs/>
          <w:sz w:val="24"/>
          <w:szCs w:val="24"/>
          <w:u w:val="single"/>
        </w:rPr>
        <w:t>COMMITTEE ON RESILIENCY AND WATERFRONTS</w:t>
      </w:r>
    </w:p>
    <w:p w:rsidR="00EC1B72" w:rsidRPr="00B66E0D" w:rsidRDefault="00EC1B72" w:rsidP="00EF49DC">
      <w:pPr>
        <w:keepNext/>
        <w:spacing w:after="0" w:line="240" w:lineRule="auto"/>
        <w:jc w:val="center"/>
        <w:outlineLvl w:val="0"/>
        <w:rPr>
          <w:rFonts w:ascii="Times New Roman" w:eastAsia="Times New Roman" w:hAnsi="Times New Roman" w:cs="Times New Roman"/>
          <w:i/>
          <w:iCs/>
          <w:sz w:val="24"/>
          <w:szCs w:val="24"/>
        </w:rPr>
      </w:pPr>
    </w:p>
    <w:p w:rsidR="00EC1B72" w:rsidRPr="00B66E0D" w:rsidRDefault="00EA0FF8" w:rsidP="00EF49DC">
      <w:pPr>
        <w:keepNext/>
        <w:spacing w:after="0" w:line="240" w:lineRule="auto"/>
        <w:jc w:val="center"/>
        <w:outlineLvl w:val="0"/>
        <w:rPr>
          <w:rFonts w:ascii="Times New Roman" w:eastAsia="Times New Roman" w:hAnsi="Times New Roman" w:cs="Times New Roman"/>
          <w:i/>
          <w:iCs/>
          <w:sz w:val="24"/>
          <w:szCs w:val="24"/>
        </w:rPr>
      </w:pPr>
      <w:r w:rsidRPr="00B66E0D">
        <w:rPr>
          <w:rFonts w:ascii="Times New Roman" w:eastAsia="Times New Roman" w:hAnsi="Times New Roman" w:cs="Times New Roman"/>
          <w:i/>
          <w:iCs/>
          <w:sz w:val="24"/>
          <w:szCs w:val="24"/>
        </w:rPr>
        <w:t>Hon. Justin L. Brannan</w:t>
      </w:r>
      <w:r w:rsidR="00EC1B72" w:rsidRPr="00B66E0D">
        <w:rPr>
          <w:rFonts w:ascii="Times New Roman" w:eastAsia="Times New Roman" w:hAnsi="Times New Roman" w:cs="Times New Roman"/>
          <w:i/>
          <w:iCs/>
          <w:sz w:val="24"/>
          <w:szCs w:val="24"/>
        </w:rPr>
        <w:t>., Chair</w:t>
      </w:r>
    </w:p>
    <w:p w:rsidR="00EC1B72" w:rsidRPr="00B66E0D" w:rsidRDefault="00EC1B72" w:rsidP="00EF49DC">
      <w:pPr>
        <w:keepNext/>
        <w:spacing w:after="0" w:line="240" w:lineRule="auto"/>
        <w:jc w:val="center"/>
        <w:outlineLvl w:val="0"/>
        <w:rPr>
          <w:rFonts w:ascii="Times New Roman" w:eastAsia="Times New Roman" w:hAnsi="Times New Roman" w:cs="Times New Roman"/>
          <w:b/>
          <w:bCs/>
          <w:sz w:val="24"/>
          <w:szCs w:val="24"/>
          <w:u w:val="single"/>
        </w:rPr>
      </w:pPr>
    </w:p>
    <w:p w:rsidR="00EC1B72" w:rsidRPr="00B66E0D" w:rsidRDefault="00EA0FF8" w:rsidP="00EF49DC">
      <w:pPr>
        <w:keepNext/>
        <w:spacing w:after="0" w:line="240" w:lineRule="auto"/>
        <w:jc w:val="center"/>
        <w:outlineLvl w:val="0"/>
        <w:rPr>
          <w:rFonts w:ascii="Times New Roman" w:eastAsia="Times New Roman" w:hAnsi="Times New Roman" w:cs="Times New Roman"/>
          <w:b/>
          <w:bCs/>
          <w:sz w:val="24"/>
          <w:szCs w:val="24"/>
          <w:u w:val="single"/>
        </w:rPr>
      </w:pPr>
      <w:r w:rsidRPr="00B66E0D">
        <w:rPr>
          <w:rFonts w:ascii="Times New Roman" w:eastAsia="Times New Roman" w:hAnsi="Times New Roman" w:cs="Times New Roman"/>
          <w:b/>
          <w:bCs/>
          <w:sz w:val="24"/>
          <w:szCs w:val="24"/>
          <w:u w:val="single"/>
        </w:rPr>
        <w:t>COMMITTEE ON ENVIRONMENTAL PROTECTION</w:t>
      </w:r>
    </w:p>
    <w:p w:rsidR="00EC1B72" w:rsidRPr="00B66E0D" w:rsidRDefault="00EC1B72" w:rsidP="00EF49DC">
      <w:pPr>
        <w:keepNext/>
        <w:spacing w:after="0" w:line="240" w:lineRule="auto"/>
        <w:jc w:val="center"/>
        <w:outlineLvl w:val="0"/>
        <w:rPr>
          <w:rFonts w:ascii="Times New Roman" w:eastAsia="Times New Roman" w:hAnsi="Times New Roman" w:cs="Times New Roman"/>
          <w:i/>
          <w:iCs/>
          <w:sz w:val="24"/>
          <w:szCs w:val="24"/>
        </w:rPr>
      </w:pPr>
    </w:p>
    <w:p w:rsidR="00EC1B72" w:rsidRPr="00B66E0D" w:rsidRDefault="00EA0FF8" w:rsidP="00EF49DC">
      <w:pPr>
        <w:keepNext/>
        <w:spacing w:after="0" w:line="240" w:lineRule="auto"/>
        <w:jc w:val="center"/>
        <w:outlineLvl w:val="0"/>
        <w:rPr>
          <w:rFonts w:ascii="Times New Roman" w:eastAsia="Times New Roman" w:hAnsi="Times New Roman" w:cs="Times New Roman"/>
          <w:i/>
          <w:iCs/>
          <w:sz w:val="24"/>
          <w:szCs w:val="24"/>
        </w:rPr>
      </w:pPr>
      <w:r w:rsidRPr="00B66E0D">
        <w:rPr>
          <w:rFonts w:ascii="Times New Roman" w:eastAsia="Times New Roman" w:hAnsi="Times New Roman" w:cs="Times New Roman"/>
          <w:i/>
          <w:iCs/>
          <w:sz w:val="24"/>
          <w:szCs w:val="24"/>
        </w:rPr>
        <w:t>Hon. Costa G. Constantinides</w:t>
      </w:r>
      <w:r w:rsidR="00EC1B72" w:rsidRPr="00B66E0D">
        <w:rPr>
          <w:rFonts w:ascii="Times New Roman" w:eastAsia="Times New Roman" w:hAnsi="Times New Roman" w:cs="Times New Roman"/>
          <w:i/>
          <w:iCs/>
          <w:sz w:val="24"/>
          <w:szCs w:val="24"/>
        </w:rPr>
        <w:t>, Chair</w:t>
      </w:r>
    </w:p>
    <w:p w:rsidR="00EC1B72" w:rsidRPr="00B66E0D" w:rsidRDefault="00EC1B72" w:rsidP="00EF49DC">
      <w:pPr>
        <w:keepNext/>
        <w:spacing w:after="0" w:line="240" w:lineRule="auto"/>
        <w:jc w:val="center"/>
        <w:outlineLvl w:val="0"/>
        <w:rPr>
          <w:rFonts w:ascii="Times New Roman" w:eastAsia="Times New Roman" w:hAnsi="Times New Roman" w:cs="Times New Roman"/>
          <w:i/>
          <w:iCs/>
          <w:sz w:val="24"/>
          <w:szCs w:val="24"/>
        </w:rPr>
      </w:pPr>
    </w:p>
    <w:p w:rsidR="00EC1B72" w:rsidRPr="00B66E0D" w:rsidRDefault="00EC1B72" w:rsidP="00EF49DC">
      <w:pPr>
        <w:keepNext/>
        <w:spacing w:after="0" w:line="240" w:lineRule="auto"/>
        <w:outlineLvl w:val="3"/>
        <w:rPr>
          <w:rFonts w:ascii="Times New Roman" w:eastAsia="Times New Roman" w:hAnsi="Times New Roman" w:cs="Times New Roman"/>
          <w:b/>
          <w:bCs/>
          <w:sz w:val="24"/>
          <w:szCs w:val="24"/>
        </w:rPr>
      </w:pPr>
    </w:p>
    <w:p w:rsidR="00EC1B72" w:rsidRPr="00B66E0D" w:rsidRDefault="00EA0FF8" w:rsidP="00EF49DC">
      <w:pPr>
        <w:keepNext/>
        <w:spacing w:after="0" w:line="240" w:lineRule="auto"/>
        <w:jc w:val="center"/>
        <w:outlineLvl w:val="3"/>
        <w:rPr>
          <w:rFonts w:ascii="Times New Roman" w:eastAsia="Times New Roman" w:hAnsi="Times New Roman" w:cs="Times New Roman"/>
          <w:sz w:val="24"/>
          <w:szCs w:val="24"/>
          <w:u w:val="single"/>
        </w:rPr>
      </w:pPr>
      <w:r w:rsidRPr="00B66E0D">
        <w:rPr>
          <w:rFonts w:ascii="Times New Roman" w:eastAsia="Times New Roman" w:hAnsi="Times New Roman" w:cs="Times New Roman"/>
          <w:b/>
          <w:bCs/>
          <w:sz w:val="24"/>
          <w:szCs w:val="24"/>
        </w:rPr>
        <w:t>September 4</w:t>
      </w:r>
      <w:r w:rsidR="00EC1B72" w:rsidRPr="00B66E0D">
        <w:rPr>
          <w:rFonts w:ascii="Times New Roman" w:eastAsia="Times New Roman" w:hAnsi="Times New Roman" w:cs="Times New Roman"/>
          <w:b/>
          <w:bCs/>
          <w:sz w:val="24"/>
          <w:szCs w:val="24"/>
        </w:rPr>
        <w:t>, 2019</w:t>
      </w:r>
    </w:p>
    <w:p w:rsidR="00EC1B72" w:rsidRPr="00B66E0D" w:rsidRDefault="00EC1B72" w:rsidP="00EF49DC">
      <w:pPr>
        <w:widowControl w:val="0"/>
        <w:autoSpaceDE w:val="0"/>
        <w:autoSpaceDN w:val="0"/>
        <w:adjustRightInd w:val="0"/>
        <w:spacing w:after="0" w:line="240" w:lineRule="auto"/>
        <w:ind w:left="2880" w:hanging="2880"/>
        <w:jc w:val="both"/>
        <w:rPr>
          <w:rFonts w:ascii="Times New Roman" w:eastAsia="Times New Roman" w:hAnsi="Times New Roman" w:cs="Times New Roman"/>
          <w:b/>
          <w:sz w:val="24"/>
          <w:szCs w:val="24"/>
          <w:u w:val="single"/>
        </w:rPr>
      </w:pPr>
    </w:p>
    <w:p w:rsidR="00EC1B72" w:rsidRPr="00B66E0D" w:rsidRDefault="00365EBA" w:rsidP="00EF49DC">
      <w:pPr>
        <w:spacing w:after="0" w:line="240" w:lineRule="auto"/>
        <w:jc w:val="center"/>
        <w:rPr>
          <w:rFonts w:ascii="Times New Roman" w:eastAsia="Times New Roman" w:hAnsi="Times New Roman" w:cs="Times New Roman"/>
          <w:b/>
          <w:sz w:val="24"/>
          <w:szCs w:val="24"/>
          <w:u w:val="single"/>
        </w:rPr>
      </w:pPr>
      <w:r w:rsidRPr="00B66E0D">
        <w:rPr>
          <w:rFonts w:ascii="Times New Roman" w:eastAsia="Times New Roman" w:hAnsi="Times New Roman" w:cs="Times New Roman"/>
          <w:b/>
          <w:sz w:val="24"/>
          <w:szCs w:val="24"/>
          <w:u w:val="single"/>
        </w:rPr>
        <w:t>Oversight: Consolidated Edison Summer 2019 Service Outages</w:t>
      </w:r>
    </w:p>
    <w:p w:rsidR="00EC1B72" w:rsidRPr="00B66E0D" w:rsidRDefault="00EC1B72" w:rsidP="00B66E0D">
      <w:pPr>
        <w:spacing w:before="120" w:after="120" w:line="480" w:lineRule="auto"/>
        <w:jc w:val="center"/>
        <w:rPr>
          <w:rFonts w:ascii="Times New Roman" w:eastAsia="Times New Roman" w:hAnsi="Times New Roman" w:cs="Times New Roman"/>
          <w:b/>
          <w:sz w:val="24"/>
          <w:szCs w:val="24"/>
          <w:u w:val="single"/>
        </w:rPr>
      </w:pPr>
    </w:p>
    <w:p w:rsidR="0073506B" w:rsidRPr="00B66E0D" w:rsidRDefault="0073506B" w:rsidP="008C304E">
      <w:pPr>
        <w:spacing w:before="120" w:after="120" w:line="480" w:lineRule="auto"/>
        <w:rPr>
          <w:rFonts w:ascii="Times New Roman" w:eastAsia="Times New Roman" w:hAnsi="Times New Roman" w:cs="Times New Roman"/>
          <w:sz w:val="24"/>
          <w:szCs w:val="24"/>
        </w:rPr>
      </w:pPr>
      <w:r w:rsidRPr="00B66E0D">
        <w:rPr>
          <w:rFonts w:ascii="Times New Roman" w:eastAsia="Times New Roman" w:hAnsi="Times New Roman" w:cs="Times New Roman"/>
          <w:sz w:val="24"/>
          <w:szCs w:val="24"/>
        </w:rPr>
        <w:tab/>
      </w:r>
    </w:p>
    <w:p w:rsidR="0073506B" w:rsidRPr="00B66E0D" w:rsidRDefault="0073506B" w:rsidP="00B66E0D">
      <w:pPr>
        <w:pStyle w:val="ListParagraph"/>
        <w:numPr>
          <w:ilvl w:val="0"/>
          <w:numId w:val="1"/>
        </w:numPr>
        <w:spacing w:before="120" w:after="120" w:line="480" w:lineRule="auto"/>
        <w:ind w:left="0" w:firstLine="0"/>
        <w:rPr>
          <w:rFonts w:ascii="Times New Roman" w:eastAsia="Times New Roman" w:hAnsi="Times New Roman" w:cs="Times New Roman"/>
          <w:b/>
          <w:u w:val="single"/>
        </w:rPr>
      </w:pPr>
      <w:r w:rsidRPr="00B66E0D">
        <w:rPr>
          <w:rFonts w:ascii="Times New Roman" w:eastAsia="Times New Roman" w:hAnsi="Times New Roman" w:cs="Times New Roman"/>
          <w:b/>
          <w:u w:val="single"/>
        </w:rPr>
        <w:lastRenderedPageBreak/>
        <w:t xml:space="preserve">INTRODUCTION </w:t>
      </w:r>
    </w:p>
    <w:p w:rsidR="00046584" w:rsidRPr="00B66E0D" w:rsidRDefault="0073506B" w:rsidP="00B66E0D">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B66E0D">
        <w:rPr>
          <w:rFonts w:ascii="Times New Roman" w:hAnsi="Times New Roman" w:cs="Times New Roman"/>
          <w:sz w:val="24"/>
          <w:szCs w:val="24"/>
        </w:rPr>
        <w:t xml:space="preserve">On </w:t>
      </w:r>
      <w:r w:rsidR="00EB4205" w:rsidRPr="00B66E0D">
        <w:rPr>
          <w:rFonts w:ascii="Times New Roman" w:hAnsi="Times New Roman" w:cs="Times New Roman"/>
          <w:sz w:val="24"/>
          <w:szCs w:val="24"/>
        </w:rPr>
        <w:t xml:space="preserve">September 4, 2019, the Committees on Consumer Affairs and Business Licensing, Resiliency and Waterfronts, and Environmental Protection, will hold </w:t>
      </w:r>
      <w:r w:rsidR="00BE28A9" w:rsidRPr="00B66E0D">
        <w:rPr>
          <w:rFonts w:ascii="Times New Roman" w:hAnsi="Times New Roman" w:cs="Times New Roman"/>
          <w:sz w:val="24"/>
          <w:szCs w:val="24"/>
        </w:rPr>
        <w:t>a</w:t>
      </w:r>
      <w:r w:rsidR="00EB4205" w:rsidRPr="00B66E0D">
        <w:rPr>
          <w:rFonts w:ascii="Times New Roman" w:hAnsi="Times New Roman" w:cs="Times New Roman"/>
          <w:sz w:val="24"/>
          <w:szCs w:val="24"/>
        </w:rPr>
        <w:t>n oversight hearing on the Con</w:t>
      </w:r>
      <w:r w:rsidR="00361350" w:rsidRPr="00B66E0D">
        <w:rPr>
          <w:rFonts w:ascii="Times New Roman" w:hAnsi="Times New Roman" w:cs="Times New Roman"/>
          <w:sz w:val="24"/>
          <w:szCs w:val="24"/>
        </w:rPr>
        <w:t>solidated</w:t>
      </w:r>
      <w:r w:rsidR="00EB4205" w:rsidRPr="00B66E0D">
        <w:rPr>
          <w:rFonts w:ascii="Times New Roman" w:hAnsi="Times New Roman" w:cs="Times New Roman"/>
          <w:sz w:val="24"/>
          <w:szCs w:val="24"/>
        </w:rPr>
        <w:t xml:space="preserve"> Edison </w:t>
      </w:r>
      <w:r w:rsidR="00361350" w:rsidRPr="00B66E0D">
        <w:rPr>
          <w:rFonts w:ascii="Times New Roman" w:hAnsi="Times New Roman" w:cs="Times New Roman"/>
          <w:sz w:val="24"/>
          <w:szCs w:val="24"/>
        </w:rPr>
        <w:t xml:space="preserve">(Con Ed) </w:t>
      </w:r>
      <w:r w:rsidR="00EB4205" w:rsidRPr="00B66E0D">
        <w:rPr>
          <w:rFonts w:ascii="Times New Roman" w:hAnsi="Times New Roman" w:cs="Times New Roman"/>
          <w:sz w:val="24"/>
          <w:szCs w:val="24"/>
        </w:rPr>
        <w:t>power outages that hit</w:t>
      </w:r>
      <w:r w:rsidR="00046584" w:rsidRPr="00B66E0D">
        <w:rPr>
          <w:rFonts w:ascii="Times New Roman" w:hAnsi="Times New Roman" w:cs="Times New Roman"/>
          <w:sz w:val="24"/>
          <w:szCs w:val="24"/>
        </w:rPr>
        <w:t xml:space="preserve"> New York City over the summer of 2019</w:t>
      </w:r>
      <w:r w:rsidR="00361350" w:rsidRPr="00B66E0D">
        <w:rPr>
          <w:rFonts w:ascii="Times New Roman" w:hAnsi="Times New Roman" w:cs="Times New Roman"/>
          <w:sz w:val="24"/>
          <w:szCs w:val="24"/>
        </w:rPr>
        <w:t>. The Committees have invited representatives from Con Ed, the New York State Public Service Commission (PSC), the New York City Office of Emergency Management (OEM), the New York City Department of Environmental Protection (DEP), and other interested parties to offer testimony.</w:t>
      </w:r>
      <w:r w:rsidR="00A8318A" w:rsidRPr="00B66E0D">
        <w:rPr>
          <w:rFonts w:ascii="Times New Roman" w:hAnsi="Times New Roman" w:cs="Times New Roman"/>
          <w:sz w:val="24"/>
          <w:szCs w:val="24"/>
        </w:rPr>
        <w:t xml:space="preserve"> </w:t>
      </w:r>
    </w:p>
    <w:p w:rsidR="00046584" w:rsidRPr="00B66E0D" w:rsidRDefault="00046584" w:rsidP="00B66E0D">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w:hAnsi="Times New Roman" w:cs="Times New Roman"/>
        </w:rPr>
      </w:pPr>
      <w:r w:rsidRPr="00B66E0D">
        <w:rPr>
          <w:rFonts w:ascii="Times New Roman" w:hAnsi="Times New Roman" w:cs="Times New Roman"/>
          <w:b/>
          <w:u w:val="single"/>
        </w:rPr>
        <w:t>BACKGROUND</w:t>
      </w:r>
    </w:p>
    <w:p w:rsidR="00B66B5B" w:rsidRPr="00B66E0D" w:rsidRDefault="00B66B5B" w:rsidP="00B66E0D">
      <w:pPr>
        <w:pStyle w:val="ListParagraph"/>
        <w:widowControl w:val="0"/>
        <w:numPr>
          <w:ilvl w:val="0"/>
          <w:numId w:val="9"/>
        </w:numPr>
        <w:suppressLineNumbers/>
        <w:autoSpaceDE w:val="0"/>
        <w:autoSpaceDN w:val="0"/>
        <w:adjustRightInd w:val="0"/>
        <w:spacing w:before="120" w:after="120" w:line="480" w:lineRule="auto"/>
        <w:jc w:val="both"/>
        <w:rPr>
          <w:rFonts w:ascii="Times New Roman" w:hAnsi="Times New Roman" w:cs="Times New Roman"/>
          <w:u w:val="single"/>
        </w:rPr>
      </w:pPr>
      <w:r w:rsidRPr="00B66E0D">
        <w:rPr>
          <w:rFonts w:ascii="Times New Roman" w:hAnsi="Times New Roman" w:cs="Times New Roman"/>
          <w:u w:val="single"/>
        </w:rPr>
        <w:t>Summer 2019 Outages</w:t>
      </w:r>
    </w:p>
    <w:p w:rsidR="000637DA" w:rsidRPr="00B66E0D" w:rsidRDefault="000637DA" w:rsidP="00B66E0D">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sidRPr="00B66E0D">
        <w:rPr>
          <w:rFonts w:ascii="Times New Roman" w:hAnsi="Times New Roman" w:cs="Times New Roman"/>
        </w:rPr>
        <w:t xml:space="preserve">In the summer of 2019, New York City experienced a number of serious power outages. The first major outage hit the Upper West Side of Manhattan on July 13. </w:t>
      </w:r>
      <w:r w:rsidR="009E10D7" w:rsidRPr="00B66E0D">
        <w:rPr>
          <w:rFonts w:ascii="Times New Roman" w:hAnsi="Times New Roman" w:cs="Times New Roman"/>
        </w:rPr>
        <w:t>The blackout hit just before 7pm and affected at least 73,000 customers.</w:t>
      </w:r>
      <w:r w:rsidR="009E10D7" w:rsidRPr="00B66E0D">
        <w:rPr>
          <w:rStyle w:val="FootnoteReference"/>
          <w:rFonts w:ascii="Times New Roman" w:hAnsi="Times New Roman" w:cs="Times New Roman"/>
        </w:rPr>
        <w:footnoteReference w:id="1"/>
      </w:r>
      <w:r w:rsidR="00C52273" w:rsidRPr="00B66E0D">
        <w:rPr>
          <w:rFonts w:ascii="Times New Roman" w:hAnsi="Times New Roman" w:cs="Times New Roman"/>
        </w:rPr>
        <w:t xml:space="preserve"> </w:t>
      </w:r>
      <w:r w:rsidR="00E040F1" w:rsidRPr="00B66E0D">
        <w:rPr>
          <w:rFonts w:ascii="Times New Roman" w:hAnsi="Times New Roman" w:cs="Times New Roman"/>
        </w:rPr>
        <w:t>The outage affected power from 72</w:t>
      </w:r>
      <w:r w:rsidR="00E040F1" w:rsidRPr="00B66E0D">
        <w:rPr>
          <w:rFonts w:ascii="Times New Roman" w:hAnsi="Times New Roman" w:cs="Times New Roman"/>
          <w:vertAlign w:val="superscript"/>
        </w:rPr>
        <w:t>nd</w:t>
      </w:r>
      <w:r w:rsidR="00E040F1" w:rsidRPr="00B66E0D">
        <w:rPr>
          <w:rFonts w:ascii="Times New Roman" w:hAnsi="Times New Roman" w:cs="Times New Roman"/>
        </w:rPr>
        <w:t xml:space="preserve"> </w:t>
      </w:r>
      <w:r w:rsidR="0093170B">
        <w:rPr>
          <w:rFonts w:ascii="Times New Roman" w:hAnsi="Times New Roman" w:cs="Times New Roman"/>
        </w:rPr>
        <w:t xml:space="preserve">street </w:t>
      </w:r>
      <w:r w:rsidR="00E040F1" w:rsidRPr="00B66E0D">
        <w:rPr>
          <w:rFonts w:ascii="Times New Roman" w:hAnsi="Times New Roman" w:cs="Times New Roman"/>
        </w:rPr>
        <w:t>to the West 40s and all the way from Fifth Avenue to the Hudson River.</w:t>
      </w:r>
      <w:r w:rsidR="00E040F1" w:rsidRPr="00B66E0D">
        <w:rPr>
          <w:rStyle w:val="FootnoteReference"/>
          <w:rFonts w:ascii="Times New Roman" w:hAnsi="Times New Roman" w:cs="Times New Roman"/>
        </w:rPr>
        <w:footnoteReference w:id="2"/>
      </w:r>
      <w:r w:rsidR="00E040F1" w:rsidRPr="00B66E0D">
        <w:rPr>
          <w:rFonts w:ascii="Times New Roman" w:hAnsi="Times New Roman" w:cs="Times New Roman"/>
        </w:rPr>
        <w:t xml:space="preserve"> Over 200 traffic lights went out</w:t>
      </w:r>
      <w:r w:rsidR="00DE0FB5" w:rsidRPr="00B66E0D">
        <w:rPr>
          <w:rFonts w:ascii="Times New Roman" w:hAnsi="Times New Roman" w:cs="Times New Roman"/>
        </w:rPr>
        <w:t>, causing pedestrians to jump in and direct traffic.</w:t>
      </w:r>
      <w:r w:rsidR="00E040F1" w:rsidRPr="00B66E0D">
        <w:rPr>
          <w:rStyle w:val="FootnoteReference"/>
          <w:rFonts w:ascii="Times New Roman" w:hAnsi="Times New Roman" w:cs="Times New Roman"/>
        </w:rPr>
        <w:footnoteReference w:id="3"/>
      </w:r>
      <w:r w:rsidR="00DE0FB5" w:rsidRPr="00B66E0D">
        <w:rPr>
          <w:rFonts w:ascii="Times New Roman" w:hAnsi="Times New Roman" w:cs="Times New Roman"/>
        </w:rPr>
        <w:t xml:space="preserve"> T</w:t>
      </w:r>
      <w:r w:rsidR="00E040F1" w:rsidRPr="00B66E0D">
        <w:rPr>
          <w:rFonts w:ascii="Times New Roman" w:hAnsi="Times New Roman" w:cs="Times New Roman"/>
        </w:rPr>
        <w:t>he w</w:t>
      </w:r>
      <w:r w:rsidR="009E6EFF" w:rsidRPr="00B66E0D">
        <w:rPr>
          <w:rFonts w:ascii="Times New Roman" w:hAnsi="Times New Roman" w:cs="Times New Roman"/>
        </w:rPr>
        <w:t xml:space="preserve">hole subway system was </w:t>
      </w:r>
      <w:r w:rsidR="00C66A4F">
        <w:rPr>
          <w:rFonts w:ascii="Times New Roman" w:hAnsi="Times New Roman" w:cs="Times New Roman"/>
        </w:rPr>
        <w:t>a</w:t>
      </w:r>
      <w:r w:rsidR="00C66A4F" w:rsidRPr="00B66E0D">
        <w:rPr>
          <w:rFonts w:ascii="Times New Roman" w:hAnsi="Times New Roman" w:cs="Times New Roman"/>
        </w:rPr>
        <w:t>ffected</w:t>
      </w:r>
      <w:r w:rsidR="009E6EFF" w:rsidRPr="00B66E0D">
        <w:rPr>
          <w:rFonts w:ascii="Times New Roman" w:hAnsi="Times New Roman" w:cs="Times New Roman"/>
        </w:rPr>
        <w:t>; some lines were complete</w:t>
      </w:r>
      <w:r w:rsidR="00C66A4F">
        <w:rPr>
          <w:rFonts w:ascii="Times New Roman" w:hAnsi="Times New Roman" w:cs="Times New Roman"/>
        </w:rPr>
        <w:t>ly</w:t>
      </w:r>
      <w:r w:rsidR="009E6EFF" w:rsidRPr="00B66E0D">
        <w:rPr>
          <w:rFonts w:ascii="Times New Roman" w:hAnsi="Times New Roman" w:cs="Times New Roman"/>
        </w:rPr>
        <w:t xml:space="preserve"> suspended while </w:t>
      </w:r>
      <w:r w:rsidR="00E040F1" w:rsidRPr="00B66E0D">
        <w:rPr>
          <w:rFonts w:ascii="Times New Roman" w:hAnsi="Times New Roman" w:cs="Times New Roman"/>
        </w:rPr>
        <w:t xml:space="preserve">trains </w:t>
      </w:r>
      <w:r w:rsidR="009E6EFF" w:rsidRPr="00B66E0D">
        <w:rPr>
          <w:rFonts w:ascii="Times New Roman" w:hAnsi="Times New Roman" w:cs="Times New Roman"/>
        </w:rPr>
        <w:t xml:space="preserve">were </w:t>
      </w:r>
      <w:r w:rsidR="00E040F1" w:rsidRPr="00B66E0D">
        <w:rPr>
          <w:rFonts w:ascii="Times New Roman" w:hAnsi="Times New Roman" w:cs="Times New Roman"/>
        </w:rPr>
        <w:t>halted in station or evacuated</w:t>
      </w:r>
      <w:r w:rsidR="009E6EFF" w:rsidRPr="00B66E0D">
        <w:rPr>
          <w:rFonts w:ascii="Times New Roman" w:hAnsi="Times New Roman" w:cs="Times New Roman"/>
        </w:rPr>
        <w:t>, and four stations in Manhattan were totally closed to the public.</w:t>
      </w:r>
      <w:r w:rsidR="00E040F1" w:rsidRPr="00B66E0D">
        <w:rPr>
          <w:rStyle w:val="FootnoteReference"/>
          <w:rFonts w:ascii="Times New Roman" w:hAnsi="Times New Roman" w:cs="Times New Roman"/>
        </w:rPr>
        <w:footnoteReference w:id="4"/>
      </w:r>
      <w:r w:rsidR="00241B14" w:rsidRPr="00B66E0D">
        <w:rPr>
          <w:rFonts w:ascii="Times New Roman" w:hAnsi="Times New Roman" w:cs="Times New Roman"/>
        </w:rPr>
        <w:t xml:space="preserve"> </w:t>
      </w:r>
      <w:r w:rsidR="003D1886">
        <w:rPr>
          <w:rFonts w:ascii="Times New Roman" w:hAnsi="Times New Roman" w:cs="Times New Roman"/>
        </w:rPr>
        <w:t>Performa</w:t>
      </w:r>
      <w:r w:rsidR="00655DE0">
        <w:rPr>
          <w:rFonts w:ascii="Times New Roman" w:hAnsi="Times New Roman" w:cs="Times New Roman"/>
        </w:rPr>
        <w:t>n</w:t>
      </w:r>
      <w:r w:rsidR="003D1886">
        <w:rPr>
          <w:rFonts w:ascii="Times New Roman" w:hAnsi="Times New Roman" w:cs="Times New Roman"/>
        </w:rPr>
        <w:t>ce</w:t>
      </w:r>
      <w:r w:rsidR="00E040F1" w:rsidRPr="00B66E0D">
        <w:rPr>
          <w:rFonts w:ascii="Times New Roman" w:hAnsi="Times New Roman" w:cs="Times New Roman"/>
        </w:rPr>
        <w:t xml:space="preserve">s </w:t>
      </w:r>
      <w:r w:rsidR="00241B14" w:rsidRPr="00B66E0D">
        <w:rPr>
          <w:rFonts w:ascii="Times New Roman" w:hAnsi="Times New Roman" w:cs="Times New Roman"/>
        </w:rPr>
        <w:t>on Broadwa</w:t>
      </w:r>
      <w:r w:rsidR="00DE0FB5" w:rsidRPr="00B66E0D">
        <w:rPr>
          <w:rFonts w:ascii="Times New Roman" w:hAnsi="Times New Roman" w:cs="Times New Roman"/>
        </w:rPr>
        <w:t xml:space="preserve">y, at </w:t>
      </w:r>
      <w:r w:rsidR="00F31C27" w:rsidRPr="00B66E0D">
        <w:rPr>
          <w:rFonts w:ascii="Times New Roman" w:hAnsi="Times New Roman" w:cs="Times New Roman"/>
        </w:rPr>
        <w:t xml:space="preserve">Lincoln Center and </w:t>
      </w:r>
      <w:r w:rsidR="00DE0FB5" w:rsidRPr="00B66E0D">
        <w:rPr>
          <w:rFonts w:ascii="Times New Roman" w:hAnsi="Times New Roman" w:cs="Times New Roman"/>
        </w:rPr>
        <w:t xml:space="preserve">Madison Square Garden </w:t>
      </w:r>
      <w:r w:rsidR="00E040F1" w:rsidRPr="00B66E0D">
        <w:rPr>
          <w:rFonts w:ascii="Times New Roman" w:hAnsi="Times New Roman" w:cs="Times New Roman"/>
        </w:rPr>
        <w:t>were cancelled</w:t>
      </w:r>
      <w:r w:rsidR="00DE0FB5" w:rsidRPr="00B66E0D">
        <w:rPr>
          <w:rFonts w:ascii="Times New Roman" w:hAnsi="Times New Roman" w:cs="Times New Roman"/>
        </w:rPr>
        <w:t>,</w:t>
      </w:r>
      <w:r w:rsidR="00E040F1" w:rsidRPr="00B66E0D">
        <w:rPr>
          <w:rFonts w:ascii="Times New Roman" w:hAnsi="Times New Roman" w:cs="Times New Roman"/>
        </w:rPr>
        <w:t xml:space="preserve"> and </w:t>
      </w:r>
      <w:r w:rsidR="00DE0FB5" w:rsidRPr="00B66E0D">
        <w:rPr>
          <w:rFonts w:ascii="Times New Roman" w:hAnsi="Times New Roman" w:cs="Times New Roman"/>
        </w:rPr>
        <w:t xml:space="preserve">the </w:t>
      </w:r>
      <w:r w:rsidR="003D1886">
        <w:rPr>
          <w:rFonts w:ascii="Times New Roman" w:hAnsi="Times New Roman" w:cs="Times New Roman"/>
        </w:rPr>
        <w:t>New York City Fire Department (</w:t>
      </w:r>
      <w:r w:rsidR="00DE0FB5" w:rsidRPr="00B66E0D">
        <w:rPr>
          <w:rFonts w:ascii="Times New Roman" w:hAnsi="Times New Roman" w:cs="Times New Roman"/>
        </w:rPr>
        <w:t>FDNY</w:t>
      </w:r>
      <w:r w:rsidR="003D1886">
        <w:rPr>
          <w:rFonts w:ascii="Times New Roman" w:hAnsi="Times New Roman" w:cs="Times New Roman"/>
        </w:rPr>
        <w:t>)</w:t>
      </w:r>
      <w:r w:rsidR="00DE0FB5" w:rsidRPr="00B66E0D">
        <w:rPr>
          <w:rFonts w:ascii="Times New Roman" w:hAnsi="Times New Roman" w:cs="Times New Roman"/>
        </w:rPr>
        <w:t xml:space="preserve"> responded to hundreds of calls regarding stuck elevators and automatic alarms.</w:t>
      </w:r>
      <w:r w:rsidR="00DE0FB5" w:rsidRPr="00B66E0D">
        <w:rPr>
          <w:rStyle w:val="FootnoteReference"/>
          <w:rFonts w:ascii="Times New Roman" w:hAnsi="Times New Roman" w:cs="Times New Roman"/>
        </w:rPr>
        <w:footnoteReference w:id="5"/>
      </w:r>
      <w:r w:rsidR="00E63C5E" w:rsidRPr="00B66E0D">
        <w:rPr>
          <w:rFonts w:ascii="Times New Roman" w:hAnsi="Times New Roman" w:cs="Times New Roman"/>
        </w:rPr>
        <w:t xml:space="preserve"> Power </w:t>
      </w:r>
      <w:r w:rsidR="004C6005">
        <w:rPr>
          <w:rFonts w:ascii="Times New Roman" w:hAnsi="Times New Roman" w:cs="Times New Roman"/>
        </w:rPr>
        <w:t xml:space="preserve">was </w:t>
      </w:r>
      <w:r w:rsidR="00E63C5E" w:rsidRPr="00B66E0D">
        <w:rPr>
          <w:rFonts w:ascii="Times New Roman" w:hAnsi="Times New Roman" w:cs="Times New Roman"/>
        </w:rPr>
        <w:t xml:space="preserve">restored </w:t>
      </w:r>
      <w:r w:rsidR="004C6005">
        <w:rPr>
          <w:rFonts w:ascii="Times New Roman" w:hAnsi="Times New Roman" w:cs="Times New Roman"/>
        </w:rPr>
        <w:t xml:space="preserve">to some </w:t>
      </w:r>
      <w:r w:rsidR="00E63C5E" w:rsidRPr="00B66E0D">
        <w:rPr>
          <w:rFonts w:ascii="Times New Roman" w:hAnsi="Times New Roman" w:cs="Times New Roman"/>
        </w:rPr>
        <w:t>within a</w:t>
      </w:r>
      <w:r w:rsidR="004C6005">
        <w:rPr>
          <w:rFonts w:ascii="Times New Roman" w:hAnsi="Times New Roman" w:cs="Times New Roman"/>
        </w:rPr>
        <w:t>pproximately</w:t>
      </w:r>
      <w:r w:rsidR="00E63C5E" w:rsidRPr="00B66E0D">
        <w:rPr>
          <w:rFonts w:ascii="Times New Roman" w:hAnsi="Times New Roman" w:cs="Times New Roman"/>
        </w:rPr>
        <w:t xml:space="preserve"> three hours and by midnight, all customers had full service again.</w:t>
      </w:r>
      <w:r w:rsidR="00E63C5E" w:rsidRPr="00B66E0D">
        <w:rPr>
          <w:rStyle w:val="FootnoteReference"/>
          <w:rFonts w:ascii="Times New Roman" w:hAnsi="Times New Roman" w:cs="Times New Roman"/>
        </w:rPr>
        <w:footnoteReference w:id="6"/>
      </w:r>
      <w:r w:rsidR="00E63C5E" w:rsidRPr="00B66E0D">
        <w:rPr>
          <w:rFonts w:ascii="Times New Roman" w:hAnsi="Times New Roman" w:cs="Times New Roman"/>
        </w:rPr>
        <w:t xml:space="preserve"> After their examination of the outages, which involved reviewing 15 years of data, Con Ed determined that a flawed connection between its sensors and protective relays caused the outage.</w:t>
      </w:r>
      <w:r w:rsidR="00E63C5E" w:rsidRPr="00B66E0D">
        <w:rPr>
          <w:rStyle w:val="FootnoteReference"/>
          <w:rFonts w:ascii="Times New Roman" w:hAnsi="Times New Roman" w:cs="Times New Roman"/>
        </w:rPr>
        <w:footnoteReference w:id="7"/>
      </w:r>
      <w:r w:rsidR="00E63C5E" w:rsidRPr="00B66E0D">
        <w:rPr>
          <w:rFonts w:ascii="Times New Roman" w:hAnsi="Times New Roman" w:cs="Times New Roman"/>
        </w:rPr>
        <w:t xml:space="preserve"> </w:t>
      </w:r>
    </w:p>
    <w:p w:rsidR="00E63C5E" w:rsidRPr="00B66E0D" w:rsidRDefault="00E63C5E" w:rsidP="00B66E0D">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sidRPr="00B66E0D">
        <w:rPr>
          <w:rFonts w:ascii="Times New Roman" w:hAnsi="Times New Roman" w:cs="Times New Roman"/>
        </w:rPr>
        <w:t xml:space="preserve">Within a day of the Manhattan outages, </w:t>
      </w:r>
      <w:r w:rsidR="004C6005">
        <w:rPr>
          <w:rFonts w:ascii="Times New Roman" w:hAnsi="Times New Roman" w:cs="Times New Roman"/>
        </w:rPr>
        <w:t xml:space="preserve">a number of </w:t>
      </w:r>
      <w:r w:rsidRPr="00B66E0D">
        <w:rPr>
          <w:rFonts w:ascii="Times New Roman" w:hAnsi="Times New Roman" w:cs="Times New Roman"/>
        </w:rPr>
        <w:t xml:space="preserve">customers on Staten Island were also hit with blackouts. The first </w:t>
      </w:r>
      <w:r w:rsidR="00C66A4F">
        <w:rPr>
          <w:rFonts w:ascii="Times New Roman" w:hAnsi="Times New Roman" w:cs="Times New Roman"/>
        </w:rPr>
        <w:t>left</w:t>
      </w:r>
      <w:r w:rsidR="00C66A4F" w:rsidRPr="00B66E0D">
        <w:rPr>
          <w:rFonts w:ascii="Times New Roman" w:hAnsi="Times New Roman" w:cs="Times New Roman"/>
        </w:rPr>
        <w:t xml:space="preserve"> </w:t>
      </w:r>
      <w:r w:rsidRPr="00B66E0D">
        <w:rPr>
          <w:rFonts w:ascii="Times New Roman" w:hAnsi="Times New Roman" w:cs="Times New Roman"/>
        </w:rPr>
        <w:t>more than 1,300 residents in West Brighton without power.</w:t>
      </w:r>
      <w:r w:rsidRPr="00B66E0D">
        <w:rPr>
          <w:rStyle w:val="FootnoteReference"/>
          <w:rFonts w:ascii="Times New Roman" w:hAnsi="Times New Roman" w:cs="Times New Roman"/>
        </w:rPr>
        <w:footnoteReference w:id="8"/>
      </w:r>
      <w:r w:rsidR="00F8674C" w:rsidRPr="00B66E0D">
        <w:rPr>
          <w:rFonts w:ascii="Times New Roman" w:hAnsi="Times New Roman" w:cs="Times New Roman"/>
        </w:rPr>
        <w:t xml:space="preserve"> Two days later, after a fire erupted at a Con Ed substation, parts of Staten Island were again </w:t>
      </w:r>
      <w:r w:rsidR="004C6005">
        <w:rPr>
          <w:rFonts w:ascii="Times New Roman" w:hAnsi="Times New Roman" w:cs="Times New Roman"/>
        </w:rPr>
        <w:t>disrupted by</w:t>
      </w:r>
      <w:r w:rsidR="00F8674C" w:rsidRPr="00B66E0D">
        <w:rPr>
          <w:rFonts w:ascii="Times New Roman" w:hAnsi="Times New Roman" w:cs="Times New Roman"/>
        </w:rPr>
        <w:t xml:space="preserve"> outages. About 2,200 customers in parts of the East and South shores lost power at about 5pm</w:t>
      </w:r>
      <w:r w:rsidR="004C6005">
        <w:rPr>
          <w:rFonts w:ascii="Times New Roman" w:hAnsi="Times New Roman" w:cs="Times New Roman"/>
        </w:rPr>
        <w:t xml:space="preserve"> on July 1</w:t>
      </w:r>
      <w:r w:rsidR="00D32112">
        <w:rPr>
          <w:rFonts w:ascii="Times New Roman" w:hAnsi="Times New Roman" w:cs="Times New Roman"/>
        </w:rPr>
        <w:t>6</w:t>
      </w:r>
      <w:r w:rsidR="00F8674C" w:rsidRPr="00B66E0D">
        <w:rPr>
          <w:rFonts w:ascii="Times New Roman" w:hAnsi="Times New Roman" w:cs="Times New Roman"/>
        </w:rPr>
        <w:t xml:space="preserve"> and </w:t>
      </w:r>
      <w:r w:rsidR="004C6005">
        <w:rPr>
          <w:rFonts w:ascii="Times New Roman" w:hAnsi="Times New Roman" w:cs="Times New Roman"/>
        </w:rPr>
        <w:t xml:space="preserve">remained without </w:t>
      </w:r>
      <w:r w:rsidR="00F8674C" w:rsidRPr="00B66E0D">
        <w:rPr>
          <w:rFonts w:ascii="Times New Roman" w:hAnsi="Times New Roman" w:cs="Times New Roman"/>
        </w:rPr>
        <w:t xml:space="preserve">electricity </w:t>
      </w:r>
      <w:r w:rsidR="004C6005">
        <w:rPr>
          <w:rFonts w:ascii="Times New Roman" w:hAnsi="Times New Roman" w:cs="Times New Roman"/>
        </w:rPr>
        <w:t xml:space="preserve">for approximately </w:t>
      </w:r>
      <w:r w:rsidR="00F8674C" w:rsidRPr="00B66E0D">
        <w:rPr>
          <w:rFonts w:ascii="Times New Roman" w:hAnsi="Times New Roman" w:cs="Times New Roman"/>
        </w:rPr>
        <w:t>12 hours</w:t>
      </w:r>
      <w:r w:rsidR="00D32112">
        <w:rPr>
          <w:rFonts w:ascii="Times New Roman" w:hAnsi="Times New Roman" w:cs="Times New Roman"/>
        </w:rPr>
        <w:t>.</w:t>
      </w:r>
      <w:r w:rsidR="00F8674C" w:rsidRPr="00B66E0D">
        <w:rPr>
          <w:rStyle w:val="FootnoteReference"/>
          <w:rFonts w:ascii="Times New Roman" w:hAnsi="Times New Roman" w:cs="Times New Roman"/>
        </w:rPr>
        <w:footnoteReference w:id="9"/>
      </w:r>
      <w:r w:rsidR="00F8674C" w:rsidRPr="00B66E0D">
        <w:rPr>
          <w:rFonts w:ascii="Times New Roman" w:hAnsi="Times New Roman" w:cs="Times New Roman"/>
        </w:rPr>
        <w:t xml:space="preserve"> However, </w:t>
      </w:r>
      <w:r w:rsidR="004C6005">
        <w:rPr>
          <w:rFonts w:ascii="Times New Roman" w:hAnsi="Times New Roman" w:cs="Times New Roman"/>
        </w:rPr>
        <w:t>additional</w:t>
      </w:r>
      <w:r w:rsidR="00F8674C" w:rsidRPr="00B66E0D">
        <w:rPr>
          <w:rFonts w:ascii="Times New Roman" w:hAnsi="Times New Roman" w:cs="Times New Roman"/>
        </w:rPr>
        <w:t xml:space="preserve"> residents reported spotty service during this time where some rooms in their house had power while others did not.</w:t>
      </w:r>
      <w:r w:rsidR="00F8674C" w:rsidRPr="00B66E0D">
        <w:rPr>
          <w:rStyle w:val="FootnoteReference"/>
          <w:rFonts w:ascii="Times New Roman" w:hAnsi="Times New Roman" w:cs="Times New Roman"/>
        </w:rPr>
        <w:footnoteReference w:id="10"/>
      </w:r>
      <w:r w:rsidR="00F8674C" w:rsidRPr="00B66E0D">
        <w:rPr>
          <w:rFonts w:ascii="Times New Roman" w:hAnsi="Times New Roman" w:cs="Times New Roman"/>
        </w:rPr>
        <w:t xml:space="preserve"> Hours after the power was restored to the East and South Shores, nearly 4,000 customers in </w:t>
      </w:r>
      <w:r w:rsidR="000225BE" w:rsidRPr="00B66E0D">
        <w:rPr>
          <w:rFonts w:ascii="Times New Roman" w:hAnsi="Times New Roman" w:cs="Times New Roman"/>
        </w:rPr>
        <w:t>the New Dorp neighborhood of Staten Island lost power because of Con Ed equipment failure. Traffic signals were out and power was not restored until later that evening.</w:t>
      </w:r>
      <w:r w:rsidR="000225BE" w:rsidRPr="00B66E0D">
        <w:rPr>
          <w:rStyle w:val="FootnoteReference"/>
          <w:rFonts w:ascii="Times New Roman" w:hAnsi="Times New Roman" w:cs="Times New Roman"/>
        </w:rPr>
        <w:footnoteReference w:id="11"/>
      </w:r>
      <w:r w:rsidR="000225BE" w:rsidRPr="00B66E0D">
        <w:rPr>
          <w:rFonts w:ascii="Times New Roman" w:hAnsi="Times New Roman" w:cs="Times New Roman"/>
        </w:rPr>
        <w:t xml:space="preserve"> Parts of that neighborhood had already experienced blackouts that day, which affected about 400 customers, while more than 500 residents of Stapleton were also left without power because of </w:t>
      </w:r>
      <w:r w:rsidR="004B4B0E" w:rsidRPr="00B66E0D">
        <w:rPr>
          <w:rFonts w:ascii="Times New Roman" w:hAnsi="Times New Roman" w:cs="Times New Roman"/>
        </w:rPr>
        <w:t>equipment</w:t>
      </w:r>
      <w:r w:rsidR="000225BE" w:rsidRPr="00B66E0D">
        <w:rPr>
          <w:rFonts w:ascii="Times New Roman" w:hAnsi="Times New Roman" w:cs="Times New Roman"/>
        </w:rPr>
        <w:t xml:space="preserve"> failure.</w:t>
      </w:r>
      <w:r w:rsidR="000225BE" w:rsidRPr="00B66E0D">
        <w:rPr>
          <w:rStyle w:val="FootnoteReference"/>
          <w:rFonts w:ascii="Times New Roman" w:hAnsi="Times New Roman" w:cs="Times New Roman"/>
        </w:rPr>
        <w:footnoteReference w:id="12"/>
      </w:r>
    </w:p>
    <w:p w:rsidR="006B3074" w:rsidRPr="00B66E0D" w:rsidRDefault="004B4B0E" w:rsidP="00B66E0D">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sidRPr="00B66E0D">
        <w:rPr>
          <w:rFonts w:ascii="Times New Roman" w:hAnsi="Times New Roman" w:cs="Times New Roman"/>
        </w:rPr>
        <w:t>Days after the Manhattan outage, s</w:t>
      </w:r>
      <w:r w:rsidR="006B3074" w:rsidRPr="00B66E0D">
        <w:rPr>
          <w:rFonts w:ascii="Times New Roman" w:hAnsi="Times New Roman" w:cs="Times New Roman"/>
        </w:rPr>
        <w:t xml:space="preserve">ummer storms </w:t>
      </w:r>
      <w:r w:rsidR="0085037A" w:rsidRPr="00B66E0D">
        <w:rPr>
          <w:rFonts w:ascii="Times New Roman" w:hAnsi="Times New Roman" w:cs="Times New Roman"/>
        </w:rPr>
        <w:t xml:space="preserve">caused </w:t>
      </w:r>
      <w:r w:rsidR="00C66A4F">
        <w:rPr>
          <w:rFonts w:ascii="Times New Roman" w:hAnsi="Times New Roman" w:cs="Times New Roman"/>
        </w:rPr>
        <w:t>intense rain and</w:t>
      </w:r>
      <w:r w:rsidR="0085037A" w:rsidRPr="00B66E0D">
        <w:rPr>
          <w:rFonts w:ascii="Times New Roman" w:hAnsi="Times New Roman" w:cs="Times New Roman"/>
        </w:rPr>
        <w:t xml:space="preserve"> </w:t>
      </w:r>
      <w:r w:rsidRPr="00B66E0D">
        <w:rPr>
          <w:rFonts w:ascii="Times New Roman" w:hAnsi="Times New Roman" w:cs="Times New Roman"/>
        </w:rPr>
        <w:t>sweltering</w:t>
      </w:r>
      <w:r w:rsidR="0085037A" w:rsidRPr="00B66E0D">
        <w:rPr>
          <w:rFonts w:ascii="Times New Roman" w:hAnsi="Times New Roman" w:cs="Times New Roman"/>
        </w:rPr>
        <w:t xml:space="preserve"> heat. As more </w:t>
      </w:r>
      <w:r w:rsidR="004C6005">
        <w:rPr>
          <w:rFonts w:ascii="Times New Roman" w:hAnsi="Times New Roman" w:cs="Times New Roman"/>
        </w:rPr>
        <w:t>residents relied on their air conditioners</w:t>
      </w:r>
      <w:r w:rsidR="0085037A" w:rsidRPr="00B66E0D">
        <w:rPr>
          <w:rFonts w:ascii="Times New Roman" w:hAnsi="Times New Roman" w:cs="Times New Roman"/>
        </w:rPr>
        <w:t>, pressure on the grid increased, causing</w:t>
      </w:r>
      <w:r w:rsidR="006B3074" w:rsidRPr="00B66E0D">
        <w:rPr>
          <w:rFonts w:ascii="Times New Roman" w:hAnsi="Times New Roman" w:cs="Times New Roman"/>
        </w:rPr>
        <w:t xml:space="preserve"> a number of manhole fires across Queens and Brooklyn. </w:t>
      </w:r>
      <w:r w:rsidR="0085037A" w:rsidRPr="00B66E0D">
        <w:rPr>
          <w:rFonts w:ascii="Times New Roman" w:hAnsi="Times New Roman" w:cs="Times New Roman"/>
        </w:rPr>
        <w:t>The manhole fires “were all caused by the rain or overheating wires below the ground.”</w:t>
      </w:r>
      <w:r w:rsidR="0085037A" w:rsidRPr="00B66E0D">
        <w:rPr>
          <w:rStyle w:val="FootnoteReference"/>
          <w:rFonts w:ascii="Times New Roman" w:hAnsi="Times New Roman" w:cs="Times New Roman"/>
        </w:rPr>
        <w:footnoteReference w:id="13"/>
      </w:r>
      <w:r w:rsidR="0085037A" w:rsidRPr="00B66E0D">
        <w:rPr>
          <w:rFonts w:ascii="Times New Roman" w:hAnsi="Times New Roman" w:cs="Times New Roman"/>
        </w:rPr>
        <w:t xml:space="preserve"> </w:t>
      </w:r>
      <w:r w:rsidR="006B3074" w:rsidRPr="00B66E0D">
        <w:rPr>
          <w:rFonts w:ascii="Times New Roman" w:hAnsi="Times New Roman" w:cs="Times New Roman"/>
        </w:rPr>
        <w:t>This resulted in both a loss of power and the evacuation of some buildings due to high carbon monoxide readings.</w:t>
      </w:r>
      <w:r w:rsidR="006B3074" w:rsidRPr="00B66E0D">
        <w:rPr>
          <w:rStyle w:val="FootnoteReference"/>
          <w:rFonts w:ascii="Times New Roman" w:hAnsi="Times New Roman" w:cs="Times New Roman"/>
        </w:rPr>
        <w:footnoteReference w:id="14"/>
      </w:r>
      <w:r w:rsidR="006B3074" w:rsidRPr="00B66E0D">
        <w:rPr>
          <w:rFonts w:ascii="Times New Roman" w:hAnsi="Times New Roman" w:cs="Times New Roman"/>
        </w:rPr>
        <w:t xml:space="preserve"> East Elmhurst in Queens was affected by a transformer catching fire </w:t>
      </w:r>
      <w:r w:rsidR="004C6005">
        <w:rPr>
          <w:rFonts w:ascii="Times New Roman" w:hAnsi="Times New Roman" w:cs="Times New Roman"/>
        </w:rPr>
        <w:t xml:space="preserve">leading to </w:t>
      </w:r>
      <w:r w:rsidR="006B3074" w:rsidRPr="00B66E0D">
        <w:rPr>
          <w:rFonts w:ascii="Times New Roman" w:hAnsi="Times New Roman" w:cs="Times New Roman"/>
        </w:rPr>
        <w:t xml:space="preserve">a manhole fire, while outages in the Bronx </w:t>
      </w:r>
      <w:r w:rsidR="00C66A4F" w:rsidRPr="00B66E0D">
        <w:rPr>
          <w:rFonts w:ascii="Times New Roman" w:hAnsi="Times New Roman" w:cs="Times New Roman"/>
        </w:rPr>
        <w:t>w</w:t>
      </w:r>
      <w:r w:rsidR="00C66A4F">
        <w:rPr>
          <w:rFonts w:ascii="Times New Roman" w:hAnsi="Times New Roman" w:cs="Times New Roman"/>
        </w:rPr>
        <w:t>ere</w:t>
      </w:r>
      <w:r w:rsidR="00C66A4F" w:rsidRPr="00B66E0D">
        <w:rPr>
          <w:rFonts w:ascii="Times New Roman" w:hAnsi="Times New Roman" w:cs="Times New Roman"/>
        </w:rPr>
        <w:t xml:space="preserve"> </w:t>
      </w:r>
      <w:r w:rsidR="006B3074" w:rsidRPr="00B66E0D">
        <w:rPr>
          <w:rFonts w:ascii="Times New Roman" w:hAnsi="Times New Roman" w:cs="Times New Roman"/>
        </w:rPr>
        <w:t>caused by a feeder cable issue.</w:t>
      </w:r>
      <w:r w:rsidR="006B3074" w:rsidRPr="00B66E0D">
        <w:rPr>
          <w:rStyle w:val="FootnoteReference"/>
          <w:rFonts w:ascii="Times New Roman" w:hAnsi="Times New Roman" w:cs="Times New Roman"/>
        </w:rPr>
        <w:footnoteReference w:id="15"/>
      </w:r>
    </w:p>
    <w:p w:rsidR="00872863" w:rsidRPr="00B66E0D" w:rsidRDefault="004B4B0E" w:rsidP="00B66E0D">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sidRPr="00B66E0D">
        <w:rPr>
          <w:rFonts w:ascii="Times New Roman" w:hAnsi="Times New Roman" w:cs="Times New Roman"/>
        </w:rPr>
        <w:t xml:space="preserve">On the weekend of July 20, </w:t>
      </w:r>
      <w:r w:rsidR="00647AB7" w:rsidRPr="00B66E0D">
        <w:rPr>
          <w:rFonts w:ascii="Times New Roman" w:hAnsi="Times New Roman" w:cs="Times New Roman"/>
        </w:rPr>
        <w:t>two</w:t>
      </w:r>
      <w:r w:rsidR="00C66A4F">
        <w:rPr>
          <w:rFonts w:ascii="Times New Roman" w:hAnsi="Times New Roman" w:cs="Times New Roman"/>
        </w:rPr>
        <w:t>-</w:t>
      </w:r>
      <w:r w:rsidR="00647AB7" w:rsidRPr="00B66E0D">
        <w:rPr>
          <w:rFonts w:ascii="Times New Roman" w:hAnsi="Times New Roman" w:cs="Times New Roman"/>
        </w:rPr>
        <w:t xml:space="preserve">thirds of the </w:t>
      </w:r>
      <w:r w:rsidR="001E004E">
        <w:rPr>
          <w:rFonts w:ascii="Times New Roman" w:hAnsi="Times New Roman" w:cs="Times New Roman"/>
        </w:rPr>
        <w:t>c</w:t>
      </w:r>
      <w:r w:rsidR="00647AB7" w:rsidRPr="00B66E0D">
        <w:rPr>
          <w:rFonts w:ascii="Times New Roman" w:hAnsi="Times New Roman" w:cs="Times New Roman"/>
        </w:rPr>
        <w:t>ountry were bracing themselves for a severe heat wave. The Weather Service issued heat advisories for numerous regions, as temperatures were expected to go above 100 degrees Fahrenheit.</w:t>
      </w:r>
      <w:r w:rsidR="00647AB7" w:rsidRPr="00B66E0D">
        <w:rPr>
          <w:rStyle w:val="FootnoteReference"/>
          <w:rFonts w:ascii="Times New Roman" w:hAnsi="Times New Roman" w:cs="Times New Roman"/>
        </w:rPr>
        <w:footnoteReference w:id="16"/>
      </w:r>
      <w:r w:rsidR="00647AB7" w:rsidRPr="00B66E0D">
        <w:rPr>
          <w:rFonts w:ascii="Times New Roman" w:hAnsi="Times New Roman" w:cs="Times New Roman"/>
        </w:rPr>
        <w:t xml:space="preserve"> In New York City, which was also experiencing high humidity, the temperature was expected to feel above 100 degrees.</w:t>
      </w:r>
      <w:r w:rsidR="00647AB7" w:rsidRPr="00B66E0D">
        <w:rPr>
          <w:rStyle w:val="FootnoteReference"/>
          <w:rFonts w:ascii="Times New Roman" w:hAnsi="Times New Roman" w:cs="Times New Roman"/>
        </w:rPr>
        <w:footnoteReference w:id="17"/>
      </w:r>
      <w:r w:rsidR="00B253F4" w:rsidRPr="00B66E0D">
        <w:rPr>
          <w:rFonts w:ascii="Times New Roman" w:hAnsi="Times New Roman" w:cs="Times New Roman"/>
        </w:rPr>
        <w:t xml:space="preserve"> At least six deaths were attributed to the heatwave in other states and, as a preca</w:t>
      </w:r>
      <w:r w:rsidR="001762E0" w:rsidRPr="00B66E0D">
        <w:rPr>
          <w:rFonts w:ascii="Times New Roman" w:hAnsi="Times New Roman" w:cs="Times New Roman"/>
        </w:rPr>
        <w:t>ution, New York City canceled bo</w:t>
      </w:r>
      <w:r w:rsidR="00B253F4" w:rsidRPr="00B66E0D">
        <w:rPr>
          <w:rFonts w:ascii="Times New Roman" w:hAnsi="Times New Roman" w:cs="Times New Roman"/>
        </w:rPr>
        <w:t>th the OZY Fest in Central Park and the NYC Triathlon.</w:t>
      </w:r>
      <w:r w:rsidR="00B253F4" w:rsidRPr="00B66E0D">
        <w:rPr>
          <w:rStyle w:val="FootnoteReference"/>
          <w:rFonts w:ascii="Times New Roman" w:hAnsi="Times New Roman" w:cs="Times New Roman"/>
        </w:rPr>
        <w:footnoteReference w:id="18"/>
      </w:r>
      <w:r w:rsidR="001762E0" w:rsidRPr="00B66E0D">
        <w:rPr>
          <w:rFonts w:ascii="Times New Roman" w:hAnsi="Times New Roman" w:cs="Times New Roman"/>
        </w:rPr>
        <w:t xml:space="preserve"> </w:t>
      </w:r>
    </w:p>
    <w:p w:rsidR="004B4B0E" w:rsidRPr="00B66E0D" w:rsidRDefault="001762E0" w:rsidP="00B66E0D">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sidRPr="00B66E0D">
        <w:rPr>
          <w:rFonts w:ascii="Times New Roman" w:hAnsi="Times New Roman" w:cs="Times New Roman"/>
        </w:rPr>
        <w:t>In the early evening of Sunday</w:t>
      </w:r>
      <w:r w:rsidR="005C019A" w:rsidRPr="00B66E0D">
        <w:rPr>
          <w:rFonts w:ascii="Times New Roman" w:hAnsi="Times New Roman" w:cs="Times New Roman"/>
        </w:rPr>
        <w:t xml:space="preserve">, July 21, 2019, temperatures rose to </w:t>
      </w:r>
      <w:r w:rsidRPr="00B66E0D">
        <w:rPr>
          <w:rFonts w:ascii="Times New Roman" w:hAnsi="Times New Roman" w:cs="Times New Roman"/>
        </w:rPr>
        <w:t>102 degrees</w:t>
      </w:r>
      <w:r w:rsidR="00C66A4F">
        <w:rPr>
          <w:rFonts w:ascii="Times New Roman" w:hAnsi="Times New Roman" w:cs="Times New Roman"/>
        </w:rPr>
        <w:t xml:space="preserve"> Fa</w:t>
      </w:r>
      <w:r w:rsidR="002A5412">
        <w:rPr>
          <w:rFonts w:ascii="Times New Roman" w:hAnsi="Times New Roman" w:cs="Times New Roman"/>
        </w:rPr>
        <w:t>h</w:t>
      </w:r>
      <w:r w:rsidR="00C66A4F">
        <w:rPr>
          <w:rFonts w:ascii="Times New Roman" w:hAnsi="Times New Roman" w:cs="Times New Roman"/>
        </w:rPr>
        <w:t>renheit and</w:t>
      </w:r>
      <w:r w:rsidRPr="00B66E0D">
        <w:rPr>
          <w:rFonts w:ascii="Times New Roman" w:hAnsi="Times New Roman" w:cs="Times New Roman"/>
        </w:rPr>
        <w:t xml:space="preserve"> parts of New York City began losing power.</w:t>
      </w:r>
      <w:r w:rsidR="00872863" w:rsidRPr="00B66E0D">
        <w:rPr>
          <w:rStyle w:val="FootnoteReference"/>
          <w:rFonts w:ascii="Times New Roman" w:hAnsi="Times New Roman" w:cs="Times New Roman"/>
        </w:rPr>
        <w:footnoteReference w:id="19"/>
      </w:r>
      <w:r w:rsidRPr="00B66E0D">
        <w:rPr>
          <w:rFonts w:ascii="Times New Roman" w:hAnsi="Times New Roman" w:cs="Times New Roman"/>
        </w:rPr>
        <w:t xml:space="preserve"> </w:t>
      </w:r>
      <w:r w:rsidR="00872863" w:rsidRPr="00B66E0D">
        <w:rPr>
          <w:rFonts w:ascii="Times New Roman" w:hAnsi="Times New Roman" w:cs="Times New Roman"/>
        </w:rPr>
        <w:t>The largest blackouts were in Flushing and Richmond Hill in Queens, Park Slope, Flatbush and Brighton Beach in Brooklyn, and Lincoln Square in Manhattan. Smaller outages were also recorded in parts of the Bronx and Staten Island.</w:t>
      </w:r>
      <w:r w:rsidR="00872863" w:rsidRPr="00B66E0D">
        <w:rPr>
          <w:rStyle w:val="FootnoteReference"/>
          <w:rFonts w:ascii="Times New Roman" w:hAnsi="Times New Roman" w:cs="Times New Roman"/>
        </w:rPr>
        <w:footnoteReference w:id="20"/>
      </w:r>
      <w:r w:rsidR="00872863" w:rsidRPr="00B66E0D">
        <w:rPr>
          <w:rFonts w:ascii="Times New Roman" w:hAnsi="Times New Roman" w:cs="Times New Roman"/>
        </w:rPr>
        <w:t xml:space="preserve"> </w:t>
      </w:r>
      <w:r w:rsidR="00655DE0">
        <w:rPr>
          <w:rFonts w:ascii="Times New Roman" w:hAnsi="Times New Roman" w:cs="Times New Roman"/>
        </w:rPr>
        <w:t xml:space="preserve">In total, approximately </w:t>
      </w:r>
      <w:r w:rsidR="00872863" w:rsidRPr="00B66E0D">
        <w:rPr>
          <w:rFonts w:ascii="Times New Roman" w:hAnsi="Times New Roman" w:cs="Times New Roman"/>
        </w:rPr>
        <w:t xml:space="preserve">10,000 customers were </w:t>
      </w:r>
      <w:r w:rsidR="00C66A4F">
        <w:rPr>
          <w:rFonts w:ascii="Times New Roman" w:hAnsi="Times New Roman" w:cs="Times New Roman"/>
        </w:rPr>
        <w:t>a</w:t>
      </w:r>
      <w:r w:rsidR="00C66A4F" w:rsidRPr="00B66E0D">
        <w:rPr>
          <w:rFonts w:ascii="Times New Roman" w:hAnsi="Times New Roman" w:cs="Times New Roman"/>
        </w:rPr>
        <w:t>ffected</w:t>
      </w:r>
      <w:r w:rsidR="00C66A4F">
        <w:rPr>
          <w:rFonts w:ascii="Times New Roman" w:hAnsi="Times New Roman" w:cs="Times New Roman"/>
        </w:rPr>
        <w:t xml:space="preserve"> across the five boroughs</w:t>
      </w:r>
      <w:r w:rsidR="00872863" w:rsidRPr="00B66E0D">
        <w:rPr>
          <w:rFonts w:ascii="Times New Roman" w:hAnsi="Times New Roman" w:cs="Times New Roman"/>
        </w:rPr>
        <w:t>.</w:t>
      </w:r>
      <w:r w:rsidR="00872863" w:rsidRPr="00B66E0D">
        <w:rPr>
          <w:rStyle w:val="FootnoteReference"/>
          <w:rFonts w:ascii="Times New Roman" w:hAnsi="Times New Roman" w:cs="Times New Roman"/>
        </w:rPr>
        <w:footnoteReference w:id="21"/>
      </w:r>
    </w:p>
    <w:p w:rsidR="00E62450" w:rsidRPr="00B66E0D" w:rsidRDefault="00E62450" w:rsidP="00B66E0D">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sidRPr="00B66E0D">
        <w:rPr>
          <w:rFonts w:ascii="Times New Roman" w:hAnsi="Times New Roman" w:cs="Times New Roman"/>
        </w:rPr>
        <w:t>During that Sunday, electricity supply also reach</w:t>
      </w:r>
      <w:r w:rsidR="00CA2DC8">
        <w:rPr>
          <w:rFonts w:ascii="Times New Roman" w:hAnsi="Times New Roman" w:cs="Times New Roman"/>
        </w:rPr>
        <w:t>ed</w:t>
      </w:r>
      <w:r w:rsidRPr="00B66E0D">
        <w:rPr>
          <w:rFonts w:ascii="Times New Roman" w:hAnsi="Times New Roman" w:cs="Times New Roman"/>
        </w:rPr>
        <w:t xml:space="preserve"> a record output – 12,048 megawatts of power between 4pm and 5pm, </w:t>
      </w:r>
      <w:r w:rsidR="00655DE0">
        <w:rPr>
          <w:rFonts w:ascii="Times New Roman" w:hAnsi="Times New Roman" w:cs="Times New Roman"/>
        </w:rPr>
        <w:t xml:space="preserve">higher than </w:t>
      </w:r>
      <w:r w:rsidRPr="00B66E0D">
        <w:rPr>
          <w:rFonts w:ascii="Times New Roman" w:hAnsi="Times New Roman" w:cs="Times New Roman"/>
        </w:rPr>
        <w:t>the</w:t>
      </w:r>
      <w:r w:rsidR="00655DE0">
        <w:rPr>
          <w:rFonts w:ascii="Times New Roman" w:hAnsi="Times New Roman" w:cs="Times New Roman"/>
        </w:rPr>
        <w:t xml:space="preserve"> previous</w:t>
      </w:r>
      <w:r w:rsidRPr="00B66E0D">
        <w:rPr>
          <w:rFonts w:ascii="Times New Roman" w:hAnsi="Times New Roman" w:cs="Times New Roman"/>
        </w:rPr>
        <w:t xml:space="preserve"> 2016 record of 11,855 megawatts.</w:t>
      </w:r>
      <w:r w:rsidRPr="00B66E0D">
        <w:rPr>
          <w:rStyle w:val="FootnoteReference"/>
          <w:rFonts w:ascii="Times New Roman" w:hAnsi="Times New Roman" w:cs="Times New Roman"/>
        </w:rPr>
        <w:footnoteReference w:id="22"/>
      </w:r>
      <w:r w:rsidR="005C019A" w:rsidRPr="00B66E0D">
        <w:rPr>
          <w:rFonts w:ascii="Times New Roman" w:hAnsi="Times New Roman" w:cs="Times New Roman"/>
        </w:rPr>
        <w:t xml:space="preserve"> To cope with the increased demand</w:t>
      </w:r>
      <w:r w:rsidR="00BA457B" w:rsidRPr="00B66E0D">
        <w:rPr>
          <w:rFonts w:ascii="Times New Roman" w:hAnsi="Times New Roman" w:cs="Times New Roman"/>
        </w:rPr>
        <w:t>, attend to repairs</w:t>
      </w:r>
      <w:r w:rsidR="005C019A" w:rsidRPr="00B66E0D">
        <w:rPr>
          <w:rFonts w:ascii="Times New Roman" w:hAnsi="Times New Roman" w:cs="Times New Roman"/>
        </w:rPr>
        <w:t xml:space="preserve"> and prevent further outages, Con Ed </w:t>
      </w:r>
      <w:r w:rsidR="00BA457B" w:rsidRPr="00B66E0D">
        <w:rPr>
          <w:rFonts w:ascii="Times New Roman" w:hAnsi="Times New Roman" w:cs="Times New Roman"/>
        </w:rPr>
        <w:t xml:space="preserve">intentionally cut power to certain Brooklyn neighborhoods and reduced the power output in others. On the hottest day of the year, Con Ed cut power </w:t>
      </w:r>
      <w:r w:rsidR="00CA2DC8" w:rsidRPr="00B66E0D">
        <w:rPr>
          <w:rFonts w:ascii="Times New Roman" w:hAnsi="Times New Roman" w:cs="Times New Roman"/>
        </w:rPr>
        <w:t>t</w:t>
      </w:r>
      <w:r w:rsidR="00CA2DC8">
        <w:rPr>
          <w:rFonts w:ascii="Times New Roman" w:hAnsi="Times New Roman" w:cs="Times New Roman"/>
        </w:rPr>
        <w:t>o</w:t>
      </w:r>
      <w:r w:rsidR="00CA2DC8" w:rsidRPr="00B66E0D">
        <w:rPr>
          <w:rFonts w:ascii="Times New Roman" w:hAnsi="Times New Roman" w:cs="Times New Roman"/>
        </w:rPr>
        <w:t xml:space="preserve"> </w:t>
      </w:r>
      <w:r w:rsidR="00BA457B" w:rsidRPr="00B66E0D">
        <w:rPr>
          <w:rFonts w:ascii="Times New Roman" w:hAnsi="Times New Roman" w:cs="Times New Roman"/>
        </w:rPr>
        <w:t>30,000 customers in Canarsie, Mill Basin and Flatbush, and reduced voltage in Prospect Lefferts Gardens, Prospect Heights, Flatlands, Bergen Beach and Georgetown.</w:t>
      </w:r>
      <w:r w:rsidR="00BA457B" w:rsidRPr="00B66E0D">
        <w:rPr>
          <w:rStyle w:val="FootnoteReference"/>
          <w:rFonts w:ascii="Times New Roman" w:hAnsi="Times New Roman" w:cs="Times New Roman"/>
        </w:rPr>
        <w:footnoteReference w:id="23"/>
      </w:r>
      <w:r w:rsidR="00BA457B" w:rsidRPr="00B66E0D">
        <w:rPr>
          <w:rFonts w:ascii="Times New Roman" w:hAnsi="Times New Roman" w:cs="Times New Roman"/>
        </w:rPr>
        <w:t xml:space="preserve"> More than 6,000 customers across Brooklyn and Queens were still without power on the Tuesday morning, as a storm the previous day did further damage to the Con Ed electricity supply.</w:t>
      </w:r>
      <w:r w:rsidR="00BA457B" w:rsidRPr="00B66E0D">
        <w:rPr>
          <w:rStyle w:val="FootnoteReference"/>
          <w:rFonts w:ascii="Times New Roman" w:hAnsi="Times New Roman" w:cs="Times New Roman"/>
        </w:rPr>
        <w:footnoteReference w:id="24"/>
      </w:r>
      <w:r w:rsidR="006925E1" w:rsidRPr="00B66E0D">
        <w:rPr>
          <w:rFonts w:ascii="Times New Roman" w:hAnsi="Times New Roman" w:cs="Times New Roman"/>
        </w:rPr>
        <w:t xml:space="preserve"> </w:t>
      </w:r>
    </w:p>
    <w:p w:rsidR="008B6C20" w:rsidRPr="00B66E0D" w:rsidRDefault="00B2269C" w:rsidP="00B66E0D">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sidRPr="00B66E0D">
        <w:rPr>
          <w:rFonts w:ascii="Times New Roman" w:hAnsi="Times New Roman" w:cs="Times New Roman"/>
        </w:rPr>
        <w:t>In addition to the inconvenience</w:t>
      </w:r>
      <w:r w:rsidR="008B6C20" w:rsidRPr="00B66E0D">
        <w:rPr>
          <w:rFonts w:ascii="Times New Roman" w:hAnsi="Times New Roman" w:cs="Times New Roman"/>
        </w:rPr>
        <w:t xml:space="preserve"> of losing power, </w:t>
      </w:r>
      <w:r w:rsidRPr="00B66E0D">
        <w:rPr>
          <w:rFonts w:ascii="Times New Roman" w:hAnsi="Times New Roman" w:cs="Times New Roman"/>
        </w:rPr>
        <w:t xml:space="preserve">businesses in New York City faced hefty losses because they were unable to serve their customers without power. </w:t>
      </w:r>
      <w:r w:rsidR="00CA2DC8">
        <w:rPr>
          <w:rFonts w:ascii="Times New Roman" w:hAnsi="Times New Roman" w:cs="Times New Roman"/>
        </w:rPr>
        <w:t>C</w:t>
      </w:r>
      <w:r w:rsidR="007658DE" w:rsidRPr="00B66E0D">
        <w:rPr>
          <w:rFonts w:ascii="Times New Roman" w:hAnsi="Times New Roman" w:cs="Times New Roman"/>
        </w:rPr>
        <w:t xml:space="preserve">ancelled </w:t>
      </w:r>
      <w:r w:rsidR="00CA2DC8">
        <w:rPr>
          <w:rFonts w:ascii="Times New Roman" w:hAnsi="Times New Roman" w:cs="Times New Roman"/>
        </w:rPr>
        <w:t xml:space="preserve">Broadway </w:t>
      </w:r>
      <w:r w:rsidR="007658DE" w:rsidRPr="00B66E0D">
        <w:rPr>
          <w:rFonts w:ascii="Times New Roman" w:hAnsi="Times New Roman" w:cs="Times New Roman"/>
        </w:rPr>
        <w:t>shows cost the industry an estimated $3.5 million.</w:t>
      </w:r>
      <w:r w:rsidR="007658DE" w:rsidRPr="00B66E0D">
        <w:rPr>
          <w:rStyle w:val="FootnoteReference"/>
          <w:rFonts w:ascii="Times New Roman" w:hAnsi="Times New Roman" w:cs="Times New Roman"/>
        </w:rPr>
        <w:footnoteReference w:id="25"/>
      </w:r>
      <w:r w:rsidR="007658DE" w:rsidRPr="00B66E0D">
        <w:rPr>
          <w:rFonts w:ascii="Times New Roman" w:hAnsi="Times New Roman" w:cs="Times New Roman"/>
        </w:rPr>
        <w:t xml:space="preserve"> </w:t>
      </w:r>
      <w:r w:rsidR="00392907">
        <w:rPr>
          <w:rFonts w:ascii="Times New Roman" w:hAnsi="Times New Roman" w:cs="Times New Roman"/>
        </w:rPr>
        <w:t>The</w:t>
      </w:r>
      <w:r w:rsidR="007658DE" w:rsidRPr="00B66E0D">
        <w:rPr>
          <w:rFonts w:ascii="Times New Roman" w:hAnsi="Times New Roman" w:cs="Times New Roman"/>
        </w:rPr>
        <w:t xml:space="preserve"> outage</w:t>
      </w:r>
      <w:r w:rsidRPr="00B66E0D">
        <w:rPr>
          <w:rFonts w:ascii="Times New Roman" w:hAnsi="Times New Roman" w:cs="Times New Roman"/>
        </w:rPr>
        <w:t xml:space="preserve"> on July 13, a Saturday evening, </w:t>
      </w:r>
      <w:r w:rsidR="00BC2310">
        <w:rPr>
          <w:rFonts w:ascii="Times New Roman" w:hAnsi="Times New Roman" w:cs="Times New Roman"/>
        </w:rPr>
        <w:t xml:space="preserve">forced </w:t>
      </w:r>
      <w:r w:rsidR="00392907">
        <w:rPr>
          <w:rFonts w:ascii="Times New Roman" w:hAnsi="Times New Roman" w:cs="Times New Roman"/>
        </w:rPr>
        <w:t xml:space="preserve">many restaurants </w:t>
      </w:r>
      <w:r w:rsidRPr="00B66E0D">
        <w:rPr>
          <w:rFonts w:ascii="Times New Roman" w:hAnsi="Times New Roman" w:cs="Times New Roman"/>
        </w:rPr>
        <w:t xml:space="preserve">to close </w:t>
      </w:r>
      <w:r w:rsidR="00CA2DC8">
        <w:rPr>
          <w:rFonts w:ascii="Times New Roman" w:hAnsi="Times New Roman" w:cs="Times New Roman"/>
        </w:rPr>
        <w:t xml:space="preserve">or significantly reduce service </w:t>
      </w:r>
      <w:r w:rsidRPr="00B66E0D">
        <w:rPr>
          <w:rFonts w:ascii="Times New Roman" w:hAnsi="Times New Roman" w:cs="Times New Roman"/>
        </w:rPr>
        <w:t xml:space="preserve">on their busiest day. </w:t>
      </w:r>
      <w:r w:rsidR="007658DE" w:rsidRPr="00B66E0D">
        <w:rPr>
          <w:rFonts w:ascii="Times New Roman" w:hAnsi="Times New Roman" w:cs="Times New Roman"/>
        </w:rPr>
        <w:t>Manhattan s</w:t>
      </w:r>
      <w:r w:rsidRPr="00B66E0D">
        <w:rPr>
          <w:rFonts w:ascii="Times New Roman" w:hAnsi="Times New Roman" w:cs="Times New Roman"/>
        </w:rPr>
        <w:t>eafood restaurant Gloria reported that their sales were down 50 percent. Other restaurants had to close because they were unable to keep their food at safe temperatures.</w:t>
      </w:r>
      <w:r w:rsidRPr="00B66E0D">
        <w:rPr>
          <w:rStyle w:val="FootnoteReference"/>
          <w:rFonts w:ascii="Times New Roman" w:hAnsi="Times New Roman" w:cs="Times New Roman"/>
        </w:rPr>
        <w:footnoteReference w:id="26"/>
      </w:r>
      <w:r w:rsidRPr="00B66E0D">
        <w:rPr>
          <w:rFonts w:ascii="Times New Roman" w:hAnsi="Times New Roman" w:cs="Times New Roman"/>
        </w:rPr>
        <w:t xml:space="preserve"> Restaurants in Brooklyn faced similar pressures when they lost power over the heat wave weekend. </w:t>
      </w:r>
      <w:r w:rsidR="00AF3781" w:rsidRPr="00B66E0D">
        <w:rPr>
          <w:rFonts w:ascii="Times New Roman" w:hAnsi="Times New Roman" w:cs="Times New Roman"/>
        </w:rPr>
        <w:t>The owner of Dagan’s Pizza in Brooklyn, Dan Pando, explained that “[b]etween closing the stores early, to losing the product and the food, all the extra work and we needed to rent a special truck only to try to save some [of the food], it’s looking [like we lost] around twelve to fifteen thousand dollars”.</w:t>
      </w:r>
      <w:r w:rsidR="00AF3781" w:rsidRPr="00B66E0D">
        <w:rPr>
          <w:rStyle w:val="FootnoteReference"/>
          <w:rFonts w:ascii="Times New Roman" w:hAnsi="Times New Roman" w:cs="Times New Roman"/>
        </w:rPr>
        <w:footnoteReference w:id="27"/>
      </w:r>
      <w:r w:rsidR="00AF3781" w:rsidRPr="00B66E0D">
        <w:rPr>
          <w:rFonts w:ascii="Times New Roman" w:hAnsi="Times New Roman" w:cs="Times New Roman"/>
        </w:rPr>
        <w:t xml:space="preserve"> The Park Slope Food Coop </w:t>
      </w:r>
      <w:r w:rsidR="007B376A">
        <w:rPr>
          <w:rFonts w:ascii="Times New Roman" w:hAnsi="Times New Roman" w:cs="Times New Roman"/>
        </w:rPr>
        <w:t xml:space="preserve">experienced </w:t>
      </w:r>
      <w:r w:rsidR="00AF3781" w:rsidRPr="00B66E0D">
        <w:rPr>
          <w:rFonts w:ascii="Times New Roman" w:hAnsi="Times New Roman" w:cs="Times New Roman"/>
        </w:rPr>
        <w:t xml:space="preserve">both partial and full power failures on July 21 and July 29, which resulted in multiple days </w:t>
      </w:r>
      <w:r w:rsidR="007B376A">
        <w:rPr>
          <w:rFonts w:ascii="Times New Roman" w:hAnsi="Times New Roman" w:cs="Times New Roman"/>
        </w:rPr>
        <w:t xml:space="preserve">of </w:t>
      </w:r>
      <w:r w:rsidR="00AF3781" w:rsidRPr="00B66E0D">
        <w:rPr>
          <w:rFonts w:ascii="Times New Roman" w:hAnsi="Times New Roman" w:cs="Times New Roman"/>
        </w:rPr>
        <w:t>sell</w:t>
      </w:r>
      <w:r w:rsidR="007B376A">
        <w:rPr>
          <w:rFonts w:ascii="Times New Roman" w:hAnsi="Times New Roman" w:cs="Times New Roman"/>
        </w:rPr>
        <w:t xml:space="preserve">ing exclusively </w:t>
      </w:r>
      <w:r w:rsidR="00AF3781" w:rsidRPr="00B66E0D">
        <w:rPr>
          <w:rFonts w:ascii="Times New Roman" w:hAnsi="Times New Roman" w:cs="Times New Roman"/>
        </w:rPr>
        <w:t>nonperishable foods. The July 21</w:t>
      </w:r>
      <w:r w:rsidR="00AF3781" w:rsidRPr="00B66E0D">
        <w:rPr>
          <w:rFonts w:ascii="Times New Roman" w:hAnsi="Times New Roman" w:cs="Times New Roman"/>
          <w:vertAlign w:val="superscript"/>
        </w:rPr>
        <w:t>st</w:t>
      </w:r>
      <w:r w:rsidR="00AF3781" w:rsidRPr="00B66E0D">
        <w:rPr>
          <w:rFonts w:ascii="Times New Roman" w:hAnsi="Times New Roman" w:cs="Times New Roman"/>
        </w:rPr>
        <w:t xml:space="preserve"> outage, which was caused by a transformer fire, resulted in a partial power loss, but full power was not restored until two days later.</w:t>
      </w:r>
      <w:r w:rsidR="00AF3781" w:rsidRPr="00B66E0D">
        <w:rPr>
          <w:rStyle w:val="FootnoteReference"/>
          <w:rFonts w:ascii="Times New Roman" w:hAnsi="Times New Roman" w:cs="Times New Roman"/>
        </w:rPr>
        <w:footnoteReference w:id="28"/>
      </w:r>
      <w:r w:rsidR="00AF3781" w:rsidRPr="00B66E0D">
        <w:rPr>
          <w:rFonts w:ascii="Times New Roman" w:hAnsi="Times New Roman" w:cs="Times New Roman"/>
        </w:rPr>
        <w:t xml:space="preserve"> </w:t>
      </w:r>
    </w:p>
    <w:p w:rsidR="00E67423" w:rsidRPr="00B66E0D" w:rsidRDefault="00E67423" w:rsidP="00B66E0D">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sidRPr="00B66E0D">
        <w:rPr>
          <w:rFonts w:ascii="Times New Roman" w:hAnsi="Times New Roman" w:cs="Times New Roman"/>
        </w:rPr>
        <w:t>Although residential and commercial customers are able to submit claims for reimbursement from Con Ed for food spoilage costs, there are limits. For instance, residential customer</w:t>
      </w:r>
      <w:r w:rsidR="00CA2DC8">
        <w:rPr>
          <w:rFonts w:ascii="Times New Roman" w:hAnsi="Times New Roman" w:cs="Times New Roman"/>
        </w:rPr>
        <w:t>s</w:t>
      </w:r>
      <w:r w:rsidRPr="00B66E0D">
        <w:rPr>
          <w:rFonts w:ascii="Times New Roman" w:hAnsi="Times New Roman" w:cs="Times New Roman"/>
        </w:rPr>
        <w:t xml:space="preserve"> </w:t>
      </w:r>
      <w:r w:rsidR="00CA2DC8">
        <w:rPr>
          <w:rFonts w:ascii="Times New Roman" w:hAnsi="Times New Roman" w:cs="Times New Roman"/>
        </w:rPr>
        <w:t>are</w:t>
      </w:r>
      <w:r w:rsidR="00CA2DC8" w:rsidRPr="00B66E0D">
        <w:rPr>
          <w:rFonts w:ascii="Times New Roman" w:hAnsi="Times New Roman" w:cs="Times New Roman"/>
        </w:rPr>
        <w:t xml:space="preserve"> </w:t>
      </w:r>
      <w:r w:rsidRPr="00B66E0D">
        <w:rPr>
          <w:rFonts w:ascii="Times New Roman" w:hAnsi="Times New Roman" w:cs="Times New Roman"/>
        </w:rPr>
        <w:t>limited to claiming up to $515</w:t>
      </w:r>
      <w:r w:rsidRPr="00B66E0D">
        <w:rPr>
          <w:rStyle w:val="FootnoteReference"/>
          <w:rFonts w:ascii="Times New Roman" w:hAnsi="Times New Roman" w:cs="Times New Roman"/>
        </w:rPr>
        <w:footnoteReference w:id="29"/>
      </w:r>
      <w:r w:rsidRPr="00B66E0D">
        <w:rPr>
          <w:rFonts w:ascii="Times New Roman" w:hAnsi="Times New Roman" w:cs="Times New Roman"/>
        </w:rPr>
        <w:t xml:space="preserve"> for their food losses while a commercial customer is limited to $10,200.</w:t>
      </w:r>
      <w:r w:rsidRPr="00B66E0D">
        <w:rPr>
          <w:rStyle w:val="FootnoteReference"/>
          <w:rFonts w:ascii="Times New Roman" w:hAnsi="Times New Roman" w:cs="Times New Roman"/>
        </w:rPr>
        <w:footnoteReference w:id="30"/>
      </w:r>
      <w:r w:rsidRPr="00B66E0D">
        <w:rPr>
          <w:rFonts w:ascii="Times New Roman" w:hAnsi="Times New Roman" w:cs="Times New Roman"/>
        </w:rPr>
        <w:t xml:space="preserve"> In both instances the claims must be filed within 30 days of the outage and they generally require an itemized list and receipts to prove the loss. Lastly, both commercial and residential food spoilage reimbursement claims require that the power outage last at least 12 hours within a 24</w:t>
      </w:r>
      <w:r w:rsidR="007B376A">
        <w:rPr>
          <w:rFonts w:ascii="Times New Roman" w:hAnsi="Times New Roman" w:cs="Times New Roman"/>
        </w:rPr>
        <w:t>-</w:t>
      </w:r>
      <w:r w:rsidRPr="00B66E0D">
        <w:rPr>
          <w:rFonts w:ascii="Times New Roman" w:hAnsi="Times New Roman" w:cs="Times New Roman"/>
        </w:rPr>
        <w:t xml:space="preserve">hour time frame. This </w:t>
      </w:r>
      <w:r w:rsidR="007B376A">
        <w:rPr>
          <w:rFonts w:ascii="Times New Roman" w:hAnsi="Times New Roman" w:cs="Times New Roman"/>
        </w:rPr>
        <w:t xml:space="preserve">runs contrary to </w:t>
      </w:r>
      <w:r w:rsidRPr="00B66E0D">
        <w:rPr>
          <w:rFonts w:ascii="Times New Roman" w:hAnsi="Times New Roman" w:cs="Times New Roman"/>
        </w:rPr>
        <w:t xml:space="preserve">the food safety guidelines published by the U.S. Department of Health and Human Services, which was developed in </w:t>
      </w:r>
      <w:r w:rsidR="002D1BB7" w:rsidRPr="00B66E0D">
        <w:rPr>
          <w:rFonts w:ascii="Times New Roman" w:hAnsi="Times New Roman" w:cs="Times New Roman"/>
        </w:rPr>
        <w:t>partnership</w:t>
      </w:r>
      <w:r w:rsidRPr="00B66E0D">
        <w:rPr>
          <w:rFonts w:ascii="Times New Roman" w:hAnsi="Times New Roman" w:cs="Times New Roman"/>
        </w:rPr>
        <w:t xml:space="preserve"> with the Department of Agriculture</w:t>
      </w:r>
      <w:r w:rsidR="002D1BB7" w:rsidRPr="00B66E0D">
        <w:rPr>
          <w:rFonts w:ascii="Times New Roman" w:hAnsi="Times New Roman" w:cs="Times New Roman"/>
        </w:rPr>
        <w:t xml:space="preserve"> (USDA)</w:t>
      </w:r>
      <w:r w:rsidRPr="00B66E0D">
        <w:rPr>
          <w:rFonts w:ascii="Times New Roman" w:hAnsi="Times New Roman" w:cs="Times New Roman"/>
        </w:rPr>
        <w:t xml:space="preserve">, </w:t>
      </w:r>
      <w:r w:rsidR="002D1BB7" w:rsidRPr="00B66E0D">
        <w:rPr>
          <w:rFonts w:ascii="Times New Roman" w:hAnsi="Times New Roman" w:cs="Times New Roman"/>
        </w:rPr>
        <w:t xml:space="preserve">Food and Drug Administration, and the Center for Disease and Control, </w:t>
      </w:r>
      <w:r w:rsidR="007B376A">
        <w:rPr>
          <w:rFonts w:ascii="Times New Roman" w:hAnsi="Times New Roman" w:cs="Times New Roman"/>
        </w:rPr>
        <w:t xml:space="preserve">and </w:t>
      </w:r>
      <w:r w:rsidR="002D1BB7" w:rsidRPr="00B66E0D">
        <w:rPr>
          <w:rFonts w:ascii="Times New Roman" w:hAnsi="Times New Roman" w:cs="Times New Roman"/>
        </w:rPr>
        <w:t>states that food requiring refrigeration should be discarded within two to four hours</w:t>
      </w:r>
      <w:r w:rsidR="007B376A">
        <w:rPr>
          <w:rFonts w:ascii="Times New Roman" w:hAnsi="Times New Roman" w:cs="Times New Roman"/>
        </w:rPr>
        <w:t xml:space="preserve"> of no refrigeration</w:t>
      </w:r>
      <w:r w:rsidR="002D1BB7" w:rsidRPr="00B66E0D">
        <w:rPr>
          <w:rFonts w:ascii="Times New Roman" w:hAnsi="Times New Roman" w:cs="Times New Roman"/>
        </w:rPr>
        <w:t>.</w:t>
      </w:r>
      <w:r w:rsidR="002D1BB7" w:rsidRPr="00B66E0D">
        <w:rPr>
          <w:rStyle w:val="FootnoteReference"/>
          <w:rFonts w:ascii="Times New Roman" w:hAnsi="Times New Roman" w:cs="Times New Roman"/>
        </w:rPr>
        <w:footnoteReference w:id="31"/>
      </w:r>
      <w:r w:rsidR="002D1BB7" w:rsidRPr="00B66E0D">
        <w:rPr>
          <w:rFonts w:ascii="Times New Roman" w:hAnsi="Times New Roman" w:cs="Times New Roman"/>
        </w:rPr>
        <w:t xml:space="preserve"> According to the USDA, food such as meat, fish and eggs need to be stored at temperatures below 40°F in order to be safe. If the power goes out and these items are in a refrigerator, they should remain at safe temperatures for four hours, provided the door remains closed. If these food items were held above 40°F for more than two hours, they should be discarded.</w:t>
      </w:r>
      <w:r w:rsidR="002D1BB7" w:rsidRPr="00B66E0D">
        <w:rPr>
          <w:rStyle w:val="FootnoteReference"/>
          <w:rFonts w:ascii="Times New Roman" w:hAnsi="Times New Roman" w:cs="Times New Roman"/>
        </w:rPr>
        <w:footnoteReference w:id="32"/>
      </w:r>
      <w:r w:rsidR="002D1BB7" w:rsidRPr="00B66E0D">
        <w:rPr>
          <w:rFonts w:ascii="Times New Roman" w:hAnsi="Times New Roman" w:cs="Times New Roman"/>
        </w:rPr>
        <w:t xml:space="preserve"> Given that the various blackouts that hit New York City during the summer of 2019 lasted more than</w:t>
      </w:r>
      <w:r w:rsidR="00DB7A0F" w:rsidRPr="00B66E0D">
        <w:rPr>
          <w:rFonts w:ascii="Times New Roman" w:hAnsi="Times New Roman" w:cs="Times New Roman"/>
        </w:rPr>
        <w:t xml:space="preserve"> two hours but, at times, less than 12 hours, many residential and commercial customers will be unable to file a reimbursement claim for food spoilage. </w:t>
      </w:r>
    </w:p>
    <w:p w:rsidR="00B66B5B" w:rsidRPr="00B66E0D" w:rsidRDefault="00B66B5B" w:rsidP="00B66E0D">
      <w:pPr>
        <w:pStyle w:val="ListParagraph"/>
        <w:widowControl w:val="0"/>
        <w:numPr>
          <w:ilvl w:val="0"/>
          <w:numId w:val="9"/>
        </w:numPr>
        <w:suppressLineNumbers/>
        <w:autoSpaceDE w:val="0"/>
        <w:autoSpaceDN w:val="0"/>
        <w:adjustRightInd w:val="0"/>
        <w:spacing w:before="120" w:after="120" w:line="480" w:lineRule="auto"/>
        <w:jc w:val="both"/>
        <w:rPr>
          <w:rFonts w:ascii="Times New Roman" w:hAnsi="Times New Roman" w:cs="Times New Roman"/>
          <w:u w:val="single"/>
        </w:rPr>
      </w:pPr>
      <w:r w:rsidRPr="00B66E0D">
        <w:rPr>
          <w:rFonts w:ascii="Times New Roman" w:hAnsi="Times New Roman" w:cs="Times New Roman"/>
          <w:u w:val="single"/>
        </w:rPr>
        <w:t xml:space="preserve">Con Ed’s </w:t>
      </w:r>
      <w:r w:rsidR="007B376A">
        <w:rPr>
          <w:rFonts w:ascii="Times New Roman" w:hAnsi="Times New Roman" w:cs="Times New Roman"/>
          <w:u w:val="single"/>
        </w:rPr>
        <w:t>Responses to</w:t>
      </w:r>
      <w:r w:rsidRPr="00B66E0D">
        <w:rPr>
          <w:rFonts w:ascii="Times New Roman" w:hAnsi="Times New Roman" w:cs="Times New Roman"/>
          <w:u w:val="single"/>
        </w:rPr>
        <w:t xml:space="preserve"> the Outages</w:t>
      </w:r>
    </w:p>
    <w:p w:rsidR="006925E1" w:rsidRPr="00B66E0D" w:rsidRDefault="009C54DE" w:rsidP="00B66E0D">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sidRPr="00B66E0D">
        <w:rPr>
          <w:rFonts w:ascii="Times New Roman" w:hAnsi="Times New Roman" w:cs="Times New Roman"/>
        </w:rPr>
        <w:t xml:space="preserve">In </w:t>
      </w:r>
      <w:r w:rsidR="007B376A">
        <w:rPr>
          <w:rFonts w:ascii="Times New Roman" w:hAnsi="Times New Roman" w:cs="Times New Roman"/>
        </w:rPr>
        <w:t>a</w:t>
      </w:r>
      <w:r w:rsidRPr="00B66E0D">
        <w:rPr>
          <w:rFonts w:ascii="Times New Roman" w:hAnsi="Times New Roman" w:cs="Times New Roman"/>
        </w:rPr>
        <w:t xml:space="preserve"> statement following the July 13 outages in Manhattan, Con Ed </w:t>
      </w:r>
      <w:r w:rsidR="007B376A">
        <w:rPr>
          <w:rFonts w:ascii="Times New Roman" w:hAnsi="Times New Roman" w:cs="Times New Roman"/>
        </w:rPr>
        <w:t>claimed</w:t>
      </w:r>
      <w:r w:rsidRPr="00B66E0D">
        <w:rPr>
          <w:rFonts w:ascii="Times New Roman" w:hAnsi="Times New Roman" w:cs="Times New Roman"/>
        </w:rPr>
        <w:t xml:space="preserve"> they “conducted extensive testing of equipment and a thorough review” of their relay system.</w:t>
      </w:r>
      <w:r w:rsidR="00BA135B" w:rsidRPr="00B66E0D">
        <w:rPr>
          <w:rStyle w:val="FootnoteReference"/>
          <w:rFonts w:ascii="Times New Roman" w:hAnsi="Times New Roman" w:cs="Times New Roman"/>
        </w:rPr>
        <w:footnoteReference w:id="33"/>
      </w:r>
      <w:r w:rsidRPr="00B66E0D">
        <w:rPr>
          <w:rFonts w:ascii="Times New Roman" w:hAnsi="Times New Roman" w:cs="Times New Roman"/>
        </w:rPr>
        <w:t xml:space="preserve"> Con Ed determined that the system did not perform as designed and they identified “a flawed c</w:t>
      </w:r>
      <w:r w:rsidR="00BA135B" w:rsidRPr="00B66E0D">
        <w:rPr>
          <w:rFonts w:ascii="Times New Roman" w:hAnsi="Times New Roman" w:cs="Times New Roman"/>
        </w:rPr>
        <w:t>onnection between some of the sensors and protective relays at the substation.”</w:t>
      </w:r>
      <w:r w:rsidR="00BA135B" w:rsidRPr="00B66E0D">
        <w:rPr>
          <w:rStyle w:val="FootnoteReference"/>
          <w:rFonts w:ascii="Times New Roman" w:hAnsi="Times New Roman" w:cs="Times New Roman"/>
        </w:rPr>
        <w:footnoteReference w:id="34"/>
      </w:r>
      <w:r w:rsidR="00BA135B" w:rsidRPr="00B66E0D">
        <w:rPr>
          <w:rFonts w:ascii="Times New Roman" w:hAnsi="Times New Roman" w:cs="Times New Roman"/>
        </w:rPr>
        <w:t xml:space="preserve"> Con Ed subsequently corrected that issue and “out of an abundance of caution” they isolated similar equipment, and will test it before putting it back in service.</w:t>
      </w:r>
      <w:r w:rsidR="00BA135B" w:rsidRPr="00B66E0D">
        <w:rPr>
          <w:rStyle w:val="FootnoteReference"/>
          <w:rFonts w:ascii="Times New Roman" w:hAnsi="Times New Roman" w:cs="Times New Roman"/>
        </w:rPr>
        <w:footnoteReference w:id="35"/>
      </w:r>
    </w:p>
    <w:p w:rsidR="00E67CFC" w:rsidRPr="00B66E0D" w:rsidRDefault="00C4432F" w:rsidP="00D250A0">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B66E0D">
        <w:rPr>
          <w:rFonts w:ascii="Times New Roman" w:hAnsi="Times New Roman" w:cs="Times New Roman"/>
          <w:sz w:val="24"/>
          <w:szCs w:val="24"/>
        </w:rPr>
        <w:t xml:space="preserve">Prior to the heat wave weekend, however, </w:t>
      </w:r>
      <w:r w:rsidR="001E004E">
        <w:rPr>
          <w:rFonts w:ascii="Times New Roman" w:hAnsi="Times New Roman" w:cs="Times New Roman"/>
          <w:sz w:val="24"/>
          <w:szCs w:val="24"/>
        </w:rPr>
        <w:t xml:space="preserve">the </w:t>
      </w:r>
      <w:r w:rsidRPr="00B66E0D">
        <w:rPr>
          <w:rFonts w:ascii="Times New Roman" w:hAnsi="Times New Roman" w:cs="Times New Roman"/>
          <w:sz w:val="24"/>
          <w:szCs w:val="24"/>
        </w:rPr>
        <w:t>President of Con Ed, Tim Cawley, told reporters that Con Ed was “ready for what the heat will bring</w:t>
      </w:r>
      <w:r w:rsidR="001E004E">
        <w:rPr>
          <w:rFonts w:ascii="Times New Roman" w:hAnsi="Times New Roman" w:cs="Times New Roman"/>
          <w:sz w:val="24"/>
          <w:szCs w:val="24"/>
        </w:rPr>
        <w:t>.</w:t>
      </w:r>
      <w:r w:rsidRPr="00B66E0D">
        <w:rPr>
          <w:rFonts w:ascii="Times New Roman" w:hAnsi="Times New Roman" w:cs="Times New Roman"/>
          <w:sz w:val="24"/>
          <w:szCs w:val="24"/>
        </w:rPr>
        <w:t>”</w:t>
      </w:r>
      <w:r w:rsidRPr="00B66E0D">
        <w:rPr>
          <w:rStyle w:val="FootnoteReference"/>
          <w:rFonts w:ascii="Times New Roman" w:hAnsi="Times New Roman" w:cs="Times New Roman"/>
          <w:sz w:val="24"/>
          <w:szCs w:val="24"/>
        </w:rPr>
        <w:footnoteReference w:id="36"/>
      </w:r>
      <w:r w:rsidRPr="00B66E0D">
        <w:rPr>
          <w:rFonts w:ascii="Times New Roman" w:hAnsi="Times New Roman" w:cs="Times New Roman"/>
          <w:sz w:val="24"/>
          <w:szCs w:val="24"/>
        </w:rPr>
        <w:t xml:space="preserve"> </w:t>
      </w:r>
      <w:r w:rsidR="00DC34EA" w:rsidRPr="00B66E0D">
        <w:rPr>
          <w:rFonts w:ascii="Times New Roman" w:hAnsi="Times New Roman" w:cs="Times New Roman"/>
          <w:sz w:val="24"/>
          <w:szCs w:val="24"/>
        </w:rPr>
        <w:t xml:space="preserve">In preparation, Con Ed dispatched 4,000 employees to work on above- and below-ground equipment, transmission lines and </w:t>
      </w:r>
      <w:r w:rsidR="002F61C0" w:rsidRPr="00B66E0D">
        <w:rPr>
          <w:rFonts w:ascii="Times New Roman" w:hAnsi="Times New Roman" w:cs="Times New Roman"/>
          <w:sz w:val="24"/>
          <w:szCs w:val="24"/>
        </w:rPr>
        <w:t>substations, working 12-hour shifts to monitor any issues.</w:t>
      </w:r>
      <w:r w:rsidR="00DC34EA" w:rsidRPr="00B66E0D">
        <w:rPr>
          <w:rStyle w:val="FootnoteReference"/>
          <w:rFonts w:ascii="Times New Roman" w:hAnsi="Times New Roman" w:cs="Times New Roman"/>
          <w:sz w:val="24"/>
          <w:szCs w:val="24"/>
        </w:rPr>
        <w:footnoteReference w:id="37"/>
      </w:r>
      <w:r w:rsidR="002F61C0" w:rsidRPr="00B66E0D">
        <w:rPr>
          <w:rFonts w:ascii="Times New Roman" w:hAnsi="Times New Roman" w:cs="Times New Roman"/>
          <w:sz w:val="24"/>
          <w:szCs w:val="24"/>
        </w:rPr>
        <w:t xml:space="preserve"> According to Mr. Cawley, Con Ed had learned from previous peak demand events, </w:t>
      </w:r>
      <w:r w:rsidR="00E67CFC" w:rsidRPr="00B66E0D">
        <w:rPr>
          <w:rFonts w:ascii="Times New Roman" w:hAnsi="Times New Roman" w:cs="Times New Roman"/>
          <w:sz w:val="24"/>
          <w:szCs w:val="24"/>
        </w:rPr>
        <w:t>particularly</w:t>
      </w:r>
      <w:r w:rsidR="002F61C0" w:rsidRPr="00B66E0D">
        <w:rPr>
          <w:rFonts w:ascii="Times New Roman" w:hAnsi="Times New Roman" w:cs="Times New Roman"/>
          <w:sz w:val="24"/>
          <w:szCs w:val="24"/>
        </w:rPr>
        <w:t xml:space="preserve"> in 2016, and </w:t>
      </w:r>
      <w:r w:rsidR="001E004E">
        <w:rPr>
          <w:rFonts w:ascii="Times New Roman" w:hAnsi="Times New Roman" w:cs="Times New Roman"/>
          <w:sz w:val="24"/>
          <w:szCs w:val="24"/>
        </w:rPr>
        <w:t>that they were</w:t>
      </w:r>
      <w:r w:rsidR="00E67CFC" w:rsidRPr="00B66E0D">
        <w:rPr>
          <w:rFonts w:ascii="Times New Roman" w:hAnsi="Times New Roman" w:cs="Times New Roman"/>
          <w:sz w:val="24"/>
          <w:szCs w:val="24"/>
        </w:rPr>
        <w:t xml:space="preserve"> prepared. During his press conference, Mr. Cawley stated that Con Ed “basically spend[s] a full year preparing for the high demand that summer brings” and, over the past year they invested $1.5 billion in their energy-delivery systems.</w:t>
      </w:r>
      <w:r w:rsidR="00E67CFC" w:rsidRPr="00B66E0D">
        <w:rPr>
          <w:rStyle w:val="FootnoteReference"/>
          <w:rFonts w:ascii="Times New Roman" w:hAnsi="Times New Roman" w:cs="Times New Roman"/>
          <w:sz w:val="24"/>
          <w:szCs w:val="24"/>
        </w:rPr>
        <w:footnoteReference w:id="38"/>
      </w:r>
      <w:r w:rsidR="00E67CFC" w:rsidRPr="00B66E0D">
        <w:rPr>
          <w:rFonts w:ascii="Times New Roman" w:hAnsi="Times New Roman" w:cs="Times New Roman"/>
          <w:sz w:val="24"/>
          <w:szCs w:val="24"/>
        </w:rPr>
        <w:t xml:space="preserve"> Despite these investments, and the assurances from the Con Ed president that they would not need to resort to “voltage optimization” – where voltage is preemptively lowered to protect equipment when there is particularly high demand</w:t>
      </w:r>
      <w:r w:rsidR="00E67CFC" w:rsidRPr="00B66E0D">
        <w:rPr>
          <w:rStyle w:val="FootnoteReference"/>
          <w:rFonts w:ascii="Times New Roman" w:hAnsi="Times New Roman" w:cs="Times New Roman"/>
          <w:sz w:val="24"/>
          <w:szCs w:val="24"/>
        </w:rPr>
        <w:footnoteReference w:id="39"/>
      </w:r>
      <w:r w:rsidR="00E67CFC" w:rsidRPr="00B66E0D">
        <w:rPr>
          <w:rFonts w:ascii="Times New Roman" w:hAnsi="Times New Roman" w:cs="Times New Roman"/>
          <w:sz w:val="24"/>
          <w:szCs w:val="24"/>
        </w:rPr>
        <w:t xml:space="preserve"> – Con Ed </w:t>
      </w:r>
      <w:r w:rsidR="007B376A">
        <w:rPr>
          <w:rFonts w:ascii="Times New Roman" w:hAnsi="Times New Roman" w:cs="Times New Roman"/>
          <w:sz w:val="24"/>
          <w:szCs w:val="24"/>
        </w:rPr>
        <w:t>resorted</w:t>
      </w:r>
      <w:r w:rsidR="00E67CFC" w:rsidRPr="00B66E0D">
        <w:rPr>
          <w:rFonts w:ascii="Times New Roman" w:hAnsi="Times New Roman" w:cs="Times New Roman"/>
          <w:sz w:val="24"/>
          <w:szCs w:val="24"/>
        </w:rPr>
        <w:t xml:space="preserve"> to completely cut</w:t>
      </w:r>
      <w:r w:rsidR="007B376A">
        <w:rPr>
          <w:rFonts w:ascii="Times New Roman" w:hAnsi="Times New Roman" w:cs="Times New Roman"/>
          <w:sz w:val="24"/>
          <w:szCs w:val="24"/>
        </w:rPr>
        <w:t>ting</w:t>
      </w:r>
      <w:r w:rsidR="00E67CFC" w:rsidRPr="00B66E0D">
        <w:rPr>
          <w:rFonts w:ascii="Times New Roman" w:hAnsi="Times New Roman" w:cs="Times New Roman"/>
          <w:sz w:val="24"/>
          <w:szCs w:val="24"/>
        </w:rPr>
        <w:t xml:space="preserve"> power to 33,000 </w:t>
      </w:r>
      <w:r w:rsidR="002665F3" w:rsidRPr="00B66E0D">
        <w:rPr>
          <w:rFonts w:ascii="Times New Roman" w:hAnsi="Times New Roman" w:cs="Times New Roman"/>
          <w:sz w:val="24"/>
          <w:szCs w:val="24"/>
        </w:rPr>
        <w:t xml:space="preserve">residents in parts of Brooklyn. </w:t>
      </w:r>
      <w:r w:rsidR="007F423B" w:rsidRPr="00B66E0D">
        <w:rPr>
          <w:rFonts w:ascii="Times New Roman" w:hAnsi="Times New Roman" w:cs="Times New Roman"/>
          <w:sz w:val="24"/>
          <w:szCs w:val="24"/>
        </w:rPr>
        <w:t xml:space="preserve">According to the New York Times, this was due to cable failures at the substation </w:t>
      </w:r>
      <w:r w:rsidR="007B376A">
        <w:rPr>
          <w:rFonts w:ascii="Times New Roman" w:hAnsi="Times New Roman" w:cs="Times New Roman"/>
          <w:sz w:val="24"/>
          <w:szCs w:val="24"/>
        </w:rPr>
        <w:t xml:space="preserve">serving </w:t>
      </w:r>
      <w:r w:rsidR="007F423B" w:rsidRPr="00B66E0D">
        <w:rPr>
          <w:rFonts w:ascii="Times New Roman" w:hAnsi="Times New Roman" w:cs="Times New Roman"/>
          <w:sz w:val="24"/>
          <w:szCs w:val="24"/>
        </w:rPr>
        <w:t>the area</w:t>
      </w:r>
      <w:r w:rsidR="001E004E">
        <w:rPr>
          <w:rFonts w:ascii="Times New Roman" w:hAnsi="Times New Roman" w:cs="Times New Roman"/>
          <w:sz w:val="24"/>
          <w:szCs w:val="24"/>
        </w:rPr>
        <w:t>. Five of the 19 cables failed, leaving 14 to handle a heavier-than-normal electricity flow, possibly resulting in a sys</w:t>
      </w:r>
      <w:r w:rsidR="00D250A0">
        <w:rPr>
          <w:rFonts w:ascii="Times New Roman" w:hAnsi="Times New Roman" w:cs="Times New Roman"/>
          <w:sz w:val="24"/>
          <w:szCs w:val="24"/>
        </w:rPr>
        <w:t>tem-wide failure affecting the entire area.</w:t>
      </w:r>
      <w:r w:rsidR="00D250A0" w:rsidRPr="00B66E0D">
        <w:rPr>
          <w:rStyle w:val="FootnoteReference"/>
          <w:rFonts w:ascii="Times New Roman" w:hAnsi="Times New Roman" w:cs="Times New Roman"/>
          <w:sz w:val="24"/>
          <w:szCs w:val="24"/>
        </w:rPr>
        <w:footnoteReference w:id="40"/>
      </w:r>
      <w:r w:rsidR="00D250A0">
        <w:rPr>
          <w:rFonts w:ascii="Times New Roman" w:hAnsi="Times New Roman" w:cs="Times New Roman"/>
          <w:sz w:val="24"/>
          <w:szCs w:val="24"/>
        </w:rPr>
        <w:t xml:space="preserve"> No explanation for the failure was given, other than the cuts being “necessary to prevent longer outages.</w:t>
      </w:r>
      <w:r w:rsidR="002665F3" w:rsidRPr="00B66E0D">
        <w:rPr>
          <w:rFonts w:ascii="Times New Roman" w:hAnsi="Times New Roman" w:cs="Times New Roman"/>
          <w:sz w:val="24"/>
          <w:szCs w:val="24"/>
        </w:rPr>
        <w:t>”</w:t>
      </w:r>
      <w:r w:rsidR="007F423B" w:rsidRPr="00B66E0D">
        <w:rPr>
          <w:rStyle w:val="FootnoteReference"/>
          <w:rFonts w:ascii="Times New Roman" w:hAnsi="Times New Roman" w:cs="Times New Roman"/>
          <w:sz w:val="24"/>
          <w:szCs w:val="24"/>
        </w:rPr>
        <w:footnoteReference w:id="41"/>
      </w:r>
    </w:p>
    <w:p w:rsidR="006A72C0" w:rsidRPr="00B66E0D" w:rsidRDefault="00423261" w:rsidP="00B66E0D">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w:hAnsi="Times New Roman" w:cs="Times New Roman"/>
          <w:b/>
        </w:rPr>
      </w:pPr>
      <w:r w:rsidRPr="00B66E0D">
        <w:rPr>
          <w:rFonts w:ascii="Times New Roman" w:hAnsi="Times New Roman" w:cs="Times New Roman"/>
          <w:b/>
          <w:u w:val="single"/>
        </w:rPr>
        <w:t xml:space="preserve">NEW YORK CITY’S ELECTRICAL </w:t>
      </w:r>
      <w:r w:rsidR="00D36EAF" w:rsidRPr="00B66E0D">
        <w:rPr>
          <w:rFonts w:ascii="Times New Roman" w:hAnsi="Times New Roman" w:cs="Times New Roman"/>
          <w:b/>
          <w:u w:val="single"/>
        </w:rPr>
        <w:t>SYSTEM</w:t>
      </w:r>
    </w:p>
    <w:p w:rsidR="00DA6489" w:rsidRPr="00B66E0D" w:rsidRDefault="00D36EAF" w:rsidP="00B66E0D">
      <w:pPr>
        <w:pStyle w:val="ListParagraph"/>
        <w:widowControl w:val="0"/>
        <w:numPr>
          <w:ilvl w:val="1"/>
          <w:numId w:val="1"/>
        </w:numPr>
        <w:suppressLineNumbers/>
        <w:autoSpaceDE w:val="0"/>
        <w:autoSpaceDN w:val="0"/>
        <w:adjustRightInd w:val="0"/>
        <w:spacing w:before="120" w:after="120" w:line="480" w:lineRule="auto"/>
        <w:ind w:left="1080"/>
        <w:jc w:val="both"/>
        <w:rPr>
          <w:rFonts w:ascii="Times New Roman" w:hAnsi="Times New Roman" w:cs="Times New Roman"/>
        </w:rPr>
      </w:pPr>
      <w:r w:rsidRPr="00B66E0D">
        <w:rPr>
          <w:rFonts w:ascii="Times New Roman" w:hAnsi="Times New Roman" w:cs="Times New Roman"/>
          <w:u w:val="single"/>
        </w:rPr>
        <w:t>Grid and Infrastructure</w:t>
      </w:r>
    </w:p>
    <w:p w:rsidR="00423261" w:rsidRPr="00B66E0D" w:rsidRDefault="00423261" w:rsidP="00B66E0D">
      <w:pPr>
        <w:pStyle w:val="NormalWeb"/>
        <w:spacing w:before="120" w:beforeAutospacing="0" w:after="120" w:afterAutospacing="0" w:line="480" w:lineRule="auto"/>
        <w:ind w:firstLine="720"/>
        <w:jc w:val="both"/>
        <w:outlineLvl w:val="2"/>
        <w:rPr>
          <w:color w:val="000000"/>
        </w:rPr>
      </w:pPr>
      <w:r w:rsidRPr="00B66E0D">
        <w:t xml:space="preserve">For decades, electrical power was supplied to consumers through utility companies holding monopolies over large geographic areas. In April 1996, the Federal Energy Regulatory Commission (FERC), in an attempt to establish a competitive bidding market for the sale of power, ordered electric energy producers to let other companies buy and sell the generated power.  The ensuing deregulation of the energy industry resulted, in theory, in competition in the generation and pricing of electrical power. Con Ed, for example, formerly the primary electric power generator in New York City, sold nearly all of its generating capacity in the City, and consumers may now select from various electricity suppliers. Regardless of the supplier a customer chooses, however, Con Ed-owned transmission lines continue to </w:t>
      </w:r>
      <w:r w:rsidRPr="00B66E0D">
        <w:rPr>
          <w:i/>
          <w:iCs/>
        </w:rPr>
        <w:t>distribute</w:t>
      </w:r>
      <w:r w:rsidRPr="00B66E0D">
        <w:t xml:space="preserve"> electricity within the City, providing service in the five boroughs and Westchester County.</w:t>
      </w:r>
      <w:r w:rsidRPr="00B66E0D">
        <w:rPr>
          <w:rStyle w:val="FootnoteReference"/>
        </w:rPr>
        <w:footnoteReference w:id="42"/>
      </w:r>
      <w:r w:rsidRPr="00B66E0D">
        <w:t xml:space="preserve"> </w:t>
      </w:r>
    </w:p>
    <w:p w:rsidR="00423261" w:rsidRPr="00B66E0D" w:rsidRDefault="00423261" w:rsidP="00B66E0D">
      <w:pPr>
        <w:pStyle w:val="NormalWeb"/>
        <w:spacing w:before="120" w:beforeAutospacing="0" w:after="120" w:afterAutospacing="0" w:line="480" w:lineRule="auto"/>
        <w:ind w:firstLine="720"/>
        <w:jc w:val="both"/>
        <w:outlineLvl w:val="2"/>
        <w:rPr>
          <w:color w:val="000000"/>
        </w:rPr>
      </w:pPr>
      <w:r w:rsidRPr="00B66E0D">
        <w:rPr>
          <w:color w:val="000000"/>
        </w:rPr>
        <w:t>After a power plant’s main generators produce an electrical charge, current is sent through a transformer to regulate the voltage level, ensuring enough pressure to travel long distances.  High-voltage transmission lines carry the powerful current to local substati</w:t>
      </w:r>
      <w:r w:rsidR="0028484A" w:rsidRPr="00B66E0D">
        <w:rPr>
          <w:color w:val="000000"/>
        </w:rPr>
        <w:t>ons that step down the voltage.</w:t>
      </w:r>
      <w:r w:rsidRPr="00B66E0D">
        <w:rPr>
          <w:color w:val="000000"/>
        </w:rPr>
        <w:t xml:space="preserve"> The electricity is distributed through feeder cables to neighborhood transformers and then through smaller distribution lines to individual locations where voltages will generally range from 110 – 240 volts, levels considered safe for </w:t>
      </w:r>
      <w:r w:rsidR="0028484A" w:rsidRPr="00B66E0D">
        <w:rPr>
          <w:color w:val="000000"/>
        </w:rPr>
        <w:t>residential and commercial use.</w:t>
      </w:r>
      <w:r w:rsidRPr="00B66E0D">
        <w:rPr>
          <w:color w:val="000000"/>
        </w:rPr>
        <w:t xml:space="preserve"> Con Ed operates</w:t>
      </w:r>
      <w:r w:rsidR="00744908" w:rsidRPr="00B66E0D">
        <w:rPr>
          <w:color w:val="000000"/>
        </w:rPr>
        <w:t xml:space="preserve"> </w:t>
      </w:r>
      <w:r w:rsidR="00E66AF1" w:rsidRPr="00B66E0D">
        <w:rPr>
          <w:color w:val="000000"/>
        </w:rPr>
        <w:t>200 independent networks that regulate the flow of electricity.</w:t>
      </w:r>
      <w:r w:rsidR="00E66AF1" w:rsidRPr="00B66E0D">
        <w:rPr>
          <w:rStyle w:val="FootnoteReference"/>
          <w:color w:val="000000"/>
        </w:rPr>
        <w:footnoteReference w:id="43"/>
      </w:r>
    </w:p>
    <w:p w:rsidR="004E2903" w:rsidRPr="00B66E0D" w:rsidRDefault="00423261" w:rsidP="00B66E0D">
      <w:pPr>
        <w:pStyle w:val="NormalWeb"/>
        <w:spacing w:before="120" w:beforeAutospacing="0" w:after="120" w:afterAutospacing="0" w:line="480" w:lineRule="auto"/>
        <w:ind w:firstLine="720"/>
        <w:jc w:val="both"/>
        <w:outlineLvl w:val="2"/>
        <w:rPr>
          <w:color w:val="000000"/>
        </w:rPr>
      </w:pPr>
      <w:r w:rsidRPr="00B66E0D">
        <w:rPr>
          <w:color w:val="000000"/>
        </w:rPr>
        <w:t xml:space="preserve">One mark of distinction of the New York City </w:t>
      </w:r>
      <w:r w:rsidR="007C6C19">
        <w:rPr>
          <w:color w:val="000000"/>
        </w:rPr>
        <w:t xml:space="preserve">power </w:t>
      </w:r>
      <w:r w:rsidRPr="00B66E0D">
        <w:rPr>
          <w:color w:val="000000"/>
        </w:rPr>
        <w:t>system is the prominence of u</w:t>
      </w:r>
      <w:r w:rsidR="0028484A" w:rsidRPr="00B66E0D">
        <w:rPr>
          <w:color w:val="000000"/>
        </w:rPr>
        <w:t xml:space="preserve">nderground distribution. </w:t>
      </w:r>
      <w:r w:rsidRPr="00B66E0D">
        <w:rPr>
          <w:color w:val="000000"/>
        </w:rPr>
        <w:t xml:space="preserve">While protected from physical elements like lightning strikes and falling trees, underground wiring systems face challenges in terms of moisture, decomposition, and, in </w:t>
      </w:r>
      <w:r w:rsidR="004E2903" w:rsidRPr="00B66E0D">
        <w:rPr>
          <w:color w:val="000000"/>
        </w:rPr>
        <w:t xml:space="preserve">particular, overheating. When high temperatures linger for days the “pavement </w:t>
      </w:r>
      <w:r w:rsidR="00D81D44">
        <w:rPr>
          <w:color w:val="000000"/>
        </w:rPr>
        <w:t>s</w:t>
      </w:r>
      <w:r w:rsidR="004E2903" w:rsidRPr="00B66E0D">
        <w:rPr>
          <w:color w:val="000000"/>
        </w:rPr>
        <w:t>oaks up heat and can warm the power equipment below”.</w:t>
      </w:r>
      <w:r w:rsidR="004E2903" w:rsidRPr="00B66E0D">
        <w:rPr>
          <w:rStyle w:val="FootnoteReference"/>
          <w:color w:val="000000"/>
        </w:rPr>
        <w:footnoteReference w:id="44"/>
      </w:r>
      <w:r w:rsidR="004E2903" w:rsidRPr="00B66E0D">
        <w:rPr>
          <w:color w:val="000000"/>
        </w:rPr>
        <w:t xml:space="preserve"> </w:t>
      </w:r>
    </w:p>
    <w:p w:rsidR="00423261" w:rsidRPr="00B66E0D" w:rsidRDefault="00423261" w:rsidP="00B66E0D">
      <w:pPr>
        <w:pStyle w:val="NormalWeb"/>
        <w:spacing w:before="120" w:beforeAutospacing="0" w:after="120" w:afterAutospacing="0" w:line="480" w:lineRule="auto"/>
        <w:ind w:firstLine="720"/>
        <w:jc w:val="both"/>
        <w:outlineLvl w:val="2"/>
        <w:rPr>
          <w:color w:val="000000"/>
        </w:rPr>
      </w:pPr>
      <w:r w:rsidRPr="00B66E0D">
        <w:rPr>
          <w:color w:val="000000"/>
        </w:rPr>
        <w:t>Distribution systems are generally found in one of two arrangements: radial load areas (found primarily in Staten Island) and network load areas (in most other parts of New York City, including Northwe</w:t>
      </w:r>
      <w:r w:rsidR="004E2903" w:rsidRPr="00B66E0D">
        <w:rPr>
          <w:color w:val="000000"/>
        </w:rPr>
        <w:t>st Queens).</w:t>
      </w:r>
      <w:r w:rsidRPr="00B66E0D">
        <w:rPr>
          <w:color w:val="000000"/>
        </w:rPr>
        <w:t xml:space="preserve"> A radial system, distributing power in a linear fashion that effectively keeps customers on a more independent distribution system, carries the benefit of isolation; that is, if one part of the distribution system should fail, other customers in the same area may still receive power directly to their homes/businesses, even </w:t>
      </w:r>
      <w:r w:rsidR="007C6C19">
        <w:rPr>
          <w:color w:val="000000"/>
        </w:rPr>
        <w:t xml:space="preserve">where those customers are </w:t>
      </w:r>
      <w:r w:rsidRPr="00B66E0D">
        <w:rPr>
          <w:color w:val="000000"/>
        </w:rPr>
        <w:t xml:space="preserve">as close to a blackout area as across a street.  </w:t>
      </w:r>
    </w:p>
    <w:p w:rsidR="00423261" w:rsidRPr="00B66E0D" w:rsidRDefault="00423261" w:rsidP="00B66E0D">
      <w:pPr>
        <w:pStyle w:val="NormalWeb"/>
        <w:spacing w:before="120" w:beforeAutospacing="0" w:after="120" w:afterAutospacing="0" w:line="480" w:lineRule="auto"/>
        <w:ind w:firstLine="720"/>
        <w:jc w:val="both"/>
        <w:outlineLvl w:val="2"/>
        <w:rPr>
          <w:color w:val="000000"/>
        </w:rPr>
      </w:pPr>
      <w:r w:rsidRPr="00B66E0D">
        <w:rPr>
          <w:color w:val="000000"/>
        </w:rPr>
        <w:t>Network load areas, in contrast to radial load areas, produce a series of customers all relying on the same transformer(s) and distribution system. Outages are more common in a radial system than a network system, however, because the radial system entails “fewer redundancies… to compensate for component failures”</w:t>
      </w:r>
      <w:r w:rsidRPr="00B66E0D">
        <w:rPr>
          <w:rStyle w:val="FootnoteReference"/>
          <w:color w:val="000000"/>
        </w:rPr>
        <w:footnoteReference w:id="45"/>
      </w:r>
      <w:r w:rsidR="00D52555" w:rsidRPr="00B66E0D">
        <w:rPr>
          <w:color w:val="000000"/>
        </w:rPr>
        <w:t xml:space="preserve"> such as downed overhead lines.</w:t>
      </w:r>
      <w:r w:rsidRPr="00B66E0D">
        <w:rPr>
          <w:color w:val="000000"/>
        </w:rPr>
        <w:t xml:space="preserve"> Network load area systems facing a component failure such as one failing feeder cable may compensate by transferring that cable’s load to connected cables on the same network; too much load carried on too few cables, however, will result in structural damage to the system. </w:t>
      </w:r>
      <w:r w:rsidRPr="00B66E0D">
        <w:t xml:space="preserve">All of Con Ed's network load areas are designed with a certain degree of redundancy in order to accommodate the failure of two feeder </w:t>
      </w:r>
      <w:r w:rsidR="00D52555" w:rsidRPr="00B66E0D">
        <w:t>cables within a single network.</w:t>
      </w:r>
      <w:r w:rsidRPr="00B66E0D">
        <w:t xml:space="preserve"> Should one or two feeder cables fail, load will be transferred to the remaining cables.</w:t>
      </w:r>
      <w:r w:rsidRPr="00B66E0D">
        <w:rPr>
          <w:rStyle w:val="FootnoteReference"/>
        </w:rPr>
        <w:footnoteReference w:id="46"/>
      </w:r>
      <w:r w:rsidR="00D52555" w:rsidRPr="00B66E0D">
        <w:t xml:space="preserve"> </w:t>
      </w:r>
      <w:r w:rsidRPr="00B66E0D">
        <w:t xml:space="preserve">The failure of a third feeder cable, however, would put significant stress on the system and risk extensive damage. </w:t>
      </w:r>
    </w:p>
    <w:p w:rsidR="006F6FCD" w:rsidRPr="00B66E0D" w:rsidRDefault="00D52555" w:rsidP="00B66E0D">
      <w:pPr>
        <w:pStyle w:val="NormalWeb"/>
        <w:spacing w:before="120" w:beforeAutospacing="0" w:after="120" w:afterAutospacing="0" w:line="480" w:lineRule="auto"/>
        <w:ind w:firstLine="720"/>
        <w:jc w:val="both"/>
        <w:outlineLvl w:val="2"/>
      </w:pPr>
      <w:r w:rsidRPr="00B66E0D">
        <w:t>Across the New York City and Westchester County delivery system, Con Ed has 62 substations and its distribution system features approximately 96,000 miles of underground cable, 43,000 underground transformers, 34,000 miles of overhead electric wires, and 52,000 overhead transformers.</w:t>
      </w:r>
      <w:r w:rsidRPr="00B66E0D">
        <w:rPr>
          <w:rStyle w:val="FootnoteReference"/>
        </w:rPr>
        <w:footnoteReference w:id="47"/>
      </w:r>
      <w:r w:rsidRPr="00B66E0D">
        <w:t xml:space="preserve"> Typically, Con Ed provides about 350 kilowatt hours per month to residential customers in New York City.</w:t>
      </w:r>
      <w:r w:rsidRPr="00B66E0D">
        <w:rPr>
          <w:rStyle w:val="FootnoteReference"/>
        </w:rPr>
        <w:footnoteReference w:id="48"/>
      </w:r>
    </w:p>
    <w:p w:rsidR="00D36EAF" w:rsidRPr="00B66E0D" w:rsidRDefault="00D36EAF" w:rsidP="00B66E0D">
      <w:pPr>
        <w:pStyle w:val="NormalWeb"/>
        <w:numPr>
          <w:ilvl w:val="1"/>
          <w:numId w:val="1"/>
        </w:numPr>
        <w:spacing w:before="120" w:beforeAutospacing="0" w:after="120" w:afterAutospacing="0" w:line="480" w:lineRule="auto"/>
        <w:ind w:left="1080"/>
        <w:jc w:val="both"/>
        <w:outlineLvl w:val="2"/>
      </w:pPr>
      <w:r w:rsidRPr="00B66E0D">
        <w:rPr>
          <w:u w:val="single"/>
        </w:rPr>
        <w:t xml:space="preserve">The </w:t>
      </w:r>
      <w:r w:rsidR="007C6C19">
        <w:rPr>
          <w:u w:val="single"/>
        </w:rPr>
        <w:t>Regulation of Electricity and Other Utility Providers in New York</w:t>
      </w:r>
      <w:r w:rsidRPr="00B66E0D">
        <w:rPr>
          <w:u w:val="single"/>
        </w:rPr>
        <w:t xml:space="preserve"> </w:t>
      </w:r>
    </w:p>
    <w:p w:rsidR="0072503B" w:rsidRPr="00B66E0D" w:rsidRDefault="0072503B" w:rsidP="00A226BC">
      <w:pPr>
        <w:pStyle w:val="NormalWeb"/>
        <w:spacing w:before="120" w:beforeAutospacing="0" w:after="120" w:afterAutospacing="0" w:line="480" w:lineRule="auto"/>
        <w:ind w:firstLine="720"/>
        <w:jc w:val="both"/>
        <w:outlineLvl w:val="2"/>
      </w:pPr>
      <w:r w:rsidRPr="00B66E0D">
        <w:t xml:space="preserve">The Public Service Commission (PSC) regulates </w:t>
      </w:r>
      <w:r w:rsidR="00392907">
        <w:t xml:space="preserve">the </w:t>
      </w:r>
      <w:r w:rsidRPr="00B66E0D">
        <w:t>reliability and safety of the distribution of electricity, as well as other utilities, throughout New York State. The Commission is also responsible for guaranteeing that adequate service is provided by New York's utilities to best promote the public interest, preserve the public health, and protect those using and those employed in manufacturing and distributing power.</w:t>
      </w:r>
      <w:r w:rsidRPr="00B66E0D">
        <w:rPr>
          <w:rStyle w:val="FootnoteReference"/>
        </w:rPr>
        <w:footnoteReference w:id="49"/>
      </w:r>
      <w:r w:rsidRPr="00B66E0D">
        <w:t xml:space="preserve"> </w:t>
      </w:r>
      <w:r w:rsidR="00BF06D3">
        <w:t xml:space="preserve">To facilitate these goals, customers can file complaints about utility providers with PSC, provided they have attempted to resolve the issue with the company first. After a customer has lodged a formal complaint with PSC, the Commission will investigate and report the findings to the customer and utility. If either party requests a hearing, PSC will facilitate this, with the burden of proof borne by the utility company. Either party may also appeal a PSC decision. Importantly for customers, utility companies are prohibited from terminating service while the </w:t>
      </w:r>
      <w:r w:rsidR="00270ECC">
        <w:t>complaint is being investigated.</w:t>
      </w:r>
      <w:r w:rsidR="00270ECC">
        <w:rPr>
          <w:rStyle w:val="FootnoteReference"/>
        </w:rPr>
        <w:footnoteReference w:id="50"/>
      </w:r>
    </w:p>
    <w:p w:rsidR="00B2440E" w:rsidRDefault="0072503B" w:rsidP="001554AA">
      <w:pPr>
        <w:pStyle w:val="NormalWeb"/>
        <w:spacing w:before="120" w:beforeAutospacing="0" w:after="120" w:afterAutospacing="0" w:line="480" w:lineRule="auto"/>
        <w:ind w:firstLine="720"/>
        <w:jc w:val="both"/>
        <w:outlineLvl w:val="2"/>
      </w:pPr>
      <w:r w:rsidRPr="00B66E0D">
        <w:t>If the PSC finds rates, charges or classifications are unjustly discriminatory, preferential, or in violation of the law, the Commission can correct rates, charges and classifications for the service to be furnished.  The PSC may also examine all corporations under its supervision to keep informed of the practices, regulations and property employed in their business.</w:t>
      </w:r>
      <w:r w:rsidRPr="00B66E0D">
        <w:rPr>
          <w:rStyle w:val="FootnoteReference"/>
        </w:rPr>
        <w:footnoteReference w:id="51"/>
      </w:r>
      <w:r w:rsidRPr="00B66E0D">
        <w:t xml:space="preserve">  </w:t>
      </w:r>
    </w:p>
    <w:p w:rsidR="00C05F09" w:rsidRDefault="00C05F09" w:rsidP="001554AA">
      <w:pPr>
        <w:pStyle w:val="NormalWeb"/>
        <w:spacing w:before="120" w:beforeAutospacing="0" w:after="120" w:afterAutospacing="0" w:line="480" w:lineRule="auto"/>
        <w:ind w:firstLine="720"/>
        <w:jc w:val="both"/>
        <w:outlineLvl w:val="2"/>
      </w:pPr>
      <w:r>
        <w:t>When a utility company wishes to increase customer rates, it must fi</w:t>
      </w:r>
      <w:r w:rsidR="00392907">
        <w:t>le a request</w:t>
      </w:r>
      <w:r>
        <w:t xml:space="preserve"> at the PSC. A rate case is the formal process used by the Commission to determine the amounts to charge customers for electricity, natural gas, private water and steam services provided by regulated utilities. A rate case is a public process through which the utility and </w:t>
      </w:r>
      <w:r w:rsidR="00392907">
        <w:t>interveno</w:t>
      </w:r>
      <w:r>
        <w:t>rs, such as commercial entities, public interest groups, municipal officials and advocacy groups may submit briefs, evidence and testimony regarding the request for a rate increase. The PSC must render a decision within 11 months after a major rate case is filed.</w:t>
      </w:r>
      <w:r>
        <w:rPr>
          <w:rStyle w:val="FootnoteReference"/>
        </w:rPr>
        <w:footnoteReference w:id="52"/>
      </w:r>
      <w:r>
        <w:t xml:space="preserve"> </w:t>
      </w:r>
    </w:p>
    <w:p w:rsidR="00B2440E" w:rsidRPr="00B66E0D" w:rsidRDefault="00BE28A3" w:rsidP="00C05F09">
      <w:pPr>
        <w:pStyle w:val="NormalWeb"/>
        <w:numPr>
          <w:ilvl w:val="0"/>
          <w:numId w:val="1"/>
        </w:numPr>
        <w:spacing w:before="120" w:beforeAutospacing="0" w:after="120" w:afterAutospacing="0" w:line="480" w:lineRule="auto"/>
        <w:ind w:left="720"/>
        <w:jc w:val="both"/>
        <w:outlineLvl w:val="2"/>
        <w:rPr>
          <w:b/>
          <w:u w:val="single"/>
        </w:rPr>
      </w:pPr>
      <w:r>
        <w:rPr>
          <w:b/>
          <w:u w:val="single"/>
        </w:rPr>
        <w:t>PATTERN OF OUTAGES AND INFRASTRUCTURE FAILURES</w:t>
      </w:r>
    </w:p>
    <w:p w:rsidR="007D41CF" w:rsidRPr="00A226BC" w:rsidRDefault="007D41CF" w:rsidP="00270ECC">
      <w:pPr>
        <w:pStyle w:val="NormalWeb"/>
        <w:numPr>
          <w:ilvl w:val="1"/>
          <w:numId w:val="1"/>
        </w:numPr>
        <w:spacing w:before="120" w:beforeAutospacing="0" w:after="120" w:afterAutospacing="0" w:line="480" w:lineRule="auto"/>
        <w:ind w:left="1170" w:hanging="450"/>
        <w:jc w:val="both"/>
        <w:outlineLvl w:val="2"/>
        <w:rPr>
          <w:u w:val="single"/>
        </w:rPr>
      </w:pPr>
      <w:r w:rsidRPr="00A226BC">
        <w:rPr>
          <w:u w:val="single"/>
        </w:rPr>
        <w:t xml:space="preserve">Prior Outages and </w:t>
      </w:r>
      <w:r w:rsidR="009A3F37" w:rsidRPr="00A226BC">
        <w:rPr>
          <w:u w:val="single"/>
        </w:rPr>
        <w:t>Official</w:t>
      </w:r>
      <w:r w:rsidRPr="00A226BC">
        <w:rPr>
          <w:u w:val="single"/>
        </w:rPr>
        <w:t xml:space="preserve"> Investigations</w:t>
      </w:r>
    </w:p>
    <w:p w:rsidR="00B65193" w:rsidRPr="00B66E0D" w:rsidRDefault="006F6FCD" w:rsidP="00B66E0D">
      <w:pPr>
        <w:pStyle w:val="NormalWeb"/>
        <w:spacing w:before="120" w:beforeAutospacing="0" w:after="120" w:afterAutospacing="0" w:line="480" w:lineRule="auto"/>
        <w:ind w:firstLine="720"/>
        <w:jc w:val="both"/>
        <w:outlineLvl w:val="2"/>
      </w:pPr>
      <w:r w:rsidRPr="00B66E0D">
        <w:t>The power outages experienced by New Yorkers in the summer of 2019 w</w:t>
      </w:r>
      <w:r w:rsidR="00F078D1">
        <w:t>ere</w:t>
      </w:r>
      <w:r w:rsidRPr="00B66E0D">
        <w:t xml:space="preserve">, unfortunately, not a unique experience. </w:t>
      </w:r>
      <w:r w:rsidR="003B369A" w:rsidRPr="00B66E0D">
        <w:t xml:space="preserve">Con Ed has a history of failing to </w:t>
      </w:r>
      <w:r w:rsidR="00726999" w:rsidRPr="00B66E0D">
        <w:t xml:space="preserve">meet the City’s demand for electricity, due to a raft </w:t>
      </w:r>
      <w:r w:rsidR="003B369A" w:rsidRPr="00B66E0D">
        <w:t>of systemic failures</w:t>
      </w:r>
      <w:r w:rsidR="00E7274B" w:rsidRPr="00B66E0D">
        <w:t xml:space="preserve">. For example, in early 2000, </w:t>
      </w:r>
      <w:r w:rsidR="007942B9">
        <w:t xml:space="preserve">then </w:t>
      </w:r>
      <w:r w:rsidR="00E7274B" w:rsidRPr="00B66E0D">
        <w:t xml:space="preserve">New York Attorney General Eliot Spitzer published a report examining Con Ed’s service outages </w:t>
      </w:r>
      <w:r w:rsidR="007942B9">
        <w:t>in the</w:t>
      </w:r>
      <w:r w:rsidR="00E7274B" w:rsidRPr="00B66E0D">
        <w:t xml:space="preserve"> summer</w:t>
      </w:r>
      <w:r w:rsidR="007942B9">
        <w:t xml:space="preserve"> of 1999</w:t>
      </w:r>
      <w:r w:rsidR="00E7274B" w:rsidRPr="00B66E0D">
        <w:t>.</w:t>
      </w:r>
      <w:r w:rsidR="00DE3154" w:rsidRPr="00B66E0D">
        <w:t xml:space="preserve"> </w:t>
      </w:r>
      <w:r w:rsidR="00280F5E">
        <w:t>In</w:t>
      </w:r>
      <w:r w:rsidR="00DE3154" w:rsidRPr="00B66E0D">
        <w:t xml:space="preserve"> 1999, hundreds of thousands of Con Ed’s customers lost power during a heat wave.</w:t>
      </w:r>
      <w:r w:rsidR="00F71211" w:rsidRPr="00B66E0D">
        <w:rPr>
          <w:rStyle w:val="FootnoteReference"/>
        </w:rPr>
        <w:footnoteReference w:id="53"/>
      </w:r>
      <w:r w:rsidR="00DE3154" w:rsidRPr="00B66E0D">
        <w:t xml:space="preserve"> The most severe</w:t>
      </w:r>
      <w:r w:rsidR="009A3F37">
        <w:t xml:space="preserve">ly </w:t>
      </w:r>
      <w:r w:rsidR="00DE3154" w:rsidRPr="00B66E0D">
        <w:t xml:space="preserve">hit neighborhood was Washington Heights where </w:t>
      </w:r>
      <w:r w:rsidR="00F71211" w:rsidRPr="00B66E0D">
        <w:t>about 200,000 people had no power for 18 hours, after Con Ed cut their service</w:t>
      </w:r>
      <w:r w:rsidR="007C34E8" w:rsidRPr="00B66E0D">
        <w:t xml:space="preserve"> to preserve equipment</w:t>
      </w:r>
      <w:r w:rsidR="00F71211" w:rsidRPr="00B66E0D">
        <w:t>.</w:t>
      </w:r>
      <w:r w:rsidR="00F71211" w:rsidRPr="00B66E0D">
        <w:rPr>
          <w:rStyle w:val="FootnoteReference"/>
        </w:rPr>
        <w:footnoteReference w:id="54"/>
      </w:r>
      <w:r w:rsidR="00F71211" w:rsidRPr="00B66E0D">
        <w:t xml:space="preserve"> </w:t>
      </w:r>
      <w:r w:rsidR="00280F5E">
        <w:t>T</w:t>
      </w:r>
      <w:r w:rsidR="00F71211" w:rsidRPr="00B66E0D">
        <w:t xml:space="preserve">he Attorney General’s office determined that </w:t>
      </w:r>
      <w:r w:rsidR="007C34E8" w:rsidRPr="00B66E0D">
        <w:t xml:space="preserve">Con Ed customers lost power because numerous elements of Con Ed’s electricity </w:t>
      </w:r>
      <w:r w:rsidR="008E7403" w:rsidRPr="00B66E0D">
        <w:t>supply system failed and that their preparations for the heat wave were inadequate.</w:t>
      </w:r>
      <w:r w:rsidR="008E7403" w:rsidRPr="00B66E0D">
        <w:rPr>
          <w:rStyle w:val="FootnoteReference"/>
        </w:rPr>
        <w:footnoteReference w:id="55"/>
      </w:r>
      <w:r w:rsidR="006E2AE6" w:rsidRPr="00B66E0D">
        <w:t xml:space="preserve"> </w:t>
      </w:r>
    </w:p>
    <w:p w:rsidR="00F078D1" w:rsidRPr="00B66E0D" w:rsidRDefault="00F078D1" w:rsidP="00F078D1">
      <w:pPr>
        <w:pStyle w:val="NormalWeb"/>
        <w:spacing w:before="120" w:beforeAutospacing="0" w:after="120" w:afterAutospacing="0" w:line="480" w:lineRule="auto"/>
        <w:ind w:firstLine="720"/>
        <w:jc w:val="both"/>
        <w:outlineLvl w:val="2"/>
      </w:pPr>
      <w:r>
        <w:t>In their analysis of Con Ed’s preparedness for the summer cooling season, the Attorney General’s Office concluded that the measures Con Ed undertook were severely inadequate. For instance, they found that Con Ed had failed to identify and repair or replace portions of their underground system that were highly susceptible to damage during the hot weather.</w:t>
      </w:r>
      <w:r>
        <w:rPr>
          <w:rStyle w:val="FootnoteReference"/>
        </w:rPr>
        <w:footnoteReference w:id="56"/>
      </w:r>
      <w:r>
        <w:t xml:space="preserve"> The Attorney General’s report also found that the </w:t>
      </w:r>
      <w:r w:rsidR="008D0709">
        <w:t xml:space="preserve">system </w:t>
      </w:r>
      <w:r>
        <w:t xml:space="preserve">testing system utilized by Con Ed, which was meant to identify vulnerable feeder cables, was unable to predict the kinds of outages that ultimately occurred. According to the report, Con Ed conducted a myriad of tests on the feeders in Washington Heights, and all passed. Despite these results, seven of the thirteen feed cables failed in that neighborhood. </w:t>
      </w:r>
      <w:r w:rsidR="00270ECC">
        <w:t>At the time, t</w:t>
      </w:r>
      <w:r>
        <w:t xml:space="preserve">he inherent flaw in the testing method </w:t>
      </w:r>
      <w:r w:rsidR="00270ECC">
        <w:t>wa</w:t>
      </w:r>
      <w:r>
        <w:t>s that it provide</w:t>
      </w:r>
      <w:r w:rsidR="00270ECC">
        <w:t>d</w:t>
      </w:r>
      <w:r>
        <w:t xml:space="preserve"> either a pass or fail reading, but d</w:t>
      </w:r>
      <w:r w:rsidR="00270ECC">
        <w:t>id</w:t>
      </w:r>
      <w:r>
        <w:t xml:space="preserve"> nothing to show how vulnerable the cables </w:t>
      </w:r>
      <w:r w:rsidR="00270ECC">
        <w:t>were</w:t>
      </w:r>
      <w:r>
        <w:t xml:space="preserve"> to failure, and therefore provide</w:t>
      </w:r>
      <w:r w:rsidR="00270ECC">
        <w:t>d</w:t>
      </w:r>
      <w:r>
        <w:t xml:space="preserve"> a false sense of security.</w:t>
      </w:r>
      <w:r>
        <w:rPr>
          <w:rStyle w:val="FootnoteReference"/>
        </w:rPr>
        <w:footnoteReference w:id="57"/>
      </w:r>
      <w:r>
        <w:t xml:space="preserve"> The Attorney General recommended Con Ed update its testing system to provide more nuanced results or, if no such tests exist, Con Ed should publicly state that fact and propose alternative means of identifying potentially defective equipment.</w:t>
      </w:r>
      <w:r>
        <w:rPr>
          <w:rStyle w:val="FootnoteReference"/>
        </w:rPr>
        <w:footnoteReference w:id="58"/>
      </w:r>
      <w:r>
        <w:t xml:space="preserve"> </w:t>
      </w:r>
    </w:p>
    <w:p w:rsidR="00F078D1" w:rsidRPr="00B66E0D" w:rsidRDefault="00F078D1" w:rsidP="00F078D1">
      <w:pPr>
        <w:pStyle w:val="NormalWeb"/>
        <w:spacing w:before="120" w:beforeAutospacing="0" w:after="120" w:afterAutospacing="0" w:line="480" w:lineRule="auto"/>
        <w:ind w:firstLine="720"/>
        <w:jc w:val="both"/>
        <w:outlineLvl w:val="2"/>
      </w:pPr>
      <w:r>
        <w:t>Since 1999,</w:t>
      </w:r>
      <w:r w:rsidRPr="00B66E0D">
        <w:t xml:space="preserve"> Con Ed’s New York City customers have experienced </w:t>
      </w:r>
      <w:r>
        <w:t xml:space="preserve">other </w:t>
      </w:r>
      <w:r w:rsidRPr="00B66E0D">
        <w:t>major outages</w:t>
      </w:r>
      <w:r>
        <w:t xml:space="preserve">. In 2003, </w:t>
      </w:r>
      <w:r w:rsidR="009A3F37">
        <w:t>an</w:t>
      </w:r>
      <w:r>
        <w:t xml:space="preserve"> outage </w:t>
      </w:r>
      <w:r w:rsidR="00270ECC">
        <w:t xml:space="preserve">hit the whole City and </w:t>
      </w:r>
      <w:r>
        <w:t>lasted 29 hours. The 2006 outage, which mainly hit Queens, lasted eight days,</w:t>
      </w:r>
      <w:r w:rsidRPr="00B66E0D">
        <w:t xml:space="preserve"> and </w:t>
      </w:r>
      <w:r>
        <w:t xml:space="preserve">in 2012, </w:t>
      </w:r>
      <w:r w:rsidRPr="00B66E0D">
        <w:t xml:space="preserve">after </w:t>
      </w:r>
      <w:r>
        <w:t>S</w:t>
      </w:r>
      <w:r w:rsidRPr="00B66E0D">
        <w:t xml:space="preserve">uperstorm </w:t>
      </w:r>
      <w:r>
        <w:t xml:space="preserve">Sandy, numerous parts of the City experienced outages for days </w:t>
      </w:r>
      <w:r w:rsidR="009A3F37">
        <w:t>or</w:t>
      </w:r>
      <w:r>
        <w:t xml:space="preserve"> weeks</w:t>
      </w:r>
      <w:r w:rsidRPr="00B66E0D">
        <w:t>.</w:t>
      </w:r>
      <w:r>
        <w:rPr>
          <w:rStyle w:val="FootnoteReference"/>
        </w:rPr>
        <w:footnoteReference w:id="59"/>
      </w:r>
      <w:r w:rsidRPr="00B66E0D">
        <w:t xml:space="preserve"> </w:t>
      </w:r>
      <w:r>
        <w:t>Like the 1999 and 2019 outages, all of the</w:t>
      </w:r>
      <w:r w:rsidRPr="00B66E0D">
        <w:t xml:space="preserve"> blackouts </w:t>
      </w:r>
      <w:r>
        <w:t xml:space="preserve">in between </w:t>
      </w:r>
      <w:r w:rsidRPr="00B66E0D">
        <w:t>were deemed to have been caused by various types of equipment failures.</w:t>
      </w:r>
      <w:r w:rsidRPr="00B66E0D">
        <w:rPr>
          <w:rStyle w:val="FootnoteReference"/>
        </w:rPr>
        <w:footnoteReference w:id="60"/>
      </w:r>
      <w:r w:rsidRPr="00B66E0D">
        <w:t xml:space="preserve"> </w:t>
      </w:r>
    </w:p>
    <w:p w:rsidR="00F078D1" w:rsidRDefault="00F078D1" w:rsidP="00F078D1">
      <w:pPr>
        <w:pStyle w:val="NormalWeb"/>
        <w:spacing w:before="120" w:beforeAutospacing="0" w:after="120" w:afterAutospacing="0" w:line="480" w:lineRule="auto"/>
        <w:ind w:firstLine="720"/>
        <w:jc w:val="both"/>
        <w:outlineLvl w:val="2"/>
      </w:pPr>
      <w:r>
        <w:t xml:space="preserve">In early 2007, the </w:t>
      </w:r>
      <w:r w:rsidR="001554AA">
        <w:t xml:space="preserve">New York State </w:t>
      </w:r>
      <w:r>
        <w:t>Department of Public Service (DPS) produced a report examining the causes and Con Ed’s response to the 2006 Queens blackout. The events leading up to the 2006 outages parallel the situation leading up the 2019 outages. In 2006, extremely high temperatures were predicted to hit the City and demand for electricity was expected grow. In preparation, Con Ed increased its workforce, as it did in 2019, and prepared itself for quickly addressing any technical difficulties.</w:t>
      </w:r>
      <w:r>
        <w:rPr>
          <w:rStyle w:val="FootnoteReference"/>
        </w:rPr>
        <w:footnoteReference w:id="61"/>
      </w:r>
      <w:r>
        <w:t xml:space="preserve"> Despite their efforts, however, Con Ed equipment failed spectacularly, and it left approximately 174,000 people without power or with reduced voltage for more than a week.</w:t>
      </w:r>
      <w:r>
        <w:rPr>
          <w:rStyle w:val="FootnoteReference"/>
        </w:rPr>
        <w:footnoteReference w:id="62"/>
      </w:r>
    </w:p>
    <w:p w:rsidR="00F078D1" w:rsidRDefault="00F078D1" w:rsidP="00F078D1">
      <w:pPr>
        <w:pStyle w:val="NormalWeb"/>
        <w:spacing w:before="120" w:beforeAutospacing="0" w:after="120" w:afterAutospacing="0" w:line="480" w:lineRule="auto"/>
        <w:ind w:firstLine="720"/>
        <w:jc w:val="both"/>
        <w:outlineLvl w:val="2"/>
      </w:pPr>
      <w:r>
        <w:t xml:space="preserve">According to Con Ed, the failures in Queens were due to three unrelated events: a fire in an underground conduit; malfunctions in a substation breaker; and an excessive current surge caused when equipment </w:t>
      </w:r>
      <w:r w:rsidR="009A3F37">
        <w:t>wa</w:t>
      </w:r>
      <w:r>
        <w:t>s suddenly turned on.</w:t>
      </w:r>
      <w:r>
        <w:rPr>
          <w:rStyle w:val="FootnoteReference"/>
        </w:rPr>
        <w:footnoteReference w:id="63"/>
      </w:r>
      <w:r>
        <w:t xml:space="preserve"> However, </w:t>
      </w:r>
      <w:r w:rsidR="001554AA">
        <w:t>DPS</w:t>
      </w:r>
      <w:r>
        <w:t xml:space="preserve"> </w:t>
      </w:r>
      <w:r w:rsidR="00BE28A3">
        <w:t xml:space="preserve">attributed the outages to </w:t>
      </w:r>
      <w:r>
        <w:t xml:space="preserve"> “</w:t>
      </w:r>
      <w:r w:rsidRPr="00A50F29">
        <w:t>the Company’s failure to confront and resolve a multitude of issues associated with its operation, maintenance, and oversight of the network and to recognize and take effective action to limit the extent of the cascading system damage and the resulting consumer impacts</w:t>
      </w:r>
      <w:r>
        <w:t>.”</w:t>
      </w:r>
      <w:r>
        <w:rPr>
          <w:rStyle w:val="FootnoteReference"/>
        </w:rPr>
        <w:footnoteReference w:id="64"/>
      </w:r>
      <w:r>
        <w:t xml:space="preserve"> According to the DPS report, Con Ed’s monitoring system was “woefully inadequate” and that the corrosion of Con Ed’s underground transformers in the network were “alarming</w:t>
      </w:r>
      <w:r w:rsidR="007114D7">
        <w:t>.</w:t>
      </w:r>
      <w:r>
        <w:t>”</w:t>
      </w:r>
      <w:r>
        <w:rPr>
          <w:rStyle w:val="FootnoteReference"/>
        </w:rPr>
        <w:footnoteReference w:id="65"/>
      </w:r>
    </w:p>
    <w:p w:rsidR="00F413C2" w:rsidRPr="00C30D34" w:rsidRDefault="008D0709" w:rsidP="004A06FC">
      <w:pPr>
        <w:pStyle w:val="ListParagraph"/>
        <w:numPr>
          <w:ilvl w:val="1"/>
          <w:numId w:val="1"/>
        </w:numPr>
        <w:spacing w:line="480" w:lineRule="auto"/>
        <w:ind w:left="1080"/>
        <w:jc w:val="both"/>
        <w:rPr>
          <w:rFonts w:ascii="Times New Roman" w:hAnsi="Times New Roman" w:cs="Times New Roman"/>
          <w:u w:val="single"/>
        </w:rPr>
      </w:pPr>
      <w:r>
        <w:rPr>
          <w:rFonts w:ascii="Times New Roman" w:hAnsi="Times New Roman" w:cs="Times New Roman"/>
          <w:u w:val="single"/>
        </w:rPr>
        <w:t xml:space="preserve">Continued </w:t>
      </w:r>
      <w:r w:rsidR="00F413C2" w:rsidRPr="00C30D34">
        <w:rPr>
          <w:rFonts w:ascii="Times New Roman" w:hAnsi="Times New Roman" w:cs="Times New Roman"/>
          <w:u w:val="single"/>
        </w:rPr>
        <w:t xml:space="preserve">Failures to </w:t>
      </w:r>
      <w:r>
        <w:rPr>
          <w:rFonts w:ascii="Times New Roman" w:hAnsi="Times New Roman" w:cs="Times New Roman"/>
          <w:u w:val="single"/>
        </w:rPr>
        <w:t xml:space="preserve">Maintain, </w:t>
      </w:r>
      <w:r w:rsidR="00F413C2" w:rsidRPr="00C30D34">
        <w:rPr>
          <w:rFonts w:ascii="Times New Roman" w:hAnsi="Times New Roman" w:cs="Times New Roman"/>
          <w:u w:val="single"/>
        </w:rPr>
        <w:t>Upgrade</w:t>
      </w:r>
      <w:r w:rsidR="00F413C2">
        <w:rPr>
          <w:rFonts w:ascii="Times New Roman" w:hAnsi="Times New Roman" w:cs="Times New Roman"/>
          <w:u w:val="single"/>
        </w:rPr>
        <w:t xml:space="preserve"> and Modernize</w:t>
      </w:r>
      <w:r w:rsidR="00F413C2" w:rsidRPr="00C30D34">
        <w:rPr>
          <w:rFonts w:ascii="Times New Roman" w:hAnsi="Times New Roman" w:cs="Times New Roman"/>
          <w:u w:val="single"/>
        </w:rPr>
        <w:t xml:space="preserve"> Infrastructure</w:t>
      </w:r>
    </w:p>
    <w:p w:rsidR="00F078D1" w:rsidRDefault="00F078D1" w:rsidP="00F078D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Documents </w:t>
      </w:r>
      <w:r w:rsidR="002A5412">
        <w:rPr>
          <w:rFonts w:ascii="Times New Roman" w:hAnsi="Times New Roman" w:cs="Times New Roman"/>
          <w:sz w:val="24"/>
          <w:szCs w:val="24"/>
        </w:rPr>
        <w:t>submitted to</w:t>
      </w:r>
      <w:r>
        <w:rPr>
          <w:rFonts w:ascii="Times New Roman" w:hAnsi="Times New Roman" w:cs="Times New Roman"/>
          <w:sz w:val="24"/>
          <w:szCs w:val="24"/>
        </w:rPr>
        <w:t xml:space="preserve"> the PSC during the </w:t>
      </w:r>
      <w:r w:rsidR="00392907">
        <w:rPr>
          <w:rFonts w:ascii="Times New Roman" w:hAnsi="Times New Roman" w:cs="Times New Roman"/>
          <w:sz w:val="24"/>
          <w:szCs w:val="24"/>
        </w:rPr>
        <w:t>current 2019</w:t>
      </w:r>
      <w:r w:rsidR="00BE28A3">
        <w:rPr>
          <w:rFonts w:ascii="Times New Roman" w:hAnsi="Times New Roman" w:cs="Times New Roman"/>
          <w:sz w:val="24"/>
          <w:szCs w:val="24"/>
        </w:rPr>
        <w:t xml:space="preserve"> </w:t>
      </w:r>
      <w:r>
        <w:rPr>
          <w:rFonts w:ascii="Times New Roman" w:hAnsi="Times New Roman" w:cs="Times New Roman"/>
          <w:sz w:val="24"/>
          <w:szCs w:val="24"/>
        </w:rPr>
        <w:t xml:space="preserve">rate case further illustrate Con Ed’s failures to upgrade system infrastructure, despite </w:t>
      </w:r>
      <w:r w:rsidR="00197B22">
        <w:rPr>
          <w:rFonts w:ascii="Times New Roman" w:hAnsi="Times New Roman" w:cs="Times New Roman"/>
          <w:sz w:val="24"/>
          <w:szCs w:val="24"/>
        </w:rPr>
        <w:t xml:space="preserve">the company justifying </w:t>
      </w:r>
      <w:r>
        <w:rPr>
          <w:rFonts w:ascii="Times New Roman" w:hAnsi="Times New Roman" w:cs="Times New Roman"/>
          <w:sz w:val="24"/>
          <w:szCs w:val="24"/>
        </w:rPr>
        <w:t xml:space="preserve">rate increases </w:t>
      </w:r>
      <w:r w:rsidR="00197B22">
        <w:rPr>
          <w:rFonts w:ascii="Times New Roman" w:hAnsi="Times New Roman" w:cs="Times New Roman"/>
          <w:sz w:val="24"/>
          <w:szCs w:val="24"/>
        </w:rPr>
        <w:t xml:space="preserve">with </w:t>
      </w:r>
      <w:r>
        <w:rPr>
          <w:rFonts w:ascii="Times New Roman" w:hAnsi="Times New Roman" w:cs="Times New Roman"/>
          <w:sz w:val="24"/>
          <w:szCs w:val="24"/>
        </w:rPr>
        <w:t>costs</w:t>
      </w:r>
      <w:r w:rsidR="00197B22">
        <w:rPr>
          <w:rFonts w:ascii="Times New Roman" w:hAnsi="Times New Roman" w:cs="Times New Roman"/>
          <w:sz w:val="24"/>
          <w:szCs w:val="24"/>
        </w:rPr>
        <w:t xml:space="preserve"> for such upgrades</w:t>
      </w:r>
      <w:r w:rsidRPr="00CE3221">
        <w:rPr>
          <w:rFonts w:ascii="Times New Roman" w:hAnsi="Times New Roman" w:cs="Times New Roman"/>
          <w:sz w:val="24"/>
          <w:szCs w:val="24"/>
        </w:rPr>
        <w:t>.</w:t>
      </w:r>
      <w:r w:rsidRPr="00CE3221">
        <w:rPr>
          <w:rFonts w:ascii="Times New Roman" w:hAnsi="Times New Roman" w:cs="Times New Roman"/>
          <w:sz w:val="24"/>
          <w:szCs w:val="24"/>
          <w:vertAlign w:val="superscript"/>
        </w:rPr>
        <w:footnoteReference w:id="66"/>
      </w:r>
      <w:r w:rsidRPr="00CE3221">
        <w:rPr>
          <w:rFonts w:ascii="Times New Roman" w:hAnsi="Times New Roman" w:cs="Times New Roman"/>
          <w:sz w:val="24"/>
          <w:szCs w:val="24"/>
        </w:rPr>
        <w:t xml:space="preserve"> The Manhattan blackout that occurred on July 13, 2019, was reportedly caused by the failure of both the primary and backup relay systems at the West 65</w:t>
      </w:r>
      <w:r w:rsidRPr="00CE3221">
        <w:rPr>
          <w:rFonts w:ascii="Times New Roman" w:hAnsi="Times New Roman" w:cs="Times New Roman"/>
          <w:sz w:val="24"/>
          <w:szCs w:val="24"/>
          <w:vertAlign w:val="superscript"/>
        </w:rPr>
        <w:t>th</w:t>
      </w:r>
      <w:r w:rsidRPr="00CE3221">
        <w:rPr>
          <w:rFonts w:ascii="Times New Roman" w:hAnsi="Times New Roman" w:cs="Times New Roman"/>
          <w:sz w:val="24"/>
          <w:szCs w:val="24"/>
        </w:rPr>
        <w:t xml:space="preserve"> Street substation.</w:t>
      </w:r>
      <w:r w:rsidRPr="00CE3221">
        <w:rPr>
          <w:rFonts w:ascii="Times New Roman" w:hAnsi="Times New Roman" w:cs="Times New Roman"/>
          <w:sz w:val="24"/>
          <w:szCs w:val="24"/>
          <w:vertAlign w:val="superscript"/>
        </w:rPr>
        <w:footnoteReference w:id="67"/>
      </w:r>
      <w:r w:rsidRPr="00CE3221">
        <w:rPr>
          <w:rFonts w:ascii="Times New Roman" w:hAnsi="Times New Roman" w:cs="Times New Roman"/>
          <w:sz w:val="24"/>
          <w:szCs w:val="24"/>
        </w:rPr>
        <w:t xml:space="preserve"> The failure at the 65</w:t>
      </w:r>
      <w:r w:rsidRPr="00CE3221">
        <w:rPr>
          <w:rFonts w:ascii="Times New Roman" w:hAnsi="Times New Roman" w:cs="Times New Roman"/>
          <w:sz w:val="24"/>
          <w:szCs w:val="24"/>
          <w:vertAlign w:val="superscript"/>
        </w:rPr>
        <w:t>th</w:t>
      </w:r>
      <w:r w:rsidRPr="00CE3221">
        <w:rPr>
          <w:rFonts w:ascii="Times New Roman" w:hAnsi="Times New Roman" w:cs="Times New Roman"/>
          <w:sz w:val="24"/>
          <w:szCs w:val="24"/>
        </w:rPr>
        <w:t xml:space="preserve"> street substation led to the failure of a second substation, located at the West 49</w:t>
      </w:r>
      <w:r w:rsidRPr="00CE3221">
        <w:rPr>
          <w:rFonts w:ascii="Times New Roman" w:hAnsi="Times New Roman" w:cs="Times New Roman"/>
          <w:sz w:val="24"/>
          <w:szCs w:val="24"/>
          <w:vertAlign w:val="superscript"/>
        </w:rPr>
        <w:t>th</w:t>
      </w:r>
      <w:r w:rsidRPr="00CE3221">
        <w:rPr>
          <w:rFonts w:ascii="Times New Roman" w:hAnsi="Times New Roman" w:cs="Times New Roman"/>
          <w:sz w:val="24"/>
          <w:szCs w:val="24"/>
        </w:rPr>
        <w:t xml:space="preserve"> Street substation.</w:t>
      </w:r>
      <w:r w:rsidRPr="00CE3221">
        <w:rPr>
          <w:rFonts w:ascii="Times New Roman" w:hAnsi="Times New Roman" w:cs="Times New Roman"/>
          <w:sz w:val="24"/>
          <w:szCs w:val="24"/>
          <w:vertAlign w:val="superscript"/>
        </w:rPr>
        <w:footnoteReference w:id="68"/>
      </w:r>
      <w:r w:rsidRPr="00CE3221">
        <w:rPr>
          <w:rFonts w:ascii="Times New Roman" w:hAnsi="Times New Roman" w:cs="Times New Roman"/>
          <w:sz w:val="24"/>
          <w:szCs w:val="24"/>
        </w:rPr>
        <w:t xml:space="preserve"> A filing submitted as part of Con Ed’s Report on 2013 Capital Expenditures</w:t>
      </w:r>
      <w:r>
        <w:rPr>
          <w:rFonts w:ascii="Times New Roman" w:hAnsi="Times New Roman" w:cs="Times New Roman"/>
          <w:sz w:val="24"/>
          <w:szCs w:val="24"/>
        </w:rPr>
        <w:t xml:space="preserve"> noted that 90 percent</w:t>
      </w:r>
      <w:r w:rsidRPr="00CE3221">
        <w:rPr>
          <w:rFonts w:ascii="Times New Roman" w:hAnsi="Times New Roman" w:cs="Times New Roman"/>
          <w:sz w:val="24"/>
          <w:szCs w:val="24"/>
        </w:rPr>
        <w:t xml:space="preserve"> of Con Ed’s relays at the time were of the electromechanical variety, an obsolete technology, which in their own words, were “prone to mis-operate, causing unnecessary trips</w:t>
      </w:r>
      <w:r>
        <w:rPr>
          <w:rFonts w:ascii="Times New Roman" w:hAnsi="Times New Roman" w:cs="Times New Roman"/>
          <w:sz w:val="24"/>
          <w:szCs w:val="24"/>
        </w:rPr>
        <w:t>,</w:t>
      </w:r>
      <w:r w:rsidRPr="00CE3221">
        <w:rPr>
          <w:rFonts w:ascii="Times New Roman" w:hAnsi="Times New Roman" w:cs="Times New Roman"/>
          <w:sz w:val="24"/>
          <w:szCs w:val="24"/>
        </w:rPr>
        <w:t>” and for which replacement parts had been out of production for 20 years.</w:t>
      </w:r>
      <w:r w:rsidRPr="00CE3221">
        <w:rPr>
          <w:rFonts w:ascii="Times New Roman" w:hAnsi="Times New Roman" w:cs="Times New Roman"/>
          <w:sz w:val="24"/>
          <w:szCs w:val="24"/>
          <w:vertAlign w:val="superscript"/>
        </w:rPr>
        <w:footnoteReference w:id="69"/>
      </w:r>
      <w:r w:rsidRPr="00CE3221">
        <w:rPr>
          <w:rFonts w:ascii="Times New Roman" w:hAnsi="Times New Roman" w:cs="Times New Roman"/>
          <w:sz w:val="24"/>
          <w:szCs w:val="24"/>
        </w:rPr>
        <w:t xml:space="preserve"> </w:t>
      </w:r>
      <w:r>
        <w:rPr>
          <w:rFonts w:ascii="Times New Roman" w:hAnsi="Times New Roman" w:cs="Times New Roman"/>
          <w:sz w:val="24"/>
          <w:szCs w:val="24"/>
        </w:rPr>
        <w:t xml:space="preserve">However, a </w:t>
      </w:r>
      <w:r w:rsidRPr="00CE3221">
        <w:rPr>
          <w:rFonts w:ascii="Times New Roman" w:hAnsi="Times New Roman" w:cs="Times New Roman"/>
          <w:sz w:val="24"/>
          <w:szCs w:val="24"/>
        </w:rPr>
        <w:t>list of substation operations capital projects the company submitted in 20</w:t>
      </w:r>
      <w:r>
        <w:rPr>
          <w:rFonts w:ascii="Times New Roman" w:hAnsi="Times New Roman" w:cs="Times New Roman"/>
          <w:sz w:val="24"/>
          <w:szCs w:val="24"/>
        </w:rPr>
        <w:t>09 identified $40 million</w:t>
      </w:r>
      <w:r w:rsidRPr="00CE3221">
        <w:rPr>
          <w:rFonts w:ascii="Times New Roman" w:hAnsi="Times New Roman" w:cs="Times New Roman"/>
          <w:sz w:val="24"/>
          <w:szCs w:val="24"/>
        </w:rPr>
        <w:t xml:space="preserve"> in funds earmarked for substation relay upgrades.</w:t>
      </w:r>
      <w:r w:rsidRPr="00CE3221">
        <w:rPr>
          <w:rFonts w:ascii="Times New Roman" w:hAnsi="Times New Roman" w:cs="Times New Roman"/>
          <w:sz w:val="24"/>
          <w:szCs w:val="24"/>
          <w:vertAlign w:val="superscript"/>
        </w:rPr>
        <w:footnoteReference w:id="70"/>
      </w:r>
      <w:r w:rsidRPr="00CE3221">
        <w:rPr>
          <w:rFonts w:ascii="Times New Roman" w:hAnsi="Times New Roman" w:cs="Times New Roman"/>
          <w:sz w:val="24"/>
          <w:szCs w:val="24"/>
        </w:rPr>
        <w:t xml:space="preserve"> Con Ed’s 2012 rate plan fil</w:t>
      </w:r>
      <w:r>
        <w:rPr>
          <w:rFonts w:ascii="Times New Roman" w:hAnsi="Times New Roman" w:cs="Times New Roman"/>
          <w:sz w:val="24"/>
          <w:szCs w:val="24"/>
        </w:rPr>
        <w:t>ing requested $26 million</w:t>
      </w:r>
      <w:r w:rsidRPr="00CE3221">
        <w:rPr>
          <w:rFonts w:ascii="Times New Roman" w:hAnsi="Times New Roman" w:cs="Times New Roman"/>
          <w:sz w:val="24"/>
          <w:szCs w:val="24"/>
        </w:rPr>
        <w:t xml:space="preserve"> for substation relay upgrades, budgeted </w:t>
      </w:r>
      <w:r>
        <w:rPr>
          <w:rFonts w:ascii="Times New Roman" w:hAnsi="Times New Roman" w:cs="Times New Roman"/>
          <w:sz w:val="24"/>
          <w:szCs w:val="24"/>
        </w:rPr>
        <w:t>$</w:t>
      </w:r>
      <w:r w:rsidRPr="00CE3221">
        <w:rPr>
          <w:rFonts w:ascii="Times New Roman" w:hAnsi="Times New Roman" w:cs="Times New Roman"/>
          <w:sz w:val="24"/>
          <w:szCs w:val="24"/>
        </w:rPr>
        <w:t xml:space="preserve">3 million, and subsequently spent </w:t>
      </w:r>
      <w:r>
        <w:rPr>
          <w:rFonts w:ascii="Times New Roman" w:hAnsi="Times New Roman" w:cs="Times New Roman"/>
          <w:sz w:val="24"/>
          <w:szCs w:val="24"/>
        </w:rPr>
        <w:t>$0 o</w:t>
      </w:r>
      <w:r w:rsidRPr="00CE3221">
        <w:rPr>
          <w:rFonts w:ascii="Times New Roman" w:hAnsi="Times New Roman" w:cs="Times New Roman"/>
          <w:sz w:val="24"/>
          <w:szCs w:val="24"/>
        </w:rPr>
        <w:t>n these upgrades.</w:t>
      </w:r>
      <w:r w:rsidRPr="00CE3221">
        <w:rPr>
          <w:rFonts w:ascii="Times New Roman" w:hAnsi="Times New Roman" w:cs="Times New Roman"/>
          <w:sz w:val="24"/>
          <w:szCs w:val="24"/>
          <w:vertAlign w:val="superscript"/>
        </w:rPr>
        <w:footnoteReference w:id="71"/>
      </w:r>
      <w:r w:rsidRPr="00CE3221">
        <w:rPr>
          <w:rFonts w:ascii="Times New Roman" w:hAnsi="Times New Roman" w:cs="Times New Roman"/>
          <w:sz w:val="24"/>
          <w:szCs w:val="24"/>
        </w:rPr>
        <w:t xml:space="preserve"> The 2016 substation operations and capital budget requested and budgeted </w:t>
      </w:r>
      <w:r>
        <w:rPr>
          <w:rFonts w:ascii="Times New Roman" w:hAnsi="Times New Roman" w:cs="Times New Roman"/>
          <w:sz w:val="24"/>
          <w:szCs w:val="24"/>
        </w:rPr>
        <w:t xml:space="preserve">$1 million </w:t>
      </w:r>
      <w:r w:rsidRPr="00CE3221">
        <w:rPr>
          <w:rFonts w:ascii="Times New Roman" w:hAnsi="Times New Roman" w:cs="Times New Roman"/>
          <w:sz w:val="24"/>
          <w:szCs w:val="24"/>
        </w:rPr>
        <w:t xml:space="preserve">for relay protection communication upgrades, of which </w:t>
      </w:r>
      <w:r>
        <w:rPr>
          <w:rFonts w:ascii="Times New Roman" w:hAnsi="Times New Roman" w:cs="Times New Roman"/>
          <w:sz w:val="24"/>
          <w:szCs w:val="24"/>
        </w:rPr>
        <w:t xml:space="preserve">$0 </w:t>
      </w:r>
      <w:r w:rsidRPr="00CE3221">
        <w:rPr>
          <w:rFonts w:ascii="Times New Roman" w:hAnsi="Times New Roman" w:cs="Times New Roman"/>
          <w:sz w:val="24"/>
          <w:szCs w:val="24"/>
        </w:rPr>
        <w:t>were subsequently spent.</w:t>
      </w:r>
      <w:r w:rsidRPr="00CE3221">
        <w:rPr>
          <w:rFonts w:ascii="Times New Roman" w:hAnsi="Times New Roman" w:cs="Times New Roman"/>
          <w:sz w:val="24"/>
          <w:szCs w:val="24"/>
          <w:vertAlign w:val="superscript"/>
        </w:rPr>
        <w:footnoteReference w:id="72"/>
      </w:r>
    </w:p>
    <w:p w:rsidR="00AF1B52" w:rsidRDefault="00AF1B52" w:rsidP="00AF1B5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Similarly, i</w:t>
      </w:r>
      <w:r w:rsidRPr="004240FC">
        <w:rPr>
          <w:rFonts w:ascii="Times New Roman" w:hAnsi="Times New Roman" w:cs="Times New Roman"/>
          <w:sz w:val="24"/>
          <w:szCs w:val="24"/>
        </w:rPr>
        <w:t xml:space="preserve">n 2008, PSC approved a number of energy efficiency programs submitted from utility companies such as Con Ed.  In </w:t>
      </w:r>
      <w:r w:rsidR="00392907">
        <w:rPr>
          <w:rFonts w:ascii="Times New Roman" w:hAnsi="Times New Roman" w:cs="Times New Roman"/>
          <w:sz w:val="24"/>
          <w:szCs w:val="24"/>
        </w:rPr>
        <w:t>current rate case</w:t>
      </w:r>
      <w:r w:rsidRPr="004240FC">
        <w:rPr>
          <w:rFonts w:ascii="Times New Roman" w:hAnsi="Times New Roman" w:cs="Times New Roman"/>
          <w:sz w:val="24"/>
          <w:szCs w:val="24"/>
        </w:rPr>
        <w:t>, David Bomke, from the New York Energy Consumers Council, testified that Con Ed currently has more than $100 million in unspent funds from these programs that were collected from ratepayers between December 2007 and December 2015.</w:t>
      </w:r>
      <w:r w:rsidRPr="004240FC">
        <w:rPr>
          <w:rFonts w:ascii="Times New Roman" w:hAnsi="Times New Roman" w:cs="Times New Roman"/>
          <w:sz w:val="24"/>
          <w:szCs w:val="24"/>
          <w:vertAlign w:val="superscript"/>
        </w:rPr>
        <w:footnoteReference w:id="73"/>
      </w:r>
      <w:r w:rsidRPr="004240FC">
        <w:rPr>
          <w:rFonts w:ascii="Times New Roman" w:hAnsi="Times New Roman" w:cs="Times New Roman"/>
          <w:sz w:val="24"/>
          <w:szCs w:val="24"/>
        </w:rPr>
        <w:t xml:space="preserve">  </w:t>
      </w:r>
    </w:p>
    <w:p w:rsidR="007D41CF" w:rsidRPr="00E765C5" w:rsidRDefault="00F413C2" w:rsidP="00A226BC">
      <w:pPr>
        <w:spacing w:line="480" w:lineRule="auto"/>
        <w:ind w:firstLine="720"/>
        <w:jc w:val="both"/>
        <w:rPr>
          <w:rFonts w:ascii="Times New Roman" w:hAnsi="Times New Roman" w:cs="Times New Roman"/>
        </w:rPr>
      </w:pPr>
      <w:r>
        <w:rPr>
          <w:rFonts w:ascii="Times New Roman" w:hAnsi="Times New Roman" w:cs="Times New Roman"/>
          <w:sz w:val="24"/>
          <w:szCs w:val="24"/>
        </w:rPr>
        <w:t>A</w:t>
      </w:r>
      <w:r w:rsidR="00F078D1">
        <w:rPr>
          <w:rFonts w:ascii="Times New Roman" w:hAnsi="Times New Roman" w:cs="Times New Roman"/>
          <w:sz w:val="24"/>
          <w:szCs w:val="24"/>
        </w:rPr>
        <w:t xml:space="preserve"> Con Ed spokesperson recently reported that Con Ed spent $1.5 billion last year to upgrade its transformers and replace underground feeder cables. However, </w:t>
      </w:r>
      <w:r>
        <w:rPr>
          <w:rFonts w:ascii="Times New Roman" w:hAnsi="Times New Roman" w:cs="Times New Roman"/>
          <w:sz w:val="24"/>
          <w:szCs w:val="24"/>
        </w:rPr>
        <w:t xml:space="preserve">although this number appears significant, </w:t>
      </w:r>
      <w:r w:rsidR="00F078D1">
        <w:rPr>
          <w:rFonts w:ascii="Times New Roman" w:hAnsi="Times New Roman" w:cs="Times New Roman"/>
          <w:sz w:val="24"/>
          <w:szCs w:val="24"/>
        </w:rPr>
        <w:t xml:space="preserve">according to </w:t>
      </w:r>
      <w:r w:rsidR="00BE28A3">
        <w:rPr>
          <w:rFonts w:ascii="Times New Roman" w:hAnsi="Times New Roman" w:cs="Times New Roman"/>
          <w:sz w:val="24"/>
          <w:szCs w:val="24"/>
        </w:rPr>
        <w:t>experts</w:t>
      </w:r>
      <w:r w:rsidR="00F078D1">
        <w:rPr>
          <w:rFonts w:ascii="Times New Roman" w:hAnsi="Times New Roman" w:cs="Times New Roman"/>
          <w:sz w:val="24"/>
          <w:szCs w:val="24"/>
        </w:rPr>
        <w:t>, such upgrades are routine maintenance projects that utilities need to conduct to ensure that the grid keeps functioning.</w:t>
      </w:r>
      <w:r w:rsidR="00F078D1">
        <w:rPr>
          <w:rStyle w:val="FootnoteReference"/>
          <w:rFonts w:ascii="Times New Roman" w:hAnsi="Times New Roman" w:cs="Times New Roman"/>
          <w:sz w:val="24"/>
          <w:szCs w:val="24"/>
        </w:rPr>
        <w:footnoteReference w:id="74"/>
      </w:r>
      <w:r w:rsidR="00F078D1">
        <w:rPr>
          <w:rFonts w:ascii="Times New Roman" w:hAnsi="Times New Roman" w:cs="Times New Roman"/>
          <w:sz w:val="24"/>
          <w:szCs w:val="24"/>
        </w:rPr>
        <w:t xml:space="preserve"> </w:t>
      </w:r>
      <w:r>
        <w:rPr>
          <w:rFonts w:ascii="Times New Roman" w:hAnsi="Times New Roman" w:cs="Times New Roman"/>
          <w:sz w:val="24"/>
          <w:szCs w:val="24"/>
        </w:rPr>
        <w:t xml:space="preserve">Furthermore, Con Ed’s prioritization of projects and focus on replacing equipment </w:t>
      </w:r>
      <w:r w:rsidR="00197B22">
        <w:rPr>
          <w:rFonts w:ascii="Times New Roman" w:hAnsi="Times New Roman" w:cs="Times New Roman"/>
          <w:sz w:val="24"/>
          <w:szCs w:val="24"/>
        </w:rPr>
        <w:t>appears</w:t>
      </w:r>
      <w:r>
        <w:rPr>
          <w:rFonts w:ascii="Times New Roman" w:hAnsi="Times New Roman" w:cs="Times New Roman"/>
          <w:sz w:val="24"/>
          <w:szCs w:val="24"/>
        </w:rPr>
        <w:t xml:space="preserve"> insufficient to respond to the City’s increasing energy demands. </w:t>
      </w:r>
      <w:r w:rsidR="00F078D1" w:rsidRPr="00F413C2">
        <w:rPr>
          <w:rFonts w:ascii="Times New Roman" w:hAnsi="Times New Roman" w:cs="Times New Roman"/>
          <w:sz w:val="24"/>
          <w:szCs w:val="24"/>
        </w:rPr>
        <w:t xml:space="preserve">In their testimony on the recent rate case, witnesses testifying </w:t>
      </w:r>
      <w:r w:rsidR="00BE28A3">
        <w:rPr>
          <w:rFonts w:ascii="Times New Roman" w:hAnsi="Times New Roman" w:cs="Times New Roman"/>
          <w:sz w:val="24"/>
          <w:szCs w:val="24"/>
        </w:rPr>
        <w:t>o</w:t>
      </w:r>
      <w:r w:rsidR="00F078D1" w:rsidRPr="00F413C2">
        <w:rPr>
          <w:rFonts w:ascii="Times New Roman" w:hAnsi="Times New Roman" w:cs="Times New Roman"/>
          <w:sz w:val="24"/>
          <w:szCs w:val="24"/>
        </w:rPr>
        <w:t xml:space="preserve">n behalf of </w:t>
      </w:r>
      <w:r w:rsidR="001554AA" w:rsidRPr="00C30D34">
        <w:rPr>
          <w:rFonts w:ascii="Times New Roman" w:hAnsi="Times New Roman" w:cs="Times New Roman"/>
          <w:sz w:val="24"/>
          <w:szCs w:val="24"/>
        </w:rPr>
        <w:t>the City</w:t>
      </w:r>
      <w:r w:rsidR="00F078D1" w:rsidRPr="00F413C2">
        <w:rPr>
          <w:rFonts w:ascii="Times New Roman" w:hAnsi="Times New Roman" w:cs="Times New Roman"/>
          <w:sz w:val="24"/>
          <w:szCs w:val="24"/>
        </w:rPr>
        <w:t xml:space="preserve"> expressed concern that Con Ed was not adequately prioritizing its list of projects, and they questioned Con Ed’s decision to stage the projects over time</w:t>
      </w:r>
      <w:r w:rsidR="00F078D1">
        <w:rPr>
          <w:rFonts w:ascii="Times New Roman" w:hAnsi="Times New Roman" w:cs="Times New Roman"/>
          <w:sz w:val="24"/>
          <w:szCs w:val="24"/>
        </w:rPr>
        <w:t>.</w:t>
      </w:r>
      <w:r w:rsidR="00F078D1">
        <w:rPr>
          <w:rStyle w:val="FootnoteReference"/>
          <w:rFonts w:ascii="Times New Roman" w:hAnsi="Times New Roman" w:cs="Times New Roman"/>
          <w:sz w:val="24"/>
          <w:szCs w:val="24"/>
        </w:rPr>
        <w:footnoteReference w:id="75"/>
      </w:r>
      <w:r w:rsidR="001554AA">
        <w:rPr>
          <w:rFonts w:ascii="Times New Roman" w:hAnsi="Times New Roman" w:cs="Times New Roman"/>
          <w:sz w:val="24"/>
          <w:szCs w:val="24"/>
        </w:rPr>
        <w:t xml:space="preserve"> </w:t>
      </w:r>
      <w:r w:rsidR="001C10A6">
        <w:rPr>
          <w:rFonts w:ascii="Times New Roman" w:hAnsi="Times New Roman" w:cs="Times New Roman"/>
          <w:sz w:val="24"/>
          <w:szCs w:val="24"/>
        </w:rPr>
        <w:t>They</w:t>
      </w:r>
      <w:r w:rsidR="001554AA">
        <w:rPr>
          <w:rFonts w:ascii="Times New Roman" w:hAnsi="Times New Roman" w:cs="Times New Roman"/>
          <w:sz w:val="24"/>
          <w:szCs w:val="24"/>
        </w:rPr>
        <w:t xml:space="preserve"> highlighted the fact that Con Ed’s focus on replacing equipment was shortsighted, and called for a paradigm shift in the Company’s approach. </w:t>
      </w:r>
      <w:r>
        <w:rPr>
          <w:rFonts w:ascii="Times New Roman" w:hAnsi="Times New Roman" w:cs="Times New Roman"/>
          <w:sz w:val="24"/>
          <w:szCs w:val="24"/>
        </w:rPr>
        <w:t>Rather than focus on mere maintenance and equipment replacement, they testified that</w:t>
      </w:r>
      <w:r w:rsidR="001C10A6">
        <w:rPr>
          <w:rFonts w:ascii="Times New Roman" w:hAnsi="Times New Roman" w:cs="Times New Roman"/>
          <w:sz w:val="24"/>
          <w:szCs w:val="24"/>
        </w:rPr>
        <w:t xml:space="preserve"> the Company must “</w:t>
      </w:r>
      <w:r w:rsidR="001C10A6" w:rsidRPr="001C10A6">
        <w:rPr>
          <w:rFonts w:ascii="Times New Roman" w:hAnsi="Times New Roman" w:cs="Times New Roman"/>
          <w:sz w:val="24"/>
          <w:szCs w:val="24"/>
        </w:rPr>
        <w:t xml:space="preserve">examine </w:t>
      </w:r>
      <w:r w:rsidR="00AF1B52">
        <w:rPr>
          <w:rFonts w:ascii="Times New Roman" w:hAnsi="Times New Roman" w:cs="Times New Roman"/>
          <w:sz w:val="24"/>
          <w:szCs w:val="24"/>
        </w:rPr>
        <w:t>opportunities to invest in</w:t>
      </w:r>
      <w:r w:rsidR="001C10A6" w:rsidRPr="001C10A6">
        <w:rPr>
          <w:rFonts w:ascii="Times New Roman" w:hAnsi="Times New Roman" w:cs="Times New Roman"/>
          <w:sz w:val="24"/>
          <w:szCs w:val="24"/>
        </w:rPr>
        <w:t xml:space="preserve"> research and development, demonstration projects and alternative solution</w:t>
      </w:r>
      <w:r w:rsidR="00AF1B52">
        <w:rPr>
          <w:rFonts w:ascii="Times New Roman" w:hAnsi="Times New Roman" w:cs="Times New Roman"/>
          <w:sz w:val="24"/>
          <w:szCs w:val="24"/>
        </w:rPr>
        <w:t xml:space="preserve">s such as [non wire solutions or NWS] </w:t>
      </w:r>
      <w:r w:rsidR="001C10A6" w:rsidRPr="001C10A6">
        <w:rPr>
          <w:rFonts w:ascii="Times New Roman" w:hAnsi="Times New Roman" w:cs="Times New Roman"/>
          <w:sz w:val="24"/>
          <w:szCs w:val="24"/>
        </w:rPr>
        <w:t>to replacing failed equipment, remediate degraded performance, reduce the</w:t>
      </w:r>
      <w:r w:rsidR="001C10A6">
        <w:rPr>
          <w:rFonts w:ascii="Times New Roman" w:hAnsi="Times New Roman" w:cs="Times New Roman"/>
          <w:sz w:val="24"/>
          <w:szCs w:val="24"/>
        </w:rPr>
        <w:t xml:space="preserve"> </w:t>
      </w:r>
      <w:r w:rsidR="001C10A6" w:rsidRPr="001C10A6">
        <w:rPr>
          <w:rFonts w:ascii="Times New Roman" w:hAnsi="Times New Roman" w:cs="Times New Roman"/>
          <w:sz w:val="24"/>
          <w:szCs w:val="24"/>
        </w:rPr>
        <w:t>cost to maintain, or extend the life of existing assets, and av</w:t>
      </w:r>
      <w:r w:rsidR="001C10A6">
        <w:rPr>
          <w:rFonts w:ascii="Times New Roman" w:hAnsi="Times New Roman" w:cs="Times New Roman"/>
          <w:sz w:val="24"/>
          <w:szCs w:val="24"/>
        </w:rPr>
        <w:t xml:space="preserve">oid, postpone or reduce </w:t>
      </w:r>
      <w:r w:rsidR="001C10A6" w:rsidRPr="001C10A6">
        <w:rPr>
          <w:rFonts w:ascii="Times New Roman" w:hAnsi="Times New Roman" w:cs="Times New Roman"/>
          <w:sz w:val="24"/>
          <w:szCs w:val="24"/>
        </w:rPr>
        <w:t>capital investment in “like-for-like” asset replacement.</w:t>
      </w:r>
      <w:r w:rsidR="001C10A6">
        <w:rPr>
          <w:rFonts w:ascii="Times New Roman" w:hAnsi="Times New Roman" w:cs="Times New Roman"/>
          <w:sz w:val="24"/>
          <w:szCs w:val="24"/>
        </w:rPr>
        <w:t>”</w:t>
      </w:r>
      <w:r w:rsidR="001C10A6">
        <w:rPr>
          <w:rStyle w:val="FootnoteReference"/>
          <w:rFonts w:ascii="Times New Roman" w:hAnsi="Times New Roman" w:cs="Times New Roman"/>
          <w:sz w:val="24"/>
          <w:szCs w:val="24"/>
        </w:rPr>
        <w:footnoteReference w:id="76"/>
      </w:r>
    </w:p>
    <w:p w:rsidR="001D5D71" w:rsidRPr="00B66E0D" w:rsidRDefault="00460954" w:rsidP="00273046">
      <w:pPr>
        <w:pStyle w:val="NormalWeb"/>
        <w:numPr>
          <w:ilvl w:val="1"/>
          <w:numId w:val="1"/>
        </w:numPr>
        <w:spacing w:before="120" w:beforeAutospacing="0" w:after="120" w:afterAutospacing="0" w:line="480" w:lineRule="auto"/>
        <w:ind w:left="1080"/>
        <w:jc w:val="both"/>
        <w:outlineLvl w:val="2"/>
      </w:pPr>
      <w:r>
        <w:rPr>
          <w:u w:val="single"/>
        </w:rPr>
        <w:t>High</w:t>
      </w:r>
      <w:r w:rsidR="00E765C5">
        <w:rPr>
          <w:u w:val="single"/>
        </w:rPr>
        <w:t xml:space="preserve"> Customer Rates </w:t>
      </w:r>
    </w:p>
    <w:p w:rsidR="001D5D71" w:rsidRPr="00B66E0D" w:rsidRDefault="001D5D71" w:rsidP="00C30D34">
      <w:pPr>
        <w:pStyle w:val="NormalWeb"/>
        <w:spacing w:before="120" w:beforeAutospacing="0" w:after="120" w:afterAutospacing="0" w:line="480" w:lineRule="auto"/>
        <w:ind w:firstLine="720"/>
        <w:jc w:val="both"/>
        <w:outlineLvl w:val="2"/>
      </w:pPr>
      <w:r w:rsidRPr="00B66E0D">
        <w:t>Despite the continued failure of Con Ed to meet the City’s electricity demand, New York City consumers pay some of the highest prices in the Country for their electricity. In their data tracking electricity prices since 2015, the U.S. Bureau of Labor Statistics reports that New Yorkers ha</w:t>
      </w:r>
      <w:r w:rsidR="00460954">
        <w:t>ve consistently paid far above the national</w:t>
      </w:r>
      <w:r w:rsidRPr="00B66E0D">
        <w:t xml:space="preserve"> average price</w:t>
      </w:r>
      <w:r w:rsidR="00460954">
        <w:t>, illustrated in the chart below:</w:t>
      </w:r>
    </w:p>
    <w:p w:rsidR="000F3521" w:rsidRDefault="000F3521" w:rsidP="001D5D71">
      <w:pPr>
        <w:pStyle w:val="NormalWeb"/>
        <w:spacing w:before="120" w:beforeAutospacing="0" w:after="120" w:afterAutospacing="0" w:line="480" w:lineRule="auto"/>
        <w:jc w:val="center"/>
        <w:outlineLvl w:val="2"/>
        <w:rPr>
          <w:b/>
        </w:rPr>
      </w:pPr>
    </w:p>
    <w:p w:rsidR="000F3521" w:rsidRDefault="000F3521" w:rsidP="001D5D71">
      <w:pPr>
        <w:pStyle w:val="NormalWeb"/>
        <w:spacing w:before="120" w:beforeAutospacing="0" w:after="120" w:afterAutospacing="0" w:line="480" w:lineRule="auto"/>
        <w:jc w:val="center"/>
        <w:outlineLvl w:val="2"/>
        <w:rPr>
          <w:b/>
        </w:rPr>
      </w:pPr>
    </w:p>
    <w:p w:rsidR="000F3521" w:rsidRDefault="000F3521" w:rsidP="001D5D71">
      <w:pPr>
        <w:pStyle w:val="NormalWeb"/>
        <w:spacing w:before="120" w:beforeAutospacing="0" w:after="120" w:afterAutospacing="0" w:line="480" w:lineRule="auto"/>
        <w:jc w:val="center"/>
        <w:outlineLvl w:val="2"/>
        <w:rPr>
          <w:b/>
        </w:rPr>
      </w:pPr>
    </w:p>
    <w:p w:rsidR="001D5D71" w:rsidRPr="00B66E0D" w:rsidRDefault="001D5D71" w:rsidP="001D5D71">
      <w:pPr>
        <w:pStyle w:val="NormalWeb"/>
        <w:spacing w:before="120" w:beforeAutospacing="0" w:after="120" w:afterAutospacing="0" w:line="480" w:lineRule="auto"/>
        <w:jc w:val="center"/>
        <w:outlineLvl w:val="2"/>
        <w:rPr>
          <w:b/>
        </w:rPr>
      </w:pPr>
      <w:r w:rsidRPr="00B66E0D">
        <w:rPr>
          <w:b/>
        </w:rPr>
        <w:t>Average prices for electricity, the United States and New York-Newark-Jersey City</w:t>
      </w:r>
      <w:r w:rsidRPr="00B66E0D">
        <w:rPr>
          <w:rStyle w:val="FootnoteReference"/>
          <w:b/>
        </w:rPr>
        <w:footnoteReference w:id="77"/>
      </w:r>
      <w:r w:rsidRPr="00B66E0D">
        <w:rPr>
          <w:b/>
        </w:rPr>
        <w:t xml:space="preserve"> </w:t>
      </w:r>
    </w:p>
    <w:p w:rsidR="001D5D71" w:rsidRPr="00B66E0D" w:rsidRDefault="001D5D71" w:rsidP="001D5D71">
      <w:pPr>
        <w:pStyle w:val="NormalWeb"/>
        <w:spacing w:before="120" w:beforeAutospacing="0" w:after="120" w:afterAutospacing="0" w:line="480" w:lineRule="auto"/>
        <w:outlineLvl w:val="2"/>
      </w:pPr>
      <w:r w:rsidRPr="00B66E0D">
        <w:rPr>
          <w:noProof/>
        </w:rPr>
        <w:drawing>
          <wp:inline distT="0" distB="0" distL="0" distR="0" wp14:anchorId="3E415ACE" wp14:editId="6C455AF0">
            <wp:extent cx="5936615" cy="244094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6615" cy="2440940"/>
                    </a:xfrm>
                    <a:prstGeom prst="rect">
                      <a:avLst/>
                    </a:prstGeom>
                    <a:noFill/>
                    <a:ln>
                      <a:noFill/>
                    </a:ln>
                  </pic:spPr>
                </pic:pic>
              </a:graphicData>
            </a:graphic>
          </wp:inline>
        </w:drawing>
      </w:r>
    </w:p>
    <w:p w:rsidR="001D5D71" w:rsidRPr="00B66E0D" w:rsidRDefault="001D5D71" w:rsidP="001D5D71">
      <w:pPr>
        <w:pStyle w:val="NormalWeb"/>
        <w:spacing w:before="120" w:beforeAutospacing="0" w:after="120" w:afterAutospacing="0" w:line="480" w:lineRule="auto"/>
        <w:jc w:val="both"/>
        <w:outlineLvl w:val="2"/>
      </w:pPr>
      <w:r w:rsidRPr="00B66E0D">
        <w:t>The May 2019 prices are 43 percent higher than the national average while the 2018 New York rates were 54 percent higher than the national average.</w:t>
      </w:r>
      <w:r w:rsidRPr="00B66E0D">
        <w:rPr>
          <w:rStyle w:val="FootnoteReference"/>
        </w:rPr>
        <w:footnoteReference w:id="78"/>
      </w:r>
      <w:r w:rsidRPr="00B66E0D">
        <w:t xml:space="preserve"> </w:t>
      </w:r>
    </w:p>
    <w:p w:rsidR="001D5D71" w:rsidRDefault="00652D4A" w:rsidP="001D5D71">
      <w:pPr>
        <w:pStyle w:val="NormalWeb"/>
        <w:spacing w:before="120" w:beforeAutospacing="0" w:after="120" w:afterAutospacing="0" w:line="480" w:lineRule="auto"/>
        <w:ind w:firstLine="720"/>
        <w:jc w:val="both"/>
        <w:outlineLvl w:val="2"/>
      </w:pPr>
      <w:r>
        <w:t>Meanwhile,</w:t>
      </w:r>
      <w:r w:rsidR="001D5D71">
        <w:t xml:space="preserve"> o</w:t>
      </w:r>
      <w:r w:rsidR="001D5D71" w:rsidRPr="008C304E">
        <w:t>n January 17, 2019, Con Edison declared an increased quarterly dividend of 74 cents a share, the 45th consecutive year of increa</w:t>
      </w:r>
      <w:r w:rsidR="001D5D71">
        <w:t>sed dividends</w:t>
      </w:r>
      <w:r w:rsidR="00A14645">
        <w:t>,</w:t>
      </w:r>
      <w:r w:rsidR="001D5D71">
        <w:t xml:space="preserve"> for shareholders.</w:t>
      </w:r>
      <w:r w:rsidR="001D5D71">
        <w:rPr>
          <w:rStyle w:val="FootnoteReference"/>
        </w:rPr>
        <w:footnoteReference w:id="79"/>
      </w:r>
      <w:r w:rsidR="001D5D71" w:rsidRPr="008C304E">
        <w:t xml:space="preserve"> It is the only utility on the S&amp;P 5</w:t>
      </w:r>
      <w:r w:rsidR="001D5D71">
        <w:t>00 Dividend Aristocrats index</w:t>
      </w:r>
      <w:r w:rsidR="001D5D71">
        <w:rPr>
          <w:rStyle w:val="FootnoteReference"/>
        </w:rPr>
        <w:footnoteReference w:id="80"/>
      </w:r>
      <w:r w:rsidR="00A14645">
        <w:t>that</w:t>
      </w:r>
      <w:r w:rsidR="001D5D71" w:rsidRPr="008C304E">
        <w:t xml:space="preserve"> lists stocks in the S&amp;P 500 index with 25 or more consecutive years of dividend increases. With a current dividend yield o</w:t>
      </w:r>
      <w:r w:rsidR="001D5D71">
        <w:t>f 3.8 percent, it nearly doubles the 2 percent</w:t>
      </w:r>
      <w:r w:rsidR="001D5D71" w:rsidRPr="008C304E">
        <w:t xml:space="preserve"> average dividend yield of the S&amp;P 500 Index.</w:t>
      </w:r>
      <w:r w:rsidR="001D5D71">
        <w:rPr>
          <w:rStyle w:val="FootnoteReference"/>
        </w:rPr>
        <w:footnoteReference w:id="81"/>
      </w:r>
      <w:r w:rsidR="001D5D71" w:rsidRPr="008C304E">
        <w:t xml:space="preserve">  </w:t>
      </w:r>
    </w:p>
    <w:p w:rsidR="002B0D28" w:rsidRDefault="00BA779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Consumer advocates have repeatedly argued that Con Ed’s rate increases are unjustified and stem from a desire to increase shareholder profitability as opposed to providing adequate services. </w:t>
      </w:r>
      <w:r w:rsidR="002B0D28">
        <w:rPr>
          <w:rFonts w:ascii="Times New Roman" w:hAnsi="Times New Roman" w:cs="Times New Roman"/>
          <w:sz w:val="24"/>
          <w:szCs w:val="24"/>
        </w:rPr>
        <w:t>The witnesses appearing before PSC on behalf of the City testified that Con Ed appeared to consider consumer rates “an unlimited source of funding</w:t>
      </w:r>
      <w:r w:rsidR="00460954">
        <w:rPr>
          <w:rFonts w:ascii="Times New Roman" w:hAnsi="Times New Roman" w:cs="Times New Roman"/>
          <w:sz w:val="24"/>
          <w:szCs w:val="24"/>
        </w:rPr>
        <w:t>,”</w:t>
      </w:r>
      <w:r w:rsidR="002B0D28">
        <w:rPr>
          <w:rFonts w:ascii="Times New Roman" w:hAnsi="Times New Roman" w:cs="Times New Roman"/>
          <w:sz w:val="24"/>
          <w:szCs w:val="24"/>
        </w:rPr>
        <w:t xml:space="preserve"> and that they failed “to exercise constraint in determining the scope and magnitude” of its requests for rate increases.”</w:t>
      </w:r>
      <w:r w:rsidR="002B0D28">
        <w:rPr>
          <w:rStyle w:val="FootnoteReference"/>
          <w:rFonts w:ascii="Times New Roman" w:hAnsi="Times New Roman" w:cs="Times New Roman"/>
          <w:sz w:val="24"/>
          <w:szCs w:val="24"/>
        </w:rPr>
        <w:footnoteReference w:id="82"/>
      </w:r>
    </w:p>
    <w:p w:rsidR="00BA779A" w:rsidRDefault="00BA779A" w:rsidP="00BA779A">
      <w:pPr>
        <w:spacing w:line="480" w:lineRule="auto"/>
        <w:ind w:firstLine="720"/>
        <w:jc w:val="both"/>
        <w:rPr>
          <w:rFonts w:ascii="Times New Roman" w:hAnsi="Times New Roman" w:cs="Times New Roman"/>
          <w:sz w:val="24"/>
          <w:szCs w:val="24"/>
        </w:rPr>
      </w:pPr>
      <w:r w:rsidRPr="0007208E">
        <w:rPr>
          <w:rFonts w:ascii="Times New Roman" w:hAnsi="Times New Roman" w:cs="Times New Roman"/>
          <w:sz w:val="24"/>
          <w:szCs w:val="24"/>
        </w:rPr>
        <w:t>During the company’s accounting panel testimony submitted as part of the current rate case, a desire for increased return on equity is explicitly mentioned as one of the driving factors behind the proposed rate increases.</w:t>
      </w:r>
      <w:r w:rsidRPr="0007208E">
        <w:rPr>
          <w:rFonts w:ascii="Times New Roman" w:hAnsi="Times New Roman" w:cs="Times New Roman"/>
          <w:sz w:val="24"/>
          <w:szCs w:val="24"/>
          <w:vertAlign w:val="superscript"/>
        </w:rPr>
        <w:footnoteReference w:id="83"/>
      </w:r>
      <w:r w:rsidRPr="0007208E">
        <w:rPr>
          <w:rFonts w:ascii="Times New Roman" w:hAnsi="Times New Roman" w:cs="Times New Roman"/>
          <w:sz w:val="24"/>
          <w:szCs w:val="24"/>
        </w:rPr>
        <w:t xml:space="preserve"> Karl R. Rábago, Executive Director of the Pace Energy and Climate Center at the Elisabeth Haub School of Law, submitted testimony asserting that the company is attempting to mischaracterize demand related costs as customer costs, in an attempt to inflate the fixed per customer charge billed to individual ratepayers.</w:t>
      </w:r>
      <w:r w:rsidRPr="0007208E">
        <w:rPr>
          <w:rFonts w:ascii="Times New Roman" w:hAnsi="Times New Roman" w:cs="Times New Roman"/>
          <w:sz w:val="24"/>
          <w:szCs w:val="24"/>
          <w:vertAlign w:val="superscript"/>
        </w:rPr>
        <w:footnoteReference w:id="84"/>
      </w:r>
      <w:r w:rsidRPr="0007208E">
        <w:rPr>
          <w:rFonts w:ascii="Times New Roman" w:hAnsi="Times New Roman" w:cs="Times New Roman"/>
          <w:sz w:val="24"/>
          <w:szCs w:val="24"/>
        </w:rPr>
        <w:t xml:space="preserve"> One example of this is the company’s attempt to characterize the costs of every transformer up to 16 and including 25 kVA in size as a part of its minimum system customer component of transformers despite the fact that they each serve multiple customers as opposed to individual ratepayers.</w:t>
      </w:r>
      <w:r w:rsidRPr="0007208E">
        <w:rPr>
          <w:rFonts w:ascii="Times New Roman" w:hAnsi="Times New Roman" w:cs="Times New Roman"/>
          <w:sz w:val="24"/>
          <w:szCs w:val="24"/>
          <w:vertAlign w:val="superscript"/>
        </w:rPr>
        <w:footnoteReference w:id="85"/>
      </w:r>
      <w:r w:rsidRPr="0007208E">
        <w:rPr>
          <w:rFonts w:ascii="Times New Roman" w:hAnsi="Times New Roman" w:cs="Times New Roman"/>
          <w:sz w:val="24"/>
          <w:szCs w:val="24"/>
        </w:rPr>
        <w:t xml:space="preserve"> </w:t>
      </w:r>
      <w:r w:rsidR="00270ECC">
        <w:rPr>
          <w:rFonts w:ascii="Times New Roman" w:hAnsi="Times New Roman" w:cs="Times New Roman"/>
          <w:sz w:val="24"/>
          <w:szCs w:val="24"/>
        </w:rPr>
        <w:t>Some have argued that t</w:t>
      </w:r>
      <w:r w:rsidRPr="0007208E">
        <w:rPr>
          <w:rFonts w:ascii="Times New Roman" w:hAnsi="Times New Roman" w:cs="Times New Roman"/>
          <w:sz w:val="24"/>
          <w:szCs w:val="24"/>
        </w:rPr>
        <w:t>he company is also attempting to build out new and far more extensive natural gas delivery pipelines under the guise of maintenance and repair work, potentially saddling ratepayers with stranded costs related to the construction of infrastructure that goes against state and city emissions reductions targets.</w:t>
      </w:r>
      <w:r w:rsidRPr="0007208E">
        <w:rPr>
          <w:rFonts w:ascii="Times New Roman" w:hAnsi="Times New Roman" w:cs="Times New Roman"/>
          <w:sz w:val="24"/>
          <w:szCs w:val="24"/>
          <w:vertAlign w:val="superscript"/>
        </w:rPr>
        <w:footnoteReference w:id="86"/>
      </w:r>
      <w:r w:rsidRPr="0007208E">
        <w:rPr>
          <w:rFonts w:ascii="Times New Roman" w:hAnsi="Times New Roman" w:cs="Times New Roman"/>
          <w:sz w:val="24"/>
          <w:szCs w:val="24"/>
        </w:rPr>
        <w:t xml:space="preserve"> </w:t>
      </w:r>
    </w:p>
    <w:p w:rsidR="00BA779A" w:rsidRPr="001348F5" w:rsidRDefault="00BA779A" w:rsidP="00BA779A">
      <w:pPr>
        <w:spacing w:line="480" w:lineRule="auto"/>
        <w:ind w:firstLine="720"/>
        <w:jc w:val="both"/>
        <w:rPr>
          <w:rFonts w:ascii="Times New Roman" w:hAnsi="Times New Roman" w:cs="Times New Roman"/>
          <w:sz w:val="24"/>
          <w:szCs w:val="24"/>
        </w:rPr>
      </w:pPr>
      <w:r w:rsidRPr="0007208E">
        <w:rPr>
          <w:rFonts w:ascii="Times New Roman" w:hAnsi="Times New Roman" w:cs="Times New Roman"/>
          <w:sz w:val="24"/>
          <w:szCs w:val="24"/>
        </w:rPr>
        <w:t xml:space="preserve">Con Edison </w:t>
      </w:r>
      <w:r w:rsidR="00A14645">
        <w:rPr>
          <w:rFonts w:ascii="Times New Roman" w:hAnsi="Times New Roman" w:cs="Times New Roman"/>
          <w:sz w:val="24"/>
          <w:szCs w:val="24"/>
        </w:rPr>
        <w:t xml:space="preserve">has </w:t>
      </w:r>
      <w:r w:rsidRPr="0007208E">
        <w:rPr>
          <w:rFonts w:ascii="Times New Roman" w:hAnsi="Times New Roman" w:cs="Times New Roman"/>
          <w:sz w:val="24"/>
          <w:szCs w:val="24"/>
        </w:rPr>
        <w:t xml:space="preserve">also </w:t>
      </w:r>
      <w:r w:rsidR="00A14645">
        <w:rPr>
          <w:rFonts w:ascii="Times New Roman" w:hAnsi="Times New Roman" w:cs="Times New Roman"/>
          <w:sz w:val="24"/>
          <w:szCs w:val="24"/>
        </w:rPr>
        <w:t xml:space="preserve">been criticized for </w:t>
      </w:r>
      <w:r w:rsidRPr="0007208E">
        <w:rPr>
          <w:rFonts w:ascii="Times New Roman" w:hAnsi="Times New Roman" w:cs="Times New Roman"/>
          <w:sz w:val="24"/>
          <w:szCs w:val="24"/>
        </w:rPr>
        <w:t>pass</w:t>
      </w:r>
      <w:r w:rsidR="00A14645">
        <w:rPr>
          <w:rFonts w:ascii="Times New Roman" w:hAnsi="Times New Roman" w:cs="Times New Roman"/>
          <w:sz w:val="24"/>
          <w:szCs w:val="24"/>
        </w:rPr>
        <w:t>ing</w:t>
      </w:r>
      <w:r w:rsidRPr="0007208E">
        <w:rPr>
          <w:rFonts w:ascii="Times New Roman" w:hAnsi="Times New Roman" w:cs="Times New Roman"/>
          <w:sz w:val="24"/>
          <w:szCs w:val="24"/>
        </w:rPr>
        <w:t xml:space="preserve"> the cost membership in trade associations such as the </w:t>
      </w:r>
      <w:r>
        <w:rPr>
          <w:rFonts w:ascii="Times New Roman" w:hAnsi="Times New Roman" w:cs="Times New Roman"/>
          <w:sz w:val="24"/>
          <w:szCs w:val="24"/>
        </w:rPr>
        <w:t>Edison Electric Institute (EEI</w:t>
      </w:r>
      <w:r w:rsidRPr="0007208E">
        <w:rPr>
          <w:rFonts w:ascii="Times New Roman" w:hAnsi="Times New Roman" w:cs="Times New Roman"/>
          <w:sz w:val="24"/>
          <w:szCs w:val="24"/>
        </w:rPr>
        <w:t>) and the</w:t>
      </w:r>
      <w:r>
        <w:rPr>
          <w:rFonts w:ascii="Times New Roman" w:hAnsi="Times New Roman" w:cs="Times New Roman"/>
          <w:sz w:val="24"/>
          <w:szCs w:val="24"/>
        </w:rPr>
        <w:t xml:space="preserve"> American Gas Association (AGA</w:t>
      </w:r>
      <w:r w:rsidRPr="0007208E">
        <w:rPr>
          <w:rFonts w:ascii="Times New Roman" w:hAnsi="Times New Roman" w:cs="Times New Roman"/>
          <w:sz w:val="24"/>
          <w:szCs w:val="24"/>
        </w:rPr>
        <w:t xml:space="preserve">) to </w:t>
      </w:r>
      <w:r w:rsidR="00A14645">
        <w:rPr>
          <w:rFonts w:ascii="Times New Roman" w:hAnsi="Times New Roman" w:cs="Times New Roman"/>
          <w:sz w:val="24"/>
          <w:szCs w:val="24"/>
        </w:rPr>
        <w:t>customers</w:t>
      </w:r>
      <w:r w:rsidRPr="0007208E">
        <w:rPr>
          <w:rFonts w:ascii="Times New Roman" w:hAnsi="Times New Roman" w:cs="Times New Roman"/>
          <w:sz w:val="24"/>
          <w:szCs w:val="24"/>
        </w:rPr>
        <w:t>.</w:t>
      </w:r>
      <w:r w:rsidRPr="0007208E">
        <w:rPr>
          <w:rFonts w:ascii="Times New Roman" w:hAnsi="Times New Roman" w:cs="Times New Roman"/>
          <w:sz w:val="24"/>
          <w:szCs w:val="24"/>
          <w:vertAlign w:val="superscript"/>
        </w:rPr>
        <w:footnoteReference w:id="87"/>
      </w:r>
      <w:r w:rsidRPr="0007208E">
        <w:rPr>
          <w:rFonts w:ascii="Times New Roman" w:hAnsi="Times New Roman" w:cs="Times New Roman"/>
          <w:sz w:val="24"/>
          <w:szCs w:val="24"/>
        </w:rPr>
        <w:t xml:space="preserve"> </w:t>
      </w:r>
      <w:r w:rsidR="00A14645">
        <w:rPr>
          <w:rFonts w:ascii="Times New Roman" w:hAnsi="Times New Roman" w:cs="Times New Roman"/>
          <w:sz w:val="24"/>
          <w:szCs w:val="24"/>
        </w:rPr>
        <w:t>Notably, b</w:t>
      </w:r>
      <w:r w:rsidRPr="0007208E">
        <w:rPr>
          <w:rFonts w:ascii="Times New Roman" w:hAnsi="Times New Roman" w:cs="Times New Roman"/>
          <w:sz w:val="24"/>
          <w:szCs w:val="24"/>
        </w:rPr>
        <w:t>oth trade associations have funded anti</w:t>
      </w:r>
      <w:r w:rsidR="00A14645">
        <w:rPr>
          <w:rFonts w:ascii="Times New Roman" w:hAnsi="Times New Roman" w:cs="Times New Roman"/>
          <w:sz w:val="24"/>
          <w:szCs w:val="24"/>
        </w:rPr>
        <w:t>-</w:t>
      </w:r>
      <w:r w:rsidRPr="0007208E">
        <w:rPr>
          <w:rFonts w:ascii="Times New Roman" w:hAnsi="Times New Roman" w:cs="Times New Roman"/>
          <w:sz w:val="24"/>
          <w:szCs w:val="24"/>
        </w:rPr>
        <w:t>climate science and anti-renewable energy lobbying efforts undertaken by the American</w:t>
      </w:r>
      <w:r>
        <w:rPr>
          <w:rFonts w:ascii="Times New Roman" w:hAnsi="Times New Roman" w:cs="Times New Roman"/>
          <w:sz w:val="24"/>
          <w:szCs w:val="24"/>
        </w:rPr>
        <w:t xml:space="preserve"> Legislative Exchange Council (ALEC</w:t>
      </w:r>
      <w:r w:rsidRPr="0007208E">
        <w:rPr>
          <w:rFonts w:ascii="Times New Roman" w:hAnsi="Times New Roman" w:cs="Times New Roman"/>
          <w:sz w:val="24"/>
          <w:szCs w:val="24"/>
        </w:rPr>
        <w:t>), which provides state legislators with “model policies” to oppose renewable energy standards and overturn laws that reduce carbon dioxide emissions.</w:t>
      </w:r>
      <w:r w:rsidRPr="0007208E">
        <w:rPr>
          <w:rFonts w:ascii="Times New Roman" w:hAnsi="Times New Roman" w:cs="Times New Roman"/>
          <w:sz w:val="24"/>
          <w:szCs w:val="24"/>
          <w:vertAlign w:val="superscript"/>
        </w:rPr>
        <w:footnoteReference w:id="88"/>
      </w:r>
    </w:p>
    <w:p w:rsidR="009D75AF" w:rsidRPr="00B66E0D" w:rsidRDefault="00854DB5" w:rsidP="00B66E0D">
      <w:pPr>
        <w:pStyle w:val="ListParagraph"/>
        <w:widowControl w:val="0"/>
        <w:numPr>
          <w:ilvl w:val="0"/>
          <w:numId w:val="1"/>
        </w:numPr>
        <w:suppressLineNumbers/>
        <w:autoSpaceDE w:val="0"/>
        <w:autoSpaceDN w:val="0"/>
        <w:adjustRightInd w:val="0"/>
        <w:spacing w:before="120" w:after="120" w:line="480" w:lineRule="auto"/>
        <w:ind w:left="720"/>
        <w:rPr>
          <w:rFonts w:ascii="Times New Roman" w:hAnsi="Times New Roman" w:cs="Times New Roman"/>
          <w:b/>
          <w:u w:val="single"/>
        </w:rPr>
      </w:pPr>
      <w:r w:rsidRPr="00B66E0D">
        <w:rPr>
          <w:rFonts w:ascii="Times New Roman" w:hAnsi="Times New Roman" w:cs="Times New Roman"/>
          <w:b/>
          <w:u w:val="single"/>
        </w:rPr>
        <w:t>FUTURE PRESSURES ON THE ELECTRICITY GRID</w:t>
      </w:r>
    </w:p>
    <w:p w:rsidR="006E5EBD" w:rsidRPr="00B66E0D" w:rsidRDefault="006E5EBD" w:rsidP="00942948">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B66E0D">
        <w:rPr>
          <w:rFonts w:ascii="Times New Roman" w:hAnsi="Times New Roman" w:cs="Times New Roman"/>
          <w:sz w:val="24"/>
          <w:szCs w:val="24"/>
        </w:rPr>
        <w:t>The heatwave that hit the Country in July 2019 was not an isolated event. Across Europe, multiple countries experienced record temperatures and July 2019 is now regarded as the hottest month ever recorded in human history.</w:t>
      </w:r>
      <w:r w:rsidRPr="00B66E0D">
        <w:rPr>
          <w:rStyle w:val="FootnoteReference"/>
          <w:rFonts w:ascii="Times New Roman" w:hAnsi="Times New Roman" w:cs="Times New Roman"/>
          <w:sz w:val="24"/>
          <w:szCs w:val="24"/>
        </w:rPr>
        <w:footnoteReference w:id="89"/>
      </w:r>
      <w:r w:rsidRPr="00B66E0D">
        <w:rPr>
          <w:rFonts w:ascii="Times New Roman" w:hAnsi="Times New Roman" w:cs="Times New Roman"/>
          <w:sz w:val="24"/>
          <w:szCs w:val="24"/>
        </w:rPr>
        <w:t xml:space="preserve"> Temperatures have been rising more rapidly over the last century and currently, one in ten Americans are living in rapidly heating regions, including New York City.</w:t>
      </w:r>
      <w:r w:rsidRPr="00B66E0D">
        <w:rPr>
          <w:rStyle w:val="FootnoteReference"/>
          <w:rFonts w:ascii="Times New Roman" w:hAnsi="Times New Roman" w:cs="Times New Roman"/>
          <w:sz w:val="24"/>
          <w:szCs w:val="24"/>
        </w:rPr>
        <w:footnoteReference w:id="90"/>
      </w:r>
      <w:r w:rsidRPr="00B66E0D">
        <w:rPr>
          <w:rFonts w:ascii="Times New Roman" w:hAnsi="Times New Roman" w:cs="Times New Roman"/>
          <w:sz w:val="24"/>
          <w:szCs w:val="24"/>
        </w:rPr>
        <w:t xml:space="preserve">  According to a study by the University of Maryland published this year, temperatures in New York City will be up to 5℃ warmer, with a climate similar to Jonesboro, Arkansas by 2080.</w:t>
      </w:r>
      <w:r w:rsidRPr="00B66E0D">
        <w:rPr>
          <w:rStyle w:val="FootnoteReference"/>
          <w:rFonts w:ascii="Times New Roman" w:hAnsi="Times New Roman" w:cs="Times New Roman"/>
          <w:sz w:val="24"/>
          <w:szCs w:val="24"/>
        </w:rPr>
        <w:footnoteReference w:id="91"/>
      </w:r>
      <w:r w:rsidRPr="00B66E0D">
        <w:rPr>
          <w:rFonts w:ascii="Times New Roman" w:hAnsi="Times New Roman" w:cs="Times New Roman"/>
          <w:sz w:val="24"/>
          <w:szCs w:val="24"/>
        </w:rPr>
        <w:t xml:space="preserve">  </w:t>
      </w:r>
    </w:p>
    <w:p w:rsidR="006E5EBD" w:rsidRPr="00B66E0D" w:rsidRDefault="006E5EBD" w:rsidP="00942948">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B66E0D">
        <w:rPr>
          <w:rFonts w:ascii="Times New Roman" w:hAnsi="Times New Roman" w:cs="Times New Roman"/>
          <w:sz w:val="24"/>
          <w:szCs w:val="24"/>
        </w:rPr>
        <w:t xml:space="preserve">Heatwaves </w:t>
      </w:r>
      <w:r w:rsidR="00A56D9C">
        <w:rPr>
          <w:rFonts w:ascii="Times New Roman" w:hAnsi="Times New Roman" w:cs="Times New Roman"/>
          <w:sz w:val="24"/>
          <w:szCs w:val="24"/>
        </w:rPr>
        <w:t xml:space="preserve">in the City </w:t>
      </w:r>
      <w:r w:rsidRPr="00B66E0D">
        <w:rPr>
          <w:rFonts w:ascii="Times New Roman" w:hAnsi="Times New Roman" w:cs="Times New Roman"/>
          <w:sz w:val="24"/>
          <w:szCs w:val="24"/>
        </w:rPr>
        <w:t xml:space="preserve">are exacerbated by </w:t>
      </w:r>
      <w:r w:rsidR="00A56D9C" w:rsidRPr="00B66E0D">
        <w:rPr>
          <w:rFonts w:ascii="Times New Roman" w:hAnsi="Times New Roman" w:cs="Times New Roman"/>
          <w:sz w:val="24"/>
          <w:szCs w:val="24"/>
        </w:rPr>
        <w:t>the Urban Heat Island Effect (UHIE)</w:t>
      </w:r>
      <w:r w:rsidR="00A56D9C">
        <w:rPr>
          <w:rFonts w:ascii="Times New Roman" w:hAnsi="Times New Roman" w:cs="Times New Roman"/>
          <w:sz w:val="24"/>
          <w:szCs w:val="24"/>
        </w:rPr>
        <w:t xml:space="preserve">, a phenomenon in which urban areas experience higher temperatures than surrounding suburban and rural areas, largely because of </w:t>
      </w:r>
      <w:r w:rsidRPr="00B66E0D">
        <w:rPr>
          <w:rFonts w:ascii="Times New Roman" w:hAnsi="Times New Roman" w:cs="Times New Roman"/>
          <w:sz w:val="24"/>
          <w:szCs w:val="24"/>
        </w:rPr>
        <w:t>heat-retaining concrete and asphalt,</w:t>
      </w:r>
      <w:r w:rsidR="00A14645">
        <w:rPr>
          <w:rFonts w:ascii="Times New Roman" w:hAnsi="Times New Roman" w:cs="Times New Roman"/>
          <w:sz w:val="24"/>
          <w:szCs w:val="24"/>
        </w:rPr>
        <w:t xml:space="preserve"> </w:t>
      </w:r>
      <w:r w:rsidR="00A56D9C">
        <w:rPr>
          <w:rFonts w:ascii="Times New Roman" w:hAnsi="Times New Roman" w:cs="Times New Roman"/>
          <w:sz w:val="24"/>
          <w:szCs w:val="24"/>
        </w:rPr>
        <w:t>less vegetation</w:t>
      </w:r>
      <w:r w:rsidRPr="00B66E0D">
        <w:rPr>
          <w:rFonts w:ascii="Times New Roman" w:hAnsi="Times New Roman" w:cs="Times New Roman"/>
          <w:sz w:val="24"/>
          <w:szCs w:val="24"/>
        </w:rPr>
        <w:t xml:space="preserve"> and</w:t>
      </w:r>
      <w:r w:rsidR="00A56D9C">
        <w:rPr>
          <w:rFonts w:ascii="Times New Roman" w:hAnsi="Times New Roman" w:cs="Times New Roman"/>
          <w:sz w:val="24"/>
          <w:szCs w:val="24"/>
        </w:rPr>
        <w:t xml:space="preserve"> more</w:t>
      </w:r>
      <w:r w:rsidRPr="00B66E0D">
        <w:rPr>
          <w:rFonts w:ascii="Times New Roman" w:hAnsi="Times New Roman" w:cs="Times New Roman"/>
          <w:sz w:val="24"/>
          <w:szCs w:val="24"/>
        </w:rPr>
        <w:t xml:space="preserve"> industrial functions.</w:t>
      </w:r>
      <w:r w:rsidRPr="00B66E0D">
        <w:rPr>
          <w:rStyle w:val="FootnoteReference"/>
          <w:rFonts w:ascii="Times New Roman" w:hAnsi="Times New Roman" w:cs="Times New Roman"/>
          <w:sz w:val="24"/>
          <w:szCs w:val="24"/>
        </w:rPr>
        <w:footnoteReference w:id="92"/>
      </w:r>
      <w:r w:rsidRPr="00B66E0D">
        <w:rPr>
          <w:rFonts w:ascii="Times New Roman" w:hAnsi="Times New Roman" w:cs="Times New Roman"/>
          <w:sz w:val="24"/>
          <w:szCs w:val="24"/>
        </w:rPr>
        <w:t xml:space="preserve"> </w:t>
      </w:r>
      <w:r w:rsidR="00A56D9C">
        <w:rPr>
          <w:rFonts w:ascii="Times New Roman" w:hAnsi="Times New Roman" w:cs="Times New Roman"/>
          <w:sz w:val="24"/>
          <w:szCs w:val="24"/>
        </w:rPr>
        <w:t>U</w:t>
      </w:r>
      <w:r w:rsidRPr="00B66E0D">
        <w:rPr>
          <w:rFonts w:ascii="Times New Roman" w:hAnsi="Times New Roman" w:cs="Times New Roman"/>
          <w:sz w:val="24"/>
          <w:szCs w:val="24"/>
        </w:rPr>
        <w:t xml:space="preserve">rban areas can be up to </w:t>
      </w:r>
      <w:r w:rsidR="00A56D9C">
        <w:rPr>
          <w:rFonts w:ascii="Times New Roman" w:hAnsi="Times New Roman" w:cs="Times New Roman"/>
          <w:sz w:val="24"/>
          <w:szCs w:val="24"/>
        </w:rPr>
        <w:t>5.4 degrees warmer</w:t>
      </w:r>
      <w:r w:rsidR="00230726">
        <w:rPr>
          <w:rFonts w:ascii="Times New Roman" w:hAnsi="Times New Roman" w:cs="Times New Roman"/>
          <w:sz w:val="24"/>
          <w:szCs w:val="24"/>
        </w:rPr>
        <w:t xml:space="preserve"> during the day and up to </w:t>
      </w:r>
      <w:r w:rsidRPr="00B66E0D">
        <w:rPr>
          <w:rFonts w:ascii="Times New Roman" w:hAnsi="Times New Roman" w:cs="Times New Roman"/>
          <w:sz w:val="24"/>
          <w:szCs w:val="24"/>
        </w:rPr>
        <w:t>22 degrees hotter</w:t>
      </w:r>
      <w:r w:rsidR="00230726">
        <w:rPr>
          <w:rFonts w:ascii="Times New Roman" w:hAnsi="Times New Roman" w:cs="Times New Roman"/>
          <w:sz w:val="24"/>
          <w:szCs w:val="24"/>
        </w:rPr>
        <w:t xml:space="preserve"> at night</w:t>
      </w:r>
      <w:r w:rsidRPr="00B66E0D">
        <w:rPr>
          <w:rFonts w:ascii="Times New Roman" w:hAnsi="Times New Roman" w:cs="Times New Roman"/>
          <w:sz w:val="24"/>
          <w:szCs w:val="24"/>
        </w:rPr>
        <w:t xml:space="preserve"> than </w:t>
      </w:r>
      <w:r w:rsidR="00A76804">
        <w:rPr>
          <w:rFonts w:ascii="Times New Roman" w:hAnsi="Times New Roman" w:cs="Times New Roman"/>
          <w:sz w:val="24"/>
          <w:szCs w:val="24"/>
        </w:rPr>
        <w:t xml:space="preserve">surrounding </w:t>
      </w:r>
      <w:r w:rsidRPr="00B66E0D">
        <w:rPr>
          <w:rFonts w:ascii="Times New Roman" w:hAnsi="Times New Roman" w:cs="Times New Roman"/>
          <w:sz w:val="24"/>
          <w:szCs w:val="24"/>
        </w:rPr>
        <w:t>rural and suburban areas</w:t>
      </w:r>
      <w:r w:rsidR="00230726">
        <w:rPr>
          <w:rFonts w:ascii="Times New Roman" w:hAnsi="Times New Roman" w:cs="Times New Roman"/>
          <w:sz w:val="24"/>
          <w:szCs w:val="24"/>
        </w:rPr>
        <w:t>,</w:t>
      </w:r>
      <w:r w:rsidRPr="00B66E0D">
        <w:rPr>
          <w:rFonts w:ascii="Times New Roman" w:hAnsi="Times New Roman" w:cs="Times New Roman"/>
          <w:sz w:val="24"/>
          <w:szCs w:val="24"/>
        </w:rPr>
        <w:t xml:space="preserve"> affect</w:t>
      </w:r>
      <w:r w:rsidR="00230726">
        <w:rPr>
          <w:rFonts w:ascii="Times New Roman" w:hAnsi="Times New Roman" w:cs="Times New Roman"/>
          <w:sz w:val="24"/>
          <w:szCs w:val="24"/>
        </w:rPr>
        <w:t>ing</w:t>
      </w:r>
      <w:r w:rsidRPr="00B66E0D">
        <w:rPr>
          <w:rFonts w:ascii="Times New Roman" w:hAnsi="Times New Roman" w:cs="Times New Roman"/>
          <w:sz w:val="24"/>
          <w:szCs w:val="24"/>
        </w:rPr>
        <w:t xml:space="preserve"> city residents’ quality of life and</w:t>
      </w:r>
      <w:r w:rsidR="00230726">
        <w:rPr>
          <w:rFonts w:ascii="Times New Roman" w:hAnsi="Times New Roman" w:cs="Times New Roman"/>
          <w:sz w:val="24"/>
          <w:szCs w:val="24"/>
        </w:rPr>
        <w:t xml:space="preserve"> the</w:t>
      </w:r>
      <w:r w:rsidRPr="00B66E0D">
        <w:rPr>
          <w:rFonts w:ascii="Times New Roman" w:hAnsi="Times New Roman" w:cs="Times New Roman"/>
          <w:sz w:val="24"/>
          <w:szCs w:val="24"/>
        </w:rPr>
        <w:t xml:space="preserve"> </w:t>
      </w:r>
      <w:r w:rsidR="00230726">
        <w:rPr>
          <w:rFonts w:ascii="Times New Roman" w:hAnsi="Times New Roman" w:cs="Times New Roman"/>
          <w:sz w:val="24"/>
          <w:szCs w:val="24"/>
        </w:rPr>
        <w:t>C</w:t>
      </w:r>
      <w:r w:rsidRPr="00B66E0D">
        <w:rPr>
          <w:rFonts w:ascii="Times New Roman" w:hAnsi="Times New Roman" w:cs="Times New Roman"/>
          <w:sz w:val="24"/>
          <w:szCs w:val="24"/>
        </w:rPr>
        <w:t>ity</w:t>
      </w:r>
      <w:r w:rsidR="00230726">
        <w:rPr>
          <w:rFonts w:ascii="Times New Roman" w:hAnsi="Times New Roman" w:cs="Times New Roman"/>
          <w:sz w:val="24"/>
          <w:szCs w:val="24"/>
        </w:rPr>
        <w:t>’s</w:t>
      </w:r>
      <w:r w:rsidRPr="00B66E0D">
        <w:rPr>
          <w:rFonts w:ascii="Times New Roman" w:hAnsi="Times New Roman" w:cs="Times New Roman"/>
          <w:sz w:val="24"/>
          <w:szCs w:val="24"/>
        </w:rPr>
        <w:t xml:space="preserve"> infrastructure.</w:t>
      </w:r>
      <w:r w:rsidRPr="00B66E0D">
        <w:rPr>
          <w:rStyle w:val="FootnoteReference"/>
          <w:rFonts w:ascii="Times New Roman" w:hAnsi="Times New Roman" w:cs="Times New Roman"/>
          <w:sz w:val="24"/>
          <w:szCs w:val="24"/>
        </w:rPr>
        <w:footnoteReference w:id="93"/>
      </w:r>
      <w:r w:rsidRPr="00B66E0D">
        <w:rPr>
          <w:rFonts w:ascii="Times New Roman" w:hAnsi="Times New Roman" w:cs="Times New Roman"/>
          <w:sz w:val="24"/>
          <w:szCs w:val="24"/>
        </w:rPr>
        <w:t xml:space="preserve">  For example, </w:t>
      </w:r>
      <w:r w:rsidR="00A56D9C">
        <w:rPr>
          <w:rFonts w:ascii="Times New Roman" w:hAnsi="Times New Roman" w:cs="Times New Roman"/>
          <w:sz w:val="24"/>
          <w:szCs w:val="24"/>
        </w:rPr>
        <w:t>buildings</w:t>
      </w:r>
      <w:r w:rsidRPr="00B66E0D">
        <w:rPr>
          <w:rFonts w:ascii="Times New Roman" w:hAnsi="Times New Roman" w:cs="Times New Roman"/>
          <w:sz w:val="24"/>
          <w:szCs w:val="24"/>
        </w:rPr>
        <w:t xml:space="preserve"> retain heat overnight</w:t>
      </w:r>
      <w:r w:rsidR="004F26CA">
        <w:rPr>
          <w:rFonts w:ascii="Times New Roman" w:hAnsi="Times New Roman" w:cs="Times New Roman"/>
          <w:sz w:val="24"/>
          <w:szCs w:val="24"/>
        </w:rPr>
        <w:t>,</w:t>
      </w:r>
      <w:r w:rsidRPr="00B66E0D">
        <w:rPr>
          <w:rFonts w:ascii="Times New Roman" w:hAnsi="Times New Roman" w:cs="Times New Roman"/>
          <w:sz w:val="24"/>
          <w:szCs w:val="24"/>
        </w:rPr>
        <w:t xml:space="preserve"> which prevents people from sleeping well, air pollution can be worse on hotter days</w:t>
      </w:r>
      <w:r w:rsidR="004F26CA">
        <w:rPr>
          <w:rFonts w:ascii="Times New Roman" w:hAnsi="Times New Roman" w:cs="Times New Roman"/>
          <w:sz w:val="24"/>
          <w:szCs w:val="24"/>
        </w:rPr>
        <w:t xml:space="preserve"> and that</w:t>
      </w:r>
      <w:r w:rsidRPr="00B66E0D">
        <w:rPr>
          <w:rFonts w:ascii="Times New Roman" w:hAnsi="Times New Roman" w:cs="Times New Roman"/>
          <w:sz w:val="24"/>
          <w:szCs w:val="24"/>
        </w:rPr>
        <w:t xml:space="preserve"> </w:t>
      </w:r>
      <w:r w:rsidR="004F26CA">
        <w:rPr>
          <w:rFonts w:ascii="Times New Roman" w:hAnsi="Times New Roman" w:cs="Times New Roman"/>
          <w:sz w:val="24"/>
          <w:szCs w:val="24"/>
        </w:rPr>
        <w:t>may</w:t>
      </w:r>
      <w:r w:rsidRPr="00B66E0D">
        <w:rPr>
          <w:rFonts w:ascii="Times New Roman" w:hAnsi="Times New Roman" w:cs="Times New Roman"/>
          <w:sz w:val="24"/>
          <w:szCs w:val="24"/>
        </w:rPr>
        <w:t xml:space="preserve"> lead to respiratory problems</w:t>
      </w:r>
      <w:r w:rsidR="004F26CA">
        <w:rPr>
          <w:rFonts w:ascii="Times New Roman" w:hAnsi="Times New Roman" w:cs="Times New Roman"/>
          <w:sz w:val="24"/>
          <w:szCs w:val="24"/>
        </w:rPr>
        <w:t>,</w:t>
      </w:r>
      <w:r w:rsidRPr="00B66E0D">
        <w:rPr>
          <w:rFonts w:ascii="Times New Roman" w:hAnsi="Times New Roman" w:cs="Times New Roman"/>
          <w:sz w:val="24"/>
          <w:szCs w:val="24"/>
        </w:rPr>
        <w:t xml:space="preserve"> and warmer conditions </w:t>
      </w:r>
      <w:r w:rsidR="004F26CA">
        <w:rPr>
          <w:rFonts w:ascii="Times New Roman" w:hAnsi="Times New Roman" w:cs="Times New Roman"/>
          <w:sz w:val="24"/>
          <w:szCs w:val="24"/>
        </w:rPr>
        <w:t>may</w:t>
      </w:r>
      <w:r w:rsidRPr="00B66E0D">
        <w:rPr>
          <w:rFonts w:ascii="Times New Roman" w:hAnsi="Times New Roman" w:cs="Times New Roman"/>
          <w:sz w:val="24"/>
          <w:szCs w:val="24"/>
        </w:rPr>
        <w:t xml:space="preserve"> also lead to heavy rainfall causing flooding.</w:t>
      </w:r>
      <w:r w:rsidRPr="00B66E0D">
        <w:rPr>
          <w:rStyle w:val="FootnoteReference"/>
          <w:rFonts w:ascii="Times New Roman" w:hAnsi="Times New Roman" w:cs="Times New Roman"/>
          <w:sz w:val="24"/>
          <w:szCs w:val="24"/>
        </w:rPr>
        <w:footnoteReference w:id="94"/>
      </w:r>
      <w:r w:rsidRPr="00B66E0D">
        <w:rPr>
          <w:rFonts w:ascii="Times New Roman" w:hAnsi="Times New Roman" w:cs="Times New Roman"/>
          <w:sz w:val="24"/>
          <w:szCs w:val="24"/>
        </w:rPr>
        <w:t xml:space="preserve">  </w:t>
      </w:r>
      <w:r w:rsidR="00A76804">
        <w:rPr>
          <w:rFonts w:ascii="Times New Roman" w:hAnsi="Times New Roman" w:cs="Times New Roman"/>
          <w:sz w:val="24"/>
          <w:szCs w:val="24"/>
        </w:rPr>
        <w:t>By 2050, the frequency of heat waves</w:t>
      </w:r>
      <w:r w:rsidR="004F26CA">
        <w:rPr>
          <w:rFonts w:ascii="Times New Roman" w:hAnsi="Times New Roman" w:cs="Times New Roman"/>
          <w:sz w:val="24"/>
          <w:szCs w:val="24"/>
        </w:rPr>
        <w:t xml:space="preserve"> and</w:t>
      </w:r>
      <w:r w:rsidR="00A76804">
        <w:rPr>
          <w:rFonts w:ascii="Times New Roman" w:hAnsi="Times New Roman" w:cs="Times New Roman"/>
          <w:sz w:val="24"/>
          <w:szCs w:val="24"/>
        </w:rPr>
        <w:t xml:space="preserve"> the number of days above 90 degrees is expected to triple.</w:t>
      </w:r>
    </w:p>
    <w:p w:rsidR="006E5EBD" w:rsidRPr="00B66E0D" w:rsidRDefault="006E5EBD" w:rsidP="00942948">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B66E0D">
        <w:rPr>
          <w:rFonts w:ascii="Times New Roman" w:hAnsi="Times New Roman" w:cs="Times New Roman"/>
          <w:sz w:val="24"/>
          <w:szCs w:val="24"/>
        </w:rPr>
        <w:t>In conjunction with high temperatures, there is also a high demand for electricity to run air conditioners in buildings and households throughout the City. Excessive electricity use can cause portions of the grid to fail</w:t>
      </w:r>
      <w:r w:rsidR="001F20B1">
        <w:rPr>
          <w:rFonts w:ascii="Times New Roman" w:hAnsi="Times New Roman" w:cs="Times New Roman"/>
          <w:sz w:val="24"/>
          <w:szCs w:val="24"/>
        </w:rPr>
        <w:t>.</w:t>
      </w:r>
      <w:r w:rsidRPr="00B66E0D">
        <w:rPr>
          <w:rFonts w:ascii="Times New Roman" w:hAnsi="Times New Roman" w:cs="Times New Roman"/>
          <w:sz w:val="24"/>
          <w:szCs w:val="24"/>
        </w:rPr>
        <w:t xml:space="preserve"> Extreme heat can also cause infrastructure problems in cities, such as asphalt melting</w:t>
      </w:r>
      <w:r w:rsidR="00947DE9">
        <w:rPr>
          <w:rFonts w:ascii="Times New Roman" w:hAnsi="Times New Roman" w:cs="Times New Roman"/>
          <w:sz w:val="24"/>
          <w:szCs w:val="24"/>
        </w:rPr>
        <w:t xml:space="preserve"> and</w:t>
      </w:r>
      <w:r w:rsidR="00947DE9" w:rsidRPr="00B66E0D">
        <w:rPr>
          <w:rFonts w:ascii="Times New Roman" w:hAnsi="Times New Roman" w:cs="Times New Roman"/>
          <w:sz w:val="24"/>
          <w:szCs w:val="24"/>
        </w:rPr>
        <w:t xml:space="preserve"> </w:t>
      </w:r>
      <w:r w:rsidRPr="00B66E0D">
        <w:rPr>
          <w:rFonts w:ascii="Times New Roman" w:hAnsi="Times New Roman" w:cs="Times New Roman"/>
          <w:sz w:val="24"/>
          <w:szCs w:val="24"/>
        </w:rPr>
        <w:t>rail tracks expanding</w:t>
      </w:r>
      <w:r w:rsidR="004F26CA">
        <w:rPr>
          <w:rFonts w:ascii="Times New Roman" w:hAnsi="Times New Roman" w:cs="Times New Roman"/>
          <w:sz w:val="24"/>
          <w:szCs w:val="24"/>
        </w:rPr>
        <w:t>,</w:t>
      </w:r>
      <w:r w:rsidRPr="00B66E0D">
        <w:rPr>
          <w:rFonts w:ascii="Times New Roman" w:hAnsi="Times New Roman" w:cs="Times New Roman"/>
          <w:sz w:val="24"/>
          <w:szCs w:val="24"/>
        </w:rPr>
        <w:t xml:space="preserve"> and can </w:t>
      </w:r>
      <w:r w:rsidR="004F26CA">
        <w:rPr>
          <w:rFonts w:ascii="Times New Roman" w:hAnsi="Times New Roman" w:cs="Times New Roman"/>
          <w:sz w:val="24"/>
          <w:szCs w:val="24"/>
        </w:rPr>
        <w:t>affect efficient functions</w:t>
      </w:r>
      <w:r w:rsidRPr="00B66E0D">
        <w:rPr>
          <w:rFonts w:ascii="Times New Roman" w:hAnsi="Times New Roman" w:cs="Times New Roman"/>
          <w:sz w:val="24"/>
          <w:szCs w:val="24"/>
        </w:rPr>
        <w:t xml:space="preserve"> </w:t>
      </w:r>
      <w:r w:rsidR="004F26CA">
        <w:rPr>
          <w:rFonts w:ascii="Times New Roman" w:hAnsi="Times New Roman" w:cs="Times New Roman"/>
          <w:sz w:val="24"/>
          <w:szCs w:val="24"/>
        </w:rPr>
        <w:t xml:space="preserve">at </w:t>
      </w:r>
      <w:r w:rsidRPr="00B66E0D">
        <w:rPr>
          <w:rFonts w:ascii="Times New Roman" w:hAnsi="Times New Roman" w:cs="Times New Roman"/>
          <w:sz w:val="24"/>
          <w:szCs w:val="24"/>
        </w:rPr>
        <w:t>airports.</w:t>
      </w:r>
      <w:r w:rsidRPr="00B66E0D">
        <w:rPr>
          <w:rStyle w:val="FootnoteReference"/>
          <w:rFonts w:ascii="Times New Roman" w:hAnsi="Times New Roman" w:cs="Times New Roman"/>
          <w:sz w:val="24"/>
          <w:szCs w:val="24"/>
        </w:rPr>
        <w:footnoteReference w:id="95"/>
      </w:r>
      <w:r w:rsidRPr="00B66E0D">
        <w:rPr>
          <w:rFonts w:ascii="Times New Roman" w:hAnsi="Times New Roman" w:cs="Times New Roman"/>
          <w:sz w:val="24"/>
          <w:szCs w:val="24"/>
        </w:rPr>
        <w:t xml:space="preserve"> </w:t>
      </w:r>
    </w:p>
    <w:p w:rsidR="005D3565" w:rsidRPr="00B66E0D" w:rsidRDefault="00947DE9" w:rsidP="00942948">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addition to heat, coastal </w:t>
      </w:r>
      <w:r w:rsidR="005D3565">
        <w:rPr>
          <w:rFonts w:ascii="Times New Roman" w:hAnsi="Times New Roman" w:cs="Times New Roman"/>
          <w:sz w:val="24"/>
          <w:szCs w:val="24"/>
        </w:rPr>
        <w:t>flooding, exacerbated by climate change, will put pressure on the grid and critical infrastructure.  The New York City Panel on Climate Change (“NPCC”) projects that today’s 100-year flood will become more frequent, occurring on average every 28-71 years by the 2050s.</w:t>
      </w:r>
      <w:r w:rsidR="005D3565">
        <w:rPr>
          <w:rStyle w:val="FootnoteReference"/>
          <w:rFonts w:ascii="Times New Roman" w:hAnsi="Times New Roman" w:cs="Times New Roman"/>
          <w:sz w:val="24"/>
          <w:szCs w:val="24"/>
        </w:rPr>
        <w:footnoteReference w:id="96"/>
      </w:r>
      <w:r w:rsidR="00476BD4">
        <w:rPr>
          <w:rFonts w:ascii="Times New Roman" w:hAnsi="Times New Roman" w:cs="Times New Roman"/>
          <w:sz w:val="24"/>
          <w:szCs w:val="24"/>
        </w:rPr>
        <w:t xml:space="preserve">  Some electrical equipment “can suffer catastrophic failures” when they come in contact with water, as evidenced when Superstorm Sandy caused a submerged transformer near a substation near the East River to explode.</w:t>
      </w:r>
      <w:r w:rsidR="00476BD4">
        <w:rPr>
          <w:rStyle w:val="FootnoteReference"/>
          <w:rFonts w:ascii="Times New Roman" w:hAnsi="Times New Roman" w:cs="Times New Roman"/>
          <w:sz w:val="24"/>
          <w:szCs w:val="24"/>
        </w:rPr>
        <w:footnoteReference w:id="97"/>
      </w:r>
      <w:r w:rsidR="00476BD4">
        <w:rPr>
          <w:rFonts w:ascii="Times New Roman" w:hAnsi="Times New Roman" w:cs="Times New Roman"/>
          <w:sz w:val="24"/>
          <w:szCs w:val="24"/>
        </w:rPr>
        <w:t xml:space="preserve"> </w:t>
      </w:r>
    </w:p>
    <w:p w:rsidR="001F20B1" w:rsidRPr="004240FC" w:rsidRDefault="001F20B1" w:rsidP="001F20B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4240FC">
        <w:rPr>
          <w:rFonts w:ascii="Times New Roman" w:hAnsi="Times New Roman" w:cs="Times New Roman"/>
          <w:sz w:val="24"/>
          <w:szCs w:val="24"/>
        </w:rPr>
        <w:t>fter Superstorm Sandy hit in 2012 and left New Yorkers without power for weeks, Governor Cuomo established the Moreland Commission to examine the preparedness of utilities in such weather events. The analysis found that the State had around 270,000 properties that were at risk of damage from storm surges, which could result in a loss of $135 billion.</w:t>
      </w:r>
      <w:r w:rsidRPr="004240FC">
        <w:rPr>
          <w:rFonts w:ascii="Times New Roman" w:hAnsi="Times New Roman" w:cs="Times New Roman"/>
          <w:sz w:val="24"/>
          <w:szCs w:val="24"/>
          <w:vertAlign w:val="superscript"/>
        </w:rPr>
        <w:footnoteReference w:id="98"/>
      </w:r>
      <w:r w:rsidRPr="004240FC">
        <w:rPr>
          <w:rFonts w:ascii="Times New Roman" w:hAnsi="Times New Roman" w:cs="Times New Roman"/>
          <w:sz w:val="24"/>
          <w:szCs w:val="24"/>
        </w:rPr>
        <w:t xml:space="preserve"> The vulnerabilities highlighted in the report, in addition to concerns raised by various advocates in the 2013 Con Ed rate increase request, resulted in a landmark deal between PSC and Con Ed</w:t>
      </w:r>
      <w:r>
        <w:rPr>
          <w:rFonts w:ascii="Times New Roman" w:hAnsi="Times New Roman" w:cs="Times New Roman"/>
          <w:sz w:val="24"/>
          <w:szCs w:val="24"/>
        </w:rPr>
        <w:t xml:space="preserve"> in 2014</w:t>
      </w:r>
      <w:r w:rsidRPr="004240FC">
        <w:rPr>
          <w:rFonts w:ascii="Times New Roman" w:hAnsi="Times New Roman" w:cs="Times New Roman"/>
          <w:sz w:val="24"/>
          <w:szCs w:val="24"/>
        </w:rPr>
        <w:t xml:space="preserve">. The agreement, the first of its kind in the country, mandated Con Ed to “carry out </w:t>
      </w:r>
      <w:r w:rsidR="004F26CA">
        <w:rPr>
          <w:rFonts w:ascii="Times New Roman" w:hAnsi="Times New Roman" w:cs="Times New Roman"/>
          <w:sz w:val="24"/>
          <w:szCs w:val="24"/>
        </w:rPr>
        <w:t xml:space="preserve">[an] </w:t>
      </w:r>
      <w:r w:rsidRPr="004240FC">
        <w:rPr>
          <w:rFonts w:ascii="Times New Roman" w:hAnsi="Times New Roman" w:cs="Times New Roman"/>
          <w:sz w:val="24"/>
          <w:szCs w:val="24"/>
        </w:rPr>
        <w:t>immediate and comprehensive assessment of climate risks to its power grid…[and] factor the data into all of its long-term planning, construction and budget decisions.”</w:t>
      </w:r>
      <w:r w:rsidRPr="004240FC">
        <w:rPr>
          <w:rStyle w:val="FootnoteReference"/>
          <w:rFonts w:ascii="Times New Roman" w:hAnsi="Times New Roman" w:cs="Times New Roman"/>
          <w:sz w:val="24"/>
          <w:szCs w:val="24"/>
        </w:rPr>
        <w:footnoteReference w:id="99"/>
      </w:r>
      <w:r w:rsidRPr="004240FC">
        <w:rPr>
          <w:rFonts w:ascii="Times New Roman" w:hAnsi="Times New Roman" w:cs="Times New Roman"/>
          <w:sz w:val="24"/>
          <w:szCs w:val="24"/>
        </w:rPr>
        <w:t xml:space="preserve"> </w:t>
      </w:r>
    </w:p>
    <w:p w:rsidR="001F20B1" w:rsidRDefault="001F20B1" w:rsidP="00652D4A">
      <w:pPr>
        <w:pStyle w:val="NormalWeb"/>
        <w:spacing w:before="120" w:beforeAutospacing="0" w:after="120" w:afterAutospacing="0" w:line="480" w:lineRule="auto"/>
        <w:jc w:val="both"/>
        <w:outlineLvl w:val="2"/>
      </w:pPr>
      <w:r>
        <w:tab/>
      </w:r>
      <w:r w:rsidRPr="00B66E0D">
        <w:t>As part of the climate change mitigation requirement, Con Ed’s New York ratepayers funded $1 billion in resiliency measures for Con Ed.</w:t>
      </w:r>
      <w:r w:rsidRPr="00B66E0D">
        <w:rPr>
          <w:rStyle w:val="FootnoteReference"/>
        </w:rPr>
        <w:footnoteReference w:id="100"/>
      </w:r>
      <w:r w:rsidRPr="00B66E0D">
        <w:t xml:space="preserve"> These funds were acquired to assist Con Ed in meeting its plan to “add a foot to floodwalls around substations and transformers to help prevent storm water from swallowing and frying the equipment…strengthen poles to withstand thrashing winds, move many high-voltage power lines underground and install back-up fuel supply systems to prevent soaring demand during heat waves from crashing the grid” by 2016.</w:t>
      </w:r>
      <w:r w:rsidRPr="00B66E0D">
        <w:rPr>
          <w:rStyle w:val="FootnoteReference"/>
        </w:rPr>
        <w:footnoteReference w:id="101"/>
      </w:r>
    </w:p>
    <w:p w:rsidR="008F1AC2" w:rsidRDefault="008F1AC2" w:rsidP="008F1AC2">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Additionally, in February 2019, Con Ed purchased six new mobile medium-voltage substations used for rapid emergency response from Siemens, a global pioneer in electrical engineering.</w:t>
      </w:r>
      <w:r>
        <w:rPr>
          <w:rStyle w:val="FootnoteReference"/>
          <w:rFonts w:ascii="Times New Roman" w:hAnsi="Times New Roman" w:cs="Times New Roman"/>
          <w:sz w:val="24"/>
          <w:szCs w:val="24"/>
        </w:rPr>
        <w:footnoteReference w:id="102"/>
      </w:r>
      <w:r>
        <w:rPr>
          <w:rFonts w:ascii="Times New Roman" w:hAnsi="Times New Roman" w:cs="Times New Roman"/>
          <w:sz w:val="24"/>
          <w:szCs w:val="24"/>
        </w:rPr>
        <w:t xml:space="preserve"> These substations </w:t>
      </w:r>
      <w:r w:rsidR="004F26CA">
        <w:rPr>
          <w:rFonts w:ascii="Times New Roman" w:hAnsi="Times New Roman" w:cs="Times New Roman"/>
          <w:sz w:val="24"/>
          <w:szCs w:val="24"/>
        </w:rPr>
        <w:t>should</w:t>
      </w:r>
      <w:r>
        <w:rPr>
          <w:rFonts w:ascii="Times New Roman" w:hAnsi="Times New Roman" w:cs="Times New Roman"/>
          <w:sz w:val="24"/>
          <w:szCs w:val="24"/>
        </w:rPr>
        <w:t xml:space="preserve"> give Con Ed the ability to deploy and fully operate a power substation within days instead of months it takes to replace damaged gear.</w:t>
      </w:r>
      <w:r>
        <w:rPr>
          <w:rStyle w:val="FootnoteReference"/>
          <w:rFonts w:ascii="Times New Roman" w:hAnsi="Times New Roman" w:cs="Times New Roman"/>
          <w:sz w:val="24"/>
          <w:szCs w:val="24"/>
        </w:rPr>
        <w:footnoteReference w:id="103"/>
      </w:r>
      <w:r>
        <w:rPr>
          <w:rFonts w:ascii="Times New Roman" w:hAnsi="Times New Roman" w:cs="Times New Roman"/>
          <w:sz w:val="24"/>
          <w:szCs w:val="24"/>
        </w:rPr>
        <w:t xml:space="preserve">  The mobile substations </w:t>
      </w:r>
      <w:r w:rsidR="004F26CA">
        <w:rPr>
          <w:rFonts w:ascii="Times New Roman" w:hAnsi="Times New Roman" w:cs="Times New Roman"/>
          <w:sz w:val="24"/>
          <w:szCs w:val="24"/>
        </w:rPr>
        <w:t>should</w:t>
      </w:r>
      <w:r>
        <w:rPr>
          <w:rFonts w:ascii="Times New Roman" w:hAnsi="Times New Roman" w:cs="Times New Roman"/>
          <w:sz w:val="24"/>
          <w:szCs w:val="24"/>
        </w:rPr>
        <w:t xml:space="preserve"> increase resilience by reducing the impact of power outages during extreme weather conditions or unexpected events.</w:t>
      </w:r>
      <w:r>
        <w:rPr>
          <w:rStyle w:val="FootnoteReference"/>
          <w:rFonts w:ascii="Times New Roman" w:hAnsi="Times New Roman" w:cs="Times New Roman"/>
          <w:sz w:val="24"/>
          <w:szCs w:val="24"/>
        </w:rPr>
        <w:footnoteReference w:id="104"/>
      </w:r>
    </w:p>
    <w:p w:rsidR="00942948" w:rsidRDefault="001F20B1" w:rsidP="00942948">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008F1AC2">
        <w:rPr>
          <w:rFonts w:ascii="Times New Roman" w:hAnsi="Times New Roman" w:cs="Times New Roman"/>
          <w:sz w:val="24"/>
          <w:szCs w:val="24"/>
        </w:rPr>
        <w:t xml:space="preserve"> 2014</w:t>
      </w:r>
      <w:r>
        <w:rPr>
          <w:rFonts w:ascii="Times New Roman" w:hAnsi="Times New Roman" w:cs="Times New Roman"/>
          <w:sz w:val="24"/>
          <w:szCs w:val="24"/>
        </w:rPr>
        <w:t xml:space="preserve"> agreement also required </w:t>
      </w:r>
      <w:r w:rsidR="00942948">
        <w:rPr>
          <w:rFonts w:ascii="Times New Roman" w:hAnsi="Times New Roman" w:cs="Times New Roman"/>
          <w:sz w:val="24"/>
          <w:szCs w:val="24"/>
        </w:rPr>
        <w:t>Con Ed  to produce a Climate Change Vulnerability Study (CCVS), which would assess how more frequent and intense weather conditions, including storm surge, wind, rain, snow, ice, temperature variations, humidity and heat waves w</w:t>
      </w:r>
      <w:r w:rsidR="00B430F3">
        <w:rPr>
          <w:rFonts w:ascii="Times New Roman" w:hAnsi="Times New Roman" w:cs="Times New Roman"/>
          <w:sz w:val="24"/>
          <w:szCs w:val="24"/>
        </w:rPr>
        <w:t>ould</w:t>
      </w:r>
      <w:r w:rsidR="00942948">
        <w:rPr>
          <w:rFonts w:ascii="Times New Roman" w:hAnsi="Times New Roman" w:cs="Times New Roman"/>
          <w:sz w:val="24"/>
          <w:szCs w:val="24"/>
        </w:rPr>
        <w:t xml:space="preserve"> affect the City’s electrical grid and Con Ed’s operations in the long-term.</w:t>
      </w:r>
      <w:r w:rsidR="00942948">
        <w:rPr>
          <w:rStyle w:val="FootnoteReference"/>
          <w:rFonts w:ascii="Times New Roman" w:hAnsi="Times New Roman" w:cs="Times New Roman"/>
          <w:sz w:val="24"/>
          <w:szCs w:val="24"/>
        </w:rPr>
        <w:footnoteReference w:id="105"/>
      </w:r>
      <w:r w:rsidR="00942948">
        <w:rPr>
          <w:rFonts w:ascii="Times New Roman" w:hAnsi="Times New Roman" w:cs="Times New Roman"/>
          <w:sz w:val="24"/>
          <w:szCs w:val="24"/>
        </w:rPr>
        <w:t xml:space="preserve">  In its 2015 report to the PSC on the status of its storm hardening and resiliency work, Con Ed stated: “An understanding of these key climate and weather factors, as well as those applicable to flooding, is an essential building block in determining the system and equipment design standards and consequent infrastructure investments necessary to improve system resilience to the effects of future climate change.”</w:t>
      </w:r>
      <w:r w:rsidR="00942948">
        <w:rPr>
          <w:rStyle w:val="FootnoteReference"/>
          <w:rFonts w:ascii="Times New Roman" w:hAnsi="Times New Roman" w:cs="Times New Roman"/>
          <w:sz w:val="24"/>
          <w:szCs w:val="24"/>
        </w:rPr>
        <w:footnoteReference w:id="106"/>
      </w:r>
      <w:r w:rsidR="00942948">
        <w:rPr>
          <w:rFonts w:ascii="Times New Roman" w:hAnsi="Times New Roman" w:cs="Times New Roman"/>
          <w:sz w:val="24"/>
          <w:szCs w:val="24"/>
        </w:rPr>
        <w:t xml:space="preserve">  The CCVS was due to PSC in 2018, but Con Ed has not publicly released the first chapter.</w:t>
      </w:r>
      <w:r w:rsidR="00942948">
        <w:rPr>
          <w:rStyle w:val="FootnoteReference"/>
          <w:rFonts w:ascii="Times New Roman" w:hAnsi="Times New Roman" w:cs="Times New Roman"/>
          <w:sz w:val="24"/>
          <w:szCs w:val="24"/>
        </w:rPr>
        <w:footnoteReference w:id="107"/>
      </w:r>
      <w:r w:rsidR="00942948">
        <w:rPr>
          <w:rFonts w:ascii="Times New Roman" w:hAnsi="Times New Roman" w:cs="Times New Roman"/>
          <w:sz w:val="24"/>
          <w:szCs w:val="24"/>
        </w:rPr>
        <w:t xml:space="preserve">  In a January 2019 report, Con Ed stated that the Study is scheduled to be completed by the end of 2019, and that it “will include a portfolio of operational and design changes designed to manage the risks posed by a changing climate, as well as an assessment of the costs and benefits of those changes.”</w:t>
      </w:r>
      <w:r w:rsidR="00942948">
        <w:rPr>
          <w:rStyle w:val="FootnoteReference"/>
          <w:rFonts w:ascii="Times New Roman" w:hAnsi="Times New Roman" w:cs="Times New Roman"/>
          <w:sz w:val="24"/>
          <w:szCs w:val="24"/>
        </w:rPr>
        <w:footnoteReference w:id="108"/>
      </w:r>
    </w:p>
    <w:p w:rsidR="00942948" w:rsidRDefault="00942948" w:rsidP="00942948">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the </w:t>
      </w:r>
      <w:r w:rsidR="00460954">
        <w:rPr>
          <w:rFonts w:ascii="Times New Roman" w:hAnsi="Times New Roman" w:cs="Times New Roman"/>
          <w:sz w:val="24"/>
          <w:szCs w:val="24"/>
        </w:rPr>
        <w:t>current PSC rate case</w:t>
      </w:r>
      <w:r>
        <w:rPr>
          <w:rFonts w:ascii="Times New Roman" w:hAnsi="Times New Roman" w:cs="Times New Roman"/>
          <w:sz w:val="24"/>
          <w:szCs w:val="24"/>
        </w:rPr>
        <w:t>, Con Ed provided a draft of CCVS Chapter 2: Humidity, Temperature Variable, &amp; Load in response to the City’s discovery request.</w:t>
      </w:r>
      <w:r>
        <w:rPr>
          <w:rStyle w:val="FootnoteReference"/>
          <w:rFonts w:ascii="Times New Roman" w:hAnsi="Times New Roman" w:cs="Times New Roman"/>
          <w:sz w:val="24"/>
          <w:szCs w:val="24"/>
        </w:rPr>
        <w:footnoteReference w:id="109"/>
      </w:r>
      <w:r>
        <w:rPr>
          <w:rFonts w:ascii="Times New Roman" w:hAnsi="Times New Roman" w:cs="Times New Roman"/>
          <w:sz w:val="24"/>
          <w:szCs w:val="24"/>
        </w:rPr>
        <w:t xml:space="preserve">  This chapter, however, has not been publicly released.  In the draft chapter, Con Ed identified heat waves as a primary concern for the Network system, which houses the majority of load.</w:t>
      </w:r>
      <w:r>
        <w:rPr>
          <w:rStyle w:val="FootnoteReference"/>
          <w:rFonts w:ascii="Times New Roman" w:hAnsi="Times New Roman" w:cs="Times New Roman"/>
          <w:sz w:val="24"/>
          <w:szCs w:val="24"/>
        </w:rPr>
        <w:footnoteReference w:id="110"/>
      </w:r>
      <w:r>
        <w:rPr>
          <w:rFonts w:ascii="Times New Roman" w:hAnsi="Times New Roman" w:cs="Times New Roman"/>
          <w:sz w:val="24"/>
          <w:szCs w:val="24"/>
        </w:rPr>
        <w:t xml:space="preserve">  Con Ed projects that because of climate change, system peak loads in 2050 will be 13-24% higher.</w:t>
      </w:r>
      <w:r>
        <w:rPr>
          <w:rStyle w:val="FootnoteReference"/>
          <w:rFonts w:ascii="Times New Roman" w:hAnsi="Times New Roman" w:cs="Times New Roman"/>
          <w:sz w:val="24"/>
          <w:szCs w:val="24"/>
        </w:rPr>
        <w:footnoteReference w:id="111"/>
      </w:r>
      <w:r>
        <w:rPr>
          <w:rFonts w:ascii="Times New Roman" w:hAnsi="Times New Roman" w:cs="Times New Roman"/>
          <w:sz w:val="24"/>
          <w:szCs w:val="24"/>
        </w:rPr>
        <w:t xml:space="preserve">  Additionally, underground electric power equipment will have higher failure rates during heat waves because heat accumulates underground.  Approximately 87 percent of Con Ed’s distribution capacity is underground (which includes 65 second contingency networks and 19 first contingency networks).</w:t>
      </w:r>
      <w:r>
        <w:rPr>
          <w:rStyle w:val="FootnoteReference"/>
          <w:rFonts w:ascii="Times New Roman" w:hAnsi="Times New Roman" w:cs="Times New Roman"/>
          <w:sz w:val="24"/>
          <w:szCs w:val="24"/>
        </w:rPr>
        <w:footnoteReference w:id="112"/>
      </w:r>
      <w:r>
        <w:rPr>
          <w:rFonts w:ascii="Times New Roman" w:hAnsi="Times New Roman" w:cs="Times New Roman"/>
          <w:sz w:val="24"/>
          <w:szCs w:val="24"/>
        </w:rPr>
        <w:t xml:space="preserve">  Con Ed determined that by mid-century, between 11 and 28 of its networks may not be able to maintain reliability as they are currently operating.</w:t>
      </w:r>
      <w:r>
        <w:rPr>
          <w:rStyle w:val="FootnoteReference"/>
          <w:rFonts w:ascii="Times New Roman" w:hAnsi="Times New Roman" w:cs="Times New Roman"/>
          <w:sz w:val="24"/>
          <w:szCs w:val="24"/>
        </w:rPr>
        <w:footnoteReference w:id="113"/>
      </w:r>
      <w:r>
        <w:rPr>
          <w:rFonts w:ascii="Times New Roman" w:hAnsi="Times New Roman" w:cs="Times New Roman"/>
          <w:sz w:val="24"/>
          <w:szCs w:val="24"/>
        </w:rPr>
        <w:t xml:space="preserve">  Adaptation measures that Con Ed proposed for the underground network to address increased demand on load because of climate change include: incorporating distributed energy resources (DERs), complete </w:t>
      </w:r>
      <w:r w:rsidR="00C13CEE" w:rsidRPr="00460954">
        <w:rPr>
          <w:rFonts w:ascii="Times New Roman" w:hAnsi="Times New Roman" w:cs="Times New Roman"/>
          <w:sz w:val="24"/>
          <w:szCs w:val="24"/>
        </w:rPr>
        <w:t xml:space="preserve">paper insulated lead cable </w:t>
      </w:r>
      <w:r w:rsidR="00C13CEE">
        <w:t>(</w:t>
      </w:r>
      <w:r>
        <w:rPr>
          <w:rFonts w:ascii="Times New Roman" w:hAnsi="Times New Roman" w:cs="Times New Roman"/>
          <w:sz w:val="24"/>
          <w:szCs w:val="24"/>
        </w:rPr>
        <w:t>PILC</w:t>
      </w:r>
      <w:r w:rsidR="00C13CEE">
        <w:rPr>
          <w:rFonts w:ascii="Times New Roman" w:hAnsi="Times New Roman" w:cs="Times New Roman"/>
          <w:sz w:val="24"/>
          <w:szCs w:val="24"/>
        </w:rPr>
        <w:t>)</w:t>
      </w:r>
      <w:r w:rsidR="00460954">
        <w:rPr>
          <w:rFonts w:ascii="Times New Roman" w:hAnsi="Times New Roman" w:cs="Times New Roman"/>
          <w:sz w:val="24"/>
          <w:szCs w:val="24"/>
        </w:rPr>
        <w:t xml:space="preserve"> </w:t>
      </w:r>
      <w:r>
        <w:rPr>
          <w:rFonts w:ascii="Times New Roman" w:hAnsi="Times New Roman" w:cs="Times New Roman"/>
          <w:sz w:val="24"/>
          <w:szCs w:val="24"/>
        </w:rPr>
        <w:t>replacement; creating primary feeder loops within or between networks; improving fault monitoring capabilities; and splitting the network into two smaller networks.</w:t>
      </w:r>
      <w:r>
        <w:rPr>
          <w:rStyle w:val="FootnoteReference"/>
          <w:rFonts w:ascii="Times New Roman" w:hAnsi="Times New Roman" w:cs="Times New Roman"/>
          <w:sz w:val="24"/>
          <w:szCs w:val="24"/>
        </w:rPr>
        <w:footnoteReference w:id="114"/>
      </w:r>
    </w:p>
    <w:p w:rsidR="001F20B1" w:rsidRDefault="00942948" w:rsidP="0092476D">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However, Con Ed “will not consider immediate adoption and implementation of any of the discrete recommendations that have already been advanced in completed chapters of the [CCVS]” because “immediate implementation . . . would not accommodate the ability to capture synergies or avoid duplicity in our actions.”</w:t>
      </w:r>
      <w:r>
        <w:rPr>
          <w:rStyle w:val="FootnoteReference"/>
          <w:rFonts w:ascii="Times New Roman" w:hAnsi="Times New Roman" w:cs="Times New Roman"/>
          <w:sz w:val="24"/>
          <w:szCs w:val="24"/>
        </w:rPr>
        <w:footnoteReference w:id="115"/>
      </w:r>
      <w:r>
        <w:rPr>
          <w:rFonts w:ascii="Times New Roman" w:hAnsi="Times New Roman" w:cs="Times New Roman"/>
          <w:sz w:val="24"/>
          <w:szCs w:val="24"/>
        </w:rPr>
        <w:t xml:space="preserve">  Con Ed has stated that the final published CCVS “will include a portfolio of operational, planning and design measures, along with a timeframe to improve our</w:t>
      </w:r>
      <w:r w:rsidR="0092476D">
        <w:rPr>
          <w:rFonts w:ascii="Times New Roman" w:hAnsi="Times New Roman" w:cs="Times New Roman"/>
          <w:sz w:val="24"/>
          <w:szCs w:val="24"/>
        </w:rPr>
        <w:t xml:space="preserve"> resiliency to climate change.”</w:t>
      </w:r>
    </w:p>
    <w:p w:rsidR="00942948" w:rsidRDefault="00942948" w:rsidP="00C30D34">
      <w:pPr>
        <w:widowControl w:val="0"/>
        <w:suppressLineNumber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F20B1">
        <w:rPr>
          <w:rFonts w:ascii="Times New Roman" w:hAnsi="Times New Roman" w:cs="Times New Roman"/>
          <w:sz w:val="24"/>
          <w:szCs w:val="24"/>
        </w:rPr>
        <w:tab/>
      </w:r>
      <w:r>
        <w:rPr>
          <w:rFonts w:ascii="Times New Roman" w:hAnsi="Times New Roman" w:cs="Times New Roman"/>
          <w:sz w:val="24"/>
          <w:szCs w:val="24"/>
        </w:rPr>
        <w:t>Con Ed’s current resiliency plans include many of the same elements that it included in its previous filings with the PSC, including open wire cable replacements, breakaway service connectors, installation of trip saves, and reconfiguring of auto-loop schemes.</w:t>
      </w:r>
      <w:r>
        <w:rPr>
          <w:rStyle w:val="FootnoteReference"/>
          <w:rFonts w:ascii="Times New Roman" w:hAnsi="Times New Roman" w:cs="Times New Roman"/>
          <w:sz w:val="24"/>
          <w:szCs w:val="24"/>
        </w:rPr>
        <w:footnoteReference w:id="116"/>
      </w:r>
      <w:r>
        <w:rPr>
          <w:rFonts w:ascii="Times New Roman" w:hAnsi="Times New Roman" w:cs="Times New Roman"/>
          <w:sz w:val="24"/>
          <w:szCs w:val="24"/>
        </w:rPr>
        <w:t xml:space="preserve">  As part of its storm hardening efforts from 2013 to 2018, Con Ed hardened or protected its substations, generating facilities and other buildings to the FEMA flood level plus three feet (“+3”).  Con Ed </w:t>
      </w:r>
      <w:r w:rsidR="00B430F3">
        <w:rPr>
          <w:rFonts w:ascii="Times New Roman" w:hAnsi="Times New Roman" w:cs="Times New Roman"/>
          <w:sz w:val="24"/>
          <w:szCs w:val="24"/>
        </w:rPr>
        <w:t xml:space="preserve">has proclaimed </w:t>
      </w:r>
      <w:r>
        <w:rPr>
          <w:rFonts w:ascii="Times New Roman" w:hAnsi="Times New Roman" w:cs="Times New Roman"/>
          <w:sz w:val="24"/>
          <w:szCs w:val="24"/>
        </w:rPr>
        <w:t>this is sufficiently protective and the “scale of work to build beyond the FEMA +3 level at many of the company affected locations varied from impractical to prohibitive.”</w:t>
      </w:r>
      <w:r>
        <w:rPr>
          <w:rStyle w:val="FootnoteReference"/>
          <w:rFonts w:ascii="Times New Roman" w:hAnsi="Times New Roman" w:cs="Times New Roman"/>
          <w:sz w:val="24"/>
          <w:szCs w:val="24"/>
        </w:rPr>
        <w:footnoteReference w:id="117"/>
      </w:r>
      <w:r>
        <w:rPr>
          <w:rFonts w:ascii="Times New Roman" w:hAnsi="Times New Roman" w:cs="Times New Roman"/>
          <w:sz w:val="24"/>
          <w:szCs w:val="24"/>
        </w:rPr>
        <w:t xml:space="preserve">  Con Ed chose the FEMA +3 level as its design basis for all new construction, but stated that its major substations, facilities and buildings built after 2005 (Hurricane Katrina) have all exceeded the current FEMA +3 design basis.</w:t>
      </w:r>
      <w:r>
        <w:rPr>
          <w:rStyle w:val="FootnoteReference"/>
          <w:rFonts w:ascii="Times New Roman" w:hAnsi="Times New Roman" w:cs="Times New Roman"/>
          <w:sz w:val="24"/>
          <w:szCs w:val="24"/>
        </w:rPr>
        <w:footnoteReference w:id="118"/>
      </w:r>
      <w:r>
        <w:rPr>
          <w:rFonts w:ascii="Times New Roman" w:hAnsi="Times New Roman" w:cs="Times New Roman"/>
          <w:sz w:val="24"/>
          <w:szCs w:val="24"/>
        </w:rPr>
        <w:t xml:space="preserve">  </w:t>
      </w:r>
      <w:r w:rsidR="00E64F47">
        <w:rPr>
          <w:rFonts w:ascii="Times New Roman" w:hAnsi="Times New Roman" w:cs="Times New Roman"/>
          <w:sz w:val="24"/>
          <w:szCs w:val="24"/>
        </w:rPr>
        <w:t xml:space="preserve">However, Con Ed has not addressed why it has not hardened or protected these substations, facilities and buildings to the FEMA flood level plus five feet, which would account for a 500-year storm event, </w:t>
      </w:r>
      <w:r w:rsidR="00471749">
        <w:rPr>
          <w:rFonts w:ascii="Times New Roman" w:hAnsi="Times New Roman" w:cs="Times New Roman"/>
          <w:sz w:val="24"/>
          <w:szCs w:val="24"/>
        </w:rPr>
        <w:t>an increasingly more common scenario</w:t>
      </w:r>
      <w:r w:rsidR="00E64F47">
        <w:rPr>
          <w:rFonts w:ascii="Times New Roman" w:hAnsi="Times New Roman" w:cs="Times New Roman"/>
          <w:sz w:val="24"/>
          <w:szCs w:val="24"/>
        </w:rPr>
        <w:t>.  Con Ed only states that it “is further considering this issue as part of its [CCVS].”</w:t>
      </w:r>
      <w:r w:rsidR="00E64F47">
        <w:rPr>
          <w:rStyle w:val="FootnoteReference"/>
          <w:rFonts w:ascii="Times New Roman" w:hAnsi="Times New Roman" w:cs="Times New Roman"/>
          <w:sz w:val="24"/>
          <w:szCs w:val="24"/>
        </w:rPr>
        <w:footnoteReference w:id="119"/>
      </w:r>
    </w:p>
    <w:p w:rsidR="00CC6463" w:rsidRPr="00B66E0D" w:rsidRDefault="00100B1C" w:rsidP="00B66E0D">
      <w:pPr>
        <w:pStyle w:val="ListParagraph"/>
        <w:widowControl w:val="0"/>
        <w:numPr>
          <w:ilvl w:val="0"/>
          <w:numId w:val="1"/>
        </w:numPr>
        <w:suppressLineNumbers/>
        <w:tabs>
          <w:tab w:val="left" w:pos="720"/>
        </w:tabs>
        <w:autoSpaceDE w:val="0"/>
        <w:autoSpaceDN w:val="0"/>
        <w:adjustRightInd w:val="0"/>
        <w:spacing w:before="120" w:after="120" w:line="480" w:lineRule="auto"/>
        <w:ind w:hanging="1080"/>
        <w:jc w:val="both"/>
        <w:rPr>
          <w:rFonts w:ascii="Times New Roman" w:hAnsi="Times New Roman" w:cs="Times New Roman"/>
          <w:b/>
          <w:u w:val="single"/>
        </w:rPr>
      </w:pPr>
      <w:r w:rsidRPr="00B66E0D">
        <w:rPr>
          <w:rFonts w:ascii="Times New Roman" w:hAnsi="Times New Roman" w:cs="Times New Roman"/>
          <w:b/>
          <w:u w:val="single"/>
        </w:rPr>
        <w:t>CONCLUSION</w:t>
      </w:r>
    </w:p>
    <w:p w:rsidR="00046584" w:rsidRPr="00B66E0D" w:rsidRDefault="008E7403" w:rsidP="00B66E0D">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B66E0D">
        <w:rPr>
          <w:rFonts w:ascii="Times New Roman" w:hAnsi="Times New Roman" w:cs="Times New Roman"/>
          <w:sz w:val="24"/>
          <w:szCs w:val="24"/>
        </w:rPr>
        <w:t>In its evaluative report on widespread blackouts in New York City, the Office of the New York Attorney General concluded that “design and maintenance problems endemic to Con Edison’s distribution system led to a total blackout of this network…Con Edison’s customers cannot be put in jeopardy, in the 21st century, of a reoccurrence of the events of July 1999</w:t>
      </w:r>
      <w:r w:rsidR="000B6A08">
        <w:rPr>
          <w:rFonts w:ascii="Times New Roman" w:hAnsi="Times New Roman" w:cs="Times New Roman"/>
          <w:sz w:val="24"/>
          <w:szCs w:val="24"/>
        </w:rPr>
        <w:t>,</w:t>
      </w:r>
      <w:r w:rsidRPr="00B66E0D">
        <w:rPr>
          <w:rFonts w:ascii="Times New Roman" w:hAnsi="Times New Roman" w:cs="Times New Roman"/>
          <w:sz w:val="24"/>
          <w:szCs w:val="24"/>
        </w:rPr>
        <w:t xml:space="preserve">” and yet, twenty years later, that is </w:t>
      </w:r>
      <w:r w:rsidR="00B430F3">
        <w:rPr>
          <w:rFonts w:ascii="Times New Roman" w:hAnsi="Times New Roman" w:cs="Times New Roman"/>
          <w:sz w:val="24"/>
          <w:szCs w:val="24"/>
        </w:rPr>
        <w:t>still</w:t>
      </w:r>
      <w:r w:rsidRPr="00B66E0D">
        <w:rPr>
          <w:rFonts w:ascii="Times New Roman" w:hAnsi="Times New Roman" w:cs="Times New Roman"/>
          <w:sz w:val="24"/>
          <w:szCs w:val="24"/>
        </w:rPr>
        <w:t xml:space="preserve"> the threat that Con Ed’s customers in New York City are facing.</w:t>
      </w:r>
      <w:r w:rsidRPr="00B66E0D">
        <w:rPr>
          <w:rStyle w:val="FootnoteReference"/>
          <w:rFonts w:ascii="Times New Roman" w:hAnsi="Times New Roman" w:cs="Times New Roman"/>
          <w:sz w:val="24"/>
          <w:szCs w:val="24"/>
        </w:rPr>
        <w:footnoteReference w:id="120"/>
      </w:r>
      <w:r w:rsidRPr="00B66E0D">
        <w:rPr>
          <w:rFonts w:ascii="Times New Roman" w:hAnsi="Times New Roman" w:cs="Times New Roman"/>
          <w:sz w:val="24"/>
          <w:szCs w:val="24"/>
        </w:rPr>
        <w:t xml:space="preserve"> Despite numerous inquiries, commitments, investments and increased rates, Con Ed has failed to address the significant flaws within its delivery system so that it can reliably meet the City’s electricity </w:t>
      </w:r>
      <w:r w:rsidR="00EF1B2A" w:rsidRPr="00B66E0D">
        <w:rPr>
          <w:rFonts w:ascii="Times New Roman" w:hAnsi="Times New Roman" w:cs="Times New Roman"/>
          <w:sz w:val="24"/>
          <w:szCs w:val="24"/>
        </w:rPr>
        <w:t>needs. As the demand</w:t>
      </w:r>
      <w:r w:rsidR="0018020D" w:rsidRPr="00B66E0D">
        <w:rPr>
          <w:rFonts w:ascii="Times New Roman" w:hAnsi="Times New Roman" w:cs="Times New Roman"/>
          <w:sz w:val="24"/>
          <w:szCs w:val="24"/>
        </w:rPr>
        <w:t xml:space="preserve"> for air-conditioning increases, due to rising temperatures, the </w:t>
      </w:r>
      <w:r w:rsidR="00E574D6">
        <w:rPr>
          <w:rFonts w:ascii="Times New Roman" w:hAnsi="Times New Roman" w:cs="Times New Roman"/>
          <w:sz w:val="24"/>
          <w:szCs w:val="24"/>
        </w:rPr>
        <w:t xml:space="preserve">urban </w:t>
      </w:r>
      <w:r w:rsidR="0018020D" w:rsidRPr="00B66E0D">
        <w:rPr>
          <w:rFonts w:ascii="Times New Roman" w:hAnsi="Times New Roman" w:cs="Times New Roman"/>
          <w:sz w:val="24"/>
          <w:szCs w:val="24"/>
        </w:rPr>
        <w:t xml:space="preserve">heat island effect and other impacts of climate change, customers will be drawing more from the grid. In addition to the growing demand, the effects of climate change, particularly rising temperatures and storm surges, will put extra pressure on Con Ed’s aging infrastructure, and it is unclear whether the utility has made the required adjustments. </w:t>
      </w:r>
    </w:p>
    <w:sectPr w:rsidR="00046584" w:rsidRPr="00B66E0D" w:rsidSect="00523911">
      <w:headerReference w:type="default" r:id="rId10"/>
      <w:footerReference w:type="default" r:id="rId11"/>
      <w:type w:val="continuous"/>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C40340" w16cid:durableId="211152C6"/>
  <w16cid:commentId w16cid:paraId="71C91F22" w16cid:durableId="2111558E"/>
  <w16cid:commentId w16cid:paraId="2BD317F5" w16cid:durableId="211155F2"/>
  <w16cid:commentId w16cid:paraId="6D0232B1" w16cid:durableId="21115E4A"/>
  <w16cid:commentId w16cid:paraId="19B3429A" w16cid:durableId="21115F4B"/>
  <w16cid:commentId w16cid:paraId="3A517958" w16cid:durableId="21115F98"/>
  <w16cid:commentId w16cid:paraId="17168DFF" w16cid:durableId="211163D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4B0" w:rsidRDefault="004304B0" w:rsidP="0073506B">
      <w:pPr>
        <w:spacing w:after="0" w:line="240" w:lineRule="auto"/>
      </w:pPr>
      <w:r>
        <w:separator/>
      </w:r>
    </w:p>
  </w:endnote>
  <w:endnote w:type="continuationSeparator" w:id="0">
    <w:p w:rsidR="004304B0" w:rsidRDefault="004304B0" w:rsidP="00735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66690"/>
      <w:docPartObj>
        <w:docPartGallery w:val="Page Numbers (Bottom of Page)"/>
        <w:docPartUnique/>
      </w:docPartObj>
    </w:sdtPr>
    <w:sdtEndPr>
      <w:rPr>
        <w:noProof/>
      </w:rPr>
    </w:sdtEndPr>
    <w:sdtContent>
      <w:p w:rsidR="003F5EAB" w:rsidRDefault="003F5EAB">
        <w:pPr>
          <w:pStyle w:val="Footer"/>
          <w:jc w:val="right"/>
        </w:pPr>
        <w:r>
          <w:fldChar w:fldCharType="begin"/>
        </w:r>
        <w:r>
          <w:instrText xml:space="preserve"> PAGE   \* MERGEFORMAT </w:instrText>
        </w:r>
        <w:r>
          <w:fldChar w:fldCharType="separate"/>
        </w:r>
        <w:r w:rsidR="00390085">
          <w:rPr>
            <w:noProof/>
          </w:rPr>
          <w:t>20</w:t>
        </w:r>
        <w:r>
          <w:rPr>
            <w:noProof/>
          </w:rPr>
          <w:fldChar w:fldCharType="end"/>
        </w:r>
      </w:p>
    </w:sdtContent>
  </w:sdt>
  <w:p w:rsidR="003F5EAB" w:rsidRDefault="003F5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4B0" w:rsidRDefault="004304B0" w:rsidP="0073506B">
      <w:pPr>
        <w:spacing w:after="0" w:line="240" w:lineRule="auto"/>
      </w:pPr>
      <w:r>
        <w:separator/>
      </w:r>
    </w:p>
  </w:footnote>
  <w:footnote w:type="continuationSeparator" w:id="0">
    <w:p w:rsidR="004304B0" w:rsidRDefault="004304B0" w:rsidP="0073506B">
      <w:pPr>
        <w:spacing w:after="0" w:line="240" w:lineRule="auto"/>
      </w:pPr>
      <w:r>
        <w:continuationSeparator/>
      </w:r>
    </w:p>
  </w:footnote>
  <w:footnote w:id="1">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James Barron and Mihir Zaveri “Power restored to Manhattan’s West Side after major blackout”, </w:t>
      </w:r>
      <w:r w:rsidRPr="005E7442">
        <w:rPr>
          <w:rFonts w:asciiTheme="minorHAnsi" w:hAnsiTheme="minorHAnsi" w:cstheme="minorHAnsi"/>
          <w:i/>
        </w:rPr>
        <w:t>New York Times</w:t>
      </w:r>
      <w:r w:rsidRPr="005E7442">
        <w:rPr>
          <w:rFonts w:asciiTheme="minorHAnsi" w:hAnsiTheme="minorHAnsi" w:cstheme="minorHAnsi"/>
        </w:rPr>
        <w:t xml:space="preserve">, July 13, 2019, available at: </w:t>
      </w:r>
      <w:hyperlink r:id="rId1" w:history="1">
        <w:r w:rsidRPr="005E7442">
          <w:rPr>
            <w:rStyle w:val="Hyperlink"/>
            <w:rFonts w:asciiTheme="minorHAnsi" w:hAnsiTheme="minorHAnsi" w:cstheme="minorHAnsi"/>
          </w:rPr>
          <w:t>https://www.nytimes.com/2019/07/13/nyregion/nyc-power-outage.html</w:t>
        </w:r>
      </w:hyperlink>
      <w:r w:rsidRPr="005E7442">
        <w:rPr>
          <w:rFonts w:asciiTheme="minorHAnsi" w:hAnsiTheme="minorHAnsi" w:cstheme="minorHAnsi"/>
        </w:rPr>
        <w:t xml:space="preserve">. </w:t>
      </w:r>
    </w:p>
  </w:footnote>
  <w:footnote w:id="2">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3">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Derek M. Norman “The 1977 blackout in New York City happened exactly 42 years ago”, </w:t>
      </w:r>
      <w:r w:rsidRPr="005E7442">
        <w:rPr>
          <w:rFonts w:asciiTheme="minorHAnsi" w:hAnsiTheme="minorHAnsi" w:cstheme="minorHAnsi"/>
          <w:i/>
        </w:rPr>
        <w:t>New York Times</w:t>
      </w:r>
      <w:r w:rsidRPr="005E7442">
        <w:rPr>
          <w:rFonts w:asciiTheme="minorHAnsi" w:hAnsiTheme="minorHAnsi" w:cstheme="minorHAnsi"/>
        </w:rPr>
        <w:t xml:space="preserve">, July 14, 2019, available at: </w:t>
      </w:r>
      <w:hyperlink r:id="rId2" w:history="1">
        <w:r w:rsidRPr="005E7442">
          <w:rPr>
            <w:rStyle w:val="Hyperlink"/>
            <w:rFonts w:asciiTheme="minorHAnsi" w:hAnsiTheme="minorHAnsi" w:cstheme="minorHAnsi"/>
          </w:rPr>
          <w:t>https://www.nytimes.com/2019/07/14/nyregion/1977-blackout-photos.html?action=click&amp;module=RelatedCoverage&amp;pgtype=Article&amp;region=Footer</w:t>
        </w:r>
      </w:hyperlink>
      <w:r w:rsidRPr="005E7442">
        <w:rPr>
          <w:rFonts w:asciiTheme="minorHAnsi" w:hAnsiTheme="minorHAnsi" w:cstheme="minorHAnsi"/>
        </w:rPr>
        <w:t xml:space="preserve">. </w:t>
      </w:r>
    </w:p>
  </w:footnote>
  <w:footnote w:id="4">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Spencer Kimball “Power restored in Manhattan after blackout left over 70,000 Con Edison customers in the dark”, CNBC, July 13, 2019, available at: </w:t>
      </w:r>
      <w:hyperlink r:id="rId3" w:history="1">
        <w:r w:rsidRPr="005E7442">
          <w:rPr>
            <w:rStyle w:val="Hyperlink"/>
            <w:rFonts w:asciiTheme="minorHAnsi" w:hAnsiTheme="minorHAnsi" w:cstheme="minorHAnsi"/>
          </w:rPr>
          <w:t>https://www.cnbc.com/2019/07/13/massive-outages-leave-27000-coned-customers-without-power-in-new-york-city.html</w:t>
        </w:r>
      </w:hyperlink>
      <w:r w:rsidRPr="005E7442">
        <w:rPr>
          <w:rFonts w:asciiTheme="minorHAnsi" w:hAnsiTheme="minorHAnsi" w:cstheme="minorHAnsi"/>
        </w:rPr>
        <w:t xml:space="preserve">; and James Barron and Mihir Zaveri, </w:t>
      </w:r>
      <w:r w:rsidR="00DB4D86" w:rsidRPr="005E7442">
        <w:rPr>
          <w:rFonts w:asciiTheme="minorHAnsi" w:hAnsiTheme="minorHAnsi" w:cstheme="minorHAnsi"/>
        </w:rPr>
        <w:t xml:space="preserve">at </w:t>
      </w:r>
      <w:r w:rsidRPr="005E7442">
        <w:rPr>
          <w:rFonts w:asciiTheme="minorHAnsi" w:hAnsiTheme="minorHAnsi" w:cstheme="minorHAnsi"/>
        </w:rPr>
        <w:t xml:space="preserve">note 1. </w:t>
      </w:r>
    </w:p>
  </w:footnote>
  <w:footnote w:id="5">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Eyewitness News “Power restored to all customers following massive outage in Manhattan”, </w:t>
      </w:r>
      <w:r w:rsidRPr="005E7442">
        <w:rPr>
          <w:rFonts w:asciiTheme="minorHAnsi" w:hAnsiTheme="minorHAnsi" w:cstheme="minorHAnsi"/>
          <w:i/>
        </w:rPr>
        <w:t>ABC7NY</w:t>
      </w:r>
      <w:r w:rsidRPr="005E7442">
        <w:rPr>
          <w:rFonts w:asciiTheme="minorHAnsi" w:hAnsiTheme="minorHAnsi" w:cstheme="minorHAnsi"/>
        </w:rPr>
        <w:t xml:space="preserve">, July 14, 2019, available at: </w:t>
      </w:r>
      <w:hyperlink r:id="rId4" w:history="1">
        <w:r w:rsidRPr="005E7442">
          <w:rPr>
            <w:rStyle w:val="Hyperlink"/>
            <w:rFonts w:asciiTheme="minorHAnsi" w:hAnsiTheme="minorHAnsi" w:cstheme="minorHAnsi"/>
          </w:rPr>
          <w:t>https://abc7ny.com/major-power-outage-reported-in-manhattan/5393772/</w:t>
        </w:r>
      </w:hyperlink>
      <w:r w:rsidRPr="005E7442">
        <w:rPr>
          <w:rFonts w:asciiTheme="minorHAnsi" w:hAnsiTheme="minorHAnsi" w:cstheme="minorHAnsi"/>
        </w:rPr>
        <w:t xml:space="preserve">. </w:t>
      </w:r>
    </w:p>
  </w:footnote>
  <w:footnote w:id="6">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James Barron and Mihir Zaveri, </w:t>
      </w:r>
      <w:r w:rsidR="00DB4D86" w:rsidRPr="005E7442">
        <w:rPr>
          <w:rFonts w:asciiTheme="minorHAnsi" w:hAnsiTheme="minorHAnsi" w:cstheme="minorHAnsi"/>
        </w:rPr>
        <w:t xml:space="preserve">at </w:t>
      </w:r>
      <w:r w:rsidRPr="005E7442">
        <w:rPr>
          <w:rFonts w:asciiTheme="minorHAnsi" w:hAnsiTheme="minorHAnsi" w:cstheme="minorHAnsi"/>
        </w:rPr>
        <w:t xml:space="preserve">note 1. </w:t>
      </w:r>
    </w:p>
  </w:footnote>
  <w:footnote w:id="7">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Con Edison “Con Edison statement: Re: West Side outage root cause”, July 29, 2019, available at: </w:t>
      </w:r>
      <w:hyperlink r:id="rId5" w:history="1">
        <w:r w:rsidRPr="005E7442">
          <w:rPr>
            <w:rStyle w:val="Hyperlink"/>
            <w:rFonts w:asciiTheme="minorHAnsi" w:hAnsiTheme="minorHAnsi" w:cstheme="minorHAnsi"/>
          </w:rPr>
          <w:t>https://www.coned.com/en/about-us/media-center/news/20190729/con-edison-statement</w:t>
        </w:r>
      </w:hyperlink>
      <w:r w:rsidRPr="005E7442">
        <w:rPr>
          <w:rFonts w:asciiTheme="minorHAnsi" w:hAnsiTheme="minorHAnsi" w:cstheme="minorHAnsi"/>
        </w:rPr>
        <w:t xml:space="preserve">. </w:t>
      </w:r>
    </w:p>
  </w:footnote>
  <w:footnote w:id="8">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Joseph Ostapiuk “West Brighton outage leaves over 1,300 without power”, </w:t>
      </w:r>
      <w:r w:rsidRPr="005E7442">
        <w:rPr>
          <w:rFonts w:asciiTheme="minorHAnsi" w:hAnsiTheme="minorHAnsi" w:cstheme="minorHAnsi"/>
          <w:i/>
        </w:rPr>
        <w:t xml:space="preserve">SI Live, </w:t>
      </w:r>
      <w:r w:rsidRPr="005E7442">
        <w:rPr>
          <w:rFonts w:asciiTheme="minorHAnsi" w:hAnsiTheme="minorHAnsi" w:cstheme="minorHAnsi"/>
        </w:rPr>
        <w:t xml:space="preserve">July 14, 2019, available at: </w:t>
      </w:r>
      <w:hyperlink r:id="rId6" w:history="1">
        <w:r w:rsidRPr="005E7442">
          <w:rPr>
            <w:rStyle w:val="Hyperlink"/>
            <w:rFonts w:asciiTheme="minorHAnsi" w:hAnsiTheme="minorHAnsi" w:cstheme="minorHAnsi"/>
          </w:rPr>
          <w:t>https://www.silive.com/news/2019/07/west-brighton-outage-leaves-over-1300-without-power.html</w:t>
        </w:r>
      </w:hyperlink>
      <w:r w:rsidRPr="005E7442">
        <w:rPr>
          <w:rFonts w:asciiTheme="minorHAnsi" w:hAnsiTheme="minorHAnsi" w:cstheme="minorHAnsi"/>
        </w:rPr>
        <w:t xml:space="preserve">. </w:t>
      </w:r>
    </w:p>
  </w:footnote>
  <w:footnote w:id="9">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Jen Chung “Power restored to 2,200 Con Ed customers after Staten Island substation fire”, </w:t>
      </w:r>
      <w:r w:rsidRPr="005E7442">
        <w:rPr>
          <w:rFonts w:asciiTheme="minorHAnsi" w:hAnsiTheme="minorHAnsi" w:cstheme="minorHAnsi"/>
          <w:i/>
        </w:rPr>
        <w:t>Gothamist</w:t>
      </w:r>
      <w:r w:rsidRPr="005E7442">
        <w:rPr>
          <w:rFonts w:asciiTheme="minorHAnsi" w:hAnsiTheme="minorHAnsi" w:cstheme="minorHAnsi"/>
        </w:rPr>
        <w:t xml:space="preserve">, July 17, 2019, available at: </w:t>
      </w:r>
      <w:hyperlink r:id="rId7" w:history="1">
        <w:r w:rsidRPr="005E7442">
          <w:rPr>
            <w:rStyle w:val="Hyperlink"/>
            <w:rFonts w:asciiTheme="minorHAnsi" w:hAnsiTheme="minorHAnsi" w:cstheme="minorHAnsi"/>
          </w:rPr>
          <w:t>https://gothamist.com/2019/07/17/staten_island_power_outage.php</w:t>
        </w:r>
      </w:hyperlink>
      <w:r w:rsidRPr="005E7442">
        <w:rPr>
          <w:rFonts w:asciiTheme="minorHAnsi" w:hAnsiTheme="minorHAnsi" w:cstheme="minorHAnsi"/>
        </w:rPr>
        <w:t xml:space="preserve">. </w:t>
      </w:r>
    </w:p>
  </w:footnote>
  <w:footnote w:id="10">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11">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Joseph Ostapiuk “Oakwood, New Dorp outage leaves more than 3,000 without power”, </w:t>
      </w:r>
      <w:r w:rsidRPr="005E7442">
        <w:rPr>
          <w:rFonts w:asciiTheme="minorHAnsi" w:hAnsiTheme="minorHAnsi" w:cstheme="minorHAnsi"/>
          <w:i/>
        </w:rPr>
        <w:t>SI Live</w:t>
      </w:r>
      <w:r w:rsidRPr="005E7442">
        <w:rPr>
          <w:rFonts w:asciiTheme="minorHAnsi" w:hAnsiTheme="minorHAnsi" w:cstheme="minorHAnsi"/>
        </w:rPr>
        <w:t xml:space="preserve">, July 17, 2019, available at: </w:t>
      </w:r>
      <w:hyperlink r:id="rId8" w:history="1">
        <w:r w:rsidRPr="005E7442">
          <w:rPr>
            <w:rStyle w:val="Hyperlink"/>
            <w:rFonts w:asciiTheme="minorHAnsi" w:hAnsiTheme="minorHAnsi" w:cstheme="minorHAnsi"/>
          </w:rPr>
          <w:t>https://www.silive.com/news/2019/07/oakwood-new-dorp-outage-leaves-over-3000-without-power.html</w:t>
        </w:r>
      </w:hyperlink>
      <w:r w:rsidRPr="005E7442">
        <w:rPr>
          <w:rFonts w:asciiTheme="minorHAnsi" w:hAnsiTheme="minorHAnsi" w:cstheme="minorHAnsi"/>
        </w:rPr>
        <w:t xml:space="preserve">. </w:t>
      </w:r>
    </w:p>
  </w:footnote>
  <w:footnote w:id="12">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Jen Chung “Neighborhoods experience power outages across NYC”, </w:t>
      </w:r>
      <w:r w:rsidRPr="005E7442">
        <w:rPr>
          <w:rFonts w:asciiTheme="minorHAnsi" w:hAnsiTheme="minorHAnsi" w:cstheme="minorHAnsi"/>
          <w:i/>
        </w:rPr>
        <w:t>Gothamist</w:t>
      </w:r>
      <w:r w:rsidRPr="005E7442">
        <w:rPr>
          <w:rFonts w:asciiTheme="minorHAnsi" w:hAnsiTheme="minorHAnsi" w:cstheme="minorHAnsi"/>
        </w:rPr>
        <w:t xml:space="preserve">, July 18, 2019, available at: </w:t>
      </w:r>
      <w:hyperlink r:id="rId9" w:history="1">
        <w:r w:rsidRPr="005E7442">
          <w:rPr>
            <w:rStyle w:val="Hyperlink"/>
            <w:rFonts w:asciiTheme="minorHAnsi" w:hAnsiTheme="minorHAnsi" w:cstheme="minorHAnsi"/>
          </w:rPr>
          <w:t>https://gothamist.com/2019/07/18/power_outages_nyc.php</w:t>
        </w:r>
      </w:hyperlink>
      <w:r w:rsidRPr="005E7442">
        <w:rPr>
          <w:rFonts w:asciiTheme="minorHAnsi" w:hAnsiTheme="minorHAnsi" w:cstheme="minorHAnsi"/>
        </w:rPr>
        <w:t xml:space="preserve">. </w:t>
      </w:r>
    </w:p>
  </w:footnote>
  <w:footnote w:id="13">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14">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Eyewitness News “Hotel evacuated, power outages after manhole fires in Brooklyn, Queens”, </w:t>
      </w:r>
      <w:r w:rsidRPr="005E7442">
        <w:rPr>
          <w:rFonts w:asciiTheme="minorHAnsi" w:hAnsiTheme="minorHAnsi" w:cstheme="minorHAnsi"/>
          <w:i/>
        </w:rPr>
        <w:t>ABC7NY</w:t>
      </w:r>
      <w:r w:rsidRPr="005E7442">
        <w:rPr>
          <w:rFonts w:asciiTheme="minorHAnsi" w:hAnsiTheme="minorHAnsi" w:cstheme="minorHAnsi"/>
        </w:rPr>
        <w:t xml:space="preserve">, July 18, 2019, available at: </w:t>
      </w:r>
      <w:hyperlink r:id="rId10" w:history="1">
        <w:r w:rsidRPr="005E7442">
          <w:rPr>
            <w:rStyle w:val="Hyperlink"/>
            <w:rFonts w:asciiTheme="minorHAnsi" w:hAnsiTheme="minorHAnsi" w:cstheme="minorHAnsi"/>
          </w:rPr>
          <w:t>https://abc7ny.com/5403170/?ex_cid=TA_WABC_TW&amp;utm_campaign=trueAnthem:+New+Content+(Feed)&amp;utm_content=5d303c20ca1d050001065b46&amp;utm_medium=trueAnthem&amp;utm_source=twitter</w:t>
        </w:r>
      </w:hyperlink>
      <w:r w:rsidRPr="005E7442">
        <w:rPr>
          <w:rFonts w:asciiTheme="minorHAnsi" w:hAnsiTheme="minorHAnsi" w:cstheme="minorHAnsi"/>
        </w:rPr>
        <w:t xml:space="preserve">. </w:t>
      </w:r>
    </w:p>
  </w:footnote>
  <w:footnote w:id="15">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Jen Chung, </w:t>
      </w:r>
      <w:r w:rsidR="00DB4D86" w:rsidRPr="005E7442">
        <w:rPr>
          <w:rFonts w:asciiTheme="minorHAnsi" w:hAnsiTheme="minorHAnsi" w:cstheme="minorHAnsi"/>
        </w:rPr>
        <w:t xml:space="preserve">at </w:t>
      </w:r>
      <w:r w:rsidRPr="005E7442">
        <w:rPr>
          <w:rFonts w:asciiTheme="minorHAnsi" w:hAnsiTheme="minorHAnsi" w:cstheme="minorHAnsi"/>
        </w:rPr>
        <w:t xml:space="preserve">note 12.  </w:t>
      </w:r>
    </w:p>
  </w:footnote>
  <w:footnote w:id="16">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Katie Reilly and Josiah Bates “An ‘extremely dangerous’ heat wave will hit 195 million Americans this weekend. Here’s how to stay safe”, </w:t>
      </w:r>
      <w:r w:rsidRPr="005E7442">
        <w:rPr>
          <w:rFonts w:asciiTheme="minorHAnsi" w:hAnsiTheme="minorHAnsi" w:cstheme="minorHAnsi"/>
          <w:i/>
        </w:rPr>
        <w:t>Time</w:t>
      </w:r>
      <w:r w:rsidRPr="005E7442">
        <w:rPr>
          <w:rFonts w:asciiTheme="minorHAnsi" w:hAnsiTheme="minorHAnsi" w:cstheme="minorHAnsi"/>
        </w:rPr>
        <w:t xml:space="preserve">, July 19, 2019, available at: </w:t>
      </w:r>
      <w:hyperlink r:id="rId11" w:history="1">
        <w:r w:rsidRPr="005E7442">
          <w:rPr>
            <w:rStyle w:val="Hyperlink"/>
            <w:rFonts w:asciiTheme="minorHAnsi" w:hAnsiTheme="minorHAnsi" w:cstheme="minorHAnsi"/>
          </w:rPr>
          <w:t>https://time.com/5628121/united-states-heat-wave-july/</w:t>
        </w:r>
      </w:hyperlink>
      <w:r w:rsidRPr="005E7442">
        <w:rPr>
          <w:rFonts w:asciiTheme="minorHAnsi" w:hAnsiTheme="minorHAnsi" w:cstheme="minorHAnsi"/>
        </w:rPr>
        <w:t xml:space="preserve">. </w:t>
      </w:r>
    </w:p>
  </w:footnote>
  <w:footnote w:id="17">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18">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Justin Carissimo “Massive heat wave blamed for at least 6 deaths”, </w:t>
      </w:r>
      <w:r w:rsidRPr="005E7442">
        <w:rPr>
          <w:rFonts w:asciiTheme="minorHAnsi" w:hAnsiTheme="minorHAnsi" w:cstheme="minorHAnsi"/>
          <w:i/>
        </w:rPr>
        <w:t>CBS News</w:t>
      </w:r>
      <w:r w:rsidRPr="005E7442">
        <w:rPr>
          <w:rFonts w:asciiTheme="minorHAnsi" w:hAnsiTheme="minorHAnsi" w:cstheme="minorHAnsi"/>
        </w:rPr>
        <w:t xml:space="preserve">, July 21, 2019, available at: </w:t>
      </w:r>
      <w:hyperlink r:id="rId12" w:history="1">
        <w:r w:rsidRPr="005E7442">
          <w:rPr>
            <w:rStyle w:val="Hyperlink"/>
            <w:rFonts w:asciiTheme="minorHAnsi" w:hAnsiTheme="minorHAnsi" w:cstheme="minorHAnsi"/>
          </w:rPr>
          <w:t>https://www.cbsnews.com/live-news/heat-wave-2019-extreme-heat-advisory-warning-deaths-latest-weather-forecast-us-nyc-2019-07-20/</w:t>
        </w:r>
      </w:hyperlink>
      <w:r w:rsidRPr="005E7442">
        <w:rPr>
          <w:rFonts w:asciiTheme="minorHAnsi" w:hAnsiTheme="minorHAnsi" w:cstheme="minorHAnsi"/>
        </w:rPr>
        <w:t xml:space="preserve">. </w:t>
      </w:r>
    </w:p>
  </w:footnote>
  <w:footnote w:id="19">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Max Jaeger “10,000 New Yorkers lose power at height of Sunday heat”, </w:t>
      </w:r>
      <w:r w:rsidRPr="005E7442">
        <w:rPr>
          <w:rFonts w:asciiTheme="minorHAnsi" w:hAnsiTheme="minorHAnsi" w:cstheme="minorHAnsi"/>
          <w:i/>
        </w:rPr>
        <w:t>NY Post</w:t>
      </w:r>
      <w:r w:rsidRPr="005E7442">
        <w:rPr>
          <w:rFonts w:asciiTheme="minorHAnsi" w:hAnsiTheme="minorHAnsi" w:cstheme="minorHAnsi"/>
        </w:rPr>
        <w:t xml:space="preserve">, July 21, 2019, available at: </w:t>
      </w:r>
      <w:hyperlink r:id="rId13" w:history="1">
        <w:r w:rsidRPr="005E7442">
          <w:rPr>
            <w:rStyle w:val="Hyperlink"/>
            <w:rFonts w:asciiTheme="minorHAnsi" w:hAnsiTheme="minorHAnsi" w:cstheme="minorHAnsi"/>
          </w:rPr>
          <w:t>https://nypost.com/2019/07/21/10000-new-yorkers-lose-power-at-height-of-sunday-heat/</w:t>
        </w:r>
      </w:hyperlink>
      <w:r w:rsidRPr="005E7442">
        <w:rPr>
          <w:rFonts w:asciiTheme="minorHAnsi" w:hAnsiTheme="minorHAnsi" w:cstheme="minorHAnsi"/>
        </w:rPr>
        <w:t xml:space="preserve">. </w:t>
      </w:r>
    </w:p>
  </w:footnote>
  <w:footnote w:id="20">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21">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22">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23">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Chris Perez “ConEd taking 30K people off power for repairs, says de Blasio”, </w:t>
      </w:r>
      <w:r w:rsidRPr="005E7442">
        <w:rPr>
          <w:rFonts w:asciiTheme="minorHAnsi" w:hAnsiTheme="minorHAnsi" w:cstheme="minorHAnsi"/>
          <w:i/>
        </w:rPr>
        <w:t>NY Post</w:t>
      </w:r>
      <w:r w:rsidRPr="005E7442">
        <w:rPr>
          <w:rFonts w:asciiTheme="minorHAnsi" w:hAnsiTheme="minorHAnsi" w:cstheme="minorHAnsi"/>
        </w:rPr>
        <w:t xml:space="preserve">, July 21, 2019, available at:  </w:t>
      </w:r>
      <w:hyperlink r:id="rId14" w:history="1">
        <w:r w:rsidRPr="005E7442">
          <w:rPr>
            <w:rStyle w:val="Hyperlink"/>
            <w:rFonts w:asciiTheme="minorHAnsi" w:hAnsiTheme="minorHAnsi" w:cstheme="minorHAnsi"/>
          </w:rPr>
          <w:t>https://nypost.com/2019/07/21/con-ed-taking-30k-people-off-power-for-repairs-says-de-blasio/</w:t>
        </w:r>
      </w:hyperlink>
      <w:r w:rsidRPr="005E7442">
        <w:rPr>
          <w:rFonts w:asciiTheme="minorHAnsi" w:hAnsiTheme="minorHAnsi" w:cstheme="minorHAnsi"/>
        </w:rPr>
        <w:t xml:space="preserve">. </w:t>
      </w:r>
    </w:p>
  </w:footnote>
  <w:footnote w:id="24">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Nicole Brown “Thousands of Con Ed customers in Brooklyn, Queens lose power during heat wave”, </w:t>
      </w:r>
      <w:r w:rsidRPr="005E7442">
        <w:rPr>
          <w:rFonts w:asciiTheme="minorHAnsi" w:hAnsiTheme="minorHAnsi" w:cstheme="minorHAnsi"/>
          <w:i/>
        </w:rPr>
        <w:t>AM New York</w:t>
      </w:r>
      <w:r w:rsidRPr="005E7442">
        <w:rPr>
          <w:rFonts w:asciiTheme="minorHAnsi" w:hAnsiTheme="minorHAnsi" w:cstheme="minorHAnsi"/>
        </w:rPr>
        <w:t xml:space="preserve">, July 23, 2019, available at: </w:t>
      </w:r>
      <w:hyperlink r:id="rId15" w:history="1">
        <w:r w:rsidRPr="005E7442">
          <w:rPr>
            <w:rStyle w:val="Hyperlink"/>
            <w:rFonts w:asciiTheme="minorHAnsi" w:hAnsiTheme="minorHAnsi" w:cstheme="minorHAnsi"/>
          </w:rPr>
          <w:t>https://www.amny.com/news/con-edison-brooklyn-power-1.34149747</w:t>
        </w:r>
      </w:hyperlink>
      <w:r w:rsidRPr="005E7442">
        <w:rPr>
          <w:rFonts w:asciiTheme="minorHAnsi" w:hAnsiTheme="minorHAnsi" w:cstheme="minorHAnsi"/>
        </w:rPr>
        <w:t xml:space="preserve">. </w:t>
      </w:r>
    </w:p>
  </w:footnote>
  <w:footnote w:id="25">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Cathy Burke “Con Ed figures it out: July 13 blackout cause was little problem that got out of hand in a big way”, </w:t>
      </w:r>
      <w:r w:rsidRPr="005E7442">
        <w:rPr>
          <w:rFonts w:asciiTheme="minorHAnsi" w:hAnsiTheme="minorHAnsi" w:cstheme="minorHAnsi"/>
          <w:i/>
        </w:rPr>
        <w:t>New York Daily News</w:t>
      </w:r>
      <w:r w:rsidRPr="005E7442">
        <w:rPr>
          <w:rFonts w:asciiTheme="minorHAnsi" w:hAnsiTheme="minorHAnsi" w:cstheme="minorHAnsi"/>
        </w:rPr>
        <w:t xml:space="preserve">, July 29, 2019, available at: </w:t>
      </w:r>
      <w:hyperlink r:id="rId16" w:history="1">
        <w:r w:rsidRPr="005E7442">
          <w:rPr>
            <w:rStyle w:val="Hyperlink"/>
            <w:rFonts w:asciiTheme="minorHAnsi" w:hAnsiTheme="minorHAnsi" w:cstheme="minorHAnsi"/>
          </w:rPr>
          <w:t>https://www.nydailynews.com/new-york/ny-con-ed-blackout-20190729-3gz77uowqvdpnnn6ijdbyzdetq-story.html</w:t>
        </w:r>
      </w:hyperlink>
      <w:r w:rsidRPr="005E7442">
        <w:rPr>
          <w:rFonts w:asciiTheme="minorHAnsi" w:hAnsiTheme="minorHAnsi" w:cstheme="minorHAnsi"/>
        </w:rPr>
        <w:t xml:space="preserve">. </w:t>
      </w:r>
    </w:p>
  </w:footnote>
  <w:footnote w:id="26">
    <w:p w:rsidR="003F5EAB" w:rsidRPr="005E7442" w:rsidRDefault="003F5EAB" w:rsidP="00B2269C">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Stefanie Tuder “NYC power outages have had ‘devastating’ effects on restaurants”, </w:t>
      </w:r>
      <w:r w:rsidRPr="005E7442">
        <w:rPr>
          <w:rFonts w:asciiTheme="minorHAnsi" w:hAnsiTheme="minorHAnsi" w:cstheme="minorHAnsi"/>
          <w:i/>
        </w:rPr>
        <w:t>Easter New York</w:t>
      </w:r>
      <w:r w:rsidRPr="005E7442">
        <w:rPr>
          <w:rFonts w:asciiTheme="minorHAnsi" w:hAnsiTheme="minorHAnsi" w:cstheme="minorHAnsi"/>
        </w:rPr>
        <w:t xml:space="preserve">. July 23, 2019, available at: </w:t>
      </w:r>
      <w:hyperlink r:id="rId17" w:history="1">
        <w:r w:rsidRPr="005E7442">
          <w:rPr>
            <w:rStyle w:val="Hyperlink"/>
            <w:rFonts w:asciiTheme="minorHAnsi" w:hAnsiTheme="minorHAnsi" w:cstheme="minorHAnsi"/>
          </w:rPr>
          <w:t>https://ny.eater.com/2019/7/23/20706978/nyc-blackout-power-outage-pure-thai-gloria-restaurants</w:t>
        </w:r>
      </w:hyperlink>
      <w:r w:rsidRPr="005E7442">
        <w:rPr>
          <w:rFonts w:asciiTheme="minorHAnsi" w:hAnsiTheme="minorHAnsi" w:cstheme="minorHAnsi"/>
        </w:rPr>
        <w:t xml:space="preserve">. </w:t>
      </w:r>
    </w:p>
  </w:footnote>
  <w:footnote w:id="27">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Dan Pando, as quoted by Ellie Plass “Brooklyn businesses and restaurants impacted by blackout”, </w:t>
      </w:r>
      <w:r w:rsidRPr="005E7442">
        <w:rPr>
          <w:rFonts w:asciiTheme="minorHAnsi" w:hAnsiTheme="minorHAnsi" w:cstheme="minorHAnsi"/>
          <w:i/>
        </w:rPr>
        <w:t>Bklyner</w:t>
      </w:r>
      <w:r w:rsidRPr="005E7442">
        <w:rPr>
          <w:rFonts w:asciiTheme="minorHAnsi" w:hAnsiTheme="minorHAnsi" w:cstheme="minorHAnsi"/>
        </w:rPr>
        <w:t xml:space="preserve">, July 23, 2019, available at: </w:t>
      </w:r>
      <w:hyperlink r:id="rId18" w:history="1">
        <w:r w:rsidRPr="005E7442">
          <w:rPr>
            <w:rStyle w:val="Hyperlink"/>
            <w:rFonts w:asciiTheme="minorHAnsi" w:hAnsiTheme="minorHAnsi" w:cstheme="minorHAnsi"/>
          </w:rPr>
          <w:t>https://bklyner.com/brooklyn-businesses-and-restaurants-impacted-by-blackout/</w:t>
        </w:r>
      </w:hyperlink>
      <w:r w:rsidRPr="005E7442">
        <w:rPr>
          <w:rFonts w:asciiTheme="minorHAnsi" w:hAnsiTheme="minorHAnsi" w:cstheme="minorHAnsi"/>
        </w:rPr>
        <w:t xml:space="preserve">. </w:t>
      </w:r>
    </w:p>
  </w:footnote>
  <w:footnote w:id="28">
    <w:p w:rsidR="003F5EAB" w:rsidRPr="005E7442" w:rsidRDefault="003F5EAB">
      <w:pPr>
        <w:pStyle w:val="FootnoteText"/>
        <w:rPr>
          <w:rFonts w:asciiTheme="minorHAnsi" w:hAnsiTheme="minorHAnsi" w:cstheme="minorHAnsi"/>
          <w: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John B. Thomas “Coop weather extreme heat, storms, and power outages in July”, </w:t>
      </w:r>
      <w:r w:rsidRPr="005E7442">
        <w:rPr>
          <w:rFonts w:asciiTheme="minorHAnsi" w:hAnsiTheme="minorHAnsi" w:cstheme="minorHAnsi"/>
          <w:i/>
        </w:rPr>
        <w:t>Linewaiters’ Gazette</w:t>
      </w:r>
      <w:r w:rsidRPr="005E7442">
        <w:rPr>
          <w:rFonts w:asciiTheme="minorHAnsi" w:hAnsiTheme="minorHAnsi" w:cstheme="minorHAnsi"/>
        </w:rPr>
        <w:t xml:space="preserve">, August 15, 2019, available at: </w:t>
      </w:r>
      <w:hyperlink r:id="rId19" w:history="1">
        <w:r w:rsidRPr="005E7442">
          <w:rPr>
            <w:rStyle w:val="Hyperlink"/>
            <w:rFonts w:asciiTheme="minorHAnsi" w:hAnsiTheme="minorHAnsi" w:cstheme="minorHAnsi"/>
          </w:rPr>
          <w:t>https://www.foodcoop.com/wp-content/uploads/2019/08/19-8-15-pgs-1-12.pdf</w:t>
        </w:r>
      </w:hyperlink>
      <w:r w:rsidRPr="005E7442">
        <w:rPr>
          <w:rFonts w:asciiTheme="minorHAnsi" w:hAnsiTheme="minorHAnsi" w:cstheme="minorHAnsi"/>
        </w:rPr>
        <w:t>.</w:t>
      </w:r>
    </w:p>
  </w:footnote>
  <w:footnote w:id="29">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Con Ed “Residential claim for food and prescription medicine spoilage”, available at: </w:t>
      </w:r>
      <w:hyperlink r:id="rId20" w:history="1">
        <w:r w:rsidRPr="005E7442">
          <w:rPr>
            <w:rStyle w:val="Hyperlink"/>
            <w:rFonts w:asciiTheme="minorHAnsi" w:hAnsiTheme="minorHAnsi" w:cstheme="minorHAnsi"/>
          </w:rPr>
          <w:t>https://www.coned.com/-/media/files/coned/documents/services-outages/claim-form/residential/residential_claim_form-2017_en.pdf?la=en</w:t>
        </w:r>
      </w:hyperlink>
      <w:r w:rsidRPr="005E7442">
        <w:rPr>
          <w:rFonts w:asciiTheme="minorHAnsi" w:hAnsiTheme="minorHAnsi" w:cstheme="minorHAnsi"/>
        </w:rPr>
        <w:t xml:space="preserve">. </w:t>
      </w:r>
    </w:p>
  </w:footnote>
  <w:footnote w:id="30">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Con Ed “Commercial claim for perishable merchandise”, available at: </w:t>
      </w:r>
      <w:hyperlink r:id="rId21" w:history="1">
        <w:r w:rsidRPr="005E7442">
          <w:rPr>
            <w:rStyle w:val="Hyperlink"/>
            <w:rFonts w:asciiTheme="minorHAnsi" w:hAnsiTheme="minorHAnsi" w:cstheme="minorHAnsi"/>
          </w:rPr>
          <w:t>https://www.coned.com/-/media/files/coned/documents/services-outages/claim-form/commercial/commercial-claim-form-english.pdf?la=en</w:t>
        </w:r>
      </w:hyperlink>
      <w:r w:rsidRPr="005E7442">
        <w:rPr>
          <w:rFonts w:asciiTheme="minorHAnsi" w:hAnsiTheme="minorHAnsi" w:cstheme="minorHAnsi"/>
        </w:rPr>
        <w:t xml:space="preserve">. </w:t>
      </w:r>
    </w:p>
  </w:footnote>
  <w:footnote w:id="31">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U.S. Department of Health and Human Services “Food safety during power outage”, April 12, 2019, available at: </w:t>
      </w:r>
      <w:hyperlink r:id="rId22" w:history="1">
        <w:r w:rsidRPr="005E7442">
          <w:rPr>
            <w:rStyle w:val="Hyperlink"/>
            <w:rFonts w:asciiTheme="minorHAnsi" w:hAnsiTheme="minorHAnsi" w:cstheme="minorHAnsi"/>
          </w:rPr>
          <w:t>https://www.foodsafety.gov/food-safety-charts/food-safety-during-power-outage</w:t>
        </w:r>
      </w:hyperlink>
      <w:r w:rsidRPr="005E7442">
        <w:rPr>
          <w:rFonts w:asciiTheme="minorHAnsi" w:hAnsiTheme="minorHAnsi" w:cstheme="minorHAnsi"/>
        </w:rPr>
        <w:t xml:space="preserve">. </w:t>
      </w:r>
    </w:p>
  </w:footnote>
  <w:footnote w:id="32">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U.S. Department of Agriculture “Keeping food safe during an emergency”, July 30, 2013, available at:  </w:t>
      </w:r>
      <w:hyperlink r:id="rId23" w:history="1">
        <w:r w:rsidRPr="005E7442">
          <w:rPr>
            <w:rStyle w:val="Hyperlink"/>
            <w:rFonts w:asciiTheme="minorHAnsi" w:hAnsiTheme="minorHAnsi" w:cstheme="minorHAnsi"/>
          </w:rPr>
          <w:t>https://www.fsis.usda.gov/wps/portal/fsis/topics/food-safety-education/get-answers/food-safety-fact-sheets/emergency-preparedness/keeping-food-safe-during-an-emergency/CT_Index</w:t>
        </w:r>
      </w:hyperlink>
      <w:r w:rsidRPr="005E7442">
        <w:rPr>
          <w:rFonts w:asciiTheme="minorHAnsi" w:hAnsiTheme="minorHAnsi" w:cstheme="minorHAnsi"/>
        </w:rPr>
        <w:t xml:space="preserve">. </w:t>
      </w:r>
    </w:p>
  </w:footnote>
  <w:footnote w:id="33">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Con Ed “Re: West Side outage root case”, July 29, 2019, available at: </w:t>
      </w:r>
      <w:hyperlink r:id="rId24" w:history="1">
        <w:r w:rsidRPr="005E7442">
          <w:rPr>
            <w:rStyle w:val="Hyperlink"/>
            <w:rFonts w:asciiTheme="minorHAnsi" w:hAnsiTheme="minorHAnsi" w:cstheme="minorHAnsi"/>
          </w:rPr>
          <w:t>https://www.coned.com/en/about-us/media-center/news/20190729/con-edison-statement</w:t>
        </w:r>
      </w:hyperlink>
      <w:r w:rsidRPr="005E7442">
        <w:rPr>
          <w:rFonts w:asciiTheme="minorHAnsi" w:hAnsiTheme="minorHAnsi" w:cstheme="minorHAnsi"/>
        </w:rPr>
        <w:t xml:space="preserve">. </w:t>
      </w:r>
    </w:p>
  </w:footnote>
  <w:footnote w:id="34">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933F06" w:rsidRPr="005E7442">
        <w:rPr>
          <w:rFonts w:asciiTheme="minorHAnsi" w:hAnsiTheme="minorHAnsi" w:cstheme="minorHAnsi"/>
        </w:rPr>
        <w:t xml:space="preserve">Id. </w:t>
      </w:r>
    </w:p>
  </w:footnote>
  <w:footnote w:id="35">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933F06" w:rsidRPr="005E7442">
        <w:rPr>
          <w:rFonts w:asciiTheme="minorHAnsi" w:hAnsiTheme="minorHAnsi" w:cstheme="minorHAnsi"/>
        </w:rPr>
        <w:t xml:space="preserve">Id. </w:t>
      </w:r>
    </w:p>
  </w:footnote>
  <w:footnote w:id="36">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Tim Cawley as quoted by: Maura Grunlund “Con Ed is ready for NYC heat wave that ‘will rival’ top weekend demand for electricity”, </w:t>
      </w:r>
      <w:r w:rsidRPr="005E7442">
        <w:rPr>
          <w:rFonts w:asciiTheme="minorHAnsi" w:hAnsiTheme="minorHAnsi" w:cstheme="minorHAnsi"/>
          <w:i/>
        </w:rPr>
        <w:t>SI Live</w:t>
      </w:r>
      <w:r w:rsidRPr="005E7442">
        <w:rPr>
          <w:rFonts w:asciiTheme="minorHAnsi" w:hAnsiTheme="minorHAnsi" w:cstheme="minorHAnsi"/>
        </w:rPr>
        <w:t xml:space="preserve">, July 19, 2019, available at: </w:t>
      </w:r>
      <w:hyperlink r:id="rId25" w:history="1">
        <w:r w:rsidRPr="005E7442">
          <w:rPr>
            <w:rStyle w:val="Hyperlink"/>
            <w:rFonts w:asciiTheme="minorHAnsi" w:hAnsiTheme="minorHAnsi" w:cstheme="minorHAnsi"/>
          </w:rPr>
          <w:t>https://www.silive.com/news/2019/07/con-ed-is-ready-for-nyc-heat-wave-that-will-rival-top-weekend-demand-for-electricity.html</w:t>
        </w:r>
      </w:hyperlink>
      <w:r w:rsidRPr="005E7442">
        <w:rPr>
          <w:rFonts w:asciiTheme="minorHAnsi" w:hAnsiTheme="minorHAnsi" w:cstheme="minorHAnsi"/>
        </w:rPr>
        <w:t xml:space="preserve">. </w:t>
      </w:r>
    </w:p>
  </w:footnote>
  <w:footnote w:id="37">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Maura Grunlund</w:t>
      </w:r>
      <w:r w:rsidR="00933F06" w:rsidRPr="005E7442">
        <w:rPr>
          <w:rFonts w:asciiTheme="minorHAnsi" w:hAnsiTheme="minorHAnsi" w:cstheme="minorHAnsi"/>
        </w:rPr>
        <w:t xml:space="preserve">, id. </w:t>
      </w:r>
      <w:r w:rsidRPr="005E7442">
        <w:rPr>
          <w:rFonts w:asciiTheme="minorHAnsi" w:hAnsiTheme="minorHAnsi" w:cstheme="minorHAnsi"/>
        </w:rPr>
        <w:t xml:space="preserve"> </w:t>
      </w:r>
    </w:p>
  </w:footnote>
  <w:footnote w:id="38">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Tim Cawley as quoted by</w:t>
      </w:r>
      <w:r w:rsidR="00933F06" w:rsidRPr="005E7442">
        <w:rPr>
          <w:rFonts w:asciiTheme="minorHAnsi" w:hAnsiTheme="minorHAnsi" w:cstheme="minorHAnsi"/>
        </w:rPr>
        <w:t xml:space="preserve"> id. </w:t>
      </w:r>
    </w:p>
  </w:footnote>
  <w:footnote w:id="39">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Maura Grunlund</w:t>
      </w:r>
      <w:r w:rsidR="00933F06" w:rsidRPr="005E7442">
        <w:rPr>
          <w:rFonts w:asciiTheme="minorHAnsi" w:hAnsiTheme="minorHAnsi" w:cstheme="minorHAnsi"/>
        </w:rPr>
        <w:t xml:space="preserve">, id. </w:t>
      </w:r>
    </w:p>
  </w:footnote>
  <w:footnote w:id="40">
    <w:p w:rsidR="003F5EAB" w:rsidRPr="005E7442" w:rsidRDefault="003F5EAB" w:rsidP="00D250A0">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Michael Gold and Patrick McGeehan “Con Edison points to record-breaking power usage to explain shutdown”, </w:t>
      </w:r>
      <w:r w:rsidRPr="005E7442">
        <w:rPr>
          <w:rFonts w:asciiTheme="minorHAnsi" w:hAnsiTheme="minorHAnsi" w:cstheme="minorHAnsi"/>
          <w:i/>
        </w:rPr>
        <w:t>New York Times</w:t>
      </w:r>
      <w:r w:rsidRPr="005E7442">
        <w:rPr>
          <w:rFonts w:asciiTheme="minorHAnsi" w:hAnsiTheme="minorHAnsi" w:cstheme="minorHAnsi"/>
        </w:rPr>
        <w:t xml:space="preserve">, July 22, 2019, available at: </w:t>
      </w:r>
      <w:hyperlink r:id="rId26" w:history="1">
        <w:r w:rsidRPr="005E7442">
          <w:rPr>
            <w:rStyle w:val="Hyperlink"/>
            <w:rFonts w:asciiTheme="minorHAnsi" w:hAnsiTheme="minorHAnsi" w:cstheme="minorHAnsi"/>
          </w:rPr>
          <w:t>https://www.nytimes.com/2019/07/22/nyregion/brooklyn-power-outage-nyc.html</w:t>
        </w:r>
      </w:hyperlink>
      <w:r w:rsidRPr="005E7442">
        <w:rPr>
          <w:rFonts w:asciiTheme="minorHAnsi" w:hAnsiTheme="minorHAnsi" w:cstheme="minorHAnsi"/>
        </w:rPr>
        <w:t xml:space="preserve">. </w:t>
      </w:r>
    </w:p>
  </w:footnote>
  <w:footnote w:id="41">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Con Ed “Re: Southeast Brooklyn outages”, July 22, 2019, available at: </w:t>
      </w:r>
      <w:hyperlink r:id="rId27" w:history="1">
        <w:r w:rsidRPr="005E7442">
          <w:rPr>
            <w:rStyle w:val="Hyperlink"/>
            <w:rFonts w:asciiTheme="minorHAnsi" w:hAnsiTheme="minorHAnsi" w:cstheme="minorHAnsi"/>
          </w:rPr>
          <w:t>https://www.coned.com/en/about-us/media-center/news/20190722/con-edison-statement</w:t>
        </w:r>
      </w:hyperlink>
      <w:r w:rsidRPr="005E7442">
        <w:rPr>
          <w:rFonts w:asciiTheme="minorHAnsi" w:hAnsiTheme="minorHAnsi" w:cstheme="minorHAnsi"/>
        </w:rPr>
        <w:t xml:space="preserve">. </w:t>
      </w:r>
    </w:p>
  </w:footnote>
  <w:footnote w:id="42">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Con Ed “Our business”, available at:  </w:t>
      </w:r>
      <w:hyperlink r:id="rId28" w:history="1">
        <w:r w:rsidRPr="005E7442">
          <w:rPr>
            <w:rStyle w:val="Hyperlink"/>
            <w:rFonts w:asciiTheme="minorHAnsi" w:hAnsiTheme="minorHAnsi" w:cstheme="minorHAnsi"/>
          </w:rPr>
          <w:t>https://www.conedison.com/en/about-us/our-businesses</w:t>
        </w:r>
      </w:hyperlink>
      <w:r w:rsidRPr="005E7442">
        <w:rPr>
          <w:rFonts w:asciiTheme="minorHAnsi" w:hAnsiTheme="minorHAnsi" w:cstheme="minorHAnsi"/>
        </w:rPr>
        <w:t xml:space="preserve">. </w:t>
      </w:r>
    </w:p>
  </w:footnote>
  <w:footnote w:id="43">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Emily S. Rueb “How New York City gets its electricity”, </w:t>
      </w:r>
      <w:r w:rsidRPr="005E7442">
        <w:rPr>
          <w:rFonts w:asciiTheme="minorHAnsi" w:hAnsiTheme="minorHAnsi" w:cstheme="minorHAnsi"/>
          <w:i/>
        </w:rPr>
        <w:t>New York Times</w:t>
      </w:r>
      <w:r w:rsidRPr="005E7442">
        <w:rPr>
          <w:rFonts w:asciiTheme="minorHAnsi" w:hAnsiTheme="minorHAnsi" w:cstheme="minorHAnsi"/>
        </w:rPr>
        <w:t xml:space="preserve">, February 10, 2017, available at: </w:t>
      </w:r>
      <w:hyperlink r:id="rId29" w:history="1">
        <w:r w:rsidRPr="005E7442">
          <w:rPr>
            <w:rStyle w:val="Hyperlink"/>
            <w:rFonts w:asciiTheme="minorHAnsi" w:hAnsiTheme="minorHAnsi" w:cstheme="minorHAnsi"/>
          </w:rPr>
          <w:t>https://www.nytimes.com/interactive/2017/02/10/nyregion/how-new-york-city-gets-its-electricity-power-grid.html</w:t>
        </w:r>
      </w:hyperlink>
      <w:r w:rsidRPr="005E7442">
        <w:rPr>
          <w:rFonts w:asciiTheme="minorHAnsi" w:hAnsiTheme="minorHAnsi" w:cstheme="minorHAnsi"/>
        </w:rPr>
        <w:t xml:space="preserve">. </w:t>
      </w:r>
    </w:p>
  </w:footnote>
  <w:footnote w:id="44">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David R. Baker and Will Wade “Con Edison prepares for record power demand as NYC bakes in heat”, </w:t>
      </w:r>
      <w:r w:rsidRPr="005E7442">
        <w:rPr>
          <w:rFonts w:asciiTheme="minorHAnsi" w:hAnsiTheme="minorHAnsi" w:cstheme="minorHAnsi"/>
          <w:i/>
        </w:rPr>
        <w:t>Bloomberg</w:t>
      </w:r>
      <w:r w:rsidRPr="005E7442">
        <w:rPr>
          <w:rFonts w:asciiTheme="minorHAnsi" w:hAnsiTheme="minorHAnsi" w:cstheme="minorHAnsi"/>
        </w:rPr>
        <w:t xml:space="preserve">, July 19, 2019, available at: </w:t>
      </w:r>
      <w:hyperlink r:id="rId30" w:history="1">
        <w:r w:rsidRPr="005E7442">
          <w:rPr>
            <w:rStyle w:val="Hyperlink"/>
            <w:rFonts w:asciiTheme="minorHAnsi" w:hAnsiTheme="minorHAnsi" w:cstheme="minorHAnsi"/>
          </w:rPr>
          <w:t>https://www.bloomberg.com/news/articles/2019-07-19/a-week-after-manhattan-went-dark-con-edison-faces-a-heat-wave</w:t>
        </w:r>
      </w:hyperlink>
      <w:r w:rsidRPr="005E7442">
        <w:rPr>
          <w:rFonts w:asciiTheme="minorHAnsi" w:hAnsiTheme="minorHAnsi" w:cstheme="minorHAnsi"/>
        </w:rPr>
        <w:t xml:space="preserve">. </w:t>
      </w:r>
    </w:p>
  </w:footnote>
  <w:footnote w:id="45">
    <w:p w:rsidR="003F5EAB" w:rsidRPr="005E7442" w:rsidRDefault="003F5EAB" w:rsidP="0042326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Office of the New York State Attorney General “Con Edison’s July 1999 Electric Service Outages: A Report to the People of the State of New York” March 9, 2000, available at: </w:t>
      </w:r>
      <w:hyperlink r:id="rId31" w:history="1">
        <w:r w:rsidRPr="005E7442">
          <w:rPr>
            <w:rStyle w:val="Hyperlink"/>
            <w:rFonts w:asciiTheme="minorHAnsi" w:hAnsiTheme="minorHAnsi" w:cstheme="minorHAnsi"/>
          </w:rPr>
          <w:t>https://www.ag.ny.gov/sites/default/files/press-releases/archived/coned.pdf</w:t>
        </w:r>
      </w:hyperlink>
      <w:r w:rsidRPr="005E7442">
        <w:rPr>
          <w:rFonts w:asciiTheme="minorHAnsi" w:hAnsiTheme="minorHAnsi" w:cstheme="minorHAnsi"/>
        </w:rPr>
        <w:t>, p. 50.</w:t>
      </w:r>
    </w:p>
  </w:footnote>
  <w:footnote w:id="46">
    <w:p w:rsidR="003F5EAB" w:rsidRPr="005E7442" w:rsidRDefault="003F5EAB" w:rsidP="0042326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933F06" w:rsidRPr="005E7442">
        <w:rPr>
          <w:rFonts w:asciiTheme="minorHAnsi" w:hAnsiTheme="minorHAnsi" w:cstheme="minorHAnsi"/>
        </w:rPr>
        <w:t>Id</w:t>
      </w:r>
      <w:r w:rsidRPr="005E7442">
        <w:rPr>
          <w:rFonts w:asciiTheme="minorHAnsi" w:hAnsiTheme="minorHAnsi" w:cstheme="minorHAnsi"/>
        </w:rPr>
        <w:t>, p. 20.</w:t>
      </w:r>
    </w:p>
  </w:footnote>
  <w:footnote w:id="47">
    <w:p w:rsidR="003F5EAB" w:rsidRPr="005E7442" w:rsidRDefault="003F5EAB" w:rsidP="00D52555">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Con Ed “Company history and statistical information”, available at: </w:t>
      </w:r>
      <w:hyperlink r:id="rId32" w:history="1">
        <w:r w:rsidRPr="005E7442">
          <w:rPr>
            <w:rStyle w:val="Hyperlink"/>
            <w:rFonts w:asciiTheme="minorHAnsi" w:hAnsiTheme="minorHAnsi" w:cstheme="minorHAnsi"/>
          </w:rPr>
          <w:t>https://www.coned.com/en/about-us/corporate-facts</w:t>
        </w:r>
      </w:hyperlink>
      <w:r w:rsidRPr="005E7442">
        <w:rPr>
          <w:rFonts w:asciiTheme="minorHAnsi" w:hAnsiTheme="minorHAnsi" w:cstheme="minorHAnsi"/>
        </w:rPr>
        <w:t xml:space="preserve">. </w:t>
      </w:r>
    </w:p>
  </w:footnote>
  <w:footnote w:id="48">
    <w:p w:rsidR="003F5EAB" w:rsidRPr="005E7442" w:rsidRDefault="003F5EAB" w:rsidP="00D52555">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933F06" w:rsidRPr="005E7442">
        <w:rPr>
          <w:rFonts w:asciiTheme="minorHAnsi" w:hAnsiTheme="minorHAnsi" w:cstheme="minorHAnsi"/>
        </w:rPr>
        <w:t xml:space="preserve">Id. </w:t>
      </w:r>
    </w:p>
  </w:footnote>
  <w:footnote w:id="49">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NYS Department of Public Service “Meet the Commissioners”, July 23, 2019, available at: </w:t>
      </w:r>
      <w:hyperlink r:id="rId33" w:history="1">
        <w:r w:rsidRPr="005E7442">
          <w:rPr>
            <w:rStyle w:val="Hyperlink"/>
            <w:rFonts w:asciiTheme="minorHAnsi" w:hAnsiTheme="minorHAnsi" w:cstheme="minorHAnsi"/>
          </w:rPr>
          <w:t>http://www3.dps.ny.gov/W/PSCWeb.nsf/All/553FBA3F3EEF7FBD85257687006F3A6D?OpenDocument</w:t>
        </w:r>
      </w:hyperlink>
      <w:r w:rsidRPr="005E7442">
        <w:rPr>
          <w:rFonts w:asciiTheme="minorHAnsi" w:hAnsiTheme="minorHAnsi" w:cstheme="minorHAnsi"/>
        </w:rPr>
        <w:t xml:space="preserve">. </w:t>
      </w:r>
    </w:p>
  </w:footnote>
  <w:footnote w:id="50">
    <w:p w:rsidR="003F5EAB" w:rsidRPr="00A226BC" w:rsidRDefault="003F5EAB">
      <w:pPr>
        <w:pStyle w:val="FootnoteText"/>
        <w:rPr>
          <w:rFonts w:asciiTheme="minorHAnsi" w:hAnsiTheme="minorHAnsi" w:cstheme="minorHAnsi"/>
        </w:rPr>
      </w:pPr>
      <w:r w:rsidRPr="00A226BC">
        <w:rPr>
          <w:rStyle w:val="FootnoteReference"/>
          <w:rFonts w:asciiTheme="minorHAnsi" w:hAnsiTheme="minorHAnsi" w:cstheme="minorHAnsi"/>
        </w:rPr>
        <w:footnoteRef/>
      </w:r>
      <w:r w:rsidR="00933F06" w:rsidRPr="005E7442">
        <w:rPr>
          <w:rFonts w:asciiTheme="minorHAnsi" w:hAnsiTheme="minorHAnsi" w:cstheme="minorHAnsi"/>
        </w:rPr>
        <w:t xml:space="preserve"> New York’s Utility Project “F</w:t>
      </w:r>
      <w:r w:rsidRPr="00A226BC">
        <w:rPr>
          <w:rFonts w:asciiTheme="minorHAnsi" w:hAnsiTheme="minorHAnsi" w:cstheme="minorHAnsi"/>
        </w:rPr>
        <w:t xml:space="preserve">iling complaints”, available at: </w:t>
      </w:r>
      <w:hyperlink r:id="rId34" w:history="1">
        <w:r w:rsidRPr="00A226BC">
          <w:rPr>
            <w:rStyle w:val="Hyperlink"/>
            <w:rFonts w:asciiTheme="minorHAnsi" w:hAnsiTheme="minorHAnsi" w:cstheme="minorHAnsi"/>
          </w:rPr>
          <w:t>https://utilityproject.org/get-help/filing_complaints/</w:t>
        </w:r>
      </w:hyperlink>
      <w:r w:rsidRPr="00A226BC">
        <w:rPr>
          <w:rFonts w:asciiTheme="minorHAnsi" w:hAnsiTheme="minorHAnsi" w:cstheme="minorHAnsi"/>
        </w:rPr>
        <w:t xml:space="preserve">. </w:t>
      </w:r>
    </w:p>
  </w:footnote>
  <w:footnote w:id="51">
    <w:p w:rsidR="003F5EAB" w:rsidRPr="005E7442" w:rsidRDefault="003F5EAB" w:rsidP="0072503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NYS Public Service Law § 80</w:t>
      </w:r>
    </w:p>
  </w:footnote>
  <w:footnote w:id="52">
    <w:p w:rsidR="003F5EAB" w:rsidRPr="00A226BC" w:rsidRDefault="003F5EAB">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NYS Department of Public Service, “Major Rate Case Process Overview,” available at: </w:t>
      </w:r>
      <w:hyperlink r:id="rId35" w:history="1">
        <w:r w:rsidRPr="00A226BC">
          <w:rPr>
            <w:rStyle w:val="Hyperlink"/>
            <w:rFonts w:asciiTheme="minorHAnsi" w:hAnsiTheme="minorHAnsi" w:cstheme="minorHAnsi"/>
          </w:rPr>
          <w:t>https://www3.dps.ny.gov/W/PSCWeb.nsf/All/364D0704BEEC5B7D85257856006C56B3?OpenDocument</w:t>
        </w:r>
      </w:hyperlink>
    </w:p>
  </w:footnote>
  <w:footnote w:id="53">
    <w:p w:rsidR="003F5EAB" w:rsidRPr="005E7442" w:rsidRDefault="003F5EAB" w:rsidP="00F7121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Office of the Attorney General</w:t>
      </w:r>
      <w:r w:rsidR="00933F06" w:rsidRPr="005E7442">
        <w:rPr>
          <w:rFonts w:asciiTheme="minorHAnsi" w:hAnsiTheme="minorHAnsi" w:cstheme="minorHAnsi"/>
        </w:rPr>
        <w:t xml:space="preserve">, </w:t>
      </w:r>
      <w:r w:rsidR="00DB4D86" w:rsidRPr="005E7442">
        <w:rPr>
          <w:rFonts w:asciiTheme="minorHAnsi" w:hAnsiTheme="minorHAnsi" w:cstheme="minorHAnsi"/>
        </w:rPr>
        <w:t xml:space="preserve">at </w:t>
      </w:r>
      <w:r w:rsidR="00933F06" w:rsidRPr="005E7442">
        <w:rPr>
          <w:rFonts w:asciiTheme="minorHAnsi" w:hAnsiTheme="minorHAnsi" w:cstheme="minorHAnsi"/>
        </w:rPr>
        <w:t>note 45</w:t>
      </w:r>
      <w:r w:rsidRPr="005E7442">
        <w:rPr>
          <w:rFonts w:asciiTheme="minorHAnsi" w:hAnsiTheme="minorHAnsi" w:cstheme="minorHAnsi"/>
        </w:rPr>
        <w:t xml:space="preserve">, p. 1. </w:t>
      </w:r>
    </w:p>
  </w:footnote>
  <w:footnote w:id="54">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933F06" w:rsidRPr="005E7442">
        <w:rPr>
          <w:rFonts w:asciiTheme="minorHAnsi" w:hAnsiTheme="minorHAnsi" w:cstheme="minorHAnsi"/>
        </w:rPr>
        <w:t xml:space="preserve">Id, </w:t>
      </w:r>
      <w:r w:rsidRPr="005E7442">
        <w:rPr>
          <w:rFonts w:asciiTheme="minorHAnsi" w:hAnsiTheme="minorHAnsi" w:cstheme="minorHAnsi"/>
        </w:rPr>
        <w:t xml:space="preserve">p. 7. </w:t>
      </w:r>
    </w:p>
  </w:footnote>
  <w:footnote w:id="55">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933F06" w:rsidRPr="005E7442">
        <w:rPr>
          <w:rFonts w:asciiTheme="minorHAnsi" w:hAnsiTheme="minorHAnsi" w:cstheme="minorHAnsi"/>
        </w:rPr>
        <w:t>Id</w:t>
      </w:r>
      <w:r w:rsidRPr="005E7442">
        <w:rPr>
          <w:rFonts w:asciiTheme="minorHAnsi" w:hAnsiTheme="minorHAnsi" w:cstheme="minorHAnsi"/>
        </w:rPr>
        <w:t xml:space="preserve">, pp. 69-70. </w:t>
      </w:r>
    </w:p>
  </w:footnote>
  <w:footnote w:id="56">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933F06" w:rsidRPr="005E7442">
        <w:rPr>
          <w:rFonts w:asciiTheme="minorHAnsi" w:hAnsiTheme="minorHAnsi" w:cstheme="minorHAnsi"/>
        </w:rPr>
        <w:t>Id</w:t>
      </w:r>
      <w:r w:rsidRPr="005E7442">
        <w:rPr>
          <w:rFonts w:asciiTheme="minorHAnsi" w:hAnsiTheme="minorHAnsi" w:cstheme="minorHAnsi"/>
        </w:rPr>
        <w:t xml:space="preserve">, pp. 34-35. </w:t>
      </w:r>
    </w:p>
  </w:footnote>
  <w:footnote w:id="57">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933F06" w:rsidRPr="005E7442">
        <w:rPr>
          <w:rFonts w:asciiTheme="minorHAnsi" w:hAnsiTheme="minorHAnsi" w:cstheme="minorHAnsi"/>
        </w:rPr>
        <w:t>Id</w:t>
      </w:r>
      <w:r w:rsidRPr="005E7442">
        <w:rPr>
          <w:rFonts w:asciiTheme="minorHAnsi" w:hAnsiTheme="minorHAnsi" w:cstheme="minorHAnsi"/>
        </w:rPr>
        <w:t>, pp. 35-40.</w:t>
      </w:r>
    </w:p>
  </w:footnote>
  <w:footnote w:id="58">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933F06" w:rsidRPr="005E7442">
        <w:rPr>
          <w:rFonts w:asciiTheme="minorHAnsi" w:hAnsiTheme="minorHAnsi" w:cstheme="minorHAnsi"/>
        </w:rPr>
        <w:t>Id</w:t>
      </w:r>
      <w:r w:rsidRPr="005E7442">
        <w:rPr>
          <w:rFonts w:asciiTheme="minorHAnsi" w:hAnsiTheme="minorHAnsi" w:cstheme="minorHAnsi"/>
        </w:rPr>
        <w:t>, p. 72.</w:t>
      </w:r>
    </w:p>
  </w:footnote>
  <w:footnote w:id="59">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Lauren Cook “A brief history of blackouts in New York City”, </w:t>
      </w:r>
      <w:r w:rsidRPr="005E7442">
        <w:rPr>
          <w:rFonts w:asciiTheme="minorHAnsi" w:hAnsiTheme="minorHAnsi" w:cstheme="minorHAnsi"/>
          <w:i/>
        </w:rPr>
        <w:t>AM New York</w:t>
      </w:r>
      <w:r w:rsidRPr="005E7442">
        <w:rPr>
          <w:rFonts w:asciiTheme="minorHAnsi" w:hAnsiTheme="minorHAnsi" w:cstheme="minorHAnsi"/>
        </w:rPr>
        <w:t xml:space="preserve">, July 15, 2019, available at: </w:t>
      </w:r>
      <w:hyperlink r:id="rId36" w:history="1">
        <w:r w:rsidRPr="005E7442">
          <w:rPr>
            <w:rStyle w:val="Hyperlink"/>
            <w:rFonts w:asciiTheme="minorHAnsi" w:hAnsiTheme="minorHAnsi" w:cstheme="minorHAnsi"/>
          </w:rPr>
          <w:t>https://www.amny.com/news/blackouts-nyc-1.33881190</w:t>
        </w:r>
      </w:hyperlink>
      <w:r w:rsidRPr="005E7442">
        <w:rPr>
          <w:rFonts w:asciiTheme="minorHAnsi" w:hAnsiTheme="minorHAnsi" w:cstheme="minorHAnsi"/>
        </w:rPr>
        <w:t>.</w:t>
      </w:r>
    </w:p>
  </w:footnote>
  <w:footnote w:id="60">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486055" w:rsidRPr="005E7442">
        <w:rPr>
          <w:rFonts w:asciiTheme="minorHAnsi" w:hAnsiTheme="minorHAnsi" w:cstheme="minorHAnsi"/>
        </w:rPr>
        <w:t xml:space="preserve">Id. </w:t>
      </w:r>
    </w:p>
  </w:footnote>
  <w:footnote w:id="61">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Department of Public Service “Staff report on its investigation of the July 2006 equipment failures and power outages in Con Edison’s Long Island City network in Queens country, New York”, February 2007, available at: </w:t>
      </w:r>
      <w:hyperlink r:id="rId37" w:history="1">
        <w:r w:rsidRPr="005E7442">
          <w:rPr>
            <w:rStyle w:val="Hyperlink"/>
            <w:rFonts w:asciiTheme="minorHAnsi" w:hAnsiTheme="minorHAnsi" w:cstheme="minorHAnsi"/>
          </w:rPr>
          <w:t>http://documents.dps.ny.gov/public/Common/ViewDoc.aspx?DocRefId=%7B74D61DEC-A052-4433-A4C3-27D863DFF53A%7D</w:t>
        </w:r>
      </w:hyperlink>
      <w:r w:rsidRPr="005E7442">
        <w:rPr>
          <w:rFonts w:asciiTheme="minorHAnsi" w:hAnsiTheme="minorHAnsi" w:cstheme="minorHAnsi"/>
        </w:rPr>
        <w:t xml:space="preserve">, p. 1. </w:t>
      </w:r>
    </w:p>
  </w:footnote>
  <w:footnote w:id="62">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486055" w:rsidRPr="005E7442">
        <w:rPr>
          <w:rFonts w:asciiTheme="minorHAnsi" w:hAnsiTheme="minorHAnsi" w:cstheme="minorHAnsi"/>
        </w:rPr>
        <w:t xml:space="preserve">Id, </w:t>
      </w:r>
      <w:r w:rsidRPr="005E7442">
        <w:rPr>
          <w:rFonts w:asciiTheme="minorHAnsi" w:hAnsiTheme="minorHAnsi" w:cstheme="minorHAnsi"/>
        </w:rPr>
        <w:t>p. 2.</w:t>
      </w:r>
    </w:p>
  </w:footnote>
  <w:footnote w:id="63">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486055" w:rsidRPr="005E7442">
        <w:rPr>
          <w:rFonts w:asciiTheme="minorHAnsi" w:hAnsiTheme="minorHAnsi" w:cstheme="minorHAnsi"/>
        </w:rPr>
        <w:t>Id</w:t>
      </w:r>
      <w:r w:rsidRPr="005E7442">
        <w:rPr>
          <w:rFonts w:asciiTheme="minorHAnsi" w:hAnsiTheme="minorHAnsi" w:cstheme="minorHAnsi"/>
        </w:rPr>
        <w:t xml:space="preserve">, p. 5. </w:t>
      </w:r>
    </w:p>
  </w:footnote>
  <w:footnote w:id="64">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486055" w:rsidRPr="005E7442">
        <w:rPr>
          <w:rFonts w:asciiTheme="minorHAnsi" w:hAnsiTheme="minorHAnsi" w:cstheme="minorHAnsi"/>
        </w:rPr>
        <w:t>Id</w:t>
      </w:r>
      <w:r w:rsidRPr="005E7442">
        <w:rPr>
          <w:rFonts w:asciiTheme="minorHAnsi" w:hAnsiTheme="minorHAnsi" w:cstheme="minorHAnsi"/>
        </w:rPr>
        <w:t xml:space="preserve">, p. 6. </w:t>
      </w:r>
    </w:p>
  </w:footnote>
  <w:footnote w:id="65">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486055" w:rsidRPr="005E7442">
        <w:rPr>
          <w:rFonts w:asciiTheme="minorHAnsi" w:hAnsiTheme="minorHAnsi" w:cstheme="minorHAnsi"/>
        </w:rPr>
        <w:t>Id</w:t>
      </w:r>
      <w:r w:rsidRPr="005E7442">
        <w:rPr>
          <w:rFonts w:asciiTheme="minorHAnsi" w:hAnsiTheme="minorHAnsi" w:cstheme="minorHAnsi"/>
        </w:rPr>
        <w:t>, p. 6.</w:t>
      </w:r>
    </w:p>
  </w:footnote>
  <w:footnote w:id="66">
    <w:p w:rsidR="003F5EAB" w:rsidRPr="005E7442" w:rsidRDefault="003F5EAB" w:rsidP="00F078D1">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w:t>
      </w:r>
      <w:r w:rsidR="00D675D2" w:rsidRPr="00273046">
        <w:rPr>
          <w:rFonts w:asciiTheme="minorHAnsi" w:hAnsiTheme="minorHAnsi" w:cstheme="minorHAnsi"/>
        </w:rPr>
        <w:t>Consolidated Edison Company of New York. Report on 2016 Capital Expenditures and 2017-2021 Electric Capital Forecast</w:t>
      </w:r>
      <w:r w:rsidR="00273046" w:rsidRPr="00273046">
        <w:rPr>
          <w:rFonts w:asciiTheme="minorHAnsi" w:hAnsiTheme="minorHAnsi" w:cstheme="minorHAnsi"/>
        </w:rPr>
        <w:t xml:space="preserve">, available at: </w:t>
      </w:r>
      <w:hyperlink r:id="rId38" w:history="1">
        <w:r w:rsidR="00273046" w:rsidRPr="00273046">
          <w:rPr>
            <w:rStyle w:val="Hyperlink"/>
            <w:rFonts w:asciiTheme="minorHAnsi" w:hAnsiTheme="minorHAnsi" w:cstheme="minorHAnsi"/>
          </w:rPr>
          <w:t>http://documents.dps.ny.gov/public/Common/ViewDoc.aspx?DocRefId={1A1D7267-D2A8-4C5C-966C-892A67646B09}</w:t>
        </w:r>
      </w:hyperlink>
      <w:r w:rsidR="00273046" w:rsidRPr="00273046">
        <w:rPr>
          <w:rFonts w:asciiTheme="minorHAnsi" w:hAnsiTheme="minorHAnsi" w:cstheme="minorHAnsi"/>
        </w:rPr>
        <w:t>.</w:t>
      </w:r>
      <w:r w:rsidR="00273046">
        <w:rPr>
          <w:rFonts w:asciiTheme="minorHAnsi" w:hAnsiTheme="minorHAnsi" w:cstheme="minorHAnsi"/>
        </w:rPr>
        <w:t xml:space="preserve"> </w:t>
      </w:r>
    </w:p>
  </w:footnote>
  <w:footnote w:id="67">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Patrick McGeehan “A Burning 13,000-Volt Cable Touched Off Manhattan Blackout, Con Edison Says”, </w:t>
      </w:r>
      <w:r w:rsidRPr="005E7442">
        <w:rPr>
          <w:rFonts w:asciiTheme="minorHAnsi" w:hAnsiTheme="minorHAnsi" w:cstheme="minorHAnsi"/>
          <w:i/>
        </w:rPr>
        <w:t>The New York Times</w:t>
      </w:r>
      <w:r w:rsidRPr="005E7442">
        <w:rPr>
          <w:rFonts w:asciiTheme="minorHAnsi" w:hAnsiTheme="minorHAnsi" w:cstheme="minorHAnsi"/>
        </w:rPr>
        <w:t xml:space="preserve">, July 15, 2019, available at: </w:t>
      </w:r>
      <w:hyperlink r:id="rId39" w:history="1">
        <w:r w:rsidRPr="005E7442">
          <w:rPr>
            <w:rStyle w:val="Hyperlink"/>
            <w:rFonts w:asciiTheme="minorHAnsi" w:hAnsiTheme="minorHAnsi" w:cstheme="minorHAnsi"/>
          </w:rPr>
          <w:t>https://www.nytimes.com/2019/07/15/nyregion/nyc-blackout-con-edison.html</w:t>
        </w:r>
      </w:hyperlink>
      <w:r w:rsidRPr="005E7442">
        <w:rPr>
          <w:rFonts w:asciiTheme="minorHAnsi" w:hAnsiTheme="minorHAnsi" w:cstheme="minorHAnsi"/>
        </w:rPr>
        <w:t xml:space="preserve">. </w:t>
      </w:r>
    </w:p>
  </w:footnote>
  <w:footnote w:id="68">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69">
    <w:p w:rsidR="003F5EAB" w:rsidRPr="005E7442" w:rsidRDefault="003F5EAB" w:rsidP="00F078D1">
      <w:pPr>
        <w:pStyle w:val="FootnoteText"/>
        <w:rPr>
          <w:rFonts w:asciiTheme="minorHAnsi" w:hAnsiTheme="minorHAnsi" w:cstheme="minorHAnsi"/>
          <w:highlight w:val="yellow"/>
        </w:rPr>
      </w:pPr>
      <w:r w:rsidRPr="00A226BC">
        <w:rPr>
          <w:rStyle w:val="FootnoteReference"/>
          <w:rFonts w:asciiTheme="minorHAnsi" w:hAnsiTheme="minorHAnsi" w:cstheme="minorHAnsi"/>
        </w:rPr>
        <w:footnoteRef/>
      </w:r>
      <w:r w:rsidRPr="00A226BC">
        <w:rPr>
          <w:rFonts w:asciiTheme="minorHAnsi" w:hAnsiTheme="minorHAnsi" w:cstheme="minorHAnsi"/>
        </w:rPr>
        <w:t xml:space="preserve"> </w:t>
      </w:r>
      <w:r w:rsidR="00D675D2" w:rsidRPr="00273046">
        <w:rPr>
          <w:rFonts w:asciiTheme="minorHAnsi" w:hAnsiTheme="minorHAnsi" w:cstheme="minorHAnsi"/>
        </w:rPr>
        <w:t>Consolidated Edison Company of New York. Exhibit IIP-6</w:t>
      </w:r>
      <w:r w:rsidR="00273046" w:rsidRPr="00273046">
        <w:rPr>
          <w:rFonts w:asciiTheme="minorHAnsi" w:hAnsiTheme="minorHAnsi" w:cstheme="minorHAnsi"/>
        </w:rPr>
        <w:t xml:space="preserve">, available at: </w:t>
      </w:r>
      <w:hyperlink r:id="rId40" w:history="1">
        <w:r w:rsidR="00273046" w:rsidRPr="00273046">
          <w:rPr>
            <w:rStyle w:val="Hyperlink"/>
            <w:rFonts w:asciiTheme="minorHAnsi" w:hAnsiTheme="minorHAnsi" w:cstheme="minorHAnsi"/>
          </w:rPr>
          <w:t>http://documents.dps.ny.gov/public/Common/ViewDoc.aspx?DocRefId={1BA71027-19F1-4DB4-8F83-F8629C717721}</w:t>
        </w:r>
      </w:hyperlink>
      <w:r w:rsidR="00273046" w:rsidRPr="00273046">
        <w:rPr>
          <w:rFonts w:asciiTheme="minorHAnsi" w:hAnsiTheme="minorHAnsi" w:cstheme="minorHAnsi"/>
        </w:rPr>
        <w:t>.</w:t>
      </w:r>
      <w:r w:rsidR="00273046">
        <w:rPr>
          <w:rFonts w:asciiTheme="minorHAnsi" w:hAnsiTheme="minorHAnsi" w:cstheme="minorHAnsi"/>
        </w:rPr>
        <w:t xml:space="preserve"> </w:t>
      </w:r>
    </w:p>
  </w:footnote>
  <w:footnote w:id="70">
    <w:p w:rsidR="003F5EAB" w:rsidRPr="005E7442" w:rsidRDefault="003F5EAB" w:rsidP="00F078D1">
      <w:pPr>
        <w:pStyle w:val="FootnoteText"/>
        <w:rPr>
          <w:rFonts w:asciiTheme="minorHAnsi" w:hAnsiTheme="minorHAnsi" w:cstheme="minorHAnsi"/>
          <w:highlight w:val="yellow"/>
        </w:rPr>
      </w:pPr>
      <w:r w:rsidRPr="00A226BC">
        <w:rPr>
          <w:rStyle w:val="FootnoteReference"/>
          <w:rFonts w:asciiTheme="minorHAnsi" w:hAnsiTheme="minorHAnsi" w:cstheme="minorHAnsi"/>
        </w:rPr>
        <w:footnoteRef/>
      </w:r>
      <w:r w:rsidRPr="00A226BC">
        <w:rPr>
          <w:rFonts w:asciiTheme="minorHAnsi" w:hAnsiTheme="minorHAnsi" w:cstheme="minorHAnsi"/>
        </w:rPr>
        <w:t xml:space="preserve"> </w:t>
      </w:r>
      <w:r w:rsidR="00D675D2" w:rsidRPr="00A226BC">
        <w:rPr>
          <w:rFonts w:asciiTheme="minorHAnsi" w:hAnsiTheme="minorHAnsi" w:cstheme="minorHAnsi"/>
        </w:rPr>
        <w:t>Consolidated Edison Company of New York. Exhibit IIP-9</w:t>
      </w:r>
      <w:r w:rsidR="00273046" w:rsidRPr="00A226BC">
        <w:rPr>
          <w:rFonts w:asciiTheme="minorHAnsi" w:hAnsiTheme="minorHAnsi" w:cstheme="minorHAnsi"/>
        </w:rPr>
        <w:t xml:space="preserve">, available at: </w:t>
      </w:r>
      <w:hyperlink r:id="rId41" w:history="1">
        <w:r w:rsidR="00273046" w:rsidRPr="00273046">
          <w:rPr>
            <w:rStyle w:val="Hyperlink"/>
            <w:rFonts w:asciiTheme="minorHAnsi" w:hAnsiTheme="minorHAnsi" w:cstheme="minorHAnsi"/>
          </w:rPr>
          <w:t>http://documents.dps.ny.gov/public/Common/ViewDoc.aspx?DocRefId=%7B4A0055C7-E6A1-4F79-BDFF-C1DC268B0513%7D</w:t>
        </w:r>
      </w:hyperlink>
      <w:r w:rsidR="00273046" w:rsidRPr="00273046">
        <w:rPr>
          <w:rFonts w:asciiTheme="minorHAnsi" w:hAnsiTheme="minorHAnsi" w:cstheme="minorHAnsi"/>
        </w:rPr>
        <w:t>.</w:t>
      </w:r>
      <w:r w:rsidR="00273046">
        <w:rPr>
          <w:rFonts w:asciiTheme="minorHAnsi" w:hAnsiTheme="minorHAnsi" w:cstheme="minorHAnsi"/>
        </w:rPr>
        <w:t xml:space="preserve"> </w:t>
      </w:r>
    </w:p>
  </w:footnote>
  <w:footnote w:id="71">
    <w:p w:rsidR="003F5EAB" w:rsidRPr="005E7442" w:rsidRDefault="003F5EAB" w:rsidP="00D675D2">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w:t>
      </w:r>
      <w:r w:rsidR="00D675D2" w:rsidRPr="00273046">
        <w:rPr>
          <w:rFonts w:asciiTheme="minorHAnsi" w:hAnsiTheme="minorHAnsi" w:cstheme="minorHAnsi"/>
        </w:rPr>
        <w:t>Consolidated Edison. Report on 2012 Capital Expenditures</w:t>
      </w:r>
      <w:r w:rsidR="00273046" w:rsidRPr="00273046">
        <w:rPr>
          <w:rFonts w:asciiTheme="minorHAnsi" w:hAnsiTheme="minorHAnsi" w:cstheme="minorHAnsi"/>
        </w:rPr>
        <w:t>, available at:</w:t>
      </w:r>
      <w:r w:rsidR="00273046">
        <w:rPr>
          <w:rFonts w:asciiTheme="minorHAnsi" w:hAnsiTheme="minorHAnsi" w:cstheme="minorHAnsi"/>
        </w:rPr>
        <w:t xml:space="preserve"> </w:t>
      </w:r>
      <w:r w:rsidR="00D675D2" w:rsidRPr="00D675D2">
        <w:t xml:space="preserve"> </w:t>
      </w:r>
      <w:hyperlink r:id="rId42" w:history="1">
        <w:r w:rsidR="00273046" w:rsidRPr="00BD2203">
          <w:rPr>
            <w:rStyle w:val="Hyperlink"/>
            <w:rFonts w:asciiTheme="minorHAnsi" w:hAnsiTheme="minorHAnsi" w:cstheme="minorHAnsi"/>
          </w:rPr>
          <w:t>http://documents.dps.ny.gov/public/Common/ViewDoc.aspx?DocRefId=%7B3CFA4A19-174E-4C2C-989B-EAEBA802AC8D%7D</w:t>
        </w:r>
      </w:hyperlink>
      <w:r w:rsidR="00273046">
        <w:rPr>
          <w:rFonts w:asciiTheme="minorHAnsi" w:hAnsiTheme="minorHAnsi" w:cstheme="minorHAnsi"/>
        </w:rPr>
        <w:t xml:space="preserve">. </w:t>
      </w:r>
    </w:p>
  </w:footnote>
  <w:footnote w:id="72">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Consolidated Edison “Report on 2016 Capital Expenditures and 2017-2021 Electric Capital Forecast”, </w:t>
      </w:r>
      <w:r w:rsidR="007F5C1F" w:rsidRPr="005E7442">
        <w:rPr>
          <w:rFonts w:asciiTheme="minorHAnsi" w:hAnsiTheme="minorHAnsi" w:cstheme="minorHAnsi"/>
        </w:rPr>
        <w:t>available</w:t>
      </w:r>
      <w:r w:rsidRPr="005E7442">
        <w:rPr>
          <w:rFonts w:asciiTheme="minorHAnsi" w:hAnsiTheme="minorHAnsi" w:cstheme="minorHAnsi"/>
        </w:rPr>
        <w:t xml:space="preserve"> at:  </w:t>
      </w:r>
      <w:hyperlink r:id="rId43" w:history="1">
        <w:r w:rsidRPr="005E7442">
          <w:rPr>
            <w:rStyle w:val="Hyperlink"/>
            <w:rFonts w:asciiTheme="minorHAnsi" w:hAnsiTheme="minorHAnsi" w:cstheme="minorHAnsi"/>
          </w:rPr>
          <w:t>http://documents.dps.ny.gov/public/Common/ViewDoc.aspx?DocRefId={1A1D7267-D2A8-4C5C-966C-892A67646B09}</w:t>
        </w:r>
      </w:hyperlink>
      <w:r w:rsidRPr="005E7442">
        <w:rPr>
          <w:rFonts w:asciiTheme="minorHAnsi" w:hAnsiTheme="minorHAnsi" w:cstheme="minorHAnsi"/>
        </w:rPr>
        <w:t xml:space="preserve">. </w:t>
      </w:r>
    </w:p>
  </w:footnote>
  <w:footnote w:id="73">
    <w:p w:rsidR="003F5EAB" w:rsidRPr="005E7442" w:rsidRDefault="003F5EAB" w:rsidP="00AF1B52">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David F. Bomke, Testimony to the NYS Department of Public Service on Consolidated Edison of New York rate case 19-G-0066, filed May 24, 2019, available at: </w:t>
      </w:r>
      <w:hyperlink r:id="rId44" w:history="1">
        <w:r w:rsidRPr="005E7442">
          <w:rPr>
            <w:rStyle w:val="Hyperlink"/>
            <w:rFonts w:asciiTheme="minorHAnsi" w:hAnsiTheme="minorHAnsi" w:cstheme="minorHAnsi"/>
          </w:rPr>
          <w:t>http://documents.dps.ny.gov/public/Common/ViewDoc.aspx?DocRefId={8DAF594C-2273-4A06-99B2-868F7C86D949}</w:t>
        </w:r>
      </w:hyperlink>
      <w:r w:rsidRPr="005E7442">
        <w:rPr>
          <w:rFonts w:asciiTheme="minorHAnsi" w:hAnsiTheme="minorHAnsi" w:cstheme="minorHAnsi"/>
        </w:rPr>
        <w:t xml:space="preserve">. </w:t>
      </w:r>
    </w:p>
  </w:footnote>
  <w:footnote w:id="74">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Gwynne Hogan “’They dragged their feet’: Con Ed’s plan for heat waves is years behind schedule”, </w:t>
      </w:r>
      <w:r w:rsidRPr="005E7442">
        <w:rPr>
          <w:rFonts w:asciiTheme="minorHAnsi" w:hAnsiTheme="minorHAnsi" w:cstheme="minorHAnsi"/>
          <w:i/>
        </w:rPr>
        <w:t>Gothamist</w:t>
      </w:r>
      <w:r w:rsidRPr="005E7442">
        <w:rPr>
          <w:rFonts w:asciiTheme="minorHAnsi" w:hAnsiTheme="minorHAnsi" w:cstheme="minorHAnsi"/>
        </w:rPr>
        <w:t xml:space="preserve">, July 24, 2019, available at: </w:t>
      </w:r>
      <w:hyperlink r:id="rId45" w:history="1">
        <w:r w:rsidRPr="005E7442">
          <w:rPr>
            <w:rStyle w:val="Hyperlink"/>
            <w:rFonts w:asciiTheme="minorHAnsi" w:hAnsiTheme="minorHAnsi" w:cstheme="minorHAnsi"/>
          </w:rPr>
          <w:t>https://gothamist.com/2019/07/24/con_ed_heat_wave_plan_years_late.php</w:t>
        </w:r>
      </w:hyperlink>
      <w:r w:rsidRPr="005E7442">
        <w:rPr>
          <w:rFonts w:asciiTheme="minorHAnsi" w:hAnsiTheme="minorHAnsi" w:cstheme="minorHAnsi"/>
        </w:rPr>
        <w:t xml:space="preserve">. </w:t>
      </w:r>
    </w:p>
  </w:footnote>
  <w:footnote w:id="75">
    <w:p w:rsidR="003F5EAB" w:rsidRPr="005E7442" w:rsidRDefault="003F5EAB" w:rsidP="00F078D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Susanne DesRoches, Andrew Manshel and Jaime Torres-Springer, on behalf of the City of New York, Testimony to the NYS Department of Public Service on Consolidated Edison of New York rate cases 19-E-0065 and 19-G-0066, filed May 24, 2019, available at: </w:t>
      </w:r>
      <w:hyperlink r:id="rId46" w:history="1">
        <w:r w:rsidRPr="005E7442">
          <w:rPr>
            <w:rStyle w:val="Hyperlink"/>
            <w:rFonts w:asciiTheme="minorHAnsi" w:hAnsiTheme="minorHAnsi" w:cstheme="minorHAnsi"/>
          </w:rPr>
          <w:t>http://documents.dps.ny.gov/public/Common/ViewDoc.aspx?DocRefId={E7DE36F2-BDD0-48F9-A97A-5561CD5CAD4C}</w:t>
        </w:r>
      </w:hyperlink>
      <w:r w:rsidRPr="005E7442">
        <w:rPr>
          <w:rFonts w:asciiTheme="minorHAnsi" w:hAnsiTheme="minorHAnsi" w:cstheme="minorHAnsi"/>
        </w:rPr>
        <w:t xml:space="preserve">, p. 32. </w:t>
      </w:r>
    </w:p>
  </w:footnote>
  <w:footnote w:id="76">
    <w:p w:rsidR="003F5EAB" w:rsidRPr="00A226BC" w:rsidRDefault="003F5EAB" w:rsidP="001C10A6">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Ke Wei, John Marczewski, P.E. and Alex Boutsioulis, P.E. , on behalf of the City of New York, Testimony to the NYS Department of Public Service on Consolidated Edison of New York rate cases 19-E-0065 and 19-G-0066, filed May 24, 2019, available at:</w:t>
      </w:r>
      <w:r w:rsidR="00057C2C" w:rsidRPr="00057C2C">
        <w:rPr>
          <w:rFonts w:asciiTheme="minorHAnsi" w:hAnsiTheme="minorHAnsi" w:cstheme="minorHAnsi"/>
        </w:rPr>
        <w:t xml:space="preserve"> </w:t>
      </w:r>
      <w:hyperlink r:id="rId47" w:history="1">
        <w:r w:rsidR="00057C2C" w:rsidRPr="00057C2C">
          <w:rPr>
            <w:rStyle w:val="Hyperlink"/>
            <w:rFonts w:asciiTheme="minorHAnsi" w:hAnsiTheme="minorHAnsi" w:cstheme="minorHAnsi"/>
          </w:rPr>
          <w:t>http://documents.dps.ny.gov/public/Common/ViewDoc.aspx?DocRefId={9D8B94B8-7698-463B-AE0A-5B645CE6461F}</w:t>
        </w:r>
      </w:hyperlink>
      <w:r w:rsidR="00057C2C" w:rsidRPr="00057C2C">
        <w:rPr>
          <w:rFonts w:asciiTheme="minorHAnsi" w:hAnsiTheme="minorHAnsi" w:cstheme="minorHAnsi"/>
        </w:rPr>
        <w:t>.</w:t>
      </w:r>
      <w:r w:rsidR="00057C2C">
        <w:rPr>
          <w:rFonts w:asciiTheme="minorHAnsi" w:hAnsiTheme="minorHAnsi" w:cstheme="minorHAnsi"/>
        </w:rPr>
        <w:t xml:space="preserve"> </w:t>
      </w:r>
    </w:p>
  </w:footnote>
  <w:footnote w:id="77">
    <w:p w:rsidR="003F5EAB" w:rsidRPr="005E7442" w:rsidRDefault="003F5EAB" w:rsidP="001D5D7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U.S. Bureau of Labor Statistics “Average energy prices, New York-Newark-Jersey City – May 2019”, available at: </w:t>
      </w:r>
      <w:hyperlink r:id="rId48" w:history="1">
        <w:r w:rsidRPr="005E7442">
          <w:rPr>
            <w:rStyle w:val="Hyperlink"/>
            <w:rFonts w:asciiTheme="minorHAnsi" w:hAnsiTheme="minorHAnsi" w:cstheme="minorHAnsi"/>
          </w:rPr>
          <w:t>https://www.bls.gov/regions/new-york-new-jersey/news-release/averageenergyprices_newyorkarea.htm</w:t>
        </w:r>
      </w:hyperlink>
      <w:r w:rsidRPr="005E7442">
        <w:rPr>
          <w:rFonts w:asciiTheme="minorHAnsi" w:hAnsiTheme="minorHAnsi" w:cstheme="minorHAnsi"/>
        </w:rPr>
        <w:t xml:space="preserve">. </w:t>
      </w:r>
    </w:p>
  </w:footnote>
  <w:footnote w:id="78">
    <w:p w:rsidR="003F5EAB" w:rsidRPr="005E7442" w:rsidRDefault="003F5EAB" w:rsidP="001D5D7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7F5C1F" w:rsidRPr="005E7442">
        <w:rPr>
          <w:rFonts w:asciiTheme="minorHAnsi" w:hAnsiTheme="minorHAnsi" w:cstheme="minorHAnsi"/>
        </w:rPr>
        <w:t xml:space="preserve">Id. </w:t>
      </w:r>
    </w:p>
  </w:footnote>
  <w:footnote w:id="79">
    <w:p w:rsidR="003F5EAB" w:rsidRPr="005E7442" w:rsidRDefault="003F5EAB" w:rsidP="001D5D7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“Con Edison Declares Common Stock Dividend”, </w:t>
      </w:r>
      <w:r w:rsidRPr="005E7442">
        <w:rPr>
          <w:rFonts w:asciiTheme="minorHAnsi" w:hAnsiTheme="minorHAnsi" w:cstheme="minorHAnsi"/>
          <w:i/>
        </w:rPr>
        <w:t>Global News Wire</w:t>
      </w:r>
      <w:r w:rsidRPr="005E7442">
        <w:rPr>
          <w:rFonts w:asciiTheme="minorHAnsi" w:hAnsiTheme="minorHAnsi" w:cstheme="minorHAnsi"/>
        </w:rPr>
        <w:t xml:space="preserve">, January 17, 2019, available at: </w:t>
      </w:r>
      <w:hyperlink r:id="rId49" w:history="1">
        <w:r w:rsidRPr="005E7442">
          <w:rPr>
            <w:rStyle w:val="Hyperlink"/>
            <w:rFonts w:asciiTheme="minorHAnsi" w:hAnsiTheme="minorHAnsi" w:cstheme="minorHAnsi"/>
          </w:rPr>
          <w:t>https://www.globenewswire.com/news-release/2019/01/17/1701692/0/en/Con-Edison-Declares-Common-Stock-Dividend.html</w:t>
        </w:r>
      </w:hyperlink>
      <w:r w:rsidRPr="005E7442">
        <w:rPr>
          <w:rFonts w:asciiTheme="minorHAnsi" w:hAnsiTheme="minorHAnsi" w:cstheme="minorHAnsi"/>
        </w:rPr>
        <w:t xml:space="preserve">. </w:t>
      </w:r>
    </w:p>
  </w:footnote>
  <w:footnote w:id="80">
    <w:p w:rsidR="003F5EAB" w:rsidRPr="005E7442" w:rsidRDefault="003F5EAB" w:rsidP="001D5D7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Philip Van Doorn “Dozens of Dividend Aristocrat stock have been big winners in 2019”, July 28, 2019, available at: </w:t>
      </w:r>
      <w:hyperlink r:id="rId50" w:history="1">
        <w:r w:rsidRPr="005E7442">
          <w:rPr>
            <w:rStyle w:val="Hyperlink"/>
            <w:rFonts w:asciiTheme="minorHAnsi" w:hAnsiTheme="minorHAnsi" w:cstheme="minorHAnsi"/>
          </w:rPr>
          <w:t>https://www.marketwatch.com/story/heres-how-all-the-dividend-aristocrat-stocks-have-performed-this-year-2019-07-25</w:t>
        </w:r>
      </w:hyperlink>
      <w:r w:rsidRPr="005E7442">
        <w:rPr>
          <w:rFonts w:asciiTheme="minorHAnsi" w:hAnsiTheme="minorHAnsi" w:cstheme="minorHAnsi"/>
        </w:rPr>
        <w:t xml:space="preserve">. </w:t>
      </w:r>
    </w:p>
  </w:footnote>
  <w:footnote w:id="81">
    <w:p w:rsidR="003F5EAB" w:rsidRPr="005E7442" w:rsidRDefault="003F5EAB" w:rsidP="001D5D7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Ben Reynolds “Con Ed Dividend Built for Recession”, </w:t>
      </w:r>
      <w:r w:rsidRPr="005E7442">
        <w:rPr>
          <w:rFonts w:asciiTheme="minorHAnsi" w:hAnsiTheme="minorHAnsi" w:cstheme="minorHAnsi"/>
          <w:i/>
        </w:rPr>
        <w:t>NewsMax</w:t>
      </w:r>
      <w:r w:rsidRPr="005E7442">
        <w:rPr>
          <w:rFonts w:asciiTheme="minorHAnsi" w:hAnsiTheme="minorHAnsi" w:cstheme="minorHAnsi"/>
        </w:rPr>
        <w:t xml:space="preserve">, August 22, 2019, available at: </w:t>
      </w:r>
      <w:hyperlink r:id="rId51" w:history="1">
        <w:r w:rsidRPr="005E7442">
          <w:rPr>
            <w:rStyle w:val="Hyperlink"/>
            <w:rFonts w:asciiTheme="minorHAnsi" w:hAnsiTheme="minorHAnsi" w:cstheme="minorHAnsi"/>
          </w:rPr>
          <w:t>https://www.newsmax.com/finance/benreynolds/consolidated-edison-dividend-aristocrat/2019/01/08/id/897378/</w:t>
        </w:r>
      </w:hyperlink>
      <w:r w:rsidRPr="005E7442">
        <w:rPr>
          <w:rFonts w:asciiTheme="minorHAnsi" w:hAnsiTheme="minorHAnsi" w:cstheme="minorHAnsi"/>
        </w:rPr>
        <w:t xml:space="preserve">. </w:t>
      </w:r>
    </w:p>
  </w:footnote>
  <w:footnote w:id="82">
    <w:p w:rsidR="003F5EAB" w:rsidRPr="005E7442" w:rsidRDefault="003F5EAB" w:rsidP="002B0D2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Susanne </w:t>
      </w:r>
      <w:r w:rsidRPr="005E7442">
        <w:rPr>
          <w:rFonts w:asciiTheme="minorHAnsi" w:hAnsiTheme="minorHAnsi" w:cstheme="minorHAnsi"/>
        </w:rPr>
        <w:t>DesRoches,</w:t>
      </w:r>
      <w:r w:rsidR="007F5C1F" w:rsidRPr="005E7442">
        <w:rPr>
          <w:rFonts w:asciiTheme="minorHAnsi" w:hAnsiTheme="minorHAnsi" w:cstheme="minorHAnsi"/>
        </w:rPr>
        <w:t xml:space="preserve"> et al,</w:t>
      </w:r>
      <w:r w:rsidR="00DB4D86" w:rsidRPr="005E7442">
        <w:rPr>
          <w:rFonts w:asciiTheme="minorHAnsi" w:hAnsiTheme="minorHAnsi" w:cstheme="minorHAnsi"/>
        </w:rPr>
        <w:t xml:space="preserve"> at</w:t>
      </w:r>
      <w:r w:rsidR="007F5C1F" w:rsidRPr="005E7442">
        <w:rPr>
          <w:rFonts w:asciiTheme="minorHAnsi" w:hAnsiTheme="minorHAnsi" w:cstheme="minorHAnsi"/>
        </w:rPr>
        <w:t xml:space="preserve"> note 75</w:t>
      </w:r>
      <w:r w:rsidRPr="005E7442">
        <w:rPr>
          <w:rFonts w:asciiTheme="minorHAnsi" w:hAnsiTheme="minorHAnsi" w:cstheme="minorHAnsi"/>
        </w:rPr>
        <w:t xml:space="preserve">, p. 33. </w:t>
      </w:r>
    </w:p>
  </w:footnote>
  <w:footnote w:id="83">
    <w:p w:rsidR="003F5EAB" w:rsidRPr="005E7442" w:rsidRDefault="003F5EAB" w:rsidP="00BA779A">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Consolidated Edison Company of New York, Inc. Electric Case Testimonies Volume 1, available at:</w:t>
      </w:r>
    </w:p>
    <w:p w:rsidR="003F5EAB" w:rsidRPr="005E7442" w:rsidRDefault="00390085" w:rsidP="00BA779A">
      <w:pPr>
        <w:pStyle w:val="FootnoteText"/>
        <w:rPr>
          <w:rFonts w:asciiTheme="minorHAnsi" w:hAnsiTheme="minorHAnsi" w:cstheme="minorHAnsi"/>
        </w:rPr>
      </w:pPr>
      <w:hyperlink r:id="rId52" w:history="1">
        <w:r w:rsidR="003F5EAB" w:rsidRPr="005E7442">
          <w:rPr>
            <w:rStyle w:val="Hyperlink"/>
            <w:rFonts w:asciiTheme="minorHAnsi" w:hAnsiTheme="minorHAnsi" w:cstheme="minorHAnsi"/>
          </w:rPr>
          <w:t>http://documents.dps.ny.gov/public/Common/ViewDoc.aspx?DocRefId={3CB2AB7C-BE60-4178-A121-5AF4153998B3}</w:t>
        </w:r>
      </w:hyperlink>
      <w:r w:rsidR="003F5EAB" w:rsidRPr="005E7442">
        <w:rPr>
          <w:rFonts w:asciiTheme="minorHAnsi" w:hAnsiTheme="minorHAnsi" w:cstheme="minorHAnsi"/>
        </w:rPr>
        <w:t xml:space="preserve">. </w:t>
      </w:r>
    </w:p>
  </w:footnote>
  <w:footnote w:id="84">
    <w:p w:rsidR="003F5EAB" w:rsidRPr="005E7442" w:rsidRDefault="003F5EAB" w:rsidP="00BA779A">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Direct Testimony of Karl R. Rabago on behalf of Pace Energy and Climate Center, available at: </w:t>
      </w:r>
      <w:hyperlink r:id="rId53" w:history="1">
        <w:r w:rsidRPr="005E7442">
          <w:rPr>
            <w:rStyle w:val="Hyperlink"/>
            <w:rFonts w:asciiTheme="minorHAnsi" w:hAnsiTheme="minorHAnsi" w:cstheme="minorHAnsi"/>
          </w:rPr>
          <w:t>http://documents.dps.ny.gov/public/Common/ViewDoc.aspx?DocRefId={C482767B-7381-4F62-B92C-CBF8374AA424}</w:t>
        </w:r>
      </w:hyperlink>
      <w:r w:rsidRPr="005E7442">
        <w:rPr>
          <w:rFonts w:asciiTheme="minorHAnsi" w:hAnsiTheme="minorHAnsi" w:cstheme="minorHAnsi"/>
        </w:rPr>
        <w:t xml:space="preserve">. </w:t>
      </w:r>
    </w:p>
  </w:footnote>
  <w:footnote w:id="85">
    <w:p w:rsidR="003F5EAB" w:rsidRPr="005E7442" w:rsidRDefault="003F5EAB" w:rsidP="00BA779A">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w:t>
      </w:r>
      <w:r w:rsidR="007F5C1F" w:rsidRPr="005E7442">
        <w:rPr>
          <w:rFonts w:asciiTheme="minorHAnsi" w:hAnsiTheme="minorHAnsi" w:cstheme="minorHAnsi"/>
        </w:rPr>
        <w:t>.</w:t>
      </w:r>
      <w:r w:rsidRPr="005E7442">
        <w:rPr>
          <w:rFonts w:asciiTheme="minorHAnsi" w:hAnsiTheme="minorHAnsi" w:cstheme="minorHAnsi"/>
        </w:rPr>
        <w:t xml:space="preserve"> </w:t>
      </w:r>
    </w:p>
  </w:footnote>
  <w:footnote w:id="86">
    <w:p w:rsidR="003F5EAB" w:rsidRPr="005E7442" w:rsidRDefault="003F5EAB" w:rsidP="00BA779A">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87">
    <w:p w:rsidR="003F5EAB" w:rsidRPr="005E7442" w:rsidRDefault="003F5EAB" w:rsidP="00BA779A">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88">
    <w:p w:rsidR="003F5EAB" w:rsidRPr="005E7442" w:rsidRDefault="003F5EAB" w:rsidP="00BA779A">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Id. </w:t>
      </w:r>
    </w:p>
  </w:footnote>
  <w:footnote w:id="89">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Brady Dennis and Andrew Freedman “Here’s how the hottest month in recorded history unfolded around the world”, </w:t>
      </w:r>
      <w:r w:rsidRPr="005E7442">
        <w:rPr>
          <w:rFonts w:asciiTheme="minorHAnsi" w:hAnsiTheme="minorHAnsi" w:cstheme="minorHAnsi"/>
          <w:i/>
        </w:rPr>
        <w:t>Washington Post</w:t>
      </w:r>
      <w:r w:rsidRPr="005E7442">
        <w:rPr>
          <w:rFonts w:asciiTheme="minorHAnsi" w:hAnsiTheme="minorHAnsi" w:cstheme="minorHAnsi"/>
        </w:rPr>
        <w:t xml:space="preserve">, August 5, 2019, available at: </w:t>
      </w:r>
      <w:hyperlink r:id="rId54" w:history="1">
        <w:r w:rsidRPr="005E7442">
          <w:rPr>
            <w:rStyle w:val="Hyperlink"/>
            <w:rFonts w:asciiTheme="minorHAnsi" w:hAnsiTheme="minorHAnsi" w:cstheme="minorHAnsi"/>
          </w:rPr>
          <w:t>https://www.washingtonpost.com/climate-environment/2019/08/05/heres-how-hottest-month-recorded-history-unfolded-around-globe/</w:t>
        </w:r>
      </w:hyperlink>
      <w:r w:rsidRPr="005E7442">
        <w:rPr>
          <w:rFonts w:asciiTheme="minorHAnsi" w:hAnsiTheme="minorHAnsi" w:cstheme="minorHAnsi"/>
        </w:rPr>
        <w:t xml:space="preserve">. </w:t>
      </w:r>
    </w:p>
  </w:footnote>
  <w:footnote w:id="90">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Steven Mufson, Chris Mooney, Juliet Eilperin and John Muyskens, “2</w:t>
      </w:r>
      <w:r w:rsidRPr="005E7442">
        <w:rPr>
          <w:rFonts w:ascii="Cambria Math" w:hAnsi="Cambria Math" w:cs="Cambria Math" w:hint="eastAsia"/>
        </w:rPr>
        <w:t>℃</w:t>
      </w:r>
      <w:r w:rsidRPr="005E7442">
        <w:rPr>
          <w:rFonts w:asciiTheme="minorHAnsi" w:hAnsiTheme="minorHAnsi" w:cstheme="minorHAnsi"/>
        </w:rPr>
        <w:t>: Beyond The Limit, Extreme Climate Change has Arrived in America,</w:t>
      </w:r>
      <w:r w:rsidRPr="00A226BC">
        <w:rPr>
          <w:rFonts w:asciiTheme="minorHAnsi" w:hAnsiTheme="minorHAnsi" w:cstheme="minorHAnsi"/>
        </w:rPr>
        <w:t>”</w:t>
      </w:r>
      <w:r w:rsidRPr="005E7442">
        <w:rPr>
          <w:rFonts w:asciiTheme="minorHAnsi" w:hAnsiTheme="minorHAnsi" w:cstheme="minorHAnsi"/>
        </w:rPr>
        <w:t xml:space="preserve"> </w:t>
      </w:r>
      <w:r w:rsidRPr="005E7442">
        <w:rPr>
          <w:rFonts w:asciiTheme="minorHAnsi" w:hAnsiTheme="minorHAnsi" w:cstheme="minorHAnsi"/>
          <w:i/>
        </w:rPr>
        <w:t xml:space="preserve">The Washington Post, </w:t>
      </w:r>
      <w:r w:rsidRPr="005E7442">
        <w:rPr>
          <w:rFonts w:asciiTheme="minorHAnsi" w:hAnsiTheme="minorHAnsi" w:cstheme="minorHAnsi"/>
        </w:rPr>
        <w:t xml:space="preserve">August 13, 2019, available at: </w:t>
      </w:r>
      <w:hyperlink r:id="rId55" w:history="1">
        <w:r w:rsidRPr="005E7442">
          <w:rPr>
            <w:rStyle w:val="Hyperlink"/>
            <w:rFonts w:asciiTheme="minorHAnsi" w:hAnsiTheme="minorHAnsi" w:cstheme="minorHAnsi"/>
          </w:rPr>
          <w:t>https://www.washingtonpost.com/graphics/2019/national/climate-environment/climate-change-america/</w:t>
        </w:r>
      </w:hyperlink>
      <w:r w:rsidRPr="005E7442">
        <w:rPr>
          <w:rFonts w:asciiTheme="minorHAnsi" w:hAnsiTheme="minorHAnsi" w:cstheme="minorHAnsi"/>
        </w:rPr>
        <w:t xml:space="preserve">. </w:t>
      </w:r>
    </w:p>
  </w:footnote>
  <w:footnote w:id="91">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Pam Radtke, “Death, blackouts, melting asphalt: ways the climate crisis will change how we live,” </w:t>
      </w:r>
      <w:r w:rsidRPr="005E7442">
        <w:rPr>
          <w:rFonts w:asciiTheme="minorHAnsi" w:hAnsiTheme="minorHAnsi" w:cstheme="minorHAnsi"/>
          <w:i/>
        </w:rPr>
        <w:t xml:space="preserve">The Guardian, </w:t>
      </w:r>
      <w:r w:rsidRPr="005E7442">
        <w:rPr>
          <w:rFonts w:asciiTheme="minorHAnsi" w:hAnsiTheme="minorHAnsi" w:cstheme="minorHAnsi"/>
        </w:rPr>
        <w:t xml:space="preserve">August 20, 2019, available at: </w:t>
      </w:r>
      <w:hyperlink r:id="rId56" w:history="1">
        <w:r w:rsidRPr="005E7442">
          <w:rPr>
            <w:rStyle w:val="Hyperlink"/>
            <w:rFonts w:asciiTheme="minorHAnsi" w:hAnsiTheme="minorHAnsi" w:cstheme="minorHAnsi"/>
          </w:rPr>
          <w:t>https://www.theguardian.com/cities/2019/aug/20/death-blackouts-melting-asphalt-ways-the-climate-crisis-will-change-how-we-live?utm_campaign=citylab-daily-newsletter&amp;utm_medium=email&amp;silverid=%25%25RECIPIENT_ID%25%25&amp;utm_source=newsletter</w:t>
        </w:r>
      </w:hyperlink>
      <w:r w:rsidRPr="005E7442">
        <w:rPr>
          <w:rFonts w:asciiTheme="minorHAnsi" w:hAnsiTheme="minorHAnsi" w:cstheme="minorHAnsi"/>
        </w:rPr>
        <w:t xml:space="preserve">. </w:t>
      </w:r>
    </w:p>
  </w:footnote>
  <w:footnote w:id="92">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7F5C1F" w:rsidRPr="005E7442">
        <w:rPr>
          <w:rFonts w:asciiTheme="minorHAnsi" w:hAnsiTheme="minorHAnsi" w:cstheme="minorHAnsi"/>
        </w:rPr>
        <w:t xml:space="preserve">Id. </w:t>
      </w:r>
    </w:p>
  </w:footnote>
  <w:footnote w:id="93">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See: “Cool Neighborhoods NYC: A Comprehensive Approach to Keep Communities Safe in Extreme Heat,” June 2017, available at: </w:t>
      </w:r>
      <w:hyperlink r:id="rId57" w:history="1">
        <w:r w:rsidRPr="005E7442">
          <w:rPr>
            <w:rStyle w:val="Hyperlink"/>
            <w:rFonts w:asciiTheme="minorHAnsi" w:hAnsiTheme="minorHAnsi" w:cstheme="minorHAnsi"/>
          </w:rPr>
          <w:t>https://www1.nyc.gov/assets/orr/pdf/Cool_Neighborhoods_NYC_Report_FINAL.pdf</w:t>
        </w:r>
      </w:hyperlink>
    </w:p>
  </w:footnote>
  <w:footnote w:id="94">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Pam Radtke, </w:t>
      </w:r>
      <w:r w:rsidR="00DB4D86" w:rsidRPr="005E7442">
        <w:rPr>
          <w:rFonts w:asciiTheme="minorHAnsi" w:hAnsiTheme="minorHAnsi" w:cstheme="minorHAnsi"/>
        </w:rPr>
        <w:t xml:space="preserve">at </w:t>
      </w:r>
      <w:r w:rsidR="007F5C1F" w:rsidRPr="005E7442">
        <w:rPr>
          <w:rFonts w:asciiTheme="minorHAnsi" w:hAnsiTheme="minorHAnsi" w:cstheme="minorHAnsi"/>
        </w:rPr>
        <w:t xml:space="preserve">note 91. </w:t>
      </w:r>
      <w:r w:rsidRPr="005E7442">
        <w:rPr>
          <w:rFonts w:asciiTheme="minorHAnsi" w:hAnsiTheme="minorHAnsi" w:cstheme="minorHAnsi"/>
        </w:rPr>
        <w:t xml:space="preserve"> </w:t>
      </w:r>
    </w:p>
  </w:footnote>
  <w:footnote w:id="95">
    <w:p w:rsidR="003F5EAB" w:rsidRPr="005E7442" w:rsidRDefault="003F5EAB">
      <w:pPr>
        <w:pStyle w:val="FootnoteText"/>
        <w:rPr>
          <w:rFonts w:asciiTheme="minorHAnsi" w:hAnsiTheme="minorHAnsi" w:cstheme="minorHAnsi"/>
          <w: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7F5C1F" w:rsidRPr="005E7442">
        <w:rPr>
          <w:rFonts w:asciiTheme="minorHAnsi" w:hAnsiTheme="minorHAnsi" w:cstheme="minorHAnsi"/>
        </w:rPr>
        <w:t xml:space="preserve">Id. </w:t>
      </w:r>
    </w:p>
  </w:footnote>
  <w:footnote w:id="96">
    <w:p w:rsidR="003F5EAB" w:rsidRPr="00A226BC" w:rsidRDefault="003F5EAB">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“New York City Panel on Climate Change 2019 Report,” Ch. 4: Coastal Flooding, at 100, available at: </w:t>
      </w:r>
      <w:hyperlink r:id="rId58" w:history="1">
        <w:r w:rsidRPr="00A226BC">
          <w:rPr>
            <w:rStyle w:val="Hyperlink"/>
            <w:rFonts w:asciiTheme="minorHAnsi" w:hAnsiTheme="minorHAnsi" w:cstheme="minorHAnsi"/>
          </w:rPr>
          <w:t>https://nyaspubs.onlinelibrary.wiley.com/doi/epdf/10.1111/nyas.14011</w:t>
        </w:r>
      </w:hyperlink>
      <w:r w:rsidRPr="00A226BC">
        <w:rPr>
          <w:rFonts w:asciiTheme="minorHAnsi" w:hAnsiTheme="minorHAnsi" w:cstheme="minorHAnsi"/>
        </w:rPr>
        <w:t xml:space="preserve">.  </w:t>
      </w:r>
    </w:p>
  </w:footnote>
  <w:footnote w:id="97">
    <w:p w:rsidR="003F5EAB" w:rsidRPr="00A226BC" w:rsidRDefault="003F5EAB">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Power grid recovery after natural hazard impact, </w:t>
      </w:r>
      <w:r w:rsidRPr="00A226BC">
        <w:rPr>
          <w:rFonts w:asciiTheme="minorHAnsi" w:hAnsiTheme="minorHAnsi" w:cstheme="minorHAnsi"/>
          <w:i/>
        </w:rPr>
        <w:t>JRC Science for Policy Report</w:t>
      </w:r>
      <w:r w:rsidRPr="00A226BC">
        <w:rPr>
          <w:rFonts w:asciiTheme="minorHAnsi" w:hAnsiTheme="minorHAnsi" w:cstheme="minorHAnsi"/>
        </w:rPr>
        <w:t xml:space="preserve">, at 24 (2017), at </w:t>
      </w:r>
      <w:hyperlink r:id="rId59" w:history="1">
        <w:r w:rsidRPr="00A226BC">
          <w:rPr>
            <w:rStyle w:val="Hyperlink"/>
            <w:rFonts w:asciiTheme="minorHAnsi" w:hAnsiTheme="minorHAnsi" w:cstheme="minorHAnsi"/>
          </w:rPr>
          <w:t>http://publications.jrc.ec.europa.eu/repository/bitstream/JRC108842/jrc108842kjna28844enn.pdf</w:t>
        </w:r>
      </w:hyperlink>
      <w:r w:rsidRPr="00A226BC">
        <w:rPr>
          <w:rFonts w:asciiTheme="minorHAnsi" w:hAnsiTheme="minorHAnsi" w:cstheme="minorHAnsi"/>
        </w:rPr>
        <w:t>.</w:t>
      </w:r>
    </w:p>
  </w:footnote>
  <w:footnote w:id="98">
    <w:p w:rsidR="003F5EAB" w:rsidRPr="005E7442" w:rsidRDefault="003F5EAB" w:rsidP="001F20B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Robert Abrams and Benjamin Lawsky “The Moreland Commission on utility storm preparation and response”, June 22, 2013, available at: </w:t>
      </w:r>
      <w:hyperlink r:id="rId60" w:history="1">
        <w:r w:rsidRPr="005E7442">
          <w:rPr>
            <w:rStyle w:val="Hyperlink"/>
            <w:rFonts w:asciiTheme="minorHAnsi" w:hAnsiTheme="minorHAnsi" w:cstheme="minorHAnsi"/>
          </w:rPr>
          <w:t>https://utilitystormmanagement.moreland.ny.gov/sites/default/files/MACfinalreportjune22.pdf</w:t>
        </w:r>
      </w:hyperlink>
      <w:r w:rsidRPr="005E7442">
        <w:rPr>
          <w:rFonts w:asciiTheme="minorHAnsi" w:hAnsiTheme="minorHAnsi" w:cstheme="minorHAnsi"/>
        </w:rPr>
        <w:t xml:space="preserve">, pp. 35*36. </w:t>
      </w:r>
    </w:p>
  </w:footnote>
  <w:footnote w:id="99">
    <w:p w:rsidR="003F5EAB" w:rsidRPr="005E7442" w:rsidRDefault="003F5EAB" w:rsidP="001F20B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Maria Gallucci “N.Y. regulator, Con Ed embrace plan to climate-proof power grid”, </w:t>
      </w:r>
      <w:r w:rsidRPr="005E7442">
        <w:rPr>
          <w:rFonts w:asciiTheme="minorHAnsi" w:hAnsiTheme="minorHAnsi" w:cstheme="minorHAnsi"/>
          <w:i/>
        </w:rPr>
        <w:t>Inside Climate News</w:t>
      </w:r>
      <w:r w:rsidRPr="005E7442">
        <w:rPr>
          <w:rFonts w:asciiTheme="minorHAnsi" w:hAnsiTheme="minorHAnsi" w:cstheme="minorHAnsi"/>
        </w:rPr>
        <w:t xml:space="preserve">, March 12, 2014, available at: </w:t>
      </w:r>
      <w:hyperlink r:id="rId61" w:history="1">
        <w:r w:rsidRPr="005E7442">
          <w:rPr>
            <w:rStyle w:val="Hyperlink"/>
            <w:rFonts w:asciiTheme="minorHAnsi" w:hAnsiTheme="minorHAnsi" w:cstheme="minorHAnsi"/>
          </w:rPr>
          <w:t>https://insideclimatenews.org/news/20140312/ny-regulator-con-ed-embrace-plan-climate-proof-power-grid</w:t>
        </w:r>
      </w:hyperlink>
      <w:r w:rsidRPr="005E7442">
        <w:rPr>
          <w:rFonts w:asciiTheme="minorHAnsi" w:hAnsiTheme="minorHAnsi" w:cstheme="minorHAnsi"/>
        </w:rPr>
        <w:t xml:space="preserve">. </w:t>
      </w:r>
    </w:p>
  </w:footnote>
  <w:footnote w:id="100">
    <w:p w:rsidR="003F5EAB" w:rsidRPr="005E7442" w:rsidRDefault="003F5EAB" w:rsidP="001F20B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7F5C1F" w:rsidRPr="005E7442">
        <w:rPr>
          <w:rFonts w:asciiTheme="minorHAnsi" w:hAnsiTheme="minorHAnsi" w:cstheme="minorHAnsi"/>
        </w:rPr>
        <w:t xml:space="preserve">Id. </w:t>
      </w:r>
    </w:p>
  </w:footnote>
  <w:footnote w:id="101">
    <w:p w:rsidR="003F5EAB" w:rsidRPr="005E7442" w:rsidRDefault="003F5EAB" w:rsidP="001F20B1">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w:t>
      </w:r>
      <w:r w:rsidR="007F5C1F" w:rsidRPr="005E7442">
        <w:rPr>
          <w:rFonts w:asciiTheme="minorHAnsi" w:hAnsiTheme="minorHAnsi" w:cstheme="minorHAnsi"/>
        </w:rPr>
        <w:t xml:space="preserve">Id. </w:t>
      </w:r>
    </w:p>
  </w:footnote>
  <w:footnote w:id="102">
    <w:p w:rsidR="003F5EAB" w:rsidRPr="00A226BC" w:rsidRDefault="003F5EAB" w:rsidP="008F1AC2">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See</w:t>
      </w:r>
      <w:r w:rsidRPr="00A226BC">
        <w:rPr>
          <w:rFonts w:asciiTheme="minorHAnsi" w:hAnsiTheme="minorHAnsi" w:cstheme="minorHAnsi"/>
          <w:i/>
        </w:rPr>
        <w:t xml:space="preserve">, </w:t>
      </w:r>
      <w:r w:rsidRPr="00A226BC">
        <w:rPr>
          <w:rFonts w:asciiTheme="minorHAnsi" w:hAnsiTheme="minorHAnsi" w:cstheme="minorHAnsi"/>
        </w:rPr>
        <w:t xml:space="preserve">Siemens Website available at: </w:t>
      </w:r>
      <w:hyperlink r:id="rId62" w:history="1">
        <w:r w:rsidR="00DB4D86" w:rsidRPr="00A226BC">
          <w:rPr>
            <w:rStyle w:val="Hyperlink"/>
            <w:rFonts w:asciiTheme="minorHAnsi" w:hAnsiTheme="minorHAnsi" w:cstheme="minorHAnsi"/>
          </w:rPr>
          <w:t>https://news.usa.siemens.biz/press-release/energy-management/con-edison-strengthens-storm-hardening-efforts-siemens-mobile-substa</w:t>
        </w:r>
      </w:hyperlink>
      <w:r w:rsidR="00DB4D86" w:rsidRPr="005E7442">
        <w:rPr>
          <w:rFonts w:asciiTheme="minorHAnsi" w:hAnsiTheme="minorHAnsi" w:cstheme="minorHAnsi"/>
        </w:rPr>
        <w:t xml:space="preserve">. </w:t>
      </w:r>
    </w:p>
  </w:footnote>
  <w:footnote w:id="103">
    <w:p w:rsidR="003F5EAB" w:rsidRPr="00A226BC" w:rsidRDefault="003F5EAB" w:rsidP="008F1AC2">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Id.</w:t>
      </w:r>
    </w:p>
  </w:footnote>
  <w:footnote w:id="104">
    <w:p w:rsidR="003F5EAB" w:rsidRPr="00A226BC" w:rsidRDefault="003F5EAB" w:rsidP="008F1AC2">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Id.</w:t>
      </w:r>
    </w:p>
  </w:footnote>
  <w:footnote w:id="105">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Con Ed Report to PSC, “Storm Hardening and Resiliency Collaborative Phase Three Report.” (Sept. 1, 2015), at 117.</w:t>
      </w:r>
    </w:p>
  </w:footnote>
  <w:footnote w:id="106">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w:t>
      </w:r>
      <w:r w:rsidR="00DB4D86" w:rsidRPr="005E7442">
        <w:rPr>
          <w:rFonts w:asciiTheme="minorHAnsi" w:hAnsiTheme="minorHAnsi" w:cstheme="minorHAnsi"/>
        </w:rPr>
        <w:t xml:space="preserve">Id. </w:t>
      </w:r>
    </w:p>
  </w:footnote>
  <w:footnote w:id="107">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Gwynne Hogan, </w:t>
      </w:r>
      <w:r w:rsidR="00DB4D86" w:rsidRPr="005E7442">
        <w:rPr>
          <w:rFonts w:asciiTheme="minorHAnsi" w:hAnsiTheme="minorHAnsi" w:cstheme="minorHAnsi"/>
        </w:rPr>
        <w:t xml:space="preserve">at note 74. </w:t>
      </w:r>
      <w:r w:rsidRPr="00A226BC">
        <w:rPr>
          <w:rFonts w:asciiTheme="minorHAnsi" w:hAnsiTheme="minorHAnsi" w:cstheme="minorHAnsi"/>
        </w:rPr>
        <w:t xml:space="preserve"> </w:t>
      </w:r>
    </w:p>
  </w:footnote>
  <w:footnote w:id="108">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Con Ed “Electric Long-Range Plan 2019-2038,” (January 2019), at 53.</w:t>
      </w:r>
    </w:p>
  </w:footnote>
  <w:footnote w:id="109">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PSC-Con Ed Rate Case, Exh. NYCEIP-2.</w:t>
      </w:r>
    </w:p>
  </w:footnote>
  <w:footnote w:id="110">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Draft CCVS ch. 2: Humidity, Temperature Variable, &amp; Load, at 4 (Exh. NYCEIP-2).</w:t>
      </w:r>
    </w:p>
  </w:footnote>
  <w:footnote w:id="111">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Draft CCVS ch. 2: Humidity, Temperature Variable, &amp; Load, at 6 (Exh. NYCEIP-2).</w:t>
      </w:r>
    </w:p>
  </w:footnote>
  <w:footnote w:id="112">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Draft CCVS ch. 2: Humidity, Temperature Variable, &amp; Load, at 17 (Exh. NYCEIP-2).  However, most of the company’s distribution capacity for Staten Island is overhead.  </w:t>
      </w:r>
      <w:r w:rsidRPr="00A226BC">
        <w:rPr>
          <w:rFonts w:asciiTheme="minorHAnsi" w:hAnsiTheme="minorHAnsi" w:cstheme="minorHAnsi"/>
          <w:i/>
        </w:rPr>
        <w:t>Id.</w:t>
      </w:r>
      <w:r w:rsidRPr="00A226BC">
        <w:rPr>
          <w:rFonts w:asciiTheme="minorHAnsi" w:hAnsiTheme="minorHAnsi" w:cstheme="minorHAnsi"/>
        </w:rPr>
        <w:t xml:space="preserve"> at n.9.</w:t>
      </w:r>
    </w:p>
  </w:footnote>
  <w:footnote w:id="113">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Draft CCVS ch. 2: Humidity, Temperature Variable, &amp; Load, at 20 (Exh. NYCEIP-2).</w:t>
      </w:r>
    </w:p>
  </w:footnote>
  <w:footnote w:id="114">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Draft CCVS ch. 2: Humidity, Temperature Variable, &amp; Load, at 42 (Exh. NYCEIP-2).</w:t>
      </w:r>
    </w:p>
  </w:footnote>
  <w:footnote w:id="115">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PSC-Con Ed Rate Case, Exh. NYCEIP-1, at p. 1 of 249.</w:t>
      </w:r>
    </w:p>
  </w:footnote>
  <w:footnote w:id="116">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PSC-Con Ed Rate Case, NYC Electric Infrastructure Panel Testimony, at 32.</w:t>
      </w:r>
    </w:p>
  </w:footnote>
  <w:footnote w:id="117">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PSC-Con Ed Rate Case, Exh. NYCEIP-1, at p. 96-98 of 249.</w:t>
      </w:r>
    </w:p>
  </w:footnote>
  <w:footnote w:id="118">
    <w:p w:rsidR="003F5EAB" w:rsidRPr="00A226BC" w:rsidRDefault="003F5EAB" w:rsidP="00942948">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w:t>
      </w:r>
      <w:r w:rsidR="00DB4D86" w:rsidRPr="005E7442">
        <w:rPr>
          <w:rFonts w:asciiTheme="minorHAnsi" w:hAnsiTheme="minorHAnsi" w:cstheme="minorHAnsi"/>
        </w:rPr>
        <w:t xml:space="preserve">Id. </w:t>
      </w:r>
    </w:p>
  </w:footnote>
  <w:footnote w:id="119">
    <w:p w:rsidR="003F5EAB" w:rsidRPr="00A226BC" w:rsidRDefault="003F5EAB">
      <w:pPr>
        <w:pStyle w:val="FootnoteText"/>
        <w:rPr>
          <w:rFonts w:asciiTheme="minorHAnsi" w:hAnsiTheme="minorHAnsi" w:cstheme="minorHAnsi"/>
        </w:rPr>
      </w:pPr>
      <w:r w:rsidRPr="00A226BC">
        <w:rPr>
          <w:rStyle w:val="FootnoteReference"/>
          <w:rFonts w:asciiTheme="minorHAnsi" w:hAnsiTheme="minorHAnsi" w:cstheme="minorHAnsi"/>
        </w:rPr>
        <w:footnoteRef/>
      </w:r>
      <w:r w:rsidRPr="00A226BC">
        <w:rPr>
          <w:rFonts w:asciiTheme="minorHAnsi" w:hAnsiTheme="minorHAnsi" w:cstheme="minorHAnsi"/>
        </w:rPr>
        <w:t xml:space="preserve"> </w:t>
      </w:r>
      <w:r w:rsidR="00DB4D86" w:rsidRPr="005E7442">
        <w:rPr>
          <w:rFonts w:asciiTheme="minorHAnsi" w:hAnsiTheme="minorHAnsi" w:cstheme="minorHAnsi"/>
        </w:rPr>
        <w:t xml:space="preserve">Id. </w:t>
      </w:r>
    </w:p>
  </w:footnote>
  <w:footnote w:id="120">
    <w:p w:rsidR="003F5EAB" w:rsidRPr="005E7442" w:rsidRDefault="003F5EAB">
      <w:pPr>
        <w:pStyle w:val="FootnoteText"/>
        <w:rPr>
          <w:rFonts w:asciiTheme="minorHAnsi" w:hAnsiTheme="minorHAnsi" w:cstheme="minorHAnsi"/>
        </w:rPr>
      </w:pPr>
      <w:r w:rsidRPr="005E7442">
        <w:rPr>
          <w:rStyle w:val="FootnoteReference"/>
          <w:rFonts w:asciiTheme="minorHAnsi" w:hAnsiTheme="minorHAnsi" w:cstheme="minorHAnsi"/>
        </w:rPr>
        <w:footnoteRef/>
      </w:r>
      <w:r w:rsidRPr="005E7442">
        <w:rPr>
          <w:rFonts w:asciiTheme="minorHAnsi" w:hAnsiTheme="minorHAnsi" w:cstheme="minorHAnsi"/>
        </w:rPr>
        <w:t xml:space="preserve"> Office of the Attorney General</w:t>
      </w:r>
      <w:r w:rsidR="00DB4D86" w:rsidRPr="005E7442">
        <w:rPr>
          <w:rFonts w:asciiTheme="minorHAnsi" w:hAnsiTheme="minorHAnsi" w:cstheme="minorHAnsi"/>
        </w:rPr>
        <w:t xml:space="preserve">, at note 45.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EAB" w:rsidRDefault="003F5E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24DA"/>
    <w:multiLevelType w:val="hybridMultilevel"/>
    <w:tmpl w:val="12A0D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F55ED8"/>
    <w:multiLevelType w:val="hybridMultilevel"/>
    <w:tmpl w:val="84A41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85562"/>
    <w:multiLevelType w:val="hybridMultilevel"/>
    <w:tmpl w:val="D0165EEC"/>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C54C5"/>
    <w:multiLevelType w:val="hybridMultilevel"/>
    <w:tmpl w:val="A3E4F4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8F3E4A"/>
    <w:multiLevelType w:val="hybridMultilevel"/>
    <w:tmpl w:val="3A5AD894"/>
    <w:lvl w:ilvl="0" w:tplc="3EFEF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773447"/>
    <w:multiLevelType w:val="hybridMultilevel"/>
    <w:tmpl w:val="13FCEF24"/>
    <w:lvl w:ilvl="0" w:tplc="017E7C5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D25F6D"/>
    <w:multiLevelType w:val="hybridMultilevel"/>
    <w:tmpl w:val="08643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783E94"/>
    <w:multiLevelType w:val="hybridMultilevel"/>
    <w:tmpl w:val="CE4A7F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EF4226"/>
    <w:multiLevelType w:val="hybridMultilevel"/>
    <w:tmpl w:val="C84810AE"/>
    <w:lvl w:ilvl="0" w:tplc="03D69BF6">
      <w:start w:val="3"/>
      <w:numFmt w:val="bullet"/>
      <w:lvlText w:val="-"/>
      <w:lvlJc w:val="left"/>
      <w:pPr>
        <w:ind w:left="144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8BB2B16"/>
    <w:multiLevelType w:val="hybridMultilevel"/>
    <w:tmpl w:val="D0FA80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187EA3"/>
    <w:multiLevelType w:val="hybridMultilevel"/>
    <w:tmpl w:val="FBF8140C"/>
    <w:lvl w:ilvl="0" w:tplc="0A304D2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670F7B"/>
    <w:multiLevelType w:val="hybridMultilevel"/>
    <w:tmpl w:val="C64CD4C0"/>
    <w:lvl w:ilvl="0" w:tplc="D2F0BC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1"/>
  </w:num>
  <w:num w:numId="4">
    <w:abstractNumId w:val="5"/>
  </w:num>
  <w:num w:numId="5">
    <w:abstractNumId w:val="10"/>
  </w:num>
  <w:num w:numId="6">
    <w:abstractNumId w:val="0"/>
  </w:num>
  <w:num w:numId="7">
    <w:abstractNumId w:val="8"/>
  </w:num>
  <w:num w:numId="8">
    <w:abstractNumId w:val="9"/>
  </w:num>
  <w:num w:numId="9">
    <w:abstractNumId w:val="4"/>
  </w:num>
  <w:num w:numId="10">
    <w:abstractNumId w:val="1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72"/>
    <w:rsid w:val="00002B32"/>
    <w:rsid w:val="00006504"/>
    <w:rsid w:val="00016094"/>
    <w:rsid w:val="000225BE"/>
    <w:rsid w:val="00023BB2"/>
    <w:rsid w:val="000443CD"/>
    <w:rsid w:val="00046584"/>
    <w:rsid w:val="00057C2C"/>
    <w:rsid w:val="000637DA"/>
    <w:rsid w:val="0007208E"/>
    <w:rsid w:val="00085504"/>
    <w:rsid w:val="000A3609"/>
    <w:rsid w:val="000A6390"/>
    <w:rsid w:val="000A6671"/>
    <w:rsid w:val="000B6A08"/>
    <w:rsid w:val="000C459C"/>
    <w:rsid w:val="000F3521"/>
    <w:rsid w:val="00100B1C"/>
    <w:rsid w:val="00104547"/>
    <w:rsid w:val="00106D51"/>
    <w:rsid w:val="001125EA"/>
    <w:rsid w:val="00123FE7"/>
    <w:rsid w:val="00126025"/>
    <w:rsid w:val="001348F5"/>
    <w:rsid w:val="0013724E"/>
    <w:rsid w:val="00137FF7"/>
    <w:rsid w:val="00142377"/>
    <w:rsid w:val="001543DA"/>
    <w:rsid w:val="001554AA"/>
    <w:rsid w:val="00157738"/>
    <w:rsid w:val="001762E0"/>
    <w:rsid w:val="0018020D"/>
    <w:rsid w:val="00197B22"/>
    <w:rsid w:val="001A422D"/>
    <w:rsid w:val="001A75E2"/>
    <w:rsid w:val="001B1834"/>
    <w:rsid w:val="001B4CCD"/>
    <w:rsid w:val="001B7E49"/>
    <w:rsid w:val="001C10A6"/>
    <w:rsid w:val="001D54B4"/>
    <w:rsid w:val="001D5D71"/>
    <w:rsid w:val="001E004E"/>
    <w:rsid w:val="001E00E4"/>
    <w:rsid w:val="001F024D"/>
    <w:rsid w:val="001F20B1"/>
    <w:rsid w:val="001F22DC"/>
    <w:rsid w:val="002139BA"/>
    <w:rsid w:val="00230726"/>
    <w:rsid w:val="0023373F"/>
    <w:rsid w:val="00240D61"/>
    <w:rsid w:val="00241B14"/>
    <w:rsid w:val="0024495B"/>
    <w:rsid w:val="002605B7"/>
    <w:rsid w:val="002665F3"/>
    <w:rsid w:val="00270ECC"/>
    <w:rsid w:val="00273046"/>
    <w:rsid w:val="00280F5E"/>
    <w:rsid w:val="0028484A"/>
    <w:rsid w:val="00285051"/>
    <w:rsid w:val="002A5412"/>
    <w:rsid w:val="002A54C2"/>
    <w:rsid w:val="002B0C14"/>
    <w:rsid w:val="002B0D28"/>
    <w:rsid w:val="002B5A25"/>
    <w:rsid w:val="002C1EDC"/>
    <w:rsid w:val="002C49B8"/>
    <w:rsid w:val="002D1BB7"/>
    <w:rsid w:val="002D6D27"/>
    <w:rsid w:val="002E23A4"/>
    <w:rsid w:val="002E5334"/>
    <w:rsid w:val="002F0A02"/>
    <w:rsid w:val="002F61C0"/>
    <w:rsid w:val="003177AD"/>
    <w:rsid w:val="00331752"/>
    <w:rsid w:val="00335D73"/>
    <w:rsid w:val="00336EA7"/>
    <w:rsid w:val="00351C52"/>
    <w:rsid w:val="00354E97"/>
    <w:rsid w:val="00360939"/>
    <w:rsid w:val="00361350"/>
    <w:rsid w:val="00365EBA"/>
    <w:rsid w:val="00390085"/>
    <w:rsid w:val="00392907"/>
    <w:rsid w:val="003B35DD"/>
    <w:rsid w:val="003B369A"/>
    <w:rsid w:val="003B6890"/>
    <w:rsid w:val="003C059A"/>
    <w:rsid w:val="003D1886"/>
    <w:rsid w:val="003F5EAB"/>
    <w:rsid w:val="00401FC9"/>
    <w:rsid w:val="00407CDF"/>
    <w:rsid w:val="0041163E"/>
    <w:rsid w:val="00423261"/>
    <w:rsid w:val="00425800"/>
    <w:rsid w:val="004304B0"/>
    <w:rsid w:val="0044012B"/>
    <w:rsid w:val="00440CF6"/>
    <w:rsid w:val="00441917"/>
    <w:rsid w:val="00460954"/>
    <w:rsid w:val="00462DB8"/>
    <w:rsid w:val="00471749"/>
    <w:rsid w:val="004738BC"/>
    <w:rsid w:val="00476BD4"/>
    <w:rsid w:val="00477126"/>
    <w:rsid w:val="00486055"/>
    <w:rsid w:val="004A06FC"/>
    <w:rsid w:val="004A1996"/>
    <w:rsid w:val="004A59F0"/>
    <w:rsid w:val="004B28EB"/>
    <w:rsid w:val="004B3BE8"/>
    <w:rsid w:val="004B4B0E"/>
    <w:rsid w:val="004B4C83"/>
    <w:rsid w:val="004C1A58"/>
    <w:rsid w:val="004C6005"/>
    <w:rsid w:val="004C66C3"/>
    <w:rsid w:val="004D7532"/>
    <w:rsid w:val="004E224B"/>
    <w:rsid w:val="004E2903"/>
    <w:rsid w:val="004F26CA"/>
    <w:rsid w:val="004F33BA"/>
    <w:rsid w:val="004F6EE6"/>
    <w:rsid w:val="005015BE"/>
    <w:rsid w:val="00504071"/>
    <w:rsid w:val="00523911"/>
    <w:rsid w:val="005242E9"/>
    <w:rsid w:val="00526607"/>
    <w:rsid w:val="00526F4B"/>
    <w:rsid w:val="005613C0"/>
    <w:rsid w:val="005A237D"/>
    <w:rsid w:val="005A56CC"/>
    <w:rsid w:val="005A6A19"/>
    <w:rsid w:val="005C019A"/>
    <w:rsid w:val="005C2BA5"/>
    <w:rsid w:val="005D3565"/>
    <w:rsid w:val="005E7442"/>
    <w:rsid w:val="00604AE7"/>
    <w:rsid w:val="00605997"/>
    <w:rsid w:val="00614121"/>
    <w:rsid w:val="006142EB"/>
    <w:rsid w:val="006146C2"/>
    <w:rsid w:val="00625F27"/>
    <w:rsid w:val="006341E8"/>
    <w:rsid w:val="00635E3D"/>
    <w:rsid w:val="00644A19"/>
    <w:rsid w:val="00647AB7"/>
    <w:rsid w:val="00652D4A"/>
    <w:rsid w:val="00655DE0"/>
    <w:rsid w:val="00662AE6"/>
    <w:rsid w:val="00674623"/>
    <w:rsid w:val="00674DC2"/>
    <w:rsid w:val="00681B3F"/>
    <w:rsid w:val="00685E83"/>
    <w:rsid w:val="006925E1"/>
    <w:rsid w:val="006A72C0"/>
    <w:rsid w:val="006B3074"/>
    <w:rsid w:val="006B4A1C"/>
    <w:rsid w:val="006B4A64"/>
    <w:rsid w:val="006C759C"/>
    <w:rsid w:val="006E2AE6"/>
    <w:rsid w:val="006E5EBD"/>
    <w:rsid w:val="006F4A8C"/>
    <w:rsid w:val="006F6FCD"/>
    <w:rsid w:val="007114D7"/>
    <w:rsid w:val="0072503B"/>
    <w:rsid w:val="00726999"/>
    <w:rsid w:val="0072782C"/>
    <w:rsid w:val="0073506B"/>
    <w:rsid w:val="00740E05"/>
    <w:rsid w:val="00744908"/>
    <w:rsid w:val="0075163B"/>
    <w:rsid w:val="00753D89"/>
    <w:rsid w:val="007658DE"/>
    <w:rsid w:val="007942B0"/>
    <w:rsid w:val="007942B9"/>
    <w:rsid w:val="0079635E"/>
    <w:rsid w:val="007B376A"/>
    <w:rsid w:val="007C34E8"/>
    <w:rsid w:val="007C5EE1"/>
    <w:rsid w:val="007C6C19"/>
    <w:rsid w:val="007D2009"/>
    <w:rsid w:val="007D41CF"/>
    <w:rsid w:val="007D7797"/>
    <w:rsid w:val="007D7C82"/>
    <w:rsid w:val="007E3EE9"/>
    <w:rsid w:val="007F236B"/>
    <w:rsid w:val="007F423B"/>
    <w:rsid w:val="007F5C1F"/>
    <w:rsid w:val="0085037A"/>
    <w:rsid w:val="0085395E"/>
    <w:rsid w:val="00854DB5"/>
    <w:rsid w:val="00872863"/>
    <w:rsid w:val="0087347D"/>
    <w:rsid w:val="00873F37"/>
    <w:rsid w:val="0088741F"/>
    <w:rsid w:val="008B4C71"/>
    <w:rsid w:val="008B6C20"/>
    <w:rsid w:val="008C304E"/>
    <w:rsid w:val="008C37EA"/>
    <w:rsid w:val="008C4D51"/>
    <w:rsid w:val="008D0709"/>
    <w:rsid w:val="008E5C8F"/>
    <w:rsid w:val="008E7403"/>
    <w:rsid w:val="008F1AC2"/>
    <w:rsid w:val="008F694D"/>
    <w:rsid w:val="009217B8"/>
    <w:rsid w:val="0092476D"/>
    <w:rsid w:val="0093170B"/>
    <w:rsid w:val="0093258C"/>
    <w:rsid w:val="00933F06"/>
    <w:rsid w:val="00935B39"/>
    <w:rsid w:val="00942948"/>
    <w:rsid w:val="009433FA"/>
    <w:rsid w:val="00947DE9"/>
    <w:rsid w:val="00947F2F"/>
    <w:rsid w:val="00962A53"/>
    <w:rsid w:val="00964892"/>
    <w:rsid w:val="00965130"/>
    <w:rsid w:val="00982AD9"/>
    <w:rsid w:val="009A3F37"/>
    <w:rsid w:val="009B062D"/>
    <w:rsid w:val="009C54DE"/>
    <w:rsid w:val="009D75AF"/>
    <w:rsid w:val="009D7CCA"/>
    <w:rsid w:val="009E10D7"/>
    <w:rsid w:val="009E6EFF"/>
    <w:rsid w:val="009E7421"/>
    <w:rsid w:val="009F414E"/>
    <w:rsid w:val="00A07199"/>
    <w:rsid w:val="00A14645"/>
    <w:rsid w:val="00A226BC"/>
    <w:rsid w:val="00A56D9C"/>
    <w:rsid w:val="00A60453"/>
    <w:rsid w:val="00A6179E"/>
    <w:rsid w:val="00A63AE9"/>
    <w:rsid w:val="00A745C9"/>
    <w:rsid w:val="00A76804"/>
    <w:rsid w:val="00A806DC"/>
    <w:rsid w:val="00A8318A"/>
    <w:rsid w:val="00A92C01"/>
    <w:rsid w:val="00A96C16"/>
    <w:rsid w:val="00AB08A1"/>
    <w:rsid w:val="00AB0C79"/>
    <w:rsid w:val="00AB5FC1"/>
    <w:rsid w:val="00AC3728"/>
    <w:rsid w:val="00AD249B"/>
    <w:rsid w:val="00AD3852"/>
    <w:rsid w:val="00AF1B52"/>
    <w:rsid w:val="00AF3781"/>
    <w:rsid w:val="00B037AD"/>
    <w:rsid w:val="00B0659D"/>
    <w:rsid w:val="00B142A8"/>
    <w:rsid w:val="00B17BB4"/>
    <w:rsid w:val="00B17C99"/>
    <w:rsid w:val="00B20201"/>
    <w:rsid w:val="00B2269C"/>
    <w:rsid w:val="00B2440E"/>
    <w:rsid w:val="00B253F4"/>
    <w:rsid w:val="00B3065A"/>
    <w:rsid w:val="00B430F3"/>
    <w:rsid w:val="00B47BC2"/>
    <w:rsid w:val="00B644F8"/>
    <w:rsid w:val="00B65193"/>
    <w:rsid w:val="00B66B5B"/>
    <w:rsid w:val="00B66E0D"/>
    <w:rsid w:val="00B7103C"/>
    <w:rsid w:val="00B74D14"/>
    <w:rsid w:val="00B77919"/>
    <w:rsid w:val="00BA135B"/>
    <w:rsid w:val="00BA1375"/>
    <w:rsid w:val="00BA457B"/>
    <w:rsid w:val="00BA6471"/>
    <w:rsid w:val="00BA737E"/>
    <w:rsid w:val="00BA779A"/>
    <w:rsid w:val="00BB2CB4"/>
    <w:rsid w:val="00BC2310"/>
    <w:rsid w:val="00BD2008"/>
    <w:rsid w:val="00BE28A3"/>
    <w:rsid w:val="00BE28A9"/>
    <w:rsid w:val="00BF06D3"/>
    <w:rsid w:val="00BF06F3"/>
    <w:rsid w:val="00C05F09"/>
    <w:rsid w:val="00C068BF"/>
    <w:rsid w:val="00C13CEE"/>
    <w:rsid w:val="00C30D34"/>
    <w:rsid w:val="00C31655"/>
    <w:rsid w:val="00C34BF9"/>
    <w:rsid w:val="00C437CD"/>
    <w:rsid w:val="00C4432F"/>
    <w:rsid w:val="00C52273"/>
    <w:rsid w:val="00C66A4F"/>
    <w:rsid w:val="00C82D98"/>
    <w:rsid w:val="00C93DDC"/>
    <w:rsid w:val="00CA2DC8"/>
    <w:rsid w:val="00CA4323"/>
    <w:rsid w:val="00CB1989"/>
    <w:rsid w:val="00CC6463"/>
    <w:rsid w:val="00CD3BE6"/>
    <w:rsid w:val="00CE3221"/>
    <w:rsid w:val="00CE3456"/>
    <w:rsid w:val="00CE5C03"/>
    <w:rsid w:val="00CE669F"/>
    <w:rsid w:val="00CE69F3"/>
    <w:rsid w:val="00CF19A6"/>
    <w:rsid w:val="00CF3977"/>
    <w:rsid w:val="00CF4CAA"/>
    <w:rsid w:val="00D14BCC"/>
    <w:rsid w:val="00D16D53"/>
    <w:rsid w:val="00D250A0"/>
    <w:rsid w:val="00D25319"/>
    <w:rsid w:val="00D32112"/>
    <w:rsid w:val="00D36EAF"/>
    <w:rsid w:val="00D52555"/>
    <w:rsid w:val="00D52DA1"/>
    <w:rsid w:val="00D64E6A"/>
    <w:rsid w:val="00D675D2"/>
    <w:rsid w:val="00D81D44"/>
    <w:rsid w:val="00D954FF"/>
    <w:rsid w:val="00DA2D87"/>
    <w:rsid w:val="00DA6489"/>
    <w:rsid w:val="00DA6819"/>
    <w:rsid w:val="00DB4D86"/>
    <w:rsid w:val="00DB7A0F"/>
    <w:rsid w:val="00DC199D"/>
    <w:rsid w:val="00DC34EA"/>
    <w:rsid w:val="00DC6BB0"/>
    <w:rsid w:val="00DD49BC"/>
    <w:rsid w:val="00DE0FB5"/>
    <w:rsid w:val="00DE3154"/>
    <w:rsid w:val="00DE5E0D"/>
    <w:rsid w:val="00DF57F6"/>
    <w:rsid w:val="00E005BD"/>
    <w:rsid w:val="00E040F1"/>
    <w:rsid w:val="00E07DFE"/>
    <w:rsid w:val="00E203DA"/>
    <w:rsid w:val="00E43472"/>
    <w:rsid w:val="00E451D9"/>
    <w:rsid w:val="00E5430C"/>
    <w:rsid w:val="00E574D6"/>
    <w:rsid w:val="00E62450"/>
    <w:rsid w:val="00E63C5E"/>
    <w:rsid w:val="00E64F47"/>
    <w:rsid w:val="00E66AF1"/>
    <w:rsid w:val="00E67423"/>
    <w:rsid w:val="00E67CFC"/>
    <w:rsid w:val="00E7007F"/>
    <w:rsid w:val="00E7274B"/>
    <w:rsid w:val="00E72BA5"/>
    <w:rsid w:val="00E765C5"/>
    <w:rsid w:val="00E778EB"/>
    <w:rsid w:val="00EA0BFC"/>
    <w:rsid w:val="00EA0FF8"/>
    <w:rsid w:val="00EB4205"/>
    <w:rsid w:val="00EC01AD"/>
    <w:rsid w:val="00EC1B72"/>
    <w:rsid w:val="00EC483B"/>
    <w:rsid w:val="00EF1B2A"/>
    <w:rsid w:val="00EF49DC"/>
    <w:rsid w:val="00F05150"/>
    <w:rsid w:val="00F05666"/>
    <w:rsid w:val="00F0615D"/>
    <w:rsid w:val="00F078D1"/>
    <w:rsid w:val="00F07E1B"/>
    <w:rsid w:val="00F2783F"/>
    <w:rsid w:val="00F31C27"/>
    <w:rsid w:val="00F413C2"/>
    <w:rsid w:val="00F418C6"/>
    <w:rsid w:val="00F54AD6"/>
    <w:rsid w:val="00F62B89"/>
    <w:rsid w:val="00F71211"/>
    <w:rsid w:val="00F85610"/>
    <w:rsid w:val="00F8674C"/>
    <w:rsid w:val="00FB1847"/>
    <w:rsid w:val="00FD5523"/>
    <w:rsid w:val="00FE7E43"/>
    <w:rsid w:val="00FF0B0E"/>
    <w:rsid w:val="00FF207B"/>
    <w:rsid w:val="00FF47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FEF3D8D-204E-4336-853D-89E6F0A45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8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06B"/>
    <w:pPr>
      <w:spacing w:after="0" w:line="240" w:lineRule="auto"/>
      <w:ind w:left="720"/>
      <w:contextualSpacing/>
    </w:pPr>
    <w:rPr>
      <w:sz w:val="24"/>
      <w:szCs w:val="24"/>
    </w:rPr>
  </w:style>
  <w:style w:type="paragraph" w:styleId="FootnoteText">
    <w:name w:val="footnote text"/>
    <w:aliases w:val="FT"/>
    <w:basedOn w:val="Normal"/>
    <w:link w:val="FootnoteTextChar"/>
    <w:unhideWhenUsed/>
    <w:rsid w:val="0073506B"/>
    <w:pPr>
      <w:spacing w:after="0"/>
    </w:pPr>
    <w:rPr>
      <w:rFonts w:ascii="Cambria" w:eastAsia="MS Mincho" w:hAnsi="Cambria" w:cs="Times New Roman"/>
      <w:sz w:val="20"/>
      <w:szCs w:val="20"/>
    </w:rPr>
  </w:style>
  <w:style w:type="character" w:customStyle="1" w:styleId="FootnoteTextChar">
    <w:name w:val="Footnote Text Char"/>
    <w:aliases w:val="FT Char"/>
    <w:basedOn w:val="DefaultParagraphFont"/>
    <w:link w:val="FootnoteText"/>
    <w:rsid w:val="0073506B"/>
    <w:rPr>
      <w:rFonts w:ascii="Cambria" w:eastAsia="MS Mincho" w:hAnsi="Cambria" w:cs="Times New Roman"/>
      <w:sz w:val="20"/>
      <w:szCs w:val="20"/>
    </w:rPr>
  </w:style>
  <w:style w:type="character" w:styleId="FootnoteReference">
    <w:name w:val="footnote reference"/>
    <w:basedOn w:val="DefaultParagraphFont"/>
    <w:uiPriority w:val="99"/>
    <w:unhideWhenUsed/>
    <w:rsid w:val="0073506B"/>
    <w:rPr>
      <w:vertAlign w:val="superscript"/>
    </w:rPr>
  </w:style>
  <w:style w:type="character" w:styleId="Hyperlink">
    <w:name w:val="Hyperlink"/>
    <w:basedOn w:val="DefaultParagraphFont"/>
    <w:uiPriority w:val="99"/>
    <w:unhideWhenUsed/>
    <w:rsid w:val="0073506B"/>
    <w:rPr>
      <w:color w:val="0563C1" w:themeColor="hyperlink"/>
      <w:u w:val="single"/>
    </w:rPr>
  </w:style>
  <w:style w:type="paragraph" w:styleId="NormalWeb">
    <w:name w:val="Normal (Web)"/>
    <w:basedOn w:val="Normal"/>
    <w:rsid w:val="0073506B"/>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73506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3506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73506B"/>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73506B"/>
    <w:rPr>
      <w:rFonts w:ascii="Calibri" w:eastAsia="Calibri" w:hAnsi="Calibri" w:cs="Times New Roman"/>
      <w:szCs w:val="21"/>
    </w:rPr>
  </w:style>
  <w:style w:type="paragraph" w:styleId="Header">
    <w:name w:val="header"/>
    <w:basedOn w:val="Normal"/>
    <w:link w:val="HeaderChar"/>
    <w:uiPriority w:val="99"/>
    <w:unhideWhenUsed/>
    <w:rsid w:val="00735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06B"/>
  </w:style>
  <w:style w:type="paragraph" w:styleId="Footer">
    <w:name w:val="footer"/>
    <w:basedOn w:val="Normal"/>
    <w:link w:val="FooterChar"/>
    <w:uiPriority w:val="99"/>
    <w:unhideWhenUsed/>
    <w:rsid w:val="00735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06B"/>
  </w:style>
  <w:style w:type="character" w:styleId="CommentReference">
    <w:name w:val="annotation reference"/>
    <w:basedOn w:val="DefaultParagraphFont"/>
    <w:uiPriority w:val="99"/>
    <w:semiHidden/>
    <w:unhideWhenUsed/>
    <w:rsid w:val="00AD3852"/>
    <w:rPr>
      <w:sz w:val="16"/>
      <w:szCs w:val="16"/>
    </w:rPr>
  </w:style>
  <w:style w:type="paragraph" w:styleId="CommentText">
    <w:name w:val="annotation text"/>
    <w:basedOn w:val="Normal"/>
    <w:link w:val="CommentTextChar"/>
    <w:uiPriority w:val="99"/>
    <w:unhideWhenUsed/>
    <w:rsid w:val="00AD3852"/>
    <w:pPr>
      <w:spacing w:line="240" w:lineRule="auto"/>
    </w:pPr>
    <w:rPr>
      <w:sz w:val="20"/>
      <w:szCs w:val="20"/>
    </w:rPr>
  </w:style>
  <w:style w:type="character" w:customStyle="1" w:styleId="CommentTextChar">
    <w:name w:val="Comment Text Char"/>
    <w:basedOn w:val="DefaultParagraphFont"/>
    <w:link w:val="CommentText"/>
    <w:uiPriority w:val="99"/>
    <w:rsid w:val="00AD3852"/>
    <w:rPr>
      <w:sz w:val="20"/>
      <w:szCs w:val="20"/>
    </w:rPr>
  </w:style>
  <w:style w:type="paragraph" w:styleId="BalloonText">
    <w:name w:val="Balloon Text"/>
    <w:basedOn w:val="Normal"/>
    <w:link w:val="BalloonTextChar"/>
    <w:uiPriority w:val="99"/>
    <w:semiHidden/>
    <w:unhideWhenUsed/>
    <w:rsid w:val="00AD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852"/>
    <w:rPr>
      <w:rFonts w:ascii="Segoe UI" w:hAnsi="Segoe UI" w:cs="Segoe UI"/>
      <w:sz w:val="18"/>
      <w:szCs w:val="18"/>
    </w:rPr>
  </w:style>
  <w:style w:type="character" w:styleId="FollowedHyperlink">
    <w:name w:val="FollowedHyperlink"/>
    <w:basedOn w:val="DefaultParagraphFont"/>
    <w:uiPriority w:val="99"/>
    <w:semiHidden/>
    <w:unhideWhenUsed/>
    <w:rsid w:val="000A6671"/>
    <w:rPr>
      <w:color w:val="954F72" w:themeColor="followedHyperlink"/>
      <w:u w:val="single"/>
    </w:rPr>
  </w:style>
  <w:style w:type="paragraph" w:styleId="CommentSubject">
    <w:name w:val="annotation subject"/>
    <w:basedOn w:val="CommentText"/>
    <w:next w:val="CommentText"/>
    <w:link w:val="CommentSubjectChar"/>
    <w:semiHidden/>
    <w:unhideWhenUsed/>
    <w:rsid w:val="00C34BF9"/>
    <w:rPr>
      <w:b/>
      <w:bCs/>
    </w:rPr>
  </w:style>
  <w:style w:type="character" w:customStyle="1" w:styleId="CommentSubjectChar">
    <w:name w:val="Comment Subject Char"/>
    <w:basedOn w:val="CommentTextChar"/>
    <w:link w:val="CommentSubject"/>
    <w:semiHidden/>
    <w:rsid w:val="00C34BF9"/>
    <w:rPr>
      <w:b/>
      <w:bCs/>
      <w:sz w:val="20"/>
      <w:szCs w:val="20"/>
    </w:rPr>
  </w:style>
  <w:style w:type="paragraph" w:styleId="Revision">
    <w:name w:val="Revision"/>
    <w:hidden/>
    <w:semiHidden/>
    <w:rsid w:val="007114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127860">
      <w:bodyDiv w:val="1"/>
      <w:marLeft w:val="0"/>
      <w:marRight w:val="0"/>
      <w:marTop w:val="0"/>
      <w:marBottom w:val="0"/>
      <w:divBdr>
        <w:top w:val="none" w:sz="0" w:space="0" w:color="auto"/>
        <w:left w:val="none" w:sz="0" w:space="0" w:color="auto"/>
        <w:bottom w:val="none" w:sz="0" w:space="0" w:color="auto"/>
        <w:right w:val="none" w:sz="0" w:space="0" w:color="auto"/>
      </w:divBdr>
    </w:div>
    <w:div w:id="873926205">
      <w:bodyDiv w:val="1"/>
      <w:marLeft w:val="0"/>
      <w:marRight w:val="0"/>
      <w:marTop w:val="0"/>
      <w:marBottom w:val="0"/>
      <w:divBdr>
        <w:top w:val="none" w:sz="0" w:space="0" w:color="auto"/>
        <w:left w:val="none" w:sz="0" w:space="0" w:color="auto"/>
        <w:bottom w:val="none" w:sz="0" w:space="0" w:color="auto"/>
        <w:right w:val="none" w:sz="0" w:space="0" w:color="auto"/>
      </w:divBdr>
    </w:div>
    <w:div w:id="977687654">
      <w:bodyDiv w:val="1"/>
      <w:marLeft w:val="0"/>
      <w:marRight w:val="0"/>
      <w:marTop w:val="0"/>
      <w:marBottom w:val="0"/>
      <w:divBdr>
        <w:top w:val="none" w:sz="0" w:space="0" w:color="auto"/>
        <w:left w:val="none" w:sz="0" w:space="0" w:color="auto"/>
        <w:bottom w:val="none" w:sz="0" w:space="0" w:color="auto"/>
        <w:right w:val="none" w:sz="0" w:space="0" w:color="auto"/>
      </w:divBdr>
    </w:div>
    <w:div w:id="1328825717">
      <w:bodyDiv w:val="1"/>
      <w:marLeft w:val="0"/>
      <w:marRight w:val="0"/>
      <w:marTop w:val="0"/>
      <w:marBottom w:val="0"/>
      <w:divBdr>
        <w:top w:val="none" w:sz="0" w:space="0" w:color="auto"/>
        <w:left w:val="none" w:sz="0" w:space="0" w:color="auto"/>
        <w:bottom w:val="none" w:sz="0" w:space="0" w:color="auto"/>
        <w:right w:val="none" w:sz="0" w:space="0" w:color="auto"/>
      </w:divBdr>
    </w:div>
    <w:div w:id="1739088300">
      <w:bodyDiv w:val="1"/>
      <w:marLeft w:val="0"/>
      <w:marRight w:val="0"/>
      <w:marTop w:val="0"/>
      <w:marBottom w:val="0"/>
      <w:divBdr>
        <w:top w:val="none" w:sz="0" w:space="0" w:color="auto"/>
        <w:left w:val="none" w:sz="0" w:space="0" w:color="auto"/>
        <w:bottom w:val="none" w:sz="0" w:space="0" w:color="auto"/>
        <w:right w:val="none" w:sz="0" w:space="0" w:color="auto"/>
      </w:divBdr>
    </w:div>
    <w:div w:id="188038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13" Type="http://schemas.openxmlformats.org/officeDocument/2006/relationships/hyperlink" Target="https://nypost.com/2019/07/21/10000-new-yorkers-lose-power-at-height-of-sunday-heat/" TargetMode="External"/><Relationship Id="rId18" Type="http://schemas.openxmlformats.org/officeDocument/2006/relationships/hyperlink" Target="https://bklyner.com/brooklyn-businesses-and-restaurants-impacted-by-blackout/" TargetMode="External"/><Relationship Id="rId26" Type="http://schemas.openxmlformats.org/officeDocument/2006/relationships/hyperlink" Target="https://www.nytimes.com/2019/07/22/nyregion/brooklyn-power-outage-nyc.html" TargetMode="External"/><Relationship Id="rId39" Type="http://schemas.openxmlformats.org/officeDocument/2006/relationships/hyperlink" Target="https://www.nytimes.com/2019/07/15/nyregion/nyc-blackout-con-edison.html" TargetMode="External"/><Relationship Id="rId21" Type="http://schemas.openxmlformats.org/officeDocument/2006/relationships/hyperlink" Target="https://www.coned.com/-/media/files/coned/documents/services-outages/claim-form/commercial/commercial-claim-form-english.pdf?la=en" TargetMode="External"/><Relationship Id="rId34" Type="http://schemas.openxmlformats.org/officeDocument/2006/relationships/hyperlink" Target="https://utilityproject.org/get-help/filing_complaints/" TargetMode="External"/><Relationship Id="rId42" Type="http://schemas.openxmlformats.org/officeDocument/2006/relationships/hyperlink" Target="http://documents.dps.ny.gov/public/Common/ViewDoc.aspx?DocRefId=%7B3CFA4A19-174E-4C2C-989B-EAEBA802AC8D%7D" TargetMode="External"/><Relationship Id="rId47" Type="http://schemas.openxmlformats.org/officeDocument/2006/relationships/hyperlink" Target="http://documents.dps.ny.gov/public/Common/ViewDoc.aspx?DocRefId=%7b9D8B94B8-7698-463B-AE0A-5B645CE6461F%7d" TargetMode="External"/><Relationship Id="rId50" Type="http://schemas.openxmlformats.org/officeDocument/2006/relationships/hyperlink" Target="https://www.marketwatch.com/story/heres-how-all-the-dividend-aristocrat-stocks-have-performed-this-year-2019-07-25" TargetMode="External"/><Relationship Id="rId55" Type="http://schemas.openxmlformats.org/officeDocument/2006/relationships/hyperlink" Target="https://www.washingtonpost.com/graphics/2019/national/climate-environment/climate-change-america/" TargetMode="External"/><Relationship Id="rId7" Type="http://schemas.openxmlformats.org/officeDocument/2006/relationships/hyperlink" Target="https://gothamist.com/2019/07/17/staten_island_power_outage.php" TargetMode="External"/><Relationship Id="rId2" Type="http://schemas.openxmlformats.org/officeDocument/2006/relationships/hyperlink" Target="https://www.nytimes.com/2019/07/14/nyregion/1977-blackout-photos.html?action=click&amp;module=RelatedCoverage&amp;pgtype=Article&amp;region=Footer" TargetMode="External"/><Relationship Id="rId16" Type="http://schemas.openxmlformats.org/officeDocument/2006/relationships/hyperlink" Target="https://www.nydailynews.com/new-york/ny-con-ed-blackout-20190729-3gz77uowqvdpnnn6ijdbyzdetq-story.html" TargetMode="External"/><Relationship Id="rId29" Type="http://schemas.openxmlformats.org/officeDocument/2006/relationships/hyperlink" Target="https://www.nytimes.com/interactive/2017/02/10/nyregion/how-new-york-city-gets-its-electricity-power-grid.html" TargetMode="External"/><Relationship Id="rId11" Type="http://schemas.openxmlformats.org/officeDocument/2006/relationships/hyperlink" Target="https://time.com/5628121/united-states-heat-wave-july/" TargetMode="External"/><Relationship Id="rId24" Type="http://schemas.openxmlformats.org/officeDocument/2006/relationships/hyperlink" Target="https://www.coned.com/en/about-us/media-center/news/20190729/con-edison-statement" TargetMode="External"/><Relationship Id="rId32" Type="http://schemas.openxmlformats.org/officeDocument/2006/relationships/hyperlink" Target="https://www.coned.com/en/about-us/corporate-facts" TargetMode="External"/><Relationship Id="rId37" Type="http://schemas.openxmlformats.org/officeDocument/2006/relationships/hyperlink" Target="http://documents.dps.ny.gov/public/Common/ViewDoc.aspx?DocRefId=%7B74D61DEC-A052-4433-A4C3-27D863DFF53A%7D" TargetMode="External"/><Relationship Id="rId40" Type="http://schemas.openxmlformats.org/officeDocument/2006/relationships/hyperlink" Target="http://documents.dps.ny.gov/public/Common/ViewDoc.aspx?DocRefId=%7b1BA71027-19F1-4DB4-8F83-F8629C717721%7d" TargetMode="External"/><Relationship Id="rId45" Type="http://schemas.openxmlformats.org/officeDocument/2006/relationships/hyperlink" Target="https://gothamist.com/2019/07/24/con_ed_heat_wave_plan_years_late.php" TargetMode="External"/><Relationship Id="rId53" Type="http://schemas.openxmlformats.org/officeDocument/2006/relationships/hyperlink" Target="http://documents.dps.ny.gov/public/Common/ViewDoc.aspx?DocRefId=%7bC482767B-7381-4F62-B92C-CBF8374AA424%7d" TargetMode="External"/><Relationship Id="rId58" Type="http://schemas.openxmlformats.org/officeDocument/2006/relationships/hyperlink" Target="https://nyaspubs.onlinelibrary.wiley.com/doi/epdf/10.1111/nyas.14011" TargetMode="External"/><Relationship Id="rId5" Type="http://schemas.openxmlformats.org/officeDocument/2006/relationships/hyperlink" Target="https://www.coned.com/en/about-us/media-center/news/20190729/con-edison-statement" TargetMode="External"/><Relationship Id="rId61" Type="http://schemas.openxmlformats.org/officeDocument/2006/relationships/hyperlink" Target="https://insideclimatenews.org/news/20140312/ny-regulator-con-ed-embrace-plan-climate-proof-power-grid" TargetMode="External"/><Relationship Id="rId19" Type="http://schemas.openxmlformats.org/officeDocument/2006/relationships/hyperlink" Target="https://www.foodcoop.com/wp-content/uploads/2019/08/19-8-15-pgs-1-12.pdf" TargetMode="External"/><Relationship Id="rId14" Type="http://schemas.openxmlformats.org/officeDocument/2006/relationships/hyperlink" Target="https://nypost.com/2019/07/21/con-ed-taking-30k-people-off-power-for-repairs-says-de-blasio/" TargetMode="External"/><Relationship Id="rId22" Type="http://schemas.openxmlformats.org/officeDocument/2006/relationships/hyperlink" Target="https://www.foodsafety.gov/food-safety-charts/food-safety-during-power-outage" TargetMode="External"/><Relationship Id="rId27" Type="http://schemas.openxmlformats.org/officeDocument/2006/relationships/hyperlink" Target="https://www.coned.com/en/about-us/media-center/news/20190722/con-edison-statement" TargetMode="External"/><Relationship Id="rId30" Type="http://schemas.openxmlformats.org/officeDocument/2006/relationships/hyperlink" Target="https://www.bloomberg.com/news/articles/2019-07-19/a-week-after-manhattan-went-dark-con-edison-faces-a-heat-wave" TargetMode="External"/><Relationship Id="rId35" Type="http://schemas.openxmlformats.org/officeDocument/2006/relationships/hyperlink" Target="https://www3.dps.ny.gov/W/PSCWeb.nsf/All/364D0704BEEC5B7D85257856006C56B3?OpenDocument" TargetMode="External"/><Relationship Id="rId43" Type="http://schemas.openxmlformats.org/officeDocument/2006/relationships/hyperlink" Target="http://documents.dps.ny.gov/public/Common/ViewDoc.aspx?DocRefId=%7b1A1D7267-D2A8-4C5C-966C-892A67646B09%7d" TargetMode="External"/><Relationship Id="rId48" Type="http://schemas.openxmlformats.org/officeDocument/2006/relationships/hyperlink" Target="https://www.bls.gov/regions/new-york-new-jersey/news-release/averageenergyprices_newyorkarea.htm" TargetMode="External"/><Relationship Id="rId56"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8" Type="http://schemas.openxmlformats.org/officeDocument/2006/relationships/hyperlink" Target="https://www.silive.com/news/2019/07/oakwood-new-dorp-outage-leaves-over-3000-without-power.html" TargetMode="External"/><Relationship Id="rId51" Type="http://schemas.openxmlformats.org/officeDocument/2006/relationships/hyperlink" Target="https://www.newsmax.com/finance/benreynolds/consolidated-edison-dividend-aristocrat/2019/01/08/id/897378/" TargetMode="External"/><Relationship Id="rId3" Type="http://schemas.openxmlformats.org/officeDocument/2006/relationships/hyperlink" Target="https://www.cnbc.com/2019/07/13/massive-outages-leave-27000-coned-customers-without-power-in-new-york-city.html" TargetMode="External"/><Relationship Id="rId12" Type="http://schemas.openxmlformats.org/officeDocument/2006/relationships/hyperlink" Target="https://www.cbsnews.com/live-news/heat-wave-2019-extreme-heat-advisory-warning-deaths-latest-weather-forecast-us-nyc-2019-07-20/" TargetMode="External"/><Relationship Id="rId17" Type="http://schemas.openxmlformats.org/officeDocument/2006/relationships/hyperlink" Target="https://ny.eater.com/2019/7/23/20706978/nyc-blackout-power-outage-pure-thai-gloria-restaurants" TargetMode="External"/><Relationship Id="rId25" Type="http://schemas.openxmlformats.org/officeDocument/2006/relationships/hyperlink" Target="https://www.silive.com/news/2019/07/con-ed-is-ready-for-nyc-heat-wave-that-will-rival-top-weekend-demand-for-electricity.html" TargetMode="External"/><Relationship Id="rId33" Type="http://schemas.openxmlformats.org/officeDocument/2006/relationships/hyperlink" Target="http://www3.dps.ny.gov/W/PSCWeb.nsf/All/553FBA3F3EEF7FBD85257687006F3A6D?OpenDocument" TargetMode="External"/><Relationship Id="rId38" Type="http://schemas.openxmlformats.org/officeDocument/2006/relationships/hyperlink" Target="http://documents.dps.ny.gov/public/Common/ViewDoc.aspx?DocRefId=%7b1A1D7267-D2A8-4C5C-966C-892A67646B09%7d" TargetMode="External"/><Relationship Id="rId46" Type="http://schemas.openxmlformats.org/officeDocument/2006/relationships/hyperlink" Target="http://documents.dps.ny.gov/public/Common/ViewDoc.aspx?DocRefId=%7bE7DE36F2-BDD0-48F9-A97A-5561CD5CAD4C%7d" TargetMode="External"/><Relationship Id="rId59" Type="http://schemas.openxmlformats.org/officeDocument/2006/relationships/hyperlink" Target="http://publications.jrc.ec.europa.eu/repository/bitstream/JRC108842/jrc108842kjna28844enn.pdf" TargetMode="External"/><Relationship Id="rId20" Type="http://schemas.openxmlformats.org/officeDocument/2006/relationships/hyperlink" Target="https://www.coned.com/-/media/files/coned/documents/services-outages/claim-form/residential/residential_claim_form-2017_en.pdf?la=en" TargetMode="External"/><Relationship Id="rId41" Type="http://schemas.openxmlformats.org/officeDocument/2006/relationships/hyperlink" Target="http://documents.dps.ny.gov/public/Common/ViewDoc.aspx?DocRefId=%7B4A0055C7-E6A1-4F79-BDFF-C1DC268B0513%7D" TargetMode="External"/><Relationship Id="rId54" Type="http://schemas.openxmlformats.org/officeDocument/2006/relationships/hyperlink" Target="https://www.washingtonpost.com/climate-environment/2019/08/05/heres-how-hottest-month-recorded-history-unfolded-around-globe/" TargetMode="External"/><Relationship Id="rId62" Type="http://schemas.openxmlformats.org/officeDocument/2006/relationships/hyperlink" Target="https://news.usa.siemens.biz/press-release/energy-management/con-edison-strengthens-storm-hardening-efforts-siemens-mobile-substa" TargetMode="External"/><Relationship Id="rId1" Type="http://schemas.openxmlformats.org/officeDocument/2006/relationships/hyperlink" Target="https://www.nytimes.com/2019/07/13/nyregion/nyc-power-outage.html" TargetMode="External"/><Relationship Id="rId6" Type="http://schemas.openxmlformats.org/officeDocument/2006/relationships/hyperlink" Target="https://www.silive.com/news/2019/07/west-brighton-outage-leaves-over-1300-without-power.html" TargetMode="External"/><Relationship Id="rId15" Type="http://schemas.openxmlformats.org/officeDocument/2006/relationships/hyperlink" Target="https://www.amny.com/news/con-edison-brooklyn-power-1.34149747" TargetMode="External"/><Relationship Id="rId23" Type="http://schemas.openxmlformats.org/officeDocument/2006/relationships/hyperlink" Target="https://www.fsis.usda.gov/wps/portal/fsis/topics/food-safety-education/get-answers/food-safety-fact-sheets/emergency-preparedness/keeping-food-safe-during-an-emergency/CT_Index" TargetMode="External"/><Relationship Id="rId28" Type="http://schemas.openxmlformats.org/officeDocument/2006/relationships/hyperlink" Target="https://www.conedison.com/en/about-us/our-businesses" TargetMode="External"/><Relationship Id="rId36" Type="http://schemas.openxmlformats.org/officeDocument/2006/relationships/hyperlink" Target="https://www.amny.com/news/blackouts-nyc-1.33881190" TargetMode="External"/><Relationship Id="rId49" Type="http://schemas.openxmlformats.org/officeDocument/2006/relationships/hyperlink" Target="https://www.globenewswire.com/news-release/2019/01/17/1701692/0/en/Con-Edison-Declares-Common-Stock-Dividend.html" TargetMode="External"/><Relationship Id="rId57" Type="http://schemas.openxmlformats.org/officeDocument/2006/relationships/hyperlink" Target="https://www1.nyc.gov/assets/orr/pdf/Cool_Neighborhoods_NYC_Report_FINAL.pdf" TargetMode="External"/><Relationship Id="rId10" Type="http://schemas.openxmlformats.org/officeDocument/2006/relationships/hyperlink" Target="https://abc7ny.com/5403170/?ex_cid=TA_WABC_TW&amp;utm_campaign=trueAnthem:+New+Content+(Feed)&amp;utm_content=5d303c20ca1d050001065b46&amp;utm_medium=trueAnthem&amp;utm_source=twitter" TargetMode="External"/><Relationship Id="rId31" Type="http://schemas.openxmlformats.org/officeDocument/2006/relationships/hyperlink" Target="https://www.ag.ny.gov/sites/default/files/press-releases/archived/coned.pdf" TargetMode="External"/><Relationship Id="rId44" Type="http://schemas.openxmlformats.org/officeDocument/2006/relationships/hyperlink" Target="http://documents.dps.ny.gov/public/Common/ViewDoc.aspx?DocRefId=%7b8DAF594C-2273-4A06-99B2-868F7C86D949%7d" TargetMode="External"/><Relationship Id="rId52" Type="http://schemas.openxmlformats.org/officeDocument/2006/relationships/hyperlink" Target="http://documents.dps.ny.gov/public/Common/ViewDoc.aspx?DocRefId=%7b3CB2AB7C-BE60-4178-A121-5AF4153998B3%7d" TargetMode="External"/><Relationship Id="rId60" Type="http://schemas.openxmlformats.org/officeDocument/2006/relationships/hyperlink" Target="https://utilitystormmanagement.moreland.ny.gov/sites/default/files/MACfinalreportjune22.pdf" TargetMode="External"/><Relationship Id="rId4" Type="http://schemas.openxmlformats.org/officeDocument/2006/relationships/hyperlink" Target="https://abc7ny.com/major-power-outage-reported-in-manhattan/5393772/" TargetMode="External"/><Relationship Id="rId9" Type="http://schemas.openxmlformats.org/officeDocument/2006/relationships/hyperlink" Target="https://gothamist.com/2019/07/18/power_outages_nyc.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F6422-D43F-4BCB-981A-A9D62DBEB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5501</Words>
  <Characters>31357</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DelFranco, Ruthie</cp:lastModifiedBy>
  <cp:revision>2</cp:revision>
  <cp:lastPrinted>2019-09-03T17:32:00Z</cp:lastPrinted>
  <dcterms:created xsi:type="dcterms:W3CDTF">2019-09-04T13:35:00Z</dcterms:created>
  <dcterms:modified xsi:type="dcterms:W3CDTF">2019-09-04T13:35:00Z</dcterms:modified>
</cp:coreProperties>
</file>