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B7" w:rsidRPr="00F046B7" w:rsidRDefault="00F046B7" w:rsidP="00F046B7">
      <w:pPr>
        <w:spacing w:after="0" w:line="240" w:lineRule="auto"/>
        <w:jc w:val="right"/>
        <w:rPr>
          <w:rFonts w:ascii="Times New Roman" w:hAnsi="Times New Roman"/>
          <w:sz w:val="24"/>
          <w:szCs w:val="24"/>
          <w:u w:val="single"/>
        </w:rPr>
      </w:pPr>
      <w:bookmarkStart w:id="0" w:name="_GoBack"/>
      <w:bookmarkEnd w:id="0"/>
      <w:r w:rsidRPr="00F046B7">
        <w:rPr>
          <w:rFonts w:ascii="Times New Roman" w:hAnsi="Times New Roman"/>
          <w:sz w:val="24"/>
          <w:szCs w:val="24"/>
          <w:u w:val="single"/>
        </w:rPr>
        <w:t>Committee on Public Housing</w:t>
      </w:r>
    </w:p>
    <w:p w:rsidR="00F046B7" w:rsidRPr="00F046B7" w:rsidRDefault="00F046B7" w:rsidP="00F046B7">
      <w:pPr>
        <w:spacing w:after="0" w:line="240" w:lineRule="auto"/>
        <w:jc w:val="right"/>
        <w:rPr>
          <w:rFonts w:ascii="Times New Roman" w:hAnsi="Times New Roman"/>
          <w:sz w:val="24"/>
          <w:szCs w:val="24"/>
        </w:rPr>
      </w:pPr>
      <w:r w:rsidRPr="00F046B7">
        <w:rPr>
          <w:rFonts w:ascii="Times New Roman" w:hAnsi="Times New Roman"/>
          <w:sz w:val="24"/>
          <w:szCs w:val="24"/>
        </w:rPr>
        <w:t>Madiba Dennie, Legislative Counsel</w:t>
      </w:r>
    </w:p>
    <w:p w:rsidR="00F046B7" w:rsidRPr="00F046B7" w:rsidRDefault="00F046B7" w:rsidP="00F046B7">
      <w:pPr>
        <w:spacing w:after="0" w:line="240" w:lineRule="auto"/>
        <w:jc w:val="right"/>
        <w:rPr>
          <w:rFonts w:ascii="Times New Roman" w:hAnsi="Times New Roman"/>
          <w:sz w:val="24"/>
          <w:szCs w:val="24"/>
        </w:rPr>
      </w:pPr>
      <w:r w:rsidRPr="00F046B7">
        <w:rPr>
          <w:rFonts w:ascii="Times New Roman" w:hAnsi="Times New Roman"/>
          <w:sz w:val="24"/>
          <w:szCs w:val="24"/>
        </w:rPr>
        <w:t>Jose Conde, Senior Legislative Policy Analyst</w:t>
      </w:r>
    </w:p>
    <w:p w:rsidR="00F046B7" w:rsidRPr="00F046B7" w:rsidRDefault="00F046B7" w:rsidP="00F046B7">
      <w:pPr>
        <w:spacing w:after="0" w:line="240" w:lineRule="auto"/>
        <w:jc w:val="right"/>
        <w:rPr>
          <w:rFonts w:ascii="Times New Roman" w:hAnsi="Times New Roman"/>
          <w:sz w:val="24"/>
          <w:szCs w:val="24"/>
        </w:rPr>
      </w:pPr>
      <w:r w:rsidRPr="00F046B7">
        <w:rPr>
          <w:rFonts w:ascii="Times New Roman" w:hAnsi="Times New Roman"/>
          <w:sz w:val="24"/>
          <w:szCs w:val="24"/>
        </w:rPr>
        <w:t>Ricky Chawla, Legislative Policy Analyst</w:t>
      </w:r>
    </w:p>
    <w:p w:rsidR="00F046B7" w:rsidRPr="00F046B7" w:rsidRDefault="00F046B7" w:rsidP="00F046B7">
      <w:pPr>
        <w:spacing w:after="0" w:line="240" w:lineRule="auto"/>
        <w:jc w:val="right"/>
        <w:rPr>
          <w:rFonts w:ascii="Times New Roman" w:hAnsi="Times New Roman"/>
          <w:sz w:val="24"/>
          <w:szCs w:val="24"/>
        </w:rPr>
      </w:pPr>
      <w:r w:rsidRPr="00F046B7">
        <w:rPr>
          <w:rFonts w:ascii="Times New Roman" w:hAnsi="Times New Roman"/>
          <w:sz w:val="24"/>
          <w:szCs w:val="24"/>
        </w:rPr>
        <w:t>Sarah Gastelum, Principal Financial Analyst</w:t>
      </w:r>
    </w:p>
    <w:p w:rsidR="00BD418B" w:rsidRPr="0052414E" w:rsidRDefault="00BD418B" w:rsidP="00A07857">
      <w:pPr>
        <w:spacing w:after="0" w:line="240" w:lineRule="auto"/>
        <w:ind w:left="-720"/>
        <w:jc w:val="right"/>
        <w:rPr>
          <w:rFonts w:ascii="Times New Roman" w:eastAsia="Times New Roman" w:hAnsi="Times New Roman"/>
          <w:sz w:val="24"/>
          <w:szCs w:val="24"/>
        </w:rPr>
      </w:pPr>
    </w:p>
    <w:p w:rsidR="00BD418B" w:rsidRPr="0052414E" w:rsidRDefault="00BD418B" w:rsidP="00A07857">
      <w:pPr>
        <w:spacing w:after="0" w:line="240" w:lineRule="auto"/>
        <w:ind w:left="-720"/>
        <w:jc w:val="right"/>
        <w:rPr>
          <w:rFonts w:ascii="Times New Roman" w:eastAsia="Times New Roman" w:hAnsi="Times New Roman"/>
          <w:sz w:val="24"/>
          <w:szCs w:val="24"/>
          <w:u w:val="single"/>
        </w:rPr>
      </w:pPr>
      <w:r w:rsidRPr="0052414E">
        <w:rPr>
          <w:rFonts w:ascii="Times New Roman" w:eastAsia="Times New Roman" w:hAnsi="Times New Roman"/>
          <w:sz w:val="24"/>
          <w:szCs w:val="24"/>
          <w:u w:val="single"/>
        </w:rPr>
        <w:t xml:space="preserve">Committee on </w:t>
      </w:r>
      <w:r w:rsidR="00D759A5" w:rsidRPr="0052414E">
        <w:rPr>
          <w:rFonts w:ascii="Times New Roman" w:eastAsia="Times New Roman" w:hAnsi="Times New Roman"/>
          <w:sz w:val="24"/>
          <w:szCs w:val="24"/>
          <w:u w:val="single"/>
        </w:rPr>
        <w:t>Mental Health, Disabilities and Addiction</w:t>
      </w:r>
    </w:p>
    <w:p w:rsidR="00BD418B" w:rsidRPr="0052414E" w:rsidRDefault="000434F6" w:rsidP="00A07857">
      <w:pPr>
        <w:spacing w:after="0" w:line="240" w:lineRule="auto"/>
        <w:ind w:left="-720"/>
        <w:jc w:val="right"/>
        <w:rPr>
          <w:rFonts w:ascii="Times New Roman" w:eastAsia="Times New Roman" w:hAnsi="Times New Roman"/>
          <w:sz w:val="24"/>
          <w:szCs w:val="24"/>
        </w:rPr>
      </w:pPr>
      <w:r w:rsidRPr="0052414E">
        <w:rPr>
          <w:rFonts w:ascii="Times New Roman" w:eastAsia="Times New Roman" w:hAnsi="Times New Roman"/>
          <w:sz w:val="24"/>
          <w:szCs w:val="24"/>
        </w:rPr>
        <w:t>Sara Liss</w:t>
      </w:r>
      <w:r w:rsidR="00BD418B" w:rsidRPr="0052414E">
        <w:rPr>
          <w:rFonts w:ascii="Times New Roman" w:eastAsia="Times New Roman" w:hAnsi="Times New Roman"/>
          <w:sz w:val="24"/>
          <w:szCs w:val="24"/>
        </w:rPr>
        <w:t>, Counsel</w:t>
      </w:r>
    </w:p>
    <w:p w:rsidR="00E2231C" w:rsidRDefault="000434F6" w:rsidP="00A07857">
      <w:pPr>
        <w:spacing w:after="0" w:line="240" w:lineRule="auto"/>
        <w:ind w:left="-720"/>
        <w:jc w:val="right"/>
        <w:rPr>
          <w:rFonts w:ascii="Times New Roman" w:eastAsia="Times New Roman" w:hAnsi="Times New Roman"/>
          <w:sz w:val="24"/>
          <w:szCs w:val="24"/>
        </w:rPr>
      </w:pPr>
      <w:r w:rsidRPr="0052414E">
        <w:rPr>
          <w:rFonts w:ascii="Times New Roman" w:eastAsia="Times New Roman" w:hAnsi="Times New Roman"/>
          <w:sz w:val="24"/>
          <w:szCs w:val="24"/>
        </w:rPr>
        <w:t>Cristy Dwyer</w:t>
      </w:r>
      <w:r w:rsidR="00E2231C" w:rsidRPr="0052414E">
        <w:rPr>
          <w:rFonts w:ascii="Times New Roman" w:eastAsia="Times New Roman" w:hAnsi="Times New Roman"/>
          <w:sz w:val="24"/>
          <w:szCs w:val="24"/>
        </w:rPr>
        <w:t>, Policy Analyst</w:t>
      </w:r>
    </w:p>
    <w:p w:rsidR="00CD6DC0" w:rsidRPr="0052414E" w:rsidRDefault="00CD6DC0" w:rsidP="00A07857">
      <w:pPr>
        <w:spacing w:after="0" w:line="240" w:lineRule="auto"/>
        <w:ind w:left="-720"/>
        <w:jc w:val="right"/>
        <w:rPr>
          <w:rFonts w:ascii="Times New Roman" w:eastAsia="Times New Roman" w:hAnsi="Times New Roman"/>
          <w:sz w:val="24"/>
          <w:szCs w:val="24"/>
        </w:rPr>
      </w:pPr>
      <w:r>
        <w:rPr>
          <w:rFonts w:ascii="Times New Roman" w:eastAsia="Times New Roman" w:hAnsi="Times New Roman"/>
          <w:sz w:val="24"/>
          <w:szCs w:val="24"/>
        </w:rPr>
        <w:t>Lauren Hunt, Finance Analyst</w:t>
      </w:r>
    </w:p>
    <w:p w:rsidR="00BD418B" w:rsidRPr="0052414E" w:rsidRDefault="00BD418B" w:rsidP="00A07857">
      <w:pPr>
        <w:spacing w:after="0" w:line="240" w:lineRule="auto"/>
        <w:ind w:left="-720"/>
        <w:jc w:val="right"/>
        <w:rPr>
          <w:rFonts w:ascii="Times New Roman" w:eastAsia="Times New Roman" w:hAnsi="Times New Roman"/>
          <w:sz w:val="24"/>
          <w:szCs w:val="24"/>
        </w:rPr>
      </w:pPr>
    </w:p>
    <w:p w:rsidR="00BD418B" w:rsidRPr="0052414E" w:rsidRDefault="000D3C96" w:rsidP="00A07857">
      <w:pPr>
        <w:spacing w:after="0" w:line="480" w:lineRule="auto"/>
        <w:ind w:left="-720"/>
        <w:jc w:val="both"/>
        <w:rPr>
          <w:rFonts w:ascii="Times New Roman" w:eastAsia="Times New Roman" w:hAnsi="Times New Roman"/>
          <w:b/>
          <w:bCs/>
          <w:sz w:val="24"/>
          <w:szCs w:val="24"/>
        </w:rPr>
      </w:pPr>
      <w:r w:rsidRPr="0052414E">
        <w:rPr>
          <w:rFonts w:ascii="Times New Roman" w:hAnsi="Times New Roman"/>
          <w:noProof/>
          <w:sz w:val="24"/>
          <w:szCs w:val="24"/>
        </w:rPr>
        <w:drawing>
          <wp:anchor distT="0" distB="0" distL="114300" distR="114300" simplePos="0" relativeHeight="251657728" behindDoc="0" locked="0" layoutInCell="0" allowOverlap="1">
            <wp:simplePos x="0" y="0"/>
            <wp:positionH relativeFrom="column">
              <wp:posOffset>2238375</wp:posOffset>
            </wp:positionH>
            <wp:positionV relativeFrom="paragraph">
              <wp:posOffset>184785</wp:posOffset>
            </wp:positionV>
            <wp:extent cx="1092200" cy="10191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220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418B" w:rsidRPr="0052414E" w:rsidRDefault="00BD418B" w:rsidP="00A07857">
      <w:pPr>
        <w:spacing w:after="0" w:line="480" w:lineRule="auto"/>
        <w:ind w:left="-720"/>
        <w:jc w:val="both"/>
        <w:rPr>
          <w:rFonts w:ascii="Times New Roman" w:eastAsia="Times New Roman" w:hAnsi="Times New Roman"/>
          <w:b/>
          <w:bCs/>
          <w:sz w:val="24"/>
          <w:szCs w:val="24"/>
        </w:rPr>
      </w:pPr>
    </w:p>
    <w:p w:rsidR="00BD418B" w:rsidRPr="0052414E" w:rsidRDefault="00BD418B" w:rsidP="00A07857">
      <w:pPr>
        <w:spacing w:after="0" w:line="480" w:lineRule="auto"/>
        <w:ind w:left="-720"/>
        <w:jc w:val="both"/>
        <w:rPr>
          <w:rFonts w:ascii="Times New Roman" w:eastAsia="Times New Roman" w:hAnsi="Times New Roman"/>
          <w:b/>
          <w:bCs/>
          <w:sz w:val="24"/>
          <w:szCs w:val="24"/>
        </w:rPr>
      </w:pPr>
    </w:p>
    <w:p w:rsidR="00BD418B" w:rsidRPr="0052414E" w:rsidRDefault="00BD418B" w:rsidP="00A07857">
      <w:pPr>
        <w:spacing w:after="0" w:line="480" w:lineRule="auto"/>
        <w:ind w:left="-720"/>
        <w:jc w:val="both"/>
        <w:rPr>
          <w:rFonts w:ascii="Times New Roman" w:eastAsia="Times New Roman" w:hAnsi="Times New Roman"/>
          <w:b/>
          <w:bCs/>
          <w:sz w:val="24"/>
          <w:szCs w:val="24"/>
        </w:rPr>
      </w:pPr>
    </w:p>
    <w:p w:rsidR="00BD418B" w:rsidRPr="0052414E" w:rsidRDefault="00BD418B" w:rsidP="00A07857">
      <w:pPr>
        <w:spacing w:after="0" w:line="480" w:lineRule="auto"/>
        <w:ind w:left="-720"/>
        <w:jc w:val="center"/>
        <w:rPr>
          <w:rFonts w:ascii="Times New Roman" w:eastAsia="Times New Roman" w:hAnsi="Times New Roman"/>
          <w:sz w:val="24"/>
          <w:szCs w:val="24"/>
        </w:rPr>
      </w:pPr>
      <w:r w:rsidRPr="0052414E">
        <w:rPr>
          <w:rFonts w:ascii="Times New Roman" w:eastAsia="Times New Roman" w:hAnsi="Times New Roman"/>
          <w:b/>
          <w:bCs/>
          <w:sz w:val="24"/>
          <w:szCs w:val="24"/>
        </w:rPr>
        <w:t>THE COUNCIL OF THE CITY OF NEW YORK</w:t>
      </w:r>
    </w:p>
    <w:p w:rsidR="00BD418B" w:rsidRPr="0052414E" w:rsidRDefault="00DB085E" w:rsidP="00A07857">
      <w:pPr>
        <w:spacing w:after="0" w:line="240" w:lineRule="auto"/>
        <w:ind w:left="-720"/>
        <w:jc w:val="center"/>
        <w:rPr>
          <w:rFonts w:ascii="Times New Roman" w:eastAsia="Times New Roman" w:hAnsi="Times New Roman"/>
          <w:sz w:val="24"/>
          <w:szCs w:val="24"/>
        </w:rPr>
      </w:pPr>
      <w:r w:rsidRPr="0052414E">
        <w:rPr>
          <w:rFonts w:ascii="Times New Roman" w:eastAsia="Times New Roman" w:hAnsi="Times New Roman"/>
          <w:b/>
          <w:bCs/>
          <w:sz w:val="24"/>
          <w:szCs w:val="24"/>
        </w:rPr>
        <w:t>Briefing Paper</w:t>
      </w:r>
      <w:r w:rsidR="00BD418B" w:rsidRPr="0052414E">
        <w:rPr>
          <w:rFonts w:ascii="Times New Roman" w:eastAsia="Times New Roman" w:hAnsi="Times New Roman"/>
          <w:b/>
          <w:bCs/>
          <w:sz w:val="24"/>
          <w:szCs w:val="24"/>
        </w:rPr>
        <w:t xml:space="preserve"> of the Human Services </w:t>
      </w:r>
      <w:r w:rsidR="00A116F2">
        <w:rPr>
          <w:rFonts w:ascii="Times New Roman" w:eastAsia="Times New Roman" w:hAnsi="Times New Roman"/>
          <w:b/>
          <w:bCs/>
          <w:sz w:val="24"/>
          <w:szCs w:val="24"/>
        </w:rPr>
        <w:t xml:space="preserve">and Infrastructure </w:t>
      </w:r>
      <w:r w:rsidR="00BD418B" w:rsidRPr="0052414E">
        <w:rPr>
          <w:rFonts w:ascii="Times New Roman" w:eastAsia="Times New Roman" w:hAnsi="Times New Roman"/>
          <w:b/>
          <w:bCs/>
          <w:sz w:val="24"/>
          <w:szCs w:val="24"/>
        </w:rPr>
        <w:t>Division</w:t>
      </w:r>
      <w:r w:rsidR="00A116F2">
        <w:rPr>
          <w:rFonts w:ascii="Times New Roman" w:eastAsia="Times New Roman" w:hAnsi="Times New Roman"/>
          <w:b/>
          <w:bCs/>
          <w:sz w:val="24"/>
          <w:szCs w:val="24"/>
        </w:rPr>
        <w:t>s</w:t>
      </w:r>
    </w:p>
    <w:p w:rsidR="000434F6" w:rsidRDefault="000434F6" w:rsidP="000434F6">
      <w:pPr>
        <w:tabs>
          <w:tab w:val="center" w:pos="4680"/>
        </w:tabs>
        <w:suppressAutoHyphens/>
        <w:spacing w:after="0"/>
        <w:jc w:val="center"/>
        <w:rPr>
          <w:rFonts w:ascii="Times New Roman" w:hAnsi="Times New Roman"/>
          <w:i/>
          <w:spacing w:val="-3"/>
          <w:sz w:val="24"/>
          <w:szCs w:val="24"/>
        </w:rPr>
      </w:pPr>
      <w:r w:rsidRPr="0052414E">
        <w:rPr>
          <w:rFonts w:ascii="Times New Roman" w:hAnsi="Times New Roman"/>
          <w:spacing w:val="-3"/>
          <w:sz w:val="24"/>
          <w:szCs w:val="24"/>
        </w:rPr>
        <w:t xml:space="preserve">Jeffrey Baker, </w:t>
      </w:r>
      <w:r w:rsidRPr="0052414E">
        <w:rPr>
          <w:rFonts w:ascii="Times New Roman" w:hAnsi="Times New Roman"/>
          <w:i/>
          <w:spacing w:val="-3"/>
          <w:sz w:val="24"/>
          <w:szCs w:val="24"/>
        </w:rPr>
        <w:t>Legislative Director</w:t>
      </w:r>
    </w:p>
    <w:p w:rsidR="00A116F2" w:rsidRPr="0052414E" w:rsidRDefault="00A116F2" w:rsidP="000434F6">
      <w:pPr>
        <w:tabs>
          <w:tab w:val="center" w:pos="4680"/>
        </w:tabs>
        <w:suppressAutoHyphens/>
        <w:spacing w:after="0"/>
        <w:jc w:val="center"/>
        <w:rPr>
          <w:rFonts w:ascii="Times New Roman" w:hAnsi="Times New Roman"/>
          <w:spacing w:val="-3"/>
          <w:sz w:val="24"/>
          <w:szCs w:val="24"/>
        </w:rPr>
      </w:pPr>
      <w:r>
        <w:rPr>
          <w:rFonts w:ascii="Times New Roman" w:hAnsi="Times New Roman"/>
          <w:i/>
          <w:spacing w:val="-3"/>
          <w:sz w:val="24"/>
          <w:szCs w:val="24"/>
        </w:rPr>
        <w:t xml:space="preserve">Terzah Nasser, Deputy Director for Infrastructure </w:t>
      </w:r>
    </w:p>
    <w:p w:rsidR="000434F6" w:rsidRPr="0052414E" w:rsidRDefault="000434F6" w:rsidP="000434F6">
      <w:pPr>
        <w:tabs>
          <w:tab w:val="center" w:pos="4680"/>
        </w:tabs>
        <w:suppressAutoHyphens/>
        <w:spacing w:after="0"/>
        <w:jc w:val="center"/>
        <w:rPr>
          <w:rFonts w:ascii="Times New Roman" w:hAnsi="Times New Roman"/>
          <w:i/>
          <w:spacing w:val="-3"/>
          <w:sz w:val="24"/>
          <w:szCs w:val="24"/>
        </w:rPr>
      </w:pPr>
      <w:r w:rsidRPr="0052414E">
        <w:rPr>
          <w:rFonts w:ascii="Times New Roman" w:hAnsi="Times New Roman"/>
          <w:spacing w:val="-3"/>
          <w:sz w:val="24"/>
          <w:szCs w:val="24"/>
        </w:rPr>
        <w:t xml:space="preserve">Andrea Vazquez, </w:t>
      </w:r>
      <w:r w:rsidRPr="0052414E">
        <w:rPr>
          <w:rFonts w:ascii="Times New Roman" w:hAnsi="Times New Roman"/>
          <w:i/>
          <w:spacing w:val="-3"/>
          <w:sz w:val="24"/>
          <w:szCs w:val="24"/>
        </w:rPr>
        <w:t>Deputy Director for Human Services</w:t>
      </w:r>
    </w:p>
    <w:p w:rsidR="00BD418B" w:rsidRPr="0052414E" w:rsidRDefault="00BD418B" w:rsidP="00A07857">
      <w:pPr>
        <w:spacing w:after="0" w:line="240" w:lineRule="auto"/>
        <w:ind w:left="-720"/>
        <w:jc w:val="center"/>
        <w:rPr>
          <w:rFonts w:ascii="Times New Roman" w:eastAsia="Times New Roman" w:hAnsi="Times New Roman"/>
          <w:sz w:val="24"/>
          <w:szCs w:val="24"/>
        </w:rPr>
      </w:pPr>
    </w:p>
    <w:p w:rsidR="00F046B7" w:rsidRPr="00F046B7" w:rsidRDefault="00F046B7" w:rsidP="00F046B7">
      <w:pPr>
        <w:keepNext/>
        <w:pBdr>
          <w:top w:val="nil"/>
          <w:left w:val="nil"/>
          <w:bottom w:val="nil"/>
          <w:right w:val="nil"/>
          <w:between w:val="nil"/>
        </w:pBdr>
        <w:spacing w:after="0" w:line="240" w:lineRule="auto"/>
        <w:jc w:val="center"/>
        <w:rPr>
          <w:rFonts w:ascii="Times New Roman" w:hAnsi="Times New Roman"/>
          <w:b/>
          <w:color w:val="000000"/>
          <w:sz w:val="24"/>
          <w:szCs w:val="24"/>
          <w:u w:val="single"/>
        </w:rPr>
      </w:pPr>
      <w:r w:rsidRPr="00F046B7">
        <w:rPr>
          <w:rFonts w:ascii="Times New Roman" w:hAnsi="Times New Roman"/>
          <w:b/>
          <w:color w:val="000000"/>
          <w:sz w:val="24"/>
          <w:szCs w:val="24"/>
          <w:u w:val="single"/>
        </w:rPr>
        <w:t>COMMITTEE ON PUBLIC HOUSING</w:t>
      </w:r>
    </w:p>
    <w:p w:rsidR="00BD418B" w:rsidRPr="00F046B7" w:rsidRDefault="00F046B7" w:rsidP="00F046B7">
      <w:pPr>
        <w:spacing w:after="0"/>
        <w:jc w:val="center"/>
        <w:rPr>
          <w:rFonts w:ascii="Times New Roman" w:hAnsi="Times New Roman"/>
          <w:b/>
          <w:sz w:val="24"/>
          <w:szCs w:val="24"/>
        </w:rPr>
      </w:pPr>
      <w:r w:rsidRPr="00F046B7">
        <w:rPr>
          <w:rFonts w:ascii="Times New Roman" w:hAnsi="Times New Roman"/>
          <w:b/>
          <w:sz w:val="24"/>
          <w:szCs w:val="24"/>
        </w:rPr>
        <w:t>Hon. Alicka Ampry-Samuel, Chair</w:t>
      </w:r>
    </w:p>
    <w:p w:rsidR="00BD418B" w:rsidRPr="00F046B7" w:rsidRDefault="00BD418B" w:rsidP="00A07857">
      <w:pPr>
        <w:spacing w:after="0" w:line="240" w:lineRule="auto"/>
        <w:ind w:left="-720"/>
        <w:jc w:val="center"/>
        <w:rPr>
          <w:rFonts w:ascii="Times New Roman" w:eastAsia="Times New Roman" w:hAnsi="Times New Roman"/>
          <w:sz w:val="24"/>
          <w:szCs w:val="24"/>
        </w:rPr>
      </w:pPr>
    </w:p>
    <w:p w:rsidR="00BD418B" w:rsidRPr="00F046B7" w:rsidRDefault="00BD418B" w:rsidP="00A07857">
      <w:pPr>
        <w:spacing w:after="0" w:line="240" w:lineRule="auto"/>
        <w:ind w:left="-720"/>
        <w:jc w:val="center"/>
        <w:rPr>
          <w:rFonts w:ascii="Times New Roman" w:eastAsia="Times New Roman" w:hAnsi="Times New Roman"/>
          <w:sz w:val="24"/>
          <w:szCs w:val="24"/>
        </w:rPr>
      </w:pPr>
      <w:r w:rsidRPr="00F046B7">
        <w:rPr>
          <w:rFonts w:ascii="Times New Roman" w:eastAsia="Times New Roman" w:hAnsi="Times New Roman"/>
          <w:b/>
          <w:bCs/>
          <w:sz w:val="24"/>
          <w:szCs w:val="24"/>
          <w:u w:val="single"/>
        </w:rPr>
        <w:t xml:space="preserve">COMMITTEE ON </w:t>
      </w:r>
      <w:r w:rsidR="00D759A5" w:rsidRPr="00F046B7">
        <w:rPr>
          <w:rFonts w:ascii="Times New Roman" w:eastAsia="Times New Roman" w:hAnsi="Times New Roman"/>
          <w:b/>
          <w:bCs/>
          <w:sz w:val="24"/>
          <w:szCs w:val="24"/>
          <w:u w:val="single"/>
        </w:rPr>
        <w:t>MENTAL HEALTH, DISABILITIES AND ADDICTION</w:t>
      </w:r>
    </w:p>
    <w:p w:rsidR="00BD418B" w:rsidRPr="0052414E" w:rsidRDefault="00BD418B" w:rsidP="00A07857">
      <w:pPr>
        <w:spacing w:after="0" w:line="240" w:lineRule="auto"/>
        <w:ind w:left="-720"/>
        <w:jc w:val="center"/>
        <w:rPr>
          <w:rFonts w:ascii="Times New Roman" w:eastAsia="Times New Roman" w:hAnsi="Times New Roman"/>
          <w:b/>
          <w:bCs/>
          <w:sz w:val="24"/>
          <w:szCs w:val="24"/>
        </w:rPr>
      </w:pPr>
      <w:r w:rsidRPr="00F046B7">
        <w:rPr>
          <w:rFonts w:ascii="Times New Roman" w:eastAsia="Times New Roman" w:hAnsi="Times New Roman"/>
          <w:b/>
          <w:bCs/>
          <w:sz w:val="24"/>
          <w:szCs w:val="24"/>
        </w:rPr>
        <w:t xml:space="preserve">Hon. </w:t>
      </w:r>
      <w:r w:rsidR="00D759A5" w:rsidRPr="00F046B7">
        <w:rPr>
          <w:rFonts w:ascii="Times New Roman" w:eastAsia="Times New Roman" w:hAnsi="Times New Roman"/>
          <w:b/>
          <w:bCs/>
          <w:sz w:val="24"/>
          <w:szCs w:val="24"/>
        </w:rPr>
        <w:t>Diana Ayala</w:t>
      </w:r>
      <w:r w:rsidRPr="00F046B7">
        <w:rPr>
          <w:rFonts w:ascii="Times New Roman" w:eastAsia="Times New Roman" w:hAnsi="Times New Roman"/>
          <w:b/>
          <w:bCs/>
          <w:sz w:val="24"/>
          <w:szCs w:val="24"/>
        </w:rPr>
        <w:t>, Chair</w:t>
      </w:r>
    </w:p>
    <w:p w:rsidR="00BD418B" w:rsidRPr="0052414E" w:rsidRDefault="00BD418B" w:rsidP="00D759A5">
      <w:pPr>
        <w:spacing w:after="0" w:line="240" w:lineRule="auto"/>
        <w:rPr>
          <w:rFonts w:ascii="Times New Roman" w:eastAsia="Times New Roman" w:hAnsi="Times New Roman"/>
          <w:sz w:val="24"/>
          <w:szCs w:val="24"/>
        </w:rPr>
      </w:pPr>
    </w:p>
    <w:p w:rsidR="00BD418B" w:rsidRPr="0052414E" w:rsidRDefault="00BD418B" w:rsidP="000F438D">
      <w:pPr>
        <w:spacing w:after="0" w:line="240" w:lineRule="auto"/>
        <w:rPr>
          <w:rFonts w:ascii="Times New Roman" w:eastAsia="Times New Roman" w:hAnsi="Times New Roman"/>
          <w:sz w:val="24"/>
          <w:szCs w:val="24"/>
        </w:rPr>
      </w:pPr>
    </w:p>
    <w:p w:rsidR="00BD418B" w:rsidRPr="0052414E" w:rsidRDefault="00F046B7" w:rsidP="00A07857">
      <w:pPr>
        <w:spacing w:after="0" w:line="240" w:lineRule="auto"/>
        <w:ind w:left="-720"/>
        <w:jc w:val="center"/>
        <w:rPr>
          <w:rFonts w:ascii="Times New Roman" w:eastAsia="Times New Roman" w:hAnsi="Times New Roman"/>
          <w:b/>
          <w:bCs/>
          <w:sz w:val="24"/>
          <w:szCs w:val="24"/>
        </w:rPr>
      </w:pPr>
      <w:r>
        <w:rPr>
          <w:rFonts w:ascii="Times New Roman" w:eastAsia="Times New Roman" w:hAnsi="Times New Roman"/>
          <w:b/>
          <w:bCs/>
          <w:sz w:val="24"/>
          <w:szCs w:val="24"/>
        </w:rPr>
        <w:t>September 04</w:t>
      </w:r>
      <w:r w:rsidR="00E2231C" w:rsidRPr="0052414E">
        <w:rPr>
          <w:rFonts w:ascii="Times New Roman" w:eastAsia="Times New Roman" w:hAnsi="Times New Roman"/>
          <w:b/>
          <w:bCs/>
          <w:sz w:val="24"/>
          <w:szCs w:val="24"/>
        </w:rPr>
        <w:t xml:space="preserve">, </w:t>
      </w:r>
      <w:r>
        <w:rPr>
          <w:rFonts w:ascii="Times New Roman" w:eastAsia="Times New Roman" w:hAnsi="Times New Roman"/>
          <w:b/>
          <w:bCs/>
          <w:sz w:val="24"/>
          <w:szCs w:val="24"/>
        </w:rPr>
        <w:t>2019</w:t>
      </w:r>
    </w:p>
    <w:p w:rsidR="00E2231C" w:rsidRPr="0052414E" w:rsidRDefault="00E2231C" w:rsidP="00A07857">
      <w:pPr>
        <w:spacing w:after="0" w:line="240" w:lineRule="auto"/>
        <w:ind w:left="-720"/>
        <w:jc w:val="center"/>
        <w:rPr>
          <w:rFonts w:ascii="Times New Roman" w:eastAsia="Times New Roman" w:hAnsi="Times New Roman"/>
          <w:b/>
          <w:bCs/>
          <w:sz w:val="24"/>
          <w:szCs w:val="24"/>
        </w:rPr>
      </w:pPr>
    </w:p>
    <w:p w:rsidR="00BD418B" w:rsidRPr="0052414E" w:rsidRDefault="000434F6" w:rsidP="00A07857">
      <w:pPr>
        <w:spacing w:after="0" w:line="240" w:lineRule="auto"/>
        <w:ind w:left="-720"/>
        <w:jc w:val="center"/>
        <w:rPr>
          <w:rFonts w:ascii="Times New Roman" w:hAnsi="Times New Roman"/>
          <w:sz w:val="24"/>
          <w:szCs w:val="24"/>
        </w:rPr>
      </w:pPr>
      <w:r w:rsidRPr="0052414E">
        <w:rPr>
          <w:rFonts w:ascii="Times New Roman" w:eastAsia="Times New Roman" w:hAnsi="Times New Roman"/>
          <w:b/>
          <w:sz w:val="24"/>
          <w:szCs w:val="24"/>
        </w:rPr>
        <w:t xml:space="preserve">Oversight: </w:t>
      </w:r>
      <w:r w:rsidR="00F046B7">
        <w:rPr>
          <w:rFonts w:ascii="Times New Roman" w:hAnsi="Times New Roman"/>
          <w:b/>
          <w:sz w:val="24"/>
          <w:szCs w:val="24"/>
        </w:rPr>
        <w:t>Accessibility in Public Housing</w:t>
      </w:r>
    </w:p>
    <w:p w:rsidR="00D759A5" w:rsidRPr="0052414E" w:rsidRDefault="00D759A5" w:rsidP="00DC621E">
      <w:pPr>
        <w:jc w:val="both"/>
        <w:rPr>
          <w:rFonts w:ascii="Times New Roman" w:hAnsi="Times New Roman"/>
          <w:b/>
          <w:sz w:val="24"/>
          <w:szCs w:val="24"/>
          <w:u w:val="single"/>
        </w:rPr>
      </w:pPr>
    </w:p>
    <w:p w:rsidR="008F693E" w:rsidRPr="0052414E" w:rsidRDefault="008F693E" w:rsidP="009809A8">
      <w:pPr>
        <w:jc w:val="both"/>
        <w:rPr>
          <w:rFonts w:ascii="Times New Roman" w:hAnsi="Times New Roman"/>
          <w:b/>
          <w:sz w:val="24"/>
          <w:szCs w:val="24"/>
          <w:u w:val="single"/>
        </w:rPr>
      </w:pPr>
    </w:p>
    <w:p w:rsidR="008F693E" w:rsidRPr="0052414E" w:rsidRDefault="008F693E" w:rsidP="009809A8">
      <w:pPr>
        <w:jc w:val="both"/>
        <w:rPr>
          <w:rFonts w:ascii="Times New Roman" w:hAnsi="Times New Roman"/>
          <w:b/>
          <w:sz w:val="24"/>
          <w:szCs w:val="24"/>
          <w:u w:val="single"/>
        </w:rPr>
      </w:pPr>
    </w:p>
    <w:p w:rsidR="008F693E" w:rsidRPr="0052414E" w:rsidRDefault="008F693E" w:rsidP="009809A8">
      <w:pPr>
        <w:jc w:val="both"/>
        <w:rPr>
          <w:rFonts w:ascii="Times New Roman" w:hAnsi="Times New Roman"/>
          <w:b/>
          <w:sz w:val="24"/>
          <w:szCs w:val="24"/>
          <w:u w:val="single"/>
        </w:rPr>
      </w:pPr>
    </w:p>
    <w:p w:rsidR="008F693E" w:rsidRPr="0052414E" w:rsidRDefault="008F693E" w:rsidP="009809A8">
      <w:pPr>
        <w:jc w:val="both"/>
        <w:rPr>
          <w:rFonts w:ascii="Times New Roman" w:hAnsi="Times New Roman"/>
          <w:b/>
          <w:sz w:val="24"/>
          <w:szCs w:val="24"/>
          <w:u w:val="single"/>
        </w:rPr>
      </w:pPr>
    </w:p>
    <w:p w:rsidR="00BD418B" w:rsidRPr="0052414E" w:rsidRDefault="00BD418B" w:rsidP="009809A8">
      <w:pPr>
        <w:jc w:val="both"/>
        <w:rPr>
          <w:rFonts w:ascii="Times New Roman" w:hAnsi="Times New Roman"/>
          <w:b/>
          <w:sz w:val="24"/>
          <w:szCs w:val="24"/>
        </w:rPr>
      </w:pPr>
      <w:r w:rsidRPr="0052414E">
        <w:rPr>
          <w:rFonts w:ascii="Times New Roman" w:hAnsi="Times New Roman"/>
          <w:b/>
          <w:sz w:val="24"/>
          <w:szCs w:val="24"/>
          <w:u w:val="single"/>
        </w:rPr>
        <w:lastRenderedPageBreak/>
        <w:t xml:space="preserve">INTRODUCTION </w:t>
      </w:r>
    </w:p>
    <w:p w:rsidR="00DC621E" w:rsidRPr="008E60E5" w:rsidRDefault="00BD418B" w:rsidP="005E4624">
      <w:pPr>
        <w:spacing w:after="0" w:line="480" w:lineRule="auto"/>
        <w:jc w:val="both"/>
        <w:rPr>
          <w:rFonts w:ascii="Times New Roman" w:hAnsi="Times New Roman"/>
          <w:sz w:val="24"/>
          <w:szCs w:val="24"/>
        </w:rPr>
      </w:pPr>
      <w:r w:rsidRPr="0052414E">
        <w:rPr>
          <w:rFonts w:ascii="Times New Roman" w:hAnsi="Times New Roman"/>
          <w:b/>
          <w:sz w:val="24"/>
          <w:szCs w:val="24"/>
        </w:rPr>
        <w:tab/>
      </w:r>
      <w:r w:rsidR="00237C0F" w:rsidRPr="0052414E">
        <w:rPr>
          <w:rFonts w:ascii="Times New Roman" w:hAnsi="Times New Roman"/>
          <w:sz w:val="24"/>
          <w:szCs w:val="24"/>
        </w:rPr>
        <w:t xml:space="preserve">On </w:t>
      </w:r>
      <w:r w:rsidR="00FE64C0" w:rsidRPr="008E60E5">
        <w:rPr>
          <w:rFonts w:ascii="Times New Roman" w:hAnsi="Times New Roman"/>
          <w:sz w:val="24"/>
          <w:szCs w:val="24"/>
        </w:rPr>
        <w:t>September 4</w:t>
      </w:r>
      <w:r w:rsidR="00237C0F" w:rsidRPr="008E60E5">
        <w:rPr>
          <w:rFonts w:ascii="Times New Roman" w:hAnsi="Times New Roman"/>
          <w:sz w:val="24"/>
          <w:szCs w:val="24"/>
        </w:rPr>
        <w:t xml:space="preserve">, </w:t>
      </w:r>
      <w:r w:rsidR="00FE64C0" w:rsidRPr="008E60E5">
        <w:rPr>
          <w:rFonts w:ascii="Times New Roman" w:hAnsi="Times New Roman"/>
          <w:sz w:val="24"/>
          <w:szCs w:val="24"/>
        </w:rPr>
        <w:t>2019</w:t>
      </w:r>
      <w:r w:rsidRPr="008E60E5">
        <w:rPr>
          <w:rFonts w:ascii="Times New Roman" w:hAnsi="Times New Roman"/>
          <w:sz w:val="24"/>
          <w:szCs w:val="24"/>
        </w:rPr>
        <w:t xml:space="preserve">, the Committee on </w:t>
      </w:r>
      <w:r w:rsidR="008E60E5" w:rsidRPr="008E60E5">
        <w:rPr>
          <w:rFonts w:ascii="Times New Roman" w:hAnsi="Times New Roman"/>
          <w:sz w:val="24"/>
          <w:szCs w:val="24"/>
        </w:rPr>
        <w:t>Public Housing</w:t>
      </w:r>
      <w:r w:rsidRPr="008E60E5">
        <w:rPr>
          <w:rFonts w:ascii="Times New Roman" w:hAnsi="Times New Roman"/>
          <w:sz w:val="24"/>
          <w:szCs w:val="24"/>
        </w:rPr>
        <w:t xml:space="preserve">, chaired by Council Member </w:t>
      </w:r>
      <w:r w:rsidR="008E60E5" w:rsidRPr="008E60E5">
        <w:rPr>
          <w:rFonts w:ascii="Times New Roman" w:hAnsi="Times New Roman"/>
          <w:sz w:val="24"/>
          <w:szCs w:val="24"/>
        </w:rPr>
        <w:t>Alicka Ampry-Samuel</w:t>
      </w:r>
      <w:r w:rsidRPr="008E60E5">
        <w:rPr>
          <w:rFonts w:ascii="Times New Roman" w:hAnsi="Times New Roman"/>
          <w:sz w:val="24"/>
          <w:szCs w:val="24"/>
        </w:rPr>
        <w:t>,</w:t>
      </w:r>
      <w:r w:rsidR="00D759A5" w:rsidRPr="008E60E5">
        <w:rPr>
          <w:rFonts w:ascii="Times New Roman" w:hAnsi="Times New Roman"/>
          <w:sz w:val="24"/>
          <w:szCs w:val="24"/>
        </w:rPr>
        <w:t xml:space="preserve"> and</w:t>
      </w:r>
      <w:r w:rsidRPr="008E60E5">
        <w:rPr>
          <w:rFonts w:ascii="Times New Roman" w:hAnsi="Times New Roman"/>
          <w:sz w:val="24"/>
          <w:szCs w:val="24"/>
        </w:rPr>
        <w:t xml:space="preserve"> the Committee on </w:t>
      </w:r>
      <w:r w:rsidR="00D759A5" w:rsidRPr="008E60E5">
        <w:rPr>
          <w:rFonts w:ascii="Times New Roman" w:hAnsi="Times New Roman"/>
          <w:sz w:val="24"/>
          <w:szCs w:val="24"/>
        </w:rPr>
        <w:t>Mental Health, Disabilities and Addiction</w:t>
      </w:r>
      <w:r w:rsidRPr="008E60E5">
        <w:rPr>
          <w:rFonts w:ascii="Times New Roman" w:hAnsi="Times New Roman"/>
          <w:sz w:val="24"/>
          <w:szCs w:val="24"/>
        </w:rPr>
        <w:t xml:space="preserve">, chaired by Council Member </w:t>
      </w:r>
      <w:r w:rsidR="00D759A5" w:rsidRPr="008E60E5">
        <w:rPr>
          <w:rFonts w:ascii="Times New Roman" w:hAnsi="Times New Roman"/>
          <w:sz w:val="24"/>
          <w:szCs w:val="24"/>
        </w:rPr>
        <w:t>Diana Ayala,</w:t>
      </w:r>
      <w:r w:rsidRPr="008E60E5">
        <w:rPr>
          <w:rFonts w:ascii="Times New Roman" w:hAnsi="Times New Roman"/>
          <w:sz w:val="24"/>
          <w:szCs w:val="24"/>
        </w:rPr>
        <w:t xml:space="preserve"> will hold an oversight hearing on </w:t>
      </w:r>
      <w:r w:rsidR="008E60E5" w:rsidRPr="008E60E5">
        <w:rPr>
          <w:rFonts w:ascii="Times New Roman" w:hAnsi="Times New Roman"/>
          <w:sz w:val="24"/>
          <w:szCs w:val="24"/>
        </w:rPr>
        <w:t>accessibility in public housing</w:t>
      </w:r>
      <w:r w:rsidR="000434F6" w:rsidRPr="008E60E5">
        <w:rPr>
          <w:rFonts w:ascii="Times New Roman" w:hAnsi="Times New Roman"/>
          <w:sz w:val="24"/>
          <w:szCs w:val="24"/>
        </w:rPr>
        <w:t>.</w:t>
      </w:r>
      <w:r w:rsidR="00D759A5" w:rsidRPr="008E60E5">
        <w:rPr>
          <w:rFonts w:ascii="Times New Roman" w:hAnsi="Times New Roman"/>
          <w:sz w:val="24"/>
          <w:szCs w:val="24"/>
        </w:rPr>
        <w:t xml:space="preserve"> </w:t>
      </w:r>
      <w:r w:rsidR="00E43388" w:rsidRPr="008E60E5">
        <w:rPr>
          <w:rFonts w:ascii="Times New Roman" w:hAnsi="Times New Roman"/>
          <w:sz w:val="24"/>
          <w:szCs w:val="24"/>
        </w:rPr>
        <w:t>Among those invited</w:t>
      </w:r>
      <w:r w:rsidR="00096CC5" w:rsidRPr="008E60E5">
        <w:rPr>
          <w:rFonts w:ascii="Times New Roman" w:hAnsi="Times New Roman"/>
          <w:sz w:val="24"/>
          <w:szCs w:val="24"/>
        </w:rPr>
        <w:t xml:space="preserve"> to testify</w:t>
      </w:r>
      <w:r w:rsidR="00E43388" w:rsidRPr="008E60E5">
        <w:rPr>
          <w:rFonts w:ascii="Times New Roman" w:hAnsi="Times New Roman"/>
          <w:sz w:val="24"/>
          <w:szCs w:val="24"/>
        </w:rPr>
        <w:t xml:space="preserve"> </w:t>
      </w:r>
      <w:r w:rsidR="00096CC5" w:rsidRPr="008E60E5">
        <w:rPr>
          <w:rFonts w:ascii="Times New Roman" w:hAnsi="Times New Roman"/>
          <w:sz w:val="24"/>
          <w:szCs w:val="24"/>
        </w:rPr>
        <w:t>include</w:t>
      </w:r>
      <w:r w:rsidR="00E43388" w:rsidRPr="008E60E5">
        <w:rPr>
          <w:rFonts w:ascii="Times New Roman" w:hAnsi="Times New Roman"/>
          <w:sz w:val="24"/>
          <w:szCs w:val="24"/>
        </w:rPr>
        <w:t xml:space="preserve"> r</w:t>
      </w:r>
      <w:r w:rsidR="009809A8" w:rsidRPr="008E60E5">
        <w:rPr>
          <w:rFonts w:ascii="Times New Roman" w:hAnsi="Times New Roman"/>
          <w:sz w:val="24"/>
          <w:szCs w:val="24"/>
        </w:rPr>
        <w:t xml:space="preserve">epresentatives from </w:t>
      </w:r>
      <w:r w:rsidR="008E60E5" w:rsidRPr="008E60E5">
        <w:rPr>
          <w:rFonts w:ascii="Times New Roman" w:hAnsi="Times New Roman"/>
          <w:sz w:val="24"/>
          <w:szCs w:val="24"/>
        </w:rPr>
        <w:t>New York City Housing Authority (NYCHA)</w:t>
      </w:r>
      <w:r w:rsidR="005847C7" w:rsidRPr="008E60E5">
        <w:rPr>
          <w:rFonts w:ascii="Times New Roman" w:hAnsi="Times New Roman"/>
          <w:sz w:val="24"/>
          <w:szCs w:val="24"/>
        </w:rPr>
        <w:t xml:space="preserve">, </w:t>
      </w:r>
      <w:r w:rsidR="009809A8" w:rsidRPr="008E60E5">
        <w:rPr>
          <w:rFonts w:ascii="Times New Roman" w:hAnsi="Times New Roman"/>
          <w:sz w:val="24"/>
          <w:szCs w:val="24"/>
        </w:rPr>
        <w:t>Department of Health and Mental H</w:t>
      </w:r>
      <w:r w:rsidR="00237F31" w:rsidRPr="008E60E5">
        <w:rPr>
          <w:rFonts w:ascii="Times New Roman" w:hAnsi="Times New Roman"/>
          <w:sz w:val="24"/>
          <w:szCs w:val="24"/>
        </w:rPr>
        <w:t>ygiene</w:t>
      </w:r>
      <w:r w:rsidR="008E60E5" w:rsidRPr="008E60E5">
        <w:rPr>
          <w:rFonts w:ascii="Times New Roman" w:hAnsi="Times New Roman"/>
          <w:sz w:val="24"/>
          <w:szCs w:val="24"/>
        </w:rPr>
        <w:t xml:space="preserve"> (DOHMH)</w:t>
      </w:r>
      <w:r w:rsidR="005E4624" w:rsidRPr="008E60E5">
        <w:rPr>
          <w:rFonts w:ascii="Times New Roman" w:hAnsi="Times New Roman"/>
          <w:sz w:val="24"/>
          <w:szCs w:val="24"/>
        </w:rPr>
        <w:t xml:space="preserve">, </w:t>
      </w:r>
      <w:r w:rsidR="005847C7" w:rsidRPr="008E60E5">
        <w:rPr>
          <w:rFonts w:ascii="Times New Roman" w:hAnsi="Times New Roman"/>
          <w:sz w:val="24"/>
          <w:szCs w:val="24"/>
        </w:rPr>
        <w:t xml:space="preserve">disabilities services providers and advocates, </w:t>
      </w:r>
      <w:r w:rsidR="005E4624" w:rsidRPr="008E60E5">
        <w:rPr>
          <w:rFonts w:ascii="Times New Roman" w:hAnsi="Times New Roman"/>
          <w:sz w:val="24"/>
          <w:szCs w:val="24"/>
        </w:rPr>
        <w:t>and other interested parties.</w:t>
      </w:r>
    </w:p>
    <w:p w:rsidR="008E60E5" w:rsidRPr="008E60E5" w:rsidRDefault="008E60E5" w:rsidP="008E60E5">
      <w:pPr>
        <w:rPr>
          <w:rFonts w:ascii="Times New Roman" w:hAnsi="Times New Roman"/>
          <w:sz w:val="24"/>
          <w:szCs w:val="24"/>
        </w:rPr>
      </w:pPr>
      <w:r w:rsidRPr="008E60E5">
        <w:rPr>
          <w:rFonts w:ascii="Times New Roman" w:hAnsi="Times New Roman"/>
          <w:b/>
          <w:sz w:val="24"/>
          <w:szCs w:val="24"/>
          <w:u w:val="single"/>
        </w:rPr>
        <w:t>BACKGROUND</w:t>
      </w:r>
    </w:p>
    <w:p w:rsidR="00085841" w:rsidRDefault="008E60E5" w:rsidP="00085841">
      <w:pPr>
        <w:rPr>
          <w:rFonts w:ascii="Times New Roman" w:hAnsi="Times New Roman"/>
          <w:sz w:val="24"/>
          <w:szCs w:val="24"/>
        </w:rPr>
      </w:pPr>
      <w:r>
        <w:rPr>
          <w:rFonts w:ascii="Times New Roman" w:hAnsi="Times New Roman"/>
          <w:i/>
          <w:sz w:val="24"/>
          <w:szCs w:val="24"/>
        </w:rPr>
        <w:t xml:space="preserve">Disability </w:t>
      </w:r>
      <w:r w:rsidR="00FD4702">
        <w:rPr>
          <w:rFonts w:ascii="Times New Roman" w:hAnsi="Times New Roman"/>
          <w:i/>
          <w:sz w:val="24"/>
          <w:szCs w:val="24"/>
        </w:rPr>
        <w:t xml:space="preserve">and Inequality in America </w:t>
      </w:r>
    </w:p>
    <w:p w:rsidR="00FD4702" w:rsidRDefault="00FD4702" w:rsidP="00FD4702">
      <w:pPr>
        <w:spacing w:line="480" w:lineRule="auto"/>
        <w:ind w:firstLine="720"/>
        <w:jc w:val="both"/>
        <w:rPr>
          <w:rFonts w:ascii="Times New Roman" w:hAnsi="Times New Roman"/>
          <w:sz w:val="24"/>
          <w:szCs w:val="24"/>
        </w:rPr>
      </w:pPr>
      <w:r>
        <w:rPr>
          <w:rFonts w:ascii="Times New Roman" w:hAnsi="Times New Roman"/>
          <w:sz w:val="24"/>
          <w:szCs w:val="24"/>
        </w:rPr>
        <w:t>It is estimated that over 85 million Americans – or 27.2% – are living with a disability.</w:t>
      </w:r>
      <w:r>
        <w:rPr>
          <w:rStyle w:val="FootnoteReference"/>
          <w:rFonts w:ascii="Times New Roman" w:hAnsi="Times New Roman"/>
          <w:sz w:val="24"/>
          <w:szCs w:val="24"/>
        </w:rPr>
        <w:footnoteReference w:id="1"/>
      </w:r>
      <w:r>
        <w:rPr>
          <w:rFonts w:ascii="Times New Roman" w:hAnsi="Times New Roman"/>
          <w:sz w:val="24"/>
          <w:szCs w:val="24"/>
        </w:rPr>
        <w:t xml:space="preserve"> Still, d</w:t>
      </w:r>
      <w:r w:rsidR="0095371F" w:rsidRPr="00C17D2F">
        <w:rPr>
          <w:rFonts w:ascii="Times New Roman" w:hAnsi="Times New Roman"/>
          <w:sz w:val="24"/>
          <w:szCs w:val="24"/>
        </w:rPr>
        <w:t xml:space="preserve">espite </w:t>
      </w:r>
      <w:r>
        <w:rPr>
          <w:rFonts w:ascii="Times New Roman" w:hAnsi="Times New Roman"/>
          <w:sz w:val="24"/>
          <w:szCs w:val="24"/>
        </w:rPr>
        <w:t>this</w:t>
      </w:r>
      <w:r w:rsidR="0095371F" w:rsidRPr="00C17D2F">
        <w:rPr>
          <w:rFonts w:ascii="Times New Roman" w:hAnsi="Times New Roman"/>
          <w:sz w:val="24"/>
          <w:szCs w:val="24"/>
        </w:rPr>
        <w:t xml:space="preserve"> significant number, </w:t>
      </w:r>
      <w:r>
        <w:rPr>
          <w:rFonts w:ascii="Times New Roman" w:hAnsi="Times New Roman"/>
          <w:sz w:val="24"/>
          <w:szCs w:val="24"/>
        </w:rPr>
        <w:t>there remains a great deal of inaccessibility surrounding</w:t>
      </w:r>
      <w:r w:rsidR="0095371F" w:rsidRPr="00C17D2F">
        <w:rPr>
          <w:rFonts w:ascii="Times New Roman" w:hAnsi="Times New Roman"/>
          <w:sz w:val="24"/>
          <w:szCs w:val="24"/>
        </w:rPr>
        <w:t xml:space="preserve"> transportation, </w:t>
      </w:r>
      <w:r w:rsidR="00085841" w:rsidRPr="00C17D2F">
        <w:rPr>
          <w:rFonts w:ascii="Times New Roman" w:hAnsi="Times New Roman"/>
          <w:sz w:val="24"/>
          <w:szCs w:val="24"/>
        </w:rPr>
        <w:t>education</w:t>
      </w:r>
      <w:r w:rsidR="0095371F" w:rsidRPr="00C17D2F">
        <w:rPr>
          <w:rFonts w:ascii="Times New Roman" w:hAnsi="Times New Roman"/>
          <w:sz w:val="24"/>
          <w:szCs w:val="24"/>
        </w:rPr>
        <w:t>, employment,</w:t>
      </w:r>
      <w:r w:rsidR="00C17D2F" w:rsidRPr="00C17D2F">
        <w:rPr>
          <w:rFonts w:ascii="Times New Roman" w:hAnsi="Times New Roman"/>
          <w:sz w:val="24"/>
          <w:szCs w:val="24"/>
        </w:rPr>
        <w:t xml:space="preserve"> healthcare,</w:t>
      </w:r>
      <w:r w:rsidR="0095371F" w:rsidRPr="00C17D2F">
        <w:rPr>
          <w:rFonts w:ascii="Times New Roman" w:hAnsi="Times New Roman"/>
          <w:sz w:val="24"/>
          <w:szCs w:val="24"/>
        </w:rPr>
        <w:t xml:space="preserve"> </w:t>
      </w:r>
      <w:r w:rsidR="00587BDA" w:rsidRPr="00C17D2F">
        <w:rPr>
          <w:rFonts w:ascii="Times New Roman" w:hAnsi="Times New Roman"/>
          <w:sz w:val="24"/>
          <w:szCs w:val="24"/>
        </w:rPr>
        <w:t xml:space="preserve">and </w:t>
      </w:r>
      <w:r w:rsidR="0095371F" w:rsidRPr="00C17D2F">
        <w:rPr>
          <w:rFonts w:ascii="Times New Roman" w:hAnsi="Times New Roman"/>
          <w:sz w:val="24"/>
          <w:szCs w:val="24"/>
        </w:rPr>
        <w:t xml:space="preserve">economic opportunity, </w:t>
      </w:r>
      <w:r w:rsidR="00587BDA" w:rsidRPr="00C17D2F">
        <w:rPr>
          <w:rFonts w:ascii="Times New Roman" w:hAnsi="Times New Roman"/>
          <w:sz w:val="24"/>
          <w:szCs w:val="24"/>
        </w:rPr>
        <w:t>which all impact availability and accessibility of</w:t>
      </w:r>
      <w:r w:rsidR="0095371F" w:rsidRPr="00C17D2F">
        <w:rPr>
          <w:rFonts w:ascii="Times New Roman" w:hAnsi="Times New Roman"/>
          <w:sz w:val="24"/>
          <w:szCs w:val="24"/>
        </w:rPr>
        <w:t xml:space="preserve"> housing.</w:t>
      </w:r>
      <w:r w:rsidR="0095371F" w:rsidRPr="00C17D2F">
        <w:rPr>
          <w:rStyle w:val="FootnoteReference"/>
          <w:rFonts w:ascii="Times New Roman" w:hAnsi="Times New Roman"/>
          <w:sz w:val="24"/>
          <w:szCs w:val="24"/>
        </w:rPr>
        <w:footnoteReference w:id="2"/>
      </w:r>
      <w:r w:rsidR="00085841" w:rsidRPr="00C17D2F">
        <w:rPr>
          <w:rFonts w:ascii="Times New Roman" w:hAnsi="Times New Roman"/>
          <w:sz w:val="24"/>
          <w:szCs w:val="24"/>
        </w:rPr>
        <w:t xml:space="preserve"> According to the 2014 United States Census Bureau (US Census), adults with a disability were more than half as likely to have</w:t>
      </w:r>
      <w:r w:rsidR="00587BDA" w:rsidRPr="00C17D2F">
        <w:rPr>
          <w:rFonts w:ascii="Times New Roman" w:hAnsi="Times New Roman"/>
          <w:sz w:val="24"/>
          <w:szCs w:val="24"/>
        </w:rPr>
        <w:t xml:space="preserve"> earned</w:t>
      </w:r>
      <w:r w:rsidR="00085841" w:rsidRPr="00C17D2F">
        <w:rPr>
          <w:rFonts w:ascii="Times New Roman" w:hAnsi="Times New Roman"/>
          <w:sz w:val="24"/>
          <w:szCs w:val="24"/>
        </w:rPr>
        <w:t xml:space="preserve"> a college or higher degree (20.4%) compared to adults without a disability (42.8%).</w:t>
      </w:r>
      <w:r w:rsidR="00085841" w:rsidRPr="00C17D2F">
        <w:rPr>
          <w:rStyle w:val="FootnoteReference"/>
          <w:rFonts w:ascii="Times New Roman" w:hAnsi="Times New Roman"/>
          <w:sz w:val="24"/>
          <w:szCs w:val="24"/>
        </w:rPr>
        <w:footnoteReference w:id="3"/>
      </w:r>
      <w:r w:rsidR="00587BDA" w:rsidRPr="00C17D2F">
        <w:rPr>
          <w:rFonts w:ascii="Times New Roman" w:hAnsi="Times New Roman"/>
          <w:sz w:val="24"/>
          <w:szCs w:val="24"/>
        </w:rPr>
        <w:t xml:space="preserve"> With regard to employment, fewer than half (</w:t>
      </w:r>
      <w:r w:rsidR="00085841" w:rsidRPr="00C17D2F">
        <w:rPr>
          <w:rFonts w:ascii="Times New Roman" w:hAnsi="Times New Roman"/>
          <w:sz w:val="24"/>
          <w:szCs w:val="24"/>
        </w:rPr>
        <w:t>47.2</w:t>
      </w:r>
      <w:r w:rsidR="00587BDA" w:rsidRPr="00C17D2F">
        <w:rPr>
          <w:rFonts w:ascii="Times New Roman" w:hAnsi="Times New Roman"/>
          <w:sz w:val="24"/>
          <w:szCs w:val="24"/>
        </w:rPr>
        <w:t>%</w:t>
      </w:r>
      <w:r w:rsidR="00085841" w:rsidRPr="00C17D2F">
        <w:rPr>
          <w:rFonts w:ascii="Times New Roman" w:hAnsi="Times New Roman"/>
          <w:sz w:val="24"/>
          <w:szCs w:val="24"/>
        </w:rPr>
        <w:t>) of people with a disability between the ages</w:t>
      </w:r>
      <w:r w:rsidR="00587BDA" w:rsidRPr="00C17D2F">
        <w:rPr>
          <w:rFonts w:ascii="Times New Roman" w:hAnsi="Times New Roman"/>
          <w:sz w:val="24"/>
          <w:szCs w:val="24"/>
        </w:rPr>
        <w:t xml:space="preserve"> of 18 and 64 were employed as of the end of 2013, compared to 77.5% of people in the same age category without disabilities.</w:t>
      </w:r>
      <w:r w:rsidR="00587BDA" w:rsidRPr="00C17D2F">
        <w:rPr>
          <w:rStyle w:val="FootnoteReference"/>
          <w:rFonts w:ascii="Times New Roman" w:hAnsi="Times New Roman"/>
          <w:sz w:val="24"/>
          <w:szCs w:val="24"/>
        </w:rPr>
        <w:footnoteReference w:id="4"/>
      </w:r>
      <w:r w:rsidR="00587BDA" w:rsidRPr="00C17D2F">
        <w:rPr>
          <w:rFonts w:ascii="Times New Roman" w:hAnsi="Times New Roman"/>
          <w:sz w:val="24"/>
          <w:szCs w:val="24"/>
        </w:rPr>
        <w:t xml:space="preserve"> Additionally, adults with a severe disability were more likely to remain without employment for 12 consecutive months, with 59.8% of adults with severe disabilities </w:t>
      </w:r>
      <w:r w:rsidR="00587BDA" w:rsidRPr="00C17D2F">
        <w:rPr>
          <w:rFonts w:ascii="Times New Roman" w:hAnsi="Times New Roman"/>
          <w:sz w:val="24"/>
          <w:szCs w:val="24"/>
        </w:rPr>
        <w:lastRenderedPageBreak/>
        <w:t>unemployed for all 12 months in the year 2013 compared to 27.9% of adults with non-severe disabilities and 18.8 percent with no disabilities.</w:t>
      </w:r>
      <w:r w:rsidR="00587BDA" w:rsidRPr="00C17D2F">
        <w:rPr>
          <w:rStyle w:val="FootnoteReference"/>
          <w:rFonts w:ascii="Times New Roman" w:hAnsi="Times New Roman"/>
          <w:sz w:val="24"/>
          <w:szCs w:val="24"/>
        </w:rPr>
        <w:footnoteReference w:id="5"/>
      </w:r>
      <w:r w:rsidR="00587BDA" w:rsidRPr="00C17D2F">
        <w:rPr>
          <w:rFonts w:ascii="Times New Roman" w:hAnsi="Times New Roman"/>
          <w:sz w:val="24"/>
          <w:szCs w:val="24"/>
        </w:rPr>
        <w:t xml:space="preserve"> On the economic front, the numbers are equally dismal: </w:t>
      </w:r>
      <w:r w:rsidR="00A116F2">
        <w:rPr>
          <w:rFonts w:ascii="Times New Roman" w:hAnsi="Times New Roman"/>
          <w:sz w:val="24"/>
          <w:szCs w:val="24"/>
        </w:rPr>
        <w:t>a</w:t>
      </w:r>
      <w:r w:rsidR="00587BDA" w:rsidRPr="00C17D2F">
        <w:rPr>
          <w:rFonts w:ascii="Times New Roman" w:hAnsi="Times New Roman"/>
          <w:sz w:val="24"/>
          <w:szCs w:val="24"/>
        </w:rPr>
        <w:t>s of the end of 2013, a</w:t>
      </w:r>
      <w:r w:rsidR="00085841" w:rsidRPr="00C17D2F">
        <w:rPr>
          <w:rFonts w:ascii="Times New Roman" w:hAnsi="Times New Roman"/>
          <w:sz w:val="24"/>
          <w:szCs w:val="24"/>
        </w:rPr>
        <w:t>dults aged 18 to 64 with a disability who were employed earned less than adults without a disability</w:t>
      </w:r>
      <w:r w:rsidR="00587BDA" w:rsidRPr="00C17D2F">
        <w:rPr>
          <w:rFonts w:ascii="Times New Roman" w:hAnsi="Times New Roman"/>
          <w:sz w:val="24"/>
          <w:szCs w:val="24"/>
        </w:rPr>
        <w:t>, with th</w:t>
      </w:r>
      <w:r w:rsidR="00085841" w:rsidRPr="00C17D2F">
        <w:rPr>
          <w:rFonts w:ascii="Times New Roman" w:hAnsi="Times New Roman"/>
          <w:sz w:val="24"/>
          <w:szCs w:val="24"/>
        </w:rPr>
        <w:t xml:space="preserve">e median annual earnings for employed adults with any kind of disability were $27,080 compared </w:t>
      </w:r>
      <w:r w:rsidR="00587BDA" w:rsidRPr="00C17D2F">
        <w:rPr>
          <w:rFonts w:ascii="Times New Roman" w:hAnsi="Times New Roman"/>
          <w:sz w:val="24"/>
          <w:szCs w:val="24"/>
        </w:rPr>
        <w:t>to</w:t>
      </w:r>
      <w:r w:rsidR="00085841" w:rsidRPr="00C17D2F">
        <w:rPr>
          <w:rFonts w:ascii="Times New Roman" w:hAnsi="Times New Roman"/>
          <w:sz w:val="24"/>
          <w:szCs w:val="24"/>
        </w:rPr>
        <w:t xml:space="preserve"> $35,915 for adults with no disability.</w:t>
      </w:r>
      <w:r w:rsidR="00587BDA" w:rsidRPr="00C17D2F">
        <w:rPr>
          <w:rStyle w:val="FootnoteReference"/>
          <w:rFonts w:ascii="Times New Roman" w:hAnsi="Times New Roman"/>
          <w:sz w:val="24"/>
          <w:szCs w:val="24"/>
        </w:rPr>
        <w:footnoteReference w:id="6"/>
      </w:r>
      <w:r w:rsidR="00C17D2F" w:rsidRPr="00C17D2F">
        <w:rPr>
          <w:rFonts w:ascii="Times New Roman" w:hAnsi="Times New Roman"/>
          <w:sz w:val="24"/>
          <w:szCs w:val="24"/>
        </w:rPr>
        <w:t xml:space="preserve"> </w:t>
      </w:r>
      <w:r w:rsidR="00085841" w:rsidRPr="00C17D2F">
        <w:rPr>
          <w:rFonts w:ascii="Times New Roman" w:hAnsi="Times New Roman"/>
          <w:sz w:val="24"/>
          <w:szCs w:val="24"/>
        </w:rPr>
        <w:t xml:space="preserve">Families of adults with disabilities had a median annual income of $40,125 in 2013, </w:t>
      </w:r>
      <w:r w:rsidR="00C17D2F" w:rsidRPr="00C17D2F">
        <w:rPr>
          <w:rFonts w:ascii="Times New Roman" w:hAnsi="Times New Roman"/>
          <w:sz w:val="24"/>
          <w:szCs w:val="24"/>
        </w:rPr>
        <w:t xml:space="preserve">which was approximately 60% </w:t>
      </w:r>
      <w:r w:rsidR="00085841" w:rsidRPr="00C17D2F">
        <w:rPr>
          <w:rFonts w:ascii="Times New Roman" w:hAnsi="Times New Roman"/>
          <w:sz w:val="24"/>
          <w:szCs w:val="24"/>
        </w:rPr>
        <w:t>of the median annual income for families of people without disabilities ($67,348)</w:t>
      </w:r>
      <w:r w:rsidR="00C17D2F" w:rsidRPr="00C17D2F">
        <w:rPr>
          <w:rFonts w:ascii="Times New Roman" w:hAnsi="Times New Roman"/>
          <w:sz w:val="24"/>
          <w:szCs w:val="24"/>
        </w:rPr>
        <w:t>.</w:t>
      </w:r>
      <w:r w:rsidR="00C17D2F" w:rsidRPr="00C17D2F">
        <w:rPr>
          <w:rStyle w:val="FootnoteReference"/>
          <w:rFonts w:ascii="Times New Roman" w:hAnsi="Times New Roman"/>
          <w:sz w:val="24"/>
          <w:szCs w:val="24"/>
        </w:rPr>
        <w:footnoteReference w:id="7"/>
      </w:r>
      <w:r w:rsidR="00C17D2F" w:rsidRPr="00C17D2F">
        <w:rPr>
          <w:rFonts w:ascii="Times New Roman" w:hAnsi="Times New Roman"/>
          <w:sz w:val="24"/>
          <w:szCs w:val="24"/>
        </w:rPr>
        <w:t xml:space="preserve"> Accordingly, poverty rates for adults with disabilities were almost twice as high (24%) compared to those without disabilities (12.9%), as of the end of 2013.</w:t>
      </w:r>
      <w:r w:rsidR="00C17D2F" w:rsidRPr="00C17D2F">
        <w:rPr>
          <w:rStyle w:val="FootnoteReference"/>
          <w:rFonts w:ascii="Times New Roman" w:hAnsi="Times New Roman"/>
          <w:sz w:val="24"/>
          <w:szCs w:val="24"/>
        </w:rPr>
        <w:footnoteReference w:id="8"/>
      </w:r>
      <w:r w:rsidR="00C17D2F" w:rsidRPr="00C17D2F">
        <w:rPr>
          <w:rFonts w:ascii="Times New Roman" w:hAnsi="Times New Roman"/>
          <w:sz w:val="24"/>
          <w:szCs w:val="24"/>
        </w:rPr>
        <w:t xml:space="preserve"> From a healthcare perspective, while many individuals with disabilities have private health insurance coverage, or state- or federally-provided health insurance, working-age adults with severe and non-severe disabilities were still more likely to be without health insurance (20.8% </w:t>
      </w:r>
      <w:r w:rsidR="00085841" w:rsidRPr="00C17D2F">
        <w:rPr>
          <w:rFonts w:ascii="Times New Roman" w:hAnsi="Times New Roman"/>
          <w:sz w:val="24"/>
          <w:szCs w:val="24"/>
        </w:rPr>
        <w:t>and 21.7</w:t>
      </w:r>
      <w:r w:rsidR="00C17D2F" w:rsidRPr="00C17D2F">
        <w:rPr>
          <w:rFonts w:ascii="Times New Roman" w:hAnsi="Times New Roman"/>
          <w:sz w:val="24"/>
          <w:szCs w:val="24"/>
        </w:rPr>
        <w:t>%</w:t>
      </w:r>
      <w:r w:rsidR="00085841" w:rsidRPr="00C17D2F">
        <w:rPr>
          <w:rFonts w:ascii="Times New Roman" w:hAnsi="Times New Roman"/>
          <w:sz w:val="24"/>
          <w:szCs w:val="24"/>
        </w:rPr>
        <w:t xml:space="preserve">, respectively) </w:t>
      </w:r>
      <w:r w:rsidR="00C17D2F" w:rsidRPr="00C17D2F">
        <w:rPr>
          <w:rFonts w:ascii="Times New Roman" w:hAnsi="Times New Roman"/>
          <w:sz w:val="24"/>
          <w:szCs w:val="24"/>
        </w:rPr>
        <w:t>compared to</w:t>
      </w:r>
      <w:r w:rsidR="00085841" w:rsidRPr="00C17D2F">
        <w:rPr>
          <w:rFonts w:ascii="Times New Roman" w:hAnsi="Times New Roman"/>
          <w:sz w:val="24"/>
          <w:szCs w:val="24"/>
        </w:rPr>
        <w:t xml:space="preserve"> adults with no disability in December 2013 (18.2 percent)</w:t>
      </w:r>
      <w:r w:rsidR="00C17D2F" w:rsidRPr="00C17D2F">
        <w:rPr>
          <w:rFonts w:ascii="Times New Roman" w:hAnsi="Times New Roman"/>
          <w:sz w:val="24"/>
          <w:szCs w:val="24"/>
        </w:rPr>
        <w:t>.</w:t>
      </w:r>
      <w:r w:rsidR="00C17D2F" w:rsidRPr="00C17D2F">
        <w:rPr>
          <w:rStyle w:val="FootnoteReference"/>
          <w:rFonts w:ascii="Times New Roman" w:hAnsi="Times New Roman"/>
          <w:sz w:val="24"/>
          <w:szCs w:val="24"/>
        </w:rPr>
        <w:footnoteReference w:id="9"/>
      </w:r>
      <w:r w:rsidR="00085841" w:rsidRPr="00C17D2F">
        <w:rPr>
          <w:rFonts w:ascii="Times New Roman" w:hAnsi="Times New Roman"/>
          <w:sz w:val="24"/>
          <w:szCs w:val="24"/>
        </w:rPr>
        <w:t xml:space="preserve"> </w:t>
      </w:r>
      <w:r w:rsidR="00C17D2F" w:rsidRPr="00C17D2F">
        <w:rPr>
          <w:rFonts w:ascii="Times New Roman" w:hAnsi="Times New Roman"/>
          <w:sz w:val="24"/>
          <w:szCs w:val="24"/>
        </w:rPr>
        <w:t>Additionally, adults with severe and non-severe disabilities were also more likely to remain uninsured for 6 consecutive months</w:t>
      </w:r>
      <w:r w:rsidR="00085841" w:rsidRPr="00C17D2F">
        <w:rPr>
          <w:rFonts w:ascii="Times New Roman" w:hAnsi="Times New Roman"/>
          <w:sz w:val="24"/>
          <w:szCs w:val="24"/>
        </w:rPr>
        <w:t xml:space="preserve"> compared with adults with no disability</w:t>
      </w:r>
      <w:r w:rsidR="00C17D2F" w:rsidRPr="00C17D2F">
        <w:rPr>
          <w:rFonts w:ascii="Times New Roman" w:hAnsi="Times New Roman"/>
          <w:sz w:val="24"/>
          <w:szCs w:val="24"/>
        </w:rPr>
        <w:t>.</w:t>
      </w:r>
      <w:r w:rsidR="00C17D2F" w:rsidRPr="00C17D2F">
        <w:rPr>
          <w:rStyle w:val="FootnoteReference"/>
          <w:rFonts w:ascii="Times New Roman" w:hAnsi="Times New Roman"/>
          <w:sz w:val="24"/>
          <w:szCs w:val="24"/>
        </w:rPr>
        <w:footnoteReference w:id="10"/>
      </w:r>
      <w:r w:rsidR="00C17D2F">
        <w:rPr>
          <w:rFonts w:ascii="Times New Roman" w:hAnsi="Times New Roman"/>
          <w:sz w:val="24"/>
          <w:szCs w:val="24"/>
        </w:rPr>
        <w:t xml:space="preserve"> In New York City in particular, transportation is also deeply </w:t>
      </w:r>
      <w:r w:rsidR="007C468C">
        <w:rPr>
          <w:rFonts w:ascii="Times New Roman" w:hAnsi="Times New Roman"/>
          <w:sz w:val="24"/>
          <w:szCs w:val="24"/>
        </w:rPr>
        <w:t>inaccessible</w:t>
      </w:r>
      <w:r w:rsidR="00C17D2F">
        <w:rPr>
          <w:rFonts w:ascii="Times New Roman" w:hAnsi="Times New Roman"/>
          <w:sz w:val="24"/>
          <w:szCs w:val="24"/>
        </w:rPr>
        <w:t xml:space="preserve">, with </w:t>
      </w:r>
      <w:r w:rsidR="007C468C">
        <w:rPr>
          <w:rFonts w:ascii="Times New Roman" w:hAnsi="Times New Roman"/>
          <w:sz w:val="24"/>
          <w:szCs w:val="24"/>
        </w:rPr>
        <w:t>less</w:t>
      </w:r>
      <w:r w:rsidR="00C17D2F">
        <w:rPr>
          <w:rFonts w:ascii="Times New Roman" w:hAnsi="Times New Roman"/>
          <w:sz w:val="24"/>
          <w:szCs w:val="24"/>
        </w:rPr>
        <w:t xml:space="preserve"> than a quarter of su</w:t>
      </w:r>
      <w:r w:rsidR="007C468C">
        <w:rPr>
          <w:rFonts w:ascii="Times New Roman" w:hAnsi="Times New Roman"/>
          <w:sz w:val="24"/>
          <w:szCs w:val="24"/>
        </w:rPr>
        <w:t>bway stations having elevators (and even those that do break down an average of 53 times per year),</w:t>
      </w:r>
      <w:r w:rsidR="007C468C">
        <w:rPr>
          <w:rStyle w:val="FootnoteReference"/>
          <w:rFonts w:ascii="Times New Roman" w:hAnsi="Times New Roman"/>
          <w:sz w:val="24"/>
          <w:szCs w:val="24"/>
        </w:rPr>
        <w:footnoteReference w:id="11"/>
      </w:r>
      <w:r w:rsidR="007C468C">
        <w:rPr>
          <w:rFonts w:ascii="Times New Roman" w:hAnsi="Times New Roman"/>
          <w:sz w:val="24"/>
          <w:szCs w:val="24"/>
        </w:rPr>
        <w:t xml:space="preserve"> inadequate sidewalk curb cuts, and not enough </w:t>
      </w:r>
      <w:r w:rsidR="007C468C" w:rsidRPr="00434559">
        <w:rPr>
          <w:rFonts w:ascii="Times New Roman" w:hAnsi="Times New Roman"/>
          <w:sz w:val="24"/>
          <w:szCs w:val="24"/>
        </w:rPr>
        <w:t xml:space="preserve">accessible taxis and for-hire-vehicles.  </w:t>
      </w:r>
    </w:p>
    <w:p w:rsidR="00085841" w:rsidRDefault="00C17D2F" w:rsidP="00A116F2">
      <w:pPr>
        <w:spacing w:after="0" w:line="480" w:lineRule="auto"/>
        <w:ind w:firstLine="720"/>
        <w:jc w:val="both"/>
        <w:rPr>
          <w:rFonts w:ascii="Times New Roman" w:hAnsi="Times New Roman"/>
          <w:sz w:val="24"/>
          <w:szCs w:val="24"/>
        </w:rPr>
      </w:pPr>
      <w:r w:rsidRPr="00434559">
        <w:rPr>
          <w:rFonts w:ascii="Times New Roman" w:hAnsi="Times New Roman"/>
          <w:sz w:val="24"/>
          <w:szCs w:val="24"/>
        </w:rPr>
        <w:lastRenderedPageBreak/>
        <w:t xml:space="preserve">This lack of access and equality with regard to education, employment, economic opportunity, </w:t>
      </w:r>
      <w:r w:rsidR="00434559" w:rsidRPr="00434559">
        <w:rPr>
          <w:rFonts w:ascii="Times New Roman" w:hAnsi="Times New Roman"/>
          <w:sz w:val="24"/>
          <w:szCs w:val="24"/>
        </w:rPr>
        <w:t>transportation, and health insurance translates to greater needs for public assistance, including housing assistance. Adults with a disability are more likely to receive public assistance than those without a disability</w:t>
      </w:r>
      <w:r w:rsidR="00FD4702">
        <w:rPr>
          <w:rFonts w:ascii="Times New Roman" w:hAnsi="Times New Roman"/>
          <w:sz w:val="24"/>
          <w:szCs w:val="24"/>
        </w:rPr>
        <w:t>.</w:t>
      </w:r>
      <w:r w:rsidR="00434559" w:rsidRPr="00434559">
        <w:rPr>
          <w:rFonts w:ascii="Times New Roman" w:hAnsi="Times New Roman"/>
          <w:sz w:val="24"/>
          <w:szCs w:val="24"/>
        </w:rPr>
        <w:t xml:space="preserve"> As of the end of 2013, around 52.1% of adults with a severe disability received a form of cash assistance (such as social security benefits or supplemental security income) compared to adults with non-severe disability (16.4%) and adults with no disability (6.6%).</w:t>
      </w:r>
      <w:r w:rsidR="00434559" w:rsidRPr="00434559">
        <w:rPr>
          <w:rStyle w:val="FootnoteReference"/>
          <w:rFonts w:ascii="Times New Roman" w:hAnsi="Times New Roman"/>
          <w:sz w:val="24"/>
          <w:szCs w:val="24"/>
        </w:rPr>
        <w:footnoteReference w:id="12"/>
      </w:r>
      <w:r w:rsidR="00434559" w:rsidRPr="00434559">
        <w:rPr>
          <w:rFonts w:ascii="Times New Roman" w:hAnsi="Times New Roman"/>
          <w:sz w:val="24"/>
          <w:szCs w:val="24"/>
        </w:rPr>
        <w:t xml:space="preserve"> 30.8% of adults with a severe disability received SNAP benefits, compared to 12.8% of adults with non-severe disabilities and 8.1% of adults with no disability.</w:t>
      </w:r>
      <w:r w:rsidR="00434559">
        <w:rPr>
          <w:rFonts w:ascii="Times New Roman" w:hAnsi="Times New Roman"/>
          <w:sz w:val="24"/>
          <w:szCs w:val="24"/>
        </w:rPr>
        <w:t xml:space="preserve"> With regard to housing, adults with severe disabilities were 2.5 times as likely to receive housing assistance</w:t>
      </w:r>
      <w:r w:rsidR="00085841" w:rsidRPr="00434559">
        <w:rPr>
          <w:rFonts w:ascii="Times New Roman" w:hAnsi="Times New Roman"/>
          <w:sz w:val="24"/>
          <w:szCs w:val="24"/>
        </w:rPr>
        <w:t xml:space="preserve"> (9.8</w:t>
      </w:r>
      <w:r w:rsidR="00434559">
        <w:rPr>
          <w:rFonts w:ascii="Times New Roman" w:hAnsi="Times New Roman"/>
          <w:sz w:val="24"/>
          <w:szCs w:val="24"/>
        </w:rPr>
        <w:t>%</w:t>
      </w:r>
      <w:r w:rsidR="00085841" w:rsidRPr="00434559">
        <w:rPr>
          <w:rFonts w:ascii="Times New Roman" w:hAnsi="Times New Roman"/>
          <w:sz w:val="24"/>
          <w:szCs w:val="24"/>
        </w:rPr>
        <w:t xml:space="preserve">) </w:t>
      </w:r>
      <w:r w:rsidR="00434559">
        <w:rPr>
          <w:rFonts w:ascii="Times New Roman" w:hAnsi="Times New Roman"/>
          <w:sz w:val="24"/>
          <w:szCs w:val="24"/>
        </w:rPr>
        <w:t>compared to</w:t>
      </w:r>
      <w:r w:rsidR="00085841" w:rsidRPr="00434559">
        <w:rPr>
          <w:rFonts w:ascii="Times New Roman" w:hAnsi="Times New Roman"/>
          <w:sz w:val="24"/>
          <w:szCs w:val="24"/>
        </w:rPr>
        <w:t xml:space="preserve"> adults with a non</w:t>
      </w:r>
      <w:r w:rsidR="00434559">
        <w:rPr>
          <w:rFonts w:ascii="Times New Roman" w:hAnsi="Times New Roman"/>
          <w:sz w:val="24"/>
          <w:szCs w:val="24"/>
        </w:rPr>
        <w:t>-</w:t>
      </w:r>
      <w:r w:rsidR="00085841" w:rsidRPr="00434559">
        <w:rPr>
          <w:rFonts w:ascii="Times New Roman" w:hAnsi="Times New Roman"/>
          <w:sz w:val="24"/>
          <w:szCs w:val="24"/>
        </w:rPr>
        <w:t>severe disability (3.8</w:t>
      </w:r>
      <w:r w:rsidR="00434559">
        <w:rPr>
          <w:rFonts w:ascii="Times New Roman" w:hAnsi="Times New Roman"/>
          <w:sz w:val="24"/>
          <w:szCs w:val="24"/>
        </w:rPr>
        <w:t>%</w:t>
      </w:r>
      <w:r w:rsidR="00085841" w:rsidRPr="00434559">
        <w:rPr>
          <w:rFonts w:ascii="Times New Roman" w:hAnsi="Times New Roman"/>
          <w:sz w:val="24"/>
          <w:szCs w:val="24"/>
        </w:rPr>
        <w:t>)</w:t>
      </w:r>
      <w:r w:rsidR="00434559">
        <w:rPr>
          <w:rFonts w:ascii="Times New Roman" w:hAnsi="Times New Roman"/>
          <w:sz w:val="24"/>
          <w:szCs w:val="24"/>
        </w:rPr>
        <w:t>,</w:t>
      </w:r>
      <w:r w:rsidR="00085841" w:rsidRPr="00434559">
        <w:rPr>
          <w:rFonts w:ascii="Times New Roman" w:hAnsi="Times New Roman"/>
          <w:sz w:val="24"/>
          <w:szCs w:val="24"/>
        </w:rPr>
        <w:t xml:space="preserve"> and about four times </w:t>
      </w:r>
      <w:r w:rsidR="00434559" w:rsidRPr="00434559">
        <w:rPr>
          <w:rFonts w:ascii="Times New Roman" w:hAnsi="Times New Roman"/>
          <w:sz w:val="24"/>
          <w:szCs w:val="24"/>
        </w:rPr>
        <w:t>as likely as</w:t>
      </w:r>
      <w:r w:rsidR="00085841" w:rsidRPr="00434559">
        <w:rPr>
          <w:rFonts w:ascii="Times New Roman" w:hAnsi="Times New Roman"/>
          <w:sz w:val="24"/>
          <w:szCs w:val="24"/>
        </w:rPr>
        <w:t xml:space="preserve"> adults with no disability (2.3</w:t>
      </w:r>
      <w:r w:rsidR="00434559">
        <w:rPr>
          <w:rFonts w:ascii="Times New Roman" w:hAnsi="Times New Roman"/>
          <w:sz w:val="24"/>
          <w:szCs w:val="24"/>
        </w:rPr>
        <w:t>%</w:t>
      </w:r>
      <w:r w:rsidR="00085841" w:rsidRPr="00434559">
        <w:rPr>
          <w:rFonts w:ascii="Times New Roman" w:hAnsi="Times New Roman"/>
          <w:sz w:val="24"/>
          <w:szCs w:val="24"/>
        </w:rPr>
        <w:t>).</w:t>
      </w:r>
      <w:r w:rsidR="00434559">
        <w:rPr>
          <w:rStyle w:val="FootnoteReference"/>
          <w:rFonts w:ascii="Times New Roman" w:hAnsi="Times New Roman"/>
          <w:sz w:val="24"/>
          <w:szCs w:val="24"/>
        </w:rPr>
        <w:footnoteReference w:id="13"/>
      </w:r>
    </w:p>
    <w:p w:rsidR="00FD4702" w:rsidRPr="00FD4702" w:rsidRDefault="00FD4702" w:rsidP="00A116F2">
      <w:pPr>
        <w:spacing w:after="0" w:line="480" w:lineRule="auto"/>
        <w:jc w:val="both"/>
        <w:rPr>
          <w:rFonts w:ascii="Times New Roman" w:hAnsi="Times New Roman"/>
          <w:i/>
          <w:sz w:val="24"/>
          <w:szCs w:val="24"/>
        </w:rPr>
      </w:pPr>
      <w:r>
        <w:rPr>
          <w:rFonts w:ascii="Times New Roman" w:hAnsi="Times New Roman"/>
          <w:i/>
          <w:sz w:val="24"/>
          <w:szCs w:val="24"/>
        </w:rPr>
        <w:t>Disability and Housing in New York City</w:t>
      </w:r>
    </w:p>
    <w:p w:rsidR="00540A22" w:rsidRDefault="00FD4702" w:rsidP="00A116F2">
      <w:pPr>
        <w:spacing w:after="0" w:line="480" w:lineRule="auto"/>
        <w:ind w:firstLine="720"/>
        <w:jc w:val="both"/>
        <w:rPr>
          <w:rFonts w:ascii="Times New Roman" w:hAnsi="Times New Roman"/>
          <w:sz w:val="24"/>
          <w:szCs w:val="24"/>
        </w:rPr>
      </w:pPr>
      <w:r>
        <w:rPr>
          <w:rFonts w:ascii="Times New Roman" w:hAnsi="Times New Roman"/>
          <w:sz w:val="24"/>
          <w:szCs w:val="24"/>
        </w:rPr>
        <w:t>Almost 1 million New York</w:t>
      </w:r>
      <w:r w:rsidRPr="00F10110">
        <w:rPr>
          <w:rFonts w:ascii="Times New Roman" w:hAnsi="Times New Roman"/>
          <w:sz w:val="24"/>
          <w:szCs w:val="24"/>
        </w:rPr>
        <w:t xml:space="preserve"> City </w:t>
      </w:r>
      <w:r>
        <w:rPr>
          <w:rFonts w:ascii="Times New Roman" w:hAnsi="Times New Roman"/>
          <w:sz w:val="24"/>
          <w:szCs w:val="24"/>
        </w:rPr>
        <w:t xml:space="preserve">(NYC) </w:t>
      </w:r>
      <w:r w:rsidRPr="00F10110">
        <w:rPr>
          <w:rFonts w:ascii="Times New Roman" w:hAnsi="Times New Roman"/>
          <w:sz w:val="24"/>
          <w:szCs w:val="24"/>
        </w:rPr>
        <w:t xml:space="preserve">residents, or 11.2% of the City’s population, have disclosed that they are living </w:t>
      </w:r>
      <w:r w:rsidRPr="00C17D2F">
        <w:rPr>
          <w:rFonts w:ascii="Times New Roman" w:hAnsi="Times New Roman"/>
          <w:sz w:val="24"/>
          <w:szCs w:val="24"/>
        </w:rPr>
        <w:t>with a disability.</w:t>
      </w:r>
      <w:r w:rsidRPr="00C17D2F">
        <w:rPr>
          <w:rStyle w:val="FootnoteReference"/>
          <w:rFonts w:ascii="Times New Roman" w:hAnsi="Times New Roman"/>
          <w:sz w:val="24"/>
          <w:szCs w:val="24"/>
        </w:rPr>
        <w:footnoteReference w:id="14"/>
      </w:r>
      <w:r>
        <w:rPr>
          <w:rFonts w:ascii="Times New Roman" w:hAnsi="Times New Roman"/>
          <w:sz w:val="24"/>
          <w:szCs w:val="24"/>
        </w:rPr>
        <w:t xml:space="preserve"> </w:t>
      </w:r>
      <w:r w:rsidR="00540A22">
        <w:rPr>
          <w:rFonts w:ascii="Times New Roman" w:hAnsi="Times New Roman"/>
          <w:sz w:val="24"/>
          <w:szCs w:val="24"/>
        </w:rPr>
        <w:t>As mentioned above, individuals with a disability are more likely to be experiencing poverty</w:t>
      </w:r>
      <w:r w:rsidR="00534EA2">
        <w:rPr>
          <w:rFonts w:ascii="Times New Roman" w:hAnsi="Times New Roman"/>
          <w:sz w:val="24"/>
          <w:szCs w:val="24"/>
        </w:rPr>
        <w:t>, economic distress, and unemployment</w:t>
      </w:r>
      <w:r w:rsidR="00540A22">
        <w:rPr>
          <w:rFonts w:ascii="Times New Roman" w:hAnsi="Times New Roman"/>
          <w:sz w:val="24"/>
          <w:szCs w:val="24"/>
        </w:rPr>
        <w:t xml:space="preserve"> and therefore may experience homelessness or housing </w:t>
      </w:r>
      <w:r w:rsidR="00534EA2">
        <w:rPr>
          <w:rFonts w:ascii="Times New Roman" w:hAnsi="Times New Roman"/>
          <w:sz w:val="24"/>
          <w:szCs w:val="24"/>
        </w:rPr>
        <w:t>challenges</w:t>
      </w:r>
      <w:r w:rsidR="00540A22">
        <w:rPr>
          <w:rFonts w:ascii="Times New Roman" w:hAnsi="Times New Roman"/>
          <w:sz w:val="24"/>
          <w:szCs w:val="24"/>
        </w:rPr>
        <w:t xml:space="preserve"> at higher rates compared to individuals without a disability. According to the United States</w:t>
      </w:r>
      <w:r w:rsidR="00540A22" w:rsidRPr="0052414E">
        <w:rPr>
          <w:rFonts w:ascii="Times New Roman" w:hAnsi="Times New Roman"/>
          <w:sz w:val="24"/>
          <w:szCs w:val="24"/>
        </w:rPr>
        <w:t xml:space="preserve"> Department of Housing and Urb</w:t>
      </w:r>
      <w:r w:rsidR="00540A22">
        <w:rPr>
          <w:rFonts w:ascii="Times New Roman" w:hAnsi="Times New Roman"/>
          <w:sz w:val="24"/>
          <w:szCs w:val="24"/>
        </w:rPr>
        <w:t xml:space="preserve">an Development, an estimated 38% </w:t>
      </w:r>
      <w:r w:rsidR="00540A22" w:rsidRPr="0052414E">
        <w:rPr>
          <w:rFonts w:ascii="Times New Roman" w:hAnsi="Times New Roman"/>
          <w:sz w:val="24"/>
          <w:szCs w:val="24"/>
        </w:rPr>
        <w:t xml:space="preserve">of sheltered homeless </w:t>
      </w:r>
      <w:r w:rsidR="00540A22">
        <w:rPr>
          <w:rFonts w:ascii="Times New Roman" w:hAnsi="Times New Roman"/>
          <w:sz w:val="24"/>
          <w:szCs w:val="24"/>
        </w:rPr>
        <w:t xml:space="preserve">individuals </w:t>
      </w:r>
      <w:r w:rsidR="00540A22" w:rsidRPr="0052414E">
        <w:rPr>
          <w:rFonts w:ascii="Times New Roman" w:hAnsi="Times New Roman"/>
          <w:sz w:val="24"/>
          <w:szCs w:val="24"/>
        </w:rPr>
        <w:t>ha</w:t>
      </w:r>
      <w:r w:rsidR="00540A22">
        <w:rPr>
          <w:rFonts w:ascii="Times New Roman" w:hAnsi="Times New Roman"/>
          <w:sz w:val="24"/>
          <w:szCs w:val="24"/>
        </w:rPr>
        <w:t xml:space="preserve">ve disabilities, compared to 15% </w:t>
      </w:r>
      <w:r w:rsidR="00540A22" w:rsidRPr="0052414E">
        <w:rPr>
          <w:rFonts w:ascii="Times New Roman" w:hAnsi="Times New Roman"/>
          <w:sz w:val="24"/>
          <w:szCs w:val="24"/>
        </w:rPr>
        <w:t>of the general population in the United States.</w:t>
      </w:r>
      <w:r w:rsidR="00540A22" w:rsidRPr="0052414E">
        <w:rPr>
          <w:rStyle w:val="FootnoteReference"/>
          <w:rFonts w:ascii="Times New Roman" w:hAnsi="Times New Roman"/>
          <w:sz w:val="24"/>
          <w:szCs w:val="24"/>
        </w:rPr>
        <w:footnoteReference w:id="15"/>
      </w:r>
      <w:r w:rsidR="00540A22">
        <w:rPr>
          <w:rFonts w:ascii="Times New Roman" w:hAnsi="Times New Roman"/>
          <w:sz w:val="24"/>
          <w:szCs w:val="24"/>
        </w:rPr>
        <w:t xml:space="preserve"> In New York City, 52.4% </w:t>
      </w:r>
      <w:r w:rsidR="00540A22" w:rsidRPr="0052414E">
        <w:rPr>
          <w:rFonts w:ascii="Times New Roman" w:hAnsi="Times New Roman"/>
          <w:sz w:val="24"/>
          <w:szCs w:val="24"/>
        </w:rPr>
        <w:t xml:space="preserve">of </w:t>
      </w:r>
      <w:r w:rsidR="00540A22" w:rsidRPr="0052414E">
        <w:rPr>
          <w:rFonts w:ascii="Times New Roman" w:hAnsi="Times New Roman"/>
          <w:sz w:val="24"/>
          <w:szCs w:val="24"/>
        </w:rPr>
        <w:lastRenderedPageBreak/>
        <w:t>people with disabilities spend more than one-third of their in</w:t>
      </w:r>
      <w:r w:rsidR="00540A22">
        <w:rPr>
          <w:rFonts w:ascii="Times New Roman" w:hAnsi="Times New Roman"/>
          <w:sz w:val="24"/>
          <w:szCs w:val="24"/>
        </w:rPr>
        <w:t xml:space="preserve">come on rent compared with 42.1% </w:t>
      </w:r>
      <w:r w:rsidR="00540A22" w:rsidRPr="0052414E">
        <w:rPr>
          <w:rFonts w:ascii="Times New Roman" w:hAnsi="Times New Roman"/>
          <w:sz w:val="24"/>
          <w:szCs w:val="24"/>
        </w:rPr>
        <w:t>of their non-disabled peers, according to a report commissioned by the Center for Independence of the Disabled (CID-NY).</w:t>
      </w:r>
      <w:r w:rsidR="00540A22" w:rsidRPr="0052414E">
        <w:rPr>
          <w:rStyle w:val="FootnoteReference"/>
          <w:rFonts w:ascii="Times New Roman" w:hAnsi="Times New Roman"/>
          <w:sz w:val="24"/>
          <w:szCs w:val="24"/>
        </w:rPr>
        <w:footnoteReference w:id="16"/>
      </w:r>
      <w:r w:rsidR="00540A22" w:rsidRPr="0052414E">
        <w:rPr>
          <w:rFonts w:ascii="Times New Roman" w:hAnsi="Times New Roman"/>
          <w:sz w:val="24"/>
          <w:szCs w:val="24"/>
        </w:rPr>
        <w:t xml:space="preserve"> People with disabi</w:t>
      </w:r>
      <w:r w:rsidR="00540A22">
        <w:rPr>
          <w:rFonts w:ascii="Times New Roman" w:hAnsi="Times New Roman"/>
          <w:sz w:val="24"/>
          <w:szCs w:val="24"/>
        </w:rPr>
        <w:t xml:space="preserve">lities in New York City are 9.3% </w:t>
      </w:r>
      <w:r w:rsidR="00540A22" w:rsidRPr="0052414E">
        <w:rPr>
          <w:rFonts w:ascii="Times New Roman" w:hAnsi="Times New Roman"/>
          <w:sz w:val="24"/>
          <w:szCs w:val="24"/>
        </w:rPr>
        <w:t>more likely than people without dis</w:t>
      </w:r>
      <w:r w:rsidR="00540A22">
        <w:rPr>
          <w:rFonts w:ascii="Times New Roman" w:hAnsi="Times New Roman"/>
          <w:sz w:val="24"/>
          <w:szCs w:val="24"/>
        </w:rPr>
        <w:t xml:space="preserve">abilities to spend more than 50% </w:t>
      </w:r>
      <w:r w:rsidR="00540A22" w:rsidRPr="0052414E">
        <w:rPr>
          <w:rFonts w:ascii="Times New Roman" w:hAnsi="Times New Roman"/>
          <w:sz w:val="24"/>
          <w:szCs w:val="24"/>
        </w:rPr>
        <w:t>of their income on rent.</w:t>
      </w:r>
      <w:r w:rsidR="00540A22" w:rsidRPr="0052414E">
        <w:rPr>
          <w:rStyle w:val="FootnoteReference"/>
          <w:rFonts w:ascii="Times New Roman" w:hAnsi="Times New Roman"/>
          <w:sz w:val="24"/>
          <w:szCs w:val="24"/>
        </w:rPr>
        <w:footnoteReference w:id="17"/>
      </w:r>
      <w:r w:rsidR="00540A22" w:rsidRPr="0052414E">
        <w:rPr>
          <w:rFonts w:ascii="Times New Roman" w:hAnsi="Times New Roman"/>
          <w:sz w:val="24"/>
          <w:szCs w:val="24"/>
        </w:rPr>
        <w:t xml:space="preserve"> The poverty rate for people with disabilities in the City is 36.5</w:t>
      </w:r>
      <w:r w:rsidR="00540A22">
        <w:rPr>
          <w:rFonts w:ascii="Times New Roman" w:hAnsi="Times New Roman"/>
          <w:sz w:val="24"/>
          <w:szCs w:val="24"/>
        </w:rPr>
        <w:t xml:space="preserve">% </w:t>
      </w:r>
      <w:r w:rsidR="00540A22" w:rsidRPr="0052414E">
        <w:rPr>
          <w:rFonts w:ascii="Times New Roman" w:hAnsi="Times New Roman"/>
          <w:sz w:val="24"/>
          <w:szCs w:val="24"/>
        </w:rPr>
        <w:t>—double the poverty rate of people without disabilities (16.7 percent).</w:t>
      </w:r>
      <w:r w:rsidR="00540A22" w:rsidRPr="0052414E">
        <w:rPr>
          <w:rStyle w:val="FootnoteReference"/>
          <w:rFonts w:ascii="Times New Roman" w:hAnsi="Times New Roman"/>
          <w:sz w:val="24"/>
          <w:szCs w:val="24"/>
        </w:rPr>
        <w:footnoteReference w:id="18"/>
      </w:r>
    </w:p>
    <w:p w:rsidR="00C14AE2" w:rsidRPr="00C14AE2" w:rsidRDefault="00C14AE2" w:rsidP="00F9648E">
      <w:pPr>
        <w:spacing w:after="0" w:line="480" w:lineRule="auto"/>
        <w:ind w:firstLine="720"/>
        <w:jc w:val="both"/>
        <w:rPr>
          <w:rFonts w:ascii="Times New Roman" w:hAnsi="Times New Roman"/>
          <w:sz w:val="24"/>
          <w:szCs w:val="24"/>
        </w:rPr>
      </w:pPr>
      <w:r w:rsidRPr="00C14AE2">
        <w:rPr>
          <w:rFonts w:ascii="Times New Roman" w:hAnsi="Times New Roman"/>
          <w:sz w:val="24"/>
          <w:szCs w:val="24"/>
        </w:rPr>
        <w:t xml:space="preserve">Despite </w:t>
      </w:r>
      <w:r w:rsidRPr="00F5701F">
        <w:rPr>
          <w:rFonts w:ascii="Times New Roman" w:hAnsi="Times New Roman"/>
          <w:sz w:val="24"/>
          <w:szCs w:val="24"/>
        </w:rPr>
        <w:t>these staggering numbers, accessible housing in NYC is limited, expensive, and very difficult to find. The City has some housing set-asides to address the needs of individuals living with disabilities, including affordable housing projects managed by the Department of Housing Preservation and Development (HPD), the NYC Housing Development Corporation (HDC) (which sets aside 7% of units for applicants with disabilities, broken down by 5% for mobility issues and 2% for vision and hearing issues),</w:t>
      </w:r>
      <w:r w:rsidRPr="00F5701F">
        <w:rPr>
          <w:rStyle w:val="FootnoteReference"/>
          <w:rFonts w:ascii="Times New Roman" w:hAnsi="Times New Roman"/>
          <w:sz w:val="24"/>
          <w:szCs w:val="24"/>
        </w:rPr>
        <w:footnoteReference w:id="19"/>
      </w:r>
      <w:r w:rsidRPr="00F5701F">
        <w:rPr>
          <w:rFonts w:ascii="Times New Roman" w:hAnsi="Times New Roman"/>
          <w:sz w:val="24"/>
          <w:szCs w:val="24"/>
        </w:rPr>
        <w:t xml:space="preserve"> </w:t>
      </w:r>
      <w:r w:rsidR="00F5701F" w:rsidRPr="00F5701F">
        <w:rPr>
          <w:rFonts w:ascii="Times New Roman" w:hAnsi="Times New Roman"/>
          <w:sz w:val="24"/>
          <w:szCs w:val="24"/>
        </w:rPr>
        <w:t>housing managed by the New York State Department of Health, Office for People with Developmental Disabilities (OPWDD), the Human Resources Administration (HRA), NYC Department of Finance, and various City-subsidized housing options.</w:t>
      </w:r>
      <w:r w:rsidR="00F5701F" w:rsidRPr="00F5701F">
        <w:rPr>
          <w:rStyle w:val="FootnoteReference"/>
          <w:rFonts w:ascii="Times New Roman" w:hAnsi="Times New Roman"/>
          <w:sz w:val="24"/>
          <w:szCs w:val="24"/>
        </w:rPr>
        <w:footnoteReference w:id="20"/>
      </w:r>
      <w:r w:rsidRPr="00C14AE2">
        <w:rPr>
          <w:rFonts w:ascii="Times New Roman" w:hAnsi="Times New Roman"/>
          <w:sz w:val="24"/>
          <w:szCs w:val="24"/>
        </w:rPr>
        <w:t xml:space="preserve"> However, these housing set-asides often have low stock and long waiting lists. </w:t>
      </w:r>
    </w:p>
    <w:p w:rsidR="008C3551" w:rsidRDefault="00C14AE2" w:rsidP="00F9648E">
      <w:pPr>
        <w:spacing w:after="0" w:line="480" w:lineRule="auto"/>
        <w:ind w:firstLine="720"/>
        <w:jc w:val="both"/>
        <w:rPr>
          <w:rFonts w:ascii="Times New Roman" w:hAnsi="Times New Roman"/>
          <w:sz w:val="24"/>
          <w:szCs w:val="24"/>
        </w:rPr>
      </w:pPr>
      <w:r w:rsidRPr="00C14AE2">
        <w:rPr>
          <w:rFonts w:ascii="Times New Roman" w:hAnsi="Times New Roman"/>
          <w:sz w:val="24"/>
          <w:szCs w:val="24"/>
        </w:rPr>
        <w:t xml:space="preserve">The City’s </w:t>
      </w:r>
      <w:r w:rsidR="00EB5D20">
        <w:rPr>
          <w:rFonts w:ascii="Times New Roman" w:hAnsi="Times New Roman"/>
          <w:sz w:val="24"/>
          <w:szCs w:val="24"/>
        </w:rPr>
        <w:t>p</w:t>
      </w:r>
      <w:r w:rsidRPr="00C14AE2">
        <w:rPr>
          <w:rFonts w:ascii="Times New Roman" w:hAnsi="Times New Roman"/>
          <w:sz w:val="24"/>
          <w:szCs w:val="24"/>
        </w:rPr>
        <w:t xml:space="preserve">ublic </w:t>
      </w:r>
      <w:r w:rsidR="00EB5D20">
        <w:rPr>
          <w:rFonts w:ascii="Times New Roman" w:hAnsi="Times New Roman"/>
          <w:sz w:val="24"/>
          <w:szCs w:val="24"/>
        </w:rPr>
        <w:t>h</w:t>
      </w:r>
      <w:r w:rsidRPr="00C14AE2">
        <w:rPr>
          <w:rFonts w:ascii="Times New Roman" w:hAnsi="Times New Roman"/>
          <w:sz w:val="24"/>
          <w:szCs w:val="24"/>
        </w:rPr>
        <w:t xml:space="preserve">ousing option – NYCHA – </w:t>
      </w:r>
      <w:r w:rsidR="00F9648E">
        <w:rPr>
          <w:rFonts w:ascii="Times New Roman" w:hAnsi="Times New Roman"/>
          <w:sz w:val="24"/>
          <w:szCs w:val="24"/>
        </w:rPr>
        <w:t xml:space="preserve">is obligated to </w:t>
      </w:r>
      <w:r w:rsidRPr="00C14AE2">
        <w:rPr>
          <w:rFonts w:ascii="Times New Roman" w:hAnsi="Times New Roman"/>
          <w:sz w:val="24"/>
          <w:szCs w:val="24"/>
        </w:rPr>
        <w:t>address the housing needs of individuals with disabilities</w:t>
      </w:r>
      <w:r w:rsidR="00F5701F">
        <w:rPr>
          <w:rFonts w:ascii="Times New Roman" w:hAnsi="Times New Roman"/>
          <w:sz w:val="24"/>
          <w:szCs w:val="24"/>
        </w:rPr>
        <w:t>.</w:t>
      </w:r>
      <w:r w:rsidRPr="00C14AE2">
        <w:rPr>
          <w:rFonts w:ascii="Times New Roman" w:hAnsi="Times New Roman"/>
          <w:sz w:val="24"/>
          <w:szCs w:val="24"/>
        </w:rPr>
        <w:t xml:space="preserve"> </w:t>
      </w:r>
      <w:r w:rsidRPr="00C14AE2">
        <w:rPr>
          <w:rFonts w:ascii="Times New Roman" w:hAnsi="Times New Roman"/>
          <w:sz w:val="24"/>
          <w:szCs w:val="24"/>
          <w:lang w:eastAsia="zh-CN"/>
        </w:rPr>
        <w:t>NYCHA’s stated purpose is providing safe, decent housing for families with the lowest incomes.</w:t>
      </w:r>
      <w:r w:rsidRPr="00C14AE2">
        <w:rPr>
          <w:rFonts w:ascii="Times New Roman" w:hAnsi="Times New Roman"/>
          <w:sz w:val="24"/>
          <w:szCs w:val="24"/>
          <w:vertAlign w:val="superscript"/>
          <w:lang w:eastAsia="zh-CN"/>
        </w:rPr>
        <w:footnoteReference w:id="21"/>
      </w:r>
      <w:r w:rsidRPr="00C14AE2">
        <w:rPr>
          <w:rFonts w:ascii="Times New Roman" w:hAnsi="Times New Roman"/>
          <w:sz w:val="24"/>
          <w:szCs w:val="24"/>
          <w:lang w:eastAsia="zh-CN"/>
        </w:rPr>
        <w:t xml:space="preserve"> As of 201</w:t>
      </w:r>
      <w:r w:rsidR="001C1F1E">
        <w:rPr>
          <w:rFonts w:ascii="Times New Roman" w:hAnsi="Times New Roman"/>
          <w:sz w:val="24"/>
          <w:szCs w:val="24"/>
          <w:lang w:eastAsia="zh-CN"/>
        </w:rPr>
        <w:t>9</w:t>
      </w:r>
      <w:r w:rsidRPr="00C14AE2">
        <w:rPr>
          <w:rFonts w:ascii="Times New Roman" w:hAnsi="Times New Roman"/>
          <w:sz w:val="24"/>
          <w:szCs w:val="24"/>
          <w:lang w:eastAsia="zh-CN"/>
        </w:rPr>
        <w:t xml:space="preserve">, NYCHA </w:t>
      </w:r>
      <w:r w:rsidR="001C1F1E">
        <w:rPr>
          <w:rFonts w:ascii="Times New Roman" w:hAnsi="Times New Roman"/>
          <w:sz w:val="24"/>
          <w:szCs w:val="24"/>
          <w:lang w:eastAsia="zh-CN"/>
        </w:rPr>
        <w:t>has 316</w:t>
      </w:r>
      <w:r w:rsidRPr="00C14AE2">
        <w:rPr>
          <w:rFonts w:ascii="Times New Roman" w:hAnsi="Times New Roman"/>
          <w:sz w:val="24"/>
          <w:szCs w:val="24"/>
          <w:lang w:eastAsia="zh-CN"/>
        </w:rPr>
        <w:t xml:space="preserve"> developments, </w:t>
      </w:r>
      <w:r w:rsidR="001C1F1E">
        <w:rPr>
          <w:rFonts w:ascii="Times New Roman" w:hAnsi="Times New Roman"/>
          <w:sz w:val="24"/>
          <w:szCs w:val="24"/>
          <w:lang w:eastAsia="zh-CN"/>
        </w:rPr>
        <w:t xml:space="preserve">2,351 </w:t>
      </w:r>
      <w:r w:rsidR="001C1F1E">
        <w:rPr>
          <w:rFonts w:ascii="Times New Roman" w:hAnsi="Times New Roman"/>
          <w:sz w:val="24"/>
          <w:szCs w:val="24"/>
          <w:lang w:eastAsia="zh-CN"/>
        </w:rPr>
        <w:lastRenderedPageBreak/>
        <w:t>residential</w:t>
      </w:r>
      <w:r w:rsidRPr="00C14AE2">
        <w:rPr>
          <w:rFonts w:ascii="Times New Roman" w:hAnsi="Times New Roman"/>
          <w:sz w:val="24"/>
          <w:szCs w:val="24"/>
          <w:lang w:eastAsia="zh-CN"/>
        </w:rPr>
        <w:t xml:space="preserve"> buildings, and </w:t>
      </w:r>
      <w:r w:rsidR="001C1F1E">
        <w:rPr>
          <w:rFonts w:ascii="Times New Roman" w:hAnsi="Times New Roman"/>
          <w:sz w:val="24"/>
          <w:szCs w:val="24"/>
          <w:lang w:eastAsia="zh-CN"/>
        </w:rPr>
        <w:t>173,762</w:t>
      </w:r>
      <w:r w:rsidRPr="00C14AE2">
        <w:rPr>
          <w:rFonts w:ascii="Times New Roman" w:hAnsi="Times New Roman"/>
          <w:sz w:val="24"/>
          <w:szCs w:val="24"/>
          <w:lang w:eastAsia="zh-CN"/>
        </w:rPr>
        <w:t xml:space="preserve"> units that are home to </w:t>
      </w:r>
      <w:r w:rsidR="001C1F1E">
        <w:rPr>
          <w:rFonts w:ascii="Times New Roman" w:hAnsi="Times New Roman"/>
          <w:sz w:val="24"/>
          <w:szCs w:val="24"/>
          <w:lang w:eastAsia="zh-CN"/>
        </w:rPr>
        <w:t>381,159</w:t>
      </w:r>
      <w:r w:rsidRPr="00AD61F2">
        <w:rPr>
          <w:rFonts w:ascii="Times New Roman" w:hAnsi="Times New Roman"/>
          <w:sz w:val="24"/>
          <w:szCs w:val="24"/>
          <w:lang w:eastAsia="zh-CN"/>
        </w:rPr>
        <w:t xml:space="preserve"> authorized residents, making it the largest public housing authority in North America.</w:t>
      </w:r>
      <w:r w:rsidRPr="00AD61F2">
        <w:rPr>
          <w:rFonts w:ascii="Times New Roman" w:hAnsi="Times New Roman"/>
          <w:sz w:val="24"/>
          <w:szCs w:val="24"/>
          <w:vertAlign w:val="superscript"/>
          <w:lang w:eastAsia="zh-CN"/>
        </w:rPr>
        <w:footnoteReference w:id="22"/>
      </w:r>
      <w:r w:rsidRPr="00AD61F2">
        <w:rPr>
          <w:rFonts w:ascii="Times New Roman" w:hAnsi="Times New Roman"/>
          <w:sz w:val="24"/>
          <w:szCs w:val="24"/>
          <w:lang w:eastAsia="zh-CN"/>
        </w:rPr>
        <w:t xml:space="preserve"> Of those individuals living in NYCHA housing, </w:t>
      </w:r>
      <w:r w:rsidR="00AD61F2" w:rsidRPr="00AD61F2">
        <w:rPr>
          <w:rFonts w:ascii="Times New Roman" w:hAnsi="Times New Roman"/>
          <w:sz w:val="24"/>
          <w:szCs w:val="24"/>
          <w:lang w:eastAsia="zh-CN"/>
        </w:rPr>
        <w:t>a</w:t>
      </w:r>
      <w:r w:rsidR="00F5701F" w:rsidRPr="00AD61F2">
        <w:rPr>
          <w:rFonts w:ascii="Times New Roman" w:hAnsi="Times New Roman"/>
          <w:sz w:val="24"/>
          <w:szCs w:val="24"/>
          <w:lang w:eastAsia="zh-CN"/>
        </w:rPr>
        <w:t xml:space="preserve"> significant percentage are senior</w:t>
      </w:r>
      <w:r w:rsidR="00AD61F2" w:rsidRPr="00AD61F2">
        <w:rPr>
          <w:rFonts w:ascii="Times New Roman" w:hAnsi="Times New Roman"/>
          <w:sz w:val="24"/>
          <w:szCs w:val="24"/>
          <w:lang w:eastAsia="zh-CN"/>
        </w:rPr>
        <w:t>s</w:t>
      </w:r>
      <w:r w:rsidR="008C3551">
        <w:rPr>
          <w:rFonts w:ascii="Times New Roman" w:hAnsi="Times New Roman"/>
          <w:sz w:val="24"/>
          <w:szCs w:val="24"/>
          <w:shd w:val="clear" w:color="auto" w:fill="FFFFFF"/>
        </w:rPr>
        <w:t>;</w:t>
      </w:r>
      <w:r w:rsidR="00AD61F2">
        <w:rPr>
          <w:rStyle w:val="FootnoteReference"/>
          <w:rFonts w:ascii="Times New Roman" w:hAnsi="Times New Roman"/>
          <w:sz w:val="24"/>
          <w:szCs w:val="24"/>
          <w:shd w:val="clear" w:color="auto" w:fill="FFFFFF"/>
        </w:rPr>
        <w:footnoteReference w:id="23"/>
      </w:r>
      <w:r w:rsidR="008C3551">
        <w:rPr>
          <w:rFonts w:ascii="Times New Roman" w:hAnsi="Times New Roman"/>
          <w:sz w:val="24"/>
          <w:szCs w:val="24"/>
          <w:shd w:val="clear" w:color="auto" w:fill="FFFFFF"/>
        </w:rPr>
        <w:t xml:space="preserve"> 39.7% of households are headed by persons age 62 and older, and 21.2% of the NYCHA population is age 62 or older.</w:t>
      </w:r>
      <w:r w:rsidR="008C3551">
        <w:rPr>
          <w:rStyle w:val="FootnoteReference"/>
          <w:rFonts w:ascii="Times New Roman" w:hAnsi="Times New Roman"/>
          <w:sz w:val="24"/>
          <w:szCs w:val="24"/>
          <w:shd w:val="clear" w:color="auto" w:fill="FFFFFF"/>
        </w:rPr>
        <w:footnoteReference w:id="24"/>
      </w:r>
      <w:r w:rsidR="00AD61F2">
        <w:rPr>
          <w:rFonts w:ascii="Times New Roman" w:hAnsi="Times New Roman"/>
          <w:sz w:val="24"/>
          <w:szCs w:val="24"/>
          <w:shd w:val="clear" w:color="auto" w:fill="FFFFFF"/>
        </w:rPr>
        <w:t xml:space="preserve"> </w:t>
      </w:r>
      <w:r w:rsidR="001C1F1E">
        <w:rPr>
          <w:rFonts w:ascii="Times New Roman" w:hAnsi="Times New Roman"/>
          <w:sz w:val="24"/>
          <w:szCs w:val="24"/>
          <w:shd w:val="clear" w:color="auto" w:fill="FFFFFF"/>
        </w:rPr>
        <w:t xml:space="preserve">NYCHA has </w:t>
      </w:r>
      <w:r w:rsidR="00EB5D20">
        <w:rPr>
          <w:rFonts w:ascii="Times New Roman" w:hAnsi="Times New Roman"/>
          <w:sz w:val="24"/>
          <w:szCs w:val="24"/>
          <w:shd w:val="clear" w:color="auto" w:fill="FFFFFF"/>
        </w:rPr>
        <w:t>41</w:t>
      </w:r>
      <w:r w:rsidR="001C1F1E">
        <w:rPr>
          <w:rFonts w:ascii="Times New Roman" w:hAnsi="Times New Roman"/>
          <w:sz w:val="24"/>
          <w:szCs w:val="24"/>
          <w:shd w:val="clear" w:color="auto" w:fill="FFFFFF"/>
        </w:rPr>
        <w:t xml:space="preserve"> seniors-only developments, and over </w:t>
      </w:r>
      <w:r w:rsidR="00EB5D20">
        <w:rPr>
          <w:rFonts w:ascii="Times New Roman" w:hAnsi="Times New Roman"/>
          <w:sz w:val="24"/>
          <w:szCs w:val="24"/>
          <w:shd w:val="clear" w:color="auto" w:fill="FFFFFF"/>
        </w:rPr>
        <w:t xml:space="preserve">13 </w:t>
      </w:r>
      <w:r w:rsidR="001C1F1E">
        <w:rPr>
          <w:rFonts w:ascii="Times New Roman" w:hAnsi="Times New Roman"/>
          <w:sz w:val="24"/>
          <w:szCs w:val="24"/>
          <w:shd w:val="clear" w:color="auto" w:fill="FFFFFF"/>
        </w:rPr>
        <w:t>seniors-only buildings exist within mixed-population developments.</w:t>
      </w:r>
      <w:r w:rsidR="001C1F1E">
        <w:rPr>
          <w:rStyle w:val="FootnoteReference"/>
          <w:rFonts w:ascii="Times New Roman" w:hAnsi="Times New Roman"/>
          <w:sz w:val="24"/>
          <w:szCs w:val="24"/>
          <w:shd w:val="clear" w:color="auto" w:fill="FFFFFF"/>
        </w:rPr>
        <w:footnoteReference w:id="25"/>
      </w:r>
      <w:r w:rsidR="001C1F1E">
        <w:rPr>
          <w:rFonts w:ascii="Times New Roman" w:hAnsi="Times New Roman"/>
          <w:sz w:val="24"/>
          <w:szCs w:val="24"/>
          <w:shd w:val="clear" w:color="auto" w:fill="FFFFFF"/>
        </w:rPr>
        <w:t xml:space="preserve"> </w:t>
      </w:r>
      <w:r w:rsidR="00AD61F2">
        <w:rPr>
          <w:rFonts w:ascii="Times New Roman" w:hAnsi="Times New Roman"/>
          <w:sz w:val="24"/>
          <w:szCs w:val="24"/>
          <w:shd w:val="clear" w:color="auto" w:fill="FFFFFF"/>
        </w:rPr>
        <w:t xml:space="preserve">Even </w:t>
      </w:r>
      <w:r w:rsidR="00AD61F2" w:rsidRPr="00AD61F2">
        <w:rPr>
          <w:rFonts w:ascii="Times New Roman" w:hAnsi="Times New Roman"/>
          <w:sz w:val="24"/>
          <w:szCs w:val="24"/>
          <w:shd w:val="clear" w:color="auto" w:fill="FFFFFF"/>
        </w:rPr>
        <w:t>so, t</w:t>
      </w:r>
      <w:r w:rsidR="00AD61F2">
        <w:rPr>
          <w:rFonts w:ascii="Times New Roman" w:hAnsi="Times New Roman"/>
          <w:sz w:val="24"/>
          <w:szCs w:val="24"/>
        </w:rPr>
        <w:t>o date</w:t>
      </w:r>
      <w:r w:rsidR="008E60E5" w:rsidRPr="00AD61F2">
        <w:rPr>
          <w:rFonts w:ascii="Times New Roman" w:hAnsi="Times New Roman"/>
          <w:sz w:val="24"/>
          <w:szCs w:val="24"/>
        </w:rPr>
        <w:t xml:space="preserve"> about 40% of NYCHA buildings remain inaccessible to wheelchair users</w:t>
      </w:r>
      <w:r w:rsidR="00AD61F2" w:rsidRPr="00AD61F2">
        <w:rPr>
          <w:rFonts w:ascii="Times New Roman" w:hAnsi="Times New Roman"/>
          <w:sz w:val="24"/>
          <w:szCs w:val="24"/>
        </w:rPr>
        <w:t>, and NYCHA has only reached one-third of upgrade goals set by agreement with the federal government in 1996</w:t>
      </w:r>
      <w:r w:rsidR="00AD61F2">
        <w:rPr>
          <w:rFonts w:ascii="Times New Roman" w:hAnsi="Times New Roman"/>
          <w:sz w:val="24"/>
          <w:szCs w:val="24"/>
        </w:rPr>
        <w:t xml:space="preserve"> – which means that of the 8,900 apartments (or 5%) set to become “fully accessible,” only 2,953 have achieved that status.</w:t>
      </w:r>
      <w:r w:rsidR="00AD61F2">
        <w:rPr>
          <w:rStyle w:val="FootnoteReference"/>
          <w:rFonts w:ascii="Times New Roman" w:hAnsi="Times New Roman"/>
          <w:sz w:val="24"/>
          <w:szCs w:val="24"/>
        </w:rPr>
        <w:footnoteReference w:id="26"/>
      </w:r>
      <w:r w:rsidR="00AD61F2">
        <w:rPr>
          <w:rFonts w:ascii="Times New Roman" w:hAnsi="Times New Roman"/>
          <w:sz w:val="24"/>
          <w:szCs w:val="24"/>
        </w:rPr>
        <w:t xml:space="preserve"> As of 2017, nearly half (47%) of NYCHA’s buildings remain inaccessible to wheelchair users.</w:t>
      </w:r>
      <w:r w:rsidR="00AD61F2">
        <w:rPr>
          <w:rStyle w:val="FootnoteReference"/>
          <w:rFonts w:ascii="Times New Roman" w:hAnsi="Times New Roman"/>
          <w:sz w:val="24"/>
          <w:szCs w:val="24"/>
        </w:rPr>
        <w:footnoteReference w:id="27"/>
      </w:r>
      <w:r w:rsidR="00AD61F2">
        <w:rPr>
          <w:rFonts w:ascii="Times New Roman" w:hAnsi="Times New Roman"/>
          <w:sz w:val="24"/>
          <w:szCs w:val="24"/>
        </w:rPr>
        <w:t xml:space="preserve"> </w:t>
      </w:r>
    </w:p>
    <w:p w:rsidR="00784C8C" w:rsidRDefault="0059244D" w:rsidP="00F9648E">
      <w:pPr>
        <w:pStyle w:val="ColorfulList-Accent1"/>
        <w:spacing w:after="0" w:line="480" w:lineRule="auto"/>
        <w:ind w:left="0" w:firstLine="720"/>
        <w:jc w:val="both"/>
        <w:rPr>
          <w:rFonts w:ascii="Times New Roman" w:hAnsi="Times New Roman"/>
          <w:sz w:val="24"/>
          <w:szCs w:val="24"/>
        </w:rPr>
      </w:pPr>
      <w:r>
        <w:rPr>
          <w:rFonts w:ascii="Times New Roman" w:hAnsi="Times New Roman"/>
          <w:sz w:val="24"/>
          <w:szCs w:val="24"/>
        </w:rPr>
        <w:t xml:space="preserve">Elevators are one key tool in making buildings accessible to people with disabilities. </w:t>
      </w:r>
      <w:r w:rsidR="008C3551">
        <w:rPr>
          <w:rFonts w:ascii="Times New Roman" w:hAnsi="Times New Roman"/>
          <w:sz w:val="24"/>
          <w:szCs w:val="24"/>
        </w:rPr>
        <w:t>On June 11, 2018, the United States</w:t>
      </w:r>
      <w:r w:rsidR="00EB5D20">
        <w:rPr>
          <w:rFonts w:ascii="Times New Roman" w:hAnsi="Times New Roman"/>
          <w:sz w:val="24"/>
          <w:szCs w:val="24"/>
        </w:rPr>
        <w:t xml:space="preserve"> Department of Justice</w:t>
      </w:r>
      <w:r w:rsidR="008C3551">
        <w:rPr>
          <w:rFonts w:ascii="Times New Roman" w:hAnsi="Times New Roman"/>
          <w:sz w:val="24"/>
          <w:szCs w:val="24"/>
        </w:rPr>
        <w:t xml:space="preserve"> filed a complaint against NYCHA which alleged in part, “</w:t>
      </w:r>
      <w:r w:rsidR="00EB5D20">
        <w:rPr>
          <w:rFonts w:ascii="Times New Roman" w:hAnsi="Times New Roman"/>
          <w:sz w:val="24"/>
          <w:szCs w:val="24"/>
        </w:rPr>
        <w:t>[e]</w:t>
      </w:r>
      <w:r w:rsidR="008C3551">
        <w:rPr>
          <w:rFonts w:ascii="Times New Roman" w:hAnsi="Times New Roman"/>
          <w:sz w:val="24"/>
          <w:szCs w:val="24"/>
        </w:rPr>
        <w:t>levators often fail, leaving elderly or disabled residents trapped in their apartments or sleeping in building lobbies because they cannot return to their homes.”</w:t>
      </w:r>
      <w:r w:rsidR="008C3551">
        <w:rPr>
          <w:rStyle w:val="FootnoteReference"/>
          <w:rFonts w:ascii="Times New Roman" w:hAnsi="Times New Roman"/>
          <w:sz w:val="24"/>
          <w:szCs w:val="24"/>
        </w:rPr>
        <w:footnoteReference w:id="28"/>
      </w:r>
      <w:r w:rsidR="008C3551">
        <w:rPr>
          <w:rFonts w:ascii="Times New Roman" w:hAnsi="Times New Roman"/>
          <w:sz w:val="24"/>
          <w:szCs w:val="24"/>
        </w:rPr>
        <w:t xml:space="preserve"> </w:t>
      </w:r>
      <w:r w:rsidR="00AE684C" w:rsidRPr="00AE684C">
        <w:rPr>
          <w:rFonts w:ascii="Times New Roman" w:hAnsi="Times New Roman"/>
          <w:sz w:val="24"/>
          <w:szCs w:val="24"/>
        </w:rPr>
        <w:t xml:space="preserve">NYCHA acknowledged in 2018 that every NYCHA elevator </w:t>
      </w:r>
      <w:r w:rsidR="00EB5D20">
        <w:rPr>
          <w:rFonts w:ascii="Times New Roman" w:hAnsi="Times New Roman"/>
          <w:sz w:val="24"/>
          <w:szCs w:val="24"/>
        </w:rPr>
        <w:t>was</w:t>
      </w:r>
      <w:r w:rsidR="00EB5D20" w:rsidRPr="00AE684C">
        <w:rPr>
          <w:rFonts w:ascii="Times New Roman" w:hAnsi="Times New Roman"/>
          <w:sz w:val="24"/>
          <w:szCs w:val="24"/>
        </w:rPr>
        <w:t xml:space="preserve"> </w:t>
      </w:r>
      <w:r w:rsidR="00AE684C" w:rsidRPr="00AE684C">
        <w:rPr>
          <w:rFonts w:ascii="Times New Roman" w:hAnsi="Times New Roman"/>
          <w:sz w:val="24"/>
          <w:szCs w:val="24"/>
        </w:rPr>
        <w:t>out of service at least once a month, on average.</w:t>
      </w:r>
      <w:r w:rsidR="00AE684C" w:rsidRPr="00AE684C">
        <w:rPr>
          <w:rFonts w:ascii="Times New Roman" w:hAnsi="Times New Roman"/>
          <w:sz w:val="24"/>
          <w:szCs w:val="24"/>
          <w:vertAlign w:val="superscript"/>
        </w:rPr>
        <w:footnoteReference w:id="29"/>
      </w:r>
      <w:r w:rsidR="00EB5D20">
        <w:rPr>
          <w:rFonts w:ascii="Times New Roman" w:hAnsi="Times New Roman"/>
          <w:sz w:val="24"/>
          <w:szCs w:val="24"/>
        </w:rPr>
        <w:t xml:space="preserve"> </w:t>
      </w:r>
      <w:r w:rsidR="00C55C5A">
        <w:rPr>
          <w:rFonts w:ascii="Times New Roman" w:hAnsi="Times New Roman"/>
          <w:sz w:val="24"/>
          <w:szCs w:val="24"/>
        </w:rPr>
        <w:t>R</w:t>
      </w:r>
      <w:r w:rsidR="00AD61F2">
        <w:rPr>
          <w:rFonts w:ascii="Times New Roman" w:hAnsi="Times New Roman"/>
          <w:sz w:val="24"/>
          <w:szCs w:val="24"/>
        </w:rPr>
        <w:t xml:space="preserve">ecently, power outages during the </w:t>
      </w:r>
      <w:r w:rsidR="008C3551">
        <w:rPr>
          <w:rFonts w:ascii="Times New Roman" w:hAnsi="Times New Roman"/>
          <w:sz w:val="24"/>
          <w:szCs w:val="24"/>
        </w:rPr>
        <w:t xml:space="preserve">2019 </w:t>
      </w:r>
      <w:r w:rsidR="00AD61F2">
        <w:rPr>
          <w:rFonts w:ascii="Times New Roman" w:hAnsi="Times New Roman"/>
          <w:sz w:val="24"/>
          <w:szCs w:val="24"/>
        </w:rPr>
        <w:t xml:space="preserve">summer heat wave left some NYCHA residents with mobility limitations stranded inside their buildings while the elevators were </w:t>
      </w:r>
      <w:r w:rsidR="00AD61F2">
        <w:rPr>
          <w:rFonts w:ascii="Times New Roman" w:hAnsi="Times New Roman"/>
          <w:sz w:val="24"/>
          <w:szCs w:val="24"/>
        </w:rPr>
        <w:lastRenderedPageBreak/>
        <w:t>without power.</w:t>
      </w:r>
      <w:r w:rsidR="00AD61F2">
        <w:rPr>
          <w:rStyle w:val="FootnoteReference"/>
          <w:rFonts w:ascii="Times New Roman" w:hAnsi="Times New Roman"/>
          <w:sz w:val="24"/>
          <w:szCs w:val="24"/>
        </w:rPr>
        <w:footnoteReference w:id="30"/>
      </w:r>
      <w:r w:rsidR="00C55C5A">
        <w:rPr>
          <w:rFonts w:ascii="Times New Roman" w:hAnsi="Times New Roman"/>
          <w:sz w:val="24"/>
          <w:szCs w:val="24"/>
        </w:rPr>
        <w:t xml:space="preserve"> </w:t>
      </w:r>
      <w:r w:rsidR="0080269F">
        <w:rPr>
          <w:rFonts w:ascii="Times New Roman" w:hAnsi="Times New Roman"/>
          <w:sz w:val="24"/>
          <w:szCs w:val="24"/>
        </w:rPr>
        <w:t>For instance, some disabled public housing residents at the Dome Site, which is owned by NYCHA but managed by a private company, could not leave their apartment for two weeks due to an elevator outage.</w:t>
      </w:r>
      <w:r w:rsidR="0080269F">
        <w:rPr>
          <w:rStyle w:val="FootnoteReference"/>
          <w:rFonts w:ascii="Times New Roman" w:hAnsi="Times New Roman"/>
          <w:sz w:val="24"/>
          <w:szCs w:val="24"/>
        </w:rPr>
        <w:footnoteReference w:id="31"/>
      </w:r>
      <w:r w:rsidR="0080269F">
        <w:rPr>
          <w:rFonts w:ascii="Times New Roman" w:hAnsi="Times New Roman"/>
          <w:sz w:val="24"/>
          <w:szCs w:val="24"/>
        </w:rPr>
        <w:t xml:space="preserve"> </w:t>
      </w:r>
      <w:r w:rsidR="00C55C5A">
        <w:rPr>
          <w:rFonts w:ascii="Times New Roman" w:hAnsi="Times New Roman"/>
          <w:sz w:val="24"/>
          <w:szCs w:val="24"/>
        </w:rPr>
        <w:t xml:space="preserve">At </w:t>
      </w:r>
      <w:r w:rsidR="004D233A">
        <w:rPr>
          <w:rFonts w:ascii="Times New Roman" w:hAnsi="Times New Roman"/>
          <w:sz w:val="24"/>
          <w:szCs w:val="24"/>
        </w:rPr>
        <w:t>Mitchel Houses -</w:t>
      </w:r>
      <w:r w:rsidR="00C55C5A">
        <w:rPr>
          <w:rFonts w:ascii="Times New Roman" w:hAnsi="Times New Roman"/>
          <w:sz w:val="24"/>
          <w:szCs w:val="24"/>
        </w:rPr>
        <w:t xml:space="preserve"> a NYCHA development in the Bronx</w:t>
      </w:r>
      <w:r w:rsidR="004D233A">
        <w:rPr>
          <w:rFonts w:ascii="Times New Roman" w:hAnsi="Times New Roman"/>
          <w:sz w:val="24"/>
          <w:szCs w:val="24"/>
        </w:rPr>
        <w:t xml:space="preserve"> -</w:t>
      </w:r>
      <w:r w:rsidR="00C55C5A">
        <w:rPr>
          <w:rFonts w:ascii="Times New Roman" w:hAnsi="Times New Roman"/>
          <w:sz w:val="24"/>
          <w:szCs w:val="24"/>
        </w:rPr>
        <w:t xml:space="preserve"> one elevator had </w:t>
      </w:r>
      <w:r w:rsidR="00EB5D20">
        <w:rPr>
          <w:rFonts w:ascii="Times New Roman" w:hAnsi="Times New Roman"/>
          <w:sz w:val="24"/>
          <w:szCs w:val="24"/>
        </w:rPr>
        <w:t xml:space="preserve">14 </w:t>
      </w:r>
      <w:r w:rsidR="00C55C5A">
        <w:rPr>
          <w:rFonts w:ascii="Times New Roman" w:hAnsi="Times New Roman"/>
          <w:sz w:val="24"/>
          <w:szCs w:val="24"/>
        </w:rPr>
        <w:t>outages between May and August 2019.</w:t>
      </w:r>
      <w:r w:rsidR="00C55C5A">
        <w:rPr>
          <w:rStyle w:val="FootnoteReference"/>
          <w:rFonts w:ascii="Times New Roman" w:hAnsi="Times New Roman"/>
          <w:sz w:val="24"/>
          <w:szCs w:val="24"/>
        </w:rPr>
        <w:footnoteReference w:id="32"/>
      </w:r>
      <w:r w:rsidR="004D233A">
        <w:rPr>
          <w:rFonts w:ascii="Times New Roman" w:hAnsi="Times New Roman"/>
          <w:sz w:val="24"/>
          <w:szCs w:val="24"/>
        </w:rPr>
        <w:t xml:space="preserve"> Additionally, local news reported in August 2019 that an elevator at Butler Houses – another NYCHA development in the Bronx – skipped floors and sometimes failed to open the doors. This forced residents to step off a roughly six-inch ledge to access some floors, and pry doors open to get out the elevator.</w:t>
      </w:r>
      <w:r w:rsidR="004D233A">
        <w:rPr>
          <w:rStyle w:val="FootnoteReference"/>
          <w:rFonts w:ascii="Times New Roman" w:hAnsi="Times New Roman"/>
          <w:sz w:val="24"/>
          <w:szCs w:val="24"/>
        </w:rPr>
        <w:footnoteReference w:id="33"/>
      </w:r>
      <w:r w:rsidR="00195270">
        <w:rPr>
          <w:rFonts w:ascii="Times New Roman" w:hAnsi="Times New Roman"/>
          <w:sz w:val="24"/>
          <w:szCs w:val="24"/>
        </w:rPr>
        <w:t xml:space="preserve"> </w:t>
      </w:r>
    </w:p>
    <w:p w:rsidR="008E60E5" w:rsidRDefault="00540A22" w:rsidP="000434F6">
      <w:pPr>
        <w:pStyle w:val="ColorfulList-Accent1"/>
        <w:spacing w:after="0" w:line="480" w:lineRule="auto"/>
        <w:ind w:left="0"/>
        <w:jc w:val="both"/>
        <w:rPr>
          <w:rFonts w:ascii="Times New Roman" w:hAnsi="Times New Roman"/>
          <w:b/>
          <w:sz w:val="24"/>
          <w:szCs w:val="24"/>
          <w:u w:val="single"/>
        </w:rPr>
      </w:pPr>
      <w:r>
        <w:rPr>
          <w:rFonts w:ascii="Times New Roman" w:hAnsi="Times New Roman"/>
          <w:b/>
          <w:sz w:val="24"/>
          <w:szCs w:val="24"/>
          <w:u w:val="single"/>
        </w:rPr>
        <w:t>CURRENT LEGAL STANDARDS</w:t>
      </w:r>
      <w:r w:rsidR="008E60E5">
        <w:rPr>
          <w:rFonts w:ascii="Times New Roman" w:hAnsi="Times New Roman"/>
          <w:b/>
          <w:sz w:val="24"/>
          <w:szCs w:val="24"/>
          <w:u w:val="single"/>
        </w:rPr>
        <w:t xml:space="preserve"> </w:t>
      </w:r>
    </w:p>
    <w:p w:rsidR="00EC4247" w:rsidRPr="00EC4247" w:rsidRDefault="00EC4247" w:rsidP="00EC4247">
      <w:pPr>
        <w:pStyle w:val="ColorfulList-Accent1"/>
        <w:spacing w:after="0" w:line="480" w:lineRule="auto"/>
        <w:ind w:left="0"/>
        <w:jc w:val="both"/>
        <w:rPr>
          <w:rFonts w:ascii="Times New Roman" w:hAnsi="Times New Roman"/>
          <w:i/>
          <w:sz w:val="24"/>
          <w:szCs w:val="24"/>
        </w:rPr>
      </w:pPr>
      <w:r w:rsidRPr="00EC4247">
        <w:rPr>
          <w:rFonts w:ascii="Times New Roman" w:hAnsi="Times New Roman"/>
          <w:i/>
          <w:sz w:val="24"/>
          <w:szCs w:val="24"/>
        </w:rPr>
        <w:t xml:space="preserve">The Americans with Disabilities Act </w:t>
      </w:r>
    </w:p>
    <w:p w:rsidR="00EC4247" w:rsidRPr="0052414E" w:rsidRDefault="00EC4247" w:rsidP="00EC4247">
      <w:pPr>
        <w:pStyle w:val="ColorfulList-Accent1"/>
        <w:spacing w:after="0" w:line="480" w:lineRule="auto"/>
        <w:ind w:left="0" w:firstLine="720"/>
        <w:jc w:val="both"/>
        <w:rPr>
          <w:rFonts w:ascii="Times New Roman" w:hAnsi="Times New Roman"/>
          <w:sz w:val="24"/>
          <w:szCs w:val="24"/>
        </w:rPr>
      </w:pPr>
      <w:r w:rsidRPr="0052414E">
        <w:rPr>
          <w:rFonts w:ascii="Times New Roman" w:hAnsi="Times New Roman"/>
          <w:sz w:val="24"/>
          <w:szCs w:val="24"/>
        </w:rPr>
        <w:t xml:space="preserve">The Americans with Disabilities Act (“ADA”) is </w:t>
      </w:r>
      <w:r w:rsidR="00F10CC1">
        <w:rPr>
          <w:rFonts w:ascii="Times New Roman" w:hAnsi="Times New Roman"/>
          <w:sz w:val="24"/>
          <w:szCs w:val="24"/>
        </w:rPr>
        <w:t xml:space="preserve">federal </w:t>
      </w:r>
      <w:r w:rsidRPr="0052414E">
        <w:rPr>
          <w:rFonts w:ascii="Times New Roman" w:hAnsi="Times New Roman"/>
          <w:sz w:val="24"/>
          <w:szCs w:val="24"/>
        </w:rPr>
        <w:t xml:space="preserve">civil rights legislation passed in 1990 that prohibits discrimination against individuals with disabilities in all areas of public life including employment, schools, transportation, state and local government services, private businesses, and telecommunications. </w:t>
      </w:r>
      <w:r w:rsidRPr="0052414E">
        <w:rPr>
          <w:rFonts w:ascii="Times New Roman" w:eastAsia="Times New Roman" w:hAnsi="Times New Roman"/>
          <w:sz w:val="24"/>
          <w:szCs w:val="24"/>
        </w:rPr>
        <w:t xml:space="preserve">An individual with a disability is defined as “a person who has a physical or mental impairment that substantially limits one or more major life activities; </w:t>
      </w:r>
      <w:r w:rsidRPr="0052414E">
        <w:rPr>
          <w:rFonts w:ascii="Times New Roman" w:eastAsia="Times New Roman" w:hAnsi="Times New Roman"/>
          <w:sz w:val="24"/>
          <w:szCs w:val="24"/>
        </w:rPr>
        <w:lastRenderedPageBreak/>
        <w:t>has a record of such an impairment; or is regarded as having such an impairment.”</w:t>
      </w:r>
      <w:r w:rsidRPr="0052414E">
        <w:rPr>
          <w:rStyle w:val="FootnoteReference"/>
          <w:rFonts w:ascii="Times New Roman" w:eastAsia="Times New Roman" w:hAnsi="Times New Roman"/>
          <w:sz w:val="24"/>
          <w:szCs w:val="24"/>
        </w:rPr>
        <w:footnoteReference w:id="34"/>
      </w:r>
      <w:r w:rsidRPr="0052414E">
        <w:rPr>
          <w:rFonts w:ascii="Times New Roman" w:eastAsia="Times New Roman" w:hAnsi="Times New Roman"/>
          <w:sz w:val="24"/>
          <w:szCs w:val="24"/>
        </w:rPr>
        <w:t xml:space="preserve"> </w:t>
      </w:r>
      <w:r w:rsidRPr="0052414E">
        <w:rPr>
          <w:rFonts w:ascii="Times New Roman" w:hAnsi="Times New Roman"/>
          <w:sz w:val="24"/>
          <w:szCs w:val="24"/>
        </w:rPr>
        <w:t>The goal of the ADA is full inclusion of people with disabilities in all aspects of American society.</w:t>
      </w:r>
      <w:r w:rsidRPr="0052414E">
        <w:rPr>
          <w:rStyle w:val="FootnoteReference"/>
          <w:rFonts w:ascii="Times New Roman" w:hAnsi="Times New Roman"/>
          <w:sz w:val="24"/>
          <w:szCs w:val="24"/>
        </w:rPr>
        <w:footnoteReference w:id="35"/>
      </w:r>
      <w:r w:rsidRPr="0052414E">
        <w:rPr>
          <w:rFonts w:ascii="Times New Roman" w:hAnsi="Times New Roman"/>
          <w:sz w:val="24"/>
          <w:szCs w:val="24"/>
        </w:rPr>
        <w:t xml:space="preserve">  </w:t>
      </w:r>
    </w:p>
    <w:p w:rsidR="00EC4247" w:rsidRPr="0052414E" w:rsidRDefault="00EC4247" w:rsidP="00EC4247">
      <w:pPr>
        <w:pStyle w:val="ColorfulList-Accent1"/>
        <w:spacing w:after="0" w:line="480" w:lineRule="auto"/>
        <w:ind w:left="0" w:firstLine="720"/>
        <w:jc w:val="both"/>
        <w:rPr>
          <w:rFonts w:ascii="Times New Roman" w:hAnsi="Times New Roman"/>
          <w:caps/>
          <w:sz w:val="24"/>
          <w:szCs w:val="24"/>
        </w:rPr>
      </w:pPr>
      <w:r w:rsidRPr="0052414E">
        <w:rPr>
          <w:rFonts w:ascii="Times New Roman" w:hAnsi="Times New Roman"/>
          <w:sz w:val="24"/>
          <w:szCs w:val="24"/>
        </w:rPr>
        <w:t>In 2008, the Americans with Disabilities Act Amendments Act (ADAAA) was signed into law and became effective on January 1, 2009. The ADAAA made a number of significant changes to the definition of “disability” in order to restore and protect the original intent of Congress in 1990 by making it “easier for an individual seeking protection under the ADA to establish that he or she has a disability within the meaning of the statute.”</w:t>
      </w:r>
      <w:r w:rsidRPr="0052414E">
        <w:rPr>
          <w:rStyle w:val="FootnoteReference"/>
          <w:rFonts w:ascii="Times New Roman" w:hAnsi="Times New Roman"/>
          <w:sz w:val="24"/>
          <w:szCs w:val="24"/>
        </w:rPr>
        <w:footnoteReference w:id="36"/>
      </w:r>
      <w:r w:rsidRPr="0052414E">
        <w:rPr>
          <w:rFonts w:ascii="Times New Roman" w:hAnsi="Times New Roman"/>
          <w:sz w:val="24"/>
          <w:szCs w:val="24"/>
        </w:rPr>
        <w:t xml:space="preserve"> For example, “Congress overturned several Supreme Court decisions that Congress believed had interpreted the definition of ‘disability’ too narrowly, resulting in a denial of protection for many individuals with impairments such as cancer, diabetes, and epilepsy,” and as such, the ADAAA stated that the “definition of disability should be interpreted in favor of broad coverage of individuals.”</w:t>
      </w:r>
      <w:r w:rsidRPr="0052414E">
        <w:rPr>
          <w:rStyle w:val="FootnoteReference"/>
          <w:rFonts w:ascii="Times New Roman" w:hAnsi="Times New Roman"/>
          <w:sz w:val="24"/>
          <w:szCs w:val="24"/>
        </w:rPr>
        <w:footnoteReference w:id="37"/>
      </w:r>
    </w:p>
    <w:p w:rsidR="00EC4247" w:rsidRPr="0052414E" w:rsidRDefault="00EC4247" w:rsidP="00EC4247">
      <w:pPr>
        <w:spacing w:after="0" w:line="480" w:lineRule="auto"/>
        <w:ind w:firstLine="720"/>
        <w:jc w:val="both"/>
        <w:rPr>
          <w:rFonts w:ascii="Times New Roman" w:hAnsi="Times New Roman"/>
          <w:sz w:val="24"/>
          <w:szCs w:val="24"/>
        </w:rPr>
      </w:pPr>
      <w:r w:rsidRPr="0052414E">
        <w:rPr>
          <w:rFonts w:ascii="Times New Roman" w:hAnsi="Times New Roman"/>
          <w:sz w:val="24"/>
          <w:szCs w:val="24"/>
        </w:rPr>
        <w:t>The Five Titles of the ADA include:</w:t>
      </w:r>
    </w:p>
    <w:p w:rsidR="00EC4247" w:rsidRPr="0052414E" w:rsidRDefault="00EC4247" w:rsidP="00EC4247">
      <w:pPr>
        <w:numPr>
          <w:ilvl w:val="0"/>
          <w:numId w:val="17"/>
        </w:numPr>
        <w:spacing w:after="0" w:line="480" w:lineRule="auto"/>
        <w:jc w:val="both"/>
        <w:rPr>
          <w:rFonts w:ascii="Times New Roman" w:hAnsi="Times New Roman"/>
          <w:sz w:val="24"/>
          <w:szCs w:val="24"/>
        </w:rPr>
      </w:pPr>
      <w:r w:rsidRPr="0052414E">
        <w:rPr>
          <w:rFonts w:ascii="Times New Roman" w:hAnsi="Times New Roman"/>
          <w:sz w:val="24"/>
          <w:szCs w:val="24"/>
        </w:rPr>
        <w:t>Title I: Employment (Prohibits disability discrimination in all employment processes);</w:t>
      </w:r>
    </w:p>
    <w:p w:rsidR="00EC4247" w:rsidRPr="0052414E" w:rsidRDefault="00EC4247" w:rsidP="00EC4247">
      <w:pPr>
        <w:numPr>
          <w:ilvl w:val="0"/>
          <w:numId w:val="17"/>
        </w:numPr>
        <w:spacing w:after="0" w:line="480" w:lineRule="auto"/>
        <w:jc w:val="both"/>
        <w:rPr>
          <w:rFonts w:ascii="Times New Roman" w:hAnsi="Times New Roman"/>
          <w:sz w:val="24"/>
          <w:szCs w:val="24"/>
        </w:rPr>
      </w:pPr>
      <w:r w:rsidRPr="0052414E">
        <w:rPr>
          <w:rFonts w:ascii="Times New Roman" w:hAnsi="Times New Roman"/>
          <w:sz w:val="24"/>
          <w:szCs w:val="24"/>
        </w:rPr>
        <w:t>Title II: Accessibility in Public Entities (Physical and program accessibility in state and local government entities);</w:t>
      </w:r>
    </w:p>
    <w:p w:rsidR="00EC4247" w:rsidRPr="0052414E" w:rsidRDefault="00EC4247" w:rsidP="00EC4247">
      <w:pPr>
        <w:numPr>
          <w:ilvl w:val="0"/>
          <w:numId w:val="17"/>
        </w:numPr>
        <w:spacing w:after="0" w:line="480" w:lineRule="auto"/>
        <w:jc w:val="both"/>
        <w:rPr>
          <w:rFonts w:ascii="Times New Roman" w:hAnsi="Times New Roman"/>
          <w:sz w:val="24"/>
          <w:szCs w:val="24"/>
        </w:rPr>
      </w:pPr>
      <w:r w:rsidRPr="0052414E">
        <w:rPr>
          <w:rFonts w:ascii="Times New Roman" w:hAnsi="Times New Roman"/>
          <w:sz w:val="24"/>
          <w:szCs w:val="24"/>
        </w:rPr>
        <w:t>Title III: Accessibility in Businesses (Physical and program accessibility in restaurants, hotels, store, places of business);</w:t>
      </w:r>
    </w:p>
    <w:p w:rsidR="00EC4247" w:rsidRPr="0052414E" w:rsidRDefault="00EC4247" w:rsidP="00EC4247">
      <w:pPr>
        <w:numPr>
          <w:ilvl w:val="0"/>
          <w:numId w:val="17"/>
        </w:numPr>
        <w:spacing w:after="0" w:line="480" w:lineRule="auto"/>
        <w:jc w:val="both"/>
        <w:rPr>
          <w:rFonts w:ascii="Times New Roman" w:hAnsi="Times New Roman"/>
          <w:sz w:val="24"/>
          <w:szCs w:val="24"/>
        </w:rPr>
      </w:pPr>
      <w:r w:rsidRPr="0052414E">
        <w:rPr>
          <w:rFonts w:ascii="Times New Roman" w:hAnsi="Times New Roman"/>
          <w:sz w:val="24"/>
          <w:szCs w:val="24"/>
        </w:rPr>
        <w:t>Title IV: Telecommunications (Telephone and communications systems for the public);</w:t>
      </w:r>
    </w:p>
    <w:p w:rsidR="00EC4247" w:rsidRPr="0052414E" w:rsidRDefault="00EC4247" w:rsidP="00EC4247">
      <w:pPr>
        <w:numPr>
          <w:ilvl w:val="0"/>
          <w:numId w:val="17"/>
        </w:numPr>
        <w:spacing w:after="0" w:line="480" w:lineRule="auto"/>
        <w:jc w:val="both"/>
        <w:rPr>
          <w:rFonts w:ascii="Times New Roman" w:hAnsi="Times New Roman"/>
          <w:sz w:val="24"/>
          <w:szCs w:val="24"/>
        </w:rPr>
      </w:pPr>
      <w:r w:rsidRPr="0052414E">
        <w:rPr>
          <w:rFonts w:ascii="Times New Roman" w:hAnsi="Times New Roman"/>
          <w:sz w:val="24"/>
          <w:szCs w:val="24"/>
        </w:rPr>
        <w:t xml:space="preserve">Title V: Miscellaneous (includes miscellaneous provisions that are intended to apply broadly across all the other titles, e.g., exclusions of certain conditions such as </w:t>
      </w:r>
      <w:r w:rsidRPr="0052414E">
        <w:rPr>
          <w:rFonts w:ascii="Times New Roman" w:hAnsi="Times New Roman"/>
          <w:sz w:val="24"/>
          <w:szCs w:val="24"/>
        </w:rPr>
        <w:lastRenderedPageBreak/>
        <w:t>psychoactive substance use disorders resulting from current illegal use of drugs; claims of reverse discrimination by individuals seeking remedies who do not have a disability, etc.).</w:t>
      </w:r>
      <w:r w:rsidRPr="0052414E">
        <w:rPr>
          <w:rStyle w:val="FootnoteReference"/>
          <w:rFonts w:ascii="Times New Roman" w:hAnsi="Times New Roman"/>
          <w:sz w:val="24"/>
          <w:szCs w:val="24"/>
        </w:rPr>
        <w:footnoteReference w:id="38"/>
      </w:r>
    </w:p>
    <w:p w:rsidR="00EC4247" w:rsidRPr="0052414E" w:rsidRDefault="00EC4247" w:rsidP="00EC4247">
      <w:pPr>
        <w:pStyle w:val="ColorfulList-Accent1"/>
        <w:spacing w:after="0" w:line="480" w:lineRule="auto"/>
        <w:ind w:left="0"/>
        <w:jc w:val="both"/>
        <w:rPr>
          <w:rFonts w:ascii="Times New Roman" w:hAnsi="Times New Roman"/>
          <w:i/>
          <w:sz w:val="24"/>
          <w:szCs w:val="24"/>
        </w:rPr>
      </w:pPr>
      <w:r w:rsidRPr="0052414E">
        <w:rPr>
          <w:rFonts w:ascii="Times New Roman" w:hAnsi="Times New Roman"/>
          <w:i/>
          <w:sz w:val="24"/>
          <w:szCs w:val="24"/>
        </w:rPr>
        <w:t>Reasonable Accommodation</w:t>
      </w:r>
    </w:p>
    <w:p w:rsidR="00EC4247" w:rsidRPr="0052414E" w:rsidRDefault="00EC4247" w:rsidP="00D8443C">
      <w:pPr>
        <w:pStyle w:val="ColorfulList-Accent1"/>
        <w:spacing w:after="0" w:line="480" w:lineRule="auto"/>
        <w:ind w:left="0" w:firstLine="720"/>
        <w:jc w:val="both"/>
        <w:rPr>
          <w:rFonts w:ascii="Times New Roman" w:hAnsi="Times New Roman"/>
          <w:sz w:val="24"/>
          <w:szCs w:val="24"/>
        </w:rPr>
      </w:pPr>
      <w:r w:rsidRPr="0052414E">
        <w:rPr>
          <w:rFonts w:ascii="Times New Roman" w:hAnsi="Times New Roman"/>
          <w:sz w:val="24"/>
          <w:szCs w:val="24"/>
        </w:rPr>
        <w:t xml:space="preserve">Reasonable accommodations are changes to a system or an environment designed to ensure the broadest possible inclusion into every aspect of the activities of daily life, work, and social enterprise for individuals with disabilities based upon a proven need. </w:t>
      </w:r>
      <w:r w:rsidR="00D8443C" w:rsidRPr="00D8443C">
        <w:rPr>
          <w:rFonts w:ascii="Times New Roman" w:hAnsi="Times New Roman"/>
          <w:sz w:val="24"/>
          <w:szCs w:val="24"/>
        </w:rPr>
        <w:t>Activities of daily living (“ADL”) are defined as “major life activities [whose] functions are important to most people’s daily lives.”</w:t>
      </w:r>
      <w:r w:rsidR="00D8443C" w:rsidRPr="00D8443C">
        <w:rPr>
          <w:rFonts w:ascii="Times New Roman" w:hAnsi="Times New Roman"/>
          <w:sz w:val="24"/>
          <w:szCs w:val="24"/>
          <w:vertAlign w:val="superscript"/>
        </w:rPr>
        <w:footnoteReference w:id="39"/>
      </w:r>
      <w:r w:rsidR="00D8443C" w:rsidRPr="00D8443C">
        <w:rPr>
          <w:rFonts w:ascii="Times New Roman" w:hAnsi="Times New Roman"/>
          <w:sz w:val="24"/>
          <w:szCs w:val="24"/>
        </w:rPr>
        <w:t xml:space="preserve"> The most fundamental examples of ADL’s include bathing, dressing, toileting, transferring (getting in and out bed or a chair), continence (one has complete control over one’s elimination functions), and feeding. Other ADL’s instrumental for independent living may include the ability to prepare one’s own meals, managing money, shopping, doing housework, and using a telephone.</w:t>
      </w:r>
      <w:r w:rsidR="00D8443C">
        <w:rPr>
          <w:rFonts w:ascii="Times New Roman" w:hAnsi="Times New Roman"/>
          <w:sz w:val="24"/>
          <w:szCs w:val="24"/>
        </w:rPr>
        <w:t xml:space="preserve"> </w:t>
      </w:r>
      <w:r w:rsidRPr="0052414E">
        <w:rPr>
          <w:rFonts w:ascii="Times New Roman" w:hAnsi="Times New Roman"/>
          <w:sz w:val="24"/>
          <w:szCs w:val="24"/>
        </w:rPr>
        <w:t>According to th</w:t>
      </w:r>
      <w:r>
        <w:rPr>
          <w:rFonts w:ascii="Times New Roman" w:hAnsi="Times New Roman"/>
          <w:sz w:val="24"/>
          <w:szCs w:val="24"/>
        </w:rPr>
        <w:t xml:space="preserve">e Office of Disability Rights, </w:t>
      </w:r>
      <w:r w:rsidRPr="0052414E">
        <w:rPr>
          <w:rFonts w:ascii="Times New Roman" w:hAnsi="Times New Roman"/>
          <w:sz w:val="24"/>
          <w:szCs w:val="24"/>
        </w:rPr>
        <w:t xml:space="preserve">Title II (Accessibility in Public Entities) of the ADA defines reasonable accommodation as, “modifications of any policy, practice or procedure when necessary to enable people with disabilities to participate—specifically anything that makes it possible for </w:t>
      </w:r>
      <w:r w:rsidRPr="0052414E">
        <w:rPr>
          <w:rFonts w:ascii="Times New Roman" w:hAnsi="Times New Roman"/>
          <w:sz w:val="24"/>
          <w:szCs w:val="24"/>
          <w:u w:val="single"/>
        </w:rPr>
        <w:t>this</w:t>
      </w:r>
      <w:r w:rsidRPr="0052414E">
        <w:rPr>
          <w:rFonts w:ascii="Times New Roman" w:hAnsi="Times New Roman"/>
          <w:sz w:val="24"/>
          <w:szCs w:val="24"/>
        </w:rPr>
        <w:t xml:space="preserve"> person with </w:t>
      </w:r>
      <w:r w:rsidRPr="0052414E">
        <w:rPr>
          <w:rFonts w:ascii="Times New Roman" w:hAnsi="Times New Roman"/>
          <w:sz w:val="24"/>
          <w:szCs w:val="24"/>
          <w:u w:val="single"/>
        </w:rPr>
        <w:t xml:space="preserve">this </w:t>
      </w:r>
      <w:r w:rsidRPr="0052414E">
        <w:rPr>
          <w:rFonts w:ascii="Times New Roman" w:hAnsi="Times New Roman"/>
          <w:sz w:val="24"/>
          <w:szCs w:val="24"/>
        </w:rPr>
        <w:t xml:space="preserve">disability to participate in </w:t>
      </w:r>
      <w:r w:rsidRPr="0052414E">
        <w:rPr>
          <w:rFonts w:ascii="Times New Roman" w:hAnsi="Times New Roman"/>
          <w:sz w:val="24"/>
          <w:szCs w:val="24"/>
          <w:u w:val="single"/>
        </w:rPr>
        <w:t>this</w:t>
      </w:r>
      <w:r w:rsidRPr="0052414E">
        <w:rPr>
          <w:rFonts w:ascii="Times New Roman" w:hAnsi="Times New Roman"/>
          <w:sz w:val="24"/>
          <w:szCs w:val="24"/>
        </w:rPr>
        <w:t xml:space="preserve"> function.” Examples include:</w:t>
      </w:r>
    </w:p>
    <w:p w:rsidR="00EC4247" w:rsidRPr="0052414E" w:rsidRDefault="00EC4247" w:rsidP="00EC4247">
      <w:pPr>
        <w:pStyle w:val="ColorfulList-Accent1"/>
        <w:numPr>
          <w:ilvl w:val="0"/>
          <w:numId w:val="19"/>
        </w:numPr>
        <w:spacing w:after="0" w:line="480" w:lineRule="auto"/>
        <w:jc w:val="both"/>
        <w:rPr>
          <w:rFonts w:ascii="Times New Roman" w:hAnsi="Times New Roman"/>
          <w:sz w:val="24"/>
          <w:szCs w:val="24"/>
        </w:rPr>
      </w:pPr>
      <w:r w:rsidRPr="0052414E">
        <w:rPr>
          <w:rFonts w:ascii="Times New Roman" w:hAnsi="Times New Roman"/>
          <w:sz w:val="24"/>
          <w:szCs w:val="24"/>
        </w:rPr>
        <w:t xml:space="preserve">Allowing a service animal in a building in spite of a no pets policy; </w:t>
      </w:r>
    </w:p>
    <w:p w:rsidR="00EC4247" w:rsidRPr="0052414E" w:rsidRDefault="00EC4247" w:rsidP="00EC4247">
      <w:pPr>
        <w:pStyle w:val="ColorfulList-Accent1"/>
        <w:numPr>
          <w:ilvl w:val="0"/>
          <w:numId w:val="19"/>
        </w:numPr>
        <w:spacing w:after="0" w:line="480" w:lineRule="auto"/>
        <w:jc w:val="both"/>
        <w:rPr>
          <w:rFonts w:ascii="Times New Roman" w:hAnsi="Times New Roman"/>
          <w:sz w:val="24"/>
          <w:szCs w:val="24"/>
        </w:rPr>
      </w:pPr>
      <w:r w:rsidRPr="0052414E">
        <w:rPr>
          <w:rFonts w:ascii="Times New Roman" w:hAnsi="Times New Roman"/>
          <w:sz w:val="24"/>
          <w:szCs w:val="24"/>
        </w:rPr>
        <w:t xml:space="preserve">Providing someone to assist a person with a disability to fill out an application; </w:t>
      </w:r>
    </w:p>
    <w:p w:rsidR="00EC4247" w:rsidRPr="0052414E" w:rsidRDefault="00EC4247" w:rsidP="00EC4247">
      <w:pPr>
        <w:pStyle w:val="ColorfulList-Accent1"/>
        <w:numPr>
          <w:ilvl w:val="0"/>
          <w:numId w:val="19"/>
        </w:numPr>
        <w:spacing w:after="0" w:line="480" w:lineRule="auto"/>
        <w:jc w:val="both"/>
        <w:rPr>
          <w:rFonts w:ascii="Times New Roman" w:hAnsi="Times New Roman"/>
          <w:sz w:val="24"/>
          <w:szCs w:val="24"/>
        </w:rPr>
      </w:pPr>
      <w:r w:rsidRPr="0052414E">
        <w:rPr>
          <w:rFonts w:ascii="Times New Roman" w:hAnsi="Times New Roman"/>
          <w:sz w:val="24"/>
          <w:szCs w:val="24"/>
        </w:rPr>
        <w:t xml:space="preserve">Prioritizing reasonable modifications that provide the most integration (people with disabilities going through same processes in the same places as people without disabilities); </w:t>
      </w:r>
    </w:p>
    <w:p w:rsidR="00EC4247" w:rsidRPr="0052414E" w:rsidRDefault="00EC4247" w:rsidP="00EC4247">
      <w:pPr>
        <w:pStyle w:val="ColorfulList-Accent1"/>
        <w:numPr>
          <w:ilvl w:val="0"/>
          <w:numId w:val="19"/>
        </w:numPr>
        <w:spacing w:after="0" w:line="480" w:lineRule="auto"/>
        <w:jc w:val="both"/>
        <w:rPr>
          <w:rFonts w:ascii="Times New Roman" w:hAnsi="Times New Roman"/>
          <w:sz w:val="24"/>
          <w:szCs w:val="24"/>
        </w:rPr>
      </w:pPr>
      <w:r w:rsidRPr="0052414E">
        <w:rPr>
          <w:rFonts w:ascii="Times New Roman" w:hAnsi="Times New Roman"/>
          <w:sz w:val="24"/>
          <w:szCs w:val="24"/>
        </w:rPr>
        <w:lastRenderedPageBreak/>
        <w:t xml:space="preserve">Providing auxiliary aids and services to make communication effective (e.g. sign-language interpreter, Talk To You (“TTY”), taped text, etc.); </w:t>
      </w:r>
    </w:p>
    <w:p w:rsidR="00EC4247" w:rsidRPr="0052414E" w:rsidRDefault="00EC4247" w:rsidP="00EC4247">
      <w:pPr>
        <w:pStyle w:val="ColorfulList-Accent1"/>
        <w:numPr>
          <w:ilvl w:val="0"/>
          <w:numId w:val="19"/>
        </w:numPr>
        <w:spacing w:after="0" w:line="480" w:lineRule="auto"/>
        <w:jc w:val="both"/>
        <w:rPr>
          <w:rFonts w:ascii="Times New Roman" w:hAnsi="Times New Roman"/>
          <w:sz w:val="24"/>
          <w:szCs w:val="24"/>
        </w:rPr>
      </w:pPr>
      <w:r w:rsidRPr="0052414E">
        <w:rPr>
          <w:rFonts w:ascii="Times New Roman" w:hAnsi="Times New Roman"/>
          <w:sz w:val="24"/>
          <w:szCs w:val="24"/>
        </w:rPr>
        <w:t>Ensuring physical access to programs, services and activities are accessible when viewed in their entirety (such as ingress and egress, path of travel in primary function areas such as restrooms, drinking fountains, phones, etc.);</w:t>
      </w:r>
      <w:r w:rsidRPr="0052414E">
        <w:rPr>
          <w:rStyle w:val="FootnoteReference"/>
          <w:rFonts w:ascii="Times New Roman" w:hAnsi="Times New Roman"/>
          <w:sz w:val="24"/>
          <w:szCs w:val="24"/>
        </w:rPr>
        <w:footnoteReference w:id="40"/>
      </w:r>
      <w:r w:rsidRPr="0052414E">
        <w:rPr>
          <w:rFonts w:ascii="Times New Roman" w:hAnsi="Times New Roman"/>
          <w:sz w:val="24"/>
          <w:szCs w:val="24"/>
        </w:rPr>
        <w:t xml:space="preserve"> </w:t>
      </w:r>
    </w:p>
    <w:p w:rsidR="00EC4247" w:rsidRDefault="00EC4247" w:rsidP="00EC4247">
      <w:pPr>
        <w:pStyle w:val="ColorfulList-Accent1"/>
        <w:numPr>
          <w:ilvl w:val="0"/>
          <w:numId w:val="19"/>
        </w:numPr>
        <w:spacing w:after="0" w:line="480" w:lineRule="auto"/>
        <w:jc w:val="both"/>
        <w:rPr>
          <w:rFonts w:ascii="Times New Roman" w:hAnsi="Times New Roman"/>
          <w:sz w:val="24"/>
          <w:szCs w:val="24"/>
        </w:rPr>
      </w:pPr>
      <w:r w:rsidRPr="0052414E">
        <w:rPr>
          <w:rFonts w:ascii="Times New Roman" w:hAnsi="Times New Roman"/>
          <w:sz w:val="24"/>
          <w:szCs w:val="24"/>
        </w:rPr>
        <w:t>Ensuring public transportation is accessible and, if individuals cannot navigate public transport, providing para-transit service that is comparable to public transport (e.g. service area, response time, fares, capacity constraints, etc.).</w:t>
      </w:r>
      <w:r w:rsidRPr="0052414E">
        <w:rPr>
          <w:rStyle w:val="FootnoteReference"/>
          <w:rFonts w:ascii="Times New Roman" w:hAnsi="Times New Roman"/>
          <w:sz w:val="24"/>
          <w:szCs w:val="24"/>
        </w:rPr>
        <w:footnoteReference w:id="41"/>
      </w:r>
    </w:p>
    <w:p w:rsidR="00EC4247" w:rsidRPr="0052414E" w:rsidRDefault="00EC4247" w:rsidP="00EC4247">
      <w:pPr>
        <w:pStyle w:val="ColorfulList-Accent1"/>
        <w:spacing w:after="0" w:line="480" w:lineRule="auto"/>
        <w:ind w:left="0" w:firstLine="720"/>
        <w:jc w:val="both"/>
        <w:rPr>
          <w:rFonts w:ascii="Times New Roman" w:hAnsi="Times New Roman"/>
          <w:sz w:val="24"/>
          <w:szCs w:val="24"/>
          <w:shd w:val="clear" w:color="auto" w:fill="FFFFFF"/>
        </w:rPr>
      </w:pPr>
      <w:r w:rsidRPr="0052414E">
        <w:rPr>
          <w:rFonts w:ascii="Times New Roman" w:hAnsi="Times New Roman"/>
          <w:sz w:val="24"/>
          <w:szCs w:val="24"/>
          <w:shd w:val="clear" w:color="auto" w:fill="FFFFFF"/>
        </w:rPr>
        <w:t xml:space="preserve">Under the ADA and Fair Housing laws, </w:t>
      </w:r>
      <w:r w:rsidR="00D8443C">
        <w:rPr>
          <w:rFonts w:ascii="Times New Roman" w:hAnsi="Times New Roman"/>
          <w:sz w:val="24"/>
          <w:szCs w:val="24"/>
          <w:shd w:val="clear" w:color="auto" w:fill="FFFFFF"/>
        </w:rPr>
        <w:t>public housing agencies</w:t>
      </w:r>
      <w:r w:rsidRPr="0052414E">
        <w:rPr>
          <w:rFonts w:ascii="Times New Roman" w:hAnsi="Times New Roman"/>
          <w:sz w:val="24"/>
          <w:szCs w:val="24"/>
          <w:shd w:val="clear" w:color="auto" w:fill="FFFFFF"/>
        </w:rPr>
        <w:t xml:space="preserve"> have responsibilities to their clients—including individuals with disabilities—to ensure they are protected from illegal discrimination. Providing reasonable accommodations to enable clients with disabilities to perform ADL’s is key to upholding these provisions.   </w:t>
      </w:r>
    </w:p>
    <w:p w:rsidR="00EC4247" w:rsidRPr="0052414E" w:rsidRDefault="00EC4247" w:rsidP="00EC4247">
      <w:pPr>
        <w:spacing w:after="0" w:line="480" w:lineRule="auto"/>
        <w:ind w:firstLine="720"/>
        <w:jc w:val="both"/>
        <w:rPr>
          <w:rFonts w:ascii="Times New Roman" w:hAnsi="Times New Roman"/>
          <w:sz w:val="24"/>
          <w:szCs w:val="24"/>
          <w:shd w:val="clear" w:color="auto" w:fill="FFFFFF"/>
        </w:rPr>
      </w:pPr>
      <w:r w:rsidRPr="0052414E">
        <w:rPr>
          <w:rFonts w:ascii="Times New Roman" w:hAnsi="Times New Roman"/>
          <w:sz w:val="24"/>
          <w:szCs w:val="24"/>
          <w:shd w:val="clear" w:color="auto" w:fill="FFFFFF"/>
        </w:rPr>
        <w:t xml:space="preserve">The Fair Housing Act prohibits: </w:t>
      </w:r>
    </w:p>
    <w:p w:rsidR="00EC4247" w:rsidRPr="003C60D9" w:rsidRDefault="00EC4247" w:rsidP="00EC4247">
      <w:pPr>
        <w:spacing w:line="240" w:lineRule="auto"/>
        <w:ind w:left="720" w:right="720"/>
        <w:jc w:val="both"/>
        <w:rPr>
          <w:rFonts w:ascii="Times New Roman" w:hAnsi="Times New Roman"/>
          <w:sz w:val="24"/>
          <w:szCs w:val="24"/>
          <w:shd w:val="clear" w:color="auto" w:fill="FFFFFF"/>
        </w:rPr>
      </w:pPr>
      <w:r w:rsidRPr="0052414E">
        <w:rPr>
          <w:rFonts w:ascii="Times New Roman" w:hAnsi="Times New Roman"/>
          <w:sz w:val="24"/>
          <w:szCs w:val="24"/>
          <w:shd w:val="clear" w:color="auto" w:fill="FFFFFF"/>
        </w:rPr>
        <w:t xml:space="preserve">[D]iscrimination in housing because of race, color, religion, sex, national origin, familial status, and disability. The Act prohibits housing providers from discriminating against persons because of their disability or the disability of anyone associated with them and from treating persons with disabilities less favorably than others because of the disability. The Act also requires housing providers to make reasonable accommodations in rules, policies, practices, or services, when such accommodations may be necessary to afford such person(s) equal opportunity to use and enjoy a dwelling. In addition, the Act requires that housing providers allow reasonable modifications to units and common spaces in a dwelling for disability-related needs. The Act applies to the vast majority housing, including privately owned housing and housing subsidized by the federal government. HUD's regulations implementing the disability discrimination prohibitions of the Act may be found </w:t>
      </w:r>
      <w:r w:rsidRPr="003C60D9">
        <w:rPr>
          <w:rFonts w:ascii="Times New Roman" w:hAnsi="Times New Roman"/>
          <w:sz w:val="24"/>
          <w:szCs w:val="24"/>
          <w:shd w:val="clear" w:color="auto" w:fill="FFFFFF"/>
        </w:rPr>
        <w:t>at 24 C.F.R. §§ 100.201-205.</w:t>
      </w:r>
      <w:r w:rsidRPr="003C60D9">
        <w:rPr>
          <w:rStyle w:val="FootnoteReference"/>
          <w:rFonts w:ascii="Times New Roman" w:hAnsi="Times New Roman"/>
          <w:sz w:val="24"/>
          <w:szCs w:val="24"/>
          <w:shd w:val="clear" w:color="auto" w:fill="FFFFFF"/>
        </w:rPr>
        <w:footnoteReference w:id="42"/>
      </w:r>
    </w:p>
    <w:p w:rsidR="00EC4247" w:rsidRDefault="00EC4247" w:rsidP="00EC4247">
      <w:pPr>
        <w:spacing w:after="0" w:line="480" w:lineRule="auto"/>
        <w:ind w:firstLine="720"/>
        <w:jc w:val="both"/>
        <w:rPr>
          <w:rFonts w:ascii="Times New Roman" w:hAnsi="Times New Roman"/>
          <w:sz w:val="24"/>
          <w:szCs w:val="24"/>
          <w:shd w:val="clear" w:color="auto" w:fill="FFFFFF"/>
        </w:rPr>
      </w:pPr>
      <w:r w:rsidRPr="003C60D9">
        <w:rPr>
          <w:rFonts w:ascii="Times New Roman" w:hAnsi="Times New Roman"/>
          <w:sz w:val="24"/>
          <w:szCs w:val="24"/>
          <w:shd w:val="clear" w:color="auto" w:fill="FFFFFF"/>
        </w:rPr>
        <w:lastRenderedPageBreak/>
        <w:t>For purposes of physical accessibility where both the ADA and Section 504 of the Rehabilitation Act of 1973, as amended,</w:t>
      </w:r>
      <w:r>
        <w:rPr>
          <w:rStyle w:val="FootnoteReference"/>
          <w:rFonts w:ascii="Times New Roman" w:hAnsi="Times New Roman"/>
          <w:sz w:val="24"/>
          <w:szCs w:val="24"/>
          <w:shd w:val="clear" w:color="auto" w:fill="FFFFFF"/>
        </w:rPr>
        <w:footnoteReference w:id="43"/>
      </w:r>
      <w:r w:rsidRPr="003C60D9">
        <w:rPr>
          <w:rFonts w:ascii="Times New Roman" w:hAnsi="Times New Roman"/>
          <w:sz w:val="24"/>
          <w:szCs w:val="24"/>
          <w:shd w:val="clear" w:color="auto" w:fill="FFFFFF"/>
        </w:rPr>
        <w:t xml:space="preserve"> apply, the element that would provide the greatest accessibility of the accessibility standards (either Uniform Accessibility Standards </w:t>
      </w:r>
      <w:hyperlink r:id="rId9" w:history="1">
        <w:r w:rsidRPr="00607128">
          <w:rPr>
            <w:rStyle w:val="Hyperlink"/>
            <w:rFonts w:ascii="Times New Roman" w:hAnsi="Times New Roman"/>
            <w:sz w:val="24"/>
            <w:szCs w:val="24"/>
            <w:shd w:val="clear" w:color="auto" w:fill="FFFFFF"/>
          </w:rPr>
          <w:t>(UFAS</w:t>
        </w:r>
        <w:r w:rsidRPr="00607128">
          <w:rPr>
            <w:rStyle w:val="Hyperlink"/>
            <w:rFonts w:ascii="Times New Roman" w:hAnsi="Times New Roman"/>
            <w:sz w:val="24"/>
            <w:szCs w:val="24"/>
          </w:rPr>
          <w:t>)</w:t>
        </w:r>
      </w:hyperlink>
      <w:r w:rsidRPr="003C60D9">
        <w:rPr>
          <w:rFonts w:ascii="Times New Roman" w:hAnsi="Times New Roman"/>
          <w:sz w:val="24"/>
          <w:szCs w:val="24"/>
          <w:shd w:val="clear" w:color="auto" w:fill="FFFFFF"/>
        </w:rPr>
        <w:t>, the </w:t>
      </w:r>
      <w:hyperlink r:id="rId10" w:history="1">
        <w:r w:rsidRPr="00607128">
          <w:rPr>
            <w:rStyle w:val="Hyperlink"/>
            <w:rFonts w:ascii="Times New Roman" w:hAnsi="Times New Roman"/>
            <w:sz w:val="24"/>
            <w:szCs w:val="24"/>
            <w:shd w:val="clear" w:color="auto" w:fill="FFFFFF"/>
          </w:rPr>
          <w:t>2010 ADA Standards for Accessible Design,</w:t>
        </w:r>
      </w:hyperlink>
      <w:r w:rsidRPr="003C60D9">
        <w:rPr>
          <w:rFonts w:ascii="Times New Roman" w:hAnsi="Times New Roman"/>
          <w:sz w:val="24"/>
          <w:szCs w:val="24"/>
          <w:shd w:val="clear" w:color="auto" w:fill="FFFFFF"/>
        </w:rPr>
        <w:t xml:space="preserve"> or </w:t>
      </w:r>
      <w:hyperlink r:id="rId11" w:history="1">
        <w:r w:rsidRPr="00607128">
          <w:rPr>
            <w:rStyle w:val="Hyperlink"/>
            <w:rFonts w:ascii="Times New Roman" w:hAnsi="Times New Roman"/>
            <w:sz w:val="24"/>
            <w:szCs w:val="24"/>
            <w:shd w:val="clear" w:color="auto" w:fill="FFFFFF"/>
          </w:rPr>
          <w:t>HUD’s Deeming Notice)</w:t>
        </w:r>
      </w:hyperlink>
      <w:r w:rsidRPr="003C60D9">
        <w:rPr>
          <w:rFonts w:ascii="Times New Roman" w:hAnsi="Times New Roman"/>
          <w:sz w:val="24"/>
          <w:szCs w:val="24"/>
          <w:shd w:val="clear" w:color="auto" w:fill="FFFFFF"/>
        </w:rPr>
        <w:t xml:space="preserve"> must be met</w:t>
      </w:r>
      <w:r w:rsidRPr="0052414E">
        <w:rPr>
          <w:rFonts w:ascii="Times New Roman" w:hAnsi="Times New Roman"/>
          <w:sz w:val="24"/>
          <w:szCs w:val="24"/>
          <w:shd w:val="clear" w:color="auto" w:fill="FFFFFF"/>
        </w:rPr>
        <w:t>.</w:t>
      </w:r>
      <w:r w:rsidRPr="0052414E">
        <w:rPr>
          <w:rStyle w:val="FootnoteReference"/>
          <w:rFonts w:ascii="Times New Roman" w:hAnsi="Times New Roman"/>
          <w:sz w:val="24"/>
          <w:szCs w:val="24"/>
          <w:shd w:val="clear" w:color="auto" w:fill="FFFFFF"/>
        </w:rPr>
        <w:footnoteReference w:id="44"/>
      </w:r>
    </w:p>
    <w:p w:rsidR="00D8443C" w:rsidRPr="00EC4247" w:rsidRDefault="00D8443C" w:rsidP="00607128">
      <w:pPr>
        <w:spacing w:after="0" w:line="480" w:lineRule="auto"/>
        <w:ind w:firstLine="720"/>
        <w:jc w:val="both"/>
        <w:rPr>
          <w:rFonts w:ascii="Times New Roman" w:hAnsi="Times New Roman"/>
          <w:sz w:val="24"/>
          <w:szCs w:val="24"/>
          <w:shd w:val="clear" w:color="auto" w:fill="FFFFFF"/>
        </w:rPr>
      </w:pPr>
      <w:r w:rsidRPr="00D8443C">
        <w:rPr>
          <w:rFonts w:ascii="Times New Roman" w:hAnsi="Times New Roman"/>
          <w:sz w:val="24"/>
          <w:szCs w:val="24"/>
          <w:shd w:val="clear" w:color="auto" w:fill="FFFFFF"/>
        </w:rPr>
        <w:t>NYCHA provides reasonable accommodation for applicants, Section 8 voucher holders, and NYCHA residents with disabilities.</w:t>
      </w:r>
      <w:r w:rsidRPr="00D8443C">
        <w:rPr>
          <w:rFonts w:ascii="Times New Roman" w:hAnsi="Times New Roman"/>
          <w:sz w:val="24"/>
          <w:szCs w:val="24"/>
          <w:shd w:val="clear" w:color="auto" w:fill="FFFFFF"/>
          <w:vertAlign w:val="superscript"/>
        </w:rPr>
        <w:footnoteReference w:id="45"/>
      </w:r>
      <w:r w:rsidRPr="00D8443C">
        <w:rPr>
          <w:rFonts w:ascii="Times New Roman" w:hAnsi="Times New Roman"/>
          <w:sz w:val="24"/>
          <w:szCs w:val="24"/>
          <w:shd w:val="clear" w:color="auto" w:fill="FFFFFF"/>
        </w:rPr>
        <w:t xml:space="preserve"> Qualifying disabilities may include medical or chronic health issues, mobility/sensory impairments, physical disabilities, visual impairment, and/or psychological or mental conditions.</w:t>
      </w:r>
      <w:r w:rsidRPr="00D8443C">
        <w:rPr>
          <w:rFonts w:ascii="Times New Roman" w:hAnsi="Times New Roman"/>
          <w:sz w:val="24"/>
          <w:szCs w:val="24"/>
          <w:shd w:val="clear" w:color="auto" w:fill="FFFFFF"/>
          <w:vertAlign w:val="superscript"/>
        </w:rPr>
        <w:footnoteReference w:id="46"/>
      </w:r>
      <w:r w:rsidRPr="00D8443C">
        <w:rPr>
          <w:rFonts w:ascii="Times New Roman" w:hAnsi="Times New Roman"/>
          <w:sz w:val="24"/>
          <w:szCs w:val="24"/>
          <w:shd w:val="clear" w:color="auto" w:fill="FFFFFF"/>
        </w:rPr>
        <w:t xml:space="preserve"> Reasonable accommodation in housing is a change, modification, or alteration in policy, procedure, practice or program that provides a qualified individual an equal opportunity to participate in, or benefit from, a program or activity. Some types of reasonable accommodations include transfers to accessible units, transfers to a building with an elevator or on a lower floor, and modifications to apartments to include accessible or adaptable units. Residents can request reasonable accommodations online, or at their Property Management Office.</w:t>
      </w:r>
      <w:r w:rsidRPr="00D8443C">
        <w:rPr>
          <w:rFonts w:ascii="Times New Roman" w:hAnsi="Times New Roman"/>
          <w:sz w:val="24"/>
          <w:szCs w:val="24"/>
          <w:shd w:val="clear" w:color="auto" w:fill="FFFFFF"/>
          <w:vertAlign w:val="superscript"/>
        </w:rPr>
        <w:footnoteReference w:id="47"/>
      </w:r>
    </w:p>
    <w:p w:rsidR="00B93CAE" w:rsidRPr="008311E7" w:rsidRDefault="00B93CAE" w:rsidP="00B93CAE">
      <w:pPr>
        <w:spacing w:after="0" w:line="480" w:lineRule="auto"/>
        <w:contextualSpacing/>
        <w:jc w:val="both"/>
        <w:rPr>
          <w:rFonts w:ascii="Times New Roman" w:hAnsi="Times New Roman"/>
          <w:i/>
          <w:sz w:val="24"/>
          <w:szCs w:val="24"/>
        </w:rPr>
      </w:pPr>
      <w:r w:rsidRPr="008311E7">
        <w:rPr>
          <w:rFonts w:ascii="Times New Roman" w:hAnsi="Times New Roman"/>
          <w:i/>
          <w:sz w:val="24"/>
          <w:szCs w:val="24"/>
        </w:rPr>
        <w:t>NYCHA Litigation</w:t>
      </w:r>
    </w:p>
    <w:p w:rsidR="00703130" w:rsidRPr="00703130" w:rsidRDefault="0067444B" w:rsidP="00F9648E">
      <w:pPr>
        <w:spacing w:after="0" w:line="480" w:lineRule="auto"/>
        <w:ind w:firstLine="720"/>
        <w:contextualSpacing/>
        <w:jc w:val="both"/>
        <w:rPr>
          <w:rFonts w:ascii="Times New Roman" w:hAnsi="Times New Roman"/>
          <w:sz w:val="24"/>
          <w:szCs w:val="24"/>
        </w:rPr>
      </w:pPr>
      <w:r>
        <w:rPr>
          <w:rFonts w:ascii="Times New Roman" w:hAnsi="Times New Roman"/>
          <w:sz w:val="24"/>
          <w:szCs w:val="24"/>
        </w:rPr>
        <w:t>Persons with mobility impairments who were residents of or applicants for NYCHA housing pursued legal action against NYCHA in federal court, and became certified as a class in 1995</w:t>
      </w:r>
      <w:r w:rsidR="00F9648E">
        <w:rPr>
          <w:rFonts w:ascii="Times New Roman" w:hAnsi="Times New Roman"/>
          <w:sz w:val="24"/>
          <w:szCs w:val="24"/>
        </w:rPr>
        <w:t>.</w:t>
      </w:r>
      <w:r>
        <w:rPr>
          <w:rStyle w:val="FootnoteReference"/>
          <w:rFonts w:ascii="Times New Roman" w:hAnsi="Times New Roman"/>
          <w:sz w:val="24"/>
          <w:szCs w:val="24"/>
        </w:rPr>
        <w:footnoteReference w:id="48"/>
      </w:r>
      <w:r w:rsidR="00703130">
        <w:rPr>
          <w:rFonts w:ascii="Times New Roman" w:hAnsi="Times New Roman"/>
          <w:sz w:val="24"/>
          <w:szCs w:val="24"/>
        </w:rPr>
        <w:t xml:space="preserve"> </w:t>
      </w:r>
      <w:r>
        <w:rPr>
          <w:rFonts w:ascii="Times New Roman" w:hAnsi="Times New Roman"/>
          <w:sz w:val="24"/>
          <w:szCs w:val="24"/>
        </w:rPr>
        <w:t>The class action lawsuit alleged that</w:t>
      </w:r>
      <w:r w:rsidR="00703130">
        <w:rPr>
          <w:rFonts w:ascii="Times New Roman" w:hAnsi="Times New Roman"/>
          <w:sz w:val="24"/>
          <w:szCs w:val="24"/>
        </w:rPr>
        <w:t xml:space="preserve"> NYCHA</w:t>
      </w:r>
      <w:r w:rsidR="00703130" w:rsidRPr="00703130">
        <w:t xml:space="preserve"> </w:t>
      </w:r>
      <w:r w:rsidR="00703130" w:rsidRPr="00703130">
        <w:rPr>
          <w:rFonts w:ascii="Times New Roman" w:hAnsi="Times New Roman"/>
          <w:sz w:val="24"/>
          <w:szCs w:val="24"/>
        </w:rPr>
        <w:t>failed or refused to provide accommodations to tenants who request</w:t>
      </w:r>
      <w:r w:rsidR="00703130">
        <w:rPr>
          <w:rFonts w:ascii="Times New Roman" w:hAnsi="Times New Roman"/>
          <w:sz w:val="24"/>
          <w:szCs w:val="24"/>
        </w:rPr>
        <w:t>ed</w:t>
      </w:r>
      <w:r w:rsidR="00703130" w:rsidRPr="00703130">
        <w:rPr>
          <w:rFonts w:ascii="Times New Roman" w:hAnsi="Times New Roman"/>
          <w:sz w:val="24"/>
          <w:szCs w:val="24"/>
        </w:rPr>
        <w:t xml:space="preserve"> them; to make a sufficient number of apartments, common use areas, and other facilities accessible; and to offer accessible apartments to persons </w:t>
      </w:r>
      <w:r w:rsidR="00703130" w:rsidRPr="00703130">
        <w:rPr>
          <w:rFonts w:ascii="Times New Roman" w:hAnsi="Times New Roman"/>
          <w:sz w:val="24"/>
          <w:szCs w:val="24"/>
        </w:rPr>
        <w:lastRenderedPageBreak/>
        <w:t>with mobility impairments who reside in or have applied for NYCHA housing.</w:t>
      </w:r>
      <w:r w:rsidR="00703130">
        <w:rPr>
          <w:rStyle w:val="FootnoteReference"/>
          <w:rFonts w:ascii="Times New Roman" w:hAnsi="Times New Roman"/>
          <w:sz w:val="24"/>
          <w:szCs w:val="24"/>
        </w:rPr>
        <w:footnoteReference w:id="49"/>
      </w:r>
      <w:r w:rsidR="00DF31E6">
        <w:rPr>
          <w:rFonts w:ascii="Times New Roman" w:hAnsi="Times New Roman"/>
          <w:sz w:val="24"/>
          <w:szCs w:val="24"/>
        </w:rPr>
        <w:t xml:space="preserve"> Today, NYCHA has more than 7,400 apartments retrofitted with widened doorways, grab bars, audio/visual smoke alarms, and other features for persons with disabilities.</w:t>
      </w:r>
      <w:r w:rsidR="00DF31E6">
        <w:rPr>
          <w:rStyle w:val="FootnoteReference"/>
          <w:rFonts w:ascii="Times New Roman" w:hAnsi="Times New Roman"/>
          <w:sz w:val="24"/>
          <w:szCs w:val="24"/>
        </w:rPr>
        <w:footnoteReference w:id="50"/>
      </w:r>
    </w:p>
    <w:p w:rsidR="00EC4247" w:rsidRPr="00784C8C" w:rsidRDefault="00B93CAE" w:rsidP="00EC4247">
      <w:pPr>
        <w:pStyle w:val="ColorfulList-Accent1"/>
        <w:spacing w:after="0" w:line="480" w:lineRule="auto"/>
        <w:ind w:left="0"/>
        <w:jc w:val="both"/>
        <w:rPr>
          <w:rFonts w:ascii="Times New Roman" w:hAnsi="Times New Roman"/>
          <w:b/>
          <w:sz w:val="24"/>
          <w:szCs w:val="24"/>
          <w:u w:val="single"/>
        </w:rPr>
      </w:pPr>
      <w:r w:rsidRPr="00784C8C">
        <w:rPr>
          <w:rFonts w:ascii="Times New Roman" w:hAnsi="Times New Roman"/>
          <w:b/>
          <w:sz w:val="24"/>
          <w:szCs w:val="24"/>
          <w:u w:val="single"/>
        </w:rPr>
        <w:t>NYCHA FUTURE GOALS</w:t>
      </w:r>
    </w:p>
    <w:p w:rsidR="008311E7" w:rsidRDefault="00CB41E2" w:rsidP="00F9648E">
      <w:pPr>
        <w:pStyle w:val="ColorfulList-Accent1"/>
        <w:spacing w:after="0" w:line="480" w:lineRule="auto"/>
        <w:ind w:left="0"/>
        <w:jc w:val="both"/>
        <w:rPr>
          <w:rFonts w:ascii="Times New Roman" w:hAnsi="Times New Roman"/>
          <w:sz w:val="24"/>
          <w:szCs w:val="24"/>
        </w:rPr>
      </w:pPr>
      <w:r>
        <w:rPr>
          <w:rFonts w:ascii="Times New Roman" w:hAnsi="Times New Roman"/>
          <w:sz w:val="24"/>
          <w:szCs w:val="24"/>
        </w:rPr>
        <w:tab/>
      </w:r>
      <w:r w:rsidR="00607128" w:rsidRPr="00607128">
        <w:rPr>
          <w:rFonts w:ascii="Times New Roman" w:hAnsi="Times New Roman"/>
          <w:sz w:val="24"/>
          <w:szCs w:val="24"/>
        </w:rPr>
        <w:t xml:space="preserve">On January 31, 2019, the U.S. Department of Housing and Urban Development (HUD) entered into an agreement with NYCHA and the City. The purpose of the agreement is to remedy NYCHA’s physical conditions, ensure that NYCHA complies with its obligations under federal law, reform NYCHA’s management structure, and facilitate cooperation and coordination between HUD, NYCHA, and the City. </w:t>
      </w:r>
      <w:r w:rsidR="001D3A94">
        <w:rPr>
          <w:rFonts w:ascii="Times New Roman" w:hAnsi="Times New Roman"/>
          <w:sz w:val="24"/>
          <w:szCs w:val="24"/>
        </w:rPr>
        <w:t xml:space="preserve">NYCHA is instituting a number of changes in order to </w:t>
      </w:r>
      <w:r w:rsidR="00607128">
        <w:rPr>
          <w:rFonts w:ascii="Times New Roman" w:hAnsi="Times New Roman"/>
          <w:sz w:val="24"/>
          <w:szCs w:val="24"/>
        </w:rPr>
        <w:t xml:space="preserve">comply with the terms of the Agreement, </w:t>
      </w:r>
      <w:r w:rsidR="008F4802">
        <w:rPr>
          <w:rFonts w:ascii="Times New Roman" w:hAnsi="Times New Roman"/>
          <w:sz w:val="24"/>
          <w:szCs w:val="24"/>
        </w:rPr>
        <w:t xml:space="preserve">and </w:t>
      </w:r>
      <w:r w:rsidR="001D3A94">
        <w:rPr>
          <w:rFonts w:ascii="Times New Roman" w:hAnsi="Times New Roman"/>
          <w:sz w:val="24"/>
          <w:szCs w:val="24"/>
        </w:rPr>
        <w:t>better serve their residents</w:t>
      </w:r>
      <w:r w:rsidR="00607128">
        <w:rPr>
          <w:rFonts w:ascii="Times New Roman" w:hAnsi="Times New Roman"/>
          <w:sz w:val="24"/>
          <w:szCs w:val="24"/>
        </w:rPr>
        <w:t>.</w:t>
      </w:r>
      <w:r w:rsidR="008F4802">
        <w:rPr>
          <w:rFonts w:ascii="Times New Roman" w:hAnsi="Times New Roman"/>
          <w:sz w:val="24"/>
          <w:szCs w:val="24"/>
        </w:rPr>
        <w:t xml:space="preserve"> Pursuant to the Agreement, Bart Schwartz was appointed federal Monitor to NYCHA.</w:t>
      </w:r>
      <w:r w:rsidR="008F4802">
        <w:rPr>
          <w:rStyle w:val="FootnoteReference"/>
          <w:rFonts w:ascii="Times New Roman" w:hAnsi="Times New Roman"/>
          <w:sz w:val="24"/>
          <w:szCs w:val="24"/>
        </w:rPr>
        <w:footnoteReference w:id="51"/>
      </w:r>
      <w:r w:rsidR="008F4802" w:rsidDel="008F4802">
        <w:rPr>
          <w:rFonts w:ascii="Times New Roman" w:hAnsi="Times New Roman"/>
          <w:sz w:val="24"/>
          <w:szCs w:val="24"/>
        </w:rPr>
        <w:t xml:space="preserve"> </w:t>
      </w:r>
      <w:r w:rsidR="001D3A94">
        <w:rPr>
          <w:rFonts w:ascii="Times New Roman" w:hAnsi="Times New Roman"/>
          <w:sz w:val="24"/>
          <w:szCs w:val="24"/>
        </w:rPr>
        <w:t>According to the federal Monitor, NYCHA’s elevator group is working with the Monitor Team to improve the safety and reliability of elevators, and create a detailed plan for assisting residents with mobility impairments when a building has a total elevator outage.</w:t>
      </w:r>
      <w:r w:rsidR="001D3A94">
        <w:rPr>
          <w:rStyle w:val="FootnoteReference"/>
          <w:rFonts w:ascii="Times New Roman" w:hAnsi="Times New Roman"/>
          <w:sz w:val="24"/>
          <w:szCs w:val="24"/>
        </w:rPr>
        <w:footnoteReference w:id="52"/>
      </w:r>
      <w:r w:rsidR="001D3A94">
        <w:rPr>
          <w:rFonts w:ascii="Times New Roman" w:hAnsi="Times New Roman"/>
          <w:sz w:val="24"/>
          <w:szCs w:val="24"/>
        </w:rPr>
        <w:t xml:space="preserve"> NYCHA is also working to improve their records and metrics so that they can </w:t>
      </w:r>
      <w:r w:rsidR="00CE20BE">
        <w:rPr>
          <w:rFonts w:ascii="Times New Roman" w:hAnsi="Times New Roman"/>
          <w:sz w:val="24"/>
          <w:szCs w:val="24"/>
        </w:rPr>
        <w:t>deploy resources strategically and seek long-term solutions: previously, NYCHA did not identify the cause of each outage in its database, nor record the duration of an elevator outage from the time to outage began to the time service was restored.</w:t>
      </w:r>
      <w:r w:rsidR="00CE20BE">
        <w:rPr>
          <w:rStyle w:val="FootnoteReference"/>
          <w:rFonts w:ascii="Times New Roman" w:hAnsi="Times New Roman"/>
          <w:sz w:val="24"/>
          <w:szCs w:val="24"/>
        </w:rPr>
        <w:footnoteReference w:id="53"/>
      </w:r>
      <w:r w:rsidR="00CE20BE">
        <w:rPr>
          <w:rFonts w:ascii="Times New Roman" w:hAnsi="Times New Roman"/>
          <w:sz w:val="24"/>
          <w:szCs w:val="24"/>
        </w:rPr>
        <w:t xml:space="preserve"> Elevator </w:t>
      </w:r>
      <w:r w:rsidR="008311E7">
        <w:rPr>
          <w:rFonts w:ascii="Times New Roman" w:hAnsi="Times New Roman"/>
          <w:sz w:val="24"/>
          <w:szCs w:val="24"/>
        </w:rPr>
        <w:t>service interruptions</w:t>
      </w:r>
      <w:r w:rsidR="00CE20BE">
        <w:rPr>
          <w:rFonts w:ascii="Times New Roman" w:hAnsi="Times New Roman"/>
          <w:sz w:val="24"/>
          <w:szCs w:val="24"/>
        </w:rPr>
        <w:t xml:space="preserve"> are connected to larger concerns with NYCHA’s structural deficiencies – leaking roofs, for instance, cause water damage that degrades the </w:t>
      </w:r>
      <w:r w:rsidR="00CE20BE">
        <w:rPr>
          <w:rFonts w:ascii="Times New Roman" w:hAnsi="Times New Roman"/>
          <w:sz w:val="24"/>
          <w:szCs w:val="24"/>
        </w:rPr>
        <w:lastRenderedPageBreak/>
        <w:t>condition of elevators.</w:t>
      </w:r>
      <w:r w:rsidR="00CE20BE">
        <w:rPr>
          <w:rStyle w:val="FootnoteReference"/>
          <w:rFonts w:ascii="Times New Roman" w:hAnsi="Times New Roman"/>
          <w:sz w:val="24"/>
          <w:szCs w:val="24"/>
        </w:rPr>
        <w:footnoteReference w:id="54"/>
      </w:r>
      <w:r w:rsidR="00CE20BE">
        <w:rPr>
          <w:rFonts w:ascii="Times New Roman" w:hAnsi="Times New Roman"/>
          <w:sz w:val="24"/>
          <w:szCs w:val="24"/>
        </w:rPr>
        <w:t xml:space="preserve"> </w:t>
      </w:r>
      <w:r w:rsidR="008311E7">
        <w:rPr>
          <w:rFonts w:ascii="Times New Roman" w:hAnsi="Times New Roman"/>
          <w:sz w:val="24"/>
          <w:szCs w:val="24"/>
        </w:rPr>
        <w:t>NYCHA reported to the Monitor Team</w:t>
      </w:r>
      <w:r w:rsidR="008311E7" w:rsidRPr="008311E7">
        <w:rPr>
          <w:rFonts w:ascii="Times New Roman" w:hAnsi="Times New Roman"/>
          <w:sz w:val="24"/>
          <w:szCs w:val="24"/>
        </w:rPr>
        <w:t xml:space="preserve"> that outages are most often</w:t>
      </w:r>
      <w:r w:rsidR="008311E7">
        <w:rPr>
          <w:rFonts w:ascii="Times New Roman" w:hAnsi="Times New Roman"/>
          <w:sz w:val="24"/>
          <w:szCs w:val="24"/>
        </w:rPr>
        <w:t xml:space="preserve"> caused by 1) equipment failure;</w:t>
      </w:r>
      <w:r w:rsidR="008311E7" w:rsidRPr="008311E7">
        <w:rPr>
          <w:rFonts w:ascii="Times New Roman" w:hAnsi="Times New Roman"/>
          <w:sz w:val="24"/>
          <w:szCs w:val="24"/>
        </w:rPr>
        <w:t xml:space="preserve"> 2</w:t>
      </w:r>
      <w:r w:rsidR="008311E7">
        <w:rPr>
          <w:rFonts w:ascii="Times New Roman" w:hAnsi="Times New Roman"/>
          <w:sz w:val="24"/>
          <w:szCs w:val="24"/>
        </w:rPr>
        <w:t>) power outages to the building;</w:t>
      </w:r>
      <w:r w:rsidR="008311E7" w:rsidRPr="008311E7">
        <w:rPr>
          <w:rFonts w:ascii="Times New Roman" w:hAnsi="Times New Roman"/>
          <w:sz w:val="24"/>
          <w:szCs w:val="24"/>
        </w:rPr>
        <w:t xml:space="preserve"> 3) water</w:t>
      </w:r>
      <w:r w:rsidR="008311E7">
        <w:rPr>
          <w:rFonts w:ascii="Times New Roman" w:hAnsi="Times New Roman"/>
          <w:sz w:val="24"/>
          <w:szCs w:val="24"/>
        </w:rPr>
        <w:t xml:space="preserve"> </w:t>
      </w:r>
      <w:r w:rsidR="008311E7" w:rsidRPr="008311E7">
        <w:rPr>
          <w:rFonts w:ascii="Times New Roman" w:hAnsi="Times New Roman"/>
          <w:sz w:val="24"/>
          <w:szCs w:val="24"/>
        </w:rPr>
        <w:t xml:space="preserve">intrusions in the building </w:t>
      </w:r>
      <w:r w:rsidR="008311E7">
        <w:rPr>
          <w:rFonts w:ascii="Times New Roman" w:hAnsi="Times New Roman"/>
          <w:sz w:val="24"/>
          <w:szCs w:val="24"/>
        </w:rPr>
        <w:t>disabling the elevators;</w:t>
      </w:r>
      <w:r w:rsidR="008311E7" w:rsidRPr="008311E7">
        <w:rPr>
          <w:rFonts w:ascii="Times New Roman" w:hAnsi="Times New Roman"/>
          <w:sz w:val="24"/>
          <w:szCs w:val="24"/>
        </w:rPr>
        <w:t xml:space="preserve"> 4) scheduled preventi</w:t>
      </w:r>
      <w:r w:rsidR="008311E7">
        <w:rPr>
          <w:rFonts w:ascii="Times New Roman" w:hAnsi="Times New Roman"/>
          <w:sz w:val="24"/>
          <w:szCs w:val="24"/>
        </w:rPr>
        <w:t>ve/corrective maintenance; and 5</w:t>
      </w:r>
      <w:r w:rsidR="008311E7" w:rsidRPr="008311E7">
        <w:rPr>
          <w:rFonts w:ascii="Times New Roman" w:hAnsi="Times New Roman"/>
          <w:sz w:val="24"/>
          <w:szCs w:val="24"/>
        </w:rPr>
        <w:t>) vandalism.</w:t>
      </w:r>
      <w:r w:rsidR="008311E7">
        <w:rPr>
          <w:rStyle w:val="FootnoteReference"/>
          <w:rFonts w:ascii="Times New Roman" w:hAnsi="Times New Roman"/>
          <w:sz w:val="24"/>
          <w:szCs w:val="24"/>
        </w:rPr>
        <w:footnoteReference w:id="55"/>
      </w:r>
    </w:p>
    <w:p w:rsidR="008311E7" w:rsidRPr="00C55C5A" w:rsidRDefault="008311E7" w:rsidP="00F9648E">
      <w:pPr>
        <w:pStyle w:val="ColorfulList-Accent1"/>
        <w:spacing w:after="0" w:line="480" w:lineRule="auto"/>
        <w:ind w:left="0" w:firstLine="720"/>
        <w:jc w:val="both"/>
        <w:rPr>
          <w:rFonts w:ascii="Times New Roman" w:hAnsi="Times New Roman"/>
          <w:sz w:val="24"/>
          <w:szCs w:val="24"/>
        </w:rPr>
      </w:pPr>
      <w:r w:rsidRPr="008311E7">
        <w:rPr>
          <w:rFonts w:ascii="Times New Roman" w:hAnsi="Times New Roman"/>
          <w:sz w:val="24"/>
          <w:szCs w:val="24"/>
        </w:rPr>
        <w:t>According to NYCHA, 92% of its resident buildings, or about 1,625 buildings, are serviced by a total of 3,237 elevators. The Elevator Service and Repair Department (“ESRD”), with a staff of approximately 430, manages the operations of NYCHA’s elevators, with a budget of almost $75 million for FY 2019.</w:t>
      </w:r>
      <w:r>
        <w:rPr>
          <w:rStyle w:val="FootnoteReference"/>
          <w:rFonts w:ascii="Times New Roman" w:hAnsi="Times New Roman"/>
          <w:sz w:val="24"/>
          <w:szCs w:val="24"/>
        </w:rPr>
        <w:footnoteReference w:id="56"/>
      </w:r>
      <w:r w:rsidRPr="008311E7">
        <w:rPr>
          <w:rFonts w:ascii="Times New Roman" w:hAnsi="Times New Roman"/>
          <w:sz w:val="24"/>
          <w:szCs w:val="24"/>
        </w:rPr>
        <w:t xml:space="preserve"> </w:t>
      </w:r>
      <w:r>
        <w:rPr>
          <w:rFonts w:ascii="Times New Roman" w:hAnsi="Times New Roman"/>
          <w:sz w:val="24"/>
          <w:szCs w:val="24"/>
        </w:rPr>
        <w:t>NYCHA has stated that</w:t>
      </w:r>
      <w:r w:rsidR="00C55C5A">
        <w:rPr>
          <w:rFonts w:ascii="Times New Roman" w:hAnsi="Times New Roman"/>
          <w:sz w:val="24"/>
          <w:szCs w:val="24"/>
        </w:rPr>
        <w:t xml:space="preserve"> the necessary work to repair elevators is estimated to cost $16 million. NYCHA additionally claims that they are scheduled for modernization in 2023.</w:t>
      </w:r>
      <w:r w:rsidR="00C55C5A">
        <w:rPr>
          <w:rStyle w:val="FootnoteReference"/>
          <w:rFonts w:ascii="Times New Roman" w:hAnsi="Times New Roman"/>
          <w:sz w:val="24"/>
          <w:szCs w:val="24"/>
        </w:rPr>
        <w:footnoteReference w:id="57"/>
      </w:r>
      <w:r>
        <w:rPr>
          <w:rFonts w:ascii="Times New Roman" w:hAnsi="Times New Roman"/>
          <w:sz w:val="24"/>
          <w:szCs w:val="24"/>
        </w:rPr>
        <w:t xml:space="preserve"> </w:t>
      </w:r>
      <w:r w:rsidRPr="008311E7">
        <w:rPr>
          <w:rFonts w:ascii="Times New Roman" w:hAnsi="Times New Roman"/>
          <w:sz w:val="24"/>
          <w:szCs w:val="24"/>
        </w:rPr>
        <w:t>The Monitor Team has asked that NYCHA provide a complete asset information summary including the inventory of the elevator stock, age of each asset, most r</w:t>
      </w:r>
      <w:r>
        <w:rPr>
          <w:rFonts w:ascii="Times New Roman" w:hAnsi="Times New Roman"/>
          <w:sz w:val="24"/>
          <w:szCs w:val="24"/>
        </w:rPr>
        <w:t>ecent condition assessment</w:t>
      </w:r>
      <w:r w:rsidRPr="008311E7">
        <w:rPr>
          <w:rFonts w:ascii="Times New Roman" w:hAnsi="Times New Roman"/>
          <w:sz w:val="24"/>
          <w:szCs w:val="24"/>
        </w:rPr>
        <w:t>, and locations and warranties where</w:t>
      </w:r>
      <w:r>
        <w:rPr>
          <w:rFonts w:ascii="Times New Roman" w:hAnsi="Times New Roman"/>
          <w:sz w:val="24"/>
          <w:szCs w:val="24"/>
        </w:rPr>
        <w:t xml:space="preserve"> available.</w:t>
      </w:r>
      <w:r>
        <w:rPr>
          <w:rStyle w:val="FootnoteReference"/>
          <w:rFonts w:ascii="Times New Roman" w:hAnsi="Times New Roman"/>
          <w:sz w:val="24"/>
          <w:szCs w:val="24"/>
        </w:rPr>
        <w:footnoteReference w:id="58"/>
      </w:r>
      <w:r>
        <w:rPr>
          <w:rFonts w:ascii="Times New Roman" w:hAnsi="Times New Roman"/>
          <w:sz w:val="24"/>
          <w:szCs w:val="24"/>
        </w:rPr>
        <w:t xml:space="preserve"> The HUD-NYCHA Agreement requires that w</w:t>
      </w:r>
      <w:r w:rsidRPr="008311E7">
        <w:rPr>
          <w:rFonts w:ascii="Times New Roman" w:hAnsi="Times New Roman"/>
          <w:sz w:val="24"/>
          <w:szCs w:val="24"/>
        </w:rPr>
        <w:t xml:space="preserve">ithin six months of the Effective Date, NYCHA will establish a system to provide residents of buildings affected by a planned outage 24-hours advanced notice, and to provide residents of buildings affected by an unplanned outage notice within two hours of NYCHA learning </w:t>
      </w:r>
      <w:r w:rsidR="00CA4D8D">
        <w:rPr>
          <w:rFonts w:ascii="Times New Roman" w:hAnsi="Times New Roman"/>
          <w:sz w:val="24"/>
          <w:szCs w:val="24"/>
        </w:rPr>
        <w:t>of the outage. The Agreement states that this notice must</w:t>
      </w:r>
      <w:r w:rsidRPr="008311E7">
        <w:rPr>
          <w:rFonts w:ascii="Times New Roman" w:hAnsi="Times New Roman"/>
          <w:sz w:val="24"/>
          <w:szCs w:val="24"/>
        </w:rPr>
        <w:t xml:space="preserve"> include instructions regarding what assistance NYCHA has available for individuals with mobility </w:t>
      </w:r>
      <w:r w:rsidR="00CA4D8D">
        <w:rPr>
          <w:rFonts w:ascii="Times New Roman" w:hAnsi="Times New Roman"/>
          <w:sz w:val="24"/>
          <w:szCs w:val="24"/>
        </w:rPr>
        <w:t>impairments during the outage.</w:t>
      </w:r>
      <w:r w:rsidR="00CA4D8D">
        <w:rPr>
          <w:rStyle w:val="FootnoteReference"/>
          <w:rFonts w:ascii="Times New Roman" w:hAnsi="Times New Roman"/>
          <w:sz w:val="24"/>
          <w:szCs w:val="24"/>
        </w:rPr>
        <w:footnoteReference w:id="59"/>
      </w:r>
      <w:r w:rsidR="00CA4D8D" w:rsidRPr="00CA4D8D">
        <w:t xml:space="preserve"> </w:t>
      </w:r>
      <w:r w:rsidR="00CA4D8D" w:rsidRPr="00CA4D8D">
        <w:rPr>
          <w:rFonts w:ascii="Times New Roman" w:hAnsi="Times New Roman"/>
          <w:sz w:val="24"/>
        </w:rPr>
        <w:t>Additionally, the Agreement requires that,</w:t>
      </w:r>
      <w:r w:rsidR="00CA4D8D" w:rsidRPr="00CA4D8D">
        <w:rPr>
          <w:sz w:val="24"/>
        </w:rPr>
        <w:t xml:space="preserve"> </w:t>
      </w:r>
      <w:r w:rsidR="00CA4D8D">
        <w:t>f</w:t>
      </w:r>
      <w:r w:rsidR="00CA4D8D" w:rsidRPr="00CA4D8D">
        <w:rPr>
          <w:rFonts w:ascii="Times New Roman" w:hAnsi="Times New Roman"/>
          <w:sz w:val="24"/>
          <w:szCs w:val="24"/>
        </w:rPr>
        <w:t xml:space="preserve">or the first year after the </w:t>
      </w:r>
      <w:r w:rsidR="00CA4D8D" w:rsidRPr="00CA4D8D">
        <w:rPr>
          <w:rFonts w:ascii="Times New Roman" w:hAnsi="Times New Roman"/>
          <w:sz w:val="24"/>
          <w:szCs w:val="24"/>
        </w:rPr>
        <w:lastRenderedPageBreak/>
        <w:t>Effective Date, NYCHA shall reduce the duration of service outages by 10%, and 75% of no-service conditions shall be resolved within 18 hours of the time NYCHA learns of them</w:t>
      </w:r>
      <w:r w:rsidR="00CA4D8D">
        <w:rPr>
          <w:rFonts w:ascii="Times New Roman" w:hAnsi="Times New Roman"/>
          <w:sz w:val="24"/>
          <w:szCs w:val="24"/>
        </w:rPr>
        <w:t>.</w:t>
      </w:r>
      <w:r w:rsidR="00CA4D8D">
        <w:rPr>
          <w:rStyle w:val="FootnoteReference"/>
          <w:rFonts w:ascii="Times New Roman" w:hAnsi="Times New Roman"/>
          <w:sz w:val="24"/>
          <w:szCs w:val="24"/>
        </w:rPr>
        <w:footnoteReference w:id="60"/>
      </w:r>
      <w:r w:rsidR="00CA4D8D">
        <w:rPr>
          <w:rFonts w:ascii="Times New Roman" w:hAnsi="Times New Roman"/>
          <w:sz w:val="24"/>
          <w:szCs w:val="24"/>
        </w:rPr>
        <w:t xml:space="preserve"> NYCHA is expected to improve over time: wit</w:t>
      </w:r>
      <w:r w:rsidR="00CA4D8D" w:rsidRPr="00CA4D8D">
        <w:rPr>
          <w:rFonts w:ascii="Times New Roman" w:hAnsi="Times New Roman"/>
          <w:sz w:val="24"/>
          <w:szCs w:val="24"/>
        </w:rPr>
        <w:t xml:space="preserve">hin three years of the Effective Date, </w:t>
      </w:r>
      <w:r w:rsidR="00CA4D8D">
        <w:rPr>
          <w:rFonts w:ascii="Times New Roman" w:hAnsi="Times New Roman"/>
          <w:sz w:val="24"/>
          <w:szCs w:val="24"/>
        </w:rPr>
        <w:t xml:space="preserve">for instance, the Agreement requires that </w:t>
      </w:r>
      <w:r w:rsidR="00CA4D8D" w:rsidRPr="00CA4D8D">
        <w:rPr>
          <w:rFonts w:ascii="Times New Roman" w:hAnsi="Times New Roman"/>
          <w:sz w:val="24"/>
          <w:szCs w:val="24"/>
        </w:rPr>
        <w:t>70% of buildings containing more than one elevator will have no more than one instance per year where all elevators are out of service (whether planned or unplanned) at the same time, and no such building shall have more th</w:t>
      </w:r>
      <w:r w:rsidR="00CA4D8D">
        <w:rPr>
          <w:rFonts w:ascii="Times New Roman" w:hAnsi="Times New Roman"/>
          <w:sz w:val="24"/>
          <w:szCs w:val="24"/>
        </w:rPr>
        <w:t>an three instances in a year. The Agreement further requires that within three years of the Effective Date,</w:t>
      </w:r>
      <w:r w:rsidR="00CA4D8D" w:rsidRPr="00CA4D8D">
        <w:rPr>
          <w:rFonts w:ascii="Times New Roman" w:hAnsi="Times New Roman"/>
          <w:sz w:val="24"/>
          <w:szCs w:val="24"/>
        </w:rPr>
        <w:t xml:space="preserve"> 70% of elevators in all buildings shall have an unplanned outage no more than eight times per year, and no elevator shall have unplanned outages more than 15 times a year.</w:t>
      </w:r>
      <w:r w:rsidR="00CA4D8D">
        <w:rPr>
          <w:rStyle w:val="FootnoteReference"/>
          <w:rFonts w:ascii="Times New Roman" w:hAnsi="Times New Roman"/>
          <w:sz w:val="24"/>
          <w:szCs w:val="24"/>
        </w:rPr>
        <w:footnoteReference w:id="61"/>
      </w:r>
    </w:p>
    <w:p w:rsidR="00193396" w:rsidRPr="0052414E" w:rsidRDefault="00193396" w:rsidP="00870AE0">
      <w:pPr>
        <w:spacing w:after="0" w:line="480" w:lineRule="auto"/>
        <w:jc w:val="both"/>
        <w:rPr>
          <w:rFonts w:ascii="Times New Roman" w:hAnsi="Times New Roman"/>
          <w:b/>
          <w:sz w:val="24"/>
          <w:szCs w:val="24"/>
          <w:u w:val="single"/>
        </w:rPr>
      </w:pPr>
      <w:r w:rsidRPr="0052414E">
        <w:rPr>
          <w:rFonts w:ascii="Times New Roman" w:hAnsi="Times New Roman"/>
          <w:b/>
          <w:sz w:val="24"/>
          <w:szCs w:val="24"/>
          <w:u w:val="single"/>
        </w:rPr>
        <w:t>CONCLUSION</w:t>
      </w:r>
    </w:p>
    <w:p w:rsidR="00193396" w:rsidRPr="0052414E" w:rsidRDefault="00193396" w:rsidP="00870AE0">
      <w:pPr>
        <w:spacing w:after="0" w:line="480" w:lineRule="auto"/>
        <w:jc w:val="both"/>
        <w:rPr>
          <w:rFonts w:ascii="Times New Roman" w:hAnsi="Times New Roman"/>
          <w:sz w:val="24"/>
          <w:szCs w:val="24"/>
        </w:rPr>
      </w:pPr>
      <w:r w:rsidRPr="0052414E">
        <w:rPr>
          <w:rFonts w:ascii="Times New Roman" w:hAnsi="Times New Roman"/>
          <w:sz w:val="24"/>
          <w:szCs w:val="24"/>
        </w:rPr>
        <w:tab/>
      </w:r>
      <w:r w:rsidRPr="00784C8C">
        <w:rPr>
          <w:rFonts w:ascii="Times New Roman" w:hAnsi="Times New Roman"/>
          <w:sz w:val="24"/>
          <w:szCs w:val="24"/>
        </w:rPr>
        <w:t>At today’s hearing, the Committees seek to</w:t>
      </w:r>
      <w:r w:rsidR="00CA4D8D">
        <w:rPr>
          <w:rFonts w:ascii="Times New Roman" w:hAnsi="Times New Roman"/>
          <w:sz w:val="24"/>
          <w:szCs w:val="24"/>
        </w:rPr>
        <w:t xml:space="preserve"> identify both challenges and solutions </w:t>
      </w:r>
      <w:r w:rsidR="00314B9E">
        <w:rPr>
          <w:rFonts w:ascii="Times New Roman" w:hAnsi="Times New Roman"/>
          <w:sz w:val="24"/>
          <w:szCs w:val="24"/>
        </w:rPr>
        <w:t xml:space="preserve">to meeting the functional needs of residents and NYCHA housing applicants with disabilities. This hearing will allow the Committees and the public to </w:t>
      </w:r>
      <w:r w:rsidR="00CA4D8D">
        <w:rPr>
          <w:rFonts w:ascii="Times New Roman" w:hAnsi="Times New Roman"/>
          <w:sz w:val="24"/>
          <w:szCs w:val="24"/>
        </w:rPr>
        <w:t xml:space="preserve">learn how NYCHA is working to improve </w:t>
      </w:r>
      <w:r w:rsidR="00314B9E">
        <w:rPr>
          <w:rFonts w:ascii="Times New Roman" w:hAnsi="Times New Roman"/>
          <w:sz w:val="24"/>
          <w:szCs w:val="24"/>
        </w:rPr>
        <w:t xml:space="preserve">its </w:t>
      </w:r>
      <w:r w:rsidR="00CA4D8D">
        <w:rPr>
          <w:rFonts w:ascii="Times New Roman" w:hAnsi="Times New Roman"/>
          <w:sz w:val="24"/>
          <w:szCs w:val="24"/>
        </w:rPr>
        <w:t>physical and structural deficiencies so that disabled residents can live safely and with dignity.</w:t>
      </w:r>
    </w:p>
    <w:sectPr w:rsidR="00193396" w:rsidRPr="0052414E" w:rsidSect="00B72E5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0F1" w:rsidRDefault="003D60F1" w:rsidP="00D2397D">
      <w:pPr>
        <w:spacing w:after="0" w:line="240" w:lineRule="auto"/>
      </w:pPr>
      <w:r>
        <w:separator/>
      </w:r>
    </w:p>
  </w:endnote>
  <w:endnote w:type="continuationSeparator" w:id="0">
    <w:p w:rsidR="003D60F1" w:rsidRDefault="003D60F1" w:rsidP="00D23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66D" w:rsidRPr="00777A61" w:rsidRDefault="0000366D">
    <w:pPr>
      <w:pStyle w:val="Footer"/>
      <w:jc w:val="center"/>
      <w:rPr>
        <w:rFonts w:ascii="Times New Roman" w:hAnsi="Times New Roman"/>
        <w:sz w:val="24"/>
        <w:szCs w:val="24"/>
      </w:rPr>
    </w:pPr>
    <w:r w:rsidRPr="00777A61">
      <w:rPr>
        <w:rFonts w:ascii="Times New Roman" w:hAnsi="Times New Roman"/>
        <w:sz w:val="24"/>
        <w:szCs w:val="24"/>
      </w:rPr>
      <w:fldChar w:fldCharType="begin"/>
    </w:r>
    <w:r w:rsidRPr="00777A61">
      <w:rPr>
        <w:rFonts w:ascii="Times New Roman" w:hAnsi="Times New Roman"/>
        <w:sz w:val="24"/>
        <w:szCs w:val="24"/>
      </w:rPr>
      <w:instrText xml:space="preserve"> PAGE   \* MERGEFORMAT </w:instrText>
    </w:r>
    <w:r w:rsidRPr="00777A61">
      <w:rPr>
        <w:rFonts w:ascii="Times New Roman" w:hAnsi="Times New Roman"/>
        <w:sz w:val="24"/>
        <w:szCs w:val="24"/>
      </w:rPr>
      <w:fldChar w:fldCharType="separate"/>
    </w:r>
    <w:r w:rsidR="000D3C96">
      <w:rPr>
        <w:rFonts w:ascii="Times New Roman" w:hAnsi="Times New Roman"/>
        <w:noProof/>
        <w:sz w:val="24"/>
        <w:szCs w:val="24"/>
      </w:rPr>
      <w:t>1</w:t>
    </w:r>
    <w:r w:rsidRPr="00777A61">
      <w:rPr>
        <w:rFonts w:ascii="Times New Roman" w:hAnsi="Times New Roman"/>
        <w:noProof/>
        <w:sz w:val="24"/>
        <w:szCs w:val="24"/>
      </w:rPr>
      <w:fldChar w:fldCharType="end"/>
    </w:r>
  </w:p>
  <w:p w:rsidR="0000366D" w:rsidRDefault="00003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0F1" w:rsidRDefault="003D60F1" w:rsidP="00D2397D">
      <w:pPr>
        <w:spacing w:after="0" w:line="240" w:lineRule="auto"/>
      </w:pPr>
      <w:r>
        <w:separator/>
      </w:r>
    </w:p>
  </w:footnote>
  <w:footnote w:type="continuationSeparator" w:id="0">
    <w:p w:rsidR="003D60F1" w:rsidRDefault="003D60F1" w:rsidP="00D2397D">
      <w:pPr>
        <w:spacing w:after="0" w:line="240" w:lineRule="auto"/>
      </w:pPr>
      <w:r>
        <w:continuationSeparator/>
      </w:r>
    </w:p>
  </w:footnote>
  <w:footnote w:id="1">
    <w:p w:rsidR="0000366D" w:rsidRDefault="0000366D">
      <w:pPr>
        <w:pStyle w:val="FootnoteText"/>
      </w:pPr>
      <w:r>
        <w:rPr>
          <w:rStyle w:val="FootnoteReference"/>
        </w:rPr>
        <w:footnoteRef/>
      </w:r>
      <w:r>
        <w:t xml:space="preserve"> “Americans with Disabilities: 2014: Household Economic Studies,” Danielle Taylor, U.S. Census, p 70–152, Nov. 2018, available at </w:t>
      </w:r>
      <w:hyperlink r:id="rId1" w:history="1">
        <w:r>
          <w:rPr>
            <w:rStyle w:val="Hyperlink"/>
          </w:rPr>
          <w:t>https://www.census.gov/content/dam/Census/library/publications/2018/demo/p70-152.pdf</w:t>
        </w:r>
      </w:hyperlink>
      <w:r>
        <w:t>.</w:t>
      </w:r>
    </w:p>
  </w:footnote>
  <w:footnote w:id="2">
    <w:p w:rsidR="0000366D" w:rsidRPr="0095371F" w:rsidRDefault="0000366D">
      <w:pPr>
        <w:pStyle w:val="FootnoteText"/>
      </w:pPr>
      <w:r>
        <w:rPr>
          <w:rStyle w:val="FootnoteReference"/>
        </w:rPr>
        <w:footnoteRef/>
      </w:r>
      <w:r>
        <w:t xml:space="preserve"> </w:t>
      </w:r>
      <w:r>
        <w:rPr>
          <w:i/>
        </w:rPr>
        <w:t xml:space="preserve">See generally, </w:t>
      </w:r>
      <w:r>
        <w:t xml:space="preserve">“AccessibleNYC: An Annual Report on the State of People with Disabilities Living in NYC,” </w:t>
      </w:r>
      <w:r w:rsidRPr="0095371F">
        <w:rPr>
          <w:i/>
        </w:rPr>
        <w:t>citing</w:t>
      </w:r>
      <w:r>
        <w:t xml:space="preserve">, “2014 American Community Survey,” Mayor’s Office for People with Disabilities, 2019 Edition, </w:t>
      </w:r>
      <w:r w:rsidRPr="0095371F">
        <w:rPr>
          <w:i/>
        </w:rPr>
        <w:t>citing</w:t>
      </w:r>
      <w:r>
        <w:t xml:space="preserve">, “2014 American Community Survey,” available at </w:t>
      </w:r>
      <w:hyperlink r:id="rId2" w:history="1">
        <w:r>
          <w:rPr>
            <w:rStyle w:val="Hyperlink"/>
          </w:rPr>
          <w:t>https://www1.nyc.gov/assets/mopd/downloads/pdf/accessible-nyc-2019.pdf</w:t>
        </w:r>
      </w:hyperlink>
      <w:r>
        <w:t xml:space="preserve">; </w:t>
      </w:r>
      <w:r>
        <w:rPr>
          <w:i/>
        </w:rPr>
        <w:t>see generally</w:t>
      </w:r>
      <w:r>
        <w:t xml:space="preserve"> U.S. Census Bureau. </w:t>
      </w:r>
    </w:p>
  </w:footnote>
  <w:footnote w:id="3">
    <w:p w:rsidR="0000366D" w:rsidRDefault="0000366D">
      <w:pPr>
        <w:pStyle w:val="FootnoteText"/>
      </w:pPr>
      <w:r>
        <w:rPr>
          <w:rStyle w:val="FootnoteReference"/>
        </w:rPr>
        <w:footnoteRef/>
      </w:r>
      <w:r>
        <w:t xml:space="preserve"> Supra note 1.</w:t>
      </w:r>
    </w:p>
  </w:footnote>
  <w:footnote w:id="4">
    <w:p w:rsidR="0000366D" w:rsidRPr="00587BDA" w:rsidRDefault="0000366D">
      <w:pPr>
        <w:pStyle w:val="FootnoteText"/>
      </w:pPr>
      <w:r>
        <w:rPr>
          <w:rStyle w:val="FootnoteReference"/>
        </w:rPr>
        <w:footnoteRef/>
      </w:r>
      <w:r>
        <w:t xml:space="preserve"> </w:t>
      </w:r>
      <w:r>
        <w:rPr>
          <w:i/>
        </w:rPr>
        <w:t>Id</w:t>
      </w:r>
      <w:r>
        <w:t>. at Table A-2. For the purposes of this statistic, “not employed” includes both adults that are unemployed and adults that are not in the labor force.</w:t>
      </w:r>
    </w:p>
  </w:footnote>
  <w:footnote w:id="5">
    <w:p w:rsidR="0000366D" w:rsidRPr="00587BDA" w:rsidRDefault="0000366D">
      <w:pPr>
        <w:pStyle w:val="FootnoteText"/>
      </w:pPr>
      <w:r>
        <w:rPr>
          <w:rStyle w:val="FootnoteReference"/>
        </w:rPr>
        <w:footnoteRef/>
      </w:r>
      <w:r>
        <w:t xml:space="preserve"> </w:t>
      </w:r>
      <w:r>
        <w:rPr>
          <w:i/>
        </w:rPr>
        <w:t>Id</w:t>
      </w:r>
      <w:r>
        <w:t>. at Table 5.</w:t>
      </w:r>
    </w:p>
  </w:footnote>
  <w:footnote w:id="6">
    <w:p w:rsidR="0000366D" w:rsidRDefault="0000366D">
      <w:pPr>
        <w:pStyle w:val="FootnoteText"/>
      </w:pPr>
      <w:r>
        <w:rPr>
          <w:rStyle w:val="FootnoteReference"/>
        </w:rPr>
        <w:footnoteRef/>
      </w:r>
      <w:r>
        <w:t xml:space="preserve"> </w:t>
      </w:r>
      <w:r>
        <w:rPr>
          <w:i/>
        </w:rPr>
        <w:t>Id</w:t>
      </w:r>
      <w:r>
        <w:t>. at Table A-2.</w:t>
      </w:r>
    </w:p>
  </w:footnote>
  <w:footnote w:id="7">
    <w:p w:rsidR="0000366D" w:rsidRPr="00C17D2F" w:rsidRDefault="0000366D">
      <w:pPr>
        <w:pStyle w:val="FootnoteText"/>
      </w:pPr>
      <w:r>
        <w:rPr>
          <w:rStyle w:val="FootnoteReference"/>
        </w:rPr>
        <w:footnoteRef/>
      </w:r>
      <w:r>
        <w:t xml:space="preserve"> </w:t>
      </w:r>
      <w:r>
        <w:rPr>
          <w:i/>
        </w:rPr>
        <w:t>Id</w:t>
      </w:r>
      <w:r>
        <w:t>.</w:t>
      </w:r>
    </w:p>
  </w:footnote>
  <w:footnote w:id="8">
    <w:p w:rsidR="0000366D" w:rsidRDefault="0000366D">
      <w:pPr>
        <w:pStyle w:val="FootnoteText"/>
      </w:pPr>
      <w:r>
        <w:rPr>
          <w:rStyle w:val="FootnoteReference"/>
        </w:rPr>
        <w:footnoteRef/>
      </w:r>
      <w:r>
        <w:t xml:space="preserve"> </w:t>
      </w:r>
      <w:r>
        <w:rPr>
          <w:i/>
        </w:rPr>
        <w:t>Id</w:t>
      </w:r>
      <w:r>
        <w:t>. at Table A-3.</w:t>
      </w:r>
    </w:p>
  </w:footnote>
  <w:footnote w:id="9">
    <w:p w:rsidR="0000366D" w:rsidRPr="00C17D2F" w:rsidRDefault="0000366D">
      <w:pPr>
        <w:pStyle w:val="FootnoteText"/>
      </w:pPr>
      <w:r>
        <w:rPr>
          <w:rStyle w:val="FootnoteReference"/>
        </w:rPr>
        <w:footnoteRef/>
      </w:r>
      <w:r>
        <w:t xml:space="preserve"> </w:t>
      </w:r>
      <w:r>
        <w:rPr>
          <w:i/>
        </w:rPr>
        <w:t>Id</w:t>
      </w:r>
      <w:r>
        <w:t>.</w:t>
      </w:r>
    </w:p>
  </w:footnote>
  <w:footnote w:id="10">
    <w:p w:rsidR="0000366D" w:rsidRPr="00C17D2F" w:rsidRDefault="0000366D">
      <w:pPr>
        <w:pStyle w:val="FootnoteText"/>
        <w:rPr>
          <w:i/>
        </w:rPr>
      </w:pPr>
      <w:r>
        <w:rPr>
          <w:rStyle w:val="FootnoteReference"/>
        </w:rPr>
        <w:footnoteRef/>
      </w:r>
      <w:r>
        <w:t xml:space="preserve"> </w:t>
      </w:r>
      <w:r>
        <w:rPr>
          <w:i/>
        </w:rPr>
        <w:t xml:space="preserve">Id. </w:t>
      </w:r>
      <w:r w:rsidRPr="00C17D2F">
        <w:t>at Table 5.</w:t>
      </w:r>
    </w:p>
  </w:footnote>
  <w:footnote w:id="11">
    <w:p w:rsidR="0000366D" w:rsidRPr="007C468C" w:rsidRDefault="0000366D">
      <w:pPr>
        <w:pStyle w:val="FootnoteText"/>
      </w:pPr>
      <w:r>
        <w:rPr>
          <w:rStyle w:val="FootnoteReference"/>
        </w:rPr>
        <w:footnoteRef/>
      </w:r>
      <w:r>
        <w:t xml:space="preserve"> </w:t>
      </w:r>
      <w:r>
        <w:rPr>
          <w:i/>
        </w:rPr>
        <w:t>See, e.g.</w:t>
      </w:r>
      <w:r>
        <w:t xml:space="preserve">, “The New York Subway System is Dangerously Inaccessible,” </w:t>
      </w:r>
      <w:r w:rsidRPr="007C468C">
        <w:rPr>
          <w:i/>
        </w:rPr>
        <w:t>City Metric</w:t>
      </w:r>
      <w:r>
        <w:t xml:space="preserve">, Feb. 4, 2019, available at </w:t>
      </w:r>
      <w:hyperlink r:id="rId3" w:history="1">
        <w:r>
          <w:rPr>
            <w:rStyle w:val="Hyperlink"/>
          </w:rPr>
          <w:t>https://www.citymetric.com/transport/new-york-subway-system-dangerously-inaccessible-4454</w:t>
        </w:r>
      </w:hyperlink>
      <w:r>
        <w:t xml:space="preserve">. </w:t>
      </w:r>
    </w:p>
  </w:footnote>
  <w:footnote w:id="12">
    <w:p w:rsidR="0000366D" w:rsidRDefault="0000366D">
      <w:pPr>
        <w:pStyle w:val="FootnoteText"/>
      </w:pPr>
      <w:r>
        <w:rPr>
          <w:rStyle w:val="FootnoteReference"/>
        </w:rPr>
        <w:footnoteRef/>
      </w:r>
      <w:r>
        <w:t xml:space="preserve"> US Census at Table A-3.</w:t>
      </w:r>
    </w:p>
  </w:footnote>
  <w:footnote w:id="13">
    <w:p w:rsidR="0000366D" w:rsidRPr="00434559" w:rsidRDefault="0000366D">
      <w:pPr>
        <w:pStyle w:val="FootnoteText"/>
      </w:pPr>
      <w:r>
        <w:rPr>
          <w:rStyle w:val="FootnoteReference"/>
        </w:rPr>
        <w:footnoteRef/>
      </w:r>
      <w:r>
        <w:t xml:space="preserve"> </w:t>
      </w:r>
      <w:r>
        <w:rPr>
          <w:i/>
        </w:rPr>
        <w:t>Id</w:t>
      </w:r>
      <w:r>
        <w:t>.</w:t>
      </w:r>
    </w:p>
  </w:footnote>
  <w:footnote w:id="14">
    <w:p w:rsidR="0000366D" w:rsidRDefault="0000366D" w:rsidP="00FD4702">
      <w:pPr>
        <w:pStyle w:val="FootnoteText"/>
      </w:pPr>
      <w:r>
        <w:rPr>
          <w:rStyle w:val="FootnoteReference"/>
        </w:rPr>
        <w:footnoteRef/>
      </w:r>
      <w:r>
        <w:t xml:space="preserve"> “AccessibleNYC: An Annual Report on the State of People with Disabilities Living in NYC,” </w:t>
      </w:r>
      <w:r w:rsidRPr="0095371F">
        <w:rPr>
          <w:i/>
        </w:rPr>
        <w:t>citing</w:t>
      </w:r>
      <w:r>
        <w:t xml:space="preserve">, “2014 American Community Survey,” Mayor’s Office for People with Disabilities (MOPD), 2019 Edition, </w:t>
      </w:r>
      <w:r w:rsidRPr="0095371F">
        <w:rPr>
          <w:i/>
        </w:rPr>
        <w:t>citing</w:t>
      </w:r>
      <w:r>
        <w:t xml:space="preserve">, “2014 American Community Survey,” available at </w:t>
      </w:r>
      <w:hyperlink r:id="rId4" w:history="1">
        <w:r>
          <w:rPr>
            <w:rStyle w:val="Hyperlink"/>
          </w:rPr>
          <w:t>https://www1.nyc.gov/assets/mopd/downloads/pdf/accessible-nyc-2019.pdf</w:t>
        </w:r>
      </w:hyperlink>
      <w:r>
        <w:t>.</w:t>
      </w:r>
    </w:p>
  </w:footnote>
  <w:footnote w:id="15">
    <w:p w:rsidR="0000366D" w:rsidRPr="00870AE0" w:rsidRDefault="0000366D" w:rsidP="00540A22">
      <w:pPr>
        <w:pStyle w:val="FootnoteText"/>
      </w:pPr>
      <w:r w:rsidRPr="00870AE0">
        <w:rPr>
          <w:rStyle w:val="FootnoteReference"/>
        </w:rPr>
        <w:footnoteRef/>
      </w:r>
      <w:r w:rsidRPr="00870AE0">
        <w:t xml:space="preserve"> The U.S. Department of Housing and Urban Development, “The 2011 Annual Homeless Assessment Report to Congress (Revised),” Nov. 2012, </w:t>
      </w:r>
      <w:r w:rsidRPr="00870AE0">
        <w:rPr>
          <w:i/>
        </w:rPr>
        <w:t xml:space="preserve">available at </w:t>
      </w:r>
      <w:hyperlink r:id="rId5" w:history="1">
        <w:r w:rsidRPr="00870AE0">
          <w:rPr>
            <w:rStyle w:val="Hyperlink"/>
          </w:rPr>
          <w:t>https://www.hudexchange.info/resources/documents/2011AHAR_FinalReport.pdf</w:t>
        </w:r>
      </w:hyperlink>
      <w:r w:rsidRPr="00870AE0">
        <w:t xml:space="preserve"> </w:t>
      </w:r>
    </w:p>
  </w:footnote>
  <w:footnote w:id="16">
    <w:p w:rsidR="0000366D" w:rsidRPr="00870AE0" w:rsidRDefault="0000366D" w:rsidP="00540A22">
      <w:pPr>
        <w:pStyle w:val="FootnoteText"/>
      </w:pPr>
      <w:r w:rsidRPr="00870AE0">
        <w:rPr>
          <w:rStyle w:val="FootnoteReference"/>
        </w:rPr>
        <w:footnoteRef/>
      </w:r>
      <w:r w:rsidRPr="00870AE0">
        <w:t xml:space="preserve"> Debra Bruckner, “ADA at 25: Many Bridges to Cross,” The Institute on Disability (IOD) at the University of New Hampshire and CID-NY, July 2017, </w:t>
      </w:r>
      <w:r w:rsidRPr="00870AE0">
        <w:rPr>
          <w:i/>
        </w:rPr>
        <w:t>available at</w:t>
      </w:r>
      <w:r w:rsidRPr="00870AE0">
        <w:t xml:space="preserve"> </w:t>
      </w:r>
      <w:hyperlink r:id="rId6" w:history="1">
        <w:r w:rsidRPr="00870AE0">
          <w:rPr>
            <w:rStyle w:val="Hyperlink"/>
          </w:rPr>
          <w:t>https://www.cidny.org/wp-content/uploads/2017/07/CIDNY-ADA25-Many-_Bridges_to-Cross.pdf</w:t>
        </w:r>
      </w:hyperlink>
      <w:r w:rsidRPr="00870AE0">
        <w:t xml:space="preserve">. </w:t>
      </w:r>
    </w:p>
  </w:footnote>
  <w:footnote w:id="17">
    <w:p w:rsidR="0000366D" w:rsidRPr="00870AE0" w:rsidRDefault="0000366D" w:rsidP="00540A22">
      <w:pPr>
        <w:pStyle w:val="FootnoteText"/>
      </w:pPr>
      <w:r w:rsidRPr="00870AE0">
        <w:rPr>
          <w:rStyle w:val="FootnoteReference"/>
        </w:rPr>
        <w:footnoteRef/>
      </w:r>
      <w:r w:rsidRPr="00870AE0">
        <w:t xml:space="preserve"> </w:t>
      </w:r>
      <w:r w:rsidRPr="00870AE0">
        <w:rPr>
          <w:i/>
        </w:rPr>
        <w:t>Id.</w:t>
      </w:r>
    </w:p>
  </w:footnote>
  <w:footnote w:id="18">
    <w:p w:rsidR="0000366D" w:rsidRPr="00870AE0" w:rsidRDefault="0000366D" w:rsidP="00540A22">
      <w:pPr>
        <w:pStyle w:val="FootnoteText"/>
        <w:rPr>
          <w:i/>
        </w:rPr>
      </w:pPr>
      <w:r w:rsidRPr="00870AE0">
        <w:rPr>
          <w:rStyle w:val="FootnoteReference"/>
        </w:rPr>
        <w:footnoteRef/>
      </w:r>
      <w:r w:rsidRPr="00870AE0">
        <w:t xml:space="preserve"> </w:t>
      </w:r>
      <w:r w:rsidRPr="00870AE0">
        <w:rPr>
          <w:i/>
        </w:rPr>
        <w:t>Id.</w:t>
      </w:r>
    </w:p>
  </w:footnote>
  <w:footnote w:id="19">
    <w:p w:rsidR="0000366D" w:rsidRDefault="0000366D">
      <w:pPr>
        <w:pStyle w:val="FootnoteText"/>
      </w:pPr>
      <w:r>
        <w:rPr>
          <w:rStyle w:val="FootnoteReference"/>
        </w:rPr>
        <w:footnoteRef/>
      </w:r>
      <w:r>
        <w:t xml:space="preserve"> “Affordable Housing Guide for Applicants with Disabilities,” HPD, MOPD, Mar. 2017, available at </w:t>
      </w:r>
      <w:hyperlink r:id="rId7" w:history="1">
        <w:r>
          <w:rPr>
            <w:rStyle w:val="Hyperlink"/>
          </w:rPr>
          <w:t>https://www1.nyc.gov/assets/hpd/downloads/pdf/renter-resources/affordable-housing-guide-for-applicants-with-disabilities.pdf</w:t>
        </w:r>
      </w:hyperlink>
      <w:r>
        <w:t xml:space="preserve">. </w:t>
      </w:r>
    </w:p>
  </w:footnote>
  <w:footnote w:id="20">
    <w:p w:rsidR="0000366D" w:rsidRDefault="0000366D">
      <w:pPr>
        <w:pStyle w:val="FootnoteText"/>
      </w:pPr>
      <w:r>
        <w:rPr>
          <w:rStyle w:val="FootnoteReference"/>
        </w:rPr>
        <w:footnoteRef/>
      </w:r>
      <w:r>
        <w:t xml:space="preserve"> “New York City Housing Assistance Programs for People with Disabilities,” MOPD, HPD, available at </w:t>
      </w:r>
      <w:hyperlink r:id="rId8" w:history="1">
        <w:r>
          <w:rPr>
            <w:rStyle w:val="Hyperlink"/>
          </w:rPr>
          <w:t>https://www1.nyc.gov/assets/hpd/downloads/pdf/renter-resources/nyc-housing-opportunities-for-pwds-booklet.pdf</w:t>
        </w:r>
      </w:hyperlink>
      <w:r>
        <w:t>.</w:t>
      </w:r>
    </w:p>
  </w:footnote>
  <w:footnote w:id="21">
    <w:p w:rsidR="0000366D" w:rsidRPr="00A839E4" w:rsidRDefault="0000366D" w:rsidP="00C14AE2">
      <w:pPr>
        <w:pStyle w:val="FootnoteText"/>
      </w:pPr>
      <w:r w:rsidRPr="00A839E4">
        <w:rPr>
          <w:rStyle w:val="FootnoteCharacters"/>
        </w:rPr>
        <w:footnoteRef/>
      </w:r>
      <w:r w:rsidRPr="00A839E4">
        <w:t xml:space="preserve">  Marcuse, 354; Stoloff, 1; </w:t>
      </w:r>
      <w:r w:rsidRPr="00A839E4">
        <w:rPr>
          <w:i/>
        </w:rPr>
        <w:t>see also</w:t>
      </w:r>
      <w:r w:rsidRPr="00A839E4">
        <w:t xml:space="preserve"> Judith D. Feins, et al., Revised Methods of Providing Federal Funds for Public Housing Agencies, US Department of Housing and Urban Development, at 9 (1994).</w:t>
      </w:r>
    </w:p>
  </w:footnote>
  <w:footnote w:id="22">
    <w:p w:rsidR="0000366D" w:rsidRPr="00A839E4" w:rsidRDefault="0000366D" w:rsidP="00C14AE2">
      <w:pPr>
        <w:pStyle w:val="FootnoteText"/>
      </w:pPr>
      <w:r w:rsidRPr="00A839E4">
        <w:rPr>
          <w:rStyle w:val="FootnoteCharacters"/>
        </w:rPr>
        <w:footnoteRef/>
      </w:r>
      <w:r>
        <w:t xml:space="preserve"> </w:t>
      </w:r>
      <w:r w:rsidRPr="00A839E4">
        <w:t xml:space="preserve">NYCHA Fact Sheet, </w:t>
      </w:r>
      <w:r w:rsidRPr="00A839E4">
        <w:rPr>
          <w:i/>
        </w:rPr>
        <w:t>available at</w:t>
      </w:r>
      <w:r w:rsidRPr="00A839E4">
        <w:t xml:space="preserve"> </w:t>
      </w:r>
      <w:hyperlink r:id="rId9" w:history="1">
        <w:r w:rsidRPr="001C1F1E">
          <w:rPr>
            <w:rStyle w:val="Hyperlink"/>
          </w:rPr>
          <w:t>https://www1.nyc.gov/assets/nycha/downloads/pdf/NYCHA-Fact-Sheet_2019_08-01.pdf</w:t>
        </w:r>
      </w:hyperlink>
    </w:p>
  </w:footnote>
  <w:footnote w:id="23">
    <w:p w:rsidR="0000366D" w:rsidRPr="00AD61F2" w:rsidRDefault="0000366D">
      <w:pPr>
        <w:pStyle w:val="FootnoteText"/>
        <w:rPr>
          <w:rFonts w:ascii="Arial" w:hAnsi="Arial" w:cs="Arial"/>
          <w:caps/>
          <w:color w:val="3B424C"/>
          <w:sz w:val="18"/>
          <w:szCs w:val="18"/>
        </w:rPr>
      </w:pPr>
      <w:r w:rsidRPr="00AD61F2">
        <w:rPr>
          <w:rStyle w:val="FootnoteReference"/>
        </w:rPr>
        <w:footnoteRef/>
      </w:r>
      <w:r w:rsidRPr="00AD61F2">
        <w:t xml:space="preserve"> “Aging with Dignity: A Blueprint for Serving NYC’s Growing Senior Population,” Report of NYC Comptroller Scott M. Stringer, Mar. 21, 2017, available at</w:t>
      </w:r>
      <w:r>
        <w:rPr>
          <w:rFonts w:ascii="Arial" w:hAnsi="Arial" w:cs="Arial"/>
          <w:color w:val="002563"/>
          <w:sz w:val="54"/>
          <w:szCs w:val="54"/>
        </w:rPr>
        <w:t xml:space="preserve"> </w:t>
      </w:r>
      <w:hyperlink r:id="rId10" w:anchor="_ednref12" w:history="1">
        <w:r>
          <w:rPr>
            <w:rStyle w:val="Hyperlink"/>
          </w:rPr>
          <w:t>https://comptroller.nyc.gov/reports/aging-with-dignity-a-blueprint-for-serving-nycs-growing-senior-population/#_ednref12</w:t>
        </w:r>
      </w:hyperlink>
      <w:r>
        <w:t>.</w:t>
      </w:r>
    </w:p>
  </w:footnote>
  <w:footnote w:id="24">
    <w:p w:rsidR="0000366D" w:rsidRDefault="0000366D">
      <w:pPr>
        <w:pStyle w:val="FootnoteText"/>
      </w:pPr>
      <w:r>
        <w:rPr>
          <w:rStyle w:val="FootnoteReference"/>
        </w:rPr>
        <w:footnoteRef/>
      </w:r>
      <w:r>
        <w:t xml:space="preserve"> Supra note 22.</w:t>
      </w:r>
    </w:p>
  </w:footnote>
  <w:footnote w:id="25">
    <w:p w:rsidR="0000366D" w:rsidRDefault="0000366D">
      <w:pPr>
        <w:pStyle w:val="FootnoteText"/>
      </w:pPr>
      <w:r>
        <w:rPr>
          <w:rStyle w:val="FootnoteReference"/>
        </w:rPr>
        <w:footnoteRef/>
      </w:r>
      <w:r>
        <w:t xml:space="preserve"> Id.</w:t>
      </w:r>
    </w:p>
  </w:footnote>
  <w:footnote w:id="26">
    <w:p w:rsidR="0000366D" w:rsidRPr="00AD61F2" w:rsidRDefault="0000366D" w:rsidP="00AD61F2">
      <w:pPr>
        <w:pStyle w:val="FootnoteText"/>
        <w:rPr>
          <w:color w:val="333333"/>
        </w:rPr>
      </w:pPr>
      <w:r w:rsidRPr="00AD61F2">
        <w:rPr>
          <w:rStyle w:val="FootnoteReference"/>
        </w:rPr>
        <w:footnoteRef/>
      </w:r>
      <w:r w:rsidRPr="00AD61F2">
        <w:t xml:space="preserve"> “NYCHA way behind on wheelchair accessibility 20 years after deal with federal government,” </w:t>
      </w:r>
      <w:r w:rsidRPr="00AD61F2">
        <w:rPr>
          <w:i/>
        </w:rPr>
        <w:t>New York Daily News</w:t>
      </w:r>
      <w:r w:rsidRPr="00AD61F2">
        <w:t>, Jan. 30, 2017, available at</w:t>
      </w:r>
      <w:r w:rsidRPr="00AD61F2">
        <w:rPr>
          <w:color w:val="333333"/>
        </w:rPr>
        <w:t xml:space="preserve"> </w:t>
      </w:r>
      <w:hyperlink r:id="rId11" w:history="1">
        <w:r w:rsidRPr="00AD61F2">
          <w:rPr>
            <w:rStyle w:val="Hyperlink"/>
          </w:rPr>
          <w:t>https://www.nydailynews.com/new-york/nycha-behind-wheelchair-accessibility-20-years-fed-deal-article-1.2959167</w:t>
        </w:r>
      </w:hyperlink>
      <w:r w:rsidRPr="00AD61F2">
        <w:t>.</w:t>
      </w:r>
    </w:p>
  </w:footnote>
  <w:footnote w:id="27">
    <w:p w:rsidR="0000366D" w:rsidRPr="00AD61F2" w:rsidRDefault="0000366D">
      <w:pPr>
        <w:pStyle w:val="FootnoteText"/>
      </w:pPr>
      <w:r>
        <w:rPr>
          <w:rStyle w:val="FootnoteReference"/>
        </w:rPr>
        <w:footnoteRef/>
      </w:r>
      <w:r>
        <w:t xml:space="preserve"> </w:t>
      </w:r>
      <w:r>
        <w:rPr>
          <w:i/>
        </w:rPr>
        <w:t>Id</w:t>
      </w:r>
      <w:r>
        <w:t>.</w:t>
      </w:r>
    </w:p>
  </w:footnote>
  <w:footnote w:id="28">
    <w:p w:rsidR="0000366D" w:rsidRDefault="0000366D">
      <w:pPr>
        <w:pStyle w:val="FootnoteText"/>
      </w:pPr>
      <w:r>
        <w:rPr>
          <w:rStyle w:val="FootnoteReference"/>
        </w:rPr>
        <w:footnoteRef/>
      </w:r>
      <w:r>
        <w:t xml:space="preserve"> </w:t>
      </w:r>
      <w:r>
        <w:rPr>
          <w:i/>
        </w:rPr>
        <w:t>See</w:t>
      </w:r>
      <w:r>
        <w:t xml:space="preserve"> United States of America v. New York City Housing Authority, Complaint 18 Civ. 5213, </w:t>
      </w:r>
      <w:r w:rsidRPr="008C3551">
        <w:rPr>
          <w:i/>
        </w:rPr>
        <w:t>available at</w:t>
      </w:r>
      <w:r>
        <w:t xml:space="preserve"> </w:t>
      </w:r>
      <w:hyperlink r:id="rId12" w:history="1">
        <w:r w:rsidRPr="008C3551">
          <w:rPr>
            <w:rStyle w:val="Hyperlink"/>
          </w:rPr>
          <w:t>https://www.justice.gov/usao-sdny/page/file/1074866/download</w:t>
        </w:r>
      </w:hyperlink>
    </w:p>
  </w:footnote>
  <w:footnote w:id="29">
    <w:p w:rsidR="0000366D" w:rsidRPr="00195270" w:rsidRDefault="0000366D" w:rsidP="00AE684C">
      <w:pPr>
        <w:pStyle w:val="FootnoteText"/>
      </w:pPr>
      <w:r>
        <w:rPr>
          <w:rStyle w:val="FootnoteReference"/>
        </w:rPr>
        <w:footnoteRef/>
      </w:r>
      <w:r>
        <w:t xml:space="preserve"> </w:t>
      </w:r>
      <w:r>
        <w:rPr>
          <w:i/>
        </w:rPr>
        <w:t xml:space="preserve">See </w:t>
      </w:r>
      <w:r>
        <w:t xml:space="preserve">“Elevated risk: Malfunction at NYCHA,” Kathryn Brenzel and David Jeans, February 1, 2019, </w:t>
      </w:r>
      <w:r w:rsidRPr="00195270">
        <w:rPr>
          <w:i/>
        </w:rPr>
        <w:t>available at</w:t>
      </w:r>
      <w:r>
        <w:t xml:space="preserve"> </w:t>
      </w:r>
      <w:hyperlink r:id="rId13" w:history="1">
        <w:r w:rsidRPr="00195270">
          <w:rPr>
            <w:rStyle w:val="Hyperlink"/>
          </w:rPr>
          <w:t>https://therealdeal.com/issues_articles/nycha-elevators/</w:t>
        </w:r>
      </w:hyperlink>
      <w:r>
        <w:t>.</w:t>
      </w:r>
    </w:p>
  </w:footnote>
  <w:footnote w:id="30">
    <w:p w:rsidR="0000366D" w:rsidRPr="00AD61F2" w:rsidRDefault="0000366D" w:rsidP="00AD61F2">
      <w:pPr>
        <w:pStyle w:val="FootnoteText"/>
      </w:pPr>
      <w:r w:rsidRPr="00AD61F2">
        <w:rPr>
          <w:rStyle w:val="FootnoteReference"/>
        </w:rPr>
        <w:footnoteRef/>
      </w:r>
      <w:r w:rsidRPr="00AD61F2">
        <w:t xml:space="preserve"> </w:t>
      </w:r>
      <w:r w:rsidRPr="00AD61F2">
        <w:rPr>
          <w:i/>
        </w:rPr>
        <w:t>See, e.g.</w:t>
      </w:r>
      <w:r w:rsidRPr="00AD61F2">
        <w:t>, “</w:t>
      </w:r>
      <w:r w:rsidRPr="00AD61F2">
        <w:rPr>
          <w:bCs/>
          <w:color w:val="000000"/>
        </w:rPr>
        <w:t xml:space="preserve">Power Outage At NYCHA Building Leaves Wheelchair-Bound Residents Stranded,” WCBS, Jul. 11, 2019, available at </w:t>
      </w:r>
      <w:hyperlink r:id="rId14" w:history="1">
        <w:r w:rsidRPr="00AD61F2">
          <w:rPr>
            <w:rStyle w:val="Hyperlink"/>
          </w:rPr>
          <w:t>https://wcbs880.radio.com/articles/transformer-fire-nycha-building-leaves-residents-without-power</w:t>
        </w:r>
      </w:hyperlink>
      <w:r w:rsidRPr="00AD61F2">
        <w:t>.</w:t>
      </w:r>
      <w:r w:rsidRPr="00AD61F2">
        <w:rPr>
          <w:bCs/>
          <w:color w:val="000000"/>
        </w:rPr>
        <w:t xml:space="preserve"> </w:t>
      </w:r>
    </w:p>
  </w:footnote>
  <w:footnote w:id="31">
    <w:p w:rsidR="0000366D" w:rsidRPr="0080269F" w:rsidRDefault="0000366D">
      <w:pPr>
        <w:pStyle w:val="FootnoteText"/>
      </w:pPr>
      <w:r>
        <w:rPr>
          <w:rStyle w:val="FootnoteReference"/>
        </w:rPr>
        <w:footnoteRef/>
      </w:r>
      <w:r>
        <w:t xml:space="preserve"> </w:t>
      </w:r>
      <w:r>
        <w:rPr>
          <w:i/>
        </w:rPr>
        <w:t xml:space="preserve">See </w:t>
      </w:r>
      <w:r>
        <w:t xml:space="preserve">“Elderly NYCHA tenants trapped in their homes for 13 days because of elevator,” Nolan Hicks and Olivia Bensimon, July 19, 2019, </w:t>
      </w:r>
      <w:r w:rsidRPr="0080269F">
        <w:rPr>
          <w:i/>
        </w:rPr>
        <w:t>available at</w:t>
      </w:r>
      <w:r>
        <w:t xml:space="preserve"> </w:t>
      </w:r>
      <w:hyperlink r:id="rId15" w:history="1">
        <w:r w:rsidRPr="0080269F">
          <w:rPr>
            <w:rStyle w:val="Hyperlink"/>
          </w:rPr>
          <w:t>https://nypost.com/2019/07/19/elderly-nycha-tenants-trapped-in-their-homes-for-13-days-because-of-elevator/</w:t>
        </w:r>
      </w:hyperlink>
      <w:r>
        <w:t>.</w:t>
      </w:r>
    </w:p>
  </w:footnote>
  <w:footnote w:id="32">
    <w:p w:rsidR="0000366D" w:rsidRDefault="0000366D">
      <w:pPr>
        <w:pStyle w:val="FootnoteText"/>
      </w:pPr>
      <w:r>
        <w:rPr>
          <w:rStyle w:val="FootnoteReference"/>
        </w:rPr>
        <w:footnoteRef/>
      </w:r>
      <w:r>
        <w:t xml:space="preserve"> </w:t>
      </w:r>
      <w:r>
        <w:rPr>
          <w:i/>
        </w:rPr>
        <w:t xml:space="preserve">See </w:t>
      </w:r>
      <w:r>
        <w:t xml:space="preserve">“Seniors at Mitchel Houses struggle with elevator, security issues,” News12 The Bronx, August 4, 2019, </w:t>
      </w:r>
      <w:r w:rsidRPr="00C55C5A">
        <w:rPr>
          <w:i/>
        </w:rPr>
        <w:t>available at</w:t>
      </w:r>
      <w:r>
        <w:t xml:space="preserve"> </w:t>
      </w:r>
      <w:hyperlink r:id="rId16" w:history="1">
        <w:r w:rsidRPr="00C55C5A">
          <w:rPr>
            <w:rStyle w:val="Hyperlink"/>
          </w:rPr>
          <w:t>http://bronx.news12.com/story/40873970/seniors-at-mitchel-houses-struggle-with-elevator-security-issues</w:t>
        </w:r>
      </w:hyperlink>
      <w:r>
        <w:t>.</w:t>
      </w:r>
    </w:p>
  </w:footnote>
  <w:footnote w:id="33">
    <w:p w:rsidR="0000366D" w:rsidRPr="004D233A" w:rsidRDefault="0000366D">
      <w:pPr>
        <w:pStyle w:val="FootnoteText"/>
      </w:pPr>
      <w:r>
        <w:rPr>
          <w:rStyle w:val="FootnoteReference"/>
        </w:rPr>
        <w:footnoteRef/>
      </w:r>
      <w:r>
        <w:t xml:space="preserve"> </w:t>
      </w:r>
      <w:r>
        <w:rPr>
          <w:i/>
        </w:rPr>
        <w:t xml:space="preserve">See </w:t>
      </w:r>
      <w:r>
        <w:t xml:space="preserve">“NYCHA fails to find long-term fix for malfunctioning elevators, residents complain,” ABC 7 New York, August 9, 2019, </w:t>
      </w:r>
      <w:r>
        <w:rPr>
          <w:i/>
        </w:rPr>
        <w:t xml:space="preserve">available at </w:t>
      </w:r>
      <w:hyperlink r:id="rId17" w:history="1">
        <w:r w:rsidRPr="004D233A">
          <w:rPr>
            <w:rStyle w:val="Hyperlink"/>
          </w:rPr>
          <w:t>https://abc7ny.com/society/nycha-fails-to-find-long-term-fix-for-malfunctioning-elevators-residents-complain/5447491/</w:t>
        </w:r>
      </w:hyperlink>
      <w:r>
        <w:t>.</w:t>
      </w:r>
    </w:p>
  </w:footnote>
  <w:footnote w:id="34">
    <w:p w:rsidR="0000366D" w:rsidRPr="000434F6" w:rsidRDefault="0000366D" w:rsidP="00EC4247">
      <w:pPr>
        <w:pStyle w:val="FootnoteText"/>
      </w:pPr>
      <w:r w:rsidRPr="000434F6">
        <w:rPr>
          <w:rStyle w:val="FootnoteReference"/>
        </w:rPr>
        <w:footnoteRef/>
      </w:r>
      <w:r w:rsidRPr="000434F6">
        <w:t xml:space="preserve"> U.S. Equal Employment Opportunity Commission (EEOC) (2018).  Facts About the Americans with Disability Act. Retrieved from </w:t>
      </w:r>
      <w:hyperlink r:id="rId18" w:history="1">
        <w:r w:rsidRPr="000434F6">
          <w:rPr>
            <w:rStyle w:val="Hyperlink"/>
          </w:rPr>
          <w:t>www.eeoc.gov/eeoc/publications/fs-ada.cfm</w:t>
        </w:r>
      </w:hyperlink>
      <w:r>
        <w:rPr>
          <w:rStyle w:val="Hyperlink"/>
        </w:rPr>
        <w:t>.</w:t>
      </w:r>
    </w:p>
  </w:footnote>
  <w:footnote w:id="35">
    <w:p w:rsidR="0000366D" w:rsidRPr="000434F6" w:rsidRDefault="0000366D" w:rsidP="00EC4247">
      <w:pPr>
        <w:pStyle w:val="FootnoteText"/>
      </w:pPr>
      <w:r w:rsidRPr="000434F6">
        <w:rPr>
          <w:rStyle w:val="FootnoteReference"/>
        </w:rPr>
        <w:footnoteRef/>
      </w:r>
      <w:r w:rsidRPr="000434F6">
        <w:t xml:space="preserve"> Mid-Atlantic Americans with Disabilities Network (2015). Overview of Americans with Disabilities Act (ADA). Retrieved from </w:t>
      </w:r>
      <w:hyperlink r:id="rId19" w:history="1">
        <w:r w:rsidRPr="000434F6">
          <w:rPr>
            <w:rStyle w:val="Hyperlink"/>
          </w:rPr>
          <w:t>http://www.adainfo.org/sites/default/files/Pre-Conference-ADA-Overview-1-slide-per-page-handout.pdf</w:t>
        </w:r>
      </w:hyperlink>
      <w:r>
        <w:rPr>
          <w:rStyle w:val="Hyperlink"/>
        </w:rPr>
        <w:t>.</w:t>
      </w:r>
    </w:p>
  </w:footnote>
  <w:footnote w:id="36">
    <w:p w:rsidR="0000366D" w:rsidRPr="00E43388" w:rsidRDefault="0000366D" w:rsidP="00EC4247">
      <w:pPr>
        <w:pStyle w:val="FootnoteText"/>
      </w:pPr>
      <w:r w:rsidRPr="00E43388">
        <w:rPr>
          <w:rStyle w:val="FootnoteReference"/>
        </w:rPr>
        <w:footnoteRef/>
      </w:r>
      <w:r w:rsidRPr="00E43388">
        <w:t xml:space="preserve"> U.S. Equal Employment Opportunity Commission (EEOC) (2018). Fact Sheet on the EEOC’s Final Regulations Implementing the ADAAA.  Retrieved from </w:t>
      </w:r>
      <w:hyperlink r:id="rId20" w:history="1">
        <w:r w:rsidRPr="00E43388">
          <w:rPr>
            <w:rStyle w:val="Hyperlink"/>
          </w:rPr>
          <w:t>https://www.eeoc.gov/laws/regulations/adaaa_fact_sheet.cfm</w:t>
        </w:r>
      </w:hyperlink>
      <w:r w:rsidRPr="00E43388">
        <w:t>.</w:t>
      </w:r>
    </w:p>
  </w:footnote>
  <w:footnote w:id="37">
    <w:p w:rsidR="0000366D" w:rsidRPr="00E43388" w:rsidRDefault="0000366D" w:rsidP="00EC4247">
      <w:pPr>
        <w:pStyle w:val="FootnoteText"/>
      </w:pPr>
      <w:r w:rsidRPr="00E43388">
        <w:rPr>
          <w:rStyle w:val="FootnoteReference"/>
        </w:rPr>
        <w:footnoteRef/>
      </w:r>
      <w:r w:rsidRPr="00E43388">
        <w:t xml:space="preserve"> Id.</w:t>
      </w:r>
    </w:p>
  </w:footnote>
  <w:footnote w:id="38">
    <w:p w:rsidR="0000366D" w:rsidRPr="00E43388" w:rsidRDefault="0000366D" w:rsidP="00EC4247">
      <w:pPr>
        <w:pStyle w:val="FootnoteText"/>
      </w:pPr>
      <w:r w:rsidRPr="00E43388">
        <w:rPr>
          <w:rStyle w:val="FootnoteReference"/>
        </w:rPr>
        <w:footnoteRef/>
      </w:r>
      <w:r w:rsidRPr="00E43388">
        <w:t xml:space="preserve"> Mid-Atlantic ADA Center (2018).  More on Title V.  Retrieved from </w:t>
      </w:r>
      <w:hyperlink r:id="rId21" w:history="1">
        <w:r w:rsidRPr="00E43388">
          <w:rPr>
            <w:rStyle w:val="Hyperlink"/>
          </w:rPr>
          <w:t>http://www.adainfo.org/content/more-title-v</w:t>
        </w:r>
      </w:hyperlink>
      <w:r w:rsidRPr="00E43388">
        <w:rPr>
          <w:rStyle w:val="Hyperlink"/>
        </w:rPr>
        <w:t>.</w:t>
      </w:r>
    </w:p>
  </w:footnote>
  <w:footnote w:id="39">
    <w:p w:rsidR="0000366D" w:rsidRPr="00E43388" w:rsidRDefault="0000366D" w:rsidP="00D8443C">
      <w:pPr>
        <w:pStyle w:val="FootnoteText"/>
      </w:pPr>
      <w:r w:rsidRPr="00E43388">
        <w:rPr>
          <w:rStyle w:val="FootnoteReference"/>
        </w:rPr>
        <w:footnoteRef/>
      </w:r>
      <w:r w:rsidRPr="00E43388">
        <w:t xml:space="preserve"> ADA National Network (2018).  What are major life activities?  Retrieved from </w:t>
      </w:r>
      <w:hyperlink r:id="rId22" w:history="1">
        <w:r w:rsidRPr="00E43388">
          <w:rPr>
            <w:rStyle w:val="Hyperlink"/>
          </w:rPr>
          <w:t>https://adata.org/faq/what-are-major-life-activities</w:t>
        </w:r>
      </w:hyperlink>
      <w:r w:rsidRPr="00E43388">
        <w:rPr>
          <w:rStyle w:val="Hyperlink"/>
        </w:rPr>
        <w:t>.</w:t>
      </w:r>
    </w:p>
  </w:footnote>
  <w:footnote w:id="40">
    <w:p w:rsidR="0000366D" w:rsidRPr="00870AE0" w:rsidRDefault="0000366D" w:rsidP="00EC4247">
      <w:pPr>
        <w:pStyle w:val="FootnoteText"/>
      </w:pPr>
      <w:r w:rsidRPr="00870AE0">
        <w:rPr>
          <w:rStyle w:val="FootnoteReference"/>
        </w:rPr>
        <w:footnoteRef/>
      </w:r>
      <w:r w:rsidRPr="00870AE0">
        <w:t xml:space="preserve"> Id.</w:t>
      </w:r>
    </w:p>
  </w:footnote>
  <w:footnote w:id="41">
    <w:p w:rsidR="0000366D" w:rsidRPr="00E43388" w:rsidRDefault="0000366D" w:rsidP="00EC4247">
      <w:pPr>
        <w:pStyle w:val="FootnoteText"/>
      </w:pPr>
      <w:r w:rsidRPr="00E43388">
        <w:rPr>
          <w:rStyle w:val="FootnoteReference"/>
        </w:rPr>
        <w:footnoteRef/>
      </w:r>
      <w:r w:rsidRPr="00E43388">
        <w:t xml:space="preserve"> Id.</w:t>
      </w:r>
    </w:p>
  </w:footnote>
  <w:footnote w:id="42">
    <w:p w:rsidR="0000366D" w:rsidRPr="003C60D9" w:rsidRDefault="0000366D" w:rsidP="00EC4247">
      <w:pPr>
        <w:pStyle w:val="FootnoteText"/>
      </w:pPr>
      <w:r w:rsidRPr="003C60D9">
        <w:rPr>
          <w:rStyle w:val="FootnoteReference"/>
        </w:rPr>
        <w:footnoteRef/>
      </w:r>
      <w:r w:rsidRPr="003C60D9">
        <w:t xml:space="preserve"> HUD.gov (2018). Section 504 Frequently Asked Questions.  Retrieved from </w:t>
      </w:r>
      <w:hyperlink r:id="rId23" w:anchor="_Federally-Assisted_Non-Housing_Faci" w:history="1">
        <w:r w:rsidRPr="003C60D9">
          <w:rPr>
            <w:rStyle w:val="Hyperlink"/>
            <w:color w:val="auto"/>
          </w:rPr>
          <w:t>https://www.hud.gov/program_offices/fair_housing_equal_opp/disabilities/sect504faq#_Federally-Assisted_Non-Housing_Faci</w:t>
        </w:r>
      </w:hyperlink>
      <w:r w:rsidRPr="003C60D9">
        <w:t>.</w:t>
      </w:r>
    </w:p>
  </w:footnote>
  <w:footnote w:id="43">
    <w:p w:rsidR="0000366D" w:rsidRPr="003C60D9" w:rsidRDefault="0000366D" w:rsidP="00EC4247">
      <w:pPr>
        <w:pStyle w:val="FootnoteText"/>
      </w:pPr>
      <w:r w:rsidRPr="003C60D9">
        <w:rPr>
          <w:rStyle w:val="FootnoteReference"/>
        </w:rPr>
        <w:footnoteRef/>
      </w:r>
      <w:r w:rsidRPr="003C60D9">
        <w:t xml:space="preserve"> </w:t>
      </w:r>
      <w:r w:rsidRPr="003C60D9">
        <w:rPr>
          <w:shd w:val="clear" w:color="auto" w:fill="FFFFFF"/>
        </w:rPr>
        <w:t xml:space="preserve">29 U.S.C. § 701 et seq., which </w:t>
      </w:r>
      <w:r w:rsidRPr="003C60D9">
        <w:rPr>
          <w:lang w:val="en"/>
        </w:rPr>
        <w:t>provides rights to persons with disabilities in HUD-funded programs and activities.</w:t>
      </w:r>
      <w:r w:rsidRPr="003C60D9">
        <w:rPr>
          <w:shd w:val="clear" w:color="auto" w:fill="FFFFFF"/>
        </w:rPr>
        <w:t xml:space="preserve"> </w:t>
      </w:r>
      <w:r w:rsidRPr="003C60D9">
        <w:rPr>
          <w:rStyle w:val="CommentReference"/>
          <w:sz w:val="20"/>
          <w:szCs w:val="20"/>
        </w:rPr>
        <w:t/>
      </w:r>
    </w:p>
  </w:footnote>
  <w:footnote w:id="44">
    <w:p w:rsidR="0000366D" w:rsidRPr="003C60D9" w:rsidRDefault="0000366D" w:rsidP="00EC4247">
      <w:pPr>
        <w:pStyle w:val="FootnoteText"/>
      </w:pPr>
      <w:r w:rsidRPr="003C60D9">
        <w:rPr>
          <w:rStyle w:val="FootnoteReference"/>
        </w:rPr>
        <w:footnoteRef/>
      </w:r>
      <w:r w:rsidRPr="003C60D9">
        <w:t xml:space="preserve"> Id.</w:t>
      </w:r>
    </w:p>
  </w:footnote>
  <w:footnote w:id="45">
    <w:p w:rsidR="0000366D" w:rsidRDefault="0000366D" w:rsidP="00D8443C">
      <w:pPr>
        <w:pStyle w:val="FootnoteText"/>
      </w:pPr>
      <w:r>
        <w:rPr>
          <w:rStyle w:val="FootnoteReference"/>
        </w:rPr>
        <w:footnoteRef/>
      </w:r>
      <w:r>
        <w:t xml:space="preserve"> NYCHA, “Reasonable Accommodation At-A-Glance,” </w:t>
      </w:r>
      <w:r w:rsidRPr="00DF31E6">
        <w:rPr>
          <w:i/>
        </w:rPr>
        <w:t>available at</w:t>
      </w:r>
      <w:r>
        <w:t xml:space="preserve"> </w:t>
      </w:r>
      <w:hyperlink r:id="rId24" w:history="1">
        <w:r w:rsidRPr="00497EC4">
          <w:rPr>
            <w:rStyle w:val="Hyperlink"/>
          </w:rPr>
          <w:t>https://www1.nyc.gov/assets/nycha/downloads/pdf/NYCHA-Reasonable-Accomodation-At-A-Glance-en.pdf</w:t>
        </w:r>
      </w:hyperlink>
    </w:p>
  </w:footnote>
  <w:footnote w:id="46">
    <w:p w:rsidR="0000366D" w:rsidRDefault="0000366D" w:rsidP="00D8443C">
      <w:pPr>
        <w:pStyle w:val="FootnoteText"/>
      </w:pPr>
      <w:r>
        <w:rPr>
          <w:rStyle w:val="FootnoteReference"/>
        </w:rPr>
        <w:footnoteRef/>
      </w:r>
      <w:r>
        <w:t xml:space="preserve"> Id.</w:t>
      </w:r>
    </w:p>
  </w:footnote>
  <w:footnote w:id="47">
    <w:p w:rsidR="0000366D" w:rsidRDefault="0000366D" w:rsidP="00D8443C">
      <w:pPr>
        <w:pStyle w:val="FootnoteText"/>
      </w:pPr>
      <w:r>
        <w:rPr>
          <w:rStyle w:val="FootnoteReference"/>
        </w:rPr>
        <w:footnoteRef/>
      </w:r>
      <w:r>
        <w:t xml:space="preserve"> Id.</w:t>
      </w:r>
    </w:p>
  </w:footnote>
  <w:footnote w:id="48">
    <w:p w:rsidR="0000366D" w:rsidRDefault="0000366D" w:rsidP="0067444B">
      <w:pPr>
        <w:pStyle w:val="FootnoteText"/>
      </w:pPr>
      <w:r>
        <w:rPr>
          <w:rStyle w:val="FootnoteReference"/>
        </w:rPr>
        <w:footnoteRef/>
      </w:r>
      <w:r>
        <w:t xml:space="preserve"> Rivera v. New York City Hous. Auth., No. 94 CIV. 4366 (PKL), 1995 WL 685969, at *1 (S.D.N.Y. Nov. 17, 1995)</w:t>
      </w:r>
    </w:p>
  </w:footnote>
  <w:footnote w:id="49">
    <w:p w:rsidR="0000366D" w:rsidRDefault="0000366D">
      <w:pPr>
        <w:pStyle w:val="FootnoteText"/>
      </w:pPr>
      <w:r>
        <w:rPr>
          <w:rStyle w:val="FootnoteReference"/>
        </w:rPr>
        <w:footnoteRef/>
      </w:r>
      <w:r>
        <w:t xml:space="preserve"> </w:t>
      </w:r>
      <w:r w:rsidRPr="00703130">
        <w:t>Rivera v. New York City Hous. Auth., No. 94 CIV. 4366 (PKL), 1995 WL 375912, at *1 (S.D.N.Y. June 23, 1995)</w:t>
      </w:r>
    </w:p>
  </w:footnote>
  <w:footnote w:id="50">
    <w:p w:rsidR="0000366D" w:rsidRDefault="0000366D">
      <w:pPr>
        <w:pStyle w:val="FootnoteText"/>
      </w:pPr>
      <w:r>
        <w:rPr>
          <w:rStyle w:val="FootnoteReference"/>
        </w:rPr>
        <w:footnoteRef/>
      </w:r>
      <w:r>
        <w:t xml:space="preserve"> “NYCHA Residents Policies &amp; Procedures” </w:t>
      </w:r>
      <w:r w:rsidRPr="00DF31E6">
        <w:rPr>
          <w:i/>
        </w:rPr>
        <w:t>available at</w:t>
      </w:r>
      <w:r>
        <w:t xml:space="preserve"> </w:t>
      </w:r>
      <w:hyperlink r:id="rId25" w:history="1">
        <w:r w:rsidRPr="00DF31E6">
          <w:rPr>
            <w:rStyle w:val="Hyperlink"/>
          </w:rPr>
          <w:t>https://www1.nyc.gov/site/nycha/residents/policies-and-procedures.page</w:t>
        </w:r>
      </w:hyperlink>
    </w:p>
  </w:footnote>
  <w:footnote w:id="51">
    <w:p w:rsidR="0000366D" w:rsidRDefault="0000366D">
      <w:pPr>
        <w:pStyle w:val="FootnoteText"/>
      </w:pPr>
      <w:r>
        <w:rPr>
          <w:rStyle w:val="FootnoteReference"/>
        </w:rPr>
        <w:footnoteRef/>
      </w:r>
      <w:r>
        <w:t xml:space="preserve"> “The Official Website of the NYCHA Federal Monitor, Bart M. Schwartz,” </w:t>
      </w:r>
      <w:r w:rsidRPr="008F4802">
        <w:rPr>
          <w:i/>
        </w:rPr>
        <w:t>available at</w:t>
      </w:r>
      <w:r>
        <w:t xml:space="preserve"> </w:t>
      </w:r>
      <w:hyperlink r:id="rId26" w:history="1">
        <w:r w:rsidRPr="008F4802">
          <w:rPr>
            <w:rStyle w:val="Hyperlink"/>
          </w:rPr>
          <w:t>https://nychamonitor.com/</w:t>
        </w:r>
      </w:hyperlink>
    </w:p>
  </w:footnote>
  <w:footnote w:id="52">
    <w:p w:rsidR="0000366D" w:rsidRDefault="0000366D">
      <w:pPr>
        <w:pStyle w:val="FootnoteText"/>
      </w:pPr>
      <w:r>
        <w:rPr>
          <w:rStyle w:val="FootnoteReference"/>
        </w:rPr>
        <w:footnoteRef/>
      </w:r>
      <w:r>
        <w:t xml:space="preserve"> Monitor’s First Quarterly Report for the New York City Housing Authority Pursuant to the Agreement dated January 31, 2019, </w:t>
      </w:r>
      <w:r w:rsidRPr="00CE20BE">
        <w:rPr>
          <w:i/>
        </w:rPr>
        <w:t>available at</w:t>
      </w:r>
      <w:r>
        <w:t xml:space="preserve"> </w:t>
      </w:r>
      <w:hyperlink r:id="rId27" w:history="1">
        <w:r w:rsidRPr="001D3A94">
          <w:rPr>
            <w:rStyle w:val="Hyperlink"/>
          </w:rPr>
          <w:t>https://nychamonitor.com/wp-content/uploads/2019/07/NYCHA-First-Report-7.22.19.pdf</w:t>
        </w:r>
      </w:hyperlink>
    </w:p>
  </w:footnote>
  <w:footnote w:id="53">
    <w:p w:rsidR="0000366D" w:rsidRDefault="0000366D">
      <w:pPr>
        <w:pStyle w:val="FootnoteText"/>
      </w:pPr>
      <w:r>
        <w:rPr>
          <w:rStyle w:val="FootnoteReference"/>
        </w:rPr>
        <w:footnoteRef/>
      </w:r>
      <w:r>
        <w:t xml:space="preserve"> Id.</w:t>
      </w:r>
    </w:p>
  </w:footnote>
  <w:footnote w:id="54">
    <w:p w:rsidR="0000366D" w:rsidRDefault="0000366D">
      <w:pPr>
        <w:pStyle w:val="FootnoteText"/>
      </w:pPr>
      <w:r>
        <w:rPr>
          <w:rStyle w:val="FootnoteReference"/>
        </w:rPr>
        <w:footnoteRef/>
      </w:r>
      <w:r>
        <w:t xml:space="preserve"> Id.</w:t>
      </w:r>
    </w:p>
  </w:footnote>
  <w:footnote w:id="55">
    <w:p w:rsidR="0000366D" w:rsidRDefault="0000366D">
      <w:pPr>
        <w:pStyle w:val="FootnoteText"/>
      </w:pPr>
      <w:r>
        <w:rPr>
          <w:rStyle w:val="FootnoteReference"/>
        </w:rPr>
        <w:footnoteRef/>
      </w:r>
      <w:r>
        <w:t xml:space="preserve"> Id.</w:t>
      </w:r>
    </w:p>
  </w:footnote>
  <w:footnote w:id="56">
    <w:p w:rsidR="0000366D" w:rsidRDefault="0000366D">
      <w:pPr>
        <w:pStyle w:val="FootnoteText"/>
      </w:pPr>
      <w:r>
        <w:rPr>
          <w:rStyle w:val="FootnoteReference"/>
        </w:rPr>
        <w:footnoteRef/>
      </w:r>
      <w:r>
        <w:t xml:space="preserve"> Id.</w:t>
      </w:r>
    </w:p>
  </w:footnote>
  <w:footnote w:id="57">
    <w:p w:rsidR="0000366D" w:rsidRDefault="0000366D">
      <w:pPr>
        <w:pStyle w:val="FootnoteText"/>
      </w:pPr>
      <w:r>
        <w:rPr>
          <w:rStyle w:val="FootnoteReference"/>
        </w:rPr>
        <w:footnoteRef/>
      </w:r>
      <w:r>
        <w:t xml:space="preserve"> </w:t>
      </w:r>
      <w:r w:rsidRPr="00C55C5A">
        <w:rPr>
          <w:i/>
        </w:rPr>
        <w:t xml:space="preserve">See </w:t>
      </w:r>
      <w:r w:rsidRPr="00C55C5A">
        <w:t xml:space="preserve">“Seniors at Mitchel Houses struggle with elevator, security issues,” News12 The Bronx, August 4, 2019, </w:t>
      </w:r>
      <w:r w:rsidRPr="00C55C5A">
        <w:rPr>
          <w:i/>
        </w:rPr>
        <w:t>available at</w:t>
      </w:r>
      <w:r w:rsidRPr="00C55C5A">
        <w:t xml:space="preserve"> </w:t>
      </w:r>
      <w:hyperlink r:id="rId28" w:history="1">
        <w:r w:rsidRPr="00C55C5A">
          <w:rPr>
            <w:rStyle w:val="Hyperlink"/>
          </w:rPr>
          <w:t>http://bronx.news12.com/story/40873970/seniors-at-mitchel-houses-struggle-with-elevator-security-issues</w:t>
        </w:r>
      </w:hyperlink>
      <w:r w:rsidRPr="00C55C5A">
        <w:t>.</w:t>
      </w:r>
    </w:p>
  </w:footnote>
  <w:footnote w:id="58">
    <w:p w:rsidR="0000366D" w:rsidRDefault="0000366D">
      <w:pPr>
        <w:pStyle w:val="FootnoteText"/>
      </w:pPr>
      <w:r>
        <w:rPr>
          <w:rStyle w:val="FootnoteReference"/>
        </w:rPr>
        <w:footnoteRef/>
      </w:r>
      <w:r>
        <w:t xml:space="preserve"> </w:t>
      </w:r>
      <w:r w:rsidRPr="008311E7">
        <w:t xml:space="preserve">Monitor’s First Quarterly Report for the New York City Housing Authority Pursuant to the Agreement dated January 31, 2019, </w:t>
      </w:r>
      <w:r w:rsidRPr="008311E7">
        <w:rPr>
          <w:i/>
        </w:rPr>
        <w:t>available at</w:t>
      </w:r>
      <w:r w:rsidRPr="008311E7">
        <w:t xml:space="preserve"> </w:t>
      </w:r>
      <w:hyperlink r:id="rId29" w:history="1">
        <w:r w:rsidRPr="008311E7">
          <w:rPr>
            <w:rStyle w:val="Hyperlink"/>
          </w:rPr>
          <w:t>https://nychamonitor.com/wp-content/uploads/2019/07/NYCHA-First-Report-7.22.19.pdf</w:t>
        </w:r>
      </w:hyperlink>
    </w:p>
  </w:footnote>
  <w:footnote w:id="59">
    <w:p w:rsidR="0000366D" w:rsidRDefault="0000366D">
      <w:pPr>
        <w:pStyle w:val="FootnoteText"/>
      </w:pPr>
      <w:r>
        <w:rPr>
          <w:rStyle w:val="FootnoteReference"/>
        </w:rPr>
        <w:footnoteRef/>
      </w:r>
      <w:r>
        <w:t xml:space="preserve"> Department of Housing and Urban Development (“HUD”)- New York City Housing Authority (“NYCHA”) Agreement </w:t>
      </w:r>
      <w:r w:rsidRPr="00CA4D8D">
        <w:rPr>
          <w:i/>
        </w:rPr>
        <w:t>available at</w:t>
      </w:r>
      <w:r>
        <w:t xml:space="preserve"> </w:t>
      </w:r>
      <w:hyperlink r:id="rId30" w:history="1">
        <w:r w:rsidRPr="00CA4D8D">
          <w:rPr>
            <w:rStyle w:val="Hyperlink"/>
          </w:rPr>
          <w:t>https://www.hud.gov/sites/dfiles/PA/documents/HUD-NYCHA-Agreement013119.pdf</w:t>
        </w:r>
      </w:hyperlink>
    </w:p>
  </w:footnote>
  <w:footnote w:id="60">
    <w:p w:rsidR="0000366D" w:rsidRDefault="0000366D">
      <w:pPr>
        <w:pStyle w:val="FootnoteText"/>
      </w:pPr>
      <w:r>
        <w:rPr>
          <w:rStyle w:val="FootnoteReference"/>
        </w:rPr>
        <w:footnoteRef/>
      </w:r>
      <w:r>
        <w:t xml:space="preserve"> </w:t>
      </w:r>
      <w:r w:rsidRPr="00CA4D8D">
        <w:t xml:space="preserve">Department of Housing and Urban Development (“HUD”)- New York City Housing Authority (“NYCHA”) Agreement </w:t>
      </w:r>
      <w:r w:rsidRPr="00CA4D8D">
        <w:rPr>
          <w:i/>
        </w:rPr>
        <w:t>available at</w:t>
      </w:r>
      <w:r w:rsidRPr="00CA4D8D">
        <w:t xml:space="preserve"> </w:t>
      </w:r>
      <w:hyperlink r:id="rId31" w:history="1">
        <w:r w:rsidRPr="00CA4D8D">
          <w:rPr>
            <w:rStyle w:val="Hyperlink"/>
          </w:rPr>
          <w:t>https://www.hud.gov/sites/dfiles/PA/documents/HUD-NYCHA-Agreement013119.pdf</w:t>
        </w:r>
      </w:hyperlink>
    </w:p>
  </w:footnote>
  <w:footnote w:id="61">
    <w:p w:rsidR="0000366D" w:rsidRDefault="0000366D">
      <w:pPr>
        <w:pStyle w:val="FootnoteText"/>
      </w:pPr>
      <w:r>
        <w:rPr>
          <w:rStyle w:val="FootnoteReference"/>
        </w:rPr>
        <w:footnoteRef/>
      </w:r>
      <w:r>
        <w:t xml:space="preserve"> </w:t>
      </w:r>
      <w:r w:rsidRPr="00CA4D8D">
        <w:t xml:space="preserve">Department of Housing and Urban Development (“HUD”)- New York City Housing Authority (“NYCHA”) Agreement </w:t>
      </w:r>
      <w:r w:rsidRPr="00CA4D8D">
        <w:rPr>
          <w:i/>
        </w:rPr>
        <w:t>available at</w:t>
      </w:r>
      <w:r w:rsidRPr="00CA4D8D">
        <w:t xml:space="preserve"> </w:t>
      </w:r>
      <w:hyperlink r:id="rId32" w:history="1">
        <w:r w:rsidRPr="00CA4D8D">
          <w:rPr>
            <w:rStyle w:val="Hyperlink"/>
          </w:rPr>
          <w:t>https://www.hud.gov/sites/dfiles/PA/documents/HUD-NYCHA-Agreement013119.pdf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66D" w:rsidRDefault="00003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57054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3C6AE5"/>
    <w:multiLevelType w:val="hybridMultilevel"/>
    <w:tmpl w:val="9606F3C0"/>
    <w:lvl w:ilvl="0" w:tplc="D49E6CA0">
      <w:start w:val="1"/>
      <w:numFmt w:val="lowerRoman"/>
      <w:lvlText w:val="%1."/>
      <w:lvlJc w:val="left"/>
      <w:pPr>
        <w:ind w:left="1440" w:hanging="72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FA604E"/>
    <w:multiLevelType w:val="hybridMultilevel"/>
    <w:tmpl w:val="36967008"/>
    <w:lvl w:ilvl="0" w:tplc="1AD85A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6627B"/>
    <w:multiLevelType w:val="hybridMultilevel"/>
    <w:tmpl w:val="D4BA8A36"/>
    <w:lvl w:ilvl="0" w:tplc="2730A0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B613D"/>
    <w:multiLevelType w:val="hybridMultilevel"/>
    <w:tmpl w:val="2392F3D2"/>
    <w:lvl w:ilvl="0" w:tplc="26B4277C">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C74B98"/>
    <w:multiLevelType w:val="hybridMultilevel"/>
    <w:tmpl w:val="C07CE346"/>
    <w:lvl w:ilvl="0" w:tplc="3EC8DFA0">
      <w:start w:val="4"/>
      <w:numFmt w:val="upperRoman"/>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22356"/>
    <w:multiLevelType w:val="hybridMultilevel"/>
    <w:tmpl w:val="B296C698"/>
    <w:lvl w:ilvl="0" w:tplc="04090017">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D431E"/>
    <w:multiLevelType w:val="hybridMultilevel"/>
    <w:tmpl w:val="1632F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B706C"/>
    <w:multiLevelType w:val="hybridMultilevel"/>
    <w:tmpl w:val="56FA1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EC5E63"/>
    <w:multiLevelType w:val="hybridMultilevel"/>
    <w:tmpl w:val="8160E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16350"/>
    <w:multiLevelType w:val="hybridMultilevel"/>
    <w:tmpl w:val="9428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C81064"/>
    <w:multiLevelType w:val="hybridMultilevel"/>
    <w:tmpl w:val="0DFA8F18"/>
    <w:lvl w:ilvl="0" w:tplc="500EA6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B45592"/>
    <w:multiLevelType w:val="hybridMultilevel"/>
    <w:tmpl w:val="377280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1452F"/>
    <w:multiLevelType w:val="hybridMultilevel"/>
    <w:tmpl w:val="DB7CBEFE"/>
    <w:lvl w:ilvl="0" w:tplc="C884F580">
      <w:start w:val="1"/>
      <w:numFmt w:val="lowerRoman"/>
      <w:lvlText w:val="%1."/>
      <w:lvlJc w:val="left"/>
      <w:pPr>
        <w:ind w:left="1440" w:hanging="720"/>
      </w:pPr>
      <w:rPr>
        <w:rFonts w:hint="default"/>
        <w:b w:val="0"/>
        <w:i/>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C87EE2"/>
    <w:multiLevelType w:val="hybridMultilevel"/>
    <w:tmpl w:val="256618AC"/>
    <w:lvl w:ilvl="0" w:tplc="D7B6F91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0E10FD"/>
    <w:multiLevelType w:val="hybridMultilevel"/>
    <w:tmpl w:val="D4507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DD6C9F"/>
    <w:multiLevelType w:val="hybridMultilevel"/>
    <w:tmpl w:val="7C1A6FA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0F0BFA"/>
    <w:multiLevelType w:val="multilevel"/>
    <w:tmpl w:val="4784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CB11AA"/>
    <w:multiLevelType w:val="hybridMultilevel"/>
    <w:tmpl w:val="A6C68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3186A4D"/>
    <w:multiLevelType w:val="hybridMultilevel"/>
    <w:tmpl w:val="F72CEA52"/>
    <w:lvl w:ilvl="0" w:tplc="04090015">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7C7A99"/>
    <w:multiLevelType w:val="hybridMultilevel"/>
    <w:tmpl w:val="441C5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DB34C9F"/>
    <w:multiLevelType w:val="hybridMultilevel"/>
    <w:tmpl w:val="95508D46"/>
    <w:lvl w:ilvl="0" w:tplc="31B65EEA">
      <w:start w:val="1"/>
      <w:numFmt w:val="low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2750BD"/>
    <w:multiLevelType w:val="hybridMultilevel"/>
    <w:tmpl w:val="D81C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953400"/>
    <w:multiLevelType w:val="hybridMultilevel"/>
    <w:tmpl w:val="8D9C3F8A"/>
    <w:lvl w:ilvl="0" w:tplc="BE8823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44DD8"/>
    <w:multiLevelType w:val="hybridMultilevel"/>
    <w:tmpl w:val="DA7C5FAE"/>
    <w:lvl w:ilvl="0" w:tplc="84423C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3"/>
  </w:num>
  <w:num w:numId="4">
    <w:abstractNumId w:val="1"/>
  </w:num>
  <w:num w:numId="5">
    <w:abstractNumId w:val="13"/>
  </w:num>
  <w:num w:numId="6">
    <w:abstractNumId w:val="8"/>
  </w:num>
  <w:num w:numId="7">
    <w:abstractNumId w:val="11"/>
  </w:num>
  <w:num w:numId="8">
    <w:abstractNumId w:val="23"/>
  </w:num>
  <w:num w:numId="9">
    <w:abstractNumId w:val="24"/>
  </w:num>
  <w:num w:numId="10">
    <w:abstractNumId w:val="4"/>
  </w:num>
  <w:num w:numId="11">
    <w:abstractNumId w:val="14"/>
  </w:num>
  <w:num w:numId="12">
    <w:abstractNumId w:val="19"/>
  </w:num>
  <w:num w:numId="13">
    <w:abstractNumId w:val="20"/>
  </w:num>
  <w:num w:numId="14">
    <w:abstractNumId w:val="16"/>
  </w:num>
  <w:num w:numId="15">
    <w:abstractNumId w:val="6"/>
  </w:num>
  <w:num w:numId="16">
    <w:abstractNumId w:val="15"/>
  </w:num>
  <w:num w:numId="17">
    <w:abstractNumId w:val="9"/>
  </w:num>
  <w:num w:numId="18">
    <w:abstractNumId w:val="18"/>
  </w:num>
  <w:num w:numId="19">
    <w:abstractNumId w:val="7"/>
  </w:num>
  <w:num w:numId="20">
    <w:abstractNumId w:val="12"/>
  </w:num>
  <w:num w:numId="21">
    <w:abstractNumId w:val="5"/>
  </w:num>
  <w:num w:numId="22">
    <w:abstractNumId w:val="17"/>
  </w:num>
  <w:num w:numId="23">
    <w:abstractNumId w:val="22"/>
  </w:num>
  <w:num w:numId="24">
    <w:abstractNumId w:val="1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97D"/>
    <w:rsid w:val="00000B42"/>
    <w:rsid w:val="0000366D"/>
    <w:rsid w:val="0002790A"/>
    <w:rsid w:val="00030F09"/>
    <w:rsid w:val="00040D44"/>
    <w:rsid w:val="000434F6"/>
    <w:rsid w:val="00054319"/>
    <w:rsid w:val="0005597C"/>
    <w:rsid w:val="00056D29"/>
    <w:rsid w:val="00063816"/>
    <w:rsid w:val="00063F99"/>
    <w:rsid w:val="00064DE9"/>
    <w:rsid w:val="000700DC"/>
    <w:rsid w:val="00081ABF"/>
    <w:rsid w:val="000831C1"/>
    <w:rsid w:val="00085841"/>
    <w:rsid w:val="000859A0"/>
    <w:rsid w:val="00086304"/>
    <w:rsid w:val="00096CC5"/>
    <w:rsid w:val="000A00BE"/>
    <w:rsid w:val="000A0379"/>
    <w:rsid w:val="000B3479"/>
    <w:rsid w:val="000B3B54"/>
    <w:rsid w:val="000C0083"/>
    <w:rsid w:val="000C2AED"/>
    <w:rsid w:val="000C451B"/>
    <w:rsid w:val="000C5588"/>
    <w:rsid w:val="000D3C96"/>
    <w:rsid w:val="000D52DF"/>
    <w:rsid w:val="000D7D6E"/>
    <w:rsid w:val="000E4ABD"/>
    <w:rsid w:val="000E5082"/>
    <w:rsid w:val="000E5FBF"/>
    <w:rsid w:val="000F438D"/>
    <w:rsid w:val="00101245"/>
    <w:rsid w:val="001022EF"/>
    <w:rsid w:val="00102851"/>
    <w:rsid w:val="00114D4A"/>
    <w:rsid w:val="001207BE"/>
    <w:rsid w:val="001208D6"/>
    <w:rsid w:val="00125D5C"/>
    <w:rsid w:val="00135358"/>
    <w:rsid w:val="00135C88"/>
    <w:rsid w:val="001366B5"/>
    <w:rsid w:val="00143D79"/>
    <w:rsid w:val="001502AA"/>
    <w:rsid w:val="001612A7"/>
    <w:rsid w:val="00164300"/>
    <w:rsid w:val="00170231"/>
    <w:rsid w:val="00171092"/>
    <w:rsid w:val="001719DB"/>
    <w:rsid w:val="00181791"/>
    <w:rsid w:val="00182CA3"/>
    <w:rsid w:val="0019067E"/>
    <w:rsid w:val="00193396"/>
    <w:rsid w:val="00195270"/>
    <w:rsid w:val="001A3762"/>
    <w:rsid w:val="001B0B5B"/>
    <w:rsid w:val="001B262C"/>
    <w:rsid w:val="001B2C2D"/>
    <w:rsid w:val="001C1F1E"/>
    <w:rsid w:val="001C203F"/>
    <w:rsid w:val="001D3A94"/>
    <w:rsid w:val="001E34D2"/>
    <w:rsid w:val="001E6F77"/>
    <w:rsid w:val="001F56AE"/>
    <w:rsid w:val="001F6537"/>
    <w:rsid w:val="002027AD"/>
    <w:rsid w:val="00202EF9"/>
    <w:rsid w:val="002156DD"/>
    <w:rsid w:val="0021652D"/>
    <w:rsid w:val="002173F4"/>
    <w:rsid w:val="00220ED7"/>
    <w:rsid w:val="00222225"/>
    <w:rsid w:val="00224DCF"/>
    <w:rsid w:val="00225A94"/>
    <w:rsid w:val="002261F3"/>
    <w:rsid w:val="002303FF"/>
    <w:rsid w:val="0023043E"/>
    <w:rsid w:val="00237C0F"/>
    <w:rsid w:val="00237F31"/>
    <w:rsid w:val="002420F3"/>
    <w:rsid w:val="00243BE0"/>
    <w:rsid w:val="002656D2"/>
    <w:rsid w:val="00265E4A"/>
    <w:rsid w:val="002705B8"/>
    <w:rsid w:val="00270AA8"/>
    <w:rsid w:val="002713EB"/>
    <w:rsid w:val="00273736"/>
    <w:rsid w:val="0028528B"/>
    <w:rsid w:val="00295BDF"/>
    <w:rsid w:val="002A1F2A"/>
    <w:rsid w:val="002A770B"/>
    <w:rsid w:val="002C2F55"/>
    <w:rsid w:val="002D3A2C"/>
    <w:rsid w:val="002D5E65"/>
    <w:rsid w:val="002D6F70"/>
    <w:rsid w:val="002E16B6"/>
    <w:rsid w:val="002E1CD7"/>
    <w:rsid w:val="002E2F63"/>
    <w:rsid w:val="002E4BD8"/>
    <w:rsid w:val="002E54C7"/>
    <w:rsid w:val="002F34D0"/>
    <w:rsid w:val="002F68A7"/>
    <w:rsid w:val="002F7568"/>
    <w:rsid w:val="00300AA5"/>
    <w:rsid w:val="00304D46"/>
    <w:rsid w:val="00314B9E"/>
    <w:rsid w:val="00315588"/>
    <w:rsid w:val="00316819"/>
    <w:rsid w:val="003244A3"/>
    <w:rsid w:val="00347D01"/>
    <w:rsid w:val="00351215"/>
    <w:rsid w:val="00357840"/>
    <w:rsid w:val="00364EEA"/>
    <w:rsid w:val="003678C2"/>
    <w:rsid w:val="003857ED"/>
    <w:rsid w:val="003879A7"/>
    <w:rsid w:val="00387ACE"/>
    <w:rsid w:val="0039595D"/>
    <w:rsid w:val="003A13D2"/>
    <w:rsid w:val="003C5541"/>
    <w:rsid w:val="003C60D9"/>
    <w:rsid w:val="003D60F1"/>
    <w:rsid w:val="0040281D"/>
    <w:rsid w:val="00410660"/>
    <w:rsid w:val="00413FA3"/>
    <w:rsid w:val="00414236"/>
    <w:rsid w:val="00422BBE"/>
    <w:rsid w:val="00433C3B"/>
    <w:rsid w:val="00434559"/>
    <w:rsid w:val="00434AFF"/>
    <w:rsid w:val="00447BDD"/>
    <w:rsid w:val="00451294"/>
    <w:rsid w:val="004557CD"/>
    <w:rsid w:val="004741E5"/>
    <w:rsid w:val="00481D22"/>
    <w:rsid w:val="0048674A"/>
    <w:rsid w:val="00492929"/>
    <w:rsid w:val="0049564D"/>
    <w:rsid w:val="00497EC4"/>
    <w:rsid w:val="004A05AF"/>
    <w:rsid w:val="004A4847"/>
    <w:rsid w:val="004A7491"/>
    <w:rsid w:val="004B02E3"/>
    <w:rsid w:val="004B19E3"/>
    <w:rsid w:val="004C0FD2"/>
    <w:rsid w:val="004C4A56"/>
    <w:rsid w:val="004C4A8D"/>
    <w:rsid w:val="004C6AC7"/>
    <w:rsid w:val="004C6C8C"/>
    <w:rsid w:val="004D168D"/>
    <w:rsid w:val="004D216F"/>
    <w:rsid w:val="004D233A"/>
    <w:rsid w:val="004D7469"/>
    <w:rsid w:val="004E4D06"/>
    <w:rsid w:val="004F177C"/>
    <w:rsid w:val="004F338D"/>
    <w:rsid w:val="004F41B4"/>
    <w:rsid w:val="005075C0"/>
    <w:rsid w:val="00521225"/>
    <w:rsid w:val="00521D6D"/>
    <w:rsid w:val="0052414E"/>
    <w:rsid w:val="00534EA2"/>
    <w:rsid w:val="00540382"/>
    <w:rsid w:val="005405EA"/>
    <w:rsid w:val="00540A22"/>
    <w:rsid w:val="00547589"/>
    <w:rsid w:val="0055230B"/>
    <w:rsid w:val="005526EF"/>
    <w:rsid w:val="00565C67"/>
    <w:rsid w:val="00572D7B"/>
    <w:rsid w:val="00573DF1"/>
    <w:rsid w:val="00576540"/>
    <w:rsid w:val="005847C7"/>
    <w:rsid w:val="005865E0"/>
    <w:rsid w:val="00587A90"/>
    <w:rsid w:val="00587BDA"/>
    <w:rsid w:val="0059244D"/>
    <w:rsid w:val="005926C0"/>
    <w:rsid w:val="005B3600"/>
    <w:rsid w:val="005B3D5E"/>
    <w:rsid w:val="005C2F3E"/>
    <w:rsid w:val="005D04DA"/>
    <w:rsid w:val="005D3B2D"/>
    <w:rsid w:val="005D7415"/>
    <w:rsid w:val="005E156C"/>
    <w:rsid w:val="005E4624"/>
    <w:rsid w:val="0060049C"/>
    <w:rsid w:val="00607128"/>
    <w:rsid w:val="00614179"/>
    <w:rsid w:val="00617965"/>
    <w:rsid w:val="00624EB3"/>
    <w:rsid w:val="006254AA"/>
    <w:rsid w:val="00634358"/>
    <w:rsid w:val="006346FD"/>
    <w:rsid w:val="00642B9B"/>
    <w:rsid w:val="00650C57"/>
    <w:rsid w:val="00655377"/>
    <w:rsid w:val="00656858"/>
    <w:rsid w:val="00660311"/>
    <w:rsid w:val="00665FFE"/>
    <w:rsid w:val="006668E8"/>
    <w:rsid w:val="00670F83"/>
    <w:rsid w:val="00671349"/>
    <w:rsid w:val="0067444B"/>
    <w:rsid w:val="006812FF"/>
    <w:rsid w:val="00683134"/>
    <w:rsid w:val="00686ACE"/>
    <w:rsid w:val="00687169"/>
    <w:rsid w:val="00694254"/>
    <w:rsid w:val="0069502F"/>
    <w:rsid w:val="006958E8"/>
    <w:rsid w:val="006A12CC"/>
    <w:rsid w:val="006A3C7F"/>
    <w:rsid w:val="006A7954"/>
    <w:rsid w:val="006B06D5"/>
    <w:rsid w:val="006B07B0"/>
    <w:rsid w:val="006B3314"/>
    <w:rsid w:val="006C0AB8"/>
    <w:rsid w:val="006C1475"/>
    <w:rsid w:val="006C3A9E"/>
    <w:rsid w:val="006D429D"/>
    <w:rsid w:val="006D5E97"/>
    <w:rsid w:val="006E4DCC"/>
    <w:rsid w:val="006E6059"/>
    <w:rsid w:val="006E69A3"/>
    <w:rsid w:val="006F2435"/>
    <w:rsid w:val="006F3020"/>
    <w:rsid w:val="006F5480"/>
    <w:rsid w:val="006F7D61"/>
    <w:rsid w:val="00700697"/>
    <w:rsid w:val="00703130"/>
    <w:rsid w:val="007042A0"/>
    <w:rsid w:val="00706619"/>
    <w:rsid w:val="00710DAD"/>
    <w:rsid w:val="00711979"/>
    <w:rsid w:val="00720DA6"/>
    <w:rsid w:val="007340FB"/>
    <w:rsid w:val="00742263"/>
    <w:rsid w:val="00742A0C"/>
    <w:rsid w:val="007577D6"/>
    <w:rsid w:val="00757C24"/>
    <w:rsid w:val="00767DA0"/>
    <w:rsid w:val="00770127"/>
    <w:rsid w:val="0077215A"/>
    <w:rsid w:val="007766CF"/>
    <w:rsid w:val="00784C8C"/>
    <w:rsid w:val="007903A5"/>
    <w:rsid w:val="00791309"/>
    <w:rsid w:val="00793A06"/>
    <w:rsid w:val="00794F12"/>
    <w:rsid w:val="0079523B"/>
    <w:rsid w:val="00796AFB"/>
    <w:rsid w:val="0079750D"/>
    <w:rsid w:val="007B2C3F"/>
    <w:rsid w:val="007C468C"/>
    <w:rsid w:val="007D1C75"/>
    <w:rsid w:val="007D1CB7"/>
    <w:rsid w:val="007D3D70"/>
    <w:rsid w:val="007D564E"/>
    <w:rsid w:val="007D59D1"/>
    <w:rsid w:val="007D5F95"/>
    <w:rsid w:val="007D7D6F"/>
    <w:rsid w:val="007E756C"/>
    <w:rsid w:val="007E7C3B"/>
    <w:rsid w:val="007F3CF7"/>
    <w:rsid w:val="007F55ED"/>
    <w:rsid w:val="007F6160"/>
    <w:rsid w:val="007F6828"/>
    <w:rsid w:val="00800AA4"/>
    <w:rsid w:val="0080269F"/>
    <w:rsid w:val="0080409C"/>
    <w:rsid w:val="00806B14"/>
    <w:rsid w:val="00813B20"/>
    <w:rsid w:val="00814F1C"/>
    <w:rsid w:val="0081784E"/>
    <w:rsid w:val="00822831"/>
    <w:rsid w:val="00823F5A"/>
    <w:rsid w:val="00825146"/>
    <w:rsid w:val="008311E7"/>
    <w:rsid w:val="00834C07"/>
    <w:rsid w:val="00834F9F"/>
    <w:rsid w:val="0084311D"/>
    <w:rsid w:val="00844539"/>
    <w:rsid w:val="00845264"/>
    <w:rsid w:val="008462BD"/>
    <w:rsid w:val="00852055"/>
    <w:rsid w:val="008579C4"/>
    <w:rsid w:val="00862551"/>
    <w:rsid w:val="008643E2"/>
    <w:rsid w:val="00870AE0"/>
    <w:rsid w:val="00871F92"/>
    <w:rsid w:val="00881AB5"/>
    <w:rsid w:val="0088226B"/>
    <w:rsid w:val="00882409"/>
    <w:rsid w:val="0089661F"/>
    <w:rsid w:val="008A3AE5"/>
    <w:rsid w:val="008A4314"/>
    <w:rsid w:val="008A470D"/>
    <w:rsid w:val="008A47E6"/>
    <w:rsid w:val="008A7665"/>
    <w:rsid w:val="008B10EA"/>
    <w:rsid w:val="008B2CB5"/>
    <w:rsid w:val="008B422A"/>
    <w:rsid w:val="008B4665"/>
    <w:rsid w:val="008B4CAB"/>
    <w:rsid w:val="008C3551"/>
    <w:rsid w:val="008D2D88"/>
    <w:rsid w:val="008E60E5"/>
    <w:rsid w:val="008F3D6F"/>
    <w:rsid w:val="008F4802"/>
    <w:rsid w:val="008F693E"/>
    <w:rsid w:val="008F6FB0"/>
    <w:rsid w:val="009000BC"/>
    <w:rsid w:val="00900EC5"/>
    <w:rsid w:val="00902030"/>
    <w:rsid w:val="0090687B"/>
    <w:rsid w:val="00914859"/>
    <w:rsid w:val="00915185"/>
    <w:rsid w:val="00915C66"/>
    <w:rsid w:val="00917C62"/>
    <w:rsid w:val="00922240"/>
    <w:rsid w:val="00925BD3"/>
    <w:rsid w:val="00926DE7"/>
    <w:rsid w:val="00931A43"/>
    <w:rsid w:val="009366AC"/>
    <w:rsid w:val="00941F2F"/>
    <w:rsid w:val="0095371F"/>
    <w:rsid w:val="00962FAF"/>
    <w:rsid w:val="009809A8"/>
    <w:rsid w:val="00990951"/>
    <w:rsid w:val="00990B62"/>
    <w:rsid w:val="009A692E"/>
    <w:rsid w:val="009A6BCA"/>
    <w:rsid w:val="009C1768"/>
    <w:rsid w:val="009C5AE7"/>
    <w:rsid w:val="009C69CD"/>
    <w:rsid w:val="009C79EB"/>
    <w:rsid w:val="009D0934"/>
    <w:rsid w:val="009D4D8A"/>
    <w:rsid w:val="009E7452"/>
    <w:rsid w:val="00A0315F"/>
    <w:rsid w:val="00A04DCF"/>
    <w:rsid w:val="00A07857"/>
    <w:rsid w:val="00A10F15"/>
    <w:rsid w:val="00A116F2"/>
    <w:rsid w:val="00A13880"/>
    <w:rsid w:val="00A17767"/>
    <w:rsid w:val="00A26CE0"/>
    <w:rsid w:val="00A274A5"/>
    <w:rsid w:val="00A47419"/>
    <w:rsid w:val="00A54E22"/>
    <w:rsid w:val="00A6344A"/>
    <w:rsid w:val="00A63B6E"/>
    <w:rsid w:val="00A66065"/>
    <w:rsid w:val="00A66093"/>
    <w:rsid w:val="00A663C3"/>
    <w:rsid w:val="00A861D2"/>
    <w:rsid w:val="00A87D55"/>
    <w:rsid w:val="00AA3305"/>
    <w:rsid w:val="00AB2904"/>
    <w:rsid w:val="00AC1E24"/>
    <w:rsid w:val="00AC21EC"/>
    <w:rsid w:val="00AD61F2"/>
    <w:rsid w:val="00AD677F"/>
    <w:rsid w:val="00AE3ABA"/>
    <w:rsid w:val="00AE4B0F"/>
    <w:rsid w:val="00AE5AC2"/>
    <w:rsid w:val="00AE684C"/>
    <w:rsid w:val="00AF20B0"/>
    <w:rsid w:val="00AF27C0"/>
    <w:rsid w:val="00B06979"/>
    <w:rsid w:val="00B115BE"/>
    <w:rsid w:val="00B1243E"/>
    <w:rsid w:val="00B23F7B"/>
    <w:rsid w:val="00B30245"/>
    <w:rsid w:val="00B35FEB"/>
    <w:rsid w:val="00B400AE"/>
    <w:rsid w:val="00B42458"/>
    <w:rsid w:val="00B42B99"/>
    <w:rsid w:val="00B43ED7"/>
    <w:rsid w:val="00B535FC"/>
    <w:rsid w:val="00B56AD0"/>
    <w:rsid w:val="00B609DC"/>
    <w:rsid w:val="00B6284D"/>
    <w:rsid w:val="00B72E5C"/>
    <w:rsid w:val="00B8203C"/>
    <w:rsid w:val="00B857DA"/>
    <w:rsid w:val="00B8682B"/>
    <w:rsid w:val="00B93CAE"/>
    <w:rsid w:val="00BA0DFE"/>
    <w:rsid w:val="00BA46B0"/>
    <w:rsid w:val="00BB5F56"/>
    <w:rsid w:val="00BC11D7"/>
    <w:rsid w:val="00BC1C70"/>
    <w:rsid w:val="00BC23B8"/>
    <w:rsid w:val="00BC29DF"/>
    <w:rsid w:val="00BD124E"/>
    <w:rsid w:val="00BD418B"/>
    <w:rsid w:val="00BD4F06"/>
    <w:rsid w:val="00BF5961"/>
    <w:rsid w:val="00C03601"/>
    <w:rsid w:val="00C03C05"/>
    <w:rsid w:val="00C05854"/>
    <w:rsid w:val="00C07F6D"/>
    <w:rsid w:val="00C14AE2"/>
    <w:rsid w:val="00C14D6A"/>
    <w:rsid w:val="00C16421"/>
    <w:rsid w:val="00C17D2F"/>
    <w:rsid w:val="00C237C8"/>
    <w:rsid w:val="00C325C9"/>
    <w:rsid w:val="00C34C22"/>
    <w:rsid w:val="00C45D5A"/>
    <w:rsid w:val="00C506DF"/>
    <w:rsid w:val="00C50BC8"/>
    <w:rsid w:val="00C51C59"/>
    <w:rsid w:val="00C530D3"/>
    <w:rsid w:val="00C55C5A"/>
    <w:rsid w:val="00C57A10"/>
    <w:rsid w:val="00C612AF"/>
    <w:rsid w:val="00C6263D"/>
    <w:rsid w:val="00C65D8F"/>
    <w:rsid w:val="00C8101A"/>
    <w:rsid w:val="00C8414B"/>
    <w:rsid w:val="00C8499F"/>
    <w:rsid w:val="00C869ED"/>
    <w:rsid w:val="00CA4D8D"/>
    <w:rsid w:val="00CA63DE"/>
    <w:rsid w:val="00CB01C6"/>
    <w:rsid w:val="00CB1932"/>
    <w:rsid w:val="00CB28AF"/>
    <w:rsid w:val="00CB41E2"/>
    <w:rsid w:val="00CC5307"/>
    <w:rsid w:val="00CD0AD1"/>
    <w:rsid w:val="00CD31A0"/>
    <w:rsid w:val="00CD6DC0"/>
    <w:rsid w:val="00CE054C"/>
    <w:rsid w:val="00CE1E5F"/>
    <w:rsid w:val="00CE20BE"/>
    <w:rsid w:val="00CE68DC"/>
    <w:rsid w:val="00CF016D"/>
    <w:rsid w:val="00D12504"/>
    <w:rsid w:val="00D13208"/>
    <w:rsid w:val="00D13640"/>
    <w:rsid w:val="00D22AAD"/>
    <w:rsid w:val="00D2397D"/>
    <w:rsid w:val="00D2660E"/>
    <w:rsid w:val="00D33C26"/>
    <w:rsid w:val="00D33E89"/>
    <w:rsid w:val="00D43FDC"/>
    <w:rsid w:val="00D44DBB"/>
    <w:rsid w:val="00D4646B"/>
    <w:rsid w:val="00D54A44"/>
    <w:rsid w:val="00D63C93"/>
    <w:rsid w:val="00D67D2F"/>
    <w:rsid w:val="00D67DE1"/>
    <w:rsid w:val="00D73674"/>
    <w:rsid w:val="00D759A5"/>
    <w:rsid w:val="00D8443C"/>
    <w:rsid w:val="00D86F26"/>
    <w:rsid w:val="00D93153"/>
    <w:rsid w:val="00D955BE"/>
    <w:rsid w:val="00D969AF"/>
    <w:rsid w:val="00DA5DF3"/>
    <w:rsid w:val="00DB085E"/>
    <w:rsid w:val="00DB1082"/>
    <w:rsid w:val="00DB4225"/>
    <w:rsid w:val="00DC621E"/>
    <w:rsid w:val="00DD0663"/>
    <w:rsid w:val="00DD57B3"/>
    <w:rsid w:val="00DD6B38"/>
    <w:rsid w:val="00DE7609"/>
    <w:rsid w:val="00DE77BA"/>
    <w:rsid w:val="00DF26C9"/>
    <w:rsid w:val="00DF31E6"/>
    <w:rsid w:val="00DF59C4"/>
    <w:rsid w:val="00DF782A"/>
    <w:rsid w:val="00E003D7"/>
    <w:rsid w:val="00E03223"/>
    <w:rsid w:val="00E105E6"/>
    <w:rsid w:val="00E14828"/>
    <w:rsid w:val="00E2231C"/>
    <w:rsid w:val="00E26D1B"/>
    <w:rsid w:val="00E27EB8"/>
    <w:rsid w:val="00E30029"/>
    <w:rsid w:val="00E41CB5"/>
    <w:rsid w:val="00E43388"/>
    <w:rsid w:val="00E43E51"/>
    <w:rsid w:val="00E519B8"/>
    <w:rsid w:val="00E63BB2"/>
    <w:rsid w:val="00E95BCE"/>
    <w:rsid w:val="00EA02FA"/>
    <w:rsid w:val="00EA7781"/>
    <w:rsid w:val="00EB5434"/>
    <w:rsid w:val="00EB5D20"/>
    <w:rsid w:val="00EB71D2"/>
    <w:rsid w:val="00EC08BE"/>
    <w:rsid w:val="00EC4247"/>
    <w:rsid w:val="00EC7EC7"/>
    <w:rsid w:val="00EE6860"/>
    <w:rsid w:val="00EE721D"/>
    <w:rsid w:val="00EF0948"/>
    <w:rsid w:val="00EF3591"/>
    <w:rsid w:val="00EF378B"/>
    <w:rsid w:val="00EF4C05"/>
    <w:rsid w:val="00EF61CD"/>
    <w:rsid w:val="00F03843"/>
    <w:rsid w:val="00F03AC1"/>
    <w:rsid w:val="00F046B7"/>
    <w:rsid w:val="00F056A7"/>
    <w:rsid w:val="00F10CC1"/>
    <w:rsid w:val="00F11FA7"/>
    <w:rsid w:val="00F13A7E"/>
    <w:rsid w:val="00F15E0D"/>
    <w:rsid w:val="00F17584"/>
    <w:rsid w:val="00F200F7"/>
    <w:rsid w:val="00F34754"/>
    <w:rsid w:val="00F35A44"/>
    <w:rsid w:val="00F35B21"/>
    <w:rsid w:val="00F40BA7"/>
    <w:rsid w:val="00F429F7"/>
    <w:rsid w:val="00F46D31"/>
    <w:rsid w:val="00F51F0A"/>
    <w:rsid w:val="00F5701F"/>
    <w:rsid w:val="00F64DA5"/>
    <w:rsid w:val="00F66763"/>
    <w:rsid w:val="00F67807"/>
    <w:rsid w:val="00F828C4"/>
    <w:rsid w:val="00F93A5A"/>
    <w:rsid w:val="00F95577"/>
    <w:rsid w:val="00F9632F"/>
    <w:rsid w:val="00F9648E"/>
    <w:rsid w:val="00FC1ABE"/>
    <w:rsid w:val="00FC2DFF"/>
    <w:rsid w:val="00FD4702"/>
    <w:rsid w:val="00FD5A1A"/>
    <w:rsid w:val="00FE37EC"/>
    <w:rsid w:val="00FE5763"/>
    <w:rsid w:val="00FE64C0"/>
    <w:rsid w:val="00FF03DB"/>
    <w:rsid w:val="00FF085F"/>
    <w:rsid w:val="00FF1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efaultImageDpi w14:val="300"/>
  <w15:chartTrackingRefBased/>
  <w15:docId w15:val="{BE64D848-D5A5-4E64-A5B9-7AD5C51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71F"/>
    <w:pPr>
      <w:spacing w:after="200" w:line="276" w:lineRule="auto"/>
    </w:pPr>
    <w:rPr>
      <w:rFonts w:eastAsia="Cambria"/>
      <w:sz w:val="22"/>
      <w:szCs w:val="22"/>
    </w:rPr>
  </w:style>
  <w:style w:type="paragraph" w:styleId="Heading1">
    <w:name w:val="heading 1"/>
    <w:basedOn w:val="Normal"/>
    <w:next w:val="Normal"/>
    <w:link w:val="Heading1Char"/>
    <w:uiPriority w:val="9"/>
    <w:qFormat/>
    <w:rsid w:val="006D5E97"/>
    <w:pPr>
      <w:keepNext/>
      <w:spacing w:before="240" w:after="60"/>
      <w:outlineLvl w:val="0"/>
    </w:pPr>
    <w:rPr>
      <w:rFonts w:ascii="Calibri Light" w:eastAsia="Times New Roman" w:hAnsi="Calibri Light"/>
      <w:b/>
      <w:bCs/>
      <w:kern w:val="32"/>
      <w:sz w:val="32"/>
      <w:szCs w:val="32"/>
    </w:rPr>
  </w:style>
  <w:style w:type="paragraph" w:styleId="Heading5">
    <w:name w:val="heading 5"/>
    <w:basedOn w:val="Normal"/>
    <w:next w:val="Normal"/>
    <w:link w:val="Heading5Char"/>
    <w:uiPriority w:val="9"/>
    <w:qFormat/>
    <w:rsid w:val="00AD61F2"/>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lorfulList-Accent1">
    <w:name w:val="Colorful List Accent 1"/>
    <w:basedOn w:val="Normal"/>
    <w:uiPriority w:val="34"/>
    <w:qFormat/>
    <w:rsid w:val="00D2397D"/>
    <w:pPr>
      <w:ind w:left="720"/>
      <w:contextualSpacing/>
    </w:pPr>
  </w:style>
  <w:style w:type="paragraph" w:styleId="FootnoteText">
    <w:name w:val="footnote text"/>
    <w:aliases w:val="FT"/>
    <w:basedOn w:val="Normal"/>
    <w:link w:val="FootnoteTextChar"/>
    <w:uiPriority w:val="99"/>
    <w:unhideWhenUsed/>
    <w:rsid w:val="0095371F"/>
    <w:pPr>
      <w:spacing w:after="0" w:line="240" w:lineRule="auto"/>
    </w:pPr>
    <w:rPr>
      <w:rFonts w:ascii="Times New Roman" w:hAnsi="Times New Roman"/>
      <w:sz w:val="20"/>
      <w:szCs w:val="20"/>
    </w:rPr>
  </w:style>
  <w:style w:type="character" w:customStyle="1" w:styleId="FootnoteTextChar">
    <w:name w:val="Footnote Text Char"/>
    <w:aliases w:val="FT Char"/>
    <w:link w:val="FootnoteText"/>
    <w:uiPriority w:val="99"/>
    <w:rsid w:val="0095371F"/>
    <w:rPr>
      <w:rFonts w:ascii="Times New Roman" w:eastAsia="Cambria" w:hAnsi="Times New Roman"/>
    </w:rPr>
  </w:style>
  <w:style w:type="character" w:styleId="FootnoteReference">
    <w:name w:val="footnote reference"/>
    <w:uiPriority w:val="99"/>
    <w:unhideWhenUsed/>
    <w:rsid w:val="00D2397D"/>
    <w:rPr>
      <w:vertAlign w:val="superscript"/>
    </w:rPr>
  </w:style>
  <w:style w:type="character" w:styleId="Hyperlink">
    <w:name w:val="Hyperlink"/>
    <w:uiPriority w:val="99"/>
    <w:rsid w:val="00D2397D"/>
    <w:rPr>
      <w:color w:val="0000FF"/>
      <w:u w:val="single"/>
    </w:rPr>
  </w:style>
  <w:style w:type="character" w:styleId="CommentReference">
    <w:name w:val="annotation reference"/>
    <w:uiPriority w:val="99"/>
    <w:semiHidden/>
    <w:unhideWhenUsed/>
    <w:rsid w:val="00D2397D"/>
    <w:rPr>
      <w:sz w:val="16"/>
      <w:szCs w:val="16"/>
    </w:rPr>
  </w:style>
  <w:style w:type="paragraph" w:styleId="CommentText">
    <w:name w:val="annotation text"/>
    <w:basedOn w:val="Normal"/>
    <w:link w:val="CommentTextChar"/>
    <w:uiPriority w:val="99"/>
    <w:unhideWhenUsed/>
    <w:rsid w:val="00D2397D"/>
    <w:pPr>
      <w:spacing w:line="240" w:lineRule="auto"/>
    </w:pPr>
    <w:rPr>
      <w:sz w:val="20"/>
      <w:szCs w:val="20"/>
    </w:rPr>
  </w:style>
  <w:style w:type="character" w:customStyle="1" w:styleId="CommentTextChar">
    <w:name w:val="Comment Text Char"/>
    <w:link w:val="CommentText"/>
    <w:uiPriority w:val="99"/>
    <w:rsid w:val="00D2397D"/>
    <w:rPr>
      <w:rFonts w:eastAsia="Cambria"/>
      <w:sz w:val="20"/>
      <w:szCs w:val="20"/>
    </w:rPr>
  </w:style>
  <w:style w:type="paragraph" w:styleId="BalloonText">
    <w:name w:val="Balloon Text"/>
    <w:basedOn w:val="Normal"/>
    <w:link w:val="BalloonTextChar"/>
    <w:uiPriority w:val="99"/>
    <w:semiHidden/>
    <w:unhideWhenUsed/>
    <w:rsid w:val="00D2397D"/>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D2397D"/>
    <w:rPr>
      <w:rFonts w:ascii="Lucida Grande" w:eastAsia="Cambria"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202EF9"/>
    <w:rPr>
      <w:b/>
      <w:bCs/>
    </w:rPr>
  </w:style>
  <w:style w:type="character" w:customStyle="1" w:styleId="CommentSubjectChar">
    <w:name w:val="Comment Subject Char"/>
    <w:link w:val="CommentSubject"/>
    <w:uiPriority w:val="99"/>
    <w:semiHidden/>
    <w:rsid w:val="00202EF9"/>
    <w:rPr>
      <w:rFonts w:eastAsia="Cambria"/>
      <w:b/>
      <w:bCs/>
      <w:sz w:val="20"/>
      <w:szCs w:val="20"/>
    </w:rPr>
  </w:style>
  <w:style w:type="paragraph" w:styleId="MediumGrid2">
    <w:name w:val="Medium Grid 2"/>
    <w:uiPriority w:val="1"/>
    <w:qFormat/>
    <w:rsid w:val="001366B5"/>
    <w:rPr>
      <w:rFonts w:eastAsia="Cambria"/>
      <w:sz w:val="22"/>
      <w:szCs w:val="22"/>
    </w:rPr>
  </w:style>
  <w:style w:type="paragraph" w:styleId="NormalWeb">
    <w:name w:val="Normal (Web)"/>
    <w:basedOn w:val="Normal"/>
    <w:uiPriority w:val="99"/>
    <w:unhideWhenUsed/>
    <w:rsid w:val="00D67DE1"/>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054319"/>
    <w:pPr>
      <w:tabs>
        <w:tab w:val="center" w:pos="4680"/>
        <w:tab w:val="right" w:pos="9360"/>
      </w:tabs>
      <w:spacing w:after="0" w:line="240" w:lineRule="auto"/>
    </w:pPr>
  </w:style>
  <w:style w:type="character" w:customStyle="1" w:styleId="FooterChar">
    <w:name w:val="Footer Char"/>
    <w:link w:val="Footer"/>
    <w:uiPriority w:val="99"/>
    <w:rsid w:val="00054319"/>
    <w:rPr>
      <w:rFonts w:eastAsia="Cambria"/>
      <w:sz w:val="22"/>
      <w:szCs w:val="22"/>
    </w:rPr>
  </w:style>
  <w:style w:type="character" w:customStyle="1" w:styleId="apple-converted-space">
    <w:name w:val="apple-converted-space"/>
    <w:basedOn w:val="DefaultParagraphFont"/>
    <w:rsid w:val="006B3314"/>
  </w:style>
  <w:style w:type="paragraph" w:styleId="HTMLPreformatted">
    <w:name w:val="HTML Preformatted"/>
    <w:basedOn w:val="Normal"/>
    <w:link w:val="HTMLPreformattedChar"/>
    <w:uiPriority w:val="99"/>
    <w:unhideWhenUsed/>
    <w:rsid w:val="00B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B535FC"/>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5E156C"/>
  </w:style>
  <w:style w:type="paragraph" w:styleId="Header">
    <w:name w:val="header"/>
    <w:basedOn w:val="Normal"/>
    <w:link w:val="HeaderChar"/>
    <w:uiPriority w:val="99"/>
    <w:unhideWhenUsed/>
    <w:rsid w:val="00224DCF"/>
    <w:pPr>
      <w:tabs>
        <w:tab w:val="center" w:pos="4680"/>
        <w:tab w:val="right" w:pos="9360"/>
      </w:tabs>
      <w:spacing w:after="0" w:line="240" w:lineRule="auto"/>
    </w:pPr>
  </w:style>
  <w:style w:type="character" w:customStyle="1" w:styleId="HeaderChar">
    <w:name w:val="Header Char"/>
    <w:link w:val="Header"/>
    <w:uiPriority w:val="99"/>
    <w:rsid w:val="00224DCF"/>
    <w:rPr>
      <w:rFonts w:eastAsia="Cambria"/>
      <w:sz w:val="22"/>
      <w:szCs w:val="22"/>
    </w:rPr>
  </w:style>
  <w:style w:type="character" w:styleId="FollowedHyperlink">
    <w:name w:val="FollowedHyperlink"/>
    <w:uiPriority w:val="99"/>
    <w:semiHidden/>
    <w:unhideWhenUsed/>
    <w:rsid w:val="00D22AAD"/>
    <w:rPr>
      <w:color w:val="800080"/>
      <w:u w:val="single"/>
    </w:rPr>
  </w:style>
  <w:style w:type="character" w:customStyle="1" w:styleId="Heading1Char">
    <w:name w:val="Heading 1 Char"/>
    <w:link w:val="Heading1"/>
    <w:uiPriority w:val="9"/>
    <w:rsid w:val="006D5E97"/>
    <w:rPr>
      <w:rFonts w:ascii="Calibri Light" w:eastAsia="Times New Roman" w:hAnsi="Calibri Light" w:cs="Times New Roman"/>
      <w:b/>
      <w:bCs/>
      <w:kern w:val="32"/>
      <w:sz w:val="32"/>
      <w:szCs w:val="32"/>
    </w:rPr>
  </w:style>
  <w:style w:type="paragraph" w:styleId="BodyText">
    <w:name w:val="Body Text"/>
    <w:basedOn w:val="Normal"/>
    <w:link w:val="BodyTextChar"/>
    <w:uiPriority w:val="99"/>
    <w:semiHidden/>
    <w:unhideWhenUsed/>
    <w:rsid w:val="00D13208"/>
    <w:pPr>
      <w:spacing w:after="120"/>
    </w:pPr>
  </w:style>
  <w:style w:type="character" w:customStyle="1" w:styleId="BodyTextChar">
    <w:name w:val="Body Text Char"/>
    <w:link w:val="BodyText"/>
    <w:uiPriority w:val="99"/>
    <w:semiHidden/>
    <w:rsid w:val="00D13208"/>
    <w:rPr>
      <w:rFonts w:eastAsia="Cambria"/>
      <w:sz w:val="22"/>
      <w:szCs w:val="22"/>
    </w:rPr>
  </w:style>
  <w:style w:type="character" w:customStyle="1" w:styleId="FootnoteCharacters">
    <w:name w:val="Footnote Characters"/>
    <w:rsid w:val="00C14AE2"/>
    <w:rPr>
      <w:vertAlign w:val="superscript"/>
    </w:rPr>
  </w:style>
  <w:style w:type="character" w:customStyle="1" w:styleId="Heading5Char">
    <w:name w:val="Heading 5 Char"/>
    <w:link w:val="Heading5"/>
    <w:uiPriority w:val="9"/>
    <w:semiHidden/>
    <w:rsid w:val="00AD61F2"/>
    <w:rPr>
      <w:rFonts w:ascii="Calibri" w:eastAsia="Times New Roman" w:hAnsi="Calibri" w:cs="Times New Roman"/>
      <w:b/>
      <w:bCs/>
      <w:i/>
      <w:iCs/>
      <w:sz w:val="26"/>
      <w:szCs w:val="26"/>
    </w:rPr>
  </w:style>
  <w:style w:type="paragraph" w:styleId="ColorfulShading-Accent1">
    <w:name w:val="Colorful Shading Accent 1"/>
    <w:hidden/>
    <w:uiPriority w:val="71"/>
    <w:rsid w:val="008A47E6"/>
    <w:rPr>
      <w:rFonts w:eastAsia="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126">
      <w:bodyDiv w:val="1"/>
      <w:marLeft w:val="0"/>
      <w:marRight w:val="0"/>
      <w:marTop w:val="0"/>
      <w:marBottom w:val="0"/>
      <w:divBdr>
        <w:top w:val="none" w:sz="0" w:space="0" w:color="auto"/>
        <w:left w:val="none" w:sz="0" w:space="0" w:color="auto"/>
        <w:bottom w:val="none" w:sz="0" w:space="0" w:color="auto"/>
        <w:right w:val="none" w:sz="0" w:space="0" w:color="auto"/>
      </w:divBdr>
    </w:div>
    <w:div w:id="300767071">
      <w:bodyDiv w:val="1"/>
      <w:marLeft w:val="0"/>
      <w:marRight w:val="0"/>
      <w:marTop w:val="0"/>
      <w:marBottom w:val="0"/>
      <w:divBdr>
        <w:top w:val="none" w:sz="0" w:space="0" w:color="auto"/>
        <w:left w:val="none" w:sz="0" w:space="0" w:color="auto"/>
        <w:bottom w:val="none" w:sz="0" w:space="0" w:color="auto"/>
        <w:right w:val="none" w:sz="0" w:space="0" w:color="auto"/>
      </w:divBdr>
    </w:div>
    <w:div w:id="308940366">
      <w:bodyDiv w:val="1"/>
      <w:marLeft w:val="0"/>
      <w:marRight w:val="0"/>
      <w:marTop w:val="0"/>
      <w:marBottom w:val="0"/>
      <w:divBdr>
        <w:top w:val="none" w:sz="0" w:space="0" w:color="auto"/>
        <w:left w:val="none" w:sz="0" w:space="0" w:color="auto"/>
        <w:bottom w:val="none" w:sz="0" w:space="0" w:color="auto"/>
        <w:right w:val="none" w:sz="0" w:space="0" w:color="auto"/>
      </w:divBdr>
    </w:div>
    <w:div w:id="359859836">
      <w:bodyDiv w:val="1"/>
      <w:marLeft w:val="0"/>
      <w:marRight w:val="0"/>
      <w:marTop w:val="0"/>
      <w:marBottom w:val="0"/>
      <w:divBdr>
        <w:top w:val="none" w:sz="0" w:space="0" w:color="auto"/>
        <w:left w:val="none" w:sz="0" w:space="0" w:color="auto"/>
        <w:bottom w:val="none" w:sz="0" w:space="0" w:color="auto"/>
        <w:right w:val="none" w:sz="0" w:space="0" w:color="auto"/>
      </w:divBdr>
    </w:div>
    <w:div w:id="541862661">
      <w:bodyDiv w:val="1"/>
      <w:marLeft w:val="0"/>
      <w:marRight w:val="0"/>
      <w:marTop w:val="0"/>
      <w:marBottom w:val="0"/>
      <w:divBdr>
        <w:top w:val="none" w:sz="0" w:space="0" w:color="auto"/>
        <w:left w:val="none" w:sz="0" w:space="0" w:color="auto"/>
        <w:bottom w:val="none" w:sz="0" w:space="0" w:color="auto"/>
        <w:right w:val="none" w:sz="0" w:space="0" w:color="auto"/>
      </w:divBdr>
    </w:div>
    <w:div w:id="551963799">
      <w:bodyDiv w:val="1"/>
      <w:marLeft w:val="0"/>
      <w:marRight w:val="0"/>
      <w:marTop w:val="0"/>
      <w:marBottom w:val="0"/>
      <w:divBdr>
        <w:top w:val="none" w:sz="0" w:space="0" w:color="auto"/>
        <w:left w:val="none" w:sz="0" w:space="0" w:color="auto"/>
        <w:bottom w:val="none" w:sz="0" w:space="0" w:color="auto"/>
        <w:right w:val="none" w:sz="0" w:space="0" w:color="auto"/>
      </w:divBdr>
    </w:div>
    <w:div w:id="845559962">
      <w:bodyDiv w:val="1"/>
      <w:marLeft w:val="0"/>
      <w:marRight w:val="0"/>
      <w:marTop w:val="0"/>
      <w:marBottom w:val="0"/>
      <w:divBdr>
        <w:top w:val="none" w:sz="0" w:space="0" w:color="auto"/>
        <w:left w:val="none" w:sz="0" w:space="0" w:color="auto"/>
        <w:bottom w:val="none" w:sz="0" w:space="0" w:color="auto"/>
        <w:right w:val="none" w:sz="0" w:space="0" w:color="auto"/>
      </w:divBdr>
    </w:div>
    <w:div w:id="850802190">
      <w:bodyDiv w:val="1"/>
      <w:marLeft w:val="0"/>
      <w:marRight w:val="0"/>
      <w:marTop w:val="0"/>
      <w:marBottom w:val="0"/>
      <w:divBdr>
        <w:top w:val="none" w:sz="0" w:space="0" w:color="auto"/>
        <w:left w:val="none" w:sz="0" w:space="0" w:color="auto"/>
        <w:bottom w:val="none" w:sz="0" w:space="0" w:color="auto"/>
        <w:right w:val="none" w:sz="0" w:space="0" w:color="auto"/>
      </w:divBdr>
    </w:div>
    <w:div w:id="1202204608">
      <w:bodyDiv w:val="1"/>
      <w:marLeft w:val="0"/>
      <w:marRight w:val="0"/>
      <w:marTop w:val="0"/>
      <w:marBottom w:val="0"/>
      <w:divBdr>
        <w:top w:val="none" w:sz="0" w:space="0" w:color="auto"/>
        <w:left w:val="none" w:sz="0" w:space="0" w:color="auto"/>
        <w:bottom w:val="none" w:sz="0" w:space="0" w:color="auto"/>
        <w:right w:val="none" w:sz="0" w:space="0" w:color="auto"/>
      </w:divBdr>
    </w:div>
    <w:div w:id="1314677710">
      <w:bodyDiv w:val="1"/>
      <w:marLeft w:val="0"/>
      <w:marRight w:val="0"/>
      <w:marTop w:val="0"/>
      <w:marBottom w:val="0"/>
      <w:divBdr>
        <w:top w:val="none" w:sz="0" w:space="0" w:color="auto"/>
        <w:left w:val="none" w:sz="0" w:space="0" w:color="auto"/>
        <w:bottom w:val="none" w:sz="0" w:space="0" w:color="auto"/>
        <w:right w:val="none" w:sz="0" w:space="0" w:color="auto"/>
      </w:divBdr>
    </w:div>
    <w:div w:id="1366250992">
      <w:bodyDiv w:val="1"/>
      <w:marLeft w:val="0"/>
      <w:marRight w:val="0"/>
      <w:marTop w:val="0"/>
      <w:marBottom w:val="0"/>
      <w:divBdr>
        <w:top w:val="none" w:sz="0" w:space="0" w:color="auto"/>
        <w:left w:val="none" w:sz="0" w:space="0" w:color="auto"/>
        <w:bottom w:val="none" w:sz="0" w:space="0" w:color="auto"/>
        <w:right w:val="none" w:sz="0" w:space="0" w:color="auto"/>
      </w:divBdr>
    </w:div>
    <w:div w:id="1652784807">
      <w:bodyDiv w:val="1"/>
      <w:marLeft w:val="0"/>
      <w:marRight w:val="0"/>
      <w:marTop w:val="0"/>
      <w:marBottom w:val="0"/>
      <w:divBdr>
        <w:top w:val="none" w:sz="0" w:space="0" w:color="auto"/>
        <w:left w:val="none" w:sz="0" w:space="0" w:color="auto"/>
        <w:bottom w:val="none" w:sz="0" w:space="0" w:color="auto"/>
        <w:right w:val="none" w:sz="0" w:space="0" w:color="auto"/>
      </w:divBdr>
    </w:div>
    <w:div w:id="1685089416">
      <w:bodyDiv w:val="1"/>
      <w:marLeft w:val="0"/>
      <w:marRight w:val="0"/>
      <w:marTop w:val="0"/>
      <w:marBottom w:val="0"/>
      <w:divBdr>
        <w:top w:val="none" w:sz="0" w:space="0" w:color="auto"/>
        <w:left w:val="none" w:sz="0" w:space="0" w:color="auto"/>
        <w:bottom w:val="none" w:sz="0" w:space="0" w:color="auto"/>
        <w:right w:val="none" w:sz="0" w:space="0" w:color="auto"/>
      </w:divBdr>
    </w:div>
    <w:div w:id="1879969284">
      <w:bodyDiv w:val="1"/>
      <w:marLeft w:val="0"/>
      <w:marRight w:val="0"/>
      <w:marTop w:val="0"/>
      <w:marBottom w:val="0"/>
      <w:divBdr>
        <w:top w:val="none" w:sz="0" w:space="0" w:color="auto"/>
        <w:left w:val="none" w:sz="0" w:space="0" w:color="auto"/>
        <w:bottom w:val="none" w:sz="0" w:space="0" w:color="auto"/>
        <w:right w:val="none" w:sz="0" w:space="0" w:color="auto"/>
      </w:divBdr>
    </w:div>
    <w:div w:id="2051149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eralregister.gov/documents/2014/05/23/2014-11844/nondiscrimination-on-the-basis-of-disability-in-federally-assisted-programs-and-activiti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da.gov/2010ADAstandards_index.htm" TargetMode="External"/><Relationship Id="rId4" Type="http://schemas.openxmlformats.org/officeDocument/2006/relationships/settings" Target="settings.xml"/><Relationship Id="rId9" Type="http://schemas.openxmlformats.org/officeDocument/2006/relationships/hyperlink" Target="https://www.access-board.gov/guidelines-and-standards/buildings-and-sites/about-the-aba-standards/ufa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1.nyc.gov/assets/hpd/downloads/pdf/renter-resources/nyc-housing-opportunities-for-pwds-booklet.pdf" TargetMode="External"/><Relationship Id="rId13" Type="http://schemas.openxmlformats.org/officeDocument/2006/relationships/hyperlink" Target="https://therealdeal.com/issues_articles/nycha-elevators/" TargetMode="External"/><Relationship Id="rId18" Type="http://schemas.openxmlformats.org/officeDocument/2006/relationships/hyperlink" Target="http://www.eeoc.gov/eeoc/publications/fs-ada.cfm" TargetMode="External"/><Relationship Id="rId26" Type="http://schemas.openxmlformats.org/officeDocument/2006/relationships/hyperlink" Target="https://nychamonitor.com/" TargetMode="External"/><Relationship Id="rId3" Type="http://schemas.openxmlformats.org/officeDocument/2006/relationships/hyperlink" Target="https://www.citymetric.com/transport/new-york-subway-system-dangerously-inaccessible-4454" TargetMode="External"/><Relationship Id="rId21" Type="http://schemas.openxmlformats.org/officeDocument/2006/relationships/hyperlink" Target="http://www.adainfo.org/content/more-title-v" TargetMode="External"/><Relationship Id="rId7" Type="http://schemas.openxmlformats.org/officeDocument/2006/relationships/hyperlink" Target="https://www1.nyc.gov/assets/hpd/downloads/pdf/renter-resources/affordable-housing-guide-for-applicants-with-disabilities.pdf" TargetMode="External"/><Relationship Id="rId12" Type="http://schemas.openxmlformats.org/officeDocument/2006/relationships/hyperlink" Target="https://www.justice.gov/usao-sdny/page/file/1074866/download" TargetMode="External"/><Relationship Id="rId17" Type="http://schemas.openxmlformats.org/officeDocument/2006/relationships/hyperlink" Target="https://abc7ny.com/society/nycha-fails-to-find-long-term-fix-for-malfunctioning-elevators-residents-complain/5447491/" TargetMode="External"/><Relationship Id="rId25" Type="http://schemas.openxmlformats.org/officeDocument/2006/relationships/hyperlink" Target="https://www1.nyc.gov/site/nycha/residents/policies-and-procedures.page" TargetMode="External"/><Relationship Id="rId2" Type="http://schemas.openxmlformats.org/officeDocument/2006/relationships/hyperlink" Target="https://www1.nyc.gov/assets/mopd/downloads/pdf/accessible-nyc-2019.pdf" TargetMode="External"/><Relationship Id="rId16" Type="http://schemas.openxmlformats.org/officeDocument/2006/relationships/hyperlink" Target="http://bronx.news12.com/story/40873970/seniors-at-mitchel-houses-struggle-with-elevator-security-issues" TargetMode="External"/><Relationship Id="rId20" Type="http://schemas.openxmlformats.org/officeDocument/2006/relationships/hyperlink" Target="https://www.eeoc.gov/laws/regulations/adaaa_fact_sheet.cfm" TargetMode="External"/><Relationship Id="rId29" Type="http://schemas.openxmlformats.org/officeDocument/2006/relationships/hyperlink" Target="https://nychamonitor.com/wp-content/uploads/2019/07/NYCHA-First-Report-7.22.19.pdf" TargetMode="External"/><Relationship Id="rId1" Type="http://schemas.openxmlformats.org/officeDocument/2006/relationships/hyperlink" Target="https://www.census.gov/content/dam/Census/library/publications/2018/demo/p70-152.pdf" TargetMode="External"/><Relationship Id="rId6" Type="http://schemas.openxmlformats.org/officeDocument/2006/relationships/hyperlink" Target="https://www.cidny.org/wp-content/uploads/2017/07/CIDNY-ADA25-Many-_Bridges_to-Cross.pdf" TargetMode="External"/><Relationship Id="rId11" Type="http://schemas.openxmlformats.org/officeDocument/2006/relationships/hyperlink" Target="https://www.nydailynews.com/new-york/nycha-behind-wheelchair-accessibility-20-years-fed-deal-article-1.2959167" TargetMode="External"/><Relationship Id="rId24" Type="http://schemas.openxmlformats.org/officeDocument/2006/relationships/hyperlink" Target="https://www1.nyc.gov/assets/nycha/downloads/pdf/NYCHA-Reasonable-Accomodation-At-A-Glance-en.pdf" TargetMode="External"/><Relationship Id="rId32" Type="http://schemas.openxmlformats.org/officeDocument/2006/relationships/hyperlink" Target="https://www.hud.gov/sites/dfiles/PA/documents/HUD-NYCHA-Agreement013119.pdf" TargetMode="External"/><Relationship Id="rId5" Type="http://schemas.openxmlformats.org/officeDocument/2006/relationships/hyperlink" Target="https://www.hudexchange.info/resources/documents/2011AHAR_FinalReport.pdf" TargetMode="External"/><Relationship Id="rId15" Type="http://schemas.openxmlformats.org/officeDocument/2006/relationships/hyperlink" Target="https://nypost.com/2019/07/19/elderly-nycha-tenants-trapped-in-their-homes-for-13-days-because-of-elevator/" TargetMode="External"/><Relationship Id="rId23" Type="http://schemas.openxmlformats.org/officeDocument/2006/relationships/hyperlink" Target="https://www.hud.gov/program_offices/fair_housing_equal_opp/disabilities/sect504faq" TargetMode="External"/><Relationship Id="rId28" Type="http://schemas.openxmlformats.org/officeDocument/2006/relationships/hyperlink" Target="http://bronx.news12.com/story/40873970/seniors-at-mitchel-houses-struggle-with-elevator-security-issues" TargetMode="External"/><Relationship Id="rId10" Type="http://schemas.openxmlformats.org/officeDocument/2006/relationships/hyperlink" Target="https://comptroller.nyc.gov/reports/aging-with-dignity-a-blueprint-for-serving-nycs-growing-senior-population/" TargetMode="External"/><Relationship Id="rId19" Type="http://schemas.openxmlformats.org/officeDocument/2006/relationships/hyperlink" Target="http://www.adainfo.org/sites/default/files/Pre-Conference-ADA-Overview-1-slide-per-page-handout.pdf" TargetMode="External"/><Relationship Id="rId31" Type="http://schemas.openxmlformats.org/officeDocument/2006/relationships/hyperlink" Target="https://www.hud.gov/sites/dfiles/PA/documents/HUD-NYCHA-Agreement013119.pdf" TargetMode="External"/><Relationship Id="rId4" Type="http://schemas.openxmlformats.org/officeDocument/2006/relationships/hyperlink" Target="https://www1.nyc.gov/assets/mopd/downloads/pdf/accessible-nyc-2019.pdf" TargetMode="External"/><Relationship Id="rId9" Type="http://schemas.openxmlformats.org/officeDocument/2006/relationships/hyperlink" Target="https://www1.nyc.gov/assets/nycha/downloads/pdf/NYCHA-Fact-Sheet_2019_08-01.pdf" TargetMode="External"/><Relationship Id="rId14" Type="http://schemas.openxmlformats.org/officeDocument/2006/relationships/hyperlink" Target="https://wcbs880.radio.com/articles/transformer-fire-nycha-building-leaves-residents-without-power" TargetMode="External"/><Relationship Id="rId22" Type="http://schemas.openxmlformats.org/officeDocument/2006/relationships/hyperlink" Target="https://adata.org/faq/what-are-major-life-activities" TargetMode="External"/><Relationship Id="rId27" Type="http://schemas.openxmlformats.org/officeDocument/2006/relationships/hyperlink" Target="https://nychamonitor.com/wp-content/uploads/2019/07/NYCHA-First-Report-7.22.19.pdf" TargetMode="External"/><Relationship Id="rId30" Type="http://schemas.openxmlformats.org/officeDocument/2006/relationships/hyperlink" Target="https://www.hud.gov/sites/dfiles/PA/documents/HUD-NYCHA-Agreement0131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45C8F-0628-4EAA-89B7-5D6E3688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3227</Words>
  <Characters>18396</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CMA Inc.</Company>
  <LinksUpToDate>false</LinksUpToDate>
  <CharactersWithSpaces>21580</CharactersWithSpaces>
  <SharedDoc>false</SharedDoc>
  <HLinks>
    <vt:vector size="210" baseType="variant">
      <vt:variant>
        <vt:i4>2359351</vt:i4>
      </vt:variant>
      <vt:variant>
        <vt:i4>6</vt:i4>
      </vt:variant>
      <vt:variant>
        <vt:i4>0</vt:i4>
      </vt:variant>
      <vt:variant>
        <vt:i4>5</vt:i4>
      </vt:variant>
      <vt:variant>
        <vt:lpwstr>https://www.federalregister.gov/documents/2014/05/23/2014-11844/nondiscrimination-on-the-basis-of-disability-in-federally-assisted-programs-and-activities</vt:lpwstr>
      </vt:variant>
      <vt:variant>
        <vt:lpwstr/>
      </vt:variant>
      <vt:variant>
        <vt:i4>2162755</vt:i4>
      </vt:variant>
      <vt:variant>
        <vt:i4>3</vt:i4>
      </vt:variant>
      <vt:variant>
        <vt:i4>0</vt:i4>
      </vt:variant>
      <vt:variant>
        <vt:i4>5</vt:i4>
      </vt:variant>
      <vt:variant>
        <vt:lpwstr>https://www.ada.gov/2010ADAstandards_index.htm</vt:lpwstr>
      </vt:variant>
      <vt:variant>
        <vt:lpwstr/>
      </vt:variant>
      <vt:variant>
        <vt:i4>3997814</vt:i4>
      </vt:variant>
      <vt:variant>
        <vt:i4>0</vt:i4>
      </vt:variant>
      <vt:variant>
        <vt:i4>0</vt:i4>
      </vt:variant>
      <vt:variant>
        <vt:i4>5</vt:i4>
      </vt:variant>
      <vt:variant>
        <vt:lpwstr>https://www.access-board.gov/guidelines-and-standards/buildings-and-sites/about-the-aba-standards/ufas</vt:lpwstr>
      </vt:variant>
      <vt:variant>
        <vt:lpwstr/>
      </vt:variant>
      <vt:variant>
        <vt:i4>7274550</vt:i4>
      </vt:variant>
      <vt:variant>
        <vt:i4>93</vt:i4>
      </vt:variant>
      <vt:variant>
        <vt:i4>0</vt:i4>
      </vt:variant>
      <vt:variant>
        <vt:i4>5</vt:i4>
      </vt:variant>
      <vt:variant>
        <vt:lpwstr>https://www.hud.gov/sites/dfiles/PA/documents/HUD-NYCHA-Agreement013119.pdf</vt:lpwstr>
      </vt:variant>
      <vt:variant>
        <vt:lpwstr/>
      </vt:variant>
      <vt:variant>
        <vt:i4>7274550</vt:i4>
      </vt:variant>
      <vt:variant>
        <vt:i4>90</vt:i4>
      </vt:variant>
      <vt:variant>
        <vt:i4>0</vt:i4>
      </vt:variant>
      <vt:variant>
        <vt:i4>5</vt:i4>
      </vt:variant>
      <vt:variant>
        <vt:lpwstr>https://www.hud.gov/sites/dfiles/PA/documents/HUD-NYCHA-Agreement013119.pdf</vt:lpwstr>
      </vt:variant>
      <vt:variant>
        <vt:lpwstr/>
      </vt:variant>
      <vt:variant>
        <vt:i4>7274550</vt:i4>
      </vt:variant>
      <vt:variant>
        <vt:i4>87</vt:i4>
      </vt:variant>
      <vt:variant>
        <vt:i4>0</vt:i4>
      </vt:variant>
      <vt:variant>
        <vt:i4>5</vt:i4>
      </vt:variant>
      <vt:variant>
        <vt:lpwstr>https://www.hud.gov/sites/dfiles/PA/documents/HUD-NYCHA-Agreement013119.pdf</vt:lpwstr>
      </vt:variant>
      <vt:variant>
        <vt:lpwstr/>
      </vt:variant>
      <vt:variant>
        <vt:i4>3670113</vt:i4>
      </vt:variant>
      <vt:variant>
        <vt:i4>84</vt:i4>
      </vt:variant>
      <vt:variant>
        <vt:i4>0</vt:i4>
      </vt:variant>
      <vt:variant>
        <vt:i4>5</vt:i4>
      </vt:variant>
      <vt:variant>
        <vt:lpwstr>https://nychamonitor.com/wp-content/uploads/2019/07/NYCHA-First-Report-7.22.19.pdf</vt:lpwstr>
      </vt:variant>
      <vt:variant>
        <vt:lpwstr/>
      </vt:variant>
      <vt:variant>
        <vt:i4>2424880</vt:i4>
      </vt:variant>
      <vt:variant>
        <vt:i4>81</vt:i4>
      </vt:variant>
      <vt:variant>
        <vt:i4>0</vt:i4>
      </vt:variant>
      <vt:variant>
        <vt:i4>5</vt:i4>
      </vt:variant>
      <vt:variant>
        <vt:lpwstr>http://bronx.news12.com/story/40873970/seniors-at-mitchel-houses-struggle-with-elevator-security-issues</vt:lpwstr>
      </vt:variant>
      <vt:variant>
        <vt:lpwstr/>
      </vt:variant>
      <vt:variant>
        <vt:i4>3670113</vt:i4>
      </vt:variant>
      <vt:variant>
        <vt:i4>78</vt:i4>
      </vt:variant>
      <vt:variant>
        <vt:i4>0</vt:i4>
      </vt:variant>
      <vt:variant>
        <vt:i4>5</vt:i4>
      </vt:variant>
      <vt:variant>
        <vt:lpwstr>https://nychamonitor.com/wp-content/uploads/2019/07/NYCHA-First-Report-7.22.19.pdf</vt:lpwstr>
      </vt:variant>
      <vt:variant>
        <vt:lpwstr/>
      </vt:variant>
      <vt:variant>
        <vt:i4>720900</vt:i4>
      </vt:variant>
      <vt:variant>
        <vt:i4>75</vt:i4>
      </vt:variant>
      <vt:variant>
        <vt:i4>0</vt:i4>
      </vt:variant>
      <vt:variant>
        <vt:i4>5</vt:i4>
      </vt:variant>
      <vt:variant>
        <vt:lpwstr>https://nychamonitor.com/</vt:lpwstr>
      </vt:variant>
      <vt:variant>
        <vt:lpwstr/>
      </vt:variant>
      <vt:variant>
        <vt:i4>3539062</vt:i4>
      </vt:variant>
      <vt:variant>
        <vt:i4>72</vt:i4>
      </vt:variant>
      <vt:variant>
        <vt:i4>0</vt:i4>
      </vt:variant>
      <vt:variant>
        <vt:i4>5</vt:i4>
      </vt:variant>
      <vt:variant>
        <vt:lpwstr>https://www1.nyc.gov/site/nycha/residents/policies-and-procedures.page</vt:lpwstr>
      </vt:variant>
      <vt:variant>
        <vt:lpwstr/>
      </vt:variant>
      <vt:variant>
        <vt:i4>589847</vt:i4>
      </vt:variant>
      <vt:variant>
        <vt:i4>69</vt:i4>
      </vt:variant>
      <vt:variant>
        <vt:i4>0</vt:i4>
      </vt:variant>
      <vt:variant>
        <vt:i4>5</vt:i4>
      </vt:variant>
      <vt:variant>
        <vt:lpwstr>https://www1.nyc.gov/assets/nycha/downloads/pdf/NYCHA-Reasonable-Accomodation-At-A-Glance-en.pdf</vt:lpwstr>
      </vt:variant>
      <vt:variant>
        <vt:lpwstr/>
      </vt:variant>
      <vt:variant>
        <vt:i4>1441832</vt:i4>
      </vt:variant>
      <vt:variant>
        <vt:i4>66</vt:i4>
      </vt:variant>
      <vt:variant>
        <vt:i4>0</vt:i4>
      </vt:variant>
      <vt:variant>
        <vt:i4>5</vt:i4>
      </vt:variant>
      <vt:variant>
        <vt:lpwstr>https://www.hud.gov/program_offices/fair_housing_equal_opp/disabilities/sect504faq</vt:lpwstr>
      </vt:variant>
      <vt:variant>
        <vt:lpwstr>_Federally-Assisted_Non-Housing_Faci</vt:lpwstr>
      </vt:variant>
      <vt:variant>
        <vt:i4>983047</vt:i4>
      </vt:variant>
      <vt:variant>
        <vt:i4>63</vt:i4>
      </vt:variant>
      <vt:variant>
        <vt:i4>0</vt:i4>
      </vt:variant>
      <vt:variant>
        <vt:i4>5</vt:i4>
      </vt:variant>
      <vt:variant>
        <vt:lpwstr>https://adata.org/faq/what-are-major-life-activities</vt:lpwstr>
      </vt:variant>
      <vt:variant>
        <vt:lpwstr/>
      </vt:variant>
      <vt:variant>
        <vt:i4>2359421</vt:i4>
      </vt:variant>
      <vt:variant>
        <vt:i4>60</vt:i4>
      </vt:variant>
      <vt:variant>
        <vt:i4>0</vt:i4>
      </vt:variant>
      <vt:variant>
        <vt:i4>5</vt:i4>
      </vt:variant>
      <vt:variant>
        <vt:lpwstr>http://www.adainfo.org/content/more-title-v</vt:lpwstr>
      </vt:variant>
      <vt:variant>
        <vt:lpwstr/>
      </vt:variant>
      <vt:variant>
        <vt:i4>1114201</vt:i4>
      </vt:variant>
      <vt:variant>
        <vt:i4>57</vt:i4>
      </vt:variant>
      <vt:variant>
        <vt:i4>0</vt:i4>
      </vt:variant>
      <vt:variant>
        <vt:i4>5</vt:i4>
      </vt:variant>
      <vt:variant>
        <vt:lpwstr>https://www.eeoc.gov/laws/regulations/adaaa_fact_sheet.cfm</vt:lpwstr>
      </vt:variant>
      <vt:variant>
        <vt:lpwstr/>
      </vt:variant>
      <vt:variant>
        <vt:i4>6619197</vt:i4>
      </vt:variant>
      <vt:variant>
        <vt:i4>54</vt:i4>
      </vt:variant>
      <vt:variant>
        <vt:i4>0</vt:i4>
      </vt:variant>
      <vt:variant>
        <vt:i4>5</vt:i4>
      </vt:variant>
      <vt:variant>
        <vt:lpwstr>http://www.adainfo.org/sites/default/files/Pre-Conference-ADA-Overview-1-slide-per-page-handout.pdf</vt:lpwstr>
      </vt:variant>
      <vt:variant>
        <vt:lpwstr/>
      </vt:variant>
      <vt:variant>
        <vt:i4>393239</vt:i4>
      </vt:variant>
      <vt:variant>
        <vt:i4>51</vt:i4>
      </vt:variant>
      <vt:variant>
        <vt:i4>0</vt:i4>
      </vt:variant>
      <vt:variant>
        <vt:i4>5</vt:i4>
      </vt:variant>
      <vt:variant>
        <vt:lpwstr>http://www.eeoc.gov/eeoc/publications/fs-ada.cfm</vt:lpwstr>
      </vt:variant>
      <vt:variant>
        <vt:lpwstr/>
      </vt:variant>
      <vt:variant>
        <vt:i4>1048587</vt:i4>
      </vt:variant>
      <vt:variant>
        <vt:i4>48</vt:i4>
      </vt:variant>
      <vt:variant>
        <vt:i4>0</vt:i4>
      </vt:variant>
      <vt:variant>
        <vt:i4>5</vt:i4>
      </vt:variant>
      <vt:variant>
        <vt:lpwstr>https://abc7ny.com/society/nycha-fails-to-find-long-term-fix-for-malfunctioning-elevators-residents-complain/5447491/</vt:lpwstr>
      </vt:variant>
      <vt:variant>
        <vt:lpwstr/>
      </vt:variant>
      <vt:variant>
        <vt:i4>2424880</vt:i4>
      </vt:variant>
      <vt:variant>
        <vt:i4>45</vt:i4>
      </vt:variant>
      <vt:variant>
        <vt:i4>0</vt:i4>
      </vt:variant>
      <vt:variant>
        <vt:i4>5</vt:i4>
      </vt:variant>
      <vt:variant>
        <vt:lpwstr>http://bronx.news12.com/story/40873970/seniors-at-mitchel-houses-struggle-with-elevator-security-issues</vt:lpwstr>
      </vt:variant>
      <vt:variant>
        <vt:lpwstr/>
      </vt:variant>
      <vt:variant>
        <vt:i4>3473456</vt:i4>
      </vt:variant>
      <vt:variant>
        <vt:i4>42</vt:i4>
      </vt:variant>
      <vt:variant>
        <vt:i4>0</vt:i4>
      </vt:variant>
      <vt:variant>
        <vt:i4>5</vt:i4>
      </vt:variant>
      <vt:variant>
        <vt:lpwstr>https://nypost.com/2019/07/19/elderly-nycha-tenants-trapped-in-their-homes-for-13-days-because-of-elevator/</vt:lpwstr>
      </vt:variant>
      <vt:variant>
        <vt:lpwstr/>
      </vt:variant>
      <vt:variant>
        <vt:i4>5701661</vt:i4>
      </vt:variant>
      <vt:variant>
        <vt:i4>39</vt:i4>
      </vt:variant>
      <vt:variant>
        <vt:i4>0</vt:i4>
      </vt:variant>
      <vt:variant>
        <vt:i4>5</vt:i4>
      </vt:variant>
      <vt:variant>
        <vt:lpwstr>https://wcbs880.radio.com/articles/transformer-fire-nycha-building-leaves-residents-without-power</vt:lpwstr>
      </vt:variant>
      <vt:variant>
        <vt:lpwstr/>
      </vt:variant>
      <vt:variant>
        <vt:i4>4653162</vt:i4>
      </vt:variant>
      <vt:variant>
        <vt:i4>36</vt:i4>
      </vt:variant>
      <vt:variant>
        <vt:i4>0</vt:i4>
      </vt:variant>
      <vt:variant>
        <vt:i4>5</vt:i4>
      </vt:variant>
      <vt:variant>
        <vt:lpwstr>https://therealdeal.com/issues_articles/nycha-elevators/</vt:lpwstr>
      </vt:variant>
      <vt:variant>
        <vt:lpwstr/>
      </vt:variant>
      <vt:variant>
        <vt:i4>6029378</vt:i4>
      </vt:variant>
      <vt:variant>
        <vt:i4>33</vt:i4>
      </vt:variant>
      <vt:variant>
        <vt:i4>0</vt:i4>
      </vt:variant>
      <vt:variant>
        <vt:i4>5</vt:i4>
      </vt:variant>
      <vt:variant>
        <vt:lpwstr>https://www.justice.gov/usao-sdny/page/file/1074866/download</vt:lpwstr>
      </vt:variant>
      <vt:variant>
        <vt:lpwstr/>
      </vt:variant>
      <vt:variant>
        <vt:i4>7929960</vt:i4>
      </vt:variant>
      <vt:variant>
        <vt:i4>30</vt:i4>
      </vt:variant>
      <vt:variant>
        <vt:i4>0</vt:i4>
      </vt:variant>
      <vt:variant>
        <vt:i4>5</vt:i4>
      </vt:variant>
      <vt:variant>
        <vt:lpwstr>https://www.nydailynews.com/new-york/nycha-behind-wheelchair-accessibility-20-years-fed-deal-article-1.2959167</vt:lpwstr>
      </vt:variant>
      <vt:variant>
        <vt:lpwstr/>
      </vt:variant>
      <vt:variant>
        <vt:i4>3407948</vt:i4>
      </vt:variant>
      <vt:variant>
        <vt:i4>27</vt:i4>
      </vt:variant>
      <vt:variant>
        <vt:i4>0</vt:i4>
      </vt:variant>
      <vt:variant>
        <vt:i4>5</vt:i4>
      </vt:variant>
      <vt:variant>
        <vt:lpwstr>https://comptroller.nyc.gov/reports/aging-with-dignity-a-blueprint-for-serving-nycs-growing-senior-population/</vt:lpwstr>
      </vt:variant>
      <vt:variant>
        <vt:lpwstr>_ednref12</vt:lpwstr>
      </vt:variant>
      <vt:variant>
        <vt:i4>458824</vt:i4>
      </vt:variant>
      <vt:variant>
        <vt:i4>24</vt:i4>
      </vt:variant>
      <vt:variant>
        <vt:i4>0</vt:i4>
      </vt:variant>
      <vt:variant>
        <vt:i4>5</vt:i4>
      </vt:variant>
      <vt:variant>
        <vt:lpwstr>https://www1.nyc.gov/assets/nycha/downloads/pdf/NYCHA-Fact-Sheet_2019_08-01.pdf</vt:lpwstr>
      </vt:variant>
      <vt:variant>
        <vt:lpwstr/>
      </vt:variant>
      <vt:variant>
        <vt:i4>4653084</vt:i4>
      </vt:variant>
      <vt:variant>
        <vt:i4>21</vt:i4>
      </vt:variant>
      <vt:variant>
        <vt:i4>0</vt:i4>
      </vt:variant>
      <vt:variant>
        <vt:i4>5</vt:i4>
      </vt:variant>
      <vt:variant>
        <vt:lpwstr>https://www1.nyc.gov/assets/hpd/downloads/pdf/renter-resources/nyc-housing-opportunities-for-pwds-booklet.pdf</vt:lpwstr>
      </vt:variant>
      <vt:variant>
        <vt:lpwstr/>
      </vt:variant>
      <vt:variant>
        <vt:i4>524296</vt:i4>
      </vt:variant>
      <vt:variant>
        <vt:i4>18</vt:i4>
      </vt:variant>
      <vt:variant>
        <vt:i4>0</vt:i4>
      </vt:variant>
      <vt:variant>
        <vt:i4>5</vt:i4>
      </vt:variant>
      <vt:variant>
        <vt:lpwstr>https://www1.nyc.gov/assets/hpd/downloads/pdf/renter-resources/affordable-housing-guide-for-applicants-with-disabilities.pdf</vt:lpwstr>
      </vt:variant>
      <vt:variant>
        <vt:lpwstr/>
      </vt:variant>
      <vt:variant>
        <vt:i4>2621472</vt:i4>
      </vt:variant>
      <vt:variant>
        <vt:i4>15</vt:i4>
      </vt:variant>
      <vt:variant>
        <vt:i4>0</vt:i4>
      </vt:variant>
      <vt:variant>
        <vt:i4>5</vt:i4>
      </vt:variant>
      <vt:variant>
        <vt:lpwstr>https://www.cidny.org/wp-content/uploads/2017/07/CIDNY-ADA25-Many-_Bridges_to-Cross.pdf</vt:lpwstr>
      </vt:variant>
      <vt:variant>
        <vt:lpwstr/>
      </vt:variant>
      <vt:variant>
        <vt:i4>7274512</vt:i4>
      </vt:variant>
      <vt:variant>
        <vt:i4>12</vt:i4>
      </vt:variant>
      <vt:variant>
        <vt:i4>0</vt:i4>
      </vt:variant>
      <vt:variant>
        <vt:i4>5</vt:i4>
      </vt:variant>
      <vt:variant>
        <vt:lpwstr>https://www.hudexchange.info/resources/documents/2011AHAR_FinalReport.pdf</vt:lpwstr>
      </vt:variant>
      <vt:variant>
        <vt:lpwstr/>
      </vt:variant>
      <vt:variant>
        <vt:i4>6291574</vt:i4>
      </vt:variant>
      <vt:variant>
        <vt:i4>9</vt:i4>
      </vt:variant>
      <vt:variant>
        <vt:i4>0</vt:i4>
      </vt:variant>
      <vt:variant>
        <vt:i4>5</vt:i4>
      </vt:variant>
      <vt:variant>
        <vt:lpwstr>https://www1.nyc.gov/assets/mopd/downloads/pdf/accessible-nyc-2019.pdf</vt:lpwstr>
      </vt:variant>
      <vt:variant>
        <vt:lpwstr/>
      </vt:variant>
      <vt:variant>
        <vt:i4>917511</vt:i4>
      </vt:variant>
      <vt:variant>
        <vt:i4>6</vt:i4>
      </vt:variant>
      <vt:variant>
        <vt:i4>0</vt:i4>
      </vt:variant>
      <vt:variant>
        <vt:i4>5</vt:i4>
      </vt:variant>
      <vt:variant>
        <vt:lpwstr>https://www.citymetric.com/transport/new-york-subway-system-dangerously-inaccessible-4454</vt:lpwstr>
      </vt:variant>
      <vt:variant>
        <vt:lpwstr/>
      </vt:variant>
      <vt:variant>
        <vt:i4>6291574</vt:i4>
      </vt:variant>
      <vt:variant>
        <vt:i4>3</vt:i4>
      </vt:variant>
      <vt:variant>
        <vt:i4>0</vt:i4>
      </vt:variant>
      <vt:variant>
        <vt:i4>5</vt:i4>
      </vt:variant>
      <vt:variant>
        <vt:lpwstr>https://www1.nyc.gov/assets/mopd/downloads/pdf/accessible-nyc-2019.pdf</vt:lpwstr>
      </vt:variant>
      <vt:variant>
        <vt:lpwstr/>
      </vt:variant>
      <vt:variant>
        <vt:i4>5832776</vt:i4>
      </vt:variant>
      <vt:variant>
        <vt:i4>0</vt:i4>
      </vt:variant>
      <vt:variant>
        <vt:i4>0</vt:i4>
      </vt:variant>
      <vt:variant>
        <vt:i4>5</vt:i4>
      </vt:variant>
      <vt:variant>
        <vt:lpwstr>https://www.census.gov/content/dam/Census/library/publications/2018/demo/p70-152.pdf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Casie Addison</dc:creator>
  <cp:keywords/>
  <cp:lastModifiedBy>DelFranco, Ruthie</cp:lastModifiedBy>
  <cp:revision>2</cp:revision>
  <cp:lastPrinted>2018-02-26T16:44:00Z</cp:lastPrinted>
  <dcterms:created xsi:type="dcterms:W3CDTF">2019-09-04T18:03:00Z</dcterms:created>
  <dcterms:modified xsi:type="dcterms:W3CDTF">2019-09-04T18:03:00Z</dcterms:modified>
</cp:coreProperties>
</file>