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59" w:type="dxa"/>
        <w:jc w:val="center"/>
        <w:tblLook w:val="0600" w:firstRow="0" w:lastRow="0" w:firstColumn="0" w:lastColumn="0" w:noHBand="1" w:noVBand="1"/>
      </w:tblPr>
      <w:tblGrid>
        <w:gridCol w:w="6170"/>
        <w:gridCol w:w="5089"/>
      </w:tblGrid>
      <w:tr w:rsidR="00F44B67" w:rsidRPr="00012730" w:rsidTr="00271FB5">
        <w:trPr>
          <w:trHeight w:val="1657"/>
          <w:jc w:val="center"/>
        </w:trPr>
        <w:tc>
          <w:tcPr>
            <w:tcW w:w="6170" w:type="dxa"/>
            <w:tcBorders>
              <w:bottom w:val="single" w:sz="4" w:space="0" w:color="auto"/>
            </w:tcBorders>
          </w:tcPr>
          <w:p w:rsidR="00F44B67" w:rsidRPr="00012730" w:rsidRDefault="00F44B67" w:rsidP="00271FB5">
            <w:pPr>
              <w:pBdr>
                <w:top w:val="single" w:sz="6" w:space="0" w:color="FFFFFF"/>
                <w:left w:val="single" w:sz="6" w:space="0" w:color="FFFFFF"/>
                <w:bottom w:val="single" w:sz="6" w:space="0" w:color="FFFFFF"/>
                <w:right w:val="single" w:sz="6" w:space="0" w:color="FFFFFF"/>
              </w:pBdr>
              <w:jc w:val="center"/>
            </w:pPr>
            <w:bookmarkStart w:id="0" w:name="_GoBack"/>
            <w:bookmarkEnd w:id="0"/>
            <w:r w:rsidRPr="00012730">
              <w:rPr>
                <w:noProof/>
              </w:rPr>
              <w:drawing>
                <wp:inline distT="0" distB="0" distL="0" distR="0" wp14:anchorId="176865BD" wp14:editId="1B13B843">
                  <wp:extent cx="136207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1362075" cy="1247775"/>
                          </a:xfrm>
                          <a:prstGeom prst="rect">
                            <a:avLst/>
                          </a:prstGeom>
                          <a:noFill/>
                          <a:ln>
                            <a:noFill/>
                          </a:ln>
                        </pic:spPr>
                      </pic:pic>
                    </a:graphicData>
                  </a:graphic>
                </wp:inline>
              </w:drawing>
            </w:r>
          </w:p>
        </w:tc>
        <w:tc>
          <w:tcPr>
            <w:tcW w:w="5089" w:type="dxa"/>
            <w:tcBorders>
              <w:bottom w:val="single" w:sz="4" w:space="0" w:color="auto"/>
            </w:tcBorders>
          </w:tcPr>
          <w:p w:rsidR="00F44B67" w:rsidRDefault="00F44B67" w:rsidP="00271FB5">
            <w:pPr>
              <w:rPr>
                <w:b/>
                <w:bCs/>
                <w:smallCaps/>
              </w:rPr>
            </w:pPr>
            <w:r>
              <w:rPr>
                <w:b/>
                <w:bCs/>
                <w:smallCaps/>
              </w:rPr>
              <w:t>The Council of the City of New York</w:t>
            </w:r>
          </w:p>
          <w:p w:rsidR="00F44B67" w:rsidRDefault="00F44B67" w:rsidP="00271FB5">
            <w:pPr>
              <w:rPr>
                <w:b/>
                <w:bCs/>
                <w:smallCaps/>
              </w:rPr>
            </w:pPr>
            <w:r>
              <w:rPr>
                <w:b/>
                <w:bCs/>
                <w:smallCaps/>
              </w:rPr>
              <w:t>Finance Division</w:t>
            </w:r>
          </w:p>
          <w:p w:rsidR="00F44B67" w:rsidRDefault="00F44B67" w:rsidP="00271FB5">
            <w:pPr>
              <w:spacing w:before="120"/>
              <w:rPr>
                <w:b/>
                <w:bCs/>
                <w:smallCaps/>
              </w:rPr>
            </w:pPr>
            <w:r>
              <w:rPr>
                <w:b/>
                <w:bCs/>
                <w:smallCaps/>
              </w:rPr>
              <w:t>Latonia McKinney, Director</w:t>
            </w:r>
          </w:p>
          <w:p w:rsidR="00F44B67" w:rsidRDefault="00F44B67" w:rsidP="00271FB5">
            <w:pPr>
              <w:spacing w:before="120"/>
            </w:pPr>
            <w:r>
              <w:rPr>
                <w:b/>
                <w:bCs/>
                <w:smallCaps/>
              </w:rPr>
              <w:t>Fiscal Impact Statement</w:t>
            </w:r>
          </w:p>
          <w:p w:rsidR="00F44B67" w:rsidRPr="00ED74D9" w:rsidRDefault="00F44B67" w:rsidP="00271FB5">
            <w:pPr>
              <w:rPr>
                <w:b/>
                <w:bCs/>
                <w:sz w:val="16"/>
                <w:szCs w:val="16"/>
              </w:rPr>
            </w:pPr>
          </w:p>
          <w:p w:rsidR="00F44B67" w:rsidRDefault="00AB3AD1" w:rsidP="00271FB5">
            <w:pPr>
              <w:rPr>
                <w:b/>
                <w:bCs/>
              </w:rPr>
            </w:pPr>
            <w:r>
              <w:rPr>
                <w:b/>
                <w:bCs/>
                <w:smallCaps/>
              </w:rPr>
              <w:t xml:space="preserve">Proposed </w:t>
            </w:r>
            <w:r w:rsidR="00F44B67" w:rsidRPr="00EE2325">
              <w:rPr>
                <w:b/>
                <w:bCs/>
                <w:smallCaps/>
              </w:rPr>
              <w:t>Intro. No</w:t>
            </w:r>
            <w:r w:rsidR="00F44B67">
              <w:rPr>
                <w:b/>
                <w:bCs/>
              </w:rPr>
              <w:t xml:space="preserve">: </w:t>
            </w:r>
            <w:r w:rsidR="00F44B67" w:rsidRPr="00581C14">
              <w:rPr>
                <w:b/>
                <w:bCs/>
              </w:rPr>
              <w:t xml:space="preserve"> </w:t>
            </w:r>
            <w:r w:rsidR="004025D2">
              <w:rPr>
                <w:b/>
                <w:bCs/>
              </w:rPr>
              <w:t>1760</w:t>
            </w:r>
            <w:r>
              <w:rPr>
                <w:b/>
                <w:bCs/>
              </w:rPr>
              <w:t>-A</w:t>
            </w:r>
          </w:p>
          <w:p w:rsidR="00F44B67" w:rsidRPr="00A267C7" w:rsidRDefault="00F44B67" w:rsidP="00271FB5">
            <w:pPr>
              <w:rPr>
                <w:color w:val="FF0000"/>
                <w:sz w:val="16"/>
                <w:szCs w:val="16"/>
              </w:rPr>
            </w:pPr>
          </w:p>
          <w:p w:rsidR="00F44B67" w:rsidRPr="00A267C7" w:rsidRDefault="00F44B67" w:rsidP="00271FB5">
            <w:pPr>
              <w:tabs>
                <w:tab w:val="left" w:pos="-1440"/>
              </w:tabs>
              <w:ind w:left="1440" w:hanging="1440"/>
              <w:rPr>
                <w:color w:val="FF0000"/>
              </w:rPr>
            </w:pPr>
            <w:r>
              <w:rPr>
                <w:b/>
                <w:bCs/>
                <w:smallCaps/>
              </w:rPr>
              <w:t>Committee</w:t>
            </w:r>
            <w:r>
              <w:rPr>
                <w:b/>
                <w:bCs/>
              </w:rPr>
              <w:t>: Housing and Buildings</w:t>
            </w:r>
          </w:p>
        </w:tc>
      </w:tr>
      <w:tr w:rsidR="00F44B67" w:rsidRPr="00012730" w:rsidTr="00820957">
        <w:trPr>
          <w:trHeight w:val="1952"/>
          <w:jc w:val="center"/>
        </w:trPr>
        <w:tc>
          <w:tcPr>
            <w:tcW w:w="6170" w:type="dxa"/>
            <w:tcBorders>
              <w:top w:val="single" w:sz="4" w:space="0" w:color="auto"/>
            </w:tcBorders>
          </w:tcPr>
          <w:p w:rsidR="00F44B67" w:rsidRPr="0063076D" w:rsidRDefault="00F44B67" w:rsidP="00271FB5">
            <w:pPr>
              <w:autoSpaceDE w:val="0"/>
              <w:autoSpaceDN w:val="0"/>
              <w:adjustRightInd w:val="0"/>
              <w:rPr>
                <w:rFonts w:eastAsia="Calibri"/>
              </w:rPr>
            </w:pPr>
            <w:r w:rsidRPr="00012730">
              <w:rPr>
                <w:b/>
                <w:bCs/>
                <w:smallCaps/>
              </w:rPr>
              <w:t>Title:</w:t>
            </w:r>
            <w:r>
              <w:rPr>
                <w:bCs/>
              </w:rPr>
              <w:t xml:space="preserve"> </w:t>
            </w:r>
            <w:r w:rsidRPr="00BD56AF">
              <w:rPr>
                <w:rFonts w:eastAsia="Calibri"/>
              </w:rPr>
              <w:t>A Local Law</w:t>
            </w:r>
            <w:r>
              <w:rPr>
                <w:rFonts w:eastAsia="Calibri"/>
              </w:rPr>
              <w:t xml:space="preserve"> to</w:t>
            </w:r>
            <w:r w:rsidRPr="00BD56AF">
              <w:rPr>
                <w:rFonts w:eastAsia="Calibri"/>
              </w:rPr>
              <w:t xml:space="preserve"> </w:t>
            </w:r>
            <w:r w:rsidR="00406459">
              <w:rPr>
                <w:rFonts w:eastAsia="Calibri"/>
              </w:rPr>
              <w:t>amend the administrative code of the city of New York</w:t>
            </w:r>
            <w:r w:rsidR="00D07403">
              <w:rPr>
                <w:rFonts w:eastAsia="Calibri"/>
              </w:rPr>
              <w:t>,</w:t>
            </w:r>
            <w:r w:rsidR="00406459">
              <w:rPr>
                <w:rFonts w:eastAsia="Calibri"/>
              </w:rPr>
              <w:t xml:space="preserve"> in relation to tenant data privacy</w:t>
            </w:r>
          </w:p>
        </w:tc>
        <w:tc>
          <w:tcPr>
            <w:tcW w:w="5089" w:type="dxa"/>
            <w:tcBorders>
              <w:top w:val="single" w:sz="4" w:space="0" w:color="auto"/>
            </w:tcBorders>
          </w:tcPr>
          <w:p w:rsidR="00F44B67" w:rsidRPr="00820957" w:rsidRDefault="00F44B67" w:rsidP="00820957">
            <w:r>
              <w:rPr>
                <w:b/>
                <w:bCs/>
                <w:smallCaps/>
              </w:rPr>
              <w:t>Sponsors</w:t>
            </w:r>
            <w:r>
              <w:rPr>
                <w:b/>
                <w:bCs/>
              </w:rPr>
              <w:t xml:space="preserve">: </w:t>
            </w:r>
            <w:r w:rsidRPr="00F44B67">
              <w:t>Counci</w:t>
            </w:r>
            <w:r w:rsidR="00406459">
              <w:t>l Members Levine, Kallos, Rivera, Brannan, Cabrera, Rosenthal, Menchaca, Reynoso, Cornegy, Chin, Ampry-Samuel, Holden, Louis, Lander, Koo, Maisel, Rose, Ayala, Gibson, Grodenchik, Powers, Moya, Adams, Koslowitz, Salamanca, Levin</w:t>
            </w:r>
            <w:r w:rsidR="00B00655">
              <w:t xml:space="preserve">, and the </w:t>
            </w:r>
            <w:r w:rsidR="00406459">
              <w:t>Public Advocate</w:t>
            </w:r>
            <w:r w:rsidR="00B00655">
              <w:t xml:space="preserve"> (Mr. Williams</w:t>
            </w:r>
            <w:r w:rsidR="00406459">
              <w:t>)</w:t>
            </w:r>
          </w:p>
        </w:tc>
      </w:tr>
    </w:tbl>
    <w:p w:rsidR="00406459" w:rsidRDefault="00F44B67" w:rsidP="00406459">
      <w:pPr>
        <w:pBdr>
          <w:top w:val="single" w:sz="4" w:space="1" w:color="auto"/>
        </w:pBdr>
        <w:spacing w:before="100" w:beforeAutospacing="1"/>
      </w:pPr>
      <w:r>
        <w:rPr>
          <w:b/>
          <w:smallCaps/>
        </w:rPr>
        <w:t>Summary of Legislation:</w:t>
      </w:r>
      <w:r>
        <w:t xml:space="preserve"> </w:t>
      </w:r>
      <w:r w:rsidR="00C2319D">
        <w:t xml:space="preserve">Proposed </w:t>
      </w:r>
      <w:r w:rsidR="004D2DA7">
        <w:t>Intro. No. 1760-A</w:t>
      </w:r>
      <w:r w:rsidR="00406459">
        <w:t xml:space="preserve"> would require owners of multiple dwellings that utilize keyless entry systems, including but not limited to key fobs, biometric identifiers and electronic technologies, to provide tenants with a data retention and privacy policy. Th</w:t>
      </w:r>
      <w:r w:rsidR="004D2DA7">
        <w:t>e</w:t>
      </w:r>
      <w:r w:rsidR="00406459">
        <w:t xml:space="preserve"> bill would establish restrictions on the collection and use of data collected from such systems and from tenants’ usage of utilities and internet services, including, among other things, requiring consent from tenants and other users to use such information, restricting the sharing of such information with third parties, and requiring that any data collected be removed, anonymized, or destroyed within a given time. </w:t>
      </w:r>
      <w:r w:rsidR="00D00CD9">
        <w:t>Additionally, t</w:t>
      </w:r>
      <w:r w:rsidR="00406459">
        <w:t>h</w:t>
      </w:r>
      <w:r w:rsidR="00D00CD9">
        <w:t>e bill</w:t>
      </w:r>
      <w:r w:rsidR="00406459">
        <w:t xml:space="preserve"> would establish a private right of action for the unlawful sale of data collected through a keyless entry system covered by the bill. The Department of Housing Preservation and Development would be required to inform tenants and owners of multiple dwellings about the provisions of this law.</w:t>
      </w:r>
    </w:p>
    <w:p w:rsidR="00F44B67" w:rsidRPr="00012730" w:rsidRDefault="00F44B67" w:rsidP="00F44B67">
      <w:pPr>
        <w:pBdr>
          <w:top w:val="single" w:sz="4" w:space="1" w:color="auto"/>
        </w:pBdr>
      </w:pPr>
    </w:p>
    <w:p w:rsidR="00E4258A" w:rsidRPr="00A5189C" w:rsidRDefault="00F44B67" w:rsidP="00E4258A">
      <w:pPr>
        <w:pStyle w:val="NoSpacing"/>
        <w:spacing w:before="80"/>
      </w:pPr>
      <w:r w:rsidRPr="00012730">
        <w:rPr>
          <w:b/>
          <w:smallCaps/>
        </w:rPr>
        <w:t>Effective Date:</w:t>
      </w:r>
      <w:r>
        <w:t xml:space="preserve"> </w:t>
      </w:r>
      <w:r w:rsidRPr="00F44B67">
        <w:rPr>
          <w:bCs/>
        </w:rPr>
        <w:t>This local law</w:t>
      </w:r>
      <w:r>
        <w:rPr>
          <w:bCs/>
        </w:rPr>
        <w:t xml:space="preserve"> would take</w:t>
      </w:r>
      <w:r w:rsidRPr="00F44B67">
        <w:rPr>
          <w:bCs/>
        </w:rPr>
        <w:t xml:space="preserve"> effect </w:t>
      </w:r>
      <w:r w:rsidR="00E4258A">
        <w:t>60 days after it becomes law, except that owners are not liable for a violation of this law until January 1, 2023, in order to bring existing systems into compliance</w:t>
      </w:r>
      <w:r w:rsidR="00D07CCE">
        <w:t>.</w:t>
      </w:r>
    </w:p>
    <w:p w:rsidR="00F44B67" w:rsidRDefault="00F44B67" w:rsidP="00F44B67">
      <w:pPr>
        <w:pStyle w:val="FlushLeft"/>
        <w:rPr>
          <w:szCs w:val="24"/>
        </w:rPr>
      </w:pPr>
    </w:p>
    <w:p w:rsidR="00F44B67" w:rsidRPr="00012730" w:rsidRDefault="00F44B67" w:rsidP="00F44B67">
      <w:pPr>
        <w:pStyle w:val="FlushLeft"/>
      </w:pPr>
      <w:r w:rsidRPr="00012730">
        <w:rPr>
          <w:b/>
          <w:smallCaps/>
        </w:rPr>
        <w:t>Fiscal Year In Which Full Fiscal Impact Anticipated:</w:t>
      </w:r>
      <w:r w:rsidR="00E4258A">
        <w:t xml:space="preserve"> Fiscal 2022</w:t>
      </w:r>
    </w:p>
    <w:p w:rsidR="00F44B67" w:rsidRDefault="00F44B67" w:rsidP="00F44B67">
      <w:pPr>
        <w:pBdr>
          <w:top w:val="single" w:sz="4" w:space="1" w:color="auto"/>
        </w:pBdr>
        <w:spacing w:before="240"/>
        <w:rPr>
          <w:b/>
          <w:smallCaps/>
        </w:rPr>
      </w:pPr>
      <w:r w:rsidRPr="00012730">
        <w:rPr>
          <w:b/>
          <w:smallCaps/>
        </w:rPr>
        <w:t>Fiscal Impact Statement:</w:t>
      </w:r>
    </w:p>
    <w:p w:rsidR="00F44B67" w:rsidRPr="00012730" w:rsidRDefault="00F44B67" w:rsidP="00F44B67">
      <w:pPr>
        <w:pStyle w:val="NoSpacing"/>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F44B67" w:rsidRPr="00012730" w:rsidTr="00271FB5">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rsidR="00F44B67" w:rsidRPr="001A6C74" w:rsidRDefault="00F44B67" w:rsidP="00271FB5">
            <w:pPr>
              <w:spacing w:line="201" w:lineRule="exact"/>
              <w:jc w:val="center"/>
              <w:rPr>
                <w:sz w:val="22"/>
                <w:szCs w:val="22"/>
              </w:rPr>
            </w:pPr>
          </w:p>
          <w:p w:rsidR="00F44B67" w:rsidRPr="001A6C74" w:rsidRDefault="00F44B67" w:rsidP="00271FB5">
            <w:pPr>
              <w:jc w:val="center"/>
              <w:rPr>
                <w:b/>
                <w:bCs/>
                <w:sz w:val="22"/>
                <w:szCs w:val="22"/>
              </w:rPr>
            </w:pPr>
          </w:p>
        </w:tc>
        <w:tc>
          <w:tcPr>
            <w:tcW w:w="1754" w:type="dxa"/>
            <w:tcBorders>
              <w:top w:val="double" w:sz="7" w:space="0" w:color="000000"/>
              <w:left w:val="single" w:sz="7" w:space="0" w:color="000000"/>
              <w:bottom w:val="single" w:sz="6" w:space="0" w:color="FFFFFF"/>
              <w:right w:val="single" w:sz="6" w:space="0" w:color="FFFFFF"/>
            </w:tcBorders>
            <w:vAlign w:val="center"/>
          </w:tcPr>
          <w:p w:rsidR="00F44B67" w:rsidRPr="001A6C74" w:rsidRDefault="00E4258A" w:rsidP="00271FB5">
            <w:pPr>
              <w:jc w:val="center"/>
              <w:rPr>
                <w:b/>
                <w:bCs/>
                <w:sz w:val="22"/>
                <w:szCs w:val="22"/>
              </w:rPr>
            </w:pPr>
            <w:r>
              <w:rPr>
                <w:b/>
                <w:bCs/>
                <w:sz w:val="22"/>
                <w:szCs w:val="22"/>
              </w:rPr>
              <w:t>Effective FY21</w:t>
            </w:r>
          </w:p>
          <w:p w:rsidR="00F44B67" w:rsidRPr="001A6C74" w:rsidRDefault="00F44B67" w:rsidP="00271FB5">
            <w:pPr>
              <w:jc w:val="center"/>
              <w:rPr>
                <w:b/>
                <w:bCs/>
                <w:sz w:val="22"/>
                <w:szCs w:val="22"/>
              </w:rPr>
            </w:pPr>
          </w:p>
        </w:tc>
        <w:tc>
          <w:tcPr>
            <w:tcW w:w="1754" w:type="dxa"/>
            <w:tcBorders>
              <w:top w:val="double" w:sz="7" w:space="0" w:color="000000"/>
              <w:left w:val="single" w:sz="7" w:space="0" w:color="000000"/>
              <w:bottom w:val="single" w:sz="6" w:space="0" w:color="FFFFFF"/>
              <w:right w:val="single" w:sz="6" w:space="0" w:color="FFFFFF"/>
            </w:tcBorders>
            <w:vAlign w:val="center"/>
          </w:tcPr>
          <w:p w:rsidR="00F44B67" w:rsidRPr="001A6C74" w:rsidRDefault="00F44B67" w:rsidP="00F44B67">
            <w:pPr>
              <w:jc w:val="center"/>
              <w:rPr>
                <w:b/>
                <w:bCs/>
                <w:sz w:val="22"/>
                <w:szCs w:val="22"/>
              </w:rPr>
            </w:pPr>
            <w:r w:rsidRPr="001A6C74">
              <w:rPr>
                <w:b/>
                <w:bCs/>
                <w:sz w:val="22"/>
                <w:szCs w:val="22"/>
              </w:rPr>
              <w:t xml:space="preserve">FY Succeeding </w:t>
            </w:r>
            <w:r w:rsidR="00E4258A">
              <w:rPr>
                <w:b/>
                <w:bCs/>
                <w:sz w:val="22"/>
                <w:szCs w:val="22"/>
              </w:rPr>
              <w:t>Effective FY22</w:t>
            </w:r>
          </w:p>
        </w:tc>
        <w:tc>
          <w:tcPr>
            <w:tcW w:w="1754" w:type="dxa"/>
            <w:tcBorders>
              <w:top w:val="double" w:sz="7" w:space="0" w:color="000000"/>
              <w:left w:val="single" w:sz="7" w:space="0" w:color="000000"/>
              <w:bottom w:val="single" w:sz="6" w:space="0" w:color="FFFFFF"/>
              <w:right w:val="double" w:sz="7" w:space="0" w:color="000000"/>
            </w:tcBorders>
            <w:vAlign w:val="center"/>
          </w:tcPr>
          <w:p w:rsidR="00F44B67" w:rsidRPr="001A6C74" w:rsidRDefault="00F44B67" w:rsidP="00F44B67">
            <w:pPr>
              <w:jc w:val="center"/>
              <w:rPr>
                <w:b/>
                <w:bCs/>
                <w:sz w:val="22"/>
                <w:szCs w:val="22"/>
              </w:rPr>
            </w:pPr>
            <w:r w:rsidRPr="001A6C74">
              <w:rPr>
                <w:b/>
                <w:bCs/>
                <w:sz w:val="22"/>
                <w:szCs w:val="22"/>
              </w:rPr>
              <w:t xml:space="preserve">Full Fiscal </w:t>
            </w:r>
            <w:r w:rsidR="00E4258A">
              <w:rPr>
                <w:b/>
                <w:bCs/>
                <w:sz w:val="22"/>
                <w:szCs w:val="22"/>
              </w:rPr>
              <w:t>Impact FY22</w:t>
            </w:r>
          </w:p>
        </w:tc>
      </w:tr>
      <w:tr w:rsidR="00F44B67" w:rsidRPr="00012730" w:rsidTr="00271FB5">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rsidR="00F44B67" w:rsidRPr="001A6C74" w:rsidRDefault="00F44B67" w:rsidP="00271FB5">
            <w:pPr>
              <w:jc w:val="center"/>
              <w:rPr>
                <w:b/>
                <w:bCs/>
                <w:sz w:val="22"/>
                <w:szCs w:val="22"/>
              </w:rPr>
            </w:pPr>
            <w:r w:rsidRPr="001A6C74">
              <w:rPr>
                <w:b/>
                <w:bCs/>
                <w:sz w:val="22"/>
                <w:szCs w:val="22"/>
              </w:rPr>
              <w:t>Revenues</w:t>
            </w:r>
          </w:p>
        </w:tc>
        <w:tc>
          <w:tcPr>
            <w:tcW w:w="1754" w:type="dxa"/>
            <w:tcBorders>
              <w:top w:val="single" w:sz="7" w:space="0" w:color="000000"/>
              <w:left w:val="single" w:sz="7" w:space="0" w:color="000000"/>
              <w:bottom w:val="single" w:sz="6" w:space="0" w:color="FFFFFF"/>
              <w:right w:val="single" w:sz="6" w:space="0" w:color="FFFFFF"/>
            </w:tcBorders>
            <w:vAlign w:val="center"/>
          </w:tcPr>
          <w:p w:rsidR="00F44B67" w:rsidRPr="001A6C74" w:rsidRDefault="00F44B67" w:rsidP="00271FB5">
            <w:pPr>
              <w:jc w:val="center"/>
              <w:rPr>
                <w:bCs/>
                <w:sz w:val="22"/>
                <w:szCs w:val="22"/>
              </w:rPr>
            </w:pPr>
            <w:r w:rsidRPr="001A6C74">
              <w:rPr>
                <w:bCs/>
                <w:sz w:val="22"/>
                <w:szCs w:val="22"/>
              </w:rPr>
              <w:t>$0</w:t>
            </w:r>
          </w:p>
        </w:tc>
        <w:tc>
          <w:tcPr>
            <w:tcW w:w="1754" w:type="dxa"/>
            <w:tcBorders>
              <w:top w:val="single" w:sz="7" w:space="0" w:color="000000"/>
              <w:left w:val="single" w:sz="7" w:space="0" w:color="000000"/>
              <w:bottom w:val="single" w:sz="6" w:space="0" w:color="FFFFFF"/>
              <w:right w:val="single" w:sz="6" w:space="0" w:color="FFFFFF"/>
            </w:tcBorders>
            <w:vAlign w:val="center"/>
          </w:tcPr>
          <w:p w:rsidR="00F44B67" w:rsidRPr="001A6C74" w:rsidRDefault="00F44B67" w:rsidP="00271FB5">
            <w:pPr>
              <w:jc w:val="center"/>
              <w:rPr>
                <w:bCs/>
                <w:sz w:val="22"/>
                <w:szCs w:val="22"/>
              </w:rPr>
            </w:pPr>
            <w:r w:rsidRPr="001A6C74">
              <w:rPr>
                <w:bCs/>
                <w:sz w:val="22"/>
                <w:szCs w:val="22"/>
              </w:rPr>
              <w:t>$0</w:t>
            </w:r>
          </w:p>
        </w:tc>
        <w:tc>
          <w:tcPr>
            <w:tcW w:w="1754" w:type="dxa"/>
            <w:tcBorders>
              <w:top w:val="single" w:sz="7" w:space="0" w:color="000000"/>
              <w:left w:val="single" w:sz="7" w:space="0" w:color="000000"/>
              <w:bottom w:val="single" w:sz="6" w:space="0" w:color="FFFFFF"/>
              <w:right w:val="double" w:sz="7" w:space="0" w:color="000000"/>
            </w:tcBorders>
            <w:vAlign w:val="center"/>
          </w:tcPr>
          <w:p w:rsidR="00F44B67" w:rsidRPr="001A6C74" w:rsidRDefault="00F44B67" w:rsidP="00271FB5">
            <w:pPr>
              <w:jc w:val="center"/>
              <w:rPr>
                <w:bCs/>
                <w:sz w:val="22"/>
                <w:szCs w:val="22"/>
              </w:rPr>
            </w:pPr>
            <w:r w:rsidRPr="001A6C74">
              <w:rPr>
                <w:bCs/>
                <w:sz w:val="22"/>
                <w:szCs w:val="22"/>
              </w:rPr>
              <w:t>$0</w:t>
            </w:r>
          </w:p>
        </w:tc>
      </w:tr>
      <w:tr w:rsidR="00F44B67" w:rsidRPr="00012730" w:rsidTr="00271FB5">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rsidR="00F44B67" w:rsidRPr="001A6C74" w:rsidRDefault="00F44B67" w:rsidP="00271FB5">
            <w:pPr>
              <w:jc w:val="center"/>
              <w:rPr>
                <w:b/>
                <w:bCs/>
                <w:sz w:val="22"/>
                <w:szCs w:val="22"/>
              </w:rPr>
            </w:pPr>
            <w:r w:rsidRPr="001A6C74">
              <w:rPr>
                <w:b/>
                <w:bCs/>
                <w:sz w:val="22"/>
                <w:szCs w:val="22"/>
              </w:rPr>
              <w:t>Expenditures</w:t>
            </w:r>
          </w:p>
        </w:tc>
        <w:tc>
          <w:tcPr>
            <w:tcW w:w="1754" w:type="dxa"/>
            <w:tcBorders>
              <w:top w:val="single" w:sz="7" w:space="0" w:color="000000"/>
              <w:left w:val="single" w:sz="7" w:space="0" w:color="000000"/>
              <w:bottom w:val="single" w:sz="6" w:space="0" w:color="FFFFFF"/>
              <w:right w:val="single" w:sz="6" w:space="0" w:color="FFFFFF"/>
            </w:tcBorders>
            <w:vAlign w:val="center"/>
          </w:tcPr>
          <w:p w:rsidR="00F44B67" w:rsidRPr="001A6C74" w:rsidRDefault="00F44B67" w:rsidP="00271FB5">
            <w:pPr>
              <w:jc w:val="center"/>
              <w:rPr>
                <w:bCs/>
                <w:sz w:val="22"/>
                <w:szCs w:val="22"/>
              </w:rPr>
            </w:pPr>
            <w:r w:rsidRPr="001A6C74">
              <w:rPr>
                <w:bCs/>
                <w:sz w:val="22"/>
                <w:szCs w:val="22"/>
              </w:rPr>
              <w:t>$0</w:t>
            </w:r>
          </w:p>
        </w:tc>
        <w:tc>
          <w:tcPr>
            <w:tcW w:w="1754" w:type="dxa"/>
            <w:tcBorders>
              <w:top w:val="single" w:sz="7" w:space="0" w:color="000000"/>
              <w:left w:val="single" w:sz="7" w:space="0" w:color="000000"/>
              <w:bottom w:val="single" w:sz="6" w:space="0" w:color="FFFFFF"/>
              <w:right w:val="single" w:sz="6" w:space="0" w:color="FFFFFF"/>
            </w:tcBorders>
            <w:vAlign w:val="center"/>
          </w:tcPr>
          <w:p w:rsidR="00F44B67" w:rsidRPr="001A6C74" w:rsidRDefault="00F44B67" w:rsidP="00271FB5">
            <w:pPr>
              <w:jc w:val="center"/>
              <w:rPr>
                <w:bCs/>
                <w:sz w:val="22"/>
                <w:szCs w:val="22"/>
              </w:rPr>
            </w:pPr>
            <w:r w:rsidRPr="001A6C74">
              <w:rPr>
                <w:bCs/>
                <w:sz w:val="22"/>
                <w:szCs w:val="22"/>
              </w:rPr>
              <w:t>$0</w:t>
            </w:r>
          </w:p>
        </w:tc>
        <w:tc>
          <w:tcPr>
            <w:tcW w:w="1754" w:type="dxa"/>
            <w:tcBorders>
              <w:top w:val="single" w:sz="7" w:space="0" w:color="000000"/>
              <w:left w:val="single" w:sz="7" w:space="0" w:color="000000"/>
              <w:bottom w:val="single" w:sz="6" w:space="0" w:color="FFFFFF"/>
              <w:right w:val="double" w:sz="7" w:space="0" w:color="000000"/>
            </w:tcBorders>
            <w:vAlign w:val="center"/>
          </w:tcPr>
          <w:p w:rsidR="00F44B67" w:rsidRPr="001A6C74" w:rsidRDefault="00F44B67" w:rsidP="00271FB5">
            <w:pPr>
              <w:jc w:val="center"/>
              <w:rPr>
                <w:bCs/>
                <w:sz w:val="22"/>
                <w:szCs w:val="22"/>
              </w:rPr>
            </w:pPr>
            <w:r w:rsidRPr="001A6C74">
              <w:rPr>
                <w:bCs/>
                <w:sz w:val="22"/>
                <w:szCs w:val="22"/>
              </w:rPr>
              <w:t>$0</w:t>
            </w:r>
          </w:p>
        </w:tc>
      </w:tr>
      <w:tr w:rsidR="00F44B67" w:rsidRPr="00012730" w:rsidTr="00271FB5">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rsidR="00F44B67" w:rsidRPr="001A6C74" w:rsidRDefault="00F44B67" w:rsidP="00271FB5">
            <w:pPr>
              <w:spacing w:after="58"/>
              <w:jc w:val="center"/>
              <w:rPr>
                <w:b/>
                <w:bCs/>
                <w:sz w:val="22"/>
                <w:szCs w:val="22"/>
              </w:rPr>
            </w:pPr>
            <w:r w:rsidRPr="001A6C74">
              <w:rPr>
                <w:b/>
                <w:bCs/>
                <w:sz w:val="22"/>
                <w:szCs w:val="22"/>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rsidR="00F44B67" w:rsidRPr="001A6C74" w:rsidRDefault="00F44B67" w:rsidP="00271FB5">
            <w:pPr>
              <w:jc w:val="center"/>
              <w:rPr>
                <w:bCs/>
                <w:sz w:val="22"/>
                <w:szCs w:val="22"/>
              </w:rPr>
            </w:pPr>
            <w:r w:rsidRPr="001A6C74">
              <w:rPr>
                <w:bCs/>
                <w:sz w:val="22"/>
                <w:szCs w:val="22"/>
              </w:rPr>
              <w:t>$0</w:t>
            </w:r>
          </w:p>
        </w:tc>
        <w:tc>
          <w:tcPr>
            <w:tcW w:w="1754" w:type="dxa"/>
            <w:tcBorders>
              <w:top w:val="single" w:sz="7" w:space="0" w:color="000000"/>
              <w:left w:val="single" w:sz="7" w:space="0" w:color="000000"/>
              <w:bottom w:val="single" w:sz="7" w:space="0" w:color="000000"/>
              <w:right w:val="single" w:sz="6" w:space="0" w:color="FFFFFF"/>
            </w:tcBorders>
            <w:vAlign w:val="center"/>
          </w:tcPr>
          <w:p w:rsidR="00F44B67" w:rsidRPr="001A6C74" w:rsidRDefault="00F44B67" w:rsidP="00271FB5">
            <w:pPr>
              <w:jc w:val="center"/>
              <w:rPr>
                <w:bCs/>
                <w:sz w:val="22"/>
                <w:szCs w:val="22"/>
              </w:rPr>
            </w:pPr>
            <w:r w:rsidRPr="001A6C74">
              <w:rPr>
                <w:bCs/>
                <w:sz w:val="22"/>
                <w:szCs w:val="22"/>
              </w:rPr>
              <w:t>$0</w:t>
            </w:r>
          </w:p>
        </w:tc>
        <w:tc>
          <w:tcPr>
            <w:tcW w:w="1754" w:type="dxa"/>
            <w:tcBorders>
              <w:top w:val="single" w:sz="7" w:space="0" w:color="000000"/>
              <w:left w:val="single" w:sz="7" w:space="0" w:color="000000"/>
              <w:bottom w:val="single" w:sz="7" w:space="0" w:color="000000"/>
              <w:right w:val="double" w:sz="7" w:space="0" w:color="000000"/>
            </w:tcBorders>
            <w:vAlign w:val="center"/>
          </w:tcPr>
          <w:p w:rsidR="00F44B67" w:rsidRPr="001A6C74" w:rsidRDefault="00F44B67" w:rsidP="00271FB5">
            <w:pPr>
              <w:jc w:val="center"/>
              <w:rPr>
                <w:bCs/>
                <w:sz w:val="22"/>
                <w:szCs w:val="22"/>
              </w:rPr>
            </w:pPr>
            <w:r w:rsidRPr="001A6C74">
              <w:rPr>
                <w:bCs/>
                <w:sz w:val="22"/>
                <w:szCs w:val="22"/>
              </w:rPr>
              <w:t>$0</w:t>
            </w:r>
          </w:p>
        </w:tc>
      </w:tr>
    </w:tbl>
    <w:p w:rsidR="00F44B67" w:rsidRPr="00012730" w:rsidRDefault="00F44B67" w:rsidP="00F44B67">
      <w:pPr>
        <w:spacing w:before="120"/>
      </w:pPr>
    </w:p>
    <w:p w:rsidR="00F44B67" w:rsidRPr="00EF1225" w:rsidRDefault="00F44B67" w:rsidP="00F44B67">
      <w:pPr>
        <w:jc w:val="left"/>
      </w:pPr>
      <w:r w:rsidRPr="00012730">
        <w:rPr>
          <w:b/>
          <w:smallCaps/>
        </w:rPr>
        <w:t xml:space="preserve">Impact on Revenues: </w:t>
      </w:r>
      <w:r>
        <w:rPr>
          <w:b/>
          <w:smallCaps/>
        </w:rPr>
        <w:t xml:space="preserve"> </w:t>
      </w:r>
      <w:r w:rsidRPr="00BD56AF">
        <w:t>It is estimated that there would be no impact on revenues resulting from th</w:t>
      </w:r>
      <w:r w:rsidR="00612EDB">
        <w:t xml:space="preserve">e enactment of this legislation because full compliance with the legislation is anticipated.  </w:t>
      </w:r>
    </w:p>
    <w:p w:rsidR="00F44B67" w:rsidRDefault="00F44B67" w:rsidP="00F44B67">
      <w:pPr>
        <w:spacing w:before="240"/>
        <w:jc w:val="left"/>
      </w:pPr>
      <w:r w:rsidRPr="00012730">
        <w:rPr>
          <w:b/>
          <w:smallCaps/>
        </w:rPr>
        <w:t>Impact on Expenditures:</w:t>
      </w:r>
      <w:r>
        <w:t xml:space="preserve"> </w:t>
      </w:r>
      <w:r w:rsidR="00612EDB" w:rsidRPr="00612EDB">
        <w:t>It is anticipated</w:t>
      </w:r>
      <w:r w:rsidR="00E4258A">
        <w:t xml:space="preserve"> that </w:t>
      </w:r>
      <w:r w:rsidR="00612EDB" w:rsidRPr="00612EDB">
        <w:t xml:space="preserve">no impact on expenditures resulting from the enactment of this legislation. </w:t>
      </w:r>
    </w:p>
    <w:p w:rsidR="00F44B67" w:rsidRDefault="00F44B67" w:rsidP="00F44B67">
      <w:pPr>
        <w:spacing w:before="240"/>
      </w:pPr>
      <w:r w:rsidRPr="00012730">
        <w:rPr>
          <w:b/>
          <w:smallCaps/>
        </w:rPr>
        <w:t>Source of Funds To Cover Estimated Costs:</w:t>
      </w:r>
      <w:r>
        <w:t xml:space="preserve"> Not applicable. </w:t>
      </w:r>
    </w:p>
    <w:p w:rsidR="00F44B67" w:rsidRDefault="00F44B67" w:rsidP="00F44B67">
      <w:pPr>
        <w:pStyle w:val="NoSpacing"/>
        <w:rPr>
          <w:b/>
          <w:smallCaps/>
        </w:rPr>
      </w:pPr>
    </w:p>
    <w:p w:rsidR="004E0E30" w:rsidRDefault="00F44B67" w:rsidP="00F44B67">
      <w:pPr>
        <w:pStyle w:val="NoSpacing"/>
      </w:pPr>
      <w:r w:rsidRPr="00012730">
        <w:rPr>
          <w:b/>
          <w:smallCaps/>
        </w:rPr>
        <w:t>Source of Information</w:t>
      </w:r>
      <w:r w:rsidRPr="00010BF6">
        <w:rPr>
          <w:b/>
          <w:smallCaps/>
        </w:rPr>
        <w:t>:</w:t>
      </w:r>
      <w:r w:rsidRPr="00010BF6">
        <w:t xml:space="preserve"> </w:t>
      </w:r>
      <w:r>
        <w:t xml:space="preserve"> </w:t>
      </w:r>
      <w:r w:rsidRPr="00BD56AF">
        <w:t>New York City Council Finance Division</w:t>
      </w:r>
    </w:p>
    <w:p w:rsidR="00F44B67" w:rsidRDefault="004E0E30" w:rsidP="00F44B67">
      <w:pPr>
        <w:pStyle w:val="NoSpacing"/>
      </w:pPr>
      <w:r>
        <w:lastRenderedPageBreak/>
        <w:tab/>
      </w:r>
      <w:r>
        <w:tab/>
      </w:r>
      <w:r>
        <w:tab/>
      </w:r>
      <w:r w:rsidR="00820957">
        <w:t xml:space="preserve">           </w:t>
      </w:r>
      <w:r>
        <w:t>Mayor’s Office of City Legislative Affairs</w:t>
      </w:r>
      <w:r w:rsidR="00F44B67" w:rsidRPr="00BD56AF">
        <w:tab/>
      </w:r>
    </w:p>
    <w:p w:rsidR="00F44B67" w:rsidRDefault="00F44B67" w:rsidP="00F44B67">
      <w:pPr>
        <w:pStyle w:val="NoSpacing"/>
        <w:rPr>
          <w:b/>
          <w:color w:val="FF0000"/>
        </w:rPr>
      </w:pPr>
      <w:r>
        <w:t xml:space="preserve"> </w:t>
      </w:r>
      <w:r>
        <w:tab/>
      </w:r>
      <w:r>
        <w:tab/>
      </w:r>
      <w:r>
        <w:tab/>
      </w:r>
      <w:r w:rsidRPr="000B41A6">
        <w:rPr>
          <w:b/>
          <w:color w:val="FF0000"/>
        </w:rPr>
        <w:t xml:space="preserve">         </w:t>
      </w:r>
    </w:p>
    <w:p w:rsidR="00F44B67" w:rsidRPr="00012730" w:rsidRDefault="00F44B67" w:rsidP="00F44B67">
      <w:pPr>
        <w:pStyle w:val="NoSpacing"/>
      </w:pPr>
      <w:r w:rsidRPr="00012730">
        <w:rPr>
          <w:b/>
          <w:smallCaps/>
        </w:rPr>
        <w:t xml:space="preserve">Estimate Prepared </w:t>
      </w:r>
      <w:r>
        <w:rPr>
          <w:b/>
          <w:smallCaps/>
        </w:rPr>
        <w:t>b</w:t>
      </w:r>
      <w:r w:rsidRPr="00012730">
        <w:rPr>
          <w:b/>
          <w:smallCaps/>
        </w:rPr>
        <w:t>y:</w:t>
      </w:r>
      <w:r w:rsidRPr="00012730">
        <w:rPr>
          <w:b/>
          <w:smallCaps/>
        </w:rPr>
        <w:tab/>
      </w:r>
      <w:r w:rsidR="00E4258A">
        <w:t xml:space="preserve">Luke Zangerle, </w:t>
      </w:r>
      <w:r>
        <w:t xml:space="preserve">Legislative Financial Analyst </w:t>
      </w:r>
    </w:p>
    <w:p w:rsidR="00F44B67" w:rsidRPr="00012730" w:rsidRDefault="00F44B67" w:rsidP="00F44B67">
      <w:r w:rsidRPr="00012730">
        <w:rPr>
          <w:b/>
          <w:smallCaps/>
        </w:rPr>
        <w:tab/>
      </w:r>
      <w:r w:rsidRPr="00012730">
        <w:rPr>
          <w:b/>
          <w:smallCaps/>
        </w:rPr>
        <w:tab/>
      </w:r>
      <w:r w:rsidRPr="00012730">
        <w:rPr>
          <w:b/>
          <w:smallCaps/>
        </w:rPr>
        <w:tab/>
      </w:r>
      <w:r w:rsidRPr="00012730">
        <w:rPr>
          <w:b/>
          <w:smallCaps/>
        </w:rPr>
        <w:tab/>
      </w:r>
      <w:r w:rsidRPr="00012730">
        <w:rPr>
          <w:b/>
          <w:smallCaps/>
        </w:rPr>
        <w:tab/>
      </w:r>
    </w:p>
    <w:p w:rsidR="00F44B67" w:rsidRDefault="00F44B67" w:rsidP="00F44B67">
      <w:r w:rsidRPr="00012730">
        <w:rPr>
          <w:b/>
          <w:smallCaps/>
        </w:rPr>
        <w:t xml:space="preserve">Estimated Reviewed </w:t>
      </w:r>
      <w:r>
        <w:rPr>
          <w:b/>
          <w:smallCaps/>
        </w:rPr>
        <w:t>b</w:t>
      </w:r>
      <w:r w:rsidRPr="00012730">
        <w:rPr>
          <w:b/>
          <w:smallCaps/>
        </w:rPr>
        <w:t>y:</w:t>
      </w:r>
      <w:r w:rsidRPr="00012730">
        <w:rPr>
          <w:b/>
          <w:smallCaps/>
        </w:rPr>
        <w:tab/>
      </w:r>
      <w:r>
        <w:t>Chima Obichere</w:t>
      </w:r>
      <w:r w:rsidRPr="00012730">
        <w:t xml:space="preserve">, </w:t>
      </w:r>
      <w:r>
        <w:t xml:space="preserve">Unit Head </w:t>
      </w:r>
    </w:p>
    <w:p w:rsidR="00E07E53" w:rsidRDefault="00F44B67" w:rsidP="00E4258A">
      <w:pPr>
        <w:rPr>
          <w:b/>
          <w:smallCaps/>
        </w:rPr>
      </w:pPr>
      <w:r>
        <w:tab/>
      </w:r>
      <w:r>
        <w:tab/>
      </w:r>
      <w:r>
        <w:tab/>
      </w:r>
      <w:r>
        <w:tab/>
      </w:r>
      <w:r w:rsidR="00D07403">
        <w:t>Stephanie Ruiz</w:t>
      </w:r>
      <w:r w:rsidR="00E4258A">
        <w:t xml:space="preserve">, </w:t>
      </w:r>
      <w:r w:rsidR="00D07403">
        <w:t xml:space="preserve">Assistant </w:t>
      </w:r>
      <w:r w:rsidR="00E4258A">
        <w:t xml:space="preserve">Counsel </w:t>
      </w:r>
    </w:p>
    <w:p w:rsidR="00E04F49" w:rsidRDefault="00E04F49" w:rsidP="00F44B67">
      <w:pPr>
        <w:rPr>
          <w:b/>
          <w:smallCaps/>
        </w:rPr>
      </w:pPr>
    </w:p>
    <w:p w:rsidR="00F44B67" w:rsidRPr="00CC7A88" w:rsidRDefault="00F44B67" w:rsidP="00F44B67">
      <w:r w:rsidRPr="00012730">
        <w:rPr>
          <w:b/>
          <w:smallCaps/>
        </w:rPr>
        <w:t>Legislative History:</w:t>
      </w:r>
      <w:r>
        <w:t xml:space="preserve"> </w:t>
      </w:r>
      <w:r w:rsidRPr="00CE66C1">
        <w:t xml:space="preserve">This legislation was introduced to the full </w:t>
      </w:r>
      <w:r>
        <w:t>C</w:t>
      </w:r>
      <w:r w:rsidRPr="00CE66C1">
        <w:t>ouncil on</w:t>
      </w:r>
      <w:r w:rsidR="00E4258A">
        <w:t xml:space="preserve"> October 17, 2019</w:t>
      </w:r>
      <w:r>
        <w:t xml:space="preserve"> </w:t>
      </w:r>
      <w:r w:rsidRPr="00CE66C1">
        <w:t>as Intro.</w:t>
      </w:r>
      <w:r>
        <w:t xml:space="preserve"> No.</w:t>
      </w:r>
      <w:r w:rsidRPr="00CE66C1">
        <w:t xml:space="preserve"> </w:t>
      </w:r>
      <w:r w:rsidR="00E4258A">
        <w:t>1760</w:t>
      </w:r>
      <w:r>
        <w:t xml:space="preserve"> </w:t>
      </w:r>
      <w:r w:rsidRPr="00CE66C1">
        <w:t>and was referred to the Committee on Housing and Buildings</w:t>
      </w:r>
      <w:r w:rsidR="00B00655">
        <w:t xml:space="preserve"> (“Committee”)</w:t>
      </w:r>
      <w:r w:rsidRPr="00CE66C1">
        <w:t xml:space="preserve">. </w:t>
      </w:r>
      <w:r w:rsidRPr="00CC7A88">
        <w:t>A</w:t>
      </w:r>
      <w:r w:rsidR="00537748">
        <w:t xml:space="preserve"> hearing was held </w:t>
      </w:r>
      <w:r w:rsidR="00B00655">
        <w:t xml:space="preserve">by the Committee </w:t>
      </w:r>
      <w:r w:rsidR="0010134B" w:rsidRPr="00CC7A88">
        <w:t xml:space="preserve">on </w:t>
      </w:r>
      <w:r w:rsidR="0010134B">
        <w:t xml:space="preserve">October 21, 2020 </w:t>
      </w:r>
      <w:r w:rsidR="00537748">
        <w:t xml:space="preserve">jointly </w:t>
      </w:r>
      <w:r w:rsidR="00B00655">
        <w:t>with</w:t>
      </w:r>
      <w:r w:rsidR="00537748">
        <w:t xml:space="preserve"> the Committee on Public Housing, the Committee on Criminal Justice, the Committee on Justice System, and the Committee on General Welfare</w:t>
      </w:r>
      <w:r w:rsidR="0010134B">
        <w:t xml:space="preserve">, </w:t>
      </w:r>
      <w:r w:rsidRPr="00CC7A88">
        <w:t>and the bill was laid over. The legislation was</w:t>
      </w:r>
      <w:r>
        <w:t xml:space="preserve"> subsequently</w:t>
      </w:r>
      <w:r w:rsidRPr="00CC7A88">
        <w:t xml:space="preserve"> amended, and the amended version, Proposed Intro. </w:t>
      </w:r>
      <w:r w:rsidR="00B00655">
        <w:t xml:space="preserve">No. </w:t>
      </w:r>
      <w:r w:rsidR="00537748">
        <w:t>1760</w:t>
      </w:r>
      <w:r w:rsidRPr="00CC7A88">
        <w:t xml:space="preserve">-A, will be considered by the Committee on </w:t>
      </w:r>
      <w:r w:rsidR="00537748">
        <w:t>April 29, 2021</w:t>
      </w:r>
      <w:r>
        <w:t xml:space="preserve">. </w:t>
      </w:r>
      <w:r w:rsidRPr="00CC7A88">
        <w:t xml:space="preserve">Following a successful Committee vote, the bill </w:t>
      </w:r>
      <w:r w:rsidR="00537748">
        <w:t>would</w:t>
      </w:r>
      <w:r w:rsidRPr="00CC7A88">
        <w:t xml:space="preserve"> be submitted to the full Council for a vote on </w:t>
      </w:r>
      <w:r w:rsidR="00537748">
        <w:t>April 29, 2021</w:t>
      </w:r>
      <w:r w:rsidRPr="00CC7A88">
        <w:t>.</w:t>
      </w:r>
    </w:p>
    <w:p w:rsidR="00F44B67" w:rsidRDefault="00F44B67" w:rsidP="00F44B67"/>
    <w:p w:rsidR="00F44B67" w:rsidRDefault="00F44B67" w:rsidP="00F44B67">
      <w:r>
        <w:rPr>
          <w:b/>
          <w:smallCaps/>
        </w:rPr>
        <w:t>Date</w:t>
      </w:r>
      <w:r w:rsidRPr="00012730">
        <w:rPr>
          <w:b/>
          <w:smallCaps/>
        </w:rPr>
        <w:t xml:space="preserve"> Prepared</w:t>
      </w:r>
      <w:r>
        <w:rPr>
          <w:b/>
          <w:smallCaps/>
        </w:rPr>
        <w:t>:</w:t>
      </w:r>
      <w:r w:rsidRPr="00685FE7">
        <w:t xml:space="preserve"> </w:t>
      </w:r>
      <w:r w:rsidR="00537748">
        <w:t>April 27, 2021</w:t>
      </w:r>
    </w:p>
    <w:p w:rsidR="00F44B67" w:rsidRDefault="00F44B67" w:rsidP="00F44B67"/>
    <w:p w:rsidR="00F44B67" w:rsidRDefault="00F44B67" w:rsidP="00F44B67"/>
    <w:p w:rsidR="00F44B67" w:rsidRDefault="00F44B67" w:rsidP="00F44B67"/>
    <w:p w:rsidR="00F44B67" w:rsidRDefault="00F44B67" w:rsidP="00F44B67"/>
    <w:p w:rsidR="00F44B67" w:rsidRDefault="00F44B67" w:rsidP="00F44B67"/>
    <w:p w:rsidR="00F44B67" w:rsidRDefault="00F44B67" w:rsidP="00F44B67"/>
    <w:p w:rsidR="00F44B67" w:rsidRDefault="00F44B67" w:rsidP="00F44B67"/>
    <w:p w:rsidR="00F44B67" w:rsidRDefault="00F44B67" w:rsidP="00F44B67"/>
    <w:p w:rsidR="00F44B67" w:rsidRDefault="00F44B67" w:rsidP="00F44B67"/>
    <w:p w:rsidR="00F44B67" w:rsidRDefault="00F44B67" w:rsidP="00F44B67"/>
    <w:p w:rsidR="00F44B67" w:rsidRDefault="00F44B67" w:rsidP="00F44B67"/>
    <w:p w:rsidR="00F44B67" w:rsidRDefault="00F44B67" w:rsidP="00F44B67"/>
    <w:p w:rsidR="00304393" w:rsidRDefault="00304393"/>
    <w:sectPr w:rsidR="00304393" w:rsidSect="00150787">
      <w:footerReference w:type="default" r:id="rId7"/>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43E" w:rsidRDefault="0058743E" w:rsidP="00F44B67">
      <w:r>
        <w:separator/>
      </w:r>
    </w:p>
  </w:endnote>
  <w:endnote w:type="continuationSeparator" w:id="0">
    <w:p w:rsidR="0058743E" w:rsidRDefault="0058743E" w:rsidP="00F44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EB0" w:rsidRPr="004E0E30" w:rsidRDefault="00AB3AD1">
    <w:pPr>
      <w:pStyle w:val="Footer"/>
      <w:pBdr>
        <w:top w:val="thinThickSmallGap" w:sz="24" w:space="1" w:color="823B0B" w:themeColor="accent2" w:themeShade="7F"/>
      </w:pBdr>
    </w:pPr>
    <w:r>
      <w:t xml:space="preserve">Proposed </w:t>
    </w:r>
    <w:r w:rsidR="004025D2">
      <w:t>Int</w:t>
    </w:r>
    <w:r>
      <w:t>ro</w:t>
    </w:r>
    <w:r w:rsidR="00612EDB" w:rsidRPr="00B83DCD">
      <w:t>.</w:t>
    </w:r>
    <w:r w:rsidR="004025D2">
      <w:t xml:space="preserve"> No.</w:t>
    </w:r>
    <w:r w:rsidR="00612EDB" w:rsidRPr="00B83DCD">
      <w:t xml:space="preserve"> </w:t>
    </w:r>
    <w:r w:rsidR="004025D2">
      <w:t>1760</w:t>
    </w:r>
    <w:r>
      <w:t>-A</w:t>
    </w:r>
    <w:r w:rsidR="00612EDB">
      <w:rPr>
        <w:rFonts w:asciiTheme="majorHAnsi" w:eastAsiaTheme="majorEastAsia" w:hAnsiTheme="majorHAnsi" w:cstheme="majorBidi"/>
      </w:rPr>
      <w:ptab w:relativeTo="margin" w:alignment="right" w:leader="none"/>
    </w:r>
    <w:r w:rsidR="00612EDB">
      <w:rPr>
        <w:rFonts w:asciiTheme="majorHAnsi" w:eastAsiaTheme="majorEastAsia" w:hAnsiTheme="majorHAnsi" w:cstheme="majorBidi"/>
      </w:rPr>
      <w:t xml:space="preserve">Page </w:t>
    </w:r>
    <w:r w:rsidR="00612EDB">
      <w:rPr>
        <w:rFonts w:asciiTheme="minorHAnsi" w:eastAsiaTheme="minorEastAsia" w:hAnsiTheme="minorHAnsi" w:cstheme="minorBidi"/>
      </w:rPr>
      <w:fldChar w:fldCharType="begin"/>
    </w:r>
    <w:r w:rsidR="00612EDB">
      <w:instrText xml:space="preserve"> PAGE   \* MERGEFORMAT </w:instrText>
    </w:r>
    <w:r w:rsidR="00612EDB">
      <w:rPr>
        <w:rFonts w:asciiTheme="minorHAnsi" w:eastAsiaTheme="minorEastAsia" w:hAnsiTheme="minorHAnsi" w:cstheme="minorBidi"/>
      </w:rPr>
      <w:fldChar w:fldCharType="separate"/>
    </w:r>
    <w:r w:rsidR="000175EA" w:rsidRPr="000175EA">
      <w:rPr>
        <w:rFonts w:asciiTheme="majorHAnsi" w:eastAsiaTheme="majorEastAsia" w:hAnsiTheme="majorHAnsi" w:cstheme="majorBidi"/>
        <w:noProof/>
      </w:rPr>
      <w:t>2</w:t>
    </w:r>
    <w:r w:rsidR="00612EDB">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43E" w:rsidRDefault="0058743E" w:rsidP="00F44B67">
      <w:r>
        <w:separator/>
      </w:r>
    </w:p>
  </w:footnote>
  <w:footnote w:type="continuationSeparator" w:id="0">
    <w:p w:rsidR="0058743E" w:rsidRDefault="0058743E" w:rsidP="00F44B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B67"/>
    <w:rsid w:val="000175EA"/>
    <w:rsid w:val="000C2351"/>
    <w:rsid w:val="0010134B"/>
    <w:rsid w:val="002E2B44"/>
    <w:rsid w:val="00304393"/>
    <w:rsid w:val="004025D2"/>
    <w:rsid w:val="00406459"/>
    <w:rsid w:val="004D2DA7"/>
    <w:rsid w:val="004E0E30"/>
    <w:rsid w:val="00537748"/>
    <w:rsid w:val="0058743E"/>
    <w:rsid w:val="00612EDB"/>
    <w:rsid w:val="006843C0"/>
    <w:rsid w:val="007C4140"/>
    <w:rsid w:val="00820957"/>
    <w:rsid w:val="00A96578"/>
    <w:rsid w:val="00AB3AD1"/>
    <w:rsid w:val="00B00655"/>
    <w:rsid w:val="00BE4AB7"/>
    <w:rsid w:val="00C2319D"/>
    <w:rsid w:val="00D00CD9"/>
    <w:rsid w:val="00D07403"/>
    <w:rsid w:val="00D07CCE"/>
    <w:rsid w:val="00E04F49"/>
    <w:rsid w:val="00E07E53"/>
    <w:rsid w:val="00E4258A"/>
    <w:rsid w:val="00EB7C05"/>
    <w:rsid w:val="00F44B67"/>
    <w:rsid w:val="00FC2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EFE25F-3DA3-4938-AD45-40E987950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B67"/>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44B67"/>
    <w:pPr>
      <w:tabs>
        <w:tab w:val="center" w:pos="4680"/>
        <w:tab w:val="right" w:pos="9360"/>
      </w:tabs>
    </w:pPr>
  </w:style>
  <w:style w:type="character" w:customStyle="1" w:styleId="FooterChar">
    <w:name w:val="Footer Char"/>
    <w:basedOn w:val="DefaultParagraphFont"/>
    <w:link w:val="Footer"/>
    <w:uiPriority w:val="99"/>
    <w:rsid w:val="00F44B67"/>
    <w:rPr>
      <w:rFonts w:ascii="Times New Roman" w:eastAsia="Times New Roman" w:hAnsi="Times New Roman" w:cs="Times New Roman"/>
      <w:sz w:val="24"/>
      <w:szCs w:val="24"/>
    </w:rPr>
  </w:style>
  <w:style w:type="paragraph" w:styleId="NoSpacing">
    <w:name w:val="No Spacing"/>
    <w:uiPriority w:val="1"/>
    <w:qFormat/>
    <w:rsid w:val="00F44B67"/>
    <w:pPr>
      <w:spacing w:after="0" w:line="240" w:lineRule="auto"/>
      <w:jc w:val="both"/>
    </w:pPr>
    <w:rPr>
      <w:rFonts w:ascii="Times New Roman" w:eastAsia="Times New Roman" w:hAnsi="Times New Roman" w:cs="Times New Roman"/>
      <w:sz w:val="24"/>
      <w:szCs w:val="24"/>
    </w:rPr>
  </w:style>
  <w:style w:type="paragraph" w:customStyle="1" w:styleId="FlushLeft">
    <w:name w:val="Flush Left"/>
    <w:aliases w:val="FL"/>
    <w:basedOn w:val="Normal"/>
    <w:rsid w:val="00F44B67"/>
    <w:pPr>
      <w:suppressAutoHyphens/>
      <w:spacing w:after="240"/>
    </w:pPr>
    <w:rPr>
      <w:szCs w:val="20"/>
    </w:rPr>
  </w:style>
  <w:style w:type="paragraph" w:styleId="Header">
    <w:name w:val="header"/>
    <w:basedOn w:val="Normal"/>
    <w:link w:val="HeaderChar"/>
    <w:uiPriority w:val="99"/>
    <w:unhideWhenUsed/>
    <w:rsid w:val="00F44B67"/>
    <w:pPr>
      <w:tabs>
        <w:tab w:val="center" w:pos="4680"/>
        <w:tab w:val="right" w:pos="9360"/>
      </w:tabs>
    </w:pPr>
  </w:style>
  <w:style w:type="character" w:customStyle="1" w:styleId="HeaderChar">
    <w:name w:val="Header Char"/>
    <w:basedOn w:val="DefaultParagraphFont"/>
    <w:link w:val="Header"/>
    <w:uiPriority w:val="99"/>
    <w:rsid w:val="00F44B6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2920</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Gastelum, Sarah</dc:creator>
  <cp:keywords/>
  <dc:description/>
  <cp:lastModifiedBy>DelFranco, Ruthie</cp:lastModifiedBy>
  <cp:revision>2</cp:revision>
  <dcterms:created xsi:type="dcterms:W3CDTF">2021-04-29T14:32:00Z</dcterms:created>
  <dcterms:modified xsi:type="dcterms:W3CDTF">2021-04-29T14:32:00Z</dcterms:modified>
</cp:coreProperties>
</file>