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DB049" w14:textId="2034DDAC" w:rsidR="00581DCF" w:rsidRPr="00581DCF" w:rsidRDefault="00581DCF" w:rsidP="00581DCF">
      <w:pPr>
        <w:spacing w:after="0" w:line="240" w:lineRule="auto"/>
        <w:jc w:val="right"/>
        <w:rPr>
          <w:rFonts w:ascii="Times New Roman" w:eastAsia="Times New Roman" w:hAnsi="Times New Roman" w:cs="Times New Roman"/>
          <w:sz w:val="24"/>
          <w:szCs w:val="24"/>
          <w:u w:val="single"/>
        </w:rPr>
      </w:pPr>
      <w:bookmarkStart w:id="0" w:name="_GoBack"/>
      <w:bookmarkEnd w:id="0"/>
      <w:r w:rsidRPr="00581DCF">
        <w:rPr>
          <w:rFonts w:ascii="Times New Roman" w:eastAsia="Times New Roman" w:hAnsi="Times New Roman" w:cs="Times New Roman"/>
          <w:sz w:val="24"/>
          <w:szCs w:val="24"/>
          <w:u w:val="single"/>
        </w:rPr>
        <w:t>Environmental Protection Committee Staff</w:t>
      </w:r>
    </w:p>
    <w:p w14:paraId="3780B99C" w14:textId="77777777" w:rsidR="00581DCF" w:rsidRPr="00581DCF" w:rsidRDefault="00581DCF" w:rsidP="00581DCF">
      <w:pPr>
        <w:spacing w:after="0" w:line="240" w:lineRule="auto"/>
        <w:jc w:val="right"/>
        <w:rPr>
          <w:rFonts w:ascii="Times New Roman" w:eastAsia="Times New Roman" w:hAnsi="Times New Roman" w:cs="Times New Roman"/>
          <w:sz w:val="24"/>
          <w:szCs w:val="24"/>
          <w:u w:val="single"/>
        </w:rPr>
      </w:pPr>
      <w:r w:rsidRPr="00581DCF">
        <w:rPr>
          <w:rFonts w:ascii="Times New Roman" w:eastAsia="Times New Roman" w:hAnsi="Times New Roman" w:cs="Times New Roman"/>
          <w:sz w:val="24"/>
          <w:szCs w:val="24"/>
        </w:rPr>
        <w:t>Samara Swanston, Legislative Counsel</w:t>
      </w:r>
    </w:p>
    <w:p w14:paraId="605D6E63" w14:textId="77777777" w:rsidR="00581DCF" w:rsidRPr="00581DCF" w:rsidRDefault="00581DCF" w:rsidP="00581DCF">
      <w:pPr>
        <w:spacing w:after="0" w:line="240" w:lineRule="auto"/>
        <w:jc w:val="right"/>
        <w:rPr>
          <w:rFonts w:ascii="Times New Roman" w:eastAsia="Times New Roman" w:hAnsi="Times New Roman" w:cs="Times New Roman"/>
          <w:sz w:val="24"/>
          <w:szCs w:val="24"/>
        </w:rPr>
      </w:pPr>
      <w:r w:rsidRPr="00581DCF">
        <w:rPr>
          <w:rFonts w:ascii="Times New Roman" w:eastAsia="Times New Roman" w:hAnsi="Times New Roman" w:cs="Times New Roman"/>
          <w:sz w:val="24"/>
          <w:szCs w:val="24"/>
        </w:rPr>
        <w:t>Nadia Johnson, Senior Policy Analyst</w:t>
      </w:r>
    </w:p>
    <w:p w14:paraId="7B60A833" w14:textId="77777777" w:rsidR="00581DCF" w:rsidRPr="00581DCF" w:rsidRDefault="00581DCF" w:rsidP="00581DCF">
      <w:pPr>
        <w:spacing w:after="0" w:line="240" w:lineRule="auto"/>
        <w:jc w:val="right"/>
        <w:rPr>
          <w:rFonts w:ascii="Times New Roman" w:eastAsia="Times New Roman" w:hAnsi="Times New Roman" w:cs="Times New Roman"/>
          <w:sz w:val="24"/>
          <w:szCs w:val="24"/>
          <w:u w:val="single"/>
        </w:rPr>
      </w:pPr>
      <w:r w:rsidRPr="00581DCF">
        <w:rPr>
          <w:rFonts w:ascii="Times New Roman" w:eastAsia="Times New Roman" w:hAnsi="Times New Roman" w:cs="Times New Roman"/>
          <w:sz w:val="24"/>
          <w:szCs w:val="24"/>
        </w:rPr>
        <w:t>Ricky Chawla, Policy Analyst</w:t>
      </w:r>
    </w:p>
    <w:p w14:paraId="46219D5F" w14:textId="77777777" w:rsidR="00581DCF" w:rsidRPr="00581DCF" w:rsidRDefault="00581DCF" w:rsidP="00581DCF">
      <w:pPr>
        <w:spacing w:after="0" w:line="240" w:lineRule="auto"/>
        <w:jc w:val="right"/>
        <w:rPr>
          <w:rFonts w:ascii="Times New Roman" w:eastAsia="Times New Roman" w:hAnsi="Times New Roman" w:cs="Times New Roman"/>
          <w:sz w:val="24"/>
          <w:szCs w:val="24"/>
        </w:rPr>
      </w:pPr>
      <w:r w:rsidRPr="00581DCF">
        <w:rPr>
          <w:rFonts w:ascii="Times New Roman" w:eastAsia="Times New Roman" w:hAnsi="Times New Roman" w:cs="Times New Roman"/>
          <w:sz w:val="24"/>
          <w:szCs w:val="24"/>
        </w:rPr>
        <w:t>Jonathan Seltzer, Senior Finance Analyst</w:t>
      </w:r>
      <w:r w:rsidRPr="00581DCF">
        <w:rPr>
          <w:rFonts w:ascii="Times New Roman" w:eastAsia="Times New Roman" w:hAnsi="Times New Roman" w:cs="Times New Roman"/>
          <w:sz w:val="24"/>
          <w:szCs w:val="24"/>
        </w:rPr>
        <w:br/>
      </w:r>
      <w:r w:rsidRPr="00581DCF">
        <w:rPr>
          <w:rFonts w:ascii="Times New Roman" w:eastAsia="Times New Roman" w:hAnsi="Times New Roman" w:cs="Times New Roman"/>
          <w:sz w:val="24"/>
          <w:szCs w:val="24"/>
        </w:rPr>
        <w:tab/>
      </w:r>
    </w:p>
    <w:p w14:paraId="129F0E45" w14:textId="77777777" w:rsidR="00581DCF" w:rsidRPr="00581DCF" w:rsidRDefault="00581DCF" w:rsidP="00581DCF">
      <w:pPr>
        <w:spacing w:after="0" w:line="240" w:lineRule="auto"/>
        <w:ind w:left="2880" w:firstLine="720"/>
        <w:jc w:val="both"/>
        <w:rPr>
          <w:rFonts w:ascii="Times New Roman" w:eastAsia="Times New Roman" w:hAnsi="Times New Roman" w:cs="Times New Roman"/>
          <w:sz w:val="24"/>
          <w:szCs w:val="24"/>
        </w:rPr>
      </w:pPr>
    </w:p>
    <w:p w14:paraId="7AF32EDA" w14:textId="77777777" w:rsidR="00581DCF" w:rsidRPr="00581DCF" w:rsidRDefault="00581DCF" w:rsidP="00581DCF">
      <w:pPr>
        <w:spacing w:after="0" w:line="240" w:lineRule="auto"/>
        <w:ind w:left="2880" w:firstLine="720"/>
        <w:jc w:val="both"/>
        <w:rPr>
          <w:rFonts w:ascii="Times New Roman" w:eastAsia="Times New Roman" w:hAnsi="Times New Roman" w:cs="Times New Roman"/>
          <w:sz w:val="24"/>
          <w:szCs w:val="24"/>
        </w:rPr>
      </w:pPr>
    </w:p>
    <w:p w14:paraId="5E594D77" w14:textId="77777777" w:rsidR="00581DCF" w:rsidRPr="00581DCF" w:rsidRDefault="00581DCF" w:rsidP="00581DCF">
      <w:pPr>
        <w:keepNext/>
        <w:spacing w:after="0" w:line="480" w:lineRule="auto"/>
        <w:jc w:val="both"/>
        <w:outlineLvl w:val="0"/>
        <w:rPr>
          <w:rFonts w:ascii="Times New Roman" w:eastAsia="Times New Roman" w:hAnsi="Times New Roman" w:cs="Times New Roman"/>
          <w:i/>
          <w:iCs/>
          <w:sz w:val="24"/>
          <w:szCs w:val="24"/>
        </w:rPr>
      </w:pPr>
      <w:r w:rsidRPr="00581DCF">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439807C4" wp14:editId="3A6EBBA7">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BA34" w14:textId="77777777" w:rsidR="00581DCF" w:rsidRPr="00581DCF" w:rsidRDefault="00581DCF" w:rsidP="00581DCF">
      <w:pPr>
        <w:spacing w:after="0" w:line="240" w:lineRule="auto"/>
        <w:jc w:val="both"/>
        <w:rPr>
          <w:rFonts w:ascii="Times New Roman" w:eastAsia="Times New Roman" w:hAnsi="Times New Roman" w:cs="Times New Roman"/>
          <w:sz w:val="24"/>
          <w:szCs w:val="24"/>
        </w:rPr>
      </w:pPr>
    </w:p>
    <w:p w14:paraId="7ADD2CE9" w14:textId="77777777" w:rsidR="00581DCF" w:rsidRPr="00581DCF" w:rsidRDefault="00581DCF" w:rsidP="00581DCF">
      <w:pPr>
        <w:tabs>
          <w:tab w:val="center" w:pos="4680"/>
        </w:tabs>
        <w:spacing w:after="0" w:line="240" w:lineRule="auto"/>
        <w:jc w:val="both"/>
        <w:rPr>
          <w:rFonts w:ascii="Times New Roman" w:eastAsia="Times New Roman" w:hAnsi="Times New Roman" w:cs="Times New Roman"/>
          <w:sz w:val="24"/>
          <w:szCs w:val="24"/>
        </w:rPr>
      </w:pPr>
    </w:p>
    <w:p w14:paraId="1210E68D" w14:textId="77777777" w:rsidR="00581DCF" w:rsidRPr="00581DCF" w:rsidRDefault="00581DCF" w:rsidP="00581DCF">
      <w:pPr>
        <w:tabs>
          <w:tab w:val="center" w:pos="4680"/>
        </w:tabs>
        <w:spacing w:after="0" w:line="240" w:lineRule="auto"/>
        <w:jc w:val="both"/>
        <w:rPr>
          <w:rFonts w:ascii="Times New Roman" w:eastAsia="Times New Roman" w:hAnsi="Times New Roman" w:cs="Times New Roman"/>
          <w:sz w:val="24"/>
          <w:szCs w:val="24"/>
        </w:rPr>
      </w:pPr>
    </w:p>
    <w:p w14:paraId="2D696519" w14:textId="77777777" w:rsidR="00581DCF" w:rsidRPr="00581DCF" w:rsidRDefault="00581DCF" w:rsidP="00581DCF">
      <w:pPr>
        <w:tabs>
          <w:tab w:val="center" w:pos="4680"/>
        </w:tabs>
        <w:spacing w:after="0" w:line="240" w:lineRule="auto"/>
        <w:jc w:val="both"/>
        <w:rPr>
          <w:rFonts w:ascii="Times New Roman" w:eastAsia="Times New Roman" w:hAnsi="Times New Roman" w:cs="Times New Roman"/>
          <w:sz w:val="24"/>
          <w:szCs w:val="24"/>
        </w:rPr>
      </w:pPr>
    </w:p>
    <w:p w14:paraId="3F583A90" w14:textId="77777777" w:rsidR="00581DCF" w:rsidRPr="00581DCF" w:rsidRDefault="00581DCF" w:rsidP="00581DCF">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581DCF">
        <w:rPr>
          <w:rFonts w:ascii="Times New Roman Bold" w:eastAsia="Calibri" w:hAnsi="Times New Roman Bold" w:cs="Calibri"/>
          <w:b/>
          <w:bCs/>
          <w:smallCaps/>
          <w:color w:val="000000"/>
          <w:sz w:val="24"/>
          <w:szCs w:val="24"/>
          <w:u w:val="single" w:color="000000"/>
          <w:bdr w:val="nil"/>
        </w:rPr>
        <w:t>The New York City Council</w:t>
      </w:r>
    </w:p>
    <w:p w14:paraId="36CB6EEB" w14:textId="77777777" w:rsidR="00581DCF" w:rsidRPr="00581DCF" w:rsidRDefault="00581DCF" w:rsidP="00581DCF">
      <w:pPr>
        <w:tabs>
          <w:tab w:val="center" w:pos="4680"/>
        </w:tabs>
        <w:spacing w:after="0" w:line="240" w:lineRule="auto"/>
        <w:jc w:val="center"/>
        <w:rPr>
          <w:rFonts w:ascii="Times New Roman" w:eastAsia="Arial Unicode MS" w:hAnsi="Times New Roman" w:cs="Times New Roman"/>
          <w:iCs/>
          <w:sz w:val="24"/>
          <w:szCs w:val="24"/>
        </w:rPr>
      </w:pPr>
      <w:r w:rsidRPr="00581DCF">
        <w:rPr>
          <w:rFonts w:ascii="Times New Roman" w:eastAsia="Times New Roman" w:hAnsi="Times New Roman" w:cs="Times New Roman"/>
          <w:iCs/>
          <w:sz w:val="24"/>
          <w:szCs w:val="24"/>
        </w:rPr>
        <w:t>Jeffrey Baker, Legislative Director</w:t>
      </w:r>
    </w:p>
    <w:p w14:paraId="356B0796" w14:textId="77777777" w:rsidR="00581DCF" w:rsidRPr="00581DCF" w:rsidRDefault="00581DCF" w:rsidP="00581DCF">
      <w:pPr>
        <w:tabs>
          <w:tab w:val="left" w:pos="-1440"/>
        </w:tabs>
        <w:spacing w:after="0" w:line="240" w:lineRule="auto"/>
        <w:ind w:left="4320"/>
        <w:rPr>
          <w:rFonts w:ascii="Times New Roman" w:eastAsia="Times New Roman" w:hAnsi="Times New Roman" w:cs="Times New Roman"/>
          <w:b/>
          <w:sz w:val="24"/>
          <w:szCs w:val="24"/>
        </w:rPr>
      </w:pPr>
    </w:p>
    <w:p w14:paraId="660ED3A4" w14:textId="77777777" w:rsidR="00581DCF" w:rsidRPr="00581DCF" w:rsidRDefault="00581DCF" w:rsidP="00581DCF">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581DCF">
        <w:rPr>
          <w:rFonts w:ascii="Times New Roman Bold" w:eastAsia="Calibri" w:hAnsi="Times New Roman Bold" w:cs="Calibri"/>
          <w:b/>
          <w:bCs/>
          <w:smallCaps/>
          <w:color w:val="000000"/>
          <w:sz w:val="24"/>
          <w:szCs w:val="24"/>
          <w:u w:val="single" w:color="000000"/>
          <w:bdr w:val="nil"/>
        </w:rPr>
        <w:t>Committee Report of the Infrastructure Division</w:t>
      </w:r>
    </w:p>
    <w:p w14:paraId="61DA25B9" w14:textId="77777777" w:rsidR="00581DCF" w:rsidRPr="00581DCF" w:rsidRDefault="00581DCF" w:rsidP="00581DCF">
      <w:pPr>
        <w:tabs>
          <w:tab w:val="center" w:pos="4680"/>
        </w:tabs>
        <w:spacing w:after="0" w:line="240" w:lineRule="auto"/>
        <w:jc w:val="center"/>
        <w:rPr>
          <w:rFonts w:ascii="Times New Roman" w:eastAsia="Times New Roman" w:hAnsi="Times New Roman" w:cs="Times New Roman"/>
          <w:sz w:val="24"/>
          <w:szCs w:val="24"/>
        </w:rPr>
      </w:pPr>
      <w:r w:rsidRPr="00581DCF">
        <w:rPr>
          <w:rFonts w:ascii="Times New Roman" w:eastAsia="Times New Roman" w:hAnsi="Times New Roman" w:cs="Times New Roman"/>
          <w:iCs/>
          <w:sz w:val="24"/>
          <w:szCs w:val="24"/>
        </w:rPr>
        <w:t>Terzah Nasser, Deputy Director</w:t>
      </w:r>
    </w:p>
    <w:p w14:paraId="08E620AC" w14:textId="77777777" w:rsidR="00581DCF" w:rsidRPr="00581DCF" w:rsidRDefault="00581DCF" w:rsidP="00581DCF">
      <w:pPr>
        <w:tabs>
          <w:tab w:val="left" w:pos="-1440"/>
        </w:tabs>
        <w:spacing w:after="0" w:line="240" w:lineRule="auto"/>
        <w:ind w:left="4320"/>
        <w:rPr>
          <w:rFonts w:ascii="Times New Roman" w:eastAsia="Times New Roman" w:hAnsi="Times New Roman" w:cs="Times New Roman"/>
          <w:b/>
          <w:sz w:val="24"/>
          <w:szCs w:val="24"/>
        </w:rPr>
      </w:pPr>
    </w:p>
    <w:p w14:paraId="7F8020A0" w14:textId="77777777" w:rsidR="00581DCF" w:rsidRPr="00581DCF" w:rsidRDefault="00581DCF" w:rsidP="00581DCF">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581DCF">
        <w:rPr>
          <w:rFonts w:ascii="Times New Roman Bold" w:eastAsia="Times New Roman" w:hAnsi="Times New Roman Bold" w:cs="Times New Roman"/>
          <w:b/>
          <w:smallCaps/>
          <w:sz w:val="24"/>
          <w:szCs w:val="24"/>
          <w:u w:val="single"/>
        </w:rPr>
        <w:t>Committee on Environmental Protection</w:t>
      </w:r>
    </w:p>
    <w:p w14:paraId="71709887" w14:textId="77777777" w:rsidR="00581DCF" w:rsidRPr="00581DCF" w:rsidRDefault="00581DCF" w:rsidP="00581DCF">
      <w:pPr>
        <w:spacing w:after="0" w:line="240" w:lineRule="auto"/>
        <w:jc w:val="center"/>
        <w:rPr>
          <w:rFonts w:ascii="Times New Roman" w:eastAsia="Times New Roman" w:hAnsi="Times New Roman" w:cs="Times New Roman"/>
          <w:sz w:val="24"/>
          <w:szCs w:val="24"/>
        </w:rPr>
      </w:pPr>
      <w:r w:rsidRPr="00581DCF">
        <w:rPr>
          <w:rFonts w:ascii="Times New Roman" w:eastAsia="Times New Roman" w:hAnsi="Times New Roman" w:cs="Times New Roman"/>
          <w:sz w:val="24"/>
          <w:szCs w:val="24"/>
        </w:rPr>
        <w:t>Hon. Costa Constantinides, Chair</w:t>
      </w:r>
    </w:p>
    <w:p w14:paraId="07985D5F" w14:textId="77777777" w:rsidR="00581DCF" w:rsidRPr="00581DCF" w:rsidRDefault="00581DCF" w:rsidP="00581DCF">
      <w:pPr>
        <w:spacing w:after="0" w:line="240" w:lineRule="auto"/>
        <w:jc w:val="center"/>
        <w:rPr>
          <w:rFonts w:ascii="Times New Roman" w:eastAsia="Times New Roman" w:hAnsi="Times New Roman" w:cs="Times New Roman"/>
          <w:sz w:val="24"/>
          <w:szCs w:val="24"/>
        </w:rPr>
      </w:pPr>
    </w:p>
    <w:p w14:paraId="7B42AF65" w14:textId="77E2001E" w:rsidR="00581DCF" w:rsidRPr="00581DCF" w:rsidRDefault="005F1393" w:rsidP="00581DCF">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October</w:t>
      </w:r>
      <w:r w:rsidR="00581DCF">
        <w:rPr>
          <w:rFonts w:ascii="Times New Roman" w:eastAsia="Times New Roman" w:hAnsi="Times New Roman" w:cs="Times New Roman"/>
          <w:b/>
          <w:bCs/>
          <w:sz w:val="24"/>
          <w:szCs w:val="24"/>
        </w:rPr>
        <w:t xml:space="preserve"> 2</w:t>
      </w:r>
      <w:r>
        <w:rPr>
          <w:rFonts w:ascii="Times New Roman" w:eastAsia="Times New Roman" w:hAnsi="Times New Roman" w:cs="Times New Roman"/>
          <w:b/>
          <w:bCs/>
          <w:sz w:val="24"/>
          <w:szCs w:val="24"/>
        </w:rPr>
        <w:t>6</w:t>
      </w:r>
      <w:r w:rsidR="00581DCF" w:rsidRPr="00581DCF">
        <w:rPr>
          <w:rFonts w:ascii="Times New Roman" w:eastAsia="Times New Roman" w:hAnsi="Times New Roman" w:cs="Times New Roman"/>
          <w:b/>
          <w:bCs/>
          <w:sz w:val="24"/>
          <w:szCs w:val="24"/>
        </w:rPr>
        <w:t>, 20</w:t>
      </w:r>
      <w:r>
        <w:rPr>
          <w:rFonts w:ascii="Times New Roman" w:eastAsia="Times New Roman" w:hAnsi="Times New Roman" w:cs="Times New Roman"/>
          <w:b/>
          <w:bCs/>
          <w:sz w:val="24"/>
          <w:szCs w:val="24"/>
        </w:rPr>
        <w:t>20</w:t>
      </w:r>
    </w:p>
    <w:p w14:paraId="484FA423" w14:textId="77777777" w:rsidR="00581DCF" w:rsidRPr="00581DCF" w:rsidRDefault="00581DCF" w:rsidP="00581DCF">
      <w:pPr>
        <w:spacing w:after="0" w:line="240" w:lineRule="auto"/>
        <w:rPr>
          <w:rFonts w:ascii="Times New Roman" w:eastAsia="Times New Roman" w:hAnsi="Times New Roman" w:cs="Times New Roman"/>
          <w:b/>
          <w:bCs/>
          <w:sz w:val="24"/>
          <w:szCs w:val="24"/>
          <w:u w:val="single"/>
        </w:rPr>
      </w:pPr>
    </w:p>
    <w:p w14:paraId="3258A2AA" w14:textId="77777777" w:rsidR="00581DCF" w:rsidRPr="00581DCF" w:rsidRDefault="00581DCF" w:rsidP="00581DCF">
      <w:pPr>
        <w:spacing w:after="0" w:line="240" w:lineRule="auto"/>
        <w:jc w:val="both"/>
        <w:rPr>
          <w:rFonts w:ascii="Times New Roman" w:eastAsia="Times New Roman" w:hAnsi="Times New Roman" w:cs="Times New Roman"/>
          <w:b/>
          <w:bCs/>
          <w:sz w:val="24"/>
          <w:szCs w:val="24"/>
          <w:u w:val="single"/>
        </w:rPr>
      </w:pPr>
    </w:p>
    <w:p w14:paraId="0D652655" w14:textId="0C7753EF" w:rsidR="00581DCF" w:rsidRPr="00581DCF" w:rsidRDefault="00581DCF" w:rsidP="00581DCF">
      <w:pPr>
        <w:spacing w:after="0" w:line="240" w:lineRule="auto"/>
        <w:ind w:left="4320" w:hanging="4320"/>
        <w:jc w:val="both"/>
        <w:rPr>
          <w:rFonts w:ascii="Times Roman" w:eastAsia="Calibri" w:hAnsi="Times Roman" w:cs="Times New Roman"/>
          <w:sz w:val="24"/>
          <w:shd w:val="clear" w:color="auto" w:fill="FFFFFF"/>
        </w:rPr>
      </w:pPr>
      <w:r w:rsidRPr="00581DCF">
        <w:rPr>
          <w:rFonts w:ascii="Times Roman" w:eastAsia="Calibri" w:hAnsi="Times Roman" w:cs="Times New Roman"/>
          <w:b/>
          <w:smallCaps/>
          <w:sz w:val="24"/>
          <w:u w:val="single"/>
        </w:rPr>
        <w:t xml:space="preserve">Int. No. </w:t>
      </w:r>
      <w:r w:rsidR="005F1393">
        <w:rPr>
          <w:rFonts w:ascii="Times Roman" w:eastAsia="Calibri" w:hAnsi="Times Roman" w:cs="Times New Roman"/>
          <w:b/>
          <w:smallCaps/>
          <w:sz w:val="24"/>
          <w:u w:val="single"/>
        </w:rPr>
        <w:t>244</w:t>
      </w:r>
      <w:r w:rsidRPr="00581DCF">
        <w:rPr>
          <w:rFonts w:ascii="Times Roman" w:eastAsia="Calibri" w:hAnsi="Times Roman" w:cs="Times New Roman"/>
          <w:b/>
          <w:smallCaps/>
          <w:sz w:val="24"/>
          <w:u w:val="single"/>
        </w:rPr>
        <w:t>:</w:t>
      </w:r>
      <w:r w:rsidRPr="00581DCF">
        <w:rPr>
          <w:rFonts w:ascii="Times Roman" w:eastAsia="Calibri" w:hAnsi="Times Roman" w:cs="Times New Roman"/>
          <w:b/>
          <w:sz w:val="24"/>
        </w:rPr>
        <w:tab/>
      </w:r>
      <w:r w:rsidRPr="00581DCF">
        <w:rPr>
          <w:rFonts w:ascii="Times Roman" w:eastAsia="Calibri" w:hAnsi="Times Roman" w:cs="Times New Roman"/>
          <w:sz w:val="24"/>
          <w:shd w:val="clear" w:color="auto" w:fill="FFFFFF"/>
        </w:rPr>
        <w:t xml:space="preserve">By Council Members </w:t>
      </w:r>
      <w:r w:rsidR="005F1393">
        <w:rPr>
          <w:rFonts w:ascii="Times Roman" w:eastAsia="Calibri" w:hAnsi="Times Roman" w:cs="Times New Roman"/>
          <w:sz w:val="24"/>
          <w:shd w:val="clear" w:color="auto" w:fill="FFFFFF"/>
        </w:rPr>
        <w:t xml:space="preserve">Reynoso </w:t>
      </w:r>
      <w:r w:rsidRPr="00581DCF">
        <w:rPr>
          <w:rFonts w:ascii="Times Roman" w:eastAsia="Calibri" w:hAnsi="Times Roman" w:cs="Times New Roman"/>
          <w:sz w:val="24"/>
          <w:shd w:val="clear" w:color="auto" w:fill="FFFFFF"/>
        </w:rPr>
        <w:t xml:space="preserve">and </w:t>
      </w:r>
      <w:r w:rsidR="005F1393">
        <w:rPr>
          <w:rFonts w:ascii="Times Roman" w:eastAsia="Calibri" w:hAnsi="Times Roman" w:cs="Times New Roman"/>
          <w:sz w:val="24"/>
          <w:shd w:val="clear" w:color="auto" w:fill="FFFFFF"/>
        </w:rPr>
        <w:t>Rivera</w:t>
      </w:r>
      <w:r>
        <w:rPr>
          <w:rFonts w:ascii="Times Roman" w:eastAsia="Calibri" w:hAnsi="Times Roman" w:cs="Times New Roman"/>
          <w:sz w:val="24"/>
          <w:shd w:val="clear" w:color="auto" w:fill="FFFFFF"/>
        </w:rPr>
        <w:t xml:space="preserve"> </w:t>
      </w:r>
    </w:p>
    <w:p w14:paraId="7C7C44CC" w14:textId="77777777" w:rsidR="00581DCF" w:rsidRPr="00581DCF" w:rsidRDefault="00581DCF" w:rsidP="00581DCF">
      <w:pPr>
        <w:spacing w:after="0" w:line="240" w:lineRule="auto"/>
        <w:ind w:left="4320" w:hanging="4320"/>
        <w:jc w:val="both"/>
        <w:rPr>
          <w:rFonts w:ascii="Times Roman" w:eastAsia="Calibri" w:hAnsi="Times Roman" w:cs="Times New Roman"/>
          <w:b/>
          <w:sz w:val="24"/>
        </w:rPr>
      </w:pPr>
      <w:r w:rsidRPr="00581DCF">
        <w:rPr>
          <w:rFonts w:ascii="Times Roman" w:eastAsia="Calibri" w:hAnsi="Times Roman" w:cs="Times New Roman"/>
          <w:sz w:val="24"/>
          <w:shd w:val="clear" w:color="auto" w:fill="FFFFFF"/>
        </w:rPr>
        <w:t xml:space="preserve"> </w:t>
      </w:r>
    </w:p>
    <w:p w14:paraId="6D0EC4BE" w14:textId="6824BCCF" w:rsidR="005F1393" w:rsidRPr="005F1393" w:rsidRDefault="00581DCF" w:rsidP="005F1393">
      <w:pPr>
        <w:spacing w:after="0" w:line="240" w:lineRule="auto"/>
        <w:ind w:left="4320" w:hanging="4320"/>
        <w:jc w:val="both"/>
        <w:rPr>
          <w:rFonts w:ascii="Times New Roman" w:eastAsia="Times New Roman" w:hAnsi="Times New Roman" w:cs="Times New Roman"/>
          <w:bCs/>
          <w:sz w:val="24"/>
          <w:szCs w:val="24"/>
        </w:rPr>
      </w:pPr>
      <w:r w:rsidRPr="00581DCF">
        <w:rPr>
          <w:rFonts w:ascii="Times Roman" w:eastAsia="Calibri" w:hAnsi="Times Roman" w:cs="Times New Roman"/>
          <w:b/>
          <w:smallCaps/>
          <w:sz w:val="24"/>
          <w:u w:val="single"/>
        </w:rPr>
        <w:t>Title:</w:t>
      </w:r>
      <w:r w:rsidRPr="00581DCF">
        <w:rPr>
          <w:rFonts w:ascii="Times Roman" w:eastAsia="Calibri" w:hAnsi="Times Roman" w:cs="Times New Roman"/>
          <w:b/>
          <w:sz w:val="24"/>
        </w:rPr>
        <w:tab/>
      </w:r>
      <w:r w:rsidRPr="00581DCF">
        <w:rPr>
          <w:rFonts w:ascii="Times New Roman" w:eastAsia="Times New Roman" w:hAnsi="Times New Roman" w:cs="Times New Roman"/>
          <w:bCs/>
          <w:sz w:val="24"/>
          <w:szCs w:val="24"/>
        </w:rPr>
        <w:t xml:space="preserve">A Local Law to amend the administrative code of the city of New York, in relation to </w:t>
      </w:r>
      <w:r w:rsidR="005F1393" w:rsidRPr="005F1393">
        <w:rPr>
          <w:rFonts w:ascii="Times New Roman" w:eastAsia="Times New Roman" w:hAnsi="Times New Roman" w:cs="Times New Roman"/>
          <w:bCs/>
          <w:sz w:val="24"/>
          <w:szCs w:val="24"/>
        </w:rPr>
        <w:t>the sale of nonwoven disposable products</w:t>
      </w:r>
    </w:p>
    <w:p w14:paraId="25F743EC" w14:textId="6A9E9DF0" w:rsidR="00581DCF" w:rsidRPr="00581DCF" w:rsidRDefault="00581DCF" w:rsidP="00581DCF">
      <w:pPr>
        <w:spacing w:after="0" w:line="240" w:lineRule="auto"/>
        <w:ind w:left="4320" w:hanging="4320"/>
        <w:jc w:val="both"/>
        <w:rPr>
          <w:rFonts w:ascii="Times Roman" w:eastAsia="Calibri" w:hAnsi="Times Roman" w:cs="Times New Roman"/>
          <w:b/>
          <w:sz w:val="24"/>
        </w:rPr>
      </w:pPr>
    </w:p>
    <w:p w14:paraId="19F57CD1" w14:textId="64DA02B8" w:rsidR="00581DCF" w:rsidRDefault="00581DCF" w:rsidP="00581DCF">
      <w:pPr>
        <w:spacing w:after="0" w:line="240" w:lineRule="auto"/>
        <w:ind w:left="4320" w:hanging="4320"/>
        <w:jc w:val="both"/>
        <w:rPr>
          <w:rFonts w:ascii="Times New Roman" w:eastAsia="Calibri" w:hAnsi="Times New Roman" w:cs="Times New Roman"/>
          <w:sz w:val="24"/>
          <w:szCs w:val="24"/>
        </w:rPr>
      </w:pPr>
      <w:r w:rsidRPr="00581DCF">
        <w:rPr>
          <w:rFonts w:ascii="Times New Roman Bold" w:eastAsia="Calibri" w:hAnsi="Times New Roman Bold" w:cs="Times New Roman"/>
          <w:b/>
          <w:smallCaps/>
          <w:sz w:val="24"/>
          <w:szCs w:val="24"/>
          <w:u w:val="single"/>
        </w:rPr>
        <w:t>Administrative Code:</w:t>
      </w:r>
      <w:r w:rsidRPr="00581DCF">
        <w:rPr>
          <w:rFonts w:ascii="Times New Roman" w:eastAsia="Calibri" w:hAnsi="Times New Roman" w:cs="Times New Roman"/>
          <w:b/>
          <w:sz w:val="24"/>
          <w:szCs w:val="24"/>
        </w:rPr>
        <w:tab/>
      </w:r>
      <w:r w:rsidR="00EA406E">
        <w:rPr>
          <w:rFonts w:ascii="Times New Roman" w:eastAsia="Calibri" w:hAnsi="Times New Roman" w:cs="Times New Roman"/>
          <w:sz w:val="24"/>
          <w:szCs w:val="24"/>
        </w:rPr>
        <w:t>Adds</w:t>
      </w:r>
      <w:r w:rsidR="00EA406E" w:rsidRPr="00EA406E">
        <w:rPr>
          <w:rFonts w:ascii="Times New Roman" w:eastAsia="Calibri" w:hAnsi="Times New Roman" w:cs="Times New Roman"/>
          <w:sz w:val="24"/>
          <w:szCs w:val="24"/>
        </w:rPr>
        <w:t xml:space="preserve"> a new section 24-</w:t>
      </w:r>
      <w:r w:rsidR="005F1393">
        <w:rPr>
          <w:rFonts w:ascii="Times New Roman" w:eastAsia="Calibri" w:hAnsi="Times New Roman" w:cs="Times New Roman"/>
          <w:sz w:val="24"/>
          <w:szCs w:val="24"/>
        </w:rPr>
        <w:t>518</w:t>
      </w:r>
      <w:r w:rsidR="00EA406E" w:rsidRPr="00EA406E">
        <w:rPr>
          <w:rFonts w:ascii="Times New Roman" w:eastAsia="Calibri" w:hAnsi="Times New Roman" w:cs="Times New Roman"/>
          <w:sz w:val="24"/>
          <w:szCs w:val="24"/>
        </w:rPr>
        <w:t>.</w:t>
      </w:r>
      <w:r w:rsidR="005F1393">
        <w:rPr>
          <w:rFonts w:ascii="Times New Roman" w:eastAsia="Calibri" w:hAnsi="Times New Roman" w:cs="Times New Roman"/>
          <w:sz w:val="24"/>
          <w:szCs w:val="24"/>
        </w:rPr>
        <w:t>2</w:t>
      </w:r>
      <w:r w:rsidR="00EA406E">
        <w:rPr>
          <w:rFonts w:ascii="Times New Roman" w:eastAsia="Calibri" w:hAnsi="Times New Roman" w:cs="Times New Roman"/>
          <w:sz w:val="24"/>
          <w:szCs w:val="24"/>
        </w:rPr>
        <w:t xml:space="preserve"> </w:t>
      </w:r>
    </w:p>
    <w:p w14:paraId="79C22DB9" w14:textId="77777777" w:rsidR="00EA406E" w:rsidRPr="00581DCF" w:rsidRDefault="00EA406E" w:rsidP="00581DCF">
      <w:pPr>
        <w:spacing w:after="0" w:line="240" w:lineRule="auto"/>
        <w:ind w:left="4320" w:hanging="4320"/>
        <w:jc w:val="both"/>
        <w:rPr>
          <w:rFonts w:ascii="Times New Roman" w:eastAsia="Calibri" w:hAnsi="Times New Roman" w:cs="Times New Roman"/>
          <w:sz w:val="24"/>
          <w:szCs w:val="24"/>
        </w:rPr>
      </w:pPr>
    </w:p>
    <w:p w14:paraId="2960FD35" w14:textId="4D6A74D5" w:rsidR="00581DCF" w:rsidRPr="00581DCF" w:rsidRDefault="00581DCF" w:rsidP="00581DCF">
      <w:pPr>
        <w:spacing w:after="0" w:line="240" w:lineRule="auto"/>
        <w:ind w:left="4320" w:hanging="4320"/>
        <w:jc w:val="both"/>
        <w:rPr>
          <w:rFonts w:ascii="Times Roman" w:eastAsia="Calibri" w:hAnsi="Times Roman" w:cs="Times New Roman"/>
          <w:sz w:val="24"/>
          <w:shd w:val="clear" w:color="auto" w:fill="FFFFFF"/>
        </w:rPr>
      </w:pPr>
      <w:r w:rsidRPr="00581DCF">
        <w:rPr>
          <w:rFonts w:ascii="Times Roman" w:eastAsia="Calibri" w:hAnsi="Times Roman" w:cs="Times New Roman"/>
          <w:b/>
          <w:smallCaps/>
          <w:sz w:val="24"/>
          <w:u w:val="single"/>
        </w:rPr>
        <w:t xml:space="preserve">Int. No. </w:t>
      </w:r>
      <w:r>
        <w:rPr>
          <w:rFonts w:ascii="Times Roman" w:eastAsia="Calibri" w:hAnsi="Times Roman" w:cs="Times New Roman"/>
          <w:b/>
          <w:smallCaps/>
          <w:sz w:val="24"/>
          <w:u w:val="single"/>
        </w:rPr>
        <w:t>1</w:t>
      </w:r>
      <w:r w:rsidR="005F1393">
        <w:rPr>
          <w:rFonts w:ascii="Times Roman" w:eastAsia="Calibri" w:hAnsi="Times Roman" w:cs="Times New Roman"/>
          <w:b/>
          <w:smallCaps/>
          <w:sz w:val="24"/>
          <w:u w:val="single"/>
        </w:rPr>
        <w:t>9</w:t>
      </w:r>
      <w:r>
        <w:rPr>
          <w:rFonts w:ascii="Times Roman" w:eastAsia="Calibri" w:hAnsi="Times Roman" w:cs="Times New Roman"/>
          <w:b/>
          <w:smallCaps/>
          <w:sz w:val="24"/>
          <w:u w:val="single"/>
        </w:rPr>
        <w:t>6</w:t>
      </w:r>
      <w:r w:rsidR="005F1393">
        <w:rPr>
          <w:rFonts w:ascii="Times Roman" w:eastAsia="Calibri" w:hAnsi="Times Roman" w:cs="Times New Roman"/>
          <w:b/>
          <w:smallCaps/>
          <w:sz w:val="24"/>
          <w:u w:val="single"/>
        </w:rPr>
        <w:t>6</w:t>
      </w:r>
      <w:r w:rsidRPr="00581DCF">
        <w:rPr>
          <w:rFonts w:ascii="Times Roman" w:eastAsia="Calibri" w:hAnsi="Times Roman" w:cs="Times New Roman"/>
          <w:b/>
          <w:smallCaps/>
          <w:sz w:val="24"/>
          <w:u w:val="single"/>
        </w:rPr>
        <w:t>:</w:t>
      </w:r>
      <w:r w:rsidRPr="00581DCF">
        <w:rPr>
          <w:rFonts w:ascii="Times Roman" w:eastAsia="Calibri" w:hAnsi="Times Roman" w:cs="Times New Roman"/>
          <w:b/>
          <w:sz w:val="24"/>
        </w:rPr>
        <w:tab/>
      </w:r>
      <w:r w:rsidRPr="00581DCF">
        <w:rPr>
          <w:rFonts w:ascii="Times Roman" w:eastAsia="Calibri" w:hAnsi="Times Roman" w:cs="Times New Roman"/>
          <w:sz w:val="24"/>
          <w:shd w:val="clear" w:color="auto" w:fill="FFFFFF"/>
        </w:rPr>
        <w:t xml:space="preserve">By Council Members </w:t>
      </w:r>
      <w:r w:rsidR="005F1393">
        <w:rPr>
          <w:rFonts w:ascii="Times Roman" w:eastAsia="Calibri" w:hAnsi="Times Roman" w:cs="Times New Roman"/>
          <w:sz w:val="24"/>
          <w:shd w:val="clear" w:color="auto" w:fill="FFFFFF"/>
        </w:rPr>
        <w:t>Constantinides</w:t>
      </w:r>
      <w:r w:rsidRPr="00581DCF">
        <w:rPr>
          <w:rFonts w:ascii="Times Roman" w:eastAsia="Calibri" w:hAnsi="Times Roman" w:cs="Times New Roman"/>
          <w:sz w:val="24"/>
          <w:shd w:val="clear" w:color="auto" w:fill="FFFFFF"/>
        </w:rPr>
        <w:t xml:space="preserve">, </w:t>
      </w:r>
      <w:r w:rsidR="005F1393">
        <w:rPr>
          <w:rFonts w:ascii="Times Roman" w:eastAsia="Calibri" w:hAnsi="Times Roman" w:cs="Times New Roman"/>
          <w:sz w:val="24"/>
          <w:shd w:val="clear" w:color="auto" w:fill="FFFFFF"/>
        </w:rPr>
        <w:t>Powers</w:t>
      </w:r>
      <w:r w:rsidRPr="00581DCF">
        <w:rPr>
          <w:rFonts w:ascii="Times Roman" w:eastAsia="Calibri" w:hAnsi="Times Roman" w:cs="Times New Roman"/>
          <w:sz w:val="24"/>
          <w:shd w:val="clear" w:color="auto" w:fill="FFFFFF"/>
        </w:rPr>
        <w:t xml:space="preserve">, </w:t>
      </w:r>
      <w:r w:rsidR="005F1393">
        <w:rPr>
          <w:rFonts w:ascii="Times Roman" w:eastAsia="Calibri" w:hAnsi="Times Roman" w:cs="Times New Roman"/>
          <w:sz w:val="24"/>
          <w:shd w:val="clear" w:color="auto" w:fill="FFFFFF"/>
        </w:rPr>
        <w:t>Torres</w:t>
      </w:r>
      <w:r>
        <w:rPr>
          <w:rFonts w:ascii="Times Roman" w:eastAsia="Calibri" w:hAnsi="Times Roman" w:cs="Times New Roman"/>
          <w:sz w:val="24"/>
          <w:shd w:val="clear" w:color="auto" w:fill="FFFFFF"/>
        </w:rPr>
        <w:t xml:space="preserve">, </w:t>
      </w:r>
      <w:r w:rsidR="005F1393">
        <w:rPr>
          <w:rFonts w:ascii="Times Roman" w:eastAsia="Calibri" w:hAnsi="Times Roman" w:cs="Times New Roman"/>
          <w:sz w:val="24"/>
          <w:shd w:val="clear" w:color="auto" w:fill="FFFFFF"/>
        </w:rPr>
        <w:t>Kallos</w:t>
      </w:r>
      <w:r>
        <w:rPr>
          <w:rFonts w:ascii="Times Roman" w:eastAsia="Calibri" w:hAnsi="Times Roman" w:cs="Times New Roman"/>
          <w:sz w:val="24"/>
          <w:shd w:val="clear" w:color="auto" w:fill="FFFFFF"/>
        </w:rPr>
        <w:t>,</w:t>
      </w:r>
      <w:r w:rsidRPr="00581DCF">
        <w:rPr>
          <w:rFonts w:ascii="Times Roman" w:eastAsia="Calibri" w:hAnsi="Times Roman" w:cs="Times New Roman"/>
          <w:sz w:val="24"/>
          <w:shd w:val="clear" w:color="auto" w:fill="FFFFFF"/>
        </w:rPr>
        <w:t xml:space="preserve"> and </w:t>
      </w:r>
      <w:r w:rsidR="005F1393">
        <w:rPr>
          <w:rFonts w:ascii="Times Roman" w:eastAsia="Calibri" w:hAnsi="Times Roman" w:cs="Times New Roman"/>
          <w:sz w:val="24"/>
          <w:shd w:val="clear" w:color="auto" w:fill="FFFFFF"/>
        </w:rPr>
        <w:t>Yeger</w:t>
      </w:r>
    </w:p>
    <w:p w14:paraId="08DE9C6B" w14:textId="77777777" w:rsidR="00581DCF" w:rsidRPr="00581DCF" w:rsidRDefault="00581DCF" w:rsidP="00581DCF">
      <w:pPr>
        <w:spacing w:after="0" w:line="240" w:lineRule="auto"/>
        <w:ind w:left="4320" w:hanging="4320"/>
        <w:jc w:val="both"/>
        <w:rPr>
          <w:rFonts w:ascii="Times Roman" w:eastAsia="Calibri" w:hAnsi="Times Roman" w:cs="Times New Roman"/>
          <w:b/>
          <w:sz w:val="24"/>
        </w:rPr>
      </w:pPr>
      <w:r w:rsidRPr="00581DCF">
        <w:rPr>
          <w:rFonts w:ascii="Times Roman" w:eastAsia="Calibri" w:hAnsi="Times Roman" w:cs="Times New Roman"/>
          <w:sz w:val="24"/>
          <w:shd w:val="clear" w:color="auto" w:fill="FFFFFF"/>
        </w:rPr>
        <w:t xml:space="preserve"> </w:t>
      </w:r>
    </w:p>
    <w:p w14:paraId="5F237742" w14:textId="2D31FFB1" w:rsidR="00581DCF" w:rsidRDefault="00581DCF" w:rsidP="00AC75B2">
      <w:pPr>
        <w:spacing w:after="0" w:line="240" w:lineRule="auto"/>
        <w:ind w:left="4320" w:hanging="4320"/>
        <w:jc w:val="both"/>
        <w:rPr>
          <w:rFonts w:ascii="Times New Roman" w:eastAsia="Times New Roman" w:hAnsi="Times New Roman" w:cs="Times New Roman"/>
          <w:bCs/>
          <w:sz w:val="24"/>
          <w:szCs w:val="24"/>
        </w:rPr>
      </w:pPr>
      <w:r w:rsidRPr="00581DCF">
        <w:rPr>
          <w:rFonts w:ascii="Times Roman" w:eastAsia="Calibri" w:hAnsi="Times Roman" w:cs="Times New Roman"/>
          <w:b/>
          <w:smallCaps/>
          <w:sz w:val="24"/>
          <w:u w:val="single"/>
        </w:rPr>
        <w:t>Title:</w:t>
      </w:r>
      <w:r w:rsidRPr="00581DCF">
        <w:rPr>
          <w:rFonts w:ascii="Times Roman" w:eastAsia="Calibri" w:hAnsi="Times Roman" w:cs="Times New Roman"/>
          <w:b/>
          <w:sz w:val="24"/>
        </w:rPr>
        <w:tab/>
      </w:r>
      <w:r w:rsidR="00AC75B2" w:rsidRPr="00AC75B2">
        <w:rPr>
          <w:rFonts w:ascii="Times New Roman" w:eastAsia="Times New Roman" w:hAnsi="Times New Roman" w:cs="Times New Roman"/>
          <w:bCs/>
          <w:sz w:val="24"/>
          <w:szCs w:val="24"/>
        </w:rPr>
        <w:t xml:space="preserve">A Local Law to amend the administrative code of the city of New York, in relation </w:t>
      </w:r>
      <w:r w:rsidR="005F1393">
        <w:rPr>
          <w:rFonts w:ascii="Times New Roman" w:eastAsia="Times New Roman" w:hAnsi="Times New Roman" w:cs="Times New Roman"/>
          <w:bCs/>
          <w:sz w:val="24"/>
          <w:szCs w:val="24"/>
        </w:rPr>
        <w:t>to creating a pilot program to test sewage for COVID-19 RNA</w:t>
      </w:r>
    </w:p>
    <w:p w14:paraId="6EA2F644" w14:textId="77777777" w:rsidR="007B095C" w:rsidRDefault="007B095C" w:rsidP="00AC75B2">
      <w:pPr>
        <w:spacing w:after="0" w:line="240" w:lineRule="auto"/>
        <w:ind w:left="4320" w:hanging="4320"/>
        <w:jc w:val="both"/>
        <w:rPr>
          <w:rFonts w:ascii="Times New Roman" w:eastAsia="Times New Roman" w:hAnsi="Times New Roman" w:cs="Times New Roman"/>
          <w:bCs/>
          <w:sz w:val="24"/>
          <w:szCs w:val="24"/>
        </w:rPr>
      </w:pPr>
    </w:p>
    <w:p w14:paraId="7CCE7FFE" w14:textId="77777777" w:rsidR="00AC75B2" w:rsidRPr="00EA406E" w:rsidRDefault="007B095C" w:rsidP="00EA406E">
      <w:pPr>
        <w:spacing w:after="0" w:line="240" w:lineRule="auto"/>
        <w:ind w:left="4320" w:hanging="4320"/>
        <w:jc w:val="both"/>
        <w:rPr>
          <w:rFonts w:ascii="Times New Roman" w:eastAsia="Calibri" w:hAnsi="Times New Roman" w:cs="Times New Roman"/>
          <w:sz w:val="24"/>
          <w:szCs w:val="24"/>
        </w:rPr>
      </w:pPr>
      <w:r w:rsidRPr="00581DCF">
        <w:rPr>
          <w:rFonts w:ascii="Times New Roman Bold" w:eastAsia="Calibri" w:hAnsi="Times New Roman Bold" w:cs="Times New Roman"/>
          <w:b/>
          <w:smallCaps/>
          <w:sz w:val="24"/>
          <w:szCs w:val="24"/>
          <w:u w:val="single"/>
        </w:rPr>
        <w:t>Administrative Code:</w:t>
      </w:r>
      <w:r w:rsidRPr="00581DCF">
        <w:rPr>
          <w:rFonts w:ascii="Times New Roman" w:eastAsia="Calibri" w:hAnsi="Times New Roman" w:cs="Times New Roman"/>
          <w:b/>
          <w:sz w:val="24"/>
          <w:szCs w:val="24"/>
        </w:rPr>
        <w:tab/>
      </w:r>
      <w:r w:rsidR="00EA406E">
        <w:rPr>
          <w:rFonts w:ascii="Times New Roman" w:eastAsia="Calibri" w:hAnsi="Times New Roman" w:cs="Times New Roman"/>
          <w:sz w:val="24"/>
          <w:szCs w:val="24"/>
        </w:rPr>
        <w:t>Adds a</w:t>
      </w:r>
      <w:r w:rsidR="00EA406E" w:rsidRPr="00EA406E">
        <w:rPr>
          <w:rFonts w:ascii="Times New Roman" w:eastAsia="Calibri" w:hAnsi="Times New Roman" w:cs="Times New Roman"/>
          <w:sz w:val="24"/>
          <w:szCs w:val="24"/>
        </w:rPr>
        <w:t xml:space="preserve"> new section 24-531</w:t>
      </w:r>
      <w:r w:rsidR="00EA406E">
        <w:rPr>
          <w:rFonts w:ascii="Times New Roman" w:eastAsia="Calibri" w:hAnsi="Times New Roman" w:cs="Times New Roman"/>
          <w:sz w:val="24"/>
          <w:szCs w:val="24"/>
        </w:rPr>
        <w:t xml:space="preserve"> </w:t>
      </w:r>
    </w:p>
    <w:p w14:paraId="191125B1" w14:textId="77777777" w:rsidR="00AC75B2" w:rsidRDefault="00AC75B2" w:rsidP="00AC75B2">
      <w:pPr>
        <w:pStyle w:val="Default"/>
        <w:rPr>
          <w:b/>
          <w:bCs/>
          <w:sz w:val="23"/>
          <w:szCs w:val="23"/>
        </w:rPr>
      </w:pPr>
    </w:p>
    <w:p w14:paraId="41DFB8DD" w14:textId="77777777" w:rsidR="00693CB4" w:rsidRDefault="00693CB4" w:rsidP="00AC75B2">
      <w:pPr>
        <w:pStyle w:val="Default"/>
        <w:rPr>
          <w:b/>
          <w:bCs/>
          <w:sz w:val="23"/>
          <w:szCs w:val="23"/>
        </w:rPr>
      </w:pPr>
    </w:p>
    <w:p w14:paraId="3EC3CDA7" w14:textId="722AED42" w:rsidR="00693CB4" w:rsidRDefault="00693CB4" w:rsidP="00AC75B2">
      <w:pPr>
        <w:pStyle w:val="Default"/>
        <w:rPr>
          <w:b/>
          <w:bCs/>
          <w:sz w:val="23"/>
          <w:szCs w:val="23"/>
        </w:rPr>
      </w:pPr>
    </w:p>
    <w:p w14:paraId="73DCF383" w14:textId="7E76D036" w:rsidR="005F1393" w:rsidRDefault="005F1393" w:rsidP="00AC75B2">
      <w:pPr>
        <w:pStyle w:val="Default"/>
        <w:rPr>
          <w:b/>
          <w:bCs/>
          <w:sz w:val="23"/>
          <w:szCs w:val="23"/>
        </w:rPr>
      </w:pPr>
    </w:p>
    <w:p w14:paraId="2F1EAFEA" w14:textId="77777777" w:rsidR="005F1393" w:rsidRDefault="005F1393" w:rsidP="00AC75B2">
      <w:pPr>
        <w:pStyle w:val="Default"/>
        <w:rPr>
          <w:b/>
          <w:bCs/>
          <w:sz w:val="23"/>
          <w:szCs w:val="23"/>
        </w:rPr>
      </w:pPr>
    </w:p>
    <w:p w14:paraId="78B55190" w14:textId="77777777" w:rsidR="00AC75B2" w:rsidRPr="00693CB4" w:rsidRDefault="00AC75B2" w:rsidP="007B095C">
      <w:pPr>
        <w:pStyle w:val="Default"/>
        <w:numPr>
          <w:ilvl w:val="0"/>
          <w:numId w:val="1"/>
        </w:numPr>
        <w:rPr>
          <w:b/>
          <w:bCs/>
          <w:smallCaps/>
        </w:rPr>
      </w:pPr>
      <w:r w:rsidRPr="00693CB4">
        <w:rPr>
          <w:b/>
          <w:bCs/>
          <w:smallCaps/>
        </w:rPr>
        <w:lastRenderedPageBreak/>
        <w:t>I</w:t>
      </w:r>
      <w:r w:rsidR="00211964" w:rsidRPr="00693CB4">
        <w:rPr>
          <w:b/>
          <w:bCs/>
          <w:smallCaps/>
        </w:rPr>
        <w:t>ntroduction</w:t>
      </w:r>
      <w:r w:rsidRPr="00693CB4">
        <w:rPr>
          <w:b/>
          <w:bCs/>
          <w:smallCaps/>
        </w:rPr>
        <w:t xml:space="preserve"> </w:t>
      </w:r>
    </w:p>
    <w:p w14:paraId="5F06EF9B" w14:textId="77777777" w:rsidR="007B095C" w:rsidRPr="00693CB4" w:rsidRDefault="007B095C" w:rsidP="007B095C">
      <w:pPr>
        <w:pStyle w:val="Default"/>
        <w:ind w:left="720"/>
        <w:rPr>
          <w:b/>
          <w:bCs/>
        </w:rPr>
      </w:pPr>
    </w:p>
    <w:p w14:paraId="2822F589" w14:textId="1AFF439E" w:rsidR="007B095C" w:rsidRDefault="007B095C" w:rsidP="008C3C23">
      <w:pPr>
        <w:pStyle w:val="Default"/>
        <w:spacing w:line="480" w:lineRule="auto"/>
        <w:ind w:firstLine="720"/>
        <w:jc w:val="both"/>
      </w:pPr>
      <w:r w:rsidRPr="00693CB4">
        <w:rPr>
          <w:bCs/>
        </w:rPr>
        <w:t xml:space="preserve">On </w:t>
      </w:r>
      <w:r w:rsidR="005F1393">
        <w:rPr>
          <w:bCs/>
        </w:rPr>
        <w:t>October</w:t>
      </w:r>
      <w:r w:rsidRPr="00693CB4">
        <w:rPr>
          <w:bCs/>
        </w:rPr>
        <w:t xml:space="preserve"> 2</w:t>
      </w:r>
      <w:r w:rsidR="005F1393">
        <w:rPr>
          <w:bCs/>
        </w:rPr>
        <w:t>6</w:t>
      </w:r>
      <w:r w:rsidRPr="00693CB4">
        <w:rPr>
          <w:bCs/>
        </w:rPr>
        <w:t xml:space="preserve">, </w:t>
      </w:r>
      <w:r w:rsidR="00305100" w:rsidRPr="00693CB4">
        <w:rPr>
          <w:bCs/>
        </w:rPr>
        <w:t>20</w:t>
      </w:r>
      <w:r w:rsidR="005F1393">
        <w:rPr>
          <w:bCs/>
        </w:rPr>
        <w:t>20</w:t>
      </w:r>
      <w:r w:rsidR="00305100" w:rsidRPr="00693CB4">
        <w:rPr>
          <w:bCs/>
        </w:rPr>
        <w:t xml:space="preserve"> </w:t>
      </w:r>
      <w:r w:rsidRPr="00693CB4">
        <w:rPr>
          <w:bCs/>
        </w:rPr>
        <w:t>the Committee on Environmental Protection</w:t>
      </w:r>
      <w:r w:rsidR="00305100">
        <w:rPr>
          <w:bCs/>
        </w:rPr>
        <w:t>,</w:t>
      </w:r>
      <w:r w:rsidRPr="00693CB4">
        <w:rPr>
          <w:bCs/>
        </w:rPr>
        <w:t xml:space="preserve"> </w:t>
      </w:r>
      <w:r w:rsidR="00305100">
        <w:rPr>
          <w:bCs/>
        </w:rPr>
        <w:t>c</w:t>
      </w:r>
      <w:r w:rsidRPr="00693CB4">
        <w:rPr>
          <w:bCs/>
        </w:rPr>
        <w:t xml:space="preserve">haired by Council Member Constantinides, will hold a hearing on bills related to the </w:t>
      </w:r>
      <w:r w:rsidR="005F1393">
        <w:rPr>
          <w:bCs/>
        </w:rPr>
        <w:t xml:space="preserve">creation of a pilot program to test sewage for </w:t>
      </w:r>
      <w:r w:rsidR="00523CA3">
        <w:rPr>
          <w:bCs/>
        </w:rPr>
        <w:t>SARS - CoV-2</w:t>
      </w:r>
      <w:r w:rsidR="005F1393">
        <w:rPr>
          <w:bCs/>
        </w:rPr>
        <w:t xml:space="preserve"> RNA, and </w:t>
      </w:r>
      <w:r w:rsidR="003117DE">
        <w:rPr>
          <w:bCs/>
        </w:rPr>
        <w:t>the sale of nonwoven disposable products</w:t>
      </w:r>
      <w:r w:rsidRPr="00693CB4">
        <w:rPr>
          <w:bCs/>
        </w:rPr>
        <w:t xml:space="preserve">. </w:t>
      </w:r>
      <w:r w:rsidR="00340020" w:rsidRPr="00693CB4">
        <w:rPr>
          <w:bCs/>
        </w:rPr>
        <w:t>Int</w:t>
      </w:r>
      <w:r w:rsidRPr="00693CB4">
        <w:rPr>
          <w:bCs/>
        </w:rPr>
        <w:t xml:space="preserve">. No. </w:t>
      </w:r>
      <w:r w:rsidR="003117DE">
        <w:rPr>
          <w:bCs/>
        </w:rPr>
        <w:t>24</w:t>
      </w:r>
      <w:r w:rsidRPr="00693CB4">
        <w:rPr>
          <w:bCs/>
        </w:rPr>
        <w:t xml:space="preserve">4 would </w:t>
      </w:r>
      <w:r w:rsidR="003117DE">
        <w:rPr>
          <w:bCs/>
        </w:rPr>
        <w:t>prohibit the sale of nonwoven wipes labeled as flushable unless specific criteria are met</w:t>
      </w:r>
      <w:r w:rsidR="00340020" w:rsidRPr="00693CB4">
        <w:rPr>
          <w:bCs/>
        </w:rPr>
        <w:t>. Int</w:t>
      </w:r>
      <w:r w:rsidRPr="00693CB4">
        <w:rPr>
          <w:bCs/>
        </w:rPr>
        <w:t>. No</w:t>
      </w:r>
      <w:r w:rsidR="003A0868">
        <w:rPr>
          <w:bCs/>
        </w:rPr>
        <w:t>.</w:t>
      </w:r>
      <w:r w:rsidRPr="00693CB4">
        <w:rPr>
          <w:bCs/>
        </w:rPr>
        <w:t xml:space="preserve"> </w:t>
      </w:r>
      <w:r w:rsidR="00340020" w:rsidRPr="00693CB4">
        <w:rPr>
          <w:bCs/>
        </w:rPr>
        <w:t>1</w:t>
      </w:r>
      <w:r w:rsidR="003117DE">
        <w:rPr>
          <w:bCs/>
        </w:rPr>
        <w:t>966</w:t>
      </w:r>
      <w:r w:rsidR="00340020" w:rsidRPr="00693CB4">
        <w:rPr>
          <w:bCs/>
        </w:rPr>
        <w:t xml:space="preserve"> would require the </w:t>
      </w:r>
      <w:r w:rsidR="005438E5">
        <w:rPr>
          <w:bCs/>
        </w:rPr>
        <w:t xml:space="preserve">commissioners of the </w:t>
      </w:r>
      <w:r w:rsidR="00305100">
        <w:rPr>
          <w:bCs/>
        </w:rPr>
        <w:t xml:space="preserve">New York City </w:t>
      </w:r>
      <w:r w:rsidR="00340020" w:rsidRPr="00693CB4">
        <w:rPr>
          <w:bCs/>
        </w:rPr>
        <w:t xml:space="preserve">Department of Environmental Protection </w:t>
      </w:r>
      <w:r w:rsidR="00305100">
        <w:rPr>
          <w:bCs/>
        </w:rPr>
        <w:t xml:space="preserve">(“DEP”) </w:t>
      </w:r>
      <w:r w:rsidR="005438E5">
        <w:rPr>
          <w:bCs/>
        </w:rPr>
        <w:t xml:space="preserve"> and the New York City Department of Health and Mental Hygiene (DOHMH) </w:t>
      </w:r>
      <w:r w:rsidR="00340020" w:rsidRPr="00693CB4">
        <w:rPr>
          <w:bCs/>
        </w:rPr>
        <w:t>to</w:t>
      </w:r>
      <w:r w:rsidR="005438E5">
        <w:rPr>
          <w:bCs/>
        </w:rPr>
        <w:t xml:space="preserve"> establish a </w:t>
      </w:r>
      <w:r w:rsidR="00E21320">
        <w:rPr>
          <w:bCs/>
        </w:rPr>
        <w:t xml:space="preserve">wastewater testing </w:t>
      </w:r>
      <w:r w:rsidR="005438E5">
        <w:rPr>
          <w:bCs/>
        </w:rPr>
        <w:t xml:space="preserve">pilot program using metagenomic next generation </w:t>
      </w:r>
      <w:r w:rsidR="00E21320">
        <w:rPr>
          <w:bCs/>
        </w:rPr>
        <w:t>sequencing to detect COVID-19 RNA in the community</w:t>
      </w:r>
      <w:r w:rsidR="00340020" w:rsidRPr="00693CB4">
        <w:rPr>
          <w:bCs/>
        </w:rPr>
        <w:t xml:space="preserve">. </w:t>
      </w:r>
      <w:r w:rsidR="00340020" w:rsidRPr="00693CB4">
        <w:t xml:space="preserve">The Committee expects to hear testimony from </w:t>
      </w:r>
      <w:r w:rsidR="00305100">
        <w:t>DEP</w:t>
      </w:r>
      <w:r w:rsidR="00340020" w:rsidRPr="00693CB4">
        <w:t>, public health and environmental advocates, and interested members of the public.</w:t>
      </w:r>
    </w:p>
    <w:p w14:paraId="603255A5" w14:textId="77777777" w:rsidR="00305100" w:rsidRPr="00693CB4" w:rsidRDefault="00305100" w:rsidP="008C3C23">
      <w:pPr>
        <w:pStyle w:val="Default"/>
        <w:spacing w:line="480" w:lineRule="auto"/>
        <w:ind w:firstLine="720"/>
        <w:jc w:val="both"/>
        <w:rPr>
          <w:bCs/>
        </w:rPr>
      </w:pPr>
    </w:p>
    <w:p w14:paraId="060C82B9" w14:textId="77777777" w:rsidR="00AC75B2" w:rsidRPr="00693CB4" w:rsidRDefault="00211964" w:rsidP="008C3C23">
      <w:pPr>
        <w:pStyle w:val="Default"/>
        <w:numPr>
          <w:ilvl w:val="0"/>
          <w:numId w:val="1"/>
        </w:numPr>
        <w:spacing w:line="480" w:lineRule="auto"/>
        <w:rPr>
          <w:b/>
          <w:bCs/>
          <w:smallCaps/>
        </w:rPr>
      </w:pPr>
      <w:r w:rsidRPr="00693CB4">
        <w:rPr>
          <w:b/>
          <w:bCs/>
          <w:smallCaps/>
        </w:rPr>
        <w:t>Background</w:t>
      </w:r>
      <w:r w:rsidR="00AC75B2" w:rsidRPr="00693CB4">
        <w:rPr>
          <w:b/>
          <w:bCs/>
          <w:smallCaps/>
        </w:rPr>
        <w:t xml:space="preserve"> </w:t>
      </w:r>
    </w:p>
    <w:p w14:paraId="2492B0BF" w14:textId="027E9333" w:rsidR="00523CA3" w:rsidRDefault="00523CA3" w:rsidP="00D44282">
      <w:pPr>
        <w:pStyle w:val="Default"/>
        <w:spacing w:line="480" w:lineRule="auto"/>
        <w:ind w:firstLine="720"/>
        <w:jc w:val="both"/>
        <w:rPr>
          <w:bCs/>
        </w:rPr>
      </w:pPr>
      <w:r>
        <w:rPr>
          <w:bCs/>
        </w:rPr>
        <w:t>SARS-CoV-2, the virus that causes COVID-19</w:t>
      </w:r>
      <w:r w:rsidR="003A0868">
        <w:rPr>
          <w:bCs/>
        </w:rPr>
        <w:t>,</w:t>
      </w:r>
      <w:r>
        <w:rPr>
          <w:bCs/>
        </w:rPr>
        <w:t xml:space="preserve"> has sickened over 40 million individuals, and caused over one million deaths </w:t>
      </w:r>
      <w:r w:rsidR="00F340A6">
        <w:rPr>
          <w:bCs/>
        </w:rPr>
        <w:t>across the world</w:t>
      </w:r>
      <w:r>
        <w:rPr>
          <w:bCs/>
        </w:rPr>
        <w:t>.</w:t>
      </w:r>
      <w:r>
        <w:rPr>
          <w:rStyle w:val="FootnoteReference"/>
          <w:bCs/>
        </w:rPr>
        <w:footnoteReference w:id="1"/>
      </w:r>
      <w:r>
        <w:rPr>
          <w:bCs/>
        </w:rPr>
        <w:t xml:space="preserve"> In the United States, nearly nine million individuals have tested positive for the disease, with </w:t>
      </w:r>
      <w:r w:rsidR="00F501CE">
        <w:rPr>
          <w:bCs/>
        </w:rPr>
        <w:t>over 225,000 deaths as of October 23, 2020.</w:t>
      </w:r>
      <w:r w:rsidR="00F501CE">
        <w:rPr>
          <w:rStyle w:val="FootnoteReference"/>
          <w:bCs/>
        </w:rPr>
        <w:footnoteReference w:id="2"/>
      </w:r>
      <w:r w:rsidR="00F501CE">
        <w:rPr>
          <w:bCs/>
        </w:rPr>
        <w:t xml:space="preserve"> In New York City, over 261,000 residents have tested positive, with </w:t>
      </w:r>
      <w:r w:rsidR="00F340A6">
        <w:rPr>
          <w:bCs/>
        </w:rPr>
        <w:t>more than</w:t>
      </w:r>
      <w:r w:rsidR="001F282C">
        <w:rPr>
          <w:bCs/>
        </w:rPr>
        <w:t xml:space="preserve"> </w:t>
      </w:r>
      <w:r w:rsidR="00F501CE">
        <w:rPr>
          <w:bCs/>
        </w:rPr>
        <w:t>24,000 individuals succumbing to the virus.</w:t>
      </w:r>
      <w:r w:rsidR="00F501CE">
        <w:rPr>
          <w:rStyle w:val="FootnoteReference"/>
          <w:bCs/>
        </w:rPr>
        <w:footnoteReference w:id="3"/>
      </w:r>
      <w:r w:rsidR="00F340A6">
        <w:rPr>
          <w:bCs/>
        </w:rPr>
        <w:t xml:space="preserve"> Wastewater monitoring for SARS-CoV-2 RNA presents an opportunity for pooled community testing that tracks changes in COVID-19 infection levels through the community, which, depending on the frequency of testing, can serve as a leading indicator of the prevalence of community spread.</w:t>
      </w:r>
      <w:r w:rsidR="00F340A6">
        <w:rPr>
          <w:rStyle w:val="FootnoteReference"/>
          <w:bCs/>
        </w:rPr>
        <w:footnoteReference w:id="4"/>
      </w:r>
    </w:p>
    <w:p w14:paraId="7CCE402F" w14:textId="042B5FA9" w:rsidR="00460B52" w:rsidRDefault="008C3C23" w:rsidP="00D44282">
      <w:pPr>
        <w:pStyle w:val="Default"/>
        <w:spacing w:line="480" w:lineRule="auto"/>
        <w:ind w:firstLine="720"/>
        <w:jc w:val="both"/>
        <w:rPr>
          <w:bCs/>
        </w:rPr>
      </w:pPr>
      <w:r w:rsidRPr="00693CB4">
        <w:rPr>
          <w:bCs/>
        </w:rPr>
        <w:t xml:space="preserve">New York City has 14 wastewater treatment plants, categorized into </w:t>
      </w:r>
      <w:r w:rsidR="00D4298D">
        <w:rPr>
          <w:bCs/>
        </w:rPr>
        <w:t>three</w:t>
      </w:r>
      <w:r w:rsidRPr="00693CB4">
        <w:rPr>
          <w:bCs/>
        </w:rPr>
        <w:t xml:space="preserve"> regional areas</w:t>
      </w:r>
      <w:r w:rsidR="00D4298D">
        <w:rPr>
          <w:bCs/>
        </w:rPr>
        <w:t>:</w:t>
      </w:r>
      <w:r w:rsidRPr="00693CB4">
        <w:rPr>
          <w:bCs/>
        </w:rPr>
        <w:t xml:space="preserve"> north, south, and east.</w:t>
      </w:r>
      <w:r w:rsidRPr="00693CB4">
        <w:rPr>
          <w:rStyle w:val="FootnoteReference"/>
          <w:bCs/>
        </w:rPr>
        <w:footnoteReference w:id="5"/>
      </w:r>
      <w:r w:rsidR="00273001">
        <w:rPr>
          <w:bCs/>
        </w:rPr>
        <w:t xml:space="preserve"> Each of the 14 plants serves a distinct geographical area,</w:t>
      </w:r>
      <w:r w:rsidR="00460B52">
        <w:rPr>
          <w:rStyle w:val="FootnoteReference"/>
          <w:bCs/>
        </w:rPr>
        <w:footnoteReference w:id="6"/>
      </w:r>
      <w:r w:rsidR="00273001">
        <w:rPr>
          <w:bCs/>
        </w:rPr>
        <w:t xml:space="preserve"> referred to as a sewershed.</w:t>
      </w:r>
      <w:r w:rsidR="00273001">
        <w:rPr>
          <w:rStyle w:val="FootnoteReference"/>
          <w:bCs/>
        </w:rPr>
        <w:footnoteReference w:id="7"/>
      </w:r>
      <w:r w:rsidRPr="00693CB4">
        <w:rPr>
          <w:bCs/>
        </w:rPr>
        <w:t xml:space="preserve"> In total, these plants </w:t>
      </w:r>
      <w:r w:rsidRPr="00460B52">
        <w:rPr>
          <w:bCs/>
          <w:color w:val="000000" w:themeColor="text1"/>
        </w:rPr>
        <w:t>have</w:t>
      </w:r>
      <w:r w:rsidRPr="00693CB4">
        <w:rPr>
          <w:bCs/>
        </w:rPr>
        <w:t xml:space="preserve"> a combined treatment capacity of 1</w:t>
      </w:r>
      <w:r w:rsidR="006F69DC">
        <w:rPr>
          <w:bCs/>
        </w:rPr>
        <w:t xml:space="preserve">.3 billion </w:t>
      </w:r>
      <w:r w:rsidRPr="00693CB4">
        <w:rPr>
          <w:bCs/>
        </w:rPr>
        <w:t>gallons per day.</w:t>
      </w:r>
      <w:r w:rsidRPr="00693CB4">
        <w:rPr>
          <w:rStyle w:val="FootnoteReference"/>
          <w:bCs/>
        </w:rPr>
        <w:footnoteReference w:id="8"/>
      </w:r>
      <w:r w:rsidR="00441DA1" w:rsidRPr="00693CB4">
        <w:rPr>
          <w:bCs/>
        </w:rPr>
        <w:t xml:space="preserve"> </w:t>
      </w:r>
      <w:r w:rsidR="007E1020">
        <w:rPr>
          <w:bCs/>
        </w:rPr>
        <w:t>Wastewater monitoring</w:t>
      </w:r>
      <w:r w:rsidR="00E6642C">
        <w:rPr>
          <w:bCs/>
        </w:rPr>
        <w:t xml:space="preserve"> for SARS-CoV-2 RNA</w:t>
      </w:r>
      <w:r w:rsidR="007E1020">
        <w:rPr>
          <w:bCs/>
        </w:rPr>
        <w:t xml:space="preserve"> at the </w:t>
      </w:r>
      <w:r w:rsidR="00E6642C">
        <w:rPr>
          <w:bCs/>
        </w:rPr>
        <w:t>treatment plant</w:t>
      </w:r>
      <w:r w:rsidR="007E1020">
        <w:rPr>
          <w:bCs/>
        </w:rPr>
        <w:t xml:space="preserve"> level can provide trend data for COVID-19 infections that is specific to the communities serviced by each facility.</w:t>
      </w:r>
      <w:r w:rsidR="007E1020">
        <w:rPr>
          <w:rStyle w:val="FootnoteReference"/>
          <w:bCs/>
        </w:rPr>
        <w:footnoteReference w:id="9"/>
      </w:r>
      <w:r w:rsidR="00E6642C">
        <w:rPr>
          <w:bCs/>
        </w:rPr>
        <w:t xml:space="preserve"> It is not currently possible to extrapolate sewage testing data into specific numbers of infected individuals, and testing at the treatment plant level would not capture evidence of infected individuals not serviced by the municipal sewer system.</w:t>
      </w:r>
      <w:r w:rsidR="00E6642C">
        <w:rPr>
          <w:rStyle w:val="FootnoteReference"/>
          <w:bCs/>
        </w:rPr>
        <w:footnoteReference w:id="10"/>
      </w:r>
    </w:p>
    <w:p w14:paraId="6C20CC55" w14:textId="77777777" w:rsidR="00460B52" w:rsidRDefault="00460B52" w:rsidP="00D44282">
      <w:pPr>
        <w:pStyle w:val="Default"/>
        <w:spacing w:line="480" w:lineRule="auto"/>
        <w:ind w:firstLine="720"/>
        <w:jc w:val="both"/>
        <w:rPr>
          <w:bCs/>
        </w:rPr>
      </w:pPr>
    </w:p>
    <w:p w14:paraId="1AADF147" w14:textId="09A2539D" w:rsidR="007E1020" w:rsidRDefault="00460B52" w:rsidP="00683820">
      <w:pPr>
        <w:pStyle w:val="Default"/>
        <w:spacing w:line="480" w:lineRule="auto"/>
        <w:ind w:firstLine="720"/>
        <w:jc w:val="both"/>
        <w:rPr>
          <w:bCs/>
        </w:rPr>
      </w:pPr>
      <w:r>
        <w:rPr>
          <w:bCs/>
          <w:noProof/>
        </w:rPr>
        <w:drawing>
          <wp:inline distT="0" distB="0" distL="0" distR="0" wp14:anchorId="2CB88445" wp14:editId="594C6CB3">
            <wp:extent cx="4940300" cy="5765800"/>
            <wp:effectExtent l="0" t="0" r="4445" b="5715"/>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40300" cy="5765800"/>
                    </a:xfrm>
                    <a:prstGeom prst="rect">
                      <a:avLst/>
                    </a:prstGeom>
                  </pic:spPr>
                </pic:pic>
              </a:graphicData>
            </a:graphic>
          </wp:inline>
        </w:drawing>
      </w:r>
      <w:r>
        <w:rPr>
          <w:rStyle w:val="FootnoteReference"/>
          <w:bCs/>
        </w:rPr>
        <w:footnoteReference w:id="11"/>
      </w:r>
    </w:p>
    <w:p w14:paraId="336E5A18" w14:textId="2E20616B" w:rsidR="003A0868" w:rsidRDefault="003A0868" w:rsidP="00C221B0">
      <w:pPr>
        <w:pStyle w:val="Default"/>
        <w:jc w:val="both"/>
        <w:rPr>
          <w:bCs/>
          <w:sz w:val="20"/>
        </w:rPr>
      </w:pPr>
      <w:r w:rsidRPr="00C221B0">
        <w:rPr>
          <w:bCs/>
          <w:sz w:val="20"/>
        </w:rPr>
        <w:t>The above map shows the location of wastewater treatment plants</w:t>
      </w:r>
      <w:r w:rsidR="006F69DC">
        <w:rPr>
          <w:bCs/>
          <w:sz w:val="20"/>
        </w:rPr>
        <w:t xml:space="preserve">, their processing </w:t>
      </w:r>
      <w:r w:rsidRPr="00C221B0">
        <w:rPr>
          <w:bCs/>
          <w:sz w:val="20"/>
        </w:rPr>
        <w:t xml:space="preserve">capacity, as well </w:t>
      </w:r>
      <w:r w:rsidR="006F69DC">
        <w:rPr>
          <w:bCs/>
          <w:sz w:val="20"/>
        </w:rPr>
        <w:t>the area served by each plant.</w:t>
      </w:r>
    </w:p>
    <w:p w14:paraId="715197DC" w14:textId="77777777" w:rsidR="003A0868" w:rsidRPr="00C221B0" w:rsidRDefault="003A0868" w:rsidP="00C221B0">
      <w:pPr>
        <w:pStyle w:val="Default"/>
        <w:jc w:val="both"/>
        <w:rPr>
          <w:bCs/>
          <w:sz w:val="16"/>
          <w:szCs w:val="20"/>
        </w:rPr>
      </w:pPr>
    </w:p>
    <w:p w14:paraId="4E1707A1" w14:textId="77777777" w:rsidR="006F69DC" w:rsidRDefault="006F69DC" w:rsidP="007E1020">
      <w:pPr>
        <w:pStyle w:val="Default"/>
        <w:spacing w:line="480" w:lineRule="auto"/>
        <w:jc w:val="both"/>
        <w:rPr>
          <w:bCs/>
          <w:i/>
          <w:iCs/>
          <w:u w:val="single"/>
        </w:rPr>
      </w:pPr>
    </w:p>
    <w:p w14:paraId="00BDD858" w14:textId="77777777" w:rsidR="006F69DC" w:rsidRDefault="006F69DC" w:rsidP="007E1020">
      <w:pPr>
        <w:pStyle w:val="Default"/>
        <w:spacing w:line="480" w:lineRule="auto"/>
        <w:jc w:val="both"/>
        <w:rPr>
          <w:bCs/>
          <w:i/>
          <w:iCs/>
          <w:u w:val="single"/>
        </w:rPr>
      </w:pPr>
    </w:p>
    <w:p w14:paraId="09384492" w14:textId="648C985B" w:rsidR="007E1020" w:rsidRPr="007E1020" w:rsidRDefault="007E1020" w:rsidP="007E1020">
      <w:pPr>
        <w:pStyle w:val="Default"/>
        <w:spacing w:line="480" w:lineRule="auto"/>
        <w:jc w:val="both"/>
        <w:rPr>
          <w:bCs/>
          <w:i/>
          <w:iCs/>
          <w:u w:val="single"/>
        </w:rPr>
      </w:pPr>
      <w:r w:rsidRPr="007E1020">
        <w:rPr>
          <w:bCs/>
          <w:i/>
          <w:iCs/>
          <w:u w:val="single"/>
        </w:rPr>
        <w:t>The Wastewater Treatment Process</w:t>
      </w:r>
    </w:p>
    <w:p w14:paraId="28FF9646" w14:textId="3EB42B7B" w:rsidR="00066BD8" w:rsidRPr="00693CB4" w:rsidRDefault="0058398A" w:rsidP="00D44282">
      <w:pPr>
        <w:pStyle w:val="Default"/>
        <w:spacing w:line="480" w:lineRule="auto"/>
        <w:ind w:firstLine="720"/>
        <w:jc w:val="both"/>
        <w:rPr>
          <w:bCs/>
        </w:rPr>
      </w:pPr>
      <w:r w:rsidRPr="00693CB4">
        <w:rPr>
          <w:bCs/>
        </w:rPr>
        <w:t xml:space="preserve">Water transiting through </w:t>
      </w:r>
      <w:r w:rsidR="00E6642C">
        <w:rPr>
          <w:bCs/>
        </w:rPr>
        <w:t>the New York City municipal sewer</w:t>
      </w:r>
      <w:r w:rsidRPr="00693CB4">
        <w:rPr>
          <w:bCs/>
        </w:rPr>
        <w:t xml:space="preserve"> system</w:t>
      </w:r>
      <w:r w:rsidR="00952778">
        <w:rPr>
          <w:bCs/>
        </w:rPr>
        <w:t xml:space="preserve"> from households</w:t>
      </w:r>
      <w:r w:rsidR="00441DA1" w:rsidRPr="00693CB4">
        <w:rPr>
          <w:bCs/>
        </w:rPr>
        <w:t xml:space="preserve"> goes through </w:t>
      </w:r>
      <w:r w:rsidR="00D4298D">
        <w:rPr>
          <w:bCs/>
        </w:rPr>
        <w:t>seven</w:t>
      </w:r>
      <w:r w:rsidR="00441DA1" w:rsidRPr="00693CB4">
        <w:rPr>
          <w:bCs/>
        </w:rPr>
        <w:t xml:space="preserve"> phases of treatment, starting with grates that screen large pieces of </w:t>
      </w:r>
      <w:r w:rsidRPr="00693CB4">
        <w:rPr>
          <w:bCs/>
        </w:rPr>
        <w:t>debris</w:t>
      </w:r>
      <w:r w:rsidR="00441DA1" w:rsidRPr="00693CB4">
        <w:rPr>
          <w:bCs/>
        </w:rPr>
        <w:t xml:space="preserve"> as </w:t>
      </w:r>
      <w:r w:rsidRPr="00693CB4">
        <w:rPr>
          <w:bCs/>
        </w:rPr>
        <w:t>it</w:t>
      </w:r>
      <w:r w:rsidR="00441DA1" w:rsidRPr="00693CB4">
        <w:rPr>
          <w:bCs/>
        </w:rPr>
        <w:t xml:space="preserve"> enters the sewage system</w:t>
      </w:r>
      <w:r w:rsidR="00E6642C">
        <w:rPr>
          <w:bCs/>
        </w:rPr>
        <w:t>.</w:t>
      </w:r>
      <w:r w:rsidR="00441DA1" w:rsidRPr="00693CB4">
        <w:rPr>
          <w:rStyle w:val="FootnoteReference"/>
          <w:bCs/>
        </w:rPr>
        <w:footnoteReference w:id="12"/>
      </w:r>
      <w:r w:rsidR="00952778">
        <w:rPr>
          <w:bCs/>
        </w:rPr>
        <w:t xml:space="preserve"> </w:t>
      </w:r>
      <w:r w:rsidR="00441DA1" w:rsidRPr="00693CB4">
        <w:rPr>
          <w:bCs/>
        </w:rPr>
        <w:t>Following this preliminary step, the water is pumped from the sewer</w:t>
      </w:r>
      <w:r w:rsidRPr="00693CB4">
        <w:rPr>
          <w:bCs/>
        </w:rPr>
        <w:t xml:space="preserve"> system </w:t>
      </w:r>
      <w:r w:rsidR="00441DA1" w:rsidRPr="00693CB4">
        <w:rPr>
          <w:bCs/>
        </w:rPr>
        <w:t xml:space="preserve">into </w:t>
      </w:r>
      <w:r w:rsidR="0064750F" w:rsidRPr="00693CB4">
        <w:rPr>
          <w:bCs/>
        </w:rPr>
        <w:t>a</w:t>
      </w:r>
      <w:r w:rsidR="00441DA1" w:rsidRPr="00693CB4">
        <w:rPr>
          <w:bCs/>
        </w:rPr>
        <w:t xml:space="preserve"> wastewater treatment facility, where </w:t>
      </w:r>
      <w:r w:rsidRPr="00693CB4">
        <w:rPr>
          <w:bCs/>
        </w:rPr>
        <w:t xml:space="preserve">it is held in primary settling tanks for a period of </w:t>
      </w:r>
      <w:r w:rsidR="00D4298D">
        <w:rPr>
          <w:bCs/>
        </w:rPr>
        <w:t>one</w:t>
      </w:r>
      <w:r w:rsidRPr="00693CB4">
        <w:rPr>
          <w:bCs/>
        </w:rPr>
        <w:t xml:space="preserve"> to </w:t>
      </w:r>
      <w:r w:rsidR="00D4298D">
        <w:rPr>
          <w:bCs/>
        </w:rPr>
        <w:t>two</w:t>
      </w:r>
      <w:r w:rsidR="00D4298D" w:rsidRPr="00693CB4">
        <w:rPr>
          <w:bCs/>
        </w:rPr>
        <w:t xml:space="preserve"> </w:t>
      </w:r>
      <w:r w:rsidRPr="00693CB4">
        <w:rPr>
          <w:bCs/>
        </w:rPr>
        <w:t>hours, to allow heavy sediment to sink to the bottom, and lighter particles and grease to be skimmed from the water surface.</w:t>
      </w:r>
      <w:r w:rsidRPr="00693CB4">
        <w:rPr>
          <w:rStyle w:val="FootnoteReference"/>
          <w:bCs/>
        </w:rPr>
        <w:footnoteReference w:id="13"/>
      </w:r>
      <w:r w:rsidRPr="00693CB4">
        <w:rPr>
          <w:bCs/>
        </w:rPr>
        <w:t xml:space="preserve"> </w:t>
      </w:r>
    </w:p>
    <w:p w14:paraId="7034D591" w14:textId="1954D0C3" w:rsidR="00066BD8" w:rsidRPr="00693CB4" w:rsidRDefault="00E6642C" w:rsidP="00D44282">
      <w:pPr>
        <w:pStyle w:val="Default"/>
        <w:spacing w:line="480" w:lineRule="auto"/>
        <w:ind w:firstLine="720"/>
        <w:jc w:val="both"/>
        <w:rPr>
          <w:bCs/>
        </w:rPr>
      </w:pPr>
      <w:r>
        <w:rPr>
          <w:bCs/>
        </w:rPr>
        <w:t>Heavier</w:t>
      </w:r>
      <w:r w:rsidR="0058398A" w:rsidRPr="00693CB4">
        <w:rPr>
          <w:bCs/>
        </w:rPr>
        <w:t xml:space="preserve"> sediment is sent to a cyclone degritter, which uses centrifugal force to separate gravel and heavy particulates (grit) from the sewage sludge, which requires further treatment.</w:t>
      </w:r>
      <w:r w:rsidR="0058398A" w:rsidRPr="00693CB4">
        <w:rPr>
          <w:rStyle w:val="FootnoteReference"/>
          <w:bCs/>
        </w:rPr>
        <w:footnoteReference w:id="14"/>
      </w:r>
      <w:r w:rsidR="0058398A" w:rsidRPr="00693CB4">
        <w:rPr>
          <w:bCs/>
        </w:rPr>
        <w:t xml:space="preserve"> The grit is then dried and sent to a landfill, and the partially processed wastewater </w:t>
      </w:r>
      <w:r w:rsidR="008D773B" w:rsidRPr="00693CB4">
        <w:rPr>
          <w:bCs/>
        </w:rPr>
        <w:t>continues</w:t>
      </w:r>
      <w:r w:rsidR="0058398A" w:rsidRPr="00693CB4">
        <w:rPr>
          <w:bCs/>
        </w:rPr>
        <w:t xml:space="preserve"> </w:t>
      </w:r>
      <w:r w:rsidR="00596872">
        <w:rPr>
          <w:bCs/>
        </w:rPr>
        <w:t>to</w:t>
      </w:r>
      <w:r w:rsidR="0058398A" w:rsidRPr="00693CB4">
        <w:rPr>
          <w:bCs/>
        </w:rPr>
        <w:t xml:space="preserve"> secondary treatment.</w:t>
      </w:r>
      <w:r w:rsidR="008D773B" w:rsidRPr="00693CB4">
        <w:rPr>
          <w:rStyle w:val="FootnoteReference"/>
          <w:bCs/>
        </w:rPr>
        <w:footnoteReference w:id="15"/>
      </w:r>
      <w:r w:rsidR="008D773B" w:rsidRPr="00693CB4">
        <w:rPr>
          <w:bCs/>
        </w:rPr>
        <w:t xml:space="preserve"> In secondary treatment, the wastewater is seeded with aerobic bacteria, and heavily aerated for </w:t>
      </w:r>
      <w:r w:rsidR="00D4298D">
        <w:rPr>
          <w:bCs/>
        </w:rPr>
        <w:t>four</w:t>
      </w:r>
      <w:r w:rsidR="00D4298D" w:rsidRPr="00693CB4">
        <w:rPr>
          <w:bCs/>
        </w:rPr>
        <w:t xml:space="preserve"> </w:t>
      </w:r>
      <w:r w:rsidR="008D773B" w:rsidRPr="00693CB4">
        <w:rPr>
          <w:bCs/>
        </w:rPr>
        <w:t xml:space="preserve">to </w:t>
      </w:r>
      <w:r w:rsidR="00D4298D">
        <w:rPr>
          <w:bCs/>
        </w:rPr>
        <w:t>six</w:t>
      </w:r>
      <w:r w:rsidR="00D4298D" w:rsidRPr="00693CB4">
        <w:rPr>
          <w:bCs/>
        </w:rPr>
        <w:t xml:space="preserve"> </w:t>
      </w:r>
      <w:r w:rsidR="008D773B" w:rsidRPr="00693CB4">
        <w:rPr>
          <w:bCs/>
        </w:rPr>
        <w:t>hours in order to allow beneficial microorganisms to consume the remaining organic matter present in the wastewater.</w:t>
      </w:r>
      <w:r w:rsidR="008D773B" w:rsidRPr="00693CB4">
        <w:rPr>
          <w:rStyle w:val="FootnoteReference"/>
          <w:bCs/>
        </w:rPr>
        <w:footnoteReference w:id="16"/>
      </w:r>
      <w:r w:rsidR="0064750F" w:rsidRPr="00693CB4">
        <w:rPr>
          <w:bCs/>
        </w:rPr>
        <w:t xml:space="preserve"> The water is then routed to settling tanks, in order to allow remaining sludge and byproducts of secondary treatment to precipitate out of the water column.</w:t>
      </w:r>
      <w:r w:rsidR="0064750F" w:rsidRPr="00693CB4">
        <w:rPr>
          <w:rStyle w:val="FootnoteReference"/>
          <w:bCs/>
        </w:rPr>
        <w:footnoteReference w:id="17"/>
      </w:r>
      <w:r w:rsidR="0064750F" w:rsidRPr="00693CB4">
        <w:rPr>
          <w:bCs/>
        </w:rPr>
        <w:t xml:space="preserve"> From this point, the water is treated with chlorine to kill off any remaining hazardous microorganisms, and then discharged into </w:t>
      </w:r>
      <w:r w:rsidR="00596872">
        <w:rPr>
          <w:bCs/>
        </w:rPr>
        <w:t>the receiving waterbody</w:t>
      </w:r>
      <w:r w:rsidR="0064750F" w:rsidRPr="00693CB4">
        <w:rPr>
          <w:bCs/>
        </w:rPr>
        <w:t>, while the sludge is sent for further processing.</w:t>
      </w:r>
      <w:r w:rsidR="0064750F" w:rsidRPr="00693CB4">
        <w:rPr>
          <w:rStyle w:val="FootnoteReference"/>
          <w:bCs/>
        </w:rPr>
        <w:footnoteReference w:id="18"/>
      </w:r>
      <w:r w:rsidR="00D0706D" w:rsidRPr="00693CB4">
        <w:rPr>
          <w:bCs/>
        </w:rPr>
        <w:t xml:space="preserve"> </w:t>
      </w:r>
      <w:r w:rsidR="00683820">
        <w:rPr>
          <w:bCs/>
        </w:rPr>
        <w:t xml:space="preserve"> It is important to note that while standard wastewater treatment</w:t>
      </w:r>
      <w:r w:rsidR="008F7871">
        <w:rPr>
          <w:bCs/>
        </w:rPr>
        <w:t>s</w:t>
      </w:r>
      <w:r w:rsidR="00683820">
        <w:rPr>
          <w:bCs/>
        </w:rPr>
        <w:t xml:space="preserve"> are believed to be adequate </w:t>
      </w:r>
      <w:r w:rsidR="00F45B84">
        <w:rPr>
          <w:bCs/>
        </w:rPr>
        <w:t>for</w:t>
      </w:r>
      <w:r w:rsidR="00683820">
        <w:rPr>
          <w:bCs/>
        </w:rPr>
        <w:t xml:space="preserve"> inactivat</w:t>
      </w:r>
      <w:r w:rsidR="00F45B84">
        <w:rPr>
          <w:bCs/>
        </w:rPr>
        <w:t xml:space="preserve">ing </w:t>
      </w:r>
      <w:r w:rsidR="00683820">
        <w:rPr>
          <w:bCs/>
        </w:rPr>
        <w:t>or neutraliz</w:t>
      </w:r>
      <w:r w:rsidR="00F45B84">
        <w:rPr>
          <w:bCs/>
        </w:rPr>
        <w:t>ing</w:t>
      </w:r>
      <w:r w:rsidR="00683820">
        <w:rPr>
          <w:bCs/>
        </w:rPr>
        <w:t xml:space="preserve"> the SARS-CoV-2 virus, there is not currently sufficient data specific to SARS-CoV-2 to assert this definitively.</w:t>
      </w:r>
      <w:r w:rsidR="00683820">
        <w:rPr>
          <w:rStyle w:val="FootnoteReference"/>
          <w:bCs/>
        </w:rPr>
        <w:footnoteReference w:id="19"/>
      </w:r>
    </w:p>
    <w:p w14:paraId="505A1E32" w14:textId="0FBFDDE0" w:rsidR="00683820" w:rsidRDefault="00D0706D" w:rsidP="003C276E">
      <w:pPr>
        <w:pStyle w:val="Default"/>
        <w:spacing w:line="480" w:lineRule="auto"/>
        <w:ind w:firstLine="720"/>
        <w:jc w:val="both"/>
        <w:rPr>
          <w:bCs/>
        </w:rPr>
      </w:pPr>
      <w:r w:rsidRPr="00693CB4">
        <w:rPr>
          <w:bCs/>
        </w:rPr>
        <w:t xml:space="preserve">Because the remaining </w:t>
      </w:r>
      <w:r w:rsidR="00F45B84">
        <w:rPr>
          <w:bCs/>
        </w:rPr>
        <w:t xml:space="preserve">sewage </w:t>
      </w:r>
      <w:r w:rsidRPr="00693CB4">
        <w:rPr>
          <w:bCs/>
        </w:rPr>
        <w:t>sludge is almost 99% water, it must be further thickened before processing can continue.</w:t>
      </w:r>
      <w:r w:rsidRPr="00693CB4">
        <w:rPr>
          <w:rStyle w:val="FootnoteReference"/>
          <w:bCs/>
        </w:rPr>
        <w:footnoteReference w:id="20"/>
      </w:r>
      <w:r w:rsidRPr="00693CB4">
        <w:rPr>
          <w:bCs/>
        </w:rPr>
        <w:t xml:space="preserve"> Water removed at this stage is sent back to the beginning of the process, and the sludge continues to an anaerobic digestion chamber, where </w:t>
      </w:r>
      <w:r w:rsidR="00066BD8" w:rsidRPr="00693CB4">
        <w:rPr>
          <w:bCs/>
        </w:rPr>
        <w:t>bacteria breaks down the remaining organic matter into water, CO</w:t>
      </w:r>
      <w:r w:rsidR="00066BD8" w:rsidRPr="00693CB4">
        <w:rPr>
          <w:bCs/>
          <w:vertAlign w:val="subscript"/>
        </w:rPr>
        <w:t>2</w:t>
      </w:r>
      <w:r w:rsidR="00066BD8" w:rsidRPr="00693CB4">
        <w:rPr>
          <w:bCs/>
        </w:rPr>
        <w:t>, and methane gas, which can then be collected and used to power other treatment plant functions.</w:t>
      </w:r>
      <w:r w:rsidR="00066BD8" w:rsidRPr="00693CB4">
        <w:rPr>
          <w:rStyle w:val="FootnoteReference"/>
          <w:bCs/>
        </w:rPr>
        <w:footnoteReference w:id="21"/>
      </w:r>
      <w:r w:rsidR="00066BD8" w:rsidRPr="00693CB4">
        <w:rPr>
          <w:bCs/>
        </w:rPr>
        <w:t xml:space="preserve"> Of the city’s 14 plants, </w:t>
      </w:r>
      <w:r w:rsidR="00D4298D">
        <w:rPr>
          <w:bCs/>
        </w:rPr>
        <w:t>eight</w:t>
      </w:r>
      <w:r w:rsidR="00D4298D" w:rsidRPr="00693CB4">
        <w:rPr>
          <w:bCs/>
        </w:rPr>
        <w:t xml:space="preserve"> </w:t>
      </w:r>
      <w:r w:rsidR="00066BD8" w:rsidRPr="00693CB4">
        <w:rPr>
          <w:bCs/>
        </w:rPr>
        <w:t xml:space="preserve">have the ability to process the digested sludge on site. The other </w:t>
      </w:r>
      <w:r w:rsidR="00D4298D">
        <w:rPr>
          <w:bCs/>
        </w:rPr>
        <w:t>six</w:t>
      </w:r>
      <w:r w:rsidR="00D4298D" w:rsidRPr="00693CB4">
        <w:rPr>
          <w:bCs/>
        </w:rPr>
        <w:t xml:space="preserve"> </w:t>
      </w:r>
      <w:r w:rsidR="00066BD8" w:rsidRPr="00693CB4">
        <w:rPr>
          <w:bCs/>
        </w:rPr>
        <w:t>must transport their sludge via pipeline or boat, to a facility that can finish processing the material.</w:t>
      </w:r>
      <w:r w:rsidR="00066BD8" w:rsidRPr="00693CB4">
        <w:rPr>
          <w:rStyle w:val="FootnoteReference"/>
          <w:bCs/>
        </w:rPr>
        <w:footnoteReference w:id="22"/>
      </w:r>
      <w:r w:rsidR="00D6058E" w:rsidRPr="00693CB4">
        <w:rPr>
          <w:bCs/>
        </w:rPr>
        <w:t xml:space="preserve"> The final step involves the use of a centrifuge to remove water remnants from the sludge to create dewatered biosolids, </w:t>
      </w:r>
      <w:r w:rsidR="00596872">
        <w:rPr>
          <w:bCs/>
        </w:rPr>
        <w:t>with</w:t>
      </w:r>
      <w:r w:rsidR="00D6058E" w:rsidRPr="00693CB4">
        <w:rPr>
          <w:bCs/>
        </w:rPr>
        <w:t xml:space="preserve"> the remaining water pumped back to the beginning of the treatment</w:t>
      </w:r>
      <w:r w:rsidR="00211964" w:rsidRPr="00693CB4">
        <w:rPr>
          <w:bCs/>
        </w:rPr>
        <w:t xml:space="preserve"> </w:t>
      </w:r>
      <w:r w:rsidR="00D6058E" w:rsidRPr="00693CB4">
        <w:rPr>
          <w:bCs/>
        </w:rPr>
        <w:t>process.</w:t>
      </w:r>
      <w:r w:rsidR="00D6058E" w:rsidRPr="00693CB4">
        <w:rPr>
          <w:rStyle w:val="FootnoteReference"/>
          <w:bCs/>
        </w:rPr>
        <w:footnoteReference w:id="23"/>
      </w:r>
      <w:r w:rsidR="00211964" w:rsidRPr="00693CB4">
        <w:rPr>
          <w:bCs/>
        </w:rPr>
        <w:t xml:space="preserve"> After dewatering, New York City’s sewage sludge biosolid waste is either sent to landfill, or further processed for use as a fertilizer and soil amendment</w:t>
      </w:r>
      <w:r w:rsidR="00E62BF7" w:rsidRPr="00693CB4">
        <w:rPr>
          <w:rStyle w:val="FootnoteReference"/>
          <w:bCs/>
        </w:rPr>
        <w:footnoteReference w:id="24"/>
      </w:r>
      <w:r w:rsidR="00F02B5C" w:rsidRPr="00693CB4">
        <w:rPr>
          <w:bCs/>
        </w:rPr>
        <w:t xml:space="preserve"> New York City produces approximately 1,200 tons of biosolids per day, the bulk of which are either sent to landfills, or processed with lime and used as soil amendments and fertilizers.</w:t>
      </w:r>
      <w:r w:rsidR="00F02B5C" w:rsidRPr="00693CB4">
        <w:rPr>
          <w:rStyle w:val="FootnoteReference"/>
          <w:bCs/>
        </w:rPr>
        <w:footnoteReference w:id="25"/>
      </w:r>
      <w:r w:rsidR="000E5470" w:rsidRPr="00693CB4">
        <w:rPr>
          <w:bCs/>
        </w:rPr>
        <w:t xml:space="preserve"> </w:t>
      </w:r>
    </w:p>
    <w:p w14:paraId="48A13092" w14:textId="6751924C" w:rsidR="0038424E" w:rsidRPr="00596872" w:rsidRDefault="00E261A8" w:rsidP="00683820">
      <w:pPr>
        <w:pStyle w:val="Default"/>
        <w:spacing w:line="480" w:lineRule="auto"/>
        <w:ind w:firstLine="720"/>
        <w:jc w:val="both"/>
        <w:rPr>
          <w:bCs/>
        </w:rPr>
      </w:pPr>
      <w:r w:rsidRPr="00693CB4">
        <w:rPr>
          <w:bCs/>
        </w:rPr>
        <w:t xml:space="preserve">The United States Environmental Protection Agency </w:t>
      </w:r>
      <w:r w:rsidR="00D4298D">
        <w:rPr>
          <w:bCs/>
        </w:rPr>
        <w:t xml:space="preserve">(“EPA”) </w:t>
      </w:r>
      <w:r w:rsidRPr="00693CB4">
        <w:rPr>
          <w:bCs/>
        </w:rPr>
        <w:t>grades biosolids as either Class A or Class B, based on the presence or absence of coliform bacteria or salmonella, enteric viruses, and parasite heliminth eggs. Biosolids that have below detectable levels of these indicators are classed A, whereas biosolids that have these indicators at a level deemed below those harmful to human health, are classed B.</w:t>
      </w:r>
      <w:r w:rsidRPr="00693CB4">
        <w:rPr>
          <w:rStyle w:val="FootnoteReference"/>
          <w:bCs/>
        </w:rPr>
        <w:footnoteReference w:id="26"/>
      </w:r>
      <w:r w:rsidR="00367E30" w:rsidRPr="00693CB4">
        <w:rPr>
          <w:bCs/>
        </w:rPr>
        <w:t xml:space="preserve"> </w:t>
      </w:r>
      <w:r w:rsidR="00AD292F" w:rsidRPr="00693CB4">
        <w:rPr>
          <w:bCs/>
        </w:rPr>
        <w:t>Critics have pointed out however, that many pathogens commonly found in human excrement that are</w:t>
      </w:r>
      <w:r w:rsidR="00CB237E" w:rsidRPr="00693CB4">
        <w:rPr>
          <w:bCs/>
        </w:rPr>
        <w:t xml:space="preserve"> likely capable of surviving biosolid processing, such as </w:t>
      </w:r>
      <w:r w:rsidR="00CB237E" w:rsidRPr="00305100">
        <w:t>hepatitis A virus, rotovirus, norovirus, amongst others</w:t>
      </w:r>
      <w:r w:rsidR="00750211" w:rsidRPr="00305100">
        <w:t>,</w:t>
      </w:r>
      <w:r w:rsidR="00CB237E" w:rsidRPr="00305100">
        <w:t xml:space="preserve"> are not tested for or regulated by the EPA</w:t>
      </w:r>
      <w:r w:rsidR="003D5B9C" w:rsidRPr="004C6911">
        <w:t>, as it pertains to biosolids</w:t>
      </w:r>
      <w:r w:rsidR="00CB237E" w:rsidRPr="004C6911">
        <w:t>.</w:t>
      </w:r>
      <w:r w:rsidR="00CB237E" w:rsidRPr="00305100">
        <w:rPr>
          <w:rStyle w:val="FootnoteReference"/>
        </w:rPr>
        <w:footnoteReference w:id="27"/>
      </w:r>
      <w:r w:rsidR="00042B18" w:rsidRPr="00305100">
        <w:t xml:space="preserve"> </w:t>
      </w:r>
      <w:r w:rsidR="00F45B84">
        <w:t>A few studies have confirmed the presence of viable SARS-Cov-2 virions in the urine and fecal matter of individuals with COVID-19,</w:t>
      </w:r>
      <w:r w:rsidR="00F45B84">
        <w:rPr>
          <w:rStyle w:val="FootnoteReference"/>
        </w:rPr>
        <w:footnoteReference w:id="28"/>
      </w:r>
      <w:r w:rsidR="00F45B84">
        <w:t xml:space="preserve">  however, </w:t>
      </w:r>
      <w:r w:rsidR="00392D2B">
        <w:t xml:space="preserve">definitive evidence of human infection via </w:t>
      </w:r>
      <w:r w:rsidR="008F7871">
        <w:t xml:space="preserve">this </w:t>
      </w:r>
      <w:r w:rsidR="00392D2B">
        <w:t>route has not been established.</w:t>
      </w:r>
      <w:r w:rsidR="00392D2B">
        <w:rPr>
          <w:rStyle w:val="FootnoteReference"/>
        </w:rPr>
        <w:footnoteReference w:id="29"/>
      </w:r>
      <w:r w:rsidR="00392D2B">
        <w:t xml:space="preserve"> </w:t>
      </w:r>
      <w:r w:rsidR="00994F24" w:rsidRPr="00693CB4">
        <w:rPr>
          <w:shd w:val="clear" w:color="auto" w:fill="FFFFFF"/>
        </w:rPr>
        <w:t>Biosolid application has also been linked to health symptoms such as burning eyes, burning lungs, skin rashes, and respiratory infections.</w:t>
      </w:r>
      <w:r w:rsidR="00994F24" w:rsidRPr="00693CB4">
        <w:rPr>
          <w:rStyle w:val="FootnoteReference"/>
          <w:shd w:val="clear" w:color="auto" w:fill="FFFFFF"/>
        </w:rPr>
        <w:footnoteReference w:id="30"/>
      </w:r>
      <w:r w:rsidR="00596872">
        <w:rPr>
          <w:shd w:val="clear" w:color="auto" w:fill="FFFFFF"/>
        </w:rPr>
        <w:t xml:space="preserve"> </w:t>
      </w:r>
      <w:r w:rsidR="00750211" w:rsidRPr="00693CB4">
        <w:rPr>
          <w:shd w:val="clear" w:color="auto" w:fill="FFFFFF"/>
        </w:rPr>
        <w:t xml:space="preserve">Considering the potential health risks associated with biosolid exposure, it is imperative that the </w:t>
      </w:r>
      <w:r w:rsidR="00596872">
        <w:rPr>
          <w:shd w:val="clear" w:color="auto" w:fill="FFFFFF"/>
        </w:rPr>
        <w:t>handling</w:t>
      </w:r>
      <w:r w:rsidR="00750211" w:rsidRPr="00693CB4">
        <w:rPr>
          <w:shd w:val="clear" w:color="auto" w:fill="FFFFFF"/>
        </w:rPr>
        <w:t xml:space="preserve"> of these materials be done in a way that minimizes public exposure to the greatest feasible extent.</w:t>
      </w:r>
      <w:r w:rsidR="006F69DC">
        <w:rPr>
          <w:rStyle w:val="FootnoteReference"/>
          <w:shd w:val="clear" w:color="auto" w:fill="FFFFFF"/>
        </w:rPr>
        <w:footnoteReference w:id="31"/>
      </w:r>
    </w:p>
    <w:p w14:paraId="76D0FB1D" w14:textId="4ACB9720" w:rsidR="003137BC" w:rsidRDefault="0038424E" w:rsidP="00596872">
      <w:pPr>
        <w:pStyle w:val="Default"/>
        <w:spacing w:line="480" w:lineRule="auto"/>
        <w:ind w:firstLine="720"/>
        <w:jc w:val="both"/>
      </w:pPr>
      <w:r w:rsidRPr="00693CB4">
        <w:t xml:space="preserve">While wastewater treatment plants primarily function to purify sewage in the interest of public and environmental health, certain aspects of the </w:t>
      </w:r>
      <w:r w:rsidR="00B13F27" w:rsidRPr="00693CB4">
        <w:t>treatment</w:t>
      </w:r>
      <w:r w:rsidRPr="00693CB4">
        <w:t xml:space="preserve"> process have the potential to </w:t>
      </w:r>
      <w:r w:rsidR="001A1F39" w:rsidRPr="00693CB4">
        <w:t xml:space="preserve">aid the spread of dangerous pathogens </w:t>
      </w:r>
      <w:r w:rsidR="00147906" w:rsidRPr="00693CB4">
        <w:t>to the surrounding environment</w:t>
      </w:r>
      <w:r w:rsidR="00596872">
        <w:t>.</w:t>
      </w:r>
      <w:r w:rsidR="001A1F39" w:rsidRPr="00693CB4">
        <w:rPr>
          <w:rStyle w:val="FootnoteReference"/>
        </w:rPr>
        <w:footnoteReference w:id="32"/>
      </w:r>
      <w:r w:rsidR="00147906" w:rsidRPr="00693CB4">
        <w:t xml:space="preserve">  </w:t>
      </w:r>
      <w:r w:rsidR="009F23A6" w:rsidRPr="00693CB4">
        <w:t>During the secondary phase of wastewater treatment, tanks of contaminated water are seeded with aerobic bacteria and heavily aerated to allow the bacteria to begin the process of breaking down organic contaminants.</w:t>
      </w:r>
      <w:r w:rsidR="009F23A6" w:rsidRPr="00693CB4">
        <w:rPr>
          <w:rStyle w:val="FootnoteReference"/>
        </w:rPr>
        <w:footnoteReference w:id="33"/>
      </w:r>
      <w:r w:rsidR="00147906" w:rsidRPr="00693CB4">
        <w:t xml:space="preserve"> </w:t>
      </w:r>
      <w:r w:rsidR="009F23A6" w:rsidRPr="00693CB4">
        <w:t xml:space="preserve">The forcing </w:t>
      </w:r>
      <w:r w:rsidR="003F2139" w:rsidRPr="00693CB4">
        <w:t xml:space="preserve">of </w:t>
      </w:r>
      <w:r w:rsidR="009F23A6" w:rsidRPr="00693CB4">
        <w:t>air into water at high pressure aids in the creation of ultrafine bioaerosols, tiny droplets of mist that can harbor any of the micro-organisms found in partially treated sewage.</w:t>
      </w:r>
      <w:r w:rsidR="009F23A6" w:rsidRPr="00693CB4">
        <w:rPr>
          <w:rStyle w:val="FootnoteReference"/>
        </w:rPr>
        <w:footnoteReference w:id="34"/>
      </w:r>
      <w:r w:rsidR="003F2139" w:rsidRPr="00693CB4">
        <w:t xml:space="preserve"> </w:t>
      </w:r>
      <w:r w:rsidR="00392D2B">
        <w:t>Aerosolized viral particles are a known mode of transmission for COVID-19,</w:t>
      </w:r>
      <w:r w:rsidR="00392D2B">
        <w:rPr>
          <w:rStyle w:val="FootnoteReference"/>
        </w:rPr>
        <w:footnoteReference w:id="35"/>
      </w:r>
      <w:r w:rsidR="00392D2B">
        <w:t xml:space="preserve"> and studies suggest that SARS-CoV-2 viral particles can remain viable in urine and feces.</w:t>
      </w:r>
      <w:r w:rsidR="00392D2B">
        <w:rPr>
          <w:rStyle w:val="FootnoteReference"/>
        </w:rPr>
        <w:footnoteReference w:id="36"/>
      </w:r>
      <w:r w:rsidR="003C276E">
        <w:t xml:space="preserve"> Transmission of SARS-CoV-1 via aerosolized wastewater has been confirmed,</w:t>
      </w:r>
      <w:r w:rsidR="003C276E">
        <w:rPr>
          <w:rStyle w:val="FootnoteReference"/>
        </w:rPr>
        <w:footnoteReference w:id="37"/>
      </w:r>
      <w:r w:rsidR="003C276E">
        <w:t xml:space="preserve"> however, to date,  there have been no confirmed cases of SARS-CoV-2 transmission via</w:t>
      </w:r>
      <w:r w:rsidR="006F69DC">
        <w:t xml:space="preserve"> exposure to</w:t>
      </w:r>
      <w:r w:rsidR="003C276E">
        <w:t xml:space="preserve"> </w:t>
      </w:r>
      <w:r w:rsidR="008F7871">
        <w:t>urine and feces</w:t>
      </w:r>
      <w:r w:rsidR="006F69DC">
        <w:t xml:space="preserve"> in wastewater</w:t>
      </w:r>
      <w:r w:rsidR="003C276E">
        <w:t>.</w:t>
      </w:r>
      <w:r w:rsidR="003C276E">
        <w:rPr>
          <w:rStyle w:val="FootnoteReference"/>
        </w:rPr>
        <w:footnoteReference w:id="38"/>
      </w:r>
      <w:r w:rsidR="003C276E">
        <w:t xml:space="preserve"> </w:t>
      </w:r>
    </w:p>
    <w:p w14:paraId="075D96D8" w14:textId="77777777" w:rsidR="003C276E" w:rsidRDefault="003C276E" w:rsidP="00596872">
      <w:pPr>
        <w:pStyle w:val="Default"/>
        <w:spacing w:line="480" w:lineRule="auto"/>
        <w:ind w:firstLine="720"/>
        <w:jc w:val="both"/>
      </w:pPr>
    </w:p>
    <w:p w14:paraId="0040E3D7" w14:textId="63424130" w:rsidR="003C276E" w:rsidRDefault="00F71B28" w:rsidP="003C276E">
      <w:pPr>
        <w:pStyle w:val="Default"/>
        <w:spacing w:line="480" w:lineRule="auto"/>
        <w:jc w:val="both"/>
        <w:rPr>
          <w:i/>
          <w:iCs/>
          <w:u w:val="single"/>
        </w:rPr>
      </w:pPr>
      <w:r>
        <w:rPr>
          <w:i/>
          <w:iCs/>
          <w:u w:val="single"/>
        </w:rPr>
        <w:t xml:space="preserve">Wastewater Based Epidemiology and </w:t>
      </w:r>
      <w:r w:rsidR="003C276E" w:rsidRPr="003C276E">
        <w:rPr>
          <w:i/>
          <w:iCs/>
          <w:u w:val="single"/>
        </w:rPr>
        <w:t xml:space="preserve">Metagenomic Next Gen Sequencing </w:t>
      </w:r>
    </w:p>
    <w:p w14:paraId="7FCBCA5E" w14:textId="79B5D070" w:rsidR="006A5DF2" w:rsidRPr="006A5DF2" w:rsidRDefault="006A5DF2" w:rsidP="003C276E">
      <w:pPr>
        <w:pStyle w:val="Default"/>
        <w:spacing w:line="480" w:lineRule="auto"/>
        <w:jc w:val="both"/>
      </w:pPr>
      <w:r>
        <w:tab/>
        <w:t xml:space="preserve">Wastewater based epidemiology is based on the assumption that </w:t>
      </w:r>
      <w:r w:rsidRPr="006A5DF2">
        <w:t xml:space="preserve">any substance that is excreted by humans and is stable in wastewater can be used to calculate the original concentration excreted by </w:t>
      </w:r>
      <w:r>
        <w:t>a given population</w:t>
      </w:r>
      <w:r w:rsidRPr="006A5DF2">
        <w:t>.</w:t>
      </w:r>
      <w:r w:rsidR="00C3078D">
        <w:rPr>
          <w:rStyle w:val="FootnoteReference"/>
        </w:rPr>
        <w:footnoteReference w:id="39"/>
      </w:r>
      <w:r w:rsidR="00C3078D">
        <w:t xml:space="preserve"> In the past, this framework has been used to calculate illicit drug use, prevalence of Tamiflu use during the 2009 influenza pandemic, and to monitor the prevalence of diseases such as polio.</w:t>
      </w:r>
      <w:r w:rsidR="00C3078D">
        <w:rPr>
          <w:rStyle w:val="FootnoteReference"/>
        </w:rPr>
        <w:footnoteReference w:id="40"/>
      </w:r>
      <w:r w:rsidR="00C3078D">
        <w:t xml:space="preserve"> Because viruses do not grow outside of host cells, changes in  concentration of viral particles in wastewater can be used for early detection of new viral outbreaks, the emergence of new viral strains, and potentially be extrapolated to determine the extent of infection in a given population.</w:t>
      </w:r>
      <w:r w:rsidR="00C3078D">
        <w:rPr>
          <w:rStyle w:val="FootnoteReference"/>
        </w:rPr>
        <w:footnoteReference w:id="41"/>
      </w:r>
      <w:r w:rsidR="00C3078D">
        <w:t xml:space="preserve"> In the conte</w:t>
      </w:r>
      <w:r w:rsidR="00DA0DFC">
        <w:t>x</w:t>
      </w:r>
      <w:r w:rsidR="00C3078D">
        <w:t>t of COVID-19</w:t>
      </w:r>
      <w:r w:rsidR="00DA0DFC">
        <w:t>, wastewater monitoring can offer near</w:t>
      </w:r>
      <w:r w:rsidR="001469EA">
        <w:t>-</w:t>
      </w:r>
      <w:r w:rsidR="00DA0DFC">
        <w:t>real</w:t>
      </w:r>
      <w:r w:rsidR="001469EA">
        <w:t>-</w:t>
      </w:r>
      <w:r w:rsidR="00DA0DFC">
        <w:t>time outbreak data due to the continual supply of viral particles shed by infected humans in their urine and feces, regardless of whether they are showing symptoms or asymptomatic.</w:t>
      </w:r>
      <w:r w:rsidR="00DA0DFC">
        <w:rPr>
          <w:rStyle w:val="FootnoteReference"/>
        </w:rPr>
        <w:footnoteReference w:id="42"/>
      </w:r>
      <w:r w:rsidR="00DA0DFC">
        <w:t xml:space="preserve"> While testing at </w:t>
      </w:r>
      <w:r w:rsidR="008F7871">
        <w:t xml:space="preserve">a </w:t>
      </w:r>
      <w:r w:rsidR="00DA0DFC">
        <w:t>treatment plant can provide data at the sewershed level, sampling individual sewer lines can provide far more granular data for pinpointing specific hotspots of infection at the community level.</w:t>
      </w:r>
      <w:r w:rsidR="00DA0DFC">
        <w:rPr>
          <w:rStyle w:val="FootnoteReference"/>
        </w:rPr>
        <w:footnoteReference w:id="43"/>
      </w:r>
      <w:r w:rsidR="00DA0DFC">
        <w:t xml:space="preserve"> This information could be used to minimize the effects of socially and economically disruptive containment measures by limiting them to hot spots, as opposed to applied in an indiscriminate manner across entire populations.</w:t>
      </w:r>
      <w:r w:rsidR="00DA0DFC">
        <w:rPr>
          <w:rStyle w:val="FootnoteReference"/>
        </w:rPr>
        <w:footnoteReference w:id="44"/>
      </w:r>
    </w:p>
    <w:p w14:paraId="5FD34838" w14:textId="46D92122" w:rsidR="00596872" w:rsidRPr="00C54913" w:rsidRDefault="003C276E" w:rsidP="00C221B0">
      <w:pPr>
        <w:pStyle w:val="Default"/>
        <w:spacing w:line="480" w:lineRule="auto"/>
        <w:jc w:val="both"/>
      </w:pPr>
      <w:r>
        <w:tab/>
      </w:r>
      <w:r w:rsidR="00FD7F97">
        <w:t>Metagenomic next gen</w:t>
      </w:r>
      <w:r w:rsidR="001469EA">
        <w:t>eration (“next gen”)</w:t>
      </w:r>
      <w:r w:rsidR="00FD7F97">
        <w:t xml:space="preserve"> sequencing refers to any </w:t>
      </w:r>
      <w:r w:rsidRPr="003C276E">
        <w:t xml:space="preserve">high-throughput </w:t>
      </w:r>
      <w:r w:rsidR="00FD7F97">
        <w:t xml:space="preserve">genetic </w:t>
      </w:r>
      <w:r w:rsidRPr="003C276E">
        <w:t xml:space="preserve">sequencing methods </w:t>
      </w:r>
      <w:r w:rsidR="00FD7F97">
        <w:t>that allow</w:t>
      </w:r>
      <w:r w:rsidRPr="003C276E">
        <w:t xml:space="preserve"> billions of nucleic acid fragments </w:t>
      </w:r>
      <w:r w:rsidR="00FD7F97">
        <w:t>to</w:t>
      </w:r>
      <w:r w:rsidRPr="003C276E">
        <w:t xml:space="preserve"> be simultaneously and independently sequenced.</w:t>
      </w:r>
      <w:r w:rsidR="00D327D4">
        <w:rPr>
          <w:rStyle w:val="FootnoteReference"/>
        </w:rPr>
        <w:footnoteReference w:id="45"/>
      </w:r>
      <w:r w:rsidRPr="003C276E">
        <w:t xml:space="preserve"> </w:t>
      </w:r>
      <w:r w:rsidR="00FD7F97">
        <w:t>Using computational approaches, overlapping gene sequences are</w:t>
      </w:r>
      <w:r w:rsidR="00D327D4">
        <w:t xml:space="preserve"> identified,</w:t>
      </w:r>
      <w:r w:rsidR="001469EA">
        <w:t xml:space="preserve"> </w:t>
      </w:r>
      <w:r w:rsidR="00FD7F97">
        <w:t>pieced together</w:t>
      </w:r>
      <w:r w:rsidR="00D327D4">
        <w:t>,</w:t>
      </w:r>
      <w:r w:rsidR="00FD7F97">
        <w:t xml:space="preserve"> </w:t>
      </w:r>
      <w:r w:rsidR="00D327D4">
        <w:t xml:space="preserve">then </w:t>
      </w:r>
      <w:r w:rsidR="00FD7F97">
        <w:t xml:space="preserve">compared to a library of reference genomes </w:t>
      </w:r>
      <w:r w:rsidR="00D327D4">
        <w:t xml:space="preserve">in order </w:t>
      </w:r>
      <w:r w:rsidR="00FD7F97">
        <w:t xml:space="preserve">to </w:t>
      </w:r>
      <w:r w:rsidR="00D327D4">
        <w:t xml:space="preserve">show which </w:t>
      </w:r>
      <w:r w:rsidR="00FD7F97">
        <w:t xml:space="preserve"> organisms </w:t>
      </w:r>
      <w:r w:rsidR="00D327D4">
        <w:t>have contributed  genetic material to the sample.</w:t>
      </w:r>
      <w:r w:rsidR="001C401B">
        <w:rPr>
          <w:rStyle w:val="FootnoteReference"/>
        </w:rPr>
        <w:footnoteReference w:id="46"/>
      </w:r>
      <w:r w:rsidR="00D327D4">
        <w:t xml:space="preserve"> </w:t>
      </w:r>
      <w:r w:rsidR="00FD7F97">
        <w:t xml:space="preserve"> </w:t>
      </w:r>
      <w:r w:rsidR="00D327D4">
        <w:t>This method of sequencing can simultaneously identify genetic material from completely different kingdoms of organisms, and provide data pertaining to what microbes are present in a given sample, and in what proportions.</w:t>
      </w:r>
      <w:r w:rsidR="001C401B">
        <w:rPr>
          <w:rStyle w:val="FootnoteReference"/>
        </w:rPr>
        <w:footnoteReference w:id="47"/>
      </w:r>
      <w:r w:rsidR="00D327D4">
        <w:t xml:space="preserve"> </w:t>
      </w:r>
      <w:r w:rsidR="00A5118E">
        <w:t>As such, its utility in wastewater based epidemiology is not limited to COVID-19 detection, but potentially a wide range of infectious diseases and pathogens.</w:t>
      </w:r>
    </w:p>
    <w:p w14:paraId="2525B7C1" w14:textId="77777777" w:rsidR="00EA406E" w:rsidRPr="00C54913" w:rsidRDefault="00EA406E" w:rsidP="00EA406E">
      <w:pPr>
        <w:pStyle w:val="Default"/>
        <w:numPr>
          <w:ilvl w:val="0"/>
          <w:numId w:val="1"/>
        </w:numPr>
        <w:spacing w:line="480" w:lineRule="auto"/>
        <w:jc w:val="both"/>
        <w:rPr>
          <w:b/>
          <w:smallCaps/>
        </w:rPr>
      </w:pPr>
      <w:r w:rsidRPr="00C54913">
        <w:rPr>
          <w:b/>
          <w:smallCaps/>
        </w:rPr>
        <w:t>Legislation</w:t>
      </w:r>
    </w:p>
    <w:p w14:paraId="33073B69" w14:textId="5F8B8CA7" w:rsidR="00EA406E" w:rsidRPr="00C54913" w:rsidRDefault="00EA406E" w:rsidP="00EA406E">
      <w:pPr>
        <w:pStyle w:val="Default"/>
        <w:spacing w:line="480" w:lineRule="auto"/>
        <w:ind w:firstLine="720"/>
        <w:jc w:val="both"/>
      </w:pPr>
      <w:r w:rsidRPr="00C221B0">
        <w:rPr>
          <w:b/>
          <w:bCs/>
        </w:rPr>
        <w:t>Int. No.</w:t>
      </w:r>
      <w:r w:rsidR="00363950" w:rsidRPr="00C221B0">
        <w:rPr>
          <w:b/>
          <w:bCs/>
        </w:rPr>
        <w:t xml:space="preserve"> </w:t>
      </w:r>
      <w:r w:rsidR="00A5118E" w:rsidRPr="00C221B0">
        <w:rPr>
          <w:b/>
          <w:bCs/>
        </w:rPr>
        <w:t>24</w:t>
      </w:r>
      <w:r w:rsidRPr="00C221B0">
        <w:rPr>
          <w:b/>
          <w:bCs/>
        </w:rPr>
        <w:t>4</w:t>
      </w:r>
      <w:r w:rsidRPr="00C54913">
        <w:t xml:space="preserve"> </w:t>
      </w:r>
      <w:r w:rsidR="00903139" w:rsidRPr="00C54913">
        <w:t xml:space="preserve">would </w:t>
      </w:r>
      <w:r w:rsidR="00A5118E" w:rsidRPr="00C54913">
        <w:t xml:space="preserve">prohibit the sale of nonwoven disposable products advertised as flushable unless specific definitions are met, and the product complies with testing standards established by the commissioner of environmental protection, and subject violators to a civil penalty of no more than $2,500. </w:t>
      </w:r>
      <w:r w:rsidR="00903139" w:rsidRPr="00C54913">
        <w:t>This local law</w:t>
      </w:r>
      <w:r w:rsidR="001469EA">
        <w:t xml:space="preserve"> would</w:t>
      </w:r>
      <w:r w:rsidR="00903139" w:rsidRPr="00C54913">
        <w:t xml:space="preserve"> take effect </w:t>
      </w:r>
      <w:r w:rsidR="00A5118E" w:rsidRPr="00C54913">
        <w:t>one year</w:t>
      </w:r>
      <w:r w:rsidR="00903139" w:rsidRPr="00C54913">
        <w:t xml:space="preserve"> </w:t>
      </w:r>
      <w:r w:rsidR="001469EA">
        <w:t>after</w:t>
      </w:r>
      <w:r w:rsidR="001469EA" w:rsidRPr="00C54913">
        <w:t xml:space="preserve"> </w:t>
      </w:r>
      <w:r w:rsidR="00903139" w:rsidRPr="00C54913">
        <w:t>it becomes law</w:t>
      </w:r>
      <w:r w:rsidR="00A5118E" w:rsidRPr="00C54913">
        <w:t xml:space="preserve">, except that the commissioner of environmental protection and the commissioner of </w:t>
      </w:r>
      <w:r w:rsidR="006F69DC">
        <w:t>c</w:t>
      </w:r>
      <w:r w:rsidR="00A5118E" w:rsidRPr="00C54913">
        <w:t>onsumer affairs may take all actions necessary for its implementation, including the promulgation of rules, before such date</w:t>
      </w:r>
      <w:r w:rsidR="00903139" w:rsidRPr="00C54913">
        <w:t>.</w:t>
      </w:r>
    </w:p>
    <w:p w14:paraId="377EEBE2" w14:textId="62FF8353" w:rsidR="004C6911" w:rsidRPr="00C54913" w:rsidRDefault="00363950" w:rsidP="001469EA">
      <w:pPr>
        <w:spacing w:after="0" w:line="480" w:lineRule="auto"/>
        <w:ind w:firstLine="720"/>
        <w:jc w:val="both"/>
        <w:rPr>
          <w:rFonts w:ascii="Times New Roman" w:hAnsi="Times New Roman" w:cs="Times New Roman"/>
          <w:color w:val="000000"/>
          <w:sz w:val="24"/>
          <w:szCs w:val="24"/>
        </w:rPr>
      </w:pPr>
      <w:r w:rsidRPr="00C221B0">
        <w:rPr>
          <w:rFonts w:ascii="Times New Roman" w:hAnsi="Times New Roman" w:cs="Times New Roman"/>
          <w:b/>
          <w:bCs/>
          <w:color w:val="000000"/>
          <w:sz w:val="24"/>
          <w:szCs w:val="24"/>
        </w:rPr>
        <w:t>Int. No. 1</w:t>
      </w:r>
      <w:r w:rsidR="00A5118E" w:rsidRPr="00C221B0">
        <w:rPr>
          <w:rFonts w:ascii="Times New Roman" w:hAnsi="Times New Roman" w:cs="Times New Roman"/>
          <w:b/>
          <w:bCs/>
          <w:color w:val="000000"/>
          <w:sz w:val="24"/>
          <w:szCs w:val="24"/>
        </w:rPr>
        <w:t>9</w:t>
      </w:r>
      <w:r w:rsidRPr="00C221B0">
        <w:rPr>
          <w:rFonts w:ascii="Times New Roman" w:hAnsi="Times New Roman" w:cs="Times New Roman"/>
          <w:b/>
          <w:bCs/>
          <w:color w:val="000000"/>
          <w:sz w:val="24"/>
          <w:szCs w:val="24"/>
        </w:rPr>
        <w:t>6</w:t>
      </w:r>
      <w:r w:rsidR="00A5118E" w:rsidRPr="00C221B0">
        <w:rPr>
          <w:rFonts w:ascii="Times New Roman" w:hAnsi="Times New Roman" w:cs="Times New Roman"/>
          <w:b/>
          <w:bCs/>
          <w:color w:val="000000"/>
          <w:sz w:val="24"/>
          <w:szCs w:val="24"/>
        </w:rPr>
        <w:t>6</w:t>
      </w:r>
      <w:r w:rsidR="00A5118E" w:rsidRPr="00C54913">
        <w:rPr>
          <w:rFonts w:ascii="Times New Roman" w:hAnsi="Times New Roman" w:cs="Times New Roman"/>
          <w:sz w:val="24"/>
          <w:szCs w:val="24"/>
        </w:rPr>
        <w:t xml:space="preserve"> would require the Commissioner of Environmental Protection, in consultation with the Commissioner of Health and Mental Hygiene to create a pilot program to test the city’s wastewater treatment plants for the presence of SARS-CoV-2, the strain of coronavirus that causes COVID-19, and submit a report to the mayor and the speaker of the council</w:t>
      </w:r>
      <w:r w:rsidR="00C54913" w:rsidRPr="00C54913">
        <w:rPr>
          <w:rFonts w:ascii="Times New Roman" w:hAnsi="Times New Roman" w:cs="Times New Roman"/>
          <w:sz w:val="24"/>
          <w:szCs w:val="24"/>
        </w:rPr>
        <w:t xml:space="preserve"> including sampling results, total cost of the pilot program, and the analysis of the effectiveness of the pilot program in testing for SARS-CoV-2</w:t>
      </w:r>
      <w:r w:rsidR="00A5118E" w:rsidRPr="00C54913">
        <w:rPr>
          <w:rFonts w:ascii="Times New Roman" w:hAnsi="Times New Roman" w:cs="Times New Roman"/>
          <w:sz w:val="24"/>
          <w:szCs w:val="24"/>
        </w:rPr>
        <w:t>.</w:t>
      </w:r>
      <w:r w:rsidRPr="00C54913">
        <w:rPr>
          <w:rFonts w:ascii="Times New Roman" w:hAnsi="Times New Roman" w:cs="Times New Roman"/>
          <w:color w:val="000000"/>
          <w:sz w:val="24"/>
          <w:szCs w:val="24"/>
        </w:rPr>
        <w:t xml:space="preserve">This local law </w:t>
      </w:r>
      <w:r w:rsidR="001469EA">
        <w:rPr>
          <w:rFonts w:ascii="Times New Roman" w:hAnsi="Times New Roman" w:cs="Times New Roman"/>
          <w:color w:val="000000"/>
          <w:sz w:val="24"/>
          <w:szCs w:val="24"/>
        </w:rPr>
        <w:t>would take</w:t>
      </w:r>
      <w:r w:rsidR="001469EA" w:rsidRPr="00C54913">
        <w:rPr>
          <w:rFonts w:ascii="Times New Roman" w:hAnsi="Times New Roman" w:cs="Times New Roman"/>
          <w:color w:val="000000"/>
          <w:sz w:val="24"/>
          <w:szCs w:val="24"/>
        </w:rPr>
        <w:t xml:space="preserve"> </w:t>
      </w:r>
      <w:r w:rsidRPr="00C54913">
        <w:rPr>
          <w:rFonts w:ascii="Times New Roman" w:hAnsi="Times New Roman" w:cs="Times New Roman"/>
          <w:color w:val="000000"/>
          <w:sz w:val="24"/>
          <w:szCs w:val="24"/>
        </w:rPr>
        <w:t>effect 1</w:t>
      </w:r>
      <w:r w:rsidR="00C54913" w:rsidRPr="00C54913">
        <w:rPr>
          <w:rFonts w:ascii="Times New Roman" w:hAnsi="Times New Roman" w:cs="Times New Roman"/>
          <w:color w:val="000000"/>
          <w:sz w:val="24"/>
          <w:szCs w:val="24"/>
        </w:rPr>
        <w:t>2</w:t>
      </w:r>
      <w:r w:rsidRPr="00C54913">
        <w:rPr>
          <w:rFonts w:ascii="Times New Roman" w:hAnsi="Times New Roman" w:cs="Times New Roman"/>
          <w:color w:val="000000"/>
          <w:sz w:val="24"/>
          <w:szCs w:val="24"/>
        </w:rPr>
        <w:t xml:space="preserve">0 days after it becomes law, </w:t>
      </w:r>
      <w:r w:rsidR="00C54913" w:rsidRPr="00C54913">
        <w:rPr>
          <w:rFonts w:ascii="Times New Roman" w:hAnsi="Times New Roman" w:cs="Times New Roman"/>
          <w:color w:val="000000"/>
          <w:sz w:val="24"/>
          <w:szCs w:val="24"/>
        </w:rPr>
        <w:t xml:space="preserve">except that the commissioner of environmental protection and the commissioner of health and mental hygiene may take such measures as are necessary for the implementation of this local law, including the promulgation of rules, before such date. </w:t>
      </w:r>
    </w:p>
    <w:p w14:paraId="0991E078" w14:textId="3C5D0C5F" w:rsidR="00C54913" w:rsidRDefault="00C54913" w:rsidP="00572B36">
      <w:pPr>
        <w:spacing w:after="0" w:line="480" w:lineRule="auto"/>
        <w:ind w:firstLine="720"/>
        <w:jc w:val="both"/>
        <w:rPr>
          <w:rFonts w:ascii="Times New Roman" w:hAnsi="Times New Roman" w:cs="Times New Roman"/>
          <w:color w:val="000000"/>
          <w:sz w:val="24"/>
          <w:szCs w:val="24"/>
        </w:rPr>
      </w:pPr>
    </w:p>
    <w:p w14:paraId="58B07BDE" w14:textId="058CC7F2" w:rsidR="00C54913" w:rsidRDefault="00C54913" w:rsidP="00572B36">
      <w:pPr>
        <w:spacing w:after="0" w:line="480" w:lineRule="auto"/>
        <w:ind w:firstLine="720"/>
        <w:jc w:val="both"/>
        <w:rPr>
          <w:rFonts w:ascii="Times New Roman" w:hAnsi="Times New Roman" w:cs="Times New Roman"/>
          <w:color w:val="000000"/>
          <w:sz w:val="24"/>
          <w:szCs w:val="24"/>
        </w:rPr>
      </w:pPr>
    </w:p>
    <w:p w14:paraId="04DF4FA8" w14:textId="05FF911D" w:rsidR="00C54913" w:rsidRDefault="00C54913" w:rsidP="00572B36">
      <w:pPr>
        <w:spacing w:after="0" w:line="480" w:lineRule="auto"/>
        <w:ind w:firstLine="720"/>
        <w:jc w:val="both"/>
        <w:rPr>
          <w:rFonts w:ascii="Times New Roman" w:hAnsi="Times New Roman" w:cs="Times New Roman"/>
          <w:color w:val="000000"/>
          <w:sz w:val="24"/>
          <w:szCs w:val="24"/>
        </w:rPr>
      </w:pPr>
    </w:p>
    <w:p w14:paraId="52DE9F59" w14:textId="41940B00" w:rsidR="00C54913" w:rsidRDefault="00C54913" w:rsidP="00C54913">
      <w:pPr>
        <w:spacing w:after="0" w:line="480" w:lineRule="auto"/>
        <w:jc w:val="both"/>
        <w:rPr>
          <w:rFonts w:ascii="Times New Roman" w:hAnsi="Times New Roman" w:cs="Times New Roman"/>
          <w:color w:val="000000"/>
          <w:sz w:val="24"/>
          <w:szCs w:val="24"/>
        </w:rPr>
      </w:pPr>
    </w:p>
    <w:p w14:paraId="6776C787" w14:textId="77777777" w:rsidR="00C54913" w:rsidRPr="00572B36" w:rsidRDefault="00C54913" w:rsidP="00572B36">
      <w:pPr>
        <w:spacing w:after="0" w:line="480" w:lineRule="auto"/>
        <w:ind w:firstLine="720"/>
        <w:jc w:val="both"/>
        <w:rPr>
          <w:rFonts w:ascii="Times New Roman" w:hAnsi="Times New Roman" w:cs="Times New Roman"/>
          <w:color w:val="000000"/>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F1393" w:rsidRPr="005F1393" w14:paraId="6919BFF2" w14:textId="77777777" w:rsidTr="005F1393">
        <w:trPr>
          <w:tblCellSpacing w:w="0" w:type="dxa"/>
        </w:trPr>
        <w:tc>
          <w:tcPr>
            <w:tcW w:w="0" w:type="auto"/>
            <w:shd w:val="clear" w:color="auto" w:fill="FFFFFF"/>
            <w:vAlign w:val="center"/>
            <w:hideMark/>
          </w:tcPr>
          <w:p w14:paraId="6E8BF855" w14:textId="77777777" w:rsidR="001469EA" w:rsidRDefault="001469EA" w:rsidP="005F1393">
            <w:pPr>
              <w:shd w:val="clear" w:color="auto" w:fill="FFFFFF"/>
              <w:spacing w:after="0" w:line="240" w:lineRule="auto"/>
              <w:jc w:val="center"/>
              <w:rPr>
                <w:rFonts w:ascii="Times New Roman" w:eastAsia="Times New Roman" w:hAnsi="Times New Roman" w:cs="Times New Roman"/>
                <w:color w:val="000000"/>
                <w:sz w:val="24"/>
                <w:szCs w:val="24"/>
              </w:rPr>
            </w:pPr>
          </w:p>
          <w:p w14:paraId="10F4DE53" w14:textId="77777777" w:rsidR="001469EA" w:rsidRDefault="001469EA" w:rsidP="005F1393">
            <w:pPr>
              <w:shd w:val="clear" w:color="auto" w:fill="FFFFFF"/>
              <w:spacing w:after="0" w:line="240" w:lineRule="auto"/>
              <w:jc w:val="center"/>
              <w:rPr>
                <w:rFonts w:ascii="Times New Roman" w:eastAsia="Times New Roman" w:hAnsi="Times New Roman" w:cs="Times New Roman"/>
                <w:color w:val="000000"/>
                <w:sz w:val="24"/>
                <w:szCs w:val="24"/>
              </w:rPr>
            </w:pPr>
          </w:p>
          <w:p w14:paraId="5A3BE50F" w14:textId="4DC81C5C" w:rsidR="005F1393" w:rsidRPr="005F1393" w:rsidRDefault="005F1393" w:rsidP="005F1393">
            <w:pPr>
              <w:shd w:val="clear" w:color="auto" w:fill="FFFFFF"/>
              <w:spacing w:after="0" w:line="240" w:lineRule="auto"/>
              <w:jc w:val="center"/>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rPr>
              <w:t>I</w:t>
            </w:r>
            <w:r w:rsidRPr="005F1393">
              <w:rPr>
                <w:rFonts w:ascii="Times New Roman" w:eastAsia="Times New Roman" w:hAnsi="Times New Roman" w:cs="Times New Roman"/>
                <w:color w:val="000000"/>
                <w:sz w:val="24"/>
                <w:szCs w:val="24"/>
              </w:rPr>
              <w:t>nt. No. 244</w:t>
            </w:r>
          </w:p>
          <w:p w14:paraId="46CF498A" w14:textId="77777777" w:rsidR="005F1393" w:rsidRPr="005F1393" w:rsidRDefault="005F1393" w:rsidP="005F1393">
            <w:pPr>
              <w:shd w:val="clear" w:color="auto" w:fill="FFFFFF"/>
              <w:spacing w:after="0" w:line="240" w:lineRule="auto"/>
              <w:ind w:firstLine="720"/>
              <w:jc w:val="center"/>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19450BDA" w14:textId="77777777" w:rsidR="005F1393" w:rsidRPr="005F1393" w:rsidRDefault="005F1393" w:rsidP="005F1393">
            <w:pPr>
              <w:shd w:val="clear" w:color="auto" w:fill="FFFFFF"/>
              <w:spacing w:after="0"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By Council Members Reynoso and Rivera</w:t>
            </w:r>
          </w:p>
          <w:p w14:paraId="08E46013" w14:textId="77777777" w:rsidR="005F1393" w:rsidRPr="005F1393" w:rsidRDefault="005F1393" w:rsidP="005F1393">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3C465D05"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A Local Law to amend the administrative code of the city of New York, in relation to the sale of nonwoven disposable products</w:t>
            </w:r>
          </w:p>
          <w:p w14:paraId="726B516B" w14:textId="77777777" w:rsidR="005F1393" w:rsidRPr="005F1393" w:rsidRDefault="005F1393" w:rsidP="005F1393">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1A1F7673"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Be it enacted by the Council as follows:</w:t>
            </w:r>
          </w:p>
          <w:p w14:paraId="440FE7ED" w14:textId="77777777" w:rsidR="005F1393" w:rsidRPr="005F1393" w:rsidRDefault="005F1393" w:rsidP="005F1393">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31415A3F"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Section 1. Chapter 5 of title 24 of the administrative code of the city of New York is amended by adding a new section 24-518.2 to read as follows:</w:t>
            </w:r>
          </w:p>
          <w:p w14:paraId="332FF2FC"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24-518.2 Nonwoven disposable products. a. Definitions. For purposes of this section, the following terms have the following meanings:</w:t>
            </w:r>
          </w:p>
          <w:p w14:paraId="51898E0E"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Flushable. The term “flushable” means, with regard to a product, that it is (i) able to clear toilets and properly maintained drainage pipe systems under expected product usage conditions; (ii) compatible with wastewater conveyance, treatment, and disposal systems without causing blockage, clogging, or other operational problems; and (iii) unrecognizable in effluent leaving on-site and municipal wastewater treatment systems and in digested sludge from wastewater treatment plants that is applied to soil.</w:t>
            </w:r>
          </w:p>
          <w:p w14:paraId="251B8721"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Nonwoven disposable product. The term “nonwoven disposable product” means any product constructed from nonwoven sheets that is designed for, marketed for, or commonly used for personal hygiene purposes.</w:t>
            </w:r>
          </w:p>
          <w:p w14:paraId="2C1BC0E0"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b. Prohibited acts. It shall be unlawful for any person to:</w:t>
            </w:r>
          </w:p>
          <w:p w14:paraId="3FC31A95"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1. Sell or offer for sale a nonwoven disposable product whose packaging indicates that such product is flushable unless such product (i) satisfies the definition for flushable in subdivision a of this section and (ii) complies with testing standards established by the commissioner of environmental protection through rulemaking.</w:t>
            </w:r>
          </w:p>
          <w:p w14:paraId="3ADF8B5D"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2. Sell or offer for sale a nonwoven disposable product that does not satisfy the definition for flushable in subdivision a of this section unless the packaging of such product indicates that such product is not flushable.</w:t>
            </w:r>
          </w:p>
          <w:p w14:paraId="2CF24255"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c. Penalties. Any person found to have violated this section shall be subject to a civil penalty of not more than $2,500. Such civil penalty may be recovered in a proceeding before the environmental control board or a tribunal within the office of administrative trials and hearings designated by the chief administrative law judge pursuant to chapter 45-a of the charter. Such proceeding shall be commenced by the service of a notice of violation returnable before the environmental control board or a tribunal designated by the chief administrative law judge.</w:t>
            </w:r>
          </w:p>
          <w:p w14:paraId="64E77EA9"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d. Enforcement. The department of environmental protection and the department of consumer affairs shall enforce the provisions of this section.</w:t>
            </w:r>
          </w:p>
          <w:p w14:paraId="1FF2F3AF"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e. Rulemaking. The commissioner of environmental protection shall adopt rules necessary for the implementation of this section, which may include, but need not be limited to, testing standards regarding whether a nonwoven disposable product is flushable and any standards for packaging required by this section.</w:t>
            </w:r>
          </w:p>
          <w:p w14:paraId="467B55B1"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2. This local law takes effect one year after it becomes law, except that the commissioner of environmental protection and the commissioner of consumer affairs may take all actions necessary for its implementation, including the promulgation of rules, before such date.</w:t>
            </w:r>
          </w:p>
          <w:p w14:paraId="04934E55" w14:textId="77777777" w:rsidR="005F1393" w:rsidRPr="005F1393" w:rsidRDefault="005F1393" w:rsidP="005F1393">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2230BCFE"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MAJ</w:t>
            </w:r>
          </w:p>
          <w:p w14:paraId="42CF12E5"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LS #2621/ Int 666-2015</w:t>
            </w:r>
          </w:p>
          <w:p w14:paraId="1D14C4FE"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LS 321</w:t>
            </w:r>
          </w:p>
          <w:p w14:paraId="40D60A08" w14:textId="77777777" w:rsidR="005F1393" w:rsidRPr="005F1393" w:rsidRDefault="005F1393" w:rsidP="005F1393">
            <w:pPr>
              <w:shd w:val="clear" w:color="auto" w:fill="FFFFFF"/>
              <w:spacing w:after="150"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12/17/17 2:32 PM</w:t>
            </w:r>
          </w:p>
          <w:p w14:paraId="6E4BB2DD" w14:textId="77777777" w:rsidR="005F1393" w:rsidRPr="005F1393" w:rsidRDefault="005F1393" w:rsidP="005F1393">
            <w:pPr>
              <w:shd w:val="clear" w:color="auto" w:fill="FFFFFF"/>
              <w:spacing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rPr>
              <w:t> </w:t>
            </w:r>
          </w:p>
        </w:tc>
      </w:tr>
    </w:tbl>
    <w:p w14:paraId="1BE583E7" w14:textId="77777777" w:rsidR="005F1393" w:rsidRPr="005F1393" w:rsidRDefault="005F1393" w:rsidP="005F1393">
      <w:pPr>
        <w:spacing w:after="0" w:line="240" w:lineRule="auto"/>
        <w:rPr>
          <w:rFonts w:ascii="Times New Roman" w:eastAsia="Times New Roman" w:hAnsi="Times New Roman" w:cs="Times New Roman"/>
          <w:sz w:val="24"/>
          <w:szCs w:val="24"/>
        </w:rPr>
      </w:pPr>
      <w:r w:rsidRPr="005F1393">
        <w:rPr>
          <w:rFonts w:ascii="Times" w:eastAsia="Times New Roman" w:hAnsi="Times" w:cs="Times New Roman"/>
          <w:color w:val="000000"/>
          <w:sz w:val="27"/>
          <w:szCs w:val="27"/>
        </w:rPr>
        <w:br/>
      </w:r>
    </w:p>
    <w:p w14:paraId="5313B330" w14:textId="77777777" w:rsidR="004C6911" w:rsidRPr="004C6911" w:rsidRDefault="004C6911" w:rsidP="00693CB4">
      <w:pPr>
        <w:pStyle w:val="NormalWeb"/>
        <w:shd w:val="clear" w:color="auto" w:fill="FFFFFF"/>
        <w:spacing w:before="0" w:beforeAutospacing="0" w:after="0" w:afterAutospacing="0" w:line="480" w:lineRule="auto"/>
        <w:jc w:val="both"/>
        <w:rPr>
          <w:color w:val="000000"/>
          <w:shd w:val="clear" w:color="auto" w:fill="FFFFFF"/>
        </w:rPr>
        <w:sectPr w:rsidR="004C6911" w:rsidRPr="004C6911" w:rsidSect="005F139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F1393" w:rsidRPr="005F1393" w14:paraId="127C512D" w14:textId="77777777" w:rsidTr="005F1393">
        <w:trPr>
          <w:tblCellSpacing w:w="0" w:type="dxa"/>
        </w:trPr>
        <w:tc>
          <w:tcPr>
            <w:tcW w:w="0" w:type="auto"/>
            <w:shd w:val="clear" w:color="auto" w:fill="FFFFFF"/>
            <w:vAlign w:val="center"/>
            <w:hideMark/>
          </w:tcPr>
          <w:p w14:paraId="3CCA3C2E" w14:textId="77777777" w:rsidR="005F1393" w:rsidRPr="005F1393" w:rsidRDefault="005F1393" w:rsidP="005F1393">
            <w:pPr>
              <w:shd w:val="clear" w:color="auto" w:fill="FFFFFF"/>
              <w:spacing w:after="0" w:line="240" w:lineRule="auto"/>
              <w:jc w:val="center"/>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Int. No. 1966</w:t>
            </w:r>
          </w:p>
          <w:p w14:paraId="357392CB" w14:textId="77777777" w:rsidR="005F1393" w:rsidRPr="005F1393" w:rsidRDefault="005F1393" w:rsidP="005F1393">
            <w:pPr>
              <w:shd w:val="clear" w:color="auto" w:fill="FFFFFF"/>
              <w:spacing w:after="0" w:line="240" w:lineRule="auto"/>
              <w:jc w:val="center"/>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2DD35222"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By Council Members Constantinides, Powers, Torres, Kallos and Yeger</w:t>
            </w:r>
          </w:p>
          <w:p w14:paraId="1F02BAC5"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46C3D7EE"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A Local Law to amend the administrative code of the city of New York, in relation to creating a pilot program to test sewage for COVID-19 RNA</w:t>
            </w:r>
          </w:p>
          <w:p w14:paraId="623FA06C"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3DFA3CB4"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Be it enacted by the Council as follows:</w:t>
            </w:r>
          </w:p>
          <w:p w14:paraId="43F7ADB1" w14:textId="77777777" w:rsidR="005F1393" w:rsidRPr="005F1393" w:rsidRDefault="005F1393" w:rsidP="005F1393">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0FCF3326"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Section 1. Chapter 5 of title 24 of the administrative code of the city of New York is amended by adding a new section 24-531 to read as follows:</w:t>
            </w:r>
          </w:p>
          <w:p w14:paraId="1AE9F619"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24-531 Wastewater testing program. a. Definitions. For the purposes of this section, the following terms have the following meanings:</w:t>
            </w:r>
          </w:p>
          <w:p w14:paraId="1C92E6E4"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Metagenomic next generation sequencing. The term “metagenomic next generation sequencing” means running all nucleic acids in a sample that may contain mixed populations of microorganisms and assigning them to their reference genomes to understand which microbes are present and in what proportions.</w:t>
            </w:r>
          </w:p>
          <w:p w14:paraId="4AB06915"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Rate of infection. The term “rate of infection” means the probability or risk of an infection in a population, used to measure the frequency of occurrence of new instances of infection within a population over a specific period of time.</w:t>
            </w:r>
          </w:p>
          <w:p w14:paraId="6CBC2391"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SARS-CoV-2. The term “SARS-CoV-2” means severe acute respiratory syndrome coronavirus 2, which is the strain of coronavirus that causes the novel coronavirus, COVID-19.</w:t>
            </w:r>
          </w:p>
          <w:p w14:paraId="08AD62D2"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Wastewater-based epidemiology. The term “wastewater-based epidemiology” means the chemical analysis of pollutants and biomarkers in raw wastewater to obtain qualitative and quantitative data on the activity of inhabitants within a given wastewater catchment.</w:t>
            </w:r>
          </w:p>
          <w:p w14:paraId="7EB4D08D"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b. The commissioner of environmental protection, in consultation with the commissioner of health and mental hygiene, shall establish a pilot sampling program to test for the presence of SARS-CoV-2 in sewage at each city wastewater treatment plant in accordance with this section. Such sampling program shall include, but not be limited to the following:</w:t>
            </w:r>
          </w:p>
          <w:p w14:paraId="79B1AF40"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1. The composition of each species detected in each sample collected;</w:t>
            </w:r>
          </w:p>
          <w:p w14:paraId="309D182C"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2. The proportion of each species detected in each sample collected; and</w:t>
            </w:r>
          </w:p>
          <w:p w14:paraId="15B51572"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3. Use of metagenomic next generation sequencing to test samples.</w:t>
            </w:r>
          </w:p>
          <w:p w14:paraId="5F047880"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c. No less than once per every seven days, and for no less than six months, the commissioner, in consultation with the commissioner of health and mental hygiene, shall collect sewage samples in an amount determined by the commissioner of health and mental hygiene that is enough to conduct wastewater-based epidemiology of such samples.</w:t>
            </w:r>
          </w:p>
          <w:p w14:paraId="498FA848"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d. No later than June 1, 2021, the commissioner shall submit to the mayor and speaker of the council a report, which shall include, but not be limited to the following:</w:t>
            </w:r>
          </w:p>
          <w:p w14:paraId="2737AD92"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1. Sampling results disaggregated by the site where the sample was collected, date sample was collected, date sample was tested, and composition and proportion of each species in the samples collected;</w:t>
            </w:r>
          </w:p>
          <w:p w14:paraId="1E0A8498"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2. The total cost of such pilot program;</w:t>
            </w:r>
          </w:p>
          <w:p w14:paraId="148D8ACC"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3. Analysis of the effectiveness of the pilot program in testing for SARS-CoV-2;</w:t>
            </w:r>
          </w:p>
          <w:p w14:paraId="151263D7"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4. Recommendations to expand the pilot program to include sampling at manhole sites if wastewater-based epidemiology detects SARS-CoV-2 in an amount, as determined by the commissioner of health and mental hygiene, that indicates a localized concentration of COVID-19;</w:t>
            </w:r>
          </w:p>
          <w:p w14:paraId="7D8CFDA0"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5. Extending the pilot program for up to an additional six months if more testing is necessary, as determined by the commissioner, in consultation with the commissioner of health and mental hygiene;</w:t>
            </w:r>
          </w:p>
          <w:p w14:paraId="24EAF11E"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6. A plan for weekly testing at each city wastewater treatment plant if the commissioner of health and mental hygiene or state commissioner of health declares that the SARS-CoV-2 rate of infection is at least 1.1 or if the centers for disease control and prevention issues a SARS-CoV-2 pandemic declaration; and</w:t>
            </w:r>
          </w:p>
          <w:p w14:paraId="6430C777" w14:textId="77777777" w:rsidR="005F1393" w:rsidRPr="005F1393" w:rsidRDefault="005F1393" w:rsidP="005F1393">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7. Recommendations for making the pilot program permanent. </w:t>
            </w:r>
          </w:p>
          <w:p w14:paraId="3E610994"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2. This local law takes effect 120 days after it becomes law, except that the commissioner of environmental protection and commissioner of health and mental hygiene may take such measures as are necessary for the implementation of this local law, including the promulgation of rules, before such date.</w:t>
            </w:r>
          </w:p>
          <w:p w14:paraId="2BB95B71"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00F5CE61"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70FB07EC"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696BDAC6"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69B4D4D7"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5956200F"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5818C520"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494F491F"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JSA</w:t>
            </w:r>
          </w:p>
          <w:p w14:paraId="01B504B4" w14:textId="77777777" w:rsidR="005F1393" w:rsidRPr="005F1393" w:rsidRDefault="005F1393" w:rsidP="005F1393">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LS #14610</w:t>
            </w:r>
          </w:p>
          <w:p w14:paraId="18822A16" w14:textId="77777777" w:rsidR="005F1393" w:rsidRPr="005F1393" w:rsidRDefault="005F1393" w:rsidP="005F1393">
            <w:pPr>
              <w:shd w:val="clear" w:color="auto" w:fill="FFFFFF"/>
              <w:spacing w:after="0"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6/2/2020</w:t>
            </w:r>
          </w:p>
          <w:p w14:paraId="5495466A" w14:textId="77777777" w:rsidR="005F1393" w:rsidRPr="005F1393" w:rsidRDefault="005F1393" w:rsidP="005F1393">
            <w:pPr>
              <w:shd w:val="clear" w:color="auto" w:fill="FFFFFF"/>
              <w:spacing w:after="0"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p w14:paraId="7DBB38BB" w14:textId="77777777" w:rsidR="005F1393" w:rsidRPr="005F1393" w:rsidRDefault="005F1393" w:rsidP="005F1393">
            <w:pPr>
              <w:shd w:val="clear" w:color="auto" w:fill="FFFFFF"/>
              <w:spacing w:after="150" w:line="240" w:lineRule="auto"/>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18"/>
                <w:szCs w:val="18"/>
              </w:rPr>
              <w:t> </w:t>
            </w:r>
          </w:p>
        </w:tc>
      </w:tr>
    </w:tbl>
    <w:p w14:paraId="4642ECE9" w14:textId="77777777" w:rsidR="005F1393" w:rsidRPr="005F1393" w:rsidRDefault="005F1393" w:rsidP="005F1393">
      <w:pPr>
        <w:spacing w:after="0" w:line="240" w:lineRule="auto"/>
        <w:rPr>
          <w:rFonts w:ascii="Times New Roman" w:eastAsia="Times New Roman" w:hAnsi="Times New Roman" w:cs="Times New Roman"/>
          <w:sz w:val="24"/>
          <w:szCs w:val="24"/>
        </w:rPr>
      </w:pPr>
      <w:r w:rsidRPr="005F1393">
        <w:rPr>
          <w:rFonts w:ascii="Times" w:eastAsia="Times New Roman" w:hAnsi="Times" w:cs="Times New Roman"/>
          <w:color w:val="000000"/>
          <w:sz w:val="27"/>
          <w:szCs w:val="27"/>
        </w:rPr>
        <w:br/>
      </w:r>
    </w:p>
    <w:p w14:paraId="3EA7BA04" w14:textId="77777777" w:rsidR="00AC75B2" w:rsidRDefault="00AC75B2" w:rsidP="005F1393">
      <w:pPr>
        <w:jc w:val="center"/>
      </w:pPr>
    </w:p>
    <w:sectPr w:rsidR="00AC75B2">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75CA" w14:textId="77777777" w:rsidR="00AA3ACC" w:rsidRDefault="00AA3ACC" w:rsidP="008C3C23">
      <w:pPr>
        <w:spacing w:after="0" w:line="240" w:lineRule="auto"/>
      </w:pPr>
      <w:r>
        <w:separator/>
      </w:r>
    </w:p>
  </w:endnote>
  <w:endnote w:type="continuationSeparator" w:id="0">
    <w:p w14:paraId="51CEBDC9" w14:textId="77777777" w:rsidR="00AA3ACC" w:rsidRDefault="00AA3ACC" w:rsidP="008C3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678B2" w14:textId="77777777" w:rsidR="00F1697C" w:rsidRDefault="00F1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A20CD" w14:textId="4D97D1D7" w:rsidR="00D327D4" w:rsidRDefault="00D327D4">
    <w:pPr>
      <w:pStyle w:val="Footer"/>
      <w:jc w:val="center"/>
    </w:pPr>
    <w:r>
      <w:fldChar w:fldCharType="begin"/>
    </w:r>
    <w:r>
      <w:instrText xml:space="preserve"> PAGE   \* MERGEFORMAT </w:instrText>
    </w:r>
    <w:r>
      <w:fldChar w:fldCharType="separate"/>
    </w:r>
    <w:r w:rsidR="00087C38">
      <w:rPr>
        <w:noProof/>
      </w:rPr>
      <w:t>12</w:t>
    </w:r>
    <w:r>
      <w:rPr>
        <w:noProof/>
      </w:rPr>
      <w:fldChar w:fldCharType="end"/>
    </w:r>
  </w:p>
  <w:p w14:paraId="153933D0" w14:textId="77777777" w:rsidR="00D327D4" w:rsidRDefault="00D327D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637F" w14:textId="168D7374" w:rsidR="00D327D4" w:rsidRDefault="00D327D4">
    <w:pPr>
      <w:pStyle w:val="Footer"/>
      <w:jc w:val="center"/>
    </w:pPr>
    <w:r>
      <w:fldChar w:fldCharType="begin"/>
    </w:r>
    <w:r>
      <w:instrText xml:space="preserve"> PAGE   \* MERGEFORMAT </w:instrText>
    </w:r>
    <w:r>
      <w:fldChar w:fldCharType="separate"/>
    </w:r>
    <w:r w:rsidR="00087C38">
      <w:rPr>
        <w:noProof/>
      </w:rPr>
      <w:t>1</w:t>
    </w:r>
    <w:r>
      <w:rPr>
        <w:noProof/>
      </w:rPr>
      <w:fldChar w:fldCharType="end"/>
    </w:r>
  </w:p>
  <w:p w14:paraId="697FFB37" w14:textId="77777777" w:rsidR="00D327D4" w:rsidRDefault="00D327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309434"/>
      <w:docPartObj>
        <w:docPartGallery w:val="Page Numbers (Bottom of Page)"/>
        <w:docPartUnique/>
      </w:docPartObj>
    </w:sdtPr>
    <w:sdtEndPr>
      <w:rPr>
        <w:noProof/>
      </w:rPr>
    </w:sdtEndPr>
    <w:sdtContent>
      <w:p w14:paraId="6A11E912" w14:textId="08EEC34B" w:rsidR="00D327D4" w:rsidRDefault="00D327D4">
        <w:pPr>
          <w:pStyle w:val="Footer"/>
          <w:jc w:val="center"/>
        </w:pPr>
        <w:r>
          <w:fldChar w:fldCharType="begin"/>
        </w:r>
        <w:r>
          <w:instrText xml:space="preserve"> PAGE   \* MERGEFORMAT </w:instrText>
        </w:r>
        <w:r>
          <w:fldChar w:fldCharType="separate"/>
        </w:r>
        <w:r w:rsidR="00087C38">
          <w:rPr>
            <w:noProof/>
          </w:rPr>
          <w:t>15</w:t>
        </w:r>
        <w:r>
          <w:rPr>
            <w:noProof/>
          </w:rPr>
          <w:fldChar w:fldCharType="end"/>
        </w:r>
      </w:p>
    </w:sdtContent>
  </w:sdt>
  <w:p w14:paraId="4C273C51" w14:textId="77777777" w:rsidR="00D327D4" w:rsidRDefault="00D327D4">
    <w:pPr>
      <w:pStyle w:val="Footer"/>
    </w:pPr>
  </w:p>
  <w:p w14:paraId="1841D508" w14:textId="77777777" w:rsidR="00D327D4" w:rsidRDefault="00D327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7B37B" w14:textId="77777777" w:rsidR="00AA3ACC" w:rsidRDefault="00AA3ACC" w:rsidP="008C3C23">
      <w:pPr>
        <w:spacing w:after="0" w:line="240" w:lineRule="auto"/>
      </w:pPr>
      <w:r>
        <w:separator/>
      </w:r>
    </w:p>
  </w:footnote>
  <w:footnote w:type="continuationSeparator" w:id="0">
    <w:p w14:paraId="6D266A55" w14:textId="77777777" w:rsidR="00AA3ACC" w:rsidRDefault="00AA3ACC" w:rsidP="008C3C23">
      <w:pPr>
        <w:spacing w:after="0" w:line="240" w:lineRule="auto"/>
      </w:pPr>
      <w:r>
        <w:continuationSeparator/>
      </w:r>
    </w:p>
  </w:footnote>
  <w:footnote w:id="1">
    <w:p w14:paraId="3004F6C0" w14:textId="62B1D79E" w:rsidR="00D327D4" w:rsidRDefault="00D327D4">
      <w:pPr>
        <w:pStyle w:val="FootnoteText"/>
      </w:pPr>
      <w:r>
        <w:rPr>
          <w:rStyle w:val="FootnoteReference"/>
        </w:rPr>
        <w:footnoteRef/>
      </w:r>
      <w:r>
        <w:t xml:space="preserve"> Global COVID-19 Tracker. </w:t>
      </w:r>
      <w:hyperlink r:id="rId1" w:history="1">
        <w:r w:rsidRPr="00DE162D">
          <w:rPr>
            <w:rStyle w:val="Hyperlink"/>
          </w:rPr>
          <w:t>https://coronavirus.1point3acres.com/</w:t>
        </w:r>
      </w:hyperlink>
      <w:r>
        <w:t xml:space="preserve"> (last accessed 10/22/20)</w:t>
      </w:r>
    </w:p>
  </w:footnote>
  <w:footnote w:id="2">
    <w:p w14:paraId="6A0CEAAF" w14:textId="59E433BF" w:rsidR="00D327D4" w:rsidRDefault="00D327D4">
      <w:pPr>
        <w:pStyle w:val="FootnoteText"/>
      </w:pPr>
      <w:r>
        <w:rPr>
          <w:rStyle w:val="FootnoteReference"/>
        </w:rPr>
        <w:footnoteRef/>
      </w:r>
      <w:r>
        <w:t xml:space="preserve"> Centers for Disease Control and Prevention. CDC COVID-19 Tracker. </w:t>
      </w:r>
      <w:hyperlink r:id="rId2" w:anchor="cases_casesper100klast7days" w:history="1">
        <w:r w:rsidRPr="00DE162D">
          <w:rPr>
            <w:rStyle w:val="Hyperlink"/>
          </w:rPr>
          <w:t>https://covid.cdc.gov/covid-data-tracker/#cases_casesper100klast7days</w:t>
        </w:r>
      </w:hyperlink>
      <w:r>
        <w:t xml:space="preserve"> (last accessed 10/22/20)</w:t>
      </w:r>
    </w:p>
  </w:footnote>
  <w:footnote w:id="3">
    <w:p w14:paraId="562DC54A" w14:textId="11AB944B" w:rsidR="00D327D4" w:rsidRDefault="00D327D4">
      <w:pPr>
        <w:pStyle w:val="FootnoteText"/>
      </w:pPr>
      <w:r>
        <w:rPr>
          <w:rStyle w:val="FootnoteReference"/>
        </w:rPr>
        <w:footnoteRef/>
      </w:r>
      <w:r>
        <w:t xml:space="preserve"> New York City Department of Health. COVID-19 Data. </w:t>
      </w:r>
      <w:hyperlink r:id="rId3" w:history="1">
        <w:r w:rsidRPr="00DE162D">
          <w:rPr>
            <w:rStyle w:val="Hyperlink"/>
          </w:rPr>
          <w:t>https://www1.nyc.gov/site/doh/covid/covid-19-data.page</w:t>
        </w:r>
      </w:hyperlink>
      <w:r>
        <w:t xml:space="preserve"> (last accessed 10/22/20)</w:t>
      </w:r>
    </w:p>
  </w:footnote>
  <w:footnote w:id="4">
    <w:p w14:paraId="5A48CCA4" w14:textId="6B1C932C" w:rsidR="00D327D4" w:rsidRDefault="00D327D4">
      <w:pPr>
        <w:pStyle w:val="FootnoteText"/>
      </w:pPr>
      <w:r>
        <w:rPr>
          <w:rStyle w:val="FootnoteReference"/>
        </w:rPr>
        <w:footnoteRef/>
      </w:r>
      <w:r>
        <w:t xml:space="preserve"> Centers for Disease Control and Prevention. National Wastewater Surveillance System. </w:t>
      </w:r>
      <w:hyperlink r:id="rId4" w:history="1">
        <w:r w:rsidRPr="00DE162D">
          <w:rPr>
            <w:rStyle w:val="Hyperlink"/>
          </w:rPr>
          <w:t>https://www.cdc.gov/coronavirus/2019-ncov/cases-updates/wastewater-surveillance.html</w:t>
        </w:r>
      </w:hyperlink>
      <w:r>
        <w:t xml:space="preserve"> (last accessed 10/22/20)</w:t>
      </w:r>
    </w:p>
  </w:footnote>
  <w:footnote w:id="5">
    <w:p w14:paraId="4D8C79C3" w14:textId="7F5DDF90" w:rsidR="00D327D4" w:rsidRPr="00460B52" w:rsidRDefault="00D327D4">
      <w:pPr>
        <w:pStyle w:val="FootnoteTex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FootnoteReference"/>
        </w:rPr>
        <w:footnoteRef/>
      </w:r>
      <w:r>
        <w:t xml:space="preserve"> New York City Department Of Environmental Protection, “New York City’s Wastewater Treatment System” </w:t>
      </w:r>
      <w:r w:rsidR="006F69DC" w:rsidRPr="006F69DC">
        <w:t>https://www1.nyc.gov/site/dep/water/wastewater-treatment-system.page</w:t>
      </w:r>
      <w:r>
        <w:rPr>
          <w:rStyle w:val="Hyperlink"/>
          <w:color w:val="000000" w:themeColor="text1"/>
          <w:u w:val="none"/>
        </w:rPr>
        <w:t>(last accessed 10/22/20)</w:t>
      </w:r>
    </w:p>
  </w:footnote>
  <w:footnote w:id="6">
    <w:p w14:paraId="59ED512E" w14:textId="5E32A552" w:rsidR="00D327D4" w:rsidRDefault="00D327D4">
      <w:pPr>
        <w:pStyle w:val="FootnoteText"/>
      </w:pPr>
      <w:r>
        <w:rPr>
          <w:rStyle w:val="FootnoteReference"/>
        </w:rPr>
        <w:footnoteRef/>
      </w:r>
      <w:r>
        <w:t xml:space="preserve"> NYC Mayor’s Office of Environmental Coordination CEQR Technical Manual 2014. </w:t>
      </w:r>
      <w:hyperlink r:id="rId5" w:history="1">
        <w:r w:rsidRPr="00DE162D">
          <w:rPr>
            <w:rStyle w:val="Hyperlink"/>
          </w:rPr>
          <w:t>https://www1.nyc.gov/assets/oec/technical-manual/2014_ceqr_technical_manual_rev_04_27_2016.pdf</w:t>
        </w:r>
      </w:hyperlink>
      <w:r>
        <w:t xml:space="preserve"> (last accessed 10/22/20)</w:t>
      </w:r>
    </w:p>
  </w:footnote>
  <w:footnote w:id="7">
    <w:p w14:paraId="6193C69F" w14:textId="67320EDE" w:rsidR="00D327D4" w:rsidRDefault="00D327D4">
      <w:pPr>
        <w:pStyle w:val="FootnoteText"/>
      </w:pPr>
      <w:r>
        <w:rPr>
          <w:rStyle w:val="FootnoteReference"/>
        </w:rPr>
        <w:footnoteRef/>
      </w:r>
      <w:r>
        <w:t xml:space="preserve"> NYC Open Sewer Atlas. Sewersheds and Community boards. </w:t>
      </w:r>
      <w:hyperlink r:id="rId6" w:history="1">
        <w:r w:rsidRPr="00DE162D">
          <w:rPr>
            <w:rStyle w:val="Hyperlink"/>
          </w:rPr>
          <w:t>https://openseweratlas.tumblr.com/post/90255588644/sewersheds-and-community-boards</w:t>
        </w:r>
      </w:hyperlink>
      <w:r>
        <w:t xml:space="preserve"> (last accessed 10/22/20)</w:t>
      </w:r>
    </w:p>
  </w:footnote>
  <w:footnote w:id="8">
    <w:p w14:paraId="21281026" w14:textId="2095B7E5" w:rsidR="00D327D4" w:rsidRDefault="00D327D4">
      <w:pPr>
        <w:pStyle w:val="FootnoteText"/>
      </w:pPr>
      <w:r>
        <w:rPr>
          <w:rStyle w:val="FootnoteReference"/>
        </w:rPr>
        <w:footnoteRef/>
      </w:r>
      <w:r>
        <w:t xml:space="preserve"> Id at 5</w:t>
      </w:r>
    </w:p>
  </w:footnote>
  <w:footnote w:id="9">
    <w:p w14:paraId="1A45757A" w14:textId="2A18E5E2" w:rsidR="00D327D4" w:rsidRDefault="00D327D4">
      <w:pPr>
        <w:pStyle w:val="FootnoteText"/>
      </w:pPr>
      <w:r>
        <w:rPr>
          <w:rStyle w:val="FootnoteReference"/>
        </w:rPr>
        <w:footnoteRef/>
      </w:r>
      <w:r>
        <w:t xml:space="preserve"> Centers for Disease Control and Prevention. National Wastewater Surveillance System. </w:t>
      </w:r>
      <w:hyperlink r:id="rId7" w:history="1">
        <w:r w:rsidRPr="00DE162D">
          <w:rPr>
            <w:rStyle w:val="Hyperlink"/>
          </w:rPr>
          <w:t>https://www.cdc.gov/coronavirus/2019-ncov/cases-updates/wastewater-surveillance.html</w:t>
        </w:r>
      </w:hyperlink>
      <w:r>
        <w:t xml:space="preserve"> (last accessed 10/22/20)</w:t>
      </w:r>
    </w:p>
  </w:footnote>
  <w:footnote w:id="10">
    <w:p w14:paraId="778B44F1" w14:textId="154F9BCE" w:rsidR="00D327D4" w:rsidRDefault="00D327D4">
      <w:pPr>
        <w:pStyle w:val="FootnoteText"/>
      </w:pPr>
      <w:r>
        <w:rPr>
          <w:rStyle w:val="FootnoteReference"/>
        </w:rPr>
        <w:footnoteRef/>
      </w:r>
      <w:r>
        <w:t xml:space="preserve"> Id. </w:t>
      </w:r>
    </w:p>
  </w:footnote>
  <w:footnote w:id="11">
    <w:p w14:paraId="14FC6427" w14:textId="77777777" w:rsidR="00D327D4" w:rsidRDefault="00D327D4" w:rsidP="00460B52">
      <w:pPr>
        <w:pStyle w:val="FootnoteText"/>
      </w:pPr>
      <w:r>
        <w:rPr>
          <w:rStyle w:val="FootnoteReference"/>
        </w:rPr>
        <w:footnoteRef/>
      </w:r>
      <w:r>
        <w:t xml:space="preserve"> NYC Mayor’s Office of Environmental Coordination CEQR Technical Manual 2014. </w:t>
      </w:r>
      <w:hyperlink r:id="rId8" w:history="1">
        <w:r w:rsidRPr="00DE162D">
          <w:rPr>
            <w:rStyle w:val="Hyperlink"/>
          </w:rPr>
          <w:t>https://www1.nyc.gov/assets/oec/technical-manual/2014_ceqr_technical_manual_rev_04_27_2016.pdf</w:t>
        </w:r>
      </w:hyperlink>
      <w:r>
        <w:t xml:space="preserve"> (last accessed 10/22/20)</w:t>
      </w:r>
    </w:p>
    <w:p w14:paraId="436A0062" w14:textId="319ADD79" w:rsidR="00D327D4" w:rsidRDefault="00D327D4">
      <w:pPr>
        <w:pStyle w:val="FootnoteText"/>
      </w:pPr>
    </w:p>
  </w:footnote>
  <w:footnote w:id="12">
    <w:p w14:paraId="19004146" w14:textId="3FE44D58" w:rsidR="00D327D4" w:rsidRPr="003C276E" w:rsidRDefault="00D327D4">
      <w:pPr>
        <w:pStyle w:val="FootnoteText"/>
        <w:rPr>
          <w:iCs/>
        </w:rPr>
      </w:pPr>
      <w:r>
        <w:rPr>
          <w:rStyle w:val="FootnoteReference"/>
        </w:rPr>
        <w:footnoteRef/>
      </w:r>
      <w:r>
        <w:t xml:space="preserve"> New York City Department Of Environmental Protection, “Wastewater Treatment Process”  </w:t>
      </w:r>
      <w:hyperlink r:id="rId9" w:history="1">
        <w:r w:rsidRPr="00E80B4A">
          <w:rPr>
            <w:rStyle w:val="Hyperlink"/>
          </w:rPr>
          <w:t>https://www1.nyc.gov/html/dep/html/wastewater/wwsystem-process.shtml</w:t>
        </w:r>
      </w:hyperlink>
      <w:r>
        <w:t xml:space="preserve"> </w:t>
      </w:r>
      <w:r>
        <w:rPr>
          <w:iCs/>
        </w:rPr>
        <w:t>(last accessed 10/22/20)</w:t>
      </w:r>
    </w:p>
  </w:footnote>
  <w:footnote w:id="13">
    <w:p w14:paraId="50766185" w14:textId="77777777" w:rsidR="00D327D4" w:rsidRDefault="00D327D4">
      <w:pPr>
        <w:pStyle w:val="FootnoteText"/>
      </w:pPr>
      <w:r>
        <w:rPr>
          <w:rStyle w:val="FootnoteReference"/>
        </w:rPr>
        <w:footnoteRef/>
      </w:r>
      <w:r>
        <w:t xml:space="preserve"> Id. </w:t>
      </w:r>
    </w:p>
  </w:footnote>
  <w:footnote w:id="14">
    <w:p w14:paraId="6887F9B0" w14:textId="77777777" w:rsidR="00D327D4" w:rsidRDefault="00D327D4">
      <w:pPr>
        <w:pStyle w:val="FootnoteText"/>
      </w:pPr>
      <w:r>
        <w:rPr>
          <w:rStyle w:val="FootnoteReference"/>
        </w:rPr>
        <w:footnoteRef/>
      </w:r>
      <w:r>
        <w:t xml:space="preserve"> Id. </w:t>
      </w:r>
    </w:p>
  </w:footnote>
  <w:footnote w:id="15">
    <w:p w14:paraId="4382D4FD" w14:textId="77777777" w:rsidR="00D327D4" w:rsidRDefault="00D327D4">
      <w:pPr>
        <w:pStyle w:val="FootnoteText"/>
      </w:pPr>
      <w:r>
        <w:rPr>
          <w:rStyle w:val="FootnoteReference"/>
        </w:rPr>
        <w:footnoteRef/>
      </w:r>
      <w:r>
        <w:t xml:space="preserve"> Id. </w:t>
      </w:r>
    </w:p>
  </w:footnote>
  <w:footnote w:id="16">
    <w:p w14:paraId="0D31D803" w14:textId="77777777" w:rsidR="00D327D4" w:rsidRDefault="00D327D4">
      <w:pPr>
        <w:pStyle w:val="FootnoteText"/>
      </w:pPr>
      <w:r>
        <w:rPr>
          <w:rStyle w:val="FootnoteReference"/>
        </w:rPr>
        <w:footnoteRef/>
      </w:r>
      <w:r>
        <w:t xml:space="preserve"> Id. </w:t>
      </w:r>
    </w:p>
  </w:footnote>
  <w:footnote w:id="17">
    <w:p w14:paraId="4C38A65C" w14:textId="57EB418C" w:rsidR="00D327D4" w:rsidRPr="003C276E" w:rsidRDefault="00D327D4">
      <w:pPr>
        <w:pStyle w:val="FootnoteText"/>
        <w:rPr>
          <w:iCs/>
        </w:rPr>
      </w:pPr>
      <w:r>
        <w:rPr>
          <w:rStyle w:val="FootnoteReference"/>
        </w:rPr>
        <w:footnoteRef/>
      </w:r>
      <w:r>
        <w:t xml:space="preserve"> New York City Department Of Environmental Protection, “Wastewater Treatment Process”  </w:t>
      </w:r>
      <w:hyperlink r:id="rId10" w:history="1">
        <w:r w:rsidRPr="00E80B4A">
          <w:rPr>
            <w:rStyle w:val="Hyperlink"/>
          </w:rPr>
          <w:t>https://www1.nyc.gov/html/dep/html/wastewater/wwsystem-process.shtml</w:t>
        </w:r>
      </w:hyperlink>
      <w:r>
        <w:rPr>
          <w:i/>
        </w:rPr>
        <w:t xml:space="preserve"> </w:t>
      </w:r>
      <w:r>
        <w:rPr>
          <w:iCs/>
        </w:rPr>
        <w:t>(last accessed 10/22/20)</w:t>
      </w:r>
    </w:p>
  </w:footnote>
  <w:footnote w:id="18">
    <w:p w14:paraId="3452E4E6" w14:textId="77777777" w:rsidR="00D327D4" w:rsidRDefault="00D327D4">
      <w:pPr>
        <w:pStyle w:val="FootnoteText"/>
      </w:pPr>
      <w:r>
        <w:rPr>
          <w:rStyle w:val="FootnoteReference"/>
        </w:rPr>
        <w:footnoteRef/>
      </w:r>
      <w:r>
        <w:t xml:space="preserve"> Id.</w:t>
      </w:r>
    </w:p>
  </w:footnote>
  <w:footnote w:id="19">
    <w:p w14:paraId="67EAD165" w14:textId="2A8A5D3C" w:rsidR="00D327D4" w:rsidRDefault="00D327D4">
      <w:pPr>
        <w:pStyle w:val="FootnoteText"/>
      </w:pPr>
      <w:r>
        <w:rPr>
          <w:rStyle w:val="FootnoteReference"/>
        </w:rPr>
        <w:footnoteRef/>
      </w:r>
      <w:r>
        <w:t xml:space="preserve"> Removing Coronavirus from the water cycle. Science Daily. April 3, 2020. </w:t>
      </w:r>
      <w:hyperlink r:id="rId11" w:history="1">
        <w:r w:rsidRPr="00DE162D">
          <w:rPr>
            <w:rStyle w:val="Hyperlink"/>
          </w:rPr>
          <w:t>https://www.sciencedaily.com/releases/2020/04/200403132347.htm</w:t>
        </w:r>
      </w:hyperlink>
      <w:r>
        <w:t xml:space="preserve"> (last accessed 10/23/20)</w:t>
      </w:r>
    </w:p>
  </w:footnote>
  <w:footnote w:id="20">
    <w:p w14:paraId="6B241E59" w14:textId="77777777" w:rsidR="00D327D4" w:rsidRDefault="00D327D4">
      <w:pPr>
        <w:pStyle w:val="FootnoteText"/>
      </w:pPr>
      <w:r>
        <w:rPr>
          <w:rStyle w:val="FootnoteReference"/>
        </w:rPr>
        <w:footnoteRef/>
      </w:r>
      <w:r>
        <w:t xml:space="preserve"> Id. </w:t>
      </w:r>
    </w:p>
  </w:footnote>
  <w:footnote w:id="21">
    <w:p w14:paraId="63AD3185" w14:textId="77777777" w:rsidR="00D327D4" w:rsidRDefault="00D327D4">
      <w:pPr>
        <w:pStyle w:val="FootnoteText"/>
      </w:pPr>
      <w:r>
        <w:rPr>
          <w:rStyle w:val="FootnoteReference"/>
        </w:rPr>
        <w:footnoteRef/>
      </w:r>
      <w:r>
        <w:t xml:space="preserve"> Id. </w:t>
      </w:r>
    </w:p>
  </w:footnote>
  <w:footnote w:id="22">
    <w:p w14:paraId="06519875" w14:textId="77777777" w:rsidR="00D327D4" w:rsidRDefault="00D327D4">
      <w:pPr>
        <w:pStyle w:val="FootnoteText"/>
      </w:pPr>
      <w:r>
        <w:rPr>
          <w:rStyle w:val="FootnoteReference"/>
        </w:rPr>
        <w:footnoteRef/>
      </w:r>
      <w:r>
        <w:t xml:space="preserve"> Id. </w:t>
      </w:r>
    </w:p>
  </w:footnote>
  <w:footnote w:id="23">
    <w:p w14:paraId="03526B84" w14:textId="77777777" w:rsidR="00D327D4" w:rsidRDefault="00D327D4">
      <w:pPr>
        <w:pStyle w:val="FootnoteText"/>
      </w:pPr>
      <w:r>
        <w:rPr>
          <w:rStyle w:val="FootnoteReference"/>
        </w:rPr>
        <w:footnoteRef/>
      </w:r>
      <w:r>
        <w:t xml:space="preserve"> Id. </w:t>
      </w:r>
    </w:p>
  </w:footnote>
  <w:footnote w:id="24">
    <w:p w14:paraId="13622E4F" w14:textId="77777777" w:rsidR="00D327D4" w:rsidRDefault="00D327D4">
      <w:pPr>
        <w:pStyle w:val="FootnoteText"/>
      </w:pPr>
      <w:r>
        <w:rPr>
          <w:rStyle w:val="FootnoteReference"/>
        </w:rPr>
        <w:footnoteRef/>
      </w:r>
      <w:r>
        <w:t xml:space="preserve"> Id. </w:t>
      </w:r>
    </w:p>
  </w:footnote>
  <w:footnote w:id="25">
    <w:p w14:paraId="38974796" w14:textId="35F868AC" w:rsidR="00D327D4" w:rsidRPr="003C276E" w:rsidRDefault="00D327D4">
      <w:pPr>
        <w:pStyle w:val="FootnoteText"/>
        <w:rPr>
          <w:iCs/>
        </w:rPr>
      </w:pPr>
      <w:r>
        <w:rPr>
          <w:rStyle w:val="FootnoteReference"/>
        </w:rPr>
        <w:footnoteRef/>
      </w:r>
      <w:r>
        <w:t xml:space="preserve"> New York City Department of Environmental Protection “Biosolids Management Program” </w:t>
      </w:r>
      <w:hyperlink r:id="rId12" w:history="1">
        <w:r w:rsidRPr="00E80B4A">
          <w:rPr>
            <w:rStyle w:val="Hyperlink"/>
          </w:rPr>
          <w:t>https://www1.nyc.gov/html/dep/html/wastewater/biohome.shtml</w:t>
        </w:r>
      </w:hyperlink>
      <w:r>
        <w:t xml:space="preserve">, </w:t>
      </w:r>
      <w:r>
        <w:rPr>
          <w:iCs/>
        </w:rPr>
        <w:t>(last accessed 10/23/20)</w:t>
      </w:r>
    </w:p>
  </w:footnote>
  <w:footnote w:id="26">
    <w:p w14:paraId="4B675220" w14:textId="77777777" w:rsidR="00D327D4" w:rsidRDefault="00D327D4">
      <w:pPr>
        <w:pStyle w:val="FootnoteText"/>
      </w:pPr>
      <w:r>
        <w:rPr>
          <w:rStyle w:val="FootnoteReference"/>
        </w:rPr>
        <w:footnoteRef/>
      </w:r>
      <w:r>
        <w:t xml:space="preserve"> United States Environmental Protection Agency “A Plain English Guide To The Part 503 Biosolids Rule” (September 1994) </w:t>
      </w:r>
      <w:hyperlink r:id="rId13" w:history="1">
        <w:r w:rsidRPr="00E80B4A">
          <w:rPr>
            <w:rStyle w:val="Hyperlink"/>
          </w:rPr>
          <w:t>https://www.epa.gov/sites/production/files/2018-12/documents/plain-english-guide-part503-biosolids-rule.pdf</w:t>
        </w:r>
      </w:hyperlink>
      <w:r>
        <w:t xml:space="preserve"> </w:t>
      </w:r>
    </w:p>
  </w:footnote>
  <w:footnote w:id="27">
    <w:p w14:paraId="55C674DC" w14:textId="77777777" w:rsidR="00D327D4" w:rsidRDefault="00D327D4">
      <w:pPr>
        <w:pStyle w:val="FootnoteText"/>
      </w:pPr>
      <w:r>
        <w:rPr>
          <w:rStyle w:val="FootnoteReference"/>
        </w:rPr>
        <w:footnoteRef/>
      </w:r>
      <w:r>
        <w:t xml:space="preserve"> Caroline Snyder “The Dirty Work of Promoting “Recycling” of America’s Sewage Sludge” International Journal of Occupational and Environmental Health (</w:t>
      </w:r>
      <w:r w:rsidRPr="00CB237E">
        <w:t>VOL 11/NO 4, OCT/DEC 2005</w:t>
      </w:r>
      <w:r>
        <w:t xml:space="preserve">) </w:t>
      </w:r>
      <w:hyperlink r:id="rId14" w:history="1">
        <w:r w:rsidRPr="00E80B4A">
          <w:rPr>
            <w:rStyle w:val="Hyperlink"/>
          </w:rPr>
          <w:t>http://www.sludgefacts.org/IJOEH_1104_Snyder.pdf</w:t>
        </w:r>
      </w:hyperlink>
      <w:r>
        <w:t xml:space="preserve"> </w:t>
      </w:r>
    </w:p>
  </w:footnote>
  <w:footnote w:id="28">
    <w:p w14:paraId="3315AEE4" w14:textId="463C41D0" w:rsidR="00D327D4" w:rsidRDefault="00D327D4">
      <w:pPr>
        <w:pStyle w:val="FootnoteText"/>
      </w:pPr>
      <w:r>
        <w:rPr>
          <w:rStyle w:val="FootnoteReference"/>
        </w:rPr>
        <w:footnoteRef/>
      </w:r>
      <w:r>
        <w:t xml:space="preserve"> Bolger et al. Rethinking wastewater risks and monitoring in light of the COVID-19 pandemic. Nature Sustainability 2020. </w:t>
      </w:r>
      <w:hyperlink r:id="rId15" w:history="1">
        <w:r w:rsidRPr="00DE162D">
          <w:rPr>
            <w:rStyle w:val="Hyperlink"/>
          </w:rPr>
          <w:t>https://www.nature.com/articles/s41893-020-00605-2</w:t>
        </w:r>
      </w:hyperlink>
      <w:r>
        <w:t xml:space="preserve"> (last accessed 10/23/20)</w:t>
      </w:r>
    </w:p>
  </w:footnote>
  <w:footnote w:id="29">
    <w:p w14:paraId="3F1917AA" w14:textId="1669A868" w:rsidR="00D327D4" w:rsidRDefault="00D327D4">
      <w:pPr>
        <w:pStyle w:val="FootnoteText"/>
      </w:pPr>
      <w:r>
        <w:rPr>
          <w:rStyle w:val="FootnoteReference"/>
        </w:rPr>
        <w:footnoteRef/>
      </w:r>
      <w:r>
        <w:t xml:space="preserve"> Centers for Disease Control and Prevention. Can the COVID-19 virus spread through sewage systems? </w:t>
      </w:r>
      <w:hyperlink r:id="rId16" w:anchor="Spread" w:history="1">
        <w:r w:rsidRPr="00DE162D">
          <w:rPr>
            <w:rStyle w:val="Hyperlink"/>
          </w:rPr>
          <w:t>https://www.cdc.gov/coronavirus/2019-ncov/faq.html#Spread</w:t>
        </w:r>
      </w:hyperlink>
      <w:r>
        <w:t xml:space="preserve"> (last accessed 10/23/20)</w:t>
      </w:r>
    </w:p>
  </w:footnote>
  <w:footnote w:id="30">
    <w:p w14:paraId="216DA5FD" w14:textId="77777777" w:rsidR="00D327D4" w:rsidRDefault="00D327D4">
      <w:pPr>
        <w:pStyle w:val="FootnoteText"/>
      </w:pPr>
      <w:r>
        <w:rPr>
          <w:rStyle w:val="FootnoteReference"/>
        </w:rPr>
        <w:footnoteRef/>
      </w:r>
      <w:r w:rsidRPr="00994F24">
        <w:t>University Of Georgia. "Researchers Link Increased Risk Of Illness To Sewage Sludge Used As Fertilizer." ScienceDaily. ScienceDaily, 30 July 2002. &lt;www.sciencedaily.com/releases/2002/07/020730075144.htm&gt;</w:t>
      </w:r>
    </w:p>
  </w:footnote>
  <w:footnote w:id="31">
    <w:p w14:paraId="3F666532" w14:textId="4C7D776E" w:rsidR="006F69DC" w:rsidRDefault="006F69DC">
      <w:pPr>
        <w:pStyle w:val="FootnoteText"/>
      </w:pPr>
      <w:r>
        <w:rPr>
          <w:rStyle w:val="FootnoteReference"/>
        </w:rPr>
        <w:footnoteRef/>
      </w:r>
      <w:r>
        <w:t xml:space="preserve"> National Institute for Occupational Safety and Health. Guidance For Controlling Potential Risks To Workers Exposed To Class b Biosolids. </w:t>
      </w:r>
      <w:hyperlink r:id="rId17" w:history="1">
        <w:r w:rsidRPr="00DE162D">
          <w:rPr>
            <w:rStyle w:val="Hyperlink"/>
          </w:rPr>
          <w:t>https://www.cdc.gov/niosh/docs/2002-149/default.html</w:t>
        </w:r>
      </w:hyperlink>
      <w:r>
        <w:t xml:space="preserve"> (last accessed 10/23/20)</w:t>
      </w:r>
    </w:p>
  </w:footnote>
  <w:footnote w:id="32">
    <w:p w14:paraId="546E76A4" w14:textId="77777777" w:rsidR="00D327D4" w:rsidRDefault="00D327D4">
      <w:pPr>
        <w:pStyle w:val="FootnoteText"/>
      </w:pPr>
      <w:r>
        <w:rPr>
          <w:rStyle w:val="FootnoteReference"/>
        </w:rPr>
        <w:footnoteRef/>
      </w:r>
      <w:r>
        <w:t xml:space="preserve"> </w:t>
      </w:r>
      <w:r w:rsidRPr="001A1F39">
        <w:t>M. Vítězová</w:t>
      </w:r>
      <w:r>
        <w:t xml:space="preserve"> et al. “Microbial Contamination of The Air At The Wastewater Treatment Plant” </w:t>
      </w:r>
      <w:r w:rsidRPr="001A1F39">
        <w:t>ACTA UNIVERSITATIS AGRICULTURAE ET SILVICULTURAE MENDELIANAE BRUNENSIS</w:t>
      </w:r>
      <w:r>
        <w:t xml:space="preserve"> (January 2012) </w:t>
      </w:r>
      <w:hyperlink r:id="rId18" w:history="1">
        <w:r w:rsidRPr="00E80B4A">
          <w:rPr>
            <w:rStyle w:val="Hyperlink"/>
          </w:rPr>
          <w:t>https://acta.mendelu.cz/media/pdf/actaun_2012060030233.pdf</w:t>
        </w:r>
      </w:hyperlink>
      <w:r>
        <w:t xml:space="preserve"> </w:t>
      </w:r>
    </w:p>
  </w:footnote>
  <w:footnote w:id="33">
    <w:p w14:paraId="6ADE1575" w14:textId="6D86827F" w:rsidR="00D327D4" w:rsidRPr="003C276E" w:rsidRDefault="00D327D4">
      <w:pPr>
        <w:pStyle w:val="FootnoteText"/>
        <w:rPr>
          <w:iCs/>
        </w:rPr>
      </w:pPr>
      <w:r>
        <w:rPr>
          <w:rStyle w:val="FootnoteReference"/>
        </w:rPr>
        <w:footnoteRef/>
      </w:r>
      <w:r>
        <w:t xml:space="preserve"> </w:t>
      </w:r>
      <w:r w:rsidRPr="009F23A6">
        <w:t>New York City Department Of Environmental Protection</w:t>
      </w:r>
      <w:r>
        <w:t>,</w:t>
      </w:r>
      <w:r w:rsidRPr="009F23A6">
        <w:t xml:space="preserve"> “Wastewater Treatment Process”  </w:t>
      </w:r>
      <w:hyperlink r:id="rId19" w:history="1">
        <w:r w:rsidRPr="00E80B4A">
          <w:rPr>
            <w:rStyle w:val="Hyperlink"/>
          </w:rPr>
          <w:t>https://www1.nyc.gov/html/dep/html/wastewater/wwsystem-process.shtml</w:t>
        </w:r>
      </w:hyperlink>
      <w:r>
        <w:t xml:space="preserve"> </w:t>
      </w:r>
      <w:r>
        <w:rPr>
          <w:iCs/>
        </w:rPr>
        <w:t>(last accessed 10/23/20)</w:t>
      </w:r>
    </w:p>
  </w:footnote>
  <w:footnote w:id="34">
    <w:p w14:paraId="64EA2A61" w14:textId="77777777" w:rsidR="00D327D4" w:rsidRDefault="00D327D4">
      <w:pPr>
        <w:pStyle w:val="FootnoteText"/>
      </w:pPr>
      <w:r>
        <w:rPr>
          <w:rStyle w:val="FootnoteReference"/>
        </w:rPr>
        <w:footnoteRef/>
      </w:r>
      <w:r>
        <w:t xml:space="preserve"> Id. at 33</w:t>
      </w:r>
    </w:p>
  </w:footnote>
  <w:footnote w:id="35">
    <w:p w14:paraId="23BC00F7" w14:textId="19D81B8B" w:rsidR="00D327D4" w:rsidRDefault="00D327D4">
      <w:pPr>
        <w:pStyle w:val="FootnoteText"/>
      </w:pPr>
      <w:r>
        <w:rPr>
          <w:rStyle w:val="FootnoteReference"/>
        </w:rPr>
        <w:footnoteRef/>
      </w:r>
      <w:r>
        <w:t xml:space="preserve"> Bolger et al. Rethinking wastewater risks and monitoring in light of the COVID-19 pandemic. Nature Sustainability 2020. </w:t>
      </w:r>
      <w:hyperlink r:id="rId20" w:history="1">
        <w:r w:rsidRPr="00DE162D">
          <w:rPr>
            <w:rStyle w:val="Hyperlink"/>
          </w:rPr>
          <w:t>https://www.nature.com/articles/s41893-020-00605-2</w:t>
        </w:r>
      </w:hyperlink>
      <w:r>
        <w:t xml:space="preserve"> (last accessed 10/23/20)</w:t>
      </w:r>
    </w:p>
  </w:footnote>
  <w:footnote w:id="36">
    <w:p w14:paraId="03F211C2" w14:textId="4B1307A0" w:rsidR="00D327D4" w:rsidRDefault="00D327D4">
      <w:pPr>
        <w:pStyle w:val="FootnoteText"/>
      </w:pPr>
      <w:r>
        <w:rPr>
          <w:rStyle w:val="FootnoteReference"/>
        </w:rPr>
        <w:footnoteRef/>
      </w:r>
      <w:r>
        <w:t xml:space="preserve"> Id. </w:t>
      </w:r>
    </w:p>
  </w:footnote>
  <w:footnote w:id="37">
    <w:p w14:paraId="4C46A1A1" w14:textId="3F6F3D50" w:rsidR="00D327D4" w:rsidRDefault="00D327D4">
      <w:pPr>
        <w:pStyle w:val="FootnoteText"/>
      </w:pPr>
      <w:r>
        <w:rPr>
          <w:rStyle w:val="FootnoteReference"/>
        </w:rPr>
        <w:footnoteRef/>
      </w:r>
      <w:r>
        <w:t xml:space="preserve"> McKinney et al. Environmental transmission of SARS at Amoy Gardens. </w:t>
      </w:r>
      <w:r w:rsidRPr="003C276E">
        <w:t>J Environ Health. 2006</w:t>
      </w:r>
      <w:r>
        <w:t xml:space="preserve">. </w:t>
      </w:r>
      <w:hyperlink r:id="rId21" w:history="1">
        <w:r w:rsidRPr="00DE162D">
          <w:rPr>
            <w:rStyle w:val="Hyperlink"/>
          </w:rPr>
          <w:t>https://pubmed.ncbi.nlm.nih.gov/16696450/</w:t>
        </w:r>
      </w:hyperlink>
      <w:r>
        <w:t xml:space="preserve"> (last accessed 10/23/20)</w:t>
      </w:r>
    </w:p>
  </w:footnote>
  <w:footnote w:id="38">
    <w:p w14:paraId="16D207D2" w14:textId="687E12B6" w:rsidR="00D327D4" w:rsidRDefault="00D327D4">
      <w:pPr>
        <w:pStyle w:val="FootnoteText"/>
      </w:pPr>
      <w:r>
        <w:rPr>
          <w:rStyle w:val="FootnoteReference"/>
        </w:rPr>
        <w:footnoteRef/>
      </w:r>
      <w:r>
        <w:t xml:space="preserve"> Centers for Disease Control and Prevention. Can the COVID-19 virus spread through sewage systems? </w:t>
      </w:r>
      <w:hyperlink r:id="rId22" w:anchor="Spread" w:history="1">
        <w:r w:rsidRPr="00DE162D">
          <w:rPr>
            <w:rStyle w:val="Hyperlink"/>
          </w:rPr>
          <w:t>https://www.cdc.gov/coronavirus/2019-ncov/faq.html#Spread</w:t>
        </w:r>
      </w:hyperlink>
      <w:r>
        <w:t xml:space="preserve"> (last accessed 10/23/20)N</w:t>
      </w:r>
    </w:p>
  </w:footnote>
  <w:footnote w:id="39">
    <w:p w14:paraId="32A4526B" w14:textId="2EC6CEAC" w:rsidR="00C3078D" w:rsidRDefault="00C3078D">
      <w:pPr>
        <w:pStyle w:val="FootnoteText"/>
      </w:pPr>
      <w:r>
        <w:rPr>
          <w:rStyle w:val="FootnoteReference"/>
        </w:rPr>
        <w:footnoteRef/>
      </w:r>
      <w:r>
        <w:t xml:space="preserve"> </w:t>
      </w:r>
      <w:r w:rsidRPr="00C3078D">
        <w:t>Polo, David et al. “Making waves: Wastewater-based epidemiology for COVID-19 - approaches and challenges for surveillance and prediction.” </w:t>
      </w:r>
      <w:r w:rsidRPr="00C3078D">
        <w:rPr>
          <w:i/>
          <w:iCs/>
        </w:rPr>
        <w:t>Water research</w:t>
      </w:r>
      <w:r w:rsidRPr="00C3078D">
        <w:t>, vol. 186</w:t>
      </w:r>
      <w:r>
        <w:t xml:space="preserve">. </w:t>
      </w:r>
      <w:r w:rsidRPr="00C3078D">
        <w:t xml:space="preserve"> </w:t>
      </w:r>
      <w:r>
        <w:t>S</w:t>
      </w:r>
      <w:r w:rsidRPr="00C3078D">
        <w:t>ep</w:t>
      </w:r>
      <w:r>
        <w:t xml:space="preserve">tember 9, </w:t>
      </w:r>
      <w:r w:rsidRPr="00C3078D">
        <w:t xml:space="preserve"> 2020</w:t>
      </w:r>
      <w:r>
        <w:t xml:space="preserve"> </w:t>
      </w:r>
      <w:hyperlink r:id="rId23" w:history="1">
        <w:r w:rsidRPr="00DE162D">
          <w:rPr>
            <w:rStyle w:val="Hyperlink"/>
          </w:rPr>
          <w:t>https://www.ncbi.nlm.nih.gov/pmc/articles/PMC7480445/</w:t>
        </w:r>
      </w:hyperlink>
      <w:r>
        <w:t xml:space="preserve"> (last accessed 10/23/20)</w:t>
      </w:r>
    </w:p>
  </w:footnote>
  <w:footnote w:id="40">
    <w:p w14:paraId="62ED23E7" w14:textId="1C858A91" w:rsidR="00C3078D" w:rsidRDefault="00C3078D">
      <w:pPr>
        <w:pStyle w:val="FootnoteText"/>
      </w:pPr>
      <w:r>
        <w:rPr>
          <w:rStyle w:val="FootnoteReference"/>
        </w:rPr>
        <w:footnoteRef/>
      </w:r>
      <w:r>
        <w:t xml:space="preserve"> Id. </w:t>
      </w:r>
    </w:p>
  </w:footnote>
  <w:footnote w:id="41">
    <w:p w14:paraId="1345EF68" w14:textId="53C9E2C3" w:rsidR="00C3078D" w:rsidRDefault="00C3078D">
      <w:pPr>
        <w:pStyle w:val="FootnoteText"/>
      </w:pPr>
      <w:r>
        <w:rPr>
          <w:rStyle w:val="FootnoteReference"/>
        </w:rPr>
        <w:footnoteRef/>
      </w:r>
      <w:r>
        <w:t xml:space="preserve"> Id. </w:t>
      </w:r>
    </w:p>
  </w:footnote>
  <w:footnote w:id="42">
    <w:p w14:paraId="7DC7EF7D" w14:textId="798E360E" w:rsidR="00DA0DFC" w:rsidRDefault="00DA0DFC">
      <w:pPr>
        <w:pStyle w:val="FootnoteText"/>
      </w:pPr>
      <w:r>
        <w:rPr>
          <w:rStyle w:val="FootnoteReference"/>
        </w:rPr>
        <w:footnoteRef/>
      </w:r>
      <w:r>
        <w:t xml:space="preserve"> </w:t>
      </w:r>
      <w:r w:rsidR="006F69DC">
        <w:t xml:space="preserve">Id. </w:t>
      </w:r>
    </w:p>
  </w:footnote>
  <w:footnote w:id="43">
    <w:p w14:paraId="665717C4" w14:textId="3A51CCE1" w:rsidR="00DA0DFC" w:rsidRDefault="00DA0DFC">
      <w:pPr>
        <w:pStyle w:val="FootnoteText"/>
      </w:pPr>
      <w:r>
        <w:rPr>
          <w:rStyle w:val="FootnoteReference"/>
        </w:rPr>
        <w:footnoteRef/>
      </w:r>
      <w:r>
        <w:t xml:space="preserve"> </w:t>
      </w:r>
      <w:r w:rsidRPr="00DA0DFC">
        <w:t>Michael-Kordatou, I et al. “Sewage analysis as a tool for the COVID-19 pandemic response and management: the urgent need for optimised protocols for SARS-CoV-2 detection and quantification.” </w:t>
      </w:r>
      <w:r w:rsidRPr="00DA0DFC">
        <w:rPr>
          <w:i/>
          <w:iCs/>
        </w:rPr>
        <w:t>Journal of environmental chemical engineering</w:t>
      </w:r>
      <w:r w:rsidRPr="00DA0DFC">
        <w:t> vol. 8</w:t>
      </w:r>
      <w:r>
        <w:t xml:space="preserve">.5 </w:t>
      </w:r>
      <w:r w:rsidRPr="00DA0DFC">
        <w:t>2020</w:t>
      </w:r>
      <w:r>
        <w:t xml:space="preserve">. </w:t>
      </w:r>
      <w:hyperlink r:id="rId24" w:history="1">
        <w:r w:rsidRPr="00DE162D">
          <w:rPr>
            <w:rStyle w:val="Hyperlink"/>
          </w:rPr>
          <w:t>https://www.ncbi.nlm.nih.gov/pmc/articles/PMC7384408/</w:t>
        </w:r>
      </w:hyperlink>
      <w:r>
        <w:t xml:space="preserve"> (last accessed 10/23/20)</w:t>
      </w:r>
      <w:r w:rsidRPr="00DA0DFC">
        <w:t xml:space="preserve"> </w:t>
      </w:r>
    </w:p>
  </w:footnote>
  <w:footnote w:id="44">
    <w:p w14:paraId="4D574DA3" w14:textId="04DFB171" w:rsidR="00DA0DFC" w:rsidRDefault="00DA0DFC">
      <w:pPr>
        <w:pStyle w:val="FootnoteText"/>
      </w:pPr>
      <w:r>
        <w:rPr>
          <w:rStyle w:val="FootnoteReference"/>
        </w:rPr>
        <w:footnoteRef/>
      </w:r>
      <w:r>
        <w:t xml:space="preserve"> Id. </w:t>
      </w:r>
    </w:p>
  </w:footnote>
  <w:footnote w:id="45">
    <w:p w14:paraId="55E40760" w14:textId="7EBA9FA5" w:rsidR="00D327D4" w:rsidRDefault="00D327D4">
      <w:pPr>
        <w:pStyle w:val="FootnoteText"/>
      </w:pPr>
      <w:r>
        <w:rPr>
          <w:rStyle w:val="FootnoteReference"/>
        </w:rPr>
        <w:footnoteRef/>
      </w:r>
      <w:r>
        <w:t xml:space="preserve"> American Society for Microbiology. Metagenomic Next Generation Sequencing: How Does It Work, and Is It Coming to Your Clinical Microbiology Lab? </w:t>
      </w:r>
      <w:hyperlink r:id="rId25" w:history="1">
        <w:r w:rsidRPr="00DE162D">
          <w:rPr>
            <w:rStyle w:val="Hyperlink"/>
          </w:rPr>
          <w:t>https://asm.org/Articles/2019/November/Metagenomic-Next-Generation-Sequencing-How-Does-It</w:t>
        </w:r>
      </w:hyperlink>
      <w:r>
        <w:t xml:space="preserve"> (last accessed 10/23/20)</w:t>
      </w:r>
    </w:p>
  </w:footnote>
  <w:footnote w:id="46">
    <w:p w14:paraId="7F40F184" w14:textId="06B8BF53" w:rsidR="001C401B" w:rsidRDefault="001C401B">
      <w:pPr>
        <w:pStyle w:val="FootnoteText"/>
      </w:pPr>
      <w:r>
        <w:rPr>
          <w:rStyle w:val="FootnoteReference"/>
        </w:rPr>
        <w:footnoteRef/>
      </w:r>
      <w:r>
        <w:t xml:space="preserve"> Id. </w:t>
      </w:r>
    </w:p>
  </w:footnote>
  <w:footnote w:id="47">
    <w:p w14:paraId="70F297BB" w14:textId="10B9E930" w:rsidR="001C401B" w:rsidRDefault="001C401B">
      <w:pPr>
        <w:pStyle w:val="FootnoteText"/>
      </w:pPr>
      <w:r>
        <w:rPr>
          <w:rStyle w:val="FootnoteReference"/>
        </w:rPr>
        <w:footnoteRef/>
      </w:r>
      <w: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14349" w14:textId="5EBD1502" w:rsidR="00E92B66" w:rsidRDefault="00E92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2F63E" w14:textId="16DBE1DE" w:rsidR="00E92B66" w:rsidRDefault="00E92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234A" w14:textId="0BE4AC92" w:rsidR="00E92B66" w:rsidRDefault="00E92B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FABA" w14:textId="77747A57" w:rsidR="00E92B66" w:rsidRDefault="00E92B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A4CE5" w14:textId="4A86609A" w:rsidR="00E92B66" w:rsidRDefault="00E92B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BCE2" w14:textId="0C74C9F5" w:rsidR="00E92B66" w:rsidRDefault="00E92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82E16"/>
    <w:multiLevelType w:val="hybridMultilevel"/>
    <w:tmpl w:val="10A87E68"/>
    <w:lvl w:ilvl="0" w:tplc="9C4A6C5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CF"/>
    <w:rsid w:val="00042B18"/>
    <w:rsid w:val="00063ECB"/>
    <w:rsid w:val="00066BD8"/>
    <w:rsid w:val="00087C38"/>
    <w:rsid w:val="000E5470"/>
    <w:rsid w:val="00104122"/>
    <w:rsid w:val="001265B4"/>
    <w:rsid w:val="001469EA"/>
    <w:rsid w:val="00147906"/>
    <w:rsid w:val="001A1F39"/>
    <w:rsid w:val="001C401B"/>
    <w:rsid w:val="001F282C"/>
    <w:rsid w:val="00211964"/>
    <w:rsid w:val="00215E2E"/>
    <w:rsid w:val="0024532C"/>
    <w:rsid w:val="00273001"/>
    <w:rsid w:val="00305100"/>
    <w:rsid w:val="003117DE"/>
    <w:rsid w:val="003137BC"/>
    <w:rsid w:val="00336296"/>
    <w:rsid w:val="00340020"/>
    <w:rsid w:val="00343DFE"/>
    <w:rsid w:val="00363950"/>
    <w:rsid w:val="00367E30"/>
    <w:rsid w:val="0038424E"/>
    <w:rsid w:val="00392D2B"/>
    <w:rsid w:val="003A0868"/>
    <w:rsid w:val="003C276E"/>
    <w:rsid w:val="003D5B9C"/>
    <w:rsid w:val="003F2139"/>
    <w:rsid w:val="00441DA1"/>
    <w:rsid w:val="00460B52"/>
    <w:rsid w:val="004C6911"/>
    <w:rsid w:val="00523CA3"/>
    <w:rsid w:val="00541DD5"/>
    <w:rsid w:val="005438E5"/>
    <w:rsid w:val="00572B36"/>
    <w:rsid w:val="00581DCF"/>
    <w:rsid w:val="0058398A"/>
    <w:rsid w:val="00596872"/>
    <w:rsid w:val="005F1393"/>
    <w:rsid w:val="00617F92"/>
    <w:rsid w:val="0064750F"/>
    <w:rsid w:val="00683820"/>
    <w:rsid w:val="00693CB4"/>
    <w:rsid w:val="006A5DF2"/>
    <w:rsid w:val="006F69DC"/>
    <w:rsid w:val="00750211"/>
    <w:rsid w:val="007A452C"/>
    <w:rsid w:val="007A744F"/>
    <w:rsid w:val="007B095C"/>
    <w:rsid w:val="007D04DD"/>
    <w:rsid w:val="007E1020"/>
    <w:rsid w:val="00814BC2"/>
    <w:rsid w:val="00830CBD"/>
    <w:rsid w:val="008C3C23"/>
    <w:rsid w:val="008D773B"/>
    <w:rsid w:val="008F7871"/>
    <w:rsid w:val="00903139"/>
    <w:rsid w:val="009400E7"/>
    <w:rsid w:val="00945521"/>
    <w:rsid w:val="00952778"/>
    <w:rsid w:val="0096206F"/>
    <w:rsid w:val="00994F24"/>
    <w:rsid w:val="009A4EC5"/>
    <w:rsid w:val="009F23A6"/>
    <w:rsid w:val="00A5118E"/>
    <w:rsid w:val="00AA3ACC"/>
    <w:rsid w:val="00AC75B2"/>
    <w:rsid w:val="00AD292F"/>
    <w:rsid w:val="00B03086"/>
    <w:rsid w:val="00B13F27"/>
    <w:rsid w:val="00B97DB6"/>
    <w:rsid w:val="00BF7A39"/>
    <w:rsid w:val="00C221B0"/>
    <w:rsid w:val="00C3078D"/>
    <w:rsid w:val="00C54913"/>
    <w:rsid w:val="00CB237E"/>
    <w:rsid w:val="00D0706D"/>
    <w:rsid w:val="00D327D4"/>
    <w:rsid w:val="00D4298D"/>
    <w:rsid w:val="00D44282"/>
    <w:rsid w:val="00D6058E"/>
    <w:rsid w:val="00D60E88"/>
    <w:rsid w:val="00D9435C"/>
    <w:rsid w:val="00DA0DFC"/>
    <w:rsid w:val="00DB3F35"/>
    <w:rsid w:val="00E16B5D"/>
    <w:rsid w:val="00E21320"/>
    <w:rsid w:val="00E261A8"/>
    <w:rsid w:val="00E62BF7"/>
    <w:rsid w:val="00E6642C"/>
    <w:rsid w:val="00E92B66"/>
    <w:rsid w:val="00EA406E"/>
    <w:rsid w:val="00ED4BE2"/>
    <w:rsid w:val="00F02B5C"/>
    <w:rsid w:val="00F1697C"/>
    <w:rsid w:val="00F340A6"/>
    <w:rsid w:val="00F45B84"/>
    <w:rsid w:val="00F501CE"/>
    <w:rsid w:val="00F71B28"/>
    <w:rsid w:val="00FA7173"/>
    <w:rsid w:val="00FC199D"/>
    <w:rsid w:val="00FD36B1"/>
    <w:rsid w:val="00FD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DD8C3"/>
  <w15:chartTrackingRefBased/>
  <w15:docId w15:val="{53C635A7-9A5C-434C-98EF-EC3B9120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9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75B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8C3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C23"/>
    <w:rPr>
      <w:sz w:val="20"/>
      <w:szCs w:val="20"/>
    </w:rPr>
  </w:style>
  <w:style w:type="character" w:styleId="FootnoteReference">
    <w:name w:val="footnote reference"/>
    <w:basedOn w:val="DefaultParagraphFont"/>
    <w:uiPriority w:val="99"/>
    <w:semiHidden/>
    <w:unhideWhenUsed/>
    <w:rsid w:val="008C3C23"/>
    <w:rPr>
      <w:vertAlign w:val="superscript"/>
    </w:rPr>
  </w:style>
  <w:style w:type="paragraph" w:styleId="Header">
    <w:name w:val="header"/>
    <w:basedOn w:val="Normal"/>
    <w:link w:val="HeaderChar"/>
    <w:uiPriority w:val="99"/>
    <w:unhideWhenUsed/>
    <w:rsid w:val="00583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98A"/>
  </w:style>
  <w:style w:type="paragraph" w:styleId="Footer">
    <w:name w:val="footer"/>
    <w:basedOn w:val="Normal"/>
    <w:link w:val="FooterChar"/>
    <w:uiPriority w:val="99"/>
    <w:unhideWhenUsed/>
    <w:rsid w:val="00583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98A"/>
  </w:style>
  <w:style w:type="paragraph" w:styleId="BalloonText">
    <w:name w:val="Balloon Text"/>
    <w:basedOn w:val="Normal"/>
    <w:link w:val="BalloonTextChar"/>
    <w:uiPriority w:val="99"/>
    <w:semiHidden/>
    <w:unhideWhenUsed/>
    <w:rsid w:val="00305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100"/>
    <w:rPr>
      <w:rFonts w:ascii="Segoe UI" w:hAnsi="Segoe UI" w:cs="Segoe UI"/>
      <w:sz w:val="18"/>
      <w:szCs w:val="18"/>
    </w:rPr>
  </w:style>
  <w:style w:type="paragraph" w:styleId="BodyText">
    <w:name w:val="Body Text"/>
    <w:basedOn w:val="Normal"/>
    <w:link w:val="BodyTextChar"/>
    <w:uiPriority w:val="99"/>
    <w:rsid w:val="004C691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C6911"/>
    <w:rPr>
      <w:rFonts w:ascii="Times New Roman" w:eastAsia="Times New Roman" w:hAnsi="Times New Roman" w:cs="Times New Roman"/>
      <w:sz w:val="24"/>
      <w:szCs w:val="24"/>
    </w:rPr>
  </w:style>
  <w:style w:type="paragraph" w:styleId="NormalWeb">
    <w:name w:val="Normal (Web)"/>
    <w:basedOn w:val="Normal"/>
    <w:uiPriority w:val="99"/>
    <w:unhideWhenUsed/>
    <w:rsid w:val="004C6911"/>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C6911"/>
  </w:style>
  <w:style w:type="paragraph" w:styleId="NoSpacing">
    <w:name w:val="No Spacing"/>
    <w:uiPriority w:val="1"/>
    <w:qFormat/>
    <w:rsid w:val="004C6911"/>
    <w:pPr>
      <w:spacing w:after="0" w:line="240" w:lineRule="auto"/>
    </w:pPr>
  </w:style>
  <w:style w:type="character" w:styleId="Hyperlink">
    <w:name w:val="Hyperlink"/>
    <w:basedOn w:val="DefaultParagraphFont"/>
    <w:uiPriority w:val="99"/>
    <w:unhideWhenUsed/>
    <w:rsid w:val="00D4298D"/>
    <w:rPr>
      <w:color w:val="0563C1" w:themeColor="hyperlink"/>
      <w:u w:val="single"/>
    </w:rPr>
  </w:style>
  <w:style w:type="paragraph" w:styleId="Revision">
    <w:name w:val="Revision"/>
    <w:hidden/>
    <w:uiPriority w:val="99"/>
    <w:semiHidden/>
    <w:rsid w:val="00693CB4"/>
    <w:pPr>
      <w:spacing w:after="0" w:line="240" w:lineRule="auto"/>
    </w:pPr>
  </w:style>
  <w:style w:type="character" w:customStyle="1" w:styleId="UnresolvedMention1">
    <w:name w:val="Unresolved Mention1"/>
    <w:basedOn w:val="DefaultParagraphFont"/>
    <w:uiPriority w:val="99"/>
    <w:semiHidden/>
    <w:unhideWhenUsed/>
    <w:rsid w:val="00460B52"/>
    <w:rPr>
      <w:color w:val="605E5C"/>
      <w:shd w:val="clear" w:color="auto" w:fill="E1DFDD"/>
    </w:rPr>
  </w:style>
  <w:style w:type="character" w:styleId="CommentReference">
    <w:name w:val="annotation reference"/>
    <w:basedOn w:val="DefaultParagraphFont"/>
    <w:uiPriority w:val="99"/>
    <w:semiHidden/>
    <w:unhideWhenUsed/>
    <w:rsid w:val="003A0868"/>
    <w:rPr>
      <w:sz w:val="16"/>
      <w:szCs w:val="16"/>
    </w:rPr>
  </w:style>
  <w:style w:type="paragraph" w:styleId="CommentText">
    <w:name w:val="annotation text"/>
    <w:basedOn w:val="Normal"/>
    <w:link w:val="CommentTextChar"/>
    <w:uiPriority w:val="99"/>
    <w:semiHidden/>
    <w:unhideWhenUsed/>
    <w:rsid w:val="003A0868"/>
    <w:pPr>
      <w:spacing w:line="240" w:lineRule="auto"/>
    </w:pPr>
    <w:rPr>
      <w:sz w:val="20"/>
      <w:szCs w:val="20"/>
    </w:rPr>
  </w:style>
  <w:style w:type="character" w:customStyle="1" w:styleId="CommentTextChar">
    <w:name w:val="Comment Text Char"/>
    <w:basedOn w:val="DefaultParagraphFont"/>
    <w:link w:val="CommentText"/>
    <w:uiPriority w:val="99"/>
    <w:semiHidden/>
    <w:rsid w:val="003A0868"/>
    <w:rPr>
      <w:sz w:val="20"/>
      <w:szCs w:val="20"/>
    </w:rPr>
  </w:style>
  <w:style w:type="paragraph" w:styleId="CommentSubject">
    <w:name w:val="annotation subject"/>
    <w:basedOn w:val="CommentText"/>
    <w:next w:val="CommentText"/>
    <w:link w:val="CommentSubjectChar"/>
    <w:uiPriority w:val="99"/>
    <w:semiHidden/>
    <w:unhideWhenUsed/>
    <w:rsid w:val="003A0868"/>
    <w:rPr>
      <w:b/>
      <w:bCs/>
    </w:rPr>
  </w:style>
  <w:style w:type="character" w:customStyle="1" w:styleId="CommentSubjectChar">
    <w:name w:val="Comment Subject Char"/>
    <w:basedOn w:val="CommentTextChar"/>
    <w:link w:val="CommentSubject"/>
    <w:uiPriority w:val="99"/>
    <w:semiHidden/>
    <w:rsid w:val="003A0868"/>
    <w:rPr>
      <w:b/>
      <w:bCs/>
      <w:sz w:val="20"/>
      <w:szCs w:val="20"/>
    </w:rPr>
  </w:style>
  <w:style w:type="character" w:styleId="FollowedHyperlink">
    <w:name w:val="FollowedHyperlink"/>
    <w:basedOn w:val="DefaultParagraphFont"/>
    <w:uiPriority w:val="99"/>
    <w:semiHidden/>
    <w:unhideWhenUsed/>
    <w:rsid w:val="003A0868"/>
    <w:rPr>
      <w:color w:val="954F72" w:themeColor="followedHyperlink"/>
      <w:u w:val="single"/>
    </w:rPr>
  </w:style>
  <w:style w:type="character" w:customStyle="1" w:styleId="UnresolvedMention">
    <w:name w:val="Unresolved Mention"/>
    <w:basedOn w:val="DefaultParagraphFont"/>
    <w:uiPriority w:val="99"/>
    <w:semiHidden/>
    <w:unhideWhenUsed/>
    <w:rsid w:val="006F6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248">
      <w:bodyDiv w:val="1"/>
      <w:marLeft w:val="0"/>
      <w:marRight w:val="0"/>
      <w:marTop w:val="0"/>
      <w:marBottom w:val="0"/>
      <w:divBdr>
        <w:top w:val="none" w:sz="0" w:space="0" w:color="auto"/>
        <w:left w:val="none" w:sz="0" w:space="0" w:color="auto"/>
        <w:bottom w:val="none" w:sz="0" w:space="0" w:color="auto"/>
        <w:right w:val="none" w:sz="0" w:space="0" w:color="auto"/>
      </w:divBdr>
    </w:div>
    <w:div w:id="98335981">
      <w:bodyDiv w:val="1"/>
      <w:marLeft w:val="0"/>
      <w:marRight w:val="0"/>
      <w:marTop w:val="0"/>
      <w:marBottom w:val="0"/>
      <w:divBdr>
        <w:top w:val="none" w:sz="0" w:space="0" w:color="auto"/>
        <w:left w:val="none" w:sz="0" w:space="0" w:color="auto"/>
        <w:bottom w:val="none" w:sz="0" w:space="0" w:color="auto"/>
        <w:right w:val="none" w:sz="0" w:space="0" w:color="auto"/>
      </w:divBdr>
    </w:div>
    <w:div w:id="129174899">
      <w:bodyDiv w:val="1"/>
      <w:marLeft w:val="0"/>
      <w:marRight w:val="0"/>
      <w:marTop w:val="0"/>
      <w:marBottom w:val="0"/>
      <w:divBdr>
        <w:top w:val="none" w:sz="0" w:space="0" w:color="auto"/>
        <w:left w:val="none" w:sz="0" w:space="0" w:color="auto"/>
        <w:bottom w:val="none" w:sz="0" w:space="0" w:color="auto"/>
        <w:right w:val="none" w:sz="0" w:space="0" w:color="auto"/>
      </w:divBdr>
    </w:div>
    <w:div w:id="174732662">
      <w:bodyDiv w:val="1"/>
      <w:marLeft w:val="0"/>
      <w:marRight w:val="0"/>
      <w:marTop w:val="0"/>
      <w:marBottom w:val="0"/>
      <w:divBdr>
        <w:top w:val="none" w:sz="0" w:space="0" w:color="auto"/>
        <w:left w:val="none" w:sz="0" w:space="0" w:color="auto"/>
        <w:bottom w:val="none" w:sz="0" w:space="0" w:color="auto"/>
        <w:right w:val="none" w:sz="0" w:space="0" w:color="auto"/>
      </w:divBdr>
    </w:div>
    <w:div w:id="238249491">
      <w:bodyDiv w:val="1"/>
      <w:marLeft w:val="0"/>
      <w:marRight w:val="0"/>
      <w:marTop w:val="0"/>
      <w:marBottom w:val="0"/>
      <w:divBdr>
        <w:top w:val="none" w:sz="0" w:space="0" w:color="auto"/>
        <w:left w:val="none" w:sz="0" w:space="0" w:color="auto"/>
        <w:bottom w:val="none" w:sz="0" w:space="0" w:color="auto"/>
        <w:right w:val="none" w:sz="0" w:space="0" w:color="auto"/>
      </w:divBdr>
    </w:div>
    <w:div w:id="334306815">
      <w:bodyDiv w:val="1"/>
      <w:marLeft w:val="0"/>
      <w:marRight w:val="0"/>
      <w:marTop w:val="0"/>
      <w:marBottom w:val="0"/>
      <w:divBdr>
        <w:top w:val="none" w:sz="0" w:space="0" w:color="auto"/>
        <w:left w:val="none" w:sz="0" w:space="0" w:color="auto"/>
        <w:bottom w:val="none" w:sz="0" w:space="0" w:color="auto"/>
        <w:right w:val="none" w:sz="0" w:space="0" w:color="auto"/>
      </w:divBdr>
    </w:div>
    <w:div w:id="431904162">
      <w:bodyDiv w:val="1"/>
      <w:marLeft w:val="0"/>
      <w:marRight w:val="0"/>
      <w:marTop w:val="0"/>
      <w:marBottom w:val="0"/>
      <w:divBdr>
        <w:top w:val="none" w:sz="0" w:space="0" w:color="auto"/>
        <w:left w:val="none" w:sz="0" w:space="0" w:color="auto"/>
        <w:bottom w:val="none" w:sz="0" w:space="0" w:color="auto"/>
        <w:right w:val="none" w:sz="0" w:space="0" w:color="auto"/>
      </w:divBdr>
      <w:divsChild>
        <w:div w:id="469439637">
          <w:marLeft w:val="0"/>
          <w:marRight w:val="0"/>
          <w:marTop w:val="0"/>
          <w:marBottom w:val="0"/>
          <w:divBdr>
            <w:top w:val="none" w:sz="0" w:space="0" w:color="auto"/>
            <w:left w:val="none" w:sz="0" w:space="0" w:color="auto"/>
            <w:bottom w:val="none" w:sz="0" w:space="0" w:color="auto"/>
            <w:right w:val="none" w:sz="0" w:space="0" w:color="auto"/>
          </w:divBdr>
          <w:divsChild>
            <w:div w:id="2119252790">
              <w:marLeft w:val="0"/>
              <w:marRight w:val="0"/>
              <w:marTop w:val="0"/>
              <w:marBottom w:val="0"/>
              <w:divBdr>
                <w:top w:val="none" w:sz="0" w:space="0" w:color="C0C0C0"/>
                <w:left w:val="none" w:sz="0" w:space="0" w:color="C0C0C0"/>
                <w:bottom w:val="none" w:sz="0" w:space="0" w:color="C0C0C0"/>
                <w:right w:val="none" w:sz="0" w:space="0" w:color="C0C0C0"/>
              </w:divBdr>
              <w:divsChild>
                <w:div w:id="1259870456">
                  <w:marLeft w:val="0"/>
                  <w:marRight w:val="0"/>
                  <w:marTop w:val="0"/>
                  <w:marBottom w:val="0"/>
                  <w:divBdr>
                    <w:top w:val="none" w:sz="0" w:space="0" w:color="auto"/>
                    <w:left w:val="none" w:sz="0" w:space="0" w:color="auto"/>
                    <w:bottom w:val="none" w:sz="0" w:space="0" w:color="auto"/>
                    <w:right w:val="none" w:sz="0" w:space="0" w:color="auto"/>
                  </w:divBdr>
                  <w:divsChild>
                    <w:div w:id="151915666">
                      <w:marLeft w:val="0"/>
                      <w:marRight w:val="0"/>
                      <w:marTop w:val="0"/>
                      <w:marBottom w:val="0"/>
                      <w:divBdr>
                        <w:top w:val="none" w:sz="0" w:space="0" w:color="auto"/>
                        <w:left w:val="none" w:sz="0" w:space="0" w:color="auto"/>
                        <w:bottom w:val="none" w:sz="0" w:space="0" w:color="auto"/>
                        <w:right w:val="none" w:sz="0" w:space="0" w:color="auto"/>
                      </w:divBdr>
                      <w:divsChild>
                        <w:div w:id="2130665652">
                          <w:marLeft w:val="150"/>
                          <w:marRight w:val="150"/>
                          <w:marTop w:val="150"/>
                          <w:marBottom w:val="150"/>
                          <w:divBdr>
                            <w:top w:val="none" w:sz="0" w:space="0" w:color="auto"/>
                            <w:left w:val="none" w:sz="0" w:space="0" w:color="auto"/>
                            <w:bottom w:val="none" w:sz="0" w:space="0" w:color="auto"/>
                            <w:right w:val="none" w:sz="0" w:space="0" w:color="auto"/>
                          </w:divBdr>
                          <w:divsChild>
                            <w:div w:id="1062798780">
                              <w:marLeft w:val="0"/>
                              <w:marRight w:val="0"/>
                              <w:marTop w:val="0"/>
                              <w:marBottom w:val="0"/>
                              <w:divBdr>
                                <w:top w:val="none" w:sz="0" w:space="0" w:color="auto"/>
                                <w:left w:val="none" w:sz="0" w:space="0" w:color="auto"/>
                                <w:bottom w:val="none" w:sz="0" w:space="0" w:color="auto"/>
                                <w:right w:val="none" w:sz="0" w:space="0" w:color="auto"/>
                              </w:divBdr>
                              <w:divsChild>
                                <w:div w:id="10656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459766">
      <w:bodyDiv w:val="1"/>
      <w:marLeft w:val="0"/>
      <w:marRight w:val="0"/>
      <w:marTop w:val="0"/>
      <w:marBottom w:val="0"/>
      <w:divBdr>
        <w:top w:val="none" w:sz="0" w:space="0" w:color="auto"/>
        <w:left w:val="none" w:sz="0" w:space="0" w:color="auto"/>
        <w:bottom w:val="none" w:sz="0" w:space="0" w:color="auto"/>
        <w:right w:val="none" w:sz="0" w:space="0" w:color="auto"/>
      </w:divBdr>
    </w:div>
    <w:div w:id="588851607">
      <w:bodyDiv w:val="1"/>
      <w:marLeft w:val="0"/>
      <w:marRight w:val="0"/>
      <w:marTop w:val="0"/>
      <w:marBottom w:val="0"/>
      <w:divBdr>
        <w:top w:val="none" w:sz="0" w:space="0" w:color="auto"/>
        <w:left w:val="none" w:sz="0" w:space="0" w:color="auto"/>
        <w:bottom w:val="none" w:sz="0" w:space="0" w:color="auto"/>
        <w:right w:val="none" w:sz="0" w:space="0" w:color="auto"/>
      </w:divBdr>
    </w:div>
    <w:div w:id="1172525617">
      <w:bodyDiv w:val="1"/>
      <w:marLeft w:val="0"/>
      <w:marRight w:val="0"/>
      <w:marTop w:val="0"/>
      <w:marBottom w:val="0"/>
      <w:divBdr>
        <w:top w:val="none" w:sz="0" w:space="0" w:color="auto"/>
        <w:left w:val="none" w:sz="0" w:space="0" w:color="auto"/>
        <w:bottom w:val="none" w:sz="0" w:space="0" w:color="auto"/>
        <w:right w:val="none" w:sz="0" w:space="0" w:color="auto"/>
      </w:divBdr>
    </w:div>
    <w:div w:id="1384334742">
      <w:bodyDiv w:val="1"/>
      <w:marLeft w:val="0"/>
      <w:marRight w:val="0"/>
      <w:marTop w:val="0"/>
      <w:marBottom w:val="0"/>
      <w:divBdr>
        <w:top w:val="none" w:sz="0" w:space="0" w:color="auto"/>
        <w:left w:val="none" w:sz="0" w:space="0" w:color="auto"/>
        <w:bottom w:val="none" w:sz="0" w:space="0" w:color="auto"/>
        <w:right w:val="none" w:sz="0" w:space="0" w:color="auto"/>
      </w:divBdr>
      <w:divsChild>
        <w:div w:id="1692340739">
          <w:marLeft w:val="0"/>
          <w:marRight w:val="0"/>
          <w:marTop w:val="0"/>
          <w:marBottom w:val="0"/>
          <w:divBdr>
            <w:top w:val="none" w:sz="0" w:space="0" w:color="auto"/>
            <w:left w:val="none" w:sz="0" w:space="0" w:color="auto"/>
            <w:bottom w:val="none" w:sz="0" w:space="0" w:color="auto"/>
            <w:right w:val="none" w:sz="0" w:space="0" w:color="auto"/>
          </w:divBdr>
          <w:divsChild>
            <w:div w:id="1398013968">
              <w:marLeft w:val="0"/>
              <w:marRight w:val="0"/>
              <w:marTop w:val="0"/>
              <w:marBottom w:val="0"/>
              <w:divBdr>
                <w:top w:val="none" w:sz="0" w:space="0" w:color="C0C0C0"/>
                <w:left w:val="none" w:sz="0" w:space="0" w:color="C0C0C0"/>
                <w:bottom w:val="none" w:sz="0" w:space="0" w:color="C0C0C0"/>
                <w:right w:val="none" w:sz="0" w:space="0" w:color="C0C0C0"/>
              </w:divBdr>
              <w:divsChild>
                <w:div w:id="1813906341">
                  <w:marLeft w:val="0"/>
                  <w:marRight w:val="0"/>
                  <w:marTop w:val="0"/>
                  <w:marBottom w:val="0"/>
                  <w:divBdr>
                    <w:top w:val="none" w:sz="0" w:space="0" w:color="auto"/>
                    <w:left w:val="none" w:sz="0" w:space="0" w:color="auto"/>
                    <w:bottom w:val="none" w:sz="0" w:space="0" w:color="auto"/>
                    <w:right w:val="none" w:sz="0" w:space="0" w:color="auto"/>
                  </w:divBdr>
                  <w:divsChild>
                    <w:div w:id="1323773591">
                      <w:marLeft w:val="0"/>
                      <w:marRight w:val="0"/>
                      <w:marTop w:val="0"/>
                      <w:marBottom w:val="0"/>
                      <w:divBdr>
                        <w:top w:val="none" w:sz="0" w:space="0" w:color="auto"/>
                        <w:left w:val="none" w:sz="0" w:space="0" w:color="auto"/>
                        <w:bottom w:val="none" w:sz="0" w:space="0" w:color="auto"/>
                        <w:right w:val="none" w:sz="0" w:space="0" w:color="auto"/>
                      </w:divBdr>
                      <w:divsChild>
                        <w:div w:id="1575896628">
                          <w:marLeft w:val="150"/>
                          <w:marRight w:val="150"/>
                          <w:marTop w:val="150"/>
                          <w:marBottom w:val="150"/>
                          <w:divBdr>
                            <w:top w:val="none" w:sz="0" w:space="0" w:color="auto"/>
                            <w:left w:val="none" w:sz="0" w:space="0" w:color="auto"/>
                            <w:bottom w:val="none" w:sz="0" w:space="0" w:color="auto"/>
                            <w:right w:val="none" w:sz="0" w:space="0" w:color="auto"/>
                          </w:divBdr>
                          <w:divsChild>
                            <w:div w:id="1954245485">
                              <w:marLeft w:val="0"/>
                              <w:marRight w:val="0"/>
                              <w:marTop w:val="0"/>
                              <w:marBottom w:val="0"/>
                              <w:divBdr>
                                <w:top w:val="none" w:sz="0" w:space="0" w:color="auto"/>
                                <w:left w:val="none" w:sz="0" w:space="0" w:color="auto"/>
                                <w:bottom w:val="none" w:sz="0" w:space="0" w:color="auto"/>
                                <w:right w:val="none" w:sz="0" w:space="0" w:color="auto"/>
                              </w:divBdr>
                              <w:divsChild>
                                <w:div w:id="8294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941329">
      <w:bodyDiv w:val="1"/>
      <w:marLeft w:val="0"/>
      <w:marRight w:val="0"/>
      <w:marTop w:val="0"/>
      <w:marBottom w:val="0"/>
      <w:divBdr>
        <w:top w:val="none" w:sz="0" w:space="0" w:color="auto"/>
        <w:left w:val="none" w:sz="0" w:space="0" w:color="auto"/>
        <w:bottom w:val="none" w:sz="0" w:space="0" w:color="auto"/>
        <w:right w:val="none" w:sz="0" w:space="0" w:color="auto"/>
      </w:divBdr>
    </w:div>
    <w:div w:id="1504130116">
      <w:bodyDiv w:val="1"/>
      <w:marLeft w:val="0"/>
      <w:marRight w:val="0"/>
      <w:marTop w:val="0"/>
      <w:marBottom w:val="0"/>
      <w:divBdr>
        <w:top w:val="none" w:sz="0" w:space="0" w:color="auto"/>
        <w:left w:val="none" w:sz="0" w:space="0" w:color="auto"/>
        <w:bottom w:val="none" w:sz="0" w:space="0" w:color="auto"/>
        <w:right w:val="none" w:sz="0" w:space="0" w:color="auto"/>
      </w:divBdr>
    </w:div>
    <w:div w:id="1666198872">
      <w:bodyDiv w:val="1"/>
      <w:marLeft w:val="0"/>
      <w:marRight w:val="0"/>
      <w:marTop w:val="0"/>
      <w:marBottom w:val="0"/>
      <w:divBdr>
        <w:top w:val="none" w:sz="0" w:space="0" w:color="auto"/>
        <w:left w:val="none" w:sz="0" w:space="0" w:color="auto"/>
        <w:bottom w:val="none" w:sz="0" w:space="0" w:color="auto"/>
        <w:right w:val="none" w:sz="0" w:space="0" w:color="auto"/>
      </w:divBdr>
    </w:div>
    <w:div w:id="1791511156">
      <w:bodyDiv w:val="1"/>
      <w:marLeft w:val="0"/>
      <w:marRight w:val="0"/>
      <w:marTop w:val="0"/>
      <w:marBottom w:val="0"/>
      <w:divBdr>
        <w:top w:val="none" w:sz="0" w:space="0" w:color="auto"/>
        <w:left w:val="none" w:sz="0" w:space="0" w:color="auto"/>
        <w:bottom w:val="none" w:sz="0" w:space="0" w:color="auto"/>
        <w:right w:val="none" w:sz="0" w:space="0" w:color="auto"/>
      </w:divBdr>
    </w:div>
    <w:div w:id="181502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assets/oec/technical-manual/2014_ceqr_technical_manual_rev_04_27_2016.pdf" TargetMode="External"/><Relationship Id="rId13" Type="http://schemas.openxmlformats.org/officeDocument/2006/relationships/hyperlink" Target="https://www.epa.gov/sites/production/files/2018-12/documents/plain-english-guide-part503-biosolids-rule.pdf" TargetMode="External"/><Relationship Id="rId18" Type="http://schemas.openxmlformats.org/officeDocument/2006/relationships/hyperlink" Target="https://acta.mendelu.cz/media/pdf/actaun_2012060030233.pdf" TargetMode="External"/><Relationship Id="rId3" Type="http://schemas.openxmlformats.org/officeDocument/2006/relationships/hyperlink" Target="https://www1.nyc.gov/site/doh/covid/covid-19-data.page" TargetMode="External"/><Relationship Id="rId21" Type="http://schemas.openxmlformats.org/officeDocument/2006/relationships/hyperlink" Target="https://pubmed.ncbi.nlm.nih.gov/16696450/" TargetMode="External"/><Relationship Id="rId7" Type="http://schemas.openxmlformats.org/officeDocument/2006/relationships/hyperlink" Target="https://www.cdc.gov/coronavirus/2019-ncov/cases-updates/wastewater-surveillance.html" TargetMode="External"/><Relationship Id="rId12" Type="http://schemas.openxmlformats.org/officeDocument/2006/relationships/hyperlink" Target="https://www1.nyc.gov/html/dep/html/wastewater/biohome.shtml" TargetMode="External"/><Relationship Id="rId17" Type="http://schemas.openxmlformats.org/officeDocument/2006/relationships/hyperlink" Target="https://www.cdc.gov/niosh/docs/2002-149/default.html" TargetMode="External"/><Relationship Id="rId25" Type="http://schemas.openxmlformats.org/officeDocument/2006/relationships/hyperlink" Target="https://asm.org/Articles/2019/November/Metagenomic-Next-Generation-Sequencing-How-Does-It" TargetMode="External"/><Relationship Id="rId2" Type="http://schemas.openxmlformats.org/officeDocument/2006/relationships/hyperlink" Target="https://covid.cdc.gov/covid-data-tracker/" TargetMode="External"/><Relationship Id="rId16" Type="http://schemas.openxmlformats.org/officeDocument/2006/relationships/hyperlink" Target="https://www.cdc.gov/coronavirus/2019-ncov/faq.html" TargetMode="External"/><Relationship Id="rId20" Type="http://schemas.openxmlformats.org/officeDocument/2006/relationships/hyperlink" Target="https://www.nature.com/articles/s41893-020-00605-2" TargetMode="External"/><Relationship Id="rId1" Type="http://schemas.openxmlformats.org/officeDocument/2006/relationships/hyperlink" Target="https://coronavirus.1point3acres.com/" TargetMode="External"/><Relationship Id="rId6" Type="http://schemas.openxmlformats.org/officeDocument/2006/relationships/hyperlink" Target="https://openseweratlas.tumblr.com/post/90255588644/sewersheds-and-community-boards" TargetMode="External"/><Relationship Id="rId11" Type="http://schemas.openxmlformats.org/officeDocument/2006/relationships/hyperlink" Target="https://www.sciencedaily.com/releases/2020/04/200403132347.htm" TargetMode="External"/><Relationship Id="rId24" Type="http://schemas.openxmlformats.org/officeDocument/2006/relationships/hyperlink" Target="https://www.ncbi.nlm.nih.gov/pmc/articles/PMC7384408/" TargetMode="External"/><Relationship Id="rId5" Type="http://schemas.openxmlformats.org/officeDocument/2006/relationships/hyperlink" Target="https://www1.nyc.gov/assets/oec/technical-manual/2014_ceqr_technical_manual_rev_04_27_2016.pdf" TargetMode="External"/><Relationship Id="rId15" Type="http://schemas.openxmlformats.org/officeDocument/2006/relationships/hyperlink" Target="https://www.nature.com/articles/s41893-020-00605-2" TargetMode="External"/><Relationship Id="rId23" Type="http://schemas.openxmlformats.org/officeDocument/2006/relationships/hyperlink" Target="https://www.ncbi.nlm.nih.gov/pmc/articles/PMC7480445/" TargetMode="External"/><Relationship Id="rId10" Type="http://schemas.openxmlformats.org/officeDocument/2006/relationships/hyperlink" Target="https://www1.nyc.gov/html/dep/html/wastewater/wwsystem-process.shtml" TargetMode="External"/><Relationship Id="rId19" Type="http://schemas.openxmlformats.org/officeDocument/2006/relationships/hyperlink" Target="https://www1.nyc.gov/html/dep/html/wastewater/wwsystem-process.shtml" TargetMode="External"/><Relationship Id="rId4" Type="http://schemas.openxmlformats.org/officeDocument/2006/relationships/hyperlink" Target="https://www.cdc.gov/coronavirus/2019-ncov/cases-updates/wastewater-surveillance.html" TargetMode="External"/><Relationship Id="rId9" Type="http://schemas.openxmlformats.org/officeDocument/2006/relationships/hyperlink" Target="https://www1.nyc.gov/html/dep/html/wastewater/wwsystem-process.shtml" TargetMode="External"/><Relationship Id="rId14" Type="http://schemas.openxmlformats.org/officeDocument/2006/relationships/hyperlink" Target="http://www.sludgefacts.org/IJOEH_1104_Snyder.pdf" TargetMode="External"/><Relationship Id="rId22" Type="http://schemas.openxmlformats.org/officeDocument/2006/relationships/hyperlink" Target="https://www.cdc.gov/coronavirus/2019-ncov/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606AB-EC69-4656-974D-9B7E2E16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2911</Words>
  <Characters>16597</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2020-10-26T14:59:00Z</dcterms:created>
  <dcterms:modified xsi:type="dcterms:W3CDTF">2020-10-26T14:59:00Z</dcterms:modified>
</cp:coreProperties>
</file>