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DB049" w14:textId="2034DDAC" w:rsidR="00581DCF" w:rsidRPr="00581DCF" w:rsidRDefault="00581DCF" w:rsidP="00581DCF">
      <w:pPr>
        <w:jc w:val="right"/>
        <w:rPr>
          <w:u w:val="single"/>
        </w:rPr>
      </w:pPr>
      <w:bookmarkStart w:id="0" w:name="_GoBack"/>
      <w:bookmarkEnd w:id="0"/>
      <w:r w:rsidRPr="00581DCF">
        <w:rPr>
          <w:u w:val="single"/>
        </w:rPr>
        <w:t>Environmental Protection Committee Staff</w:t>
      </w:r>
    </w:p>
    <w:p w14:paraId="3780B99C" w14:textId="77777777" w:rsidR="00581DCF" w:rsidRPr="00581DCF" w:rsidRDefault="00581DCF" w:rsidP="00581DCF">
      <w:pPr>
        <w:jc w:val="right"/>
        <w:rPr>
          <w:u w:val="single"/>
        </w:rPr>
      </w:pPr>
      <w:r w:rsidRPr="00581DCF">
        <w:t>Samara Swanston, Legislative Counsel</w:t>
      </w:r>
    </w:p>
    <w:p w14:paraId="605D6E63" w14:textId="77777777" w:rsidR="00581DCF" w:rsidRPr="00581DCF" w:rsidRDefault="00581DCF" w:rsidP="00581DCF">
      <w:pPr>
        <w:jc w:val="right"/>
      </w:pPr>
      <w:r w:rsidRPr="00581DCF">
        <w:t>Nadia Johnson, Senior Policy Analyst</w:t>
      </w:r>
    </w:p>
    <w:p w14:paraId="7B60A833" w14:textId="77777777" w:rsidR="00581DCF" w:rsidRPr="00581DCF" w:rsidRDefault="00581DCF" w:rsidP="00581DCF">
      <w:pPr>
        <w:jc w:val="right"/>
        <w:rPr>
          <w:u w:val="single"/>
        </w:rPr>
      </w:pPr>
      <w:r w:rsidRPr="00581DCF">
        <w:t>Ricky Chawla, Policy Analyst</w:t>
      </w:r>
    </w:p>
    <w:p w14:paraId="46219D5F" w14:textId="77777777" w:rsidR="00581DCF" w:rsidRPr="00581DCF" w:rsidRDefault="00581DCF" w:rsidP="00581DCF">
      <w:pPr>
        <w:jc w:val="right"/>
      </w:pPr>
      <w:r w:rsidRPr="00581DCF">
        <w:t>Jonathan Seltzer, Senior Finance Analyst</w:t>
      </w:r>
      <w:r w:rsidRPr="00581DCF">
        <w:br/>
      </w:r>
      <w:r w:rsidRPr="00581DCF">
        <w:tab/>
      </w:r>
    </w:p>
    <w:p w14:paraId="129F0E45" w14:textId="77777777" w:rsidR="00581DCF" w:rsidRPr="00581DCF" w:rsidRDefault="00581DCF" w:rsidP="00581DCF">
      <w:pPr>
        <w:ind w:left="2880" w:firstLine="720"/>
        <w:jc w:val="both"/>
      </w:pPr>
    </w:p>
    <w:p w14:paraId="7AF32EDA" w14:textId="77777777" w:rsidR="00581DCF" w:rsidRPr="00581DCF" w:rsidRDefault="00581DCF" w:rsidP="00581DCF">
      <w:pPr>
        <w:ind w:left="2880" w:firstLine="720"/>
        <w:jc w:val="both"/>
      </w:pPr>
    </w:p>
    <w:p w14:paraId="5E594D77" w14:textId="77777777" w:rsidR="00581DCF" w:rsidRPr="00581DCF" w:rsidRDefault="00581DCF" w:rsidP="00581DCF">
      <w:pPr>
        <w:keepNext/>
        <w:spacing w:line="480" w:lineRule="auto"/>
        <w:jc w:val="both"/>
        <w:outlineLvl w:val="0"/>
        <w:rPr>
          <w:i/>
          <w:iCs/>
        </w:rPr>
      </w:pPr>
      <w:r w:rsidRPr="00581DCF">
        <w:rPr>
          <w:i/>
          <w:iCs/>
          <w:noProof/>
        </w:rPr>
        <w:drawing>
          <wp:anchor distT="0" distB="0" distL="114300" distR="114300" simplePos="0" relativeHeight="251659264" behindDoc="0" locked="0" layoutInCell="1" allowOverlap="1" wp14:anchorId="439807C4" wp14:editId="3A6EBBA7">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BA34" w14:textId="77777777" w:rsidR="00581DCF" w:rsidRPr="00581DCF" w:rsidRDefault="00581DCF" w:rsidP="00581DCF">
      <w:pPr>
        <w:jc w:val="both"/>
      </w:pPr>
    </w:p>
    <w:p w14:paraId="7ADD2CE9" w14:textId="77777777" w:rsidR="00581DCF" w:rsidRPr="00581DCF" w:rsidRDefault="00581DCF" w:rsidP="00581DCF">
      <w:pPr>
        <w:tabs>
          <w:tab w:val="center" w:pos="4680"/>
        </w:tabs>
        <w:jc w:val="both"/>
      </w:pPr>
    </w:p>
    <w:p w14:paraId="1210E68D" w14:textId="77777777" w:rsidR="00581DCF" w:rsidRPr="00581DCF" w:rsidRDefault="00581DCF" w:rsidP="00581DCF">
      <w:pPr>
        <w:tabs>
          <w:tab w:val="center" w:pos="4680"/>
        </w:tabs>
        <w:jc w:val="both"/>
      </w:pPr>
    </w:p>
    <w:p w14:paraId="2D696519" w14:textId="77777777" w:rsidR="00581DCF" w:rsidRPr="00581DCF" w:rsidRDefault="00581DCF" w:rsidP="00581DCF">
      <w:pPr>
        <w:tabs>
          <w:tab w:val="center" w:pos="4680"/>
        </w:tabs>
        <w:jc w:val="both"/>
      </w:pPr>
    </w:p>
    <w:p w14:paraId="3F583A90" w14:textId="77777777" w:rsidR="00581DCF" w:rsidRPr="00581DCF" w:rsidRDefault="00581DCF" w:rsidP="00581DCF">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sidRPr="00581DCF">
        <w:rPr>
          <w:rFonts w:ascii="Times New Roman Bold" w:eastAsia="Calibri" w:hAnsi="Times New Roman Bold" w:cs="Calibri"/>
          <w:b/>
          <w:bCs/>
          <w:smallCaps/>
          <w:color w:val="000000"/>
          <w:u w:val="single" w:color="000000"/>
          <w:bdr w:val="nil"/>
        </w:rPr>
        <w:t>The New York City Council</w:t>
      </w:r>
    </w:p>
    <w:p w14:paraId="36CB6EEB" w14:textId="77777777" w:rsidR="00581DCF" w:rsidRPr="00581DCF" w:rsidRDefault="00581DCF" w:rsidP="00581DCF">
      <w:pPr>
        <w:tabs>
          <w:tab w:val="center" w:pos="4680"/>
        </w:tabs>
        <w:jc w:val="center"/>
        <w:rPr>
          <w:rFonts w:eastAsia="Arial Unicode MS"/>
          <w:iCs/>
        </w:rPr>
      </w:pPr>
      <w:r w:rsidRPr="00581DCF">
        <w:rPr>
          <w:iCs/>
        </w:rPr>
        <w:t>Jeffrey Baker, Legislative Director</w:t>
      </w:r>
    </w:p>
    <w:p w14:paraId="356B0796" w14:textId="77777777" w:rsidR="00581DCF" w:rsidRPr="00581DCF" w:rsidRDefault="00581DCF" w:rsidP="00581DCF">
      <w:pPr>
        <w:tabs>
          <w:tab w:val="left" w:pos="-1440"/>
        </w:tabs>
        <w:ind w:left="4320"/>
        <w:rPr>
          <w:b/>
        </w:rPr>
      </w:pPr>
    </w:p>
    <w:p w14:paraId="660ED3A4" w14:textId="77777777" w:rsidR="00581DCF" w:rsidRPr="00581DCF" w:rsidRDefault="00581DCF" w:rsidP="00581DCF">
      <w:pPr>
        <w:widowControl w:val="0"/>
        <w:pBdr>
          <w:top w:val="nil"/>
          <w:left w:val="nil"/>
          <w:bottom w:val="nil"/>
          <w:right w:val="nil"/>
          <w:between w:val="nil"/>
          <w:bar w:val="nil"/>
        </w:pBdr>
        <w:jc w:val="center"/>
        <w:outlineLvl w:val="5"/>
        <w:rPr>
          <w:rFonts w:ascii="Times New Roman Bold" w:hAnsi="Times New Roman Bold"/>
          <w:b/>
          <w:bCs/>
          <w:smallCaps/>
          <w:color w:val="000000"/>
          <w:u w:val="single" w:color="000000"/>
          <w:bdr w:val="nil"/>
        </w:rPr>
      </w:pPr>
      <w:r w:rsidRPr="00581DCF">
        <w:rPr>
          <w:rFonts w:ascii="Times New Roman Bold" w:eastAsia="Calibri" w:hAnsi="Times New Roman Bold" w:cs="Calibri"/>
          <w:b/>
          <w:bCs/>
          <w:smallCaps/>
          <w:color w:val="000000"/>
          <w:u w:val="single" w:color="000000"/>
          <w:bdr w:val="nil"/>
        </w:rPr>
        <w:t>Committee Report of the Infrastructure Division</w:t>
      </w:r>
    </w:p>
    <w:p w14:paraId="61DA25B9" w14:textId="77777777" w:rsidR="00581DCF" w:rsidRPr="00581DCF" w:rsidRDefault="00581DCF" w:rsidP="00581DCF">
      <w:pPr>
        <w:tabs>
          <w:tab w:val="center" w:pos="4680"/>
        </w:tabs>
        <w:jc w:val="center"/>
      </w:pPr>
      <w:r w:rsidRPr="00581DCF">
        <w:rPr>
          <w:iCs/>
        </w:rPr>
        <w:t>Terzah Nasser, Deputy Director</w:t>
      </w:r>
    </w:p>
    <w:p w14:paraId="08E620AC" w14:textId="77777777" w:rsidR="00581DCF" w:rsidRPr="00581DCF" w:rsidRDefault="00581DCF" w:rsidP="00581DCF">
      <w:pPr>
        <w:tabs>
          <w:tab w:val="left" w:pos="-1440"/>
        </w:tabs>
        <w:ind w:left="4320"/>
        <w:rPr>
          <w:b/>
        </w:rPr>
      </w:pPr>
    </w:p>
    <w:p w14:paraId="7F8020A0" w14:textId="77777777" w:rsidR="00581DCF" w:rsidRPr="00581DCF" w:rsidRDefault="00581DCF" w:rsidP="00581DCF">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1709887" w14:textId="77777777" w:rsidR="00581DCF" w:rsidRPr="00581DCF" w:rsidRDefault="00581DCF" w:rsidP="00581DCF">
      <w:pPr>
        <w:jc w:val="center"/>
      </w:pPr>
      <w:r w:rsidRPr="00581DCF">
        <w:t>Hon. Costa Constantinides, Chair</w:t>
      </w:r>
    </w:p>
    <w:p w14:paraId="07985D5F" w14:textId="77777777" w:rsidR="00581DCF" w:rsidRPr="00581DCF" w:rsidRDefault="00581DCF" w:rsidP="00581DCF">
      <w:pPr>
        <w:jc w:val="center"/>
      </w:pPr>
    </w:p>
    <w:p w14:paraId="7B42AF65" w14:textId="5F842CA8" w:rsidR="00581DCF" w:rsidRPr="00581DCF" w:rsidRDefault="004711A9" w:rsidP="00581DCF">
      <w:pPr>
        <w:keepNext/>
        <w:jc w:val="center"/>
        <w:outlineLvl w:val="3"/>
        <w:rPr>
          <w:b/>
          <w:bCs/>
        </w:rPr>
      </w:pPr>
      <w:r>
        <w:rPr>
          <w:b/>
          <w:bCs/>
        </w:rPr>
        <w:t>December</w:t>
      </w:r>
      <w:r w:rsidR="00581DCF">
        <w:rPr>
          <w:b/>
          <w:bCs/>
        </w:rPr>
        <w:t xml:space="preserve"> </w:t>
      </w:r>
      <w:r>
        <w:rPr>
          <w:b/>
          <w:bCs/>
        </w:rPr>
        <w:t>15</w:t>
      </w:r>
      <w:r w:rsidR="00581DCF" w:rsidRPr="00581DCF">
        <w:rPr>
          <w:b/>
          <w:bCs/>
        </w:rPr>
        <w:t>, 20</w:t>
      </w:r>
      <w:r w:rsidR="005F1393">
        <w:rPr>
          <w:b/>
          <w:bCs/>
        </w:rPr>
        <w:t>20</w:t>
      </w:r>
    </w:p>
    <w:p w14:paraId="484FA423" w14:textId="77777777" w:rsidR="00581DCF" w:rsidRPr="00581DCF" w:rsidRDefault="00581DCF" w:rsidP="00581DCF">
      <w:pPr>
        <w:rPr>
          <w:b/>
          <w:bCs/>
          <w:u w:val="single"/>
        </w:rPr>
      </w:pPr>
    </w:p>
    <w:p w14:paraId="3258A2AA" w14:textId="77777777" w:rsidR="00581DCF" w:rsidRPr="00581DCF" w:rsidRDefault="00581DCF" w:rsidP="00581DCF">
      <w:pPr>
        <w:jc w:val="both"/>
        <w:rPr>
          <w:b/>
          <w:bCs/>
          <w:u w:val="single"/>
        </w:rPr>
      </w:pPr>
    </w:p>
    <w:p w14:paraId="79C22DB9" w14:textId="77777777" w:rsidR="00EA406E" w:rsidRPr="00581DCF" w:rsidRDefault="00EA406E" w:rsidP="00581DCF">
      <w:pPr>
        <w:ind w:left="4320" w:hanging="4320"/>
        <w:jc w:val="both"/>
        <w:rPr>
          <w:rFonts w:eastAsia="Calibri"/>
        </w:rPr>
      </w:pPr>
    </w:p>
    <w:p w14:paraId="2960FD35" w14:textId="2DBA83C4" w:rsidR="00581DCF" w:rsidRPr="00581DCF" w:rsidRDefault="00581DCF" w:rsidP="00581DCF">
      <w:pPr>
        <w:ind w:left="4320" w:hanging="4320"/>
        <w:jc w:val="both"/>
        <w:rPr>
          <w:rFonts w:ascii="Times Roman" w:eastAsia="Calibri" w:hAnsi="Times Roman"/>
          <w:shd w:val="clear" w:color="auto" w:fill="FFFFFF"/>
        </w:rPr>
      </w:pPr>
      <w:r w:rsidRPr="00581DCF">
        <w:rPr>
          <w:rFonts w:ascii="Times Roman" w:eastAsia="Calibri" w:hAnsi="Times Roman"/>
          <w:b/>
          <w:smallCaps/>
          <w:u w:val="single"/>
        </w:rPr>
        <w:t xml:space="preserve">Int. No. </w:t>
      </w:r>
      <w:r w:rsidR="004711A9">
        <w:rPr>
          <w:rFonts w:ascii="Times Roman" w:eastAsia="Calibri" w:hAnsi="Times Roman"/>
          <w:b/>
          <w:smallCaps/>
          <w:u w:val="single"/>
        </w:rPr>
        <w:t>2149</w:t>
      </w:r>
      <w:r w:rsidRPr="00581DCF">
        <w:rPr>
          <w:rFonts w:ascii="Times Roman" w:eastAsia="Calibri" w:hAnsi="Times Roman"/>
          <w:b/>
          <w:smallCaps/>
          <w:u w:val="single"/>
        </w:rPr>
        <w:t>:</w:t>
      </w:r>
      <w:r w:rsidRPr="00581DCF">
        <w:rPr>
          <w:rFonts w:ascii="Times Roman" w:eastAsia="Calibri" w:hAnsi="Times Roman"/>
          <w:b/>
        </w:rPr>
        <w:tab/>
      </w:r>
      <w:r w:rsidRPr="00581DCF">
        <w:rPr>
          <w:rFonts w:ascii="Times Roman" w:eastAsia="Calibri" w:hAnsi="Times Roman"/>
          <w:shd w:val="clear" w:color="auto" w:fill="FFFFFF"/>
        </w:rPr>
        <w:t xml:space="preserve">By Council Members </w:t>
      </w:r>
      <w:r w:rsidR="005F1393">
        <w:rPr>
          <w:rFonts w:ascii="Times Roman" w:eastAsia="Calibri" w:hAnsi="Times Roman"/>
          <w:shd w:val="clear" w:color="auto" w:fill="FFFFFF"/>
        </w:rPr>
        <w:t>Constantinides</w:t>
      </w:r>
      <w:r w:rsidRPr="00581DCF">
        <w:rPr>
          <w:rFonts w:ascii="Times Roman" w:eastAsia="Calibri" w:hAnsi="Times Roman"/>
          <w:shd w:val="clear" w:color="auto" w:fill="FFFFFF"/>
        </w:rPr>
        <w:t xml:space="preserve">, </w:t>
      </w:r>
      <w:r w:rsidR="004711A9">
        <w:rPr>
          <w:rFonts w:ascii="Times Roman" w:eastAsia="Calibri" w:hAnsi="Times Roman"/>
          <w:shd w:val="clear" w:color="auto" w:fill="FFFFFF"/>
        </w:rPr>
        <w:t>Treyger</w:t>
      </w:r>
      <w:r w:rsidRPr="00581DCF">
        <w:rPr>
          <w:rFonts w:ascii="Times Roman" w:eastAsia="Calibri" w:hAnsi="Times Roman"/>
          <w:shd w:val="clear" w:color="auto" w:fill="FFFFFF"/>
        </w:rPr>
        <w:t>,</w:t>
      </w:r>
      <w:r>
        <w:rPr>
          <w:rFonts w:ascii="Times Roman" w:eastAsia="Calibri" w:hAnsi="Times Roman"/>
          <w:shd w:val="clear" w:color="auto" w:fill="FFFFFF"/>
        </w:rPr>
        <w:t xml:space="preserve"> </w:t>
      </w:r>
      <w:r w:rsidR="005F1393">
        <w:rPr>
          <w:rFonts w:ascii="Times Roman" w:eastAsia="Calibri" w:hAnsi="Times Roman"/>
          <w:shd w:val="clear" w:color="auto" w:fill="FFFFFF"/>
        </w:rPr>
        <w:t>Kallos</w:t>
      </w:r>
      <w:r>
        <w:rPr>
          <w:rFonts w:ascii="Times Roman" w:eastAsia="Calibri" w:hAnsi="Times Roman"/>
          <w:shd w:val="clear" w:color="auto" w:fill="FFFFFF"/>
        </w:rPr>
        <w:t>,</w:t>
      </w:r>
      <w:r w:rsidRPr="00581DCF">
        <w:rPr>
          <w:rFonts w:ascii="Times Roman" w:eastAsia="Calibri" w:hAnsi="Times Roman"/>
          <w:shd w:val="clear" w:color="auto" w:fill="FFFFFF"/>
        </w:rPr>
        <w:t xml:space="preserve"> and </w:t>
      </w:r>
      <w:r w:rsidR="004711A9">
        <w:rPr>
          <w:rFonts w:ascii="Times Roman" w:eastAsia="Calibri" w:hAnsi="Times Roman"/>
          <w:shd w:val="clear" w:color="auto" w:fill="FFFFFF"/>
        </w:rPr>
        <w:t>Rosenthal</w:t>
      </w:r>
    </w:p>
    <w:p w14:paraId="08DE9C6B" w14:textId="77777777" w:rsidR="00581DCF" w:rsidRPr="00581DCF" w:rsidRDefault="00581DCF" w:rsidP="00581DCF">
      <w:pPr>
        <w:ind w:left="4320" w:hanging="4320"/>
        <w:jc w:val="both"/>
        <w:rPr>
          <w:rFonts w:ascii="Times Roman" w:eastAsia="Calibri" w:hAnsi="Times Roman"/>
          <w:b/>
        </w:rPr>
      </w:pPr>
      <w:r w:rsidRPr="00581DCF">
        <w:rPr>
          <w:rFonts w:ascii="Times Roman" w:eastAsia="Calibri" w:hAnsi="Times Roman"/>
          <w:shd w:val="clear" w:color="auto" w:fill="FFFFFF"/>
        </w:rPr>
        <w:t xml:space="preserve"> </w:t>
      </w:r>
    </w:p>
    <w:p w14:paraId="5F237742" w14:textId="066FB04E" w:rsidR="00581DCF" w:rsidRDefault="00581DCF" w:rsidP="00AC75B2">
      <w:pPr>
        <w:ind w:left="4320" w:hanging="4320"/>
        <w:jc w:val="both"/>
        <w:rPr>
          <w:bCs/>
        </w:rPr>
      </w:pPr>
      <w:r w:rsidRPr="00581DCF">
        <w:rPr>
          <w:rFonts w:ascii="Times Roman" w:eastAsia="Calibri" w:hAnsi="Times Roman"/>
          <w:b/>
          <w:smallCaps/>
          <w:u w:val="single"/>
        </w:rPr>
        <w:t>Title:</w:t>
      </w:r>
      <w:r w:rsidRPr="00581DCF">
        <w:rPr>
          <w:rFonts w:ascii="Times Roman" w:eastAsia="Calibri" w:hAnsi="Times Roman"/>
          <w:b/>
        </w:rPr>
        <w:tab/>
      </w:r>
      <w:r w:rsidR="00AC75B2" w:rsidRPr="00AC75B2">
        <w:rPr>
          <w:bCs/>
        </w:rPr>
        <w:t xml:space="preserve">A Local Law to amend the administrative code of the city of New York, in relation </w:t>
      </w:r>
      <w:r w:rsidR="005F1393">
        <w:rPr>
          <w:bCs/>
        </w:rPr>
        <w:t xml:space="preserve">to </w:t>
      </w:r>
      <w:r w:rsidR="004711A9">
        <w:rPr>
          <w:bCs/>
        </w:rPr>
        <w:t>establishing climate indicators</w:t>
      </w:r>
    </w:p>
    <w:p w14:paraId="6EA2F644" w14:textId="77777777" w:rsidR="007B095C" w:rsidRDefault="007B095C" w:rsidP="00AC75B2">
      <w:pPr>
        <w:ind w:left="4320" w:hanging="4320"/>
        <w:jc w:val="both"/>
        <w:rPr>
          <w:bCs/>
        </w:rPr>
      </w:pPr>
    </w:p>
    <w:p w14:paraId="7CCE7FFE" w14:textId="0F304F26" w:rsidR="00AC75B2" w:rsidRDefault="007B095C" w:rsidP="00EA406E">
      <w:pPr>
        <w:ind w:left="4320" w:hanging="4320"/>
        <w:jc w:val="both"/>
        <w:rPr>
          <w:rFonts w:eastAsia="Calibri"/>
        </w:rPr>
      </w:pPr>
      <w:r w:rsidRPr="00581DCF">
        <w:rPr>
          <w:rFonts w:ascii="Times New Roman Bold" w:eastAsia="Calibri" w:hAnsi="Times New Roman Bold"/>
          <w:b/>
          <w:smallCaps/>
          <w:u w:val="single"/>
        </w:rPr>
        <w:t>Administrative Code:</w:t>
      </w:r>
      <w:r w:rsidRPr="00581DCF">
        <w:rPr>
          <w:rFonts w:eastAsia="Calibri"/>
          <w:b/>
        </w:rPr>
        <w:tab/>
      </w:r>
      <w:r w:rsidR="00EA406E">
        <w:rPr>
          <w:rFonts w:eastAsia="Calibri"/>
        </w:rPr>
        <w:t>Adds a</w:t>
      </w:r>
      <w:r w:rsidR="00EA406E" w:rsidRPr="00EA406E">
        <w:rPr>
          <w:rFonts w:eastAsia="Calibri"/>
        </w:rPr>
        <w:t xml:space="preserve"> new section 24-</w:t>
      </w:r>
      <w:r w:rsidR="004711A9">
        <w:rPr>
          <w:rFonts w:eastAsia="Calibri"/>
        </w:rPr>
        <w:t>807</w:t>
      </w:r>
      <w:r w:rsidR="00EA406E">
        <w:rPr>
          <w:rFonts w:eastAsia="Calibri"/>
        </w:rPr>
        <w:t xml:space="preserve"> </w:t>
      </w:r>
    </w:p>
    <w:p w14:paraId="4B591655" w14:textId="33BA9731" w:rsidR="00A10C5A" w:rsidRDefault="00A10C5A" w:rsidP="00EA406E">
      <w:pPr>
        <w:ind w:left="4320" w:hanging="4320"/>
        <w:jc w:val="both"/>
        <w:rPr>
          <w:rFonts w:eastAsia="Calibri"/>
        </w:rPr>
      </w:pPr>
    </w:p>
    <w:p w14:paraId="18470440" w14:textId="3074C32B" w:rsidR="00A10C5A" w:rsidRPr="00EA406E" w:rsidRDefault="00A10C5A" w:rsidP="00EA406E">
      <w:pPr>
        <w:ind w:left="4320" w:hanging="4320"/>
        <w:jc w:val="both"/>
        <w:rPr>
          <w:rFonts w:eastAsia="Calibri"/>
        </w:rPr>
      </w:pPr>
    </w:p>
    <w:p w14:paraId="191125B1" w14:textId="60ED54B3" w:rsidR="00AC75B2" w:rsidRPr="00A10C5A" w:rsidRDefault="00A10C5A" w:rsidP="00AC75B2">
      <w:pPr>
        <w:pStyle w:val="Default"/>
        <w:rPr>
          <w:bCs/>
          <w:sz w:val="23"/>
          <w:szCs w:val="23"/>
        </w:rPr>
      </w:pPr>
      <w:r>
        <w:rPr>
          <w:rFonts w:ascii="Times Roman" w:eastAsia="Calibri" w:hAnsi="Times Roman"/>
          <w:b/>
          <w:smallCaps/>
          <w:u w:val="single"/>
        </w:rPr>
        <w:t>Res</w:t>
      </w:r>
      <w:r w:rsidRPr="00581DCF">
        <w:rPr>
          <w:rFonts w:ascii="Times Roman" w:eastAsia="Calibri" w:hAnsi="Times Roman"/>
          <w:b/>
          <w:smallCaps/>
          <w:u w:val="single"/>
        </w:rPr>
        <w:t xml:space="preserve">. No. </w:t>
      </w:r>
      <w:r>
        <w:rPr>
          <w:rFonts w:ascii="Times Roman" w:eastAsia="Calibri" w:hAnsi="Times Roman"/>
          <w:b/>
          <w:smallCaps/>
          <w:u w:val="single"/>
        </w:rPr>
        <w:t>1469</w:t>
      </w:r>
      <w:r w:rsidRPr="00581DCF">
        <w:rPr>
          <w:rFonts w:ascii="Times Roman" w:eastAsia="Calibri" w:hAnsi="Times Roman"/>
          <w:b/>
          <w:smallCaps/>
          <w:u w:val="single"/>
        </w:rPr>
        <w:t>:</w:t>
      </w:r>
      <w:r>
        <w:rPr>
          <w:rFonts w:ascii="Times Roman" w:eastAsia="Calibri" w:hAnsi="Times Roman"/>
          <w:b/>
          <w:smallCaps/>
        </w:rPr>
        <w:tab/>
      </w:r>
      <w:r>
        <w:rPr>
          <w:rFonts w:ascii="Times Roman" w:eastAsia="Calibri" w:hAnsi="Times Roman"/>
          <w:b/>
          <w:smallCaps/>
        </w:rPr>
        <w:tab/>
      </w:r>
      <w:r>
        <w:rPr>
          <w:rFonts w:ascii="Times Roman" w:eastAsia="Calibri" w:hAnsi="Times Roman"/>
          <w:b/>
          <w:smallCaps/>
        </w:rPr>
        <w:tab/>
      </w:r>
      <w:r>
        <w:rPr>
          <w:rFonts w:ascii="Times Roman" w:eastAsia="Calibri" w:hAnsi="Times Roman"/>
          <w:b/>
          <w:smallCaps/>
        </w:rPr>
        <w:tab/>
      </w:r>
      <w:r>
        <w:rPr>
          <w:rFonts w:ascii="Times Roman" w:eastAsia="Calibri" w:hAnsi="Times Roman"/>
        </w:rPr>
        <w:t>By Council Members Constantinides and Kallos</w:t>
      </w:r>
    </w:p>
    <w:p w14:paraId="41DFB8DD" w14:textId="77777777" w:rsidR="00693CB4" w:rsidRDefault="00693CB4" w:rsidP="00AC75B2">
      <w:pPr>
        <w:pStyle w:val="Default"/>
        <w:rPr>
          <w:b/>
          <w:bCs/>
          <w:sz w:val="23"/>
          <w:szCs w:val="23"/>
        </w:rPr>
      </w:pPr>
    </w:p>
    <w:p w14:paraId="3EC3CDA7" w14:textId="722AED42" w:rsidR="00693CB4" w:rsidRDefault="00693CB4" w:rsidP="00AC75B2">
      <w:pPr>
        <w:pStyle w:val="Default"/>
        <w:rPr>
          <w:b/>
          <w:bCs/>
          <w:sz w:val="23"/>
          <w:szCs w:val="23"/>
        </w:rPr>
      </w:pPr>
    </w:p>
    <w:p w14:paraId="4217EED9" w14:textId="43E00951" w:rsidR="00A10C5A" w:rsidRDefault="00A10C5A" w:rsidP="00A10C5A">
      <w:pPr>
        <w:pStyle w:val="Default"/>
        <w:ind w:left="4320" w:hanging="4320"/>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sidRPr="00A10C5A">
        <w:rPr>
          <w:rFonts w:ascii="Times Roman" w:eastAsia="Calibri" w:hAnsi="Times Roman"/>
          <w:bCs/>
        </w:rPr>
        <w:t>Resolution calling on nations around the world to implement, the United States Senate to approve, and the president to ratify a fossil fuel non-proliferation treaty.</w:t>
      </w:r>
    </w:p>
    <w:p w14:paraId="04D23CE0" w14:textId="77777777" w:rsidR="00A10C5A" w:rsidRPr="00A10C5A" w:rsidRDefault="00A10C5A" w:rsidP="00A10C5A">
      <w:pPr>
        <w:pStyle w:val="Default"/>
        <w:ind w:left="4320" w:hanging="4320"/>
        <w:rPr>
          <w:rFonts w:ascii="Times Roman" w:eastAsia="Calibri" w:hAnsi="Times Roman"/>
          <w:bCs/>
        </w:rPr>
      </w:pPr>
    </w:p>
    <w:p w14:paraId="73DCF383" w14:textId="2B32CC95" w:rsidR="005F1393" w:rsidRPr="00A10C5A" w:rsidRDefault="00A10C5A" w:rsidP="00AC75B2">
      <w:pPr>
        <w:pStyle w:val="Default"/>
        <w:rPr>
          <w:bCs/>
          <w:sz w:val="23"/>
          <w:szCs w:val="23"/>
        </w:rPr>
      </w:pPr>
      <w:r>
        <w:rPr>
          <w:rFonts w:ascii="Times Roman" w:eastAsia="Calibri" w:hAnsi="Times Roman"/>
          <w:bCs/>
          <w:smallCaps/>
        </w:rPr>
        <w:t xml:space="preserve"> </w:t>
      </w:r>
    </w:p>
    <w:p w14:paraId="2F1EAFEA" w14:textId="77777777" w:rsidR="005F1393" w:rsidRDefault="005F1393" w:rsidP="00AC75B2">
      <w:pPr>
        <w:pStyle w:val="Default"/>
        <w:rPr>
          <w:b/>
          <w:bCs/>
          <w:sz w:val="23"/>
          <w:szCs w:val="23"/>
        </w:rPr>
      </w:pPr>
    </w:p>
    <w:p w14:paraId="78B55190" w14:textId="77777777" w:rsidR="00AC75B2" w:rsidRPr="00693CB4" w:rsidRDefault="00AC75B2" w:rsidP="007B095C">
      <w:pPr>
        <w:pStyle w:val="Default"/>
        <w:numPr>
          <w:ilvl w:val="0"/>
          <w:numId w:val="1"/>
        </w:numPr>
        <w:rPr>
          <w:b/>
          <w:bCs/>
          <w:smallCaps/>
        </w:rPr>
      </w:pPr>
      <w:r w:rsidRPr="00693CB4">
        <w:rPr>
          <w:b/>
          <w:bCs/>
          <w:smallCaps/>
        </w:rPr>
        <w:lastRenderedPageBreak/>
        <w:t>I</w:t>
      </w:r>
      <w:r w:rsidR="00211964" w:rsidRPr="00693CB4">
        <w:rPr>
          <w:b/>
          <w:bCs/>
          <w:smallCaps/>
        </w:rPr>
        <w:t>ntroduction</w:t>
      </w:r>
      <w:r w:rsidRPr="00693CB4">
        <w:rPr>
          <w:b/>
          <w:bCs/>
          <w:smallCaps/>
        </w:rPr>
        <w:t xml:space="preserve"> </w:t>
      </w:r>
    </w:p>
    <w:p w14:paraId="5F06EF9B" w14:textId="77777777" w:rsidR="007B095C" w:rsidRPr="00693CB4" w:rsidRDefault="007B095C" w:rsidP="007B095C">
      <w:pPr>
        <w:pStyle w:val="Default"/>
        <w:ind w:left="720"/>
        <w:rPr>
          <w:b/>
          <w:bCs/>
        </w:rPr>
      </w:pPr>
    </w:p>
    <w:p w14:paraId="2822F589" w14:textId="0DD4989A" w:rsidR="007B095C" w:rsidRDefault="007B095C" w:rsidP="008C3C23">
      <w:pPr>
        <w:pStyle w:val="Default"/>
        <w:spacing w:line="480" w:lineRule="auto"/>
        <w:ind w:firstLine="720"/>
        <w:jc w:val="both"/>
      </w:pPr>
      <w:r w:rsidRPr="00693CB4">
        <w:rPr>
          <w:bCs/>
        </w:rPr>
        <w:t xml:space="preserve">On </w:t>
      </w:r>
      <w:r w:rsidR="004711A9">
        <w:rPr>
          <w:bCs/>
        </w:rPr>
        <w:t>December</w:t>
      </w:r>
      <w:r w:rsidR="004711A9" w:rsidRPr="00693CB4">
        <w:rPr>
          <w:bCs/>
        </w:rPr>
        <w:t xml:space="preserve"> </w:t>
      </w:r>
      <w:r w:rsidR="004711A9">
        <w:rPr>
          <w:bCs/>
        </w:rPr>
        <w:t>15</w:t>
      </w:r>
      <w:r w:rsidRPr="00693CB4">
        <w:rPr>
          <w:bCs/>
        </w:rPr>
        <w:t xml:space="preserve">, </w:t>
      </w:r>
      <w:r w:rsidR="00305100" w:rsidRPr="00693CB4">
        <w:rPr>
          <w:bCs/>
        </w:rPr>
        <w:t>20</w:t>
      </w:r>
      <w:r w:rsidR="005F1393">
        <w:rPr>
          <w:bCs/>
        </w:rPr>
        <w:t>20</w:t>
      </w:r>
      <w:r w:rsidR="00BF6BD4">
        <w:rPr>
          <w:bCs/>
        </w:rPr>
        <w:t>,</w:t>
      </w:r>
      <w:r w:rsidR="00305100" w:rsidRPr="00693CB4">
        <w:rPr>
          <w:bCs/>
        </w:rPr>
        <w:t xml:space="preserve"> </w:t>
      </w:r>
      <w:r w:rsidRPr="00693CB4">
        <w:rPr>
          <w:bCs/>
        </w:rPr>
        <w:t>the Committee on Environmental Protection</w:t>
      </w:r>
      <w:r w:rsidR="00305100">
        <w:rPr>
          <w:bCs/>
        </w:rPr>
        <w:t>,</w:t>
      </w:r>
      <w:r w:rsidRPr="00693CB4">
        <w:rPr>
          <w:bCs/>
        </w:rPr>
        <w:t xml:space="preserve"> </w:t>
      </w:r>
      <w:r w:rsidR="00305100">
        <w:rPr>
          <w:bCs/>
        </w:rPr>
        <w:t>c</w:t>
      </w:r>
      <w:r w:rsidRPr="00693CB4">
        <w:rPr>
          <w:bCs/>
        </w:rPr>
        <w:t>haired by Council Member Constantinides, will hold a hearing on</w:t>
      </w:r>
      <w:r w:rsidR="008F331A">
        <w:rPr>
          <w:bCs/>
        </w:rPr>
        <w:t>,</w:t>
      </w:r>
      <w:r w:rsidRPr="00693CB4">
        <w:rPr>
          <w:bCs/>
        </w:rPr>
        <w:t xml:space="preserve"> </w:t>
      </w:r>
      <w:r w:rsidR="00340020" w:rsidRPr="00693CB4">
        <w:rPr>
          <w:bCs/>
        </w:rPr>
        <w:t>Int</w:t>
      </w:r>
      <w:r w:rsidRPr="00693CB4">
        <w:rPr>
          <w:bCs/>
        </w:rPr>
        <w:t xml:space="preserve">. No. </w:t>
      </w:r>
      <w:r w:rsidR="003117DE">
        <w:rPr>
          <w:bCs/>
        </w:rPr>
        <w:t>2</w:t>
      </w:r>
      <w:r w:rsidR="00E700A6">
        <w:rPr>
          <w:bCs/>
        </w:rPr>
        <w:t>1</w:t>
      </w:r>
      <w:r w:rsidR="003117DE">
        <w:rPr>
          <w:bCs/>
        </w:rPr>
        <w:t>4</w:t>
      </w:r>
      <w:r w:rsidR="00E700A6">
        <w:rPr>
          <w:bCs/>
        </w:rPr>
        <w:t>9</w:t>
      </w:r>
      <w:r w:rsidR="008F331A">
        <w:rPr>
          <w:bCs/>
        </w:rPr>
        <w:t xml:space="preserve">, a Local Law </w:t>
      </w:r>
      <w:r w:rsidR="008F331A" w:rsidRPr="00AC75B2">
        <w:rPr>
          <w:bCs/>
        </w:rPr>
        <w:t xml:space="preserve">to amend the administrative code of the city of New York, in relation </w:t>
      </w:r>
      <w:r w:rsidR="008F331A">
        <w:rPr>
          <w:bCs/>
        </w:rPr>
        <w:t xml:space="preserve">to establishing climate indicators and </w:t>
      </w:r>
      <w:r w:rsidR="00E700A6">
        <w:rPr>
          <w:bCs/>
        </w:rPr>
        <w:t>Res</w:t>
      </w:r>
      <w:r w:rsidRPr="00693CB4">
        <w:rPr>
          <w:bCs/>
        </w:rPr>
        <w:t>. No</w:t>
      </w:r>
      <w:r w:rsidR="003A0868">
        <w:rPr>
          <w:bCs/>
        </w:rPr>
        <w:t>.</w:t>
      </w:r>
      <w:r w:rsidRPr="00693CB4">
        <w:rPr>
          <w:bCs/>
        </w:rPr>
        <w:t xml:space="preserve"> </w:t>
      </w:r>
      <w:r w:rsidR="00E700A6">
        <w:rPr>
          <w:bCs/>
        </w:rPr>
        <w:t>1469</w:t>
      </w:r>
      <w:r w:rsidR="008F331A">
        <w:rPr>
          <w:bCs/>
        </w:rPr>
        <w:t>, a</w:t>
      </w:r>
      <w:r w:rsidR="00E700A6">
        <w:rPr>
          <w:bCs/>
        </w:rPr>
        <w:t xml:space="preserve"> </w:t>
      </w:r>
      <w:r w:rsidR="008F331A" w:rsidRPr="008F331A">
        <w:rPr>
          <w:bCs/>
        </w:rPr>
        <w:t>Resolution calling on nations around the world to implement, the United States Senate to approve, and the president to ratify a fossil fuel non-proliferation treaty.</w:t>
      </w:r>
      <w:r w:rsidR="00340020" w:rsidRPr="00693CB4">
        <w:rPr>
          <w:bCs/>
        </w:rPr>
        <w:t xml:space="preserve">. </w:t>
      </w:r>
      <w:r w:rsidR="00340020" w:rsidRPr="00693CB4">
        <w:t xml:space="preserve">The Committee expects to hear testimony from </w:t>
      </w:r>
      <w:r w:rsidR="00BF6BD4">
        <w:t>the Mayor’s Office of Sustainability</w:t>
      </w:r>
      <w:r w:rsidR="00340020" w:rsidRPr="00693CB4">
        <w:t>, environmental advocates, and interested members of the public.</w:t>
      </w:r>
    </w:p>
    <w:p w14:paraId="603255A5" w14:textId="77777777" w:rsidR="00305100" w:rsidRPr="00693CB4" w:rsidRDefault="00305100" w:rsidP="008C3C23">
      <w:pPr>
        <w:pStyle w:val="Default"/>
        <w:spacing w:line="480" w:lineRule="auto"/>
        <w:ind w:firstLine="720"/>
        <w:jc w:val="both"/>
        <w:rPr>
          <w:bCs/>
        </w:rPr>
      </w:pPr>
    </w:p>
    <w:p w14:paraId="060C82B9" w14:textId="353A93B9" w:rsidR="00AC75B2" w:rsidRDefault="00211964" w:rsidP="008C3C23">
      <w:pPr>
        <w:pStyle w:val="Default"/>
        <w:numPr>
          <w:ilvl w:val="0"/>
          <w:numId w:val="1"/>
        </w:numPr>
        <w:spacing w:line="480" w:lineRule="auto"/>
        <w:rPr>
          <w:b/>
          <w:bCs/>
          <w:smallCaps/>
        </w:rPr>
      </w:pPr>
      <w:r w:rsidRPr="00693CB4">
        <w:rPr>
          <w:b/>
          <w:bCs/>
          <w:smallCaps/>
        </w:rPr>
        <w:t>Background</w:t>
      </w:r>
      <w:r w:rsidR="00AC75B2" w:rsidRPr="00693CB4">
        <w:rPr>
          <w:b/>
          <w:bCs/>
          <w:smallCaps/>
        </w:rPr>
        <w:t xml:space="preserve"> </w:t>
      </w:r>
    </w:p>
    <w:p w14:paraId="43211532" w14:textId="1338E9A2" w:rsidR="00527B67" w:rsidRDefault="00527B67" w:rsidP="00527B67">
      <w:pPr>
        <w:spacing w:line="480" w:lineRule="auto"/>
        <w:ind w:firstLine="720"/>
        <w:jc w:val="both"/>
      </w:pPr>
      <w:r w:rsidRPr="00527B67">
        <w:t>In 2018</w:t>
      </w:r>
      <w:r w:rsidR="008F331A">
        <w:t>,</w:t>
      </w:r>
      <w:r w:rsidRPr="00527B67">
        <w:t xml:space="preserve"> </w:t>
      </w:r>
      <w:r w:rsidR="008F331A">
        <w:t>t</w:t>
      </w:r>
      <w:r w:rsidRPr="00527B67">
        <w:t xml:space="preserve">he United Nations Intergovernmental Panel on Climate Change (IPCC) identified </w:t>
      </w:r>
      <w:r w:rsidR="00D37369">
        <w:t xml:space="preserve">an increase of </w:t>
      </w:r>
      <w:r w:rsidRPr="00527B67">
        <w:t>1.5</w:t>
      </w:r>
      <w:r w:rsidR="00D37369">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rsidR="008F331A">
        <w:t>.</w:t>
      </w:r>
      <w:r w:rsidRPr="00527B67">
        <w:t>S</w:t>
      </w:r>
      <w:r w:rsidR="008F331A">
        <w:t>.</w:t>
      </w:r>
      <w:r w:rsidRPr="00527B67">
        <w:t>) Global Change Research Program’s Fourth National Climate Assessment, failure to significantly mitigate global man 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65741D5D" w14:textId="7C6EDBC8" w:rsidR="00AA186C" w:rsidRDefault="00AA186C" w:rsidP="00AA186C">
      <w:pPr>
        <w:spacing w:line="480" w:lineRule="auto"/>
        <w:jc w:val="both"/>
        <w:rPr>
          <w:i/>
          <w:iCs/>
          <w:u w:val="single"/>
        </w:rPr>
      </w:pPr>
      <w:r w:rsidRPr="00AA186C">
        <w:rPr>
          <w:i/>
          <w:iCs/>
          <w:u w:val="single"/>
        </w:rPr>
        <w:t>Climate Indicators</w:t>
      </w:r>
    </w:p>
    <w:p w14:paraId="43F2914D" w14:textId="28323917" w:rsidR="005B48AE" w:rsidRPr="00341297" w:rsidRDefault="005B48AE" w:rsidP="00AA186C">
      <w:pPr>
        <w:spacing w:line="480" w:lineRule="auto"/>
        <w:jc w:val="both"/>
      </w:pPr>
      <w:r>
        <w:tab/>
        <w:t xml:space="preserve">The Global Climate Observing System (GCOS), an international organization established </w:t>
      </w:r>
      <w:r w:rsidR="00AE67E7">
        <w:t>in 1992</w:t>
      </w:r>
      <w:r>
        <w:t xml:space="preserve"> </w:t>
      </w:r>
      <w:r w:rsidR="002D2B29">
        <w:t>for the purpose of compiling international climate related data into an accessible repository for all interested users,</w:t>
      </w:r>
      <w:r w:rsidR="002D2B29">
        <w:rPr>
          <w:rStyle w:val="FootnoteReference"/>
        </w:rPr>
        <w:footnoteReference w:id="3"/>
      </w:r>
      <w:r w:rsidR="002D2B29">
        <w:t xml:space="preserve"> defines climate indicators as a set of parameters that describe the changing climate without reducing the understanding of climate change to strictly temperature.</w:t>
      </w:r>
      <w:r w:rsidR="002D2B29">
        <w:rPr>
          <w:rStyle w:val="FootnoteReference"/>
        </w:rPr>
        <w:footnoteReference w:id="4"/>
      </w:r>
      <w:r w:rsidR="00341297">
        <w:t xml:space="preserve"> The seven main indicators tracked by the GCOS are surface temperature, ocean heat, atmospheric </w:t>
      </w:r>
      <w:r w:rsidR="008F331A">
        <w:t>carbon dio</w:t>
      </w:r>
      <w:r w:rsidR="0094042D">
        <w:t>x</w:t>
      </w:r>
      <w:r w:rsidR="008F331A">
        <w:t>ide (CO</w:t>
      </w:r>
      <w:r w:rsidR="008F331A">
        <w:rPr>
          <w:vertAlign w:val="subscript"/>
        </w:rPr>
        <w:t>2</w:t>
      </w:r>
      <w:r w:rsidR="008F331A">
        <w:t>)</w:t>
      </w:r>
      <w:r w:rsidR="00341297">
        <w:t xml:space="preserve">, ocean acidification, sea level rise, glaciers, and polar sea ice, with further subsidiary indicators under each main </w:t>
      </w:r>
      <w:r w:rsidR="00AE67E7">
        <w:t>category</w:t>
      </w:r>
      <w:r w:rsidR="00341297">
        <w:t>.</w:t>
      </w:r>
      <w:r w:rsidR="00341297">
        <w:rPr>
          <w:rStyle w:val="FootnoteReference"/>
        </w:rPr>
        <w:footnoteReference w:id="5"/>
      </w:r>
      <w:r w:rsidR="00341297">
        <w:t xml:space="preserve"> The United States Environmental Protection Agency’s 2016 report on climate indicators </w:t>
      </w:r>
      <w:r w:rsidR="00AE67E7">
        <w:t xml:space="preserve">provides data on </w:t>
      </w:r>
      <w:r w:rsidR="00341297">
        <w:t>37</w:t>
      </w:r>
      <w:r w:rsidR="00AE67E7">
        <w:t xml:space="preserve"> indicators related to greenhouse gases, climate and weather, snow and ice, oceans, human health, and ecosystems.</w:t>
      </w:r>
      <w:r w:rsidR="00AE67E7">
        <w:rPr>
          <w:rStyle w:val="FootnoteReference"/>
        </w:rPr>
        <w:footnoteReference w:id="6"/>
      </w:r>
      <w:r w:rsidR="002A4F31">
        <w:t xml:space="preserve"> The report also provides data for </w:t>
      </w:r>
      <w:r w:rsidR="008F331A">
        <w:t>five</w:t>
      </w:r>
      <w:r w:rsidR="002A4F31">
        <w:t xml:space="preserve"> regionally specific climate indicators, including drought and temperature patterns across the southwestern United States, land loss along the Atlantic coast, ice breakup in certain Alaskan rivers, temperature trends in the Pacific Northwest’s Snake River, and the seasonal progress of cherry tree leaf-out and bloom in Washington, D.C.</w:t>
      </w:r>
      <w:r w:rsidR="002A4F31">
        <w:rPr>
          <w:rStyle w:val="FootnoteReference"/>
        </w:rPr>
        <w:footnoteReference w:id="7"/>
      </w:r>
      <w:r w:rsidR="002A4F31">
        <w:t xml:space="preserve"> </w:t>
      </w:r>
      <w:r w:rsidR="00086BC8">
        <w:t>Overall, the use of climate indicators enable a better understanding of the real world effects of climate change on both the global and regional scale.</w:t>
      </w:r>
      <w:r w:rsidR="00086BC8">
        <w:rPr>
          <w:rStyle w:val="FootnoteReference"/>
        </w:rPr>
        <w:footnoteReference w:id="8"/>
      </w:r>
      <w:r w:rsidR="00086BC8">
        <w:t xml:space="preserve"> </w:t>
      </w:r>
    </w:p>
    <w:p w14:paraId="607B3265" w14:textId="152E8C4B" w:rsidR="00414DE0" w:rsidRDefault="00414DE0" w:rsidP="00AA186C">
      <w:pPr>
        <w:spacing w:line="480" w:lineRule="auto"/>
        <w:ind w:firstLine="720"/>
        <w:jc w:val="both"/>
      </w:pPr>
      <w:r>
        <w:t>On May 11, 2019, the Mauna Loa Observatory in Hawaii</w:t>
      </w:r>
      <w:r w:rsidR="00B371AF">
        <w:rPr>
          <w:rStyle w:val="FootnoteReference"/>
        </w:rPr>
        <w:footnoteReference w:id="9"/>
      </w:r>
      <w:r>
        <w:t>, which has compiled atmospheric CO</w:t>
      </w:r>
      <w:r>
        <w:rPr>
          <w:vertAlign w:val="subscript"/>
        </w:rPr>
        <w:t xml:space="preserve">2 </w:t>
      </w:r>
      <w:r>
        <w:t>data since the 1950’s, recorded 415.26 parts per million (ppm) of CO</w:t>
      </w:r>
      <w:r>
        <w:rPr>
          <w:vertAlign w:val="subscript"/>
        </w:rPr>
        <w:t xml:space="preserve">2 </w:t>
      </w:r>
      <w:r>
        <w:t>in the atmosphere, the first time that the observatory measured a daily baseline above 415 ppm.</w:t>
      </w:r>
      <w:r>
        <w:rPr>
          <w:rStyle w:val="FootnoteReference"/>
        </w:rPr>
        <w:footnoteReference w:id="10"/>
      </w:r>
      <w:r>
        <w:t xml:space="preserve"> According to the </w:t>
      </w:r>
      <w:r w:rsidRPr="0028440E">
        <w:t xml:space="preserve">National Aeronautics and Space Administration </w:t>
      </w:r>
      <w:r>
        <w:t>(NASA), these are the highest CO</w:t>
      </w:r>
      <w:r>
        <w:rPr>
          <w:vertAlign w:val="subscript"/>
        </w:rPr>
        <w:t xml:space="preserve">2 </w:t>
      </w:r>
      <w:r>
        <w:t>levels the planet has seen in the past 800,000 years.</w:t>
      </w:r>
      <w:r>
        <w:rPr>
          <w:rStyle w:val="FootnoteReference"/>
        </w:rPr>
        <w:footnoteReference w:id="11"/>
      </w:r>
      <w:r>
        <w:t xml:space="preserve"> A study published in 2017 in the climate change-focused journal The Anthropocene Review estimates that human-linked factors during the past six decades are causing the climate to change 170 times faster than they would without human intervention.</w:t>
      </w:r>
      <w:r>
        <w:rPr>
          <w:rStyle w:val="FootnoteReference"/>
        </w:rPr>
        <w:footnoteReference w:id="12"/>
      </w:r>
      <w:r>
        <w:t xml:space="preserve"> </w:t>
      </w:r>
    </w:p>
    <w:p w14:paraId="71493643" w14:textId="62BDB352" w:rsidR="00414DE0" w:rsidRDefault="00414DE0" w:rsidP="00414DE0">
      <w:pPr>
        <w:spacing w:line="480" w:lineRule="auto"/>
        <w:ind w:firstLine="720"/>
        <w:jc w:val="both"/>
      </w:pPr>
      <w:r>
        <w:t>According to the U.S. Global Change Research Program’s Fourth National Climate Assessment, median sea level rise along the US coastline has already increased</w:t>
      </w:r>
      <w:r w:rsidR="008F331A">
        <w:t xml:space="preserve"> by</w:t>
      </w:r>
      <w:r>
        <w:t xml:space="preserve"> an average of 9</w:t>
      </w:r>
      <w:r w:rsidR="008F331A">
        <w:t xml:space="preserve"> inches</w:t>
      </w:r>
      <w:r>
        <w:t xml:space="preserve"> since the early 20</w:t>
      </w:r>
      <w:r w:rsidRPr="005854F3">
        <w:rPr>
          <w:vertAlign w:val="superscript"/>
        </w:rPr>
        <w:t>th</w:t>
      </w:r>
      <w:r>
        <w:t xml:space="preserve"> century and temperatures have increased by an average of 1.8</w:t>
      </w:r>
      <w:r w:rsidRPr="005854F3">
        <w:t>°F</w:t>
      </w:r>
      <w:r>
        <w:t xml:space="preserve"> in the same period.</w:t>
      </w:r>
      <w:r>
        <w:rPr>
          <w:rStyle w:val="FootnoteReference"/>
        </w:rPr>
        <w:footnoteReference w:id="13"/>
      </w:r>
      <w:r>
        <w:t xml:space="preserve"> Both marine and terrestrial animals and plants have shifted their distribution ranges poleward in search of more habitable climates, and, as the ocean has absorbed approximately 25% of the </w:t>
      </w:r>
      <w:r w:rsidR="008F331A">
        <w:t>CO</w:t>
      </w:r>
      <w:r w:rsidR="008F331A">
        <w:rPr>
          <w:vertAlign w:val="subscript"/>
        </w:rPr>
        <w:t>2</w:t>
      </w:r>
      <w:r>
        <w:t xml:space="preserve">emitted by human activity, it has become increasingly acidic, making it more difficult for corals and other marine invertebrates to form vital calcium-based structures. </w:t>
      </w:r>
      <w:r>
        <w:rPr>
          <w:rStyle w:val="FootnoteReference"/>
        </w:rPr>
        <w:footnoteReference w:id="14"/>
      </w:r>
      <w:r>
        <w:t xml:space="preserve"> A study published in Environmental Health Perspectives in 2017 estimates that over 3,000</w:t>
      </w:r>
      <w:r w:rsidRPr="009168BC">
        <w:t xml:space="preserve"> people a year could </w:t>
      </w:r>
      <w:r w:rsidR="008F331A">
        <w:t>die</w:t>
      </w:r>
      <w:r>
        <w:t xml:space="preserve"> of</w:t>
      </w:r>
      <w:r w:rsidRPr="009168BC">
        <w:t xml:space="preserve"> </w:t>
      </w:r>
      <w:r>
        <w:t xml:space="preserve">heat-related illness in New York City </w:t>
      </w:r>
      <w:r w:rsidRPr="009168BC">
        <w:t xml:space="preserve">by 2080 </w:t>
      </w:r>
      <w:r>
        <w:t>due to climate change, compared to</w:t>
      </w:r>
      <w:r w:rsidRPr="009168BC">
        <w:t xml:space="preserve"> </w:t>
      </w:r>
      <w:r>
        <w:t xml:space="preserve">an average of 638 </w:t>
      </w:r>
      <w:r w:rsidRPr="009168BC">
        <w:t>heat-related deaths</w:t>
      </w:r>
      <w:r>
        <w:t xml:space="preserve"> between</w:t>
      </w:r>
      <w:r w:rsidRPr="009168BC">
        <w:t xml:space="preserve"> </w:t>
      </w:r>
      <w:r>
        <w:t>2000 and 2006, if no action is taken to address anthropogenic climate change.</w:t>
      </w:r>
      <w:r>
        <w:rPr>
          <w:rStyle w:val="FootnoteReference"/>
        </w:rPr>
        <w:footnoteReference w:id="15"/>
      </w:r>
      <w:r>
        <w:t xml:space="preserve"> </w:t>
      </w:r>
    </w:p>
    <w:p w14:paraId="20B3A5EC" w14:textId="77777777" w:rsidR="00414DE0" w:rsidRDefault="00414DE0" w:rsidP="00414DE0">
      <w:pPr>
        <w:spacing w:line="480" w:lineRule="auto"/>
        <w:ind w:firstLine="720"/>
        <w:jc w:val="both"/>
      </w:pPr>
      <w:r>
        <w:t>Additionally, the correlation between mild winters and the survival of disease-spreading vectors is concretely established. In the northeast, mild winters generally mean higher than usual survivals of ticks and mosquitos through the cold months, leading to larger and earlier population booms upon the return of warm weather.</w:t>
      </w:r>
      <w:r>
        <w:rPr>
          <w:rStyle w:val="FootnoteReference"/>
        </w:rPr>
        <w:footnoteReference w:id="16"/>
      </w:r>
      <w:r>
        <w:t xml:space="preserve"> New York City’s increasingly severe rat issues have been exacerbated by consecutive mild winters that allow them to feed and mate more easily throughout the year.</w:t>
      </w:r>
      <w:r>
        <w:rPr>
          <w:rStyle w:val="FootnoteReference"/>
        </w:rPr>
        <w:footnoteReference w:id="17"/>
      </w:r>
      <w:r>
        <w:t xml:space="preserve"> A recent typhus outbreak in Los Angeles has been linked to its growing rat population and their attendant fleas,</w:t>
      </w:r>
      <w:r>
        <w:rPr>
          <w:rStyle w:val="FootnoteReference"/>
        </w:rPr>
        <w:footnoteReference w:id="18"/>
      </w:r>
      <w:r>
        <w:t xml:space="preserve"> and some studies suggest that nearly 1 billion people could face their first exposure to mosquito borne diseases as the species that carry dengue, Zika, </w:t>
      </w:r>
      <w:r w:rsidRPr="00232B29">
        <w:t>chikungunya</w:t>
      </w:r>
      <w:r>
        <w:t>, and malaria, continue to migrate poleward due to increasingly warm temperatures across the globe.</w:t>
      </w:r>
      <w:r>
        <w:rPr>
          <w:rStyle w:val="FootnoteReference"/>
        </w:rPr>
        <w:footnoteReference w:id="19"/>
      </w:r>
    </w:p>
    <w:p w14:paraId="26F112B2" w14:textId="2E4974A2" w:rsidR="00414DE0" w:rsidRDefault="00414DE0" w:rsidP="00414DE0">
      <w:pPr>
        <w:spacing w:line="480" w:lineRule="auto"/>
        <w:ind w:firstLine="720"/>
        <w:jc w:val="both"/>
      </w:pPr>
      <w:r>
        <w:t>The effects of climate change are often inequitably distributed, with low</w:t>
      </w:r>
      <w:r w:rsidR="005B48AE">
        <w:t>-</w:t>
      </w:r>
      <w:r>
        <w:t>income communities, communities of color, children, and senior citizens more likely to experience the deleterious effects.</w:t>
      </w:r>
      <w:r w:rsidR="00B371AF">
        <w:rPr>
          <w:rStyle w:val="FootnoteReference"/>
        </w:rPr>
        <w:footnoteReference w:id="20"/>
      </w:r>
      <w:r>
        <w:t xml:space="preserve"> Low</w:t>
      </w:r>
      <w:r w:rsidR="005B48AE">
        <w:t>-</w:t>
      </w:r>
      <w:r>
        <w:t>income communities often lack the financial and community resources to adequately respond to weather-related disasters, while communities of color are disproportionately likely to live in neighborhoods with environmental justice concerns.</w:t>
      </w:r>
      <w:r w:rsidR="00B371AF">
        <w:rPr>
          <w:rStyle w:val="FootnoteReference"/>
        </w:rPr>
        <w:footnoteReference w:id="21"/>
      </w:r>
      <w:r>
        <w:t xml:space="preserve"> Children and seniors are more vulnerable to the effects of extreme weather than healthy adults.</w:t>
      </w:r>
      <w:r>
        <w:rPr>
          <w:rStyle w:val="FootnoteReference"/>
        </w:rPr>
        <w:footnoteReference w:id="22"/>
      </w:r>
      <w:r>
        <w:t xml:space="preserve"> </w:t>
      </w:r>
    </w:p>
    <w:p w14:paraId="3D7CE489" w14:textId="7B583010" w:rsidR="002F6148" w:rsidRDefault="002F6148" w:rsidP="002F6148">
      <w:pPr>
        <w:spacing w:line="480" w:lineRule="auto"/>
        <w:jc w:val="both"/>
      </w:pPr>
    </w:p>
    <w:p w14:paraId="0138BCEB" w14:textId="13BCC6A8" w:rsidR="002F6148" w:rsidRDefault="002F6148" w:rsidP="002F6148">
      <w:pPr>
        <w:spacing w:line="480" w:lineRule="auto"/>
        <w:jc w:val="both"/>
        <w:rPr>
          <w:i/>
          <w:iCs/>
          <w:u w:val="single"/>
        </w:rPr>
      </w:pPr>
      <w:r w:rsidRPr="002F6148">
        <w:rPr>
          <w:i/>
          <w:iCs/>
          <w:u w:val="single"/>
        </w:rPr>
        <w:t>Fossil Fuel Non-proliferation</w:t>
      </w:r>
    </w:p>
    <w:p w14:paraId="15899B65" w14:textId="7A5F82EC" w:rsidR="00C01813" w:rsidRDefault="002F6148" w:rsidP="002F6148">
      <w:pPr>
        <w:spacing w:line="480" w:lineRule="auto"/>
        <w:jc w:val="both"/>
      </w:pPr>
      <w:r>
        <w:tab/>
      </w:r>
      <w:r w:rsidR="00FC39A9">
        <w:t>According to the United States Energy Information Administration (EIA)</w:t>
      </w:r>
      <w:r w:rsidR="006E5D02">
        <w:t>, in 2018, emissions from fossil fuel combustion for energy was responsible for approximately 75% of the United States’ greenhouse gas emissions from human activity, and approximately 93% of total carbon emissions from human activity.</w:t>
      </w:r>
      <w:r w:rsidR="006E5D02">
        <w:rPr>
          <w:rStyle w:val="FootnoteReference"/>
        </w:rPr>
        <w:footnoteReference w:id="23"/>
      </w:r>
      <w:r w:rsidR="006E5D02">
        <w:t xml:space="preserve"> Globally, the combustion of fossil fuels for energy is responsible for 72% of total greenhouse gas emissions.</w:t>
      </w:r>
      <w:r w:rsidR="006E5D02">
        <w:rPr>
          <w:rStyle w:val="FootnoteReference"/>
        </w:rPr>
        <w:footnoteReference w:id="24"/>
      </w:r>
      <w:r w:rsidR="006E5D02">
        <w:t xml:space="preserve"> </w:t>
      </w:r>
      <w:r w:rsidR="001A72FF">
        <w:t xml:space="preserve">According to </w:t>
      </w:r>
      <w:r w:rsidR="000F309D">
        <w:t>the most up to date</w:t>
      </w:r>
      <w:r w:rsidR="001A72FF">
        <w:t xml:space="preserve"> figures</w:t>
      </w:r>
      <w:r w:rsidR="000F309D">
        <w:t xml:space="preserve"> available </w:t>
      </w:r>
      <w:r w:rsidR="00E01EDD">
        <w:t>from the Union of Concerned Scientists</w:t>
      </w:r>
      <w:r w:rsidR="001A72FF">
        <w:t>, t</w:t>
      </w:r>
      <w:r w:rsidR="006E5D02">
        <w:t xml:space="preserve">he top </w:t>
      </w:r>
      <w:r w:rsidR="001A72FF">
        <w:t xml:space="preserve">five </w:t>
      </w:r>
      <w:r w:rsidR="006E5D02">
        <w:t>emitter</w:t>
      </w:r>
      <w:r w:rsidR="008F331A">
        <w:t xml:space="preserve"> countries</w:t>
      </w:r>
      <w:r w:rsidR="00D60281">
        <w:t xml:space="preserve"> in descending order</w:t>
      </w:r>
      <w:r w:rsidR="006E5D02">
        <w:t>, China, the United States, India, Russia,</w:t>
      </w:r>
      <w:r w:rsidR="001A72FF">
        <w:t xml:space="preserve"> and</w:t>
      </w:r>
      <w:r w:rsidR="006E5D02">
        <w:t xml:space="preserve"> Japan,  are collectively responsible for approximately </w:t>
      </w:r>
      <w:r w:rsidR="000F309D">
        <w:t>60%</w:t>
      </w:r>
      <w:r w:rsidR="006E5D02">
        <w:t xml:space="preserve"> of global </w:t>
      </w:r>
      <w:r w:rsidR="000F309D">
        <w:t xml:space="preserve"> CO</w:t>
      </w:r>
      <w:r w:rsidR="000F309D">
        <w:rPr>
          <w:vertAlign w:val="subscript"/>
        </w:rPr>
        <w:t>2</w:t>
      </w:r>
      <w:r w:rsidR="000F309D">
        <w:t xml:space="preserve"> </w:t>
      </w:r>
      <w:r w:rsidR="006E5D02">
        <w:t>emissions.</w:t>
      </w:r>
      <w:r w:rsidR="006E5D02">
        <w:rPr>
          <w:rStyle w:val="FootnoteReference"/>
        </w:rPr>
        <w:footnoteReference w:id="25"/>
      </w:r>
      <w:r w:rsidR="00C01813">
        <w:t xml:space="preserve"> </w:t>
      </w:r>
    </w:p>
    <w:p w14:paraId="651E8FB0" w14:textId="61390B5F" w:rsidR="00414DE0" w:rsidRDefault="00C01813" w:rsidP="00EF4EED">
      <w:pPr>
        <w:spacing w:line="480" w:lineRule="auto"/>
        <w:ind w:firstLine="720"/>
        <w:jc w:val="both"/>
      </w:pPr>
      <w:r>
        <w:t xml:space="preserve">The United Nations 2019 Emissions Gap Report </w:t>
      </w:r>
      <w:r w:rsidR="00DC7D70">
        <w:t>states</w:t>
      </w:r>
      <w:r>
        <w:t xml:space="preserve"> that the world must decrease fossil fuel production by 6</w:t>
      </w:r>
      <w:r w:rsidR="008F331A">
        <w:t xml:space="preserve"> percent</w:t>
      </w:r>
      <w:r>
        <w:t xml:space="preserve"> a year between 2020 and 2030 in order to keep global temperature rise below 1.5</w:t>
      </w:r>
      <w:r w:rsidR="008F331A">
        <w:t>℃</w:t>
      </w:r>
      <w:r>
        <w:t xml:space="preserve"> and avoid catastrophic warming.</w:t>
      </w:r>
      <w:r>
        <w:rPr>
          <w:rStyle w:val="FootnoteReference"/>
        </w:rPr>
        <w:footnoteReference w:id="26"/>
      </w:r>
      <w:r>
        <w:t xml:space="preserve"> Despite this, many countries plan to </w:t>
      </w:r>
      <w:r w:rsidR="00DC7D70">
        <w:t xml:space="preserve">continue </w:t>
      </w:r>
      <w:r>
        <w:t>increas</w:t>
      </w:r>
      <w:r w:rsidR="00DC7D70">
        <w:t>ing</w:t>
      </w:r>
      <w:r>
        <w:t xml:space="preserve"> fossil fuel production.</w:t>
      </w:r>
      <w:r>
        <w:rPr>
          <w:rStyle w:val="FootnoteReference"/>
        </w:rPr>
        <w:footnoteReference w:id="27"/>
      </w:r>
      <w:r w:rsidR="001275ED">
        <w:t>Publicly launched in September 2020 as part of New York City’s Climate Week,</w:t>
      </w:r>
      <w:r w:rsidR="001275ED">
        <w:rPr>
          <w:rStyle w:val="FootnoteReference"/>
        </w:rPr>
        <w:footnoteReference w:id="28"/>
      </w:r>
      <w:r>
        <w:t xml:space="preserve"> </w:t>
      </w:r>
      <w:r w:rsidR="001275ED">
        <w:t>t</w:t>
      </w:r>
      <w:r>
        <w:t xml:space="preserve">he fossil fuel non-proliferation treaty </w:t>
      </w:r>
      <w:r w:rsidR="006F1DD4">
        <w:t xml:space="preserve">is based on the </w:t>
      </w:r>
      <w:r w:rsidR="001275ED">
        <w:t xml:space="preserve">2017 </w:t>
      </w:r>
      <w:proofErr w:type="spellStart"/>
      <w:r w:rsidR="001275ED">
        <w:t>Lofoten</w:t>
      </w:r>
      <w:proofErr w:type="spellEnd"/>
      <w:r w:rsidR="001275ED">
        <w:t xml:space="preserve"> Declaration</w:t>
      </w:r>
      <w:r w:rsidR="00EF4EED">
        <w:rPr>
          <w:rStyle w:val="FootnoteReference"/>
        </w:rPr>
        <w:footnoteReference w:id="29"/>
      </w:r>
      <w:r w:rsidR="001275ED">
        <w:t xml:space="preserve"> calling upon governments and companies to </w:t>
      </w:r>
      <w:r w:rsidR="00EF4EED">
        <w:t>acknowledge that continued fossil fuel exploration and production is irreconcilable with meaningful climate action.</w:t>
      </w:r>
      <w:r w:rsidR="00EF4EED">
        <w:rPr>
          <w:rStyle w:val="FootnoteReference"/>
        </w:rPr>
        <w:footnoteReference w:id="30"/>
      </w:r>
      <w:r w:rsidR="00EF4EED">
        <w:t xml:space="preserve"> The treaty argues </w:t>
      </w:r>
      <w:r>
        <w:t xml:space="preserve">that </w:t>
      </w:r>
      <w:r w:rsidR="00DC7D70">
        <w:t>climate change is a global existential threat on the scale of nuclear weapons, and calls for an immediate end to new fossil fuel exploration and expansion, phasing out existing fossil fuel stockpiles, and a just transition for workers, communities, and countries toward a low carbon future.</w:t>
      </w:r>
      <w:r w:rsidR="00DC7D70">
        <w:rPr>
          <w:rStyle w:val="FootnoteReference"/>
        </w:rPr>
        <w:footnoteReference w:id="31"/>
      </w:r>
      <w:r w:rsidR="00DC7D70">
        <w:t xml:space="preserve"> In 2017, the </w:t>
      </w:r>
      <w:r w:rsidR="008F331A">
        <w:t>U.S.</w:t>
      </w:r>
      <w:r w:rsidR="00DC7D70">
        <w:t xml:space="preserve"> was responsible for 13.5</w:t>
      </w:r>
      <w:r w:rsidR="008F331A">
        <w:t xml:space="preserve"> percent </w:t>
      </w:r>
      <w:r w:rsidR="00DC7D70">
        <w:t xml:space="preserve">of </w:t>
      </w:r>
      <w:r w:rsidR="00D571EA">
        <w:t>global emissions, and 25</w:t>
      </w:r>
      <w:r w:rsidR="008F331A">
        <w:t xml:space="preserve"> percent</w:t>
      </w:r>
      <w:r w:rsidR="00D571EA">
        <w:t xml:space="preserve"> of cumulative emissions from 1751 to 2017.</w:t>
      </w:r>
      <w:r w:rsidR="00D571EA">
        <w:rPr>
          <w:rStyle w:val="FootnoteReference"/>
        </w:rPr>
        <w:footnoteReference w:id="32"/>
      </w:r>
      <w:r w:rsidR="00D571EA">
        <w:t xml:space="preserve"> In 2017, the </w:t>
      </w:r>
      <w:r w:rsidR="008F331A">
        <w:t>U.S.</w:t>
      </w:r>
      <w:r w:rsidR="00D571EA">
        <w:t xml:space="preserve"> had the highest per capita greenhouse gas emissions in the world, with over 18 tons of CO</w:t>
      </w:r>
      <w:r w:rsidR="00D571EA" w:rsidRPr="00D60281">
        <w:rPr>
          <w:vertAlign w:val="subscript"/>
        </w:rPr>
        <w:t>2</w:t>
      </w:r>
      <w:r w:rsidR="00D571EA">
        <w:t xml:space="preserve"> emissions per individual.</w:t>
      </w:r>
      <w:r w:rsidR="00D571EA">
        <w:rPr>
          <w:rStyle w:val="FootnoteReference"/>
        </w:rPr>
        <w:footnoteReference w:id="33"/>
      </w:r>
      <w:r w:rsidR="00D571EA">
        <w:t xml:space="preserve"> These figures not only show that the </w:t>
      </w:r>
      <w:r w:rsidR="008F331A">
        <w:t>U.S.</w:t>
      </w:r>
      <w:r w:rsidR="00D571EA">
        <w:t xml:space="preserve"> bears significant responsibility for the global climate crisis, but that its commitment to a fossil fuel non-proliferation treaty has the potential to significantly reduce global greenhouse gas emissions.</w:t>
      </w:r>
      <w:r w:rsidR="00B371AF">
        <w:rPr>
          <w:rStyle w:val="FootnoteReference"/>
        </w:rPr>
        <w:footnoteReference w:id="34"/>
      </w:r>
      <w:r w:rsidR="00D571EA">
        <w:t xml:space="preserve"> </w:t>
      </w:r>
    </w:p>
    <w:p w14:paraId="64762E86" w14:textId="24E3C3EA" w:rsidR="008F6C52" w:rsidRDefault="008F6C52" w:rsidP="00EF4EED">
      <w:pPr>
        <w:spacing w:line="480" w:lineRule="auto"/>
        <w:ind w:firstLine="720"/>
        <w:jc w:val="both"/>
      </w:pPr>
    </w:p>
    <w:p w14:paraId="50DFBDCD" w14:textId="77777777" w:rsidR="008F6C52" w:rsidRPr="00527B67" w:rsidRDefault="008F6C52" w:rsidP="00EF4EED">
      <w:pPr>
        <w:spacing w:line="480" w:lineRule="auto"/>
        <w:ind w:firstLine="720"/>
        <w:jc w:val="both"/>
      </w:pPr>
    </w:p>
    <w:p w14:paraId="2341E3F2" w14:textId="77777777" w:rsidR="00527B67" w:rsidRPr="00693CB4" w:rsidRDefault="00527B67" w:rsidP="00527B67">
      <w:pPr>
        <w:pStyle w:val="Default"/>
        <w:spacing w:line="480" w:lineRule="auto"/>
        <w:ind w:left="720"/>
        <w:rPr>
          <w:b/>
          <w:bCs/>
          <w:smallCaps/>
        </w:rPr>
      </w:pPr>
    </w:p>
    <w:p w14:paraId="2525B7C1" w14:textId="77777777" w:rsidR="00EA406E" w:rsidRPr="00C54913" w:rsidRDefault="00EA406E" w:rsidP="00EA406E">
      <w:pPr>
        <w:pStyle w:val="Default"/>
        <w:numPr>
          <w:ilvl w:val="0"/>
          <w:numId w:val="1"/>
        </w:numPr>
        <w:spacing w:line="480" w:lineRule="auto"/>
        <w:jc w:val="both"/>
        <w:rPr>
          <w:b/>
          <w:smallCaps/>
        </w:rPr>
      </w:pPr>
      <w:r w:rsidRPr="00C54913">
        <w:rPr>
          <w:b/>
          <w:smallCaps/>
        </w:rPr>
        <w:t>Legislation</w:t>
      </w:r>
    </w:p>
    <w:p w14:paraId="75364A71" w14:textId="77777777" w:rsidR="008F331A" w:rsidRDefault="00EA406E" w:rsidP="004047E4">
      <w:pPr>
        <w:pStyle w:val="Default"/>
        <w:spacing w:line="480" w:lineRule="auto"/>
        <w:ind w:firstLine="720"/>
        <w:jc w:val="both"/>
      </w:pPr>
      <w:r w:rsidRPr="00C221B0">
        <w:rPr>
          <w:b/>
          <w:bCs/>
        </w:rPr>
        <w:t>Int. No.</w:t>
      </w:r>
      <w:r w:rsidR="00363950" w:rsidRPr="00C221B0">
        <w:rPr>
          <w:b/>
          <w:bCs/>
        </w:rPr>
        <w:t xml:space="preserve"> </w:t>
      </w:r>
      <w:r w:rsidR="00A5118E" w:rsidRPr="00C221B0">
        <w:rPr>
          <w:b/>
          <w:bCs/>
        </w:rPr>
        <w:t>2</w:t>
      </w:r>
      <w:r w:rsidR="00D571EA">
        <w:rPr>
          <w:b/>
          <w:bCs/>
        </w:rPr>
        <w:t>1</w:t>
      </w:r>
      <w:r w:rsidR="00A5118E" w:rsidRPr="00C221B0">
        <w:rPr>
          <w:b/>
          <w:bCs/>
        </w:rPr>
        <w:t>4</w:t>
      </w:r>
      <w:r w:rsidR="00BF6BD4">
        <w:rPr>
          <w:b/>
          <w:bCs/>
        </w:rPr>
        <w:t>9</w:t>
      </w:r>
      <w:r w:rsidRPr="00C54913">
        <w:t xml:space="preserve"> </w:t>
      </w:r>
      <w:r w:rsidR="00903139" w:rsidRPr="00C54913">
        <w:t xml:space="preserve">would </w:t>
      </w:r>
      <w:r w:rsidR="00D571EA">
        <w:t xml:space="preserve">establish a climate resiliency indicator and monitoring working group to integrate data on climate indicators for the mayor’s office of long term planning and sustainability to use in </w:t>
      </w:r>
      <w:r w:rsidR="004047E4">
        <w:t xml:space="preserve">monitoring projects. The working group is to be comprised of 15 members including the director of long term planning and sustainability, the mayor or mayor’s designee, the speaker of the council or speaker’s designee, six additional members appointed by the mayor, and six members appointed by the speaker of the council. This legislation would require a report be submitted to the mayor and speaker of the council, and posted to department websites no later than December 2, 2021, and biennially thereafter. This local law would take effect immediately. </w:t>
      </w:r>
    </w:p>
    <w:p w14:paraId="12D4CA41" w14:textId="43AD94E7" w:rsidR="004047E4" w:rsidRPr="00C54913" w:rsidRDefault="004047E4" w:rsidP="004047E4">
      <w:pPr>
        <w:pStyle w:val="Default"/>
        <w:spacing w:line="480" w:lineRule="auto"/>
        <w:ind w:firstLine="720"/>
        <w:jc w:val="both"/>
      </w:pPr>
      <w:r w:rsidRPr="004047E4">
        <w:rPr>
          <w:b/>
          <w:bCs/>
        </w:rPr>
        <w:t>Res. No. 1469</w:t>
      </w:r>
      <w:r>
        <w:t xml:space="preserve"> calls upon nations around the world to implement, the United States Senate to approve, and the president to ratify a fossil fuel non-proliferation treaty.  </w:t>
      </w:r>
    </w:p>
    <w:p w14:paraId="0991E078" w14:textId="3C5D0C5F" w:rsidR="00C54913" w:rsidRDefault="00C54913" w:rsidP="00572B36">
      <w:pPr>
        <w:spacing w:line="480" w:lineRule="auto"/>
        <w:ind w:firstLine="720"/>
        <w:jc w:val="both"/>
        <w:rPr>
          <w:color w:val="000000"/>
        </w:rPr>
      </w:pPr>
    </w:p>
    <w:p w14:paraId="58B07BDE" w14:textId="058CC7F2" w:rsidR="00C54913" w:rsidRDefault="00C54913" w:rsidP="00572B36">
      <w:pPr>
        <w:spacing w:line="480" w:lineRule="auto"/>
        <w:ind w:firstLine="720"/>
        <w:jc w:val="both"/>
        <w:rPr>
          <w:color w:val="000000"/>
        </w:rPr>
      </w:pPr>
    </w:p>
    <w:p w14:paraId="04DF4FA8" w14:textId="05FF911D" w:rsidR="00C54913" w:rsidRDefault="00C54913" w:rsidP="00572B36">
      <w:pPr>
        <w:spacing w:line="480" w:lineRule="auto"/>
        <w:ind w:firstLine="720"/>
        <w:jc w:val="both"/>
        <w:rPr>
          <w:color w:val="000000"/>
        </w:rPr>
      </w:pPr>
    </w:p>
    <w:p w14:paraId="52DE9F59" w14:textId="41940B00" w:rsidR="00C54913" w:rsidRDefault="00C54913" w:rsidP="00C54913">
      <w:pPr>
        <w:spacing w:line="480" w:lineRule="auto"/>
        <w:jc w:val="both"/>
        <w:rPr>
          <w:color w:val="000000"/>
        </w:rPr>
      </w:pPr>
    </w:p>
    <w:p w14:paraId="6776C787" w14:textId="77777777" w:rsidR="00C54913" w:rsidRPr="00572B36" w:rsidRDefault="00C54913" w:rsidP="00572B36">
      <w:pPr>
        <w:spacing w:line="480" w:lineRule="auto"/>
        <w:ind w:firstLine="720"/>
        <w:jc w:val="both"/>
        <w:rPr>
          <w:color w:val="000000"/>
        </w:rPr>
      </w:pPr>
    </w:p>
    <w:p w14:paraId="5313B330" w14:textId="0A8C9DF8" w:rsidR="004C6911" w:rsidRPr="004C6911" w:rsidRDefault="005F1393" w:rsidP="00D60281">
      <w:pPr>
        <w:pStyle w:val="NormalWeb"/>
        <w:shd w:val="clear" w:color="auto" w:fill="FFFFFF"/>
        <w:spacing w:before="0" w:beforeAutospacing="0" w:after="0" w:afterAutospacing="0" w:line="480" w:lineRule="auto"/>
        <w:jc w:val="center"/>
        <w:rPr>
          <w:color w:val="000000"/>
          <w:shd w:val="clear" w:color="auto" w:fill="FFFFFF"/>
        </w:rPr>
        <w:sectPr w:rsidR="004C6911" w:rsidRPr="004C6911" w:rsidSect="005F1393">
          <w:footerReference w:type="default" r:id="rId9"/>
          <w:footerReference w:type="first" r:id="rId10"/>
          <w:pgSz w:w="12240" w:h="15840"/>
          <w:pgMar w:top="1440" w:right="1440" w:bottom="1440" w:left="1440" w:header="720" w:footer="720" w:gutter="0"/>
          <w:cols w:space="720"/>
          <w:titlePg/>
          <w:docGrid w:linePitch="360"/>
        </w:sectPr>
      </w:pPr>
      <w:r w:rsidRPr="005F1393">
        <w:rPr>
          <w:rFonts w:ascii="Times" w:hAnsi="Times"/>
          <w:color w:val="000000"/>
          <w:sz w:val="27"/>
          <w:szCs w:val="27"/>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B0083" w:rsidRPr="00BB0083" w14:paraId="667E7C7B" w14:textId="77777777" w:rsidTr="00BB0083">
        <w:trPr>
          <w:tblCellSpacing w:w="0" w:type="dxa"/>
        </w:trPr>
        <w:tc>
          <w:tcPr>
            <w:tcW w:w="0" w:type="auto"/>
            <w:shd w:val="clear" w:color="auto" w:fill="FFFFFF"/>
            <w:vAlign w:val="center"/>
            <w:hideMark/>
          </w:tcPr>
          <w:p w14:paraId="5783CF05" w14:textId="77777777" w:rsidR="00BB0083" w:rsidRPr="00BB0083" w:rsidRDefault="00BB0083" w:rsidP="00BB0083">
            <w:pPr>
              <w:shd w:val="clear" w:color="auto" w:fill="FFFFFF"/>
              <w:jc w:val="center"/>
              <w:rPr>
                <w:rFonts w:ascii="Times" w:hAnsi="Times"/>
                <w:color w:val="000000"/>
                <w:sz w:val="27"/>
                <w:szCs w:val="27"/>
              </w:rPr>
            </w:pPr>
            <w:r w:rsidRPr="00BB0083">
              <w:rPr>
                <w:color w:val="000000"/>
              </w:rPr>
              <w:t>Int. No. 2149</w:t>
            </w:r>
          </w:p>
          <w:p w14:paraId="76A9D86B" w14:textId="77777777" w:rsidR="00BB0083" w:rsidRPr="00BB0083" w:rsidRDefault="00BB0083" w:rsidP="00BB0083">
            <w:pPr>
              <w:shd w:val="clear" w:color="auto" w:fill="FFFFFF"/>
              <w:jc w:val="center"/>
              <w:rPr>
                <w:rFonts w:ascii="Times" w:hAnsi="Times"/>
                <w:color w:val="000000"/>
                <w:sz w:val="27"/>
                <w:szCs w:val="27"/>
              </w:rPr>
            </w:pPr>
            <w:r w:rsidRPr="00BB0083">
              <w:rPr>
                <w:color w:val="000000"/>
              </w:rPr>
              <w:t> </w:t>
            </w:r>
          </w:p>
          <w:p w14:paraId="6CE071DC" w14:textId="77777777" w:rsidR="00BB0083" w:rsidRPr="00BB0083" w:rsidRDefault="00BB0083" w:rsidP="00BB0083">
            <w:pPr>
              <w:shd w:val="clear" w:color="auto" w:fill="FFFFFF"/>
              <w:jc w:val="both"/>
              <w:rPr>
                <w:rFonts w:ascii="Times" w:hAnsi="Times"/>
                <w:color w:val="000000"/>
                <w:sz w:val="27"/>
                <w:szCs w:val="27"/>
              </w:rPr>
            </w:pPr>
            <w:r w:rsidRPr="00BB0083">
              <w:rPr>
                <w:color w:val="000000"/>
              </w:rPr>
              <w:t>By Council Members Constantinides, Treyger, Kallos and Rosenthal</w:t>
            </w:r>
          </w:p>
          <w:p w14:paraId="797D01D3" w14:textId="77777777" w:rsidR="00BB0083" w:rsidRPr="00BB0083" w:rsidRDefault="00BB0083" w:rsidP="00BB0083">
            <w:pPr>
              <w:shd w:val="clear" w:color="auto" w:fill="FFFFFF"/>
              <w:jc w:val="both"/>
              <w:rPr>
                <w:rFonts w:ascii="Times" w:hAnsi="Times"/>
                <w:color w:val="000000"/>
                <w:sz w:val="27"/>
                <w:szCs w:val="27"/>
              </w:rPr>
            </w:pPr>
            <w:r w:rsidRPr="00BB0083">
              <w:rPr>
                <w:color w:val="000000"/>
              </w:rPr>
              <w:t> </w:t>
            </w:r>
          </w:p>
          <w:p w14:paraId="4BBBF410" w14:textId="77777777" w:rsidR="00BB0083" w:rsidRPr="00BB0083" w:rsidRDefault="00BB0083" w:rsidP="00BB0083">
            <w:pPr>
              <w:shd w:val="clear" w:color="auto" w:fill="FFFFFF"/>
              <w:jc w:val="both"/>
              <w:rPr>
                <w:rFonts w:ascii="Times" w:hAnsi="Times"/>
                <w:color w:val="000000"/>
                <w:sz w:val="27"/>
                <w:szCs w:val="27"/>
              </w:rPr>
            </w:pPr>
            <w:r w:rsidRPr="00BB0083">
              <w:rPr>
                <w:color w:val="000000"/>
              </w:rPr>
              <w:t>A Local Law to amend the administrative code of the city of New York, in relation to establishing climate indicators</w:t>
            </w:r>
          </w:p>
          <w:p w14:paraId="048EDFC2" w14:textId="77777777" w:rsidR="00BB0083" w:rsidRPr="00BB0083" w:rsidRDefault="00BB0083" w:rsidP="00BB0083">
            <w:pPr>
              <w:shd w:val="clear" w:color="auto" w:fill="FFFFFF"/>
              <w:jc w:val="both"/>
              <w:rPr>
                <w:rFonts w:ascii="Times" w:hAnsi="Times"/>
                <w:color w:val="000000"/>
                <w:sz w:val="27"/>
                <w:szCs w:val="27"/>
              </w:rPr>
            </w:pPr>
            <w:r w:rsidRPr="00BB0083">
              <w:rPr>
                <w:color w:val="000000"/>
              </w:rPr>
              <w:t> </w:t>
            </w:r>
          </w:p>
          <w:p w14:paraId="782AD610" w14:textId="77777777" w:rsidR="00BB0083" w:rsidRPr="00BB0083" w:rsidRDefault="00BB0083" w:rsidP="00BB0083">
            <w:pPr>
              <w:shd w:val="clear" w:color="auto" w:fill="FFFFFF"/>
              <w:jc w:val="both"/>
              <w:rPr>
                <w:rFonts w:ascii="Times" w:hAnsi="Times"/>
                <w:color w:val="000000"/>
                <w:sz w:val="27"/>
                <w:szCs w:val="27"/>
              </w:rPr>
            </w:pPr>
            <w:r w:rsidRPr="00BB0083">
              <w:rPr>
                <w:color w:val="000000"/>
                <w:u w:val="single"/>
              </w:rPr>
              <w:t>Be it enacted by the Council as follows:</w:t>
            </w:r>
          </w:p>
          <w:p w14:paraId="1E6313AF" w14:textId="77777777" w:rsidR="00BB0083" w:rsidRPr="00BB0083" w:rsidRDefault="00BB0083" w:rsidP="00BB0083">
            <w:pPr>
              <w:shd w:val="clear" w:color="auto" w:fill="FFFFFF"/>
              <w:ind w:firstLine="720"/>
              <w:jc w:val="both"/>
              <w:rPr>
                <w:rFonts w:ascii="Times" w:hAnsi="Times"/>
                <w:color w:val="000000"/>
                <w:sz w:val="27"/>
                <w:szCs w:val="27"/>
              </w:rPr>
            </w:pPr>
            <w:r w:rsidRPr="00BB0083">
              <w:rPr>
                <w:color w:val="000000"/>
              </w:rPr>
              <w:t> </w:t>
            </w:r>
          </w:p>
          <w:p w14:paraId="59F6DB64"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rPr>
              <w:t>Section 1. Chapter 8 of title 24 of the New York city administrative code of the city of New York is amended by adding a new section 24-807 to read as follows:</w:t>
            </w:r>
          </w:p>
          <w:p w14:paraId="6E4B7BB8"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 24-807 Climate change indicators.  a. Definitions. For the purposes of this section, the following terms have the following meanings:</w:t>
            </w:r>
          </w:p>
          <w:p w14:paraId="60D62D5D"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Climate change indicators.  The term “climate change indicators” means evidences of ecological system level adverse impacts from climate change.  Climate change indicators may include heat-related morbidity and mortality, or other adverse heat-related impacts, climate hazard-related mortalities, such as drowning, days per year where air quality exceeds the United States environmental protection agency thresholds for criteria pollutants, heating and cooling degree days per year, brownouts and blackouts, weather related transit outages, weather related communication outages, land inundated by coastal flooding and total economic losses from climate related events annually.</w:t>
            </w:r>
          </w:p>
          <w:p w14:paraId="13973BCE"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Climate indicator monitoring project.  The term “climate indicator monitoring project” means a monitoring project based upon the climate change indicators and metrics, and climate resiliency indicators and metrics that evaluate physical climate change variables, risk exposure, vulnerability impact metrics, and adaptation measures and their effectiveness. </w:t>
            </w:r>
          </w:p>
          <w:p w14:paraId="2BDDFA58"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Climate resiliency indicators.  The term “climate resiliency indicators” means evidence of an ecological system’s ability to absorb disturbances while retaining the same basic structures, functioning, capacity for self-organization and ability to adapt to stress and change; and be  designed to mitigate adverse climate change impacts. Climate resiliency indicators may include yearly changes in vegetation cover between February and June, the number of trees planted, the square footage of white and green roofs installed, surface temperature changes relative to white and green roof locations, households with residential air conditioning, the amount of square footage in the 100-year flood plain that is not flood-proofed, the number of residential units implementing core flood resiliency measures, the percentage of flood-affected areas containing adequate storm drainage, acres of restored coastal wetlands, miles of coastal defenses erected, population growth or decline in the 100-year floodplain, the percentage of transportation assets adapted for climate resiliency, and the annual percentage of total expenditures on resiliency activities.</w:t>
            </w:r>
          </w:p>
          <w:p w14:paraId="7DD9D7C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b. There shall be a climate resiliency indicator and monitoring working group whose members shall integrate data and data sources that are collected on climate change indicators and climate resiliency indicators and provide such data to the mayor’s office of long term planning and sustainability for use in the monitoring projects required by subdivisions c, d and e of this section, in addition to compiling and integrating such data collected from such monitoring projects. The working group shall be composed of 15 members as follows: the director of long-term planning and sustainability, the mayor or the mayor’s designee, the speaker of the council or the speaker’s designee, six additional members appointed by the mayor, and six additional members appointed by the speaker of the council. The chair of the working group shall be the director of long-term planning and sustainability. Members shall include, but not be limited to, climate scientists, hydrologists, geologists, meteorologists or other technical experts from governmental and non-governmental organizations currently collecting weather, climate and other data.</w:t>
            </w:r>
          </w:p>
          <w:p w14:paraId="29372CDB"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c. The mayor’s office of long-term planning and sustainability, or such office as the mayor may designate, shall develop at least two climate change indicator monitoring projects that seek to gather and measure climate change indicator data, including but not be limited to the consideration of any indicators recommended for monitoring by the climate resiliency indicator and monitor working group.</w:t>
            </w:r>
          </w:p>
          <w:p w14:paraId="44C09F4E"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d. One climate indicator monitoring project must gather data related to local social vulnerability components including but not limited to equity across heat vulnerability, social, race, ethnicity, language, morbidity or mortality, households without air conditioning, percentage of the population with disabilities, social vulnerability related to access to open space and social isolation in flood evacuation zones.</w:t>
            </w:r>
          </w:p>
          <w:p w14:paraId="2CAC53B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1. Number of heat advisories issued annually including heat related morbidity and excess mortality;</w:t>
            </w:r>
          </w:p>
          <w:p w14:paraId="6A139DC4"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2. Changes in surface and air temperature during July and August;</w:t>
            </w:r>
          </w:p>
          <w:p w14:paraId="0D985AB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3. Number of annual extreme precipitation events in excess of 95th percentile values;</w:t>
            </w:r>
          </w:p>
          <w:p w14:paraId="28DC271F"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4. Number of coastal flood advisories;</w:t>
            </w:r>
          </w:p>
          <w:p w14:paraId="20D59C8A"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5. Trends in mean sea level rise;</w:t>
            </w:r>
          </w:p>
          <w:p w14:paraId="3DE33087"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6. Trends in peak storm surges;</w:t>
            </w:r>
          </w:p>
          <w:p w14:paraId="4FC96F14"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7. Number of days per year of statistically significant sustained winds or gusts;</w:t>
            </w:r>
          </w:p>
          <w:p w14:paraId="7DB72967"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8. Number and duration of annual blackouts and brownouts; and</w:t>
            </w:r>
          </w:p>
          <w:p w14:paraId="76BC5E2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9. Total economic losses from climate related events.</w:t>
            </w:r>
          </w:p>
          <w:p w14:paraId="33743929"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e. One climate indicator monitoring project must create and gather data related to climate resiliency indicators and metrics. Climate resiliency indicators shall include but not be limited to:</w:t>
            </w:r>
          </w:p>
          <w:p w14:paraId="0CC1A8A6"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1. Changes or increases in vegetation cover including the number of trees planted annually;</w:t>
            </w:r>
          </w:p>
          <w:p w14:paraId="7C6F981B"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2. Changes or increases in the square footage of green and white roofs, houses with air conditioning;</w:t>
            </w:r>
          </w:p>
          <w:p w14:paraId="602B3FAA"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 3. Groups engaged in resiliency projects;</w:t>
            </w:r>
          </w:p>
          <w:p w14:paraId="76364056"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4. Square footage of space not flood proofed or elevated in the 100-year flood plain;</w:t>
            </w:r>
          </w:p>
          <w:p w14:paraId="1A4F0C7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5. Residential units in the 100-year flood plain implementing core flood resiliency measures;</w:t>
            </w:r>
          </w:p>
          <w:p w14:paraId="659D25C9"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6. Miles of dunes replenished and hard defenses;</w:t>
            </w:r>
          </w:p>
          <w:p w14:paraId="58BF8EF2"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7. Population growth or decline;</w:t>
            </w:r>
          </w:p>
          <w:p w14:paraId="47DBCE94"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8. Transportation assets adapted; and</w:t>
            </w:r>
          </w:p>
          <w:p w14:paraId="5690D67C"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9. Annual financial expenditures on resiliency activities.</w:t>
            </w:r>
          </w:p>
          <w:p w14:paraId="0D814145"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f. Where a climate indicator monitoring project has identified an urban climate change impact that is not monitored by existing monitoring projects, the office of long term planning and sustainability shall identify additional ways that climate change mitigation measures may be incorporated going forward and adopt an additional climate change or resiliency indicator to be included in such monitoring project.</w:t>
            </w:r>
          </w:p>
          <w:p w14:paraId="32B1AEF6" w14:textId="77777777" w:rsidR="00BB0083" w:rsidRPr="00BB0083" w:rsidRDefault="00BB0083" w:rsidP="00BB0083">
            <w:pPr>
              <w:shd w:val="clear" w:color="auto" w:fill="FFFFFF"/>
              <w:spacing w:line="480" w:lineRule="auto"/>
              <w:ind w:firstLine="720"/>
              <w:jc w:val="both"/>
              <w:rPr>
                <w:rFonts w:ascii="Times" w:hAnsi="Times"/>
                <w:color w:val="000000"/>
                <w:sz w:val="27"/>
                <w:szCs w:val="27"/>
              </w:rPr>
            </w:pPr>
            <w:r w:rsidRPr="00BB0083">
              <w:rPr>
                <w:color w:val="000000"/>
                <w:u w:val="single"/>
              </w:rPr>
              <w:t>g. No later than December 1, 2021, and biennially thereafter, the mayor’s office of long-term planning and sustainability, or such office as the mayor may designate, shall submit a report to the mayor and the speaker of the council, and post on the department’s website. Such report shall include the starting and supporting data of each climate indicator monitoring project, and recommendations for additional resiliency measures based upon resiliency indicators.</w:t>
            </w:r>
          </w:p>
          <w:p w14:paraId="6591E45D" w14:textId="77777777" w:rsidR="00BB0083" w:rsidRPr="00BB0083" w:rsidRDefault="00BB0083" w:rsidP="00BB0083">
            <w:pPr>
              <w:shd w:val="clear" w:color="auto" w:fill="FFFFFF"/>
              <w:jc w:val="both"/>
              <w:rPr>
                <w:rFonts w:ascii="Times" w:hAnsi="Times"/>
                <w:color w:val="000000"/>
                <w:sz w:val="27"/>
                <w:szCs w:val="27"/>
              </w:rPr>
            </w:pPr>
            <w:r w:rsidRPr="00BB0083">
              <w:rPr>
                <w:color w:val="000000"/>
              </w:rPr>
              <w:t>§ 2. This local law takes effect immediately.</w:t>
            </w:r>
          </w:p>
          <w:p w14:paraId="28F2AB30" w14:textId="77777777" w:rsidR="00BB0083" w:rsidRPr="00BB0083" w:rsidRDefault="00BB0083" w:rsidP="00BB0083">
            <w:pPr>
              <w:shd w:val="clear" w:color="auto" w:fill="FFFFFF"/>
              <w:jc w:val="both"/>
              <w:rPr>
                <w:rFonts w:ascii="Times" w:hAnsi="Times"/>
                <w:color w:val="000000"/>
                <w:sz w:val="27"/>
                <w:szCs w:val="27"/>
              </w:rPr>
            </w:pPr>
            <w:r w:rsidRPr="00BB0083">
              <w:rPr>
                <w:color w:val="000000"/>
                <w:sz w:val="18"/>
                <w:szCs w:val="18"/>
              </w:rPr>
              <w:t> </w:t>
            </w:r>
          </w:p>
          <w:p w14:paraId="009E1D65" w14:textId="77777777" w:rsidR="00BB0083" w:rsidRPr="00BB0083" w:rsidRDefault="00BB0083" w:rsidP="00BB0083">
            <w:pPr>
              <w:shd w:val="clear" w:color="auto" w:fill="FFFFFF"/>
              <w:jc w:val="both"/>
              <w:rPr>
                <w:rFonts w:ascii="Times" w:hAnsi="Times"/>
                <w:color w:val="000000"/>
                <w:sz w:val="27"/>
                <w:szCs w:val="27"/>
              </w:rPr>
            </w:pPr>
            <w:r w:rsidRPr="00BB0083">
              <w:rPr>
                <w:color w:val="000000"/>
                <w:sz w:val="18"/>
                <w:szCs w:val="18"/>
              </w:rPr>
              <w:t> </w:t>
            </w:r>
          </w:p>
          <w:p w14:paraId="4CDA4DB5" w14:textId="77777777" w:rsidR="00BB0083" w:rsidRPr="00BB0083" w:rsidRDefault="00BB0083" w:rsidP="00BB0083">
            <w:pPr>
              <w:shd w:val="clear" w:color="auto" w:fill="FFFFFF"/>
              <w:jc w:val="both"/>
              <w:rPr>
                <w:rFonts w:ascii="Times" w:hAnsi="Times"/>
                <w:color w:val="000000"/>
                <w:sz w:val="27"/>
                <w:szCs w:val="27"/>
              </w:rPr>
            </w:pPr>
            <w:r w:rsidRPr="00BB0083">
              <w:rPr>
                <w:color w:val="000000"/>
                <w:sz w:val="18"/>
                <w:szCs w:val="18"/>
              </w:rPr>
              <w:t>SS</w:t>
            </w:r>
          </w:p>
          <w:p w14:paraId="6DE4046D" w14:textId="77777777" w:rsidR="00BB0083" w:rsidRPr="00BB0083" w:rsidRDefault="00BB0083" w:rsidP="00BB0083">
            <w:pPr>
              <w:shd w:val="clear" w:color="auto" w:fill="FFFFFF"/>
              <w:jc w:val="both"/>
              <w:rPr>
                <w:rFonts w:ascii="Times" w:hAnsi="Times"/>
                <w:color w:val="000000"/>
                <w:sz w:val="27"/>
                <w:szCs w:val="27"/>
              </w:rPr>
            </w:pPr>
            <w:r w:rsidRPr="00BB0083">
              <w:rPr>
                <w:color w:val="000000"/>
                <w:sz w:val="18"/>
                <w:szCs w:val="18"/>
              </w:rPr>
              <w:t>LS# 10383</w:t>
            </w:r>
          </w:p>
          <w:p w14:paraId="5F8AAF93" w14:textId="77777777" w:rsidR="00BB0083" w:rsidRPr="00BB0083" w:rsidRDefault="00BB0083" w:rsidP="00BB0083">
            <w:pPr>
              <w:shd w:val="clear" w:color="auto" w:fill="FFFFFF"/>
              <w:spacing w:after="150"/>
              <w:rPr>
                <w:rFonts w:ascii="Times" w:hAnsi="Times"/>
                <w:color w:val="000000"/>
                <w:sz w:val="27"/>
                <w:szCs w:val="27"/>
              </w:rPr>
            </w:pPr>
            <w:r w:rsidRPr="00BB0083">
              <w:rPr>
                <w:color w:val="000000"/>
                <w:sz w:val="18"/>
                <w:szCs w:val="18"/>
              </w:rPr>
              <w:t>10/30/2020 &amp; 13440</w:t>
            </w:r>
          </w:p>
        </w:tc>
      </w:tr>
      <w:tr w:rsidR="00A10C5A" w:rsidRPr="00A10C5A" w14:paraId="3373032C" w14:textId="77777777" w:rsidTr="00A10C5A">
        <w:trPr>
          <w:tblCellSpacing w:w="0" w:type="dxa"/>
        </w:trPr>
        <w:tc>
          <w:tcPr>
            <w:tcW w:w="0" w:type="auto"/>
            <w:shd w:val="clear" w:color="auto" w:fill="FFFFFF"/>
            <w:vAlign w:val="center"/>
            <w:hideMark/>
          </w:tcPr>
          <w:p w14:paraId="56D42A34" w14:textId="77777777" w:rsidR="004047E4" w:rsidRDefault="004047E4" w:rsidP="00A10C5A">
            <w:pPr>
              <w:shd w:val="clear" w:color="auto" w:fill="FFFFFF"/>
              <w:jc w:val="center"/>
              <w:rPr>
                <w:color w:val="000000"/>
              </w:rPr>
            </w:pPr>
          </w:p>
          <w:p w14:paraId="41693AC0" w14:textId="3A57D6B1" w:rsidR="00A10C5A" w:rsidRPr="00A10C5A" w:rsidRDefault="00A10C5A" w:rsidP="00A10C5A">
            <w:pPr>
              <w:shd w:val="clear" w:color="auto" w:fill="FFFFFF"/>
              <w:jc w:val="center"/>
              <w:rPr>
                <w:rFonts w:ascii="Times" w:hAnsi="Times"/>
                <w:color w:val="000000"/>
                <w:sz w:val="27"/>
                <w:szCs w:val="27"/>
              </w:rPr>
            </w:pPr>
            <w:r w:rsidRPr="00A10C5A">
              <w:rPr>
                <w:color w:val="000000"/>
              </w:rPr>
              <w:t>Res. No. 1469</w:t>
            </w:r>
          </w:p>
          <w:p w14:paraId="7CFFA2E6"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 </w:t>
            </w:r>
          </w:p>
          <w:p w14:paraId="761958DF"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Resolution calling on nations around the world to implement, the United States Senate to approve, and the president to ratify a fossil fuel non-proliferation treaty.</w:t>
            </w:r>
          </w:p>
          <w:p w14:paraId="45736503"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 </w:t>
            </w:r>
          </w:p>
          <w:p w14:paraId="76F7039F"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By Council Members Constantinides and Kallos</w:t>
            </w:r>
          </w:p>
          <w:p w14:paraId="7D52DB4D"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 </w:t>
            </w:r>
          </w:p>
          <w:p w14:paraId="6EB41294"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The usage of fossil fuels has driven climate warming to catastrophic levels and has created a cascade of consequences, such as droughts, fires, and severe storms across our country, according to the Union of Concerned Scientists; and</w:t>
            </w:r>
          </w:p>
          <w:p w14:paraId="0D39B07B"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According to the New York State Department of Environmental Conservation, “climate change is already happening” with New York's coast having already risen more than a foot since 1900; and</w:t>
            </w:r>
          </w:p>
          <w:p w14:paraId="793403C5"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In 2019, New York City Mayor Bill de Blasio announced "Every day we wait is a day our planet gets closer to the point of no-return,” highlighting the growing challenges that stem from the current climate crisis; and</w:t>
            </w:r>
          </w:p>
          <w:p w14:paraId="5B819965"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The Thomson Reuters Foundation has predicted more than 3,000 New Yorkers could die each year from intense heat due to climate change in the future; and</w:t>
            </w:r>
          </w:p>
          <w:p w14:paraId="15E6A936"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The main cause of the climate crisis is the usage of fossil fuels such as coal, oil and gas, which are responsible for almost 80 percent of all carbon dioxide emissions, according to the United States Energy Information Administration; and</w:t>
            </w:r>
          </w:p>
          <w:p w14:paraId="4CF63736"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 xml:space="preserve">Whereas, The United Nations Environment </w:t>
            </w:r>
            <w:proofErr w:type="spellStart"/>
            <w:r w:rsidRPr="00A10C5A">
              <w:rPr>
                <w:color w:val="000000"/>
              </w:rPr>
              <w:t>Programme’s</w:t>
            </w:r>
            <w:proofErr w:type="spellEnd"/>
            <w:r w:rsidRPr="00A10C5A">
              <w:rPr>
                <w:color w:val="000000"/>
              </w:rPr>
              <w:t xml:space="preserve"> 2019 Emissions Gap Report highlighted figures from industrial plans to produce nearly 50 percent more fossil fuels by 2030, widening the gap between fossil fuel production and climate safety protocols; and</w:t>
            </w:r>
          </w:p>
          <w:p w14:paraId="1CB0EE1B"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In 2020, experts from around the world gathered for NYC Climate Week, the world’s largest climate conference, to continue global discussions on the need for establishing a “fossil fuel nonproliferation treaty” framework that could compel governments to achieve the 2015 Paris Agreement by targeting the fossil fuel industry; and</w:t>
            </w:r>
          </w:p>
          <w:p w14:paraId="4AAB5355"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Climate policymakers, legal scholars, and social movement professionals have launched the Fossil Fuel Non-Proliferation Treaty Initiative, a campaign to prevent the proliferation of fossil fuels by getting nations around the globe to commit to phasing-out existing stockpiles of fossil fuels and fast-tracking a peaceful transition to safer energy alternatives; and</w:t>
            </w:r>
          </w:p>
          <w:p w14:paraId="29A8AF55"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Drawing on the same rubric that has successfully led to the decreased production of nuclear weapons around the world, the Fossil Fuel Non-Proliferation Treaty Initiative aims to stop the exploration of fossil fuel projects and steadily manage the decline of existing production in line with what is necessary to attain the goals of the Paris Agreement; and</w:t>
            </w:r>
          </w:p>
          <w:p w14:paraId="475B2659"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Whereas, As advocates continue to challenge fossil fuel producers across the globe, a treaty can bring together these diverse efforts into a powerful plan that will protect our planet’s population from the direct threats stemming from our existential climate crisis; now, therefore, be it</w:t>
            </w:r>
          </w:p>
          <w:p w14:paraId="0EDAEF57" w14:textId="77777777" w:rsidR="00A10C5A" w:rsidRPr="00A10C5A" w:rsidRDefault="00A10C5A" w:rsidP="00A10C5A">
            <w:pPr>
              <w:shd w:val="clear" w:color="auto" w:fill="FFFFFF"/>
              <w:spacing w:line="480" w:lineRule="auto"/>
              <w:ind w:firstLine="720"/>
              <w:jc w:val="both"/>
              <w:rPr>
                <w:rFonts w:ascii="Times" w:hAnsi="Times"/>
                <w:color w:val="000000"/>
                <w:sz w:val="27"/>
                <w:szCs w:val="27"/>
              </w:rPr>
            </w:pPr>
            <w:r w:rsidRPr="00A10C5A">
              <w:rPr>
                <w:color w:val="000000"/>
              </w:rPr>
              <w:t>Resolved, That the Council of the City of New York calls on nations around the world to implement, the United States Senate to approve, and the president to ratify a fossil fuel non-proliferation treaty.</w:t>
            </w:r>
          </w:p>
          <w:p w14:paraId="001C8944"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 </w:t>
            </w:r>
          </w:p>
          <w:p w14:paraId="61CAB311" w14:textId="77777777" w:rsidR="00A10C5A" w:rsidRPr="00A10C5A" w:rsidRDefault="00A10C5A" w:rsidP="00A10C5A">
            <w:pPr>
              <w:shd w:val="clear" w:color="auto" w:fill="FFFFFF"/>
              <w:jc w:val="both"/>
              <w:rPr>
                <w:rFonts w:ascii="Times" w:hAnsi="Times"/>
                <w:color w:val="000000"/>
                <w:sz w:val="27"/>
                <w:szCs w:val="27"/>
              </w:rPr>
            </w:pPr>
            <w:r w:rsidRPr="00A10C5A">
              <w:rPr>
                <w:color w:val="000000"/>
              </w:rPr>
              <w:t> </w:t>
            </w:r>
          </w:p>
          <w:p w14:paraId="38448A50" w14:textId="77777777" w:rsidR="00A10C5A" w:rsidRPr="00A10C5A" w:rsidRDefault="00A10C5A" w:rsidP="00A10C5A">
            <w:pPr>
              <w:shd w:val="clear" w:color="auto" w:fill="FFFFFF"/>
              <w:jc w:val="both"/>
              <w:rPr>
                <w:rFonts w:ascii="Times" w:hAnsi="Times"/>
                <w:color w:val="000000"/>
                <w:sz w:val="27"/>
                <w:szCs w:val="27"/>
              </w:rPr>
            </w:pPr>
            <w:r w:rsidRPr="00A10C5A">
              <w:rPr>
                <w:color w:val="000000"/>
                <w:sz w:val="18"/>
                <w:szCs w:val="18"/>
              </w:rPr>
              <w:t>LS #16269</w:t>
            </w:r>
          </w:p>
          <w:p w14:paraId="387AFFF2" w14:textId="77777777" w:rsidR="00A10C5A" w:rsidRPr="00A10C5A" w:rsidRDefault="00A10C5A" w:rsidP="00A10C5A">
            <w:pPr>
              <w:shd w:val="clear" w:color="auto" w:fill="FFFFFF"/>
              <w:rPr>
                <w:rFonts w:ascii="Times" w:hAnsi="Times"/>
                <w:color w:val="000000"/>
                <w:sz w:val="27"/>
                <w:szCs w:val="27"/>
              </w:rPr>
            </w:pPr>
            <w:r w:rsidRPr="00A10C5A">
              <w:rPr>
                <w:color w:val="000000"/>
                <w:sz w:val="18"/>
                <w:szCs w:val="18"/>
              </w:rPr>
              <w:t>10/19/2020</w:t>
            </w:r>
          </w:p>
          <w:p w14:paraId="61B9BB6E" w14:textId="77777777" w:rsidR="00A10C5A" w:rsidRPr="00A10C5A" w:rsidRDefault="00A10C5A" w:rsidP="00A10C5A">
            <w:pPr>
              <w:shd w:val="clear" w:color="auto" w:fill="FFFFFF"/>
              <w:jc w:val="both"/>
              <w:rPr>
                <w:rFonts w:ascii="Times" w:hAnsi="Times"/>
                <w:color w:val="000000"/>
                <w:sz w:val="27"/>
                <w:szCs w:val="27"/>
              </w:rPr>
            </w:pPr>
            <w:r w:rsidRPr="00A10C5A">
              <w:rPr>
                <w:color w:val="000000"/>
                <w:sz w:val="18"/>
                <w:szCs w:val="18"/>
              </w:rPr>
              <w:t>AH</w:t>
            </w:r>
          </w:p>
          <w:p w14:paraId="2D5866F8" w14:textId="77777777" w:rsidR="00A10C5A" w:rsidRPr="00A10C5A" w:rsidRDefault="00A10C5A" w:rsidP="00A10C5A">
            <w:pPr>
              <w:shd w:val="clear" w:color="auto" w:fill="FFFFFF"/>
              <w:jc w:val="both"/>
              <w:rPr>
                <w:rFonts w:ascii="Times" w:hAnsi="Times"/>
                <w:color w:val="000000"/>
                <w:sz w:val="27"/>
                <w:szCs w:val="27"/>
              </w:rPr>
            </w:pPr>
            <w:r w:rsidRPr="00A10C5A">
              <w:rPr>
                <w:color w:val="000000"/>
                <w:sz w:val="18"/>
                <w:szCs w:val="18"/>
              </w:rPr>
              <w:t> </w:t>
            </w:r>
          </w:p>
        </w:tc>
      </w:tr>
    </w:tbl>
    <w:p w14:paraId="5E4D88F9" w14:textId="77777777" w:rsidR="00A10C5A" w:rsidRPr="00A10C5A" w:rsidRDefault="00A10C5A" w:rsidP="00A10C5A">
      <w:r w:rsidRPr="00A10C5A">
        <w:rPr>
          <w:rFonts w:ascii="Times" w:hAnsi="Times"/>
          <w:color w:val="000000"/>
          <w:sz w:val="27"/>
          <w:szCs w:val="27"/>
        </w:rPr>
        <w:br/>
      </w:r>
    </w:p>
    <w:p w14:paraId="1D7A71F9" w14:textId="77777777" w:rsidR="00BB0083" w:rsidRPr="00BB0083" w:rsidRDefault="00BB0083" w:rsidP="00BB0083">
      <w:r w:rsidRPr="00BB0083">
        <w:rPr>
          <w:rFonts w:ascii="Times" w:hAnsi="Times"/>
          <w:color w:val="000000"/>
          <w:sz w:val="27"/>
          <w:szCs w:val="27"/>
        </w:rPr>
        <w:br/>
      </w:r>
    </w:p>
    <w:p w14:paraId="4642ECE9" w14:textId="77777777" w:rsidR="005F1393" w:rsidRPr="005F1393" w:rsidRDefault="005F1393" w:rsidP="005F1393">
      <w:r w:rsidRPr="005F1393">
        <w:rPr>
          <w:rFonts w:ascii="Times" w:hAnsi="Times"/>
          <w:color w:val="000000"/>
          <w:sz w:val="27"/>
          <w:szCs w:val="27"/>
        </w:rPr>
        <w:br/>
      </w:r>
    </w:p>
    <w:p w14:paraId="4E11CEA6" w14:textId="77777777" w:rsidR="00A10C5A" w:rsidRDefault="00A10C5A" w:rsidP="008F6C52"/>
    <w:sectPr w:rsidR="00A10C5A">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2F705" w14:textId="77777777" w:rsidR="00503B04" w:rsidRDefault="00503B04" w:rsidP="008C3C23">
      <w:r>
        <w:separator/>
      </w:r>
    </w:p>
  </w:endnote>
  <w:endnote w:type="continuationSeparator" w:id="0">
    <w:p w14:paraId="509CC641" w14:textId="77777777" w:rsidR="00503B04" w:rsidRDefault="00503B04" w:rsidP="008C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altName w:val="﷽﷽﷽﷽﷽﷽ᜩ謞ኀ"/>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A20CD" w14:textId="01FA4F74" w:rsidR="00D327D4" w:rsidRDefault="00D327D4">
    <w:pPr>
      <w:pStyle w:val="Footer"/>
      <w:jc w:val="center"/>
    </w:pPr>
    <w:r>
      <w:fldChar w:fldCharType="begin"/>
    </w:r>
    <w:r>
      <w:instrText xml:space="preserve"> PAGE   \* MERGEFORMAT </w:instrText>
    </w:r>
    <w:r>
      <w:fldChar w:fldCharType="separate"/>
    </w:r>
    <w:r w:rsidR="006664C6">
      <w:rPr>
        <w:noProof/>
      </w:rPr>
      <w:t>8</w:t>
    </w:r>
    <w:r>
      <w:rPr>
        <w:noProof/>
      </w:rPr>
      <w:fldChar w:fldCharType="end"/>
    </w:r>
  </w:p>
  <w:p w14:paraId="153933D0" w14:textId="77777777" w:rsidR="00D327D4" w:rsidRDefault="00D327D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2637F" w14:textId="06E2117E" w:rsidR="00D327D4" w:rsidRDefault="00D327D4">
    <w:pPr>
      <w:pStyle w:val="Footer"/>
      <w:jc w:val="center"/>
    </w:pPr>
    <w:r>
      <w:fldChar w:fldCharType="begin"/>
    </w:r>
    <w:r>
      <w:instrText xml:space="preserve"> PAGE   \* MERGEFORMAT </w:instrText>
    </w:r>
    <w:r>
      <w:fldChar w:fldCharType="separate"/>
    </w:r>
    <w:r w:rsidR="006664C6">
      <w:rPr>
        <w:noProof/>
      </w:rPr>
      <w:t>1</w:t>
    </w:r>
    <w:r>
      <w:rPr>
        <w:noProof/>
      </w:rPr>
      <w:fldChar w:fldCharType="end"/>
    </w:r>
  </w:p>
  <w:p w14:paraId="697FFB37" w14:textId="77777777" w:rsidR="00D327D4" w:rsidRDefault="00D32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309434"/>
      <w:docPartObj>
        <w:docPartGallery w:val="Page Numbers (Bottom of Page)"/>
        <w:docPartUnique/>
      </w:docPartObj>
    </w:sdtPr>
    <w:sdtEndPr>
      <w:rPr>
        <w:noProof/>
      </w:rPr>
    </w:sdtEndPr>
    <w:sdtContent>
      <w:p w14:paraId="6A11E912" w14:textId="4F1E1475" w:rsidR="00D327D4" w:rsidRDefault="00D327D4">
        <w:pPr>
          <w:pStyle w:val="Footer"/>
          <w:jc w:val="center"/>
        </w:pPr>
        <w:r>
          <w:fldChar w:fldCharType="begin"/>
        </w:r>
        <w:r>
          <w:instrText xml:space="preserve"> PAGE   \* MERGEFORMAT </w:instrText>
        </w:r>
        <w:r>
          <w:fldChar w:fldCharType="separate"/>
        </w:r>
        <w:r w:rsidR="006664C6">
          <w:rPr>
            <w:noProof/>
          </w:rPr>
          <w:t>14</w:t>
        </w:r>
        <w:r>
          <w:rPr>
            <w:noProof/>
          </w:rPr>
          <w:fldChar w:fldCharType="end"/>
        </w:r>
      </w:p>
    </w:sdtContent>
  </w:sdt>
  <w:p w14:paraId="4C273C51" w14:textId="77777777" w:rsidR="00D327D4" w:rsidRDefault="00D327D4">
    <w:pPr>
      <w:pStyle w:val="Footer"/>
    </w:pPr>
  </w:p>
  <w:p w14:paraId="1841D508" w14:textId="77777777" w:rsidR="00D327D4" w:rsidRDefault="00D327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D5749" w14:textId="77777777" w:rsidR="00503B04" w:rsidRDefault="00503B04" w:rsidP="008C3C23">
      <w:r>
        <w:separator/>
      </w:r>
    </w:p>
  </w:footnote>
  <w:footnote w:type="continuationSeparator" w:id="0">
    <w:p w14:paraId="14B18A3B" w14:textId="77777777" w:rsidR="00503B04" w:rsidRDefault="00503B04" w:rsidP="008C3C23">
      <w:r>
        <w:continuationSeparator/>
      </w:r>
    </w:p>
  </w:footnote>
  <w:footnote w:id="1">
    <w:p w14:paraId="40D665BD" w14:textId="5223D5A3" w:rsidR="00527B67" w:rsidRPr="00C17B26" w:rsidRDefault="00527B67" w:rsidP="00527B67">
      <w:pPr>
        <w:pStyle w:val="FootnoteText"/>
      </w:pPr>
      <w:r>
        <w:rPr>
          <w:rStyle w:val="FootnoteReference"/>
        </w:rPr>
        <w:footnoteRef/>
      </w:r>
      <w:r>
        <w:t xml:space="preserve"> International Panel on Climate Change. Special Report on Global Warming of 1.5 C. </w:t>
      </w:r>
      <w:hyperlink r:id="rId1" w:history="1">
        <w:r w:rsidRPr="00C80181">
          <w:rPr>
            <w:rStyle w:val="Hyperlink"/>
          </w:rPr>
          <w:t>https://www.ipcc.ch/2018/10/08/summary-for-policymakers-of-ipcc-special-report-on-global-warming-of-1-5c-approved-by-governments/</w:t>
        </w:r>
      </w:hyperlink>
      <w:r w:rsidR="00C17B26">
        <w:rPr>
          <w:rStyle w:val="Hyperlink"/>
        </w:rPr>
        <w:t xml:space="preserve"> </w:t>
      </w:r>
      <w:r w:rsidR="00C17B26">
        <w:rPr>
          <w:rStyle w:val="Hyperlink"/>
          <w:u w:val="none"/>
        </w:rPr>
        <w:t xml:space="preserve"> </w:t>
      </w:r>
      <w:r w:rsidR="00C17B26" w:rsidRPr="00C17B26">
        <w:rPr>
          <w:rStyle w:val="Hyperlink"/>
          <w:color w:val="auto"/>
          <w:u w:val="none"/>
        </w:rPr>
        <w:t>(last accessed 12/9/20)</w:t>
      </w:r>
    </w:p>
  </w:footnote>
  <w:footnote w:id="2">
    <w:p w14:paraId="7C09CA8A" w14:textId="05D52FFA" w:rsidR="00527B67" w:rsidRDefault="00527B67" w:rsidP="00527B67">
      <w:pPr>
        <w:pStyle w:val="FootnoteText"/>
      </w:pPr>
      <w:r>
        <w:rPr>
          <w:rStyle w:val="FootnoteReference"/>
        </w:rPr>
        <w:footnoteRef/>
      </w:r>
      <w:r>
        <w:t xml:space="preserve"> </w:t>
      </w:r>
      <w:proofErr w:type="spellStart"/>
      <w:r>
        <w:t>Reidmiller</w:t>
      </w:r>
      <w:proofErr w:type="spellEnd"/>
      <w:r>
        <w:t xml:space="preserve"> et al. United States Global Change Research Program, 2018. </w:t>
      </w:r>
      <w:r w:rsidRPr="003B1D49">
        <w:t>Impacts, Risks, and Adaptation in the United States: Fourth National Climate Assessment, Volume II</w:t>
      </w:r>
      <w:r>
        <w:t xml:space="preserve">. </w:t>
      </w:r>
      <w:hyperlink r:id="rId2" w:history="1">
        <w:r w:rsidRPr="00202A82">
          <w:rPr>
            <w:rStyle w:val="Hyperlink"/>
          </w:rPr>
          <w:t>https://nca2018.globalchange.gov/</w:t>
        </w:r>
      </w:hyperlink>
      <w:r>
        <w:t xml:space="preserve"> (last accessed </w:t>
      </w:r>
      <w:r w:rsidR="00C17B26">
        <w:t>12/9/</w:t>
      </w:r>
      <w:r>
        <w:t>20)</w:t>
      </w:r>
    </w:p>
  </w:footnote>
  <w:footnote w:id="3">
    <w:p w14:paraId="568721CF" w14:textId="47D76AE6" w:rsidR="002D2B29" w:rsidRDefault="002D2B29">
      <w:pPr>
        <w:pStyle w:val="FootnoteText"/>
      </w:pPr>
      <w:r>
        <w:rPr>
          <w:rStyle w:val="FootnoteReference"/>
        </w:rPr>
        <w:footnoteRef/>
      </w:r>
      <w:r>
        <w:t xml:space="preserve"> Global Climate Observing System. About GCOS. </w:t>
      </w:r>
      <w:hyperlink r:id="rId3" w:history="1">
        <w:r w:rsidRPr="00DC74BE">
          <w:rPr>
            <w:rStyle w:val="Hyperlink"/>
          </w:rPr>
          <w:t>https://gcos.wmo.int/en/about/gcos-story</w:t>
        </w:r>
      </w:hyperlink>
      <w:r>
        <w:t xml:space="preserve"> (last accessed 12/9/20)</w:t>
      </w:r>
    </w:p>
  </w:footnote>
  <w:footnote w:id="4">
    <w:p w14:paraId="49D316F9" w14:textId="2FE062F0" w:rsidR="002D2B29" w:rsidRDefault="002D2B29">
      <w:pPr>
        <w:pStyle w:val="FootnoteText"/>
      </w:pPr>
      <w:r>
        <w:rPr>
          <w:rStyle w:val="FootnoteReference"/>
        </w:rPr>
        <w:footnoteRef/>
      </w:r>
      <w:r>
        <w:t xml:space="preserve"> Global Climate Observing System. Indicators. </w:t>
      </w:r>
      <w:hyperlink r:id="rId4" w:history="1">
        <w:r w:rsidRPr="00DC74BE">
          <w:rPr>
            <w:rStyle w:val="Hyperlink"/>
          </w:rPr>
          <w:t>https://gcos.wmo.int/en/global-climate-indicators</w:t>
        </w:r>
      </w:hyperlink>
      <w:r>
        <w:t xml:space="preserve"> (last accessed 12/9/20)</w:t>
      </w:r>
    </w:p>
  </w:footnote>
  <w:footnote w:id="5">
    <w:p w14:paraId="599A332F" w14:textId="5A4793E8" w:rsidR="00341297" w:rsidRDefault="00341297">
      <w:pPr>
        <w:pStyle w:val="FootnoteText"/>
      </w:pPr>
      <w:r>
        <w:rPr>
          <w:rStyle w:val="FootnoteReference"/>
        </w:rPr>
        <w:footnoteRef/>
      </w:r>
      <w:r>
        <w:t xml:space="preserve"> Id. </w:t>
      </w:r>
    </w:p>
  </w:footnote>
  <w:footnote w:id="6">
    <w:p w14:paraId="6C2282C6" w14:textId="4049A75F" w:rsidR="00AE67E7" w:rsidRDefault="00AE67E7">
      <w:pPr>
        <w:pStyle w:val="FootnoteText"/>
      </w:pPr>
      <w:r>
        <w:rPr>
          <w:rStyle w:val="FootnoteReference"/>
        </w:rPr>
        <w:footnoteRef/>
      </w:r>
      <w:r>
        <w:t xml:space="preserve"> United States Environmental Protection Agency. Climate Change Indicators in the United States. </w:t>
      </w:r>
      <w:hyperlink r:id="rId5" w:history="1">
        <w:r w:rsidRPr="00DC74BE">
          <w:rPr>
            <w:rStyle w:val="Hyperlink"/>
          </w:rPr>
          <w:t>https://www.epa.gov/sites/production/files/2016-11/documents/climate-indicators-2016-fact-sheet.pdf</w:t>
        </w:r>
      </w:hyperlink>
      <w:r>
        <w:t xml:space="preserve"> (last accessed 12/10/20)</w:t>
      </w:r>
    </w:p>
  </w:footnote>
  <w:footnote w:id="7">
    <w:p w14:paraId="292FEC2A" w14:textId="69C91D31" w:rsidR="002A4F31" w:rsidRDefault="002A4F31">
      <w:pPr>
        <w:pStyle w:val="FootnoteText"/>
      </w:pPr>
      <w:r>
        <w:rPr>
          <w:rStyle w:val="FootnoteReference"/>
        </w:rPr>
        <w:footnoteRef/>
      </w:r>
      <w:r>
        <w:t xml:space="preserve"> Id. </w:t>
      </w:r>
    </w:p>
  </w:footnote>
  <w:footnote w:id="8">
    <w:p w14:paraId="5B0C29CC" w14:textId="017EB81A" w:rsidR="00086BC8" w:rsidRDefault="00086BC8">
      <w:pPr>
        <w:pStyle w:val="FootnoteText"/>
      </w:pPr>
      <w:r>
        <w:rPr>
          <w:rStyle w:val="FootnoteReference"/>
        </w:rPr>
        <w:footnoteRef/>
      </w:r>
      <w:r>
        <w:t xml:space="preserve"> United States Environmental Protection Agency. Climate Change Indicators in the United States 2016 Report. </w:t>
      </w:r>
      <w:hyperlink r:id="rId6" w:history="1">
        <w:r w:rsidRPr="00DC74BE">
          <w:rPr>
            <w:rStyle w:val="Hyperlink"/>
          </w:rPr>
          <w:t>https://www.epa.gov/sites/production/files/2016-08/documents/climate_indicators_2016.pdf</w:t>
        </w:r>
      </w:hyperlink>
      <w:r>
        <w:t xml:space="preserve"> (last accessed 12/10/20)</w:t>
      </w:r>
    </w:p>
  </w:footnote>
  <w:footnote w:id="9">
    <w:p w14:paraId="35C8DB1C" w14:textId="4FD6A0B1" w:rsidR="00B371AF" w:rsidRPr="00B371AF" w:rsidRDefault="00B371AF">
      <w:pPr>
        <w:pStyle w:val="FootnoteText"/>
      </w:pPr>
      <w:r>
        <w:rPr>
          <w:rStyle w:val="FootnoteReference"/>
        </w:rPr>
        <w:footnoteRef/>
      </w:r>
      <w:r>
        <w:t xml:space="preserve"> The Mauna Loa Observatory in Hawaii has compiled daily atmospheric CO</w:t>
      </w:r>
      <w:r>
        <w:rPr>
          <w:vertAlign w:val="subscript"/>
        </w:rPr>
        <w:t xml:space="preserve">2 </w:t>
      </w:r>
      <w:r>
        <w:t xml:space="preserve">data since March, 1958. </w:t>
      </w:r>
      <w:hyperlink r:id="rId7" w:history="1">
        <w:r w:rsidRPr="007B1C1D">
          <w:rPr>
            <w:rStyle w:val="Hyperlink"/>
          </w:rPr>
          <w:t>https://www.esrl.noaa.gov/gmd/ccgg/trends/</w:t>
        </w:r>
      </w:hyperlink>
      <w:r>
        <w:t xml:space="preserve"> (last accessed 12/14/20)</w:t>
      </w:r>
    </w:p>
  </w:footnote>
  <w:footnote w:id="10">
    <w:p w14:paraId="096706D7" w14:textId="56ED0E6D" w:rsidR="00414DE0" w:rsidRDefault="00414DE0" w:rsidP="00414DE0">
      <w:pPr>
        <w:pStyle w:val="FootnoteText"/>
      </w:pPr>
      <w:r>
        <w:rPr>
          <w:rStyle w:val="FootnoteReference"/>
        </w:rPr>
        <w:footnoteRef/>
      </w:r>
      <w:r>
        <w:t xml:space="preserve"> Patrick Galey. </w:t>
      </w:r>
      <w:r w:rsidRPr="004F43C8">
        <w:t>415.26 parts per million: CO2 levels hit historic high</w:t>
      </w:r>
      <w:r>
        <w:t xml:space="preserve">. Phys.Org. </w:t>
      </w:r>
      <w:hyperlink r:id="rId8" w:history="1">
        <w:r w:rsidRPr="007C2545">
          <w:rPr>
            <w:rStyle w:val="Hyperlink"/>
          </w:rPr>
          <w:t>https://phys.org/news/2019-05-million-co2-historic-high.html</w:t>
        </w:r>
      </w:hyperlink>
      <w:r>
        <w:t xml:space="preserve"> (last accessed </w:t>
      </w:r>
      <w:r w:rsidR="002F6148">
        <w:t>12/10/20</w:t>
      </w:r>
      <w:r>
        <w:t>)</w:t>
      </w:r>
    </w:p>
  </w:footnote>
  <w:footnote w:id="11">
    <w:p w14:paraId="507E2738" w14:textId="5433F356" w:rsidR="00414DE0" w:rsidRDefault="00414DE0" w:rsidP="00414DE0">
      <w:pPr>
        <w:pStyle w:val="FootnoteText"/>
      </w:pPr>
      <w:r>
        <w:rPr>
          <w:rStyle w:val="FootnoteReference"/>
        </w:rPr>
        <w:footnoteRef/>
      </w:r>
      <w:r>
        <w:t xml:space="preserve"> </w:t>
      </w:r>
      <w:r w:rsidRPr="00E6237F">
        <w:t>National Aeronautics and Space Administration</w:t>
      </w:r>
      <w:r>
        <w:t xml:space="preserve">. Global Climate Change. Graphic: The Relentless Rise of Carbon Dioxide. </w:t>
      </w:r>
      <w:hyperlink r:id="rId9" w:history="1">
        <w:r w:rsidR="002F6148" w:rsidRPr="00DC74BE">
          <w:rPr>
            <w:rStyle w:val="Hyperlink"/>
          </w:rPr>
          <w:t>https://climate.nasa.gov/climate_resources/24/graphic-the-relentless-rise-of-carbon-dioxide/</w:t>
        </w:r>
      </w:hyperlink>
      <w:r w:rsidR="002F6148">
        <w:t xml:space="preserve"> </w:t>
      </w:r>
      <w:r>
        <w:t xml:space="preserve"> (last accessed, </w:t>
      </w:r>
      <w:r w:rsidR="002F6148">
        <w:t>12</w:t>
      </w:r>
      <w:r>
        <w:t>/10/20)</w:t>
      </w:r>
    </w:p>
  </w:footnote>
  <w:footnote w:id="12">
    <w:p w14:paraId="12B36344" w14:textId="6683EA6A" w:rsidR="00414DE0" w:rsidRDefault="00414DE0" w:rsidP="00414DE0">
      <w:pPr>
        <w:pStyle w:val="FootnoteText"/>
      </w:pPr>
      <w:r>
        <w:rPr>
          <w:rStyle w:val="FootnoteReference"/>
        </w:rPr>
        <w:footnoteRef/>
      </w:r>
      <w:r>
        <w:t xml:space="preserve"> Owen Gaffney and Will Steffen. The Anthropocene equation. The Anthropocene Review. 2017, volume 4. </w:t>
      </w:r>
      <w:hyperlink r:id="rId10" w:history="1">
        <w:r w:rsidRPr="007C2545">
          <w:rPr>
            <w:rStyle w:val="Hyperlink"/>
          </w:rPr>
          <w:t>https://journals.sagepub.com/doi/pdf/10.1177/2053019616688022</w:t>
        </w:r>
      </w:hyperlink>
      <w:r>
        <w:t xml:space="preserve"> (Last accessed </w:t>
      </w:r>
      <w:r w:rsidR="002F6148">
        <w:t>12/10/20</w:t>
      </w:r>
      <w:r>
        <w:t>)</w:t>
      </w:r>
    </w:p>
  </w:footnote>
  <w:footnote w:id="13">
    <w:p w14:paraId="06F3EBF7" w14:textId="77777777" w:rsidR="00414DE0" w:rsidRDefault="00414DE0" w:rsidP="00414DE0">
      <w:pPr>
        <w:pStyle w:val="FootnoteText"/>
      </w:pPr>
      <w:r>
        <w:rPr>
          <w:rStyle w:val="FootnoteReference"/>
        </w:rPr>
        <w:footnoteRef/>
      </w:r>
      <w:r>
        <w:t xml:space="preserve"> Jay, A., D.R. </w:t>
      </w:r>
      <w:proofErr w:type="spellStart"/>
      <w:r>
        <w:t>Reidmiller</w:t>
      </w:r>
      <w:proofErr w:type="spellEnd"/>
      <w:r>
        <w:t xml:space="preserve">, et al. </w:t>
      </w:r>
      <w:r w:rsidRPr="005854F3">
        <w:t xml:space="preserve">2018: Overview. In Impacts, Risks, and Adaptation in the United States: Fourth National Climate Assessment, Volume </w:t>
      </w:r>
      <w:r>
        <w:t xml:space="preserve">IIII </w:t>
      </w:r>
      <w:r w:rsidRPr="005854F3">
        <w:t>U.S. Global Change Research Program, Washington, DC, USA, pp. 33–71</w:t>
      </w:r>
    </w:p>
  </w:footnote>
  <w:footnote w:id="14">
    <w:p w14:paraId="56B0286A" w14:textId="77777777" w:rsidR="00414DE0" w:rsidRDefault="00414DE0" w:rsidP="00414DE0">
      <w:pPr>
        <w:pStyle w:val="FootnoteText"/>
      </w:pPr>
      <w:r>
        <w:rPr>
          <w:rStyle w:val="FootnoteReference"/>
        </w:rPr>
        <w:footnoteRef/>
      </w:r>
      <w:r>
        <w:t xml:space="preserve"> Id. </w:t>
      </w:r>
    </w:p>
  </w:footnote>
  <w:footnote w:id="15">
    <w:p w14:paraId="3F0B4180" w14:textId="77741876" w:rsidR="00414DE0" w:rsidRDefault="00414DE0" w:rsidP="00414DE0">
      <w:pPr>
        <w:pStyle w:val="FootnoteText"/>
      </w:pPr>
      <w:r>
        <w:rPr>
          <w:rStyle w:val="FootnoteReference"/>
        </w:rPr>
        <w:footnoteRef/>
      </w:r>
      <w:r>
        <w:t xml:space="preserve"> Elizaveta P. </w:t>
      </w:r>
      <w:proofErr w:type="spellStart"/>
      <w:r>
        <w:t>Petkova</w:t>
      </w:r>
      <w:proofErr w:type="spellEnd"/>
      <w:r>
        <w:t xml:space="preserve"> et al. </w:t>
      </w:r>
      <w:r w:rsidRPr="001A0F07">
        <w:t>Towards More Comprehensive Projections of Urban Heat-Related Mortality: Estimates for New York City under Multiple Population, Adaptation, and Climate Scenarios</w:t>
      </w:r>
      <w:r>
        <w:t xml:space="preserve">. Environmental Health Perspectives. January, 2017. </w:t>
      </w:r>
      <w:hyperlink r:id="rId11" w:history="1">
        <w:r w:rsidRPr="007C2545">
          <w:rPr>
            <w:rStyle w:val="Hyperlink"/>
          </w:rPr>
          <w:t>https://ehp.niehs.nih.gov/doi/10.1289/ehp166</w:t>
        </w:r>
      </w:hyperlink>
      <w:r>
        <w:t xml:space="preserve"> (Last accessed, </w:t>
      </w:r>
      <w:r w:rsidR="002F6148">
        <w:t>12/10/20</w:t>
      </w:r>
      <w:r>
        <w:t>)</w:t>
      </w:r>
    </w:p>
  </w:footnote>
  <w:footnote w:id="16">
    <w:p w14:paraId="2DDCA0EB" w14:textId="22972C93" w:rsidR="00414DE0" w:rsidRDefault="00414DE0" w:rsidP="00414DE0">
      <w:pPr>
        <w:pStyle w:val="FootnoteText"/>
      </w:pPr>
      <w:r>
        <w:rPr>
          <w:rStyle w:val="FootnoteReference"/>
        </w:rPr>
        <w:footnoteRef/>
      </w:r>
      <w:r>
        <w:t xml:space="preserve"> Kendra Pierre Louis. Mosquitos and Ticks are Going to Eat Us All Alive This Summer. Popular Science Magazine. April 3, 2017. </w:t>
      </w:r>
      <w:hyperlink r:id="rId12" w:history="1">
        <w:r w:rsidRPr="007C2545">
          <w:rPr>
            <w:rStyle w:val="Hyperlink"/>
          </w:rPr>
          <w:t>https://www.popsci.com/winter-warm-mosquitoes-ticks</w:t>
        </w:r>
      </w:hyperlink>
      <w:r>
        <w:t xml:space="preserve"> (last accessed</w:t>
      </w:r>
      <w:r w:rsidR="002F6148">
        <w:t xml:space="preserve"> 12/10/20</w:t>
      </w:r>
      <w:r>
        <w:t>)</w:t>
      </w:r>
    </w:p>
  </w:footnote>
  <w:footnote w:id="17">
    <w:p w14:paraId="041633E9" w14:textId="0F537627" w:rsidR="00414DE0" w:rsidRDefault="00414DE0" w:rsidP="00414DE0">
      <w:pPr>
        <w:pStyle w:val="FootnoteText"/>
      </w:pPr>
      <w:r>
        <w:rPr>
          <w:rStyle w:val="FootnoteReference"/>
        </w:rPr>
        <w:footnoteRef/>
      </w:r>
      <w:r>
        <w:t xml:space="preserve"> Oliver </w:t>
      </w:r>
      <w:proofErr w:type="spellStart"/>
      <w:r>
        <w:t>Millman</w:t>
      </w:r>
      <w:proofErr w:type="spellEnd"/>
      <w:r>
        <w:t xml:space="preserve">, We are at war: New York’s rat crisis made worse by climate change. The Guardian. December 21, 2018.  </w:t>
      </w:r>
      <w:hyperlink r:id="rId13" w:history="1">
        <w:r w:rsidRPr="007C2545">
          <w:rPr>
            <w:rStyle w:val="Hyperlink"/>
          </w:rPr>
          <w:t>https://www.theguardian.com/us-news/2018/dec/21/new-york-rat-crisis-climate-change</w:t>
        </w:r>
      </w:hyperlink>
      <w:r>
        <w:t xml:space="preserve"> (Last accessed </w:t>
      </w:r>
      <w:r w:rsidR="002F6148">
        <w:t>12/10/20</w:t>
      </w:r>
      <w:r>
        <w:t>)</w:t>
      </w:r>
    </w:p>
  </w:footnote>
  <w:footnote w:id="18">
    <w:p w14:paraId="62D231A2" w14:textId="40964C61" w:rsidR="00414DE0" w:rsidRDefault="00414DE0" w:rsidP="00414DE0">
      <w:pPr>
        <w:pStyle w:val="FootnoteText"/>
      </w:pPr>
      <w:r>
        <w:rPr>
          <w:rStyle w:val="FootnoteReference"/>
        </w:rPr>
        <w:footnoteRef/>
      </w:r>
      <w:r>
        <w:t xml:space="preserve"> Joel Grover and Amy Corral. Typhus Epidemic Worsens in Los Angeles. February 1, 2019. </w:t>
      </w:r>
      <w:hyperlink r:id="rId14" w:history="1">
        <w:r w:rsidRPr="007C2545">
          <w:rPr>
            <w:rStyle w:val="Hyperlink"/>
          </w:rPr>
          <w:t>https://www.nbclosangeles.com/investigations/Typhus-Epidemic-Worsens-in-Los-Angeles-505166301.html</w:t>
        </w:r>
      </w:hyperlink>
      <w:r>
        <w:t xml:space="preserve"> (last accessed </w:t>
      </w:r>
      <w:r w:rsidR="002F6148">
        <w:t>12</w:t>
      </w:r>
      <w:r>
        <w:t>/</w:t>
      </w:r>
      <w:r w:rsidR="002F6148">
        <w:t>10</w:t>
      </w:r>
      <w:r>
        <w:t>/20)</w:t>
      </w:r>
    </w:p>
  </w:footnote>
  <w:footnote w:id="19">
    <w:p w14:paraId="34C6F256" w14:textId="2D0AFD4A" w:rsidR="00414DE0" w:rsidRDefault="00414DE0" w:rsidP="00414DE0">
      <w:pPr>
        <w:pStyle w:val="FootnoteText"/>
      </w:pPr>
      <w:r>
        <w:rPr>
          <w:rStyle w:val="FootnoteReference"/>
        </w:rPr>
        <w:footnoteRef/>
      </w:r>
      <w:r>
        <w:t xml:space="preserve"> Sadie J. Ryan et al. </w:t>
      </w:r>
      <w:r w:rsidRPr="00232B29">
        <w:t>Global expansion and redistribution of Aedes-borne virus transmission risk with climate change</w:t>
      </w:r>
      <w:r>
        <w:t xml:space="preserve">. PLOS. March 28, 2019. </w:t>
      </w:r>
      <w:hyperlink r:id="rId15" w:history="1">
        <w:r w:rsidRPr="007C2545">
          <w:rPr>
            <w:rStyle w:val="Hyperlink"/>
          </w:rPr>
          <w:t>https://journals.plos.org/plosntds/article?id=10.1371/journal.pntd.0007213</w:t>
        </w:r>
      </w:hyperlink>
      <w:r>
        <w:t xml:space="preserve"> (last accessed </w:t>
      </w:r>
      <w:r w:rsidR="002F6148">
        <w:t>12/10/20</w:t>
      </w:r>
      <w:r>
        <w:t>)</w:t>
      </w:r>
    </w:p>
  </w:footnote>
  <w:footnote w:id="20">
    <w:p w14:paraId="56CE0078" w14:textId="65B3657E" w:rsidR="00B371AF" w:rsidRDefault="00B371AF">
      <w:pPr>
        <w:pStyle w:val="FootnoteText"/>
      </w:pPr>
      <w:r>
        <w:rPr>
          <w:rStyle w:val="FootnoteReference"/>
        </w:rPr>
        <w:footnoteRef/>
      </w:r>
      <w:r>
        <w:t xml:space="preserve"> </w:t>
      </w:r>
      <w:r w:rsidRPr="005750C7">
        <w:t xml:space="preserve">Jay, A., D.R. </w:t>
      </w:r>
      <w:proofErr w:type="spellStart"/>
      <w:r w:rsidRPr="005750C7">
        <w:t>Reidmiller</w:t>
      </w:r>
      <w:proofErr w:type="spellEnd"/>
      <w:r w:rsidRPr="005750C7">
        <w:t>, et al. 2018: Overview. In Impacts, Risks, and Adaptation in the United States: Fourth National Climate Assessment, Volume IIII U.S. Global Change Research Program, Washington, DC, USA, pp. 33–71</w:t>
      </w:r>
    </w:p>
  </w:footnote>
  <w:footnote w:id="21">
    <w:p w14:paraId="530C26DE" w14:textId="547B841B" w:rsidR="00B371AF" w:rsidRDefault="00B371AF">
      <w:pPr>
        <w:pStyle w:val="FootnoteText"/>
      </w:pPr>
      <w:r>
        <w:rPr>
          <w:rStyle w:val="FootnoteReference"/>
        </w:rPr>
        <w:footnoteRef/>
      </w:r>
      <w:r>
        <w:t xml:space="preserve"> Id.</w:t>
      </w:r>
    </w:p>
  </w:footnote>
  <w:footnote w:id="22">
    <w:p w14:paraId="4F4BA8F4" w14:textId="2D957698" w:rsidR="00414DE0" w:rsidRDefault="00414DE0" w:rsidP="00414DE0">
      <w:pPr>
        <w:pStyle w:val="FootnoteText"/>
      </w:pPr>
      <w:r>
        <w:rPr>
          <w:rStyle w:val="FootnoteReference"/>
        </w:rPr>
        <w:footnoteRef/>
      </w:r>
      <w:r>
        <w:t xml:space="preserve"> </w:t>
      </w:r>
      <w:r w:rsidR="00B371AF">
        <w:t>Id.</w:t>
      </w:r>
    </w:p>
  </w:footnote>
  <w:footnote w:id="23">
    <w:p w14:paraId="695F3973" w14:textId="23A8144F" w:rsidR="006E5D02" w:rsidRDefault="006E5D02">
      <w:pPr>
        <w:pStyle w:val="FootnoteText"/>
      </w:pPr>
      <w:r>
        <w:rPr>
          <w:rStyle w:val="FootnoteReference"/>
        </w:rPr>
        <w:footnoteRef/>
      </w:r>
      <w:r>
        <w:t xml:space="preserve"> U.S. Energy Information Administration. Where Greenhouse Gases Come From. </w:t>
      </w:r>
      <w:hyperlink r:id="rId16" w:history="1">
        <w:r w:rsidRPr="00DC74BE">
          <w:rPr>
            <w:rStyle w:val="Hyperlink"/>
          </w:rPr>
          <w:t>https://www.eia.gov/energyexplained/energy-and-the-environment/where-greenhouse-gases-come-from.php</w:t>
        </w:r>
      </w:hyperlink>
      <w:r>
        <w:t xml:space="preserve"> (last accessed 12/10/20)</w:t>
      </w:r>
    </w:p>
  </w:footnote>
  <w:footnote w:id="24">
    <w:p w14:paraId="2DD12E3C" w14:textId="16E28DC3" w:rsidR="006E5D02" w:rsidRDefault="006E5D02">
      <w:pPr>
        <w:pStyle w:val="FootnoteText"/>
      </w:pPr>
      <w:r>
        <w:rPr>
          <w:rStyle w:val="FootnoteReference"/>
        </w:rPr>
        <w:footnoteRef/>
      </w:r>
      <w:r>
        <w:t xml:space="preserve"> Center for Climate and Energy Solutions. Global Emissions. </w:t>
      </w:r>
      <w:hyperlink r:id="rId17" w:history="1">
        <w:r w:rsidRPr="00DC74BE">
          <w:rPr>
            <w:rStyle w:val="Hyperlink"/>
          </w:rPr>
          <w:t>https://www.c2es.org/content/international-emissions/</w:t>
        </w:r>
      </w:hyperlink>
      <w:r>
        <w:t xml:space="preserve"> (last accessed 12/10/20)</w:t>
      </w:r>
    </w:p>
  </w:footnote>
  <w:footnote w:id="25">
    <w:p w14:paraId="2066BECA" w14:textId="43F22370" w:rsidR="006E5D02" w:rsidRDefault="006E5D02">
      <w:pPr>
        <w:pStyle w:val="FootnoteText"/>
      </w:pPr>
      <w:r>
        <w:rPr>
          <w:rStyle w:val="FootnoteReference"/>
        </w:rPr>
        <w:footnoteRef/>
      </w:r>
      <w:r>
        <w:t xml:space="preserve"> </w:t>
      </w:r>
      <w:r w:rsidR="00E01EDD">
        <w:t xml:space="preserve">Figures from 2018, the most current data available. </w:t>
      </w:r>
      <w:r w:rsidR="000F309D">
        <w:t>Union of Concerned Scientists. Each Country’s share of CO</w:t>
      </w:r>
      <w:r w:rsidR="000F309D">
        <w:rPr>
          <w:vertAlign w:val="subscript"/>
        </w:rPr>
        <w:t>2</w:t>
      </w:r>
      <w:r w:rsidR="000F309D">
        <w:t xml:space="preserve"> emissions. </w:t>
      </w:r>
      <w:hyperlink r:id="rId18" w:history="1">
        <w:r w:rsidR="00E01EDD" w:rsidRPr="007B1C1D">
          <w:rPr>
            <w:rStyle w:val="Hyperlink"/>
          </w:rPr>
          <w:t>https://www.ucsusa.org/resources/each-countrys-share-co2-emissions</w:t>
        </w:r>
      </w:hyperlink>
      <w:r w:rsidR="00E01EDD">
        <w:t xml:space="preserve"> (last accessed 12/14/20) </w:t>
      </w:r>
    </w:p>
  </w:footnote>
  <w:footnote w:id="26">
    <w:p w14:paraId="57EE3E0D" w14:textId="1FF7F976" w:rsidR="00C01813" w:rsidRDefault="00C01813">
      <w:pPr>
        <w:pStyle w:val="FootnoteText"/>
      </w:pPr>
      <w:r>
        <w:rPr>
          <w:rStyle w:val="FootnoteReference"/>
        </w:rPr>
        <w:footnoteRef/>
      </w:r>
      <w:r>
        <w:t xml:space="preserve"> UN Environment </w:t>
      </w:r>
      <w:proofErr w:type="spellStart"/>
      <w:r>
        <w:t>Programme</w:t>
      </w:r>
      <w:proofErr w:type="spellEnd"/>
      <w:r>
        <w:t xml:space="preserve">. Emissions Gap Report 2019. </w:t>
      </w:r>
      <w:hyperlink r:id="rId19" w:history="1">
        <w:r w:rsidRPr="00DC74BE">
          <w:rPr>
            <w:rStyle w:val="Hyperlink"/>
          </w:rPr>
          <w:t>https://wedocs.unep.org/bitstream/handle/20.500.11822/30797/EGR2019.pdf?sequence=1&amp;isAllowed=y</w:t>
        </w:r>
      </w:hyperlink>
      <w:r>
        <w:t xml:space="preserve"> (last accessed 12/10/20)</w:t>
      </w:r>
    </w:p>
  </w:footnote>
  <w:footnote w:id="27">
    <w:p w14:paraId="7A6C406B" w14:textId="75762BC8" w:rsidR="00C01813" w:rsidRDefault="00C01813">
      <w:pPr>
        <w:pStyle w:val="FootnoteText"/>
      </w:pPr>
      <w:r>
        <w:rPr>
          <w:rStyle w:val="FootnoteReference"/>
        </w:rPr>
        <w:footnoteRef/>
      </w:r>
      <w:r>
        <w:t xml:space="preserve"> UN News. Cut fossil fuel production to ward off ‘catastrophic’ warming: UN-backed report. </w:t>
      </w:r>
      <w:hyperlink r:id="rId20" w:history="1">
        <w:r w:rsidRPr="00DC74BE">
          <w:rPr>
            <w:rStyle w:val="Hyperlink"/>
          </w:rPr>
          <w:t>https://news.un.org/en/story/2020/12/1079012</w:t>
        </w:r>
      </w:hyperlink>
      <w:r>
        <w:t xml:space="preserve"> (last accessed 12/10/20</w:t>
      </w:r>
    </w:p>
  </w:footnote>
  <w:footnote w:id="28">
    <w:p w14:paraId="6036732D" w14:textId="4002859C" w:rsidR="001275ED" w:rsidRDefault="001275ED">
      <w:pPr>
        <w:pStyle w:val="FootnoteText"/>
      </w:pPr>
      <w:r>
        <w:rPr>
          <w:rStyle w:val="FootnoteReference"/>
        </w:rPr>
        <w:footnoteRef/>
      </w:r>
      <w:r>
        <w:t xml:space="preserve"> Justine </w:t>
      </w:r>
      <w:proofErr w:type="spellStart"/>
      <w:r>
        <w:t>Calma</w:t>
      </w:r>
      <w:proofErr w:type="spellEnd"/>
      <w:r>
        <w:t xml:space="preserve">. Fossil fuels get the nuclear treatment in new climate effort. The Verge. November 2, 2020. </w:t>
      </w:r>
      <w:hyperlink r:id="rId21" w:history="1">
        <w:r w:rsidRPr="007B1C1D">
          <w:rPr>
            <w:rStyle w:val="Hyperlink"/>
          </w:rPr>
          <w:t>https://www.theverge.com/2020/11/2/21545690/fossil-fuels-nuclear-non-proliferation-treaty-climate-change</w:t>
        </w:r>
      </w:hyperlink>
      <w:r>
        <w:t xml:space="preserve"> (last accessed 12/14/20)</w:t>
      </w:r>
    </w:p>
  </w:footnote>
  <w:footnote w:id="29">
    <w:p w14:paraId="7839F293" w14:textId="14F33CBE" w:rsidR="00EF4EED" w:rsidRDefault="00EF4EED">
      <w:pPr>
        <w:pStyle w:val="FootnoteText"/>
      </w:pPr>
      <w:r>
        <w:rPr>
          <w:rStyle w:val="FootnoteReference"/>
        </w:rPr>
        <w:footnoteRef/>
      </w:r>
      <w:r>
        <w:t xml:space="preserve"> The Fossil Fuel Non-Proliferation Treaty. </w:t>
      </w:r>
      <w:hyperlink r:id="rId22" w:history="1">
        <w:r w:rsidRPr="00DC74BE">
          <w:rPr>
            <w:rStyle w:val="Hyperlink"/>
          </w:rPr>
          <w:t>https://fossilfueltreaty.org/</w:t>
        </w:r>
      </w:hyperlink>
      <w:r>
        <w:t xml:space="preserve"> (last accessed 12/10/20)</w:t>
      </w:r>
    </w:p>
  </w:footnote>
  <w:footnote w:id="30">
    <w:p w14:paraId="465C0C0F" w14:textId="3323184F" w:rsidR="00EF4EED" w:rsidRDefault="00EF4EED">
      <w:pPr>
        <w:pStyle w:val="FootnoteText"/>
      </w:pPr>
      <w:r>
        <w:rPr>
          <w:rStyle w:val="FootnoteReference"/>
        </w:rPr>
        <w:footnoteRef/>
      </w:r>
      <w:r>
        <w:t xml:space="preserve"> The </w:t>
      </w:r>
      <w:proofErr w:type="spellStart"/>
      <w:r>
        <w:t>Lofoten</w:t>
      </w:r>
      <w:proofErr w:type="spellEnd"/>
      <w:r>
        <w:t xml:space="preserve"> Declaration. </w:t>
      </w:r>
      <w:hyperlink r:id="rId23" w:history="1">
        <w:r w:rsidRPr="007B1C1D">
          <w:rPr>
            <w:rStyle w:val="Hyperlink"/>
          </w:rPr>
          <w:t>http://www.lofotendeclaration.org/</w:t>
        </w:r>
      </w:hyperlink>
      <w:r>
        <w:t xml:space="preserve"> (last accessed 12/14/20)</w:t>
      </w:r>
    </w:p>
  </w:footnote>
  <w:footnote w:id="31">
    <w:p w14:paraId="3CF2B756" w14:textId="4117579B" w:rsidR="00DC7D70" w:rsidRDefault="00DC7D70">
      <w:pPr>
        <w:pStyle w:val="FootnoteText"/>
      </w:pPr>
      <w:r>
        <w:rPr>
          <w:rStyle w:val="FootnoteReference"/>
        </w:rPr>
        <w:footnoteRef/>
      </w:r>
      <w:r>
        <w:t xml:space="preserve"> The Fossil Fuel Non-Proliferation Treaty. </w:t>
      </w:r>
      <w:hyperlink r:id="rId24" w:history="1">
        <w:r w:rsidRPr="00DC74BE">
          <w:rPr>
            <w:rStyle w:val="Hyperlink"/>
          </w:rPr>
          <w:t>https://fossilfueltreaty.org/</w:t>
        </w:r>
      </w:hyperlink>
      <w:r>
        <w:t xml:space="preserve"> (last accessed 12/10/20)</w:t>
      </w:r>
    </w:p>
  </w:footnote>
  <w:footnote w:id="32">
    <w:p w14:paraId="214BD2F6" w14:textId="6278F1F0" w:rsidR="00D571EA" w:rsidRDefault="00D571EA">
      <w:pPr>
        <w:pStyle w:val="FootnoteText"/>
      </w:pPr>
      <w:r>
        <w:rPr>
          <w:rStyle w:val="FootnoteReference"/>
        </w:rPr>
        <w:footnoteRef/>
      </w:r>
      <w:r>
        <w:t xml:space="preserve"> Center for Climate and Energy Solutions. Global Emissions. </w:t>
      </w:r>
      <w:hyperlink r:id="rId25" w:history="1">
        <w:r w:rsidRPr="00DC74BE">
          <w:rPr>
            <w:rStyle w:val="Hyperlink"/>
          </w:rPr>
          <w:t>https://www.c2es.org/content/international-emissions/</w:t>
        </w:r>
      </w:hyperlink>
      <w:r>
        <w:t xml:space="preserve"> (last accessed 12/10/20)</w:t>
      </w:r>
    </w:p>
  </w:footnote>
  <w:footnote w:id="33">
    <w:p w14:paraId="641DCA78" w14:textId="05D85004" w:rsidR="00D571EA" w:rsidRDefault="00D571EA">
      <w:pPr>
        <w:pStyle w:val="FootnoteText"/>
      </w:pPr>
      <w:r>
        <w:rPr>
          <w:rStyle w:val="FootnoteReference"/>
        </w:rPr>
        <w:footnoteRef/>
      </w:r>
      <w:r>
        <w:t xml:space="preserve"> Id. </w:t>
      </w:r>
    </w:p>
  </w:footnote>
  <w:footnote w:id="34">
    <w:p w14:paraId="4AA6799F" w14:textId="123243F0" w:rsidR="00B371AF" w:rsidRDefault="00B371AF">
      <w:pPr>
        <w:pStyle w:val="FootnoteText"/>
      </w:pPr>
      <w:r>
        <w:rPr>
          <w:rStyle w:val="FootnoteReference"/>
        </w:rPr>
        <w:footnoteRef/>
      </w:r>
      <w:r>
        <w:t xml:space="preserve"> Umair Irfan. Why the US bears the most responsibility for climate change: in once chart. Vox. December 4, 2019. </w:t>
      </w:r>
      <w:hyperlink r:id="rId26" w:history="1">
        <w:r w:rsidRPr="007B1C1D">
          <w:rPr>
            <w:rStyle w:val="Hyperlink"/>
          </w:rPr>
          <w:t>https://www.vox.com/energy-and-environment/2019/4/24/18512804/climate-change-united-states-china-emissions</w:t>
        </w:r>
      </w:hyperlink>
      <w:r>
        <w:t xml:space="preserve"> (last accessed 12/14/20)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CFABA" w14:textId="77747A57" w:rsidR="00E92B66" w:rsidRDefault="00E92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A4CE5" w14:textId="4A86609A" w:rsidR="00E92B66" w:rsidRDefault="00E92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BCE2" w14:textId="0C74C9F5" w:rsidR="00E92B66" w:rsidRDefault="00E92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82E16"/>
    <w:multiLevelType w:val="hybridMultilevel"/>
    <w:tmpl w:val="10A87E68"/>
    <w:lvl w:ilvl="0" w:tplc="9C4A6C5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CF"/>
    <w:rsid w:val="00042B18"/>
    <w:rsid w:val="00063ECB"/>
    <w:rsid w:val="00066BD8"/>
    <w:rsid w:val="00086BC8"/>
    <w:rsid w:val="000E5470"/>
    <w:rsid w:val="000E59B6"/>
    <w:rsid w:val="000F309D"/>
    <w:rsid w:val="00104122"/>
    <w:rsid w:val="001265B4"/>
    <w:rsid w:val="001275ED"/>
    <w:rsid w:val="001469EA"/>
    <w:rsid w:val="00147906"/>
    <w:rsid w:val="001A1F39"/>
    <w:rsid w:val="001A72FF"/>
    <w:rsid w:val="001C401B"/>
    <w:rsid w:val="001F282C"/>
    <w:rsid w:val="001F30BB"/>
    <w:rsid w:val="00211964"/>
    <w:rsid w:val="00215E2E"/>
    <w:rsid w:val="00236593"/>
    <w:rsid w:val="0024532C"/>
    <w:rsid w:val="00273001"/>
    <w:rsid w:val="002A4F31"/>
    <w:rsid w:val="002D2B29"/>
    <w:rsid w:val="002F6148"/>
    <w:rsid w:val="00305100"/>
    <w:rsid w:val="003117DE"/>
    <w:rsid w:val="003137BC"/>
    <w:rsid w:val="00336296"/>
    <w:rsid w:val="00340020"/>
    <w:rsid w:val="00341297"/>
    <w:rsid w:val="00343DFE"/>
    <w:rsid w:val="00363950"/>
    <w:rsid w:val="00367E30"/>
    <w:rsid w:val="0038424E"/>
    <w:rsid w:val="00392D2B"/>
    <w:rsid w:val="003A0868"/>
    <w:rsid w:val="003C276E"/>
    <w:rsid w:val="003D5B9C"/>
    <w:rsid w:val="003F2139"/>
    <w:rsid w:val="004047E4"/>
    <w:rsid w:val="00414DE0"/>
    <w:rsid w:val="00441DA1"/>
    <w:rsid w:val="00460B52"/>
    <w:rsid w:val="004711A9"/>
    <w:rsid w:val="004C6911"/>
    <w:rsid w:val="00503B04"/>
    <w:rsid w:val="00523CA3"/>
    <w:rsid w:val="00527B67"/>
    <w:rsid w:val="00541DD5"/>
    <w:rsid w:val="005438E5"/>
    <w:rsid w:val="00572B36"/>
    <w:rsid w:val="00581DCF"/>
    <w:rsid w:val="0058398A"/>
    <w:rsid w:val="00596872"/>
    <w:rsid w:val="005B48AE"/>
    <w:rsid w:val="005B7DD0"/>
    <w:rsid w:val="005F1393"/>
    <w:rsid w:val="00617F92"/>
    <w:rsid w:val="0064750F"/>
    <w:rsid w:val="006664C6"/>
    <w:rsid w:val="00683820"/>
    <w:rsid w:val="006875B0"/>
    <w:rsid w:val="00693CB4"/>
    <w:rsid w:val="006A5DF2"/>
    <w:rsid w:val="006E5D02"/>
    <w:rsid w:val="006F1DD4"/>
    <w:rsid w:val="006F69DC"/>
    <w:rsid w:val="00750211"/>
    <w:rsid w:val="007A452C"/>
    <w:rsid w:val="007A744F"/>
    <w:rsid w:val="007B095C"/>
    <w:rsid w:val="007C6868"/>
    <w:rsid w:val="007D04DD"/>
    <w:rsid w:val="007E1020"/>
    <w:rsid w:val="00814BC2"/>
    <w:rsid w:val="00830CBD"/>
    <w:rsid w:val="008C3C23"/>
    <w:rsid w:val="008D773B"/>
    <w:rsid w:val="008F331A"/>
    <w:rsid w:val="008F6C52"/>
    <w:rsid w:val="008F7871"/>
    <w:rsid w:val="00903139"/>
    <w:rsid w:val="009400E7"/>
    <w:rsid w:val="0094042D"/>
    <w:rsid w:val="00945521"/>
    <w:rsid w:val="00952778"/>
    <w:rsid w:val="0096206F"/>
    <w:rsid w:val="00994F24"/>
    <w:rsid w:val="009A4EC5"/>
    <w:rsid w:val="009F23A6"/>
    <w:rsid w:val="00A10C5A"/>
    <w:rsid w:val="00A5118E"/>
    <w:rsid w:val="00A54B22"/>
    <w:rsid w:val="00A63FC7"/>
    <w:rsid w:val="00AA186C"/>
    <w:rsid w:val="00AA3ACC"/>
    <w:rsid w:val="00AC75B2"/>
    <w:rsid w:val="00AD292F"/>
    <w:rsid w:val="00AE67E7"/>
    <w:rsid w:val="00B03086"/>
    <w:rsid w:val="00B045F7"/>
    <w:rsid w:val="00B13F27"/>
    <w:rsid w:val="00B371AF"/>
    <w:rsid w:val="00B97DB6"/>
    <w:rsid w:val="00BB0083"/>
    <w:rsid w:val="00BF6BD4"/>
    <w:rsid w:val="00BF7A39"/>
    <w:rsid w:val="00C01813"/>
    <w:rsid w:val="00C01AE8"/>
    <w:rsid w:val="00C17B26"/>
    <w:rsid w:val="00C221B0"/>
    <w:rsid w:val="00C3078D"/>
    <w:rsid w:val="00C54913"/>
    <w:rsid w:val="00CB237E"/>
    <w:rsid w:val="00CB7737"/>
    <w:rsid w:val="00D0706D"/>
    <w:rsid w:val="00D327D4"/>
    <w:rsid w:val="00D37369"/>
    <w:rsid w:val="00D4298D"/>
    <w:rsid w:val="00D44282"/>
    <w:rsid w:val="00D571EA"/>
    <w:rsid w:val="00D60281"/>
    <w:rsid w:val="00D6058E"/>
    <w:rsid w:val="00D60E88"/>
    <w:rsid w:val="00D9435C"/>
    <w:rsid w:val="00DA0DFC"/>
    <w:rsid w:val="00DB3AB0"/>
    <w:rsid w:val="00DB3F35"/>
    <w:rsid w:val="00DC7D70"/>
    <w:rsid w:val="00DE0804"/>
    <w:rsid w:val="00E01EDD"/>
    <w:rsid w:val="00E16B5D"/>
    <w:rsid w:val="00E21320"/>
    <w:rsid w:val="00E261A8"/>
    <w:rsid w:val="00E62BF7"/>
    <w:rsid w:val="00E6642C"/>
    <w:rsid w:val="00E700A6"/>
    <w:rsid w:val="00E92B66"/>
    <w:rsid w:val="00EA406E"/>
    <w:rsid w:val="00ED4BE2"/>
    <w:rsid w:val="00EF4EED"/>
    <w:rsid w:val="00F02B5C"/>
    <w:rsid w:val="00F1697C"/>
    <w:rsid w:val="00F340A6"/>
    <w:rsid w:val="00F45B84"/>
    <w:rsid w:val="00F501CE"/>
    <w:rsid w:val="00F71B28"/>
    <w:rsid w:val="00FA7173"/>
    <w:rsid w:val="00FC199D"/>
    <w:rsid w:val="00FC39A9"/>
    <w:rsid w:val="00FD36B1"/>
    <w:rsid w:val="00FD7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DD8C3"/>
  <w15:chartTrackingRefBased/>
  <w15:docId w15:val="{53C635A7-9A5C-434C-98EF-EC3B9120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C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75B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T"/>
    <w:basedOn w:val="Normal"/>
    <w:link w:val="FootnoteTextChar"/>
    <w:uiPriority w:val="99"/>
    <w:semiHidden/>
    <w:unhideWhenUsed/>
    <w:rsid w:val="008C3C23"/>
    <w:rPr>
      <w:rFonts w:asciiTheme="minorHAnsi" w:eastAsiaTheme="minorHAnsi" w:hAnsiTheme="minorHAnsi" w:cstheme="minorBidi"/>
      <w:sz w:val="20"/>
      <w:szCs w:val="20"/>
    </w:rPr>
  </w:style>
  <w:style w:type="character" w:customStyle="1" w:styleId="FootnoteTextChar">
    <w:name w:val="Footnote Text Char"/>
    <w:aliases w:val="FT Char"/>
    <w:basedOn w:val="DefaultParagraphFont"/>
    <w:link w:val="FootnoteText"/>
    <w:uiPriority w:val="99"/>
    <w:semiHidden/>
    <w:rsid w:val="008C3C23"/>
    <w:rPr>
      <w:sz w:val="20"/>
      <w:szCs w:val="20"/>
    </w:rPr>
  </w:style>
  <w:style w:type="character" w:styleId="FootnoteReference">
    <w:name w:val="footnote reference"/>
    <w:basedOn w:val="DefaultParagraphFont"/>
    <w:uiPriority w:val="99"/>
    <w:unhideWhenUsed/>
    <w:rsid w:val="008C3C23"/>
    <w:rPr>
      <w:vertAlign w:val="superscript"/>
    </w:rPr>
  </w:style>
  <w:style w:type="paragraph" w:styleId="Header">
    <w:name w:val="header"/>
    <w:basedOn w:val="Normal"/>
    <w:link w:val="Head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8398A"/>
  </w:style>
  <w:style w:type="paragraph" w:styleId="Footer">
    <w:name w:val="footer"/>
    <w:basedOn w:val="Normal"/>
    <w:link w:val="FooterChar"/>
    <w:uiPriority w:val="99"/>
    <w:unhideWhenUsed/>
    <w:rsid w:val="0058398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8398A"/>
  </w:style>
  <w:style w:type="paragraph" w:styleId="BalloonText">
    <w:name w:val="Balloon Text"/>
    <w:basedOn w:val="Normal"/>
    <w:link w:val="BalloonTextChar"/>
    <w:uiPriority w:val="99"/>
    <w:semiHidden/>
    <w:unhideWhenUsed/>
    <w:rsid w:val="00305100"/>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05100"/>
    <w:rPr>
      <w:rFonts w:ascii="Segoe UI" w:hAnsi="Segoe UI" w:cs="Segoe UI"/>
      <w:sz w:val="18"/>
      <w:szCs w:val="18"/>
    </w:rPr>
  </w:style>
  <w:style w:type="paragraph" w:styleId="BodyText">
    <w:name w:val="Body Text"/>
    <w:basedOn w:val="Normal"/>
    <w:link w:val="BodyTextChar"/>
    <w:uiPriority w:val="99"/>
    <w:rsid w:val="004C6911"/>
    <w:pPr>
      <w:spacing w:line="480" w:lineRule="auto"/>
      <w:ind w:firstLine="720"/>
      <w:jc w:val="both"/>
    </w:pPr>
  </w:style>
  <w:style w:type="character" w:customStyle="1" w:styleId="BodyTextChar">
    <w:name w:val="Body Text Char"/>
    <w:basedOn w:val="DefaultParagraphFont"/>
    <w:link w:val="BodyText"/>
    <w:uiPriority w:val="99"/>
    <w:rsid w:val="004C6911"/>
    <w:rPr>
      <w:rFonts w:ascii="Times New Roman" w:eastAsia="Times New Roman" w:hAnsi="Times New Roman" w:cs="Times New Roman"/>
      <w:sz w:val="24"/>
      <w:szCs w:val="24"/>
    </w:rPr>
  </w:style>
  <w:style w:type="paragraph" w:styleId="NormalWeb">
    <w:name w:val="Normal (Web)"/>
    <w:basedOn w:val="Normal"/>
    <w:uiPriority w:val="99"/>
    <w:unhideWhenUsed/>
    <w:rsid w:val="004C6911"/>
    <w:pPr>
      <w:spacing w:before="100" w:beforeAutospacing="1" w:after="100" w:afterAutospacing="1"/>
    </w:pPr>
  </w:style>
  <w:style w:type="character" w:styleId="LineNumber">
    <w:name w:val="line number"/>
    <w:basedOn w:val="DefaultParagraphFont"/>
    <w:uiPriority w:val="99"/>
    <w:semiHidden/>
    <w:unhideWhenUsed/>
    <w:rsid w:val="004C6911"/>
  </w:style>
  <w:style w:type="paragraph" w:styleId="NoSpacing">
    <w:name w:val="No Spacing"/>
    <w:uiPriority w:val="1"/>
    <w:qFormat/>
    <w:rsid w:val="004C6911"/>
    <w:pPr>
      <w:spacing w:after="0" w:line="240" w:lineRule="auto"/>
    </w:pPr>
  </w:style>
  <w:style w:type="character" w:styleId="Hyperlink">
    <w:name w:val="Hyperlink"/>
    <w:basedOn w:val="DefaultParagraphFont"/>
    <w:uiPriority w:val="99"/>
    <w:unhideWhenUsed/>
    <w:rsid w:val="00D4298D"/>
    <w:rPr>
      <w:color w:val="0563C1" w:themeColor="hyperlink"/>
      <w:u w:val="single"/>
    </w:rPr>
  </w:style>
  <w:style w:type="paragraph" w:styleId="Revision">
    <w:name w:val="Revision"/>
    <w:hidden/>
    <w:uiPriority w:val="99"/>
    <w:semiHidden/>
    <w:rsid w:val="00693CB4"/>
    <w:pPr>
      <w:spacing w:after="0" w:line="240" w:lineRule="auto"/>
    </w:pPr>
  </w:style>
  <w:style w:type="character" w:customStyle="1" w:styleId="UnresolvedMention1">
    <w:name w:val="Unresolved Mention1"/>
    <w:basedOn w:val="DefaultParagraphFont"/>
    <w:uiPriority w:val="99"/>
    <w:semiHidden/>
    <w:unhideWhenUsed/>
    <w:rsid w:val="00460B52"/>
    <w:rPr>
      <w:color w:val="605E5C"/>
      <w:shd w:val="clear" w:color="auto" w:fill="E1DFDD"/>
    </w:rPr>
  </w:style>
  <w:style w:type="character" w:styleId="CommentReference">
    <w:name w:val="annotation reference"/>
    <w:basedOn w:val="DefaultParagraphFont"/>
    <w:uiPriority w:val="99"/>
    <w:semiHidden/>
    <w:unhideWhenUsed/>
    <w:rsid w:val="003A0868"/>
    <w:rPr>
      <w:sz w:val="16"/>
      <w:szCs w:val="16"/>
    </w:rPr>
  </w:style>
  <w:style w:type="paragraph" w:styleId="CommentText">
    <w:name w:val="annotation text"/>
    <w:basedOn w:val="Normal"/>
    <w:link w:val="CommentTextChar"/>
    <w:uiPriority w:val="99"/>
    <w:semiHidden/>
    <w:unhideWhenUsed/>
    <w:rsid w:val="003A0868"/>
    <w:rPr>
      <w:sz w:val="20"/>
      <w:szCs w:val="20"/>
    </w:rPr>
  </w:style>
  <w:style w:type="character" w:customStyle="1" w:styleId="CommentTextChar">
    <w:name w:val="Comment Text Char"/>
    <w:basedOn w:val="DefaultParagraphFont"/>
    <w:link w:val="CommentText"/>
    <w:uiPriority w:val="99"/>
    <w:semiHidden/>
    <w:rsid w:val="003A0868"/>
    <w:rPr>
      <w:sz w:val="20"/>
      <w:szCs w:val="20"/>
    </w:rPr>
  </w:style>
  <w:style w:type="paragraph" w:styleId="CommentSubject">
    <w:name w:val="annotation subject"/>
    <w:basedOn w:val="CommentText"/>
    <w:next w:val="CommentText"/>
    <w:link w:val="CommentSubjectChar"/>
    <w:uiPriority w:val="99"/>
    <w:semiHidden/>
    <w:unhideWhenUsed/>
    <w:rsid w:val="003A0868"/>
    <w:rPr>
      <w:b/>
      <w:bCs/>
    </w:rPr>
  </w:style>
  <w:style w:type="character" w:customStyle="1" w:styleId="CommentSubjectChar">
    <w:name w:val="Comment Subject Char"/>
    <w:basedOn w:val="CommentTextChar"/>
    <w:link w:val="CommentSubject"/>
    <w:uiPriority w:val="99"/>
    <w:semiHidden/>
    <w:rsid w:val="003A0868"/>
    <w:rPr>
      <w:b/>
      <w:bCs/>
      <w:sz w:val="20"/>
      <w:szCs w:val="20"/>
    </w:rPr>
  </w:style>
  <w:style w:type="character" w:styleId="FollowedHyperlink">
    <w:name w:val="FollowedHyperlink"/>
    <w:basedOn w:val="DefaultParagraphFont"/>
    <w:uiPriority w:val="99"/>
    <w:semiHidden/>
    <w:unhideWhenUsed/>
    <w:rsid w:val="003A0868"/>
    <w:rPr>
      <w:color w:val="954F72" w:themeColor="followedHyperlink"/>
      <w:u w:val="single"/>
    </w:rPr>
  </w:style>
  <w:style w:type="character" w:customStyle="1" w:styleId="UnresolvedMention2">
    <w:name w:val="Unresolved Mention2"/>
    <w:basedOn w:val="DefaultParagraphFont"/>
    <w:uiPriority w:val="99"/>
    <w:semiHidden/>
    <w:unhideWhenUsed/>
    <w:rsid w:val="006F69DC"/>
    <w:rPr>
      <w:color w:val="605E5C"/>
      <w:shd w:val="clear" w:color="auto" w:fill="E1DFDD"/>
    </w:rPr>
  </w:style>
  <w:style w:type="paragraph" w:styleId="ListParagraph">
    <w:name w:val="List Paragraph"/>
    <w:basedOn w:val="Normal"/>
    <w:uiPriority w:val="34"/>
    <w:qFormat/>
    <w:rsid w:val="00527B67"/>
    <w:pPr>
      <w:spacing w:after="160" w:line="259"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B37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248">
      <w:bodyDiv w:val="1"/>
      <w:marLeft w:val="0"/>
      <w:marRight w:val="0"/>
      <w:marTop w:val="0"/>
      <w:marBottom w:val="0"/>
      <w:divBdr>
        <w:top w:val="none" w:sz="0" w:space="0" w:color="auto"/>
        <w:left w:val="none" w:sz="0" w:space="0" w:color="auto"/>
        <w:bottom w:val="none" w:sz="0" w:space="0" w:color="auto"/>
        <w:right w:val="none" w:sz="0" w:space="0" w:color="auto"/>
      </w:divBdr>
    </w:div>
    <w:div w:id="87432599">
      <w:bodyDiv w:val="1"/>
      <w:marLeft w:val="0"/>
      <w:marRight w:val="0"/>
      <w:marTop w:val="0"/>
      <w:marBottom w:val="0"/>
      <w:divBdr>
        <w:top w:val="none" w:sz="0" w:space="0" w:color="auto"/>
        <w:left w:val="none" w:sz="0" w:space="0" w:color="auto"/>
        <w:bottom w:val="none" w:sz="0" w:space="0" w:color="auto"/>
        <w:right w:val="none" w:sz="0" w:space="0" w:color="auto"/>
      </w:divBdr>
    </w:div>
    <w:div w:id="98335981">
      <w:bodyDiv w:val="1"/>
      <w:marLeft w:val="0"/>
      <w:marRight w:val="0"/>
      <w:marTop w:val="0"/>
      <w:marBottom w:val="0"/>
      <w:divBdr>
        <w:top w:val="none" w:sz="0" w:space="0" w:color="auto"/>
        <w:left w:val="none" w:sz="0" w:space="0" w:color="auto"/>
        <w:bottom w:val="none" w:sz="0" w:space="0" w:color="auto"/>
        <w:right w:val="none" w:sz="0" w:space="0" w:color="auto"/>
      </w:divBdr>
    </w:div>
    <w:div w:id="129174899">
      <w:bodyDiv w:val="1"/>
      <w:marLeft w:val="0"/>
      <w:marRight w:val="0"/>
      <w:marTop w:val="0"/>
      <w:marBottom w:val="0"/>
      <w:divBdr>
        <w:top w:val="none" w:sz="0" w:space="0" w:color="auto"/>
        <w:left w:val="none" w:sz="0" w:space="0" w:color="auto"/>
        <w:bottom w:val="none" w:sz="0" w:space="0" w:color="auto"/>
        <w:right w:val="none" w:sz="0" w:space="0" w:color="auto"/>
      </w:divBdr>
    </w:div>
    <w:div w:id="150802005">
      <w:bodyDiv w:val="1"/>
      <w:marLeft w:val="0"/>
      <w:marRight w:val="0"/>
      <w:marTop w:val="0"/>
      <w:marBottom w:val="0"/>
      <w:divBdr>
        <w:top w:val="none" w:sz="0" w:space="0" w:color="auto"/>
        <w:left w:val="none" w:sz="0" w:space="0" w:color="auto"/>
        <w:bottom w:val="none" w:sz="0" w:space="0" w:color="auto"/>
        <w:right w:val="none" w:sz="0" w:space="0" w:color="auto"/>
      </w:divBdr>
      <w:divsChild>
        <w:div w:id="1507480410">
          <w:marLeft w:val="0"/>
          <w:marRight w:val="0"/>
          <w:marTop w:val="0"/>
          <w:marBottom w:val="0"/>
          <w:divBdr>
            <w:top w:val="none" w:sz="0" w:space="0" w:color="auto"/>
            <w:left w:val="none" w:sz="0" w:space="0" w:color="auto"/>
            <w:bottom w:val="none" w:sz="0" w:space="0" w:color="auto"/>
            <w:right w:val="none" w:sz="0" w:space="0" w:color="auto"/>
          </w:divBdr>
          <w:divsChild>
            <w:div w:id="578751247">
              <w:marLeft w:val="0"/>
              <w:marRight w:val="0"/>
              <w:marTop w:val="0"/>
              <w:marBottom w:val="0"/>
              <w:divBdr>
                <w:top w:val="none" w:sz="0" w:space="0" w:color="C0C0C0"/>
                <w:left w:val="none" w:sz="0" w:space="0" w:color="C0C0C0"/>
                <w:bottom w:val="none" w:sz="0" w:space="0" w:color="C0C0C0"/>
                <w:right w:val="none" w:sz="0" w:space="0" w:color="C0C0C0"/>
              </w:divBdr>
              <w:divsChild>
                <w:div w:id="153884384">
                  <w:marLeft w:val="0"/>
                  <w:marRight w:val="0"/>
                  <w:marTop w:val="0"/>
                  <w:marBottom w:val="0"/>
                  <w:divBdr>
                    <w:top w:val="none" w:sz="0" w:space="0" w:color="auto"/>
                    <w:left w:val="none" w:sz="0" w:space="0" w:color="auto"/>
                    <w:bottom w:val="none" w:sz="0" w:space="0" w:color="auto"/>
                    <w:right w:val="none" w:sz="0" w:space="0" w:color="auto"/>
                  </w:divBdr>
                  <w:divsChild>
                    <w:div w:id="1870293210">
                      <w:marLeft w:val="0"/>
                      <w:marRight w:val="0"/>
                      <w:marTop w:val="0"/>
                      <w:marBottom w:val="0"/>
                      <w:divBdr>
                        <w:top w:val="none" w:sz="0" w:space="0" w:color="auto"/>
                        <w:left w:val="none" w:sz="0" w:space="0" w:color="auto"/>
                        <w:bottom w:val="none" w:sz="0" w:space="0" w:color="auto"/>
                        <w:right w:val="none" w:sz="0" w:space="0" w:color="auto"/>
                      </w:divBdr>
                      <w:divsChild>
                        <w:div w:id="32274276">
                          <w:marLeft w:val="150"/>
                          <w:marRight w:val="150"/>
                          <w:marTop w:val="150"/>
                          <w:marBottom w:val="150"/>
                          <w:divBdr>
                            <w:top w:val="none" w:sz="0" w:space="0" w:color="auto"/>
                            <w:left w:val="none" w:sz="0" w:space="0" w:color="auto"/>
                            <w:bottom w:val="none" w:sz="0" w:space="0" w:color="auto"/>
                            <w:right w:val="none" w:sz="0" w:space="0" w:color="auto"/>
                          </w:divBdr>
                          <w:divsChild>
                            <w:div w:id="868877642">
                              <w:marLeft w:val="0"/>
                              <w:marRight w:val="0"/>
                              <w:marTop w:val="0"/>
                              <w:marBottom w:val="0"/>
                              <w:divBdr>
                                <w:top w:val="none" w:sz="0" w:space="0" w:color="auto"/>
                                <w:left w:val="none" w:sz="0" w:space="0" w:color="auto"/>
                                <w:bottom w:val="none" w:sz="0" w:space="0" w:color="auto"/>
                                <w:right w:val="none" w:sz="0" w:space="0" w:color="auto"/>
                              </w:divBdr>
                              <w:divsChild>
                                <w:div w:id="1029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32662">
      <w:bodyDiv w:val="1"/>
      <w:marLeft w:val="0"/>
      <w:marRight w:val="0"/>
      <w:marTop w:val="0"/>
      <w:marBottom w:val="0"/>
      <w:divBdr>
        <w:top w:val="none" w:sz="0" w:space="0" w:color="auto"/>
        <w:left w:val="none" w:sz="0" w:space="0" w:color="auto"/>
        <w:bottom w:val="none" w:sz="0" w:space="0" w:color="auto"/>
        <w:right w:val="none" w:sz="0" w:space="0" w:color="auto"/>
      </w:divBdr>
    </w:div>
    <w:div w:id="238249491">
      <w:bodyDiv w:val="1"/>
      <w:marLeft w:val="0"/>
      <w:marRight w:val="0"/>
      <w:marTop w:val="0"/>
      <w:marBottom w:val="0"/>
      <w:divBdr>
        <w:top w:val="none" w:sz="0" w:space="0" w:color="auto"/>
        <w:left w:val="none" w:sz="0" w:space="0" w:color="auto"/>
        <w:bottom w:val="none" w:sz="0" w:space="0" w:color="auto"/>
        <w:right w:val="none" w:sz="0" w:space="0" w:color="auto"/>
      </w:divBdr>
    </w:div>
    <w:div w:id="334306815">
      <w:bodyDiv w:val="1"/>
      <w:marLeft w:val="0"/>
      <w:marRight w:val="0"/>
      <w:marTop w:val="0"/>
      <w:marBottom w:val="0"/>
      <w:divBdr>
        <w:top w:val="none" w:sz="0" w:space="0" w:color="auto"/>
        <w:left w:val="none" w:sz="0" w:space="0" w:color="auto"/>
        <w:bottom w:val="none" w:sz="0" w:space="0" w:color="auto"/>
        <w:right w:val="none" w:sz="0" w:space="0" w:color="auto"/>
      </w:divBdr>
    </w:div>
    <w:div w:id="431904162">
      <w:bodyDiv w:val="1"/>
      <w:marLeft w:val="0"/>
      <w:marRight w:val="0"/>
      <w:marTop w:val="0"/>
      <w:marBottom w:val="0"/>
      <w:divBdr>
        <w:top w:val="none" w:sz="0" w:space="0" w:color="auto"/>
        <w:left w:val="none" w:sz="0" w:space="0" w:color="auto"/>
        <w:bottom w:val="none" w:sz="0" w:space="0" w:color="auto"/>
        <w:right w:val="none" w:sz="0" w:space="0" w:color="auto"/>
      </w:divBdr>
      <w:divsChild>
        <w:div w:id="469439637">
          <w:marLeft w:val="0"/>
          <w:marRight w:val="0"/>
          <w:marTop w:val="0"/>
          <w:marBottom w:val="0"/>
          <w:divBdr>
            <w:top w:val="none" w:sz="0" w:space="0" w:color="auto"/>
            <w:left w:val="none" w:sz="0" w:space="0" w:color="auto"/>
            <w:bottom w:val="none" w:sz="0" w:space="0" w:color="auto"/>
            <w:right w:val="none" w:sz="0" w:space="0" w:color="auto"/>
          </w:divBdr>
          <w:divsChild>
            <w:div w:id="2119252790">
              <w:marLeft w:val="0"/>
              <w:marRight w:val="0"/>
              <w:marTop w:val="0"/>
              <w:marBottom w:val="0"/>
              <w:divBdr>
                <w:top w:val="none" w:sz="0" w:space="0" w:color="C0C0C0"/>
                <w:left w:val="none" w:sz="0" w:space="0" w:color="C0C0C0"/>
                <w:bottom w:val="none" w:sz="0" w:space="0" w:color="C0C0C0"/>
                <w:right w:val="none" w:sz="0" w:space="0" w:color="C0C0C0"/>
              </w:divBdr>
              <w:divsChild>
                <w:div w:id="1259870456">
                  <w:marLeft w:val="0"/>
                  <w:marRight w:val="0"/>
                  <w:marTop w:val="0"/>
                  <w:marBottom w:val="0"/>
                  <w:divBdr>
                    <w:top w:val="none" w:sz="0" w:space="0" w:color="auto"/>
                    <w:left w:val="none" w:sz="0" w:space="0" w:color="auto"/>
                    <w:bottom w:val="none" w:sz="0" w:space="0" w:color="auto"/>
                    <w:right w:val="none" w:sz="0" w:space="0" w:color="auto"/>
                  </w:divBdr>
                  <w:divsChild>
                    <w:div w:id="151915666">
                      <w:marLeft w:val="0"/>
                      <w:marRight w:val="0"/>
                      <w:marTop w:val="0"/>
                      <w:marBottom w:val="0"/>
                      <w:divBdr>
                        <w:top w:val="none" w:sz="0" w:space="0" w:color="auto"/>
                        <w:left w:val="none" w:sz="0" w:space="0" w:color="auto"/>
                        <w:bottom w:val="none" w:sz="0" w:space="0" w:color="auto"/>
                        <w:right w:val="none" w:sz="0" w:space="0" w:color="auto"/>
                      </w:divBdr>
                      <w:divsChild>
                        <w:div w:id="2130665652">
                          <w:marLeft w:val="150"/>
                          <w:marRight w:val="150"/>
                          <w:marTop w:val="150"/>
                          <w:marBottom w:val="150"/>
                          <w:divBdr>
                            <w:top w:val="none" w:sz="0" w:space="0" w:color="auto"/>
                            <w:left w:val="none" w:sz="0" w:space="0" w:color="auto"/>
                            <w:bottom w:val="none" w:sz="0" w:space="0" w:color="auto"/>
                            <w:right w:val="none" w:sz="0" w:space="0" w:color="auto"/>
                          </w:divBdr>
                          <w:divsChild>
                            <w:div w:id="1062798780">
                              <w:marLeft w:val="0"/>
                              <w:marRight w:val="0"/>
                              <w:marTop w:val="0"/>
                              <w:marBottom w:val="0"/>
                              <w:divBdr>
                                <w:top w:val="none" w:sz="0" w:space="0" w:color="auto"/>
                                <w:left w:val="none" w:sz="0" w:space="0" w:color="auto"/>
                                <w:bottom w:val="none" w:sz="0" w:space="0" w:color="auto"/>
                                <w:right w:val="none" w:sz="0" w:space="0" w:color="auto"/>
                              </w:divBdr>
                              <w:divsChild>
                                <w:div w:id="10656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459766">
      <w:bodyDiv w:val="1"/>
      <w:marLeft w:val="0"/>
      <w:marRight w:val="0"/>
      <w:marTop w:val="0"/>
      <w:marBottom w:val="0"/>
      <w:divBdr>
        <w:top w:val="none" w:sz="0" w:space="0" w:color="auto"/>
        <w:left w:val="none" w:sz="0" w:space="0" w:color="auto"/>
        <w:bottom w:val="none" w:sz="0" w:space="0" w:color="auto"/>
        <w:right w:val="none" w:sz="0" w:space="0" w:color="auto"/>
      </w:divBdr>
    </w:div>
    <w:div w:id="588851607">
      <w:bodyDiv w:val="1"/>
      <w:marLeft w:val="0"/>
      <w:marRight w:val="0"/>
      <w:marTop w:val="0"/>
      <w:marBottom w:val="0"/>
      <w:divBdr>
        <w:top w:val="none" w:sz="0" w:space="0" w:color="auto"/>
        <w:left w:val="none" w:sz="0" w:space="0" w:color="auto"/>
        <w:bottom w:val="none" w:sz="0" w:space="0" w:color="auto"/>
        <w:right w:val="none" w:sz="0" w:space="0" w:color="auto"/>
      </w:divBdr>
    </w:div>
    <w:div w:id="1172525617">
      <w:bodyDiv w:val="1"/>
      <w:marLeft w:val="0"/>
      <w:marRight w:val="0"/>
      <w:marTop w:val="0"/>
      <w:marBottom w:val="0"/>
      <w:divBdr>
        <w:top w:val="none" w:sz="0" w:space="0" w:color="auto"/>
        <w:left w:val="none" w:sz="0" w:space="0" w:color="auto"/>
        <w:bottom w:val="none" w:sz="0" w:space="0" w:color="auto"/>
        <w:right w:val="none" w:sz="0" w:space="0" w:color="auto"/>
      </w:divBdr>
    </w:div>
    <w:div w:id="1384334742">
      <w:bodyDiv w:val="1"/>
      <w:marLeft w:val="0"/>
      <w:marRight w:val="0"/>
      <w:marTop w:val="0"/>
      <w:marBottom w:val="0"/>
      <w:divBdr>
        <w:top w:val="none" w:sz="0" w:space="0" w:color="auto"/>
        <w:left w:val="none" w:sz="0" w:space="0" w:color="auto"/>
        <w:bottom w:val="none" w:sz="0" w:space="0" w:color="auto"/>
        <w:right w:val="none" w:sz="0" w:space="0" w:color="auto"/>
      </w:divBdr>
      <w:divsChild>
        <w:div w:id="1692340739">
          <w:marLeft w:val="0"/>
          <w:marRight w:val="0"/>
          <w:marTop w:val="0"/>
          <w:marBottom w:val="0"/>
          <w:divBdr>
            <w:top w:val="none" w:sz="0" w:space="0" w:color="auto"/>
            <w:left w:val="none" w:sz="0" w:space="0" w:color="auto"/>
            <w:bottom w:val="none" w:sz="0" w:space="0" w:color="auto"/>
            <w:right w:val="none" w:sz="0" w:space="0" w:color="auto"/>
          </w:divBdr>
          <w:divsChild>
            <w:div w:id="1398013968">
              <w:marLeft w:val="0"/>
              <w:marRight w:val="0"/>
              <w:marTop w:val="0"/>
              <w:marBottom w:val="0"/>
              <w:divBdr>
                <w:top w:val="none" w:sz="0" w:space="0" w:color="C0C0C0"/>
                <w:left w:val="none" w:sz="0" w:space="0" w:color="C0C0C0"/>
                <w:bottom w:val="none" w:sz="0" w:space="0" w:color="C0C0C0"/>
                <w:right w:val="none" w:sz="0" w:space="0" w:color="C0C0C0"/>
              </w:divBdr>
              <w:divsChild>
                <w:div w:id="1813906341">
                  <w:marLeft w:val="0"/>
                  <w:marRight w:val="0"/>
                  <w:marTop w:val="0"/>
                  <w:marBottom w:val="0"/>
                  <w:divBdr>
                    <w:top w:val="none" w:sz="0" w:space="0" w:color="auto"/>
                    <w:left w:val="none" w:sz="0" w:space="0" w:color="auto"/>
                    <w:bottom w:val="none" w:sz="0" w:space="0" w:color="auto"/>
                    <w:right w:val="none" w:sz="0" w:space="0" w:color="auto"/>
                  </w:divBdr>
                  <w:divsChild>
                    <w:div w:id="1323773591">
                      <w:marLeft w:val="0"/>
                      <w:marRight w:val="0"/>
                      <w:marTop w:val="0"/>
                      <w:marBottom w:val="0"/>
                      <w:divBdr>
                        <w:top w:val="none" w:sz="0" w:space="0" w:color="auto"/>
                        <w:left w:val="none" w:sz="0" w:space="0" w:color="auto"/>
                        <w:bottom w:val="none" w:sz="0" w:space="0" w:color="auto"/>
                        <w:right w:val="none" w:sz="0" w:space="0" w:color="auto"/>
                      </w:divBdr>
                      <w:divsChild>
                        <w:div w:id="1575896628">
                          <w:marLeft w:val="150"/>
                          <w:marRight w:val="150"/>
                          <w:marTop w:val="150"/>
                          <w:marBottom w:val="150"/>
                          <w:divBdr>
                            <w:top w:val="none" w:sz="0" w:space="0" w:color="auto"/>
                            <w:left w:val="none" w:sz="0" w:space="0" w:color="auto"/>
                            <w:bottom w:val="none" w:sz="0" w:space="0" w:color="auto"/>
                            <w:right w:val="none" w:sz="0" w:space="0" w:color="auto"/>
                          </w:divBdr>
                          <w:divsChild>
                            <w:div w:id="1954245485">
                              <w:marLeft w:val="0"/>
                              <w:marRight w:val="0"/>
                              <w:marTop w:val="0"/>
                              <w:marBottom w:val="0"/>
                              <w:divBdr>
                                <w:top w:val="none" w:sz="0" w:space="0" w:color="auto"/>
                                <w:left w:val="none" w:sz="0" w:space="0" w:color="auto"/>
                                <w:bottom w:val="none" w:sz="0" w:space="0" w:color="auto"/>
                                <w:right w:val="none" w:sz="0" w:space="0" w:color="auto"/>
                              </w:divBdr>
                              <w:divsChild>
                                <w:div w:id="8294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941329">
      <w:bodyDiv w:val="1"/>
      <w:marLeft w:val="0"/>
      <w:marRight w:val="0"/>
      <w:marTop w:val="0"/>
      <w:marBottom w:val="0"/>
      <w:divBdr>
        <w:top w:val="none" w:sz="0" w:space="0" w:color="auto"/>
        <w:left w:val="none" w:sz="0" w:space="0" w:color="auto"/>
        <w:bottom w:val="none" w:sz="0" w:space="0" w:color="auto"/>
        <w:right w:val="none" w:sz="0" w:space="0" w:color="auto"/>
      </w:divBdr>
    </w:div>
    <w:div w:id="1504130116">
      <w:bodyDiv w:val="1"/>
      <w:marLeft w:val="0"/>
      <w:marRight w:val="0"/>
      <w:marTop w:val="0"/>
      <w:marBottom w:val="0"/>
      <w:divBdr>
        <w:top w:val="none" w:sz="0" w:space="0" w:color="auto"/>
        <w:left w:val="none" w:sz="0" w:space="0" w:color="auto"/>
        <w:bottom w:val="none" w:sz="0" w:space="0" w:color="auto"/>
        <w:right w:val="none" w:sz="0" w:space="0" w:color="auto"/>
      </w:divBdr>
    </w:div>
    <w:div w:id="1666198872">
      <w:bodyDiv w:val="1"/>
      <w:marLeft w:val="0"/>
      <w:marRight w:val="0"/>
      <w:marTop w:val="0"/>
      <w:marBottom w:val="0"/>
      <w:divBdr>
        <w:top w:val="none" w:sz="0" w:space="0" w:color="auto"/>
        <w:left w:val="none" w:sz="0" w:space="0" w:color="auto"/>
        <w:bottom w:val="none" w:sz="0" w:space="0" w:color="auto"/>
        <w:right w:val="none" w:sz="0" w:space="0" w:color="auto"/>
      </w:divBdr>
    </w:div>
    <w:div w:id="1791511156">
      <w:bodyDiv w:val="1"/>
      <w:marLeft w:val="0"/>
      <w:marRight w:val="0"/>
      <w:marTop w:val="0"/>
      <w:marBottom w:val="0"/>
      <w:divBdr>
        <w:top w:val="none" w:sz="0" w:space="0" w:color="auto"/>
        <w:left w:val="none" w:sz="0" w:space="0" w:color="auto"/>
        <w:bottom w:val="none" w:sz="0" w:space="0" w:color="auto"/>
        <w:right w:val="none" w:sz="0" w:space="0" w:color="auto"/>
      </w:divBdr>
    </w:div>
    <w:div w:id="1815026345">
      <w:bodyDiv w:val="1"/>
      <w:marLeft w:val="0"/>
      <w:marRight w:val="0"/>
      <w:marTop w:val="0"/>
      <w:marBottom w:val="0"/>
      <w:divBdr>
        <w:top w:val="none" w:sz="0" w:space="0" w:color="auto"/>
        <w:left w:val="none" w:sz="0" w:space="0" w:color="auto"/>
        <w:bottom w:val="none" w:sz="0" w:space="0" w:color="auto"/>
        <w:right w:val="none" w:sz="0" w:space="0" w:color="auto"/>
      </w:divBdr>
    </w:div>
    <w:div w:id="1932160633">
      <w:bodyDiv w:val="1"/>
      <w:marLeft w:val="0"/>
      <w:marRight w:val="0"/>
      <w:marTop w:val="0"/>
      <w:marBottom w:val="0"/>
      <w:divBdr>
        <w:top w:val="none" w:sz="0" w:space="0" w:color="auto"/>
        <w:left w:val="none" w:sz="0" w:space="0" w:color="auto"/>
        <w:bottom w:val="none" w:sz="0" w:space="0" w:color="auto"/>
        <w:right w:val="none" w:sz="0" w:space="0" w:color="auto"/>
      </w:divBdr>
      <w:divsChild>
        <w:div w:id="418137127">
          <w:marLeft w:val="0"/>
          <w:marRight w:val="0"/>
          <w:marTop w:val="0"/>
          <w:marBottom w:val="0"/>
          <w:divBdr>
            <w:top w:val="none" w:sz="0" w:space="0" w:color="auto"/>
            <w:left w:val="none" w:sz="0" w:space="0" w:color="auto"/>
            <w:bottom w:val="none" w:sz="0" w:space="0" w:color="auto"/>
            <w:right w:val="none" w:sz="0" w:space="0" w:color="auto"/>
          </w:divBdr>
          <w:divsChild>
            <w:div w:id="2014674503">
              <w:marLeft w:val="0"/>
              <w:marRight w:val="0"/>
              <w:marTop w:val="0"/>
              <w:marBottom w:val="0"/>
              <w:divBdr>
                <w:top w:val="none" w:sz="0" w:space="0" w:color="C0C0C0"/>
                <w:left w:val="none" w:sz="0" w:space="0" w:color="C0C0C0"/>
                <w:bottom w:val="none" w:sz="0" w:space="0" w:color="C0C0C0"/>
                <w:right w:val="none" w:sz="0" w:space="0" w:color="C0C0C0"/>
              </w:divBdr>
              <w:divsChild>
                <w:div w:id="1687973825">
                  <w:marLeft w:val="0"/>
                  <w:marRight w:val="0"/>
                  <w:marTop w:val="0"/>
                  <w:marBottom w:val="0"/>
                  <w:divBdr>
                    <w:top w:val="none" w:sz="0" w:space="0" w:color="auto"/>
                    <w:left w:val="none" w:sz="0" w:space="0" w:color="auto"/>
                    <w:bottom w:val="none" w:sz="0" w:space="0" w:color="auto"/>
                    <w:right w:val="none" w:sz="0" w:space="0" w:color="auto"/>
                  </w:divBdr>
                  <w:divsChild>
                    <w:div w:id="203298103">
                      <w:marLeft w:val="0"/>
                      <w:marRight w:val="0"/>
                      <w:marTop w:val="0"/>
                      <w:marBottom w:val="0"/>
                      <w:divBdr>
                        <w:top w:val="none" w:sz="0" w:space="0" w:color="auto"/>
                        <w:left w:val="none" w:sz="0" w:space="0" w:color="auto"/>
                        <w:bottom w:val="none" w:sz="0" w:space="0" w:color="auto"/>
                        <w:right w:val="none" w:sz="0" w:space="0" w:color="auto"/>
                      </w:divBdr>
                      <w:divsChild>
                        <w:div w:id="1796099181">
                          <w:marLeft w:val="150"/>
                          <w:marRight w:val="150"/>
                          <w:marTop w:val="150"/>
                          <w:marBottom w:val="150"/>
                          <w:divBdr>
                            <w:top w:val="none" w:sz="0" w:space="0" w:color="auto"/>
                            <w:left w:val="none" w:sz="0" w:space="0" w:color="auto"/>
                            <w:bottom w:val="none" w:sz="0" w:space="0" w:color="auto"/>
                            <w:right w:val="none" w:sz="0" w:space="0" w:color="auto"/>
                          </w:divBdr>
                          <w:divsChild>
                            <w:div w:id="1082066677">
                              <w:marLeft w:val="0"/>
                              <w:marRight w:val="0"/>
                              <w:marTop w:val="0"/>
                              <w:marBottom w:val="0"/>
                              <w:divBdr>
                                <w:top w:val="none" w:sz="0" w:space="0" w:color="auto"/>
                                <w:left w:val="none" w:sz="0" w:space="0" w:color="auto"/>
                                <w:bottom w:val="none" w:sz="0" w:space="0" w:color="auto"/>
                                <w:right w:val="none" w:sz="0" w:space="0" w:color="auto"/>
                              </w:divBdr>
                              <w:divsChild>
                                <w:div w:id="7693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phys.org/news/2019-05-million-co2-historic-high.html" TargetMode="External"/><Relationship Id="rId13" Type="http://schemas.openxmlformats.org/officeDocument/2006/relationships/hyperlink" Target="https://www.theguardian.com/us-news/2018/dec/21/new-york-rat-crisis-climate-change" TargetMode="External"/><Relationship Id="rId18" Type="http://schemas.openxmlformats.org/officeDocument/2006/relationships/hyperlink" Target="https://www.ucsusa.org/resources/each-countrys-share-co2-emissions" TargetMode="External"/><Relationship Id="rId26" Type="http://schemas.openxmlformats.org/officeDocument/2006/relationships/hyperlink" Target="https://www.vox.com/energy-and-environment/2019/4/24/18512804/climate-change-united-states-china-emissions" TargetMode="External"/><Relationship Id="rId3" Type="http://schemas.openxmlformats.org/officeDocument/2006/relationships/hyperlink" Target="https://gcos.wmo.int/en/about/gcos-story" TargetMode="External"/><Relationship Id="rId21" Type="http://schemas.openxmlformats.org/officeDocument/2006/relationships/hyperlink" Target="https://www.theverge.com/2020/11/2/21545690/fossil-fuels-nuclear-non-proliferation-treaty-climate-change" TargetMode="External"/><Relationship Id="rId7" Type="http://schemas.openxmlformats.org/officeDocument/2006/relationships/hyperlink" Target="https://www.esrl.noaa.gov/gmd/ccgg/trends/" TargetMode="External"/><Relationship Id="rId12" Type="http://schemas.openxmlformats.org/officeDocument/2006/relationships/hyperlink" Target="https://www.popsci.com/winter-warm-mosquitoes-ticks" TargetMode="External"/><Relationship Id="rId17" Type="http://schemas.openxmlformats.org/officeDocument/2006/relationships/hyperlink" Target="https://www.c2es.org/content/international-emissions/" TargetMode="External"/><Relationship Id="rId25" Type="http://schemas.openxmlformats.org/officeDocument/2006/relationships/hyperlink" Target="https://www.c2es.org/content/international-emissions/" TargetMode="External"/><Relationship Id="rId2" Type="http://schemas.openxmlformats.org/officeDocument/2006/relationships/hyperlink" Target="https://nca2018.globalchange.gov/" TargetMode="External"/><Relationship Id="rId16" Type="http://schemas.openxmlformats.org/officeDocument/2006/relationships/hyperlink" Target="https://www.eia.gov/energyexplained/energy-and-the-environment/where-greenhouse-gases-come-from.php" TargetMode="External"/><Relationship Id="rId20" Type="http://schemas.openxmlformats.org/officeDocument/2006/relationships/hyperlink" Target="https://news.un.org/en/story/2020/12/1079012"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www.epa.gov/sites/production/files/2016-08/documents/climate_indicators_2016.pdf" TargetMode="External"/><Relationship Id="rId11" Type="http://schemas.openxmlformats.org/officeDocument/2006/relationships/hyperlink" Target="https://ehp.niehs.nih.gov/doi/10.1289/ehp166" TargetMode="External"/><Relationship Id="rId24" Type="http://schemas.openxmlformats.org/officeDocument/2006/relationships/hyperlink" Target="https://fossilfueltreaty.org/" TargetMode="External"/><Relationship Id="rId5" Type="http://schemas.openxmlformats.org/officeDocument/2006/relationships/hyperlink" Target="https://www.epa.gov/sites/production/files/2016-11/documents/climate-indicators-2016-fact-sheet.pdf" TargetMode="External"/><Relationship Id="rId15" Type="http://schemas.openxmlformats.org/officeDocument/2006/relationships/hyperlink" Target="https://journals.plos.org/plosntds/article?id=10.1371/journal.pntd.0007213" TargetMode="External"/><Relationship Id="rId23" Type="http://schemas.openxmlformats.org/officeDocument/2006/relationships/hyperlink" Target="http://www.lofotendeclaration.org/" TargetMode="External"/><Relationship Id="rId10" Type="http://schemas.openxmlformats.org/officeDocument/2006/relationships/hyperlink" Target="https://journals.sagepub.com/doi/pdf/10.1177/2053019616688022" TargetMode="External"/><Relationship Id="rId19" Type="http://schemas.openxmlformats.org/officeDocument/2006/relationships/hyperlink" Target="https://wedocs.unep.org/bitstream/handle/20.500.11822/30797/EGR2019.pdf?sequence=1&amp;isAllowed=y" TargetMode="External"/><Relationship Id="rId4" Type="http://schemas.openxmlformats.org/officeDocument/2006/relationships/hyperlink" Target="https://gcos.wmo.int/en/global-climate-indicators" TargetMode="External"/><Relationship Id="rId9" Type="http://schemas.openxmlformats.org/officeDocument/2006/relationships/hyperlink" Target="https://climate.nasa.gov/climate_resources/24/graphic-the-relentless-rise-of-carbon-dioxide/" TargetMode="External"/><Relationship Id="rId14" Type="http://schemas.openxmlformats.org/officeDocument/2006/relationships/hyperlink" Target="https://www.nbclosangeles.com/investigations/Typhus-Epidemic-Worsens-in-Los-Angeles-505166301.html" TargetMode="External"/><Relationship Id="rId22" Type="http://schemas.openxmlformats.org/officeDocument/2006/relationships/hyperlink" Target="https://fossilfueltrea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D3844-8238-4878-A39F-40A73942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2980</Words>
  <Characters>16991</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2020-12-15T17:45:00Z</dcterms:created>
  <dcterms:modified xsi:type="dcterms:W3CDTF">2020-12-15T17:45:00Z</dcterms:modified>
</cp:coreProperties>
</file>