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FF881" w14:textId="77777777" w:rsidR="00FD3A4F" w:rsidRPr="00EF089C" w:rsidDel="00A72625" w:rsidRDefault="00FD3A4F" w:rsidP="00FD3A4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0" w:line="240" w:lineRule="auto"/>
        <w:jc w:val="both"/>
        <w:rPr>
          <w:rFonts w:ascii="Times New Roman" w:eastAsia="Times New Roman" w:hAnsi="Times New Roman" w:cs="Times New Roman"/>
          <w:b/>
          <w:sz w:val="24"/>
          <w:szCs w:val="24"/>
        </w:rPr>
      </w:pPr>
      <w:bookmarkStart w:id="0" w:name="_GoBack"/>
      <w:bookmarkEnd w:id="0"/>
      <w:r w:rsidRPr="00EF089C">
        <w:rPr>
          <w:rFonts w:ascii="Times New Roman" w:eastAsia="Times New Roman" w:hAnsi="Times New Roman" w:cs="Times New Roman"/>
          <w:sz w:val="24"/>
          <w:szCs w:val="24"/>
          <w:u w:val="single"/>
        </w:rPr>
        <w:t>Finance Division Staff:</w:t>
      </w:r>
      <w:r w:rsidRPr="00EF089C">
        <w:rPr>
          <w:rFonts w:ascii="Times New Roman" w:eastAsia="Times New Roman" w:hAnsi="Times New Roman" w:cs="Times New Roman"/>
          <w:b/>
          <w:sz w:val="24"/>
          <w:szCs w:val="24"/>
        </w:rPr>
        <w:tab/>
      </w:r>
      <w:r w:rsidRPr="00EF089C">
        <w:rPr>
          <w:rFonts w:ascii="Times New Roman" w:eastAsia="Times New Roman" w:hAnsi="Times New Roman" w:cs="Times New Roman"/>
          <w:b/>
          <w:sz w:val="24"/>
          <w:szCs w:val="24"/>
        </w:rPr>
        <w:tab/>
      </w:r>
      <w:r w:rsidRPr="00EF089C">
        <w:rPr>
          <w:rFonts w:ascii="Times New Roman" w:eastAsia="Times New Roman" w:hAnsi="Times New Roman" w:cs="Times New Roman"/>
          <w:b/>
          <w:sz w:val="24"/>
          <w:szCs w:val="24"/>
        </w:rPr>
        <w:tab/>
        <w:t xml:space="preserve">       </w:t>
      </w:r>
      <w:r w:rsidRPr="00EF089C">
        <w:rPr>
          <w:rFonts w:ascii="Times New Roman" w:eastAsia="Times New Roman" w:hAnsi="Times New Roman" w:cs="Times New Roman"/>
          <w:sz w:val="24"/>
          <w:szCs w:val="24"/>
          <w:u w:val="single"/>
        </w:rPr>
        <w:t>Legislative Division Staff:</w:t>
      </w:r>
    </w:p>
    <w:p w14:paraId="67FD0EBB" w14:textId="77777777" w:rsidR="00FD3A4F" w:rsidRPr="00EF089C" w:rsidRDefault="00FD3A4F" w:rsidP="00FD3A4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0" w:line="240" w:lineRule="auto"/>
        <w:ind w:left="5760"/>
        <w:jc w:val="both"/>
        <w:rPr>
          <w:rFonts w:ascii="Times New Roman" w:eastAsia="Times New Roman" w:hAnsi="Times New Roman" w:cs="Times New Roman"/>
          <w:sz w:val="24"/>
          <w:szCs w:val="24"/>
        </w:rPr>
      </w:pPr>
    </w:p>
    <w:p w14:paraId="722AF9AB" w14:textId="075FBC51" w:rsidR="00FD3A4F" w:rsidRPr="00FA488A" w:rsidRDefault="00FD3A4F" w:rsidP="00FD3A4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0" w:line="240" w:lineRule="auto"/>
        <w:ind w:left="5760" w:hanging="5760"/>
        <w:rPr>
          <w:rFonts w:ascii="Times New Roman" w:eastAsia="Times New Roman" w:hAnsi="Times New Roman" w:cs="Times New Roman"/>
          <w:sz w:val="24"/>
          <w:szCs w:val="24"/>
        </w:rPr>
      </w:pPr>
      <w:r w:rsidRPr="00FA488A">
        <w:rPr>
          <w:rFonts w:ascii="Times New Roman" w:eastAsia="Times New Roman" w:hAnsi="Times New Roman" w:cs="Times New Roman"/>
          <w:sz w:val="24"/>
          <w:szCs w:val="24"/>
        </w:rPr>
        <w:t xml:space="preserve">Rebecca Chasan, Senior Counsel </w:t>
      </w:r>
      <w:r w:rsidRPr="00FA488A">
        <w:rPr>
          <w:rFonts w:ascii="Times New Roman" w:eastAsia="Times New Roman" w:hAnsi="Times New Roman" w:cs="Times New Roman"/>
          <w:sz w:val="24"/>
          <w:szCs w:val="24"/>
        </w:rPr>
        <w:tab/>
      </w:r>
      <w:r w:rsidRPr="00FA488A">
        <w:rPr>
          <w:rFonts w:ascii="Times New Roman" w:eastAsia="Times New Roman" w:hAnsi="Times New Roman" w:cs="Times New Roman"/>
          <w:sz w:val="24"/>
          <w:szCs w:val="24"/>
        </w:rPr>
        <w:tab/>
        <w:t xml:space="preserve">        </w:t>
      </w:r>
      <w:r w:rsidR="004B0E87" w:rsidRPr="00FA488A">
        <w:rPr>
          <w:rFonts w:ascii="Times New Roman" w:eastAsia="Times New Roman" w:hAnsi="Times New Roman" w:cs="Times New Roman"/>
          <w:sz w:val="24"/>
          <w:szCs w:val="24"/>
        </w:rPr>
        <w:t>Audrey Son</w:t>
      </w:r>
      <w:r w:rsidRPr="00FA488A">
        <w:rPr>
          <w:rFonts w:ascii="Times New Roman" w:eastAsia="Times New Roman" w:hAnsi="Times New Roman" w:cs="Times New Roman"/>
          <w:sz w:val="24"/>
          <w:szCs w:val="24"/>
        </w:rPr>
        <w:t>, Legislative Counsel</w:t>
      </w:r>
    </w:p>
    <w:p w14:paraId="454290D1" w14:textId="20267FF4" w:rsidR="00EF089C" w:rsidRPr="00FA488A" w:rsidRDefault="00911918" w:rsidP="00FD3A4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0" w:line="240" w:lineRule="auto"/>
        <w:rPr>
          <w:rFonts w:ascii="Times New Roman" w:eastAsia="Times New Roman" w:hAnsi="Times New Roman" w:cs="Times New Roman"/>
          <w:sz w:val="24"/>
          <w:szCs w:val="24"/>
        </w:rPr>
      </w:pPr>
      <w:r w:rsidRPr="00FA488A">
        <w:rPr>
          <w:rFonts w:ascii="Times New Roman" w:eastAsia="Times New Roman" w:hAnsi="Times New Roman" w:cs="Times New Roman"/>
          <w:sz w:val="24"/>
          <w:szCs w:val="24"/>
        </w:rPr>
        <w:t>Stephanie Ruiz</w:t>
      </w:r>
      <w:r w:rsidR="00FD3A4F" w:rsidRPr="00FA488A">
        <w:rPr>
          <w:rFonts w:ascii="Times New Roman" w:eastAsia="Times New Roman" w:hAnsi="Times New Roman" w:cs="Times New Roman"/>
          <w:sz w:val="24"/>
          <w:szCs w:val="24"/>
        </w:rPr>
        <w:t>, Assistant Counsel</w:t>
      </w:r>
      <w:r w:rsidR="004B0E87" w:rsidRPr="00FA488A">
        <w:rPr>
          <w:rFonts w:ascii="Times New Roman" w:eastAsia="Times New Roman" w:hAnsi="Times New Roman" w:cs="Times New Roman"/>
          <w:sz w:val="24"/>
          <w:szCs w:val="24"/>
        </w:rPr>
        <w:tab/>
      </w:r>
      <w:r w:rsidR="004B0E87" w:rsidRPr="00FA488A">
        <w:rPr>
          <w:rFonts w:ascii="Times New Roman" w:eastAsia="Times New Roman" w:hAnsi="Times New Roman" w:cs="Times New Roman"/>
          <w:sz w:val="24"/>
          <w:szCs w:val="24"/>
        </w:rPr>
        <w:tab/>
        <w:t xml:space="preserve">        </w:t>
      </w:r>
      <w:r w:rsidR="00FA488A" w:rsidRPr="00FA488A">
        <w:rPr>
          <w:rFonts w:ascii="Times New Roman" w:eastAsia="Times New Roman" w:hAnsi="Times New Roman" w:cs="Times New Roman"/>
          <w:sz w:val="24"/>
          <w:szCs w:val="24"/>
        </w:rPr>
        <w:t>Ricky Chawla, Legislative Policy Analyst</w:t>
      </w:r>
    </w:p>
    <w:p w14:paraId="5D7775E8" w14:textId="78196E46" w:rsidR="00EF089C" w:rsidRPr="00FD3A4F" w:rsidRDefault="00EF089C" w:rsidP="00EF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0" w:line="240" w:lineRule="auto"/>
        <w:rPr>
          <w:rFonts w:ascii="Times New Roman" w:eastAsia="Times New Roman" w:hAnsi="Times New Roman" w:cs="Times New Roman"/>
          <w:sz w:val="24"/>
          <w:szCs w:val="24"/>
        </w:rPr>
      </w:pPr>
      <w:r w:rsidRPr="00FA488A">
        <w:rPr>
          <w:rFonts w:ascii="Times New Roman" w:eastAsia="Times New Roman" w:hAnsi="Times New Roman" w:cs="Times New Roman"/>
          <w:sz w:val="24"/>
          <w:szCs w:val="24"/>
        </w:rPr>
        <w:t xml:space="preserve"> </w:t>
      </w:r>
      <w:r w:rsidRPr="00FA488A">
        <w:rPr>
          <w:rFonts w:ascii="Times New Roman" w:eastAsia="Times New Roman" w:hAnsi="Times New Roman" w:cs="Times New Roman"/>
          <w:sz w:val="24"/>
          <w:szCs w:val="24"/>
        </w:rPr>
        <w:tab/>
      </w:r>
      <w:r w:rsidRPr="00FA488A">
        <w:rPr>
          <w:rFonts w:ascii="Times New Roman" w:eastAsia="Times New Roman" w:hAnsi="Times New Roman" w:cs="Times New Roman"/>
          <w:sz w:val="24"/>
          <w:szCs w:val="24"/>
        </w:rPr>
        <w:tab/>
      </w:r>
      <w:r w:rsidRPr="00FA488A">
        <w:rPr>
          <w:rFonts w:ascii="Times New Roman" w:eastAsia="Times New Roman" w:hAnsi="Times New Roman" w:cs="Times New Roman"/>
          <w:sz w:val="24"/>
          <w:szCs w:val="24"/>
        </w:rPr>
        <w:tab/>
      </w:r>
      <w:r w:rsidRPr="00FA488A">
        <w:rPr>
          <w:rFonts w:ascii="Times New Roman" w:eastAsia="Times New Roman" w:hAnsi="Times New Roman" w:cs="Times New Roman"/>
          <w:sz w:val="24"/>
          <w:szCs w:val="24"/>
        </w:rPr>
        <w:tab/>
      </w:r>
      <w:r w:rsidRPr="00FA488A">
        <w:rPr>
          <w:rFonts w:ascii="Times New Roman" w:eastAsia="Times New Roman" w:hAnsi="Times New Roman" w:cs="Times New Roman"/>
          <w:sz w:val="24"/>
          <w:szCs w:val="24"/>
        </w:rPr>
        <w:tab/>
      </w:r>
      <w:r w:rsidRPr="00FA488A">
        <w:rPr>
          <w:rFonts w:ascii="Times New Roman" w:eastAsia="Times New Roman" w:hAnsi="Times New Roman" w:cs="Times New Roman"/>
          <w:sz w:val="24"/>
          <w:szCs w:val="24"/>
        </w:rPr>
        <w:tab/>
        <w:t xml:space="preserve">        </w:t>
      </w:r>
      <w:r w:rsidR="00FA488A" w:rsidRPr="00FA488A">
        <w:rPr>
          <w:rFonts w:ascii="Times New Roman" w:eastAsia="Times New Roman" w:hAnsi="Times New Roman" w:cs="Times New Roman"/>
          <w:sz w:val="24"/>
          <w:szCs w:val="24"/>
        </w:rPr>
        <w:t>Jose Conde, Legislative Policy Analyst</w:t>
      </w:r>
    </w:p>
    <w:p w14:paraId="540A35CC" w14:textId="0909959E" w:rsidR="00FD3A4F" w:rsidRPr="00FD3A4F" w:rsidRDefault="00FD3A4F" w:rsidP="00EF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0" w:line="240" w:lineRule="auto"/>
        <w:jc w:val="center"/>
        <w:rPr>
          <w:rFonts w:ascii="Times New Roman" w:eastAsia="Times New Roman" w:hAnsi="Times New Roman" w:cs="Times New Roman"/>
          <w:sz w:val="24"/>
          <w:szCs w:val="24"/>
        </w:rPr>
      </w:pPr>
    </w:p>
    <w:p w14:paraId="26BEC2D4" w14:textId="77777777" w:rsidR="00FD3A4F" w:rsidRPr="00FD3A4F" w:rsidRDefault="00FD3A4F" w:rsidP="00FD3A4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0" w:line="240" w:lineRule="auto"/>
        <w:rPr>
          <w:rFonts w:ascii="Times New Roman" w:eastAsia="Times New Roman" w:hAnsi="Times New Roman" w:cs="Times New Roman"/>
          <w:sz w:val="24"/>
          <w:szCs w:val="24"/>
        </w:rPr>
      </w:pPr>
      <w:r w:rsidRPr="00FD3A4F">
        <w:rPr>
          <w:rFonts w:ascii="Times New Roman" w:eastAsia="Times New Roman" w:hAnsi="Times New Roman" w:cs="Times New Roman"/>
          <w:sz w:val="24"/>
          <w:szCs w:val="24"/>
        </w:rPr>
        <w:tab/>
      </w:r>
      <w:r w:rsidRPr="00FD3A4F">
        <w:rPr>
          <w:rFonts w:ascii="Times New Roman" w:eastAsia="Times New Roman" w:hAnsi="Times New Roman" w:cs="Times New Roman"/>
          <w:sz w:val="24"/>
          <w:szCs w:val="24"/>
        </w:rPr>
        <w:tab/>
      </w:r>
    </w:p>
    <w:p w14:paraId="7F45122F" w14:textId="77777777" w:rsidR="00FD3A4F" w:rsidRPr="00FD3A4F" w:rsidRDefault="00FD3A4F" w:rsidP="00FD3A4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0" w:line="240" w:lineRule="auto"/>
        <w:rPr>
          <w:rFonts w:ascii="Times New Roman" w:eastAsia="Times New Roman" w:hAnsi="Times New Roman" w:cs="Times New Roman"/>
          <w:sz w:val="24"/>
          <w:szCs w:val="24"/>
        </w:rPr>
      </w:pPr>
    </w:p>
    <w:p w14:paraId="17D786BE" w14:textId="77777777" w:rsidR="00FD3A4F" w:rsidRPr="00FD3A4F" w:rsidRDefault="00FD3A4F" w:rsidP="00FD3A4F">
      <w:pPr>
        <w:widowControl w:val="0"/>
        <w:suppressAutoHyphens/>
        <w:spacing w:after="0" w:line="240" w:lineRule="auto"/>
        <w:jc w:val="center"/>
        <w:rPr>
          <w:rFonts w:ascii="Times New Roman" w:eastAsia="Times New Roman" w:hAnsi="Times New Roman" w:cs="Times New Roman"/>
          <w:sz w:val="24"/>
          <w:szCs w:val="24"/>
        </w:rPr>
      </w:pPr>
      <w:r w:rsidRPr="00FD3A4F">
        <w:rPr>
          <w:rFonts w:ascii="Times New Roman" w:eastAsia="Times New Roman" w:hAnsi="Times New Roman" w:cs="Times New Roman"/>
          <w:noProof/>
          <w:sz w:val="24"/>
          <w:szCs w:val="24"/>
        </w:rPr>
        <w:drawing>
          <wp:inline distT="0" distB="0" distL="0" distR="0" wp14:anchorId="2DE05393" wp14:editId="11F2FCEE">
            <wp:extent cx="1095375" cy="1116330"/>
            <wp:effectExtent l="0" t="0" r="952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116330"/>
                    </a:xfrm>
                    <a:prstGeom prst="rect">
                      <a:avLst/>
                    </a:prstGeom>
                    <a:noFill/>
                    <a:ln>
                      <a:noFill/>
                    </a:ln>
                  </pic:spPr>
                </pic:pic>
              </a:graphicData>
            </a:graphic>
          </wp:inline>
        </w:drawing>
      </w:r>
    </w:p>
    <w:p w14:paraId="4258EFA1" w14:textId="77777777" w:rsidR="00FD3A4F" w:rsidRPr="00FD3A4F" w:rsidRDefault="00FD3A4F" w:rsidP="00FD3A4F">
      <w:pPr>
        <w:widowControl w:val="0"/>
        <w:tabs>
          <w:tab w:val="center" w:pos="4680"/>
        </w:tabs>
        <w:suppressAutoHyphens/>
        <w:spacing w:after="0" w:line="240" w:lineRule="auto"/>
        <w:rPr>
          <w:rFonts w:ascii="Times New Roman" w:eastAsia="Times New Roman" w:hAnsi="Times New Roman" w:cs="Times New Roman"/>
          <w:b/>
          <w:sz w:val="24"/>
          <w:szCs w:val="24"/>
        </w:rPr>
      </w:pPr>
    </w:p>
    <w:p w14:paraId="68EDCDB3" w14:textId="77777777" w:rsidR="00FD3A4F" w:rsidRPr="00FD3A4F" w:rsidRDefault="00FD3A4F" w:rsidP="00FD3A4F">
      <w:pPr>
        <w:keepNext/>
        <w:keepLines/>
        <w:widowControl w:val="0"/>
        <w:suppressAutoHyphens/>
        <w:spacing w:before="200" w:after="0" w:line="240" w:lineRule="auto"/>
        <w:jc w:val="center"/>
        <w:outlineLvl w:val="2"/>
        <w:rPr>
          <w:rFonts w:ascii="Times New Roman" w:eastAsia="Times New Roman" w:hAnsi="Times New Roman" w:cs="Times New Roman"/>
          <w:b/>
          <w:sz w:val="24"/>
          <w:szCs w:val="24"/>
        </w:rPr>
      </w:pPr>
      <w:r w:rsidRPr="00FD3A4F">
        <w:rPr>
          <w:rFonts w:ascii="Times New Roman" w:eastAsia="Times New Roman" w:hAnsi="Times New Roman" w:cs="Times New Roman"/>
          <w:b/>
          <w:sz w:val="24"/>
          <w:szCs w:val="24"/>
        </w:rPr>
        <w:t>THE COUNCIL OF THE CITY OF NEW YORK</w:t>
      </w:r>
    </w:p>
    <w:p w14:paraId="05F9408B" w14:textId="77777777" w:rsidR="00FD3A4F" w:rsidRPr="00FD3A4F" w:rsidRDefault="00FD3A4F" w:rsidP="00FD3A4F">
      <w:pPr>
        <w:widowControl w:val="0"/>
        <w:tabs>
          <w:tab w:val="center" w:pos="4680"/>
        </w:tabs>
        <w:suppressAutoHyphens/>
        <w:spacing w:after="0" w:line="240" w:lineRule="auto"/>
        <w:jc w:val="center"/>
        <w:rPr>
          <w:rFonts w:ascii="Times New Roman" w:eastAsia="Times New Roman" w:hAnsi="Times New Roman" w:cs="Times New Roman"/>
          <w:b/>
          <w:bCs/>
          <w:sz w:val="24"/>
          <w:szCs w:val="24"/>
        </w:rPr>
      </w:pPr>
    </w:p>
    <w:p w14:paraId="462DD948" w14:textId="77777777" w:rsidR="00FD3A4F" w:rsidRPr="00FD3A4F" w:rsidRDefault="00FD3A4F" w:rsidP="00FD3A4F">
      <w:pPr>
        <w:widowControl w:val="0"/>
        <w:tabs>
          <w:tab w:val="center" w:pos="4680"/>
        </w:tabs>
        <w:suppressAutoHyphens/>
        <w:spacing w:after="0" w:line="240" w:lineRule="auto"/>
        <w:jc w:val="center"/>
        <w:rPr>
          <w:rFonts w:ascii="Times New Roman" w:eastAsia="Times New Roman" w:hAnsi="Times New Roman" w:cs="Times New Roman"/>
          <w:b/>
          <w:bCs/>
          <w:sz w:val="24"/>
          <w:szCs w:val="24"/>
          <w:u w:val="single"/>
        </w:rPr>
      </w:pPr>
      <w:r w:rsidRPr="00FD3A4F">
        <w:rPr>
          <w:rFonts w:ascii="Times New Roman" w:eastAsia="Times New Roman" w:hAnsi="Times New Roman" w:cs="Times New Roman"/>
          <w:b/>
          <w:bCs/>
          <w:sz w:val="24"/>
          <w:szCs w:val="24"/>
          <w:u w:val="single"/>
        </w:rPr>
        <w:t>JEFFREY BAKER, LEGISLATIVE DIRECTOR</w:t>
      </w:r>
    </w:p>
    <w:p w14:paraId="67F56F41" w14:textId="77777777" w:rsidR="00FD3A4F" w:rsidRPr="00FD3A4F" w:rsidRDefault="00FD3A4F" w:rsidP="00FD3A4F">
      <w:pPr>
        <w:widowControl w:val="0"/>
        <w:tabs>
          <w:tab w:val="center" w:pos="4680"/>
        </w:tabs>
        <w:suppressAutoHyphens/>
        <w:spacing w:after="0" w:line="240" w:lineRule="auto"/>
        <w:jc w:val="center"/>
        <w:rPr>
          <w:rFonts w:ascii="Times New Roman" w:eastAsia="Times New Roman" w:hAnsi="Times New Roman" w:cs="Times New Roman"/>
          <w:b/>
          <w:bCs/>
          <w:sz w:val="24"/>
          <w:szCs w:val="24"/>
          <w:u w:val="single"/>
        </w:rPr>
      </w:pPr>
      <w:r w:rsidRPr="00FD3A4F">
        <w:rPr>
          <w:rFonts w:ascii="Times New Roman" w:eastAsia="Times New Roman" w:hAnsi="Times New Roman" w:cs="Times New Roman"/>
          <w:b/>
          <w:bCs/>
          <w:sz w:val="24"/>
          <w:szCs w:val="24"/>
          <w:u w:val="single"/>
        </w:rPr>
        <w:t>LATONIA MCKINNEY, DIRECTOR, FINANCE DIVISION</w:t>
      </w:r>
    </w:p>
    <w:p w14:paraId="4DB9F11F" w14:textId="77777777" w:rsidR="00FD3A4F" w:rsidRPr="00FD3A4F" w:rsidRDefault="00FD3A4F" w:rsidP="00FD3A4F">
      <w:pPr>
        <w:widowControl w:val="0"/>
        <w:tabs>
          <w:tab w:val="center" w:pos="4680"/>
        </w:tabs>
        <w:suppressAutoHyphens/>
        <w:spacing w:after="0" w:line="240" w:lineRule="auto"/>
        <w:jc w:val="center"/>
        <w:rPr>
          <w:rFonts w:ascii="Times New Roman" w:eastAsia="Times New Roman" w:hAnsi="Times New Roman" w:cs="Times New Roman"/>
          <w:b/>
          <w:sz w:val="24"/>
          <w:szCs w:val="24"/>
        </w:rPr>
      </w:pPr>
    </w:p>
    <w:p w14:paraId="71640A4D" w14:textId="77777777" w:rsidR="00FD3A4F" w:rsidRPr="00FD3A4F" w:rsidRDefault="00FD3A4F" w:rsidP="00FD3A4F">
      <w:pPr>
        <w:widowControl w:val="0"/>
        <w:suppressAutoHyphens/>
        <w:spacing w:after="0" w:line="240" w:lineRule="auto"/>
        <w:rPr>
          <w:rFonts w:ascii="Times New Roman" w:eastAsia="Times New Roman" w:hAnsi="Times New Roman" w:cs="Times New Roman"/>
          <w:sz w:val="24"/>
          <w:szCs w:val="20"/>
        </w:rPr>
      </w:pPr>
    </w:p>
    <w:p w14:paraId="25EC1639" w14:textId="77777777" w:rsidR="00FD3A4F" w:rsidRPr="00FD3A4F" w:rsidRDefault="00FD3A4F" w:rsidP="00FD3A4F">
      <w:pPr>
        <w:widowControl w:val="0"/>
        <w:suppressAutoHyphens/>
        <w:spacing w:after="0" w:line="240" w:lineRule="auto"/>
        <w:jc w:val="center"/>
        <w:rPr>
          <w:rFonts w:ascii="Times New Roman" w:eastAsia="Times New Roman" w:hAnsi="Times New Roman" w:cs="Times New Roman"/>
          <w:b/>
          <w:bCs/>
          <w:sz w:val="24"/>
          <w:szCs w:val="24"/>
          <w:u w:val="single"/>
        </w:rPr>
      </w:pPr>
      <w:r w:rsidRPr="00FD3A4F">
        <w:rPr>
          <w:rFonts w:ascii="Times New Roman" w:eastAsia="Times New Roman" w:hAnsi="Times New Roman" w:cs="Times New Roman"/>
          <w:b/>
          <w:bCs/>
          <w:sz w:val="24"/>
          <w:szCs w:val="24"/>
          <w:u w:val="single"/>
        </w:rPr>
        <w:t>COMMITTEE ON PUBLIC HOUSING</w:t>
      </w:r>
    </w:p>
    <w:p w14:paraId="6D1D520F" w14:textId="77777777" w:rsidR="00FD3A4F" w:rsidRPr="00FD3A4F" w:rsidRDefault="00FD3A4F" w:rsidP="00FD3A4F">
      <w:pPr>
        <w:widowControl w:val="0"/>
        <w:suppressAutoHyphens/>
        <w:spacing w:after="0" w:line="240" w:lineRule="auto"/>
        <w:jc w:val="center"/>
        <w:rPr>
          <w:rFonts w:ascii="Times New Roman" w:eastAsia="Times New Roman" w:hAnsi="Times New Roman" w:cs="Times New Roman"/>
          <w:b/>
          <w:bCs/>
          <w:sz w:val="24"/>
          <w:szCs w:val="24"/>
        </w:rPr>
      </w:pPr>
      <w:r w:rsidRPr="00FD3A4F">
        <w:rPr>
          <w:rFonts w:ascii="Times New Roman" w:eastAsia="Times New Roman" w:hAnsi="Times New Roman" w:cs="Times New Roman"/>
          <w:b/>
          <w:bCs/>
          <w:sz w:val="24"/>
          <w:szCs w:val="24"/>
        </w:rPr>
        <w:t>HON. ALICKA AMPRY-SAMUEL, CHAIR</w:t>
      </w:r>
    </w:p>
    <w:p w14:paraId="18E202FC" w14:textId="77777777" w:rsidR="00FD3A4F" w:rsidRPr="00FD3A4F" w:rsidRDefault="00FD3A4F" w:rsidP="00FD3A4F">
      <w:pPr>
        <w:widowControl w:val="0"/>
        <w:suppressAutoHyphens/>
        <w:spacing w:after="0" w:line="240" w:lineRule="auto"/>
        <w:jc w:val="center"/>
        <w:rPr>
          <w:rFonts w:ascii="Times New Roman" w:eastAsia="Times New Roman" w:hAnsi="Times New Roman" w:cs="Times New Roman"/>
          <w:b/>
          <w:bCs/>
          <w:sz w:val="24"/>
          <w:szCs w:val="24"/>
        </w:rPr>
      </w:pPr>
    </w:p>
    <w:p w14:paraId="31994900" w14:textId="77777777" w:rsidR="00FD3A4F" w:rsidRPr="00FD3A4F" w:rsidRDefault="00FD3A4F" w:rsidP="00FD3A4F">
      <w:pPr>
        <w:keepNext/>
        <w:keepLines/>
        <w:widowControl w:val="0"/>
        <w:suppressAutoHyphens/>
        <w:spacing w:before="200" w:after="0" w:line="240" w:lineRule="auto"/>
        <w:jc w:val="center"/>
        <w:outlineLvl w:val="2"/>
        <w:rPr>
          <w:rFonts w:ascii="Times New Roman" w:eastAsia="Times New Roman" w:hAnsi="Times New Roman" w:cs="Times New Roman"/>
          <w:b/>
          <w:bCs/>
          <w:sz w:val="24"/>
          <w:szCs w:val="24"/>
          <w:u w:val="single"/>
        </w:rPr>
      </w:pPr>
      <w:r w:rsidRPr="00FD3A4F">
        <w:rPr>
          <w:rFonts w:ascii="Times New Roman" w:eastAsia="Times New Roman" w:hAnsi="Times New Roman" w:cs="Times New Roman"/>
          <w:b/>
          <w:bCs/>
          <w:sz w:val="24"/>
          <w:szCs w:val="24"/>
          <w:u w:val="single"/>
        </w:rPr>
        <w:t>SUBCOMMITTEE ON CAPITAL BUDGET</w:t>
      </w:r>
    </w:p>
    <w:p w14:paraId="60925B77" w14:textId="77777777" w:rsidR="00FD3A4F" w:rsidRPr="00FD3A4F" w:rsidRDefault="00FD3A4F" w:rsidP="00FD3A4F">
      <w:pPr>
        <w:keepNext/>
        <w:keepLines/>
        <w:widowControl w:val="0"/>
        <w:suppressAutoHyphens/>
        <w:spacing w:after="0" w:line="240" w:lineRule="auto"/>
        <w:jc w:val="center"/>
        <w:outlineLvl w:val="2"/>
        <w:rPr>
          <w:rFonts w:ascii="Times New Roman" w:eastAsia="Times New Roman" w:hAnsi="Times New Roman" w:cs="Times New Roman"/>
          <w:b/>
          <w:bCs/>
          <w:sz w:val="24"/>
          <w:szCs w:val="24"/>
        </w:rPr>
      </w:pPr>
      <w:r w:rsidRPr="00FD3A4F">
        <w:rPr>
          <w:rFonts w:ascii="Times New Roman" w:eastAsia="Times New Roman" w:hAnsi="Times New Roman" w:cs="Times New Roman"/>
          <w:b/>
          <w:bCs/>
          <w:sz w:val="24"/>
          <w:szCs w:val="24"/>
        </w:rPr>
        <w:t>HON.</w:t>
      </w:r>
      <w:r>
        <w:rPr>
          <w:rFonts w:ascii="Times New Roman" w:eastAsia="Times New Roman" w:hAnsi="Times New Roman" w:cs="Times New Roman"/>
          <w:b/>
          <w:bCs/>
          <w:sz w:val="24"/>
          <w:szCs w:val="24"/>
        </w:rPr>
        <w:t>HELEN ROSENTHAL</w:t>
      </w:r>
      <w:r w:rsidRPr="00FD3A4F">
        <w:rPr>
          <w:rFonts w:ascii="Times New Roman" w:eastAsia="Times New Roman" w:hAnsi="Times New Roman" w:cs="Times New Roman"/>
          <w:b/>
          <w:bCs/>
          <w:sz w:val="24"/>
          <w:szCs w:val="24"/>
        </w:rPr>
        <w:t>, CHAIR</w:t>
      </w:r>
    </w:p>
    <w:p w14:paraId="69CBD598" w14:textId="77777777" w:rsidR="00FD3A4F" w:rsidRPr="00FD3A4F" w:rsidRDefault="00FD3A4F" w:rsidP="00FD3A4F">
      <w:pPr>
        <w:widowControl w:val="0"/>
        <w:suppressAutoHyphens/>
        <w:spacing w:after="0" w:line="240" w:lineRule="auto"/>
        <w:jc w:val="center"/>
        <w:rPr>
          <w:rFonts w:ascii="Times New Roman" w:eastAsia="Times New Roman" w:hAnsi="Times New Roman" w:cs="Times New Roman"/>
          <w:b/>
          <w:bCs/>
          <w:sz w:val="24"/>
          <w:szCs w:val="24"/>
        </w:rPr>
      </w:pPr>
    </w:p>
    <w:p w14:paraId="4BCE219A" w14:textId="764A8264" w:rsidR="00FD3A4F" w:rsidRPr="00FD3A4F" w:rsidRDefault="00450220" w:rsidP="00FD3A4F">
      <w:pPr>
        <w:widowControl w:val="0"/>
        <w:suppressAutoHyphen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November</w:t>
      </w:r>
      <w:r w:rsidR="00B93363">
        <w:rPr>
          <w:rFonts w:ascii="Times New Roman" w:eastAsia="Times New Roman" w:hAnsi="Times New Roman" w:cs="Times New Roman"/>
          <w:b/>
          <w:bCs/>
          <w:sz w:val="24"/>
          <w:szCs w:val="24"/>
        </w:rPr>
        <w:t xml:space="preserve"> 18</w:t>
      </w:r>
      <w:r w:rsidR="00FD3A4F">
        <w:rPr>
          <w:rFonts w:ascii="Times New Roman" w:eastAsia="Times New Roman" w:hAnsi="Times New Roman" w:cs="Times New Roman"/>
          <w:b/>
          <w:bCs/>
          <w:sz w:val="24"/>
          <w:szCs w:val="24"/>
        </w:rPr>
        <w:t>, 2021</w:t>
      </w:r>
    </w:p>
    <w:p w14:paraId="3DEBF4AD" w14:textId="77777777" w:rsidR="00FD3A4F" w:rsidRPr="00FD3A4F" w:rsidRDefault="00FD3A4F" w:rsidP="00FD3A4F">
      <w:pPr>
        <w:widowControl w:val="0"/>
        <w:suppressAutoHyphens/>
        <w:spacing w:after="0" w:line="240" w:lineRule="auto"/>
        <w:jc w:val="both"/>
        <w:rPr>
          <w:rFonts w:ascii="Times New Roman" w:eastAsia="Times New Roman" w:hAnsi="Times New Roman" w:cs="Times New Roman"/>
          <w:bCs/>
          <w:sz w:val="24"/>
          <w:szCs w:val="24"/>
        </w:rPr>
      </w:pPr>
    </w:p>
    <w:p w14:paraId="2016619F" w14:textId="77777777" w:rsidR="00FD3A4F" w:rsidRPr="00FD3A4F" w:rsidRDefault="00FD3A4F" w:rsidP="00FD3A4F">
      <w:pPr>
        <w:widowControl w:val="0"/>
        <w:shd w:val="clear" w:color="auto" w:fill="FFFFFF"/>
        <w:spacing w:after="0" w:line="240" w:lineRule="auto"/>
        <w:jc w:val="both"/>
        <w:rPr>
          <w:rFonts w:ascii="Times New Roman" w:eastAsia="Times New Roman" w:hAnsi="Times New Roman" w:cs="Times New Roman"/>
          <w:bCs/>
          <w:sz w:val="24"/>
          <w:szCs w:val="24"/>
        </w:rPr>
      </w:pPr>
    </w:p>
    <w:p w14:paraId="7E3A344A" w14:textId="33E075D7" w:rsidR="00FD3A4F" w:rsidRPr="00FD3A4F" w:rsidRDefault="00EF089C" w:rsidP="00EF089C">
      <w:pPr>
        <w:widowControl w:val="0"/>
        <w:spacing w:after="0" w:line="240" w:lineRule="auto"/>
        <w:ind w:left="2160" w:hanging="2160"/>
        <w:jc w:val="center"/>
        <w:rPr>
          <w:rFonts w:ascii="Times New Roman" w:eastAsia="Times New Roman" w:hAnsi="Times New Roman" w:cs="Times New Roman"/>
          <w:bCs/>
          <w:sz w:val="24"/>
          <w:szCs w:val="24"/>
        </w:rPr>
      </w:pPr>
      <w:r w:rsidRPr="00EF089C">
        <w:rPr>
          <w:rFonts w:ascii="Times New Roman" w:eastAsia="Times New Roman" w:hAnsi="Times New Roman" w:cs="Times New Roman"/>
          <w:b/>
          <w:bCs/>
          <w:sz w:val="24"/>
          <w:szCs w:val="24"/>
        </w:rPr>
        <w:t>Oversight - NYCHA’s</w:t>
      </w:r>
      <w:r>
        <w:rPr>
          <w:rFonts w:ascii="Times New Roman" w:eastAsia="Times New Roman" w:hAnsi="Times New Roman" w:cs="Times New Roman"/>
          <w:b/>
          <w:bCs/>
          <w:sz w:val="24"/>
          <w:szCs w:val="24"/>
        </w:rPr>
        <w:t xml:space="preserve"> Capital Spending of City Funds</w:t>
      </w:r>
    </w:p>
    <w:p w14:paraId="19F4E881" w14:textId="77777777" w:rsidR="0032582A" w:rsidRPr="00FD3A4F" w:rsidRDefault="0032582A">
      <w:pPr>
        <w:rPr>
          <w:rFonts w:ascii="Times New Roman" w:hAnsi="Times New Roman" w:cs="Times New Roman"/>
          <w:sz w:val="24"/>
          <w:szCs w:val="24"/>
        </w:rPr>
      </w:pPr>
      <w:r w:rsidRPr="00FD3A4F">
        <w:rPr>
          <w:rFonts w:ascii="Times New Roman" w:hAnsi="Times New Roman" w:cs="Times New Roman"/>
          <w:sz w:val="24"/>
          <w:szCs w:val="24"/>
        </w:rPr>
        <w:br w:type="page"/>
      </w:r>
    </w:p>
    <w:p w14:paraId="03C33A23" w14:textId="68E9D8F9" w:rsidR="009D5E2A" w:rsidRPr="002D4126" w:rsidRDefault="00A86297" w:rsidP="002D4126">
      <w:pPr>
        <w:widowControl w:val="0"/>
        <w:numPr>
          <w:ilvl w:val="0"/>
          <w:numId w:val="3"/>
        </w:numPr>
        <w:shd w:val="clear" w:color="auto" w:fill="FFFFFF"/>
        <w:spacing w:after="0"/>
        <w:contextualSpacing/>
        <w:jc w:val="both"/>
        <w:rPr>
          <w:rFonts w:ascii="Times New Roman" w:hAnsi="Times New Roman" w:cs="Times New Roman"/>
          <w:b/>
          <w:sz w:val="24"/>
          <w:szCs w:val="24"/>
        </w:rPr>
      </w:pPr>
      <w:r w:rsidRPr="00FD3A4F">
        <w:rPr>
          <w:rFonts w:ascii="Times New Roman" w:hAnsi="Times New Roman" w:cs="Times New Roman"/>
          <w:b/>
          <w:sz w:val="24"/>
          <w:szCs w:val="24"/>
        </w:rPr>
        <w:lastRenderedPageBreak/>
        <w:t>Introduction</w:t>
      </w:r>
    </w:p>
    <w:p w14:paraId="739A0AA2" w14:textId="75A06788" w:rsidR="00A86297" w:rsidRDefault="002D4126" w:rsidP="002D4126">
      <w:pPr>
        <w:widowControl w:val="0"/>
        <w:shd w:val="clear" w:color="auto" w:fill="FFFFFF"/>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On </w:t>
      </w:r>
      <w:r w:rsidR="00B93363">
        <w:rPr>
          <w:rFonts w:ascii="Times New Roman" w:hAnsi="Times New Roman" w:cs="Times New Roman"/>
          <w:sz w:val="24"/>
          <w:szCs w:val="24"/>
        </w:rPr>
        <w:t>November 18</w:t>
      </w:r>
      <w:r w:rsidR="00FE6A67">
        <w:rPr>
          <w:rFonts w:ascii="Times New Roman" w:hAnsi="Times New Roman" w:cs="Times New Roman"/>
          <w:sz w:val="24"/>
          <w:szCs w:val="24"/>
        </w:rPr>
        <w:t>, 2021,</w:t>
      </w:r>
      <w:r w:rsidR="00A86297" w:rsidRPr="00FD3A4F">
        <w:rPr>
          <w:rFonts w:ascii="Times New Roman" w:hAnsi="Times New Roman" w:cs="Times New Roman"/>
          <w:sz w:val="24"/>
          <w:szCs w:val="24"/>
        </w:rPr>
        <w:t xml:space="preserve"> the Committee on Public Housing, chaired by Council Member Alicka Ampry-Samuel, and the Subcommittee on Capital Budget, chaired by Council Member </w:t>
      </w:r>
      <w:r w:rsidR="00A4702E" w:rsidRPr="00FD3A4F">
        <w:rPr>
          <w:rFonts w:ascii="Times New Roman" w:hAnsi="Times New Roman" w:cs="Times New Roman"/>
          <w:sz w:val="24"/>
          <w:szCs w:val="24"/>
        </w:rPr>
        <w:t>Helen Rosenthal</w:t>
      </w:r>
      <w:r w:rsidR="00A86297" w:rsidRPr="00FD3A4F">
        <w:rPr>
          <w:rFonts w:ascii="Times New Roman" w:hAnsi="Times New Roman" w:cs="Times New Roman"/>
          <w:sz w:val="24"/>
          <w:szCs w:val="24"/>
        </w:rPr>
        <w:t xml:space="preserve">, will jointly hold an oversight hearing </w:t>
      </w:r>
      <w:r w:rsidR="00FE6A67">
        <w:rPr>
          <w:rFonts w:ascii="Times New Roman" w:hAnsi="Times New Roman" w:cs="Times New Roman"/>
          <w:sz w:val="24"/>
          <w:szCs w:val="24"/>
        </w:rPr>
        <w:t>entitled “</w:t>
      </w:r>
      <w:r w:rsidR="00FE6A67" w:rsidRPr="00FE6A67">
        <w:rPr>
          <w:rFonts w:ascii="Times New Roman" w:hAnsi="Times New Roman" w:cs="Times New Roman"/>
          <w:sz w:val="24"/>
          <w:szCs w:val="24"/>
        </w:rPr>
        <w:t>Oversight - NYCHA’s Capital Spending of City Funds</w:t>
      </w:r>
      <w:r w:rsidR="00FE6A67">
        <w:rPr>
          <w:rFonts w:ascii="Times New Roman" w:hAnsi="Times New Roman" w:cs="Times New Roman"/>
          <w:sz w:val="24"/>
          <w:szCs w:val="24"/>
        </w:rPr>
        <w:t>”</w:t>
      </w:r>
      <w:r w:rsidR="00A4702E" w:rsidRPr="00FD3A4F">
        <w:rPr>
          <w:rFonts w:ascii="Times New Roman" w:hAnsi="Times New Roman" w:cs="Times New Roman"/>
          <w:sz w:val="24"/>
          <w:szCs w:val="24"/>
        </w:rPr>
        <w:t>.</w:t>
      </w:r>
      <w:r w:rsidR="00FE6A67">
        <w:rPr>
          <w:rFonts w:ascii="Times New Roman" w:hAnsi="Times New Roman" w:cs="Times New Roman"/>
          <w:sz w:val="24"/>
          <w:szCs w:val="24"/>
        </w:rPr>
        <w:t xml:space="preserve"> </w:t>
      </w:r>
      <w:r w:rsidR="00FE6A67" w:rsidRPr="00FE6A67">
        <w:rPr>
          <w:rFonts w:ascii="Times New Roman" w:hAnsi="Times New Roman"/>
          <w:sz w:val="24"/>
          <w:szCs w:val="24"/>
        </w:rPr>
        <w:t xml:space="preserve">This hearing </w:t>
      </w:r>
      <w:r w:rsidR="004A5989">
        <w:rPr>
          <w:rFonts w:ascii="Times New Roman" w:hAnsi="Times New Roman"/>
          <w:sz w:val="24"/>
          <w:szCs w:val="24"/>
        </w:rPr>
        <w:t>will</w:t>
      </w:r>
      <w:r w:rsidR="004A5989" w:rsidRPr="00FE6A67">
        <w:rPr>
          <w:rFonts w:ascii="Times New Roman" w:hAnsi="Times New Roman"/>
          <w:sz w:val="24"/>
          <w:szCs w:val="24"/>
        </w:rPr>
        <w:t xml:space="preserve"> </w:t>
      </w:r>
      <w:r w:rsidR="00FE6A67" w:rsidRPr="00FE6A67">
        <w:rPr>
          <w:rFonts w:ascii="Times New Roman" w:hAnsi="Times New Roman"/>
          <w:sz w:val="24"/>
          <w:szCs w:val="24"/>
        </w:rPr>
        <w:t xml:space="preserve">examine </w:t>
      </w:r>
      <w:r w:rsidR="00FE6A67">
        <w:rPr>
          <w:rFonts w:ascii="Times New Roman" w:hAnsi="Times New Roman"/>
          <w:sz w:val="24"/>
          <w:szCs w:val="24"/>
        </w:rPr>
        <w:t xml:space="preserve">the </w:t>
      </w:r>
      <w:r w:rsidR="00FE6A67" w:rsidRPr="00FD3A4F">
        <w:rPr>
          <w:rFonts w:ascii="Times New Roman" w:hAnsi="Times New Roman" w:cs="Times New Roman"/>
          <w:sz w:val="24"/>
          <w:szCs w:val="24"/>
        </w:rPr>
        <w:t>New York City Housing Authority</w:t>
      </w:r>
      <w:r w:rsidR="00FE6A67">
        <w:rPr>
          <w:rFonts w:ascii="Times New Roman" w:hAnsi="Times New Roman" w:cs="Times New Roman"/>
          <w:sz w:val="24"/>
          <w:szCs w:val="24"/>
        </w:rPr>
        <w:t>’s (“</w:t>
      </w:r>
      <w:r w:rsidR="00FE6A67" w:rsidRPr="00FE6A67">
        <w:rPr>
          <w:rFonts w:ascii="Times New Roman" w:hAnsi="Times New Roman"/>
          <w:sz w:val="24"/>
          <w:szCs w:val="24"/>
        </w:rPr>
        <w:t>NYCHA</w:t>
      </w:r>
      <w:r w:rsidR="00FE6A67">
        <w:rPr>
          <w:rFonts w:ascii="Times New Roman" w:hAnsi="Times New Roman"/>
          <w:sz w:val="24"/>
          <w:szCs w:val="24"/>
        </w:rPr>
        <w:t>” or “Authority”)</w:t>
      </w:r>
      <w:r w:rsidR="00FE6A67" w:rsidRPr="00FE6A67">
        <w:rPr>
          <w:rFonts w:ascii="Times New Roman" w:hAnsi="Times New Roman"/>
          <w:sz w:val="24"/>
          <w:szCs w:val="24"/>
        </w:rPr>
        <w:t xml:space="preserve"> capital investment strategies for implementing and managing its planned capital projects, and learn more about what the Authority is doing to ensure capital projects funded by the city are being successfully executed. </w:t>
      </w:r>
      <w:r w:rsidR="00FE6A67" w:rsidRPr="00640B37">
        <w:rPr>
          <w:rFonts w:ascii="Times New Roman" w:hAnsi="Times New Roman"/>
          <w:sz w:val="24"/>
          <w:szCs w:val="24"/>
        </w:rPr>
        <w:t>The Committe</w:t>
      </w:r>
      <w:r w:rsidR="00FE6A67">
        <w:rPr>
          <w:rFonts w:ascii="Times New Roman" w:hAnsi="Times New Roman"/>
          <w:sz w:val="24"/>
          <w:szCs w:val="24"/>
        </w:rPr>
        <w:t>es have</w:t>
      </w:r>
      <w:r w:rsidR="00FE6A67" w:rsidRPr="00640B37">
        <w:rPr>
          <w:rFonts w:ascii="Times New Roman" w:hAnsi="Times New Roman"/>
          <w:sz w:val="24"/>
          <w:szCs w:val="24"/>
        </w:rPr>
        <w:t xml:space="preserve"> invited the </w:t>
      </w:r>
      <w:r w:rsidR="00FE6A67">
        <w:rPr>
          <w:rFonts w:ascii="Times New Roman" w:hAnsi="Times New Roman"/>
          <w:sz w:val="24"/>
          <w:szCs w:val="24"/>
        </w:rPr>
        <w:t>New York City Housing Authority</w:t>
      </w:r>
      <w:r w:rsidR="00C21EE9">
        <w:rPr>
          <w:rFonts w:ascii="Times New Roman" w:hAnsi="Times New Roman"/>
          <w:sz w:val="24"/>
          <w:szCs w:val="24"/>
        </w:rPr>
        <w:t xml:space="preserve">, the New York City Office of Management and Budget, and </w:t>
      </w:r>
      <w:r w:rsidR="004A5989">
        <w:rPr>
          <w:rFonts w:ascii="Times New Roman" w:hAnsi="Times New Roman"/>
          <w:sz w:val="24"/>
          <w:szCs w:val="24"/>
        </w:rPr>
        <w:t>members of the public</w:t>
      </w:r>
      <w:r w:rsidR="00FE6A67">
        <w:rPr>
          <w:rFonts w:ascii="Times New Roman" w:hAnsi="Times New Roman"/>
          <w:sz w:val="24"/>
          <w:szCs w:val="24"/>
        </w:rPr>
        <w:t xml:space="preserve"> to testify. </w:t>
      </w:r>
    </w:p>
    <w:p w14:paraId="7796D259" w14:textId="77777777" w:rsidR="001A2CCD" w:rsidRPr="00FD3A4F" w:rsidRDefault="001A2CCD" w:rsidP="001A2CCD">
      <w:pPr>
        <w:widowControl w:val="0"/>
        <w:shd w:val="clear" w:color="auto" w:fill="FFFFFF"/>
        <w:spacing w:after="0" w:line="240" w:lineRule="auto"/>
        <w:ind w:firstLine="720"/>
        <w:jc w:val="both"/>
        <w:rPr>
          <w:rFonts w:ascii="Times New Roman" w:hAnsi="Times New Roman" w:cs="Times New Roman"/>
          <w:sz w:val="24"/>
          <w:szCs w:val="24"/>
        </w:rPr>
      </w:pPr>
    </w:p>
    <w:p w14:paraId="701096F1" w14:textId="77777777" w:rsidR="00A25536" w:rsidRPr="00FD3A4F" w:rsidRDefault="00A25536" w:rsidP="00A86297">
      <w:pPr>
        <w:pStyle w:val="ListParagraph"/>
        <w:widowControl w:val="0"/>
        <w:numPr>
          <w:ilvl w:val="0"/>
          <w:numId w:val="3"/>
        </w:numPr>
        <w:shd w:val="clear" w:color="auto" w:fill="FFFFFF"/>
        <w:jc w:val="both"/>
        <w:rPr>
          <w:rFonts w:ascii="Times New Roman" w:hAnsi="Times New Roman" w:cs="Times New Roman"/>
          <w:b/>
          <w:sz w:val="24"/>
          <w:szCs w:val="24"/>
        </w:rPr>
      </w:pPr>
      <w:r w:rsidRPr="00FD3A4F">
        <w:rPr>
          <w:rFonts w:ascii="Times New Roman" w:hAnsi="Times New Roman" w:cs="Times New Roman"/>
          <w:b/>
          <w:sz w:val="24"/>
          <w:szCs w:val="24"/>
        </w:rPr>
        <w:t>Background</w:t>
      </w:r>
      <w:r w:rsidR="00AE0F17" w:rsidRPr="00FD3A4F">
        <w:rPr>
          <w:rFonts w:ascii="Times New Roman" w:hAnsi="Times New Roman" w:cs="Times New Roman"/>
          <w:b/>
          <w:sz w:val="24"/>
          <w:szCs w:val="24"/>
        </w:rPr>
        <w:t xml:space="preserve"> on NYCHA</w:t>
      </w:r>
    </w:p>
    <w:p w14:paraId="477B8A12" w14:textId="34F0AC67" w:rsidR="001A2CCD" w:rsidRDefault="00FE6A67" w:rsidP="00FE6A67">
      <w:pPr>
        <w:spacing w:after="0"/>
        <w:ind w:firstLine="360"/>
        <w:jc w:val="both"/>
        <w:rPr>
          <w:rFonts w:ascii="Times New Roman" w:hAnsi="Times New Roman" w:cs="Times New Roman"/>
          <w:sz w:val="24"/>
          <w:szCs w:val="24"/>
        </w:rPr>
      </w:pPr>
      <w:r>
        <w:rPr>
          <w:rFonts w:ascii="Times New Roman" w:hAnsi="Times New Roman" w:cs="Times New Roman"/>
          <w:sz w:val="24"/>
          <w:szCs w:val="24"/>
        </w:rPr>
        <w:t>NYCHA</w:t>
      </w:r>
      <w:r w:rsidR="009D5E2A" w:rsidRPr="00FD3A4F">
        <w:rPr>
          <w:rFonts w:ascii="Times New Roman" w:hAnsi="Times New Roman" w:cs="Times New Roman"/>
          <w:sz w:val="24"/>
          <w:szCs w:val="24"/>
        </w:rPr>
        <w:t xml:space="preserve"> </w:t>
      </w:r>
      <w:r w:rsidR="009D5E2A">
        <w:rPr>
          <w:rFonts w:ascii="Times New Roman" w:hAnsi="Times New Roman" w:cs="Times New Roman"/>
          <w:sz w:val="24"/>
          <w:szCs w:val="24"/>
        </w:rPr>
        <w:t xml:space="preserve">was established </w:t>
      </w:r>
      <w:r w:rsidR="009D5E2A" w:rsidRPr="009D5E2A">
        <w:rPr>
          <w:rFonts w:ascii="Times New Roman" w:hAnsi="Times New Roman" w:cs="Times New Roman"/>
          <w:sz w:val="24"/>
          <w:szCs w:val="24"/>
        </w:rPr>
        <w:t>in 1934 in order to replace dilapidated tenements using funds from The New Deal,</w:t>
      </w:r>
      <w:r w:rsidR="009D5E2A">
        <w:rPr>
          <w:rStyle w:val="FootnoteReference"/>
          <w:rFonts w:ascii="Times New Roman" w:hAnsi="Times New Roman" w:cs="Times New Roman"/>
          <w:sz w:val="24"/>
          <w:szCs w:val="24"/>
        </w:rPr>
        <w:footnoteReference w:id="1"/>
      </w:r>
      <w:r w:rsidR="009D5E2A" w:rsidRPr="009D5E2A">
        <w:rPr>
          <w:rFonts w:ascii="Times New Roman" w:hAnsi="Times New Roman" w:cs="Times New Roman"/>
          <w:sz w:val="24"/>
          <w:szCs w:val="24"/>
        </w:rPr>
        <w:t xml:space="preserve">  three years before the Housing Act of 1937 established public housing nationwide.</w:t>
      </w:r>
      <w:r w:rsidR="009D5E2A">
        <w:rPr>
          <w:rStyle w:val="FootnoteReference"/>
          <w:rFonts w:ascii="Times New Roman" w:hAnsi="Times New Roman" w:cs="Times New Roman"/>
          <w:sz w:val="24"/>
          <w:szCs w:val="24"/>
        </w:rPr>
        <w:footnoteReference w:id="2"/>
      </w:r>
      <w:r w:rsidR="009D5E2A" w:rsidRPr="009D5E2A">
        <w:rPr>
          <w:rFonts w:ascii="Times New Roman" w:hAnsi="Times New Roman" w:cs="Times New Roman"/>
          <w:sz w:val="24"/>
          <w:szCs w:val="24"/>
        </w:rPr>
        <w:t xml:space="preserve">  NYCHA originally served two purposes: (1) to provide low-cost housing for middle-class, working families temporarily unemployed because of the </w:t>
      </w:r>
      <w:r w:rsidR="004B6A60">
        <w:rPr>
          <w:rFonts w:ascii="Times New Roman" w:hAnsi="Times New Roman" w:cs="Times New Roman"/>
          <w:sz w:val="24"/>
          <w:szCs w:val="24"/>
        </w:rPr>
        <w:t xml:space="preserve">Great </w:t>
      </w:r>
      <w:r w:rsidR="009D5E2A" w:rsidRPr="009D5E2A">
        <w:rPr>
          <w:rFonts w:ascii="Times New Roman" w:hAnsi="Times New Roman" w:cs="Times New Roman"/>
          <w:sz w:val="24"/>
          <w:szCs w:val="24"/>
        </w:rPr>
        <w:t>Depression</w:t>
      </w:r>
      <w:r w:rsidR="004B6A60">
        <w:rPr>
          <w:rFonts w:ascii="Times New Roman" w:hAnsi="Times New Roman" w:cs="Times New Roman"/>
          <w:sz w:val="24"/>
          <w:szCs w:val="24"/>
        </w:rPr>
        <w:t xml:space="preserve">; </w:t>
      </w:r>
      <w:r w:rsidR="009D5E2A" w:rsidRPr="009D5E2A">
        <w:rPr>
          <w:rFonts w:ascii="Times New Roman" w:hAnsi="Times New Roman" w:cs="Times New Roman"/>
          <w:sz w:val="24"/>
          <w:szCs w:val="24"/>
        </w:rPr>
        <w:t>and (2) to bolster the lagging economy by creating jobs for the building trades.</w:t>
      </w:r>
      <w:r w:rsidR="009D5E2A">
        <w:rPr>
          <w:rStyle w:val="FootnoteReference"/>
          <w:rFonts w:ascii="Times New Roman" w:hAnsi="Times New Roman" w:cs="Times New Roman"/>
          <w:sz w:val="24"/>
          <w:szCs w:val="24"/>
        </w:rPr>
        <w:footnoteReference w:id="3"/>
      </w:r>
      <w:r w:rsidR="009D5E2A" w:rsidRPr="009D5E2A">
        <w:rPr>
          <w:rFonts w:ascii="Times New Roman" w:hAnsi="Times New Roman" w:cs="Times New Roman"/>
          <w:sz w:val="24"/>
          <w:szCs w:val="24"/>
        </w:rPr>
        <w:t xml:space="preserve">  Later, NYCHA’s purpose evolved into providing safe, decent housing for families with the lowest incomes.</w:t>
      </w:r>
      <w:r w:rsidR="009D5E2A">
        <w:rPr>
          <w:rStyle w:val="FootnoteReference"/>
          <w:rFonts w:ascii="Times New Roman" w:hAnsi="Times New Roman" w:cs="Times New Roman"/>
          <w:sz w:val="24"/>
          <w:szCs w:val="24"/>
        </w:rPr>
        <w:footnoteReference w:id="4"/>
      </w:r>
      <w:r w:rsidR="009D5E2A" w:rsidRPr="009D5E2A">
        <w:rPr>
          <w:rFonts w:ascii="Times New Roman" w:hAnsi="Times New Roman" w:cs="Times New Roman"/>
          <w:sz w:val="24"/>
          <w:szCs w:val="24"/>
        </w:rPr>
        <w:t xml:space="preserve">  </w:t>
      </w:r>
    </w:p>
    <w:p w14:paraId="696CAB61" w14:textId="4C6B7C81" w:rsidR="009D5E2A" w:rsidRDefault="009D5E2A" w:rsidP="00FE6A67">
      <w:pPr>
        <w:spacing w:after="0"/>
        <w:ind w:firstLine="360"/>
        <w:jc w:val="both"/>
        <w:rPr>
          <w:rFonts w:ascii="Times New Roman" w:hAnsi="Times New Roman" w:cs="Times New Roman"/>
          <w:sz w:val="24"/>
          <w:szCs w:val="24"/>
        </w:rPr>
      </w:pPr>
      <w:r>
        <w:rPr>
          <w:rFonts w:ascii="Times New Roman" w:hAnsi="Times New Roman" w:cs="Times New Roman"/>
          <w:sz w:val="24"/>
          <w:szCs w:val="24"/>
        </w:rPr>
        <w:t>Today, NYCHA</w:t>
      </w:r>
      <w:r w:rsidRPr="00FD3A4F">
        <w:rPr>
          <w:rFonts w:ascii="Times New Roman" w:hAnsi="Times New Roman" w:cs="Times New Roman"/>
          <w:sz w:val="24"/>
          <w:szCs w:val="24"/>
        </w:rPr>
        <w:t xml:space="preserve"> is the largest public housing authority </w:t>
      </w:r>
      <w:r>
        <w:rPr>
          <w:rFonts w:ascii="Times New Roman" w:hAnsi="Times New Roman" w:cs="Times New Roman"/>
          <w:sz w:val="24"/>
          <w:szCs w:val="24"/>
        </w:rPr>
        <w:t>in the nation, w</w:t>
      </w:r>
      <w:r w:rsidRPr="00FD3A4F">
        <w:rPr>
          <w:rFonts w:ascii="Times New Roman" w:hAnsi="Times New Roman" w:cs="Times New Roman"/>
          <w:sz w:val="24"/>
          <w:szCs w:val="24"/>
        </w:rPr>
        <w:t xml:space="preserve">ith a vast portfolio of </w:t>
      </w:r>
      <w:r w:rsidR="004B6A60">
        <w:rPr>
          <w:rFonts w:ascii="Times New Roman" w:hAnsi="Times New Roman" w:cs="Times New Roman"/>
          <w:sz w:val="24"/>
          <w:szCs w:val="24"/>
        </w:rPr>
        <w:t xml:space="preserve">over </w:t>
      </w:r>
      <w:r w:rsidRPr="00FD3A4F">
        <w:rPr>
          <w:rFonts w:ascii="Times New Roman" w:hAnsi="Times New Roman" w:cs="Times New Roman"/>
          <w:sz w:val="24"/>
          <w:szCs w:val="24"/>
        </w:rPr>
        <w:t xml:space="preserve">325 developments and 175,000 apartments, and provides affordable housing for low- and moderate-income New Yorkers. NYCHA public housing represents 7.8 percent of the city’s rental apartments and houses 4.4 percent of the city’s </w:t>
      </w:r>
      <w:r>
        <w:rPr>
          <w:rFonts w:ascii="Times New Roman" w:hAnsi="Times New Roman" w:cs="Times New Roman"/>
          <w:sz w:val="24"/>
          <w:szCs w:val="24"/>
        </w:rPr>
        <w:t>population.</w:t>
      </w:r>
      <w:r w:rsidRPr="00FD3A4F">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p>
    <w:p w14:paraId="52944A49" w14:textId="77777777" w:rsidR="00C21257" w:rsidRPr="00FD3A4F" w:rsidRDefault="00C21257" w:rsidP="00FE6A67">
      <w:pPr>
        <w:spacing w:after="0"/>
        <w:ind w:firstLine="360"/>
        <w:jc w:val="both"/>
        <w:rPr>
          <w:rFonts w:ascii="Times New Roman" w:hAnsi="Times New Roman" w:cs="Times New Roman"/>
          <w:sz w:val="24"/>
          <w:szCs w:val="24"/>
        </w:rPr>
      </w:pPr>
    </w:p>
    <w:p w14:paraId="08F79616" w14:textId="2508922D" w:rsidR="00A25536" w:rsidRDefault="00FF6150" w:rsidP="00FD3A4F">
      <w:pPr>
        <w:pStyle w:val="ListParagraph"/>
        <w:numPr>
          <w:ilvl w:val="0"/>
          <w:numId w:val="3"/>
        </w:numPr>
        <w:rPr>
          <w:rFonts w:ascii="Times New Roman" w:hAnsi="Times New Roman" w:cs="Times New Roman"/>
          <w:b/>
          <w:sz w:val="24"/>
          <w:szCs w:val="24"/>
        </w:rPr>
      </w:pPr>
      <w:r w:rsidRPr="00FD3A4F">
        <w:rPr>
          <w:rFonts w:ascii="Times New Roman" w:hAnsi="Times New Roman" w:cs="Times New Roman"/>
          <w:b/>
          <w:sz w:val="24"/>
          <w:szCs w:val="24"/>
        </w:rPr>
        <w:t>Structure and Funding for Public Housing</w:t>
      </w:r>
      <w:r w:rsidR="00B879A3">
        <w:rPr>
          <w:rFonts w:ascii="Times New Roman" w:hAnsi="Times New Roman" w:cs="Times New Roman"/>
          <w:b/>
          <w:sz w:val="24"/>
          <w:szCs w:val="24"/>
        </w:rPr>
        <w:t xml:space="preserve"> Agencies</w:t>
      </w:r>
    </w:p>
    <w:p w14:paraId="3F7FA521" w14:textId="77777777" w:rsidR="00B879A3" w:rsidRPr="00FD3A4F" w:rsidRDefault="00B879A3" w:rsidP="00B879A3">
      <w:pPr>
        <w:pStyle w:val="ListParagraph"/>
        <w:ind w:left="1080"/>
        <w:rPr>
          <w:rFonts w:ascii="Times New Roman" w:hAnsi="Times New Roman" w:cs="Times New Roman"/>
          <w:b/>
          <w:sz w:val="24"/>
          <w:szCs w:val="24"/>
        </w:rPr>
      </w:pPr>
    </w:p>
    <w:p w14:paraId="0A104556" w14:textId="77777777" w:rsidR="00B879A3" w:rsidRDefault="009D5E2A" w:rsidP="00B879A3">
      <w:pPr>
        <w:ind w:firstLine="360"/>
        <w:jc w:val="both"/>
        <w:rPr>
          <w:rFonts w:ascii="Times New Roman" w:hAnsi="Times New Roman" w:cs="Times New Roman"/>
          <w:sz w:val="24"/>
          <w:szCs w:val="24"/>
        </w:rPr>
      </w:pPr>
      <w:r>
        <w:rPr>
          <w:rFonts w:ascii="Times New Roman" w:hAnsi="Times New Roman" w:cs="Times New Roman"/>
          <w:sz w:val="24"/>
          <w:szCs w:val="24"/>
        </w:rPr>
        <w:t>In the United States, p</w:t>
      </w:r>
      <w:r w:rsidR="00AE0F17" w:rsidRPr="00FD3A4F">
        <w:rPr>
          <w:rFonts w:ascii="Times New Roman" w:hAnsi="Times New Roman" w:cs="Times New Roman"/>
          <w:sz w:val="24"/>
          <w:szCs w:val="24"/>
        </w:rPr>
        <w:t xml:space="preserve">ublic housing is administered by federal, state and local agencies to provide assistance for low-income household. </w:t>
      </w:r>
      <w:r w:rsidR="00FF6150" w:rsidRPr="00FD3A4F">
        <w:rPr>
          <w:rFonts w:ascii="Times New Roman" w:hAnsi="Times New Roman" w:cs="Times New Roman"/>
          <w:sz w:val="24"/>
          <w:szCs w:val="24"/>
        </w:rPr>
        <w:t>Although supported by the federal government, public housing projects are owned and operated by local public housing agencies or authorities. A public housing agency (</w:t>
      </w:r>
      <w:r w:rsidR="00AE2D05" w:rsidRPr="00FD3A4F">
        <w:rPr>
          <w:rFonts w:ascii="Times New Roman" w:hAnsi="Times New Roman" w:cs="Times New Roman"/>
          <w:sz w:val="24"/>
          <w:szCs w:val="24"/>
        </w:rPr>
        <w:t>“</w:t>
      </w:r>
      <w:r w:rsidR="00FF6150" w:rsidRPr="00FD3A4F">
        <w:rPr>
          <w:rFonts w:ascii="Times New Roman" w:hAnsi="Times New Roman" w:cs="Times New Roman"/>
          <w:sz w:val="24"/>
          <w:szCs w:val="24"/>
        </w:rPr>
        <w:t>PHA</w:t>
      </w:r>
      <w:r w:rsidR="00AE2D05" w:rsidRPr="00FD3A4F">
        <w:rPr>
          <w:rFonts w:ascii="Times New Roman" w:hAnsi="Times New Roman" w:cs="Times New Roman"/>
          <w:sz w:val="24"/>
          <w:szCs w:val="24"/>
        </w:rPr>
        <w:t>”</w:t>
      </w:r>
      <w:r w:rsidR="00FF6150" w:rsidRPr="00FD3A4F">
        <w:rPr>
          <w:rFonts w:ascii="Times New Roman" w:hAnsi="Times New Roman" w:cs="Times New Roman"/>
          <w:sz w:val="24"/>
          <w:szCs w:val="24"/>
        </w:rPr>
        <w:t>) is any state or local governmental entity, or its agency or instrumentality, "which is authorized to engage in or assist in the development or operation of low-income housing."</w:t>
      </w:r>
      <w:r w:rsidR="00FF6150" w:rsidRPr="00FD3A4F">
        <w:rPr>
          <w:rStyle w:val="FootnoteReference"/>
          <w:rFonts w:ascii="Times New Roman" w:hAnsi="Times New Roman" w:cs="Times New Roman"/>
          <w:sz w:val="24"/>
          <w:szCs w:val="24"/>
        </w:rPr>
        <w:footnoteReference w:id="6"/>
      </w:r>
    </w:p>
    <w:p w14:paraId="3245E94C" w14:textId="557E6F1F" w:rsidR="00B879A3" w:rsidRDefault="00314636" w:rsidP="00B879A3">
      <w:pPr>
        <w:ind w:firstLine="360"/>
        <w:jc w:val="both"/>
        <w:rPr>
          <w:rFonts w:ascii="Times New Roman" w:hAnsi="Times New Roman" w:cs="Times New Roman"/>
          <w:sz w:val="24"/>
          <w:szCs w:val="24"/>
        </w:rPr>
      </w:pPr>
      <w:r w:rsidRPr="00FD3A4F">
        <w:rPr>
          <w:rFonts w:ascii="Times New Roman" w:hAnsi="Times New Roman" w:cs="Times New Roman"/>
          <w:sz w:val="24"/>
          <w:szCs w:val="24"/>
        </w:rPr>
        <w:t>While local PHAs own public housing projects, the federal government provides crucial financial support for their development and operation. The federal government funds public housing through two main streams: (1) the Public Housing Operating Fund, which is intended to cover the gap between the rents that public housing tenants pay and the developments’ operating costs (such as maintenance and security); and (2) the Public Housing Capital Fund, which funds renovation of developments and replacement of items such as appliances and heating and cooling equipment.</w:t>
      </w:r>
      <w:r w:rsidR="00352EBA">
        <w:rPr>
          <w:rStyle w:val="FootnoteReference"/>
          <w:rFonts w:ascii="Times New Roman" w:hAnsi="Times New Roman" w:cs="Times New Roman"/>
          <w:sz w:val="24"/>
          <w:szCs w:val="24"/>
        </w:rPr>
        <w:footnoteReference w:id="7"/>
      </w:r>
    </w:p>
    <w:p w14:paraId="4F162367" w14:textId="089CD427" w:rsidR="004C22DC" w:rsidRDefault="00FF6150" w:rsidP="004C22DC">
      <w:pPr>
        <w:ind w:firstLine="360"/>
        <w:jc w:val="both"/>
        <w:rPr>
          <w:rFonts w:ascii="Times New Roman" w:hAnsi="Times New Roman" w:cs="Times New Roman"/>
          <w:sz w:val="24"/>
          <w:szCs w:val="24"/>
        </w:rPr>
      </w:pPr>
      <w:r w:rsidRPr="00FD3A4F">
        <w:rPr>
          <w:rFonts w:ascii="Times New Roman" w:hAnsi="Times New Roman" w:cs="Times New Roman"/>
          <w:sz w:val="24"/>
          <w:szCs w:val="24"/>
        </w:rPr>
        <w:t>A PHA must maintain a valid declaration of trust and declaration of restrictive covenants (</w:t>
      </w:r>
      <w:r w:rsidR="00AE2D05" w:rsidRPr="00FD3A4F">
        <w:rPr>
          <w:rFonts w:ascii="Times New Roman" w:hAnsi="Times New Roman" w:cs="Times New Roman"/>
          <w:sz w:val="24"/>
          <w:szCs w:val="24"/>
        </w:rPr>
        <w:t>“</w:t>
      </w:r>
      <w:r w:rsidRPr="00FD3A4F">
        <w:rPr>
          <w:rFonts w:ascii="Times New Roman" w:hAnsi="Times New Roman" w:cs="Times New Roman"/>
          <w:sz w:val="24"/>
          <w:szCs w:val="24"/>
        </w:rPr>
        <w:t>DOT/DORC</w:t>
      </w:r>
      <w:r w:rsidR="00AE2D05" w:rsidRPr="00FD3A4F">
        <w:rPr>
          <w:rFonts w:ascii="Times New Roman" w:hAnsi="Times New Roman" w:cs="Times New Roman"/>
          <w:sz w:val="24"/>
          <w:szCs w:val="24"/>
        </w:rPr>
        <w:t>”</w:t>
      </w:r>
      <w:r w:rsidRPr="00FD3A4F">
        <w:rPr>
          <w:rFonts w:ascii="Times New Roman" w:hAnsi="Times New Roman" w:cs="Times New Roman"/>
          <w:sz w:val="24"/>
          <w:szCs w:val="24"/>
        </w:rPr>
        <w:t xml:space="preserve">) on all public housing property granting </w:t>
      </w:r>
      <w:r w:rsidR="008A76B0">
        <w:rPr>
          <w:rFonts w:ascii="Times New Roman" w:hAnsi="Times New Roman" w:cs="Times New Roman"/>
          <w:sz w:val="24"/>
          <w:szCs w:val="24"/>
        </w:rPr>
        <w:t xml:space="preserve">the </w:t>
      </w:r>
      <w:r w:rsidR="008A76B0" w:rsidRPr="008A76B0">
        <w:rPr>
          <w:rFonts w:ascii="Times New Roman" w:hAnsi="Times New Roman" w:cs="Times New Roman"/>
          <w:sz w:val="24"/>
          <w:szCs w:val="24"/>
        </w:rPr>
        <w:t>U.S. Department of Housing and Urban Development (</w:t>
      </w:r>
      <w:r w:rsidR="008A76B0">
        <w:rPr>
          <w:rFonts w:ascii="Times New Roman" w:hAnsi="Times New Roman" w:cs="Times New Roman"/>
          <w:sz w:val="24"/>
          <w:szCs w:val="24"/>
        </w:rPr>
        <w:t>“</w:t>
      </w:r>
      <w:r w:rsidR="008A76B0" w:rsidRPr="008A76B0">
        <w:rPr>
          <w:rFonts w:ascii="Times New Roman" w:hAnsi="Times New Roman" w:cs="Times New Roman"/>
          <w:sz w:val="24"/>
          <w:szCs w:val="24"/>
        </w:rPr>
        <w:t>HUD</w:t>
      </w:r>
      <w:r w:rsidR="008A76B0">
        <w:rPr>
          <w:rFonts w:ascii="Times New Roman" w:hAnsi="Times New Roman" w:cs="Times New Roman"/>
          <w:sz w:val="24"/>
          <w:szCs w:val="24"/>
        </w:rPr>
        <w:t>”</w:t>
      </w:r>
      <w:r w:rsidR="008A76B0" w:rsidRPr="008A76B0">
        <w:rPr>
          <w:rFonts w:ascii="Times New Roman" w:hAnsi="Times New Roman" w:cs="Times New Roman"/>
          <w:sz w:val="24"/>
          <w:szCs w:val="24"/>
        </w:rPr>
        <w:t>)</w:t>
      </w:r>
      <w:r w:rsidR="008A76B0">
        <w:rPr>
          <w:rFonts w:ascii="Times New Roman" w:hAnsi="Times New Roman" w:cs="Times New Roman"/>
          <w:sz w:val="24"/>
          <w:szCs w:val="24"/>
        </w:rPr>
        <w:t xml:space="preserve"> </w:t>
      </w:r>
      <w:r w:rsidRPr="00FD3A4F">
        <w:rPr>
          <w:rFonts w:ascii="Times New Roman" w:hAnsi="Times New Roman" w:cs="Times New Roman"/>
          <w:sz w:val="24"/>
          <w:szCs w:val="24"/>
        </w:rPr>
        <w:t xml:space="preserve">an interest in the property so that the </w:t>
      </w:r>
      <w:r w:rsidR="00AE2D05" w:rsidRPr="00FD3A4F">
        <w:rPr>
          <w:rFonts w:ascii="Times New Roman" w:hAnsi="Times New Roman" w:cs="Times New Roman"/>
          <w:sz w:val="24"/>
          <w:szCs w:val="24"/>
        </w:rPr>
        <w:t>HUD</w:t>
      </w:r>
      <w:r w:rsidRPr="00FD3A4F">
        <w:rPr>
          <w:rFonts w:ascii="Times New Roman" w:hAnsi="Times New Roman" w:cs="Times New Roman"/>
          <w:sz w:val="24"/>
          <w:szCs w:val="24"/>
        </w:rPr>
        <w:t xml:space="preserve"> can ensure the property is used for public housing purposes.</w:t>
      </w:r>
      <w:r w:rsidR="00EF7A72" w:rsidRPr="00FD3A4F">
        <w:rPr>
          <w:rStyle w:val="FootnoteReference"/>
          <w:rFonts w:ascii="Times New Roman" w:hAnsi="Times New Roman" w:cs="Times New Roman"/>
          <w:sz w:val="24"/>
          <w:szCs w:val="24"/>
        </w:rPr>
        <w:footnoteReference w:id="8"/>
      </w:r>
      <w:r w:rsidRPr="00FD3A4F">
        <w:rPr>
          <w:rFonts w:ascii="Times New Roman" w:hAnsi="Times New Roman" w:cs="Times New Roman"/>
          <w:sz w:val="24"/>
          <w:szCs w:val="24"/>
        </w:rPr>
        <w:t xml:space="preserve"> The term of the DOT/DORC </w:t>
      </w:r>
      <w:r w:rsidR="00EF7A72" w:rsidRPr="00FD3A4F">
        <w:rPr>
          <w:rFonts w:ascii="Times New Roman" w:hAnsi="Times New Roman" w:cs="Times New Roman"/>
          <w:sz w:val="24"/>
          <w:szCs w:val="24"/>
        </w:rPr>
        <w:t xml:space="preserve">is contingent on the type of funds and type of </w:t>
      </w:r>
      <w:r w:rsidRPr="00FD3A4F">
        <w:rPr>
          <w:rFonts w:ascii="Times New Roman" w:hAnsi="Times New Roman" w:cs="Times New Roman"/>
          <w:sz w:val="24"/>
          <w:szCs w:val="24"/>
        </w:rPr>
        <w:t xml:space="preserve">work </w:t>
      </w:r>
      <w:r w:rsidR="00EF7A72" w:rsidRPr="00FD3A4F">
        <w:rPr>
          <w:rFonts w:ascii="Times New Roman" w:hAnsi="Times New Roman" w:cs="Times New Roman"/>
          <w:sz w:val="24"/>
          <w:szCs w:val="24"/>
        </w:rPr>
        <w:t xml:space="preserve">performed </w:t>
      </w:r>
      <w:r w:rsidRPr="00FD3A4F">
        <w:rPr>
          <w:rFonts w:ascii="Times New Roman" w:hAnsi="Times New Roman" w:cs="Times New Roman"/>
          <w:sz w:val="24"/>
          <w:szCs w:val="24"/>
        </w:rPr>
        <w:t>at a property. The basic terms are 40 years for properties acquired or</w:t>
      </w:r>
      <w:r w:rsidR="00314636" w:rsidRPr="00FD3A4F">
        <w:rPr>
          <w:rFonts w:ascii="Times New Roman" w:hAnsi="Times New Roman" w:cs="Times New Roman"/>
          <w:sz w:val="24"/>
          <w:szCs w:val="24"/>
        </w:rPr>
        <w:t xml:space="preserve"> developed with Capital F</w:t>
      </w:r>
      <w:r w:rsidRPr="00FD3A4F">
        <w:rPr>
          <w:rFonts w:ascii="Times New Roman" w:hAnsi="Times New Roman" w:cs="Times New Roman"/>
          <w:sz w:val="24"/>
          <w:szCs w:val="24"/>
        </w:rPr>
        <w:t>unds, 20 years for projects modernized w</w:t>
      </w:r>
      <w:r w:rsidR="00314636" w:rsidRPr="00FD3A4F">
        <w:rPr>
          <w:rFonts w:ascii="Times New Roman" w:hAnsi="Times New Roman" w:cs="Times New Roman"/>
          <w:sz w:val="24"/>
          <w:szCs w:val="24"/>
        </w:rPr>
        <w:t>ith Capital F</w:t>
      </w:r>
      <w:r w:rsidRPr="00FD3A4F">
        <w:rPr>
          <w:rFonts w:ascii="Times New Roman" w:hAnsi="Times New Roman" w:cs="Times New Roman"/>
          <w:sz w:val="24"/>
          <w:szCs w:val="24"/>
        </w:rPr>
        <w:t xml:space="preserve">unds, and 10 years beyond the year of assistance </w:t>
      </w:r>
      <w:r w:rsidR="00314636" w:rsidRPr="00FD3A4F">
        <w:rPr>
          <w:rFonts w:ascii="Times New Roman" w:hAnsi="Times New Roman" w:cs="Times New Roman"/>
          <w:sz w:val="24"/>
          <w:szCs w:val="24"/>
        </w:rPr>
        <w:t>for projects receiving Operating F</w:t>
      </w:r>
      <w:r w:rsidRPr="00FD3A4F">
        <w:rPr>
          <w:rFonts w:ascii="Times New Roman" w:hAnsi="Times New Roman" w:cs="Times New Roman"/>
          <w:sz w:val="24"/>
          <w:szCs w:val="24"/>
        </w:rPr>
        <w:t>unds.</w:t>
      </w:r>
      <w:r w:rsidR="00EF7A72" w:rsidRPr="00FD3A4F">
        <w:rPr>
          <w:rStyle w:val="FootnoteReference"/>
          <w:rFonts w:ascii="Times New Roman" w:hAnsi="Times New Roman" w:cs="Times New Roman"/>
          <w:sz w:val="24"/>
          <w:szCs w:val="24"/>
        </w:rPr>
        <w:footnoteReference w:id="9"/>
      </w:r>
      <w:r w:rsidRPr="00FD3A4F">
        <w:rPr>
          <w:rFonts w:ascii="Times New Roman" w:hAnsi="Times New Roman" w:cs="Times New Roman"/>
          <w:sz w:val="24"/>
          <w:szCs w:val="24"/>
        </w:rPr>
        <w:t xml:space="preserve"> These terms </w:t>
      </w:r>
      <w:r w:rsidR="004C22DC">
        <w:rPr>
          <w:rFonts w:ascii="Times New Roman" w:hAnsi="Times New Roman" w:cs="Times New Roman"/>
          <w:sz w:val="24"/>
          <w:szCs w:val="24"/>
        </w:rPr>
        <w:t>may be</w:t>
      </w:r>
      <w:r w:rsidRPr="00FD3A4F">
        <w:rPr>
          <w:rFonts w:ascii="Times New Roman" w:hAnsi="Times New Roman" w:cs="Times New Roman"/>
          <w:sz w:val="24"/>
          <w:szCs w:val="24"/>
        </w:rPr>
        <w:t xml:space="preserve"> extended if a property receives a</w:t>
      </w:r>
      <w:r w:rsidR="00AE2D05" w:rsidRPr="00FD3A4F">
        <w:rPr>
          <w:rFonts w:ascii="Times New Roman" w:hAnsi="Times New Roman" w:cs="Times New Roman"/>
          <w:sz w:val="24"/>
          <w:szCs w:val="24"/>
        </w:rPr>
        <w:t>dditional public housing funds.</w:t>
      </w:r>
      <w:r w:rsidR="00AE2D05" w:rsidRPr="00FD3A4F">
        <w:rPr>
          <w:rStyle w:val="FootnoteReference"/>
          <w:rFonts w:ascii="Times New Roman" w:hAnsi="Times New Roman" w:cs="Times New Roman"/>
          <w:sz w:val="24"/>
          <w:szCs w:val="24"/>
        </w:rPr>
        <w:footnoteReference w:id="10"/>
      </w:r>
    </w:p>
    <w:p w14:paraId="1DFC2C8D" w14:textId="334BFA11" w:rsidR="00FF6150" w:rsidRDefault="00FF6150" w:rsidP="004C22DC">
      <w:pPr>
        <w:ind w:firstLine="360"/>
        <w:jc w:val="both"/>
        <w:rPr>
          <w:rFonts w:ascii="Times New Roman" w:hAnsi="Times New Roman" w:cs="Times New Roman"/>
          <w:sz w:val="24"/>
          <w:szCs w:val="24"/>
        </w:rPr>
      </w:pPr>
      <w:r w:rsidRPr="00FD3A4F">
        <w:rPr>
          <w:rFonts w:ascii="Times New Roman" w:hAnsi="Times New Roman" w:cs="Times New Roman"/>
          <w:sz w:val="24"/>
          <w:szCs w:val="24"/>
        </w:rPr>
        <w:t>In order to participate in the public housing program, a PHA must, by regulation, provide a cooperation agreement with the local government that includes (1) an exemption from real and personal property taxes—the local government must accept instead PHA payments in lieu of taxes (</w:t>
      </w:r>
      <w:r w:rsidR="00EF7A72" w:rsidRPr="00FD3A4F">
        <w:rPr>
          <w:rFonts w:ascii="Times New Roman" w:hAnsi="Times New Roman" w:cs="Times New Roman"/>
          <w:sz w:val="24"/>
          <w:szCs w:val="24"/>
        </w:rPr>
        <w:t>“</w:t>
      </w:r>
      <w:r w:rsidRPr="00FD3A4F">
        <w:rPr>
          <w:rFonts w:ascii="Times New Roman" w:hAnsi="Times New Roman" w:cs="Times New Roman"/>
          <w:sz w:val="24"/>
          <w:szCs w:val="24"/>
        </w:rPr>
        <w:t>PILOT</w:t>
      </w:r>
      <w:r w:rsidR="00EF7A72" w:rsidRPr="00FD3A4F">
        <w:rPr>
          <w:rFonts w:ascii="Times New Roman" w:hAnsi="Times New Roman" w:cs="Times New Roman"/>
          <w:sz w:val="24"/>
          <w:szCs w:val="24"/>
        </w:rPr>
        <w:t>”</w:t>
      </w:r>
      <w:r w:rsidRPr="00FD3A4F">
        <w:rPr>
          <w:rFonts w:ascii="Times New Roman" w:hAnsi="Times New Roman" w:cs="Times New Roman"/>
          <w:sz w:val="24"/>
          <w:szCs w:val="24"/>
        </w:rPr>
        <w:t>)</w:t>
      </w:r>
      <w:r w:rsidR="001304C2">
        <w:rPr>
          <w:rFonts w:ascii="Times New Roman" w:hAnsi="Times New Roman" w:cs="Times New Roman"/>
          <w:sz w:val="24"/>
          <w:szCs w:val="24"/>
        </w:rPr>
        <w:t xml:space="preserve">; </w:t>
      </w:r>
      <w:r w:rsidRPr="00FD3A4F">
        <w:rPr>
          <w:rFonts w:ascii="Times New Roman" w:hAnsi="Times New Roman" w:cs="Times New Roman"/>
          <w:sz w:val="24"/>
          <w:szCs w:val="24"/>
        </w:rPr>
        <w:t>and (2) a stipulation that standard public services and facilities will be provided to the public housing project either at no cost or at a cost n</w:t>
      </w:r>
      <w:r w:rsidR="00EF7A72" w:rsidRPr="00FD3A4F">
        <w:rPr>
          <w:rFonts w:ascii="Times New Roman" w:hAnsi="Times New Roman" w:cs="Times New Roman"/>
          <w:sz w:val="24"/>
          <w:szCs w:val="24"/>
        </w:rPr>
        <w:t>o higher than normally charged.</w:t>
      </w:r>
      <w:r w:rsidR="00EF7A72" w:rsidRPr="00FD3A4F">
        <w:rPr>
          <w:rStyle w:val="FootnoteReference"/>
          <w:rFonts w:ascii="Times New Roman" w:hAnsi="Times New Roman" w:cs="Times New Roman"/>
          <w:sz w:val="24"/>
          <w:szCs w:val="24"/>
        </w:rPr>
        <w:footnoteReference w:id="11"/>
      </w:r>
    </w:p>
    <w:p w14:paraId="6E45D9B0" w14:textId="77777777" w:rsidR="00B3135D" w:rsidRPr="00B3135D" w:rsidRDefault="00B3135D" w:rsidP="00B3135D">
      <w:pPr>
        <w:pStyle w:val="ListParagraph"/>
        <w:ind w:left="1440"/>
        <w:rPr>
          <w:rFonts w:ascii="Times New Roman" w:hAnsi="Times New Roman" w:cs="Times New Roman"/>
          <w:b/>
          <w:sz w:val="24"/>
          <w:szCs w:val="24"/>
        </w:rPr>
      </w:pPr>
    </w:p>
    <w:p w14:paraId="08BD252F" w14:textId="77777777" w:rsidR="00DA7352" w:rsidRPr="00D036B1" w:rsidRDefault="00C409D5" w:rsidP="00FD3A4F">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Capital</w:t>
      </w:r>
      <w:r w:rsidR="00183FAD" w:rsidRPr="00D036B1">
        <w:rPr>
          <w:rFonts w:ascii="Times New Roman" w:hAnsi="Times New Roman" w:cs="Times New Roman"/>
          <w:b/>
          <w:sz w:val="24"/>
          <w:szCs w:val="24"/>
        </w:rPr>
        <w:t xml:space="preserve"> </w:t>
      </w:r>
      <w:r w:rsidR="00A25536" w:rsidRPr="00D036B1">
        <w:rPr>
          <w:rFonts w:ascii="Times New Roman" w:hAnsi="Times New Roman" w:cs="Times New Roman"/>
          <w:b/>
          <w:sz w:val="24"/>
          <w:szCs w:val="24"/>
        </w:rPr>
        <w:t xml:space="preserve">Planning </w:t>
      </w:r>
      <w:r w:rsidR="009774BF" w:rsidRPr="00D036B1">
        <w:rPr>
          <w:rFonts w:ascii="Times New Roman" w:hAnsi="Times New Roman" w:cs="Times New Roman"/>
          <w:b/>
          <w:sz w:val="24"/>
          <w:szCs w:val="24"/>
        </w:rPr>
        <w:t xml:space="preserve">Process </w:t>
      </w:r>
    </w:p>
    <w:p w14:paraId="7A337AF1" w14:textId="77777777" w:rsidR="005A41AB" w:rsidRDefault="005A41AB" w:rsidP="005A41AB">
      <w:pPr>
        <w:pStyle w:val="ListParagraph"/>
        <w:ind w:left="0"/>
        <w:jc w:val="both"/>
        <w:rPr>
          <w:rFonts w:ascii="Times New Roman" w:hAnsi="Times New Roman" w:cs="Times New Roman"/>
          <w:sz w:val="24"/>
          <w:szCs w:val="24"/>
        </w:rPr>
      </w:pPr>
    </w:p>
    <w:p w14:paraId="7D7E39A7" w14:textId="7DD8C61D" w:rsidR="00896D17" w:rsidRDefault="005A41AB" w:rsidP="001304C2">
      <w:pPr>
        <w:pStyle w:val="ListParagraph"/>
        <w:spacing w:after="0"/>
        <w:ind w:left="0" w:firstLine="360"/>
        <w:jc w:val="both"/>
        <w:rPr>
          <w:rFonts w:ascii="Times New Roman" w:hAnsi="Times New Roman" w:cs="Times New Roman"/>
          <w:sz w:val="24"/>
          <w:szCs w:val="24"/>
        </w:rPr>
      </w:pPr>
      <w:r w:rsidRPr="005A41AB">
        <w:rPr>
          <w:rFonts w:ascii="Times New Roman" w:hAnsi="Times New Roman" w:cs="Times New Roman"/>
          <w:sz w:val="24"/>
          <w:szCs w:val="24"/>
        </w:rPr>
        <w:t xml:space="preserve">The </w:t>
      </w:r>
      <w:r w:rsidR="001802C4">
        <w:rPr>
          <w:rFonts w:ascii="Times New Roman" w:hAnsi="Times New Roman" w:cs="Times New Roman"/>
          <w:sz w:val="24"/>
          <w:szCs w:val="24"/>
        </w:rPr>
        <w:t>capital</w:t>
      </w:r>
      <w:r w:rsidRPr="005A41AB">
        <w:rPr>
          <w:rFonts w:ascii="Times New Roman" w:hAnsi="Times New Roman" w:cs="Times New Roman"/>
          <w:sz w:val="24"/>
          <w:szCs w:val="24"/>
        </w:rPr>
        <w:t xml:space="preserve"> planning process begins with a </w:t>
      </w:r>
      <w:r>
        <w:rPr>
          <w:rFonts w:ascii="Times New Roman" w:hAnsi="Times New Roman" w:cs="Times New Roman"/>
          <w:sz w:val="24"/>
          <w:szCs w:val="24"/>
        </w:rPr>
        <w:t>Physical Needs Assessment (</w:t>
      </w:r>
      <w:r w:rsidR="001304C2">
        <w:rPr>
          <w:rFonts w:ascii="Times New Roman" w:hAnsi="Times New Roman" w:cs="Times New Roman"/>
          <w:sz w:val="24"/>
          <w:szCs w:val="24"/>
        </w:rPr>
        <w:t>“</w:t>
      </w:r>
      <w:r>
        <w:rPr>
          <w:rFonts w:ascii="Times New Roman" w:hAnsi="Times New Roman" w:cs="Times New Roman"/>
          <w:sz w:val="24"/>
          <w:szCs w:val="24"/>
        </w:rPr>
        <w:t>PNA</w:t>
      </w:r>
      <w:r w:rsidR="001304C2">
        <w:rPr>
          <w:rFonts w:ascii="Times New Roman" w:hAnsi="Times New Roman" w:cs="Times New Roman"/>
          <w:sz w:val="24"/>
          <w:szCs w:val="24"/>
        </w:rPr>
        <w:t>”</w:t>
      </w:r>
      <w:r>
        <w:rPr>
          <w:rFonts w:ascii="Times New Roman" w:hAnsi="Times New Roman" w:cs="Times New Roman"/>
          <w:sz w:val="24"/>
          <w:szCs w:val="24"/>
        </w:rPr>
        <w:t xml:space="preserve">) </w:t>
      </w:r>
      <w:r w:rsidRPr="005A41AB">
        <w:rPr>
          <w:rFonts w:ascii="Times New Roman" w:hAnsi="Times New Roman" w:cs="Times New Roman"/>
          <w:sz w:val="24"/>
          <w:szCs w:val="24"/>
        </w:rPr>
        <w:t>and Energy Audit to determine the exte</w:t>
      </w:r>
      <w:r w:rsidR="006350CA">
        <w:rPr>
          <w:rFonts w:ascii="Times New Roman" w:hAnsi="Times New Roman" w:cs="Times New Roman"/>
          <w:sz w:val="24"/>
          <w:szCs w:val="24"/>
        </w:rPr>
        <w:t xml:space="preserve">nt of the PHA’s capital needs, followed by a </w:t>
      </w:r>
      <w:r w:rsidR="009E4AD1">
        <w:rPr>
          <w:rFonts w:ascii="Times New Roman" w:hAnsi="Times New Roman" w:cs="Times New Roman"/>
          <w:sz w:val="24"/>
          <w:szCs w:val="24"/>
        </w:rPr>
        <w:t xml:space="preserve">Five-Year </w:t>
      </w:r>
      <w:r w:rsidR="003E2313">
        <w:rPr>
          <w:rFonts w:ascii="Times New Roman" w:hAnsi="Times New Roman" w:cs="Times New Roman"/>
          <w:sz w:val="24"/>
          <w:szCs w:val="24"/>
        </w:rPr>
        <w:t xml:space="preserve">Action </w:t>
      </w:r>
      <w:r w:rsidR="009E4AD1">
        <w:rPr>
          <w:rFonts w:ascii="Times New Roman" w:hAnsi="Times New Roman" w:cs="Times New Roman"/>
          <w:sz w:val="24"/>
          <w:szCs w:val="24"/>
        </w:rPr>
        <w:t>Plan</w:t>
      </w:r>
      <w:r w:rsidR="001304C2">
        <w:rPr>
          <w:rFonts w:ascii="Times New Roman" w:hAnsi="Times New Roman" w:cs="Times New Roman"/>
          <w:sz w:val="24"/>
          <w:szCs w:val="24"/>
        </w:rPr>
        <w:t>.</w:t>
      </w:r>
      <w:r w:rsidR="001304C2">
        <w:rPr>
          <w:rStyle w:val="FootnoteReference"/>
          <w:rFonts w:ascii="Times New Roman" w:hAnsi="Times New Roman" w:cs="Times New Roman"/>
          <w:sz w:val="24"/>
          <w:szCs w:val="24"/>
        </w:rPr>
        <w:footnoteReference w:id="12"/>
      </w:r>
      <w:r w:rsidR="001304C2">
        <w:rPr>
          <w:rFonts w:ascii="Times New Roman" w:hAnsi="Times New Roman" w:cs="Times New Roman"/>
          <w:sz w:val="24"/>
          <w:szCs w:val="24"/>
        </w:rPr>
        <w:t xml:space="preserve"> </w:t>
      </w:r>
      <w:r w:rsidR="00896D17">
        <w:rPr>
          <w:rFonts w:ascii="Times New Roman" w:hAnsi="Times New Roman" w:cs="Times New Roman"/>
          <w:sz w:val="24"/>
          <w:szCs w:val="24"/>
        </w:rPr>
        <w:t xml:space="preserve">This process is dictated by those requirements </w:t>
      </w:r>
      <w:r w:rsidR="001802C4">
        <w:rPr>
          <w:rFonts w:ascii="Times New Roman" w:hAnsi="Times New Roman" w:cs="Times New Roman"/>
          <w:sz w:val="24"/>
          <w:szCs w:val="24"/>
        </w:rPr>
        <w:t xml:space="preserve">prescribed </w:t>
      </w:r>
      <w:r w:rsidR="001304C2">
        <w:rPr>
          <w:rFonts w:ascii="Times New Roman" w:hAnsi="Times New Roman" w:cs="Times New Roman"/>
          <w:sz w:val="24"/>
          <w:szCs w:val="24"/>
        </w:rPr>
        <w:t>by the federal government for</w:t>
      </w:r>
      <w:r w:rsidR="00896D17">
        <w:rPr>
          <w:rFonts w:ascii="Times New Roman" w:hAnsi="Times New Roman" w:cs="Times New Roman"/>
          <w:sz w:val="24"/>
          <w:szCs w:val="24"/>
        </w:rPr>
        <w:t xml:space="preserve"> capital fund</w:t>
      </w:r>
      <w:r w:rsidR="001304C2">
        <w:rPr>
          <w:rFonts w:ascii="Times New Roman" w:hAnsi="Times New Roman" w:cs="Times New Roman"/>
          <w:sz w:val="24"/>
          <w:szCs w:val="24"/>
        </w:rPr>
        <w:t>ing</w:t>
      </w:r>
      <w:r w:rsidR="00896D17">
        <w:rPr>
          <w:rFonts w:ascii="Times New Roman" w:hAnsi="Times New Roman" w:cs="Times New Roman"/>
          <w:sz w:val="24"/>
          <w:szCs w:val="24"/>
        </w:rPr>
        <w:t xml:space="preserve"> allocated through the</w:t>
      </w:r>
      <w:r w:rsidR="00896D17" w:rsidRPr="00FD3A4F">
        <w:rPr>
          <w:rFonts w:ascii="Times New Roman" w:hAnsi="Times New Roman" w:cs="Times New Roman"/>
          <w:sz w:val="24"/>
          <w:szCs w:val="24"/>
        </w:rPr>
        <w:t xml:space="preserve"> Public Housing Capital Fund Program (“Capital Fund Program” or “CFP”)</w:t>
      </w:r>
      <w:r w:rsidR="001304C2">
        <w:rPr>
          <w:rFonts w:ascii="Times New Roman" w:hAnsi="Times New Roman" w:cs="Times New Roman"/>
          <w:sz w:val="24"/>
          <w:szCs w:val="24"/>
        </w:rPr>
        <w:t xml:space="preserve">. The Capital Fund Program </w:t>
      </w:r>
      <w:r w:rsidR="00896D17" w:rsidRPr="00FD3A4F">
        <w:rPr>
          <w:rFonts w:ascii="Times New Roman" w:hAnsi="Times New Roman" w:cs="Times New Roman"/>
          <w:sz w:val="24"/>
          <w:szCs w:val="24"/>
        </w:rPr>
        <w:t>provides financial assistance to PHAs and resident management corporations to make improvements to existing public housing.</w:t>
      </w:r>
      <w:r w:rsidR="0030701C">
        <w:rPr>
          <w:rStyle w:val="FootnoteReference"/>
          <w:rFonts w:ascii="Times New Roman" w:hAnsi="Times New Roman" w:cs="Times New Roman"/>
          <w:sz w:val="24"/>
          <w:szCs w:val="24"/>
        </w:rPr>
        <w:footnoteReference w:id="13"/>
      </w:r>
      <w:r w:rsidR="00896D17" w:rsidRPr="00FD3A4F">
        <w:rPr>
          <w:rFonts w:ascii="Times New Roman" w:hAnsi="Times New Roman" w:cs="Times New Roman"/>
          <w:sz w:val="24"/>
          <w:szCs w:val="24"/>
        </w:rPr>
        <w:t xml:space="preserve"> The CFP also provides financial assistance to develop public housing, including mixed-finance developments that contain public housing units.</w:t>
      </w:r>
      <w:r w:rsidR="0030701C">
        <w:rPr>
          <w:rStyle w:val="FootnoteReference"/>
          <w:rFonts w:ascii="Times New Roman" w:hAnsi="Times New Roman" w:cs="Times New Roman"/>
          <w:sz w:val="24"/>
          <w:szCs w:val="24"/>
        </w:rPr>
        <w:footnoteReference w:id="14"/>
      </w:r>
    </w:p>
    <w:p w14:paraId="3E8FDF16" w14:textId="77777777" w:rsidR="000407FC" w:rsidRPr="00FD3A4F" w:rsidRDefault="000407FC" w:rsidP="000407FC">
      <w:pPr>
        <w:pStyle w:val="ListParagraph"/>
        <w:ind w:left="0"/>
        <w:jc w:val="both"/>
        <w:rPr>
          <w:rFonts w:ascii="Times New Roman" w:hAnsi="Times New Roman" w:cs="Times New Roman"/>
          <w:sz w:val="24"/>
          <w:szCs w:val="24"/>
        </w:rPr>
      </w:pPr>
    </w:p>
    <w:p w14:paraId="306E284F" w14:textId="77777777" w:rsidR="000407FC" w:rsidRPr="00D036B1" w:rsidRDefault="000407FC" w:rsidP="000407FC">
      <w:pPr>
        <w:pStyle w:val="ListParagraph"/>
        <w:numPr>
          <w:ilvl w:val="1"/>
          <w:numId w:val="1"/>
        </w:numPr>
        <w:rPr>
          <w:rFonts w:ascii="Times New Roman" w:hAnsi="Times New Roman" w:cs="Times New Roman"/>
          <w:b/>
          <w:sz w:val="24"/>
          <w:szCs w:val="24"/>
        </w:rPr>
      </w:pPr>
      <w:r w:rsidRPr="00D036B1">
        <w:rPr>
          <w:rFonts w:ascii="Times New Roman" w:hAnsi="Times New Roman" w:cs="Times New Roman"/>
          <w:b/>
          <w:sz w:val="24"/>
          <w:szCs w:val="24"/>
        </w:rPr>
        <w:t xml:space="preserve">Physical Needs Assessment </w:t>
      </w:r>
    </w:p>
    <w:p w14:paraId="0D0D25F6" w14:textId="77777777" w:rsidR="001A2CCD" w:rsidRPr="00FD3A4F" w:rsidRDefault="001A2CCD" w:rsidP="001A2CCD">
      <w:pPr>
        <w:pStyle w:val="ListParagraph"/>
        <w:ind w:left="1440"/>
        <w:rPr>
          <w:rFonts w:ascii="Times New Roman" w:hAnsi="Times New Roman" w:cs="Times New Roman"/>
          <w:sz w:val="24"/>
          <w:szCs w:val="24"/>
        </w:rPr>
      </w:pPr>
    </w:p>
    <w:p w14:paraId="64B33E57" w14:textId="69B8D2AF" w:rsidR="00FF4F59" w:rsidRPr="001304C2" w:rsidRDefault="00896D17" w:rsidP="00C20811">
      <w:pPr>
        <w:pStyle w:val="ListParagraph"/>
        <w:ind w:left="0" w:firstLine="360"/>
        <w:jc w:val="both"/>
        <w:rPr>
          <w:rFonts w:ascii="Times" w:hAnsi="Times" w:cs="Times New Roman"/>
          <w:sz w:val="24"/>
          <w:szCs w:val="24"/>
        </w:rPr>
      </w:pPr>
      <w:r w:rsidRPr="001304C2">
        <w:rPr>
          <w:rFonts w:ascii="Times" w:hAnsi="Times" w:cs="Times New Roman"/>
          <w:sz w:val="24"/>
          <w:szCs w:val="24"/>
        </w:rPr>
        <w:t>E</w:t>
      </w:r>
      <w:r w:rsidR="00BB0F4C" w:rsidRPr="001304C2">
        <w:rPr>
          <w:rFonts w:ascii="Times" w:hAnsi="Times" w:cs="Times New Roman"/>
          <w:sz w:val="24"/>
          <w:szCs w:val="24"/>
        </w:rPr>
        <w:t>ach PHA</w:t>
      </w:r>
      <w:r w:rsidRPr="001304C2">
        <w:rPr>
          <w:rFonts w:ascii="Times" w:hAnsi="Times" w:cs="Times New Roman"/>
          <w:sz w:val="24"/>
          <w:szCs w:val="24"/>
        </w:rPr>
        <w:t xml:space="preserve">, under the Capital Fund Program, </w:t>
      </w:r>
      <w:r w:rsidR="00BB0F4C" w:rsidRPr="001304C2">
        <w:rPr>
          <w:rFonts w:ascii="Times" w:hAnsi="Times" w:cs="Times New Roman"/>
          <w:sz w:val="24"/>
          <w:szCs w:val="24"/>
        </w:rPr>
        <w:t>must complete a comprehensive PNA.</w:t>
      </w:r>
      <w:r w:rsidR="00BB0F4C" w:rsidRPr="001304C2">
        <w:rPr>
          <w:rStyle w:val="FootnoteReference"/>
          <w:rFonts w:ascii="Times" w:hAnsi="Times" w:cs="Times New Roman"/>
          <w:sz w:val="24"/>
          <w:szCs w:val="24"/>
        </w:rPr>
        <w:footnoteReference w:id="15"/>
      </w:r>
      <w:r w:rsidR="00FF4F59" w:rsidRPr="001304C2">
        <w:rPr>
          <w:rFonts w:ascii="Times" w:hAnsi="Times" w:cs="Times New Roman"/>
          <w:sz w:val="24"/>
          <w:szCs w:val="24"/>
        </w:rPr>
        <w:t xml:space="preserve"> </w:t>
      </w:r>
      <w:r w:rsidR="001A2CCD" w:rsidRPr="001304C2">
        <w:rPr>
          <w:rFonts w:ascii="Times" w:hAnsi="Times" w:cs="Times New Roman"/>
          <w:sz w:val="24"/>
          <w:szCs w:val="24"/>
        </w:rPr>
        <w:t xml:space="preserve"> </w:t>
      </w:r>
      <w:r w:rsidR="00FF4F59" w:rsidRPr="001304C2">
        <w:rPr>
          <w:rFonts w:ascii="Times" w:hAnsi="Times"/>
          <w:sz w:val="24"/>
          <w:szCs w:val="24"/>
        </w:rPr>
        <w:t>A PNA is sys</w:t>
      </w:r>
      <w:r w:rsidR="00EA0EF6" w:rsidRPr="001304C2">
        <w:rPr>
          <w:rFonts w:ascii="Times" w:hAnsi="Times"/>
          <w:sz w:val="24"/>
          <w:szCs w:val="24"/>
        </w:rPr>
        <w:t>tematic review of all</w:t>
      </w:r>
      <w:r w:rsidR="00FF4F59" w:rsidRPr="001304C2">
        <w:rPr>
          <w:rFonts w:ascii="Times" w:hAnsi="Times"/>
          <w:sz w:val="24"/>
          <w:szCs w:val="24"/>
        </w:rPr>
        <w:t xml:space="preserve"> the major physical components of </w:t>
      </w:r>
      <w:r w:rsidR="00EA0EF6" w:rsidRPr="001304C2">
        <w:rPr>
          <w:rFonts w:ascii="Times" w:hAnsi="Times"/>
          <w:sz w:val="24"/>
          <w:szCs w:val="24"/>
        </w:rPr>
        <w:t xml:space="preserve">a </w:t>
      </w:r>
      <w:r w:rsidR="00FF4F59" w:rsidRPr="001304C2">
        <w:rPr>
          <w:rFonts w:ascii="Times" w:hAnsi="Times"/>
          <w:sz w:val="24"/>
          <w:szCs w:val="24"/>
        </w:rPr>
        <w:t>property to</w:t>
      </w:r>
      <w:r w:rsidR="005A41AB" w:rsidRPr="001304C2">
        <w:rPr>
          <w:rFonts w:ascii="Times" w:hAnsi="Times"/>
          <w:sz w:val="24"/>
          <w:szCs w:val="24"/>
        </w:rPr>
        <w:t xml:space="preserve"> result in a long-term schedule for replacement of each component and estimated capital costs required to meet the replacement need</w:t>
      </w:r>
      <w:r w:rsidR="00FF4F59" w:rsidRPr="001304C2">
        <w:rPr>
          <w:rFonts w:ascii="Times" w:hAnsi="Times"/>
          <w:sz w:val="24"/>
          <w:szCs w:val="24"/>
        </w:rPr>
        <w:t>.</w:t>
      </w:r>
      <w:r w:rsidR="006350CA" w:rsidRPr="001304C2">
        <w:rPr>
          <w:rStyle w:val="FootnoteReference"/>
          <w:rFonts w:ascii="Times" w:hAnsi="Times"/>
          <w:sz w:val="24"/>
          <w:szCs w:val="24"/>
        </w:rPr>
        <w:footnoteReference w:id="16"/>
      </w:r>
      <w:r w:rsidR="00EA0EF6" w:rsidRPr="001304C2">
        <w:rPr>
          <w:rFonts w:ascii="Times" w:hAnsi="Times"/>
          <w:sz w:val="24"/>
          <w:szCs w:val="24"/>
        </w:rPr>
        <w:t xml:space="preserve"> A PNA serves as a strategic planning tool and provides documentation for a long-term grant or loan with more proscriptive protocols.</w:t>
      </w:r>
      <w:r w:rsidR="00191572" w:rsidRPr="001304C2">
        <w:rPr>
          <w:rFonts w:ascii="Times" w:hAnsi="Times"/>
          <w:sz w:val="24"/>
          <w:szCs w:val="24"/>
        </w:rPr>
        <w:t xml:space="preserve"> According to HUD, </w:t>
      </w:r>
      <w:r w:rsidR="00EA0EF6" w:rsidRPr="001304C2">
        <w:rPr>
          <w:rFonts w:ascii="Times" w:hAnsi="Times"/>
          <w:color w:val="000000"/>
          <w:sz w:val="24"/>
          <w:szCs w:val="24"/>
        </w:rPr>
        <w:t>t</w:t>
      </w:r>
      <w:r w:rsidR="00FF4F59" w:rsidRPr="001304C2">
        <w:rPr>
          <w:rFonts w:ascii="Times" w:hAnsi="Times"/>
          <w:color w:val="000000"/>
          <w:sz w:val="24"/>
          <w:szCs w:val="24"/>
        </w:rPr>
        <w:t xml:space="preserve">he primary objectives of the PNA process </w:t>
      </w:r>
      <w:r w:rsidR="00C20811">
        <w:rPr>
          <w:rFonts w:ascii="Times" w:hAnsi="Times"/>
          <w:color w:val="000000"/>
          <w:sz w:val="24"/>
          <w:szCs w:val="24"/>
        </w:rPr>
        <w:t xml:space="preserve">is </w:t>
      </w:r>
      <w:r w:rsidR="00FF4F59" w:rsidRPr="001304C2">
        <w:rPr>
          <w:rFonts w:ascii="Times" w:hAnsi="Times"/>
          <w:color w:val="000000"/>
          <w:sz w:val="24"/>
          <w:szCs w:val="24"/>
        </w:rPr>
        <w:t>to:</w:t>
      </w:r>
      <w:r w:rsidR="001304C2" w:rsidRPr="001304C2">
        <w:rPr>
          <w:rStyle w:val="FootnoteReference"/>
          <w:rFonts w:ascii="Times" w:hAnsi="Times"/>
          <w:color w:val="000000"/>
          <w:sz w:val="24"/>
          <w:szCs w:val="24"/>
        </w:rPr>
        <w:t xml:space="preserve"> </w:t>
      </w:r>
      <w:r w:rsidR="001304C2" w:rsidRPr="001304C2">
        <w:rPr>
          <w:rStyle w:val="FootnoteReference"/>
          <w:rFonts w:ascii="Times" w:hAnsi="Times"/>
          <w:color w:val="000000"/>
          <w:sz w:val="24"/>
          <w:szCs w:val="24"/>
        </w:rPr>
        <w:footnoteReference w:id="17"/>
      </w:r>
    </w:p>
    <w:p w14:paraId="4B6B7402" w14:textId="290CD4E0" w:rsidR="00FF4F59" w:rsidRPr="001304C2" w:rsidRDefault="00FF4F59" w:rsidP="001304C2">
      <w:pPr>
        <w:numPr>
          <w:ilvl w:val="0"/>
          <w:numId w:val="5"/>
        </w:numPr>
        <w:shd w:val="clear" w:color="auto" w:fill="FFFFFF"/>
        <w:spacing w:before="100" w:beforeAutospacing="1" w:after="100" w:afterAutospacing="1"/>
        <w:rPr>
          <w:rFonts w:ascii="Times" w:eastAsia="Times New Roman" w:hAnsi="Times" w:cs="Times New Roman"/>
          <w:color w:val="000000"/>
          <w:sz w:val="24"/>
          <w:szCs w:val="24"/>
        </w:rPr>
      </w:pPr>
      <w:r w:rsidRPr="001304C2">
        <w:rPr>
          <w:rFonts w:ascii="Times" w:eastAsia="Times New Roman" w:hAnsi="Times" w:cs="Times New Roman"/>
          <w:color w:val="000000"/>
          <w:sz w:val="24"/>
          <w:szCs w:val="24"/>
        </w:rPr>
        <w:t>Enable PHAs to better assess the capital needs of their portfolios, to facilitate capital planning and to allow PHAs to take advantage of capital improvement opportunities</w:t>
      </w:r>
      <w:r w:rsidR="00EA0EF6" w:rsidRPr="001304C2">
        <w:rPr>
          <w:rFonts w:ascii="Times" w:eastAsia="Times New Roman" w:hAnsi="Times" w:cs="Times New Roman"/>
          <w:color w:val="000000"/>
          <w:sz w:val="24"/>
          <w:szCs w:val="24"/>
        </w:rPr>
        <w:t xml:space="preserve">; </w:t>
      </w:r>
    </w:p>
    <w:p w14:paraId="744E59D9" w14:textId="3AF7EA5B" w:rsidR="00FF4F59" w:rsidRPr="001304C2" w:rsidRDefault="00FF4F59" w:rsidP="001304C2">
      <w:pPr>
        <w:numPr>
          <w:ilvl w:val="0"/>
          <w:numId w:val="5"/>
        </w:numPr>
        <w:shd w:val="clear" w:color="auto" w:fill="FFFFFF"/>
        <w:spacing w:before="100" w:beforeAutospacing="1" w:after="100" w:afterAutospacing="1"/>
        <w:rPr>
          <w:rFonts w:ascii="Times" w:eastAsia="Times New Roman" w:hAnsi="Times" w:cs="Times New Roman"/>
          <w:color w:val="000000"/>
          <w:sz w:val="24"/>
          <w:szCs w:val="24"/>
        </w:rPr>
      </w:pPr>
      <w:r w:rsidRPr="001304C2">
        <w:rPr>
          <w:rFonts w:ascii="Times" w:eastAsia="Times New Roman" w:hAnsi="Times" w:cs="Times New Roman"/>
          <w:color w:val="000000"/>
          <w:sz w:val="24"/>
          <w:szCs w:val="24"/>
        </w:rPr>
        <w:t>Evolve the management practices of PHAs toward development-based capital planning</w:t>
      </w:r>
      <w:r w:rsidR="00EA0EF6" w:rsidRPr="001304C2">
        <w:rPr>
          <w:rFonts w:ascii="Times" w:eastAsia="Times New Roman" w:hAnsi="Times" w:cs="Times New Roman"/>
          <w:color w:val="000000"/>
          <w:sz w:val="24"/>
          <w:szCs w:val="24"/>
        </w:rPr>
        <w:t>;</w:t>
      </w:r>
    </w:p>
    <w:p w14:paraId="7CD9D3F6" w14:textId="4C71114C" w:rsidR="00FF4F59" w:rsidRPr="001304C2" w:rsidRDefault="00FF4F59" w:rsidP="001304C2">
      <w:pPr>
        <w:numPr>
          <w:ilvl w:val="0"/>
          <w:numId w:val="5"/>
        </w:numPr>
        <w:shd w:val="clear" w:color="auto" w:fill="FFFFFF"/>
        <w:spacing w:before="100" w:beforeAutospacing="1" w:after="100" w:afterAutospacing="1"/>
        <w:rPr>
          <w:rFonts w:ascii="Times" w:eastAsia="Times New Roman" w:hAnsi="Times" w:cs="Times New Roman"/>
          <w:color w:val="000000"/>
          <w:sz w:val="24"/>
          <w:szCs w:val="24"/>
        </w:rPr>
      </w:pPr>
      <w:r w:rsidRPr="001304C2">
        <w:rPr>
          <w:rFonts w:ascii="Times" w:eastAsia="Times New Roman" w:hAnsi="Times" w:cs="Times New Roman"/>
          <w:color w:val="000000"/>
          <w:sz w:val="24"/>
          <w:szCs w:val="24"/>
        </w:rPr>
        <w:t>Further the energy integration goals of the 2005 Energy Policy Act</w:t>
      </w:r>
      <w:r w:rsidR="00EA0EF6" w:rsidRPr="001304C2">
        <w:rPr>
          <w:rFonts w:ascii="Times" w:eastAsia="Times New Roman" w:hAnsi="Times" w:cs="Times New Roman"/>
          <w:color w:val="000000"/>
          <w:sz w:val="24"/>
          <w:szCs w:val="24"/>
        </w:rPr>
        <w:t>; and</w:t>
      </w:r>
    </w:p>
    <w:p w14:paraId="4BA58791" w14:textId="379E62D9" w:rsidR="00FF4F59" w:rsidRPr="001304C2" w:rsidRDefault="00FF4F59" w:rsidP="001304C2">
      <w:pPr>
        <w:numPr>
          <w:ilvl w:val="0"/>
          <w:numId w:val="5"/>
        </w:numPr>
        <w:shd w:val="clear" w:color="auto" w:fill="FFFFFF"/>
        <w:spacing w:before="100" w:beforeAutospacing="1" w:after="100" w:afterAutospacing="1"/>
        <w:rPr>
          <w:rFonts w:ascii="Times" w:eastAsia="Times New Roman" w:hAnsi="Times" w:cs="Times New Roman"/>
          <w:color w:val="000000"/>
          <w:sz w:val="24"/>
          <w:szCs w:val="24"/>
        </w:rPr>
      </w:pPr>
      <w:r w:rsidRPr="001304C2">
        <w:rPr>
          <w:rFonts w:ascii="Times" w:eastAsia="Times New Roman" w:hAnsi="Times" w:cs="Times New Roman"/>
          <w:color w:val="000000"/>
          <w:sz w:val="24"/>
          <w:szCs w:val="24"/>
        </w:rPr>
        <w:t>Produce data on green activities for the Capital Fund, in support of HUD’s Performance Goal to create energy efficient housing</w:t>
      </w:r>
      <w:r w:rsidR="00EA0EF6" w:rsidRPr="001304C2">
        <w:rPr>
          <w:rFonts w:ascii="Times" w:eastAsia="Times New Roman" w:hAnsi="Times" w:cs="Times New Roman"/>
          <w:color w:val="000000"/>
          <w:sz w:val="24"/>
          <w:szCs w:val="24"/>
        </w:rPr>
        <w:t xml:space="preserve">; and </w:t>
      </w:r>
    </w:p>
    <w:p w14:paraId="284EA19D" w14:textId="77777777" w:rsidR="00FF4F59" w:rsidRPr="001304C2" w:rsidRDefault="00FF4F59" w:rsidP="001304C2">
      <w:pPr>
        <w:numPr>
          <w:ilvl w:val="0"/>
          <w:numId w:val="5"/>
        </w:numPr>
        <w:shd w:val="clear" w:color="auto" w:fill="FFFFFF"/>
        <w:spacing w:before="100" w:beforeAutospacing="1" w:after="100" w:afterAutospacing="1"/>
        <w:rPr>
          <w:rFonts w:ascii="Times" w:eastAsia="Times New Roman" w:hAnsi="Times" w:cs="Times New Roman"/>
          <w:color w:val="000000"/>
          <w:sz w:val="24"/>
          <w:szCs w:val="24"/>
        </w:rPr>
      </w:pPr>
      <w:r w:rsidRPr="001304C2">
        <w:rPr>
          <w:rFonts w:ascii="Times" w:eastAsia="Times New Roman" w:hAnsi="Times" w:cs="Times New Roman"/>
          <w:color w:val="000000"/>
          <w:sz w:val="24"/>
          <w:szCs w:val="24"/>
        </w:rPr>
        <w:t>Enable HUD to measure the impact of annual Capital Fund appropriations on the physical needs</w:t>
      </w:r>
      <w:r w:rsidR="00EA0EF6" w:rsidRPr="001304C2">
        <w:rPr>
          <w:rFonts w:ascii="Times" w:eastAsia="Times New Roman" w:hAnsi="Times" w:cs="Times New Roman"/>
          <w:color w:val="000000"/>
          <w:sz w:val="24"/>
          <w:szCs w:val="24"/>
        </w:rPr>
        <w:t xml:space="preserve"> of the public housing inventor</w:t>
      </w:r>
      <w:r w:rsidR="000407FC" w:rsidRPr="001304C2">
        <w:rPr>
          <w:rFonts w:ascii="Times" w:eastAsia="Times New Roman" w:hAnsi="Times" w:cs="Times New Roman"/>
          <w:color w:val="000000"/>
          <w:sz w:val="24"/>
          <w:szCs w:val="24"/>
        </w:rPr>
        <w:t>y</w:t>
      </w:r>
      <w:r w:rsidR="00EA0EF6" w:rsidRPr="001304C2">
        <w:rPr>
          <w:rFonts w:ascii="Times" w:eastAsia="Times New Roman" w:hAnsi="Times" w:cs="Times New Roman"/>
          <w:color w:val="000000"/>
          <w:sz w:val="24"/>
          <w:szCs w:val="24"/>
        </w:rPr>
        <w:t xml:space="preserve">. </w:t>
      </w:r>
    </w:p>
    <w:p w14:paraId="6B9AD900" w14:textId="3974C16E" w:rsidR="00DA7352" w:rsidRPr="001304C2" w:rsidRDefault="000407FC" w:rsidP="00EB759E">
      <w:pPr>
        <w:pStyle w:val="ListParagraph"/>
        <w:ind w:left="0" w:firstLine="360"/>
        <w:jc w:val="both"/>
        <w:rPr>
          <w:rFonts w:ascii="Times" w:hAnsi="Times" w:cs="Times New Roman"/>
          <w:sz w:val="24"/>
          <w:szCs w:val="24"/>
        </w:rPr>
      </w:pPr>
      <w:r w:rsidRPr="001304C2">
        <w:rPr>
          <w:rFonts w:ascii="Times" w:hAnsi="Times" w:cs="Times New Roman"/>
          <w:sz w:val="24"/>
          <w:szCs w:val="24"/>
        </w:rPr>
        <w:t xml:space="preserve">NYCHA uses </w:t>
      </w:r>
      <w:r w:rsidR="00044237" w:rsidRPr="001304C2">
        <w:rPr>
          <w:rFonts w:ascii="Times" w:hAnsi="Times" w:cs="Times New Roman"/>
          <w:sz w:val="24"/>
          <w:szCs w:val="24"/>
        </w:rPr>
        <w:t>the PNA</w:t>
      </w:r>
      <w:r w:rsidRPr="001304C2">
        <w:rPr>
          <w:rFonts w:ascii="Times" w:hAnsi="Times" w:cs="Times New Roman"/>
          <w:sz w:val="24"/>
          <w:szCs w:val="24"/>
        </w:rPr>
        <w:t xml:space="preserve"> to develop a </w:t>
      </w:r>
      <w:r w:rsidR="003E2313">
        <w:rPr>
          <w:rFonts w:ascii="Times" w:hAnsi="Times" w:cs="Times New Roman"/>
          <w:sz w:val="24"/>
          <w:szCs w:val="24"/>
        </w:rPr>
        <w:t>F</w:t>
      </w:r>
      <w:r w:rsidRPr="001304C2">
        <w:rPr>
          <w:rFonts w:ascii="Times" w:hAnsi="Times" w:cs="Times New Roman"/>
          <w:sz w:val="24"/>
          <w:szCs w:val="24"/>
        </w:rPr>
        <w:t>ive-</w:t>
      </w:r>
      <w:r w:rsidR="003E2313">
        <w:rPr>
          <w:rFonts w:ascii="Times" w:hAnsi="Times" w:cs="Times New Roman"/>
          <w:sz w:val="24"/>
          <w:szCs w:val="24"/>
        </w:rPr>
        <w:t>Y</w:t>
      </w:r>
      <w:r w:rsidRPr="001304C2">
        <w:rPr>
          <w:rFonts w:ascii="Times" w:hAnsi="Times" w:cs="Times New Roman"/>
          <w:sz w:val="24"/>
          <w:szCs w:val="24"/>
        </w:rPr>
        <w:t xml:space="preserve">ear </w:t>
      </w:r>
      <w:r w:rsidR="003E2313">
        <w:rPr>
          <w:rFonts w:ascii="Times" w:hAnsi="Times" w:cs="Times New Roman"/>
          <w:sz w:val="24"/>
          <w:szCs w:val="24"/>
        </w:rPr>
        <w:t>C</w:t>
      </w:r>
      <w:r w:rsidRPr="001304C2">
        <w:rPr>
          <w:rFonts w:ascii="Times" w:hAnsi="Times" w:cs="Times New Roman"/>
          <w:sz w:val="24"/>
          <w:szCs w:val="24"/>
        </w:rPr>
        <w:t xml:space="preserve">apital </w:t>
      </w:r>
      <w:r w:rsidR="003E2313">
        <w:rPr>
          <w:rFonts w:ascii="Times" w:hAnsi="Times" w:cs="Times New Roman"/>
          <w:sz w:val="24"/>
          <w:szCs w:val="24"/>
        </w:rPr>
        <w:t>P</w:t>
      </w:r>
      <w:r w:rsidRPr="001304C2">
        <w:rPr>
          <w:rFonts w:ascii="Times" w:hAnsi="Times" w:cs="Times New Roman"/>
          <w:sz w:val="24"/>
          <w:szCs w:val="24"/>
        </w:rPr>
        <w:t>lan in which the Authority allocates resources according to its physical needs and strategic goals.</w:t>
      </w:r>
      <w:r w:rsidR="00044237" w:rsidRPr="001304C2">
        <w:rPr>
          <w:rStyle w:val="FootnoteReference"/>
          <w:rFonts w:ascii="Times" w:hAnsi="Times" w:cs="Times New Roman"/>
          <w:sz w:val="24"/>
          <w:szCs w:val="24"/>
        </w:rPr>
        <w:footnoteReference w:id="18"/>
      </w:r>
      <w:r w:rsidRPr="001304C2">
        <w:rPr>
          <w:rFonts w:ascii="Times" w:hAnsi="Times" w:cs="Times New Roman"/>
          <w:sz w:val="24"/>
          <w:szCs w:val="24"/>
        </w:rPr>
        <w:t xml:space="preserve"> The PNA </w:t>
      </w:r>
      <w:r w:rsidR="00044237" w:rsidRPr="001304C2">
        <w:rPr>
          <w:rFonts w:ascii="Times" w:hAnsi="Times" w:cs="Times New Roman"/>
          <w:sz w:val="24"/>
          <w:szCs w:val="24"/>
        </w:rPr>
        <w:t xml:space="preserve">also </w:t>
      </w:r>
      <w:r w:rsidRPr="001304C2">
        <w:rPr>
          <w:rFonts w:ascii="Times" w:hAnsi="Times" w:cs="Times New Roman"/>
          <w:sz w:val="24"/>
          <w:szCs w:val="24"/>
        </w:rPr>
        <w:t xml:space="preserve">helps support the Authority’s requests for resources, since HUD requires that all federally-funded capital investment relate back to the previous </w:t>
      </w:r>
      <w:r w:rsidR="00C20811">
        <w:rPr>
          <w:rFonts w:ascii="Times" w:hAnsi="Times" w:cs="Times New Roman"/>
          <w:sz w:val="24"/>
          <w:szCs w:val="24"/>
        </w:rPr>
        <w:t>PNA</w:t>
      </w:r>
      <w:r w:rsidRPr="001304C2">
        <w:rPr>
          <w:rFonts w:ascii="Times" w:hAnsi="Times" w:cs="Times New Roman"/>
          <w:sz w:val="24"/>
          <w:szCs w:val="24"/>
        </w:rPr>
        <w:t>.</w:t>
      </w:r>
      <w:r w:rsidR="003218E5" w:rsidRPr="001304C2">
        <w:rPr>
          <w:rStyle w:val="FootnoteReference"/>
          <w:rFonts w:ascii="Times" w:hAnsi="Times" w:cs="Times New Roman"/>
          <w:sz w:val="24"/>
          <w:szCs w:val="24"/>
        </w:rPr>
        <w:footnoteReference w:id="19"/>
      </w:r>
    </w:p>
    <w:p w14:paraId="2E83D474" w14:textId="77777777" w:rsidR="000407FC" w:rsidRPr="00D036B1" w:rsidRDefault="000407FC" w:rsidP="00DA7352">
      <w:pPr>
        <w:pStyle w:val="ListParagraph"/>
        <w:ind w:left="0"/>
        <w:rPr>
          <w:rFonts w:ascii="Times New Roman" w:hAnsi="Times New Roman" w:cs="Times New Roman"/>
          <w:b/>
          <w:sz w:val="24"/>
          <w:szCs w:val="24"/>
        </w:rPr>
      </w:pPr>
    </w:p>
    <w:p w14:paraId="127A3EEF" w14:textId="0BBBD617" w:rsidR="009774BF" w:rsidRPr="00D036B1" w:rsidRDefault="0030701C" w:rsidP="009774BF">
      <w:pPr>
        <w:pStyle w:val="ListParagraph"/>
        <w:numPr>
          <w:ilvl w:val="1"/>
          <w:numId w:val="1"/>
        </w:numPr>
        <w:rPr>
          <w:rFonts w:ascii="Times New Roman" w:hAnsi="Times New Roman" w:cs="Times New Roman"/>
          <w:b/>
          <w:sz w:val="24"/>
          <w:szCs w:val="24"/>
        </w:rPr>
      </w:pPr>
      <w:r>
        <w:rPr>
          <w:rFonts w:ascii="Times New Roman" w:hAnsi="Times New Roman" w:cs="Times New Roman"/>
          <w:b/>
          <w:sz w:val="24"/>
          <w:szCs w:val="24"/>
        </w:rPr>
        <w:t>Five</w:t>
      </w:r>
      <w:r w:rsidR="00113ACA" w:rsidRPr="00D036B1">
        <w:rPr>
          <w:rFonts w:ascii="Times New Roman" w:hAnsi="Times New Roman" w:cs="Times New Roman"/>
          <w:b/>
          <w:sz w:val="24"/>
          <w:szCs w:val="24"/>
        </w:rPr>
        <w:t>-Year Action Plan</w:t>
      </w:r>
    </w:p>
    <w:p w14:paraId="76CD13AA" w14:textId="77777777" w:rsidR="00191572" w:rsidRPr="00FD3A4F" w:rsidRDefault="00191572" w:rsidP="00165C23">
      <w:pPr>
        <w:pStyle w:val="ListParagraph"/>
        <w:ind w:left="0"/>
        <w:jc w:val="both"/>
        <w:rPr>
          <w:rFonts w:ascii="Times New Roman" w:hAnsi="Times New Roman" w:cs="Times New Roman"/>
          <w:sz w:val="24"/>
          <w:szCs w:val="24"/>
        </w:rPr>
      </w:pPr>
    </w:p>
    <w:p w14:paraId="064130BE" w14:textId="7219D302" w:rsidR="004C3CEA" w:rsidRDefault="0030701C" w:rsidP="003E2313">
      <w:pPr>
        <w:pStyle w:val="ListParagraph"/>
        <w:spacing w:after="0"/>
        <w:ind w:left="0" w:firstLine="360"/>
        <w:jc w:val="both"/>
        <w:rPr>
          <w:rFonts w:ascii="Times New Roman" w:hAnsi="Times New Roman" w:cs="Times New Roman"/>
          <w:sz w:val="24"/>
          <w:szCs w:val="24"/>
        </w:rPr>
      </w:pPr>
      <w:r>
        <w:rPr>
          <w:rFonts w:ascii="Times New Roman" w:hAnsi="Times New Roman" w:cs="Times New Roman"/>
          <w:sz w:val="24"/>
          <w:szCs w:val="24"/>
        </w:rPr>
        <w:t>In addition to the PNA, a</w:t>
      </w:r>
      <w:r w:rsidR="009E4AD1">
        <w:rPr>
          <w:rFonts w:ascii="Times New Roman" w:hAnsi="Times New Roman" w:cs="Times New Roman"/>
          <w:sz w:val="24"/>
          <w:szCs w:val="24"/>
        </w:rPr>
        <w:t xml:space="preserve"> PHA must also </w:t>
      </w:r>
      <w:r>
        <w:rPr>
          <w:rFonts w:ascii="Times New Roman" w:hAnsi="Times New Roman" w:cs="Times New Roman"/>
          <w:sz w:val="24"/>
          <w:szCs w:val="24"/>
        </w:rPr>
        <w:t xml:space="preserve">have </w:t>
      </w:r>
      <w:r w:rsidR="009E4AD1">
        <w:rPr>
          <w:rFonts w:ascii="Times New Roman" w:hAnsi="Times New Roman" w:cs="Times New Roman"/>
          <w:sz w:val="24"/>
          <w:szCs w:val="24"/>
        </w:rPr>
        <w:t xml:space="preserve">a </w:t>
      </w:r>
      <w:r>
        <w:rPr>
          <w:rFonts w:ascii="Times New Roman" w:hAnsi="Times New Roman" w:cs="Times New Roman"/>
          <w:sz w:val="24"/>
          <w:szCs w:val="24"/>
        </w:rPr>
        <w:t>Five</w:t>
      </w:r>
      <w:r w:rsidR="009E4AD1">
        <w:rPr>
          <w:rFonts w:ascii="Times New Roman" w:hAnsi="Times New Roman" w:cs="Times New Roman"/>
          <w:sz w:val="24"/>
          <w:szCs w:val="24"/>
        </w:rPr>
        <w:t xml:space="preserve">–Year Action Plan to be eligible to receive a Capital Fund. </w:t>
      </w:r>
      <w:r w:rsidR="009E4AD1" w:rsidRPr="009E4AD1">
        <w:rPr>
          <w:rFonts w:ascii="Times New Roman" w:hAnsi="Times New Roman" w:cs="Times New Roman"/>
          <w:sz w:val="24"/>
          <w:szCs w:val="24"/>
        </w:rPr>
        <w:t xml:space="preserve">The </w:t>
      </w:r>
      <w:r>
        <w:rPr>
          <w:rFonts w:ascii="Times New Roman" w:hAnsi="Times New Roman" w:cs="Times New Roman"/>
          <w:sz w:val="24"/>
          <w:szCs w:val="24"/>
        </w:rPr>
        <w:t>Five</w:t>
      </w:r>
      <w:r w:rsidR="009E4AD1" w:rsidRPr="009E4AD1">
        <w:rPr>
          <w:rFonts w:ascii="Times New Roman" w:hAnsi="Times New Roman" w:cs="Times New Roman"/>
          <w:sz w:val="24"/>
          <w:szCs w:val="24"/>
        </w:rPr>
        <w:t xml:space="preserve">–Year Action Plan </w:t>
      </w:r>
      <w:r w:rsidR="003E2313">
        <w:rPr>
          <w:rFonts w:ascii="Times New Roman" w:hAnsi="Times New Roman" w:cs="Times New Roman"/>
          <w:sz w:val="24"/>
          <w:szCs w:val="24"/>
        </w:rPr>
        <w:t xml:space="preserve">is used as a capital planning tool as it </w:t>
      </w:r>
      <w:r w:rsidR="009E4AD1" w:rsidRPr="009E4AD1">
        <w:rPr>
          <w:rFonts w:ascii="Times New Roman" w:hAnsi="Times New Roman" w:cs="Times New Roman"/>
          <w:sz w:val="24"/>
          <w:szCs w:val="24"/>
        </w:rPr>
        <w:t xml:space="preserve">must describe the capital improvements necessary to ensure long-term physical and social viability of the PHA's public housing developments, including the capital improvements to be undertaken within the </w:t>
      </w:r>
      <w:r>
        <w:rPr>
          <w:rFonts w:ascii="Times New Roman" w:hAnsi="Times New Roman" w:cs="Times New Roman"/>
          <w:sz w:val="24"/>
          <w:szCs w:val="24"/>
        </w:rPr>
        <w:t>reporting</w:t>
      </w:r>
      <w:r w:rsidR="009E4AD1" w:rsidRPr="009E4AD1">
        <w:rPr>
          <w:rFonts w:ascii="Times New Roman" w:hAnsi="Times New Roman" w:cs="Times New Roman"/>
          <w:sz w:val="24"/>
          <w:szCs w:val="24"/>
        </w:rPr>
        <w:t xml:space="preserve"> period, their estimated costs, status of environmental review, and any other information required for participation in the CFP, as prescribed by HUD.</w:t>
      </w:r>
      <w:r w:rsidR="009E4AD1">
        <w:rPr>
          <w:rStyle w:val="FootnoteReference"/>
          <w:rFonts w:ascii="Times New Roman" w:hAnsi="Times New Roman" w:cs="Times New Roman"/>
          <w:sz w:val="24"/>
          <w:szCs w:val="24"/>
        </w:rPr>
        <w:footnoteReference w:id="20"/>
      </w:r>
      <w:r w:rsidR="009E4AD1" w:rsidRPr="009E4AD1">
        <w:rPr>
          <w:rFonts w:ascii="Times New Roman" w:hAnsi="Times New Roman" w:cs="Times New Roman"/>
          <w:sz w:val="24"/>
          <w:szCs w:val="24"/>
        </w:rPr>
        <w:t xml:space="preserve"> The PHA must submit a Board-approved </w:t>
      </w:r>
      <w:r>
        <w:rPr>
          <w:rFonts w:ascii="Times New Roman" w:hAnsi="Times New Roman" w:cs="Times New Roman"/>
          <w:sz w:val="24"/>
          <w:szCs w:val="24"/>
        </w:rPr>
        <w:t>Five</w:t>
      </w:r>
      <w:r w:rsidR="004A5989">
        <w:rPr>
          <w:rFonts w:ascii="Times New Roman" w:hAnsi="Times New Roman" w:cs="Times New Roman"/>
          <w:sz w:val="24"/>
          <w:szCs w:val="24"/>
        </w:rPr>
        <w:t>-</w:t>
      </w:r>
      <w:r w:rsidR="009E4AD1" w:rsidRPr="009E4AD1">
        <w:rPr>
          <w:rFonts w:ascii="Times New Roman" w:hAnsi="Times New Roman" w:cs="Times New Roman"/>
          <w:sz w:val="24"/>
          <w:szCs w:val="24"/>
        </w:rPr>
        <w:t>Year Action Pl</w:t>
      </w:r>
      <w:r w:rsidR="00C409D5">
        <w:rPr>
          <w:rFonts w:ascii="Times New Roman" w:hAnsi="Times New Roman" w:cs="Times New Roman"/>
          <w:sz w:val="24"/>
          <w:szCs w:val="24"/>
        </w:rPr>
        <w:t xml:space="preserve">an at least once every </w:t>
      </w:r>
      <w:r w:rsidR="003A1FA4">
        <w:rPr>
          <w:rFonts w:ascii="Times New Roman" w:hAnsi="Times New Roman" w:cs="Times New Roman"/>
          <w:sz w:val="24"/>
          <w:szCs w:val="24"/>
        </w:rPr>
        <w:t xml:space="preserve">five </w:t>
      </w:r>
      <w:r w:rsidR="00C409D5">
        <w:rPr>
          <w:rFonts w:ascii="Times New Roman" w:hAnsi="Times New Roman" w:cs="Times New Roman"/>
          <w:sz w:val="24"/>
          <w:szCs w:val="24"/>
        </w:rPr>
        <w:t xml:space="preserve">years, or </w:t>
      </w:r>
      <w:r w:rsidR="009E4AD1" w:rsidRPr="009E4AD1">
        <w:rPr>
          <w:rFonts w:ascii="Times New Roman" w:hAnsi="Times New Roman" w:cs="Times New Roman"/>
          <w:sz w:val="24"/>
          <w:szCs w:val="24"/>
        </w:rPr>
        <w:t>update its Action Plan every year.</w:t>
      </w:r>
      <w:r w:rsidR="00C409D5">
        <w:rPr>
          <w:rStyle w:val="FootnoteReference"/>
          <w:rFonts w:ascii="Times New Roman" w:hAnsi="Times New Roman" w:cs="Times New Roman"/>
          <w:sz w:val="24"/>
          <w:szCs w:val="24"/>
        </w:rPr>
        <w:footnoteReference w:id="21"/>
      </w:r>
    </w:p>
    <w:p w14:paraId="261C9051" w14:textId="77777777" w:rsidR="001802C4" w:rsidRPr="004C3CEA" w:rsidRDefault="001802C4" w:rsidP="004C3CEA">
      <w:pPr>
        <w:pStyle w:val="ListParagraph"/>
        <w:ind w:left="0"/>
        <w:jc w:val="both"/>
        <w:rPr>
          <w:rFonts w:ascii="Times New Roman" w:hAnsi="Times New Roman" w:cs="Times New Roman"/>
          <w:sz w:val="24"/>
          <w:szCs w:val="24"/>
        </w:rPr>
      </w:pPr>
    </w:p>
    <w:p w14:paraId="0DF7A053" w14:textId="4F4D39C3" w:rsidR="002A3526" w:rsidRDefault="002A3526" w:rsidP="008702FA">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 xml:space="preserve">NYCHA </w:t>
      </w:r>
      <w:r w:rsidR="00896D17">
        <w:rPr>
          <w:rFonts w:ascii="Times New Roman" w:hAnsi="Times New Roman" w:cs="Times New Roman"/>
          <w:b/>
          <w:sz w:val="24"/>
          <w:szCs w:val="24"/>
        </w:rPr>
        <w:t xml:space="preserve">Capital </w:t>
      </w:r>
      <w:r>
        <w:rPr>
          <w:rFonts w:ascii="Times New Roman" w:hAnsi="Times New Roman" w:cs="Times New Roman"/>
          <w:b/>
          <w:sz w:val="24"/>
          <w:szCs w:val="24"/>
        </w:rPr>
        <w:t>Needs</w:t>
      </w:r>
      <w:r w:rsidR="003E2313">
        <w:rPr>
          <w:rFonts w:ascii="Times New Roman" w:hAnsi="Times New Roman" w:cs="Times New Roman"/>
          <w:b/>
          <w:sz w:val="24"/>
          <w:szCs w:val="24"/>
        </w:rPr>
        <w:t xml:space="preserve"> and Capital Budget</w:t>
      </w:r>
    </w:p>
    <w:p w14:paraId="6FCE4593" w14:textId="77777777" w:rsidR="00D12323" w:rsidRDefault="00D12323" w:rsidP="00D12323">
      <w:pPr>
        <w:pStyle w:val="ListParagraph"/>
        <w:ind w:left="1080"/>
        <w:rPr>
          <w:rFonts w:ascii="Times New Roman" w:hAnsi="Times New Roman" w:cs="Times New Roman"/>
          <w:b/>
          <w:sz w:val="24"/>
          <w:szCs w:val="24"/>
        </w:rPr>
      </w:pPr>
    </w:p>
    <w:p w14:paraId="575005CC" w14:textId="77777777" w:rsidR="00D12323" w:rsidRPr="006C748A" w:rsidRDefault="00D12323" w:rsidP="00D12323">
      <w:pPr>
        <w:pStyle w:val="ListParagraph"/>
        <w:numPr>
          <w:ilvl w:val="1"/>
          <w:numId w:val="3"/>
        </w:numPr>
        <w:jc w:val="both"/>
        <w:rPr>
          <w:rFonts w:ascii="Times New Roman" w:hAnsi="Times New Roman" w:cs="Times New Roman"/>
          <w:b/>
          <w:sz w:val="24"/>
          <w:szCs w:val="24"/>
        </w:rPr>
      </w:pPr>
      <w:r w:rsidRPr="006C748A">
        <w:rPr>
          <w:rFonts w:ascii="Times New Roman" w:hAnsi="Times New Roman" w:cs="Times New Roman"/>
          <w:b/>
          <w:sz w:val="24"/>
          <w:szCs w:val="24"/>
        </w:rPr>
        <w:t>2017 PNA</w:t>
      </w:r>
    </w:p>
    <w:p w14:paraId="6DC8A7D4" w14:textId="5534E923" w:rsidR="003E2313" w:rsidRDefault="002C7434" w:rsidP="003E2313">
      <w:pPr>
        <w:spacing w:after="0"/>
        <w:ind w:firstLine="720"/>
        <w:jc w:val="both"/>
        <w:rPr>
          <w:rFonts w:ascii="Times New Roman" w:hAnsi="Times New Roman" w:cs="Times New Roman"/>
          <w:sz w:val="24"/>
          <w:szCs w:val="24"/>
        </w:rPr>
      </w:pPr>
      <w:r w:rsidRPr="00132C80">
        <w:rPr>
          <w:rFonts w:ascii="Times New Roman" w:hAnsi="Times New Roman" w:cs="Times New Roman"/>
          <w:sz w:val="24"/>
          <w:szCs w:val="24"/>
        </w:rPr>
        <w:t xml:space="preserve">According to </w:t>
      </w:r>
      <w:r w:rsidR="002A3526" w:rsidRPr="00132C80">
        <w:rPr>
          <w:rFonts w:ascii="Times New Roman" w:hAnsi="Times New Roman" w:cs="Times New Roman"/>
          <w:sz w:val="24"/>
          <w:szCs w:val="24"/>
        </w:rPr>
        <w:t>NYCHA’s 2017 PNA</w:t>
      </w:r>
      <w:r w:rsidRPr="00132C80">
        <w:rPr>
          <w:rFonts w:ascii="Times New Roman" w:hAnsi="Times New Roman" w:cs="Times New Roman"/>
          <w:sz w:val="24"/>
          <w:szCs w:val="24"/>
        </w:rPr>
        <w:t>, the total</w:t>
      </w:r>
      <w:r w:rsidR="002A3526" w:rsidRPr="00132C80">
        <w:rPr>
          <w:rFonts w:ascii="Times New Roman" w:hAnsi="Times New Roman" w:cs="Times New Roman"/>
          <w:sz w:val="24"/>
          <w:szCs w:val="24"/>
        </w:rPr>
        <w:t xml:space="preserve"> </w:t>
      </w:r>
      <w:r w:rsidR="00336CE4" w:rsidRPr="00132C80">
        <w:rPr>
          <w:rFonts w:ascii="Times New Roman" w:hAnsi="Times New Roman" w:cs="Times New Roman"/>
          <w:sz w:val="24"/>
          <w:szCs w:val="24"/>
        </w:rPr>
        <w:t xml:space="preserve">projected </w:t>
      </w:r>
      <w:r w:rsidR="002A3526" w:rsidRPr="00132C80">
        <w:rPr>
          <w:rFonts w:ascii="Times New Roman" w:hAnsi="Times New Roman" w:cs="Times New Roman"/>
          <w:sz w:val="24"/>
          <w:szCs w:val="24"/>
        </w:rPr>
        <w:t xml:space="preserve">cost </w:t>
      </w:r>
      <w:r w:rsidR="00336CE4" w:rsidRPr="00132C80">
        <w:rPr>
          <w:rFonts w:ascii="Times New Roman" w:hAnsi="Times New Roman" w:cs="Times New Roman"/>
          <w:sz w:val="24"/>
          <w:szCs w:val="24"/>
        </w:rPr>
        <w:t>to address all needs is $31.8</w:t>
      </w:r>
      <w:r w:rsidR="002A3526" w:rsidRPr="00132C80">
        <w:rPr>
          <w:rFonts w:ascii="Times New Roman" w:hAnsi="Times New Roman" w:cs="Times New Roman"/>
          <w:sz w:val="24"/>
          <w:szCs w:val="24"/>
        </w:rPr>
        <w:t xml:space="preserve"> billion over </w:t>
      </w:r>
      <w:r w:rsidRPr="00132C80">
        <w:rPr>
          <w:rFonts w:ascii="Times New Roman" w:hAnsi="Times New Roman" w:cs="Times New Roman"/>
          <w:sz w:val="24"/>
          <w:szCs w:val="24"/>
        </w:rPr>
        <w:t>a five-year period</w:t>
      </w:r>
      <w:r w:rsidR="00336CE4" w:rsidRPr="00132C80">
        <w:rPr>
          <w:rFonts w:ascii="Times New Roman" w:hAnsi="Times New Roman" w:cs="Times New Roman"/>
          <w:sz w:val="24"/>
          <w:szCs w:val="24"/>
        </w:rPr>
        <w:t>, with an additional $45.2</w:t>
      </w:r>
      <w:r w:rsidR="002A3526" w:rsidRPr="00132C80">
        <w:rPr>
          <w:rFonts w:ascii="Times New Roman" w:hAnsi="Times New Roman" w:cs="Times New Roman"/>
          <w:sz w:val="24"/>
          <w:szCs w:val="24"/>
        </w:rPr>
        <w:t xml:space="preserve"> billion </w:t>
      </w:r>
      <w:r w:rsidR="00132C80">
        <w:rPr>
          <w:rFonts w:ascii="Times New Roman" w:hAnsi="Times New Roman" w:cs="Times New Roman"/>
          <w:sz w:val="24"/>
          <w:szCs w:val="24"/>
        </w:rPr>
        <w:t>over a</w:t>
      </w:r>
      <w:r w:rsidR="00336CE4" w:rsidRPr="00132C80">
        <w:rPr>
          <w:rFonts w:ascii="Times New Roman" w:hAnsi="Times New Roman" w:cs="Times New Roman"/>
          <w:sz w:val="24"/>
          <w:szCs w:val="24"/>
        </w:rPr>
        <w:t xml:space="preserve"> 2</w:t>
      </w:r>
      <w:r w:rsidR="00132C80">
        <w:rPr>
          <w:rFonts w:ascii="Times New Roman" w:hAnsi="Times New Roman" w:cs="Times New Roman"/>
          <w:sz w:val="24"/>
          <w:szCs w:val="24"/>
        </w:rPr>
        <w:t>0-year period</w:t>
      </w:r>
      <w:r w:rsidR="002A3526" w:rsidRPr="00132C80">
        <w:rPr>
          <w:rFonts w:ascii="Times New Roman" w:hAnsi="Times New Roman" w:cs="Times New Roman"/>
          <w:sz w:val="24"/>
          <w:szCs w:val="24"/>
        </w:rPr>
        <w:t>.</w:t>
      </w:r>
      <w:r w:rsidR="00336CE4" w:rsidRPr="00132C80">
        <w:rPr>
          <w:rStyle w:val="FootnoteReference"/>
          <w:rFonts w:ascii="Times New Roman" w:hAnsi="Times New Roman" w:cs="Times New Roman"/>
          <w:sz w:val="24"/>
          <w:szCs w:val="24"/>
        </w:rPr>
        <w:footnoteReference w:id="22"/>
      </w:r>
      <w:r w:rsidR="00336CE4" w:rsidRPr="00132C80">
        <w:rPr>
          <w:rFonts w:ascii="Times New Roman" w:hAnsi="Times New Roman" w:cs="Times New Roman"/>
          <w:sz w:val="24"/>
          <w:szCs w:val="24"/>
        </w:rPr>
        <w:t xml:space="preserve"> The </w:t>
      </w:r>
      <w:r w:rsidR="00853BE8" w:rsidRPr="00132C80">
        <w:rPr>
          <w:rFonts w:ascii="Times New Roman" w:hAnsi="Times New Roman" w:cs="Times New Roman"/>
          <w:sz w:val="24"/>
          <w:szCs w:val="24"/>
        </w:rPr>
        <w:t xml:space="preserve">largest need, </w:t>
      </w:r>
      <w:r w:rsidRPr="00132C80">
        <w:rPr>
          <w:rFonts w:ascii="Times New Roman" w:hAnsi="Times New Roman" w:cs="Times New Roman"/>
          <w:sz w:val="24"/>
          <w:szCs w:val="24"/>
        </w:rPr>
        <w:t xml:space="preserve">estimated at </w:t>
      </w:r>
      <w:r w:rsidR="00853BE8" w:rsidRPr="00132C80">
        <w:rPr>
          <w:rFonts w:ascii="Times New Roman" w:hAnsi="Times New Roman" w:cs="Times New Roman"/>
          <w:sz w:val="24"/>
          <w:szCs w:val="24"/>
        </w:rPr>
        <w:t xml:space="preserve">$12.6 billion </w:t>
      </w:r>
      <w:r w:rsidRPr="00132C80">
        <w:rPr>
          <w:rFonts w:ascii="Times New Roman" w:hAnsi="Times New Roman" w:cs="Times New Roman"/>
          <w:sz w:val="24"/>
          <w:szCs w:val="24"/>
        </w:rPr>
        <w:t xml:space="preserve">or </w:t>
      </w:r>
      <w:r w:rsidR="004E0D46">
        <w:rPr>
          <w:rFonts w:ascii="Times New Roman" w:hAnsi="Times New Roman" w:cs="Times New Roman"/>
          <w:sz w:val="24"/>
          <w:szCs w:val="24"/>
        </w:rPr>
        <w:t>39</w:t>
      </w:r>
      <w:r w:rsidRPr="00132C80">
        <w:rPr>
          <w:rFonts w:ascii="Times New Roman" w:hAnsi="Times New Roman" w:cs="Times New Roman"/>
          <w:sz w:val="24"/>
          <w:szCs w:val="24"/>
        </w:rPr>
        <w:t xml:space="preserve"> percent, is in its portfolio of a</w:t>
      </w:r>
      <w:r w:rsidR="002A3526" w:rsidRPr="00132C80">
        <w:rPr>
          <w:rFonts w:ascii="Times New Roman" w:hAnsi="Times New Roman" w:cs="Times New Roman"/>
          <w:sz w:val="24"/>
          <w:szCs w:val="24"/>
        </w:rPr>
        <w:t>partments</w:t>
      </w:r>
      <w:r w:rsidR="00336CE4" w:rsidRPr="00132C80">
        <w:rPr>
          <w:rFonts w:ascii="Times New Roman" w:hAnsi="Times New Roman" w:cs="Times New Roman"/>
          <w:sz w:val="24"/>
          <w:szCs w:val="24"/>
        </w:rPr>
        <w:t xml:space="preserve">, particularly bathrooms and kitchens, </w:t>
      </w:r>
      <w:r w:rsidR="00853BE8" w:rsidRPr="00132C80">
        <w:rPr>
          <w:rFonts w:ascii="Times New Roman" w:hAnsi="Times New Roman" w:cs="Times New Roman"/>
          <w:sz w:val="24"/>
          <w:szCs w:val="24"/>
        </w:rPr>
        <w:t>with</w:t>
      </w:r>
      <w:r w:rsidRPr="00132C80">
        <w:rPr>
          <w:rFonts w:ascii="Times New Roman" w:hAnsi="Times New Roman" w:cs="Times New Roman"/>
          <w:sz w:val="24"/>
          <w:szCs w:val="24"/>
        </w:rPr>
        <w:t xml:space="preserve"> a</w:t>
      </w:r>
      <w:r w:rsidR="00336CE4" w:rsidRPr="00132C80">
        <w:rPr>
          <w:rFonts w:ascii="Times New Roman" w:hAnsi="Times New Roman" w:cs="Times New Roman"/>
          <w:sz w:val="24"/>
          <w:szCs w:val="24"/>
        </w:rPr>
        <w:t xml:space="preserve">rchitectural work </w:t>
      </w:r>
      <w:r w:rsidR="00853BE8" w:rsidRPr="00132C80">
        <w:rPr>
          <w:rFonts w:ascii="Times New Roman" w:hAnsi="Times New Roman" w:cs="Times New Roman"/>
          <w:sz w:val="24"/>
          <w:szCs w:val="24"/>
        </w:rPr>
        <w:t xml:space="preserve">following as the second highest need, </w:t>
      </w:r>
      <w:r w:rsidR="00C91056" w:rsidRPr="00132C80">
        <w:rPr>
          <w:rFonts w:ascii="Times New Roman" w:hAnsi="Times New Roman" w:cs="Times New Roman"/>
          <w:sz w:val="24"/>
          <w:szCs w:val="24"/>
        </w:rPr>
        <w:t>estimated</w:t>
      </w:r>
      <w:r w:rsidR="00336CE4" w:rsidRPr="00132C80">
        <w:rPr>
          <w:rFonts w:ascii="Times New Roman" w:hAnsi="Times New Roman" w:cs="Times New Roman"/>
          <w:sz w:val="24"/>
          <w:szCs w:val="24"/>
        </w:rPr>
        <w:t xml:space="preserve"> </w:t>
      </w:r>
      <w:r w:rsidRPr="00132C80">
        <w:rPr>
          <w:rFonts w:ascii="Times New Roman" w:hAnsi="Times New Roman" w:cs="Times New Roman"/>
          <w:sz w:val="24"/>
          <w:szCs w:val="24"/>
        </w:rPr>
        <w:t xml:space="preserve">at </w:t>
      </w:r>
      <w:r w:rsidR="00336CE4" w:rsidRPr="00132C80">
        <w:rPr>
          <w:rFonts w:ascii="Times New Roman" w:hAnsi="Times New Roman" w:cs="Times New Roman"/>
          <w:sz w:val="24"/>
          <w:szCs w:val="24"/>
        </w:rPr>
        <w:t>$10.7 billion</w:t>
      </w:r>
      <w:r w:rsidR="00853BE8" w:rsidRPr="00132C80">
        <w:rPr>
          <w:rFonts w:ascii="Times New Roman" w:hAnsi="Times New Roman" w:cs="Times New Roman"/>
          <w:sz w:val="24"/>
          <w:szCs w:val="24"/>
        </w:rPr>
        <w:t xml:space="preserve"> </w:t>
      </w:r>
      <w:r w:rsidR="00C91056" w:rsidRPr="00132C80">
        <w:rPr>
          <w:rFonts w:ascii="Times New Roman" w:hAnsi="Times New Roman" w:cs="Times New Roman"/>
          <w:sz w:val="24"/>
          <w:szCs w:val="24"/>
        </w:rPr>
        <w:t>or 34 percent</w:t>
      </w:r>
      <w:r w:rsidRPr="00132C80">
        <w:rPr>
          <w:rFonts w:ascii="Times New Roman" w:hAnsi="Times New Roman" w:cs="Times New Roman"/>
          <w:sz w:val="24"/>
          <w:szCs w:val="24"/>
        </w:rPr>
        <w:t>, of the total need.</w:t>
      </w:r>
      <w:r w:rsidR="00336CE4" w:rsidRPr="00132C80">
        <w:rPr>
          <w:rFonts w:ascii="Times New Roman" w:hAnsi="Times New Roman" w:cs="Times New Roman"/>
          <w:sz w:val="24"/>
          <w:szCs w:val="24"/>
        </w:rPr>
        <w:t xml:space="preserve"> </w:t>
      </w:r>
    </w:p>
    <w:p w14:paraId="33FB4471" w14:textId="46DF5A27" w:rsidR="002A3526" w:rsidRDefault="002C7434" w:rsidP="003E2313">
      <w:pPr>
        <w:spacing w:after="0"/>
        <w:ind w:firstLine="720"/>
        <w:jc w:val="both"/>
        <w:rPr>
          <w:rFonts w:ascii="Times New Roman" w:hAnsi="Times New Roman" w:cs="Times New Roman"/>
          <w:sz w:val="24"/>
          <w:szCs w:val="24"/>
        </w:rPr>
      </w:pPr>
      <w:r w:rsidRPr="00132C80">
        <w:rPr>
          <w:rFonts w:ascii="Times New Roman" w:hAnsi="Times New Roman" w:cs="Times New Roman"/>
          <w:sz w:val="24"/>
          <w:szCs w:val="24"/>
        </w:rPr>
        <w:t xml:space="preserve">Mechanical </w:t>
      </w:r>
      <w:r w:rsidR="00853BE8" w:rsidRPr="00132C80">
        <w:rPr>
          <w:rFonts w:ascii="Times New Roman" w:hAnsi="Times New Roman" w:cs="Times New Roman"/>
          <w:sz w:val="24"/>
          <w:szCs w:val="24"/>
        </w:rPr>
        <w:t xml:space="preserve">components, which includes heating plants and related components, </w:t>
      </w:r>
      <w:r w:rsidRPr="00132C80">
        <w:rPr>
          <w:rFonts w:ascii="Times New Roman" w:hAnsi="Times New Roman" w:cs="Times New Roman"/>
          <w:sz w:val="24"/>
          <w:szCs w:val="24"/>
        </w:rPr>
        <w:t>is</w:t>
      </w:r>
      <w:r w:rsidR="002A3526" w:rsidRPr="00132C80">
        <w:rPr>
          <w:rFonts w:ascii="Times New Roman" w:hAnsi="Times New Roman" w:cs="Times New Roman"/>
          <w:sz w:val="24"/>
          <w:szCs w:val="24"/>
        </w:rPr>
        <w:t xml:space="preserve"> the third largest need </w:t>
      </w:r>
      <w:r w:rsidR="00336CE4" w:rsidRPr="00132C80">
        <w:rPr>
          <w:rFonts w:ascii="Times New Roman" w:hAnsi="Times New Roman" w:cs="Times New Roman"/>
          <w:sz w:val="24"/>
          <w:szCs w:val="24"/>
        </w:rPr>
        <w:t>totaling</w:t>
      </w:r>
      <w:r w:rsidR="00132C80">
        <w:rPr>
          <w:rFonts w:ascii="Times New Roman" w:hAnsi="Times New Roman" w:cs="Times New Roman"/>
          <w:sz w:val="24"/>
          <w:szCs w:val="24"/>
        </w:rPr>
        <w:t xml:space="preserve"> an estimated</w:t>
      </w:r>
      <w:r w:rsidR="00853BE8" w:rsidRPr="00132C80">
        <w:rPr>
          <w:rFonts w:ascii="Times New Roman" w:hAnsi="Times New Roman" w:cs="Times New Roman"/>
          <w:sz w:val="24"/>
          <w:szCs w:val="24"/>
        </w:rPr>
        <w:t xml:space="preserve"> </w:t>
      </w:r>
      <w:r w:rsidR="00336CE4" w:rsidRPr="00132C80">
        <w:rPr>
          <w:rFonts w:ascii="Times New Roman" w:hAnsi="Times New Roman" w:cs="Times New Roman"/>
          <w:sz w:val="24"/>
          <w:szCs w:val="24"/>
        </w:rPr>
        <w:t>$3.1 billion</w:t>
      </w:r>
      <w:r w:rsidRPr="00132C80">
        <w:rPr>
          <w:rFonts w:ascii="Times New Roman" w:hAnsi="Times New Roman" w:cs="Times New Roman"/>
          <w:sz w:val="24"/>
          <w:szCs w:val="24"/>
        </w:rPr>
        <w:t xml:space="preserve">, and </w:t>
      </w:r>
      <w:r w:rsidR="00336CE4" w:rsidRPr="00132C80">
        <w:rPr>
          <w:rFonts w:ascii="Times New Roman" w:hAnsi="Times New Roman" w:cs="Times New Roman"/>
          <w:sz w:val="24"/>
          <w:szCs w:val="24"/>
        </w:rPr>
        <w:t>r</w:t>
      </w:r>
      <w:r w:rsidRPr="00132C80">
        <w:rPr>
          <w:rFonts w:ascii="Times New Roman" w:hAnsi="Times New Roman" w:cs="Times New Roman"/>
          <w:sz w:val="24"/>
          <w:szCs w:val="24"/>
        </w:rPr>
        <w:t xml:space="preserve">epairs to or the </w:t>
      </w:r>
      <w:r w:rsidR="00336CE4" w:rsidRPr="00132C80">
        <w:rPr>
          <w:rFonts w:ascii="Times New Roman" w:hAnsi="Times New Roman" w:cs="Times New Roman"/>
          <w:sz w:val="24"/>
          <w:szCs w:val="24"/>
        </w:rPr>
        <w:t>replacement of elevators</w:t>
      </w:r>
      <w:r w:rsidR="00853BE8" w:rsidRPr="00132C80">
        <w:rPr>
          <w:rFonts w:ascii="Times New Roman" w:hAnsi="Times New Roman" w:cs="Times New Roman"/>
          <w:sz w:val="24"/>
          <w:szCs w:val="24"/>
        </w:rPr>
        <w:t xml:space="preserve">, </w:t>
      </w:r>
      <w:r w:rsidRPr="00132C80">
        <w:rPr>
          <w:rFonts w:ascii="Times New Roman" w:hAnsi="Times New Roman" w:cs="Times New Roman"/>
          <w:sz w:val="24"/>
          <w:szCs w:val="24"/>
        </w:rPr>
        <w:t>or to property site components, such as architectural, m</w:t>
      </w:r>
      <w:r w:rsidR="00336CE4" w:rsidRPr="00132C80">
        <w:rPr>
          <w:rFonts w:ascii="Times New Roman" w:hAnsi="Times New Roman" w:cs="Times New Roman"/>
          <w:sz w:val="24"/>
          <w:szCs w:val="24"/>
        </w:rPr>
        <w:t xml:space="preserve">echanical, </w:t>
      </w:r>
      <w:r w:rsidRPr="00132C80">
        <w:rPr>
          <w:rFonts w:ascii="Times New Roman" w:hAnsi="Times New Roman" w:cs="Times New Roman"/>
          <w:sz w:val="24"/>
          <w:szCs w:val="24"/>
        </w:rPr>
        <w:t>and e</w:t>
      </w:r>
      <w:r w:rsidR="00915F80" w:rsidRPr="00132C80">
        <w:rPr>
          <w:rFonts w:ascii="Times New Roman" w:hAnsi="Times New Roman" w:cs="Times New Roman"/>
          <w:sz w:val="24"/>
          <w:szCs w:val="24"/>
        </w:rPr>
        <w:t>lectrical</w:t>
      </w:r>
      <w:r w:rsidRPr="00132C80">
        <w:rPr>
          <w:rFonts w:ascii="Times New Roman" w:hAnsi="Times New Roman" w:cs="Times New Roman"/>
          <w:sz w:val="24"/>
          <w:szCs w:val="24"/>
        </w:rPr>
        <w:t>, are estimated at $1</w:t>
      </w:r>
      <w:r w:rsidR="00853BE8" w:rsidRPr="00132C80">
        <w:rPr>
          <w:rFonts w:ascii="Times New Roman" w:hAnsi="Times New Roman" w:cs="Times New Roman"/>
          <w:sz w:val="24"/>
          <w:szCs w:val="24"/>
        </w:rPr>
        <w:t xml:space="preserve">.5 billion and </w:t>
      </w:r>
      <w:r w:rsidRPr="00132C80">
        <w:rPr>
          <w:rFonts w:ascii="Times New Roman" w:hAnsi="Times New Roman" w:cs="Times New Roman"/>
          <w:sz w:val="24"/>
          <w:szCs w:val="24"/>
        </w:rPr>
        <w:t>$2.6 billion</w:t>
      </w:r>
      <w:r w:rsidR="00853BE8" w:rsidRPr="00132C80">
        <w:rPr>
          <w:rFonts w:ascii="Times New Roman" w:hAnsi="Times New Roman" w:cs="Times New Roman"/>
          <w:sz w:val="24"/>
          <w:szCs w:val="24"/>
        </w:rPr>
        <w:t>, respectively.</w:t>
      </w:r>
      <w:r w:rsidR="003E2313">
        <w:rPr>
          <w:rStyle w:val="FootnoteReference"/>
          <w:rFonts w:ascii="Times New Roman" w:hAnsi="Times New Roman" w:cs="Times New Roman"/>
          <w:sz w:val="24"/>
          <w:szCs w:val="24"/>
        </w:rPr>
        <w:footnoteReference w:id="23"/>
      </w:r>
      <w:r w:rsidR="00853BE8" w:rsidRPr="00132C80">
        <w:rPr>
          <w:rFonts w:ascii="Times New Roman" w:hAnsi="Times New Roman" w:cs="Times New Roman"/>
          <w:sz w:val="24"/>
          <w:szCs w:val="24"/>
        </w:rPr>
        <w:t xml:space="preserve"> The below graph displays the total costed action</w:t>
      </w:r>
      <w:r w:rsidR="00E66619" w:rsidRPr="00132C80">
        <w:rPr>
          <w:rFonts w:ascii="Times New Roman" w:hAnsi="Times New Roman" w:cs="Times New Roman"/>
          <w:sz w:val="24"/>
          <w:szCs w:val="24"/>
        </w:rPr>
        <w:t>s</w:t>
      </w:r>
      <w:r w:rsidR="00853BE8" w:rsidRPr="00132C80">
        <w:rPr>
          <w:rFonts w:ascii="Times New Roman" w:hAnsi="Times New Roman" w:cs="Times New Roman"/>
          <w:sz w:val="24"/>
          <w:szCs w:val="24"/>
        </w:rPr>
        <w:t xml:space="preserve"> by discipline for the </w:t>
      </w:r>
      <w:r w:rsidR="00132C80">
        <w:rPr>
          <w:rFonts w:ascii="Times New Roman" w:hAnsi="Times New Roman" w:cs="Times New Roman"/>
          <w:sz w:val="24"/>
          <w:szCs w:val="24"/>
        </w:rPr>
        <w:t>first five years</w:t>
      </w:r>
      <w:r w:rsidR="003E2313">
        <w:rPr>
          <w:rFonts w:ascii="Times New Roman" w:hAnsi="Times New Roman" w:cs="Times New Roman"/>
          <w:sz w:val="24"/>
          <w:szCs w:val="24"/>
        </w:rPr>
        <w:t xml:space="preserve"> as outlined in the 2017 PNA</w:t>
      </w:r>
      <w:r w:rsidR="00853BE8" w:rsidRPr="00132C80">
        <w:rPr>
          <w:rFonts w:ascii="Times New Roman" w:hAnsi="Times New Roman" w:cs="Times New Roman"/>
          <w:sz w:val="24"/>
          <w:szCs w:val="24"/>
        </w:rPr>
        <w:t xml:space="preserve">. </w:t>
      </w:r>
      <w:r w:rsidR="00E66619" w:rsidRPr="00132C80">
        <w:rPr>
          <w:rFonts w:ascii="Times New Roman" w:hAnsi="Times New Roman" w:cs="Times New Roman"/>
          <w:sz w:val="24"/>
          <w:szCs w:val="24"/>
        </w:rPr>
        <w:t xml:space="preserve">(See Figure 1). </w:t>
      </w:r>
    </w:p>
    <w:p w14:paraId="497D7B04" w14:textId="77777777" w:rsidR="00132C80" w:rsidRPr="00132C80" w:rsidRDefault="00132C80" w:rsidP="00853BE8">
      <w:pPr>
        <w:jc w:val="both"/>
        <w:rPr>
          <w:rFonts w:ascii="Times New Roman" w:hAnsi="Times New Roman" w:cs="Times New Roman"/>
          <w:sz w:val="24"/>
          <w:szCs w:val="24"/>
        </w:rPr>
      </w:pPr>
    </w:p>
    <w:p w14:paraId="0D96E05F" w14:textId="77777777" w:rsidR="00001BB5" w:rsidRDefault="00001BB5">
      <w:pPr>
        <w:rPr>
          <w:rFonts w:ascii="Times New Roman" w:hAnsi="Times New Roman" w:cs="Times New Roman"/>
          <w:b/>
          <w:sz w:val="24"/>
          <w:szCs w:val="24"/>
        </w:rPr>
      </w:pPr>
      <w:r>
        <w:rPr>
          <w:rFonts w:ascii="Times New Roman" w:hAnsi="Times New Roman" w:cs="Times New Roman"/>
          <w:b/>
          <w:sz w:val="24"/>
          <w:szCs w:val="24"/>
        </w:rPr>
        <w:br w:type="page"/>
      </w:r>
    </w:p>
    <w:p w14:paraId="6DE52BBB" w14:textId="7152B92D" w:rsidR="00E66619" w:rsidRPr="00132C80" w:rsidRDefault="00132C80" w:rsidP="00132C80">
      <w:pPr>
        <w:jc w:val="center"/>
        <w:rPr>
          <w:rFonts w:ascii="Times New Roman" w:hAnsi="Times New Roman" w:cs="Times New Roman"/>
          <w:b/>
          <w:sz w:val="24"/>
          <w:szCs w:val="24"/>
        </w:rPr>
      </w:pPr>
      <w:r w:rsidRPr="00132C80">
        <w:rPr>
          <w:rFonts w:ascii="Times New Roman" w:hAnsi="Times New Roman" w:cs="Times New Roman"/>
          <w:b/>
          <w:sz w:val="24"/>
          <w:szCs w:val="24"/>
        </w:rPr>
        <w:t xml:space="preserve">Figure 1: </w:t>
      </w:r>
      <w:r w:rsidRPr="00132C80">
        <w:rPr>
          <w:rFonts w:ascii="Times New Roman" w:eastAsia="Segoe UI" w:hAnsi="Times New Roman" w:cs="Times New Roman"/>
          <w:b/>
          <w:sz w:val="24"/>
          <w:szCs w:val="24"/>
        </w:rPr>
        <w:t xml:space="preserve">Total Costed Actions in First </w:t>
      </w:r>
      <w:r w:rsidR="004E0D46">
        <w:rPr>
          <w:rFonts w:ascii="Times New Roman" w:eastAsia="Segoe UI" w:hAnsi="Times New Roman" w:cs="Times New Roman"/>
          <w:b/>
          <w:sz w:val="24"/>
          <w:szCs w:val="24"/>
        </w:rPr>
        <w:t>Five</w:t>
      </w:r>
      <w:r w:rsidRPr="00132C80">
        <w:rPr>
          <w:rFonts w:ascii="Times New Roman" w:eastAsia="Segoe UI" w:hAnsi="Times New Roman" w:cs="Times New Roman"/>
          <w:b/>
          <w:sz w:val="24"/>
          <w:szCs w:val="24"/>
        </w:rPr>
        <w:t xml:space="preserve"> Years by Discipline</w:t>
      </w:r>
    </w:p>
    <w:p w14:paraId="0BCB98A0" w14:textId="41260618" w:rsidR="00132C80" w:rsidRDefault="00132C80" w:rsidP="002A3526">
      <w:pPr>
        <w:rPr>
          <w:rFonts w:ascii="Times New Roman" w:hAnsi="Times New Roman" w:cs="Times New Roman"/>
          <w:b/>
          <w:sz w:val="24"/>
          <w:szCs w:val="24"/>
        </w:rPr>
      </w:pPr>
    </w:p>
    <w:p w14:paraId="1CAAF6FD" w14:textId="40EDF535" w:rsidR="00132C80" w:rsidRDefault="004E0D46" w:rsidP="004E0D46">
      <w:pPr>
        <w:jc w:val="center"/>
        <w:rPr>
          <w:rFonts w:ascii="Times New Roman" w:hAnsi="Times New Roman" w:cs="Times New Roman"/>
          <w:b/>
          <w:sz w:val="24"/>
          <w:szCs w:val="24"/>
        </w:rPr>
      </w:pPr>
      <w:r w:rsidRPr="004E0D46">
        <w:rPr>
          <w:rFonts w:ascii="Times New Roman" w:hAnsi="Times New Roman" w:cs="Times New Roman"/>
          <w:b/>
          <w:noProof/>
          <w:sz w:val="24"/>
          <w:szCs w:val="24"/>
        </w:rPr>
        <w:drawing>
          <wp:inline distT="0" distB="0" distL="0" distR="0" wp14:anchorId="03E4C880" wp14:editId="489392B5">
            <wp:extent cx="4291343" cy="3370263"/>
            <wp:effectExtent l="0" t="0" r="1270" b="0"/>
            <wp:docPr id="3" name="Picture 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pic:nvPicPr>
                  <pic:blipFill>
                    <a:blip r:embed="rId9"/>
                    <a:stretch>
                      <a:fillRect/>
                    </a:stretch>
                  </pic:blipFill>
                  <pic:spPr>
                    <a:xfrm>
                      <a:off x="0" y="0"/>
                      <a:ext cx="4295817" cy="3373776"/>
                    </a:xfrm>
                    <a:prstGeom prst="rect">
                      <a:avLst/>
                    </a:prstGeom>
                  </pic:spPr>
                </pic:pic>
              </a:graphicData>
            </a:graphic>
          </wp:inline>
        </w:drawing>
      </w:r>
    </w:p>
    <w:p w14:paraId="65D1F89D" w14:textId="77777777" w:rsidR="002A3526" w:rsidRDefault="002A3526" w:rsidP="002A3526">
      <w:pPr>
        <w:rPr>
          <w:rFonts w:ascii="Times New Roman" w:hAnsi="Times New Roman" w:cs="Times New Roman"/>
          <w:b/>
          <w:sz w:val="24"/>
          <w:szCs w:val="24"/>
        </w:rPr>
      </w:pPr>
    </w:p>
    <w:p w14:paraId="433B7B6C" w14:textId="77777777" w:rsidR="00132C80" w:rsidRDefault="00132C80" w:rsidP="002A3526">
      <w:pPr>
        <w:rPr>
          <w:rFonts w:ascii="Times New Roman" w:hAnsi="Times New Roman" w:cs="Times New Roman"/>
          <w:b/>
          <w:sz w:val="24"/>
          <w:szCs w:val="24"/>
        </w:rPr>
      </w:pPr>
    </w:p>
    <w:p w14:paraId="00332F3F" w14:textId="77777777" w:rsidR="00132C80" w:rsidRDefault="00132C80" w:rsidP="002A3526">
      <w:pPr>
        <w:rPr>
          <w:rFonts w:ascii="Times New Roman" w:hAnsi="Times New Roman" w:cs="Times New Roman"/>
          <w:b/>
          <w:sz w:val="24"/>
          <w:szCs w:val="24"/>
        </w:rPr>
      </w:pPr>
    </w:p>
    <w:p w14:paraId="46A82E4C" w14:textId="77777777" w:rsidR="006C748A" w:rsidRDefault="006C748A" w:rsidP="006C748A">
      <w:pPr>
        <w:pStyle w:val="ListParagraph"/>
        <w:ind w:left="1080"/>
        <w:rPr>
          <w:rFonts w:ascii="Times New Roman" w:hAnsi="Times New Roman" w:cs="Times New Roman"/>
          <w:b/>
          <w:sz w:val="24"/>
          <w:szCs w:val="24"/>
        </w:rPr>
      </w:pPr>
    </w:p>
    <w:p w14:paraId="7E22DE2D" w14:textId="2E8970A2" w:rsidR="00A26D30" w:rsidRDefault="008702FA" w:rsidP="004E0D46">
      <w:pPr>
        <w:pStyle w:val="ListParagraph"/>
        <w:numPr>
          <w:ilvl w:val="1"/>
          <w:numId w:val="3"/>
        </w:numPr>
        <w:rPr>
          <w:rFonts w:ascii="Times New Roman" w:hAnsi="Times New Roman" w:cs="Times New Roman"/>
          <w:b/>
          <w:sz w:val="24"/>
          <w:szCs w:val="24"/>
        </w:rPr>
      </w:pPr>
      <w:r w:rsidRPr="00132C80">
        <w:rPr>
          <w:rFonts w:ascii="Times New Roman" w:hAnsi="Times New Roman" w:cs="Times New Roman"/>
          <w:b/>
          <w:sz w:val="24"/>
          <w:szCs w:val="24"/>
        </w:rPr>
        <w:t xml:space="preserve">NYCHA’s </w:t>
      </w:r>
      <w:r w:rsidR="002A3526" w:rsidRPr="00132C80">
        <w:rPr>
          <w:rFonts w:ascii="Times New Roman" w:hAnsi="Times New Roman" w:cs="Times New Roman"/>
          <w:b/>
          <w:sz w:val="24"/>
          <w:szCs w:val="24"/>
        </w:rPr>
        <w:t xml:space="preserve">2021-2025 </w:t>
      </w:r>
      <w:r w:rsidRPr="00132C80">
        <w:rPr>
          <w:rFonts w:ascii="Times New Roman" w:hAnsi="Times New Roman" w:cs="Times New Roman"/>
          <w:b/>
          <w:sz w:val="24"/>
          <w:szCs w:val="24"/>
        </w:rPr>
        <w:t>Capital Plan</w:t>
      </w:r>
    </w:p>
    <w:p w14:paraId="69B2BDF5" w14:textId="77777777" w:rsidR="004E0D46" w:rsidRPr="004E0D46" w:rsidRDefault="004E0D46" w:rsidP="004E0D46">
      <w:pPr>
        <w:pStyle w:val="ListParagraph"/>
        <w:ind w:left="1440"/>
        <w:rPr>
          <w:rFonts w:ascii="Times New Roman" w:hAnsi="Times New Roman" w:cs="Times New Roman"/>
          <w:b/>
          <w:sz w:val="24"/>
          <w:szCs w:val="24"/>
        </w:rPr>
      </w:pPr>
    </w:p>
    <w:p w14:paraId="00E2AF83" w14:textId="58C9C712" w:rsidR="008702FA" w:rsidRDefault="008702FA" w:rsidP="00A26D30">
      <w:pPr>
        <w:spacing w:after="0"/>
        <w:ind w:firstLine="720"/>
        <w:jc w:val="both"/>
        <w:rPr>
          <w:rFonts w:ascii="Times New Roman" w:hAnsi="Times New Roman" w:cs="Times New Roman"/>
          <w:sz w:val="24"/>
          <w:szCs w:val="24"/>
        </w:rPr>
      </w:pPr>
      <w:r w:rsidRPr="008702FA">
        <w:rPr>
          <w:rFonts w:ascii="Times New Roman" w:hAnsi="Times New Roman" w:cs="Times New Roman"/>
          <w:sz w:val="24"/>
          <w:szCs w:val="24"/>
        </w:rPr>
        <w:t xml:space="preserve">NYCHA’s </w:t>
      </w:r>
      <w:r w:rsidR="00D100F2" w:rsidRPr="008702FA">
        <w:rPr>
          <w:rFonts w:ascii="Times New Roman" w:hAnsi="Times New Roman" w:cs="Times New Roman"/>
          <w:sz w:val="24"/>
          <w:szCs w:val="24"/>
        </w:rPr>
        <w:t xml:space="preserve">2021-2025 </w:t>
      </w:r>
      <w:r w:rsidRPr="008702FA">
        <w:rPr>
          <w:rFonts w:ascii="Times New Roman" w:hAnsi="Times New Roman" w:cs="Times New Roman"/>
          <w:sz w:val="24"/>
          <w:szCs w:val="24"/>
        </w:rPr>
        <w:t xml:space="preserve">Capital Plan </w:t>
      </w:r>
      <w:r w:rsidR="00D100F2">
        <w:rPr>
          <w:rFonts w:ascii="Times New Roman" w:hAnsi="Times New Roman" w:cs="Times New Roman"/>
          <w:sz w:val="24"/>
          <w:szCs w:val="24"/>
        </w:rPr>
        <w:t xml:space="preserve">(the “Capital Plan”) </w:t>
      </w:r>
      <w:r w:rsidR="006C748A" w:rsidRPr="006C748A">
        <w:rPr>
          <w:rFonts w:ascii="Times New Roman" w:hAnsi="Times New Roman" w:cs="Times New Roman"/>
          <w:sz w:val="24"/>
          <w:szCs w:val="24"/>
        </w:rPr>
        <w:t>p</w:t>
      </w:r>
      <w:r w:rsidR="00D100F2">
        <w:rPr>
          <w:rFonts w:ascii="Times New Roman" w:hAnsi="Times New Roman" w:cs="Times New Roman"/>
          <w:sz w:val="24"/>
          <w:szCs w:val="24"/>
        </w:rPr>
        <w:t>rioritizes capital investments on the federal, State and City levels,</w:t>
      </w:r>
      <w:r w:rsidR="006C748A" w:rsidRPr="006C748A">
        <w:rPr>
          <w:rFonts w:ascii="Times New Roman" w:hAnsi="Times New Roman" w:cs="Times New Roman"/>
          <w:sz w:val="24"/>
          <w:szCs w:val="24"/>
        </w:rPr>
        <w:t xml:space="preserve"> and </w:t>
      </w:r>
      <w:r w:rsidR="00D100F2">
        <w:rPr>
          <w:rFonts w:ascii="Times New Roman" w:hAnsi="Times New Roman" w:cs="Times New Roman"/>
          <w:sz w:val="24"/>
          <w:szCs w:val="24"/>
        </w:rPr>
        <w:t>is intended to strategically allow</w:t>
      </w:r>
      <w:r w:rsidR="006C748A" w:rsidRPr="006C748A">
        <w:rPr>
          <w:rFonts w:ascii="Times New Roman" w:hAnsi="Times New Roman" w:cs="Times New Roman"/>
          <w:sz w:val="24"/>
          <w:szCs w:val="24"/>
        </w:rPr>
        <w:t xml:space="preserve"> resources to</w:t>
      </w:r>
      <w:r w:rsidR="006C748A">
        <w:rPr>
          <w:rFonts w:ascii="Times New Roman" w:hAnsi="Times New Roman" w:cs="Times New Roman"/>
          <w:sz w:val="24"/>
          <w:szCs w:val="24"/>
        </w:rPr>
        <w:t xml:space="preserve"> preserve NYCHA's housing stock</w:t>
      </w:r>
      <w:r w:rsidR="00D100F2">
        <w:rPr>
          <w:rFonts w:ascii="Times New Roman" w:hAnsi="Times New Roman" w:cs="Times New Roman"/>
          <w:sz w:val="24"/>
          <w:szCs w:val="24"/>
        </w:rPr>
        <w:t>.</w:t>
      </w:r>
      <w:r w:rsidR="00EB759E">
        <w:rPr>
          <w:rStyle w:val="FootnoteReference"/>
          <w:rFonts w:ascii="Times New Roman" w:hAnsi="Times New Roman" w:cs="Times New Roman"/>
          <w:sz w:val="24"/>
          <w:szCs w:val="24"/>
        </w:rPr>
        <w:footnoteReference w:id="24"/>
      </w:r>
      <w:r w:rsidR="00EB759E">
        <w:rPr>
          <w:rFonts w:ascii="Times New Roman" w:hAnsi="Times New Roman" w:cs="Times New Roman"/>
          <w:sz w:val="24"/>
          <w:szCs w:val="24"/>
        </w:rPr>
        <w:t xml:space="preserve"> </w:t>
      </w:r>
      <w:r w:rsidR="006C748A">
        <w:rPr>
          <w:rFonts w:ascii="Times New Roman" w:hAnsi="Times New Roman" w:cs="Times New Roman"/>
          <w:sz w:val="24"/>
          <w:szCs w:val="24"/>
        </w:rPr>
        <w:t xml:space="preserve"> </w:t>
      </w:r>
      <w:r w:rsidR="00D100F2">
        <w:rPr>
          <w:rFonts w:ascii="Times New Roman" w:hAnsi="Times New Roman" w:cs="Times New Roman"/>
          <w:sz w:val="24"/>
          <w:szCs w:val="24"/>
        </w:rPr>
        <w:t>The Capital Plan, released on December 30, 2020, provides</w:t>
      </w:r>
      <w:r w:rsidRPr="008702FA">
        <w:rPr>
          <w:rFonts w:ascii="Times New Roman" w:hAnsi="Times New Roman" w:cs="Times New Roman"/>
          <w:sz w:val="24"/>
          <w:szCs w:val="24"/>
        </w:rPr>
        <w:t xml:space="preserve"> approximately $7.4 billion in planned commitments for infrastructure improvements, major modernization, systemic upgrades, repairs, resiliency, and </w:t>
      </w:r>
      <w:r w:rsidRPr="00D100F2">
        <w:rPr>
          <w:rFonts w:ascii="Times New Roman" w:hAnsi="Times New Roman" w:cs="Times New Roman"/>
          <w:sz w:val="24"/>
          <w:szCs w:val="24"/>
        </w:rPr>
        <w:t>fortification of developments damaged by Superstorm Sandy.</w:t>
      </w:r>
      <w:r w:rsidRPr="00D100F2">
        <w:rPr>
          <w:rStyle w:val="FootnoteReference"/>
          <w:rFonts w:ascii="Times New Roman" w:hAnsi="Times New Roman" w:cs="Times New Roman"/>
          <w:sz w:val="24"/>
          <w:szCs w:val="24"/>
        </w:rPr>
        <w:footnoteReference w:id="25"/>
      </w:r>
      <w:r w:rsidRPr="00D100F2">
        <w:rPr>
          <w:rFonts w:ascii="Times New Roman" w:hAnsi="Times New Roman" w:cs="Times New Roman"/>
          <w:sz w:val="24"/>
          <w:szCs w:val="24"/>
        </w:rPr>
        <w:t xml:space="preserve"> </w:t>
      </w:r>
      <w:r w:rsidR="00D100F2">
        <w:rPr>
          <w:rFonts w:ascii="Times New Roman" w:hAnsi="Times New Roman" w:cs="Times New Roman"/>
          <w:sz w:val="24"/>
          <w:szCs w:val="24"/>
        </w:rPr>
        <w:t>T</w:t>
      </w:r>
      <w:r w:rsidR="00D100F2" w:rsidRPr="00D100F2">
        <w:rPr>
          <w:rFonts w:ascii="Times New Roman" w:hAnsi="Times New Roman" w:cs="Times New Roman"/>
          <w:sz w:val="24"/>
          <w:szCs w:val="24"/>
        </w:rPr>
        <w:t xml:space="preserve">he </w:t>
      </w:r>
      <w:r w:rsidR="00D100F2">
        <w:rPr>
          <w:rFonts w:ascii="Times New Roman" w:hAnsi="Times New Roman" w:cs="Times New Roman"/>
          <w:sz w:val="24"/>
          <w:szCs w:val="24"/>
        </w:rPr>
        <w:t>Capital Plan was</w:t>
      </w:r>
      <w:r w:rsidR="00233CF7">
        <w:rPr>
          <w:rFonts w:ascii="Times New Roman" w:hAnsi="Times New Roman" w:cs="Times New Roman"/>
          <w:sz w:val="24"/>
          <w:szCs w:val="24"/>
        </w:rPr>
        <w:t xml:space="preserve"> based on present-day </w:t>
      </w:r>
      <w:r w:rsidR="00D100F2" w:rsidRPr="00D100F2">
        <w:rPr>
          <w:rFonts w:ascii="Times New Roman" w:hAnsi="Times New Roman" w:cs="Times New Roman"/>
          <w:sz w:val="24"/>
          <w:szCs w:val="24"/>
        </w:rPr>
        <w:t>federal capital-funding outlook,</w:t>
      </w:r>
      <w:r w:rsidR="00233CF7">
        <w:rPr>
          <w:rFonts w:ascii="Times New Roman" w:hAnsi="Times New Roman" w:cs="Times New Roman"/>
          <w:sz w:val="24"/>
          <w:szCs w:val="24"/>
        </w:rPr>
        <w:t xml:space="preserve"> as well as</w:t>
      </w:r>
      <w:r w:rsidR="00D100F2" w:rsidRPr="00D100F2">
        <w:rPr>
          <w:rFonts w:ascii="Times New Roman" w:hAnsi="Times New Roman" w:cs="Times New Roman"/>
          <w:sz w:val="24"/>
          <w:szCs w:val="24"/>
        </w:rPr>
        <w:t xml:space="preserve"> funding from </w:t>
      </w:r>
      <w:r w:rsidR="00233CF7">
        <w:rPr>
          <w:rFonts w:ascii="Times New Roman" w:hAnsi="Times New Roman" w:cs="Times New Roman"/>
          <w:sz w:val="24"/>
          <w:szCs w:val="24"/>
        </w:rPr>
        <w:t xml:space="preserve">the City and </w:t>
      </w:r>
      <w:r w:rsidR="00D100F2" w:rsidRPr="00D100F2">
        <w:rPr>
          <w:rFonts w:ascii="Times New Roman" w:hAnsi="Times New Roman" w:cs="Times New Roman"/>
          <w:sz w:val="24"/>
          <w:szCs w:val="24"/>
        </w:rPr>
        <w:t>local</w:t>
      </w:r>
      <w:r w:rsidR="00D100F2">
        <w:rPr>
          <w:rFonts w:ascii="Times New Roman" w:hAnsi="Times New Roman" w:cs="Times New Roman"/>
          <w:sz w:val="24"/>
          <w:szCs w:val="24"/>
        </w:rPr>
        <w:t xml:space="preserve"> elected officials </w:t>
      </w:r>
      <w:r w:rsidR="00233CF7">
        <w:rPr>
          <w:rFonts w:ascii="Times New Roman" w:hAnsi="Times New Roman" w:cs="Times New Roman"/>
          <w:sz w:val="24"/>
          <w:szCs w:val="24"/>
        </w:rPr>
        <w:t xml:space="preserve">and </w:t>
      </w:r>
      <w:r w:rsidR="00D100F2" w:rsidRPr="00D100F2">
        <w:rPr>
          <w:rFonts w:ascii="Times New Roman" w:hAnsi="Times New Roman" w:cs="Times New Roman"/>
          <w:sz w:val="24"/>
          <w:szCs w:val="24"/>
        </w:rPr>
        <w:t xml:space="preserve">expected disaster recovery </w:t>
      </w:r>
      <w:r w:rsidR="00233CF7">
        <w:rPr>
          <w:rFonts w:ascii="Times New Roman" w:hAnsi="Times New Roman" w:cs="Times New Roman"/>
          <w:sz w:val="24"/>
          <w:szCs w:val="24"/>
        </w:rPr>
        <w:t xml:space="preserve">relief </w:t>
      </w:r>
      <w:r w:rsidR="00D100F2" w:rsidRPr="00D100F2">
        <w:rPr>
          <w:rFonts w:ascii="Times New Roman" w:hAnsi="Times New Roman" w:cs="Times New Roman"/>
          <w:sz w:val="24"/>
          <w:szCs w:val="24"/>
        </w:rPr>
        <w:t>in the wake of Superstorm Sandy.</w:t>
      </w:r>
      <w:r w:rsidR="004E0D46">
        <w:rPr>
          <w:rStyle w:val="FootnoteReference"/>
          <w:rFonts w:ascii="Times New Roman" w:hAnsi="Times New Roman" w:cs="Times New Roman"/>
          <w:sz w:val="24"/>
          <w:szCs w:val="24"/>
        </w:rPr>
        <w:footnoteReference w:id="26"/>
      </w:r>
    </w:p>
    <w:p w14:paraId="7C20D3D5" w14:textId="2EC0E84A" w:rsidR="0011455E" w:rsidRDefault="00233CF7" w:rsidP="00A26D30">
      <w:pPr>
        <w:spacing w:after="0"/>
        <w:ind w:firstLine="720"/>
        <w:jc w:val="both"/>
        <w:rPr>
          <w:rFonts w:ascii="Times New Roman" w:hAnsi="Times New Roman" w:cs="Times New Roman"/>
          <w:sz w:val="24"/>
          <w:szCs w:val="24"/>
        </w:rPr>
      </w:pPr>
      <w:r w:rsidRPr="00233CF7">
        <w:rPr>
          <w:rFonts w:ascii="Times New Roman" w:hAnsi="Times New Roman" w:cs="Times New Roman"/>
          <w:sz w:val="24"/>
          <w:szCs w:val="24"/>
        </w:rPr>
        <w:t xml:space="preserve">The </w:t>
      </w:r>
      <w:r>
        <w:rPr>
          <w:rFonts w:ascii="Times New Roman" w:hAnsi="Times New Roman" w:cs="Times New Roman"/>
          <w:sz w:val="24"/>
          <w:szCs w:val="24"/>
        </w:rPr>
        <w:t xml:space="preserve">Capital </w:t>
      </w:r>
      <w:r w:rsidRPr="00233CF7">
        <w:rPr>
          <w:rFonts w:ascii="Times New Roman" w:hAnsi="Times New Roman" w:cs="Times New Roman"/>
          <w:sz w:val="24"/>
          <w:szCs w:val="24"/>
        </w:rPr>
        <w:t xml:space="preserve">Plan includes $6.6 billion in </w:t>
      </w:r>
      <w:r w:rsidR="009067F9">
        <w:rPr>
          <w:rFonts w:ascii="Times New Roman" w:hAnsi="Times New Roman" w:cs="Times New Roman"/>
          <w:sz w:val="24"/>
          <w:szCs w:val="24"/>
        </w:rPr>
        <w:t>f</w:t>
      </w:r>
      <w:r w:rsidRPr="00233CF7">
        <w:rPr>
          <w:rFonts w:ascii="Times New Roman" w:hAnsi="Times New Roman" w:cs="Times New Roman"/>
          <w:sz w:val="24"/>
          <w:szCs w:val="24"/>
        </w:rPr>
        <w:t>ederal and City funds to address physical improvement</w:t>
      </w:r>
      <w:r>
        <w:rPr>
          <w:rFonts w:ascii="Times New Roman" w:hAnsi="Times New Roman" w:cs="Times New Roman"/>
          <w:sz w:val="24"/>
          <w:szCs w:val="24"/>
        </w:rPr>
        <w:t>s to the Authority’s buildings.</w:t>
      </w:r>
      <w:r w:rsidRPr="00233CF7">
        <w:rPr>
          <w:rFonts w:ascii="Times New Roman" w:hAnsi="Times New Roman" w:cs="Times New Roman"/>
          <w:sz w:val="24"/>
          <w:szCs w:val="24"/>
        </w:rPr>
        <w:t xml:space="preserve"> The City funding includes $1.6 billion to address lead, mold, heating, elevators and pests.</w:t>
      </w:r>
      <w:r w:rsidR="00CC6C06">
        <w:rPr>
          <w:rStyle w:val="FootnoteReference"/>
          <w:rFonts w:ascii="Times New Roman" w:hAnsi="Times New Roman" w:cs="Times New Roman"/>
          <w:sz w:val="24"/>
          <w:szCs w:val="24"/>
        </w:rPr>
        <w:footnoteReference w:id="27"/>
      </w:r>
      <w:r w:rsidRPr="00233CF7">
        <w:rPr>
          <w:rFonts w:ascii="Times New Roman" w:hAnsi="Times New Roman" w:cs="Times New Roman"/>
          <w:sz w:val="24"/>
          <w:szCs w:val="24"/>
        </w:rPr>
        <w:t xml:space="preserve"> The </w:t>
      </w:r>
      <w:r w:rsidR="009067F9">
        <w:rPr>
          <w:rFonts w:ascii="Times New Roman" w:hAnsi="Times New Roman" w:cs="Times New Roman"/>
          <w:sz w:val="24"/>
          <w:szCs w:val="24"/>
        </w:rPr>
        <w:t>f</w:t>
      </w:r>
      <w:r w:rsidRPr="00233CF7">
        <w:rPr>
          <w:rFonts w:ascii="Times New Roman" w:hAnsi="Times New Roman" w:cs="Times New Roman"/>
          <w:sz w:val="24"/>
          <w:szCs w:val="24"/>
        </w:rPr>
        <w:t>ederal funding includes $951 million to address structural and exterior work, including brick and roof projects, $682 million to address heating and plumbing work and $121 million for elevator replacements.</w:t>
      </w:r>
      <w:r w:rsidR="00CC6C06">
        <w:rPr>
          <w:rStyle w:val="FootnoteReference"/>
          <w:rFonts w:ascii="Times New Roman" w:hAnsi="Times New Roman" w:cs="Times New Roman"/>
          <w:sz w:val="24"/>
          <w:szCs w:val="24"/>
        </w:rPr>
        <w:footnoteReference w:id="28"/>
      </w:r>
      <w:r w:rsidRPr="00233CF7">
        <w:rPr>
          <w:rFonts w:ascii="Times New Roman" w:hAnsi="Times New Roman" w:cs="Times New Roman"/>
          <w:sz w:val="24"/>
          <w:szCs w:val="24"/>
        </w:rPr>
        <w:t xml:space="preserve"> The State funding includes $334</w:t>
      </w:r>
      <w:r>
        <w:rPr>
          <w:rFonts w:ascii="Times New Roman" w:hAnsi="Times New Roman" w:cs="Times New Roman"/>
          <w:sz w:val="24"/>
          <w:szCs w:val="24"/>
        </w:rPr>
        <w:t xml:space="preserve"> </w:t>
      </w:r>
      <w:r w:rsidRPr="00233CF7">
        <w:rPr>
          <w:rFonts w:ascii="Times New Roman" w:hAnsi="Times New Roman" w:cs="Times New Roman"/>
          <w:sz w:val="24"/>
          <w:szCs w:val="24"/>
        </w:rPr>
        <w:t>million for boilers and $81 million for elevator repl</w:t>
      </w:r>
      <w:r>
        <w:rPr>
          <w:rFonts w:ascii="Times New Roman" w:hAnsi="Times New Roman" w:cs="Times New Roman"/>
          <w:sz w:val="24"/>
          <w:szCs w:val="24"/>
        </w:rPr>
        <w:t>acements.</w:t>
      </w:r>
      <w:r w:rsidR="00CC6C06">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w:t>
      </w:r>
    </w:p>
    <w:p w14:paraId="1373F70E" w14:textId="5F46A698" w:rsidR="00233CF7" w:rsidRDefault="009067F9" w:rsidP="00CC6C06">
      <w:pPr>
        <w:spacing w:after="0"/>
        <w:ind w:firstLine="720"/>
        <w:jc w:val="both"/>
        <w:rPr>
          <w:rFonts w:ascii="Times New Roman" w:hAnsi="Times New Roman" w:cs="Times New Roman"/>
          <w:sz w:val="24"/>
          <w:szCs w:val="24"/>
        </w:rPr>
      </w:pPr>
      <w:r>
        <w:rPr>
          <w:rFonts w:ascii="Times New Roman" w:hAnsi="Times New Roman" w:cs="Times New Roman"/>
          <w:sz w:val="24"/>
          <w:szCs w:val="24"/>
        </w:rPr>
        <w:t>Between</w:t>
      </w:r>
      <w:r w:rsidRPr="00CC6C06">
        <w:rPr>
          <w:rFonts w:ascii="Times New Roman" w:hAnsi="Times New Roman" w:cs="Times New Roman"/>
          <w:sz w:val="24"/>
          <w:szCs w:val="24"/>
        </w:rPr>
        <w:t xml:space="preserve"> </w:t>
      </w:r>
      <w:r w:rsidR="00CC6C06" w:rsidRPr="00CC6C06">
        <w:rPr>
          <w:rFonts w:ascii="Times New Roman" w:hAnsi="Times New Roman" w:cs="Times New Roman"/>
          <w:sz w:val="24"/>
          <w:szCs w:val="24"/>
        </w:rPr>
        <w:t xml:space="preserve">2021-2025, NYCHA will receive </w:t>
      </w:r>
      <w:r w:rsidR="00CC6C06">
        <w:rPr>
          <w:rFonts w:ascii="Times New Roman" w:hAnsi="Times New Roman" w:cs="Times New Roman"/>
          <w:sz w:val="24"/>
          <w:szCs w:val="24"/>
        </w:rPr>
        <w:t>approximately</w:t>
      </w:r>
      <w:r w:rsidR="00CC6C06" w:rsidRPr="00CC6C06">
        <w:rPr>
          <w:rFonts w:ascii="Times New Roman" w:hAnsi="Times New Roman" w:cs="Times New Roman"/>
          <w:sz w:val="24"/>
          <w:szCs w:val="24"/>
        </w:rPr>
        <w:t xml:space="preserve"> $3 billion from the City, which includes the City’s $1.6</w:t>
      </w:r>
      <w:r w:rsidR="00CC6C06">
        <w:rPr>
          <w:rFonts w:ascii="Times New Roman" w:hAnsi="Times New Roman" w:cs="Times New Roman"/>
          <w:sz w:val="24"/>
          <w:szCs w:val="24"/>
        </w:rPr>
        <w:t xml:space="preserve"> </w:t>
      </w:r>
      <w:r w:rsidR="00CC6C06" w:rsidRPr="00CC6C06">
        <w:rPr>
          <w:rFonts w:ascii="Times New Roman" w:hAnsi="Times New Roman" w:cs="Times New Roman"/>
          <w:sz w:val="24"/>
          <w:szCs w:val="24"/>
        </w:rPr>
        <w:t>billion allocation in Fiscal 2021 to support building improvements mandated as part of the</w:t>
      </w:r>
      <w:r w:rsidR="00124838">
        <w:rPr>
          <w:rFonts w:ascii="Times New Roman" w:hAnsi="Times New Roman" w:cs="Times New Roman"/>
          <w:sz w:val="24"/>
          <w:szCs w:val="24"/>
        </w:rPr>
        <w:t xml:space="preserve"> 2019</w:t>
      </w:r>
      <w:r w:rsidR="00CC6C06" w:rsidRPr="00CC6C06">
        <w:rPr>
          <w:rFonts w:ascii="Times New Roman" w:hAnsi="Times New Roman" w:cs="Times New Roman"/>
          <w:sz w:val="24"/>
          <w:szCs w:val="24"/>
        </w:rPr>
        <w:t xml:space="preserve"> agreement</w:t>
      </w:r>
      <w:r w:rsidR="00124838">
        <w:rPr>
          <w:rFonts w:ascii="Times New Roman" w:hAnsi="Times New Roman" w:cs="Times New Roman"/>
          <w:sz w:val="24"/>
          <w:szCs w:val="24"/>
        </w:rPr>
        <w:t xml:space="preserve"> between </w:t>
      </w:r>
      <w:r w:rsidR="00124838" w:rsidRPr="00FD3A4F">
        <w:rPr>
          <w:rFonts w:ascii="Times New Roman" w:hAnsi="Times New Roman" w:cs="Times New Roman"/>
          <w:sz w:val="24"/>
          <w:szCs w:val="24"/>
        </w:rPr>
        <w:t xml:space="preserve">HUD, NYCHA and </w:t>
      </w:r>
      <w:r w:rsidR="00124838">
        <w:rPr>
          <w:rFonts w:ascii="Times New Roman" w:hAnsi="Times New Roman" w:cs="Times New Roman"/>
          <w:sz w:val="24"/>
          <w:szCs w:val="24"/>
        </w:rPr>
        <w:t>the City</w:t>
      </w:r>
      <w:r w:rsidR="00CC6C06" w:rsidRPr="00CC6C06">
        <w:rPr>
          <w:rFonts w:ascii="Times New Roman" w:hAnsi="Times New Roman" w:cs="Times New Roman"/>
          <w:sz w:val="24"/>
          <w:szCs w:val="24"/>
        </w:rPr>
        <w:t>.</w:t>
      </w:r>
      <w:r w:rsidR="00CC6C06">
        <w:rPr>
          <w:rStyle w:val="FootnoteReference"/>
          <w:rFonts w:ascii="Times New Roman" w:hAnsi="Times New Roman" w:cs="Times New Roman"/>
          <w:sz w:val="24"/>
          <w:szCs w:val="24"/>
        </w:rPr>
        <w:footnoteReference w:id="30"/>
      </w:r>
      <w:r w:rsidR="00CC6C06">
        <w:rPr>
          <w:rFonts w:ascii="Times New Roman" w:hAnsi="Times New Roman" w:cs="Times New Roman"/>
          <w:sz w:val="24"/>
          <w:szCs w:val="24"/>
        </w:rPr>
        <w:t xml:space="preserve"> </w:t>
      </w:r>
      <w:r w:rsidR="00233CF7">
        <w:rPr>
          <w:rFonts w:ascii="Times New Roman" w:hAnsi="Times New Roman" w:cs="Times New Roman"/>
          <w:sz w:val="24"/>
          <w:szCs w:val="24"/>
        </w:rPr>
        <w:t>Overall, of the $7.4 billion included in the Capital Plan, 48.9 percent</w:t>
      </w:r>
      <w:r w:rsidR="00233CF7" w:rsidRPr="00233CF7">
        <w:rPr>
          <w:rFonts w:ascii="Times New Roman" w:hAnsi="Times New Roman" w:cs="Times New Roman"/>
          <w:sz w:val="24"/>
          <w:szCs w:val="24"/>
        </w:rPr>
        <w:t xml:space="preserve"> is from Annu</w:t>
      </w:r>
      <w:r w:rsidR="00233CF7">
        <w:rPr>
          <w:rFonts w:ascii="Times New Roman" w:hAnsi="Times New Roman" w:cs="Times New Roman"/>
          <w:sz w:val="24"/>
          <w:szCs w:val="24"/>
        </w:rPr>
        <w:t>al Federal Capital Grants, 40.4 percent</w:t>
      </w:r>
      <w:r w:rsidR="00233CF7" w:rsidRPr="00233CF7">
        <w:rPr>
          <w:rFonts w:ascii="Times New Roman" w:hAnsi="Times New Roman" w:cs="Times New Roman"/>
          <w:sz w:val="24"/>
          <w:szCs w:val="24"/>
        </w:rPr>
        <w:t xml:space="preserve"> is from the City</w:t>
      </w:r>
      <w:r w:rsidR="00233CF7">
        <w:rPr>
          <w:rFonts w:ascii="Times New Roman" w:hAnsi="Times New Roman" w:cs="Times New Roman"/>
          <w:sz w:val="24"/>
          <w:szCs w:val="24"/>
        </w:rPr>
        <w:t>, 5.7 percent</w:t>
      </w:r>
      <w:r w:rsidR="00233CF7" w:rsidRPr="00233CF7">
        <w:rPr>
          <w:rFonts w:ascii="Times New Roman" w:hAnsi="Times New Roman" w:cs="Times New Roman"/>
          <w:sz w:val="24"/>
          <w:szCs w:val="24"/>
        </w:rPr>
        <w:t xml:space="preserve"> </w:t>
      </w:r>
      <w:r w:rsidR="00233CF7">
        <w:rPr>
          <w:rFonts w:ascii="Times New Roman" w:hAnsi="Times New Roman" w:cs="Times New Roman"/>
          <w:sz w:val="24"/>
          <w:szCs w:val="24"/>
        </w:rPr>
        <w:t xml:space="preserve">is </w:t>
      </w:r>
      <w:r w:rsidR="00233CF7" w:rsidRPr="00233CF7">
        <w:rPr>
          <w:rFonts w:ascii="Times New Roman" w:hAnsi="Times New Roman" w:cs="Times New Roman"/>
          <w:sz w:val="24"/>
          <w:szCs w:val="24"/>
        </w:rPr>
        <w:t xml:space="preserve">from the State, and </w:t>
      </w:r>
      <w:r w:rsidR="00851E55">
        <w:rPr>
          <w:rFonts w:ascii="Times New Roman" w:hAnsi="Times New Roman" w:cs="Times New Roman"/>
          <w:sz w:val="24"/>
          <w:szCs w:val="24"/>
        </w:rPr>
        <w:t>five</w:t>
      </w:r>
      <w:r w:rsidR="00233CF7">
        <w:rPr>
          <w:rFonts w:ascii="Times New Roman" w:hAnsi="Times New Roman" w:cs="Times New Roman"/>
          <w:sz w:val="24"/>
          <w:szCs w:val="24"/>
        </w:rPr>
        <w:t xml:space="preserve"> percent comes from other sources such as the </w:t>
      </w:r>
      <w:r w:rsidR="00233CF7" w:rsidRPr="00233CF7">
        <w:rPr>
          <w:rFonts w:ascii="Times New Roman" w:hAnsi="Times New Roman" w:cs="Times New Roman"/>
          <w:sz w:val="24"/>
          <w:szCs w:val="24"/>
        </w:rPr>
        <w:t xml:space="preserve">Community Development Block Grant, Disaster Recovery, and </w:t>
      </w:r>
      <w:r w:rsidR="00233CF7">
        <w:rPr>
          <w:rFonts w:ascii="Times New Roman" w:hAnsi="Times New Roman" w:cs="Times New Roman"/>
          <w:sz w:val="24"/>
          <w:szCs w:val="24"/>
        </w:rPr>
        <w:t>other forms of funding</w:t>
      </w:r>
      <w:r w:rsidR="00233CF7" w:rsidRPr="00233CF7">
        <w:rPr>
          <w:rFonts w:ascii="Times New Roman" w:hAnsi="Times New Roman" w:cs="Times New Roman"/>
          <w:sz w:val="24"/>
          <w:szCs w:val="24"/>
        </w:rPr>
        <w:t>.</w:t>
      </w:r>
      <w:r w:rsidR="00CC6C06">
        <w:rPr>
          <w:rStyle w:val="FootnoteReference"/>
          <w:rFonts w:ascii="Times New Roman" w:hAnsi="Times New Roman" w:cs="Times New Roman"/>
          <w:sz w:val="24"/>
          <w:szCs w:val="24"/>
        </w:rPr>
        <w:footnoteReference w:id="31"/>
      </w:r>
      <w:r w:rsidR="00124838">
        <w:rPr>
          <w:rFonts w:ascii="Times New Roman" w:hAnsi="Times New Roman" w:cs="Times New Roman"/>
          <w:sz w:val="24"/>
          <w:szCs w:val="24"/>
        </w:rPr>
        <w:t xml:space="preserve"> The below table provides a detailed summary of the 2021-2025 C</w:t>
      </w:r>
      <w:r w:rsidR="00124838" w:rsidRPr="00124838">
        <w:rPr>
          <w:rFonts w:ascii="Times New Roman" w:hAnsi="Times New Roman" w:cs="Times New Roman"/>
          <w:sz w:val="24"/>
          <w:szCs w:val="24"/>
        </w:rPr>
        <w:t xml:space="preserve">apital </w:t>
      </w:r>
      <w:r w:rsidR="00124838">
        <w:rPr>
          <w:rFonts w:ascii="Times New Roman" w:hAnsi="Times New Roman" w:cs="Times New Roman"/>
          <w:sz w:val="24"/>
          <w:szCs w:val="24"/>
        </w:rPr>
        <w:t xml:space="preserve">Plan </w:t>
      </w:r>
      <w:r w:rsidR="00124838" w:rsidRPr="00124838">
        <w:rPr>
          <w:rFonts w:ascii="Times New Roman" w:hAnsi="Times New Roman" w:cs="Times New Roman"/>
          <w:sz w:val="24"/>
          <w:szCs w:val="24"/>
        </w:rPr>
        <w:t>by Funding Source</w:t>
      </w:r>
      <w:r w:rsidR="00124838">
        <w:rPr>
          <w:rFonts w:ascii="Times New Roman" w:hAnsi="Times New Roman" w:cs="Times New Roman"/>
          <w:sz w:val="24"/>
          <w:szCs w:val="24"/>
        </w:rPr>
        <w:t xml:space="preserve">. (See Figure 2). </w:t>
      </w:r>
    </w:p>
    <w:p w14:paraId="62D98BFB" w14:textId="273E941A" w:rsidR="00233CF7" w:rsidRPr="00EB76B4" w:rsidRDefault="00124838" w:rsidP="00EB76B4">
      <w:pPr>
        <w:jc w:val="center"/>
        <w:rPr>
          <w:rFonts w:ascii="Times New Roman" w:hAnsi="Times New Roman" w:cs="Times New Roman"/>
          <w:b/>
          <w:sz w:val="24"/>
          <w:szCs w:val="24"/>
        </w:rPr>
      </w:pPr>
      <w:r>
        <w:rPr>
          <w:rFonts w:ascii="Times New Roman" w:hAnsi="Times New Roman" w:cs="Times New Roman"/>
          <w:b/>
          <w:sz w:val="24"/>
          <w:szCs w:val="24"/>
        </w:rPr>
        <w:t>Figure</w:t>
      </w:r>
      <w:r w:rsidR="00EB76B4" w:rsidRPr="00EB76B4">
        <w:rPr>
          <w:rFonts w:ascii="Times New Roman" w:hAnsi="Times New Roman" w:cs="Times New Roman"/>
          <w:b/>
          <w:sz w:val="24"/>
          <w:szCs w:val="24"/>
        </w:rPr>
        <w:t xml:space="preserve"> 2: 2021-2025 Capital Plan by Funding Source</w:t>
      </w:r>
    </w:p>
    <w:p w14:paraId="4EDC14DB" w14:textId="77777777" w:rsidR="008702FA" w:rsidRDefault="00A84860" w:rsidP="008702FA">
      <w:pPr>
        <w:rPr>
          <w:rFonts w:ascii="Times New Roman" w:hAnsi="Times New Roman" w:cs="Times New Roman"/>
          <w:sz w:val="24"/>
          <w:szCs w:val="24"/>
        </w:rPr>
      </w:pPr>
      <w:r w:rsidRPr="00A84860">
        <w:rPr>
          <w:rFonts w:ascii="Times New Roman" w:hAnsi="Times New Roman" w:cs="Times New Roman"/>
          <w:noProof/>
          <w:sz w:val="24"/>
          <w:szCs w:val="24"/>
        </w:rPr>
        <w:drawing>
          <wp:inline distT="0" distB="0" distL="0" distR="0" wp14:anchorId="4F738631" wp14:editId="1DEFF299">
            <wp:extent cx="6241389" cy="181907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73711" cy="1828492"/>
                    </a:xfrm>
                    <a:prstGeom prst="rect">
                      <a:avLst/>
                    </a:prstGeom>
                  </pic:spPr>
                </pic:pic>
              </a:graphicData>
            </a:graphic>
          </wp:inline>
        </w:drawing>
      </w:r>
    </w:p>
    <w:p w14:paraId="7ED64B97" w14:textId="77777777" w:rsidR="00530246" w:rsidRDefault="00530246" w:rsidP="00AB2DFC">
      <w:pPr>
        <w:pStyle w:val="ListParagraph"/>
        <w:ind w:left="1080"/>
        <w:rPr>
          <w:rFonts w:ascii="Times New Roman" w:hAnsi="Times New Roman" w:cs="Times New Roman"/>
          <w:b/>
          <w:sz w:val="24"/>
          <w:szCs w:val="24"/>
        </w:rPr>
      </w:pPr>
    </w:p>
    <w:p w14:paraId="5A01418B" w14:textId="506A081D" w:rsidR="00B96835" w:rsidRPr="00234A60" w:rsidRDefault="00AB2DFC" w:rsidP="00E631C4">
      <w:pPr>
        <w:pStyle w:val="ListParagraph"/>
        <w:numPr>
          <w:ilvl w:val="1"/>
          <w:numId w:val="5"/>
        </w:numPr>
        <w:rPr>
          <w:rFonts w:ascii="Times New Roman" w:hAnsi="Times New Roman" w:cs="Times New Roman"/>
          <w:b/>
          <w:sz w:val="24"/>
          <w:szCs w:val="24"/>
        </w:rPr>
      </w:pPr>
      <w:r w:rsidRPr="00C409D5">
        <w:rPr>
          <w:rFonts w:ascii="Times New Roman" w:hAnsi="Times New Roman" w:cs="Times New Roman"/>
          <w:b/>
          <w:sz w:val="24"/>
          <w:szCs w:val="24"/>
        </w:rPr>
        <w:t>NYCHA’s City Capital Action Plan</w:t>
      </w:r>
    </w:p>
    <w:p w14:paraId="627AD7F1" w14:textId="77777777" w:rsidR="006D1F77" w:rsidRDefault="00CD2EDC" w:rsidP="006D1F77">
      <w:pPr>
        <w:spacing w:after="0"/>
        <w:jc w:val="both"/>
        <w:rPr>
          <w:rFonts w:ascii="Times New Roman" w:hAnsi="Times New Roman" w:cs="Times New Roman"/>
          <w:sz w:val="24"/>
          <w:szCs w:val="24"/>
        </w:rPr>
      </w:pPr>
      <w:r>
        <w:rPr>
          <w:rFonts w:ascii="Times New Roman" w:hAnsi="Times New Roman" w:cs="Times New Roman"/>
          <w:sz w:val="24"/>
          <w:szCs w:val="24"/>
        </w:rPr>
        <w:tab/>
      </w:r>
      <w:r w:rsidR="001A2CCD" w:rsidRPr="00FD3A4F">
        <w:rPr>
          <w:rFonts w:ascii="Times New Roman" w:hAnsi="Times New Roman" w:cs="Times New Roman"/>
          <w:sz w:val="24"/>
          <w:szCs w:val="24"/>
        </w:rPr>
        <w:t xml:space="preserve">On January 31, 2019, HUD, NYCHA and </w:t>
      </w:r>
      <w:r w:rsidR="001A2CCD">
        <w:rPr>
          <w:rFonts w:ascii="Times New Roman" w:hAnsi="Times New Roman" w:cs="Times New Roman"/>
          <w:sz w:val="24"/>
          <w:szCs w:val="24"/>
        </w:rPr>
        <w:t>the City</w:t>
      </w:r>
      <w:r w:rsidR="001A2CCD" w:rsidRPr="00FD3A4F">
        <w:rPr>
          <w:rFonts w:ascii="Times New Roman" w:hAnsi="Times New Roman" w:cs="Times New Roman"/>
          <w:sz w:val="24"/>
          <w:szCs w:val="24"/>
        </w:rPr>
        <w:t xml:space="preserve"> signed an agreement (the “HUD Agreement”) to remedy the deficient physical co</w:t>
      </w:r>
      <w:r w:rsidR="001A2CCD">
        <w:rPr>
          <w:rFonts w:ascii="Times New Roman" w:hAnsi="Times New Roman" w:cs="Times New Roman"/>
          <w:sz w:val="24"/>
          <w:szCs w:val="24"/>
        </w:rPr>
        <w:t xml:space="preserve">nditions in NYCHA developments, </w:t>
      </w:r>
      <w:r w:rsidR="008510B0">
        <w:rPr>
          <w:rFonts w:ascii="Times New Roman" w:hAnsi="Times New Roman" w:cs="Times New Roman"/>
          <w:sz w:val="24"/>
          <w:szCs w:val="24"/>
        </w:rPr>
        <w:t xml:space="preserve">to </w:t>
      </w:r>
      <w:r w:rsidR="001A2CCD" w:rsidRPr="00FD3A4F">
        <w:rPr>
          <w:rFonts w:ascii="Times New Roman" w:hAnsi="Times New Roman" w:cs="Times New Roman"/>
          <w:sz w:val="24"/>
          <w:szCs w:val="24"/>
        </w:rPr>
        <w:t xml:space="preserve">ensure that NYCHA complies with its obligations under federal law, </w:t>
      </w:r>
      <w:r w:rsidR="008510B0">
        <w:rPr>
          <w:rFonts w:ascii="Times New Roman" w:hAnsi="Times New Roman" w:cs="Times New Roman"/>
          <w:sz w:val="24"/>
          <w:szCs w:val="24"/>
        </w:rPr>
        <w:t xml:space="preserve">to </w:t>
      </w:r>
      <w:r w:rsidR="001A2CCD" w:rsidRPr="00FD3A4F">
        <w:rPr>
          <w:rFonts w:ascii="Times New Roman" w:hAnsi="Times New Roman" w:cs="Times New Roman"/>
          <w:sz w:val="24"/>
          <w:szCs w:val="24"/>
        </w:rPr>
        <w:t xml:space="preserve">reform the management structure of NYCHA, and </w:t>
      </w:r>
      <w:r w:rsidR="008510B0">
        <w:rPr>
          <w:rFonts w:ascii="Times New Roman" w:hAnsi="Times New Roman" w:cs="Times New Roman"/>
          <w:sz w:val="24"/>
          <w:szCs w:val="24"/>
        </w:rPr>
        <w:t xml:space="preserve">to </w:t>
      </w:r>
      <w:r w:rsidR="001A2CCD" w:rsidRPr="00FD3A4F">
        <w:rPr>
          <w:rFonts w:ascii="Times New Roman" w:hAnsi="Times New Roman" w:cs="Times New Roman"/>
          <w:sz w:val="24"/>
          <w:szCs w:val="24"/>
        </w:rPr>
        <w:t xml:space="preserve">facilitate cooperation and coordination among HUD, NYCHA, and </w:t>
      </w:r>
      <w:r w:rsidR="00C409D5">
        <w:rPr>
          <w:rFonts w:ascii="Times New Roman" w:hAnsi="Times New Roman" w:cs="Times New Roman"/>
          <w:sz w:val="24"/>
          <w:szCs w:val="24"/>
        </w:rPr>
        <w:t>the City during the term of the</w:t>
      </w:r>
      <w:r w:rsidR="001A2CCD" w:rsidRPr="00FD3A4F">
        <w:rPr>
          <w:rFonts w:ascii="Times New Roman" w:hAnsi="Times New Roman" w:cs="Times New Roman"/>
          <w:sz w:val="24"/>
          <w:szCs w:val="24"/>
        </w:rPr>
        <w:t xml:space="preserve"> Agreement.</w:t>
      </w:r>
      <w:r w:rsidR="001A2CCD" w:rsidRPr="00FD3A4F">
        <w:rPr>
          <w:rStyle w:val="FootnoteReference"/>
          <w:rFonts w:ascii="Times New Roman" w:hAnsi="Times New Roman" w:cs="Times New Roman"/>
          <w:sz w:val="24"/>
          <w:szCs w:val="24"/>
        </w:rPr>
        <w:footnoteReference w:id="32"/>
      </w:r>
      <w:r w:rsidR="001A2CCD" w:rsidRPr="00FD3A4F">
        <w:rPr>
          <w:rFonts w:ascii="Times New Roman" w:hAnsi="Times New Roman" w:cs="Times New Roman"/>
          <w:sz w:val="24"/>
          <w:szCs w:val="24"/>
        </w:rPr>
        <w:t xml:space="preserve"> </w:t>
      </w:r>
    </w:p>
    <w:p w14:paraId="47179B6A" w14:textId="31A5C074" w:rsidR="006D1F77" w:rsidRDefault="001A2CCD" w:rsidP="006D1F77">
      <w:pPr>
        <w:spacing w:after="0"/>
        <w:ind w:firstLine="720"/>
        <w:jc w:val="both"/>
        <w:rPr>
          <w:rFonts w:ascii="Times New Roman" w:hAnsi="Times New Roman" w:cs="Times New Roman"/>
          <w:sz w:val="24"/>
          <w:szCs w:val="24"/>
        </w:rPr>
      </w:pPr>
      <w:r w:rsidRPr="00FD3A4F">
        <w:rPr>
          <w:rFonts w:ascii="Times New Roman" w:hAnsi="Times New Roman" w:cs="Times New Roman"/>
          <w:sz w:val="24"/>
          <w:szCs w:val="24"/>
        </w:rPr>
        <w:t xml:space="preserve">Under the HUD Agreement, </w:t>
      </w:r>
      <w:r w:rsidR="00C409D5">
        <w:rPr>
          <w:rFonts w:ascii="Times New Roman" w:hAnsi="Times New Roman" w:cs="Times New Roman"/>
          <w:sz w:val="24"/>
          <w:szCs w:val="24"/>
        </w:rPr>
        <w:t xml:space="preserve">and </w:t>
      </w:r>
      <w:r w:rsidRPr="00FD3A4F">
        <w:rPr>
          <w:rFonts w:ascii="Times New Roman" w:hAnsi="Times New Roman" w:cs="Times New Roman"/>
          <w:sz w:val="24"/>
          <w:szCs w:val="24"/>
        </w:rPr>
        <w:t xml:space="preserve">over the ten years following entry into the HUD Agreement, the City is </w:t>
      </w:r>
      <w:r w:rsidR="00C409D5">
        <w:rPr>
          <w:rFonts w:ascii="Times New Roman" w:hAnsi="Times New Roman" w:cs="Times New Roman"/>
          <w:sz w:val="24"/>
          <w:szCs w:val="24"/>
        </w:rPr>
        <w:t>required to provide a</w:t>
      </w:r>
      <w:r w:rsidRPr="00FD3A4F">
        <w:rPr>
          <w:rFonts w:ascii="Times New Roman" w:hAnsi="Times New Roman" w:cs="Times New Roman"/>
          <w:sz w:val="24"/>
          <w:szCs w:val="24"/>
        </w:rPr>
        <w:t xml:space="preserve"> total of $2.2 billion in incremental funding for capital expenses to support NYCHA’s compliance with the HUD Agreement.</w:t>
      </w:r>
      <w:r w:rsidR="006D1F77">
        <w:rPr>
          <w:rStyle w:val="FootnoteReference"/>
          <w:rFonts w:ascii="Times New Roman" w:hAnsi="Times New Roman" w:cs="Times New Roman"/>
          <w:sz w:val="24"/>
          <w:szCs w:val="24"/>
        </w:rPr>
        <w:footnoteReference w:id="33"/>
      </w:r>
      <w:r w:rsidRPr="00FD3A4F">
        <w:rPr>
          <w:rFonts w:ascii="Times New Roman" w:hAnsi="Times New Roman" w:cs="Times New Roman"/>
          <w:sz w:val="24"/>
          <w:szCs w:val="24"/>
        </w:rPr>
        <w:t xml:space="preserve"> These funds include $250 million per year for each of the four fiscal years beginning in</w:t>
      </w:r>
      <w:r>
        <w:rPr>
          <w:rFonts w:ascii="Times New Roman" w:hAnsi="Times New Roman" w:cs="Times New Roman"/>
          <w:sz w:val="24"/>
          <w:szCs w:val="24"/>
        </w:rPr>
        <w:t xml:space="preserve"> Fiscal</w:t>
      </w:r>
      <w:r w:rsidRPr="00FD3A4F">
        <w:rPr>
          <w:rFonts w:ascii="Times New Roman" w:hAnsi="Times New Roman" w:cs="Times New Roman"/>
          <w:sz w:val="24"/>
          <w:szCs w:val="24"/>
        </w:rPr>
        <w:t xml:space="preserve"> 2019 and an additional $200 million per year for each of the subsequent six fiscal years (together the “Agreement Capital Funds”).</w:t>
      </w:r>
      <w:r w:rsidR="006D1F77">
        <w:rPr>
          <w:rStyle w:val="FootnoteReference"/>
          <w:rFonts w:ascii="Times New Roman" w:hAnsi="Times New Roman" w:cs="Times New Roman"/>
          <w:sz w:val="24"/>
          <w:szCs w:val="24"/>
        </w:rPr>
        <w:footnoteReference w:id="34"/>
      </w:r>
      <w:r w:rsidR="008510B0">
        <w:rPr>
          <w:rFonts w:ascii="Times New Roman" w:hAnsi="Times New Roman" w:cs="Times New Roman"/>
          <w:sz w:val="24"/>
          <w:szCs w:val="24"/>
        </w:rPr>
        <w:t xml:space="preserve"> </w:t>
      </w:r>
      <w:r w:rsidR="00F84589">
        <w:rPr>
          <w:rFonts w:ascii="Times New Roman" w:hAnsi="Times New Roman" w:cs="Times New Roman"/>
          <w:sz w:val="24"/>
          <w:szCs w:val="24"/>
        </w:rPr>
        <w:t>Additionally</w:t>
      </w:r>
      <w:r w:rsidR="00113ACA" w:rsidRPr="00FD3A4F">
        <w:rPr>
          <w:rFonts w:ascii="Times New Roman" w:hAnsi="Times New Roman" w:cs="Times New Roman"/>
          <w:sz w:val="24"/>
          <w:szCs w:val="24"/>
        </w:rPr>
        <w:t xml:space="preserve">, </w:t>
      </w:r>
      <w:r w:rsidR="00F84589">
        <w:rPr>
          <w:rFonts w:ascii="Times New Roman" w:hAnsi="Times New Roman" w:cs="Times New Roman"/>
          <w:sz w:val="24"/>
          <w:szCs w:val="24"/>
        </w:rPr>
        <w:t xml:space="preserve">NYCHA is required to spend </w:t>
      </w:r>
      <w:r w:rsidR="00113ACA" w:rsidRPr="00FD3A4F">
        <w:rPr>
          <w:rFonts w:ascii="Times New Roman" w:hAnsi="Times New Roman" w:cs="Times New Roman"/>
          <w:sz w:val="24"/>
          <w:szCs w:val="24"/>
        </w:rPr>
        <w:t>the fun</w:t>
      </w:r>
      <w:r w:rsidR="00990F17" w:rsidRPr="00FD3A4F">
        <w:rPr>
          <w:rFonts w:ascii="Times New Roman" w:hAnsi="Times New Roman" w:cs="Times New Roman"/>
          <w:sz w:val="24"/>
          <w:szCs w:val="24"/>
        </w:rPr>
        <w:t xml:space="preserve">ds pursuant to an </w:t>
      </w:r>
      <w:r w:rsidR="00113ACA" w:rsidRPr="00FD3A4F">
        <w:rPr>
          <w:rFonts w:ascii="Times New Roman" w:hAnsi="Times New Roman" w:cs="Times New Roman"/>
          <w:sz w:val="24"/>
          <w:szCs w:val="24"/>
        </w:rPr>
        <w:t>Action Plan approved by the Monitor that is designed to mee</w:t>
      </w:r>
      <w:r w:rsidR="00990F17" w:rsidRPr="00FD3A4F">
        <w:rPr>
          <w:rFonts w:ascii="Times New Roman" w:hAnsi="Times New Roman" w:cs="Times New Roman"/>
          <w:sz w:val="24"/>
          <w:szCs w:val="24"/>
        </w:rPr>
        <w:t xml:space="preserve">t NYCHA’s obligations under the </w:t>
      </w:r>
      <w:r w:rsidR="00113ACA" w:rsidRPr="00FD3A4F">
        <w:rPr>
          <w:rFonts w:ascii="Times New Roman" w:hAnsi="Times New Roman" w:cs="Times New Roman"/>
          <w:sz w:val="24"/>
          <w:szCs w:val="24"/>
        </w:rPr>
        <w:t>Agreement (the “City Capital Action Plan”). Further revision, modi</w:t>
      </w:r>
      <w:r w:rsidR="00990F17" w:rsidRPr="00FD3A4F">
        <w:rPr>
          <w:rFonts w:ascii="Times New Roman" w:hAnsi="Times New Roman" w:cs="Times New Roman"/>
          <w:sz w:val="24"/>
          <w:szCs w:val="24"/>
        </w:rPr>
        <w:t xml:space="preserve">fication or replacement of this </w:t>
      </w:r>
      <w:r w:rsidR="00113ACA" w:rsidRPr="00FD3A4F">
        <w:rPr>
          <w:rFonts w:ascii="Times New Roman" w:hAnsi="Times New Roman" w:cs="Times New Roman"/>
          <w:sz w:val="24"/>
          <w:szCs w:val="24"/>
        </w:rPr>
        <w:t>City Capital Action Pla</w:t>
      </w:r>
      <w:r w:rsidR="00AB2DFC">
        <w:rPr>
          <w:rFonts w:ascii="Times New Roman" w:hAnsi="Times New Roman" w:cs="Times New Roman"/>
          <w:sz w:val="24"/>
          <w:szCs w:val="24"/>
        </w:rPr>
        <w:t>n may be directed by the Monitor</w:t>
      </w:r>
      <w:r w:rsidR="00113ACA" w:rsidRPr="00FD3A4F">
        <w:rPr>
          <w:rFonts w:ascii="Times New Roman" w:hAnsi="Times New Roman" w:cs="Times New Roman"/>
          <w:sz w:val="24"/>
          <w:szCs w:val="24"/>
        </w:rPr>
        <w:t xml:space="preserve"> as the projects progress. </w:t>
      </w:r>
    </w:p>
    <w:p w14:paraId="3ED7CBE9" w14:textId="65A4C2A3" w:rsidR="00F84589" w:rsidRDefault="008510B0" w:rsidP="006D1F77">
      <w:pPr>
        <w:spacing w:after="0"/>
        <w:ind w:firstLine="720"/>
        <w:jc w:val="both"/>
        <w:rPr>
          <w:rFonts w:ascii="Times New Roman" w:hAnsi="Times New Roman" w:cs="Times New Roman"/>
          <w:sz w:val="24"/>
          <w:szCs w:val="24"/>
        </w:rPr>
      </w:pPr>
      <w:r>
        <w:rPr>
          <w:rFonts w:ascii="Times New Roman" w:hAnsi="Times New Roman" w:cs="Times New Roman"/>
          <w:sz w:val="24"/>
          <w:szCs w:val="24"/>
        </w:rPr>
        <w:t>In order t</w:t>
      </w:r>
      <w:r w:rsidR="00113ACA" w:rsidRPr="00FD3A4F">
        <w:rPr>
          <w:rFonts w:ascii="Times New Roman" w:hAnsi="Times New Roman" w:cs="Times New Roman"/>
          <w:sz w:val="24"/>
          <w:szCs w:val="24"/>
        </w:rPr>
        <w:t>o address a portion of the key issues outlined in the HUD Agre</w:t>
      </w:r>
      <w:r w:rsidR="00FD3A4F" w:rsidRPr="00FD3A4F">
        <w:rPr>
          <w:rFonts w:ascii="Times New Roman" w:hAnsi="Times New Roman" w:cs="Times New Roman"/>
          <w:sz w:val="24"/>
          <w:szCs w:val="24"/>
        </w:rPr>
        <w:t xml:space="preserve">ement, </w:t>
      </w:r>
      <w:r w:rsidR="00F84589">
        <w:rPr>
          <w:rFonts w:ascii="Times New Roman" w:hAnsi="Times New Roman" w:cs="Times New Roman"/>
          <w:sz w:val="24"/>
          <w:szCs w:val="24"/>
        </w:rPr>
        <w:t>NYCHA</w:t>
      </w:r>
      <w:r w:rsidR="00113ACA" w:rsidRPr="00FD3A4F">
        <w:rPr>
          <w:rFonts w:ascii="Times New Roman" w:hAnsi="Times New Roman" w:cs="Times New Roman"/>
          <w:sz w:val="24"/>
          <w:szCs w:val="24"/>
        </w:rPr>
        <w:t xml:space="preserve"> will allocate a portion of the Agreement</w:t>
      </w:r>
      <w:r w:rsidR="00FD3A4F" w:rsidRPr="00FD3A4F">
        <w:rPr>
          <w:rFonts w:ascii="Times New Roman" w:hAnsi="Times New Roman" w:cs="Times New Roman"/>
          <w:sz w:val="24"/>
          <w:szCs w:val="24"/>
        </w:rPr>
        <w:t xml:space="preserve"> Capital Funds to implement the </w:t>
      </w:r>
      <w:r w:rsidR="00113ACA" w:rsidRPr="00FD3A4F">
        <w:rPr>
          <w:rFonts w:ascii="Times New Roman" w:hAnsi="Times New Roman" w:cs="Times New Roman"/>
          <w:sz w:val="24"/>
          <w:szCs w:val="24"/>
        </w:rPr>
        <w:t>following ca</w:t>
      </w:r>
      <w:r w:rsidR="00E72E0C">
        <w:rPr>
          <w:rFonts w:ascii="Times New Roman" w:hAnsi="Times New Roman" w:cs="Times New Roman"/>
          <w:sz w:val="24"/>
          <w:szCs w:val="24"/>
        </w:rPr>
        <w:t>pital improvement project types</w:t>
      </w:r>
      <w:r w:rsidR="00EF089C">
        <w:rPr>
          <w:rFonts w:ascii="Times New Roman" w:hAnsi="Times New Roman" w:cs="Times New Roman"/>
          <w:sz w:val="24"/>
          <w:szCs w:val="24"/>
        </w:rPr>
        <w:t>.</w:t>
      </w:r>
      <w:r w:rsidR="00EF089C" w:rsidRPr="00EF089C">
        <w:rPr>
          <w:rStyle w:val="FootnoteReference"/>
          <w:rFonts w:ascii="Times New Roman" w:hAnsi="Times New Roman" w:cs="Times New Roman"/>
          <w:sz w:val="24"/>
          <w:szCs w:val="24"/>
        </w:rPr>
        <w:t xml:space="preserve"> </w:t>
      </w:r>
      <w:r w:rsidR="00EF089C">
        <w:rPr>
          <w:rStyle w:val="FootnoteReference"/>
          <w:rFonts w:ascii="Times New Roman" w:hAnsi="Times New Roman" w:cs="Times New Roman"/>
          <w:sz w:val="24"/>
          <w:szCs w:val="24"/>
        </w:rPr>
        <w:footnoteReference w:id="35"/>
      </w:r>
      <w:r w:rsidR="008C4DA3">
        <w:rPr>
          <w:rFonts w:ascii="Times New Roman" w:hAnsi="Times New Roman" w:cs="Times New Roman"/>
          <w:sz w:val="24"/>
          <w:szCs w:val="24"/>
        </w:rPr>
        <w:t xml:space="preserve"> (S</w:t>
      </w:r>
      <w:r w:rsidR="006D1F77">
        <w:rPr>
          <w:rFonts w:ascii="Times New Roman" w:hAnsi="Times New Roman" w:cs="Times New Roman"/>
          <w:sz w:val="24"/>
          <w:szCs w:val="24"/>
        </w:rPr>
        <w:t>ee Figure 3)</w:t>
      </w:r>
      <w:r w:rsidR="008C4DA3">
        <w:rPr>
          <w:rFonts w:ascii="Times New Roman" w:hAnsi="Times New Roman" w:cs="Times New Roman"/>
          <w:sz w:val="24"/>
          <w:szCs w:val="24"/>
        </w:rPr>
        <w:t>.</w:t>
      </w:r>
    </w:p>
    <w:p w14:paraId="1D52FC88" w14:textId="2384DA11" w:rsidR="006D1F77" w:rsidRPr="006D1F77" w:rsidRDefault="006D1F77" w:rsidP="006D1F77">
      <w:pPr>
        <w:spacing w:after="0"/>
        <w:jc w:val="center"/>
        <w:rPr>
          <w:rFonts w:ascii="Times New Roman" w:hAnsi="Times New Roman" w:cs="Times New Roman"/>
          <w:b/>
          <w:bCs/>
          <w:sz w:val="24"/>
          <w:szCs w:val="24"/>
        </w:rPr>
      </w:pPr>
      <w:r w:rsidRPr="006D1F77">
        <w:rPr>
          <w:rFonts w:ascii="Times New Roman" w:hAnsi="Times New Roman" w:cs="Times New Roman"/>
          <w:b/>
          <w:bCs/>
          <w:sz w:val="24"/>
          <w:szCs w:val="24"/>
        </w:rPr>
        <w:t>Figure 3: Summary of Proposed Funding Allocation</w:t>
      </w:r>
    </w:p>
    <w:tbl>
      <w:tblPr>
        <w:tblStyle w:val="GridTable4-Accent5"/>
        <w:tblW w:w="0" w:type="auto"/>
        <w:tblLook w:val="04A0" w:firstRow="1" w:lastRow="0" w:firstColumn="1" w:lastColumn="0" w:noHBand="0" w:noVBand="1"/>
      </w:tblPr>
      <w:tblGrid>
        <w:gridCol w:w="7375"/>
        <w:gridCol w:w="1975"/>
      </w:tblGrid>
      <w:tr w:rsidR="008510B0" w14:paraId="57C4E333" w14:textId="77777777" w:rsidTr="00813E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5" w:type="dxa"/>
          </w:tcPr>
          <w:p w14:paraId="77B68222" w14:textId="77777777" w:rsidR="008510B0" w:rsidRPr="00E72E0C" w:rsidRDefault="008510B0" w:rsidP="001A2CCD">
            <w:pPr>
              <w:jc w:val="both"/>
              <w:rPr>
                <w:rFonts w:ascii="Times New Roman" w:hAnsi="Times New Roman" w:cs="Times New Roman"/>
                <w:b w:val="0"/>
                <w:sz w:val="24"/>
                <w:szCs w:val="24"/>
              </w:rPr>
            </w:pPr>
            <w:r w:rsidRPr="00E72E0C">
              <w:rPr>
                <w:rFonts w:ascii="Times New Roman" w:hAnsi="Times New Roman" w:cs="Times New Roman"/>
                <w:sz w:val="24"/>
                <w:szCs w:val="24"/>
              </w:rPr>
              <w:t>Project Type</w:t>
            </w:r>
          </w:p>
        </w:tc>
        <w:tc>
          <w:tcPr>
            <w:tcW w:w="1975" w:type="dxa"/>
          </w:tcPr>
          <w:p w14:paraId="2FAB400C" w14:textId="77777777" w:rsidR="008510B0" w:rsidRPr="00E72E0C" w:rsidRDefault="008510B0" w:rsidP="001A2CC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72E0C">
              <w:rPr>
                <w:rFonts w:ascii="Times New Roman" w:hAnsi="Times New Roman" w:cs="Times New Roman"/>
                <w:sz w:val="24"/>
                <w:szCs w:val="24"/>
              </w:rPr>
              <w:t>Projected Costs</w:t>
            </w:r>
          </w:p>
        </w:tc>
      </w:tr>
      <w:tr w:rsidR="008510B0" w14:paraId="7CFA0A7B" w14:textId="77777777" w:rsidTr="00813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5" w:type="dxa"/>
          </w:tcPr>
          <w:p w14:paraId="374D0960" w14:textId="77777777" w:rsidR="008510B0" w:rsidRPr="000F3561" w:rsidRDefault="008510B0" w:rsidP="001A2CCD">
            <w:pPr>
              <w:jc w:val="both"/>
              <w:rPr>
                <w:rFonts w:ascii="Times New Roman" w:hAnsi="Times New Roman" w:cs="Times New Roman"/>
                <w:b w:val="0"/>
                <w:bCs w:val="0"/>
                <w:sz w:val="24"/>
                <w:szCs w:val="24"/>
              </w:rPr>
            </w:pPr>
            <w:r w:rsidRPr="000F3561">
              <w:rPr>
                <w:rFonts w:ascii="Times New Roman" w:hAnsi="Times New Roman" w:cs="Times New Roman"/>
                <w:b w:val="0"/>
                <w:bCs w:val="0"/>
                <w:sz w:val="24"/>
                <w:szCs w:val="24"/>
              </w:rPr>
              <w:t>Lead Abatement and Comprehensive Approach to Mold (two developments)</w:t>
            </w:r>
          </w:p>
        </w:tc>
        <w:tc>
          <w:tcPr>
            <w:tcW w:w="1975" w:type="dxa"/>
          </w:tcPr>
          <w:p w14:paraId="216D664B" w14:textId="77777777" w:rsidR="008510B0" w:rsidRPr="000F3561" w:rsidRDefault="008510B0" w:rsidP="001A2CC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F3561">
              <w:rPr>
                <w:rFonts w:ascii="Times New Roman" w:hAnsi="Times New Roman" w:cs="Times New Roman"/>
                <w:sz w:val="24"/>
                <w:szCs w:val="24"/>
              </w:rPr>
              <w:t>$450,884,475</w:t>
            </w:r>
          </w:p>
        </w:tc>
      </w:tr>
      <w:tr w:rsidR="008510B0" w14:paraId="3A5ACCEB" w14:textId="77777777" w:rsidTr="00813E4D">
        <w:tc>
          <w:tcPr>
            <w:cnfStyle w:val="001000000000" w:firstRow="0" w:lastRow="0" w:firstColumn="1" w:lastColumn="0" w:oddVBand="0" w:evenVBand="0" w:oddHBand="0" w:evenHBand="0" w:firstRowFirstColumn="0" w:firstRowLastColumn="0" w:lastRowFirstColumn="0" w:lastRowLastColumn="0"/>
            <w:tcW w:w="7375" w:type="dxa"/>
          </w:tcPr>
          <w:p w14:paraId="1F711C94" w14:textId="77777777" w:rsidR="008510B0" w:rsidRPr="000F3561" w:rsidRDefault="008510B0" w:rsidP="001A2CCD">
            <w:pPr>
              <w:jc w:val="both"/>
              <w:rPr>
                <w:rFonts w:ascii="Times New Roman" w:hAnsi="Times New Roman" w:cs="Times New Roman"/>
                <w:b w:val="0"/>
                <w:bCs w:val="0"/>
                <w:sz w:val="24"/>
                <w:szCs w:val="24"/>
              </w:rPr>
            </w:pPr>
            <w:r w:rsidRPr="000F3561">
              <w:rPr>
                <w:rFonts w:ascii="Times New Roman" w:hAnsi="Times New Roman" w:cs="Times New Roman"/>
                <w:b w:val="0"/>
                <w:bCs w:val="0"/>
                <w:sz w:val="24"/>
                <w:szCs w:val="24"/>
              </w:rPr>
              <w:t>Lead Abatement (Phased Program)</w:t>
            </w:r>
          </w:p>
        </w:tc>
        <w:tc>
          <w:tcPr>
            <w:tcW w:w="1975" w:type="dxa"/>
          </w:tcPr>
          <w:p w14:paraId="51621209" w14:textId="77777777" w:rsidR="008510B0" w:rsidRPr="000F3561" w:rsidRDefault="008510B0" w:rsidP="001A2CC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F3561">
              <w:rPr>
                <w:rFonts w:ascii="Times New Roman" w:hAnsi="Times New Roman" w:cs="Times New Roman"/>
                <w:sz w:val="24"/>
                <w:szCs w:val="24"/>
              </w:rPr>
              <w:t>$771,817,611</w:t>
            </w:r>
          </w:p>
        </w:tc>
      </w:tr>
      <w:tr w:rsidR="008510B0" w14:paraId="43AAE7EE" w14:textId="77777777" w:rsidTr="00813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5" w:type="dxa"/>
          </w:tcPr>
          <w:p w14:paraId="4874318E" w14:textId="77777777" w:rsidR="008510B0" w:rsidRPr="000F3561" w:rsidRDefault="008510B0" w:rsidP="001A2CCD">
            <w:pPr>
              <w:jc w:val="both"/>
              <w:rPr>
                <w:rFonts w:ascii="Times New Roman" w:hAnsi="Times New Roman" w:cs="Times New Roman"/>
                <w:b w:val="0"/>
                <w:bCs w:val="0"/>
                <w:sz w:val="24"/>
                <w:szCs w:val="24"/>
              </w:rPr>
            </w:pPr>
            <w:r w:rsidRPr="000F3561">
              <w:rPr>
                <w:rFonts w:ascii="Times New Roman" w:hAnsi="Times New Roman" w:cs="Times New Roman"/>
                <w:b w:val="0"/>
                <w:bCs w:val="0"/>
                <w:sz w:val="24"/>
                <w:szCs w:val="24"/>
              </w:rPr>
              <w:t>City Heating Scope Change (two developments)</w:t>
            </w:r>
          </w:p>
        </w:tc>
        <w:tc>
          <w:tcPr>
            <w:tcW w:w="1975" w:type="dxa"/>
          </w:tcPr>
          <w:p w14:paraId="2C9DFACA" w14:textId="77777777" w:rsidR="008510B0" w:rsidRPr="000F3561" w:rsidRDefault="008510B0" w:rsidP="001A2CC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F3561">
              <w:rPr>
                <w:rFonts w:ascii="Times New Roman" w:hAnsi="Times New Roman" w:cs="Times New Roman"/>
                <w:sz w:val="24"/>
                <w:szCs w:val="24"/>
              </w:rPr>
              <w:t>$50,252,220</w:t>
            </w:r>
          </w:p>
        </w:tc>
      </w:tr>
      <w:tr w:rsidR="008510B0" w14:paraId="19FCA093" w14:textId="77777777" w:rsidTr="00813E4D">
        <w:tc>
          <w:tcPr>
            <w:cnfStyle w:val="001000000000" w:firstRow="0" w:lastRow="0" w:firstColumn="1" w:lastColumn="0" w:oddVBand="0" w:evenVBand="0" w:oddHBand="0" w:evenHBand="0" w:firstRowFirstColumn="0" w:firstRowLastColumn="0" w:lastRowFirstColumn="0" w:lastRowLastColumn="0"/>
            <w:tcW w:w="7375" w:type="dxa"/>
          </w:tcPr>
          <w:p w14:paraId="0E90796B" w14:textId="77777777" w:rsidR="008510B0" w:rsidRPr="000F3561" w:rsidRDefault="008510B0" w:rsidP="001A2CCD">
            <w:pPr>
              <w:jc w:val="both"/>
              <w:rPr>
                <w:rFonts w:ascii="Times New Roman" w:hAnsi="Times New Roman" w:cs="Times New Roman"/>
                <w:b w:val="0"/>
                <w:bCs w:val="0"/>
                <w:sz w:val="24"/>
                <w:szCs w:val="24"/>
              </w:rPr>
            </w:pPr>
            <w:r w:rsidRPr="000F3561">
              <w:rPr>
                <w:rFonts w:ascii="Times New Roman" w:hAnsi="Times New Roman" w:cs="Times New Roman"/>
                <w:b w:val="0"/>
                <w:bCs w:val="0"/>
                <w:sz w:val="24"/>
                <w:szCs w:val="24"/>
              </w:rPr>
              <w:t>State Hearing Scope Change (four developments)</w:t>
            </w:r>
          </w:p>
        </w:tc>
        <w:tc>
          <w:tcPr>
            <w:tcW w:w="1975" w:type="dxa"/>
          </w:tcPr>
          <w:p w14:paraId="578EBD2F" w14:textId="428A58BC" w:rsidR="008510B0" w:rsidRPr="000F3561" w:rsidRDefault="008510B0" w:rsidP="001A2CC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F3561">
              <w:rPr>
                <w:rFonts w:ascii="Times New Roman" w:hAnsi="Times New Roman" w:cs="Times New Roman"/>
                <w:sz w:val="24"/>
                <w:szCs w:val="24"/>
              </w:rPr>
              <w:t>$121,</w:t>
            </w:r>
            <w:r w:rsidR="00285A86">
              <w:rPr>
                <w:rFonts w:ascii="Times New Roman" w:hAnsi="Times New Roman" w:cs="Times New Roman"/>
                <w:sz w:val="24"/>
                <w:szCs w:val="24"/>
              </w:rPr>
              <w:t>1</w:t>
            </w:r>
            <w:r w:rsidRPr="000F3561">
              <w:rPr>
                <w:rFonts w:ascii="Times New Roman" w:hAnsi="Times New Roman" w:cs="Times New Roman"/>
                <w:sz w:val="24"/>
                <w:szCs w:val="24"/>
              </w:rPr>
              <w:t>96,340</w:t>
            </w:r>
          </w:p>
        </w:tc>
      </w:tr>
      <w:tr w:rsidR="008510B0" w14:paraId="4C12D3A9" w14:textId="77777777" w:rsidTr="00813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5" w:type="dxa"/>
          </w:tcPr>
          <w:p w14:paraId="0BA8DB7B" w14:textId="77777777" w:rsidR="008510B0" w:rsidRPr="000F3561" w:rsidRDefault="008510B0" w:rsidP="001A2CCD">
            <w:pPr>
              <w:jc w:val="both"/>
              <w:rPr>
                <w:rFonts w:ascii="Times New Roman" w:hAnsi="Times New Roman" w:cs="Times New Roman"/>
                <w:b w:val="0"/>
                <w:bCs w:val="0"/>
                <w:sz w:val="24"/>
                <w:szCs w:val="24"/>
              </w:rPr>
            </w:pPr>
            <w:r w:rsidRPr="000F3561">
              <w:rPr>
                <w:rFonts w:ascii="Times New Roman" w:hAnsi="Times New Roman" w:cs="Times New Roman"/>
                <w:b w:val="0"/>
                <w:bCs w:val="0"/>
                <w:sz w:val="24"/>
                <w:szCs w:val="24"/>
              </w:rPr>
              <w:t>Elevator Escalation Costs (11 developments)</w:t>
            </w:r>
          </w:p>
        </w:tc>
        <w:tc>
          <w:tcPr>
            <w:tcW w:w="1975" w:type="dxa"/>
          </w:tcPr>
          <w:p w14:paraId="67F8BA60" w14:textId="77777777" w:rsidR="008510B0" w:rsidRPr="000F3561" w:rsidRDefault="008510B0" w:rsidP="001A2CC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F3561">
              <w:rPr>
                <w:rFonts w:ascii="Times New Roman" w:hAnsi="Times New Roman" w:cs="Times New Roman"/>
                <w:sz w:val="24"/>
                <w:szCs w:val="24"/>
              </w:rPr>
              <w:t>$34,927,000</w:t>
            </w:r>
          </w:p>
        </w:tc>
      </w:tr>
      <w:tr w:rsidR="008510B0" w14:paraId="528BEA8E" w14:textId="77777777" w:rsidTr="00813E4D">
        <w:tc>
          <w:tcPr>
            <w:cnfStyle w:val="001000000000" w:firstRow="0" w:lastRow="0" w:firstColumn="1" w:lastColumn="0" w:oddVBand="0" w:evenVBand="0" w:oddHBand="0" w:evenHBand="0" w:firstRowFirstColumn="0" w:firstRowLastColumn="0" w:lastRowFirstColumn="0" w:lastRowLastColumn="0"/>
            <w:tcW w:w="7375" w:type="dxa"/>
          </w:tcPr>
          <w:p w14:paraId="094ECB9F" w14:textId="77777777" w:rsidR="008510B0" w:rsidRPr="000F3561" w:rsidRDefault="008510B0" w:rsidP="001A2CCD">
            <w:pPr>
              <w:jc w:val="both"/>
              <w:rPr>
                <w:rFonts w:ascii="Times New Roman" w:hAnsi="Times New Roman" w:cs="Times New Roman"/>
                <w:b w:val="0"/>
                <w:bCs w:val="0"/>
                <w:sz w:val="24"/>
                <w:szCs w:val="24"/>
              </w:rPr>
            </w:pPr>
            <w:r w:rsidRPr="000F3561">
              <w:rPr>
                <w:rFonts w:ascii="Times New Roman" w:hAnsi="Times New Roman" w:cs="Times New Roman"/>
                <w:b w:val="0"/>
                <w:bCs w:val="0"/>
                <w:sz w:val="24"/>
                <w:szCs w:val="24"/>
              </w:rPr>
              <w:t>Waste Management (324 sites at 197 developments)</w:t>
            </w:r>
          </w:p>
        </w:tc>
        <w:tc>
          <w:tcPr>
            <w:tcW w:w="1975" w:type="dxa"/>
          </w:tcPr>
          <w:p w14:paraId="2EE64258" w14:textId="77777777" w:rsidR="008510B0" w:rsidRPr="000F3561" w:rsidRDefault="008510B0" w:rsidP="001A2CC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F3561">
              <w:rPr>
                <w:rFonts w:ascii="Times New Roman" w:hAnsi="Times New Roman" w:cs="Times New Roman"/>
                <w:sz w:val="24"/>
                <w:szCs w:val="24"/>
              </w:rPr>
              <w:t>$563,490,944</w:t>
            </w:r>
          </w:p>
        </w:tc>
      </w:tr>
      <w:tr w:rsidR="008510B0" w14:paraId="560A724F" w14:textId="77777777" w:rsidTr="00813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5" w:type="dxa"/>
          </w:tcPr>
          <w:p w14:paraId="5CB23974" w14:textId="77777777" w:rsidR="008510B0" w:rsidRPr="000F3561" w:rsidRDefault="008510B0" w:rsidP="001A2CCD">
            <w:pPr>
              <w:jc w:val="both"/>
              <w:rPr>
                <w:rFonts w:ascii="Times New Roman" w:hAnsi="Times New Roman" w:cs="Times New Roman"/>
                <w:b w:val="0"/>
                <w:bCs w:val="0"/>
                <w:sz w:val="24"/>
                <w:szCs w:val="24"/>
              </w:rPr>
            </w:pPr>
            <w:r w:rsidRPr="000F3561">
              <w:rPr>
                <w:rFonts w:ascii="Times New Roman" w:hAnsi="Times New Roman" w:cs="Times New Roman"/>
                <w:b w:val="0"/>
                <w:bCs w:val="0"/>
                <w:sz w:val="24"/>
                <w:szCs w:val="24"/>
              </w:rPr>
              <w:t>Contingency</w:t>
            </w:r>
          </w:p>
        </w:tc>
        <w:tc>
          <w:tcPr>
            <w:tcW w:w="1975" w:type="dxa"/>
          </w:tcPr>
          <w:p w14:paraId="3C52F840" w14:textId="77777777" w:rsidR="008510B0" w:rsidRPr="000F3561" w:rsidRDefault="008510B0" w:rsidP="001A2CC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F3561">
              <w:rPr>
                <w:rFonts w:ascii="Times New Roman" w:hAnsi="Times New Roman" w:cs="Times New Roman"/>
                <w:sz w:val="24"/>
                <w:szCs w:val="24"/>
              </w:rPr>
              <w:t>$207,431,410</w:t>
            </w:r>
          </w:p>
        </w:tc>
      </w:tr>
      <w:tr w:rsidR="008510B0" w14:paraId="66D1A368" w14:textId="77777777" w:rsidTr="00813E4D">
        <w:tc>
          <w:tcPr>
            <w:cnfStyle w:val="001000000000" w:firstRow="0" w:lastRow="0" w:firstColumn="1" w:lastColumn="0" w:oddVBand="0" w:evenVBand="0" w:oddHBand="0" w:evenHBand="0" w:firstRowFirstColumn="0" w:firstRowLastColumn="0" w:lastRowFirstColumn="0" w:lastRowLastColumn="0"/>
            <w:tcW w:w="7375" w:type="dxa"/>
          </w:tcPr>
          <w:p w14:paraId="69D03057" w14:textId="77777777" w:rsidR="008510B0" w:rsidRPr="008510B0" w:rsidRDefault="008510B0" w:rsidP="001A2CCD">
            <w:pPr>
              <w:jc w:val="both"/>
              <w:rPr>
                <w:rFonts w:ascii="Times New Roman" w:hAnsi="Times New Roman" w:cs="Times New Roman"/>
                <w:b w:val="0"/>
                <w:sz w:val="24"/>
                <w:szCs w:val="24"/>
              </w:rPr>
            </w:pPr>
            <w:r w:rsidRPr="008510B0">
              <w:rPr>
                <w:rFonts w:ascii="Times New Roman" w:hAnsi="Times New Roman" w:cs="Times New Roman"/>
                <w:sz w:val="24"/>
                <w:szCs w:val="24"/>
              </w:rPr>
              <w:t>TOTAL</w:t>
            </w:r>
          </w:p>
        </w:tc>
        <w:tc>
          <w:tcPr>
            <w:tcW w:w="1975" w:type="dxa"/>
          </w:tcPr>
          <w:p w14:paraId="72DB6C2B" w14:textId="77777777" w:rsidR="008510B0" w:rsidRPr="008510B0" w:rsidRDefault="008510B0" w:rsidP="001A2CC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510B0">
              <w:rPr>
                <w:rFonts w:ascii="Times New Roman" w:hAnsi="Times New Roman" w:cs="Times New Roman"/>
                <w:b/>
                <w:sz w:val="24"/>
                <w:szCs w:val="24"/>
              </w:rPr>
              <w:t>$2,200,000,000</w:t>
            </w:r>
          </w:p>
        </w:tc>
      </w:tr>
    </w:tbl>
    <w:p w14:paraId="1376BB4E" w14:textId="475C8589" w:rsidR="00AB2DFC" w:rsidRDefault="00AB2DFC" w:rsidP="006E3E73">
      <w:pPr>
        <w:rPr>
          <w:rFonts w:ascii="Times New Roman" w:hAnsi="Times New Roman" w:cs="Times New Roman"/>
          <w:sz w:val="24"/>
          <w:szCs w:val="24"/>
        </w:rPr>
      </w:pPr>
    </w:p>
    <w:p w14:paraId="437BBB4D" w14:textId="35D15238" w:rsidR="006E3E73" w:rsidRDefault="00403C89" w:rsidP="00385338">
      <w:pPr>
        <w:spacing w:after="0"/>
        <w:ind w:firstLine="360"/>
        <w:jc w:val="both"/>
        <w:rPr>
          <w:rFonts w:ascii="Times New Roman" w:hAnsi="Times New Roman" w:cs="Times New Roman"/>
          <w:sz w:val="24"/>
          <w:szCs w:val="24"/>
        </w:rPr>
      </w:pPr>
      <w:r>
        <w:rPr>
          <w:rFonts w:ascii="Times New Roman" w:hAnsi="Times New Roman" w:cs="Times New Roman"/>
          <w:sz w:val="24"/>
          <w:szCs w:val="24"/>
        </w:rPr>
        <w:t>In</w:t>
      </w:r>
      <w:r w:rsidR="006E3E73">
        <w:rPr>
          <w:rFonts w:ascii="Times New Roman" w:hAnsi="Times New Roman" w:cs="Times New Roman"/>
          <w:sz w:val="24"/>
          <w:szCs w:val="24"/>
        </w:rPr>
        <w:t xml:space="preserve"> implementing the HUD Agreement, NYCHA intends to focus on five priorities:</w:t>
      </w:r>
      <w:r>
        <w:rPr>
          <w:rFonts w:ascii="Times New Roman" w:hAnsi="Times New Roman" w:cs="Times New Roman"/>
          <w:sz w:val="24"/>
          <w:szCs w:val="24"/>
        </w:rPr>
        <w:t xml:space="preserve"> Lead Abatement, Boiler Replacements, Mold, Elevator Replacements, and Waste Management. The below table provides </w:t>
      </w:r>
      <w:r w:rsidR="000F3561">
        <w:rPr>
          <w:rFonts w:ascii="Times New Roman" w:hAnsi="Times New Roman" w:cs="Times New Roman"/>
          <w:sz w:val="24"/>
          <w:szCs w:val="24"/>
        </w:rPr>
        <w:t xml:space="preserve">a </w:t>
      </w:r>
      <w:r>
        <w:rPr>
          <w:rFonts w:ascii="Times New Roman" w:hAnsi="Times New Roman" w:cs="Times New Roman"/>
          <w:sz w:val="24"/>
          <w:szCs w:val="24"/>
        </w:rPr>
        <w:t>detailed summary of the each of these priorities and obligations as required under the HUD Agreement.</w:t>
      </w:r>
      <w:r w:rsidRPr="00403C89">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(See Figure 4). </w:t>
      </w:r>
    </w:p>
    <w:p w14:paraId="1762E6AE" w14:textId="5EFE39A8" w:rsidR="00403C89" w:rsidRDefault="008A76B0" w:rsidP="008C4DA3">
      <w:pPr>
        <w:jc w:val="center"/>
        <w:rPr>
          <w:rFonts w:ascii="Times New Roman" w:hAnsi="Times New Roman" w:cs="Times New Roman"/>
          <w:b/>
          <w:bCs/>
          <w:sz w:val="24"/>
          <w:szCs w:val="24"/>
        </w:rPr>
      </w:pPr>
      <w:r>
        <w:rPr>
          <w:rFonts w:ascii="Times New Roman" w:hAnsi="Times New Roman" w:cs="Times New Roman"/>
          <w:b/>
          <w:bCs/>
          <w:sz w:val="24"/>
          <w:szCs w:val="24"/>
        </w:rPr>
        <w:br w:type="page"/>
      </w:r>
      <w:r w:rsidR="00403C89" w:rsidRPr="00403C89">
        <w:rPr>
          <w:rFonts w:ascii="Times New Roman" w:hAnsi="Times New Roman" w:cs="Times New Roman"/>
          <w:b/>
          <w:bCs/>
          <w:sz w:val="24"/>
          <w:szCs w:val="24"/>
        </w:rPr>
        <w:t>Figure 4:</w:t>
      </w:r>
      <w:r w:rsidR="00403C89" w:rsidRPr="00403C89">
        <w:rPr>
          <w:b/>
          <w:bCs/>
          <w:sz w:val="24"/>
          <w:szCs w:val="24"/>
        </w:rPr>
        <w:t xml:space="preserve"> </w:t>
      </w:r>
      <w:r w:rsidR="00403C89" w:rsidRPr="00403C89">
        <w:rPr>
          <w:rFonts w:ascii="Times New Roman" w:hAnsi="Times New Roman" w:cs="Times New Roman"/>
          <w:b/>
          <w:bCs/>
          <w:sz w:val="24"/>
          <w:szCs w:val="24"/>
        </w:rPr>
        <w:t xml:space="preserve">HUD Agreement Obligations </w:t>
      </w:r>
    </w:p>
    <w:tbl>
      <w:tblPr>
        <w:tblStyle w:val="GridTable4-Accent5"/>
        <w:tblW w:w="0" w:type="auto"/>
        <w:tblLook w:val="04A0" w:firstRow="1" w:lastRow="0" w:firstColumn="1" w:lastColumn="0" w:noHBand="0" w:noVBand="1"/>
      </w:tblPr>
      <w:tblGrid>
        <w:gridCol w:w="2785"/>
        <w:gridCol w:w="6565"/>
      </w:tblGrid>
      <w:tr w:rsidR="008C4DA3" w:rsidRPr="008C4DA3" w14:paraId="0B946B5D" w14:textId="77777777" w:rsidTr="008C4D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66023940" w14:textId="14B5AB9D" w:rsidR="008C4DA3" w:rsidRPr="008C4DA3" w:rsidRDefault="008C4DA3" w:rsidP="008C4DA3">
            <w:pPr>
              <w:rPr>
                <w:rFonts w:ascii="Times New Roman" w:hAnsi="Times New Roman" w:cs="Times New Roman"/>
                <w:bCs w:val="0"/>
                <w:sz w:val="24"/>
                <w:szCs w:val="24"/>
              </w:rPr>
            </w:pPr>
            <w:r w:rsidRPr="008C4DA3">
              <w:rPr>
                <w:rFonts w:ascii="Times New Roman" w:hAnsi="Times New Roman" w:cs="Times New Roman"/>
                <w:bCs w:val="0"/>
                <w:sz w:val="24"/>
                <w:szCs w:val="24"/>
              </w:rPr>
              <w:t xml:space="preserve">HUD Agreement </w:t>
            </w:r>
          </w:p>
        </w:tc>
        <w:tc>
          <w:tcPr>
            <w:tcW w:w="6565" w:type="dxa"/>
          </w:tcPr>
          <w:p w14:paraId="7E5B31DA" w14:textId="1885710B" w:rsidR="008C4DA3" w:rsidRPr="008C4DA3" w:rsidRDefault="008C4DA3" w:rsidP="008C4DA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8C4DA3">
              <w:rPr>
                <w:rFonts w:ascii="Times New Roman" w:hAnsi="Times New Roman" w:cs="Times New Roman"/>
                <w:bCs w:val="0"/>
                <w:sz w:val="24"/>
                <w:szCs w:val="24"/>
              </w:rPr>
              <w:t xml:space="preserve">Obligations </w:t>
            </w:r>
          </w:p>
        </w:tc>
      </w:tr>
      <w:tr w:rsidR="008C4DA3" w:rsidRPr="008C4DA3" w14:paraId="429D2C34" w14:textId="77777777" w:rsidTr="008C4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542012B0" w14:textId="20FAB187" w:rsidR="008C4DA3" w:rsidRPr="008C4DA3" w:rsidRDefault="008C4DA3" w:rsidP="008C4DA3">
            <w:pPr>
              <w:rPr>
                <w:rFonts w:ascii="Times New Roman" w:hAnsi="Times New Roman" w:cs="Times New Roman"/>
                <w:bCs w:val="0"/>
                <w:sz w:val="24"/>
                <w:szCs w:val="24"/>
              </w:rPr>
            </w:pPr>
            <w:r w:rsidRPr="008C4DA3">
              <w:rPr>
                <w:rFonts w:ascii="Times New Roman" w:hAnsi="Times New Roman" w:cs="Times New Roman"/>
                <w:bCs w:val="0"/>
                <w:sz w:val="24"/>
                <w:szCs w:val="24"/>
              </w:rPr>
              <w:t>Lead Abatement</w:t>
            </w:r>
          </w:p>
          <w:p w14:paraId="4C794C01" w14:textId="77777777" w:rsidR="008C4DA3" w:rsidRPr="008C4DA3" w:rsidRDefault="008C4DA3" w:rsidP="008C4DA3">
            <w:pPr>
              <w:rPr>
                <w:rFonts w:ascii="Times New Roman" w:hAnsi="Times New Roman" w:cs="Times New Roman"/>
                <w:b w:val="0"/>
                <w:bCs w:val="0"/>
                <w:sz w:val="24"/>
                <w:szCs w:val="24"/>
              </w:rPr>
            </w:pPr>
          </w:p>
          <w:p w14:paraId="57E7894E" w14:textId="6471918F" w:rsidR="008C4DA3" w:rsidRPr="008C4DA3" w:rsidRDefault="008C4DA3" w:rsidP="008C4DA3">
            <w:pPr>
              <w:rPr>
                <w:rFonts w:ascii="Times New Roman" w:hAnsi="Times New Roman" w:cs="Times New Roman"/>
                <w:b w:val="0"/>
                <w:bCs w:val="0"/>
                <w:sz w:val="24"/>
                <w:szCs w:val="24"/>
              </w:rPr>
            </w:pPr>
            <w:r w:rsidRPr="008C4DA3">
              <w:rPr>
                <w:rFonts w:ascii="Times New Roman" w:hAnsi="Times New Roman" w:cs="Times New Roman"/>
                <w:sz w:val="24"/>
                <w:szCs w:val="24"/>
              </w:rPr>
              <w:t>Ex. A, Sec. C, Par. 8-11</w:t>
            </w:r>
          </w:p>
        </w:tc>
        <w:tc>
          <w:tcPr>
            <w:tcW w:w="6565" w:type="dxa"/>
          </w:tcPr>
          <w:p w14:paraId="74CA570F" w14:textId="77777777" w:rsidR="008C4DA3" w:rsidRPr="008C4DA3" w:rsidRDefault="008C4DA3" w:rsidP="008C4DA3">
            <w:pPr>
              <w:pStyle w:val="ListParagraph"/>
              <w:numPr>
                <w:ilvl w:val="0"/>
                <w:numId w:val="2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8C4DA3">
              <w:rPr>
                <w:rFonts w:ascii="Times New Roman" w:hAnsi="Times New Roman" w:cs="Times New Roman"/>
                <w:bCs/>
                <w:sz w:val="24"/>
                <w:szCs w:val="24"/>
              </w:rPr>
              <w:t>By January 31, 2024, NYCHA must abate Harlem River Houses and Williamsburg Houses.</w:t>
            </w:r>
          </w:p>
          <w:p w14:paraId="52EF897C" w14:textId="77777777" w:rsidR="008C4DA3" w:rsidRPr="008C4DA3" w:rsidRDefault="008C4DA3" w:rsidP="008C4DA3">
            <w:pPr>
              <w:pStyle w:val="ListParagraph"/>
              <w:numPr>
                <w:ilvl w:val="0"/>
                <w:numId w:val="2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8C4DA3">
              <w:rPr>
                <w:rFonts w:ascii="Times New Roman" w:hAnsi="Times New Roman" w:cs="Times New Roman"/>
                <w:bCs/>
                <w:sz w:val="24"/>
                <w:szCs w:val="24"/>
              </w:rPr>
              <w:t xml:space="preserve">By January 31, 2029, NYCHA must abate all lead-based paint in 50% of apartment units that contain lead-based paint, and interior common areas that contain lead-based paint in the same building as those units. 75% of the portfolio must be abated by January 31, 2034 and 100% of the portfolio must be abated by January 31, 2039. </w:t>
            </w:r>
          </w:p>
          <w:p w14:paraId="688B49DA" w14:textId="179F3CE3" w:rsidR="008C4DA3" w:rsidRPr="008C4DA3" w:rsidRDefault="008C4DA3" w:rsidP="008C4DA3">
            <w:pPr>
              <w:pStyle w:val="ListParagraph"/>
              <w:numPr>
                <w:ilvl w:val="0"/>
                <w:numId w:val="2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C4DA3">
              <w:rPr>
                <w:rFonts w:ascii="Times New Roman" w:hAnsi="Times New Roman" w:cs="Times New Roman"/>
                <w:bCs/>
                <w:sz w:val="24"/>
                <w:szCs w:val="24"/>
              </w:rPr>
              <w:t>Pursuant to a timeline to be set in an Action Plan approved under the HUD Agreement, NYCHA must abate exterior common areas that contain lead-based paint.</w:t>
            </w:r>
          </w:p>
        </w:tc>
      </w:tr>
      <w:tr w:rsidR="008C4DA3" w:rsidRPr="008C4DA3" w14:paraId="646F523C" w14:textId="77777777" w:rsidTr="008C4DA3">
        <w:tc>
          <w:tcPr>
            <w:cnfStyle w:val="001000000000" w:firstRow="0" w:lastRow="0" w:firstColumn="1" w:lastColumn="0" w:oddVBand="0" w:evenVBand="0" w:oddHBand="0" w:evenHBand="0" w:firstRowFirstColumn="0" w:firstRowLastColumn="0" w:lastRowFirstColumn="0" w:lastRowLastColumn="0"/>
            <w:tcW w:w="2785" w:type="dxa"/>
          </w:tcPr>
          <w:p w14:paraId="1E28C1BD" w14:textId="77777777" w:rsidR="008C4DA3" w:rsidRPr="008C4DA3" w:rsidRDefault="008C4DA3" w:rsidP="008C4DA3">
            <w:pPr>
              <w:pStyle w:val="NormalWeb"/>
              <w:shd w:val="clear" w:color="auto" w:fill="FFFFFF"/>
            </w:pPr>
            <w:r w:rsidRPr="008C4DA3">
              <w:t>Boiler Replacements</w:t>
            </w:r>
          </w:p>
          <w:p w14:paraId="1C9D381E" w14:textId="77777777" w:rsidR="008C4DA3" w:rsidRPr="008C4DA3" w:rsidRDefault="008C4DA3" w:rsidP="008C4DA3">
            <w:pPr>
              <w:pStyle w:val="NormalWeb"/>
              <w:shd w:val="clear" w:color="auto" w:fill="FFFFFF"/>
              <w:rPr>
                <w:b w:val="0"/>
              </w:rPr>
            </w:pPr>
            <w:r w:rsidRPr="008C4DA3">
              <w:t>Ex. B, Sec. A, Par. 14(c)</w:t>
            </w:r>
          </w:p>
          <w:p w14:paraId="22B591F9" w14:textId="77777777" w:rsidR="008C4DA3" w:rsidRPr="008C4DA3" w:rsidRDefault="008C4DA3" w:rsidP="008C4DA3">
            <w:pPr>
              <w:rPr>
                <w:rFonts w:ascii="Times New Roman" w:hAnsi="Times New Roman" w:cs="Times New Roman"/>
                <w:b w:val="0"/>
                <w:bCs w:val="0"/>
                <w:sz w:val="24"/>
                <w:szCs w:val="24"/>
              </w:rPr>
            </w:pPr>
          </w:p>
        </w:tc>
        <w:tc>
          <w:tcPr>
            <w:tcW w:w="6565" w:type="dxa"/>
          </w:tcPr>
          <w:p w14:paraId="557CF42A" w14:textId="77777777" w:rsidR="008C4DA3" w:rsidRPr="008C4DA3" w:rsidRDefault="008C4DA3" w:rsidP="008C4DA3">
            <w:pPr>
              <w:pStyle w:val="NormalWeb"/>
              <w:numPr>
                <w:ilvl w:val="0"/>
                <w:numId w:val="16"/>
              </w:numPr>
              <w:shd w:val="clear" w:color="auto" w:fill="FFFFFF"/>
              <w:jc w:val="both"/>
              <w:cnfStyle w:val="000000000000" w:firstRow="0" w:lastRow="0" w:firstColumn="0" w:lastColumn="0" w:oddVBand="0" w:evenVBand="0" w:oddHBand="0" w:evenHBand="0" w:firstRowFirstColumn="0" w:firstRowLastColumn="0" w:lastRowFirstColumn="0" w:lastRowLastColumn="0"/>
            </w:pPr>
            <w:r w:rsidRPr="008C4DA3">
              <w:t xml:space="preserve">By December 31, 2026, NYCHA must replace 297 boilers (including 70 within three years, and an additional 63 within five years). </w:t>
            </w:r>
          </w:p>
          <w:p w14:paraId="2AADB116" w14:textId="3E261192" w:rsidR="008C4DA3" w:rsidRPr="008C4DA3" w:rsidRDefault="008C4DA3" w:rsidP="008C4DA3">
            <w:pPr>
              <w:pStyle w:val="NormalWeb"/>
              <w:numPr>
                <w:ilvl w:val="0"/>
                <w:numId w:val="16"/>
              </w:numPr>
              <w:shd w:val="clear" w:color="auto" w:fill="FFFFFF"/>
              <w:jc w:val="both"/>
              <w:cnfStyle w:val="000000000000" w:firstRow="0" w:lastRow="0" w:firstColumn="0" w:lastColumn="0" w:oddVBand="0" w:evenVBand="0" w:oddHBand="0" w:evenHBand="0" w:firstRowFirstColumn="0" w:firstRowLastColumn="0" w:lastRowFirstColumn="0" w:lastRowLastColumn="0"/>
            </w:pPr>
            <w:r w:rsidRPr="008C4DA3">
              <w:t xml:space="preserve">In parallel with boiler replacements, NYCHA will evaluate the condition of a development’s entire heating-related capital needs and take appropriate action. </w:t>
            </w:r>
          </w:p>
        </w:tc>
      </w:tr>
      <w:tr w:rsidR="008C4DA3" w:rsidRPr="008C4DA3" w14:paraId="64F3998E" w14:textId="77777777" w:rsidTr="008C4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4BB09A47" w14:textId="77777777" w:rsidR="008C4DA3" w:rsidRPr="008C4DA3" w:rsidRDefault="008C4DA3" w:rsidP="008C4DA3">
            <w:pPr>
              <w:pStyle w:val="NormalWeb"/>
            </w:pPr>
            <w:r w:rsidRPr="008C4DA3">
              <w:t>Mold</w:t>
            </w:r>
          </w:p>
          <w:p w14:paraId="1DB2BF4F" w14:textId="511B73AD" w:rsidR="008C4DA3" w:rsidRPr="008C4DA3" w:rsidRDefault="008C4DA3" w:rsidP="008C4DA3">
            <w:pPr>
              <w:rPr>
                <w:rFonts w:ascii="Times New Roman" w:hAnsi="Times New Roman" w:cs="Times New Roman"/>
                <w:b w:val="0"/>
                <w:bCs w:val="0"/>
                <w:sz w:val="24"/>
                <w:szCs w:val="24"/>
              </w:rPr>
            </w:pPr>
            <w:r w:rsidRPr="008C4DA3">
              <w:rPr>
                <w:rFonts w:ascii="Times New Roman" w:hAnsi="Times New Roman" w:cs="Times New Roman"/>
                <w:sz w:val="24"/>
                <w:szCs w:val="24"/>
              </w:rPr>
              <w:t>Ex. B, Sec. B, Par. 15</w:t>
            </w:r>
          </w:p>
        </w:tc>
        <w:tc>
          <w:tcPr>
            <w:tcW w:w="6565" w:type="dxa"/>
          </w:tcPr>
          <w:p w14:paraId="725F5442" w14:textId="77777777" w:rsidR="008C4DA3" w:rsidRPr="008C4DA3" w:rsidRDefault="008C4DA3" w:rsidP="008C4DA3">
            <w:pPr>
              <w:pStyle w:val="ListParagraph"/>
              <w:numPr>
                <w:ilvl w:val="0"/>
                <w:numId w:val="2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C4DA3">
              <w:rPr>
                <w:rFonts w:ascii="Times New Roman" w:hAnsi="Times New Roman" w:cs="Times New Roman"/>
                <w:sz w:val="24"/>
                <w:szCs w:val="24"/>
              </w:rPr>
              <w:t xml:space="preserve">NYCHA must focus on reducing the occurrence of mold, with particular attention to units with recurring leaks and mold. </w:t>
            </w:r>
          </w:p>
          <w:p w14:paraId="6D6208AC" w14:textId="46562892" w:rsidR="008C4DA3" w:rsidRPr="008C4DA3" w:rsidRDefault="008C4DA3" w:rsidP="008C4DA3">
            <w:pPr>
              <w:pStyle w:val="ListParagraph"/>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r>
      <w:tr w:rsidR="008C4DA3" w:rsidRPr="008C4DA3" w14:paraId="36AF35C0" w14:textId="77777777" w:rsidTr="008C4DA3">
        <w:tc>
          <w:tcPr>
            <w:cnfStyle w:val="001000000000" w:firstRow="0" w:lastRow="0" w:firstColumn="1" w:lastColumn="0" w:oddVBand="0" w:evenVBand="0" w:oddHBand="0" w:evenHBand="0" w:firstRowFirstColumn="0" w:firstRowLastColumn="0" w:lastRowFirstColumn="0" w:lastRowLastColumn="0"/>
            <w:tcW w:w="2785" w:type="dxa"/>
          </w:tcPr>
          <w:p w14:paraId="3EEEDF3B" w14:textId="77777777" w:rsidR="008C4DA3" w:rsidRPr="008C4DA3" w:rsidRDefault="008C4DA3" w:rsidP="008C4DA3">
            <w:pPr>
              <w:pStyle w:val="NormalWeb"/>
            </w:pPr>
            <w:r w:rsidRPr="008C4DA3">
              <w:t>Elevator Replacements</w:t>
            </w:r>
          </w:p>
          <w:p w14:paraId="65308B97" w14:textId="77777777" w:rsidR="008C4DA3" w:rsidRDefault="008C4DA3" w:rsidP="008C4DA3">
            <w:pPr>
              <w:pStyle w:val="NormalWeb"/>
            </w:pPr>
            <w:r w:rsidRPr="008C4DA3">
              <w:t>Ex. B, Sec. C, Par. 34(b)</w:t>
            </w:r>
          </w:p>
          <w:p w14:paraId="7056CC27" w14:textId="3B311648" w:rsidR="00E666A5" w:rsidRPr="008C4DA3" w:rsidRDefault="00E666A5" w:rsidP="008C4DA3">
            <w:pPr>
              <w:pStyle w:val="NormalWeb"/>
            </w:pPr>
          </w:p>
        </w:tc>
        <w:tc>
          <w:tcPr>
            <w:tcW w:w="6565" w:type="dxa"/>
          </w:tcPr>
          <w:p w14:paraId="4CE2DFC4" w14:textId="4E01A386" w:rsidR="008C4DA3" w:rsidRPr="008C4DA3" w:rsidRDefault="008C4DA3" w:rsidP="008C4DA3">
            <w:pPr>
              <w:pStyle w:val="ListParagraph"/>
              <w:numPr>
                <w:ilvl w:val="0"/>
                <w:numId w:val="2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C4DA3">
              <w:rPr>
                <w:rFonts w:ascii="Times New Roman" w:hAnsi="Times New Roman" w:cs="Times New Roman"/>
                <w:sz w:val="24"/>
                <w:szCs w:val="24"/>
              </w:rPr>
              <w:t xml:space="preserve">By December 31, 2024, NYCHA must replace a total of 275 elevators (including 108 within three years). </w:t>
            </w:r>
          </w:p>
        </w:tc>
      </w:tr>
      <w:tr w:rsidR="008C4DA3" w:rsidRPr="008C4DA3" w14:paraId="3A88AEDC" w14:textId="77777777" w:rsidTr="008C4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61CDD7A8" w14:textId="77777777" w:rsidR="008C4DA3" w:rsidRPr="008C4DA3" w:rsidRDefault="008C4DA3" w:rsidP="008C4DA3">
            <w:pPr>
              <w:pStyle w:val="NormalWeb"/>
            </w:pPr>
            <w:r w:rsidRPr="008C4DA3">
              <w:t>Waste Management</w:t>
            </w:r>
          </w:p>
          <w:p w14:paraId="30D73F9E" w14:textId="77777777" w:rsidR="008C4DA3" w:rsidRPr="008C4DA3" w:rsidRDefault="008C4DA3" w:rsidP="008C4DA3">
            <w:pPr>
              <w:pStyle w:val="NormalWeb"/>
              <w:rPr>
                <w:b w:val="0"/>
              </w:rPr>
            </w:pPr>
            <w:r w:rsidRPr="008C4DA3">
              <w:t>Ex. B., Sec. D, Par. 45</w:t>
            </w:r>
          </w:p>
          <w:p w14:paraId="7AADCE87" w14:textId="77777777" w:rsidR="008C4DA3" w:rsidRPr="008C4DA3" w:rsidRDefault="008C4DA3" w:rsidP="008C4DA3">
            <w:pPr>
              <w:rPr>
                <w:rFonts w:ascii="Times New Roman" w:hAnsi="Times New Roman" w:cs="Times New Roman"/>
                <w:b w:val="0"/>
                <w:bCs w:val="0"/>
                <w:sz w:val="24"/>
                <w:szCs w:val="24"/>
              </w:rPr>
            </w:pPr>
          </w:p>
        </w:tc>
        <w:tc>
          <w:tcPr>
            <w:tcW w:w="6565" w:type="dxa"/>
          </w:tcPr>
          <w:p w14:paraId="78D911B1" w14:textId="4CB06657" w:rsidR="008C4DA3" w:rsidRPr="008C4DA3" w:rsidRDefault="008C4DA3" w:rsidP="008C4DA3">
            <w:pPr>
              <w:pStyle w:val="ListParagraph"/>
              <w:numPr>
                <w:ilvl w:val="0"/>
                <w:numId w:val="2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C4DA3">
              <w:rPr>
                <w:rFonts w:ascii="Times New Roman" w:hAnsi="Times New Roman" w:cs="Times New Roman"/>
                <w:sz w:val="24"/>
                <w:szCs w:val="24"/>
              </w:rPr>
              <w:t xml:space="preserve">NYCHA must ensure that trash on the grounds or common areas of each building is collected and then either removed or securely stored, at least once a day, in a manner that prevents access by pests. </w:t>
            </w:r>
          </w:p>
        </w:tc>
      </w:tr>
    </w:tbl>
    <w:p w14:paraId="611B3B4B" w14:textId="77777777" w:rsidR="008C4DA3" w:rsidRPr="00403C89" w:rsidRDefault="008C4DA3" w:rsidP="008C4DA3">
      <w:pPr>
        <w:rPr>
          <w:rFonts w:ascii="Times New Roman" w:hAnsi="Times New Roman" w:cs="Times New Roman"/>
          <w:b/>
          <w:bCs/>
          <w:sz w:val="24"/>
          <w:szCs w:val="24"/>
        </w:rPr>
      </w:pPr>
    </w:p>
    <w:p w14:paraId="2159B943" w14:textId="77777777" w:rsidR="006E3E73" w:rsidRPr="00FD3A4F" w:rsidRDefault="006E3E73" w:rsidP="006E3E73">
      <w:pPr>
        <w:rPr>
          <w:rFonts w:ascii="Times New Roman" w:hAnsi="Times New Roman" w:cs="Times New Roman"/>
          <w:sz w:val="24"/>
          <w:szCs w:val="24"/>
        </w:rPr>
      </w:pPr>
    </w:p>
    <w:p w14:paraId="73325FDC" w14:textId="7B332344" w:rsidR="00DF7756" w:rsidRDefault="00DF7756">
      <w:pPr>
        <w:pStyle w:val="ListParagraph"/>
        <w:numPr>
          <w:ilvl w:val="0"/>
          <w:numId w:val="3"/>
        </w:num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Federal Capital Funds – Obligation and Expenditure Rates</w:t>
      </w:r>
    </w:p>
    <w:p w14:paraId="73DCE701" w14:textId="2EF1DF29" w:rsidR="00DF7756" w:rsidRDefault="00DF7756" w:rsidP="00E631C4">
      <w:pPr>
        <w:spacing w:after="0" w:line="240" w:lineRule="auto"/>
        <w:rPr>
          <w:rFonts w:ascii="Times New Roman" w:eastAsia="Times New Roman" w:hAnsi="Times New Roman" w:cs="Times New Roman"/>
          <w:b/>
          <w:bCs/>
          <w:sz w:val="24"/>
          <w:szCs w:val="24"/>
        </w:rPr>
      </w:pPr>
    </w:p>
    <w:p w14:paraId="26390997" w14:textId="33574E4E" w:rsidR="00BE5B71" w:rsidRDefault="00DF7756" w:rsidP="00E631C4">
      <w:pPr>
        <w:spacing w:after="0"/>
        <w:jc w:val="both"/>
        <w:rPr>
          <w:rFonts w:ascii="Times New Roman" w:hAnsi="Times New Roman" w:cs="Times New Roman"/>
          <w:sz w:val="24"/>
          <w:szCs w:val="24"/>
        </w:rPr>
      </w:pPr>
      <w:r>
        <w:rPr>
          <w:rFonts w:ascii="Times New Roman" w:eastAsia="Times New Roman" w:hAnsi="Times New Roman" w:cs="Times New Roman"/>
          <w:bCs/>
          <w:sz w:val="24"/>
          <w:szCs w:val="24"/>
        </w:rPr>
        <w:tab/>
      </w:r>
      <w:r w:rsidRPr="00E631C4">
        <w:rPr>
          <w:rFonts w:ascii="Times New Roman" w:eastAsia="Times New Roman" w:hAnsi="Times New Roman" w:cs="Times New Roman"/>
          <w:bCs/>
          <w:sz w:val="24"/>
          <w:szCs w:val="24"/>
        </w:rPr>
        <w:t xml:space="preserve">Federal capital grants </w:t>
      </w:r>
      <w:r w:rsidR="00B566A7">
        <w:rPr>
          <w:rFonts w:ascii="Times New Roman" w:eastAsia="Times New Roman" w:hAnsi="Times New Roman" w:cs="Times New Roman"/>
          <w:bCs/>
          <w:sz w:val="24"/>
          <w:szCs w:val="24"/>
        </w:rPr>
        <w:t>require</w:t>
      </w:r>
      <w:r w:rsidRPr="00E631C4">
        <w:rPr>
          <w:rFonts w:ascii="Times New Roman" w:eastAsia="Times New Roman" w:hAnsi="Times New Roman" w:cs="Times New Roman"/>
          <w:bCs/>
          <w:sz w:val="24"/>
          <w:szCs w:val="24"/>
        </w:rPr>
        <w:t xml:space="preserve"> deadlines for securing contracts to perform capital work, referred to as an obligation deadline, and the completion of capital work, known as an expenditure deadline.</w:t>
      </w:r>
      <w:r w:rsidR="00BE5B71">
        <w:rPr>
          <w:rStyle w:val="FootnoteReference"/>
          <w:rFonts w:ascii="Times New Roman" w:eastAsia="Times New Roman" w:hAnsi="Times New Roman" w:cs="Times New Roman"/>
          <w:bCs/>
          <w:sz w:val="24"/>
          <w:szCs w:val="24"/>
        </w:rPr>
        <w:footnoteReference w:id="37"/>
      </w:r>
      <w:r w:rsidRPr="00E631C4">
        <w:rPr>
          <w:rFonts w:ascii="Times New Roman" w:eastAsia="Times New Roman" w:hAnsi="Times New Roman" w:cs="Times New Roman"/>
          <w:bCs/>
          <w:sz w:val="24"/>
          <w:szCs w:val="24"/>
        </w:rPr>
        <w:t xml:space="preserve"> </w:t>
      </w:r>
      <w:r w:rsidR="00BE5B71">
        <w:rPr>
          <w:rFonts w:ascii="Times New Roman" w:eastAsia="Times New Roman" w:hAnsi="Times New Roman" w:cs="Times New Roman"/>
          <w:bCs/>
          <w:sz w:val="24"/>
          <w:szCs w:val="24"/>
        </w:rPr>
        <w:t xml:space="preserve">As a condition to funding, </w:t>
      </w:r>
      <w:r w:rsidRPr="00E631C4">
        <w:rPr>
          <w:rFonts w:ascii="Times New Roman" w:eastAsia="Times New Roman" w:hAnsi="Times New Roman" w:cs="Times New Roman"/>
          <w:bCs/>
          <w:sz w:val="24"/>
          <w:szCs w:val="24"/>
        </w:rPr>
        <w:t xml:space="preserve">HUD requires </w:t>
      </w:r>
      <w:r w:rsidR="00BE5B71">
        <w:rPr>
          <w:rFonts w:ascii="Times New Roman" w:eastAsia="Times New Roman" w:hAnsi="Times New Roman" w:cs="Times New Roman"/>
          <w:bCs/>
          <w:sz w:val="24"/>
          <w:szCs w:val="24"/>
        </w:rPr>
        <w:t>PHAs</w:t>
      </w:r>
      <w:r w:rsidRPr="00E631C4">
        <w:rPr>
          <w:rFonts w:ascii="Times New Roman" w:eastAsia="Times New Roman" w:hAnsi="Times New Roman" w:cs="Times New Roman"/>
          <w:bCs/>
          <w:sz w:val="24"/>
          <w:szCs w:val="24"/>
        </w:rPr>
        <w:t xml:space="preserve"> to obligate 90 percent of funds within 24 months and to expend 100 percent of funds within 48 months.</w:t>
      </w:r>
      <w:r w:rsidR="004B0E87">
        <w:rPr>
          <w:rStyle w:val="FootnoteReference"/>
          <w:rFonts w:ascii="Times New Roman" w:eastAsia="Times New Roman" w:hAnsi="Times New Roman" w:cs="Times New Roman"/>
          <w:bCs/>
          <w:sz w:val="24"/>
          <w:szCs w:val="24"/>
        </w:rPr>
        <w:footnoteReference w:id="38"/>
      </w:r>
      <w:r w:rsidRPr="00E631C4">
        <w:rPr>
          <w:rFonts w:ascii="Times New Roman" w:eastAsia="Times New Roman" w:hAnsi="Times New Roman" w:cs="Times New Roman"/>
          <w:bCs/>
          <w:sz w:val="24"/>
          <w:szCs w:val="24"/>
        </w:rPr>
        <w:t xml:space="preserve"> If these federal spending deadlines are not met, recipients may incur penal</w:t>
      </w:r>
      <w:r w:rsidR="00BE5B71">
        <w:rPr>
          <w:rFonts w:ascii="Times New Roman" w:eastAsia="Times New Roman" w:hAnsi="Times New Roman" w:cs="Times New Roman"/>
          <w:bCs/>
          <w:sz w:val="24"/>
          <w:szCs w:val="24"/>
        </w:rPr>
        <w:t>ties or the forfeiture of funds.</w:t>
      </w:r>
      <w:r w:rsidR="00BE5B71">
        <w:rPr>
          <w:rStyle w:val="FootnoteReference"/>
          <w:rFonts w:ascii="Times New Roman" w:eastAsia="Times New Roman" w:hAnsi="Times New Roman" w:cs="Times New Roman"/>
          <w:bCs/>
          <w:sz w:val="24"/>
          <w:szCs w:val="24"/>
        </w:rPr>
        <w:footnoteReference w:id="39"/>
      </w:r>
      <w:r w:rsidRPr="00E631C4">
        <w:rPr>
          <w:rFonts w:ascii="Times New Roman" w:eastAsia="Times New Roman" w:hAnsi="Times New Roman" w:cs="Times New Roman"/>
          <w:bCs/>
          <w:sz w:val="24"/>
          <w:szCs w:val="24"/>
        </w:rPr>
        <w:t xml:space="preserve"> </w:t>
      </w:r>
      <w:r w:rsidR="00BE5B71">
        <w:rPr>
          <w:rFonts w:ascii="Times New Roman" w:eastAsia="Times New Roman" w:hAnsi="Times New Roman" w:cs="Times New Roman"/>
          <w:bCs/>
          <w:sz w:val="24"/>
          <w:szCs w:val="24"/>
        </w:rPr>
        <w:t xml:space="preserve">As a result of the federal capital grants deadlines, </w:t>
      </w:r>
      <w:r w:rsidR="00BE5B71" w:rsidRPr="00E631C4">
        <w:rPr>
          <w:rFonts w:ascii="Times New Roman" w:hAnsi="Times New Roman" w:cs="Times New Roman"/>
          <w:sz w:val="24"/>
          <w:szCs w:val="24"/>
        </w:rPr>
        <w:t xml:space="preserve">NYCHA places </w:t>
      </w:r>
      <w:r w:rsidR="00BE5B71">
        <w:rPr>
          <w:rFonts w:ascii="Times New Roman" w:hAnsi="Times New Roman" w:cs="Times New Roman"/>
          <w:sz w:val="24"/>
          <w:szCs w:val="24"/>
        </w:rPr>
        <w:t xml:space="preserve">a high priority </w:t>
      </w:r>
      <w:r w:rsidR="008C6E38">
        <w:rPr>
          <w:rFonts w:ascii="Times New Roman" w:hAnsi="Times New Roman" w:cs="Times New Roman"/>
          <w:sz w:val="24"/>
          <w:szCs w:val="24"/>
        </w:rPr>
        <w:t xml:space="preserve">on </w:t>
      </w:r>
      <w:r w:rsidR="00BE5B71">
        <w:rPr>
          <w:rFonts w:ascii="Times New Roman" w:hAnsi="Times New Roman" w:cs="Times New Roman"/>
          <w:sz w:val="24"/>
          <w:szCs w:val="24"/>
        </w:rPr>
        <w:t>achiev</w:t>
      </w:r>
      <w:r w:rsidR="008C6E38">
        <w:rPr>
          <w:rFonts w:ascii="Times New Roman" w:hAnsi="Times New Roman" w:cs="Times New Roman"/>
          <w:sz w:val="24"/>
          <w:szCs w:val="24"/>
        </w:rPr>
        <w:t>ing</w:t>
      </w:r>
      <w:r w:rsidR="00BE5B71" w:rsidRPr="00E631C4">
        <w:rPr>
          <w:rFonts w:ascii="Times New Roman" w:hAnsi="Times New Roman" w:cs="Times New Roman"/>
          <w:sz w:val="24"/>
          <w:szCs w:val="24"/>
        </w:rPr>
        <w:t xml:space="preserve"> its federal Capital Plan obligation and expenditure targets. The chart below displays NYCHA’s obligation and expenditure rate as a component of federal capital plan allocations in each corresponding year, from 2016 to 2020.</w:t>
      </w:r>
      <w:r w:rsidR="00BE5B71">
        <w:rPr>
          <w:rStyle w:val="FootnoteReference"/>
          <w:rFonts w:ascii="Times New Roman" w:hAnsi="Times New Roman" w:cs="Times New Roman"/>
          <w:sz w:val="24"/>
          <w:szCs w:val="24"/>
        </w:rPr>
        <w:footnoteReference w:id="40"/>
      </w:r>
      <w:r w:rsidR="00BE5B71" w:rsidRPr="00E631C4">
        <w:rPr>
          <w:rFonts w:ascii="Times New Roman" w:hAnsi="Times New Roman" w:cs="Times New Roman"/>
          <w:sz w:val="24"/>
          <w:szCs w:val="24"/>
        </w:rPr>
        <w:t xml:space="preserve"> </w:t>
      </w:r>
      <w:r w:rsidR="00065BA5">
        <w:rPr>
          <w:rFonts w:ascii="Times New Roman" w:hAnsi="Times New Roman" w:cs="Times New Roman"/>
          <w:sz w:val="24"/>
          <w:szCs w:val="24"/>
        </w:rPr>
        <w:t xml:space="preserve">(See Figure 5). </w:t>
      </w:r>
      <w:r w:rsidR="00BE5B71" w:rsidRPr="00E631C4">
        <w:rPr>
          <w:rFonts w:ascii="Times New Roman" w:hAnsi="Times New Roman" w:cs="Times New Roman"/>
          <w:sz w:val="24"/>
          <w:szCs w:val="24"/>
        </w:rPr>
        <w:t xml:space="preserve">During this timeframe, the federal capital pipeline comprised of about 366 projects annually. Federal Capital Plan allocations for 2016 and 2017 have </w:t>
      </w:r>
      <w:r w:rsidR="004B0E87">
        <w:rPr>
          <w:rFonts w:ascii="Times New Roman" w:hAnsi="Times New Roman" w:cs="Times New Roman"/>
          <w:sz w:val="24"/>
          <w:szCs w:val="24"/>
        </w:rPr>
        <w:t xml:space="preserve">an outstanding </w:t>
      </w:r>
      <w:r w:rsidR="00BE5B71" w:rsidRPr="00E631C4">
        <w:rPr>
          <w:rFonts w:ascii="Times New Roman" w:hAnsi="Times New Roman" w:cs="Times New Roman"/>
          <w:sz w:val="24"/>
          <w:szCs w:val="24"/>
        </w:rPr>
        <w:t>100 percent obligation and expenditure rates.</w:t>
      </w:r>
      <w:r w:rsidR="00BE5B71">
        <w:rPr>
          <w:rStyle w:val="FootnoteReference"/>
          <w:rFonts w:ascii="Times New Roman" w:hAnsi="Times New Roman" w:cs="Times New Roman"/>
          <w:sz w:val="24"/>
          <w:szCs w:val="24"/>
        </w:rPr>
        <w:footnoteReference w:id="41"/>
      </w:r>
      <w:r w:rsidR="00BE5B71" w:rsidRPr="00E631C4">
        <w:rPr>
          <w:rFonts w:ascii="Times New Roman" w:hAnsi="Times New Roman" w:cs="Times New Roman"/>
          <w:sz w:val="24"/>
          <w:szCs w:val="24"/>
        </w:rPr>
        <w:t xml:space="preserve"> For federal capital grants received beginning in 2018, HUD extended the expenditure deadline an additional year due to complications and additional delays in completing capital work during the COVID-19 pandemic.</w:t>
      </w:r>
      <w:r w:rsidR="00BE5B71">
        <w:rPr>
          <w:rStyle w:val="FootnoteReference"/>
          <w:rFonts w:ascii="Times New Roman" w:hAnsi="Times New Roman" w:cs="Times New Roman"/>
          <w:sz w:val="24"/>
          <w:szCs w:val="24"/>
        </w:rPr>
        <w:footnoteReference w:id="42"/>
      </w:r>
    </w:p>
    <w:p w14:paraId="7AFB25AA" w14:textId="77777777" w:rsidR="00BE5B71" w:rsidRDefault="00BE5B71" w:rsidP="00E631C4">
      <w:pPr>
        <w:spacing w:after="0"/>
        <w:jc w:val="both"/>
        <w:rPr>
          <w:rFonts w:ascii="Times New Roman" w:hAnsi="Times New Roman" w:cs="Times New Roman"/>
          <w:sz w:val="24"/>
          <w:szCs w:val="24"/>
        </w:rPr>
      </w:pPr>
    </w:p>
    <w:p w14:paraId="4AB18C89" w14:textId="77777777" w:rsidR="00172A38" w:rsidRDefault="00172A38">
      <w:pPr>
        <w:rPr>
          <w:rFonts w:ascii="Times New Roman" w:hAnsi="Times New Roman" w:cs="Times New Roman"/>
          <w:b/>
          <w:sz w:val="24"/>
          <w:szCs w:val="24"/>
        </w:rPr>
      </w:pPr>
      <w:r>
        <w:rPr>
          <w:rFonts w:ascii="Times New Roman" w:hAnsi="Times New Roman" w:cs="Times New Roman"/>
          <w:b/>
          <w:sz w:val="24"/>
          <w:szCs w:val="24"/>
        </w:rPr>
        <w:br w:type="page"/>
      </w:r>
    </w:p>
    <w:p w14:paraId="3E7468E3" w14:textId="5886E950" w:rsidR="00BE5B71" w:rsidRPr="00E631C4" w:rsidRDefault="00BE5B71" w:rsidP="00E631C4">
      <w:pPr>
        <w:spacing w:after="0"/>
        <w:jc w:val="center"/>
        <w:rPr>
          <w:rFonts w:ascii="Times New Roman" w:hAnsi="Times New Roman" w:cs="Times New Roman"/>
          <w:b/>
          <w:sz w:val="24"/>
          <w:szCs w:val="24"/>
        </w:rPr>
      </w:pPr>
      <w:r w:rsidRPr="00E631C4">
        <w:rPr>
          <w:rFonts w:ascii="Times New Roman" w:hAnsi="Times New Roman" w:cs="Times New Roman"/>
          <w:b/>
          <w:sz w:val="24"/>
          <w:szCs w:val="24"/>
        </w:rPr>
        <w:t>Figure 5: Fiscal 2016-2020 Federal Capital Plan and Expenditure Rates</w:t>
      </w:r>
    </w:p>
    <w:p w14:paraId="3AF3FFDA" w14:textId="20DBFD63" w:rsidR="00BE5B71" w:rsidRPr="00E631C4" w:rsidRDefault="00BE5B71" w:rsidP="00E631C4">
      <w:pPr>
        <w:spacing w:after="0"/>
        <w:jc w:val="center"/>
        <w:rPr>
          <w:rFonts w:ascii="Times New Roman" w:eastAsia="Times New Roman" w:hAnsi="Times New Roman" w:cs="Times New Roman"/>
          <w:bCs/>
          <w:sz w:val="24"/>
          <w:szCs w:val="24"/>
        </w:rPr>
      </w:pPr>
      <w:r w:rsidRPr="00BE5B71">
        <w:rPr>
          <w:rFonts w:ascii="Times New Roman" w:eastAsia="Times New Roman" w:hAnsi="Times New Roman" w:cs="Times New Roman"/>
          <w:bCs/>
          <w:noProof/>
          <w:sz w:val="24"/>
          <w:szCs w:val="24"/>
        </w:rPr>
        <w:drawing>
          <wp:inline distT="0" distB="0" distL="0" distR="0" wp14:anchorId="32947AD5" wp14:editId="05391C3E">
            <wp:extent cx="5830114" cy="3248478"/>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30114" cy="3248478"/>
                    </a:xfrm>
                    <a:prstGeom prst="rect">
                      <a:avLst/>
                    </a:prstGeom>
                  </pic:spPr>
                </pic:pic>
              </a:graphicData>
            </a:graphic>
          </wp:inline>
        </w:drawing>
      </w:r>
    </w:p>
    <w:p w14:paraId="282B74AB" w14:textId="77777777" w:rsidR="00DF7756" w:rsidRPr="00DF7756" w:rsidRDefault="00DF7756" w:rsidP="00E631C4">
      <w:pPr>
        <w:spacing w:after="0" w:line="240" w:lineRule="auto"/>
        <w:rPr>
          <w:rFonts w:ascii="Times New Roman" w:eastAsia="Times New Roman" w:hAnsi="Times New Roman" w:cs="Times New Roman"/>
          <w:b/>
          <w:bCs/>
          <w:sz w:val="24"/>
          <w:szCs w:val="24"/>
        </w:rPr>
      </w:pPr>
    </w:p>
    <w:p w14:paraId="4F31B9EF" w14:textId="4C646FBC" w:rsidR="00BE4541" w:rsidRPr="00E352CF" w:rsidRDefault="00E352CF">
      <w:pPr>
        <w:pStyle w:val="ListParagraph"/>
        <w:numPr>
          <w:ilvl w:val="0"/>
          <w:numId w:val="3"/>
        </w:num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City Capital Funds – </w:t>
      </w:r>
      <w:r w:rsidR="009E7FE1" w:rsidRPr="00E352CF">
        <w:rPr>
          <w:rFonts w:ascii="Times New Roman" w:eastAsia="Times New Roman" w:hAnsi="Times New Roman" w:cs="Times New Roman"/>
          <w:b/>
          <w:bCs/>
          <w:sz w:val="24"/>
          <w:szCs w:val="24"/>
        </w:rPr>
        <w:t>Capital Commitment Plan</w:t>
      </w:r>
      <w:r>
        <w:rPr>
          <w:rFonts w:ascii="Times New Roman" w:eastAsia="Times New Roman" w:hAnsi="Times New Roman" w:cs="Times New Roman"/>
          <w:b/>
          <w:bCs/>
          <w:sz w:val="24"/>
          <w:szCs w:val="24"/>
        </w:rPr>
        <w:t xml:space="preserve"> and</w:t>
      </w:r>
      <w:r w:rsidR="00D3131D" w:rsidRPr="00E352CF">
        <w:rPr>
          <w:rFonts w:ascii="Times New Roman" w:eastAsia="Times New Roman" w:hAnsi="Times New Roman" w:cs="Times New Roman"/>
          <w:b/>
          <w:bCs/>
          <w:sz w:val="24"/>
          <w:szCs w:val="24"/>
        </w:rPr>
        <w:t xml:space="preserve"> Commitment Rate</w:t>
      </w:r>
    </w:p>
    <w:p w14:paraId="15105E13" w14:textId="5C93EB21" w:rsidR="00373622" w:rsidRDefault="00373622" w:rsidP="00E631C4">
      <w:pPr>
        <w:spacing w:after="0" w:line="240" w:lineRule="auto"/>
        <w:rPr>
          <w:rFonts w:ascii="Times New Roman" w:eastAsia="Times New Roman" w:hAnsi="Times New Roman" w:cs="Times New Roman"/>
          <w:b/>
          <w:bCs/>
          <w:sz w:val="24"/>
          <w:szCs w:val="24"/>
        </w:rPr>
      </w:pPr>
    </w:p>
    <w:p w14:paraId="03186387" w14:textId="1B6D2CA7" w:rsidR="00B566A7" w:rsidRDefault="001E4A80" w:rsidP="00E631C4">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1E4A80">
        <w:rPr>
          <w:rFonts w:ascii="Times New Roman" w:eastAsia="Times New Roman" w:hAnsi="Times New Roman" w:cs="Times New Roman"/>
          <w:bCs/>
          <w:sz w:val="24"/>
          <w:szCs w:val="24"/>
        </w:rPr>
        <w:t xml:space="preserve">The City’s Capital Commitment Plan </w:t>
      </w:r>
      <w:r>
        <w:rPr>
          <w:rFonts w:ascii="Times New Roman" w:eastAsia="Times New Roman" w:hAnsi="Times New Roman" w:cs="Times New Roman"/>
          <w:bCs/>
          <w:sz w:val="24"/>
          <w:szCs w:val="24"/>
        </w:rPr>
        <w:t xml:space="preserve">provides information </w:t>
      </w:r>
      <w:r w:rsidRPr="001E4A80">
        <w:rPr>
          <w:rFonts w:ascii="Times New Roman" w:eastAsia="Times New Roman" w:hAnsi="Times New Roman" w:cs="Times New Roman"/>
          <w:bCs/>
          <w:sz w:val="24"/>
          <w:szCs w:val="24"/>
        </w:rPr>
        <w:t>on capital appropriations and commitments with implementation schedules projected, and the ensuing three years for all active capital budget projects.</w:t>
      </w:r>
      <w:r>
        <w:rPr>
          <w:rStyle w:val="FootnoteReference"/>
          <w:rFonts w:ascii="Times New Roman" w:eastAsia="Times New Roman" w:hAnsi="Times New Roman" w:cs="Times New Roman"/>
          <w:bCs/>
          <w:sz w:val="24"/>
          <w:szCs w:val="24"/>
        </w:rPr>
        <w:footnoteReference w:id="43"/>
      </w:r>
      <w:r w:rsidRPr="001E4A8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These implementation schedules </w:t>
      </w:r>
      <w:r w:rsidRPr="001E4A80">
        <w:rPr>
          <w:rFonts w:ascii="Times New Roman" w:eastAsia="Times New Roman" w:hAnsi="Times New Roman" w:cs="Times New Roman"/>
          <w:bCs/>
          <w:sz w:val="24"/>
          <w:szCs w:val="24"/>
        </w:rPr>
        <w:t xml:space="preserve">are </w:t>
      </w:r>
      <w:r>
        <w:rPr>
          <w:rFonts w:ascii="Times New Roman" w:eastAsia="Times New Roman" w:hAnsi="Times New Roman" w:cs="Times New Roman"/>
          <w:bCs/>
          <w:sz w:val="24"/>
          <w:szCs w:val="24"/>
        </w:rPr>
        <w:t xml:space="preserve">intended to be </w:t>
      </w:r>
      <w:r w:rsidRPr="001E4A80">
        <w:rPr>
          <w:rFonts w:ascii="Times New Roman" w:eastAsia="Times New Roman" w:hAnsi="Times New Roman" w:cs="Times New Roman"/>
          <w:bCs/>
          <w:sz w:val="24"/>
          <w:szCs w:val="24"/>
        </w:rPr>
        <w:t>the best assessment of the earliest possible start o</w:t>
      </w:r>
      <w:r w:rsidR="00476A7D">
        <w:rPr>
          <w:rFonts w:ascii="Times New Roman" w:eastAsia="Times New Roman" w:hAnsi="Times New Roman" w:cs="Times New Roman"/>
          <w:bCs/>
          <w:sz w:val="24"/>
          <w:szCs w:val="24"/>
        </w:rPr>
        <w:t>f the implementation milestone</w:t>
      </w:r>
      <w:r w:rsidR="00217840">
        <w:rPr>
          <w:rFonts w:ascii="Times New Roman" w:eastAsia="Times New Roman" w:hAnsi="Times New Roman" w:cs="Times New Roman"/>
          <w:bCs/>
          <w:sz w:val="24"/>
          <w:szCs w:val="24"/>
        </w:rPr>
        <w:t xml:space="preserve"> (</w:t>
      </w:r>
      <w:r w:rsidR="00476A7D">
        <w:rPr>
          <w:rFonts w:ascii="Times New Roman" w:eastAsia="Times New Roman" w:hAnsi="Times New Roman" w:cs="Times New Roman"/>
          <w:bCs/>
          <w:sz w:val="24"/>
          <w:szCs w:val="24"/>
        </w:rPr>
        <w:t xml:space="preserve">such as </w:t>
      </w:r>
      <w:r w:rsidRPr="001E4A80">
        <w:rPr>
          <w:rFonts w:ascii="Times New Roman" w:eastAsia="Times New Roman" w:hAnsi="Times New Roman" w:cs="Times New Roman"/>
          <w:bCs/>
          <w:sz w:val="24"/>
          <w:szCs w:val="24"/>
        </w:rPr>
        <w:t>sc</w:t>
      </w:r>
      <w:r w:rsidR="00476A7D">
        <w:rPr>
          <w:rFonts w:ascii="Times New Roman" w:eastAsia="Times New Roman" w:hAnsi="Times New Roman" w:cs="Times New Roman"/>
          <w:bCs/>
          <w:sz w:val="24"/>
          <w:szCs w:val="24"/>
        </w:rPr>
        <w:t>ope, design, construction</w:t>
      </w:r>
      <w:r w:rsidR="00217840">
        <w:rPr>
          <w:rFonts w:ascii="Times New Roman" w:eastAsia="Times New Roman" w:hAnsi="Times New Roman" w:cs="Times New Roman"/>
          <w:bCs/>
          <w:sz w:val="24"/>
          <w:szCs w:val="24"/>
        </w:rPr>
        <w:t>)</w:t>
      </w:r>
      <w:r w:rsidRPr="001E4A80">
        <w:rPr>
          <w:rFonts w:ascii="Times New Roman" w:eastAsia="Times New Roman" w:hAnsi="Times New Roman" w:cs="Times New Roman"/>
          <w:bCs/>
          <w:sz w:val="24"/>
          <w:szCs w:val="24"/>
        </w:rPr>
        <w:t xml:space="preserve"> being reported.</w:t>
      </w:r>
      <w:r>
        <w:rPr>
          <w:rStyle w:val="FootnoteReference"/>
          <w:rFonts w:ascii="Times New Roman" w:eastAsia="Times New Roman" w:hAnsi="Times New Roman" w:cs="Times New Roman"/>
          <w:bCs/>
          <w:sz w:val="24"/>
          <w:szCs w:val="24"/>
        </w:rPr>
        <w:footnoteReference w:id="44"/>
      </w:r>
      <w:r w:rsidR="00476A7D">
        <w:rPr>
          <w:rFonts w:ascii="Times New Roman" w:eastAsia="Times New Roman" w:hAnsi="Times New Roman" w:cs="Times New Roman"/>
          <w:bCs/>
          <w:sz w:val="24"/>
          <w:szCs w:val="24"/>
        </w:rPr>
        <w:t xml:space="preserve"> </w:t>
      </w:r>
    </w:p>
    <w:p w14:paraId="35D9B7F4" w14:textId="3729B250" w:rsidR="00476A7D" w:rsidRDefault="00B566A7" w:rsidP="00E631C4">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583723">
        <w:rPr>
          <w:rFonts w:ascii="Times New Roman" w:eastAsia="Times New Roman" w:hAnsi="Times New Roman" w:cs="Times New Roman"/>
          <w:bCs/>
          <w:sz w:val="24"/>
          <w:szCs w:val="24"/>
        </w:rPr>
        <w:t>Unlike federal capital funding, NYCHA is not required to spend city capital dollars by any</w:t>
      </w:r>
      <w:r w:rsidR="0036477E">
        <w:rPr>
          <w:rFonts w:ascii="Times New Roman" w:eastAsia="Times New Roman" w:hAnsi="Times New Roman" w:cs="Times New Roman"/>
          <w:bCs/>
          <w:sz w:val="24"/>
          <w:szCs w:val="24"/>
        </w:rPr>
        <w:t xml:space="preserve"> specified deadline. Instead, NYCHA is only obligated to meet certain deadlines, as outlined in the HUD Agreement</w:t>
      </w:r>
      <w:r w:rsidR="00B11762">
        <w:rPr>
          <w:rFonts w:ascii="Times New Roman" w:eastAsia="Times New Roman" w:hAnsi="Times New Roman" w:cs="Times New Roman"/>
          <w:bCs/>
          <w:sz w:val="24"/>
          <w:szCs w:val="24"/>
        </w:rPr>
        <w:t xml:space="preserve"> and illustrated in Figure 5 of this report, to address systematic issues at the Authority. </w:t>
      </w:r>
      <w:r>
        <w:rPr>
          <w:rFonts w:ascii="Times New Roman" w:eastAsia="Times New Roman" w:hAnsi="Times New Roman" w:cs="Times New Roman"/>
          <w:bCs/>
          <w:sz w:val="24"/>
          <w:szCs w:val="24"/>
        </w:rPr>
        <w:t xml:space="preserve">With no risk </w:t>
      </w:r>
      <w:r w:rsidR="008E7F60">
        <w:rPr>
          <w:rFonts w:ascii="Times New Roman" w:eastAsia="Times New Roman" w:hAnsi="Times New Roman" w:cs="Times New Roman"/>
          <w:bCs/>
          <w:sz w:val="24"/>
          <w:szCs w:val="24"/>
        </w:rPr>
        <w:t>of losing</w:t>
      </w:r>
      <w:r>
        <w:rPr>
          <w:rFonts w:ascii="Times New Roman" w:eastAsia="Times New Roman" w:hAnsi="Times New Roman" w:cs="Times New Roman"/>
          <w:bCs/>
          <w:sz w:val="24"/>
          <w:szCs w:val="24"/>
        </w:rPr>
        <w:t xml:space="preserve"> City capital funds, NYCHA has a history of not spending</w:t>
      </w:r>
      <w:r w:rsidR="008E7F60">
        <w:rPr>
          <w:rFonts w:ascii="Times New Roman" w:eastAsia="Times New Roman" w:hAnsi="Times New Roman" w:cs="Times New Roman"/>
          <w:bCs/>
          <w:sz w:val="24"/>
          <w:szCs w:val="24"/>
        </w:rPr>
        <w:t xml:space="preserve"> </w:t>
      </w:r>
      <w:r w:rsidR="00217840">
        <w:rPr>
          <w:rFonts w:ascii="Times New Roman" w:eastAsia="Times New Roman" w:hAnsi="Times New Roman" w:cs="Times New Roman"/>
          <w:bCs/>
          <w:sz w:val="24"/>
          <w:szCs w:val="24"/>
        </w:rPr>
        <w:t>allocated city capital funding.</w:t>
      </w:r>
    </w:p>
    <w:p w14:paraId="499FB599" w14:textId="6C8BFC03" w:rsidR="00592C2D" w:rsidRDefault="00476A7D" w:rsidP="00E631C4">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373622">
        <w:rPr>
          <w:rFonts w:ascii="Times New Roman" w:eastAsia="Times New Roman" w:hAnsi="Times New Roman" w:cs="Times New Roman"/>
          <w:bCs/>
          <w:sz w:val="24"/>
          <w:szCs w:val="24"/>
        </w:rPr>
        <w:t xml:space="preserve">The Fiscal 2022 </w:t>
      </w:r>
      <w:r w:rsidR="00592C2D">
        <w:rPr>
          <w:rFonts w:ascii="Times New Roman" w:eastAsia="Times New Roman" w:hAnsi="Times New Roman" w:cs="Times New Roman"/>
          <w:bCs/>
          <w:sz w:val="24"/>
          <w:szCs w:val="24"/>
        </w:rPr>
        <w:t>Adopted</w:t>
      </w:r>
      <w:r w:rsidR="00373622" w:rsidRPr="00E631C4">
        <w:rPr>
          <w:rFonts w:ascii="Times New Roman" w:eastAsia="Times New Roman" w:hAnsi="Times New Roman" w:cs="Times New Roman"/>
          <w:bCs/>
          <w:sz w:val="24"/>
          <w:szCs w:val="24"/>
        </w:rPr>
        <w:t xml:space="preserve"> Capital Commitment Plan, which covers fiscal years </w:t>
      </w:r>
      <w:r w:rsidR="00592C2D">
        <w:rPr>
          <w:rFonts w:ascii="Times New Roman" w:eastAsia="Times New Roman" w:hAnsi="Times New Roman" w:cs="Times New Roman"/>
          <w:bCs/>
          <w:sz w:val="24"/>
          <w:szCs w:val="24"/>
        </w:rPr>
        <w:t>2022 through 2025</w:t>
      </w:r>
      <w:r w:rsidR="00373622" w:rsidRPr="00E631C4">
        <w:rPr>
          <w:rFonts w:ascii="Times New Roman" w:eastAsia="Times New Roman" w:hAnsi="Times New Roman" w:cs="Times New Roman"/>
          <w:bCs/>
          <w:sz w:val="24"/>
          <w:szCs w:val="24"/>
        </w:rPr>
        <w:t>, totals $</w:t>
      </w:r>
      <w:r w:rsidR="00BE2245">
        <w:rPr>
          <w:rFonts w:ascii="Times New Roman" w:eastAsia="Times New Roman" w:hAnsi="Times New Roman" w:cs="Times New Roman"/>
          <w:bCs/>
          <w:sz w:val="24"/>
          <w:szCs w:val="24"/>
        </w:rPr>
        <w:t>80.4 b</w:t>
      </w:r>
      <w:r w:rsidR="00592C2D">
        <w:rPr>
          <w:rFonts w:ascii="Times New Roman" w:eastAsia="Times New Roman" w:hAnsi="Times New Roman" w:cs="Times New Roman"/>
          <w:bCs/>
          <w:sz w:val="24"/>
          <w:szCs w:val="24"/>
        </w:rPr>
        <w:t>illion.</w:t>
      </w:r>
      <w:r w:rsidR="00D70D78">
        <w:rPr>
          <w:rStyle w:val="FootnoteReference"/>
          <w:rFonts w:ascii="Times New Roman" w:eastAsia="Times New Roman" w:hAnsi="Times New Roman" w:cs="Times New Roman"/>
          <w:bCs/>
          <w:sz w:val="24"/>
          <w:szCs w:val="24"/>
        </w:rPr>
        <w:footnoteReference w:id="45"/>
      </w:r>
      <w:r w:rsidR="00592C2D">
        <w:rPr>
          <w:rFonts w:ascii="Times New Roman" w:eastAsia="Times New Roman" w:hAnsi="Times New Roman" w:cs="Times New Roman"/>
          <w:bCs/>
          <w:sz w:val="24"/>
          <w:szCs w:val="24"/>
        </w:rPr>
        <w:t xml:space="preserve"> Of that amount, the City’s Capital Commitment Plan for NYCHA total</w:t>
      </w:r>
      <w:r w:rsidR="001E4A80">
        <w:rPr>
          <w:rFonts w:ascii="Times New Roman" w:eastAsia="Times New Roman" w:hAnsi="Times New Roman" w:cs="Times New Roman"/>
          <w:bCs/>
          <w:sz w:val="24"/>
          <w:szCs w:val="24"/>
        </w:rPr>
        <w:t xml:space="preserve">s </w:t>
      </w:r>
      <w:r w:rsidR="00592C2D">
        <w:rPr>
          <w:rFonts w:ascii="Times New Roman" w:eastAsia="Times New Roman" w:hAnsi="Times New Roman" w:cs="Times New Roman"/>
          <w:bCs/>
          <w:sz w:val="24"/>
          <w:szCs w:val="24"/>
        </w:rPr>
        <w:t xml:space="preserve">approximately $2.9 </w:t>
      </w:r>
      <w:r w:rsidR="00BE2245">
        <w:rPr>
          <w:rFonts w:ascii="Times New Roman" w:eastAsia="Times New Roman" w:hAnsi="Times New Roman" w:cs="Times New Roman"/>
          <w:bCs/>
          <w:sz w:val="24"/>
          <w:szCs w:val="24"/>
        </w:rPr>
        <w:t>b</w:t>
      </w:r>
      <w:r w:rsidR="00592C2D">
        <w:rPr>
          <w:rFonts w:ascii="Times New Roman" w:eastAsia="Times New Roman" w:hAnsi="Times New Roman" w:cs="Times New Roman"/>
          <w:bCs/>
          <w:sz w:val="24"/>
          <w:szCs w:val="24"/>
        </w:rPr>
        <w:t>illion</w:t>
      </w:r>
      <w:r w:rsidR="00E06808">
        <w:rPr>
          <w:rFonts w:ascii="Times New Roman" w:eastAsia="Times New Roman" w:hAnsi="Times New Roman" w:cs="Times New Roman"/>
          <w:bCs/>
          <w:sz w:val="24"/>
          <w:szCs w:val="24"/>
        </w:rPr>
        <w:t xml:space="preserve">. </w:t>
      </w:r>
      <w:r w:rsidR="00D70D78" w:rsidRPr="00D70D78">
        <w:rPr>
          <w:rFonts w:ascii="Times New Roman" w:eastAsia="Times New Roman" w:hAnsi="Times New Roman" w:cs="Times New Roman"/>
          <w:bCs/>
          <w:sz w:val="24"/>
          <w:szCs w:val="24"/>
        </w:rPr>
        <w:t>NYCHA’s Exe</w:t>
      </w:r>
      <w:r w:rsidR="001E4A80">
        <w:rPr>
          <w:rFonts w:ascii="Times New Roman" w:eastAsia="Times New Roman" w:hAnsi="Times New Roman" w:cs="Times New Roman"/>
          <w:bCs/>
          <w:sz w:val="24"/>
          <w:szCs w:val="24"/>
        </w:rPr>
        <w:t xml:space="preserve">cutive </w:t>
      </w:r>
      <w:r w:rsidR="00E06808">
        <w:rPr>
          <w:rFonts w:ascii="Times New Roman" w:eastAsia="Times New Roman" w:hAnsi="Times New Roman" w:cs="Times New Roman"/>
          <w:bCs/>
          <w:sz w:val="24"/>
          <w:szCs w:val="24"/>
        </w:rPr>
        <w:t xml:space="preserve">2022 </w:t>
      </w:r>
      <w:r w:rsidR="001E4A80">
        <w:rPr>
          <w:rFonts w:ascii="Times New Roman" w:eastAsia="Times New Roman" w:hAnsi="Times New Roman" w:cs="Times New Roman"/>
          <w:bCs/>
          <w:sz w:val="24"/>
          <w:szCs w:val="24"/>
        </w:rPr>
        <w:t xml:space="preserve">Commitment Plan included </w:t>
      </w:r>
      <w:r w:rsidR="00D70D78" w:rsidRPr="00D70D78">
        <w:rPr>
          <w:rFonts w:ascii="Times New Roman" w:eastAsia="Times New Roman" w:hAnsi="Times New Roman" w:cs="Times New Roman"/>
          <w:bCs/>
          <w:sz w:val="24"/>
          <w:szCs w:val="24"/>
        </w:rPr>
        <w:t>$3 billion for Fis</w:t>
      </w:r>
      <w:r w:rsidR="00D70D78">
        <w:rPr>
          <w:rFonts w:ascii="Times New Roman" w:eastAsia="Times New Roman" w:hAnsi="Times New Roman" w:cs="Times New Roman"/>
          <w:bCs/>
          <w:sz w:val="24"/>
          <w:szCs w:val="24"/>
        </w:rPr>
        <w:t xml:space="preserve">cal 2021-2025, comprised of all </w:t>
      </w:r>
      <w:r w:rsidR="00D70D78" w:rsidRPr="00D70D78">
        <w:rPr>
          <w:rFonts w:ascii="Times New Roman" w:eastAsia="Times New Roman" w:hAnsi="Times New Roman" w:cs="Times New Roman"/>
          <w:bCs/>
          <w:sz w:val="24"/>
          <w:szCs w:val="24"/>
        </w:rPr>
        <w:t>City funds</w:t>
      </w:r>
      <w:r w:rsidR="00F11EC0">
        <w:rPr>
          <w:rFonts w:ascii="Times New Roman" w:eastAsia="Times New Roman" w:hAnsi="Times New Roman" w:cs="Times New Roman"/>
          <w:bCs/>
          <w:sz w:val="24"/>
          <w:szCs w:val="24"/>
        </w:rPr>
        <w:t xml:space="preserve">, with </w:t>
      </w:r>
      <w:r w:rsidR="00E631C4">
        <w:rPr>
          <w:rFonts w:ascii="Times New Roman" w:eastAsia="Times New Roman" w:hAnsi="Times New Roman" w:cs="Times New Roman"/>
          <w:bCs/>
          <w:sz w:val="24"/>
          <w:szCs w:val="24"/>
        </w:rPr>
        <w:t>$1.</w:t>
      </w:r>
      <w:r w:rsidR="007E286F">
        <w:rPr>
          <w:rFonts w:ascii="Times New Roman" w:eastAsia="Times New Roman" w:hAnsi="Times New Roman" w:cs="Times New Roman"/>
          <w:bCs/>
          <w:sz w:val="24"/>
          <w:szCs w:val="24"/>
        </w:rPr>
        <w:t>6 billion</w:t>
      </w:r>
      <w:r w:rsidR="00F11EC0">
        <w:rPr>
          <w:rFonts w:ascii="Times New Roman" w:eastAsia="Times New Roman" w:hAnsi="Times New Roman" w:cs="Times New Roman"/>
          <w:bCs/>
          <w:sz w:val="24"/>
          <w:szCs w:val="24"/>
        </w:rPr>
        <w:t xml:space="preserve"> appropriated for Fiscal 2021</w:t>
      </w:r>
      <w:r w:rsidR="00D70D78" w:rsidRPr="00D70D78">
        <w:rPr>
          <w:rFonts w:ascii="Times New Roman" w:eastAsia="Times New Roman" w:hAnsi="Times New Roman" w:cs="Times New Roman"/>
          <w:bCs/>
          <w:sz w:val="24"/>
          <w:szCs w:val="24"/>
        </w:rPr>
        <w:t>.</w:t>
      </w:r>
      <w:r w:rsidR="00E06808">
        <w:rPr>
          <w:rStyle w:val="FootnoteReference"/>
          <w:rFonts w:ascii="Times New Roman" w:eastAsia="Times New Roman" w:hAnsi="Times New Roman" w:cs="Times New Roman"/>
          <w:bCs/>
          <w:sz w:val="24"/>
          <w:szCs w:val="24"/>
        </w:rPr>
        <w:footnoteReference w:id="46"/>
      </w:r>
      <w:r w:rsidR="00D70D78" w:rsidRPr="00D70D78">
        <w:rPr>
          <w:rFonts w:ascii="Times New Roman" w:eastAsia="Times New Roman" w:hAnsi="Times New Roman" w:cs="Times New Roman"/>
          <w:bCs/>
          <w:sz w:val="24"/>
          <w:szCs w:val="24"/>
        </w:rPr>
        <w:t xml:space="preserve"> </w:t>
      </w:r>
      <w:r w:rsidR="00D3131D">
        <w:rPr>
          <w:rFonts w:ascii="Times New Roman" w:eastAsia="Times New Roman" w:hAnsi="Times New Roman" w:cs="Times New Roman"/>
          <w:bCs/>
          <w:sz w:val="24"/>
          <w:szCs w:val="24"/>
        </w:rPr>
        <w:t xml:space="preserve">Of the </w:t>
      </w:r>
      <w:r w:rsidR="00D3131D" w:rsidRPr="001E4A80">
        <w:rPr>
          <w:rFonts w:ascii="Times New Roman" w:eastAsia="Times New Roman" w:hAnsi="Times New Roman" w:cs="Times New Roman"/>
          <w:bCs/>
          <w:sz w:val="24"/>
          <w:szCs w:val="24"/>
        </w:rPr>
        <w:t>$</w:t>
      </w:r>
      <w:r w:rsidR="001C367B">
        <w:rPr>
          <w:rFonts w:ascii="Times New Roman" w:eastAsia="Times New Roman" w:hAnsi="Times New Roman" w:cs="Times New Roman"/>
          <w:bCs/>
          <w:sz w:val="24"/>
          <w:szCs w:val="24"/>
        </w:rPr>
        <w:t>3</w:t>
      </w:r>
      <w:r w:rsidR="007E286F">
        <w:rPr>
          <w:rFonts w:ascii="Times New Roman" w:eastAsia="Times New Roman" w:hAnsi="Times New Roman" w:cs="Times New Roman"/>
          <w:bCs/>
          <w:sz w:val="24"/>
          <w:szCs w:val="24"/>
        </w:rPr>
        <w:t xml:space="preserve"> billion</w:t>
      </w:r>
      <w:r w:rsidR="00D3131D">
        <w:rPr>
          <w:rFonts w:ascii="Times New Roman" w:eastAsia="Times New Roman" w:hAnsi="Times New Roman" w:cs="Times New Roman"/>
          <w:bCs/>
          <w:sz w:val="24"/>
          <w:szCs w:val="24"/>
        </w:rPr>
        <w:t xml:space="preserve"> in </w:t>
      </w:r>
      <w:r w:rsidR="00D3131D" w:rsidRPr="00D70D78">
        <w:rPr>
          <w:rFonts w:ascii="Times New Roman" w:eastAsia="Times New Roman" w:hAnsi="Times New Roman" w:cs="Times New Roman"/>
          <w:bCs/>
          <w:sz w:val="24"/>
          <w:szCs w:val="24"/>
        </w:rPr>
        <w:t>NYCHA’s Exe</w:t>
      </w:r>
      <w:r w:rsidR="00D3131D">
        <w:rPr>
          <w:rFonts w:ascii="Times New Roman" w:eastAsia="Times New Roman" w:hAnsi="Times New Roman" w:cs="Times New Roman"/>
          <w:bCs/>
          <w:sz w:val="24"/>
          <w:szCs w:val="24"/>
        </w:rPr>
        <w:t>cutive Commitment Plan</w:t>
      </w:r>
      <w:r w:rsidR="00D70D78">
        <w:rPr>
          <w:rFonts w:ascii="Times New Roman" w:eastAsia="Times New Roman" w:hAnsi="Times New Roman" w:cs="Times New Roman"/>
          <w:bCs/>
          <w:sz w:val="24"/>
          <w:szCs w:val="24"/>
        </w:rPr>
        <w:t>,</w:t>
      </w:r>
      <w:r w:rsidR="001E4A80">
        <w:rPr>
          <w:rFonts w:ascii="Times New Roman" w:eastAsia="Times New Roman" w:hAnsi="Times New Roman" w:cs="Times New Roman"/>
          <w:bCs/>
          <w:sz w:val="24"/>
          <w:szCs w:val="24"/>
        </w:rPr>
        <w:t xml:space="preserve"> </w:t>
      </w:r>
      <w:r w:rsidR="00D3131D">
        <w:rPr>
          <w:rFonts w:ascii="Times New Roman" w:eastAsia="Times New Roman" w:hAnsi="Times New Roman" w:cs="Times New Roman"/>
          <w:bCs/>
          <w:sz w:val="24"/>
          <w:szCs w:val="24"/>
        </w:rPr>
        <w:t>the Authority</w:t>
      </w:r>
      <w:r w:rsidR="001E4A80">
        <w:rPr>
          <w:rFonts w:ascii="Times New Roman" w:eastAsia="Times New Roman" w:hAnsi="Times New Roman" w:cs="Times New Roman"/>
          <w:bCs/>
          <w:sz w:val="24"/>
          <w:szCs w:val="24"/>
        </w:rPr>
        <w:t xml:space="preserve"> has spent</w:t>
      </w:r>
      <w:r w:rsidR="00D3131D">
        <w:rPr>
          <w:rFonts w:ascii="Times New Roman" w:eastAsia="Times New Roman" w:hAnsi="Times New Roman" w:cs="Times New Roman"/>
          <w:bCs/>
          <w:sz w:val="24"/>
          <w:szCs w:val="24"/>
        </w:rPr>
        <w:t xml:space="preserve"> </w:t>
      </w:r>
      <w:r w:rsidR="001C367B">
        <w:rPr>
          <w:rFonts w:ascii="Times New Roman" w:eastAsia="Times New Roman" w:hAnsi="Times New Roman" w:cs="Times New Roman"/>
          <w:bCs/>
          <w:sz w:val="24"/>
          <w:szCs w:val="24"/>
        </w:rPr>
        <w:t xml:space="preserve">only </w:t>
      </w:r>
      <w:r w:rsidR="001E4A80" w:rsidRPr="001E4A80">
        <w:rPr>
          <w:rFonts w:ascii="Times New Roman" w:eastAsia="Times New Roman" w:hAnsi="Times New Roman" w:cs="Times New Roman"/>
          <w:bCs/>
          <w:sz w:val="24"/>
          <w:szCs w:val="24"/>
        </w:rPr>
        <w:t>$103</w:t>
      </w:r>
      <w:r w:rsidR="001C367B">
        <w:rPr>
          <w:rFonts w:ascii="Times New Roman" w:eastAsia="Times New Roman" w:hAnsi="Times New Roman" w:cs="Times New Roman"/>
          <w:bCs/>
          <w:sz w:val="24"/>
          <w:szCs w:val="24"/>
        </w:rPr>
        <w:t xml:space="preserve"> million</w:t>
      </w:r>
      <w:r w:rsidR="001E4A80">
        <w:rPr>
          <w:rFonts w:ascii="Times New Roman" w:eastAsia="Times New Roman" w:hAnsi="Times New Roman" w:cs="Times New Roman"/>
          <w:bCs/>
          <w:sz w:val="24"/>
          <w:szCs w:val="24"/>
        </w:rPr>
        <w:t xml:space="preserve"> </w:t>
      </w:r>
      <w:r w:rsidR="00D3131D">
        <w:rPr>
          <w:rFonts w:ascii="Times New Roman" w:eastAsia="Times New Roman" w:hAnsi="Times New Roman" w:cs="Times New Roman"/>
          <w:bCs/>
          <w:sz w:val="24"/>
          <w:szCs w:val="24"/>
        </w:rPr>
        <w:t xml:space="preserve">as reported in the </w:t>
      </w:r>
      <w:r w:rsidR="00E06808" w:rsidRPr="001B7407">
        <w:rPr>
          <w:rFonts w:ascii="Times New Roman" w:eastAsia="Times New Roman" w:hAnsi="Times New Roman" w:cs="Times New Roman"/>
          <w:bCs/>
          <w:sz w:val="24"/>
          <w:szCs w:val="24"/>
        </w:rPr>
        <w:t xml:space="preserve">Fiscal 2022 </w:t>
      </w:r>
      <w:r w:rsidR="00D3131D">
        <w:rPr>
          <w:rFonts w:ascii="Times New Roman" w:eastAsia="Times New Roman" w:hAnsi="Times New Roman" w:cs="Times New Roman"/>
          <w:bCs/>
          <w:sz w:val="24"/>
          <w:szCs w:val="24"/>
        </w:rPr>
        <w:t xml:space="preserve">Adopted Capital Commitment Plan, resulting into a capital commitment rate of </w:t>
      </w:r>
      <w:r w:rsidR="00C21257">
        <w:rPr>
          <w:rFonts w:ascii="Times New Roman" w:eastAsia="Times New Roman" w:hAnsi="Times New Roman" w:cs="Times New Roman"/>
          <w:bCs/>
          <w:sz w:val="24"/>
          <w:szCs w:val="24"/>
        </w:rPr>
        <w:t>merely</w:t>
      </w:r>
      <w:r w:rsidR="00E06808">
        <w:rPr>
          <w:rFonts w:ascii="Times New Roman" w:eastAsia="Times New Roman" w:hAnsi="Times New Roman" w:cs="Times New Roman"/>
          <w:bCs/>
          <w:sz w:val="24"/>
          <w:szCs w:val="24"/>
        </w:rPr>
        <w:t xml:space="preserve"> </w:t>
      </w:r>
      <w:r w:rsidR="00D3131D">
        <w:rPr>
          <w:rFonts w:ascii="Times New Roman" w:eastAsia="Times New Roman" w:hAnsi="Times New Roman" w:cs="Times New Roman"/>
          <w:bCs/>
          <w:sz w:val="24"/>
          <w:szCs w:val="24"/>
        </w:rPr>
        <w:t>6.5 percent.</w:t>
      </w:r>
      <w:r w:rsidR="006D0A2A">
        <w:rPr>
          <w:rStyle w:val="FootnoteReference"/>
          <w:rFonts w:ascii="Times New Roman" w:eastAsia="Times New Roman" w:hAnsi="Times New Roman" w:cs="Times New Roman"/>
          <w:bCs/>
          <w:sz w:val="24"/>
          <w:szCs w:val="24"/>
        </w:rPr>
        <w:footnoteReference w:id="47"/>
      </w:r>
      <w:r w:rsidR="00D3131D">
        <w:rPr>
          <w:rFonts w:ascii="Times New Roman" w:eastAsia="Times New Roman" w:hAnsi="Times New Roman" w:cs="Times New Roman"/>
          <w:bCs/>
          <w:sz w:val="24"/>
          <w:szCs w:val="24"/>
        </w:rPr>
        <w:t xml:space="preserve"> </w:t>
      </w:r>
    </w:p>
    <w:p w14:paraId="03692940" w14:textId="43D5CE7B" w:rsidR="00FE0738" w:rsidRDefault="00FE0738" w:rsidP="00E631C4">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D3131D">
        <w:rPr>
          <w:rFonts w:ascii="Times New Roman" w:eastAsia="Times New Roman" w:hAnsi="Times New Roman" w:cs="Times New Roman"/>
          <w:bCs/>
          <w:sz w:val="24"/>
          <w:szCs w:val="24"/>
        </w:rPr>
        <w:t>Historically, NYCHA has had a significantly lower commitment rate when compared to the citywide average.  In Fiscal 2020, NYCHA had actual commitments of approximately $175.8 million, with a commitment rate of</w:t>
      </w:r>
      <w:r>
        <w:rPr>
          <w:rFonts w:ascii="Times New Roman" w:eastAsia="Times New Roman" w:hAnsi="Times New Roman" w:cs="Times New Roman"/>
          <w:bCs/>
          <w:sz w:val="24"/>
          <w:szCs w:val="24"/>
        </w:rPr>
        <w:t xml:space="preserve"> only</w:t>
      </w:r>
      <w:r w:rsidR="00D3131D">
        <w:rPr>
          <w:rFonts w:ascii="Times New Roman" w:eastAsia="Times New Roman" w:hAnsi="Times New Roman" w:cs="Times New Roman"/>
          <w:bCs/>
          <w:sz w:val="24"/>
          <w:szCs w:val="24"/>
        </w:rPr>
        <w:t xml:space="preserve"> 13 percent.</w:t>
      </w:r>
      <w:r w:rsidR="00C42612">
        <w:rPr>
          <w:rStyle w:val="FootnoteReference"/>
          <w:rFonts w:ascii="Times New Roman" w:eastAsia="Times New Roman" w:hAnsi="Times New Roman" w:cs="Times New Roman"/>
          <w:bCs/>
          <w:sz w:val="24"/>
          <w:szCs w:val="24"/>
        </w:rPr>
        <w:footnoteReference w:id="48"/>
      </w:r>
      <w:r w:rsidR="00C4261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The average </w:t>
      </w:r>
      <w:r w:rsidR="00BE44CA">
        <w:rPr>
          <w:rFonts w:ascii="Times New Roman" w:eastAsia="Times New Roman" w:hAnsi="Times New Roman" w:cs="Times New Roman"/>
          <w:bCs/>
          <w:sz w:val="24"/>
          <w:szCs w:val="24"/>
        </w:rPr>
        <w:t xml:space="preserve">citywide </w:t>
      </w:r>
      <w:r>
        <w:rPr>
          <w:rFonts w:ascii="Times New Roman" w:eastAsia="Times New Roman" w:hAnsi="Times New Roman" w:cs="Times New Roman"/>
          <w:bCs/>
          <w:sz w:val="24"/>
          <w:szCs w:val="24"/>
        </w:rPr>
        <w:t>commitment rate for Fiscal 2020 was approximately 70 percent.</w:t>
      </w:r>
      <w:r>
        <w:rPr>
          <w:rStyle w:val="FootnoteReference"/>
          <w:rFonts w:ascii="Times New Roman" w:eastAsia="Times New Roman" w:hAnsi="Times New Roman" w:cs="Times New Roman"/>
          <w:bCs/>
          <w:sz w:val="24"/>
          <w:szCs w:val="24"/>
        </w:rPr>
        <w:footnoteReference w:id="49"/>
      </w:r>
      <w:r>
        <w:rPr>
          <w:rFonts w:ascii="Times New Roman" w:eastAsia="Times New Roman" w:hAnsi="Times New Roman" w:cs="Times New Roman"/>
          <w:bCs/>
          <w:sz w:val="24"/>
          <w:szCs w:val="24"/>
        </w:rPr>
        <w:t xml:space="preserve"> </w:t>
      </w:r>
      <w:r w:rsidR="00E06808" w:rsidRPr="00E06808">
        <w:rPr>
          <w:rFonts w:ascii="Times New Roman" w:eastAsia="Times New Roman" w:hAnsi="Times New Roman" w:cs="Times New Roman"/>
          <w:bCs/>
          <w:sz w:val="24"/>
          <w:szCs w:val="24"/>
        </w:rPr>
        <w:t xml:space="preserve">The below chart displays the Authority’s </w:t>
      </w:r>
      <w:r w:rsidR="009B7448">
        <w:rPr>
          <w:rFonts w:ascii="Times New Roman" w:eastAsia="Times New Roman" w:hAnsi="Times New Roman" w:cs="Times New Roman"/>
          <w:bCs/>
          <w:sz w:val="24"/>
          <w:szCs w:val="24"/>
        </w:rPr>
        <w:t>Executive C</w:t>
      </w:r>
      <w:r w:rsidR="00E06808" w:rsidRPr="00E06808">
        <w:rPr>
          <w:rFonts w:ascii="Times New Roman" w:eastAsia="Times New Roman" w:hAnsi="Times New Roman" w:cs="Times New Roman"/>
          <w:bCs/>
          <w:sz w:val="24"/>
          <w:szCs w:val="24"/>
        </w:rPr>
        <w:t xml:space="preserve">apital </w:t>
      </w:r>
      <w:r w:rsidR="009B7448">
        <w:rPr>
          <w:rFonts w:ascii="Times New Roman" w:eastAsia="Times New Roman" w:hAnsi="Times New Roman" w:cs="Times New Roman"/>
          <w:bCs/>
          <w:sz w:val="24"/>
          <w:szCs w:val="24"/>
        </w:rPr>
        <w:t>C</w:t>
      </w:r>
      <w:r w:rsidR="00E06808" w:rsidRPr="00E06808">
        <w:rPr>
          <w:rFonts w:ascii="Times New Roman" w:eastAsia="Times New Roman" w:hAnsi="Times New Roman" w:cs="Times New Roman"/>
          <w:bCs/>
          <w:sz w:val="24"/>
          <w:szCs w:val="24"/>
        </w:rPr>
        <w:t xml:space="preserve">ommitment </w:t>
      </w:r>
      <w:r w:rsidR="009B7448">
        <w:rPr>
          <w:rFonts w:ascii="Times New Roman" w:eastAsia="Times New Roman" w:hAnsi="Times New Roman" w:cs="Times New Roman"/>
          <w:bCs/>
          <w:sz w:val="24"/>
          <w:szCs w:val="24"/>
        </w:rPr>
        <w:t>P</w:t>
      </w:r>
      <w:r w:rsidR="00E06808">
        <w:rPr>
          <w:rFonts w:ascii="Times New Roman" w:eastAsia="Times New Roman" w:hAnsi="Times New Roman" w:cs="Times New Roman"/>
          <w:bCs/>
          <w:sz w:val="24"/>
          <w:szCs w:val="24"/>
        </w:rPr>
        <w:t xml:space="preserve">lan </w:t>
      </w:r>
      <w:r w:rsidR="00CC03BA">
        <w:rPr>
          <w:rFonts w:ascii="Times New Roman" w:eastAsia="Times New Roman" w:hAnsi="Times New Roman" w:cs="Times New Roman"/>
          <w:bCs/>
          <w:sz w:val="24"/>
          <w:szCs w:val="24"/>
        </w:rPr>
        <w:t xml:space="preserve">for each </w:t>
      </w:r>
      <w:r w:rsidR="00E06808">
        <w:rPr>
          <w:rFonts w:ascii="Times New Roman" w:eastAsia="Times New Roman" w:hAnsi="Times New Roman" w:cs="Times New Roman"/>
          <w:bCs/>
          <w:sz w:val="24"/>
          <w:szCs w:val="24"/>
        </w:rPr>
        <w:t>Fiscal</w:t>
      </w:r>
      <w:r w:rsidR="00CC03BA">
        <w:rPr>
          <w:rFonts w:ascii="Times New Roman" w:eastAsia="Times New Roman" w:hAnsi="Times New Roman" w:cs="Times New Roman"/>
          <w:bCs/>
          <w:sz w:val="24"/>
          <w:szCs w:val="24"/>
        </w:rPr>
        <w:t xml:space="preserve"> Year from </w:t>
      </w:r>
      <w:r w:rsidR="00E06808">
        <w:rPr>
          <w:rFonts w:ascii="Times New Roman" w:eastAsia="Times New Roman" w:hAnsi="Times New Roman" w:cs="Times New Roman"/>
          <w:bCs/>
          <w:sz w:val="24"/>
          <w:szCs w:val="24"/>
        </w:rPr>
        <w:t xml:space="preserve">2016-2020 </w:t>
      </w:r>
      <w:r w:rsidR="00E06808" w:rsidRPr="00E06808">
        <w:rPr>
          <w:rFonts w:ascii="Times New Roman" w:eastAsia="Times New Roman" w:hAnsi="Times New Roman" w:cs="Times New Roman"/>
          <w:bCs/>
          <w:sz w:val="24"/>
          <w:szCs w:val="24"/>
        </w:rPr>
        <w:t>and the actual commitments in the corresponding fi</w:t>
      </w:r>
      <w:r>
        <w:rPr>
          <w:rFonts w:ascii="Times New Roman" w:eastAsia="Times New Roman" w:hAnsi="Times New Roman" w:cs="Times New Roman"/>
          <w:bCs/>
          <w:sz w:val="24"/>
          <w:szCs w:val="24"/>
        </w:rPr>
        <w:t>scal year.</w:t>
      </w:r>
      <w:r w:rsidR="008E330E">
        <w:rPr>
          <w:rStyle w:val="FootnoteReference"/>
          <w:rFonts w:ascii="Times New Roman" w:eastAsia="Times New Roman" w:hAnsi="Times New Roman" w:cs="Times New Roman"/>
          <w:bCs/>
          <w:sz w:val="24"/>
          <w:szCs w:val="24"/>
        </w:rPr>
        <w:footnoteReference w:id="50"/>
      </w:r>
      <w:r w:rsidR="00065BA5">
        <w:rPr>
          <w:rFonts w:ascii="Times New Roman" w:eastAsia="Times New Roman" w:hAnsi="Times New Roman" w:cs="Times New Roman"/>
          <w:bCs/>
          <w:sz w:val="24"/>
          <w:szCs w:val="24"/>
        </w:rPr>
        <w:t xml:space="preserve"> (See Figure 6</w:t>
      </w:r>
      <w:r>
        <w:rPr>
          <w:rFonts w:ascii="Times New Roman" w:eastAsia="Times New Roman" w:hAnsi="Times New Roman" w:cs="Times New Roman"/>
          <w:bCs/>
          <w:sz w:val="24"/>
          <w:szCs w:val="24"/>
        </w:rPr>
        <w:t xml:space="preserve">). </w:t>
      </w:r>
      <w:r w:rsidR="008E330E">
        <w:rPr>
          <w:rFonts w:ascii="Times New Roman" w:eastAsia="Times New Roman" w:hAnsi="Times New Roman" w:cs="Times New Roman"/>
          <w:bCs/>
          <w:sz w:val="24"/>
          <w:szCs w:val="24"/>
        </w:rPr>
        <w:t>Notably, t</w:t>
      </w:r>
      <w:r>
        <w:rPr>
          <w:rFonts w:ascii="Times New Roman" w:eastAsia="Times New Roman" w:hAnsi="Times New Roman" w:cs="Times New Roman"/>
          <w:bCs/>
          <w:sz w:val="24"/>
          <w:szCs w:val="24"/>
        </w:rPr>
        <w:t xml:space="preserve">he chart </w:t>
      </w:r>
      <w:r w:rsidR="008E330E">
        <w:rPr>
          <w:rFonts w:ascii="Times New Roman" w:eastAsia="Times New Roman" w:hAnsi="Times New Roman" w:cs="Times New Roman"/>
          <w:bCs/>
          <w:sz w:val="24"/>
          <w:szCs w:val="24"/>
        </w:rPr>
        <w:t xml:space="preserve">displays </w:t>
      </w:r>
      <w:r w:rsidR="0036477E">
        <w:rPr>
          <w:rFonts w:ascii="Times New Roman" w:eastAsia="Times New Roman" w:hAnsi="Times New Roman" w:cs="Times New Roman"/>
          <w:bCs/>
          <w:sz w:val="24"/>
          <w:szCs w:val="24"/>
        </w:rPr>
        <w:t>the</w:t>
      </w:r>
      <w:r>
        <w:rPr>
          <w:rFonts w:ascii="Times New Roman" w:eastAsia="Times New Roman" w:hAnsi="Times New Roman" w:cs="Times New Roman"/>
          <w:bCs/>
          <w:sz w:val="24"/>
          <w:szCs w:val="24"/>
        </w:rPr>
        <w:t xml:space="preserve"> </w:t>
      </w:r>
      <w:r w:rsidR="008E330E">
        <w:rPr>
          <w:rFonts w:ascii="Times New Roman" w:eastAsia="Times New Roman" w:hAnsi="Times New Roman" w:cs="Times New Roman"/>
          <w:bCs/>
          <w:sz w:val="24"/>
          <w:szCs w:val="24"/>
        </w:rPr>
        <w:t>downward</w:t>
      </w:r>
      <w:r w:rsidR="0036477E">
        <w:rPr>
          <w:rFonts w:ascii="Times New Roman" w:eastAsia="Times New Roman" w:hAnsi="Times New Roman" w:cs="Times New Roman"/>
          <w:bCs/>
          <w:sz w:val="24"/>
          <w:szCs w:val="24"/>
        </w:rPr>
        <w:t xml:space="preserve"> trend of NYCHA’s</w:t>
      </w:r>
      <w:r w:rsidR="008E330E">
        <w:rPr>
          <w:rFonts w:ascii="Times New Roman" w:eastAsia="Times New Roman" w:hAnsi="Times New Roman" w:cs="Times New Roman"/>
          <w:bCs/>
          <w:sz w:val="24"/>
          <w:szCs w:val="24"/>
        </w:rPr>
        <w:t xml:space="preserve"> commitment </w:t>
      </w:r>
      <w:r w:rsidR="0036477E">
        <w:rPr>
          <w:rFonts w:ascii="Times New Roman" w:eastAsia="Times New Roman" w:hAnsi="Times New Roman" w:cs="Times New Roman"/>
          <w:bCs/>
          <w:sz w:val="24"/>
          <w:szCs w:val="24"/>
        </w:rPr>
        <w:t>rate</w:t>
      </w:r>
      <w:r w:rsidR="00DF7756">
        <w:rPr>
          <w:rFonts w:ascii="Times New Roman" w:eastAsia="Times New Roman" w:hAnsi="Times New Roman" w:cs="Times New Roman"/>
          <w:bCs/>
          <w:sz w:val="24"/>
          <w:szCs w:val="24"/>
        </w:rPr>
        <w:t xml:space="preserve"> </w:t>
      </w:r>
      <w:r w:rsidR="00B11762">
        <w:rPr>
          <w:rFonts w:ascii="Times New Roman" w:eastAsia="Times New Roman" w:hAnsi="Times New Roman" w:cs="Times New Roman"/>
          <w:bCs/>
          <w:sz w:val="24"/>
          <w:szCs w:val="24"/>
        </w:rPr>
        <w:t>through</w:t>
      </w:r>
      <w:r w:rsidR="008E330E">
        <w:rPr>
          <w:rFonts w:ascii="Times New Roman" w:eastAsia="Times New Roman" w:hAnsi="Times New Roman" w:cs="Times New Roman"/>
          <w:bCs/>
          <w:sz w:val="24"/>
          <w:szCs w:val="24"/>
        </w:rPr>
        <w:t xml:space="preserve"> Fiscal 2016-2020, </w:t>
      </w:r>
      <w:r w:rsidR="00B11762">
        <w:rPr>
          <w:rFonts w:ascii="Times New Roman" w:eastAsia="Times New Roman" w:hAnsi="Times New Roman" w:cs="Times New Roman"/>
          <w:bCs/>
          <w:sz w:val="24"/>
          <w:szCs w:val="24"/>
        </w:rPr>
        <w:t>demonstrating the Authority’s</w:t>
      </w:r>
      <w:r w:rsidR="008E330E">
        <w:rPr>
          <w:rFonts w:ascii="Times New Roman" w:eastAsia="Times New Roman" w:hAnsi="Times New Roman" w:cs="Times New Roman"/>
          <w:bCs/>
          <w:sz w:val="24"/>
          <w:szCs w:val="24"/>
        </w:rPr>
        <w:t xml:space="preserve"> inability to spend City capital funding as projected. </w:t>
      </w:r>
    </w:p>
    <w:p w14:paraId="543AA0CE" w14:textId="77777777" w:rsidR="00234A60" w:rsidRDefault="00234A60" w:rsidP="00E631C4">
      <w:pPr>
        <w:spacing w:after="0"/>
        <w:jc w:val="both"/>
        <w:rPr>
          <w:rFonts w:ascii="Times New Roman" w:eastAsia="Times New Roman" w:hAnsi="Times New Roman" w:cs="Times New Roman"/>
          <w:bCs/>
          <w:sz w:val="24"/>
          <w:szCs w:val="24"/>
        </w:rPr>
      </w:pPr>
    </w:p>
    <w:p w14:paraId="18D58033" w14:textId="0A398414" w:rsidR="00FE0738" w:rsidRPr="00E631C4" w:rsidRDefault="00BE5B71" w:rsidP="00E631C4">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 6</w:t>
      </w:r>
      <w:r w:rsidR="00FE0738" w:rsidRPr="00E631C4">
        <w:rPr>
          <w:rFonts w:ascii="Times New Roman" w:eastAsia="Times New Roman" w:hAnsi="Times New Roman" w:cs="Times New Roman"/>
          <w:b/>
          <w:bCs/>
          <w:sz w:val="24"/>
          <w:szCs w:val="24"/>
        </w:rPr>
        <w:t>: Fiscal 2016-2020 NYCHA City Capital Commitments</w:t>
      </w:r>
    </w:p>
    <w:p w14:paraId="5B5E762C" w14:textId="62F62AD1" w:rsidR="00373622" w:rsidRPr="00E631C4" w:rsidRDefault="00FE0738" w:rsidP="00E631C4">
      <w:pPr>
        <w:spacing w:after="0"/>
        <w:jc w:val="center"/>
        <w:rPr>
          <w:rFonts w:ascii="Times New Roman" w:eastAsia="Times New Roman" w:hAnsi="Times New Roman" w:cs="Times New Roman"/>
          <w:bCs/>
          <w:sz w:val="24"/>
          <w:szCs w:val="24"/>
        </w:rPr>
      </w:pPr>
      <w:r w:rsidRPr="00FE0738">
        <w:rPr>
          <w:rFonts w:ascii="Times New Roman" w:eastAsia="Times New Roman" w:hAnsi="Times New Roman" w:cs="Times New Roman"/>
          <w:b/>
          <w:bCs/>
          <w:noProof/>
          <w:sz w:val="24"/>
          <w:szCs w:val="24"/>
        </w:rPr>
        <w:drawing>
          <wp:inline distT="0" distB="0" distL="0" distR="0" wp14:anchorId="26D8C5D9" wp14:editId="652ACD80">
            <wp:extent cx="5687219" cy="297221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87219" cy="2972215"/>
                    </a:xfrm>
                    <a:prstGeom prst="rect">
                      <a:avLst/>
                    </a:prstGeom>
                  </pic:spPr>
                </pic:pic>
              </a:graphicData>
            </a:graphic>
          </wp:inline>
        </w:drawing>
      </w:r>
    </w:p>
    <w:p w14:paraId="79959E40" w14:textId="77777777" w:rsidR="00373622" w:rsidRPr="00E631C4" w:rsidRDefault="00373622" w:rsidP="00E631C4">
      <w:pPr>
        <w:spacing w:after="0" w:line="240" w:lineRule="auto"/>
        <w:rPr>
          <w:rFonts w:ascii="Times New Roman" w:eastAsia="Times New Roman" w:hAnsi="Times New Roman" w:cs="Times New Roman"/>
          <w:b/>
          <w:bCs/>
          <w:sz w:val="24"/>
          <w:szCs w:val="24"/>
        </w:rPr>
      </w:pPr>
    </w:p>
    <w:p w14:paraId="4D0A80D2" w14:textId="7BDF5603" w:rsidR="009E7FE1" w:rsidRDefault="00BE44CA">
      <w:pPr>
        <w:pStyle w:val="ListParagraph"/>
        <w:numPr>
          <w:ilvl w:val="0"/>
          <w:numId w:val="3"/>
        </w:num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Fiscal 2022 Year-to-Date </w:t>
      </w:r>
      <w:r w:rsidR="00373622">
        <w:rPr>
          <w:rFonts w:ascii="Times New Roman" w:eastAsia="Times New Roman" w:hAnsi="Times New Roman" w:cs="Times New Roman"/>
          <w:b/>
          <w:bCs/>
          <w:sz w:val="24"/>
          <w:szCs w:val="24"/>
        </w:rPr>
        <w:t>Spending</w:t>
      </w:r>
    </w:p>
    <w:p w14:paraId="3EFBC43C" w14:textId="661BF544" w:rsidR="009E7FE1" w:rsidRDefault="009E7FE1" w:rsidP="00E631C4">
      <w:pPr>
        <w:spacing w:after="0" w:line="240" w:lineRule="auto"/>
        <w:rPr>
          <w:rFonts w:ascii="Times New Roman" w:eastAsia="Times New Roman" w:hAnsi="Times New Roman" w:cs="Times New Roman"/>
          <w:b/>
          <w:bCs/>
          <w:sz w:val="24"/>
          <w:szCs w:val="24"/>
        </w:rPr>
      </w:pPr>
    </w:p>
    <w:p w14:paraId="748011CD" w14:textId="4CF19011" w:rsidR="00685259" w:rsidRPr="00685259" w:rsidRDefault="00BE44CA" w:rsidP="00E631C4">
      <w:pPr>
        <w:ind w:firstLine="360"/>
        <w:jc w:val="both"/>
      </w:pPr>
      <w:r w:rsidRPr="00E631C4">
        <w:rPr>
          <w:rFonts w:ascii="Times New Roman" w:eastAsia="Times New Roman" w:hAnsi="Times New Roman" w:cs="Times New Roman"/>
          <w:sz w:val="24"/>
          <w:szCs w:val="24"/>
        </w:rPr>
        <w:t>According to the most recent transaction</w:t>
      </w:r>
      <w:r w:rsidR="00725088" w:rsidRPr="00E631C4">
        <w:rPr>
          <w:rFonts w:ascii="Times New Roman" w:eastAsia="Times New Roman" w:hAnsi="Times New Roman" w:cs="Times New Roman"/>
          <w:sz w:val="24"/>
          <w:szCs w:val="24"/>
        </w:rPr>
        <w:t xml:space="preserve"> analysis </w:t>
      </w:r>
      <w:r w:rsidR="00CC03BA">
        <w:rPr>
          <w:rFonts w:ascii="Times New Roman" w:eastAsia="Times New Roman" w:hAnsi="Times New Roman" w:cs="Times New Roman"/>
          <w:sz w:val="24"/>
          <w:szCs w:val="24"/>
        </w:rPr>
        <w:t xml:space="preserve">compiled by </w:t>
      </w:r>
      <w:r w:rsidRPr="00E631C4">
        <w:rPr>
          <w:rFonts w:ascii="Times New Roman" w:eastAsia="Times New Roman" w:hAnsi="Times New Roman" w:cs="Times New Roman"/>
          <w:sz w:val="24"/>
          <w:szCs w:val="24"/>
        </w:rPr>
        <w:t xml:space="preserve">the </w:t>
      </w:r>
      <w:r w:rsidR="007543CD" w:rsidRPr="00E631C4">
        <w:rPr>
          <w:rFonts w:ascii="Times New Roman" w:eastAsia="Times New Roman" w:hAnsi="Times New Roman" w:cs="Times New Roman"/>
          <w:sz w:val="24"/>
          <w:szCs w:val="24"/>
        </w:rPr>
        <w:t xml:space="preserve">New York City </w:t>
      </w:r>
      <w:r w:rsidR="00CC03BA">
        <w:rPr>
          <w:rFonts w:ascii="Times New Roman" w:eastAsia="Times New Roman" w:hAnsi="Times New Roman" w:cs="Times New Roman"/>
          <w:sz w:val="24"/>
          <w:szCs w:val="24"/>
        </w:rPr>
        <w:t xml:space="preserve">Comptroller’s </w:t>
      </w:r>
      <w:r w:rsidR="007543CD" w:rsidRPr="00E631C4">
        <w:rPr>
          <w:rFonts w:ascii="Times New Roman" w:eastAsia="Times New Roman" w:hAnsi="Times New Roman" w:cs="Times New Roman"/>
          <w:sz w:val="24"/>
          <w:szCs w:val="24"/>
        </w:rPr>
        <w:t>Office</w:t>
      </w:r>
      <w:r w:rsidR="006D0A2A" w:rsidRPr="00E631C4">
        <w:rPr>
          <w:rFonts w:ascii="Times New Roman" w:eastAsia="Times New Roman" w:hAnsi="Times New Roman" w:cs="Times New Roman"/>
          <w:sz w:val="24"/>
          <w:szCs w:val="24"/>
        </w:rPr>
        <w:t xml:space="preserve">, </w:t>
      </w:r>
      <w:r w:rsidR="007543CD" w:rsidRPr="00E631C4">
        <w:rPr>
          <w:rFonts w:ascii="Times New Roman" w:eastAsia="Times New Roman" w:hAnsi="Times New Roman" w:cs="Times New Roman"/>
          <w:sz w:val="24"/>
          <w:szCs w:val="24"/>
        </w:rPr>
        <w:t>through</w:t>
      </w:r>
      <w:r w:rsidRPr="00E631C4">
        <w:rPr>
          <w:rFonts w:ascii="Times New Roman" w:eastAsia="Times New Roman" w:hAnsi="Times New Roman" w:cs="Times New Roman"/>
          <w:sz w:val="24"/>
          <w:szCs w:val="24"/>
        </w:rPr>
        <w:t xml:space="preserve"> September 2021</w:t>
      </w:r>
      <w:r w:rsidR="00555264">
        <w:rPr>
          <w:rFonts w:ascii="Times New Roman" w:eastAsia="Times New Roman" w:hAnsi="Times New Roman" w:cs="Times New Roman"/>
          <w:sz w:val="24"/>
          <w:szCs w:val="24"/>
        </w:rPr>
        <w:t xml:space="preserve"> </w:t>
      </w:r>
      <w:r w:rsidRPr="00E631C4">
        <w:rPr>
          <w:rFonts w:ascii="Times New Roman" w:eastAsia="Times New Roman" w:hAnsi="Times New Roman" w:cs="Times New Roman"/>
          <w:sz w:val="24"/>
          <w:szCs w:val="24"/>
        </w:rPr>
        <w:t>NYCH</w:t>
      </w:r>
      <w:r w:rsidR="007543CD" w:rsidRPr="00E631C4">
        <w:rPr>
          <w:rFonts w:ascii="Times New Roman" w:eastAsia="Times New Roman" w:hAnsi="Times New Roman" w:cs="Times New Roman"/>
          <w:sz w:val="24"/>
          <w:szCs w:val="24"/>
        </w:rPr>
        <w:t>A’s</w:t>
      </w:r>
      <w:r w:rsidRPr="00E631C4">
        <w:rPr>
          <w:rFonts w:ascii="Times New Roman" w:eastAsia="Times New Roman" w:hAnsi="Times New Roman" w:cs="Times New Roman"/>
          <w:sz w:val="24"/>
          <w:szCs w:val="24"/>
        </w:rPr>
        <w:t xml:space="preserve"> </w:t>
      </w:r>
      <w:r w:rsidR="007543CD" w:rsidRPr="00E631C4">
        <w:rPr>
          <w:rFonts w:ascii="Times New Roman" w:eastAsia="Times New Roman" w:hAnsi="Times New Roman" w:cs="Times New Roman"/>
          <w:sz w:val="24"/>
          <w:szCs w:val="24"/>
        </w:rPr>
        <w:t>year-to-date</w:t>
      </w:r>
      <w:r w:rsidRPr="00E631C4">
        <w:rPr>
          <w:rFonts w:ascii="Times New Roman" w:eastAsia="Times New Roman" w:hAnsi="Times New Roman" w:cs="Times New Roman"/>
          <w:sz w:val="24"/>
          <w:szCs w:val="24"/>
        </w:rPr>
        <w:t xml:space="preserve"> commitments </w:t>
      </w:r>
      <w:r w:rsidR="007543CD" w:rsidRPr="00E631C4">
        <w:rPr>
          <w:rFonts w:ascii="Times New Roman" w:eastAsia="Times New Roman" w:hAnsi="Times New Roman" w:cs="Times New Roman"/>
          <w:sz w:val="24"/>
          <w:szCs w:val="24"/>
        </w:rPr>
        <w:t xml:space="preserve">in Fiscal 2022 are </w:t>
      </w:r>
      <w:r w:rsidR="006476BB">
        <w:rPr>
          <w:rFonts w:ascii="Times New Roman" w:eastAsia="Times New Roman" w:hAnsi="Times New Roman" w:cs="Times New Roman"/>
          <w:sz w:val="24"/>
          <w:szCs w:val="24"/>
        </w:rPr>
        <w:t>approximately</w:t>
      </w:r>
      <w:r w:rsidRPr="00E631C4">
        <w:rPr>
          <w:rFonts w:ascii="Times New Roman" w:eastAsia="Times New Roman" w:hAnsi="Times New Roman" w:cs="Times New Roman"/>
          <w:sz w:val="24"/>
          <w:szCs w:val="24"/>
        </w:rPr>
        <w:t xml:space="preserve"> $37 million. </w:t>
      </w:r>
      <w:r w:rsidR="007543CD" w:rsidRPr="00E631C4">
        <w:rPr>
          <w:rFonts w:ascii="Times New Roman" w:eastAsia="Times New Roman" w:hAnsi="Times New Roman" w:cs="Times New Roman"/>
          <w:sz w:val="24"/>
          <w:szCs w:val="24"/>
        </w:rPr>
        <w:t>Although it is not uncommon for</w:t>
      </w:r>
      <w:r w:rsidR="00725088" w:rsidRPr="00E631C4">
        <w:rPr>
          <w:rFonts w:ascii="Times New Roman" w:eastAsia="Times New Roman" w:hAnsi="Times New Roman" w:cs="Times New Roman"/>
          <w:sz w:val="24"/>
          <w:szCs w:val="24"/>
        </w:rPr>
        <w:t xml:space="preserve"> </w:t>
      </w:r>
      <w:r w:rsidR="00746F73">
        <w:rPr>
          <w:rFonts w:ascii="Times New Roman" w:eastAsia="Times New Roman" w:hAnsi="Times New Roman" w:cs="Times New Roman"/>
          <w:sz w:val="24"/>
          <w:szCs w:val="24"/>
        </w:rPr>
        <w:t>C</w:t>
      </w:r>
      <w:r w:rsidR="00725088" w:rsidRPr="00E631C4">
        <w:rPr>
          <w:rFonts w:ascii="Times New Roman" w:eastAsia="Times New Roman" w:hAnsi="Times New Roman" w:cs="Times New Roman"/>
          <w:sz w:val="24"/>
          <w:szCs w:val="24"/>
        </w:rPr>
        <w:t>ity agencies</w:t>
      </w:r>
      <w:r w:rsidR="007543CD" w:rsidRPr="00E631C4">
        <w:rPr>
          <w:rFonts w:ascii="Times New Roman" w:eastAsia="Times New Roman" w:hAnsi="Times New Roman" w:cs="Times New Roman"/>
          <w:sz w:val="24"/>
          <w:szCs w:val="24"/>
        </w:rPr>
        <w:t xml:space="preserve"> to</w:t>
      </w:r>
      <w:r w:rsidR="00725088" w:rsidRPr="00E631C4">
        <w:rPr>
          <w:rFonts w:ascii="Times New Roman" w:eastAsia="Times New Roman" w:hAnsi="Times New Roman" w:cs="Times New Roman"/>
          <w:sz w:val="24"/>
          <w:szCs w:val="24"/>
        </w:rPr>
        <w:t xml:space="preserve"> commit the bulk of their capital contracts in the last quarter of the year</w:t>
      </w:r>
      <w:r w:rsidR="007543CD" w:rsidRPr="00E631C4">
        <w:rPr>
          <w:rFonts w:ascii="Times New Roman" w:eastAsia="Times New Roman" w:hAnsi="Times New Roman" w:cs="Times New Roman"/>
          <w:sz w:val="24"/>
          <w:szCs w:val="24"/>
        </w:rPr>
        <w:t xml:space="preserve">, </w:t>
      </w:r>
      <w:r w:rsidR="00555264">
        <w:rPr>
          <w:rFonts w:ascii="Times New Roman" w:eastAsia="Times New Roman" w:hAnsi="Times New Roman" w:cs="Times New Roman"/>
          <w:sz w:val="24"/>
          <w:szCs w:val="24"/>
        </w:rPr>
        <w:t>the Council finds it unlikely</w:t>
      </w:r>
      <w:r w:rsidR="007543CD" w:rsidRPr="00E631C4">
        <w:rPr>
          <w:rFonts w:ascii="Times New Roman" w:eastAsia="Times New Roman" w:hAnsi="Times New Roman" w:cs="Times New Roman"/>
          <w:sz w:val="24"/>
          <w:szCs w:val="24"/>
        </w:rPr>
        <w:t xml:space="preserve"> </w:t>
      </w:r>
      <w:r w:rsidR="006D0A2A" w:rsidRPr="00E631C4">
        <w:rPr>
          <w:rFonts w:ascii="Times New Roman" w:eastAsia="Times New Roman" w:hAnsi="Times New Roman" w:cs="Times New Roman"/>
          <w:sz w:val="24"/>
          <w:szCs w:val="24"/>
        </w:rPr>
        <w:t xml:space="preserve">that the Authority will spend the $1.6 </w:t>
      </w:r>
      <w:r w:rsidR="002C5536">
        <w:rPr>
          <w:rFonts w:ascii="Times New Roman" w:eastAsia="Times New Roman" w:hAnsi="Times New Roman" w:cs="Times New Roman"/>
          <w:sz w:val="24"/>
          <w:szCs w:val="24"/>
        </w:rPr>
        <w:t>b</w:t>
      </w:r>
      <w:r w:rsidR="006D0A2A" w:rsidRPr="00E631C4">
        <w:rPr>
          <w:rFonts w:ascii="Times New Roman" w:eastAsia="Times New Roman" w:hAnsi="Times New Roman" w:cs="Times New Roman"/>
          <w:sz w:val="24"/>
          <w:szCs w:val="24"/>
        </w:rPr>
        <w:t>illion</w:t>
      </w:r>
      <w:r w:rsidR="006F4585" w:rsidRPr="006F4585">
        <w:rPr>
          <w:rFonts w:ascii="Times New Roman" w:eastAsia="Times New Roman" w:hAnsi="Times New Roman" w:cs="Times New Roman"/>
          <w:sz w:val="24"/>
          <w:szCs w:val="24"/>
        </w:rPr>
        <w:t xml:space="preserve"> </w:t>
      </w:r>
      <w:r w:rsidR="00555264">
        <w:rPr>
          <w:rFonts w:ascii="Times New Roman" w:eastAsia="Times New Roman" w:hAnsi="Times New Roman" w:cs="Times New Roman"/>
          <w:sz w:val="24"/>
          <w:szCs w:val="24"/>
        </w:rPr>
        <w:t>allocation of city capital funding</w:t>
      </w:r>
      <w:r w:rsidR="00CC03BA">
        <w:rPr>
          <w:rFonts w:ascii="Times New Roman" w:eastAsia="Times New Roman" w:hAnsi="Times New Roman" w:cs="Times New Roman"/>
          <w:sz w:val="24"/>
          <w:szCs w:val="24"/>
        </w:rPr>
        <w:t xml:space="preserve"> in Fiscal Year 2022</w:t>
      </w:r>
      <w:r w:rsidR="00555264">
        <w:rPr>
          <w:rFonts w:ascii="Times New Roman" w:eastAsia="Times New Roman" w:hAnsi="Times New Roman" w:cs="Times New Roman"/>
          <w:sz w:val="24"/>
          <w:szCs w:val="24"/>
        </w:rPr>
        <w:t xml:space="preserve">, as </w:t>
      </w:r>
      <w:r w:rsidR="002C5536">
        <w:rPr>
          <w:rFonts w:ascii="Times New Roman" w:eastAsia="Times New Roman" w:hAnsi="Times New Roman" w:cs="Times New Roman"/>
          <w:sz w:val="24"/>
          <w:szCs w:val="24"/>
        </w:rPr>
        <w:t>p</w:t>
      </w:r>
      <w:r w:rsidR="00555264">
        <w:rPr>
          <w:rFonts w:ascii="Times New Roman" w:eastAsia="Times New Roman" w:hAnsi="Times New Roman" w:cs="Times New Roman"/>
          <w:sz w:val="24"/>
          <w:szCs w:val="24"/>
        </w:rPr>
        <w:t xml:space="preserve">rovided </w:t>
      </w:r>
      <w:r w:rsidR="006F4585" w:rsidRPr="006F4585">
        <w:rPr>
          <w:rFonts w:ascii="Times New Roman" w:eastAsia="Times New Roman" w:hAnsi="Times New Roman" w:cs="Times New Roman"/>
          <w:sz w:val="24"/>
          <w:szCs w:val="24"/>
        </w:rPr>
        <w:t>in</w:t>
      </w:r>
      <w:r w:rsidR="002C5536">
        <w:rPr>
          <w:rFonts w:ascii="Times New Roman" w:eastAsia="Times New Roman" w:hAnsi="Times New Roman" w:cs="Times New Roman"/>
          <w:sz w:val="24"/>
          <w:szCs w:val="24"/>
        </w:rPr>
        <w:t xml:space="preserve"> </w:t>
      </w:r>
      <w:r w:rsidR="00217840">
        <w:rPr>
          <w:rFonts w:ascii="Times New Roman" w:eastAsia="Times New Roman" w:hAnsi="Times New Roman" w:cs="Times New Roman"/>
          <w:sz w:val="24"/>
          <w:szCs w:val="24"/>
        </w:rPr>
        <w:t xml:space="preserve">the </w:t>
      </w:r>
      <w:r w:rsidR="006F4585" w:rsidRPr="00E631C4">
        <w:rPr>
          <w:rFonts w:ascii="Times New Roman" w:hAnsi="Times New Roman" w:cs="Times New Roman"/>
          <w:sz w:val="24"/>
          <w:szCs w:val="24"/>
        </w:rPr>
        <w:t>202</w:t>
      </w:r>
      <w:r w:rsidR="00CC03BA">
        <w:rPr>
          <w:rFonts w:ascii="Times New Roman" w:hAnsi="Times New Roman" w:cs="Times New Roman"/>
          <w:sz w:val="24"/>
          <w:szCs w:val="24"/>
        </w:rPr>
        <w:t>2</w:t>
      </w:r>
      <w:r w:rsidR="006F4585" w:rsidRPr="00E631C4">
        <w:rPr>
          <w:rFonts w:ascii="Times New Roman" w:hAnsi="Times New Roman" w:cs="Times New Roman"/>
          <w:sz w:val="24"/>
          <w:szCs w:val="24"/>
        </w:rPr>
        <w:t xml:space="preserve">-2025 </w:t>
      </w:r>
      <w:r w:rsidR="00CC03BA">
        <w:rPr>
          <w:rFonts w:ascii="Times New Roman" w:hAnsi="Times New Roman" w:cs="Times New Roman"/>
          <w:sz w:val="24"/>
          <w:szCs w:val="24"/>
        </w:rPr>
        <w:t xml:space="preserve">Adopted </w:t>
      </w:r>
      <w:r w:rsidR="006F4585" w:rsidRPr="00E631C4">
        <w:rPr>
          <w:rFonts w:ascii="Times New Roman" w:hAnsi="Times New Roman" w:cs="Times New Roman"/>
          <w:sz w:val="24"/>
          <w:szCs w:val="24"/>
        </w:rPr>
        <w:t xml:space="preserve">Capital </w:t>
      </w:r>
      <w:r w:rsidR="00CC03BA">
        <w:rPr>
          <w:rFonts w:ascii="Times New Roman" w:hAnsi="Times New Roman" w:cs="Times New Roman"/>
          <w:sz w:val="24"/>
          <w:szCs w:val="24"/>
        </w:rPr>
        <w:t xml:space="preserve">Commitment </w:t>
      </w:r>
      <w:r w:rsidR="006F4585" w:rsidRPr="00E631C4">
        <w:rPr>
          <w:rFonts w:ascii="Times New Roman" w:hAnsi="Times New Roman" w:cs="Times New Roman"/>
          <w:sz w:val="24"/>
          <w:szCs w:val="24"/>
        </w:rPr>
        <w:t>Plan.</w:t>
      </w:r>
    </w:p>
    <w:p w14:paraId="0567065A" w14:textId="7B344176" w:rsidR="00ED2739" w:rsidRDefault="008914BB" w:rsidP="00E631C4">
      <w:pPr>
        <w:pStyle w:val="ListParagraph"/>
        <w:numPr>
          <w:ilvl w:val="0"/>
          <w:numId w:val="3"/>
        </w:numPr>
        <w:rPr>
          <w:rFonts w:ascii="Times New Roman" w:hAnsi="Times New Roman" w:cs="Times New Roman"/>
          <w:b/>
          <w:sz w:val="24"/>
          <w:szCs w:val="24"/>
        </w:rPr>
      </w:pPr>
      <w:r w:rsidRPr="008914BB">
        <w:rPr>
          <w:rFonts w:ascii="Times New Roman" w:hAnsi="Times New Roman" w:cs="Times New Roman"/>
          <w:b/>
          <w:sz w:val="24"/>
          <w:szCs w:val="24"/>
        </w:rPr>
        <w:t>Comprehensive Stabilization Plans</w:t>
      </w:r>
    </w:p>
    <w:p w14:paraId="01CEC8E6" w14:textId="05D54594" w:rsidR="00D147FC" w:rsidRPr="00E631C4" w:rsidRDefault="00ED2739" w:rsidP="00E631C4">
      <w:pPr>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According to NYCHA, the Authority’s </w:t>
      </w:r>
      <w:r w:rsidRPr="00E631C4">
        <w:rPr>
          <w:rFonts w:ascii="Times New Roman" w:hAnsi="Times New Roman" w:cs="Times New Roman"/>
          <w:bCs/>
          <w:sz w:val="24"/>
          <w:szCs w:val="24"/>
        </w:rPr>
        <w:t>aging housing stock requires far more capital investment than has been available from</w:t>
      </w:r>
      <w:r>
        <w:rPr>
          <w:rFonts w:ascii="Times New Roman" w:hAnsi="Times New Roman" w:cs="Times New Roman"/>
          <w:bCs/>
          <w:sz w:val="24"/>
          <w:szCs w:val="24"/>
        </w:rPr>
        <w:t xml:space="preserve"> </w:t>
      </w:r>
      <w:r w:rsidR="00746F73">
        <w:rPr>
          <w:rFonts w:ascii="Times New Roman" w:hAnsi="Times New Roman" w:cs="Times New Roman"/>
          <w:bCs/>
          <w:sz w:val="24"/>
          <w:szCs w:val="24"/>
        </w:rPr>
        <w:t>f</w:t>
      </w:r>
      <w:r w:rsidRPr="00E631C4">
        <w:rPr>
          <w:rFonts w:ascii="Times New Roman" w:hAnsi="Times New Roman" w:cs="Times New Roman"/>
          <w:bCs/>
          <w:sz w:val="24"/>
          <w:szCs w:val="24"/>
        </w:rPr>
        <w:t>ederal, State, and City grants.</w:t>
      </w:r>
      <w:r w:rsidR="006476BB">
        <w:rPr>
          <w:rStyle w:val="FootnoteReference"/>
          <w:rFonts w:ascii="Times New Roman" w:hAnsi="Times New Roman" w:cs="Times New Roman"/>
          <w:bCs/>
          <w:sz w:val="24"/>
          <w:szCs w:val="24"/>
        </w:rPr>
        <w:footnoteReference w:id="51"/>
      </w:r>
      <w:r w:rsidRPr="00E631C4">
        <w:rPr>
          <w:rFonts w:ascii="Times New Roman" w:hAnsi="Times New Roman" w:cs="Times New Roman"/>
          <w:bCs/>
          <w:sz w:val="24"/>
          <w:szCs w:val="24"/>
        </w:rPr>
        <w:t xml:space="preserve"> </w:t>
      </w:r>
      <w:r>
        <w:rPr>
          <w:rFonts w:ascii="Times New Roman" w:hAnsi="Times New Roman" w:cs="Times New Roman"/>
          <w:bCs/>
          <w:sz w:val="24"/>
          <w:szCs w:val="24"/>
        </w:rPr>
        <w:t>Although t</w:t>
      </w:r>
      <w:r w:rsidRPr="00E631C4">
        <w:rPr>
          <w:rFonts w:ascii="Times New Roman" w:hAnsi="Times New Roman" w:cs="Times New Roman"/>
          <w:bCs/>
          <w:sz w:val="24"/>
          <w:szCs w:val="24"/>
        </w:rPr>
        <w:t xml:space="preserve">he 2017 </w:t>
      </w:r>
      <w:r>
        <w:rPr>
          <w:rFonts w:ascii="Times New Roman" w:hAnsi="Times New Roman" w:cs="Times New Roman"/>
          <w:bCs/>
          <w:sz w:val="24"/>
          <w:szCs w:val="24"/>
        </w:rPr>
        <w:t>PNA</w:t>
      </w:r>
      <w:r w:rsidRPr="00E631C4">
        <w:rPr>
          <w:rFonts w:ascii="Times New Roman" w:hAnsi="Times New Roman" w:cs="Times New Roman"/>
          <w:bCs/>
          <w:sz w:val="24"/>
          <w:szCs w:val="24"/>
        </w:rPr>
        <w:t xml:space="preserve"> estimates over</w:t>
      </w:r>
      <w:r>
        <w:rPr>
          <w:rFonts w:ascii="Times New Roman" w:hAnsi="Times New Roman" w:cs="Times New Roman"/>
          <w:bCs/>
          <w:sz w:val="24"/>
          <w:szCs w:val="24"/>
        </w:rPr>
        <w:t xml:space="preserve"> </w:t>
      </w:r>
      <w:r w:rsidRPr="00E631C4">
        <w:rPr>
          <w:rFonts w:ascii="Times New Roman" w:hAnsi="Times New Roman" w:cs="Times New Roman"/>
          <w:bCs/>
          <w:sz w:val="24"/>
          <w:szCs w:val="24"/>
        </w:rPr>
        <w:t>$31.8 billion in capital needs in the first five years</w:t>
      </w:r>
      <w:r>
        <w:rPr>
          <w:rFonts w:ascii="Times New Roman" w:hAnsi="Times New Roman" w:cs="Times New Roman"/>
          <w:bCs/>
          <w:sz w:val="24"/>
          <w:szCs w:val="24"/>
        </w:rPr>
        <w:t xml:space="preserve">, NYCHA projects </w:t>
      </w:r>
      <w:r w:rsidRPr="00E631C4">
        <w:rPr>
          <w:rFonts w:ascii="Times New Roman" w:hAnsi="Times New Roman" w:cs="Times New Roman"/>
          <w:bCs/>
          <w:sz w:val="24"/>
          <w:szCs w:val="24"/>
        </w:rPr>
        <w:t xml:space="preserve">capital needs </w:t>
      </w:r>
      <w:r>
        <w:rPr>
          <w:rFonts w:ascii="Times New Roman" w:hAnsi="Times New Roman" w:cs="Times New Roman"/>
          <w:bCs/>
          <w:sz w:val="24"/>
          <w:szCs w:val="24"/>
        </w:rPr>
        <w:t xml:space="preserve">to </w:t>
      </w:r>
      <w:r w:rsidRPr="00E631C4">
        <w:rPr>
          <w:rFonts w:ascii="Times New Roman" w:hAnsi="Times New Roman" w:cs="Times New Roman"/>
          <w:bCs/>
          <w:sz w:val="24"/>
          <w:szCs w:val="24"/>
        </w:rPr>
        <w:t>grow anywhere from $42.7 billion to $68.6 billion over the next ten years depending on the</w:t>
      </w:r>
      <w:r>
        <w:rPr>
          <w:rFonts w:ascii="Times New Roman" w:hAnsi="Times New Roman" w:cs="Times New Roman"/>
          <w:bCs/>
          <w:sz w:val="24"/>
          <w:szCs w:val="24"/>
        </w:rPr>
        <w:t xml:space="preserve"> </w:t>
      </w:r>
      <w:r w:rsidRPr="00E631C4">
        <w:rPr>
          <w:rFonts w:ascii="Times New Roman" w:hAnsi="Times New Roman" w:cs="Times New Roman"/>
          <w:bCs/>
          <w:sz w:val="24"/>
          <w:szCs w:val="24"/>
        </w:rPr>
        <w:t>estimated rate of deterioration.</w:t>
      </w:r>
      <w:r w:rsidR="006476BB">
        <w:rPr>
          <w:rStyle w:val="FootnoteReference"/>
          <w:rFonts w:ascii="Times New Roman" w:hAnsi="Times New Roman" w:cs="Times New Roman"/>
          <w:bCs/>
          <w:sz w:val="24"/>
          <w:szCs w:val="24"/>
        </w:rPr>
        <w:footnoteReference w:id="52"/>
      </w:r>
      <w:r>
        <w:rPr>
          <w:rFonts w:ascii="Times New Roman" w:hAnsi="Times New Roman" w:cs="Times New Roman"/>
          <w:bCs/>
          <w:sz w:val="24"/>
          <w:szCs w:val="24"/>
        </w:rPr>
        <w:t xml:space="preserve"> </w:t>
      </w:r>
      <w:r w:rsidR="00806E51" w:rsidRPr="00806E51">
        <w:rPr>
          <w:rFonts w:ascii="Times New Roman" w:hAnsi="Times New Roman" w:cs="Times New Roman"/>
          <w:bCs/>
          <w:sz w:val="24"/>
          <w:szCs w:val="24"/>
        </w:rPr>
        <w:t xml:space="preserve">Because </w:t>
      </w:r>
      <w:r w:rsidR="00B550EF">
        <w:rPr>
          <w:rFonts w:ascii="Times New Roman" w:hAnsi="Times New Roman" w:cs="Times New Roman"/>
          <w:bCs/>
          <w:sz w:val="24"/>
          <w:szCs w:val="24"/>
        </w:rPr>
        <w:t xml:space="preserve">NYCHA’s expect </w:t>
      </w:r>
      <w:r w:rsidR="00806E51" w:rsidRPr="00806E51">
        <w:rPr>
          <w:rFonts w:ascii="Times New Roman" w:hAnsi="Times New Roman" w:cs="Times New Roman"/>
          <w:bCs/>
          <w:sz w:val="24"/>
          <w:szCs w:val="24"/>
        </w:rPr>
        <w:t xml:space="preserve">these funding sources </w:t>
      </w:r>
      <w:r w:rsidR="00806E51">
        <w:rPr>
          <w:rFonts w:ascii="Times New Roman" w:hAnsi="Times New Roman" w:cs="Times New Roman"/>
          <w:bCs/>
          <w:sz w:val="24"/>
          <w:szCs w:val="24"/>
        </w:rPr>
        <w:t xml:space="preserve">to </w:t>
      </w:r>
      <w:r w:rsidR="00806E51" w:rsidRPr="00806E51">
        <w:rPr>
          <w:rFonts w:ascii="Times New Roman" w:hAnsi="Times New Roman" w:cs="Times New Roman"/>
          <w:bCs/>
          <w:sz w:val="24"/>
          <w:szCs w:val="24"/>
        </w:rPr>
        <w:t xml:space="preserve">fall short of covering the estimated total cost of repairs, </w:t>
      </w:r>
      <w:r w:rsidR="00B550EF">
        <w:rPr>
          <w:rFonts w:ascii="Times New Roman" w:hAnsi="Times New Roman" w:cs="Times New Roman"/>
          <w:bCs/>
          <w:sz w:val="24"/>
          <w:szCs w:val="24"/>
        </w:rPr>
        <w:t>the Authority</w:t>
      </w:r>
      <w:r w:rsidR="00806E51" w:rsidRPr="00806E51">
        <w:rPr>
          <w:rFonts w:ascii="Times New Roman" w:hAnsi="Times New Roman" w:cs="Times New Roman"/>
          <w:bCs/>
          <w:sz w:val="24"/>
          <w:szCs w:val="24"/>
        </w:rPr>
        <w:t xml:space="preserve"> </w:t>
      </w:r>
      <w:r w:rsidR="00806E51">
        <w:rPr>
          <w:rFonts w:ascii="Times New Roman" w:hAnsi="Times New Roman" w:cs="Times New Roman"/>
          <w:bCs/>
          <w:sz w:val="24"/>
          <w:szCs w:val="24"/>
        </w:rPr>
        <w:t>has implemented</w:t>
      </w:r>
      <w:r w:rsidR="00806E51" w:rsidRPr="00806E51">
        <w:rPr>
          <w:rFonts w:ascii="Times New Roman" w:hAnsi="Times New Roman" w:cs="Times New Roman"/>
          <w:bCs/>
          <w:sz w:val="24"/>
          <w:szCs w:val="24"/>
        </w:rPr>
        <w:t xml:space="preserve"> </w:t>
      </w:r>
      <w:r w:rsidR="004B38BB">
        <w:rPr>
          <w:rFonts w:ascii="Times New Roman" w:hAnsi="Times New Roman" w:cs="Times New Roman"/>
          <w:bCs/>
          <w:sz w:val="24"/>
          <w:szCs w:val="24"/>
        </w:rPr>
        <w:t xml:space="preserve">several </w:t>
      </w:r>
      <w:r w:rsidR="00806E51" w:rsidRPr="00806E51">
        <w:rPr>
          <w:rFonts w:ascii="Times New Roman" w:hAnsi="Times New Roman" w:cs="Times New Roman"/>
          <w:bCs/>
          <w:sz w:val="24"/>
          <w:szCs w:val="24"/>
        </w:rPr>
        <w:t xml:space="preserve">long-term strategies to finance the rehabilitation </w:t>
      </w:r>
      <w:r w:rsidR="00B550EF">
        <w:rPr>
          <w:rFonts w:ascii="Times New Roman" w:hAnsi="Times New Roman" w:cs="Times New Roman"/>
          <w:bCs/>
          <w:sz w:val="24"/>
          <w:szCs w:val="24"/>
        </w:rPr>
        <w:t>needed</w:t>
      </w:r>
      <w:r w:rsidR="00806E51" w:rsidRPr="00806E51">
        <w:rPr>
          <w:rFonts w:ascii="Times New Roman" w:hAnsi="Times New Roman" w:cs="Times New Roman"/>
          <w:bCs/>
          <w:sz w:val="24"/>
          <w:szCs w:val="24"/>
        </w:rPr>
        <w:t xml:space="preserve"> to keep this critical source of affordable housing in habitable condition</w:t>
      </w:r>
      <w:r w:rsidR="00CF51EB">
        <w:rPr>
          <w:rFonts w:ascii="Times New Roman" w:hAnsi="Times New Roman" w:cs="Times New Roman"/>
          <w:bCs/>
          <w:sz w:val="24"/>
          <w:szCs w:val="24"/>
        </w:rPr>
        <w:t>.</w:t>
      </w:r>
      <w:r w:rsidR="00CF51EB">
        <w:rPr>
          <w:rStyle w:val="FootnoteReference"/>
          <w:rFonts w:ascii="Times New Roman" w:hAnsi="Times New Roman" w:cs="Times New Roman"/>
          <w:bCs/>
          <w:sz w:val="24"/>
          <w:szCs w:val="24"/>
        </w:rPr>
        <w:footnoteReference w:id="53"/>
      </w:r>
    </w:p>
    <w:p w14:paraId="65CB3F44" w14:textId="32F63AAE" w:rsidR="0031761C" w:rsidRPr="00C42612" w:rsidRDefault="00183FAD" w:rsidP="00E631C4">
      <w:pPr>
        <w:pStyle w:val="ListParagraph"/>
        <w:numPr>
          <w:ilvl w:val="1"/>
          <w:numId w:val="3"/>
        </w:numPr>
        <w:rPr>
          <w:rFonts w:ascii="Times New Roman" w:hAnsi="Times New Roman" w:cs="Times New Roman"/>
          <w:b/>
          <w:sz w:val="24"/>
          <w:szCs w:val="24"/>
        </w:rPr>
      </w:pPr>
      <w:r w:rsidRPr="00D147FC">
        <w:rPr>
          <w:rFonts w:ascii="Times New Roman" w:hAnsi="Times New Roman" w:cs="Times New Roman"/>
          <w:b/>
          <w:i/>
          <w:iCs/>
          <w:sz w:val="24"/>
          <w:szCs w:val="24"/>
        </w:rPr>
        <w:t>NYCHA 2.0</w:t>
      </w:r>
    </w:p>
    <w:p w14:paraId="58A7EBAC" w14:textId="40121EE2" w:rsidR="00183FAD" w:rsidRDefault="00183FAD" w:rsidP="00F57CD8">
      <w:pPr>
        <w:spacing w:after="0"/>
        <w:ind w:firstLine="360"/>
        <w:jc w:val="both"/>
        <w:rPr>
          <w:rFonts w:ascii="Times New Roman" w:hAnsi="Times New Roman" w:cs="Times New Roman"/>
          <w:sz w:val="24"/>
          <w:szCs w:val="24"/>
        </w:rPr>
      </w:pPr>
      <w:r w:rsidRPr="00FD3A4F">
        <w:rPr>
          <w:rFonts w:ascii="Times New Roman" w:hAnsi="Times New Roman" w:cs="Times New Roman"/>
          <w:sz w:val="24"/>
          <w:szCs w:val="24"/>
        </w:rPr>
        <w:t xml:space="preserve">In 2018, </w:t>
      </w:r>
      <w:r w:rsidRPr="00A94BA0">
        <w:rPr>
          <w:rFonts w:ascii="Times New Roman" w:hAnsi="Times New Roman" w:cs="Times New Roman"/>
          <w:i/>
          <w:iCs/>
          <w:sz w:val="24"/>
          <w:szCs w:val="24"/>
        </w:rPr>
        <w:t>NYCHA 2.0</w:t>
      </w:r>
      <w:r w:rsidRPr="00FD3A4F">
        <w:rPr>
          <w:rFonts w:ascii="Times New Roman" w:hAnsi="Times New Roman" w:cs="Times New Roman"/>
          <w:sz w:val="24"/>
          <w:szCs w:val="24"/>
        </w:rPr>
        <w:t xml:space="preserve"> was launched as the Authority’s strategic roadmap, structured as a comprehensive, 10-year plan to address $</w:t>
      </w:r>
      <w:r w:rsidR="009E579A">
        <w:rPr>
          <w:rFonts w:ascii="Times New Roman" w:hAnsi="Times New Roman" w:cs="Times New Roman"/>
          <w:sz w:val="24"/>
          <w:szCs w:val="24"/>
        </w:rPr>
        <w:t>31.8</w:t>
      </w:r>
      <w:r w:rsidRPr="00FD3A4F">
        <w:rPr>
          <w:rFonts w:ascii="Times New Roman" w:hAnsi="Times New Roman" w:cs="Times New Roman"/>
          <w:sz w:val="24"/>
          <w:szCs w:val="24"/>
        </w:rPr>
        <w:t xml:space="preserve"> billion in vital repairs.</w:t>
      </w:r>
      <w:r w:rsidRPr="00FD3A4F">
        <w:rPr>
          <w:rStyle w:val="FootnoteReference"/>
          <w:rFonts w:ascii="Times New Roman" w:hAnsi="Times New Roman" w:cs="Times New Roman"/>
          <w:sz w:val="24"/>
          <w:szCs w:val="24"/>
        </w:rPr>
        <w:footnoteReference w:id="54"/>
      </w:r>
      <w:r w:rsidR="00CB70A6">
        <w:rPr>
          <w:rFonts w:ascii="Times New Roman" w:hAnsi="Times New Roman" w:cs="Times New Roman"/>
          <w:sz w:val="24"/>
          <w:szCs w:val="24"/>
        </w:rPr>
        <w:t xml:space="preserve"> </w:t>
      </w:r>
      <w:r w:rsidR="00CB70A6" w:rsidRPr="00A94BA0">
        <w:rPr>
          <w:rFonts w:ascii="Times New Roman" w:hAnsi="Times New Roman" w:cs="Times New Roman"/>
          <w:i/>
          <w:iCs/>
          <w:sz w:val="24"/>
          <w:szCs w:val="24"/>
        </w:rPr>
        <w:t>NYCHA 2.0</w:t>
      </w:r>
      <w:r w:rsidR="00CB70A6" w:rsidRPr="00CB70A6">
        <w:rPr>
          <w:rFonts w:ascii="Times New Roman" w:hAnsi="Times New Roman" w:cs="Times New Roman"/>
          <w:sz w:val="24"/>
          <w:szCs w:val="24"/>
        </w:rPr>
        <w:t xml:space="preserve"> is comprised of four major progr</w:t>
      </w:r>
      <w:r w:rsidR="00CB70A6">
        <w:rPr>
          <w:rFonts w:ascii="Times New Roman" w:hAnsi="Times New Roman" w:cs="Times New Roman"/>
          <w:sz w:val="24"/>
          <w:szCs w:val="24"/>
        </w:rPr>
        <w:t xml:space="preserve">ams: PACT to Preserve, Build to </w:t>
      </w:r>
      <w:r w:rsidR="00CB70A6" w:rsidRPr="00CB70A6">
        <w:rPr>
          <w:rFonts w:ascii="Times New Roman" w:hAnsi="Times New Roman" w:cs="Times New Roman"/>
          <w:sz w:val="24"/>
          <w:szCs w:val="24"/>
        </w:rPr>
        <w:t>Preserve, Transfer to Preserve, and Fix to Preserve.</w:t>
      </w:r>
      <w:r w:rsidR="00D147FC">
        <w:rPr>
          <w:rStyle w:val="FootnoteReference"/>
          <w:rFonts w:ascii="Times New Roman" w:hAnsi="Times New Roman" w:cs="Times New Roman"/>
          <w:sz w:val="24"/>
          <w:szCs w:val="24"/>
        </w:rPr>
        <w:footnoteReference w:id="55"/>
      </w:r>
      <w:r w:rsidR="00CB70A6" w:rsidRPr="00CB70A6">
        <w:rPr>
          <w:rFonts w:ascii="Times New Roman" w:hAnsi="Times New Roman" w:cs="Times New Roman"/>
          <w:sz w:val="24"/>
          <w:szCs w:val="24"/>
        </w:rPr>
        <w:t xml:space="preserve"> It is estimated that about $16 billion in revenue</w:t>
      </w:r>
      <w:r w:rsidR="00CB70A6">
        <w:rPr>
          <w:rFonts w:ascii="Times New Roman" w:hAnsi="Times New Roman" w:cs="Times New Roman"/>
          <w:sz w:val="24"/>
          <w:szCs w:val="24"/>
        </w:rPr>
        <w:t xml:space="preserve"> </w:t>
      </w:r>
      <w:r w:rsidR="00CB70A6" w:rsidRPr="00CB70A6">
        <w:rPr>
          <w:rFonts w:ascii="Times New Roman" w:hAnsi="Times New Roman" w:cs="Times New Roman"/>
          <w:sz w:val="24"/>
          <w:szCs w:val="24"/>
        </w:rPr>
        <w:t xml:space="preserve">could be generated from the </w:t>
      </w:r>
      <w:r w:rsidR="00CB70A6" w:rsidRPr="00403C89">
        <w:rPr>
          <w:rFonts w:ascii="Times New Roman" w:hAnsi="Times New Roman" w:cs="Times New Roman"/>
          <w:i/>
          <w:iCs/>
          <w:sz w:val="24"/>
          <w:szCs w:val="24"/>
        </w:rPr>
        <w:t>NYCHA 2.0</w:t>
      </w:r>
      <w:r w:rsidR="00CB70A6" w:rsidRPr="00CB70A6">
        <w:rPr>
          <w:rFonts w:ascii="Times New Roman" w:hAnsi="Times New Roman" w:cs="Times New Roman"/>
          <w:sz w:val="24"/>
          <w:szCs w:val="24"/>
        </w:rPr>
        <w:t xml:space="preserve"> programs. This amount, coupled with $7.1 billion in existing</w:t>
      </w:r>
      <w:r w:rsidR="00CB70A6">
        <w:rPr>
          <w:rFonts w:ascii="Times New Roman" w:hAnsi="Times New Roman" w:cs="Times New Roman"/>
          <w:sz w:val="24"/>
          <w:szCs w:val="24"/>
        </w:rPr>
        <w:t xml:space="preserve"> </w:t>
      </w:r>
      <w:r w:rsidR="00CB70A6" w:rsidRPr="00CB70A6">
        <w:rPr>
          <w:rFonts w:ascii="Times New Roman" w:hAnsi="Times New Roman" w:cs="Times New Roman"/>
          <w:sz w:val="24"/>
          <w:szCs w:val="24"/>
        </w:rPr>
        <w:t>and expected City, State and federal capital funds, would address nearly $23 billion in capital needs</w:t>
      </w:r>
      <w:r w:rsidR="00CB70A6">
        <w:rPr>
          <w:rFonts w:ascii="Times New Roman" w:hAnsi="Times New Roman" w:cs="Times New Roman"/>
          <w:sz w:val="24"/>
          <w:szCs w:val="24"/>
        </w:rPr>
        <w:t xml:space="preserve"> </w:t>
      </w:r>
      <w:r w:rsidR="00CB70A6" w:rsidRPr="00CB70A6">
        <w:rPr>
          <w:rFonts w:ascii="Times New Roman" w:hAnsi="Times New Roman" w:cs="Times New Roman"/>
          <w:sz w:val="24"/>
          <w:szCs w:val="24"/>
        </w:rPr>
        <w:t>over the next decade, or up to about 70 percent of NYCHA’s $31.8 billion overall capital need.</w:t>
      </w:r>
      <w:r w:rsidR="00D147FC">
        <w:rPr>
          <w:rStyle w:val="FootnoteReference"/>
          <w:rFonts w:ascii="Times New Roman" w:hAnsi="Times New Roman" w:cs="Times New Roman"/>
          <w:sz w:val="24"/>
          <w:szCs w:val="24"/>
        </w:rPr>
        <w:footnoteReference w:id="56"/>
      </w:r>
      <w:r w:rsidR="00CB70A6">
        <w:rPr>
          <w:rFonts w:ascii="Times New Roman" w:hAnsi="Times New Roman" w:cs="Times New Roman"/>
          <w:sz w:val="24"/>
          <w:szCs w:val="24"/>
        </w:rPr>
        <w:t xml:space="preserve"> </w:t>
      </w:r>
    </w:p>
    <w:p w14:paraId="6BA83EED" w14:textId="77777777" w:rsidR="00D147FC" w:rsidRDefault="00386146" w:rsidP="00D147FC">
      <w:pPr>
        <w:pStyle w:val="ListParagraph"/>
        <w:numPr>
          <w:ilvl w:val="0"/>
          <w:numId w:val="7"/>
        </w:numPr>
        <w:spacing w:after="0"/>
        <w:jc w:val="both"/>
        <w:rPr>
          <w:rFonts w:ascii="Times New Roman" w:hAnsi="Times New Roman" w:cs="Times New Roman"/>
          <w:sz w:val="24"/>
          <w:szCs w:val="24"/>
        </w:rPr>
      </w:pPr>
      <w:r w:rsidRPr="00D147FC">
        <w:rPr>
          <w:rFonts w:ascii="Times New Roman" w:hAnsi="Times New Roman" w:cs="Times New Roman"/>
          <w:i/>
          <w:iCs/>
          <w:sz w:val="24"/>
          <w:szCs w:val="24"/>
        </w:rPr>
        <w:t>PACT to Preserve</w:t>
      </w:r>
      <w:r w:rsidR="00D147FC">
        <w:rPr>
          <w:rFonts w:ascii="Times New Roman" w:hAnsi="Times New Roman" w:cs="Times New Roman"/>
          <w:sz w:val="24"/>
          <w:szCs w:val="24"/>
        </w:rPr>
        <w:t>.</w:t>
      </w:r>
      <w:r w:rsidR="00D147FC">
        <w:rPr>
          <w:rStyle w:val="FootnoteReference"/>
          <w:rFonts w:ascii="Times New Roman" w:hAnsi="Times New Roman" w:cs="Times New Roman"/>
          <w:sz w:val="24"/>
          <w:szCs w:val="24"/>
        </w:rPr>
        <w:footnoteReference w:id="57"/>
      </w:r>
      <w:r w:rsidRPr="009E579A">
        <w:rPr>
          <w:rFonts w:ascii="Times New Roman" w:hAnsi="Times New Roman" w:cs="Times New Roman"/>
          <w:sz w:val="24"/>
          <w:szCs w:val="24"/>
        </w:rPr>
        <w:t xml:space="preserve"> The primary program under </w:t>
      </w:r>
      <w:r w:rsidRPr="00D147FC">
        <w:rPr>
          <w:rFonts w:ascii="Times New Roman" w:hAnsi="Times New Roman" w:cs="Times New Roman"/>
          <w:i/>
          <w:iCs/>
          <w:sz w:val="24"/>
          <w:szCs w:val="24"/>
        </w:rPr>
        <w:t>NYCHA 2.0</w:t>
      </w:r>
      <w:r w:rsidRPr="009E579A">
        <w:rPr>
          <w:rFonts w:ascii="Times New Roman" w:hAnsi="Times New Roman" w:cs="Times New Roman"/>
          <w:sz w:val="24"/>
          <w:szCs w:val="24"/>
        </w:rPr>
        <w:t xml:space="preserve"> is PACT to Preserve, which will address an estimated $12.8 billion in capital needs across the Authority’s portfolio. The program aims to convert the funding stream of an estimated 62,000 NYCHA units from public housing operating funds (Section 9) to Section 8 funding under the Rental Assistance Demonstration (RAD) program administered by HUD, thereby facilitating public-private partnerships to fund extensive renovations and repairs through private developers. As of November 2020, more than 9,500 units have been converted under NYCHA’s administration of the RAD program, also referred to as Permanent Affordability Commitment Together (PACT), through eight project bundles comprised of 49 NYCHA developments. The conversion of approximately 11,860 additional units are planned in 2021.</w:t>
      </w:r>
    </w:p>
    <w:p w14:paraId="0C373E35" w14:textId="46F642A8" w:rsidR="00D147FC" w:rsidRDefault="00386146" w:rsidP="00D147FC">
      <w:pPr>
        <w:pStyle w:val="ListParagraph"/>
        <w:numPr>
          <w:ilvl w:val="0"/>
          <w:numId w:val="7"/>
        </w:numPr>
        <w:spacing w:after="0"/>
        <w:jc w:val="both"/>
        <w:rPr>
          <w:rFonts w:ascii="Times New Roman" w:hAnsi="Times New Roman" w:cs="Times New Roman"/>
          <w:sz w:val="24"/>
          <w:szCs w:val="24"/>
        </w:rPr>
      </w:pPr>
      <w:r w:rsidRPr="00D147FC">
        <w:rPr>
          <w:rFonts w:ascii="Times New Roman" w:hAnsi="Times New Roman" w:cs="Times New Roman"/>
          <w:i/>
          <w:iCs/>
          <w:sz w:val="24"/>
          <w:szCs w:val="24"/>
        </w:rPr>
        <w:t>Build to Preserve</w:t>
      </w:r>
      <w:r w:rsidR="00D147FC" w:rsidRPr="00D147FC">
        <w:rPr>
          <w:rFonts w:ascii="Times New Roman" w:hAnsi="Times New Roman" w:cs="Times New Roman"/>
          <w:sz w:val="24"/>
          <w:szCs w:val="24"/>
        </w:rPr>
        <w:t>.</w:t>
      </w:r>
      <w:r w:rsidR="00D147FC">
        <w:rPr>
          <w:rStyle w:val="FootnoteReference"/>
          <w:rFonts w:ascii="Times New Roman" w:hAnsi="Times New Roman" w:cs="Times New Roman"/>
          <w:sz w:val="24"/>
          <w:szCs w:val="24"/>
        </w:rPr>
        <w:footnoteReference w:id="58"/>
      </w:r>
      <w:r w:rsidR="00D147FC" w:rsidRPr="00D147FC">
        <w:rPr>
          <w:rFonts w:ascii="Times New Roman" w:hAnsi="Times New Roman" w:cs="Times New Roman"/>
          <w:sz w:val="24"/>
          <w:szCs w:val="24"/>
        </w:rPr>
        <w:t xml:space="preserve"> </w:t>
      </w:r>
      <w:r w:rsidRPr="00D147FC">
        <w:rPr>
          <w:rFonts w:ascii="Times New Roman" w:hAnsi="Times New Roman" w:cs="Times New Roman"/>
          <w:sz w:val="24"/>
          <w:szCs w:val="24"/>
        </w:rPr>
        <w:t xml:space="preserve">In December 2018, the City announced it would replace the existing </w:t>
      </w:r>
      <w:r w:rsidR="00D147FC" w:rsidRPr="00D147FC">
        <w:rPr>
          <w:rFonts w:ascii="Times New Roman" w:hAnsi="Times New Roman" w:cs="Times New Roman"/>
          <w:sz w:val="24"/>
          <w:szCs w:val="24"/>
        </w:rPr>
        <w:t>half</w:t>
      </w:r>
      <w:r w:rsidR="00D147FC">
        <w:rPr>
          <w:rFonts w:ascii="Times New Roman" w:hAnsi="Times New Roman" w:cs="Times New Roman"/>
          <w:sz w:val="24"/>
          <w:szCs w:val="24"/>
        </w:rPr>
        <w:t>-</w:t>
      </w:r>
      <w:r w:rsidR="00D147FC" w:rsidRPr="00D147FC">
        <w:rPr>
          <w:rFonts w:ascii="Times New Roman" w:hAnsi="Times New Roman" w:cs="Times New Roman"/>
          <w:sz w:val="24"/>
          <w:szCs w:val="24"/>
        </w:rPr>
        <w:t>market</w:t>
      </w:r>
      <w:r w:rsidRPr="00D147FC">
        <w:rPr>
          <w:rFonts w:ascii="Times New Roman" w:hAnsi="Times New Roman" w:cs="Times New Roman"/>
          <w:sz w:val="24"/>
          <w:szCs w:val="24"/>
        </w:rPr>
        <w:t xml:space="preserve"> rate, half-affordable housing development program (</w:t>
      </w:r>
      <w:r w:rsidR="00BB3501">
        <w:rPr>
          <w:rFonts w:ascii="Times New Roman" w:hAnsi="Times New Roman" w:cs="Times New Roman"/>
          <w:sz w:val="24"/>
          <w:szCs w:val="24"/>
        </w:rPr>
        <w:t>“</w:t>
      </w:r>
      <w:r w:rsidRPr="00D147FC">
        <w:rPr>
          <w:rFonts w:ascii="Times New Roman" w:hAnsi="Times New Roman" w:cs="Times New Roman"/>
          <w:sz w:val="24"/>
          <w:szCs w:val="24"/>
        </w:rPr>
        <w:t>50/50 program</w:t>
      </w:r>
      <w:r w:rsidR="00BB3501">
        <w:rPr>
          <w:rFonts w:ascii="Times New Roman" w:hAnsi="Times New Roman" w:cs="Times New Roman"/>
          <w:sz w:val="24"/>
          <w:szCs w:val="24"/>
        </w:rPr>
        <w:t>”</w:t>
      </w:r>
      <w:r w:rsidRPr="00D147FC">
        <w:rPr>
          <w:rFonts w:ascii="Times New Roman" w:hAnsi="Times New Roman" w:cs="Times New Roman"/>
          <w:sz w:val="24"/>
          <w:szCs w:val="24"/>
        </w:rPr>
        <w:t>) at NYCHA-owned sites with a mixed income program that will produce 70 percent market rate, 30 percent affordable housing units (</w:t>
      </w:r>
      <w:r w:rsidR="00BB3501">
        <w:rPr>
          <w:rFonts w:ascii="Times New Roman" w:hAnsi="Times New Roman" w:cs="Times New Roman"/>
          <w:sz w:val="24"/>
          <w:szCs w:val="24"/>
        </w:rPr>
        <w:t>“</w:t>
      </w:r>
      <w:r w:rsidRPr="00D147FC">
        <w:rPr>
          <w:rFonts w:ascii="Times New Roman" w:hAnsi="Times New Roman" w:cs="Times New Roman"/>
          <w:sz w:val="24"/>
          <w:szCs w:val="24"/>
        </w:rPr>
        <w:t>70/30 program</w:t>
      </w:r>
      <w:r w:rsidR="00BB3501">
        <w:rPr>
          <w:rFonts w:ascii="Times New Roman" w:hAnsi="Times New Roman" w:cs="Times New Roman"/>
          <w:sz w:val="24"/>
          <w:szCs w:val="24"/>
        </w:rPr>
        <w:t>”</w:t>
      </w:r>
      <w:r w:rsidRPr="00D147FC">
        <w:rPr>
          <w:rFonts w:ascii="Times New Roman" w:hAnsi="Times New Roman" w:cs="Times New Roman"/>
          <w:sz w:val="24"/>
          <w:szCs w:val="24"/>
        </w:rPr>
        <w:t>). New buildings will be subject to Mandatory Inclusionary Housing levels of affordability and increase the permanently affordable housing stock. In total, NYCHA estimates that the 70/30 development program could encompass 25 sites and generate $2 billion in revenue over a ten-year period, which would be dedicated to capital improvements in the adjacent developments, as well as ensuring the Authority’s financial sustainability. As of February 2020, the Build to Preserve program encompasses four development sites, which would produce an estimated 3,840 units, as displayed in the graphic below. An RFP for the largest site, at Chelsea Houses is anticipated for 2021, following the publication of recommendations from the Chelsea Working Group.</w:t>
      </w:r>
    </w:p>
    <w:p w14:paraId="45E61C73" w14:textId="77777777" w:rsidR="00D147FC" w:rsidRDefault="00386146" w:rsidP="00D147FC">
      <w:pPr>
        <w:pStyle w:val="ListParagraph"/>
        <w:numPr>
          <w:ilvl w:val="0"/>
          <w:numId w:val="7"/>
        </w:numPr>
        <w:spacing w:after="0"/>
        <w:jc w:val="both"/>
        <w:rPr>
          <w:rFonts w:ascii="Times New Roman" w:hAnsi="Times New Roman" w:cs="Times New Roman"/>
          <w:sz w:val="24"/>
          <w:szCs w:val="24"/>
        </w:rPr>
      </w:pPr>
      <w:r w:rsidRPr="00D147FC">
        <w:rPr>
          <w:rFonts w:ascii="Times New Roman" w:hAnsi="Times New Roman" w:cs="Times New Roman"/>
          <w:i/>
          <w:iCs/>
          <w:sz w:val="24"/>
          <w:szCs w:val="24"/>
        </w:rPr>
        <w:t>Transfer to Preserve</w:t>
      </w:r>
      <w:r w:rsidRPr="00D147FC">
        <w:rPr>
          <w:rFonts w:ascii="Times New Roman" w:hAnsi="Times New Roman" w:cs="Times New Roman"/>
          <w:sz w:val="24"/>
          <w:szCs w:val="24"/>
        </w:rPr>
        <w:t>.</w:t>
      </w:r>
      <w:r w:rsidR="00D147FC">
        <w:rPr>
          <w:rStyle w:val="FootnoteReference"/>
          <w:rFonts w:ascii="Times New Roman" w:hAnsi="Times New Roman" w:cs="Times New Roman"/>
          <w:sz w:val="24"/>
          <w:szCs w:val="24"/>
        </w:rPr>
        <w:footnoteReference w:id="59"/>
      </w:r>
      <w:r w:rsidR="00D147FC">
        <w:rPr>
          <w:rFonts w:ascii="Times New Roman" w:hAnsi="Times New Roman" w:cs="Times New Roman"/>
          <w:sz w:val="24"/>
          <w:szCs w:val="24"/>
        </w:rPr>
        <w:t xml:space="preserve"> </w:t>
      </w:r>
      <w:r w:rsidRPr="00D147FC">
        <w:rPr>
          <w:rFonts w:ascii="Times New Roman" w:hAnsi="Times New Roman" w:cs="Times New Roman"/>
          <w:sz w:val="24"/>
          <w:szCs w:val="24"/>
        </w:rPr>
        <w:t>NYCHA expects to generate $1 billion in funding for capital repairs through the transfer of a portion of its estimated 80 million square feet of unused development rights, also known as air rights. As of February 2020, the Transfer to Preserve program encompasses four development sites, which include: Hobbs Court, Ingersoll, Howard Houses, and Campos II. As of February 2021, the Transfer to Preserve program has closed two transactions at Hobbs Court and Ingersoll Houses.</w:t>
      </w:r>
    </w:p>
    <w:p w14:paraId="74D9E22D" w14:textId="72C9E1BE" w:rsidR="00386146" w:rsidRPr="00D147FC" w:rsidRDefault="00386146" w:rsidP="00D147FC">
      <w:pPr>
        <w:pStyle w:val="ListParagraph"/>
        <w:numPr>
          <w:ilvl w:val="0"/>
          <w:numId w:val="7"/>
        </w:numPr>
        <w:spacing w:after="0"/>
        <w:jc w:val="both"/>
        <w:rPr>
          <w:rFonts w:ascii="Times New Roman" w:hAnsi="Times New Roman" w:cs="Times New Roman"/>
          <w:sz w:val="24"/>
          <w:szCs w:val="24"/>
        </w:rPr>
      </w:pPr>
      <w:r w:rsidRPr="00D147FC">
        <w:rPr>
          <w:rFonts w:ascii="Times New Roman" w:hAnsi="Times New Roman" w:cs="Times New Roman"/>
          <w:i/>
          <w:iCs/>
          <w:sz w:val="24"/>
          <w:szCs w:val="24"/>
        </w:rPr>
        <w:t>Fix to Preserve</w:t>
      </w:r>
      <w:r w:rsidRPr="00D147FC">
        <w:rPr>
          <w:rFonts w:ascii="Times New Roman" w:hAnsi="Times New Roman" w:cs="Times New Roman"/>
          <w:sz w:val="24"/>
          <w:szCs w:val="24"/>
        </w:rPr>
        <w:t>.</w:t>
      </w:r>
      <w:r w:rsidR="00D147FC">
        <w:rPr>
          <w:rStyle w:val="FootnoteReference"/>
          <w:rFonts w:ascii="Times New Roman" w:hAnsi="Times New Roman" w:cs="Times New Roman"/>
          <w:sz w:val="24"/>
          <w:szCs w:val="24"/>
        </w:rPr>
        <w:footnoteReference w:id="60"/>
      </w:r>
      <w:r w:rsidRPr="00D147FC">
        <w:rPr>
          <w:rFonts w:ascii="Times New Roman" w:hAnsi="Times New Roman" w:cs="Times New Roman"/>
          <w:sz w:val="24"/>
          <w:szCs w:val="24"/>
        </w:rPr>
        <w:t xml:space="preserve"> NYCHA will improve services, infrastructure maintenance, and immediately address health and safety issues across five categories affecting residents’ daily lives, including elevator outages, heating, mold, pests, and lead paint hazards. These performance targets are as follows:</w:t>
      </w:r>
    </w:p>
    <w:p w14:paraId="19F4A2CC" w14:textId="77777777" w:rsidR="00386146" w:rsidRDefault="00386146" w:rsidP="00386146">
      <w:pPr>
        <w:pStyle w:val="ListParagraph"/>
        <w:numPr>
          <w:ilvl w:val="1"/>
          <w:numId w:val="7"/>
        </w:numPr>
        <w:jc w:val="both"/>
        <w:rPr>
          <w:rFonts w:ascii="Times New Roman" w:hAnsi="Times New Roman" w:cs="Times New Roman"/>
          <w:sz w:val="24"/>
          <w:szCs w:val="24"/>
        </w:rPr>
      </w:pPr>
      <w:r w:rsidRPr="00386146">
        <w:rPr>
          <w:rFonts w:ascii="Times New Roman" w:hAnsi="Times New Roman" w:cs="Times New Roman"/>
          <w:sz w:val="24"/>
          <w:szCs w:val="24"/>
        </w:rPr>
        <w:t>Elevators: By 2027, NYCHA will replace 405 elevators at 30 developments, providing</w:t>
      </w:r>
      <w:r>
        <w:rPr>
          <w:rFonts w:ascii="Times New Roman" w:hAnsi="Times New Roman" w:cs="Times New Roman"/>
          <w:sz w:val="24"/>
          <w:szCs w:val="24"/>
        </w:rPr>
        <w:t xml:space="preserve"> </w:t>
      </w:r>
      <w:r w:rsidRPr="00386146">
        <w:rPr>
          <w:rFonts w:ascii="Times New Roman" w:hAnsi="Times New Roman" w:cs="Times New Roman"/>
          <w:sz w:val="24"/>
          <w:szCs w:val="24"/>
        </w:rPr>
        <w:t>reliable service to over 58,000 residents.</w:t>
      </w:r>
    </w:p>
    <w:p w14:paraId="4ACFACD1" w14:textId="2AF5A578" w:rsidR="00386146" w:rsidRPr="00386146" w:rsidRDefault="00386146" w:rsidP="00386146">
      <w:pPr>
        <w:pStyle w:val="ListParagraph"/>
        <w:numPr>
          <w:ilvl w:val="1"/>
          <w:numId w:val="7"/>
        </w:numPr>
        <w:jc w:val="both"/>
        <w:rPr>
          <w:rFonts w:ascii="Times New Roman" w:hAnsi="Times New Roman" w:cs="Times New Roman"/>
          <w:sz w:val="24"/>
          <w:szCs w:val="24"/>
        </w:rPr>
      </w:pPr>
      <w:r w:rsidRPr="00386146">
        <w:rPr>
          <w:rFonts w:ascii="Times New Roman" w:hAnsi="Times New Roman" w:cs="Times New Roman"/>
          <w:sz w:val="24"/>
          <w:szCs w:val="24"/>
        </w:rPr>
        <w:t>Heating: NYCHA will expand on previous heat upgrades with the addition of five mobile</w:t>
      </w:r>
      <w:r>
        <w:rPr>
          <w:rFonts w:ascii="Times New Roman" w:hAnsi="Times New Roman" w:cs="Times New Roman"/>
          <w:sz w:val="24"/>
          <w:szCs w:val="24"/>
        </w:rPr>
        <w:t xml:space="preserve"> </w:t>
      </w:r>
      <w:r w:rsidRPr="00386146">
        <w:rPr>
          <w:rFonts w:ascii="Times New Roman" w:hAnsi="Times New Roman" w:cs="Times New Roman"/>
          <w:sz w:val="24"/>
          <w:szCs w:val="24"/>
        </w:rPr>
        <w:t>boilers by 2019 and fully replace 297 of the lowest-performing boilers by 2026. Heat</w:t>
      </w:r>
      <w:r>
        <w:rPr>
          <w:rFonts w:ascii="Times New Roman" w:hAnsi="Times New Roman" w:cs="Times New Roman"/>
          <w:sz w:val="24"/>
          <w:szCs w:val="24"/>
        </w:rPr>
        <w:t xml:space="preserve"> </w:t>
      </w:r>
      <w:r w:rsidRPr="00386146">
        <w:rPr>
          <w:rFonts w:ascii="Times New Roman" w:hAnsi="Times New Roman" w:cs="Times New Roman"/>
          <w:sz w:val="24"/>
          <w:szCs w:val="24"/>
        </w:rPr>
        <w:t>outages will be restored within an average of 12 hours.</w:t>
      </w:r>
    </w:p>
    <w:p w14:paraId="6B7D5B7F" w14:textId="77777777" w:rsidR="00386146" w:rsidRDefault="00386146" w:rsidP="00386146">
      <w:pPr>
        <w:pStyle w:val="ListParagraph"/>
        <w:numPr>
          <w:ilvl w:val="1"/>
          <w:numId w:val="7"/>
        </w:numPr>
        <w:jc w:val="both"/>
        <w:rPr>
          <w:rFonts w:ascii="Times New Roman" w:hAnsi="Times New Roman" w:cs="Times New Roman"/>
          <w:sz w:val="24"/>
          <w:szCs w:val="24"/>
        </w:rPr>
      </w:pPr>
      <w:r w:rsidRPr="00386146">
        <w:rPr>
          <w:rFonts w:ascii="Times New Roman" w:hAnsi="Times New Roman" w:cs="Times New Roman"/>
          <w:sz w:val="24"/>
          <w:szCs w:val="24"/>
        </w:rPr>
        <w:t>Pests: With the installation of door sweeps and rat slabs, and the addition of 20</w:t>
      </w:r>
      <w:r>
        <w:rPr>
          <w:rFonts w:ascii="Times New Roman" w:hAnsi="Times New Roman" w:cs="Times New Roman"/>
          <w:sz w:val="24"/>
          <w:szCs w:val="24"/>
        </w:rPr>
        <w:t xml:space="preserve"> </w:t>
      </w:r>
      <w:r w:rsidRPr="00386146">
        <w:rPr>
          <w:rFonts w:ascii="Times New Roman" w:hAnsi="Times New Roman" w:cs="Times New Roman"/>
          <w:sz w:val="24"/>
          <w:szCs w:val="24"/>
        </w:rPr>
        <w:t>exterminators, NYCHA will cut the rat population by a quarter by the end of 2019, and by</w:t>
      </w:r>
      <w:r>
        <w:rPr>
          <w:rFonts w:ascii="Times New Roman" w:hAnsi="Times New Roman" w:cs="Times New Roman"/>
          <w:sz w:val="24"/>
          <w:szCs w:val="24"/>
        </w:rPr>
        <w:t xml:space="preserve"> </w:t>
      </w:r>
      <w:r w:rsidRPr="00386146">
        <w:rPr>
          <w:rFonts w:ascii="Times New Roman" w:hAnsi="Times New Roman" w:cs="Times New Roman"/>
          <w:sz w:val="24"/>
          <w:szCs w:val="24"/>
        </w:rPr>
        <w:t>half by the end of 2020.</w:t>
      </w:r>
    </w:p>
    <w:p w14:paraId="35337529" w14:textId="77777777" w:rsidR="00386146" w:rsidRDefault="00386146" w:rsidP="00386146">
      <w:pPr>
        <w:pStyle w:val="ListParagraph"/>
        <w:numPr>
          <w:ilvl w:val="1"/>
          <w:numId w:val="7"/>
        </w:numPr>
        <w:jc w:val="both"/>
        <w:rPr>
          <w:rFonts w:ascii="Times New Roman" w:hAnsi="Times New Roman" w:cs="Times New Roman"/>
          <w:sz w:val="24"/>
          <w:szCs w:val="24"/>
        </w:rPr>
      </w:pPr>
      <w:r w:rsidRPr="00386146">
        <w:rPr>
          <w:rFonts w:ascii="Times New Roman" w:hAnsi="Times New Roman" w:cs="Times New Roman"/>
          <w:sz w:val="24"/>
          <w:szCs w:val="24"/>
        </w:rPr>
        <w:t>Lead: NYCHA will test over 135,000 apartments built before 1978, which are presumed to</w:t>
      </w:r>
      <w:r>
        <w:rPr>
          <w:rFonts w:ascii="Times New Roman" w:hAnsi="Times New Roman" w:cs="Times New Roman"/>
          <w:sz w:val="24"/>
          <w:szCs w:val="24"/>
        </w:rPr>
        <w:t xml:space="preserve"> </w:t>
      </w:r>
      <w:r w:rsidRPr="00386146">
        <w:rPr>
          <w:rFonts w:ascii="Times New Roman" w:hAnsi="Times New Roman" w:cs="Times New Roman"/>
          <w:sz w:val="24"/>
          <w:szCs w:val="24"/>
        </w:rPr>
        <w:t>contain lead-based paint hazards, by 2020.</w:t>
      </w:r>
    </w:p>
    <w:p w14:paraId="70DA9901" w14:textId="51C50062" w:rsidR="009E579A" w:rsidRDefault="00386146" w:rsidP="00CB70A6">
      <w:pPr>
        <w:pStyle w:val="ListParagraph"/>
        <w:numPr>
          <w:ilvl w:val="1"/>
          <w:numId w:val="7"/>
        </w:numPr>
        <w:jc w:val="both"/>
        <w:rPr>
          <w:rFonts w:ascii="Times New Roman" w:hAnsi="Times New Roman" w:cs="Times New Roman"/>
          <w:sz w:val="24"/>
          <w:szCs w:val="24"/>
        </w:rPr>
      </w:pPr>
      <w:r w:rsidRPr="00386146">
        <w:rPr>
          <w:rFonts w:ascii="Times New Roman" w:hAnsi="Times New Roman" w:cs="Times New Roman"/>
          <w:sz w:val="24"/>
          <w:szCs w:val="24"/>
        </w:rPr>
        <w:t>Mold: NYCHA will bring all roofs into a state of good repair by 2026.</w:t>
      </w:r>
    </w:p>
    <w:p w14:paraId="0DAC8493" w14:textId="77777777" w:rsidR="00386146" w:rsidRPr="00386146" w:rsidRDefault="00386146" w:rsidP="00386146">
      <w:pPr>
        <w:pStyle w:val="ListParagraph"/>
        <w:ind w:left="1440"/>
        <w:jc w:val="both"/>
        <w:rPr>
          <w:rFonts w:ascii="Times New Roman" w:hAnsi="Times New Roman" w:cs="Times New Roman"/>
          <w:sz w:val="24"/>
          <w:szCs w:val="24"/>
        </w:rPr>
      </w:pPr>
    </w:p>
    <w:p w14:paraId="3D090744" w14:textId="1994704D" w:rsidR="007811FC" w:rsidRPr="00D147FC" w:rsidRDefault="00A25536" w:rsidP="00D147FC">
      <w:pPr>
        <w:pStyle w:val="ListParagraph"/>
        <w:numPr>
          <w:ilvl w:val="1"/>
          <w:numId w:val="3"/>
        </w:numPr>
        <w:rPr>
          <w:rFonts w:ascii="Times New Roman" w:hAnsi="Times New Roman" w:cs="Times New Roman"/>
          <w:b/>
          <w:bCs/>
          <w:i/>
          <w:iCs/>
          <w:sz w:val="24"/>
          <w:szCs w:val="24"/>
        </w:rPr>
      </w:pPr>
      <w:r w:rsidRPr="00D147FC">
        <w:rPr>
          <w:rFonts w:ascii="Times New Roman" w:hAnsi="Times New Roman" w:cs="Times New Roman"/>
          <w:b/>
          <w:bCs/>
          <w:i/>
          <w:iCs/>
          <w:sz w:val="24"/>
          <w:szCs w:val="24"/>
        </w:rPr>
        <w:t>Blueprint f</w:t>
      </w:r>
      <w:r w:rsidR="007811FC" w:rsidRPr="00D147FC">
        <w:rPr>
          <w:rFonts w:ascii="Times New Roman" w:hAnsi="Times New Roman" w:cs="Times New Roman"/>
          <w:b/>
          <w:bCs/>
          <w:i/>
          <w:iCs/>
          <w:sz w:val="24"/>
          <w:szCs w:val="24"/>
        </w:rPr>
        <w:t>or Change</w:t>
      </w:r>
    </w:p>
    <w:p w14:paraId="47F012B9" w14:textId="48D29C65" w:rsidR="00BE4541" w:rsidRPr="00D147FC" w:rsidRDefault="00D147FC" w:rsidP="00D147FC">
      <w:pPr>
        <w:spacing w:before="100" w:beforeAutospacing="1" w:after="100" w:afterAutospacing="1"/>
        <w:ind w:firstLine="720"/>
        <w:jc w:val="both"/>
        <w:rPr>
          <w:rFonts w:ascii="Times" w:eastAsia="Times New Roman" w:hAnsi="Times" w:cs="Times New Roman"/>
          <w:sz w:val="24"/>
          <w:szCs w:val="24"/>
        </w:rPr>
      </w:pPr>
      <w:r w:rsidRPr="00D147FC">
        <w:rPr>
          <w:rFonts w:ascii="Times" w:hAnsi="Times" w:cs="Times New Roman"/>
          <w:sz w:val="24"/>
          <w:szCs w:val="24"/>
        </w:rPr>
        <w:t xml:space="preserve">NYCHA’s </w:t>
      </w:r>
      <w:r w:rsidR="00303AD2" w:rsidRPr="00B16D54">
        <w:rPr>
          <w:rFonts w:ascii="Times" w:hAnsi="Times" w:cs="Times New Roman"/>
          <w:i/>
          <w:iCs/>
          <w:sz w:val="24"/>
          <w:szCs w:val="24"/>
        </w:rPr>
        <w:t>Blueprint for Change</w:t>
      </w:r>
      <w:r w:rsidR="00303AD2" w:rsidRPr="00B16D54">
        <w:rPr>
          <w:rFonts w:ascii="Times" w:eastAsia="Times New Roman" w:hAnsi="Times" w:cs="Times New Roman"/>
          <w:sz w:val="24"/>
          <w:szCs w:val="24"/>
        </w:rPr>
        <w:t>, released on July 28, 2020, is a set of ideas that outlines potential pathways for the Authority’s reorganization and investing of capital to stabilize and improve its properties, with additional impacts that could drive jobs and recovery strategies.</w:t>
      </w:r>
      <w:r w:rsidR="00303AD2" w:rsidRPr="00B16D54">
        <w:rPr>
          <w:rStyle w:val="FootnoteReference"/>
          <w:rFonts w:ascii="Times" w:eastAsia="Times New Roman" w:hAnsi="Times" w:cs="Times New Roman"/>
          <w:sz w:val="24"/>
          <w:szCs w:val="24"/>
        </w:rPr>
        <w:footnoteReference w:id="61"/>
      </w:r>
      <w:r w:rsidR="00303AD2" w:rsidRPr="00B16D54">
        <w:rPr>
          <w:rFonts w:ascii="Times" w:eastAsia="Times New Roman" w:hAnsi="Times" w:cs="Times New Roman"/>
          <w:sz w:val="24"/>
          <w:szCs w:val="24"/>
        </w:rPr>
        <w:t xml:space="preserve"> </w:t>
      </w:r>
      <w:r w:rsidR="00B16D54" w:rsidRPr="00B16D54">
        <w:rPr>
          <w:rFonts w:ascii="Times" w:hAnsi="Times" w:cs="Times New Roman"/>
          <w:i/>
          <w:iCs/>
          <w:sz w:val="24"/>
          <w:szCs w:val="24"/>
        </w:rPr>
        <w:t>Blueprint for Change</w:t>
      </w:r>
      <w:r w:rsidR="00B16D54" w:rsidRPr="00B16D54">
        <w:rPr>
          <w:rFonts w:ascii="Times" w:eastAsia="Times New Roman" w:hAnsi="Times" w:cs="Times New Roman"/>
          <w:sz w:val="24"/>
          <w:szCs w:val="24"/>
        </w:rPr>
        <w:t xml:space="preserve"> includes a Transformation Plan, which consist of proposed strategies for restructuring NYCHA’s business model and operations to improve the delivery of services to residents.</w:t>
      </w:r>
      <w:r>
        <w:rPr>
          <w:rStyle w:val="FootnoteReference"/>
          <w:rFonts w:ascii="Times" w:eastAsia="Times New Roman" w:hAnsi="Times" w:cs="Times New Roman"/>
          <w:sz w:val="24"/>
          <w:szCs w:val="24"/>
        </w:rPr>
        <w:footnoteReference w:id="62"/>
      </w:r>
      <w:r w:rsidR="00B16D54" w:rsidRPr="00B16D54">
        <w:rPr>
          <w:rFonts w:ascii="Times" w:eastAsia="Times New Roman" w:hAnsi="Times" w:cs="Times New Roman"/>
          <w:sz w:val="24"/>
          <w:szCs w:val="24"/>
        </w:rPr>
        <w:t xml:space="preserve"> </w:t>
      </w:r>
      <w:r w:rsidR="00B16D54" w:rsidRPr="00B16D54">
        <w:rPr>
          <w:rFonts w:ascii="Times" w:hAnsi="Times" w:cs="Times New Roman"/>
          <w:i/>
          <w:iCs/>
          <w:sz w:val="24"/>
          <w:szCs w:val="24"/>
        </w:rPr>
        <w:t>Blueprint for Change</w:t>
      </w:r>
      <w:r w:rsidR="00B16D54" w:rsidRPr="00B16D54">
        <w:rPr>
          <w:rFonts w:ascii="Times" w:eastAsia="Times New Roman" w:hAnsi="Times" w:cs="Times New Roman"/>
          <w:sz w:val="24"/>
          <w:szCs w:val="24"/>
        </w:rPr>
        <w:t xml:space="preserve"> also includes a Stabilization Plan, which contains ideas for raising capital funding using a Public Housing Preservation Trust that can completely rehabilitate the Authority’s more than 300 developments while keeping them fully and permanently public and affordable – investments that will also generate job and job training opportunities for residents – in order </w:t>
      </w:r>
      <w:r w:rsidR="00303AD2" w:rsidRPr="00B16D54">
        <w:rPr>
          <w:rFonts w:ascii="Times" w:eastAsia="Times New Roman" w:hAnsi="Times" w:cs="Times New Roman"/>
          <w:sz w:val="24"/>
          <w:szCs w:val="24"/>
        </w:rPr>
        <w:t>to address $18 billion to $25 billion in capital need across roughly 110,000 apartments.</w:t>
      </w:r>
      <w:r>
        <w:rPr>
          <w:rStyle w:val="FootnoteReference"/>
          <w:rFonts w:ascii="Times" w:eastAsia="Times New Roman" w:hAnsi="Times" w:cs="Times New Roman"/>
          <w:sz w:val="24"/>
          <w:szCs w:val="24"/>
        </w:rPr>
        <w:footnoteReference w:id="63"/>
      </w:r>
      <w:r w:rsidR="00303AD2" w:rsidRPr="00B16D54">
        <w:rPr>
          <w:rFonts w:ascii="Times" w:eastAsia="Times New Roman" w:hAnsi="Times" w:cs="Times New Roman"/>
          <w:sz w:val="24"/>
          <w:szCs w:val="24"/>
        </w:rPr>
        <w:t xml:space="preserve"> When combin</w:t>
      </w:r>
      <w:r w:rsidR="00BE4541">
        <w:rPr>
          <w:rFonts w:ascii="Times" w:eastAsia="Times New Roman" w:hAnsi="Times" w:cs="Times New Roman"/>
          <w:sz w:val="24"/>
          <w:szCs w:val="24"/>
        </w:rPr>
        <w:t>e</w:t>
      </w:r>
      <w:r w:rsidR="00303AD2" w:rsidRPr="00B16D54">
        <w:rPr>
          <w:rFonts w:ascii="Times" w:eastAsia="Times New Roman" w:hAnsi="Times" w:cs="Times New Roman"/>
          <w:sz w:val="24"/>
          <w:szCs w:val="24"/>
        </w:rPr>
        <w:t xml:space="preserve">d with </w:t>
      </w:r>
      <w:r w:rsidR="00303AD2" w:rsidRPr="00B16D54">
        <w:rPr>
          <w:rFonts w:ascii="Times" w:eastAsia="Times New Roman" w:hAnsi="Times" w:cs="Times New Roman"/>
          <w:i/>
          <w:iCs/>
          <w:sz w:val="24"/>
          <w:szCs w:val="24"/>
        </w:rPr>
        <w:t xml:space="preserve">NYCHA 2.0 </w:t>
      </w:r>
      <w:r w:rsidR="00303AD2" w:rsidRPr="00B16D54">
        <w:rPr>
          <w:rFonts w:ascii="Times" w:eastAsia="Times New Roman" w:hAnsi="Times" w:cs="Times New Roman"/>
          <w:sz w:val="24"/>
          <w:szCs w:val="24"/>
        </w:rPr>
        <w:t xml:space="preserve">strategies across the other 62,000 apartments, the stabilization strategy </w:t>
      </w:r>
      <w:r w:rsidR="007F406A">
        <w:rPr>
          <w:rFonts w:ascii="Times" w:eastAsia="Times New Roman" w:hAnsi="Times" w:cs="Times New Roman"/>
          <w:sz w:val="24"/>
          <w:szCs w:val="24"/>
        </w:rPr>
        <w:t xml:space="preserve">is said to </w:t>
      </w:r>
      <w:r w:rsidR="00303AD2" w:rsidRPr="00B16D54">
        <w:rPr>
          <w:rFonts w:ascii="Times" w:eastAsia="Times New Roman" w:hAnsi="Times" w:cs="Times New Roman"/>
          <w:sz w:val="24"/>
          <w:szCs w:val="24"/>
        </w:rPr>
        <w:t xml:space="preserve">address the physical needs across </w:t>
      </w:r>
      <w:r w:rsidR="007F406A">
        <w:rPr>
          <w:rFonts w:ascii="Times" w:eastAsia="Times New Roman" w:hAnsi="Times" w:cs="Times New Roman"/>
          <w:sz w:val="24"/>
          <w:szCs w:val="24"/>
        </w:rPr>
        <w:t xml:space="preserve">NYCHA’s </w:t>
      </w:r>
      <w:r w:rsidR="00303AD2" w:rsidRPr="00B16D54">
        <w:rPr>
          <w:rFonts w:ascii="Times" w:eastAsia="Times New Roman" w:hAnsi="Times" w:cs="Times New Roman"/>
          <w:sz w:val="24"/>
          <w:szCs w:val="24"/>
        </w:rPr>
        <w:t>entire portfolio.</w:t>
      </w:r>
    </w:p>
    <w:p w14:paraId="420B0B95" w14:textId="07C3BB28" w:rsidR="0031761C" w:rsidRPr="00BE4541" w:rsidRDefault="00A25536" w:rsidP="00E631C4">
      <w:pPr>
        <w:pStyle w:val="ListParagraph"/>
        <w:spacing w:before="100" w:beforeAutospacing="1" w:after="100" w:afterAutospacing="1"/>
        <w:jc w:val="both"/>
        <w:rPr>
          <w:rFonts w:ascii="Times" w:hAnsi="Times" w:cs="Times New Roman"/>
          <w:b/>
          <w:bCs/>
          <w:i/>
          <w:iCs/>
          <w:sz w:val="24"/>
          <w:szCs w:val="24"/>
        </w:rPr>
      </w:pPr>
      <w:r w:rsidRPr="00E631C4">
        <w:rPr>
          <w:rFonts w:ascii="Times New Roman" w:hAnsi="Times New Roman" w:cs="Times New Roman"/>
          <w:b/>
          <w:i/>
        </w:rPr>
        <w:t>Transformati</w:t>
      </w:r>
      <w:r w:rsidR="003E6E51" w:rsidRPr="00E631C4">
        <w:rPr>
          <w:rFonts w:ascii="Times New Roman" w:hAnsi="Times New Roman" w:cs="Times New Roman"/>
          <w:b/>
          <w:i/>
        </w:rPr>
        <w:t>on Plan</w:t>
      </w:r>
    </w:p>
    <w:p w14:paraId="4A1D8D2C" w14:textId="507E7DA9" w:rsidR="00B16D54" w:rsidRPr="00B16D54" w:rsidRDefault="00B16D54" w:rsidP="00840CFA">
      <w:pPr>
        <w:spacing w:after="0"/>
        <w:ind w:firstLine="720"/>
        <w:jc w:val="both"/>
        <w:rPr>
          <w:rFonts w:ascii="Times" w:eastAsia="Times New Roman" w:hAnsi="Times" w:cs="Calibri"/>
          <w:sz w:val="24"/>
          <w:szCs w:val="24"/>
        </w:rPr>
      </w:pPr>
      <w:r>
        <w:rPr>
          <w:rFonts w:ascii="Times" w:eastAsia="Times New Roman" w:hAnsi="Times" w:cs="Calibri"/>
          <w:sz w:val="24"/>
          <w:szCs w:val="24"/>
        </w:rPr>
        <w:t xml:space="preserve">NYCHA’s </w:t>
      </w:r>
      <w:r w:rsidRPr="00D147FC">
        <w:rPr>
          <w:rFonts w:ascii="Times" w:eastAsia="Times New Roman" w:hAnsi="Times" w:cs="Calibri"/>
          <w:i/>
          <w:iCs/>
          <w:sz w:val="24"/>
          <w:szCs w:val="24"/>
        </w:rPr>
        <w:t>Transformation Plan</w:t>
      </w:r>
      <w:r w:rsidRPr="00B16D54">
        <w:rPr>
          <w:rFonts w:ascii="Times" w:eastAsia="Times New Roman" w:hAnsi="Times" w:cs="Calibri"/>
          <w:sz w:val="24"/>
          <w:szCs w:val="24"/>
        </w:rPr>
        <w:t xml:space="preserve">, released on March 8, 2021, is NYCHA’s vision for significant and sustainable change to </w:t>
      </w:r>
      <w:r>
        <w:rPr>
          <w:rFonts w:ascii="Times" w:eastAsia="Times New Roman" w:hAnsi="Times" w:cs="Calibri"/>
          <w:sz w:val="24"/>
          <w:szCs w:val="24"/>
        </w:rPr>
        <w:t>the Authority’s</w:t>
      </w:r>
      <w:r w:rsidRPr="00B16D54">
        <w:rPr>
          <w:rFonts w:ascii="Times" w:eastAsia="Times New Roman" w:hAnsi="Times" w:cs="Calibri"/>
          <w:sz w:val="24"/>
          <w:szCs w:val="24"/>
        </w:rPr>
        <w:t xml:space="preserve"> governance and leadership structure, property management operations, and central office support functions.</w:t>
      </w:r>
      <w:r w:rsidRPr="00B16D54">
        <w:rPr>
          <w:rStyle w:val="FootnoteReference"/>
          <w:rFonts w:ascii="Times" w:eastAsia="Times New Roman" w:hAnsi="Times" w:cs="Calibri"/>
          <w:sz w:val="24"/>
          <w:szCs w:val="24"/>
        </w:rPr>
        <w:footnoteReference w:id="64"/>
      </w:r>
      <w:r w:rsidRPr="00B16D54">
        <w:rPr>
          <w:rFonts w:ascii="Times" w:eastAsia="Times New Roman" w:hAnsi="Times" w:cs="Calibri"/>
          <w:sz w:val="24"/>
          <w:szCs w:val="24"/>
        </w:rPr>
        <w:t xml:space="preserve"> The plan includes a set of proposed strategies that will set the Authority on a path to a stronger future and improve the resident experience.</w:t>
      </w:r>
      <w:r>
        <w:rPr>
          <w:rStyle w:val="FootnoteReference"/>
          <w:rFonts w:ascii="Times" w:eastAsia="Times New Roman" w:hAnsi="Times" w:cs="Calibri"/>
          <w:sz w:val="24"/>
          <w:szCs w:val="24"/>
        </w:rPr>
        <w:footnoteReference w:id="65"/>
      </w:r>
    </w:p>
    <w:p w14:paraId="232F89D5" w14:textId="59C75E30" w:rsidR="00BF69BE" w:rsidRPr="00BF69BE" w:rsidRDefault="00B16D54" w:rsidP="00840CFA">
      <w:pPr>
        <w:spacing w:after="0"/>
        <w:ind w:firstLine="720"/>
        <w:jc w:val="both"/>
        <w:rPr>
          <w:rFonts w:ascii="Times" w:eastAsia="Times New Roman" w:hAnsi="Times" w:cs="Times New Roman"/>
          <w:color w:val="000000" w:themeColor="text1"/>
          <w:sz w:val="24"/>
          <w:szCs w:val="24"/>
        </w:rPr>
      </w:pPr>
      <w:r w:rsidRPr="00BF69BE">
        <w:rPr>
          <w:rFonts w:ascii="Times" w:eastAsia="Times New Roman" w:hAnsi="Times" w:cs="Times New Roman"/>
          <w:color w:val="000000" w:themeColor="text1"/>
          <w:sz w:val="24"/>
          <w:szCs w:val="24"/>
        </w:rPr>
        <w:t xml:space="preserve">The </w:t>
      </w:r>
      <w:r w:rsidRPr="00E631C4">
        <w:rPr>
          <w:rFonts w:ascii="Times" w:eastAsia="Times New Roman" w:hAnsi="Times" w:cs="Times New Roman"/>
          <w:i/>
          <w:iCs/>
          <w:color w:val="000000" w:themeColor="text1"/>
          <w:sz w:val="24"/>
          <w:szCs w:val="24"/>
        </w:rPr>
        <w:t>Transformation Plan</w:t>
      </w:r>
      <w:r w:rsidRPr="00BF69BE">
        <w:rPr>
          <w:rFonts w:ascii="Times" w:eastAsia="Times New Roman" w:hAnsi="Times" w:cs="Times New Roman"/>
          <w:color w:val="000000" w:themeColor="text1"/>
          <w:sz w:val="24"/>
          <w:szCs w:val="24"/>
        </w:rPr>
        <w:t xml:space="preserve"> was conceived as part of the 2019 HUD Agreement and includes a set of strategies that will improve the resident experience and set the agency on a path to a stronger future.</w:t>
      </w:r>
      <w:r w:rsidRPr="00BF69BE">
        <w:rPr>
          <w:rStyle w:val="FootnoteReference"/>
          <w:rFonts w:ascii="Times" w:eastAsia="Times New Roman" w:hAnsi="Times" w:cs="Times New Roman"/>
          <w:color w:val="000000" w:themeColor="text1"/>
          <w:sz w:val="24"/>
          <w:szCs w:val="24"/>
        </w:rPr>
        <w:footnoteReference w:id="66"/>
      </w:r>
      <w:r w:rsidRPr="00BF69BE">
        <w:rPr>
          <w:rFonts w:ascii="Times" w:eastAsia="Times New Roman" w:hAnsi="Times" w:cs="Times New Roman"/>
          <w:color w:val="000000" w:themeColor="text1"/>
          <w:sz w:val="24"/>
          <w:szCs w:val="24"/>
        </w:rPr>
        <w:t xml:space="preserve"> The release of the </w:t>
      </w:r>
      <w:r w:rsidRPr="00840CFA">
        <w:rPr>
          <w:rFonts w:ascii="Times" w:eastAsia="Times New Roman" w:hAnsi="Times" w:cs="Times New Roman"/>
          <w:i/>
          <w:iCs/>
          <w:color w:val="000000" w:themeColor="text1"/>
          <w:sz w:val="24"/>
          <w:szCs w:val="24"/>
        </w:rPr>
        <w:t>Transformation Plan</w:t>
      </w:r>
      <w:r w:rsidRPr="00BF69BE">
        <w:rPr>
          <w:rFonts w:ascii="Times" w:eastAsia="Times New Roman" w:hAnsi="Times" w:cs="Times New Roman"/>
          <w:color w:val="000000" w:themeColor="text1"/>
          <w:sz w:val="24"/>
          <w:szCs w:val="24"/>
        </w:rPr>
        <w:t xml:space="preserve"> marks the beginning of this multi-year process. In partnership with residents and stakeholders, </w:t>
      </w:r>
      <w:r w:rsidR="00BF69BE" w:rsidRPr="00BF69BE">
        <w:rPr>
          <w:rFonts w:ascii="Times" w:hAnsi="Times"/>
          <w:color w:val="000000" w:themeColor="text1"/>
          <w:sz w:val="24"/>
          <w:szCs w:val="24"/>
        </w:rPr>
        <w:t xml:space="preserve">NYCHA identified three major organization changes to </w:t>
      </w:r>
      <w:r w:rsidR="00BF69BE" w:rsidRPr="00BF69BE">
        <w:rPr>
          <w:rFonts w:ascii="Times" w:eastAsia="Times New Roman" w:hAnsi="Times" w:cs="Times New Roman"/>
          <w:color w:val="000000" w:themeColor="text1"/>
          <w:sz w:val="24"/>
          <w:szCs w:val="24"/>
          <w:shd w:val="clear" w:color="auto" w:fill="FFFFFF"/>
        </w:rPr>
        <w:t xml:space="preserve">prioritize service delivery to </w:t>
      </w:r>
      <w:r w:rsidR="00840CFA">
        <w:rPr>
          <w:rFonts w:ascii="Times" w:eastAsia="Times New Roman" w:hAnsi="Times" w:cs="Times New Roman"/>
          <w:color w:val="000000" w:themeColor="text1"/>
          <w:sz w:val="24"/>
          <w:szCs w:val="24"/>
          <w:shd w:val="clear" w:color="auto" w:fill="FFFFFF"/>
        </w:rPr>
        <w:t xml:space="preserve">its </w:t>
      </w:r>
      <w:r w:rsidR="00BF69BE" w:rsidRPr="00BF69BE">
        <w:rPr>
          <w:rFonts w:ascii="Times" w:eastAsia="Times New Roman" w:hAnsi="Times" w:cs="Times New Roman"/>
          <w:color w:val="000000" w:themeColor="text1"/>
          <w:sz w:val="24"/>
          <w:szCs w:val="24"/>
          <w:shd w:val="clear" w:color="auto" w:fill="FFFFFF"/>
        </w:rPr>
        <w:t>residents so that NYCHA's operations are as effective, efficient, and fair as possible:</w:t>
      </w:r>
      <w:r w:rsidR="00BF69BE">
        <w:rPr>
          <w:rStyle w:val="FootnoteReference"/>
          <w:rFonts w:ascii="Times" w:eastAsia="Times New Roman" w:hAnsi="Times" w:cs="Times New Roman"/>
          <w:color w:val="000000" w:themeColor="text1"/>
          <w:sz w:val="24"/>
          <w:szCs w:val="24"/>
          <w:shd w:val="clear" w:color="auto" w:fill="FFFFFF"/>
        </w:rPr>
        <w:footnoteReference w:id="67"/>
      </w:r>
    </w:p>
    <w:p w14:paraId="71C773D0" w14:textId="77777777" w:rsidR="00BF69BE" w:rsidRPr="00BF69BE" w:rsidRDefault="00BF69BE" w:rsidP="00840CFA">
      <w:pPr>
        <w:numPr>
          <w:ilvl w:val="0"/>
          <w:numId w:val="10"/>
        </w:numPr>
        <w:spacing w:after="0"/>
        <w:ind w:left="1095"/>
        <w:jc w:val="both"/>
        <w:rPr>
          <w:rFonts w:ascii="Times" w:eastAsia="Times New Roman" w:hAnsi="Times" w:cs="Times New Roman"/>
          <w:color w:val="000000" w:themeColor="text1"/>
          <w:sz w:val="24"/>
          <w:szCs w:val="24"/>
        </w:rPr>
      </w:pPr>
      <w:r w:rsidRPr="00BF69BE">
        <w:rPr>
          <w:rFonts w:ascii="Times" w:eastAsia="Times New Roman" w:hAnsi="Times" w:cs="Times New Roman"/>
          <w:color w:val="000000" w:themeColor="text1"/>
          <w:sz w:val="24"/>
          <w:szCs w:val="24"/>
        </w:rPr>
        <w:t>Changes to NYCHA’s Board and executive management structure that will better align functions across the organization and streamline business decision-making.</w:t>
      </w:r>
    </w:p>
    <w:p w14:paraId="0BB2DEB0" w14:textId="5075388B" w:rsidR="00BF69BE" w:rsidRPr="00BF69BE" w:rsidRDefault="00BF69BE" w:rsidP="00840CFA">
      <w:pPr>
        <w:numPr>
          <w:ilvl w:val="0"/>
          <w:numId w:val="10"/>
        </w:numPr>
        <w:spacing w:after="0"/>
        <w:ind w:left="1095"/>
        <w:jc w:val="both"/>
        <w:rPr>
          <w:rFonts w:ascii="Times" w:eastAsia="Times New Roman" w:hAnsi="Times" w:cs="Times New Roman"/>
          <w:color w:val="000000" w:themeColor="text1"/>
          <w:sz w:val="24"/>
          <w:szCs w:val="24"/>
        </w:rPr>
      </w:pPr>
      <w:r w:rsidRPr="00BF69BE">
        <w:rPr>
          <w:rFonts w:ascii="Times" w:eastAsia="Times New Roman" w:hAnsi="Times" w:cs="Times New Roman"/>
          <w:color w:val="000000" w:themeColor="text1"/>
          <w:sz w:val="24"/>
          <w:szCs w:val="24"/>
        </w:rPr>
        <w:t xml:space="preserve">Changes to NYCHA’s property portfolios and property operations, including moving from a six-borough management structure to four geographic management boroughs and decentralizing further into smaller neighborhood management groups within each borough. </w:t>
      </w:r>
    </w:p>
    <w:p w14:paraId="6815BD9B" w14:textId="77777777" w:rsidR="00BF69BE" w:rsidRPr="00BF69BE" w:rsidRDefault="00BF69BE" w:rsidP="00840CFA">
      <w:pPr>
        <w:numPr>
          <w:ilvl w:val="0"/>
          <w:numId w:val="10"/>
        </w:numPr>
        <w:spacing w:after="0"/>
        <w:ind w:left="1095"/>
        <w:jc w:val="both"/>
        <w:rPr>
          <w:rFonts w:ascii="Times" w:eastAsia="Times New Roman" w:hAnsi="Times" w:cs="Times New Roman"/>
          <w:color w:val="000000" w:themeColor="text1"/>
          <w:sz w:val="24"/>
          <w:szCs w:val="24"/>
        </w:rPr>
      </w:pPr>
      <w:r w:rsidRPr="00BF69BE">
        <w:rPr>
          <w:rFonts w:ascii="Times" w:eastAsia="Times New Roman" w:hAnsi="Times" w:cs="Times New Roman"/>
          <w:color w:val="000000" w:themeColor="text1"/>
          <w:sz w:val="24"/>
          <w:szCs w:val="24"/>
        </w:rPr>
        <w:t>Changes to how central office functions are aligned to support property operations, based on work volumes and needs.</w:t>
      </w:r>
    </w:p>
    <w:p w14:paraId="52C04409" w14:textId="22D98781" w:rsidR="00BE4541" w:rsidRPr="00840CFA" w:rsidRDefault="00BF69BE" w:rsidP="00840CFA">
      <w:pPr>
        <w:spacing w:after="0"/>
        <w:ind w:firstLine="360"/>
        <w:jc w:val="both"/>
        <w:rPr>
          <w:rFonts w:ascii="Times" w:eastAsia="Times New Roman" w:hAnsi="Times" w:cs="Times New Roman"/>
          <w:color w:val="000000" w:themeColor="text1"/>
          <w:sz w:val="24"/>
          <w:szCs w:val="24"/>
        </w:rPr>
      </w:pPr>
      <w:r w:rsidRPr="00BF69BE">
        <w:rPr>
          <w:rFonts w:ascii="Times" w:eastAsia="Times New Roman" w:hAnsi="Times" w:cs="Times New Roman"/>
          <w:color w:val="000000" w:themeColor="text1"/>
          <w:sz w:val="24"/>
          <w:szCs w:val="24"/>
          <w:shd w:val="clear" w:color="auto" w:fill="FFFFFF"/>
        </w:rPr>
        <w:t xml:space="preserve">The </w:t>
      </w:r>
      <w:r w:rsidRPr="00840CFA">
        <w:rPr>
          <w:rFonts w:ascii="Times" w:eastAsia="Times New Roman" w:hAnsi="Times" w:cs="Times New Roman"/>
          <w:i/>
          <w:iCs/>
          <w:color w:val="000000" w:themeColor="text1"/>
          <w:sz w:val="24"/>
          <w:szCs w:val="24"/>
          <w:shd w:val="clear" w:color="auto" w:fill="FFFFFF"/>
        </w:rPr>
        <w:t>Transformation Plan</w:t>
      </w:r>
      <w:r w:rsidRPr="00BF69BE">
        <w:rPr>
          <w:rFonts w:ascii="Times" w:eastAsia="Times New Roman" w:hAnsi="Times" w:cs="Times New Roman"/>
          <w:color w:val="000000" w:themeColor="text1"/>
          <w:sz w:val="24"/>
          <w:szCs w:val="24"/>
          <w:shd w:val="clear" w:color="auto" w:fill="FFFFFF"/>
        </w:rPr>
        <w:t xml:space="preserve"> also includes numerous business process improvements that focus on service delivery pain points as identified by residents and employees, such as the Annual Review process and the Alternative Work Schedule program, along with new ideas for how NYCHA can improve productivity through technology and supply chain management, improve resident partnerships and expand resident economic opportunities, and empower employees through learning and development.</w:t>
      </w:r>
      <w:r>
        <w:rPr>
          <w:rStyle w:val="FootnoteReference"/>
          <w:rFonts w:ascii="Times" w:eastAsia="Times New Roman" w:hAnsi="Times" w:cs="Times New Roman"/>
          <w:color w:val="000000" w:themeColor="text1"/>
          <w:sz w:val="24"/>
          <w:szCs w:val="24"/>
          <w:shd w:val="clear" w:color="auto" w:fill="FFFFFF"/>
        </w:rPr>
        <w:footnoteReference w:id="68"/>
      </w:r>
      <w:r w:rsidR="00BE4541">
        <w:rPr>
          <w:rFonts w:ascii="Times" w:eastAsia="Times New Roman" w:hAnsi="Times" w:cs="Times New Roman"/>
          <w:color w:val="000000" w:themeColor="text1"/>
          <w:sz w:val="24"/>
          <w:szCs w:val="24"/>
          <w:shd w:val="clear" w:color="auto" w:fill="FFFFFF"/>
        </w:rPr>
        <w:tab/>
      </w:r>
    </w:p>
    <w:p w14:paraId="161D20DA" w14:textId="5E42F7F0" w:rsidR="00840CFA" w:rsidRPr="00840CFA" w:rsidRDefault="00BE4541" w:rsidP="00E631C4">
      <w:pPr>
        <w:spacing w:after="0"/>
        <w:ind w:firstLine="360"/>
        <w:jc w:val="both"/>
      </w:pPr>
      <w:r>
        <w:rPr>
          <w:rFonts w:ascii="Times New Roman" w:hAnsi="Times New Roman" w:cs="Times New Roman"/>
          <w:b/>
          <w:i/>
        </w:rPr>
        <w:tab/>
      </w:r>
      <w:r w:rsidR="00FE1A76" w:rsidRPr="00E631C4">
        <w:rPr>
          <w:rFonts w:ascii="Times New Roman" w:hAnsi="Times New Roman" w:cs="Times New Roman"/>
          <w:b/>
          <w:i/>
        </w:rPr>
        <w:t>Stabilization Plan</w:t>
      </w:r>
    </w:p>
    <w:p w14:paraId="09811A4F" w14:textId="7B80046C" w:rsidR="00450220" w:rsidRDefault="00C8126C" w:rsidP="00840CFA">
      <w:pPr>
        <w:spacing w:after="0"/>
        <w:ind w:firstLine="720"/>
        <w:jc w:val="both"/>
        <w:rPr>
          <w:rFonts w:ascii="TimesNewRomanPSMT" w:eastAsia="Times New Roman" w:hAnsi="TimesNewRomanPSMT" w:cs="Times New Roman"/>
          <w:sz w:val="24"/>
          <w:szCs w:val="24"/>
        </w:rPr>
      </w:pPr>
      <w:r w:rsidRPr="00C8126C">
        <w:rPr>
          <w:rFonts w:ascii="TimesNewRomanPSMT" w:eastAsia="Times New Roman" w:hAnsi="TimesNewRomanPSMT" w:cs="Times New Roman"/>
          <w:sz w:val="24"/>
          <w:szCs w:val="24"/>
        </w:rPr>
        <w:t xml:space="preserve">NYCHA’s </w:t>
      </w:r>
      <w:r w:rsidRPr="00840CFA">
        <w:rPr>
          <w:rFonts w:ascii="TimesNewRomanPSMT" w:eastAsia="Times New Roman" w:hAnsi="TimesNewRomanPSMT" w:cs="Times New Roman"/>
          <w:i/>
          <w:iCs/>
          <w:sz w:val="24"/>
          <w:szCs w:val="24"/>
        </w:rPr>
        <w:t>Stabilization Strategy</w:t>
      </w:r>
      <w:r w:rsidRPr="00C8126C">
        <w:rPr>
          <w:rFonts w:ascii="TimesNewRomanPSMT" w:eastAsia="Times New Roman" w:hAnsi="TimesNewRomanPSMT" w:cs="Times New Roman"/>
          <w:sz w:val="24"/>
          <w:szCs w:val="24"/>
        </w:rPr>
        <w:t xml:space="preserve"> proposes </w:t>
      </w:r>
      <w:r w:rsidR="00FB6D73">
        <w:rPr>
          <w:rFonts w:ascii="TimesNewRomanPSMT" w:eastAsia="Times New Roman" w:hAnsi="TimesNewRomanPSMT" w:cs="Times New Roman"/>
          <w:sz w:val="24"/>
          <w:szCs w:val="24"/>
        </w:rPr>
        <w:t xml:space="preserve">to </w:t>
      </w:r>
      <w:r w:rsidR="00EB736A">
        <w:rPr>
          <w:rFonts w:ascii="TimesNewRomanPSMT" w:eastAsia="Times New Roman" w:hAnsi="TimesNewRomanPSMT" w:cs="Times New Roman"/>
          <w:sz w:val="24"/>
          <w:szCs w:val="24"/>
        </w:rPr>
        <w:t xml:space="preserve">raise capital funding by </w:t>
      </w:r>
      <w:r w:rsidRPr="00C8126C">
        <w:rPr>
          <w:rFonts w:ascii="TimesNewRomanPSMT" w:eastAsia="Times New Roman" w:hAnsi="TimesNewRomanPSMT" w:cs="Times New Roman"/>
          <w:sz w:val="24"/>
          <w:szCs w:val="24"/>
        </w:rPr>
        <w:t>creat</w:t>
      </w:r>
      <w:r w:rsidR="00EB736A">
        <w:rPr>
          <w:rFonts w:ascii="TimesNewRomanPSMT" w:eastAsia="Times New Roman" w:hAnsi="TimesNewRomanPSMT" w:cs="Times New Roman"/>
          <w:sz w:val="24"/>
          <w:szCs w:val="24"/>
        </w:rPr>
        <w:t>ing</w:t>
      </w:r>
      <w:r w:rsidRPr="00C8126C">
        <w:rPr>
          <w:rFonts w:ascii="TimesNewRomanPSMT" w:eastAsia="Times New Roman" w:hAnsi="TimesNewRomanPSMT" w:cs="Times New Roman"/>
          <w:sz w:val="24"/>
          <w:szCs w:val="24"/>
        </w:rPr>
        <w:t xml:space="preserve"> a new public entity – the Public Housing Preservation Trust – to improve residents’ homes while protecting their rights.</w:t>
      </w:r>
      <w:r w:rsidR="001802C4">
        <w:rPr>
          <w:rStyle w:val="FootnoteReference"/>
          <w:rFonts w:ascii="TimesNewRomanPSMT" w:eastAsia="Times New Roman" w:hAnsi="TimesNewRomanPSMT" w:cs="Times New Roman"/>
          <w:sz w:val="24"/>
          <w:szCs w:val="24"/>
        </w:rPr>
        <w:footnoteReference w:id="69"/>
      </w:r>
      <w:r w:rsidRPr="00C8126C">
        <w:rPr>
          <w:rFonts w:ascii="TimesNewRomanPSMT" w:eastAsia="Times New Roman" w:hAnsi="TimesNewRomanPSMT" w:cs="Times New Roman"/>
          <w:sz w:val="24"/>
          <w:szCs w:val="24"/>
        </w:rPr>
        <w:t xml:space="preserve"> </w:t>
      </w:r>
      <w:r w:rsidR="003F0530">
        <w:rPr>
          <w:rFonts w:ascii="TimesNewRomanPSMT" w:eastAsia="Times New Roman" w:hAnsi="TimesNewRomanPSMT" w:cs="Times New Roman"/>
          <w:sz w:val="24"/>
          <w:szCs w:val="24"/>
        </w:rPr>
        <w:t>With the</w:t>
      </w:r>
      <w:r w:rsidRPr="00C8126C">
        <w:rPr>
          <w:rFonts w:ascii="TimesNewRomanPSMT" w:eastAsia="Times New Roman" w:hAnsi="TimesNewRomanPSMT" w:cs="Times New Roman"/>
          <w:sz w:val="24"/>
          <w:szCs w:val="24"/>
        </w:rPr>
        <w:t xml:space="preserve"> Public Housing Preservation Trust</w:t>
      </w:r>
      <w:r>
        <w:rPr>
          <w:rFonts w:ascii="TimesNewRomanPSMT" w:eastAsia="Times New Roman" w:hAnsi="TimesNewRomanPSMT" w:cs="Times New Roman"/>
          <w:sz w:val="24"/>
          <w:szCs w:val="24"/>
        </w:rPr>
        <w:t xml:space="preserve"> (the “Trust”)</w:t>
      </w:r>
      <w:r w:rsidRPr="00C8126C">
        <w:rPr>
          <w:rFonts w:ascii="TimesNewRomanPSMT" w:eastAsia="Times New Roman" w:hAnsi="TimesNewRomanPSMT" w:cs="Times New Roman"/>
          <w:sz w:val="24"/>
          <w:szCs w:val="24"/>
        </w:rPr>
        <w:t xml:space="preserve">, </w:t>
      </w:r>
      <w:r w:rsidR="00450220">
        <w:rPr>
          <w:rFonts w:ascii="TimesNewRomanPSMT" w:eastAsia="Times New Roman" w:hAnsi="TimesNewRomanPSMT" w:cs="Times New Roman"/>
          <w:sz w:val="24"/>
          <w:szCs w:val="24"/>
        </w:rPr>
        <w:t xml:space="preserve">NYCHA anticipates </w:t>
      </w:r>
      <w:r w:rsidR="00FB6D73">
        <w:rPr>
          <w:rFonts w:ascii="TimesNewRomanPSMT" w:eastAsia="Times New Roman" w:hAnsi="TimesNewRomanPSMT" w:cs="Times New Roman"/>
          <w:sz w:val="24"/>
          <w:szCs w:val="24"/>
        </w:rPr>
        <w:t xml:space="preserve">that </w:t>
      </w:r>
      <w:r w:rsidRPr="00C8126C">
        <w:rPr>
          <w:rFonts w:ascii="TimesNewRomanPSMT" w:eastAsia="Times New Roman" w:hAnsi="TimesNewRomanPSMT" w:cs="Times New Roman"/>
          <w:sz w:val="24"/>
          <w:szCs w:val="24"/>
        </w:rPr>
        <w:t xml:space="preserve">repairs and improvements </w:t>
      </w:r>
      <w:r w:rsidR="00FB6D73">
        <w:rPr>
          <w:rFonts w:ascii="TimesNewRomanPSMT" w:eastAsia="Times New Roman" w:hAnsi="TimesNewRomanPSMT" w:cs="Times New Roman"/>
          <w:sz w:val="24"/>
          <w:szCs w:val="24"/>
        </w:rPr>
        <w:t>would be</w:t>
      </w:r>
      <w:r w:rsidRPr="00C8126C">
        <w:rPr>
          <w:rFonts w:ascii="TimesNewRomanPSMT" w:eastAsia="Times New Roman" w:hAnsi="TimesNewRomanPSMT" w:cs="Times New Roman"/>
          <w:sz w:val="24"/>
          <w:szCs w:val="24"/>
        </w:rPr>
        <w:t xml:space="preserve"> made faster, and th</w:t>
      </w:r>
      <w:r w:rsidR="00FB6D73">
        <w:rPr>
          <w:rFonts w:ascii="TimesNewRomanPSMT" w:eastAsia="Times New Roman" w:hAnsi="TimesNewRomanPSMT" w:cs="Times New Roman"/>
          <w:sz w:val="24"/>
          <w:szCs w:val="24"/>
        </w:rPr>
        <w:t xml:space="preserve">at </w:t>
      </w:r>
      <w:r w:rsidRPr="00C8126C">
        <w:rPr>
          <w:rFonts w:ascii="TimesNewRomanPSMT" w:eastAsia="Times New Roman" w:hAnsi="TimesNewRomanPSMT" w:cs="Times New Roman"/>
          <w:sz w:val="24"/>
          <w:szCs w:val="24"/>
        </w:rPr>
        <w:t xml:space="preserve">properties </w:t>
      </w:r>
      <w:r w:rsidR="00FB6D73">
        <w:rPr>
          <w:rFonts w:ascii="TimesNewRomanPSMT" w:eastAsia="Times New Roman" w:hAnsi="TimesNewRomanPSMT" w:cs="Times New Roman"/>
          <w:sz w:val="24"/>
          <w:szCs w:val="24"/>
        </w:rPr>
        <w:t>would</w:t>
      </w:r>
      <w:r w:rsidR="00450220">
        <w:rPr>
          <w:rFonts w:ascii="TimesNewRomanPSMT" w:eastAsia="Times New Roman" w:hAnsi="TimesNewRomanPSMT" w:cs="Times New Roman"/>
          <w:sz w:val="24"/>
          <w:szCs w:val="24"/>
        </w:rPr>
        <w:t xml:space="preserve"> </w:t>
      </w:r>
      <w:r w:rsidRPr="00C8126C">
        <w:rPr>
          <w:rFonts w:ascii="TimesNewRomanPSMT" w:eastAsia="Times New Roman" w:hAnsi="TimesNewRomanPSMT" w:cs="Times New Roman"/>
          <w:sz w:val="24"/>
          <w:szCs w:val="24"/>
        </w:rPr>
        <w:t>receive more funding through switching from traditional Section 9 public housing subsidy to the more reliable and valuable Tenant Protection Vouchers (</w:t>
      </w:r>
      <w:r w:rsidR="00172A38">
        <w:rPr>
          <w:rFonts w:ascii="TimesNewRomanPSMT" w:eastAsia="Times New Roman" w:hAnsi="TimesNewRomanPSMT" w:cs="Times New Roman"/>
          <w:sz w:val="24"/>
          <w:szCs w:val="24"/>
        </w:rPr>
        <w:t>“</w:t>
      </w:r>
      <w:r w:rsidRPr="00C8126C">
        <w:rPr>
          <w:rFonts w:ascii="TimesNewRomanPSMT" w:eastAsia="Times New Roman" w:hAnsi="TimesNewRomanPSMT" w:cs="Times New Roman"/>
          <w:sz w:val="24"/>
          <w:szCs w:val="24"/>
        </w:rPr>
        <w:t>TPV</w:t>
      </w:r>
      <w:r w:rsidR="00172A38">
        <w:rPr>
          <w:rFonts w:ascii="TimesNewRomanPSMT" w:eastAsia="Times New Roman" w:hAnsi="TimesNewRomanPSMT" w:cs="Times New Roman"/>
          <w:sz w:val="24"/>
          <w:szCs w:val="24"/>
        </w:rPr>
        <w:t>”</w:t>
      </w:r>
      <w:r w:rsidRPr="00C8126C">
        <w:rPr>
          <w:rFonts w:ascii="TimesNewRomanPSMT" w:eastAsia="Times New Roman" w:hAnsi="TimesNewRomanPSMT" w:cs="Times New Roman"/>
          <w:sz w:val="24"/>
          <w:szCs w:val="24"/>
        </w:rPr>
        <w:t>), a project-based Section 8 subsidy.</w:t>
      </w:r>
      <w:r w:rsidR="00840CFA">
        <w:rPr>
          <w:rStyle w:val="FootnoteReference"/>
          <w:rFonts w:ascii="TimesNewRomanPSMT" w:eastAsia="Times New Roman" w:hAnsi="TimesNewRomanPSMT" w:cs="Times New Roman"/>
          <w:sz w:val="24"/>
          <w:szCs w:val="24"/>
        </w:rPr>
        <w:footnoteReference w:id="70"/>
      </w:r>
      <w:r w:rsidRPr="00C8126C">
        <w:rPr>
          <w:rFonts w:ascii="TimesNewRomanPSMT" w:eastAsia="Times New Roman" w:hAnsi="TimesNewRomanPSMT" w:cs="Times New Roman"/>
          <w:sz w:val="24"/>
          <w:szCs w:val="24"/>
        </w:rPr>
        <w:t xml:space="preserve"> </w:t>
      </w:r>
    </w:p>
    <w:p w14:paraId="3677D697" w14:textId="1AC5307D" w:rsidR="00450220" w:rsidRDefault="00DC5B0D" w:rsidP="00840CFA">
      <w:pPr>
        <w:spacing w:after="0"/>
        <w:ind w:firstLine="720"/>
        <w:jc w:val="both"/>
        <w:rPr>
          <w:rFonts w:ascii="TimesNewRomanPSMT" w:eastAsia="Times New Roman" w:hAnsi="TimesNewRomanPSMT" w:cs="Times New Roman"/>
          <w:sz w:val="24"/>
          <w:szCs w:val="24"/>
        </w:rPr>
      </w:pPr>
      <w:r>
        <w:rPr>
          <w:rFonts w:ascii="TimesNewRomanPSMT" w:eastAsia="Times New Roman" w:hAnsi="TimesNewRomanPSMT" w:cs="Times New Roman"/>
          <w:sz w:val="24"/>
          <w:szCs w:val="24"/>
        </w:rPr>
        <w:t xml:space="preserve">Through this plan, </w:t>
      </w:r>
      <w:r w:rsidR="00C8126C" w:rsidRPr="00C8126C">
        <w:rPr>
          <w:rFonts w:ascii="TimesNewRomanPSMT" w:eastAsia="Times New Roman" w:hAnsi="TimesNewRomanPSMT" w:cs="Times New Roman"/>
          <w:sz w:val="24"/>
          <w:szCs w:val="24"/>
        </w:rPr>
        <w:t xml:space="preserve">NYCHA would remain the permanent owner of the properties, and a long-term ground lease with the Trust would </w:t>
      </w:r>
      <w:r w:rsidR="00840CFA">
        <w:rPr>
          <w:rFonts w:ascii="TimesNewRomanPSMT" w:eastAsia="Times New Roman" w:hAnsi="TimesNewRomanPSMT" w:cs="Times New Roman"/>
          <w:sz w:val="24"/>
          <w:szCs w:val="24"/>
        </w:rPr>
        <w:t xml:space="preserve">potentially </w:t>
      </w:r>
      <w:r w:rsidR="00C8126C" w:rsidRPr="00C8126C">
        <w:rPr>
          <w:rFonts w:ascii="TimesNewRomanPSMT" w:eastAsia="Times New Roman" w:hAnsi="TimesNewRomanPSMT" w:cs="Times New Roman"/>
          <w:sz w:val="24"/>
          <w:szCs w:val="24"/>
        </w:rPr>
        <w:t xml:space="preserve">allow </w:t>
      </w:r>
      <w:r>
        <w:rPr>
          <w:rFonts w:ascii="TimesNewRomanPSMT" w:eastAsia="Times New Roman" w:hAnsi="TimesNewRomanPSMT" w:cs="Times New Roman"/>
          <w:sz w:val="24"/>
          <w:szCs w:val="24"/>
        </w:rPr>
        <w:t>the Authority</w:t>
      </w:r>
      <w:r w:rsidR="00C8126C" w:rsidRPr="00C8126C">
        <w:rPr>
          <w:rFonts w:ascii="TimesNewRomanPSMT" w:eastAsia="Times New Roman" w:hAnsi="TimesNewRomanPSMT" w:cs="Times New Roman"/>
          <w:sz w:val="24"/>
          <w:szCs w:val="24"/>
        </w:rPr>
        <w:t xml:space="preserve"> to raise money for major rehabilitations.</w:t>
      </w:r>
      <w:r w:rsidR="00840CFA">
        <w:rPr>
          <w:rStyle w:val="FootnoteReference"/>
          <w:rFonts w:ascii="TimesNewRomanPSMT" w:eastAsia="Times New Roman" w:hAnsi="TimesNewRomanPSMT" w:cs="Times New Roman"/>
          <w:sz w:val="24"/>
          <w:szCs w:val="24"/>
        </w:rPr>
        <w:footnoteReference w:id="71"/>
      </w:r>
      <w:r w:rsidR="00C8126C" w:rsidRPr="00C8126C">
        <w:rPr>
          <w:rFonts w:ascii="TimesNewRomanPSMT" w:eastAsia="Times New Roman" w:hAnsi="TimesNewRomanPSMT" w:cs="Times New Roman"/>
          <w:sz w:val="24"/>
          <w:szCs w:val="24"/>
        </w:rPr>
        <w:t xml:space="preserve"> With the additional subsidy from the TPVs, NYCHA </w:t>
      </w:r>
      <w:r w:rsidR="00450220">
        <w:rPr>
          <w:rFonts w:ascii="TimesNewRomanPSMT" w:eastAsia="Times New Roman" w:hAnsi="TimesNewRomanPSMT" w:cs="Times New Roman"/>
          <w:sz w:val="24"/>
          <w:szCs w:val="24"/>
        </w:rPr>
        <w:t xml:space="preserve">anticipates to </w:t>
      </w:r>
      <w:r w:rsidR="00C8126C" w:rsidRPr="00C8126C">
        <w:rPr>
          <w:rFonts w:ascii="TimesNewRomanPSMT" w:eastAsia="Times New Roman" w:hAnsi="TimesNewRomanPSMT" w:cs="Times New Roman"/>
          <w:sz w:val="24"/>
          <w:szCs w:val="24"/>
        </w:rPr>
        <w:t>raise funds through bonds and loans to pay for the top-to-bottom renovations.</w:t>
      </w:r>
      <w:r w:rsidR="00840CFA">
        <w:rPr>
          <w:rStyle w:val="FootnoteReference"/>
          <w:rFonts w:ascii="TimesNewRomanPSMT" w:eastAsia="Times New Roman" w:hAnsi="TimesNewRomanPSMT" w:cs="Times New Roman"/>
          <w:sz w:val="24"/>
          <w:szCs w:val="24"/>
        </w:rPr>
        <w:footnoteReference w:id="72"/>
      </w:r>
      <w:r w:rsidR="00C8126C" w:rsidRPr="00C8126C">
        <w:rPr>
          <w:rFonts w:ascii="TimesNewRomanPSMT" w:eastAsia="Times New Roman" w:hAnsi="TimesNewRomanPSMT" w:cs="Times New Roman"/>
          <w:sz w:val="24"/>
          <w:szCs w:val="24"/>
        </w:rPr>
        <w:t xml:space="preserve"> Debt obligations would be paid back using the additional TPV subsidy that NYCHA would receive each year.</w:t>
      </w:r>
      <w:r w:rsidR="00840CFA">
        <w:rPr>
          <w:rStyle w:val="FootnoteReference"/>
          <w:rFonts w:ascii="TimesNewRomanPSMT" w:eastAsia="Times New Roman" w:hAnsi="TimesNewRomanPSMT" w:cs="Times New Roman"/>
          <w:sz w:val="24"/>
          <w:szCs w:val="24"/>
        </w:rPr>
        <w:footnoteReference w:id="73"/>
      </w:r>
      <w:r w:rsidR="00C8126C" w:rsidRPr="00C8126C">
        <w:rPr>
          <w:rFonts w:ascii="TimesNewRomanPSMT" w:eastAsia="Times New Roman" w:hAnsi="TimesNewRomanPSMT" w:cs="Times New Roman"/>
          <w:sz w:val="24"/>
          <w:szCs w:val="24"/>
        </w:rPr>
        <w:t xml:space="preserve"> </w:t>
      </w:r>
      <w:r>
        <w:rPr>
          <w:rFonts w:ascii="TimesNewRomanPSMT" w:eastAsia="Times New Roman" w:hAnsi="TimesNewRomanPSMT" w:cs="Times New Roman"/>
          <w:sz w:val="24"/>
          <w:szCs w:val="24"/>
        </w:rPr>
        <w:t xml:space="preserve">The implementation of this plan would </w:t>
      </w:r>
      <w:r w:rsidR="00CE6453">
        <w:rPr>
          <w:rFonts w:ascii="TimesNewRomanPSMT" w:eastAsia="Times New Roman" w:hAnsi="TimesNewRomanPSMT" w:cs="Times New Roman"/>
          <w:sz w:val="24"/>
          <w:szCs w:val="24"/>
        </w:rPr>
        <w:t xml:space="preserve">also </w:t>
      </w:r>
      <w:r>
        <w:rPr>
          <w:rFonts w:ascii="TimesNewRomanPSMT" w:eastAsia="Times New Roman" w:hAnsi="TimesNewRomanPSMT" w:cs="Times New Roman"/>
          <w:sz w:val="24"/>
          <w:szCs w:val="24"/>
        </w:rPr>
        <w:t>allow the</w:t>
      </w:r>
      <w:r w:rsidR="00C8126C" w:rsidRPr="00C8126C">
        <w:rPr>
          <w:rFonts w:ascii="TimesNewRomanPSMT" w:eastAsia="Times New Roman" w:hAnsi="TimesNewRomanPSMT" w:cs="Times New Roman"/>
          <w:sz w:val="24"/>
          <w:szCs w:val="24"/>
        </w:rPr>
        <w:t xml:space="preserve"> Trust to make higher quality repairs in a shorter period of time by using the more flexible procurement methods </w:t>
      </w:r>
      <w:r w:rsidR="00CE6453">
        <w:rPr>
          <w:rFonts w:ascii="TimesNewRomanPSMT" w:eastAsia="Times New Roman" w:hAnsi="TimesNewRomanPSMT" w:cs="Times New Roman"/>
          <w:sz w:val="24"/>
          <w:szCs w:val="24"/>
        </w:rPr>
        <w:t xml:space="preserve">as </w:t>
      </w:r>
      <w:r w:rsidR="00C8126C" w:rsidRPr="00C8126C">
        <w:rPr>
          <w:rFonts w:ascii="TimesNewRomanPSMT" w:eastAsia="Times New Roman" w:hAnsi="TimesNewRomanPSMT" w:cs="Times New Roman"/>
          <w:sz w:val="24"/>
          <w:szCs w:val="24"/>
        </w:rPr>
        <w:t xml:space="preserve">outlined in the </w:t>
      </w:r>
      <w:r w:rsidR="00CE6453">
        <w:rPr>
          <w:rFonts w:ascii="TimesNewRomanPSMT" w:eastAsia="Times New Roman" w:hAnsi="TimesNewRomanPSMT" w:cs="Times New Roman"/>
          <w:sz w:val="24"/>
          <w:szCs w:val="24"/>
        </w:rPr>
        <w:t xml:space="preserve">proposed </w:t>
      </w:r>
      <w:r w:rsidR="00695311">
        <w:rPr>
          <w:rFonts w:ascii="TimesNewRomanPSMT" w:eastAsia="Times New Roman" w:hAnsi="TimesNewRomanPSMT" w:cs="Times New Roman"/>
          <w:sz w:val="24"/>
          <w:szCs w:val="24"/>
        </w:rPr>
        <w:t>S</w:t>
      </w:r>
      <w:r w:rsidR="00450220">
        <w:rPr>
          <w:rFonts w:ascii="TimesNewRomanPSMT" w:eastAsia="Times New Roman" w:hAnsi="TimesNewRomanPSMT" w:cs="Times New Roman"/>
          <w:sz w:val="24"/>
          <w:szCs w:val="24"/>
        </w:rPr>
        <w:t xml:space="preserve">tate </w:t>
      </w:r>
      <w:r w:rsidR="00C8126C" w:rsidRPr="00C8126C">
        <w:rPr>
          <w:rFonts w:ascii="TimesNewRomanPSMT" w:eastAsia="Times New Roman" w:hAnsi="TimesNewRomanPSMT" w:cs="Times New Roman"/>
          <w:sz w:val="24"/>
          <w:szCs w:val="24"/>
        </w:rPr>
        <w:t>legislation</w:t>
      </w:r>
      <w:r w:rsidR="00CE6453">
        <w:rPr>
          <w:rFonts w:ascii="TimesNewRomanPSMT" w:eastAsia="Times New Roman" w:hAnsi="TimesNewRomanPSMT" w:cs="Times New Roman"/>
          <w:sz w:val="24"/>
          <w:szCs w:val="24"/>
        </w:rPr>
        <w:t xml:space="preserve">, </w:t>
      </w:r>
      <w:r w:rsidR="00CE6453" w:rsidRPr="00CE6453">
        <w:rPr>
          <w:rFonts w:ascii="TimesNewRomanPSMT" w:eastAsia="Times New Roman" w:hAnsi="TimesNewRomanPSMT" w:cs="Times New Roman"/>
          <w:sz w:val="24"/>
          <w:szCs w:val="24"/>
        </w:rPr>
        <w:t>S</w:t>
      </w:r>
      <w:r w:rsidR="00CE6453">
        <w:rPr>
          <w:rFonts w:ascii="TimesNewRomanPSMT" w:eastAsia="Times New Roman" w:hAnsi="TimesNewRomanPSMT" w:cs="Times New Roman"/>
          <w:sz w:val="24"/>
          <w:szCs w:val="24"/>
        </w:rPr>
        <w:t>.</w:t>
      </w:r>
      <w:r w:rsidR="00CE6453" w:rsidRPr="00CE6453">
        <w:rPr>
          <w:rFonts w:ascii="TimesNewRomanPSMT" w:eastAsia="Times New Roman" w:hAnsi="TimesNewRomanPSMT" w:cs="Times New Roman"/>
          <w:sz w:val="24"/>
          <w:szCs w:val="24"/>
        </w:rPr>
        <w:t>6999</w:t>
      </w:r>
      <w:r w:rsidR="00CE6453">
        <w:rPr>
          <w:rFonts w:ascii="TimesNewRomanPSMT" w:eastAsia="Times New Roman" w:hAnsi="TimesNewRomanPSMT" w:cs="Times New Roman"/>
          <w:sz w:val="24"/>
          <w:szCs w:val="24"/>
        </w:rPr>
        <w:t>-</w:t>
      </w:r>
      <w:r w:rsidR="00CE6453" w:rsidRPr="00CE6453">
        <w:rPr>
          <w:rFonts w:ascii="TimesNewRomanPSMT" w:eastAsia="Times New Roman" w:hAnsi="TimesNewRomanPSMT" w:cs="Times New Roman"/>
          <w:sz w:val="24"/>
          <w:szCs w:val="24"/>
        </w:rPr>
        <w:t>A</w:t>
      </w:r>
      <w:r w:rsidR="00CE6453">
        <w:rPr>
          <w:rFonts w:ascii="TimesNewRomanPSMT" w:eastAsia="Times New Roman" w:hAnsi="TimesNewRomanPSMT" w:cs="Times New Roman"/>
          <w:sz w:val="24"/>
          <w:szCs w:val="24"/>
        </w:rPr>
        <w:t>/A.7805.</w:t>
      </w:r>
      <w:r w:rsidR="00CE6453">
        <w:rPr>
          <w:rStyle w:val="FootnoteReference"/>
          <w:rFonts w:ascii="TimesNewRomanPSMT" w:eastAsia="Times New Roman" w:hAnsi="TimesNewRomanPSMT" w:cs="Times New Roman"/>
          <w:sz w:val="24"/>
          <w:szCs w:val="24"/>
        </w:rPr>
        <w:footnoteReference w:id="74"/>
      </w:r>
    </w:p>
    <w:p w14:paraId="296D99B4" w14:textId="761297DD" w:rsidR="00C8126C" w:rsidRPr="00C8126C" w:rsidRDefault="00C8126C" w:rsidP="00C8126C">
      <w:pPr>
        <w:pStyle w:val="ListParagraph"/>
        <w:spacing w:after="0" w:line="240" w:lineRule="auto"/>
        <w:ind w:left="1080"/>
        <w:rPr>
          <w:rFonts w:ascii="Times New Roman" w:eastAsia="Times New Roman" w:hAnsi="Times New Roman" w:cs="Times New Roman"/>
          <w:sz w:val="24"/>
          <w:szCs w:val="24"/>
        </w:rPr>
      </w:pPr>
    </w:p>
    <w:p w14:paraId="6CAE4DA1" w14:textId="6D070842" w:rsidR="00C8126C" w:rsidRPr="00685259" w:rsidRDefault="00685259" w:rsidP="00685259">
      <w:pPr>
        <w:pStyle w:val="ListParagraph"/>
        <w:numPr>
          <w:ilvl w:val="0"/>
          <w:numId w:val="3"/>
        </w:numPr>
        <w:spacing w:before="100" w:beforeAutospacing="1" w:after="100" w:afterAutospacing="1" w:line="240" w:lineRule="auto"/>
        <w:rPr>
          <w:rFonts w:ascii="Times New Roman" w:eastAsia="Times New Roman" w:hAnsi="Times New Roman" w:cs="Times New Roman"/>
          <w:b/>
          <w:bCs/>
          <w:sz w:val="24"/>
          <w:szCs w:val="24"/>
        </w:rPr>
      </w:pPr>
      <w:r w:rsidRPr="00685259">
        <w:rPr>
          <w:rFonts w:ascii="Times New Roman" w:eastAsia="Times New Roman" w:hAnsi="Times New Roman" w:cs="Times New Roman"/>
          <w:b/>
          <w:bCs/>
          <w:sz w:val="24"/>
          <w:szCs w:val="24"/>
        </w:rPr>
        <w:t>Conclusion</w:t>
      </w:r>
    </w:p>
    <w:p w14:paraId="03EAE9AC" w14:textId="7EA25836" w:rsidR="00685259" w:rsidRPr="00E631C4" w:rsidRDefault="00685259" w:rsidP="00685259">
      <w:pPr>
        <w:spacing w:after="0"/>
        <w:ind w:firstLine="720"/>
        <w:jc w:val="both"/>
        <w:rPr>
          <w:rFonts w:ascii="Times" w:hAnsi="Times"/>
          <w:sz w:val="24"/>
          <w:szCs w:val="24"/>
        </w:rPr>
      </w:pPr>
      <w:r w:rsidRPr="00E631C4">
        <w:rPr>
          <w:rFonts w:ascii="Times" w:hAnsi="Times"/>
          <w:sz w:val="24"/>
          <w:szCs w:val="24"/>
        </w:rPr>
        <w:t>At this hearing, the Committees look forward to learning more about</w:t>
      </w:r>
      <w:r w:rsidR="008D300F" w:rsidRPr="00E631C4">
        <w:rPr>
          <w:rFonts w:ascii="Times" w:hAnsi="Times"/>
          <w:sz w:val="24"/>
          <w:szCs w:val="24"/>
        </w:rPr>
        <w:t xml:space="preserve"> NYCHA’s plan for implementing and managing its planned capital projects, and learn more about what the Authority is doing to ensure capital projects funded by the </w:t>
      </w:r>
      <w:r w:rsidR="00746F73">
        <w:rPr>
          <w:rFonts w:ascii="Times" w:hAnsi="Times"/>
          <w:sz w:val="24"/>
          <w:szCs w:val="24"/>
        </w:rPr>
        <w:t>C</w:t>
      </w:r>
      <w:r w:rsidR="008D300F" w:rsidRPr="00E631C4">
        <w:rPr>
          <w:rFonts w:ascii="Times" w:hAnsi="Times"/>
          <w:sz w:val="24"/>
          <w:szCs w:val="24"/>
        </w:rPr>
        <w:t xml:space="preserve">ity are being </w:t>
      </w:r>
      <w:r w:rsidR="00EF089C">
        <w:rPr>
          <w:rFonts w:ascii="Times" w:hAnsi="Times"/>
          <w:sz w:val="24"/>
          <w:szCs w:val="24"/>
        </w:rPr>
        <w:t>efficiently</w:t>
      </w:r>
      <w:r w:rsidR="00746F73">
        <w:rPr>
          <w:rFonts w:ascii="Times" w:hAnsi="Times"/>
          <w:sz w:val="24"/>
          <w:szCs w:val="24"/>
        </w:rPr>
        <w:t xml:space="preserve"> </w:t>
      </w:r>
      <w:r w:rsidR="008D300F" w:rsidRPr="00E631C4">
        <w:rPr>
          <w:rFonts w:ascii="Times" w:hAnsi="Times"/>
          <w:sz w:val="24"/>
          <w:szCs w:val="24"/>
        </w:rPr>
        <w:t>executed.</w:t>
      </w:r>
    </w:p>
    <w:p w14:paraId="41D4B5B4" w14:textId="77777777" w:rsidR="00685259" w:rsidRPr="00685259" w:rsidRDefault="00685259" w:rsidP="00685259">
      <w:pPr>
        <w:spacing w:before="100" w:beforeAutospacing="1" w:after="100" w:afterAutospacing="1" w:line="240" w:lineRule="auto"/>
        <w:rPr>
          <w:rFonts w:ascii="Times New Roman" w:eastAsia="Times New Roman" w:hAnsi="Times New Roman" w:cs="Times New Roman"/>
          <w:sz w:val="24"/>
          <w:szCs w:val="24"/>
        </w:rPr>
      </w:pPr>
    </w:p>
    <w:p w14:paraId="371241A7" w14:textId="49956C24" w:rsidR="00227C3A" w:rsidRDefault="00227C3A" w:rsidP="00227C3A">
      <w:pPr>
        <w:rPr>
          <w:rFonts w:ascii="Calibri" w:eastAsia="Times New Roman" w:hAnsi="Calibri" w:cs="Calibri"/>
          <w:sz w:val="24"/>
          <w:szCs w:val="24"/>
        </w:rPr>
      </w:pPr>
    </w:p>
    <w:p w14:paraId="04627F6B" w14:textId="77777777" w:rsidR="00FE1A76" w:rsidRPr="00227C3A" w:rsidRDefault="00FE1A76" w:rsidP="00227C3A">
      <w:pPr>
        <w:rPr>
          <w:rFonts w:ascii="Times New Roman" w:hAnsi="Times New Roman" w:cs="Times New Roman"/>
          <w:sz w:val="24"/>
          <w:szCs w:val="24"/>
        </w:rPr>
      </w:pPr>
    </w:p>
    <w:sectPr w:rsidR="00FE1A76" w:rsidRPr="00227C3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F7DD2" w16cex:dateUtc="2021-11-04T14:39:00Z"/>
  <w16cex:commentExtensible w16cex:durableId="252F7DD3" w16cex:dateUtc="2021-11-04T14:35:00Z"/>
  <w16cex:commentExtensible w16cex:durableId="252F7DD4" w16cex:dateUtc="2021-11-04T14:38:00Z"/>
  <w16cex:commentExtensible w16cex:durableId="252FB358" w16cex:dateUtc="2021-11-05T17:42:00Z"/>
  <w16cex:commentExtensible w16cex:durableId="252FB376" w16cex:dateUtc="2021-11-05T17:43:00Z"/>
  <w16cex:commentExtensible w16cex:durableId="252F7DD5" w16cex:dateUtc="2021-11-04T15:16:00Z"/>
  <w16cex:commentExtensible w16cex:durableId="252F7DD6" w16cex:dateUtc="2021-11-04T15: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CA10FB" w16cid:durableId="252F7DD2"/>
  <w16cid:commentId w16cid:paraId="6DA8D0D0" w16cid:durableId="252F7DD3"/>
  <w16cid:commentId w16cid:paraId="6DED2A0B" w16cid:durableId="252F7DD4"/>
  <w16cid:commentId w16cid:paraId="63FD38DB" w16cid:durableId="252FB358"/>
  <w16cid:commentId w16cid:paraId="71BFF9B1" w16cid:durableId="252FB376"/>
  <w16cid:commentId w16cid:paraId="2BA6C45D" w16cid:durableId="252F7DD5"/>
  <w16cid:commentId w16cid:paraId="19D321CA" w16cid:durableId="252F7D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628A2" w14:textId="77777777" w:rsidR="00933ED0" w:rsidRDefault="00933ED0" w:rsidP="00DB64B8">
      <w:pPr>
        <w:spacing w:after="0" w:line="240" w:lineRule="auto"/>
      </w:pPr>
      <w:r>
        <w:separator/>
      </w:r>
    </w:p>
  </w:endnote>
  <w:endnote w:type="continuationSeparator" w:id="0">
    <w:p w14:paraId="5E6CCAA6" w14:textId="77777777" w:rsidR="00933ED0" w:rsidRDefault="00933ED0" w:rsidP="00DB6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PSMT">
    <w:altName w:val="Times New Roman"/>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88941509"/>
      <w:docPartObj>
        <w:docPartGallery w:val="Page Numbers (Bottom of Page)"/>
        <w:docPartUnique/>
      </w:docPartObj>
    </w:sdtPr>
    <w:sdtEndPr>
      <w:rPr>
        <w:rStyle w:val="PageNumber"/>
      </w:rPr>
    </w:sdtEndPr>
    <w:sdtContent>
      <w:p w14:paraId="2579FBA4" w14:textId="40E26121" w:rsidR="00B11762" w:rsidRDefault="00B11762" w:rsidP="00B117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960FAC" w14:textId="77777777" w:rsidR="00B11762" w:rsidRDefault="00B11762" w:rsidP="001802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w:hAnsi="Times"/>
      </w:rPr>
      <w:id w:val="-837847907"/>
      <w:docPartObj>
        <w:docPartGallery w:val="Page Numbers (Bottom of Page)"/>
        <w:docPartUnique/>
      </w:docPartObj>
    </w:sdtPr>
    <w:sdtEndPr>
      <w:rPr>
        <w:rStyle w:val="PageNumber"/>
      </w:rPr>
    </w:sdtEndPr>
    <w:sdtContent>
      <w:p w14:paraId="696CF4E5" w14:textId="64A1D6FE" w:rsidR="00B11762" w:rsidRPr="00685259" w:rsidRDefault="00B11762" w:rsidP="00B11762">
        <w:pPr>
          <w:pStyle w:val="Footer"/>
          <w:framePr w:wrap="none" w:vAnchor="text" w:hAnchor="margin" w:xAlign="right" w:y="1"/>
          <w:rPr>
            <w:rStyle w:val="PageNumber"/>
            <w:rFonts w:ascii="Times" w:hAnsi="Times"/>
          </w:rPr>
        </w:pPr>
        <w:r w:rsidRPr="00685259">
          <w:rPr>
            <w:rStyle w:val="PageNumber"/>
            <w:rFonts w:ascii="Times" w:hAnsi="Times"/>
          </w:rPr>
          <w:fldChar w:fldCharType="begin"/>
        </w:r>
        <w:r w:rsidRPr="00685259">
          <w:rPr>
            <w:rStyle w:val="PageNumber"/>
            <w:rFonts w:ascii="Times" w:hAnsi="Times"/>
          </w:rPr>
          <w:instrText xml:space="preserve"> PAGE </w:instrText>
        </w:r>
        <w:r w:rsidRPr="00685259">
          <w:rPr>
            <w:rStyle w:val="PageNumber"/>
            <w:rFonts w:ascii="Times" w:hAnsi="Times"/>
          </w:rPr>
          <w:fldChar w:fldCharType="separate"/>
        </w:r>
        <w:r w:rsidR="00DC11BC">
          <w:rPr>
            <w:rStyle w:val="PageNumber"/>
            <w:rFonts w:ascii="Times" w:hAnsi="Times"/>
            <w:noProof/>
          </w:rPr>
          <w:t>2</w:t>
        </w:r>
        <w:r w:rsidRPr="00685259">
          <w:rPr>
            <w:rStyle w:val="PageNumber"/>
            <w:rFonts w:ascii="Times" w:hAnsi="Times"/>
          </w:rPr>
          <w:fldChar w:fldCharType="end"/>
        </w:r>
      </w:p>
    </w:sdtContent>
  </w:sdt>
  <w:p w14:paraId="3C0A77C1" w14:textId="77777777" w:rsidR="00B11762" w:rsidRDefault="00B11762" w:rsidP="001802C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B4EF6" w14:textId="77777777" w:rsidR="00B0097C" w:rsidRDefault="00B00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872A8" w14:textId="77777777" w:rsidR="00933ED0" w:rsidRDefault="00933ED0" w:rsidP="00DB64B8">
      <w:pPr>
        <w:spacing w:after="0" w:line="240" w:lineRule="auto"/>
      </w:pPr>
      <w:r>
        <w:separator/>
      </w:r>
    </w:p>
  </w:footnote>
  <w:footnote w:type="continuationSeparator" w:id="0">
    <w:p w14:paraId="49AC3568" w14:textId="77777777" w:rsidR="00933ED0" w:rsidRDefault="00933ED0" w:rsidP="00DB64B8">
      <w:pPr>
        <w:spacing w:after="0" w:line="240" w:lineRule="auto"/>
      </w:pPr>
      <w:r>
        <w:continuationSeparator/>
      </w:r>
    </w:p>
  </w:footnote>
  <w:footnote w:id="1">
    <w:p w14:paraId="051521E8" w14:textId="004730B8" w:rsidR="00B11762" w:rsidRPr="00FE6A67" w:rsidRDefault="00B11762">
      <w:pPr>
        <w:pStyle w:val="FootnoteText"/>
        <w:rPr>
          <w:rFonts w:ascii="Times" w:hAnsi="Times"/>
        </w:rPr>
      </w:pPr>
      <w:r w:rsidRPr="00FE6A67">
        <w:rPr>
          <w:rStyle w:val="FootnoteReference"/>
          <w:rFonts w:ascii="Times" w:hAnsi="Times"/>
        </w:rPr>
        <w:footnoteRef/>
      </w:r>
      <w:r w:rsidRPr="00FE6A67">
        <w:rPr>
          <w:rFonts w:ascii="Times" w:hAnsi="Times"/>
        </w:rPr>
        <w:t xml:space="preserve"> </w:t>
      </w:r>
      <w:r w:rsidRPr="00FE6A67">
        <w:rPr>
          <w:rFonts w:ascii="Times" w:hAnsi="Times"/>
          <w:i/>
          <w:iCs/>
        </w:rPr>
        <w:t>See</w:t>
      </w:r>
      <w:r w:rsidRPr="00FE6A67">
        <w:rPr>
          <w:rFonts w:ascii="Times" w:hAnsi="Times"/>
        </w:rPr>
        <w:t xml:space="preserve"> Ferre-Sadurni, Luis</w:t>
      </w:r>
      <w:r>
        <w:rPr>
          <w:rFonts w:ascii="Times" w:hAnsi="Times"/>
        </w:rPr>
        <w:t xml:space="preserve">, </w:t>
      </w:r>
      <w:r w:rsidRPr="00FE6A67">
        <w:rPr>
          <w:rFonts w:ascii="Times" w:hAnsi="Times"/>
        </w:rPr>
        <w:t>“The Rise and Fall of New York Public Housing: An Oral History”</w:t>
      </w:r>
      <w:r>
        <w:rPr>
          <w:rFonts w:ascii="Times" w:hAnsi="Times"/>
        </w:rPr>
        <w:t xml:space="preserve">, </w:t>
      </w:r>
      <w:r w:rsidRPr="00FE6A67">
        <w:rPr>
          <w:rFonts w:ascii="Times" w:hAnsi="Times"/>
        </w:rPr>
        <w:t xml:space="preserve">New York Times </w:t>
      </w:r>
      <w:r w:rsidRPr="00FE6A67">
        <w:rPr>
          <w:rFonts w:ascii="Times" w:hAnsi="Times"/>
          <w:i/>
        </w:rPr>
        <w:t xml:space="preserve">available at </w:t>
      </w:r>
      <w:hyperlink r:id="rId1" w:history="1">
        <w:r w:rsidRPr="00FE6A67">
          <w:rPr>
            <w:rFonts w:ascii="Times" w:hAnsi="Times"/>
            <w:color w:val="0000FF"/>
            <w:u w:val="single"/>
          </w:rPr>
          <w:t>https://www.nytimes.com/interactive/2018/06/25/nyregion/new-york-city-public-housing-history.html</w:t>
        </w:r>
      </w:hyperlink>
      <w:r w:rsidRPr="00FE6A67">
        <w:rPr>
          <w:rFonts w:ascii="Times" w:hAnsi="Times"/>
        </w:rPr>
        <w:t xml:space="preserve"> (last accessed on November 3, 2021). </w:t>
      </w:r>
    </w:p>
  </w:footnote>
  <w:footnote w:id="2">
    <w:p w14:paraId="16C283D2" w14:textId="3DD02E1D" w:rsidR="00B11762" w:rsidRPr="00FE6A67" w:rsidRDefault="00B11762">
      <w:pPr>
        <w:pStyle w:val="FootnoteText"/>
        <w:rPr>
          <w:rFonts w:ascii="Times" w:hAnsi="Times"/>
        </w:rPr>
      </w:pPr>
      <w:r w:rsidRPr="00FE6A67">
        <w:rPr>
          <w:rStyle w:val="FootnoteReference"/>
          <w:rFonts w:ascii="Times" w:hAnsi="Times"/>
        </w:rPr>
        <w:footnoteRef/>
      </w:r>
      <w:r w:rsidRPr="00FE6A67">
        <w:rPr>
          <w:rFonts w:ascii="Times" w:hAnsi="Times"/>
        </w:rPr>
        <w:t xml:space="preserve"> </w:t>
      </w:r>
      <w:r w:rsidRPr="00FE6A67">
        <w:rPr>
          <w:rFonts w:ascii="Times" w:hAnsi="Times"/>
          <w:i/>
          <w:iCs/>
        </w:rPr>
        <w:t xml:space="preserve">See </w:t>
      </w:r>
      <w:r w:rsidRPr="00FE6A67">
        <w:rPr>
          <w:rFonts w:ascii="Times" w:eastAsia="Times New Roman" w:hAnsi="Times"/>
          <w:spacing w:val="4"/>
        </w:rPr>
        <w:t xml:space="preserve">Housing Act of 1937, </w:t>
      </w:r>
      <w:r w:rsidRPr="00FE6A67">
        <w:rPr>
          <w:rFonts w:ascii="Times" w:eastAsia="Times New Roman" w:hAnsi="Times"/>
          <w:i/>
          <w:spacing w:val="4"/>
        </w:rPr>
        <w:t>available at</w:t>
      </w:r>
      <w:r w:rsidRPr="00FE6A67">
        <w:rPr>
          <w:rFonts w:ascii="Times" w:eastAsia="Times New Roman" w:hAnsi="Times"/>
          <w:spacing w:val="4"/>
        </w:rPr>
        <w:t xml:space="preserve"> </w:t>
      </w:r>
      <w:hyperlink r:id="rId2" w:history="1">
        <w:r w:rsidRPr="00FE6A67">
          <w:rPr>
            <w:rStyle w:val="Hyperlink"/>
            <w:rFonts w:ascii="Times" w:eastAsia="Times New Roman" w:hAnsi="Times"/>
            <w:spacing w:val="4"/>
          </w:rPr>
          <w:t>https://www.gpo.gov/fdsys/pkg/USCODE-2009-title42/pdf/USCODE-2009-title42-chap8.pdf</w:t>
        </w:r>
      </w:hyperlink>
      <w:r w:rsidRPr="00FE6A67">
        <w:rPr>
          <w:rFonts w:ascii="Times" w:eastAsia="Times New Roman" w:hAnsi="Times"/>
        </w:rPr>
        <w:t>.</w:t>
      </w:r>
    </w:p>
  </w:footnote>
  <w:footnote w:id="3">
    <w:p w14:paraId="3F47CE27" w14:textId="7F88BDC3" w:rsidR="00B11762" w:rsidRPr="00FE6A67" w:rsidRDefault="00B11762">
      <w:pPr>
        <w:pStyle w:val="FootnoteText"/>
        <w:rPr>
          <w:rFonts w:ascii="Times" w:hAnsi="Times"/>
        </w:rPr>
      </w:pPr>
      <w:r w:rsidRPr="00FE6A67">
        <w:rPr>
          <w:rStyle w:val="FootnoteReference"/>
          <w:rFonts w:ascii="Times" w:hAnsi="Times"/>
        </w:rPr>
        <w:footnoteRef/>
      </w:r>
      <w:r w:rsidRPr="00FE6A67">
        <w:rPr>
          <w:rFonts w:ascii="Times" w:hAnsi="Times"/>
        </w:rPr>
        <w:t xml:space="preserve"> </w:t>
      </w:r>
      <w:r w:rsidRPr="00FE6A67">
        <w:rPr>
          <w:rFonts w:ascii="Times" w:hAnsi="Times"/>
          <w:i/>
          <w:iCs/>
        </w:rPr>
        <w:t xml:space="preserve">See </w:t>
      </w:r>
      <w:r w:rsidRPr="00FE6A67">
        <w:rPr>
          <w:rFonts w:ascii="Times" w:hAnsi="Times"/>
        </w:rPr>
        <w:t>Marcuse, 353-54; J.A. Stoloff, A Brief History of Public Housing, at 3 (2004).</w:t>
      </w:r>
    </w:p>
  </w:footnote>
  <w:footnote w:id="4">
    <w:p w14:paraId="40BC9738" w14:textId="6FE6B1E4" w:rsidR="00B11762" w:rsidRDefault="00B11762">
      <w:pPr>
        <w:pStyle w:val="FootnoteText"/>
      </w:pPr>
      <w:r w:rsidRPr="00FE6A67">
        <w:rPr>
          <w:rStyle w:val="FootnoteReference"/>
          <w:rFonts w:ascii="Times" w:hAnsi="Times"/>
        </w:rPr>
        <w:footnoteRef/>
      </w:r>
      <w:r w:rsidRPr="00FE6A67">
        <w:rPr>
          <w:rFonts w:ascii="Times" w:hAnsi="Times"/>
        </w:rPr>
        <w:t xml:space="preserve"> </w:t>
      </w:r>
      <w:r w:rsidRPr="00FE6A67">
        <w:rPr>
          <w:rFonts w:ascii="Times" w:hAnsi="Times"/>
          <w:i/>
        </w:rPr>
        <w:t xml:space="preserve">See </w:t>
      </w:r>
      <w:r w:rsidRPr="00FE6A67">
        <w:rPr>
          <w:rFonts w:ascii="Times" w:hAnsi="Times"/>
        </w:rPr>
        <w:t xml:space="preserve">Department of Housing And Urban Development, Physical Needs Assessment Report For The House And Senate Committees On Appropriations, 1-2 (2015), </w:t>
      </w:r>
      <w:r w:rsidRPr="00FE6A67">
        <w:rPr>
          <w:rFonts w:ascii="Times" w:hAnsi="Times"/>
          <w:i/>
        </w:rPr>
        <w:t>available at</w:t>
      </w:r>
      <w:r w:rsidRPr="00FE6A67">
        <w:rPr>
          <w:rFonts w:ascii="Times" w:hAnsi="Times"/>
        </w:rPr>
        <w:t xml:space="preserve"> </w:t>
      </w:r>
      <w:hyperlink r:id="rId3" w:history="1">
        <w:r w:rsidRPr="000A7FD2">
          <w:rPr>
            <w:rStyle w:val="Hyperlink"/>
            <w:rFonts w:ascii="Times" w:hAnsi="Times"/>
          </w:rPr>
          <w:t>https://www.hud.gov/sites/documents/2015PNA_CR_FINAL.PDF</w:t>
        </w:r>
      </w:hyperlink>
      <w:r>
        <w:rPr>
          <w:rFonts w:ascii="Times" w:hAnsi="Times"/>
        </w:rPr>
        <w:t xml:space="preserve"> (last accessed on November 3, 2021). </w:t>
      </w:r>
    </w:p>
  </w:footnote>
  <w:footnote w:id="5">
    <w:p w14:paraId="1E020C26" w14:textId="130E5C19" w:rsidR="00B11762" w:rsidRPr="00352EBA" w:rsidRDefault="00B11762" w:rsidP="009D5E2A">
      <w:pPr>
        <w:pStyle w:val="FootnoteText"/>
        <w:rPr>
          <w:rFonts w:ascii="Times" w:hAnsi="Times"/>
        </w:rPr>
      </w:pPr>
      <w:r w:rsidRPr="00352EBA">
        <w:rPr>
          <w:rStyle w:val="FootnoteReference"/>
          <w:rFonts w:ascii="Times" w:hAnsi="Times"/>
        </w:rPr>
        <w:footnoteRef/>
      </w:r>
      <w:r w:rsidRPr="00352EBA">
        <w:rPr>
          <w:rFonts w:ascii="Times" w:hAnsi="Times"/>
        </w:rPr>
        <w:t xml:space="preserve"> </w:t>
      </w:r>
      <w:r w:rsidRPr="00352EBA">
        <w:rPr>
          <w:rFonts w:ascii="Times" w:hAnsi="Times"/>
          <w:i/>
          <w:iCs/>
        </w:rPr>
        <w:t xml:space="preserve">See </w:t>
      </w:r>
      <w:r w:rsidRPr="00352EBA">
        <w:rPr>
          <w:rFonts w:ascii="Times" w:hAnsi="Times"/>
        </w:rPr>
        <w:t xml:space="preserve">New York City Housing Authority, NYCHA 2020 Fact Sheet, available at </w:t>
      </w:r>
      <w:hyperlink r:id="rId4" w:history="1">
        <w:r w:rsidRPr="00352EBA">
          <w:rPr>
            <w:rStyle w:val="Hyperlink"/>
            <w:rFonts w:ascii="Times" w:hAnsi="Times"/>
          </w:rPr>
          <w:t>https://www1.nyc.gov/assets/nycha/downloads/pdf/NYCHA-Fact-Sheet_2020_Final.pdf</w:t>
        </w:r>
      </w:hyperlink>
      <w:r w:rsidRPr="00352EBA">
        <w:rPr>
          <w:rFonts w:ascii="Times" w:hAnsi="Times"/>
        </w:rPr>
        <w:t xml:space="preserve"> (last access on November 3, 2021). </w:t>
      </w:r>
    </w:p>
  </w:footnote>
  <w:footnote w:id="6">
    <w:p w14:paraId="4F98C840" w14:textId="240C4CAC" w:rsidR="00B11762" w:rsidRPr="00352EBA" w:rsidRDefault="00B11762">
      <w:pPr>
        <w:pStyle w:val="FootnoteText"/>
        <w:rPr>
          <w:rFonts w:ascii="Times" w:hAnsi="Times"/>
        </w:rPr>
      </w:pPr>
      <w:r w:rsidRPr="00352EBA">
        <w:rPr>
          <w:rStyle w:val="FootnoteReference"/>
          <w:rFonts w:ascii="Times" w:hAnsi="Times"/>
        </w:rPr>
        <w:footnoteRef/>
      </w:r>
      <w:r w:rsidRPr="00352EBA">
        <w:rPr>
          <w:rFonts w:ascii="Times" w:hAnsi="Times"/>
        </w:rPr>
        <w:t xml:space="preserve"> </w:t>
      </w:r>
      <w:r w:rsidRPr="00352EBA">
        <w:rPr>
          <w:rFonts w:ascii="Times" w:hAnsi="Times"/>
          <w:i/>
          <w:iCs/>
        </w:rPr>
        <w:t>See</w:t>
      </w:r>
      <w:r w:rsidRPr="00352EBA">
        <w:rPr>
          <w:rFonts w:ascii="Times" w:hAnsi="Times"/>
        </w:rPr>
        <w:t xml:space="preserve"> 24 C.F.R § 5.100</w:t>
      </w:r>
    </w:p>
  </w:footnote>
  <w:footnote w:id="7">
    <w:p w14:paraId="6E79D1A6" w14:textId="504BD160" w:rsidR="00B11762" w:rsidRDefault="00B11762">
      <w:pPr>
        <w:pStyle w:val="FootnoteText"/>
      </w:pPr>
      <w:r w:rsidRPr="00352EBA">
        <w:rPr>
          <w:rStyle w:val="FootnoteReference"/>
          <w:rFonts w:ascii="Times" w:hAnsi="Times"/>
        </w:rPr>
        <w:footnoteRef/>
      </w:r>
      <w:r w:rsidRPr="00352EBA">
        <w:rPr>
          <w:rFonts w:ascii="Times" w:hAnsi="Times"/>
        </w:rPr>
        <w:t xml:space="preserve"> </w:t>
      </w:r>
      <w:r w:rsidRPr="00352EBA">
        <w:rPr>
          <w:rFonts w:ascii="Times" w:hAnsi="Times"/>
          <w:i/>
          <w:iCs/>
        </w:rPr>
        <w:t>See</w:t>
      </w:r>
      <w:r w:rsidRPr="00352EBA">
        <w:rPr>
          <w:rFonts w:ascii="Times" w:hAnsi="Times"/>
        </w:rPr>
        <w:t xml:space="preserve"> Center on Budget and Policy Priorities, Policy Basics: Public Housing (Jun</w:t>
      </w:r>
      <w:r>
        <w:rPr>
          <w:rFonts w:ascii="Times" w:hAnsi="Times"/>
        </w:rPr>
        <w:t>e</w:t>
      </w:r>
      <w:r w:rsidRPr="00352EBA">
        <w:rPr>
          <w:rFonts w:ascii="Times" w:hAnsi="Times"/>
        </w:rPr>
        <w:t xml:space="preserve"> 2, 2021), </w:t>
      </w:r>
      <w:r w:rsidR="008A76B0">
        <w:rPr>
          <w:rFonts w:ascii="Times" w:hAnsi="Times"/>
          <w:i/>
          <w:iCs/>
        </w:rPr>
        <w:t>available at</w:t>
      </w:r>
      <w:r w:rsidRPr="00352EBA">
        <w:rPr>
          <w:rFonts w:ascii="Times" w:hAnsi="Times"/>
          <w:i/>
          <w:iCs/>
        </w:rPr>
        <w:t xml:space="preserve"> </w:t>
      </w:r>
      <w:hyperlink r:id="rId5" w:history="1">
        <w:r w:rsidRPr="00352EBA">
          <w:rPr>
            <w:rStyle w:val="Hyperlink"/>
            <w:rFonts w:ascii="Times" w:hAnsi="Times"/>
          </w:rPr>
          <w:t>https://www.cbpp.org/sites/default/files/atoms/files/policybasics-housing.pdf</w:t>
        </w:r>
      </w:hyperlink>
      <w:r w:rsidRPr="00352EBA">
        <w:rPr>
          <w:rFonts w:ascii="Times" w:hAnsi="Times"/>
        </w:rPr>
        <w:t xml:space="preserve"> (last accessed on November 3, 2021).</w:t>
      </w:r>
      <w:r>
        <w:t xml:space="preserve"> </w:t>
      </w:r>
    </w:p>
  </w:footnote>
  <w:footnote w:id="8">
    <w:p w14:paraId="33470CCD" w14:textId="7BD6D4A2" w:rsidR="00B11762" w:rsidRPr="001304C2" w:rsidRDefault="00B11762">
      <w:pPr>
        <w:pStyle w:val="FootnoteText"/>
        <w:rPr>
          <w:rFonts w:ascii="Times" w:hAnsi="Times"/>
        </w:rPr>
      </w:pPr>
      <w:r w:rsidRPr="001304C2">
        <w:rPr>
          <w:rStyle w:val="FootnoteReference"/>
          <w:rFonts w:ascii="Times" w:hAnsi="Times"/>
        </w:rPr>
        <w:footnoteRef/>
      </w:r>
      <w:r w:rsidRPr="001304C2">
        <w:rPr>
          <w:rFonts w:ascii="Times" w:hAnsi="Times"/>
        </w:rPr>
        <w:t xml:space="preserve"> </w:t>
      </w:r>
      <w:r w:rsidRPr="001304C2">
        <w:rPr>
          <w:rFonts w:ascii="Times" w:hAnsi="Times"/>
          <w:i/>
          <w:iCs/>
        </w:rPr>
        <w:t>See</w:t>
      </w:r>
      <w:r w:rsidRPr="001304C2">
        <w:rPr>
          <w:rFonts w:ascii="Times" w:hAnsi="Times"/>
        </w:rPr>
        <w:t xml:space="preserve"> Department of Housing And Urban Development, HUD Notice PIH 2019-14 (HA), available at </w:t>
      </w:r>
      <w:hyperlink r:id="rId6" w:history="1">
        <w:r w:rsidRPr="001304C2">
          <w:rPr>
            <w:rStyle w:val="Hyperlink"/>
            <w:rFonts w:ascii="Times" w:hAnsi="Times"/>
          </w:rPr>
          <w:t>https://www.hud.gov/sites/dfiles/PIH/documents/PIH-2019-14.pdf</w:t>
        </w:r>
      </w:hyperlink>
      <w:r w:rsidRPr="001304C2">
        <w:rPr>
          <w:rFonts w:ascii="Times" w:hAnsi="Times"/>
        </w:rPr>
        <w:t xml:space="preserve"> (last accessed on October 27, 2021).</w:t>
      </w:r>
    </w:p>
  </w:footnote>
  <w:footnote w:id="9">
    <w:p w14:paraId="47C2EE3D" w14:textId="5DA6D7E8" w:rsidR="00B11762" w:rsidRPr="001304C2" w:rsidRDefault="00B11762">
      <w:pPr>
        <w:pStyle w:val="FootnoteText"/>
        <w:rPr>
          <w:rFonts w:ascii="Times" w:hAnsi="Times"/>
        </w:rPr>
      </w:pPr>
      <w:r w:rsidRPr="001304C2">
        <w:rPr>
          <w:rStyle w:val="FootnoteReference"/>
          <w:rFonts w:ascii="Times" w:hAnsi="Times"/>
        </w:rPr>
        <w:footnoteRef/>
      </w:r>
      <w:r w:rsidRPr="001304C2">
        <w:rPr>
          <w:rFonts w:ascii="Times" w:hAnsi="Times"/>
        </w:rPr>
        <w:t xml:space="preserve"> </w:t>
      </w:r>
      <w:r w:rsidRPr="001304C2">
        <w:rPr>
          <w:rFonts w:ascii="Times" w:hAnsi="Times"/>
          <w:i/>
          <w:iCs/>
        </w:rPr>
        <w:t>See id.</w:t>
      </w:r>
    </w:p>
  </w:footnote>
  <w:footnote w:id="10">
    <w:p w14:paraId="1C3A64DE" w14:textId="1929D491" w:rsidR="00B11762" w:rsidRPr="001304C2" w:rsidRDefault="00B11762">
      <w:pPr>
        <w:pStyle w:val="FootnoteText"/>
        <w:rPr>
          <w:rFonts w:ascii="Times" w:hAnsi="Times"/>
        </w:rPr>
      </w:pPr>
      <w:r w:rsidRPr="001304C2">
        <w:rPr>
          <w:rStyle w:val="FootnoteReference"/>
          <w:rFonts w:ascii="Times" w:hAnsi="Times"/>
        </w:rPr>
        <w:footnoteRef/>
      </w:r>
      <w:r w:rsidRPr="001304C2">
        <w:rPr>
          <w:rFonts w:ascii="Times" w:hAnsi="Times"/>
        </w:rPr>
        <w:t xml:space="preserve"> </w:t>
      </w:r>
      <w:r w:rsidRPr="001304C2">
        <w:rPr>
          <w:rFonts w:ascii="Times" w:hAnsi="Times"/>
          <w:i/>
          <w:iCs/>
        </w:rPr>
        <w:t>See id.</w:t>
      </w:r>
    </w:p>
  </w:footnote>
  <w:footnote w:id="11">
    <w:p w14:paraId="073C4FCD" w14:textId="77777777" w:rsidR="00B11762" w:rsidRPr="001304C2" w:rsidRDefault="00B11762">
      <w:pPr>
        <w:pStyle w:val="FootnoteText"/>
        <w:rPr>
          <w:rFonts w:ascii="Times" w:hAnsi="Times"/>
        </w:rPr>
      </w:pPr>
      <w:r w:rsidRPr="001304C2">
        <w:rPr>
          <w:rStyle w:val="FootnoteReference"/>
          <w:rFonts w:ascii="Times" w:hAnsi="Times"/>
        </w:rPr>
        <w:footnoteRef/>
      </w:r>
      <w:r w:rsidRPr="001304C2">
        <w:rPr>
          <w:rFonts w:ascii="Times" w:hAnsi="Times"/>
          <w:i/>
          <w:iCs/>
        </w:rPr>
        <w:t xml:space="preserve"> See</w:t>
      </w:r>
      <w:r w:rsidRPr="001304C2">
        <w:rPr>
          <w:rFonts w:ascii="Times" w:hAnsi="Times"/>
        </w:rPr>
        <w:t xml:space="preserve"> 24 C.F.R. § 905.108.</w:t>
      </w:r>
    </w:p>
  </w:footnote>
  <w:footnote w:id="12">
    <w:p w14:paraId="4D598E0A" w14:textId="1B2079E3" w:rsidR="00B11762" w:rsidRPr="001304C2" w:rsidRDefault="00B11762" w:rsidP="001304C2">
      <w:pPr>
        <w:pStyle w:val="FootnoteText"/>
        <w:rPr>
          <w:rFonts w:ascii="Times" w:hAnsi="Times"/>
        </w:rPr>
      </w:pPr>
      <w:r w:rsidRPr="001304C2">
        <w:rPr>
          <w:rStyle w:val="FootnoteReference"/>
          <w:rFonts w:ascii="Times" w:hAnsi="Times"/>
        </w:rPr>
        <w:footnoteRef/>
      </w:r>
      <w:r w:rsidRPr="001304C2">
        <w:rPr>
          <w:rFonts w:ascii="Times" w:hAnsi="Times"/>
        </w:rPr>
        <w:t xml:space="preserve"> </w:t>
      </w:r>
      <w:r w:rsidRPr="001304C2">
        <w:rPr>
          <w:rFonts w:ascii="Times" w:hAnsi="Times"/>
          <w:i/>
          <w:iCs/>
        </w:rPr>
        <w:t>See</w:t>
      </w:r>
      <w:r w:rsidRPr="001304C2">
        <w:rPr>
          <w:rFonts w:ascii="Times" w:hAnsi="Times"/>
        </w:rPr>
        <w:t xml:space="preserve"> Citizens Budget Commission, NYCHA Capital</w:t>
      </w:r>
      <w:r>
        <w:rPr>
          <w:rFonts w:ascii="Times" w:hAnsi="Times"/>
        </w:rPr>
        <w:t>:</w:t>
      </w:r>
      <w:r w:rsidRPr="001304C2">
        <w:rPr>
          <w:rFonts w:ascii="Times" w:hAnsi="Times"/>
        </w:rPr>
        <w:t xml:space="preserve"> What You Need to Know (December 20, 2017), </w:t>
      </w:r>
      <w:r w:rsidRPr="001304C2">
        <w:rPr>
          <w:rFonts w:ascii="Times" w:hAnsi="Times"/>
          <w:i/>
          <w:iCs/>
        </w:rPr>
        <w:t>available at</w:t>
      </w:r>
      <w:r w:rsidRPr="001304C2">
        <w:rPr>
          <w:rFonts w:ascii="Times" w:hAnsi="Times"/>
        </w:rPr>
        <w:t xml:space="preserve"> </w:t>
      </w:r>
      <w:hyperlink r:id="rId7" w:history="1">
        <w:r w:rsidRPr="001304C2">
          <w:rPr>
            <w:rStyle w:val="Hyperlink"/>
            <w:rFonts w:ascii="Times" w:hAnsi="Times"/>
          </w:rPr>
          <w:t>https://cbcny.org/research/nycha-capital</w:t>
        </w:r>
      </w:hyperlink>
      <w:r w:rsidRPr="001304C2">
        <w:rPr>
          <w:rFonts w:ascii="Times" w:hAnsi="Times"/>
        </w:rPr>
        <w:t xml:space="preserve"> (last accessed on November 3, 2021). </w:t>
      </w:r>
    </w:p>
  </w:footnote>
  <w:footnote w:id="13">
    <w:p w14:paraId="1C3EB942" w14:textId="22BB7FAC" w:rsidR="00B11762" w:rsidRPr="0030701C" w:rsidRDefault="00B11762">
      <w:pPr>
        <w:pStyle w:val="FootnoteText"/>
        <w:rPr>
          <w:rFonts w:ascii="Times" w:hAnsi="Times"/>
        </w:rPr>
      </w:pPr>
      <w:r w:rsidRPr="0030701C">
        <w:rPr>
          <w:rStyle w:val="FootnoteReference"/>
          <w:rFonts w:ascii="Times" w:hAnsi="Times"/>
        </w:rPr>
        <w:footnoteRef/>
      </w:r>
      <w:r w:rsidRPr="0030701C">
        <w:rPr>
          <w:rFonts w:ascii="Times" w:hAnsi="Times"/>
        </w:rPr>
        <w:t xml:space="preserve"> </w:t>
      </w:r>
      <w:r w:rsidRPr="0030701C">
        <w:rPr>
          <w:rFonts w:ascii="Times" w:hAnsi="Times"/>
          <w:i/>
          <w:iCs/>
        </w:rPr>
        <w:t>See</w:t>
      </w:r>
      <w:r w:rsidRPr="0030701C">
        <w:rPr>
          <w:rFonts w:ascii="Times" w:hAnsi="Times"/>
        </w:rPr>
        <w:t xml:space="preserve"> U.S. Department of Housing and Urban Development, Office of Public and Indian Housing, Capital Fund Guide Book (April 1, 2016) </w:t>
      </w:r>
      <w:r w:rsidRPr="0030701C">
        <w:rPr>
          <w:rFonts w:ascii="Times" w:hAnsi="Times"/>
          <w:i/>
          <w:iCs/>
        </w:rPr>
        <w:t xml:space="preserve">available at </w:t>
      </w:r>
      <w:hyperlink r:id="rId8" w:history="1">
        <w:r w:rsidRPr="0030701C">
          <w:rPr>
            <w:rStyle w:val="Hyperlink"/>
            <w:rFonts w:ascii="Times" w:hAnsi="Times"/>
          </w:rPr>
          <w:t>https://www.hud.gov/sites/documents/CAPITALFUNDGUIDEBOOKFINAL.PDF</w:t>
        </w:r>
      </w:hyperlink>
      <w:r w:rsidRPr="0030701C">
        <w:rPr>
          <w:rFonts w:ascii="Times" w:hAnsi="Times"/>
        </w:rPr>
        <w:t xml:space="preserve"> (last accessed on November 3, 2021).</w:t>
      </w:r>
    </w:p>
  </w:footnote>
  <w:footnote w:id="14">
    <w:p w14:paraId="5F10EC80" w14:textId="388F5D20" w:rsidR="00B11762" w:rsidRDefault="00B11762" w:rsidP="0030701C">
      <w:pPr>
        <w:pStyle w:val="FootnoteText"/>
      </w:pPr>
      <w:r w:rsidRPr="0030701C">
        <w:rPr>
          <w:rStyle w:val="FootnoteReference"/>
          <w:rFonts w:ascii="Times" w:hAnsi="Times"/>
        </w:rPr>
        <w:footnoteRef/>
      </w:r>
      <w:r w:rsidRPr="0030701C">
        <w:rPr>
          <w:rFonts w:ascii="Times" w:hAnsi="Times"/>
        </w:rPr>
        <w:t xml:space="preserve"> </w:t>
      </w:r>
      <w:r w:rsidRPr="0030701C">
        <w:rPr>
          <w:rFonts w:ascii="Times" w:hAnsi="Times"/>
          <w:i/>
          <w:iCs/>
        </w:rPr>
        <w:t>See id.</w:t>
      </w:r>
    </w:p>
  </w:footnote>
  <w:footnote w:id="15">
    <w:p w14:paraId="0FBA36A5" w14:textId="77777777" w:rsidR="00B11762" w:rsidRPr="001304C2" w:rsidRDefault="00B11762">
      <w:pPr>
        <w:pStyle w:val="FootnoteText"/>
        <w:rPr>
          <w:rFonts w:ascii="Times" w:hAnsi="Times"/>
        </w:rPr>
      </w:pPr>
      <w:r w:rsidRPr="001304C2">
        <w:rPr>
          <w:rStyle w:val="FootnoteReference"/>
          <w:rFonts w:ascii="Times" w:hAnsi="Times"/>
        </w:rPr>
        <w:footnoteRef/>
      </w:r>
      <w:r w:rsidRPr="001304C2">
        <w:rPr>
          <w:rFonts w:ascii="Times" w:hAnsi="Times"/>
        </w:rPr>
        <w:t xml:space="preserve"> </w:t>
      </w:r>
      <w:r w:rsidRPr="001304C2">
        <w:rPr>
          <w:rFonts w:ascii="Times" w:hAnsi="Times"/>
          <w:i/>
          <w:iCs/>
        </w:rPr>
        <w:t>See</w:t>
      </w:r>
      <w:r w:rsidRPr="001304C2">
        <w:rPr>
          <w:rFonts w:ascii="Times" w:hAnsi="Times"/>
        </w:rPr>
        <w:t xml:space="preserve"> 24 C.F.R. § 905.300. </w:t>
      </w:r>
    </w:p>
  </w:footnote>
  <w:footnote w:id="16">
    <w:p w14:paraId="23F88DE8" w14:textId="77777777" w:rsidR="00B11762" w:rsidRPr="001304C2" w:rsidRDefault="00B11762">
      <w:pPr>
        <w:pStyle w:val="FootnoteText"/>
        <w:rPr>
          <w:rFonts w:ascii="Times" w:hAnsi="Times"/>
        </w:rPr>
      </w:pPr>
      <w:r w:rsidRPr="001304C2">
        <w:rPr>
          <w:rStyle w:val="FootnoteReference"/>
          <w:rFonts w:ascii="Times" w:hAnsi="Times"/>
        </w:rPr>
        <w:footnoteRef/>
      </w:r>
      <w:r w:rsidRPr="001304C2">
        <w:rPr>
          <w:rFonts w:ascii="Times" w:hAnsi="Times"/>
        </w:rPr>
        <w:t xml:space="preserve"> </w:t>
      </w:r>
      <w:r w:rsidRPr="001304C2">
        <w:rPr>
          <w:rFonts w:ascii="Times" w:hAnsi="Times"/>
          <w:i/>
          <w:iCs/>
        </w:rPr>
        <w:t>See</w:t>
      </w:r>
      <w:r w:rsidRPr="001304C2">
        <w:rPr>
          <w:rFonts w:ascii="Times" w:hAnsi="Times"/>
        </w:rPr>
        <w:t xml:space="preserve"> 24 C.F.R. § 905.108. </w:t>
      </w:r>
    </w:p>
  </w:footnote>
  <w:footnote w:id="17">
    <w:p w14:paraId="3C756F7D" w14:textId="77777777" w:rsidR="00B11762" w:rsidRPr="001304C2" w:rsidRDefault="00B11762" w:rsidP="001304C2">
      <w:pPr>
        <w:pStyle w:val="FootnoteText"/>
        <w:rPr>
          <w:rFonts w:ascii="Times" w:hAnsi="Times"/>
        </w:rPr>
      </w:pPr>
      <w:r w:rsidRPr="001304C2">
        <w:rPr>
          <w:rStyle w:val="FootnoteReference"/>
          <w:rFonts w:ascii="Times" w:hAnsi="Times"/>
        </w:rPr>
        <w:footnoteRef/>
      </w:r>
      <w:r w:rsidRPr="001304C2">
        <w:rPr>
          <w:rFonts w:ascii="Times" w:hAnsi="Times"/>
        </w:rPr>
        <w:t xml:space="preserve"> See U.S. Department of Housing and Urban Development, Physical Needs Assessment of Public Housing, available at </w:t>
      </w:r>
      <w:hyperlink r:id="rId9" w:history="1">
        <w:r w:rsidRPr="001304C2">
          <w:rPr>
            <w:rStyle w:val="Hyperlink"/>
            <w:rFonts w:ascii="Times" w:hAnsi="Times"/>
          </w:rPr>
          <w:t>https://www.hud.gov/program_offices/public_indian_housing/programs/ph/capfund/physicalassessment</w:t>
        </w:r>
      </w:hyperlink>
      <w:r w:rsidRPr="001304C2">
        <w:rPr>
          <w:rFonts w:ascii="Times" w:hAnsi="Times"/>
        </w:rPr>
        <w:t xml:space="preserve"> (last accessed on </w:t>
      </w:r>
      <w:r>
        <w:rPr>
          <w:rFonts w:ascii="Times" w:hAnsi="Times"/>
        </w:rPr>
        <w:t>November 3, 2021</w:t>
      </w:r>
      <w:r w:rsidRPr="001304C2">
        <w:rPr>
          <w:rFonts w:ascii="Times" w:hAnsi="Times"/>
        </w:rPr>
        <w:t xml:space="preserve">). </w:t>
      </w:r>
    </w:p>
  </w:footnote>
  <w:footnote w:id="18">
    <w:p w14:paraId="7A293EF0" w14:textId="154AC2E2" w:rsidR="00B11762" w:rsidRPr="003E2313" w:rsidRDefault="00B11762">
      <w:pPr>
        <w:pStyle w:val="FootnoteText"/>
        <w:rPr>
          <w:rFonts w:ascii="Times" w:hAnsi="Times"/>
        </w:rPr>
      </w:pPr>
      <w:r w:rsidRPr="003E2313">
        <w:rPr>
          <w:rStyle w:val="FootnoteReference"/>
          <w:rFonts w:ascii="Times" w:hAnsi="Times"/>
        </w:rPr>
        <w:footnoteRef/>
      </w:r>
      <w:r w:rsidRPr="003E2313">
        <w:rPr>
          <w:rFonts w:ascii="Times" w:hAnsi="Times"/>
        </w:rPr>
        <w:t xml:space="preserve"> </w:t>
      </w:r>
      <w:r w:rsidRPr="003E2313">
        <w:rPr>
          <w:rFonts w:ascii="Times" w:hAnsi="Times"/>
          <w:i/>
          <w:iCs/>
        </w:rPr>
        <w:t>See</w:t>
      </w:r>
      <w:r w:rsidRPr="003E2313">
        <w:rPr>
          <w:rFonts w:ascii="Times" w:hAnsi="Times"/>
        </w:rPr>
        <w:t xml:space="preserve"> NYCHA Capital: What You Need to Know, </w:t>
      </w:r>
      <w:r w:rsidRPr="003E2313">
        <w:rPr>
          <w:rFonts w:ascii="Times" w:hAnsi="Times"/>
          <w:i/>
          <w:iCs/>
        </w:rPr>
        <w:t>supra</w:t>
      </w:r>
      <w:r w:rsidRPr="003E2313">
        <w:rPr>
          <w:rFonts w:ascii="Times" w:hAnsi="Times"/>
        </w:rPr>
        <w:t xml:space="preserve"> note 12.</w:t>
      </w:r>
    </w:p>
  </w:footnote>
  <w:footnote w:id="19">
    <w:p w14:paraId="1B606544" w14:textId="430E4E72" w:rsidR="00B11762" w:rsidRPr="003E2313" w:rsidRDefault="00B11762">
      <w:pPr>
        <w:pStyle w:val="FootnoteText"/>
        <w:rPr>
          <w:rFonts w:ascii="Times" w:hAnsi="Times"/>
        </w:rPr>
      </w:pPr>
      <w:r w:rsidRPr="003E2313">
        <w:rPr>
          <w:rStyle w:val="FootnoteReference"/>
          <w:rFonts w:ascii="Times" w:hAnsi="Times"/>
        </w:rPr>
        <w:footnoteRef/>
      </w:r>
      <w:r w:rsidRPr="003E2313">
        <w:rPr>
          <w:rFonts w:ascii="Times" w:hAnsi="Times"/>
        </w:rPr>
        <w:t xml:space="preserve"> </w:t>
      </w:r>
      <w:r w:rsidRPr="003E2313">
        <w:rPr>
          <w:rFonts w:ascii="Times" w:hAnsi="Times"/>
          <w:i/>
          <w:iCs/>
        </w:rPr>
        <w:t>See id.</w:t>
      </w:r>
      <w:r w:rsidRPr="003E2313">
        <w:rPr>
          <w:rFonts w:ascii="Times" w:hAnsi="Times"/>
        </w:rPr>
        <w:t xml:space="preserve">  </w:t>
      </w:r>
    </w:p>
  </w:footnote>
  <w:footnote w:id="20">
    <w:p w14:paraId="5C19A0B7" w14:textId="77777777" w:rsidR="00B11762" w:rsidRPr="003E2313" w:rsidRDefault="00B11762">
      <w:pPr>
        <w:pStyle w:val="FootnoteText"/>
        <w:rPr>
          <w:rFonts w:ascii="Times" w:hAnsi="Times"/>
        </w:rPr>
      </w:pPr>
      <w:r w:rsidRPr="003E2313">
        <w:rPr>
          <w:rStyle w:val="FootnoteReference"/>
          <w:rFonts w:ascii="Times" w:hAnsi="Times"/>
        </w:rPr>
        <w:footnoteRef/>
      </w:r>
      <w:r w:rsidRPr="003E2313">
        <w:rPr>
          <w:rFonts w:ascii="Times" w:hAnsi="Times"/>
        </w:rPr>
        <w:t xml:space="preserve"> </w:t>
      </w:r>
      <w:r w:rsidRPr="003E2313">
        <w:rPr>
          <w:rFonts w:ascii="Times" w:hAnsi="Times"/>
          <w:i/>
          <w:iCs/>
        </w:rPr>
        <w:t>See</w:t>
      </w:r>
      <w:r w:rsidRPr="003E2313">
        <w:rPr>
          <w:rFonts w:ascii="Times" w:hAnsi="Times"/>
        </w:rPr>
        <w:t xml:space="preserve"> 24 C.F.R. § 905.300(b)(1)(i). </w:t>
      </w:r>
    </w:p>
  </w:footnote>
  <w:footnote w:id="21">
    <w:p w14:paraId="5E378377" w14:textId="77777777" w:rsidR="00B11762" w:rsidRPr="003E2313" w:rsidRDefault="00B11762">
      <w:pPr>
        <w:pStyle w:val="FootnoteText"/>
        <w:rPr>
          <w:rFonts w:ascii="Times" w:hAnsi="Times"/>
        </w:rPr>
      </w:pPr>
      <w:r w:rsidRPr="003E2313">
        <w:rPr>
          <w:rStyle w:val="FootnoteReference"/>
          <w:rFonts w:ascii="Times" w:hAnsi="Times"/>
        </w:rPr>
        <w:footnoteRef/>
      </w:r>
      <w:r w:rsidRPr="003E2313">
        <w:rPr>
          <w:rFonts w:ascii="Times" w:hAnsi="Times"/>
        </w:rPr>
        <w:t xml:space="preserve"> </w:t>
      </w:r>
      <w:r w:rsidRPr="003E2313">
        <w:rPr>
          <w:rFonts w:ascii="Times" w:hAnsi="Times"/>
          <w:i/>
          <w:iCs/>
        </w:rPr>
        <w:t>See</w:t>
      </w:r>
      <w:r w:rsidRPr="003E2313">
        <w:rPr>
          <w:rFonts w:ascii="Times" w:hAnsi="Times"/>
        </w:rPr>
        <w:t xml:space="preserve"> 24 C.F.R. § 905.300(b)(1)(iv).</w:t>
      </w:r>
    </w:p>
  </w:footnote>
  <w:footnote w:id="22">
    <w:p w14:paraId="47C48D67" w14:textId="77777777" w:rsidR="00B11762" w:rsidRPr="003E2313" w:rsidRDefault="00B11762" w:rsidP="003E2313">
      <w:pPr>
        <w:pStyle w:val="FootnoteText"/>
        <w:rPr>
          <w:rFonts w:ascii="Times" w:hAnsi="Times"/>
        </w:rPr>
      </w:pPr>
      <w:r w:rsidRPr="003E2313">
        <w:rPr>
          <w:rStyle w:val="FootnoteReference"/>
          <w:rFonts w:ascii="Times" w:hAnsi="Times"/>
        </w:rPr>
        <w:footnoteRef/>
      </w:r>
      <w:r w:rsidRPr="003E2313">
        <w:rPr>
          <w:rFonts w:ascii="Times" w:hAnsi="Times"/>
        </w:rPr>
        <w:t xml:space="preserve"> </w:t>
      </w:r>
      <w:r w:rsidRPr="003E2313">
        <w:rPr>
          <w:rFonts w:ascii="Times" w:hAnsi="Times"/>
          <w:i/>
          <w:iCs/>
        </w:rPr>
        <w:t>See</w:t>
      </w:r>
      <w:r w:rsidRPr="003E2313">
        <w:rPr>
          <w:rFonts w:ascii="Times" w:hAnsi="Times"/>
        </w:rPr>
        <w:t xml:space="preserve"> STV AECOM PNA – A Joint Venture, Physical Needs Assessment 2017  Prepared for</w:t>
      </w:r>
    </w:p>
    <w:p w14:paraId="12BB5728" w14:textId="24448BF3" w:rsidR="00B11762" w:rsidRDefault="00B11762" w:rsidP="003E2313">
      <w:pPr>
        <w:pStyle w:val="FootnoteText"/>
      </w:pPr>
      <w:r w:rsidRPr="003E2313">
        <w:rPr>
          <w:rFonts w:ascii="Times" w:hAnsi="Times"/>
        </w:rPr>
        <w:t xml:space="preserve">New York City Housing Authority (March 25, 2018), available at </w:t>
      </w:r>
      <w:hyperlink r:id="rId10" w:history="1">
        <w:r w:rsidRPr="003E2313">
          <w:rPr>
            <w:rStyle w:val="Hyperlink"/>
            <w:rFonts w:ascii="Times" w:hAnsi="Times"/>
          </w:rPr>
          <w:t>https://www1.nyc.gov/assets/nycha/downloads/pdf/PNA%202017.pdf</w:t>
        </w:r>
      </w:hyperlink>
      <w:r w:rsidRPr="003E2313">
        <w:rPr>
          <w:rFonts w:ascii="Times" w:hAnsi="Times"/>
        </w:rPr>
        <w:t xml:space="preserve"> (last accessed on November 3, 2021).</w:t>
      </w:r>
      <w:r>
        <w:t xml:space="preserve"> </w:t>
      </w:r>
    </w:p>
  </w:footnote>
  <w:footnote w:id="23">
    <w:p w14:paraId="122C4DDB" w14:textId="3A34ADEB" w:rsidR="00B11762" w:rsidRPr="00A26D30" w:rsidRDefault="00B11762">
      <w:pPr>
        <w:pStyle w:val="FootnoteText"/>
        <w:rPr>
          <w:rFonts w:ascii="Times" w:hAnsi="Times"/>
        </w:rPr>
      </w:pPr>
      <w:r w:rsidRPr="00A26D30">
        <w:rPr>
          <w:rStyle w:val="FootnoteReference"/>
          <w:rFonts w:ascii="Times" w:hAnsi="Times"/>
        </w:rPr>
        <w:footnoteRef/>
      </w:r>
      <w:r w:rsidRPr="00A26D30">
        <w:rPr>
          <w:rFonts w:ascii="Times" w:hAnsi="Times"/>
        </w:rPr>
        <w:t xml:space="preserve"> </w:t>
      </w:r>
      <w:r w:rsidRPr="00A26D30">
        <w:rPr>
          <w:rFonts w:ascii="Times" w:hAnsi="Times"/>
          <w:i/>
          <w:iCs/>
        </w:rPr>
        <w:t>See id.</w:t>
      </w:r>
    </w:p>
  </w:footnote>
  <w:footnote w:id="24">
    <w:p w14:paraId="19025074" w14:textId="69C7FDD6" w:rsidR="00B11762" w:rsidRPr="00124838" w:rsidRDefault="00B11762" w:rsidP="00EB759E">
      <w:pPr>
        <w:pStyle w:val="FootnoteText"/>
        <w:rPr>
          <w:rFonts w:ascii="Times" w:hAnsi="Times"/>
        </w:rPr>
      </w:pPr>
      <w:r w:rsidRPr="00124838">
        <w:rPr>
          <w:rStyle w:val="FootnoteReference"/>
          <w:rFonts w:ascii="Times" w:hAnsi="Times"/>
        </w:rPr>
        <w:footnoteRef/>
      </w:r>
      <w:r w:rsidRPr="00124838">
        <w:rPr>
          <w:rFonts w:ascii="Times" w:hAnsi="Times"/>
        </w:rPr>
        <w:t xml:space="preserve"> </w:t>
      </w:r>
      <w:r w:rsidRPr="00124838">
        <w:rPr>
          <w:rFonts w:ascii="Times" w:hAnsi="Times"/>
          <w:i/>
          <w:iCs/>
        </w:rPr>
        <w:t>See</w:t>
      </w:r>
      <w:r w:rsidRPr="00124838">
        <w:rPr>
          <w:rFonts w:ascii="Times" w:hAnsi="Times"/>
        </w:rPr>
        <w:t xml:space="preserve"> New York City Housing Authority, Capital Plan Calendar Years 2021-2025 (Dec 30, 2020), </w:t>
      </w:r>
      <w:r w:rsidR="008A76B0">
        <w:rPr>
          <w:rFonts w:ascii="Times" w:hAnsi="Times"/>
          <w:i/>
          <w:iCs/>
        </w:rPr>
        <w:t>available at</w:t>
      </w:r>
      <w:r w:rsidRPr="00124838">
        <w:rPr>
          <w:rFonts w:ascii="Times" w:hAnsi="Times"/>
          <w:i/>
          <w:iCs/>
        </w:rPr>
        <w:t xml:space="preserve"> </w:t>
      </w:r>
      <w:hyperlink r:id="rId11" w:history="1">
        <w:r w:rsidRPr="00124838">
          <w:rPr>
            <w:rStyle w:val="Hyperlink"/>
            <w:rFonts w:ascii="Times" w:hAnsi="Times"/>
          </w:rPr>
          <w:t>https://www1.nyc.gov/assets/nycha/downloads/pdf/capital-plan-2125.pdf</w:t>
        </w:r>
      </w:hyperlink>
      <w:r w:rsidRPr="00124838">
        <w:rPr>
          <w:rFonts w:ascii="Times" w:hAnsi="Times"/>
        </w:rPr>
        <w:t xml:space="preserve"> (last accessed on </w:t>
      </w:r>
      <w:r>
        <w:rPr>
          <w:rFonts w:ascii="Times" w:hAnsi="Times"/>
        </w:rPr>
        <w:t>November 3, 2021</w:t>
      </w:r>
      <w:r w:rsidRPr="00124838">
        <w:rPr>
          <w:rFonts w:ascii="Times" w:hAnsi="Times"/>
        </w:rPr>
        <w:t xml:space="preserve">). </w:t>
      </w:r>
    </w:p>
  </w:footnote>
  <w:footnote w:id="25">
    <w:p w14:paraId="46711F4B" w14:textId="39052F55" w:rsidR="00B11762" w:rsidRPr="00124838" w:rsidRDefault="00B11762" w:rsidP="004E0D46">
      <w:pPr>
        <w:pStyle w:val="FootnoteText"/>
        <w:rPr>
          <w:rFonts w:ascii="Times" w:hAnsi="Times"/>
        </w:rPr>
      </w:pPr>
      <w:r w:rsidRPr="00124838">
        <w:rPr>
          <w:rStyle w:val="FootnoteReference"/>
          <w:rFonts w:ascii="Times" w:hAnsi="Times"/>
        </w:rPr>
        <w:footnoteRef/>
      </w:r>
      <w:r w:rsidRPr="00124838">
        <w:rPr>
          <w:rFonts w:ascii="Times" w:hAnsi="Times"/>
        </w:rPr>
        <w:t xml:space="preserve"> </w:t>
      </w:r>
      <w:r w:rsidRPr="00124838">
        <w:rPr>
          <w:rFonts w:ascii="Times" w:hAnsi="Times"/>
          <w:i/>
          <w:iCs/>
        </w:rPr>
        <w:t>See id.</w:t>
      </w:r>
      <w:r w:rsidRPr="00124838">
        <w:rPr>
          <w:rFonts w:ascii="Times" w:hAnsi="Times"/>
        </w:rPr>
        <w:t xml:space="preserve"> </w:t>
      </w:r>
    </w:p>
  </w:footnote>
  <w:footnote w:id="26">
    <w:p w14:paraId="4F98AC2E" w14:textId="4F77269D" w:rsidR="00B11762" w:rsidRPr="00124838" w:rsidRDefault="00B11762">
      <w:pPr>
        <w:pStyle w:val="FootnoteText"/>
        <w:rPr>
          <w:rFonts w:ascii="Times" w:hAnsi="Times"/>
        </w:rPr>
      </w:pPr>
      <w:r w:rsidRPr="00124838">
        <w:rPr>
          <w:rStyle w:val="FootnoteReference"/>
          <w:rFonts w:ascii="Times" w:hAnsi="Times"/>
        </w:rPr>
        <w:footnoteRef/>
      </w:r>
      <w:r w:rsidRPr="00124838">
        <w:rPr>
          <w:rFonts w:ascii="Times" w:hAnsi="Times"/>
        </w:rPr>
        <w:t xml:space="preserve"> </w:t>
      </w:r>
      <w:r w:rsidRPr="00124838">
        <w:rPr>
          <w:rFonts w:ascii="Times" w:hAnsi="Times"/>
          <w:i/>
          <w:iCs/>
        </w:rPr>
        <w:t>See id.</w:t>
      </w:r>
    </w:p>
  </w:footnote>
  <w:footnote w:id="27">
    <w:p w14:paraId="7C5FE4A1" w14:textId="0C31D62C" w:rsidR="00B11762" w:rsidRPr="00124838" w:rsidRDefault="00B11762">
      <w:pPr>
        <w:pStyle w:val="FootnoteText"/>
        <w:rPr>
          <w:rFonts w:ascii="Times" w:hAnsi="Times"/>
        </w:rPr>
      </w:pPr>
      <w:r w:rsidRPr="00124838">
        <w:rPr>
          <w:rStyle w:val="FootnoteReference"/>
          <w:rFonts w:ascii="Times" w:hAnsi="Times"/>
        </w:rPr>
        <w:footnoteRef/>
      </w:r>
      <w:r w:rsidRPr="00124838">
        <w:rPr>
          <w:rFonts w:ascii="Times" w:hAnsi="Times"/>
        </w:rPr>
        <w:t xml:space="preserve"> </w:t>
      </w:r>
      <w:r w:rsidRPr="00124838">
        <w:rPr>
          <w:rFonts w:ascii="Times" w:hAnsi="Times"/>
          <w:i/>
          <w:iCs/>
        </w:rPr>
        <w:t>See id.</w:t>
      </w:r>
    </w:p>
  </w:footnote>
  <w:footnote w:id="28">
    <w:p w14:paraId="5564D0EB" w14:textId="4C07614A" w:rsidR="00B11762" w:rsidRPr="00124838" w:rsidRDefault="00B11762">
      <w:pPr>
        <w:pStyle w:val="FootnoteText"/>
        <w:rPr>
          <w:rFonts w:ascii="Times" w:hAnsi="Times"/>
        </w:rPr>
      </w:pPr>
      <w:r w:rsidRPr="00124838">
        <w:rPr>
          <w:rStyle w:val="FootnoteReference"/>
          <w:rFonts w:ascii="Times" w:hAnsi="Times"/>
        </w:rPr>
        <w:footnoteRef/>
      </w:r>
      <w:r w:rsidRPr="00124838">
        <w:rPr>
          <w:rFonts w:ascii="Times" w:hAnsi="Times"/>
        </w:rPr>
        <w:t xml:space="preserve"> </w:t>
      </w:r>
      <w:r w:rsidRPr="00124838">
        <w:rPr>
          <w:rFonts w:ascii="Times" w:hAnsi="Times"/>
          <w:i/>
          <w:iCs/>
        </w:rPr>
        <w:t>See id.</w:t>
      </w:r>
    </w:p>
  </w:footnote>
  <w:footnote w:id="29">
    <w:p w14:paraId="057DF164" w14:textId="4AAF5E98" w:rsidR="00B11762" w:rsidRPr="00124838" w:rsidRDefault="00B11762">
      <w:pPr>
        <w:pStyle w:val="FootnoteText"/>
        <w:rPr>
          <w:rFonts w:ascii="Times" w:hAnsi="Times"/>
        </w:rPr>
      </w:pPr>
      <w:r w:rsidRPr="00124838">
        <w:rPr>
          <w:rStyle w:val="FootnoteReference"/>
          <w:rFonts w:ascii="Times" w:hAnsi="Times"/>
        </w:rPr>
        <w:footnoteRef/>
      </w:r>
      <w:r w:rsidRPr="00124838">
        <w:rPr>
          <w:rFonts w:ascii="Times" w:hAnsi="Times"/>
        </w:rPr>
        <w:t xml:space="preserve"> </w:t>
      </w:r>
      <w:r w:rsidRPr="00124838">
        <w:rPr>
          <w:rFonts w:ascii="Times" w:hAnsi="Times"/>
          <w:i/>
          <w:iCs/>
        </w:rPr>
        <w:t>See id.</w:t>
      </w:r>
    </w:p>
  </w:footnote>
  <w:footnote w:id="30">
    <w:p w14:paraId="6CAB504F" w14:textId="7396CFB5" w:rsidR="00B11762" w:rsidRDefault="00B11762">
      <w:pPr>
        <w:pStyle w:val="FootnoteText"/>
      </w:pPr>
      <w:r w:rsidRPr="00124838">
        <w:rPr>
          <w:rStyle w:val="FootnoteReference"/>
          <w:rFonts w:ascii="Times" w:hAnsi="Times"/>
        </w:rPr>
        <w:footnoteRef/>
      </w:r>
      <w:r w:rsidRPr="00124838">
        <w:rPr>
          <w:rFonts w:ascii="Times" w:hAnsi="Times"/>
        </w:rPr>
        <w:t xml:space="preserve"> </w:t>
      </w:r>
      <w:r w:rsidRPr="00124838">
        <w:rPr>
          <w:rFonts w:ascii="Times" w:hAnsi="Times"/>
          <w:i/>
          <w:iCs/>
        </w:rPr>
        <w:t xml:space="preserve">See </w:t>
      </w:r>
      <w:r w:rsidRPr="00124838">
        <w:rPr>
          <w:rFonts w:ascii="Times" w:hAnsi="Times"/>
        </w:rPr>
        <w:t>New York City Council, Report to the Committee on Finance and the Committee on Public Housing on the Fiscal 2022 Executive Budget, NYCHA’s 2021-2025 Adopted Operating Plan, NYCHA’s 2021-2025 Adopted Capital Plan, Fiscal 2021-2031 Ten-Year Capital Strategy, Fiscal 2022 Executive Capital Budget, and the Fiscal 2022</w:t>
      </w:r>
      <w:r w:rsidRPr="004E0D46">
        <w:rPr>
          <w:rFonts w:ascii="Times" w:hAnsi="Times"/>
        </w:rPr>
        <w:t xml:space="preserve"> Executive Capital Commitment Plan for the</w:t>
      </w:r>
      <w:r>
        <w:rPr>
          <w:rFonts w:ascii="Times" w:hAnsi="Times"/>
        </w:rPr>
        <w:t xml:space="preserve"> </w:t>
      </w:r>
      <w:r w:rsidRPr="004E0D46">
        <w:rPr>
          <w:rFonts w:ascii="Times" w:hAnsi="Times"/>
        </w:rPr>
        <w:t>New York City Housing Authority</w:t>
      </w:r>
      <w:r>
        <w:rPr>
          <w:rFonts w:ascii="Times" w:hAnsi="Times"/>
        </w:rPr>
        <w:t xml:space="preserve"> (May 19, 2021), </w:t>
      </w:r>
      <w:r w:rsidRPr="004E0D46">
        <w:rPr>
          <w:rFonts w:ascii="Times" w:hAnsi="Times"/>
          <w:i/>
          <w:iCs/>
        </w:rPr>
        <w:t xml:space="preserve">available at </w:t>
      </w:r>
      <w:hyperlink r:id="rId12" w:history="1">
        <w:r w:rsidRPr="000A7FD2">
          <w:rPr>
            <w:rStyle w:val="Hyperlink"/>
            <w:rFonts w:ascii="Times" w:hAnsi="Times"/>
          </w:rPr>
          <w:t>https://council.nyc.gov/budget/wp-content/uploads/sites/54/2021/05/NYCHA.pdf</w:t>
        </w:r>
      </w:hyperlink>
      <w:r>
        <w:rPr>
          <w:rFonts w:ascii="Times" w:hAnsi="Times"/>
        </w:rPr>
        <w:t xml:space="preserve"> (last accessed on November 3, 2021).</w:t>
      </w:r>
    </w:p>
  </w:footnote>
  <w:footnote w:id="31">
    <w:p w14:paraId="685C762B" w14:textId="53175DBF" w:rsidR="00B11762" w:rsidRPr="00CC6C06" w:rsidRDefault="00B11762">
      <w:pPr>
        <w:pStyle w:val="FootnoteText"/>
        <w:rPr>
          <w:rFonts w:ascii="Times" w:hAnsi="Times"/>
        </w:rPr>
      </w:pPr>
      <w:r w:rsidRPr="00CC6C06">
        <w:rPr>
          <w:rStyle w:val="FootnoteReference"/>
          <w:rFonts w:ascii="Times" w:hAnsi="Times"/>
        </w:rPr>
        <w:footnoteRef/>
      </w:r>
      <w:r w:rsidRPr="00CC6C06">
        <w:rPr>
          <w:rFonts w:ascii="Times" w:hAnsi="Times"/>
        </w:rPr>
        <w:t xml:space="preserve"> </w:t>
      </w:r>
      <w:r w:rsidRPr="00CC6C06">
        <w:rPr>
          <w:rFonts w:ascii="Times" w:hAnsi="Times"/>
          <w:i/>
          <w:iCs/>
        </w:rPr>
        <w:t>See</w:t>
      </w:r>
      <w:r w:rsidRPr="00CC6C06">
        <w:rPr>
          <w:rFonts w:ascii="Times" w:hAnsi="Times"/>
        </w:rPr>
        <w:t xml:space="preserve"> </w:t>
      </w:r>
      <w:r w:rsidRPr="004E0D46">
        <w:rPr>
          <w:rFonts w:ascii="Times" w:hAnsi="Times"/>
        </w:rPr>
        <w:t>Capital Plan Calendar Years 2021-2025</w:t>
      </w:r>
      <w:r w:rsidRPr="00CC6C06">
        <w:rPr>
          <w:rFonts w:ascii="Times" w:hAnsi="Times"/>
        </w:rPr>
        <w:t xml:space="preserve">, </w:t>
      </w:r>
      <w:r w:rsidRPr="006D1F77">
        <w:rPr>
          <w:rFonts w:ascii="Times" w:hAnsi="Times"/>
          <w:i/>
          <w:iCs/>
        </w:rPr>
        <w:t xml:space="preserve">supra </w:t>
      </w:r>
      <w:r w:rsidRPr="00CC6C06">
        <w:rPr>
          <w:rFonts w:ascii="Times" w:hAnsi="Times"/>
        </w:rPr>
        <w:t>note 24.</w:t>
      </w:r>
    </w:p>
  </w:footnote>
  <w:footnote w:id="32">
    <w:p w14:paraId="0B611830" w14:textId="12E019DA" w:rsidR="00B11762" w:rsidRDefault="00B11762" w:rsidP="001A2CCD">
      <w:pPr>
        <w:pStyle w:val="FootnoteText"/>
      </w:pPr>
      <w:r w:rsidRPr="00CC6C06">
        <w:rPr>
          <w:rStyle w:val="FootnoteReference"/>
          <w:rFonts w:ascii="Times" w:hAnsi="Times"/>
        </w:rPr>
        <w:footnoteRef/>
      </w:r>
      <w:r w:rsidRPr="00CC6C06">
        <w:rPr>
          <w:rFonts w:ascii="Times" w:hAnsi="Times"/>
        </w:rPr>
        <w:t xml:space="preserve"> </w:t>
      </w:r>
      <w:r w:rsidRPr="00CC6C06">
        <w:rPr>
          <w:rFonts w:ascii="Times" w:hAnsi="Times"/>
          <w:i/>
          <w:iCs/>
        </w:rPr>
        <w:t>See</w:t>
      </w:r>
      <w:r w:rsidRPr="00CC6C06">
        <w:rPr>
          <w:rFonts w:ascii="Times" w:hAnsi="Times"/>
        </w:rPr>
        <w:t xml:space="preserve"> </w:t>
      </w:r>
      <w:r>
        <w:rPr>
          <w:rFonts w:ascii="Times" w:hAnsi="Times"/>
        </w:rPr>
        <w:t xml:space="preserve">New York City Housing Authority, </w:t>
      </w:r>
      <w:r w:rsidRPr="00CC6C06">
        <w:rPr>
          <w:rFonts w:ascii="Times" w:hAnsi="Times"/>
        </w:rPr>
        <w:t xml:space="preserve">NYCHA City Capital Action Plan </w:t>
      </w:r>
      <w:r>
        <w:rPr>
          <w:rFonts w:ascii="Times" w:hAnsi="Times"/>
        </w:rPr>
        <w:t xml:space="preserve">(May 7, 2021), </w:t>
      </w:r>
      <w:r w:rsidRPr="006D1F77">
        <w:rPr>
          <w:rFonts w:ascii="Times" w:hAnsi="Times"/>
          <w:i/>
          <w:iCs/>
        </w:rPr>
        <w:t xml:space="preserve">available at </w:t>
      </w:r>
      <w:hyperlink r:id="rId13" w:history="1">
        <w:r w:rsidRPr="000A7FD2">
          <w:rPr>
            <w:rStyle w:val="Hyperlink"/>
            <w:rFonts w:ascii="Times" w:hAnsi="Times"/>
          </w:rPr>
          <w:t>https://www1.nyc.gov/assets/nycha/downloads/pdf/NYCHA_Capital_Action_Plan_May_8_2021.pdf</w:t>
        </w:r>
      </w:hyperlink>
      <w:r>
        <w:rPr>
          <w:rFonts w:ascii="Times" w:hAnsi="Times"/>
        </w:rPr>
        <w:t xml:space="preserve"> (last accessed on November 3, 2021). </w:t>
      </w:r>
    </w:p>
  </w:footnote>
  <w:footnote w:id="33">
    <w:p w14:paraId="30AB6ABD" w14:textId="03DA714F" w:rsidR="00B11762" w:rsidRPr="006D1F77" w:rsidRDefault="00B11762">
      <w:pPr>
        <w:pStyle w:val="FootnoteText"/>
        <w:rPr>
          <w:rFonts w:ascii="Times" w:hAnsi="Times"/>
        </w:rPr>
      </w:pPr>
      <w:r w:rsidRPr="006D1F77">
        <w:rPr>
          <w:rStyle w:val="FootnoteReference"/>
          <w:rFonts w:ascii="Times" w:hAnsi="Times"/>
        </w:rPr>
        <w:footnoteRef/>
      </w:r>
      <w:r w:rsidRPr="006D1F77">
        <w:rPr>
          <w:rFonts w:ascii="Times" w:hAnsi="Times"/>
        </w:rPr>
        <w:t xml:space="preserve"> </w:t>
      </w:r>
      <w:r w:rsidRPr="006D1F77">
        <w:rPr>
          <w:rFonts w:ascii="Times" w:hAnsi="Times"/>
          <w:i/>
          <w:iCs/>
        </w:rPr>
        <w:t>See id.</w:t>
      </w:r>
    </w:p>
  </w:footnote>
  <w:footnote w:id="34">
    <w:p w14:paraId="24D4E4EA" w14:textId="1929E2D7" w:rsidR="00B11762" w:rsidRPr="006D1F77" w:rsidRDefault="00B11762">
      <w:pPr>
        <w:pStyle w:val="FootnoteText"/>
        <w:rPr>
          <w:rFonts w:ascii="Times" w:hAnsi="Times"/>
        </w:rPr>
      </w:pPr>
      <w:r w:rsidRPr="006D1F77">
        <w:rPr>
          <w:rStyle w:val="FootnoteReference"/>
          <w:rFonts w:ascii="Times" w:hAnsi="Times"/>
        </w:rPr>
        <w:footnoteRef/>
      </w:r>
      <w:r w:rsidRPr="006D1F77">
        <w:rPr>
          <w:rFonts w:ascii="Times" w:hAnsi="Times"/>
        </w:rPr>
        <w:t xml:space="preserve"> </w:t>
      </w:r>
      <w:r w:rsidRPr="006D1F77">
        <w:rPr>
          <w:rFonts w:ascii="Times" w:hAnsi="Times"/>
          <w:i/>
          <w:iCs/>
        </w:rPr>
        <w:t>See id.</w:t>
      </w:r>
    </w:p>
  </w:footnote>
  <w:footnote w:id="35">
    <w:p w14:paraId="0539CDE9" w14:textId="77777777" w:rsidR="00EF089C" w:rsidRDefault="00EF089C" w:rsidP="00EF089C">
      <w:pPr>
        <w:pStyle w:val="FootnoteText"/>
      </w:pPr>
      <w:r w:rsidRPr="006D1F77">
        <w:rPr>
          <w:rStyle w:val="FootnoteReference"/>
          <w:rFonts w:ascii="Times" w:hAnsi="Times"/>
        </w:rPr>
        <w:footnoteRef/>
      </w:r>
      <w:r w:rsidRPr="006D1F77">
        <w:rPr>
          <w:rFonts w:ascii="Times" w:hAnsi="Times"/>
        </w:rPr>
        <w:t xml:space="preserve"> </w:t>
      </w:r>
      <w:r w:rsidRPr="006D1F77">
        <w:rPr>
          <w:rFonts w:ascii="Times" w:hAnsi="Times"/>
          <w:i/>
          <w:iCs/>
        </w:rPr>
        <w:t>See id.</w:t>
      </w:r>
    </w:p>
  </w:footnote>
  <w:footnote w:id="36">
    <w:p w14:paraId="6867B9BD" w14:textId="77777777" w:rsidR="00B11762" w:rsidRPr="006E3E73" w:rsidRDefault="00B11762" w:rsidP="00403C89">
      <w:pPr>
        <w:pStyle w:val="FootnoteText"/>
        <w:rPr>
          <w:rFonts w:ascii="Times" w:hAnsi="Times"/>
        </w:rPr>
      </w:pPr>
      <w:r w:rsidRPr="006E3E73">
        <w:rPr>
          <w:rStyle w:val="FootnoteReference"/>
          <w:rFonts w:ascii="Times" w:hAnsi="Times"/>
        </w:rPr>
        <w:footnoteRef/>
      </w:r>
      <w:r w:rsidRPr="006E3E73">
        <w:rPr>
          <w:rFonts w:ascii="Times" w:hAnsi="Times"/>
        </w:rPr>
        <w:t xml:space="preserve"> </w:t>
      </w:r>
      <w:r w:rsidRPr="006E3E73">
        <w:rPr>
          <w:rFonts w:ascii="Times" w:hAnsi="Times"/>
          <w:i/>
          <w:iCs/>
        </w:rPr>
        <w:t>See id.</w:t>
      </w:r>
    </w:p>
  </w:footnote>
  <w:footnote w:id="37">
    <w:p w14:paraId="0E1C1EBF" w14:textId="0262275E" w:rsidR="00B11762" w:rsidRPr="006E3E73" w:rsidRDefault="00B11762" w:rsidP="00BE5B71">
      <w:pPr>
        <w:pStyle w:val="FootnoteText"/>
        <w:rPr>
          <w:rFonts w:ascii="Times" w:hAnsi="Times"/>
        </w:rPr>
      </w:pPr>
      <w:r w:rsidRPr="00E631C4">
        <w:rPr>
          <w:rStyle w:val="FootnoteReference"/>
          <w:rFonts w:ascii="Times New Roman" w:hAnsi="Times New Roman" w:cs="Times New Roman"/>
        </w:rPr>
        <w:footnoteRef/>
      </w:r>
      <w:r w:rsidRPr="00E631C4">
        <w:rPr>
          <w:rFonts w:ascii="Times New Roman" w:hAnsi="Times New Roman" w:cs="Times New Roman"/>
        </w:rPr>
        <w:t xml:space="preserve"> </w:t>
      </w:r>
      <w:r w:rsidRPr="00E631C4">
        <w:rPr>
          <w:rFonts w:ascii="Times New Roman" w:hAnsi="Times New Roman" w:cs="Times New Roman"/>
          <w:i/>
        </w:rPr>
        <w:t>See</w:t>
      </w:r>
      <w:r>
        <w:rPr>
          <w:rFonts w:ascii="Times New Roman" w:hAnsi="Times New Roman" w:cs="Times New Roman"/>
        </w:rPr>
        <w:t xml:space="preserve"> </w:t>
      </w:r>
      <w:r w:rsidRPr="006E3E73">
        <w:rPr>
          <w:rFonts w:ascii="Times" w:hAnsi="Times"/>
        </w:rPr>
        <w:t>New York City Council, Report of the Finance Division on the Fiscal 2022 Preliminary Plan, Fiscal 2022 Preliminary Capital Budget, Fiscal 2022 Preliminary Capital Commitment Plan, 2021-2025 Adopted Operating Budget, 2021-2025 Adopted Capital Plan and the Fiscal 2021 Preliminary Mayor’s Management Report for the</w:t>
      </w:r>
    </w:p>
    <w:p w14:paraId="3EFBC11C" w14:textId="100E387B" w:rsidR="00B11762" w:rsidRDefault="00B11762" w:rsidP="00BE5B71">
      <w:pPr>
        <w:pStyle w:val="FootnoteText"/>
      </w:pPr>
      <w:r w:rsidRPr="006E3E73">
        <w:rPr>
          <w:rFonts w:ascii="Times" w:hAnsi="Times"/>
        </w:rPr>
        <w:t xml:space="preserve">New York City Housing Authority (Mar 12, 2021), </w:t>
      </w:r>
      <w:r w:rsidRPr="006E3E73">
        <w:rPr>
          <w:rFonts w:ascii="Times" w:hAnsi="Times"/>
          <w:i/>
          <w:iCs/>
        </w:rPr>
        <w:t>available at</w:t>
      </w:r>
      <w:r w:rsidRPr="006E3E73">
        <w:rPr>
          <w:rFonts w:ascii="Times" w:hAnsi="Times"/>
        </w:rPr>
        <w:t xml:space="preserve"> </w:t>
      </w:r>
      <w:hyperlink r:id="rId14" w:history="1">
        <w:r w:rsidRPr="006E3E73">
          <w:rPr>
            <w:rStyle w:val="Hyperlink"/>
            <w:rFonts w:ascii="Times" w:hAnsi="Times"/>
          </w:rPr>
          <w:t>https://council.nyc.gov/budget/wp-content/uploads/sites/54/2021/03/NYCHA.pdf</w:t>
        </w:r>
      </w:hyperlink>
      <w:r w:rsidRPr="006E3E73">
        <w:rPr>
          <w:rFonts w:ascii="Times" w:hAnsi="Times"/>
        </w:rPr>
        <w:t xml:space="preserve"> (last accessed on November 3, 2021).</w:t>
      </w:r>
    </w:p>
  </w:footnote>
  <w:footnote w:id="38">
    <w:p w14:paraId="646CF7B6" w14:textId="3BC63052" w:rsidR="004B0E87" w:rsidRPr="00E631C4" w:rsidRDefault="004B0E87">
      <w:pPr>
        <w:pStyle w:val="FootnoteText"/>
        <w:rPr>
          <w:rFonts w:ascii="Times" w:hAnsi="Times"/>
        </w:rPr>
      </w:pPr>
      <w:r w:rsidRPr="00E631C4">
        <w:rPr>
          <w:rStyle w:val="FootnoteReference"/>
          <w:rFonts w:ascii="Times" w:hAnsi="Times"/>
        </w:rPr>
        <w:footnoteRef/>
      </w:r>
      <w:r w:rsidRPr="00E631C4">
        <w:rPr>
          <w:rFonts w:ascii="Times" w:hAnsi="Times"/>
        </w:rPr>
        <w:t xml:space="preserve"> </w:t>
      </w:r>
      <w:r w:rsidRPr="00E631C4">
        <w:rPr>
          <w:rFonts w:ascii="Times" w:hAnsi="Times"/>
          <w:i/>
          <w:iCs/>
        </w:rPr>
        <w:t>See id.</w:t>
      </w:r>
    </w:p>
  </w:footnote>
  <w:footnote w:id="39">
    <w:p w14:paraId="7B31341B" w14:textId="1BEC9CEC" w:rsidR="00B11762" w:rsidRPr="00E631C4" w:rsidRDefault="00B11762">
      <w:pPr>
        <w:pStyle w:val="FootnoteText"/>
        <w:rPr>
          <w:rFonts w:ascii="Times New Roman" w:hAnsi="Times New Roman" w:cs="Times New Roman"/>
        </w:rPr>
      </w:pPr>
      <w:r w:rsidRPr="00E631C4">
        <w:rPr>
          <w:rStyle w:val="FootnoteReference"/>
          <w:rFonts w:ascii="Times New Roman" w:hAnsi="Times New Roman" w:cs="Times New Roman"/>
        </w:rPr>
        <w:footnoteRef/>
      </w:r>
      <w:r w:rsidRPr="00E631C4">
        <w:rPr>
          <w:rFonts w:ascii="Times New Roman" w:hAnsi="Times New Roman" w:cs="Times New Roman"/>
        </w:rPr>
        <w:t xml:space="preserve"> </w:t>
      </w:r>
      <w:r w:rsidRPr="00E631C4">
        <w:rPr>
          <w:rFonts w:ascii="Times New Roman" w:hAnsi="Times New Roman" w:cs="Times New Roman"/>
          <w:i/>
        </w:rPr>
        <w:t>See id.</w:t>
      </w:r>
    </w:p>
  </w:footnote>
  <w:footnote w:id="40">
    <w:p w14:paraId="4599EB4D" w14:textId="55E92D79" w:rsidR="00B11762" w:rsidRPr="00E631C4" w:rsidRDefault="00B11762">
      <w:pPr>
        <w:pStyle w:val="FootnoteText"/>
        <w:rPr>
          <w:rFonts w:ascii="Times New Roman" w:hAnsi="Times New Roman" w:cs="Times New Roman"/>
        </w:rPr>
      </w:pPr>
      <w:r w:rsidRPr="00E631C4">
        <w:rPr>
          <w:rStyle w:val="FootnoteReference"/>
          <w:rFonts w:ascii="Times New Roman" w:hAnsi="Times New Roman" w:cs="Times New Roman"/>
        </w:rPr>
        <w:footnoteRef/>
      </w:r>
      <w:r w:rsidRPr="00E631C4">
        <w:rPr>
          <w:rFonts w:ascii="Times New Roman" w:hAnsi="Times New Roman" w:cs="Times New Roman"/>
        </w:rPr>
        <w:t xml:space="preserve"> </w:t>
      </w:r>
      <w:r w:rsidRPr="00E631C4">
        <w:rPr>
          <w:rFonts w:ascii="Times New Roman" w:hAnsi="Times New Roman" w:cs="Times New Roman"/>
          <w:i/>
        </w:rPr>
        <w:t>See id.</w:t>
      </w:r>
    </w:p>
  </w:footnote>
  <w:footnote w:id="41">
    <w:p w14:paraId="7321D4C5" w14:textId="4A9651FF" w:rsidR="00B11762" w:rsidRPr="00E631C4" w:rsidRDefault="00B11762">
      <w:pPr>
        <w:pStyle w:val="FootnoteText"/>
        <w:rPr>
          <w:rFonts w:ascii="Times New Roman" w:hAnsi="Times New Roman" w:cs="Times New Roman"/>
        </w:rPr>
      </w:pPr>
      <w:r w:rsidRPr="00E631C4">
        <w:rPr>
          <w:rStyle w:val="FootnoteReference"/>
          <w:rFonts w:ascii="Times New Roman" w:hAnsi="Times New Roman" w:cs="Times New Roman"/>
        </w:rPr>
        <w:footnoteRef/>
      </w:r>
      <w:r w:rsidRPr="00E631C4">
        <w:rPr>
          <w:rFonts w:ascii="Times New Roman" w:hAnsi="Times New Roman" w:cs="Times New Roman"/>
        </w:rPr>
        <w:t xml:space="preserve"> </w:t>
      </w:r>
      <w:r w:rsidRPr="00E631C4">
        <w:rPr>
          <w:rFonts w:ascii="Times New Roman" w:hAnsi="Times New Roman" w:cs="Times New Roman"/>
          <w:i/>
        </w:rPr>
        <w:t>See id.</w:t>
      </w:r>
    </w:p>
  </w:footnote>
  <w:footnote w:id="42">
    <w:p w14:paraId="2CA4F77F" w14:textId="602F39CA" w:rsidR="00B11762" w:rsidRDefault="00B11762">
      <w:pPr>
        <w:pStyle w:val="FootnoteText"/>
      </w:pPr>
      <w:r w:rsidRPr="00E631C4">
        <w:rPr>
          <w:rStyle w:val="FootnoteReference"/>
          <w:rFonts w:ascii="Times New Roman" w:hAnsi="Times New Roman" w:cs="Times New Roman"/>
        </w:rPr>
        <w:footnoteRef/>
      </w:r>
      <w:r w:rsidRPr="00E631C4">
        <w:rPr>
          <w:rFonts w:ascii="Times New Roman" w:hAnsi="Times New Roman" w:cs="Times New Roman"/>
        </w:rPr>
        <w:t xml:space="preserve"> </w:t>
      </w:r>
      <w:r w:rsidRPr="00E631C4">
        <w:rPr>
          <w:rFonts w:ascii="Times New Roman" w:hAnsi="Times New Roman" w:cs="Times New Roman"/>
          <w:i/>
        </w:rPr>
        <w:t>See id.</w:t>
      </w:r>
    </w:p>
  </w:footnote>
  <w:footnote w:id="43">
    <w:p w14:paraId="70603F62" w14:textId="70CA292F" w:rsidR="00B11762" w:rsidRPr="00E631C4" w:rsidRDefault="00B11762">
      <w:pPr>
        <w:pStyle w:val="FootnoteText"/>
        <w:rPr>
          <w:rFonts w:ascii="Times New Roman" w:hAnsi="Times New Roman" w:cs="Times New Roman"/>
        </w:rPr>
      </w:pPr>
      <w:r w:rsidRPr="00E631C4">
        <w:rPr>
          <w:rStyle w:val="FootnoteReference"/>
          <w:rFonts w:ascii="Times New Roman" w:hAnsi="Times New Roman" w:cs="Times New Roman"/>
        </w:rPr>
        <w:footnoteRef/>
      </w:r>
      <w:r w:rsidRPr="00E631C4">
        <w:rPr>
          <w:rFonts w:ascii="Times New Roman" w:hAnsi="Times New Roman" w:cs="Times New Roman"/>
        </w:rPr>
        <w:t xml:space="preserve"> </w:t>
      </w:r>
      <w:r w:rsidRPr="00E631C4">
        <w:rPr>
          <w:rFonts w:ascii="Times New Roman" w:hAnsi="Times New Roman" w:cs="Times New Roman"/>
          <w:i/>
        </w:rPr>
        <w:t xml:space="preserve">See </w:t>
      </w:r>
      <w:r w:rsidRPr="00E631C4">
        <w:rPr>
          <w:rFonts w:ascii="Times New Roman" w:hAnsi="Times New Roman" w:cs="Times New Roman"/>
        </w:rPr>
        <w:t xml:space="preserve">New York City Mayor’s Office of Management and Budget, </w:t>
      </w:r>
      <w:r w:rsidRPr="00E631C4">
        <w:rPr>
          <w:rFonts w:ascii="Times New Roman" w:hAnsi="Times New Roman" w:cs="Times New Roman"/>
          <w:lang w:val="en"/>
        </w:rPr>
        <w:t xml:space="preserve">Budget Publications Descriptions, available at </w:t>
      </w:r>
      <w:hyperlink r:id="rId15" w:history="1">
        <w:r w:rsidRPr="00E631C4">
          <w:rPr>
            <w:rStyle w:val="Hyperlink"/>
            <w:rFonts w:ascii="Times New Roman" w:hAnsi="Times New Roman" w:cs="Times New Roman"/>
          </w:rPr>
          <w:t>https://www1.nyc.gov/site/omb/publications/description-of-all-publications.page</w:t>
        </w:r>
      </w:hyperlink>
      <w:r w:rsidRPr="00E631C4">
        <w:rPr>
          <w:rFonts w:ascii="Times New Roman" w:hAnsi="Times New Roman" w:cs="Times New Roman"/>
        </w:rPr>
        <w:t xml:space="preserve"> (last accessed on November 4, 2021). </w:t>
      </w:r>
    </w:p>
  </w:footnote>
  <w:footnote w:id="44">
    <w:p w14:paraId="16C20166" w14:textId="3EDB96BD" w:rsidR="00B11762" w:rsidRDefault="00B11762">
      <w:pPr>
        <w:pStyle w:val="FootnoteText"/>
      </w:pPr>
      <w:r w:rsidRPr="00E631C4">
        <w:rPr>
          <w:rStyle w:val="FootnoteReference"/>
          <w:rFonts w:ascii="Times New Roman" w:hAnsi="Times New Roman" w:cs="Times New Roman"/>
        </w:rPr>
        <w:footnoteRef/>
      </w:r>
      <w:r w:rsidRPr="00E631C4">
        <w:rPr>
          <w:rFonts w:ascii="Times New Roman" w:hAnsi="Times New Roman" w:cs="Times New Roman"/>
        </w:rPr>
        <w:t xml:space="preserve"> </w:t>
      </w:r>
      <w:r w:rsidRPr="00E631C4">
        <w:rPr>
          <w:rFonts w:ascii="Times New Roman" w:hAnsi="Times New Roman" w:cs="Times New Roman"/>
          <w:i/>
        </w:rPr>
        <w:t>See id.</w:t>
      </w:r>
    </w:p>
  </w:footnote>
  <w:footnote w:id="45">
    <w:p w14:paraId="160A9C7B" w14:textId="20B31F19" w:rsidR="00B11762" w:rsidRPr="00E631C4" w:rsidRDefault="00B11762">
      <w:pPr>
        <w:pStyle w:val="FootnoteText"/>
        <w:rPr>
          <w:rFonts w:ascii="Times New Roman" w:hAnsi="Times New Roman" w:cs="Times New Roman"/>
        </w:rPr>
      </w:pPr>
      <w:r w:rsidRPr="00E631C4">
        <w:rPr>
          <w:rStyle w:val="FootnoteReference"/>
          <w:rFonts w:ascii="Times New Roman" w:hAnsi="Times New Roman" w:cs="Times New Roman"/>
        </w:rPr>
        <w:footnoteRef/>
      </w:r>
      <w:r w:rsidRPr="00E631C4">
        <w:rPr>
          <w:rFonts w:ascii="Times New Roman" w:hAnsi="Times New Roman" w:cs="Times New Roman"/>
        </w:rPr>
        <w:t xml:space="preserve"> </w:t>
      </w:r>
      <w:r w:rsidRPr="00E631C4">
        <w:rPr>
          <w:rFonts w:ascii="Times New Roman" w:hAnsi="Times New Roman" w:cs="Times New Roman"/>
          <w:i/>
        </w:rPr>
        <w:t>See</w:t>
      </w:r>
      <w:r>
        <w:rPr>
          <w:rFonts w:ascii="Times New Roman" w:hAnsi="Times New Roman" w:cs="Times New Roman"/>
        </w:rPr>
        <w:t xml:space="preserve"> </w:t>
      </w:r>
      <w:r w:rsidRPr="00E631C4">
        <w:rPr>
          <w:rFonts w:ascii="Times New Roman" w:hAnsi="Times New Roman" w:cs="Times New Roman"/>
        </w:rPr>
        <w:t>City of New York, Mayor’s Office of Manageme</w:t>
      </w:r>
      <w:r>
        <w:rPr>
          <w:rFonts w:ascii="Times New Roman" w:hAnsi="Times New Roman" w:cs="Times New Roman"/>
        </w:rPr>
        <w:t xml:space="preserve">nt and Budget (OMB) Fiscal 2022 </w:t>
      </w:r>
      <w:r w:rsidRPr="00E631C4">
        <w:rPr>
          <w:rFonts w:ascii="Times New Roman" w:hAnsi="Times New Roman" w:cs="Times New Roman"/>
        </w:rPr>
        <w:t xml:space="preserve">Adopted Capital Commitment Plan, Volume 1, </w:t>
      </w:r>
      <w:r w:rsidRPr="00E631C4">
        <w:rPr>
          <w:rFonts w:ascii="Times New Roman" w:hAnsi="Times New Roman" w:cs="Times New Roman"/>
          <w:i/>
          <w:iCs/>
        </w:rPr>
        <w:t xml:space="preserve">available at </w:t>
      </w:r>
      <w:hyperlink r:id="rId16" w:history="1">
        <w:r w:rsidRPr="00E631C4">
          <w:rPr>
            <w:rStyle w:val="Hyperlink"/>
            <w:rFonts w:ascii="Times New Roman" w:hAnsi="Times New Roman" w:cs="Times New Roman"/>
            <w:iCs/>
          </w:rPr>
          <w:t>https://www1.nyc.gov/assets/omb/downloads/pdf/ccp-10-21a.pdf</w:t>
        </w:r>
      </w:hyperlink>
      <w:r w:rsidRPr="00E631C4">
        <w:rPr>
          <w:rFonts w:ascii="Times New Roman" w:hAnsi="Times New Roman" w:cs="Times New Roman"/>
          <w:iCs/>
        </w:rPr>
        <w:t xml:space="preserve"> (last accessed on November 4, 2021). </w:t>
      </w:r>
    </w:p>
  </w:footnote>
  <w:footnote w:id="46">
    <w:p w14:paraId="0B67A00F" w14:textId="484DF8E6" w:rsidR="00B11762" w:rsidRDefault="00B11762">
      <w:pPr>
        <w:pStyle w:val="FootnoteText"/>
      </w:pPr>
      <w:r w:rsidRPr="00E631C4">
        <w:rPr>
          <w:rStyle w:val="FootnoteReference"/>
          <w:rFonts w:ascii="Times New Roman" w:hAnsi="Times New Roman" w:cs="Times New Roman"/>
        </w:rPr>
        <w:footnoteRef/>
      </w:r>
      <w:r w:rsidRPr="00E631C4">
        <w:rPr>
          <w:rFonts w:ascii="Times New Roman" w:hAnsi="Times New Roman" w:cs="Times New Roman"/>
        </w:rPr>
        <w:t xml:space="preserve"> </w:t>
      </w:r>
      <w:r w:rsidRPr="00E631C4">
        <w:rPr>
          <w:rFonts w:ascii="Times New Roman" w:hAnsi="Times New Roman" w:cs="Times New Roman"/>
          <w:i/>
        </w:rPr>
        <w:t>See</w:t>
      </w:r>
      <w:r w:rsidRPr="00E631C4">
        <w:rPr>
          <w:rFonts w:ascii="Times" w:hAnsi="Times"/>
        </w:rPr>
        <w:t xml:space="preserve"> </w:t>
      </w:r>
      <w:r w:rsidRPr="00124838">
        <w:rPr>
          <w:rFonts w:ascii="Times" w:hAnsi="Times"/>
        </w:rPr>
        <w:t>Report to the Committee on Finance and the Committee on Public Housing on the Fiscal 2022 Executive Budget, NYCHA’s 2021-2025 Adopted Operating Plan, NYCHA’s 2021-2025 Adopted Capital Plan, Fiscal 2021-2031 Ten-Year Capital Strategy, Fiscal 2022 Executive Capital Budget, and the Fiscal 2022</w:t>
      </w:r>
      <w:r w:rsidRPr="004E0D46">
        <w:rPr>
          <w:rFonts w:ascii="Times" w:hAnsi="Times"/>
        </w:rPr>
        <w:t xml:space="preserve"> Executive Capital Commitment Plan for the</w:t>
      </w:r>
      <w:r>
        <w:rPr>
          <w:rFonts w:ascii="Times" w:hAnsi="Times"/>
        </w:rPr>
        <w:t xml:space="preserve"> </w:t>
      </w:r>
      <w:r w:rsidRPr="004E0D46">
        <w:rPr>
          <w:rFonts w:ascii="Times" w:hAnsi="Times"/>
        </w:rPr>
        <w:t>New York City Housing Authority</w:t>
      </w:r>
      <w:r>
        <w:rPr>
          <w:rFonts w:ascii="Times" w:hAnsi="Times"/>
        </w:rPr>
        <w:t xml:space="preserve">, </w:t>
      </w:r>
      <w:r w:rsidRPr="00E631C4">
        <w:rPr>
          <w:rFonts w:ascii="Times" w:hAnsi="Times"/>
          <w:i/>
        </w:rPr>
        <w:t>supra</w:t>
      </w:r>
      <w:r w:rsidR="00EF089C">
        <w:rPr>
          <w:rFonts w:ascii="Times" w:hAnsi="Times"/>
        </w:rPr>
        <w:t xml:space="preserve"> note 30</w:t>
      </w:r>
      <w:r>
        <w:rPr>
          <w:rFonts w:ascii="Times" w:hAnsi="Times"/>
        </w:rPr>
        <w:t>.</w:t>
      </w:r>
    </w:p>
  </w:footnote>
  <w:footnote w:id="47">
    <w:p w14:paraId="65E0C695" w14:textId="4F049F52" w:rsidR="006D0A2A" w:rsidRPr="00E631C4" w:rsidRDefault="006D0A2A">
      <w:pPr>
        <w:pStyle w:val="FootnoteText"/>
        <w:rPr>
          <w:rFonts w:ascii="Times" w:hAnsi="Times"/>
        </w:rPr>
      </w:pPr>
      <w:r w:rsidRPr="00E631C4">
        <w:rPr>
          <w:rStyle w:val="FootnoteReference"/>
          <w:rFonts w:ascii="Times" w:hAnsi="Times"/>
        </w:rPr>
        <w:footnoteRef/>
      </w:r>
      <w:r w:rsidRPr="00E631C4">
        <w:rPr>
          <w:rFonts w:ascii="Times" w:hAnsi="Times"/>
        </w:rPr>
        <w:t xml:space="preserve"> Analysis </w:t>
      </w:r>
      <w:r w:rsidRPr="006D0A2A">
        <w:rPr>
          <w:rFonts w:ascii="Times" w:hAnsi="Times"/>
        </w:rPr>
        <w:t>conducted</w:t>
      </w:r>
      <w:r w:rsidRPr="00E631C4">
        <w:rPr>
          <w:rFonts w:ascii="Times" w:hAnsi="Times"/>
        </w:rPr>
        <w:t xml:space="preserve"> by the City </w:t>
      </w:r>
      <w:r w:rsidRPr="006D0A2A">
        <w:rPr>
          <w:rFonts w:ascii="Times" w:hAnsi="Times"/>
        </w:rPr>
        <w:t>Council</w:t>
      </w:r>
      <w:r w:rsidRPr="00E631C4">
        <w:rPr>
          <w:rFonts w:ascii="Times" w:hAnsi="Times"/>
        </w:rPr>
        <w:t xml:space="preserve">, Finance Division. </w:t>
      </w:r>
    </w:p>
  </w:footnote>
  <w:footnote w:id="48">
    <w:p w14:paraId="61FA6978" w14:textId="51654235" w:rsidR="00B11762" w:rsidRPr="006E3E73" w:rsidRDefault="00B11762" w:rsidP="00C42612">
      <w:pPr>
        <w:pStyle w:val="FootnoteText"/>
        <w:rPr>
          <w:rFonts w:ascii="Times" w:hAnsi="Times"/>
        </w:rPr>
      </w:pPr>
      <w:r w:rsidRPr="00E631C4">
        <w:rPr>
          <w:rStyle w:val="FootnoteReference"/>
          <w:rFonts w:ascii="Times New Roman" w:hAnsi="Times New Roman" w:cs="Times New Roman"/>
        </w:rPr>
        <w:footnoteRef/>
      </w:r>
      <w:r w:rsidRPr="00E631C4">
        <w:rPr>
          <w:rFonts w:ascii="Times New Roman" w:hAnsi="Times New Roman" w:cs="Times New Roman"/>
        </w:rPr>
        <w:t xml:space="preserve"> </w:t>
      </w:r>
      <w:r w:rsidRPr="00E631C4">
        <w:rPr>
          <w:rFonts w:ascii="Times New Roman" w:hAnsi="Times New Roman" w:cs="Times New Roman"/>
          <w:i/>
        </w:rPr>
        <w:t>See</w:t>
      </w:r>
      <w:r>
        <w:t xml:space="preserve"> </w:t>
      </w:r>
      <w:r w:rsidRPr="006E3E73">
        <w:rPr>
          <w:rFonts w:ascii="Times" w:hAnsi="Times"/>
        </w:rPr>
        <w:t>Report of the Finance Division on the Fiscal 2022 Preliminary Plan, Fiscal 2022 Preliminary Capital Budget, Fiscal 2022 Preliminary Capital Commitment Plan, 2021-2025 Adopted Operating Budget, 2021-2025 Adopted Capital Plan and the Fiscal 2021 Preliminary Mayor’s Management Report for the</w:t>
      </w:r>
    </w:p>
    <w:p w14:paraId="57AEA9FC" w14:textId="2B7E812C" w:rsidR="00B11762" w:rsidRDefault="00B11762" w:rsidP="00C42612">
      <w:pPr>
        <w:pStyle w:val="FootnoteText"/>
      </w:pPr>
      <w:r>
        <w:rPr>
          <w:rFonts w:ascii="Times" w:hAnsi="Times"/>
        </w:rPr>
        <w:t xml:space="preserve">New York City Housing Authority, </w:t>
      </w:r>
      <w:r w:rsidRPr="00E631C4">
        <w:rPr>
          <w:rFonts w:ascii="Times" w:hAnsi="Times"/>
          <w:i/>
        </w:rPr>
        <w:t>supra</w:t>
      </w:r>
      <w:r w:rsidR="008A76B0">
        <w:rPr>
          <w:rFonts w:ascii="Times" w:hAnsi="Times"/>
        </w:rPr>
        <w:t xml:space="preserve"> note 37</w:t>
      </w:r>
      <w:r>
        <w:rPr>
          <w:rFonts w:ascii="Times" w:hAnsi="Times"/>
        </w:rPr>
        <w:t>.</w:t>
      </w:r>
    </w:p>
  </w:footnote>
  <w:footnote w:id="49">
    <w:p w14:paraId="62635985" w14:textId="288AA241" w:rsidR="00B11762" w:rsidRPr="00E631C4" w:rsidRDefault="00B11762">
      <w:pPr>
        <w:pStyle w:val="FootnoteText"/>
        <w:rPr>
          <w:rFonts w:ascii="Times New Roman" w:hAnsi="Times New Roman" w:cs="Times New Roman"/>
        </w:rPr>
      </w:pPr>
      <w:r w:rsidRPr="00E631C4">
        <w:rPr>
          <w:rStyle w:val="FootnoteReference"/>
          <w:rFonts w:ascii="Times New Roman" w:hAnsi="Times New Roman" w:cs="Times New Roman"/>
        </w:rPr>
        <w:footnoteRef/>
      </w:r>
      <w:r w:rsidRPr="00E631C4">
        <w:rPr>
          <w:rFonts w:ascii="Times New Roman" w:hAnsi="Times New Roman" w:cs="Times New Roman"/>
        </w:rPr>
        <w:t xml:space="preserve"> </w:t>
      </w:r>
      <w:r w:rsidRPr="00E631C4">
        <w:rPr>
          <w:rFonts w:ascii="Times New Roman" w:hAnsi="Times New Roman" w:cs="Times New Roman"/>
          <w:i/>
        </w:rPr>
        <w:t>See id.</w:t>
      </w:r>
    </w:p>
  </w:footnote>
  <w:footnote w:id="50">
    <w:p w14:paraId="737827B7" w14:textId="15FE63DF" w:rsidR="00B11762" w:rsidRPr="00E631C4" w:rsidRDefault="00B11762">
      <w:pPr>
        <w:pStyle w:val="FootnoteText"/>
        <w:rPr>
          <w:rFonts w:ascii="Times New Roman" w:hAnsi="Times New Roman" w:cs="Times New Roman"/>
        </w:rPr>
      </w:pPr>
      <w:r w:rsidRPr="00E631C4">
        <w:rPr>
          <w:rStyle w:val="FootnoteReference"/>
          <w:rFonts w:ascii="Times New Roman" w:hAnsi="Times New Roman" w:cs="Times New Roman"/>
        </w:rPr>
        <w:footnoteRef/>
      </w:r>
      <w:r w:rsidRPr="00E631C4">
        <w:rPr>
          <w:rFonts w:ascii="Times New Roman" w:hAnsi="Times New Roman" w:cs="Times New Roman"/>
        </w:rPr>
        <w:t xml:space="preserve"> </w:t>
      </w:r>
      <w:r w:rsidRPr="008E330E">
        <w:rPr>
          <w:rFonts w:ascii="Times New Roman" w:hAnsi="Times New Roman" w:cs="Times New Roman"/>
          <w:i/>
        </w:rPr>
        <w:t>See id.</w:t>
      </w:r>
    </w:p>
  </w:footnote>
  <w:footnote w:id="51">
    <w:p w14:paraId="13FDCF81" w14:textId="2343225A" w:rsidR="006476BB" w:rsidRDefault="006476BB">
      <w:pPr>
        <w:pStyle w:val="FootnoteText"/>
      </w:pPr>
      <w:r w:rsidRPr="00E631C4">
        <w:rPr>
          <w:rStyle w:val="FootnoteReference"/>
          <w:rFonts w:ascii="Times" w:hAnsi="Times"/>
        </w:rPr>
        <w:footnoteRef/>
      </w:r>
      <w:r w:rsidRPr="00E631C4">
        <w:rPr>
          <w:rFonts w:ascii="Times" w:hAnsi="Times"/>
        </w:rPr>
        <w:t xml:space="preserve"> </w:t>
      </w:r>
      <w:r w:rsidRPr="00E631C4">
        <w:rPr>
          <w:rFonts w:ascii="Times" w:hAnsi="Times"/>
          <w:i/>
          <w:iCs/>
        </w:rPr>
        <w:t>See</w:t>
      </w:r>
      <w:r w:rsidRPr="00E631C4">
        <w:rPr>
          <w:i/>
          <w:iCs/>
        </w:rPr>
        <w:t xml:space="preserve"> </w:t>
      </w:r>
      <w:r w:rsidRPr="00124838">
        <w:rPr>
          <w:rFonts w:ascii="Times" w:hAnsi="Times"/>
        </w:rPr>
        <w:t>Capital Plan Calendar Years 2021-2025</w:t>
      </w:r>
      <w:r>
        <w:rPr>
          <w:rFonts w:ascii="Times" w:hAnsi="Times"/>
        </w:rPr>
        <w:t>, s</w:t>
      </w:r>
      <w:r w:rsidRPr="00E631C4">
        <w:rPr>
          <w:rFonts w:ascii="Times" w:hAnsi="Times"/>
          <w:i/>
          <w:iCs/>
        </w:rPr>
        <w:t xml:space="preserve">upra </w:t>
      </w:r>
      <w:r w:rsidR="00EF089C">
        <w:rPr>
          <w:rFonts w:ascii="Times" w:hAnsi="Times"/>
        </w:rPr>
        <w:t>note 24</w:t>
      </w:r>
      <w:r>
        <w:rPr>
          <w:rFonts w:ascii="Times" w:hAnsi="Times"/>
        </w:rPr>
        <w:t>.</w:t>
      </w:r>
    </w:p>
  </w:footnote>
  <w:footnote w:id="52">
    <w:p w14:paraId="39318D7F" w14:textId="6DAEEDE0" w:rsidR="006476BB" w:rsidRPr="00E631C4" w:rsidRDefault="006476BB">
      <w:pPr>
        <w:pStyle w:val="FootnoteText"/>
        <w:rPr>
          <w:rFonts w:ascii="Times" w:hAnsi="Times"/>
        </w:rPr>
      </w:pPr>
      <w:r w:rsidRPr="00E631C4">
        <w:rPr>
          <w:rStyle w:val="FootnoteReference"/>
          <w:rFonts w:ascii="Times" w:hAnsi="Times"/>
        </w:rPr>
        <w:footnoteRef/>
      </w:r>
      <w:r w:rsidRPr="00E631C4">
        <w:rPr>
          <w:rFonts w:ascii="Times" w:hAnsi="Times"/>
        </w:rPr>
        <w:t xml:space="preserve"> </w:t>
      </w:r>
      <w:r w:rsidRPr="00CF51EB">
        <w:rPr>
          <w:rFonts w:ascii="Times" w:hAnsi="Times"/>
          <w:i/>
          <w:iCs/>
        </w:rPr>
        <w:t>See id.</w:t>
      </w:r>
    </w:p>
  </w:footnote>
  <w:footnote w:id="53">
    <w:p w14:paraId="0E2B0725" w14:textId="1126625B" w:rsidR="00CF51EB" w:rsidRDefault="00CF51EB">
      <w:pPr>
        <w:pStyle w:val="FootnoteText"/>
      </w:pPr>
      <w:r w:rsidRPr="00E631C4">
        <w:rPr>
          <w:rStyle w:val="FootnoteReference"/>
          <w:rFonts w:ascii="Times" w:hAnsi="Times"/>
        </w:rPr>
        <w:footnoteRef/>
      </w:r>
      <w:r>
        <w:t xml:space="preserve"> </w:t>
      </w:r>
      <w:r w:rsidRPr="00D147FC">
        <w:rPr>
          <w:rFonts w:ascii="Times" w:hAnsi="Times"/>
          <w:i/>
          <w:iCs/>
        </w:rPr>
        <w:t xml:space="preserve">See </w:t>
      </w:r>
      <w:r w:rsidRPr="00D147FC">
        <w:rPr>
          <w:rFonts w:ascii="Times" w:hAnsi="Times"/>
        </w:rPr>
        <w:t>New York City Housing Authority, Press Release, NYCHA PRESENTS A BLUEPRINT FOR CHANGE AT NEW YORK HOUSING CONFERENCE’S 2020 SUMMER SERIES: Long-term Strategy Includes Establishing a Public Housing Preservation Trust and a Stabilization Plan for Every Building (Jan. 28, 2020), a</w:t>
      </w:r>
      <w:r w:rsidRPr="00D147FC">
        <w:rPr>
          <w:rFonts w:ascii="Times" w:hAnsi="Times"/>
          <w:i/>
          <w:iCs/>
        </w:rPr>
        <w:t xml:space="preserve">vailable at </w:t>
      </w:r>
      <w:hyperlink r:id="rId17" w:history="1">
        <w:r w:rsidRPr="00D147FC">
          <w:rPr>
            <w:rStyle w:val="Hyperlink"/>
            <w:rFonts w:ascii="Times" w:hAnsi="Times"/>
          </w:rPr>
          <w:t>https://www1.nyc.gov/assets/nycha/downloads/pdf/07.28.20-Press-Release-NYCHA-BLUEPRINT-FOR-CHANGE-NYHC.pdf</w:t>
        </w:r>
      </w:hyperlink>
      <w:r w:rsidRPr="00D147FC">
        <w:rPr>
          <w:rFonts w:ascii="Times" w:hAnsi="Times"/>
        </w:rPr>
        <w:t xml:space="preserve"> (last accessed on November </w:t>
      </w:r>
      <w:r>
        <w:rPr>
          <w:rFonts w:ascii="Times" w:hAnsi="Times"/>
        </w:rPr>
        <w:t>3</w:t>
      </w:r>
      <w:r w:rsidRPr="00D147FC">
        <w:rPr>
          <w:rFonts w:ascii="Times" w:hAnsi="Times"/>
        </w:rPr>
        <w:t>, 2021).</w:t>
      </w:r>
    </w:p>
  </w:footnote>
  <w:footnote w:id="54">
    <w:p w14:paraId="26E99187" w14:textId="5E4ED0D5" w:rsidR="00B11762" w:rsidRPr="006E3E73" w:rsidRDefault="00B11762" w:rsidP="008914BB">
      <w:pPr>
        <w:pStyle w:val="FootnoteText"/>
        <w:rPr>
          <w:rFonts w:ascii="Times" w:hAnsi="Times"/>
        </w:rPr>
      </w:pPr>
      <w:r w:rsidRPr="006E3E73">
        <w:rPr>
          <w:rStyle w:val="FootnoteReference"/>
          <w:rFonts w:ascii="Times" w:hAnsi="Times"/>
        </w:rPr>
        <w:footnoteRef/>
      </w:r>
      <w:r w:rsidRPr="006E3E73">
        <w:rPr>
          <w:rFonts w:ascii="Times" w:hAnsi="Times"/>
        </w:rPr>
        <w:t xml:space="preserve"> </w:t>
      </w:r>
      <w:r w:rsidRPr="006E3E73">
        <w:rPr>
          <w:rFonts w:ascii="Times" w:hAnsi="Times"/>
          <w:i/>
          <w:iCs/>
        </w:rPr>
        <w:t>See</w:t>
      </w:r>
      <w:r w:rsidRPr="006E3E73">
        <w:rPr>
          <w:rFonts w:ascii="Times" w:hAnsi="Times"/>
        </w:rPr>
        <w:t xml:space="preserve"> Report of the Finance Division on the Fiscal 2022 Preliminary Plan, Fiscal 2022 Preliminary Capital Budget, Fiscal 2022 Preliminary Capital Commitment Plan, 2021-2025 Adopted Operating Budget, 2021-2025 Adopted Capital Plan and the Fiscal 2021 Preliminary Mayor’s Management Report for the</w:t>
      </w:r>
    </w:p>
    <w:p w14:paraId="6980A256" w14:textId="3C257B9F" w:rsidR="00B11762" w:rsidRDefault="00B11762" w:rsidP="008914BB">
      <w:pPr>
        <w:pStyle w:val="FootnoteText"/>
      </w:pPr>
      <w:r w:rsidRPr="006E3E73">
        <w:rPr>
          <w:rFonts w:ascii="Times" w:hAnsi="Times"/>
        </w:rPr>
        <w:t>New York City Housing Authority</w:t>
      </w:r>
      <w:r>
        <w:rPr>
          <w:rFonts w:ascii="Times" w:hAnsi="Times"/>
        </w:rPr>
        <w:t xml:space="preserve">, </w:t>
      </w:r>
      <w:r w:rsidRPr="00E631C4">
        <w:rPr>
          <w:rFonts w:ascii="Times" w:hAnsi="Times"/>
          <w:i/>
        </w:rPr>
        <w:t>supra</w:t>
      </w:r>
      <w:r w:rsidR="008A76B0">
        <w:rPr>
          <w:rFonts w:ascii="Times" w:hAnsi="Times"/>
        </w:rPr>
        <w:t xml:space="preserve"> note 37</w:t>
      </w:r>
      <w:r>
        <w:rPr>
          <w:rFonts w:ascii="Times" w:hAnsi="Times"/>
        </w:rPr>
        <w:t>.</w:t>
      </w:r>
    </w:p>
  </w:footnote>
  <w:footnote w:id="55">
    <w:p w14:paraId="6A18856F" w14:textId="0216CF0F" w:rsidR="00B11762" w:rsidRPr="00D147FC" w:rsidRDefault="00B11762">
      <w:pPr>
        <w:pStyle w:val="FootnoteText"/>
        <w:rPr>
          <w:rFonts w:ascii="Times" w:hAnsi="Times"/>
        </w:rPr>
      </w:pPr>
      <w:r w:rsidRPr="00D147FC">
        <w:rPr>
          <w:rStyle w:val="FootnoteReference"/>
          <w:rFonts w:ascii="Times" w:hAnsi="Times"/>
        </w:rPr>
        <w:footnoteRef/>
      </w:r>
      <w:r w:rsidRPr="00D147FC">
        <w:rPr>
          <w:rFonts w:ascii="Times" w:hAnsi="Times"/>
        </w:rPr>
        <w:t xml:space="preserve"> </w:t>
      </w:r>
      <w:r w:rsidRPr="00D147FC">
        <w:rPr>
          <w:rFonts w:ascii="Times" w:hAnsi="Times"/>
          <w:i/>
          <w:iCs/>
        </w:rPr>
        <w:t>See id.</w:t>
      </w:r>
      <w:r w:rsidRPr="00D147FC">
        <w:rPr>
          <w:rFonts w:ascii="Times" w:hAnsi="Times"/>
        </w:rPr>
        <w:t xml:space="preserve"> </w:t>
      </w:r>
    </w:p>
  </w:footnote>
  <w:footnote w:id="56">
    <w:p w14:paraId="123792EE" w14:textId="6A758FD4" w:rsidR="00B11762" w:rsidRPr="00D147FC" w:rsidRDefault="00B11762">
      <w:pPr>
        <w:pStyle w:val="FootnoteText"/>
        <w:rPr>
          <w:rFonts w:ascii="Times" w:hAnsi="Times"/>
        </w:rPr>
      </w:pPr>
      <w:r w:rsidRPr="00D147FC">
        <w:rPr>
          <w:rStyle w:val="FootnoteReference"/>
          <w:rFonts w:ascii="Times" w:hAnsi="Times"/>
        </w:rPr>
        <w:footnoteRef/>
      </w:r>
      <w:r w:rsidRPr="00D147FC">
        <w:rPr>
          <w:rFonts w:ascii="Times" w:hAnsi="Times"/>
        </w:rPr>
        <w:t xml:space="preserve"> </w:t>
      </w:r>
      <w:r w:rsidRPr="00D147FC">
        <w:rPr>
          <w:rFonts w:ascii="Times" w:hAnsi="Times"/>
          <w:i/>
          <w:iCs/>
        </w:rPr>
        <w:t>See id.</w:t>
      </w:r>
    </w:p>
  </w:footnote>
  <w:footnote w:id="57">
    <w:p w14:paraId="65512263" w14:textId="316DBA04" w:rsidR="00B11762" w:rsidRPr="00D147FC" w:rsidRDefault="00B11762">
      <w:pPr>
        <w:pStyle w:val="FootnoteText"/>
        <w:rPr>
          <w:rFonts w:ascii="Times" w:hAnsi="Times"/>
        </w:rPr>
      </w:pPr>
      <w:r w:rsidRPr="00D147FC">
        <w:rPr>
          <w:rStyle w:val="FootnoteReference"/>
          <w:rFonts w:ascii="Times" w:hAnsi="Times"/>
        </w:rPr>
        <w:footnoteRef/>
      </w:r>
      <w:r w:rsidRPr="00D147FC">
        <w:rPr>
          <w:rFonts w:ascii="Times" w:hAnsi="Times"/>
        </w:rPr>
        <w:t xml:space="preserve"> </w:t>
      </w:r>
      <w:r w:rsidRPr="00D147FC">
        <w:rPr>
          <w:rFonts w:ascii="Times" w:hAnsi="Times"/>
          <w:i/>
          <w:iCs/>
        </w:rPr>
        <w:t>See id.</w:t>
      </w:r>
    </w:p>
  </w:footnote>
  <w:footnote w:id="58">
    <w:p w14:paraId="216C2A7A" w14:textId="5BA95832" w:rsidR="00B11762" w:rsidRDefault="00B11762">
      <w:pPr>
        <w:pStyle w:val="FootnoteText"/>
      </w:pPr>
      <w:r w:rsidRPr="00D147FC">
        <w:rPr>
          <w:rStyle w:val="FootnoteReference"/>
          <w:rFonts w:ascii="Times" w:hAnsi="Times"/>
        </w:rPr>
        <w:footnoteRef/>
      </w:r>
      <w:r w:rsidRPr="00D147FC">
        <w:rPr>
          <w:rFonts w:ascii="Times" w:hAnsi="Times"/>
        </w:rPr>
        <w:t xml:space="preserve"> </w:t>
      </w:r>
      <w:r w:rsidRPr="00D147FC">
        <w:rPr>
          <w:rFonts w:ascii="Times" w:hAnsi="Times"/>
          <w:i/>
          <w:iCs/>
        </w:rPr>
        <w:t>See id.</w:t>
      </w:r>
    </w:p>
  </w:footnote>
  <w:footnote w:id="59">
    <w:p w14:paraId="09EC1BE1" w14:textId="32B863CA" w:rsidR="00B11762" w:rsidRPr="00BB3501" w:rsidRDefault="00B11762">
      <w:pPr>
        <w:pStyle w:val="FootnoteText"/>
        <w:rPr>
          <w:rFonts w:ascii="Times" w:hAnsi="Times"/>
        </w:rPr>
      </w:pPr>
      <w:r w:rsidRPr="00BB3501">
        <w:rPr>
          <w:rStyle w:val="FootnoteReference"/>
          <w:rFonts w:ascii="Times" w:hAnsi="Times"/>
        </w:rPr>
        <w:footnoteRef/>
      </w:r>
      <w:r w:rsidRPr="00BB3501">
        <w:rPr>
          <w:rFonts w:ascii="Times" w:hAnsi="Times"/>
        </w:rPr>
        <w:t xml:space="preserve"> </w:t>
      </w:r>
      <w:r w:rsidRPr="00BB3501">
        <w:rPr>
          <w:rFonts w:ascii="Times" w:hAnsi="Times"/>
          <w:i/>
          <w:iCs/>
        </w:rPr>
        <w:t>See id.</w:t>
      </w:r>
    </w:p>
  </w:footnote>
  <w:footnote w:id="60">
    <w:p w14:paraId="6A203FBA" w14:textId="12205568" w:rsidR="00B11762" w:rsidRDefault="00B11762">
      <w:pPr>
        <w:pStyle w:val="FootnoteText"/>
      </w:pPr>
      <w:r w:rsidRPr="00BB3501">
        <w:rPr>
          <w:rStyle w:val="FootnoteReference"/>
          <w:rFonts w:ascii="Times" w:hAnsi="Times"/>
        </w:rPr>
        <w:footnoteRef/>
      </w:r>
      <w:r w:rsidRPr="00BB3501">
        <w:rPr>
          <w:rFonts w:ascii="Times" w:hAnsi="Times"/>
        </w:rPr>
        <w:t xml:space="preserve"> </w:t>
      </w:r>
      <w:r w:rsidRPr="00BB3501">
        <w:rPr>
          <w:rFonts w:ascii="Times" w:hAnsi="Times"/>
          <w:i/>
          <w:iCs/>
        </w:rPr>
        <w:t>See id.</w:t>
      </w:r>
    </w:p>
  </w:footnote>
  <w:footnote w:id="61">
    <w:p w14:paraId="12AD870F" w14:textId="3BE4C83A" w:rsidR="00B11762" w:rsidRPr="00D147FC" w:rsidRDefault="00B11762" w:rsidP="00303AD2">
      <w:pPr>
        <w:pStyle w:val="FootnoteText"/>
        <w:rPr>
          <w:rFonts w:ascii="Times" w:hAnsi="Times"/>
        </w:rPr>
      </w:pPr>
      <w:r w:rsidRPr="00D147FC">
        <w:rPr>
          <w:rStyle w:val="FootnoteReference"/>
          <w:rFonts w:ascii="Times" w:hAnsi="Times"/>
        </w:rPr>
        <w:footnoteRef/>
      </w:r>
      <w:r w:rsidRPr="00D147FC">
        <w:rPr>
          <w:rFonts w:ascii="Times" w:hAnsi="Times"/>
        </w:rPr>
        <w:t xml:space="preserve"> </w:t>
      </w:r>
      <w:r w:rsidRPr="00D147FC">
        <w:rPr>
          <w:rFonts w:ascii="Times" w:hAnsi="Times"/>
          <w:i/>
          <w:iCs/>
        </w:rPr>
        <w:t xml:space="preserve">See </w:t>
      </w:r>
      <w:r w:rsidRPr="00D147FC">
        <w:rPr>
          <w:rFonts w:ascii="Times" w:hAnsi="Times"/>
        </w:rPr>
        <w:t xml:space="preserve">New York City Housing Authority, Press Release, NYCHA PRESENTS A BLUEPRINT FOR CHANGE AT NEW YORK HOUSING CONFERENCE’S 2020 SUMMER SERIES: Long-term Strategy Includes Establishing a Public Housing Preservation Trust and a Stabilization Plan for Every Building (Jan. 28, 2020), </w:t>
      </w:r>
      <w:r w:rsidR="00CF51EB">
        <w:rPr>
          <w:rFonts w:ascii="Times" w:hAnsi="Times"/>
          <w:i/>
          <w:iCs/>
        </w:rPr>
        <w:t xml:space="preserve">supra </w:t>
      </w:r>
      <w:r w:rsidR="00EF089C">
        <w:rPr>
          <w:rFonts w:ascii="Times" w:hAnsi="Times"/>
        </w:rPr>
        <w:t>note 53</w:t>
      </w:r>
      <w:r w:rsidR="00CF51EB" w:rsidRPr="00E631C4">
        <w:rPr>
          <w:rFonts w:ascii="Times" w:hAnsi="Times"/>
        </w:rPr>
        <w:t>.</w:t>
      </w:r>
      <w:r w:rsidRPr="00CF51EB">
        <w:rPr>
          <w:rFonts w:ascii="Times" w:hAnsi="Times"/>
        </w:rPr>
        <w:t xml:space="preserve"> </w:t>
      </w:r>
    </w:p>
  </w:footnote>
  <w:footnote w:id="62">
    <w:p w14:paraId="39B4BA74" w14:textId="4F9FA3BD" w:rsidR="00B11762" w:rsidRPr="00D147FC" w:rsidRDefault="00B11762">
      <w:pPr>
        <w:pStyle w:val="FootnoteText"/>
        <w:rPr>
          <w:rFonts w:ascii="Times" w:hAnsi="Times"/>
        </w:rPr>
      </w:pPr>
      <w:r w:rsidRPr="00D147FC">
        <w:rPr>
          <w:rStyle w:val="FootnoteReference"/>
          <w:rFonts w:ascii="Times" w:hAnsi="Times"/>
        </w:rPr>
        <w:footnoteRef/>
      </w:r>
      <w:r w:rsidRPr="00D147FC">
        <w:rPr>
          <w:rFonts w:ascii="Times" w:hAnsi="Times"/>
        </w:rPr>
        <w:t xml:space="preserve"> </w:t>
      </w:r>
      <w:r w:rsidRPr="00D147FC">
        <w:rPr>
          <w:rFonts w:ascii="Times" w:hAnsi="Times"/>
          <w:i/>
          <w:iCs/>
        </w:rPr>
        <w:t>See id.</w:t>
      </w:r>
    </w:p>
  </w:footnote>
  <w:footnote w:id="63">
    <w:p w14:paraId="11F4BB0E" w14:textId="5F4AEF5E" w:rsidR="00B11762" w:rsidRDefault="00B11762">
      <w:pPr>
        <w:pStyle w:val="FootnoteText"/>
      </w:pPr>
      <w:r w:rsidRPr="00D147FC">
        <w:rPr>
          <w:rStyle w:val="FootnoteReference"/>
          <w:rFonts w:ascii="Times" w:hAnsi="Times"/>
        </w:rPr>
        <w:footnoteRef/>
      </w:r>
      <w:r w:rsidRPr="00D147FC">
        <w:rPr>
          <w:rFonts w:ascii="Times" w:hAnsi="Times"/>
        </w:rPr>
        <w:t xml:space="preserve"> </w:t>
      </w:r>
      <w:r w:rsidRPr="00D147FC">
        <w:rPr>
          <w:rFonts w:ascii="Times" w:hAnsi="Times"/>
          <w:i/>
          <w:iCs/>
        </w:rPr>
        <w:t>See id.</w:t>
      </w:r>
    </w:p>
  </w:footnote>
  <w:footnote w:id="64">
    <w:p w14:paraId="5C9C985B" w14:textId="420F5E46" w:rsidR="00B11762" w:rsidRPr="00D147FC" w:rsidRDefault="00B11762" w:rsidP="00B16D54">
      <w:pPr>
        <w:pStyle w:val="FootnoteText"/>
        <w:rPr>
          <w:rFonts w:ascii="Times" w:hAnsi="Times"/>
        </w:rPr>
      </w:pPr>
      <w:r w:rsidRPr="00D147FC">
        <w:rPr>
          <w:rStyle w:val="FootnoteReference"/>
          <w:rFonts w:ascii="Times" w:hAnsi="Times"/>
        </w:rPr>
        <w:footnoteRef/>
      </w:r>
      <w:r w:rsidRPr="00D147FC">
        <w:rPr>
          <w:rFonts w:ascii="Times" w:hAnsi="Times"/>
        </w:rPr>
        <w:t xml:space="preserve"> </w:t>
      </w:r>
      <w:r w:rsidRPr="00D147FC">
        <w:rPr>
          <w:rFonts w:ascii="Times" w:hAnsi="Times"/>
          <w:i/>
          <w:iCs/>
        </w:rPr>
        <w:t>See</w:t>
      </w:r>
      <w:r w:rsidRPr="00D147FC">
        <w:rPr>
          <w:rFonts w:ascii="Times" w:hAnsi="Times"/>
        </w:rPr>
        <w:t xml:space="preserve"> New York City Housing Authority, Press Release: NYCHA ANNOUNCES HUD and SDNY CONCUR WITH AUTHORITY’S TRANSFORMATION PLAN GREENLIGHTING IMPLEMENTATION PHASE (Mar</w:t>
      </w:r>
      <w:r>
        <w:rPr>
          <w:rFonts w:ascii="Times" w:hAnsi="Times"/>
        </w:rPr>
        <w:t>ch</w:t>
      </w:r>
      <w:r w:rsidRPr="00D147FC">
        <w:rPr>
          <w:rFonts w:ascii="Times" w:hAnsi="Times"/>
        </w:rPr>
        <w:t xml:space="preserve"> 8, 2021) </w:t>
      </w:r>
      <w:r w:rsidRPr="00840CFA">
        <w:rPr>
          <w:rFonts w:ascii="Times" w:hAnsi="Times"/>
          <w:i/>
          <w:iCs/>
        </w:rPr>
        <w:t xml:space="preserve">available </w:t>
      </w:r>
      <w:r w:rsidR="00CF51EB">
        <w:rPr>
          <w:rFonts w:ascii="Times" w:hAnsi="Times"/>
          <w:i/>
          <w:iCs/>
        </w:rPr>
        <w:t xml:space="preserve">supra </w:t>
      </w:r>
      <w:r w:rsidR="00EF089C">
        <w:rPr>
          <w:rFonts w:ascii="Times" w:hAnsi="Times"/>
        </w:rPr>
        <w:t>note 53</w:t>
      </w:r>
      <w:r w:rsidR="00CF51EB">
        <w:rPr>
          <w:rFonts w:ascii="Times" w:hAnsi="Times"/>
          <w:i/>
          <w:iCs/>
        </w:rPr>
        <w:t xml:space="preserve">; </w:t>
      </w:r>
      <w:r w:rsidRPr="00840CFA">
        <w:rPr>
          <w:rFonts w:ascii="Times" w:hAnsi="Times"/>
          <w:i/>
          <w:iCs/>
        </w:rPr>
        <w:t>see also</w:t>
      </w:r>
      <w:r w:rsidRPr="00D147FC">
        <w:rPr>
          <w:rFonts w:ascii="Times" w:hAnsi="Times"/>
        </w:rPr>
        <w:t xml:space="preserve"> NYCHA’s Transformation Plan (Mar</w:t>
      </w:r>
      <w:r>
        <w:rPr>
          <w:rFonts w:ascii="Times" w:hAnsi="Times"/>
        </w:rPr>
        <w:t xml:space="preserve">ch </w:t>
      </w:r>
      <w:r w:rsidRPr="00D147FC">
        <w:rPr>
          <w:rFonts w:ascii="Times" w:hAnsi="Times"/>
        </w:rPr>
        <w:t>2, 2021),</w:t>
      </w:r>
      <w:r w:rsidRPr="00840CFA">
        <w:rPr>
          <w:rFonts w:ascii="Times" w:hAnsi="Times"/>
          <w:i/>
          <w:iCs/>
        </w:rPr>
        <w:t xml:space="preserve"> available at </w:t>
      </w:r>
      <w:hyperlink r:id="rId18" w:history="1">
        <w:r w:rsidRPr="00D147FC">
          <w:rPr>
            <w:rStyle w:val="Hyperlink"/>
            <w:rFonts w:ascii="Times" w:hAnsi="Times"/>
          </w:rPr>
          <w:t>https://www1.nyc.gov/assets/nycha/downloads/pdf/NYCHA_Transformation_Plan_Final.pdf</w:t>
        </w:r>
      </w:hyperlink>
      <w:r w:rsidRPr="00D147FC">
        <w:rPr>
          <w:rFonts w:ascii="Times" w:hAnsi="Times"/>
        </w:rPr>
        <w:t xml:space="preserve"> (last accessed on November </w:t>
      </w:r>
      <w:r>
        <w:rPr>
          <w:rFonts w:ascii="Times" w:hAnsi="Times"/>
        </w:rPr>
        <w:t>3</w:t>
      </w:r>
      <w:r w:rsidRPr="00D147FC">
        <w:rPr>
          <w:rFonts w:ascii="Times" w:hAnsi="Times"/>
        </w:rPr>
        <w:t xml:space="preserve">, 2021). </w:t>
      </w:r>
    </w:p>
  </w:footnote>
  <w:footnote w:id="65">
    <w:p w14:paraId="767591F9" w14:textId="099CE2A9" w:rsidR="00B11762" w:rsidRPr="00D147FC" w:rsidRDefault="00B11762">
      <w:pPr>
        <w:pStyle w:val="FootnoteText"/>
        <w:rPr>
          <w:rFonts w:ascii="Times" w:hAnsi="Times"/>
        </w:rPr>
      </w:pPr>
      <w:r w:rsidRPr="00D147FC">
        <w:rPr>
          <w:rStyle w:val="FootnoteReference"/>
          <w:rFonts w:ascii="Times" w:hAnsi="Times"/>
        </w:rPr>
        <w:footnoteRef/>
      </w:r>
      <w:r w:rsidRPr="00D147FC">
        <w:rPr>
          <w:rFonts w:ascii="Times" w:hAnsi="Times"/>
        </w:rPr>
        <w:t xml:space="preserve"> </w:t>
      </w:r>
      <w:r w:rsidRPr="00D147FC">
        <w:rPr>
          <w:rFonts w:ascii="Times" w:hAnsi="Times"/>
          <w:i/>
          <w:iCs/>
        </w:rPr>
        <w:t>See id.</w:t>
      </w:r>
    </w:p>
  </w:footnote>
  <w:footnote w:id="66">
    <w:p w14:paraId="19DE5D34" w14:textId="29514B8E" w:rsidR="00B11762" w:rsidRPr="00D147FC" w:rsidRDefault="00B11762">
      <w:pPr>
        <w:pStyle w:val="FootnoteText"/>
        <w:rPr>
          <w:rFonts w:ascii="Times" w:hAnsi="Times"/>
        </w:rPr>
      </w:pPr>
      <w:r w:rsidRPr="00D147FC">
        <w:rPr>
          <w:rStyle w:val="FootnoteReference"/>
          <w:rFonts w:ascii="Times" w:hAnsi="Times"/>
        </w:rPr>
        <w:footnoteRef/>
      </w:r>
      <w:r w:rsidRPr="00D147FC">
        <w:rPr>
          <w:rFonts w:ascii="Times" w:hAnsi="Times"/>
        </w:rPr>
        <w:t xml:space="preserve"> </w:t>
      </w:r>
      <w:r w:rsidRPr="00D147FC">
        <w:rPr>
          <w:rFonts w:ascii="Times" w:hAnsi="Times"/>
          <w:i/>
          <w:iCs/>
        </w:rPr>
        <w:t>See id.</w:t>
      </w:r>
    </w:p>
  </w:footnote>
  <w:footnote w:id="67">
    <w:p w14:paraId="70D54B1E" w14:textId="0B55A7C2" w:rsidR="00B11762" w:rsidRPr="00D147FC" w:rsidRDefault="00B11762">
      <w:pPr>
        <w:pStyle w:val="FootnoteText"/>
        <w:rPr>
          <w:rFonts w:ascii="Times" w:hAnsi="Times"/>
        </w:rPr>
      </w:pPr>
      <w:r w:rsidRPr="00D147FC">
        <w:rPr>
          <w:rStyle w:val="FootnoteReference"/>
          <w:rFonts w:ascii="Times" w:hAnsi="Times"/>
        </w:rPr>
        <w:footnoteRef/>
      </w:r>
      <w:r w:rsidRPr="00D147FC">
        <w:rPr>
          <w:rFonts w:ascii="Times" w:hAnsi="Times"/>
        </w:rPr>
        <w:t xml:space="preserve"> </w:t>
      </w:r>
      <w:r w:rsidRPr="00D147FC">
        <w:rPr>
          <w:rFonts w:ascii="Times" w:hAnsi="Times"/>
          <w:i/>
          <w:iCs/>
        </w:rPr>
        <w:t>See id.</w:t>
      </w:r>
    </w:p>
  </w:footnote>
  <w:footnote w:id="68">
    <w:p w14:paraId="66E800AA" w14:textId="6E250956" w:rsidR="00B11762" w:rsidRPr="00840CFA" w:rsidRDefault="00B11762">
      <w:pPr>
        <w:pStyle w:val="FootnoteText"/>
        <w:rPr>
          <w:rFonts w:ascii="Times" w:hAnsi="Times"/>
        </w:rPr>
      </w:pPr>
      <w:r w:rsidRPr="00840CFA">
        <w:rPr>
          <w:rStyle w:val="FootnoteReference"/>
          <w:rFonts w:ascii="Times" w:hAnsi="Times"/>
        </w:rPr>
        <w:footnoteRef/>
      </w:r>
      <w:r w:rsidRPr="00840CFA">
        <w:rPr>
          <w:rFonts w:ascii="Times" w:hAnsi="Times"/>
        </w:rPr>
        <w:t xml:space="preserve"> </w:t>
      </w:r>
      <w:r w:rsidRPr="00840CFA">
        <w:rPr>
          <w:rFonts w:ascii="Times" w:hAnsi="Times"/>
          <w:i/>
          <w:iCs/>
        </w:rPr>
        <w:t>See id.</w:t>
      </w:r>
    </w:p>
  </w:footnote>
  <w:footnote w:id="69">
    <w:p w14:paraId="19485478" w14:textId="276DE864" w:rsidR="00B11762" w:rsidRPr="00840CFA" w:rsidRDefault="00B11762">
      <w:pPr>
        <w:pStyle w:val="FootnoteText"/>
        <w:rPr>
          <w:rFonts w:ascii="Times" w:hAnsi="Times"/>
        </w:rPr>
      </w:pPr>
      <w:r w:rsidRPr="00840CFA">
        <w:rPr>
          <w:rStyle w:val="FootnoteReference"/>
          <w:rFonts w:ascii="Times" w:hAnsi="Times"/>
        </w:rPr>
        <w:footnoteRef/>
      </w:r>
      <w:r w:rsidRPr="00840CFA">
        <w:rPr>
          <w:rFonts w:ascii="Times" w:hAnsi="Times"/>
        </w:rPr>
        <w:t xml:space="preserve"> See New York City Housing Authority, Executive Summary NYCHA’s Final Agency Plan for FY 2022 (October 2021), available at </w:t>
      </w:r>
      <w:hyperlink r:id="rId19" w:history="1">
        <w:r w:rsidRPr="00840CFA">
          <w:rPr>
            <w:rStyle w:val="Hyperlink"/>
            <w:rFonts w:ascii="Times" w:hAnsi="Times"/>
          </w:rPr>
          <w:t>https://home3.nyc.gov/assets/nycha/downloads/pdf/NYCHA_FinalAnnualPlanFY22_FinalExecutiveSummary_10.18.21.pdf</w:t>
        </w:r>
      </w:hyperlink>
      <w:r w:rsidRPr="00840CFA">
        <w:rPr>
          <w:rFonts w:ascii="Times" w:hAnsi="Times"/>
        </w:rPr>
        <w:t xml:space="preserve"> (last accessed on November 3, 2021). </w:t>
      </w:r>
    </w:p>
  </w:footnote>
  <w:footnote w:id="70">
    <w:p w14:paraId="74F41411" w14:textId="1B43295E" w:rsidR="00B11762" w:rsidRPr="00840CFA" w:rsidRDefault="00B11762">
      <w:pPr>
        <w:pStyle w:val="FootnoteText"/>
        <w:rPr>
          <w:rFonts w:ascii="Times" w:hAnsi="Times"/>
        </w:rPr>
      </w:pPr>
      <w:r w:rsidRPr="00840CFA">
        <w:rPr>
          <w:rStyle w:val="FootnoteReference"/>
          <w:rFonts w:ascii="Times" w:hAnsi="Times"/>
        </w:rPr>
        <w:footnoteRef/>
      </w:r>
      <w:r w:rsidRPr="00840CFA">
        <w:rPr>
          <w:rFonts w:ascii="Times" w:hAnsi="Times"/>
        </w:rPr>
        <w:t xml:space="preserve"> </w:t>
      </w:r>
      <w:r w:rsidRPr="00840CFA">
        <w:rPr>
          <w:rFonts w:ascii="Times" w:hAnsi="Times"/>
          <w:i/>
          <w:iCs/>
        </w:rPr>
        <w:t>See id.</w:t>
      </w:r>
    </w:p>
  </w:footnote>
  <w:footnote w:id="71">
    <w:p w14:paraId="167E293B" w14:textId="2A636C4F" w:rsidR="00B11762" w:rsidRPr="00840CFA" w:rsidRDefault="00B11762">
      <w:pPr>
        <w:pStyle w:val="FootnoteText"/>
        <w:rPr>
          <w:rFonts w:ascii="Times" w:hAnsi="Times"/>
        </w:rPr>
      </w:pPr>
      <w:r w:rsidRPr="00840CFA">
        <w:rPr>
          <w:rStyle w:val="FootnoteReference"/>
          <w:rFonts w:ascii="Times" w:hAnsi="Times"/>
        </w:rPr>
        <w:footnoteRef/>
      </w:r>
      <w:r w:rsidRPr="00840CFA">
        <w:rPr>
          <w:rFonts w:ascii="Times" w:hAnsi="Times"/>
        </w:rPr>
        <w:t xml:space="preserve"> </w:t>
      </w:r>
      <w:r w:rsidRPr="00840CFA">
        <w:rPr>
          <w:rFonts w:ascii="Times" w:hAnsi="Times"/>
          <w:i/>
          <w:iCs/>
        </w:rPr>
        <w:t>See id.</w:t>
      </w:r>
    </w:p>
  </w:footnote>
  <w:footnote w:id="72">
    <w:p w14:paraId="5F1722E8" w14:textId="6058AF0E" w:rsidR="00B11762" w:rsidRPr="00840CFA" w:rsidRDefault="00B11762">
      <w:pPr>
        <w:pStyle w:val="FootnoteText"/>
        <w:rPr>
          <w:rFonts w:ascii="Times" w:hAnsi="Times"/>
        </w:rPr>
      </w:pPr>
      <w:r w:rsidRPr="00840CFA">
        <w:rPr>
          <w:rStyle w:val="FootnoteReference"/>
          <w:rFonts w:ascii="Times" w:hAnsi="Times"/>
        </w:rPr>
        <w:footnoteRef/>
      </w:r>
      <w:r w:rsidRPr="00840CFA">
        <w:rPr>
          <w:rFonts w:ascii="Times" w:hAnsi="Times"/>
        </w:rPr>
        <w:t xml:space="preserve"> </w:t>
      </w:r>
      <w:r w:rsidRPr="00840CFA">
        <w:rPr>
          <w:rFonts w:ascii="Times" w:hAnsi="Times"/>
          <w:i/>
          <w:iCs/>
        </w:rPr>
        <w:t>See id.</w:t>
      </w:r>
    </w:p>
  </w:footnote>
  <w:footnote w:id="73">
    <w:p w14:paraId="7BEFD37C" w14:textId="5B07BC9C" w:rsidR="00B11762" w:rsidRDefault="00B11762">
      <w:pPr>
        <w:pStyle w:val="FootnoteText"/>
      </w:pPr>
      <w:r w:rsidRPr="00840CFA">
        <w:rPr>
          <w:rStyle w:val="FootnoteReference"/>
          <w:rFonts w:ascii="Times" w:hAnsi="Times"/>
        </w:rPr>
        <w:footnoteRef/>
      </w:r>
      <w:r>
        <w:t xml:space="preserve"> </w:t>
      </w:r>
      <w:r w:rsidRPr="00840CFA">
        <w:rPr>
          <w:rFonts w:ascii="Times" w:hAnsi="Times"/>
          <w:i/>
          <w:iCs/>
        </w:rPr>
        <w:t>See id.</w:t>
      </w:r>
    </w:p>
  </w:footnote>
  <w:footnote w:id="74">
    <w:p w14:paraId="355138A3" w14:textId="450BD7D2" w:rsidR="00B11762" w:rsidRPr="00CE6453" w:rsidRDefault="00B11762">
      <w:pPr>
        <w:pStyle w:val="FootnoteText"/>
        <w:rPr>
          <w:rFonts w:ascii="Times" w:hAnsi="Times"/>
        </w:rPr>
      </w:pPr>
      <w:r w:rsidRPr="00CE6453">
        <w:rPr>
          <w:rStyle w:val="FootnoteReference"/>
          <w:rFonts w:ascii="Times" w:hAnsi="Times"/>
        </w:rPr>
        <w:footnoteRef/>
      </w:r>
      <w:r w:rsidRPr="00CE6453">
        <w:rPr>
          <w:rFonts w:ascii="Times" w:hAnsi="Times"/>
        </w:rPr>
        <w:t xml:space="preserve"> </w:t>
      </w:r>
      <w:r w:rsidRPr="00CE6453">
        <w:rPr>
          <w:rFonts w:ascii="Times" w:hAnsi="Times"/>
          <w:i/>
          <w:iCs/>
        </w:rPr>
        <w:t xml:space="preserve">See </w:t>
      </w:r>
      <w:r w:rsidRPr="00CE6453">
        <w:rPr>
          <w:rFonts w:ascii="Times" w:hAnsi="Times"/>
        </w:rPr>
        <w:t xml:space="preserve">New York State Senate, Senate Bill S.6999-A, </w:t>
      </w:r>
      <w:r w:rsidRPr="00CE6453">
        <w:rPr>
          <w:rFonts w:ascii="Times" w:hAnsi="Times"/>
          <w:i/>
          <w:iCs/>
        </w:rPr>
        <w:t xml:space="preserve">available at </w:t>
      </w:r>
      <w:hyperlink r:id="rId20" w:history="1">
        <w:r w:rsidRPr="00CE6453">
          <w:rPr>
            <w:rStyle w:val="Hyperlink"/>
            <w:rFonts w:ascii="Times" w:hAnsi="Times"/>
          </w:rPr>
          <w:t>https://www.nysenate.gov/legislation/bills/2021/S6999</w:t>
        </w:r>
      </w:hyperlink>
      <w:r w:rsidRPr="00CE6453">
        <w:rPr>
          <w:rFonts w:ascii="Times" w:hAnsi="Times"/>
        </w:rPr>
        <w:t xml:space="preserve"> (last accessed on November 3,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88B4C" w14:textId="77777777" w:rsidR="00B0097C" w:rsidRDefault="00B00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947C0" w14:textId="07E65EE5" w:rsidR="00B0097C" w:rsidRDefault="00B009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9941" w14:textId="77777777" w:rsidR="00B0097C" w:rsidRDefault="00B00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6C26"/>
    <w:multiLevelType w:val="hybridMultilevel"/>
    <w:tmpl w:val="95927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93A5B"/>
    <w:multiLevelType w:val="hybridMultilevel"/>
    <w:tmpl w:val="DC9019B0"/>
    <w:lvl w:ilvl="0" w:tplc="CA0CA6B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2C4F75"/>
    <w:multiLevelType w:val="hybridMultilevel"/>
    <w:tmpl w:val="1C9E58D0"/>
    <w:lvl w:ilvl="0" w:tplc="04090013">
      <w:start w:val="1"/>
      <w:numFmt w:val="upperRoman"/>
      <w:lvlText w:val="%1."/>
      <w:lvlJc w:val="righ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 w15:restartNumberingAfterBreak="0">
    <w:nsid w:val="2078654F"/>
    <w:multiLevelType w:val="multilevel"/>
    <w:tmpl w:val="AC46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5445C6"/>
    <w:multiLevelType w:val="hybridMultilevel"/>
    <w:tmpl w:val="E0DE4D72"/>
    <w:lvl w:ilvl="0" w:tplc="EBA2579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BB4924"/>
    <w:multiLevelType w:val="hybridMultilevel"/>
    <w:tmpl w:val="01F44506"/>
    <w:lvl w:ilvl="0" w:tplc="3F9819F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B143F"/>
    <w:multiLevelType w:val="hybridMultilevel"/>
    <w:tmpl w:val="C754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9E5490"/>
    <w:multiLevelType w:val="hybridMultilevel"/>
    <w:tmpl w:val="B64E6C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3B81237"/>
    <w:multiLevelType w:val="hybridMultilevel"/>
    <w:tmpl w:val="96D85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494A8F"/>
    <w:multiLevelType w:val="hybridMultilevel"/>
    <w:tmpl w:val="3244CCC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0" w15:restartNumberingAfterBreak="0">
    <w:nsid w:val="583A6682"/>
    <w:multiLevelType w:val="hybridMultilevel"/>
    <w:tmpl w:val="87600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F60CC1"/>
    <w:multiLevelType w:val="hybridMultilevel"/>
    <w:tmpl w:val="07FA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B03A23"/>
    <w:multiLevelType w:val="hybridMultilevel"/>
    <w:tmpl w:val="B792D6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63090B"/>
    <w:multiLevelType w:val="hybridMultilevel"/>
    <w:tmpl w:val="4A121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1E1311"/>
    <w:multiLevelType w:val="multilevel"/>
    <w:tmpl w:val="6324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AC06B5"/>
    <w:multiLevelType w:val="hybridMultilevel"/>
    <w:tmpl w:val="749CE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B61BC1"/>
    <w:multiLevelType w:val="hybridMultilevel"/>
    <w:tmpl w:val="B8622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4358A3"/>
    <w:multiLevelType w:val="hybridMultilevel"/>
    <w:tmpl w:val="4BB0F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023E1F"/>
    <w:multiLevelType w:val="hybridMultilevel"/>
    <w:tmpl w:val="DBC49E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6200CDF"/>
    <w:multiLevelType w:val="multilevel"/>
    <w:tmpl w:val="DDDA8174"/>
    <w:lvl w:ilvl="0">
      <w:start w:val="1"/>
      <w:numFmt w:val="decimal"/>
      <w:lvlText w:val="%1."/>
      <w:lvlJc w:val="left"/>
      <w:pPr>
        <w:tabs>
          <w:tab w:val="num" w:pos="720"/>
        </w:tabs>
        <w:ind w:left="720" w:hanging="360"/>
      </w:pPr>
    </w:lvl>
    <w:lvl w:ilvl="1">
      <w:start w:val="5"/>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331459"/>
    <w:multiLevelType w:val="multilevel"/>
    <w:tmpl w:val="824C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3E7A81"/>
    <w:multiLevelType w:val="hybridMultilevel"/>
    <w:tmpl w:val="16ECAF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D421E82"/>
    <w:multiLevelType w:val="hybridMultilevel"/>
    <w:tmpl w:val="E0DE4D72"/>
    <w:lvl w:ilvl="0" w:tplc="EBA2579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E07E04"/>
    <w:multiLevelType w:val="hybridMultilevel"/>
    <w:tmpl w:val="5182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1"/>
  </w:num>
  <w:num w:numId="4">
    <w:abstractNumId w:val="4"/>
  </w:num>
  <w:num w:numId="5">
    <w:abstractNumId w:val="19"/>
  </w:num>
  <w:num w:numId="6">
    <w:abstractNumId w:val="18"/>
  </w:num>
  <w:num w:numId="7">
    <w:abstractNumId w:val="15"/>
  </w:num>
  <w:num w:numId="8">
    <w:abstractNumId w:val="23"/>
  </w:num>
  <w:num w:numId="9">
    <w:abstractNumId w:val="6"/>
  </w:num>
  <w:num w:numId="10">
    <w:abstractNumId w:val="20"/>
  </w:num>
  <w:num w:numId="11">
    <w:abstractNumId w:val="17"/>
  </w:num>
  <w:num w:numId="12">
    <w:abstractNumId w:val="21"/>
  </w:num>
  <w:num w:numId="13">
    <w:abstractNumId w:val="14"/>
  </w:num>
  <w:num w:numId="14">
    <w:abstractNumId w:val="3"/>
  </w:num>
  <w:num w:numId="15">
    <w:abstractNumId w:val="8"/>
  </w:num>
  <w:num w:numId="16">
    <w:abstractNumId w:val="11"/>
  </w:num>
  <w:num w:numId="17">
    <w:abstractNumId w:val="10"/>
  </w:num>
  <w:num w:numId="18">
    <w:abstractNumId w:val="2"/>
  </w:num>
  <w:num w:numId="19">
    <w:abstractNumId w:val="5"/>
  </w:num>
  <w:num w:numId="20">
    <w:abstractNumId w:val="9"/>
  </w:num>
  <w:num w:numId="21">
    <w:abstractNumId w:val="12"/>
  </w:num>
  <w:num w:numId="22">
    <w:abstractNumId w:val="7"/>
  </w:num>
  <w:num w:numId="23">
    <w:abstractNumId w:val="1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0E4"/>
    <w:rsid w:val="00001BB5"/>
    <w:rsid w:val="00007EDB"/>
    <w:rsid w:val="000407FC"/>
    <w:rsid w:val="00044237"/>
    <w:rsid w:val="000457E0"/>
    <w:rsid w:val="00065BA5"/>
    <w:rsid w:val="00067F4C"/>
    <w:rsid w:val="00082BB7"/>
    <w:rsid w:val="000C1ACB"/>
    <w:rsid w:val="000D2154"/>
    <w:rsid w:val="000D4C6E"/>
    <w:rsid w:val="000E5B42"/>
    <w:rsid w:val="000F3561"/>
    <w:rsid w:val="001102EE"/>
    <w:rsid w:val="00113ACA"/>
    <w:rsid w:val="0011455E"/>
    <w:rsid w:val="00124838"/>
    <w:rsid w:val="001304C2"/>
    <w:rsid w:val="00132C80"/>
    <w:rsid w:val="00165C23"/>
    <w:rsid w:val="00172A38"/>
    <w:rsid w:val="001802C4"/>
    <w:rsid w:val="00183FAD"/>
    <w:rsid w:val="00191572"/>
    <w:rsid w:val="0019463F"/>
    <w:rsid w:val="001A26B8"/>
    <w:rsid w:val="001A2CCD"/>
    <w:rsid w:val="001C367B"/>
    <w:rsid w:val="001D391A"/>
    <w:rsid w:val="001E4A80"/>
    <w:rsid w:val="0021540A"/>
    <w:rsid w:val="00217840"/>
    <w:rsid w:val="00227C3A"/>
    <w:rsid w:val="00233CF7"/>
    <w:rsid w:val="00234A60"/>
    <w:rsid w:val="00260DB1"/>
    <w:rsid w:val="00284B9D"/>
    <w:rsid w:val="00285A86"/>
    <w:rsid w:val="002A3526"/>
    <w:rsid w:val="002C5536"/>
    <w:rsid w:val="002C7434"/>
    <w:rsid w:val="002D4126"/>
    <w:rsid w:val="002F0557"/>
    <w:rsid w:val="00303AD2"/>
    <w:rsid w:val="0030701C"/>
    <w:rsid w:val="00314636"/>
    <w:rsid w:val="0031761C"/>
    <w:rsid w:val="003218E5"/>
    <w:rsid w:val="0032582A"/>
    <w:rsid w:val="003357D9"/>
    <w:rsid w:val="00336CE4"/>
    <w:rsid w:val="00352EBA"/>
    <w:rsid w:val="00354A8D"/>
    <w:rsid w:val="0036477E"/>
    <w:rsid w:val="00373622"/>
    <w:rsid w:val="00385338"/>
    <w:rsid w:val="00386146"/>
    <w:rsid w:val="003A1FA4"/>
    <w:rsid w:val="003E2313"/>
    <w:rsid w:val="003E6E51"/>
    <w:rsid w:val="003E7B38"/>
    <w:rsid w:val="003F0530"/>
    <w:rsid w:val="00403C89"/>
    <w:rsid w:val="00450220"/>
    <w:rsid w:val="00476A7D"/>
    <w:rsid w:val="004945B2"/>
    <w:rsid w:val="004A49EE"/>
    <w:rsid w:val="004A5989"/>
    <w:rsid w:val="004B0E87"/>
    <w:rsid w:val="004B38BB"/>
    <w:rsid w:val="004B6A60"/>
    <w:rsid w:val="004C22DC"/>
    <w:rsid w:val="004C3CEA"/>
    <w:rsid w:val="004D3E7D"/>
    <w:rsid w:val="004E0D46"/>
    <w:rsid w:val="00530246"/>
    <w:rsid w:val="00555264"/>
    <w:rsid w:val="00583723"/>
    <w:rsid w:val="00592C2D"/>
    <w:rsid w:val="005A41AB"/>
    <w:rsid w:val="005A79EE"/>
    <w:rsid w:val="005F30AF"/>
    <w:rsid w:val="006079BB"/>
    <w:rsid w:val="006350CA"/>
    <w:rsid w:val="006476BB"/>
    <w:rsid w:val="00685259"/>
    <w:rsid w:val="00695311"/>
    <w:rsid w:val="006C489F"/>
    <w:rsid w:val="006C748A"/>
    <w:rsid w:val="006D0A2A"/>
    <w:rsid w:val="006D1F77"/>
    <w:rsid w:val="006E3E73"/>
    <w:rsid w:val="006F4585"/>
    <w:rsid w:val="006F45E2"/>
    <w:rsid w:val="0072106A"/>
    <w:rsid w:val="00725088"/>
    <w:rsid w:val="007433FF"/>
    <w:rsid w:val="00746F73"/>
    <w:rsid w:val="00750A0F"/>
    <w:rsid w:val="00754057"/>
    <w:rsid w:val="007543CD"/>
    <w:rsid w:val="007811FC"/>
    <w:rsid w:val="007A266E"/>
    <w:rsid w:val="007A4E00"/>
    <w:rsid w:val="007A5324"/>
    <w:rsid w:val="007E286F"/>
    <w:rsid w:val="007F406A"/>
    <w:rsid w:val="00806E51"/>
    <w:rsid w:val="00807814"/>
    <w:rsid w:val="00813E4D"/>
    <w:rsid w:val="00840CFA"/>
    <w:rsid w:val="008510B0"/>
    <w:rsid w:val="00851E55"/>
    <w:rsid w:val="00853BE8"/>
    <w:rsid w:val="008702FA"/>
    <w:rsid w:val="008830E4"/>
    <w:rsid w:val="008914BB"/>
    <w:rsid w:val="00896D17"/>
    <w:rsid w:val="008A76B0"/>
    <w:rsid w:val="008C3B7F"/>
    <w:rsid w:val="008C4DA3"/>
    <w:rsid w:val="008C6E38"/>
    <w:rsid w:val="008D300F"/>
    <w:rsid w:val="008E330E"/>
    <w:rsid w:val="008E7F60"/>
    <w:rsid w:val="009067F9"/>
    <w:rsid w:val="00911918"/>
    <w:rsid w:val="00915F80"/>
    <w:rsid w:val="00933ED0"/>
    <w:rsid w:val="009554C7"/>
    <w:rsid w:val="009720C1"/>
    <w:rsid w:val="009774BF"/>
    <w:rsid w:val="00990F17"/>
    <w:rsid w:val="009B7448"/>
    <w:rsid w:val="009C2C9C"/>
    <w:rsid w:val="009D5E2A"/>
    <w:rsid w:val="009E4AD1"/>
    <w:rsid w:val="009E579A"/>
    <w:rsid w:val="009E7FE1"/>
    <w:rsid w:val="00A017AD"/>
    <w:rsid w:val="00A11442"/>
    <w:rsid w:val="00A25536"/>
    <w:rsid w:val="00A26D30"/>
    <w:rsid w:val="00A4702E"/>
    <w:rsid w:val="00A53D1E"/>
    <w:rsid w:val="00A84860"/>
    <w:rsid w:val="00A86297"/>
    <w:rsid w:val="00A87FF2"/>
    <w:rsid w:val="00A94BA0"/>
    <w:rsid w:val="00AB2DFC"/>
    <w:rsid w:val="00AB5396"/>
    <w:rsid w:val="00AE0F17"/>
    <w:rsid w:val="00AE2D05"/>
    <w:rsid w:val="00B0097C"/>
    <w:rsid w:val="00B11762"/>
    <w:rsid w:val="00B16D54"/>
    <w:rsid w:val="00B3135D"/>
    <w:rsid w:val="00B550EF"/>
    <w:rsid w:val="00B566A7"/>
    <w:rsid w:val="00B879A3"/>
    <w:rsid w:val="00B93363"/>
    <w:rsid w:val="00B96835"/>
    <w:rsid w:val="00BB0F4C"/>
    <w:rsid w:val="00BB3501"/>
    <w:rsid w:val="00BE2245"/>
    <w:rsid w:val="00BE44CA"/>
    <w:rsid w:val="00BE4541"/>
    <w:rsid w:val="00BE5B71"/>
    <w:rsid w:val="00BE5D23"/>
    <w:rsid w:val="00BF0C33"/>
    <w:rsid w:val="00BF69BE"/>
    <w:rsid w:val="00C20811"/>
    <w:rsid w:val="00C21257"/>
    <w:rsid w:val="00C21EE9"/>
    <w:rsid w:val="00C30826"/>
    <w:rsid w:val="00C30BC2"/>
    <w:rsid w:val="00C409D5"/>
    <w:rsid w:val="00C42612"/>
    <w:rsid w:val="00C738B2"/>
    <w:rsid w:val="00C8126C"/>
    <w:rsid w:val="00C91056"/>
    <w:rsid w:val="00CA17F3"/>
    <w:rsid w:val="00CB70A6"/>
    <w:rsid w:val="00CC03BA"/>
    <w:rsid w:val="00CC6C06"/>
    <w:rsid w:val="00CD2EDC"/>
    <w:rsid w:val="00CE6453"/>
    <w:rsid w:val="00CF51EB"/>
    <w:rsid w:val="00D036B1"/>
    <w:rsid w:val="00D100F2"/>
    <w:rsid w:val="00D12323"/>
    <w:rsid w:val="00D147FC"/>
    <w:rsid w:val="00D3131D"/>
    <w:rsid w:val="00D44A58"/>
    <w:rsid w:val="00D46EED"/>
    <w:rsid w:val="00D70D78"/>
    <w:rsid w:val="00DA53B5"/>
    <w:rsid w:val="00DA7352"/>
    <w:rsid w:val="00DB64B8"/>
    <w:rsid w:val="00DC11BC"/>
    <w:rsid w:val="00DC5B0D"/>
    <w:rsid w:val="00DF7756"/>
    <w:rsid w:val="00E06808"/>
    <w:rsid w:val="00E3328C"/>
    <w:rsid w:val="00E352CF"/>
    <w:rsid w:val="00E631C4"/>
    <w:rsid w:val="00E66619"/>
    <w:rsid w:val="00E666A5"/>
    <w:rsid w:val="00E72E0C"/>
    <w:rsid w:val="00E76BEA"/>
    <w:rsid w:val="00E84353"/>
    <w:rsid w:val="00EA0EF6"/>
    <w:rsid w:val="00EB736A"/>
    <w:rsid w:val="00EB759E"/>
    <w:rsid w:val="00EB76B4"/>
    <w:rsid w:val="00ED2739"/>
    <w:rsid w:val="00EF089C"/>
    <w:rsid w:val="00EF53A7"/>
    <w:rsid w:val="00EF7A72"/>
    <w:rsid w:val="00F03175"/>
    <w:rsid w:val="00F11EC0"/>
    <w:rsid w:val="00F23505"/>
    <w:rsid w:val="00F4528E"/>
    <w:rsid w:val="00F57CD8"/>
    <w:rsid w:val="00F64195"/>
    <w:rsid w:val="00F84589"/>
    <w:rsid w:val="00FA488A"/>
    <w:rsid w:val="00FA5423"/>
    <w:rsid w:val="00FB3421"/>
    <w:rsid w:val="00FB6D73"/>
    <w:rsid w:val="00FD3A4F"/>
    <w:rsid w:val="00FD6C03"/>
    <w:rsid w:val="00FE0738"/>
    <w:rsid w:val="00FE1A76"/>
    <w:rsid w:val="00FE6A67"/>
    <w:rsid w:val="00FF4F59"/>
    <w:rsid w:val="00FF6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A245C0"/>
  <w15:chartTrackingRefBased/>
  <w15:docId w15:val="{E624A815-F924-4EC0-A638-54E63014A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5536"/>
    <w:pPr>
      <w:ind w:left="720"/>
      <w:contextualSpacing/>
    </w:pPr>
  </w:style>
  <w:style w:type="paragraph" w:styleId="FootnoteText">
    <w:name w:val="footnote text"/>
    <w:aliases w:val="FT"/>
    <w:basedOn w:val="Normal"/>
    <w:link w:val="FootnoteTextChar"/>
    <w:unhideWhenUsed/>
    <w:rsid w:val="00DB64B8"/>
    <w:pPr>
      <w:spacing w:after="0" w:line="240" w:lineRule="auto"/>
    </w:pPr>
    <w:rPr>
      <w:sz w:val="20"/>
      <w:szCs w:val="20"/>
    </w:rPr>
  </w:style>
  <w:style w:type="character" w:customStyle="1" w:styleId="FootnoteTextChar">
    <w:name w:val="Footnote Text Char"/>
    <w:aliases w:val="FT Char"/>
    <w:basedOn w:val="DefaultParagraphFont"/>
    <w:link w:val="FootnoteText"/>
    <w:rsid w:val="00DB64B8"/>
    <w:rPr>
      <w:sz w:val="20"/>
      <w:szCs w:val="20"/>
    </w:rPr>
  </w:style>
  <w:style w:type="character" w:styleId="FootnoteReference">
    <w:name w:val="footnote reference"/>
    <w:basedOn w:val="DefaultParagraphFont"/>
    <w:unhideWhenUsed/>
    <w:rsid w:val="00DB64B8"/>
    <w:rPr>
      <w:vertAlign w:val="superscript"/>
    </w:rPr>
  </w:style>
  <w:style w:type="character" w:styleId="Hyperlink">
    <w:name w:val="Hyperlink"/>
    <w:basedOn w:val="DefaultParagraphFont"/>
    <w:uiPriority w:val="99"/>
    <w:unhideWhenUsed/>
    <w:rsid w:val="00DB64B8"/>
    <w:rPr>
      <w:color w:val="0563C1" w:themeColor="hyperlink"/>
      <w:u w:val="single"/>
    </w:rPr>
  </w:style>
  <w:style w:type="paragraph" w:styleId="EndnoteText">
    <w:name w:val="endnote text"/>
    <w:basedOn w:val="Normal"/>
    <w:link w:val="EndnoteTextChar"/>
    <w:uiPriority w:val="99"/>
    <w:semiHidden/>
    <w:unhideWhenUsed/>
    <w:rsid w:val="00FF615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6150"/>
    <w:rPr>
      <w:sz w:val="20"/>
      <w:szCs w:val="20"/>
    </w:rPr>
  </w:style>
  <w:style w:type="character" w:styleId="EndnoteReference">
    <w:name w:val="endnote reference"/>
    <w:basedOn w:val="DefaultParagraphFont"/>
    <w:uiPriority w:val="99"/>
    <w:semiHidden/>
    <w:unhideWhenUsed/>
    <w:rsid w:val="00FF6150"/>
    <w:rPr>
      <w:vertAlign w:val="superscript"/>
    </w:rPr>
  </w:style>
  <w:style w:type="paragraph" w:styleId="NormalWeb">
    <w:name w:val="Normal (Web)"/>
    <w:basedOn w:val="Normal"/>
    <w:uiPriority w:val="99"/>
    <w:unhideWhenUsed/>
    <w:rsid w:val="00FF4F5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
    <w:name w:val="TableGrid"/>
    <w:rsid w:val="00233CF7"/>
    <w:pPr>
      <w:spacing w:after="0" w:line="240" w:lineRule="auto"/>
    </w:pPr>
    <w:rPr>
      <w:rFonts w:eastAsiaTheme="minorEastAsia"/>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4A49EE"/>
    <w:rPr>
      <w:color w:val="954F72" w:themeColor="followedHyperlink"/>
      <w:u w:val="single"/>
    </w:rPr>
  </w:style>
  <w:style w:type="table" w:styleId="TableGrid0">
    <w:name w:val="Table Grid"/>
    <w:basedOn w:val="TableNormal"/>
    <w:uiPriority w:val="39"/>
    <w:rsid w:val="00851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03AD2"/>
    <w:rPr>
      <w:color w:val="605E5C"/>
      <w:shd w:val="clear" w:color="auto" w:fill="E1DFDD"/>
    </w:rPr>
  </w:style>
  <w:style w:type="paragraph" w:styleId="Header">
    <w:name w:val="header"/>
    <w:basedOn w:val="Normal"/>
    <w:link w:val="HeaderChar"/>
    <w:uiPriority w:val="99"/>
    <w:unhideWhenUsed/>
    <w:rsid w:val="001802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2C4"/>
  </w:style>
  <w:style w:type="paragraph" w:styleId="Footer">
    <w:name w:val="footer"/>
    <w:basedOn w:val="Normal"/>
    <w:link w:val="FooterChar"/>
    <w:uiPriority w:val="99"/>
    <w:unhideWhenUsed/>
    <w:rsid w:val="001802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2C4"/>
  </w:style>
  <w:style w:type="character" w:styleId="PageNumber">
    <w:name w:val="page number"/>
    <w:basedOn w:val="DefaultParagraphFont"/>
    <w:uiPriority w:val="99"/>
    <w:semiHidden/>
    <w:unhideWhenUsed/>
    <w:rsid w:val="001802C4"/>
  </w:style>
  <w:style w:type="table" w:styleId="GridTable4-Accent5">
    <w:name w:val="Grid Table 4 Accent 5"/>
    <w:basedOn w:val="TableNormal"/>
    <w:uiPriority w:val="49"/>
    <w:rsid w:val="00813E4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5">
    <w:name w:val="Grid Table 6 Colorful Accent 5"/>
    <w:basedOn w:val="TableNormal"/>
    <w:uiPriority w:val="51"/>
    <w:rsid w:val="00AB5396"/>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4A59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989"/>
    <w:rPr>
      <w:rFonts w:ascii="Segoe UI" w:hAnsi="Segoe UI" w:cs="Segoe UI"/>
      <w:sz w:val="18"/>
      <w:szCs w:val="18"/>
    </w:rPr>
  </w:style>
  <w:style w:type="character" w:styleId="CommentReference">
    <w:name w:val="annotation reference"/>
    <w:basedOn w:val="DefaultParagraphFont"/>
    <w:uiPriority w:val="99"/>
    <w:semiHidden/>
    <w:unhideWhenUsed/>
    <w:rsid w:val="009067F9"/>
    <w:rPr>
      <w:sz w:val="16"/>
      <w:szCs w:val="16"/>
    </w:rPr>
  </w:style>
  <w:style w:type="paragraph" w:styleId="CommentText">
    <w:name w:val="annotation text"/>
    <w:basedOn w:val="Normal"/>
    <w:link w:val="CommentTextChar"/>
    <w:uiPriority w:val="99"/>
    <w:semiHidden/>
    <w:unhideWhenUsed/>
    <w:rsid w:val="009067F9"/>
    <w:pPr>
      <w:spacing w:line="240" w:lineRule="auto"/>
    </w:pPr>
    <w:rPr>
      <w:sz w:val="20"/>
      <w:szCs w:val="20"/>
    </w:rPr>
  </w:style>
  <w:style w:type="character" w:customStyle="1" w:styleId="CommentTextChar">
    <w:name w:val="Comment Text Char"/>
    <w:basedOn w:val="DefaultParagraphFont"/>
    <w:link w:val="CommentText"/>
    <w:uiPriority w:val="99"/>
    <w:semiHidden/>
    <w:rsid w:val="009067F9"/>
    <w:rPr>
      <w:sz w:val="20"/>
      <w:szCs w:val="20"/>
    </w:rPr>
  </w:style>
  <w:style w:type="paragraph" w:styleId="CommentSubject">
    <w:name w:val="annotation subject"/>
    <w:basedOn w:val="CommentText"/>
    <w:next w:val="CommentText"/>
    <w:link w:val="CommentSubjectChar"/>
    <w:uiPriority w:val="99"/>
    <w:semiHidden/>
    <w:unhideWhenUsed/>
    <w:rsid w:val="009067F9"/>
    <w:rPr>
      <w:b/>
      <w:bCs/>
    </w:rPr>
  </w:style>
  <w:style w:type="character" w:customStyle="1" w:styleId="CommentSubjectChar">
    <w:name w:val="Comment Subject Char"/>
    <w:basedOn w:val="CommentTextChar"/>
    <w:link w:val="CommentSubject"/>
    <w:uiPriority w:val="99"/>
    <w:semiHidden/>
    <w:rsid w:val="009067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9354">
      <w:bodyDiv w:val="1"/>
      <w:marLeft w:val="0"/>
      <w:marRight w:val="0"/>
      <w:marTop w:val="0"/>
      <w:marBottom w:val="0"/>
      <w:divBdr>
        <w:top w:val="none" w:sz="0" w:space="0" w:color="auto"/>
        <w:left w:val="none" w:sz="0" w:space="0" w:color="auto"/>
        <w:bottom w:val="none" w:sz="0" w:space="0" w:color="auto"/>
        <w:right w:val="none" w:sz="0" w:space="0" w:color="auto"/>
      </w:divBdr>
    </w:div>
    <w:div w:id="9376525">
      <w:bodyDiv w:val="1"/>
      <w:marLeft w:val="0"/>
      <w:marRight w:val="0"/>
      <w:marTop w:val="0"/>
      <w:marBottom w:val="0"/>
      <w:divBdr>
        <w:top w:val="none" w:sz="0" w:space="0" w:color="auto"/>
        <w:left w:val="none" w:sz="0" w:space="0" w:color="auto"/>
        <w:bottom w:val="none" w:sz="0" w:space="0" w:color="auto"/>
        <w:right w:val="none" w:sz="0" w:space="0" w:color="auto"/>
      </w:divBdr>
      <w:divsChild>
        <w:div w:id="639848420">
          <w:marLeft w:val="0"/>
          <w:marRight w:val="0"/>
          <w:marTop w:val="0"/>
          <w:marBottom w:val="0"/>
          <w:divBdr>
            <w:top w:val="none" w:sz="0" w:space="0" w:color="auto"/>
            <w:left w:val="none" w:sz="0" w:space="0" w:color="auto"/>
            <w:bottom w:val="none" w:sz="0" w:space="0" w:color="auto"/>
            <w:right w:val="none" w:sz="0" w:space="0" w:color="auto"/>
          </w:divBdr>
          <w:divsChild>
            <w:div w:id="130250354">
              <w:marLeft w:val="0"/>
              <w:marRight w:val="0"/>
              <w:marTop w:val="0"/>
              <w:marBottom w:val="0"/>
              <w:divBdr>
                <w:top w:val="none" w:sz="0" w:space="0" w:color="auto"/>
                <w:left w:val="none" w:sz="0" w:space="0" w:color="auto"/>
                <w:bottom w:val="none" w:sz="0" w:space="0" w:color="auto"/>
                <w:right w:val="none" w:sz="0" w:space="0" w:color="auto"/>
              </w:divBdr>
            </w:div>
          </w:divsChild>
        </w:div>
        <w:div w:id="1766996306">
          <w:marLeft w:val="0"/>
          <w:marRight w:val="0"/>
          <w:marTop w:val="0"/>
          <w:marBottom w:val="0"/>
          <w:divBdr>
            <w:top w:val="none" w:sz="0" w:space="0" w:color="auto"/>
            <w:left w:val="none" w:sz="0" w:space="0" w:color="auto"/>
            <w:bottom w:val="none" w:sz="0" w:space="0" w:color="auto"/>
            <w:right w:val="none" w:sz="0" w:space="0" w:color="auto"/>
          </w:divBdr>
          <w:divsChild>
            <w:div w:id="2125079754">
              <w:marLeft w:val="0"/>
              <w:marRight w:val="0"/>
              <w:marTop w:val="0"/>
              <w:marBottom w:val="0"/>
              <w:divBdr>
                <w:top w:val="none" w:sz="0" w:space="0" w:color="auto"/>
                <w:left w:val="none" w:sz="0" w:space="0" w:color="auto"/>
                <w:bottom w:val="none" w:sz="0" w:space="0" w:color="auto"/>
                <w:right w:val="none" w:sz="0" w:space="0" w:color="auto"/>
              </w:divBdr>
            </w:div>
          </w:divsChild>
        </w:div>
        <w:div w:id="22439220">
          <w:marLeft w:val="0"/>
          <w:marRight w:val="0"/>
          <w:marTop w:val="0"/>
          <w:marBottom w:val="0"/>
          <w:divBdr>
            <w:top w:val="none" w:sz="0" w:space="0" w:color="auto"/>
            <w:left w:val="none" w:sz="0" w:space="0" w:color="auto"/>
            <w:bottom w:val="none" w:sz="0" w:space="0" w:color="auto"/>
            <w:right w:val="none" w:sz="0" w:space="0" w:color="auto"/>
          </w:divBdr>
          <w:divsChild>
            <w:div w:id="292563584">
              <w:marLeft w:val="0"/>
              <w:marRight w:val="0"/>
              <w:marTop w:val="0"/>
              <w:marBottom w:val="0"/>
              <w:divBdr>
                <w:top w:val="none" w:sz="0" w:space="0" w:color="auto"/>
                <w:left w:val="none" w:sz="0" w:space="0" w:color="auto"/>
                <w:bottom w:val="none" w:sz="0" w:space="0" w:color="auto"/>
                <w:right w:val="none" w:sz="0" w:space="0" w:color="auto"/>
              </w:divBdr>
            </w:div>
          </w:divsChild>
        </w:div>
        <w:div w:id="561990853">
          <w:marLeft w:val="0"/>
          <w:marRight w:val="0"/>
          <w:marTop w:val="0"/>
          <w:marBottom w:val="0"/>
          <w:divBdr>
            <w:top w:val="none" w:sz="0" w:space="0" w:color="auto"/>
            <w:left w:val="none" w:sz="0" w:space="0" w:color="auto"/>
            <w:bottom w:val="none" w:sz="0" w:space="0" w:color="auto"/>
            <w:right w:val="none" w:sz="0" w:space="0" w:color="auto"/>
          </w:divBdr>
          <w:divsChild>
            <w:div w:id="317153895">
              <w:marLeft w:val="0"/>
              <w:marRight w:val="0"/>
              <w:marTop w:val="0"/>
              <w:marBottom w:val="0"/>
              <w:divBdr>
                <w:top w:val="none" w:sz="0" w:space="0" w:color="auto"/>
                <w:left w:val="none" w:sz="0" w:space="0" w:color="auto"/>
                <w:bottom w:val="none" w:sz="0" w:space="0" w:color="auto"/>
                <w:right w:val="none" w:sz="0" w:space="0" w:color="auto"/>
              </w:divBdr>
            </w:div>
          </w:divsChild>
        </w:div>
        <w:div w:id="149058546">
          <w:marLeft w:val="0"/>
          <w:marRight w:val="0"/>
          <w:marTop w:val="0"/>
          <w:marBottom w:val="0"/>
          <w:divBdr>
            <w:top w:val="none" w:sz="0" w:space="0" w:color="auto"/>
            <w:left w:val="none" w:sz="0" w:space="0" w:color="auto"/>
            <w:bottom w:val="none" w:sz="0" w:space="0" w:color="auto"/>
            <w:right w:val="none" w:sz="0" w:space="0" w:color="auto"/>
          </w:divBdr>
          <w:divsChild>
            <w:div w:id="1155025071">
              <w:marLeft w:val="0"/>
              <w:marRight w:val="0"/>
              <w:marTop w:val="0"/>
              <w:marBottom w:val="0"/>
              <w:divBdr>
                <w:top w:val="none" w:sz="0" w:space="0" w:color="auto"/>
                <w:left w:val="none" w:sz="0" w:space="0" w:color="auto"/>
                <w:bottom w:val="none" w:sz="0" w:space="0" w:color="auto"/>
                <w:right w:val="none" w:sz="0" w:space="0" w:color="auto"/>
              </w:divBdr>
            </w:div>
          </w:divsChild>
        </w:div>
        <w:div w:id="1945460414">
          <w:marLeft w:val="0"/>
          <w:marRight w:val="0"/>
          <w:marTop w:val="0"/>
          <w:marBottom w:val="0"/>
          <w:divBdr>
            <w:top w:val="none" w:sz="0" w:space="0" w:color="auto"/>
            <w:left w:val="none" w:sz="0" w:space="0" w:color="auto"/>
            <w:bottom w:val="none" w:sz="0" w:space="0" w:color="auto"/>
            <w:right w:val="none" w:sz="0" w:space="0" w:color="auto"/>
          </w:divBdr>
          <w:divsChild>
            <w:div w:id="777875377">
              <w:marLeft w:val="0"/>
              <w:marRight w:val="0"/>
              <w:marTop w:val="0"/>
              <w:marBottom w:val="0"/>
              <w:divBdr>
                <w:top w:val="none" w:sz="0" w:space="0" w:color="auto"/>
                <w:left w:val="none" w:sz="0" w:space="0" w:color="auto"/>
                <w:bottom w:val="none" w:sz="0" w:space="0" w:color="auto"/>
                <w:right w:val="none" w:sz="0" w:space="0" w:color="auto"/>
              </w:divBdr>
            </w:div>
          </w:divsChild>
        </w:div>
        <w:div w:id="1174488847">
          <w:marLeft w:val="0"/>
          <w:marRight w:val="0"/>
          <w:marTop w:val="0"/>
          <w:marBottom w:val="0"/>
          <w:divBdr>
            <w:top w:val="none" w:sz="0" w:space="0" w:color="auto"/>
            <w:left w:val="none" w:sz="0" w:space="0" w:color="auto"/>
            <w:bottom w:val="none" w:sz="0" w:space="0" w:color="auto"/>
            <w:right w:val="none" w:sz="0" w:space="0" w:color="auto"/>
          </w:divBdr>
          <w:divsChild>
            <w:div w:id="928390882">
              <w:marLeft w:val="0"/>
              <w:marRight w:val="0"/>
              <w:marTop w:val="0"/>
              <w:marBottom w:val="0"/>
              <w:divBdr>
                <w:top w:val="none" w:sz="0" w:space="0" w:color="auto"/>
                <w:left w:val="none" w:sz="0" w:space="0" w:color="auto"/>
                <w:bottom w:val="none" w:sz="0" w:space="0" w:color="auto"/>
                <w:right w:val="none" w:sz="0" w:space="0" w:color="auto"/>
              </w:divBdr>
            </w:div>
          </w:divsChild>
        </w:div>
        <w:div w:id="1197429669">
          <w:marLeft w:val="0"/>
          <w:marRight w:val="0"/>
          <w:marTop w:val="0"/>
          <w:marBottom w:val="0"/>
          <w:divBdr>
            <w:top w:val="none" w:sz="0" w:space="0" w:color="auto"/>
            <w:left w:val="none" w:sz="0" w:space="0" w:color="auto"/>
            <w:bottom w:val="none" w:sz="0" w:space="0" w:color="auto"/>
            <w:right w:val="none" w:sz="0" w:space="0" w:color="auto"/>
          </w:divBdr>
          <w:divsChild>
            <w:div w:id="472717045">
              <w:marLeft w:val="0"/>
              <w:marRight w:val="0"/>
              <w:marTop w:val="0"/>
              <w:marBottom w:val="0"/>
              <w:divBdr>
                <w:top w:val="none" w:sz="0" w:space="0" w:color="auto"/>
                <w:left w:val="none" w:sz="0" w:space="0" w:color="auto"/>
                <w:bottom w:val="none" w:sz="0" w:space="0" w:color="auto"/>
                <w:right w:val="none" w:sz="0" w:space="0" w:color="auto"/>
              </w:divBdr>
            </w:div>
          </w:divsChild>
        </w:div>
        <w:div w:id="1214460747">
          <w:marLeft w:val="0"/>
          <w:marRight w:val="0"/>
          <w:marTop w:val="0"/>
          <w:marBottom w:val="0"/>
          <w:divBdr>
            <w:top w:val="none" w:sz="0" w:space="0" w:color="auto"/>
            <w:left w:val="none" w:sz="0" w:space="0" w:color="auto"/>
            <w:bottom w:val="none" w:sz="0" w:space="0" w:color="auto"/>
            <w:right w:val="none" w:sz="0" w:space="0" w:color="auto"/>
          </w:divBdr>
          <w:divsChild>
            <w:div w:id="2107310796">
              <w:marLeft w:val="0"/>
              <w:marRight w:val="0"/>
              <w:marTop w:val="0"/>
              <w:marBottom w:val="0"/>
              <w:divBdr>
                <w:top w:val="none" w:sz="0" w:space="0" w:color="auto"/>
                <w:left w:val="none" w:sz="0" w:space="0" w:color="auto"/>
                <w:bottom w:val="none" w:sz="0" w:space="0" w:color="auto"/>
                <w:right w:val="none" w:sz="0" w:space="0" w:color="auto"/>
              </w:divBdr>
            </w:div>
          </w:divsChild>
        </w:div>
        <w:div w:id="139814515">
          <w:marLeft w:val="0"/>
          <w:marRight w:val="0"/>
          <w:marTop w:val="0"/>
          <w:marBottom w:val="0"/>
          <w:divBdr>
            <w:top w:val="none" w:sz="0" w:space="0" w:color="auto"/>
            <w:left w:val="none" w:sz="0" w:space="0" w:color="auto"/>
            <w:bottom w:val="none" w:sz="0" w:space="0" w:color="auto"/>
            <w:right w:val="none" w:sz="0" w:space="0" w:color="auto"/>
          </w:divBdr>
          <w:divsChild>
            <w:div w:id="1484078268">
              <w:marLeft w:val="0"/>
              <w:marRight w:val="0"/>
              <w:marTop w:val="0"/>
              <w:marBottom w:val="0"/>
              <w:divBdr>
                <w:top w:val="none" w:sz="0" w:space="0" w:color="auto"/>
                <w:left w:val="none" w:sz="0" w:space="0" w:color="auto"/>
                <w:bottom w:val="none" w:sz="0" w:space="0" w:color="auto"/>
                <w:right w:val="none" w:sz="0" w:space="0" w:color="auto"/>
              </w:divBdr>
            </w:div>
          </w:divsChild>
        </w:div>
        <w:div w:id="1654409346">
          <w:marLeft w:val="0"/>
          <w:marRight w:val="0"/>
          <w:marTop w:val="0"/>
          <w:marBottom w:val="0"/>
          <w:divBdr>
            <w:top w:val="none" w:sz="0" w:space="0" w:color="auto"/>
            <w:left w:val="none" w:sz="0" w:space="0" w:color="auto"/>
            <w:bottom w:val="none" w:sz="0" w:space="0" w:color="auto"/>
            <w:right w:val="none" w:sz="0" w:space="0" w:color="auto"/>
          </w:divBdr>
          <w:divsChild>
            <w:div w:id="1892109990">
              <w:marLeft w:val="0"/>
              <w:marRight w:val="0"/>
              <w:marTop w:val="0"/>
              <w:marBottom w:val="0"/>
              <w:divBdr>
                <w:top w:val="none" w:sz="0" w:space="0" w:color="auto"/>
                <w:left w:val="none" w:sz="0" w:space="0" w:color="auto"/>
                <w:bottom w:val="none" w:sz="0" w:space="0" w:color="auto"/>
                <w:right w:val="none" w:sz="0" w:space="0" w:color="auto"/>
              </w:divBdr>
            </w:div>
          </w:divsChild>
        </w:div>
        <w:div w:id="856701969">
          <w:marLeft w:val="0"/>
          <w:marRight w:val="0"/>
          <w:marTop w:val="0"/>
          <w:marBottom w:val="0"/>
          <w:divBdr>
            <w:top w:val="none" w:sz="0" w:space="0" w:color="auto"/>
            <w:left w:val="none" w:sz="0" w:space="0" w:color="auto"/>
            <w:bottom w:val="none" w:sz="0" w:space="0" w:color="auto"/>
            <w:right w:val="none" w:sz="0" w:space="0" w:color="auto"/>
          </w:divBdr>
          <w:divsChild>
            <w:div w:id="1113476426">
              <w:marLeft w:val="0"/>
              <w:marRight w:val="0"/>
              <w:marTop w:val="0"/>
              <w:marBottom w:val="0"/>
              <w:divBdr>
                <w:top w:val="none" w:sz="0" w:space="0" w:color="auto"/>
                <w:left w:val="none" w:sz="0" w:space="0" w:color="auto"/>
                <w:bottom w:val="none" w:sz="0" w:space="0" w:color="auto"/>
                <w:right w:val="none" w:sz="0" w:space="0" w:color="auto"/>
              </w:divBdr>
            </w:div>
          </w:divsChild>
        </w:div>
        <w:div w:id="125859771">
          <w:marLeft w:val="0"/>
          <w:marRight w:val="0"/>
          <w:marTop w:val="0"/>
          <w:marBottom w:val="0"/>
          <w:divBdr>
            <w:top w:val="none" w:sz="0" w:space="0" w:color="auto"/>
            <w:left w:val="none" w:sz="0" w:space="0" w:color="auto"/>
            <w:bottom w:val="none" w:sz="0" w:space="0" w:color="auto"/>
            <w:right w:val="none" w:sz="0" w:space="0" w:color="auto"/>
          </w:divBdr>
          <w:divsChild>
            <w:div w:id="86848302">
              <w:marLeft w:val="0"/>
              <w:marRight w:val="0"/>
              <w:marTop w:val="0"/>
              <w:marBottom w:val="0"/>
              <w:divBdr>
                <w:top w:val="none" w:sz="0" w:space="0" w:color="auto"/>
                <w:left w:val="none" w:sz="0" w:space="0" w:color="auto"/>
                <w:bottom w:val="none" w:sz="0" w:space="0" w:color="auto"/>
                <w:right w:val="none" w:sz="0" w:space="0" w:color="auto"/>
              </w:divBdr>
            </w:div>
          </w:divsChild>
        </w:div>
        <w:div w:id="1845048688">
          <w:marLeft w:val="0"/>
          <w:marRight w:val="0"/>
          <w:marTop w:val="0"/>
          <w:marBottom w:val="0"/>
          <w:divBdr>
            <w:top w:val="none" w:sz="0" w:space="0" w:color="auto"/>
            <w:left w:val="none" w:sz="0" w:space="0" w:color="auto"/>
            <w:bottom w:val="none" w:sz="0" w:space="0" w:color="auto"/>
            <w:right w:val="none" w:sz="0" w:space="0" w:color="auto"/>
          </w:divBdr>
          <w:divsChild>
            <w:div w:id="1747216838">
              <w:marLeft w:val="0"/>
              <w:marRight w:val="0"/>
              <w:marTop w:val="0"/>
              <w:marBottom w:val="0"/>
              <w:divBdr>
                <w:top w:val="none" w:sz="0" w:space="0" w:color="auto"/>
                <w:left w:val="none" w:sz="0" w:space="0" w:color="auto"/>
                <w:bottom w:val="none" w:sz="0" w:space="0" w:color="auto"/>
                <w:right w:val="none" w:sz="0" w:space="0" w:color="auto"/>
              </w:divBdr>
            </w:div>
          </w:divsChild>
        </w:div>
        <w:div w:id="1908416989">
          <w:marLeft w:val="0"/>
          <w:marRight w:val="0"/>
          <w:marTop w:val="0"/>
          <w:marBottom w:val="0"/>
          <w:divBdr>
            <w:top w:val="none" w:sz="0" w:space="0" w:color="auto"/>
            <w:left w:val="none" w:sz="0" w:space="0" w:color="auto"/>
            <w:bottom w:val="none" w:sz="0" w:space="0" w:color="auto"/>
            <w:right w:val="none" w:sz="0" w:space="0" w:color="auto"/>
          </w:divBdr>
          <w:divsChild>
            <w:div w:id="313149785">
              <w:marLeft w:val="0"/>
              <w:marRight w:val="0"/>
              <w:marTop w:val="0"/>
              <w:marBottom w:val="0"/>
              <w:divBdr>
                <w:top w:val="none" w:sz="0" w:space="0" w:color="auto"/>
                <w:left w:val="none" w:sz="0" w:space="0" w:color="auto"/>
                <w:bottom w:val="none" w:sz="0" w:space="0" w:color="auto"/>
                <w:right w:val="none" w:sz="0" w:space="0" w:color="auto"/>
              </w:divBdr>
            </w:div>
          </w:divsChild>
        </w:div>
        <w:div w:id="287588361">
          <w:marLeft w:val="0"/>
          <w:marRight w:val="0"/>
          <w:marTop w:val="0"/>
          <w:marBottom w:val="0"/>
          <w:divBdr>
            <w:top w:val="none" w:sz="0" w:space="0" w:color="auto"/>
            <w:left w:val="none" w:sz="0" w:space="0" w:color="auto"/>
            <w:bottom w:val="none" w:sz="0" w:space="0" w:color="auto"/>
            <w:right w:val="none" w:sz="0" w:space="0" w:color="auto"/>
          </w:divBdr>
          <w:divsChild>
            <w:div w:id="944384497">
              <w:marLeft w:val="0"/>
              <w:marRight w:val="0"/>
              <w:marTop w:val="0"/>
              <w:marBottom w:val="0"/>
              <w:divBdr>
                <w:top w:val="none" w:sz="0" w:space="0" w:color="auto"/>
                <w:left w:val="none" w:sz="0" w:space="0" w:color="auto"/>
                <w:bottom w:val="none" w:sz="0" w:space="0" w:color="auto"/>
                <w:right w:val="none" w:sz="0" w:space="0" w:color="auto"/>
              </w:divBdr>
            </w:div>
          </w:divsChild>
        </w:div>
        <w:div w:id="1442870442">
          <w:marLeft w:val="0"/>
          <w:marRight w:val="0"/>
          <w:marTop w:val="0"/>
          <w:marBottom w:val="0"/>
          <w:divBdr>
            <w:top w:val="none" w:sz="0" w:space="0" w:color="auto"/>
            <w:left w:val="none" w:sz="0" w:space="0" w:color="auto"/>
            <w:bottom w:val="none" w:sz="0" w:space="0" w:color="auto"/>
            <w:right w:val="none" w:sz="0" w:space="0" w:color="auto"/>
          </w:divBdr>
          <w:divsChild>
            <w:div w:id="837424879">
              <w:marLeft w:val="0"/>
              <w:marRight w:val="0"/>
              <w:marTop w:val="0"/>
              <w:marBottom w:val="0"/>
              <w:divBdr>
                <w:top w:val="none" w:sz="0" w:space="0" w:color="auto"/>
                <w:left w:val="none" w:sz="0" w:space="0" w:color="auto"/>
                <w:bottom w:val="none" w:sz="0" w:space="0" w:color="auto"/>
                <w:right w:val="none" w:sz="0" w:space="0" w:color="auto"/>
              </w:divBdr>
            </w:div>
          </w:divsChild>
        </w:div>
        <w:div w:id="2008357522">
          <w:marLeft w:val="0"/>
          <w:marRight w:val="0"/>
          <w:marTop w:val="0"/>
          <w:marBottom w:val="0"/>
          <w:divBdr>
            <w:top w:val="none" w:sz="0" w:space="0" w:color="auto"/>
            <w:left w:val="none" w:sz="0" w:space="0" w:color="auto"/>
            <w:bottom w:val="none" w:sz="0" w:space="0" w:color="auto"/>
            <w:right w:val="none" w:sz="0" w:space="0" w:color="auto"/>
          </w:divBdr>
          <w:divsChild>
            <w:div w:id="943225848">
              <w:marLeft w:val="0"/>
              <w:marRight w:val="0"/>
              <w:marTop w:val="0"/>
              <w:marBottom w:val="0"/>
              <w:divBdr>
                <w:top w:val="none" w:sz="0" w:space="0" w:color="auto"/>
                <w:left w:val="none" w:sz="0" w:space="0" w:color="auto"/>
                <w:bottom w:val="none" w:sz="0" w:space="0" w:color="auto"/>
                <w:right w:val="none" w:sz="0" w:space="0" w:color="auto"/>
              </w:divBdr>
            </w:div>
          </w:divsChild>
        </w:div>
        <w:div w:id="443497147">
          <w:marLeft w:val="0"/>
          <w:marRight w:val="0"/>
          <w:marTop w:val="0"/>
          <w:marBottom w:val="0"/>
          <w:divBdr>
            <w:top w:val="none" w:sz="0" w:space="0" w:color="auto"/>
            <w:left w:val="none" w:sz="0" w:space="0" w:color="auto"/>
            <w:bottom w:val="none" w:sz="0" w:space="0" w:color="auto"/>
            <w:right w:val="none" w:sz="0" w:space="0" w:color="auto"/>
          </w:divBdr>
          <w:divsChild>
            <w:div w:id="1510171782">
              <w:marLeft w:val="0"/>
              <w:marRight w:val="0"/>
              <w:marTop w:val="0"/>
              <w:marBottom w:val="0"/>
              <w:divBdr>
                <w:top w:val="none" w:sz="0" w:space="0" w:color="auto"/>
                <w:left w:val="none" w:sz="0" w:space="0" w:color="auto"/>
                <w:bottom w:val="none" w:sz="0" w:space="0" w:color="auto"/>
                <w:right w:val="none" w:sz="0" w:space="0" w:color="auto"/>
              </w:divBdr>
            </w:div>
          </w:divsChild>
        </w:div>
        <w:div w:id="680009203">
          <w:marLeft w:val="0"/>
          <w:marRight w:val="0"/>
          <w:marTop w:val="0"/>
          <w:marBottom w:val="0"/>
          <w:divBdr>
            <w:top w:val="none" w:sz="0" w:space="0" w:color="auto"/>
            <w:left w:val="none" w:sz="0" w:space="0" w:color="auto"/>
            <w:bottom w:val="none" w:sz="0" w:space="0" w:color="auto"/>
            <w:right w:val="none" w:sz="0" w:space="0" w:color="auto"/>
          </w:divBdr>
          <w:divsChild>
            <w:div w:id="109165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4580">
      <w:bodyDiv w:val="1"/>
      <w:marLeft w:val="0"/>
      <w:marRight w:val="0"/>
      <w:marTop w:val="0"/>
      <w:marBottom w:val="0"/>
      <w:divBdr>
        <w:top w:val="none" w:sz="0" w:space="0" w:color="auto"/>
        <w:left w:val="none" w:sz="0" w:space="0" w:color="auto"/>
        <w:bottom w:val="none" w:sz="0" w:space="0" w:color="auto"/>
        <w:right w:val="none" w:sz="0" w:space="0" w:color="auto"/>
      </w:divBdr>
      <w:divsChild>
        <w:div w:id="1429422028">
          <w:marLeft w:val="0"/>
          <w:marRight w:val="0"/>
          <w:marTop w:val="0"/>
          <w:marBottom w:val="0"/>
          <w:divBdr>
            <w:top w:val="none" w:sz="0" w:space="0" w:color="auto"/>
            <w:left w:val="none" w:sz="0" w:space="0" w:color="auto"/>
            <w:bottom w:val="none" w:sz="0" w:space="0" w:color="auto"/>
            <w:right w:val="none" w:sz="0" w:space="0" w:color="auto"/>
          </w:divBdr>
          <w:divsChild>
            <w:div w:id="357970586">
              <w:marLeft w:val="0"/>
              <w:marRight w:val="0"/>
              <w:marTop w:val="0"/>
              <w:marBottom w:val="0"/>
              <w:divBdr>
                <w:top w:val="none" w:sz="0" w:space="0" w:color="auto"/>
                <w:left w:val="none" w:sz="0" w:space="0" w:color="auto"/>
                <w:bottom w:val="none" w:sz="0" w:space="0" w:color="auto"/>
                <w:right w:val="none" w:sz="0" w:space="0" w:color="auto"/>
              </w:divBdr>
              <w:divsChild>
                <w:div w:id="49507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0026">
      <w:bodyDiv w:val="1"/>
      <w:marLeft w:val="0"/>
      <w:marRight w:val="0"/>
      <w:marTop w:val="0"/>
      <w:marBottom w:val="0"/>
      <w:divBdr>
        <w:top w:val="none" w:sz="0" w:space="0" w:color="auto"/>
        <w:left w:val="none" w:sz="0" w:space="0" w:color="auto"/>
        <w:bottom w:val="none" w:sz="0" w:space="0" w:color="auto"/>
        <w:right w:val="none" w:sz="0" w:space="0" w:color="auto"/>
      </w:divBdr>
      <w:divsChild>
        <w:div w:id="1430731550">
          <w:marLeft w:val="0"/>
          <w:marRight w:val="0"/>
          <w:marTop w:val="0"/>
          <w:marBottom w:val="0"/>
          <w:divBdr>
            <w:top w:val="none" w:sz="0" w:space="0" w:color="auto"/>
            <w:left w:val="none" w:sz="0" w:space="0" w:color="auto"/>
            <w:bottom w:val="none" w:sz="0" w:space="0" w:color="auto"/>
            <w:right w:val="none" w:sz="0" w:space="0" w:color="auto"/>
          </w:divBdr>
          <w:divsChild>
            <w:div w:id="841315415">
              <w:marLeft w:val="0"/>
              <w:marRight w:val="0"/>
              <w:marTop w:val="0"/>
              <w:marBottom w:val="0"/>
              <w:divBdr>
                <w:top w:val="none" w:sz="0" w:space="0" w:color="auto"/>
                <w:left w:val="none" w:sz="0" w:space="0" w:color="auto"/>
                <w:bottom w:val="none" w:sz="0" w:space="0" w:color="auto"/>
                <w:right w:val="none" w:sz="0" w:space="0" w:color="auto"/>
              </w:divBdr>
              <w:divsChild>
                <w:div w:id="19330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7725">
      <w:bodyDiv w:val="1"/>
      <w:marLeft w:val="0"/>
      <w:marRight w:val="0"/>
      <w:marTop w:val="0"/>
      <w:marBottom w:val="0"/>
      <w:divBdr>
        <w:top w:val="none" w:sz="0" w:space="0" w:color="auto"/>
        <w:left w:val="none" w:sz="0" w:space="0" w:color="auto"/>
        <w:bottom w:val="none" w:sz="0" w:space="0" w:color="auto"/>
        <w:right w:val="none" w:sz="0" w:space="0" w:color="auto"/>
      </w:divBdr>
    </w:div>
    <w:div w:id="145778377">
      <w:bodyDiv w:val="1"/>
      <w:marLeft w:val="0"/>
      <w:marRight w:val="0"/>
      <w:marTop w:val="0"/>
      <w:marBottom w:val="0"/>
      <w:divBdr>
        <w:top w:val="none" w:sz="0" w:space="0" w:color="auto"/>
        <w:left w:val="none" w:sz="0" w:space="0" w:color="auto"/>
        <w:bottom w:val="none" w:sz="0" w:space="0" w:color="auto"/>
        <w:right w:val="none" w:sz="0" w:space="0" w:color="auto"/>
      </w:divBdr>
      <w:divsChild>
        <w:div w:id="767191344">
          <w:marLeft w:val="0"/>
          <w:marRight w:val="0"/>
          <w:marTop w:val="0"/>
          <w:marBottom w:val="0"/>
          <w:divBdr>
            <w:top w:val="none" w:sz="0" w:space="0" w:color="auto"/>
            <w:left w:val="none" w:sz="0" w:space="0" w:color="auto"/>
            <w:bottom w:val="none" w:sz="0" w:space="0" w:color="auto"/>
            <w:right w:val="none" w:sz="0" w:space="0" w:color="auto"/>
          </w:divBdr>
          <w:divsChild>
            <w:div w:id="881748523">
              <w:marLeft w:val="0"/>
              <w:marRight w:val="0"/>
              <w:marTop w:val="0"/>
              <w:marBottom w:val="0"/>
              <w:divBdr>
                <w:top w:val="none" w:sz="0" w:space="0" w:color="auto"/>
                <w:left w:val="none" w:sz="0" w:space="0" w:color="auto"/>
                <w:bottom w:val="none" w:sz="0" w:space="0" w:color="auto"/>
                <w:right w:val="none" w:sz="0" w:space="0" w:color="auto"/>
              </w:divBdr>
              <w:divsChild>
                <w:div w:id="95132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9115">
      <w:bodyDiv w:val="1"/>
      <w:marLeft w:val="0"/>
      <w:marRight w:val="0"/>
      <w:marTop w:val="0"/>
      <w:marBottom w:val="0"/>
      <w:divBdr>
        <w:top w:val="none" w:sz="0" w:space="0" w:color="auto"/>
        <w:left w:val="none" w:sz="0" w:space="0" w:color="auto"/>
        <w:bottom w:val="none" w:sz="0" w:space="0" w:color="auto"/>
        <w:right w:val="none" w:sz="0" w:space="0" w:color="auto"/>
      </w:divBdr>
      <w:divsChild>
        <w:div w:id="1428848205">
          <w:marLeft w:val="0"/>
          <w:marRight w:val="0"/>
          <w:marTop w:val="0"/>
          <w:marBottom w:val="0"/>
          <w:divBdr>
            <w:top w:val="none" w:sz="0" w:space="0" w:color="auto"/>
            <w:left w:val="none" w:sz="0" w:space="0" w:color="auto"/>
            <w:bottom w:val="none" w:sz="0" w:space="0" w:color="auto"/>
            <w:right w:val="none" w:sz="0" w:space="0" w:color="auto"/>
          </w:divBdr>
          <w:divsChild>
            <w:div w:id="712194881">
              <w:marLeft w:val="0"/>
              <w:marRight w:val="0"/>
              <w:marTop w:val="0"/>
              <w:marBottom w:val="0"/>
              <w:divBdr>
                <w:top w:val="none" w:sz="0" w:space="0" w:color="auto"/>
                <w:left w:val="none" w:sz="0" w:space="0" w:color="auto"/>
                <w:bottom w:val="none" w:sz="0" w:space="0" w:color="auto"/>
                <w:right w:val="none" w:sz="0" w:space="0" w:color="auto"/>
              </w:divBdr>
              <w:divsChild>
                <w:div w:id="17972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99241">
      <w:bodyDiv w:val="1"/>
      <w:marLeft w:val="0"/>
      <w:marRight w:val="0"/>
      <w:marTop w:val="0"/>
      <w:marBottom w:val="0"/>
      <w:divBdr>
        <w:top w:val="none" w:sz="0" w:space="0" w:color="auto"/>
        <w:left w:val="none" w:sz="0" w:space="0" w:color="auto"/>
        <w:bottom w:val="none" w:sz="0" w:space="0" w:color="auto"/>
        <w:right w:val="none" w:sz="0" w:space="0" w:color="auto"/>
      </w:divBdr>
      <w:divsChild>
        <w:div w:id="1125075843">
          <w:marLeft w:val="0"/>
          <w:marRight w:val="0"/>
          <w:marTop w:val="0"/>
          <w:marBottom w:val="0"/>
          <w:divBdr>
            <w:top w:val="none" w:sz="0" w:space="0" w:color="auto"/>
            <w:left w:val="none" w:sz="0" w:space="0" w:color="auto"/>
            <w:bottom w:val="none" w:sz="0" w:space="0" w:color="auto"/>
            <w:right w:val="none" w:sz="0" w:space="0" w:color="auto"/>
          </w:divBdr>
          <w:divsChild>
            <w:div w:id="70201002">
              <w:marLeft w:val="0"/>
              <w:marRight w:val="0"/>
              <w:marTop w:val="0"/>
              <w:marBottom w:val="0"/>
              <w:divBdr>
                <w:top w:val="none" w:sz="0" w:space="0" w:color="auto"/>
                <w:left w:val="none" w:sz="0" w:space="0" w:color="auto"/>
                <w:bottom w:val="none" w:sz="0" w:space="0" w:color="auto"/>
                <w:right w:val="none" w:sz="0" w:space="0" w:color="auto"/>
              </w:divBdr>
              <w:divsChild>
                <w:div w:id="14461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459097">
      <w:bodyDiv w:val="1"/>
      <w:marLeft w:val="0"/>
      <w:marRight w:val="0"/>
      <w:marTop w:val="0"/>
      <w:marBottom w:val="0"/>
      <w:divBdr>
        <w:top w:val="none" w:sz="0" w:space="0" w:color="auto"/>
        <w:left w:val="none" w:sz="0" w:space="0" w:color="auto"/>
        <w:bottom w:val="none" w:sz="0" w:space="0" w:color="auto"/>
        <w:right w:val="none" w:sz="0" w:space="0" w:color="auto"/>
      </w:divBdr>
    </w:div>
    <w:div w:id="286015060">
      <w:bodyDiv w:val="1"/>
      <w:marLeft w:val="0"/>
      <w:marRight w:val="0"/>
      <w:marTop w:val="0"/>
      <w:marBottom w:val="0"/>
      <w:divBdr>
        <w:top w:val="none" w:sz="0" w:space="0" w:color="auto"/>
        <w:left w:val="none" w:sz="0" w:space="0" w:color="auto"/>
        <w:bottom w:val="none" w:sz="0" w:space="0" w:color="auto"/>
        <w:right w:val="none" w:sz="0" w:space="0" w:color="auto"/>
      </w:divBdr>
      <w:divsChild>
        <w:div w:id="1216699556">
          <w:marLeft w:val="0"/>
          <w:marRight w:val="0"/>
          <w:marTop w:val="0"/>
          <w:marBottom w:val="0"/>
          <w:divBdr>
            <w:top w:val="none" w:sz="0" w:space="0" w:color="auto"/>
            <w:left w:val="none" w:sz="0" w:space="0" w:color="auto"/>
            <w:bottom w:val="none" w:sz="0" w:space="0" w:color="auto"/>
            <w:right w:val="none" w:sz="0" w:space="0" w:color="auto"/>
          </w:divBdr>
          <w:divsChild>
            <w:div w:id="1876893670">
              <w:marLeft w:val="0"/>
              <w:marRight w:val="0"/>
              <w:marTop w:val="0"/>
              <w:marBottom w:val="0"/>
              <w:divBdr>
                <w:top w:val="none" w:sz="0" w:space="0" w:color="auto"/>
                <w:left w:val="none" w:sz="0" w:space="0" w:color="auto"/>
                <w:bottom w:val="none" w:sz="0" w:space="0" w:color="auto"/>
                <w:right w:val="none" w:sz="0" w:space="0" w:color="auto"/>
              </w:divBdr>
              <w:divsChild>
                <w:div w:id="214272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059514">
      <w:bodyDiv w:val="1"/>
      <w:marLeft w:val="0"/>
      <w:marRight w:val="0"/>
      <w:marTop w:val="0"/>
      <w:marBottom w:val="0"/>
      <w:divBdr>
        <w:top w:val="none" w:sz="0" w:space="0" w:color="auto"/>
        <w:left w:val="none" w:sz="0" w:space="0" w:color="auto"/>
        <w:bottom w:val="none" w:sz="0" w:space="0" w:color="auto"/>
        <w:right w:val="none" w:sz="0" w:space="0" w:color="auto"/>
      </w:divBdr>
    </w:div>
    <w:div w:id="465322026">
      <w:bodyDiv w:val="1"/>
      <w:marLeft w:val="0"/>
      <w:marRight w:val="0"/>
      <w:marTop w:val="0"/>
      <w:marBottom w:val="0"/>
      <w:divBdr>
        <w:top w:val="none" w:sz="0" w:space="0" w:color="auto"/>
        <w:left w:val="none" w:sz="0" w:space="0" w:color="auto"/>
        <w:bottom w:val="none" w:sz="0" w:space="0" w:color="auto"/>
        <w:right w:val="none" w:sz="0" w:space="0" w:color="auto"/>
      </w:divBdr>
      <w:divsChild>
        <w:div w:id="1755473524">
          <w:marLeft w:val="0"/>
          <w:marRight w:val="0"/>
          <w:marTop w:val="0"/>
          <w:marBottom w:val="0"/>
          <w:divBdr>
            <w:top w:val="none" w:sz="0" w:space="0" w:color="auto"/>
            <w:left w:val="none" w:sz="0" w:space="0" w:color="auto"/>
            <w:bottom w:val="none" w:sz="0" w:space="0" w:color="auto"/>
            <w:right w:val="none" w:sz="0" w:space="0" w:color="auto"/>
          </w:divBdr>
          <w:divsChild>
            <w:div w:id="1338457198">
              <w:marLeft w:val="0"/>
              <w:marRight w:val="0"/>
              <w:marTop w:val="0"/>
              <w:marBottom w:val="0"/>
              <w:divBdr>
                <w:top w:val="none" w:sz="0" w:space="0" w:color="auto"/>
                <w:left w:val="none" w:sz="0" w:space="0" w:color="auto"/>
                <w:bottom w:val="none" w:sz="0" w:space="0" w:color="auto"/>
                <w:right w:val="none" w:sz="0" w:space="0" w:color="auto"/>
              </w:divBdr>
              <w:divsChild>
                <w:div w:id="203661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533775">
      <w:bodyDiv w:val="1"/>
      <w:marLeft w:val="0"/>
      <w:marRight w:val="0"/>
      <w:marTop w:val="0"/>
      <w:marBottom w:val="0"/>
      <w:divBdr>
        <w:top w:val="none" w:sz="0" w:space="0" w:color="auto"/>
        <w:left w:val="none" w:sz="0" w:space="0" w:color="auto"/>
        <w:bottom w:val="none" w:sz="0" w:space="0" w:color="auto"/>
        <w:right w:val="none" w:sz="0" w:space="0" w:color="auto"/>
      </w:divBdr>
    </w:div>
    <w:div w:id="529268768">
      <w:bodyDiv w:val="1"/>
      <w:marLeft w:val="0"/>
      <w:marRight w:val="0"/>
      <w:marTop w:val="0"/>
      <w:marBottom w:val="0"/>
      <w:divBdr>
        <w:top w:val="none" w:sz="0" w:space="0" w:color="auto"/>
        <w:left w:val="none" w:sz="0" w:space="0" w:color="auto"/>
        <w:bottom w:val="none" w:sz="0" w:space="0" w:color="auto"/>
        <w:right w:val="none" w:sz="0" w:space="0" w:color="auto"/>
      </w:divBdr>
      <w:divsChild>
        <w:div w:id="2083016760">
          <w:marLeft w:val="0"/>
          <w:marRight w:val="0"/>
          <w:marTop w:val="0"/>
          <w:marBottom w:val="0"/>
          <w:divBdr>
            <w:top w:val="none" w:sz="0" w:space="0" w:color="auto"/>
            <w:left w:val="none" w:sz="0" w:space="0" w:color="auto"/>
            <w:bottom w:val="none" w:sz="0" w:space="0" w:color="auto"/>
            <w:right w:val="none" w:sz="0" w:space="0" w:color="auto"/>
          </w:divBdr>
          <w:divsChild>
            <w:div w:id="1433743370">
              <w:marLeft w:val="0"/>
              <w:marRight w:val="0"/>
              <w:marTop w:val="0"/>
              <w:marBottom w:val="0"/>
              <w:divBdr>
                <w:top w:val="none" w:sz="0" w:space="0" w:color="auto"/>
                <w:left w:val="none" w:sz="0" w:space="0" w:color="auto"/>
                <w:bottom w:val="none" w:sz="0" w:space="0" w:color="auto"/>
                <w:right w:val="none" w:sz="0" w:space="0" w:color="auto"/>
              </w:divBdr>
              <w:divsChild>
                <w:div w:id="1792435189">
                  <w:marLeft w:val="0"/>
                  <w:marRight w:val="0"/>
                  <w:marTop w:val="0"/>
                  <w:marBottom w:val="0"/>
                  <w:divBdr>
                    <w:top w:val="none" w:sz="0" w:space="0" w:color="auto"/>
                    <w:left w:val="none" w:sz="0" w:space="0" w:color="auto"/>
                    <w:bottom w:val="none" w:sz="0" w:space="0" w:color="auto"/>
                    <w:right w:val="none" w:sz="0" w:space="0" w:color="auto"/>
                  </w:divBdr>
                  <w:divsChild>
                    <w:div w:id="8721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670317">
      <w:bodyDiv w:val="1"/>
      <w:marLeft w:val="0"/>
      <w:marRight w:val="0"/>
      <w:marTop w:val="0"/>
      <w:marBottom w:val="0"/>
      <w:divBdr>
        <w:top w:val="none" w:sz="0" w:space="0" w:color="auto"/>
        <w:left w:val="none" w:sz="0" w:space="0" w:color="auto"/>
        <w:bottom w:val="none" w:sz="0" w:space="0" w:color="auto"/>
        <w:right w:val="none" w:sz="0" w:space="0" w:color="auto"/>
      </w:divBdr>
      <w:divsChild>
        <w:div w:id="832455655">
          <w:marLeft w:val="0"/>
          <w:marRight w:val="0"/>
          <w:marTop w:val="0"/>
          <w:marBottom w:val="0"/>
          <w:divBdr>
            <w:top w:val="none" w:sz="0" w:space="0" w:color="auto"/>
            <w:left w:val="none" w:sz="0" w:space="0" w:color="auto"/>
            <w:bottom w:val="none" w:sz="0" w:space="0" w:color="auto"/>
            <w:right w:val="none" w:sz="0" w:space="0" w:color="auto"/>
          </w:divBdr>
          <w:divsChild>
            <w:div w:id="947934856">
              <w:marLeft w:val="0"/>
              <w:marRight w:val="0"/>
              <w:marTop w:val="0"/>
              <w:marBottom w:val="0"/>
              <w:divBdr>
                <w:top w:val="none" w:sz="0" w:space="0" w:color="auto"/>
                <w:left w:val="none" w:sz="0" w:space="0" w:color="auto"/>
                <w:bottom w:val="none" w:sz="0" w:space="0" w:color="auto"/>
                <w:right w:val="none" w:sz="0" w:space="0" w:color="auto"/>
              </w:divBdr>
              <w:divsChild>
                <w:div w:id="3299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10422">
      <w:bodyDiv w:val="1"/>
      <w:marLeft w:val="0"/>
      <w:marRight w:val="0"/>
      <w:marTop w:val="0"/>
      <w:marBottom w:val="0"/>
      <w:divBdr>
        <w:top w:val="none" w:sz="0" w:space="0" w:color="auto"/>
        <w:left w:val="none" w:sz="0" w:space="0" w:color="auto"/>
        <w:bottom w:val="none" w:sz="0" w:space="0" w:color="auto"/>
        <w:right w:val="none" w:sz="0" w:space="0" w:color="auto"/>
      </w:divBdr>
    </w:div>
    <w:div w:id="653605629">
      <w:bodyDiv w:val="1"/>
      <w:marLeft w:val="0"/>
      <w:marRight w:val="0"/>
      <w:marTop w:val="0"/>
      <w:marBottom w:val="0"/>
      <w:divBdr>
        <w:top w:val="none" w:sz="0" w:space="0" w:color="auto"/>
        <w:left w:val="none" w:sz="0" w:space="0" w:color="auto"/>
        <w:bottom w:val="none" w:sz="0" w:space="0" w:color="auto"/>
        <w:right w:val="none" w:sz="0" w:space="0" w:color="auto"/>
      </w:divBdr>
    </w:div>
    <w:div w:id="719938639">
      <w:bodyDiv w:val="1"/>
      <w:marLeft w:val="0"/>
      <w:marRight w:val="0"/>
      <w:marTop w:val="0"/>
      <w:marBottom w:val="0"/>
      <w:divBdr>
        <w:top w:val="none" w:sz="0" w:space="0" w:color="auto"/>
        <w:left w:val="none" w:sz="0" w:space="0" w:color="auto"/>
        <w:bottom w:val="none" w:sz="0" w:space="0" w:color="auto"/>
        <w:right w:val="none" w:sz="0" w:space="0" w:color="auto"/>
      </w:divBdr>
      <w:divsChild>
        <w:div w:id="571039692">
          <w:marLeft w:val="0"/>
          <w:marRight w:val="0"/>
          <w:marTop w:val="0"/>
          <w:marBottom w:val="0"/>
          <w:divBdr>
            <w:top w:val="none" w:sz="0" w:space="0" w:color="auto"/>
            <w:left w:val="none" w:sz="0" w:space="0" w:color="auto"/>
            <w:bottom w:val="none" w:sz="0" w:space="0" w:color="auto"/>
            <w:right w:val="none" w:sz="0" w:space="0" w:color="auto"/>
          </w:divBdr>
          <w:divsChild>
            <w:div w:id="208567529">
              <w:marLeft w:val="0"/>
              <w:marRight w:val="0"/>
              <w:marTop w:val="0"/>
              <w:marBottom w:val="0"/>
              <w:divBdr>
                <w:top w:val="none" w:sz="0" w:space="0" w:color="auto"/>
                <w:left w:val="none" w:sz="0" w:space="0" w:color="auto"/>
                <w:bottom w:val="none" w:sz="0" w:space="0" w:color="auto"/>
                <w:right w:val="none" w:sz="0" w:space="0" w:color="auto"/>
              </w:divBdr>
              <w:divsChild>
                <w:div w:id="146966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27788">
      <w:bodyDiv w:val="1"/>
      <w:marLeft w:val="0"/>
      <w:marRight w:val="0"/>
      <w:marTop w:val="0"/>
      <w:marBottom w:val="0"/>
      <w:divBdr>
        <w:top w:val="none" w:sz="0" w:space="0" w:color="auto"/>
        <w:left w:val="none" w:sz="0" w:space="0" w:color="auto"/>
        <w:bottom w:val="none" w:sz="0" w:space="0" w:color="auto"/>
        <w:right w:val="none" w:sz="0" w:space="0" w:color="auto"/>
      </w:divBdr>
    </w:div>
    <w:div w:id="802650740">
      <w:bodyDiv w:val="1"/>
      <w:marLeft w:val="0"/>
      <w:marRight w:val="0"/>
      <w:marTop w:val="0"/>
      <w:marBottom w:val="0"/>
      <w:divBdr>
        <w:top w:val="none" w:sz="0" w:space="0" w:color="auto"/>
        <w:left w:val="none" w:sz="0" w:space="0" w:color="auto"/>
        <w:bottom w:val="none" w:sz="0" w:space="0" w:color="auto"/>
        <w:right w:val="none" w:sz="0" w:space="0" w:color="auto"/>
      </w:divBdr>
      <w:divsChild>
        <w:div w:id="1683973916">
          <w:marLeft w:val="0"/>
          <w:marRight w:val="0"/>
          <w:marTop w:val="0"/>
          <w:marBottom w:val="0"/>
          <w:divBdr>
            <w:top w:val="none" w:sz="0" w:space="0" w:color="auto"/>
            <w:left w:val="none" w:sz="0" w:space="0" w:color="auto"/>
            <w:bottom w:val="none" w:sz="0" w:space="0" w:color="auto"/>
            <w:right w:val="none" w:sz="0" w:space="0" w:color="auto"/>
          </w:divBdr>
          <w:divsChild>
            <w:div w:id="456485201">
              <w:marLeft w:val="0"/>
              <w:marRight w:val="0"/>
              <w:marTop w:val="0"/>
              <w:marBottom w:val="0"/>
              <w:divBdr>
                <w:top w:val="none" w:sz="0" w:space="0" w:color="auto"/>
                <w:left w:val="none" w:sz="0" w:space="0" w:color="auto"/>
                <w:bottom w:val="none" w:sz="0" w:space="0" w:color="auto"/>
                <w:right w:val="none" w:sz="0" w:space="0" w:color="auto"/>
              </w:divBdr>
            </w:div>
          </w:divsChild>
        </w:div>
        <w:div w:id="1742484221">
          <w:marLeft w:val="0"/>
          <w:marRight w:val="0"/>
          <w:marTop w:val="0"/>
          <w:marBottom w:val="0"/>
          <w:divBdr>
            <w:top w:val="none" w:sz="0" w:space="0" w:color="auto"/>
            <w:left w:val="none" w:sz="0" w:space="0" w:color="auto"/>
            <w:bottom w:val="none" w:sz="0" w:space="0" w:color="auto"/>
            <w:right w:val="none" w:sz="0" w:space="0" w:color="auto"/>
          </w:divBdr>
          <w:divsChild>
            <w:div w:id="898781593">
              <w:marLeft w:val="0"/>
              <w:marRight w:val="0"/>
              <w:marTop w:val="0"/>
              <w:marBottom w:val="0"/>
              <w:divBdr>
                <w:top w:val="none" w:sz="0" w:space="0" w:color="auto"/>
                <w:left w:val="none" w:sz="0" w:space="0" w:color="auto"/>
                <w:bottom w:val="none" w:sz="0" w:space="0" w:color="auto"/>
                <w:right w:val="none" w:sz="0" w:space="0" w:color="auto"/>
              </w:divBdr>
            </w:div>
          </w:divsChild>
        </w:div>
        <w:div w:id="1852991528">
          <w:marLeft w:val="0"/>
          <w:marRight w:val="0"/>
          <w:marTop w:val="0"/>
          <w:marBottom w:val="0"/>
          <w:divBdr>
            <w:top w:val="none" w:sz="0" w:space="0" w:color="auto"/>
            <w:left w:val="none" w:sz="0" w:space="0" w:color="auto"/>
            <w:bottom w:val="none" w:sz="0" w:space="0" w:color="auto"/>
            <w:right w:val="none" w:sz="0" w:space="0" w:color="auto"/>
          </w:divBdr>
          <w:divsChild>
            <w:div w:id="683020762">
              <w:marLeft w:val="0"/>
              <w:marRight w:val="0"/>
              <w:marTop w:val="0"/>
              <w:marBottom w:val="0"/>
              <w:divBdr>
                <w:top w:val="none" w:sz="0" w:space="0" w:color="auto"/>
                <w:left w:val="none" w:sz="0" w:space="0" w:color="auto"/>
                <w:bottom w:val="none" w:sz="0" w:space="0" w:color="auto"/>
                <w:right w:val="none" w:sz="0" w:space="0" w:color="auto"/>
              </w:divBdr>
            </w:div>
          </w:divsChild>
        </w:div>
        <w:div w:id="2134977419">
          <w:marLeft w:val="0"/>
          <w:marRight w:val="0"/>
          <w:marTop w:val="0"/>
          <w:marBottom w:val="0"/>
          <w:divBdr>
            <w:top w:val="none" w:sz="0" w:space="0" w:color="auto"/>
            <w:left w:val="none" w:sz="0" w:space="0" w:color="auto"/>
            <w:bottom w:val="none" w:sz="0" w:space="0" w:color="auto"/>
            <w:right w:val="none" w:sz="0" w:space="0" w:color="auto"/>
          </w:divBdr>
          <w:divsChild>
            <w:div w:id="1737239875">
              <w:marLeft w:val="0"/>
              <w:marRight w:val="0"/>
              <w:marTop w:val="0"/>
              <w:marBottom w:val="0"/>
              <w:divBdr>
                <w:top w:val="none" w:sz="0" w:space="0" w:color="auto"/>
                <w:left w:val="none" w:sz="0" w:space="0" w:color="auto"/>
                <w:bottom w:val="none" w:sz="0" w:space="0" w:color="auto"/>
                <w:right w:val="none" w:sz="0" w:space="0" w:color="auto"/>
              </w:divBdr>
            </w:div>
          </w:divsChild>
        </w:div>
        <w:div w:id="1831407664">
          <w:marLeft w:val="0"/>
          <w:marRight w:val="0"/>
          <w:marTop w:val="0"/>
          <w:marBottom w:val="0"/>
          <w:divBdr>
            <w:top w:val="none" w:sz="0" w:space="0" w:color="auto"/>
            <w:left w:val="none" w:sz="0" w:space="0" w:color="auto"/>
            <w:bottom w:val="none" w:sz="0" w:space="0" w:color="auto"/>
            <w:right w:val="none" w:sz="0" w:space="0" w:color="auto"/>
          </w:divBdr>
          <w:divsChild>
            <w:div w:id="92021378">
              <w:marLeft w:val="0"/>
              <w:marRight w:val="0"/>
              <w:marTop w:val="0"/>
              <w:marBottom w:val="0"/>
              <w:divBdr>
                <w:top w:val="none" w:sz="0" w:space="0" w:color="auto"/>
                <w:left w:val="none" w:sz="0" w:space="0" w:color="auto"/>
                <w:bottom w:val="none" w:sz="0" w:space="0" w:color="auto"/>
                <w:right w:val="none" w:sz="0" w:space="0" w:color="auto"/>
              </w:divBdr>
            </w:div>
          </w:divsChild>
        </w:div>
        <w:div w:id="871454856">
          <w:marLeft w:val="0"/>
          <w:marRight w:val="0"/>
          <w:marTop w:val="0"/>
          <w:marBottom w:val="0"/>
          <w:divBdr>
            <w:top w:val="none" w:sz="0" w:space="0" w:color="auto"/>
            <w:left w:val="none" w:sz="0" w:space="0" w:color="auto"/>
            <w:bottom w:val="none" w:sz="0" w:space="0" w:color="auto"/>
            <w:right w:val="none" w:sz="0" w:space="0" w:color="auto"/>
          </w:divBdr>
          <w:divsChild>
            <w:div w:id="298850243">
              <w:marLeft w:val="0"/>
              <w:marRight w:val="0"/>
              <w:marTop w:val="0"/>
              <w:marBottom w:val="0"/>
              <w:divBdr>
                <w:top w:val="none" w:sz="0" w:space="0" w:color="auto"/>
                <w:left w:val="none" w:sz="0" w:space="0" w:color="auto"/>
                <w:bottom w:val="none" w:sz="0" w:space="0" w:color="auto"/>
                <w:right w:val="none" w:sz="0" w:space="0" w:color="auto"/>
              </w:divBdr>
            </w:div>
          </w:divsChild>
        </w:div>
        <w:div w:id="406459641">
          <w:marLeft w:val="0"/>
          <w:marRight w:val="0"/>
          <w:marTop w:val="0"/>
          <w:marBottom w:val="0"/>
          <w:divBdr>
            <w:top w:val="none" w:sz="0" w:space="0" w:color="auto"/>
            <w:left w:val="none" w:sz="0" w:space="0" w:color="auto"/>
            <w:bottom w:val="none" w:sz="0" w:space="0" w:color="auto"/>
            <w:right w:val="none" w:sz="0" w:space="0" w:color="auto"/>
          </w:divBdr>
          <w:divsChild>
            <w:div w:id="14694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44781">
      <w:bodyDiv w:val="1"/>
      <w:marLeft w:val="0"/>
      <w:marRight w:val="0"/>
      <w:marTop w:val="0"/>
      <w:marBottom w:val="0"/>
      <w:divBdr>
        <w:top w:val="none" w:sz="0" w:space="0" w:color="auto"/>
        <w:left w:val="none" w:sz="0" w:space="0" w:color="auto"/>
        <w:bottom w:val="none" w:sz="0" w:space="0" w:color="auto"/>
        <w:right w:val="none" w:sz="0" w:space="0" w:color="auto"/>
      </w:divBdr>
      <w:divsChild>
        <w:div w:id="172309106">
          <w:marLeft w:val="0"/>
          <w:marRight w:val="0"/>
          <w:marTop w:val="0"/>
          <w:marBottom w:val="0"/>
          <w:divBdr>
            <w:top w:val="none" w:sz="0" w:space="0" w:color="auto"/>
            <w:left w:val="none" w:sz="0" w:space="0" w:color="auto"/>
            <w:bottom w:val="none" w:sz="0" w:space="0" w:color="auto"/>
            <w:right w:val="none" w:sz="0" w:space="0" w:color="auto"/>
          </w:divBdr>
          <w:divsChild>
            <w:div w:id="955982273">
              <w:marLeft w:val="0"/>
              <w:marRight w:val="0"/>
              <w:marTop w:val="0"/>
              <w:marBottom w:val="0"/>
              <w:divBdr>
                <w:top w:val="none" w:sz="0" w:space="0" w:color="auto"/>
                <w:left w:val="none" w:sz="0" w:space="0" w:color="auto"/>
                <w:bottom w:val="none" w:sz="0" w:space="0" w:color="auto"/>
                <w:right w:val="none" w:sz="0" w:space="0" w:color="auto"/>
              </w:divBdr>
              <w:divsChild>
                <w:div w:id="1294210424">
                  <w:marLeft w:val="0"/>
                  <w:marRight w:val="0"/>
                  <w:marTop w:val="0"/>
                  <w:marBottom w:val="0"/>
                  <w:divBdr>
                    <w:top w:val="none" w:sz="0" w:space="0" w:color="auto"/>
                    <w:left w:val="none" w:sz="0" w:space="0" w:color="auto"/>
                    <w:bottom w:val="none" w:sz="0" w:space="0" w:color="auto"/>
                    <w:right w:val="none" w:sz="0" w:space="0" w:color="auto"/>
                  </w:divBdr>
                  <w:divsChild>
                    <w:div w:id="139719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795190">
      <w:bodyDiv w:val="1"/>
      <w:marLeft w:val="0"/>
      <w:marRight w:val="0"/>
      <w:marTop w:val="0"/>
      <w:marBottom w:val="0"/>
      <w:divBdr>
        <w:top w:val="none" w:sz="0" w:space="0" w:color="auto"/>
        <w:left w:val="none" w:sz="0" w:space="0" w:color="auto"/>
        <w:bottom w:val="none" w:sz="0" w:space="0" w:color="auto"/>
        <w:right w:val="none" w:sz="0" w:space="0" w:color="auto"/>
      </w:divBdr>
      <w:divsChild>
        <w:div w:id="1037462300">
          <w:marLeft w:val="0"/>
          <w:marRight w:val="0"/>
          <w:marTop w:val="0"/>
          <w:marBottom w:val="0"/>
          <w:divBdr>
            <w:top w:val="none" w:sz="0" w:space="0" w:color="auto"/>
            <w:left w:val="none" w:sz="0" w:space="0" w:color="auto"/>
            <w:bottom w:val="none" w:sz="0" w:space="0" w:color="auto"/>
            <w:right w:val="none" w:sz="0" w:space="0" w:color="auto"/>
          </w:divBdr>
          <w:divsChild>
            <w:div w:id="1966495515">
              <w:marLeft w:val="0"/>
              <w:marRight w:val="0"/>
              <w:marTop w:val="0"/>
              <w:marBottom w:val="0"/>
              <w:divBdr>
                <w:top w:val="none" w:sz="0" w:space="0" w:color="auto"/>
                <w:left w:val="none" w:sz="0" w:space="0" w:color="auto"/>
                <w:bottom w:val="none" w:sz="0" w:space="0" w:color="auto"/>
                <w:right w:val="none" w:sz="0" w:space="0" w:color="auto"/>
              </w:divBdr>
              <w:divsChild>
                <w:div w:id="1941795624">
                  <w:marLeft w:val="0"/>
                  <w:marRight w:val="0"/>
                  <w:marTop w:val="0"/>
                  <w:marBottom w:val="0"/>
                  <w:divBdr>
                    <w:top w:val="none" w:sz="0" w:space="0" w:color="auto"/>
                    <w:left w:val="none" w:sz="0" w:space="0" w:color="auto"/>
                    <w:bottom w:val="none" w:sz="0" w:space="0" w:color="auto"/>
                    <w:right w:val="none" w:sz="0" w:space="0" w:color="auto"/>
                  </w:divBdr>
                </w:div>
              </w:divsChild>
            </w:div>
            <w:div w:id="2002812695">
              <w:marLeft w:val="0"/>
              <w:marRight w:val="0"/>
              <w:marTop w:val="0"/>
              <w:marBottom w:val="0"/>
              <w:divBdr>
                <w:top w:val="none" w:sz="0" w:space="0" w:color="auto"/>
                <w:left w:val="none" w:sz="0" w:space="0" w:color="auto"/>
                <w:bottom w:val="none" w:sz="0" w:space="0" w:color="auto"/>
                <w:right w:val="none" w:sz="0" w:space="0" w:color="auto"/>
              </w:divBdr>
              <w:divsChild>
                <w:div w:id="145078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09190">
          <w:marLeft w:val="0"/>
          <w:marRight w:val="0"/>
          <w:marTop w:val="0"/>
          <w:marBottom w:val="0"/>
          <w:divBdr>
            <w:top w:val="none" w:sz="0" w:space="0" w:color="auto"/>
            <w:left w:val="none" w:sz="0" w:space="0" w:color="auto"/>
            <w:bottom w:val="none" w:sz="0" w:space="0" w:color="auto"/>
            <w:right w:val="none" w:sz="0" w:space="0" w:color="auto"/>
          </w:divBdr>
          <w:divsChild>
            <w:div w:id="231354582">
              <w:marLeft w:val="0"/>
              <w:marRight w:val="0"/>
              <w:marTop w:val="0"/>
              <w:marBottom w:val="0"/>
              <w:divBdr>
                <w:top w:val="none" w:sz="0" w:space="0" w:color="auto"/>
                <w:left w:val="none" w:sz="0" w:space="0" w:color="auto"/>
                <w:bottom w:val="none" w:sz="0" w:space="0" w:color="auto"/>
                <w:right w:val="none" w:sz="0" w:space="0" w:color="auto"/>
              </w:divBdr>
              <w:divsChild>
                <w:div w:id="118089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78261">
      <w:bodyDiv w:val="1"/>
      <w:marLeft w:val="0"/>
      <w:marRight w:val="0"/>
      <w:marTop w:val="0"/>
      <w:marBottom w:val="0"/>
      <w:divBdr>
        <w:top w:val="none" w:sz="0" w:space="0" w:color="auto"/>
        <w:left w:val="none" w:sz="0" w:space="0" w:color="auto"/>
        <w:bottom w:val="none" w:sz="0" w:space="0" w:color="auto"/>
        <w:right w:val="none" w:sz="0" w:space="0" w:color="auto"/>
      </w:divBdr>
    </w:div>
    <w:div w:id="864094601">
      <w:bodyDiv w:val="1"/>
      <w:marLeft w:val="0"/>
      <w:marRight w:val="0"/>
      <w:marTop w:val="0"/>
      <w:marBottom w:val="0"/>
      <w:divBdr>
        <w:top w:val="none" w:sz="0" w:space="0" w:color="auto"/>
        <w:left w:val="none" w:sz="0" w:space="0" w:color="auto"/>
        <w:bottom w:val="none" w:sz="0" w:space="0" w:color="auto"/>
        <w:right w:val="none" w:sz="0" w:space="0" w:color="auto"/>
      </w:divBdr>
    </w:div>
    <w:div w:id="873619766">
      <w:bodyDiv w:val="1"/>
      <w:marLeft w:val="0"/>
      <w:marRight w:val="0"/>
      <w:marTop w:val="0"/>
      <w:marBottom w:val="0"/>
      <w:divBdr>
        <w:top w:val="none" w:sz="0" w:space="0" w:color="auto"/>
        <w:left w:val="none" w:sz="0" w:space="0" w:color="auto"/>
        <w:bottom w:val="none" w:sz="0" w:space="0" w:color="auto"/>
        <w:right w:val="none" w:sz="0" w:space="0" w:color="auto"/>
      </w:divBdr>
    </w:div>
    <w:div w:id="947156291">
      <w:bodyDiv w:val="1"/>
      <w:marLeft w:val="0"/>
      <w:marRight w:val="0"/>
      <w:marTop w:val="0"/>
      <w:marBottom w:val="0"/>
      <w:divBdr>
        <w:top w:val="none" w:sz="0" w:space="0" w:color="auto"/>
        <w:left w:val="none" w:sz="0" w:space="0" w:color="auto"/>
        <w:bottom w:val="none" w:sz="0" w:space="0" w:color="auto"/>
        <w:right w:val="none" w:sz="0" w:space="0" w:color="auto"/>
      </w:divBdr>
      <w:divsChild>
        <w:div w:id="45952949">
          <w:marLeft w:val="0"/>
          <w:marRight w:val="0"/>
          <w:marTop w:val="0"/>
          <w:marBottom w:val="0"/>
          <w:divBdr>
            <w:top w:val="none" w:sz="0" w:space="0" w:color="auto"/>
            <w:left w:val="none" w:sz="0" w:space="0" w:color="auto"/>
            <w:bottom w:val="none" w:sz="0" w:space="0" w:color="auto"/>
            <w:right w:val="none" w:sz="0" w:space="0" w:color="auto"/>
          </w:divBdr>
          <w:divsChild>
            <w:div w:id="2073966262">
              <w:marLeft w:val="0"/>
              <w:marRight w:val="0"/>
              <w:marTop w:val="0"/>
              <w:marBottom w:val="0"/>
              <w:divBdr>
                <w:top w:val="none" w:sz="0" w:space="0" w:color="auto"/>
                <w:left w:val="none" w:sz="0" w:space="0" w:color="auto"/>
                <w:bottom w:val="none" w:sz="0" w:space="0" w:color="auto"/>
                <w:right w:val="none" w:sz="0" w:space="0" w:color="auto"/>
              </w:divBdr>
              <w:divsChild>
                <w:div w:id="1785810979">
                  <w:marLeft w:val="0"/>
                  <w:marRight w:val="0"/>
                  <w:marTop w:val="0"/>
                  <w:marBottom w:val="0"/>
                  <w:divBdr>
                    <w:top w:val="none" w:sz="0" w:space="0" w:color="auto"/>
                    <w:left w:val="none" w:sz="0" w:space="0" w:color="auto"/>
                    <w:bottom w:val="none" w:sz="0" w:space="0" w:color="auto"/>
                    <w:right w:val="none" w:sz="0" w:space="0" w:color="auto"/>
                  </w:divBdr>
                  <w:divsChild>
                    <w:div w:id="124429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551495">
      <w:bodyDiv w:val="1"/>
      <w:marLeft w:val="0"/>
      <w:marRight w:val="0"/>
      <w:marTop w:val="0"/>
      <w:marBottom w:val="0"/>
      <w:divBdr>
        <w:top w:val="none" w:sz="0" w:space="0" w:color="auto"/>
        <w:left w:val="none" w:sz="0" w:space="0" w:color="auto"/>
        <w:bottom w:val="none" w:sz="0" w:space="0" w:color="auto"/>
        <w:right w:val="none" w:sz="0" w:space="0" w:color="auto"/>
      </w:divBdr>
      <w:divsChild>
        <w:div w:id="1750498741">
          <w:marLeft w:val="0"/>
          <w:marRight w:val="0"/>
          <w:marTop w:val="0"/>
          <w:marBottom w:val="0"/>
          <w:divBdr>
            <w:top w:val="none" w:sz="0" w:space="0" w:color="auto"/>
            <w:left w:val="none" w:sz="0" w:space="0" w:color="auto"/>
            <w:bottom w:val="none" w:sz="0" w:space="0" w:color="auto"/>
            <w:right w:val="none" w:sz="0" w:space="0" w:color="auto"/>
          </w:divBdr>
          <w:divsChild>
            <w:div w:id="1834905844">
              <w:marLeft w:val="0"/>
              <w:marRight w:val="0"/>
              <w:marTop w:val="0"/>
              <w:marBottom w:val="0"/>
              <w:divBdr>
                <w:top w:val="none" w:sz="0" w:space="0" w:color="auto"/>
                <w:left w:val="none" w:sz="0" w:space="0" w:color="auto"/>
                <w:bottom w:val="none" w:sz="0" w:space="0" w:color="auto"/>
                <w:right w:val="none" w:sz="0" w:space="0" w:color="auto"/>
              </w:divBdr>
              <w:divsChild>
                <w:div w:id="159832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11234">
      <w:bodyDiv w:val="1"/>
      <w:marLeft w:val="0"/>
      <w:marRight w:val="0"/>
      <w:marTop w:val="0"/>
      <w:marBottom w:val="0"/>
      <w:divBdr>
        <w:top w:val="none" w:sz="0" w:space="0" w:color="auto"/>
        <w:left w:val="none" w:sz="0" w:space="0" w:color="auto"/>
        <w:bottom w:val="none" w:sz="0" w:space="0" w:color="auto"/>
        <w:right w:val="none" w:sz="0" w:space="0" w:color="auto"/>
      </w:divBdr>
      <w:divsChild>
        <w:div w:id="609823228">
          <w:marLeft w:val="0"/>
          <w:marRight w:val="0"/>
          <w:marTop w:val="0"/>
          <w:marBottom w:val="0"/>
          <w:divBdr>
            <w:top w:val="none" w:sz="0" w:space="0" w:color="auto"/>
            <w:left w:val="none" w:sz="0" w:space="0" w:color="auto"/>
            <w:bottom w:val="none" w:sz="0" w:space="0" w:color="auto"/>
            <w:right w:val="none" w:sz="0" w:space="0" w:color="auto"/>
          </w:divBdr>
          <w:divsChild>
            <w:div w:id="722366376">
              <w:marLeft w:val="0"/>
              <w:marRight w:val="0"/>
              <w:marTop w:val="0"/>
              <w:marBottom w:val="0"/>
              <w:divBdr>
                <w:top w:val="none" w:sz="0" w:space="0" w:color="auto"/>
                <w:left w:val="none" w:sz="0" w:space="0" w:color="auto"/>
                <w:bottom w:val="none" w:sz="0" w:space="0" w:color="auto"/>
                <w:right w:val="none" w:sz="0" w:space="0" w:color="auto"/>
              </w:divBdr>
              <w:divsChild>
                <w:div w:id="25062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416082">
      <w:bodyDiv w:val="1"/>
      <w:marLeft w:val="0"/>
      <w:marRight w:val="0"/>
      <w:marTop w:val="0"/>
      <w:marBottom w:val="0"/>
      <w:divBdr>
        <w:top w:val="none" w:sz="0" w:space="0" w:color="auto"/>
        <w:left w:val="none" w:sz="0" w:space="0" w:color="auto"/>
        <w:bottom w:val="none" w:sz="0" w:space="0" w:color="auto"/>
        <w:right w:val="none" w:sz="0" w:space="0" w:color="auto"/>
      </w:divBdr>
    </w:div>
    <w:div w:id="1068654948">
      <w:bodyDiv w:val="1"/>
      <w:marLeft w:val="0"/>
      <w:marRight w:val="0"/>
      <w:marTop w:val="0"/>
      <w:marBottom w:val="0"/>
      <w:divBdr>
        <w:top w:val="none" w:sz="0" w:space="0" w:color="auto"/>
        <w:left w:val="none" w:sz="0" w:space="0" w:color="auto"/>
        <w:bottom w:val="none" w:sz="0" w:space="0" w:color="auto"/>
        <w:right w:val="none" w:sz="0" w:space="0" w:color="auto"/>
      </w:divBdr>
      <w:divsChild>
        <w:div w:id="948857982">
          <w:marLeft w:val="0"/>
          <w:marRight w:val="0"/>
          <w:marTop w:val="0"/>
          <w:marBottom w:val="0"/>
          <w:divBdr>
            <w:top w:val="none" w:sz="0" w:space="0" w:color="auto"/>
            <w:left w:val="none" w:sz="0" w:space="0" w:color="auto"/>
            <w:bottom w:val="none" w:sz="0" w:space="0" w:color="auto"/>
            <w:right w:val="none" w:sz="0" w:space="0" w:color="auto"/>
          </w:divBdr>
          <w:divsChild>
            <w:div w:id="1271932989">
              <w:marLeft w:val="0"/>
              <w:marRight w:val="0"/>
              <w:marTop w:val="0"/>
              <w:marBottom w:val="0"/>
              <w:divBdr>
                <w:top w:val="none" w:sz="0" w:space="0" w:color="auto"/>
                <w:left w:val="none" w:sz="0" w:space="0" w:color="auto"/>
                <w:bottom w:val="none" w:sz="0" w:space="0" w:color="auto"/>
                <w:right w:val="none" w:sz="0" w:space="0" w:color="auto"/>
              </w:divBdr>
              <w:divsChild>
                <w:div w:id="466556154">
                  <w:marLeft w:val="0"/>
                  <w:marRight w:val="0"/>
                  <w:marTop w:val="0"/>
                  <w:marBottom w:val="0"/>
                  <w:divBdr>
                    <w:top w:val="none" w:sz="0" w:space="0" w:color="auto"/>
                    <w:left w:val="none" w:sz="0" w:space="0" w:color="auto"/>
                    <w:bottom w:val="none" w:sz="0" w:space="0" w:color="auto"/>
                    <w:right w:val="none" w:sz="0" w:space="0" w:color="auto"/>
                  </w:divBdr>
                  <w:divsChild>
                    <w:div w:id="15611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238402">
      <w:bodyDiv w:val="1"/>
      <w:marLeft w:val="0"/>
      <w:marRight w:val="0"/>
      <w:marTop w:val="0"/>
      <w:marBottom w:val="0"/>
      <w:divBdr>
        <w:top w:val="none" w:sz="0" w:space="0" w:color="auto"/>
        <w:left w:val="none" w:sz="0" w:space="0" w:color="auto"/>
        <w:bottom w:val="none" w:sz="0" w:space="0" w:color="auto"/>
        <w:right w:val="none" w:sz="0" w:space="0" w:color="auto"/>
      </w:divBdr>
      <w:divsChild>
        <w:div w:id="764886706">
          <w:marLeft w:val="0"/>
          <w:marRight w:val="0"/>
          <w:marTop w:val="0"/>
          <w:marBottom w:val="0"/>
          <w:divBdr>
            <w:top w:val="none" w:sz="0" w:space="0" w:color="auto"/>
            <w:left w:val="none" w:sz="0" w:space="0" w:color="auto"/>
            <w:bottom w:val="none" w:sz="0" w:space="0" w:color="auto"/>
            <w:right w:val="none" w:sz="0" w:space="0" w:color="auto"/>
          </w:divBdr>
          <w:divsChild>
            <w:div w:id="686948650">
              <w:marLeft w:val="0"/>
              <w:marRight w:val="0"/>
              <w:marTop w:val="0"/>
              <w:marBottom w:val="0"/>
              <w:divBdr>
                <w:top w:val="none" w:sz="0" w:space="0" w:color="auto"/>
                <w:left w:val="none" w:sz="0" w:space="0" w:color="auto"/>
                <w:bottom w:val="none" w:sz="0" w:space="0" w:color="auto"/>
                <w:right w:val="none" w:sz="0" w:space="0" w:color="auto"/>
              </w:divBdr>
              <w:divsChild>
                <w:div w:id="3272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788840">
      <w:bodyDiv w:val="1"/>
      <w:marLeft w:val="0"/>
      <w:marRight w:val="0"/>
      <w:marTop w:val="0"/>
      <w:marBottom w:val="0"/>
      <w:divBdr>
        <w:top w:val="none" w:sz="0" w:space="0" w:color="auto"/>
        <w:left w:val="none" w:sz="0" w:space="0" w:color="auto"/>
        <w:bottom w:val="none" w:sz="0" w:space="0" w:color="auto"/>
        <w:right w:val="none" w:sz="0" w:space="0" w:color="auto"/>
      </w:divBdr>
    </w:div>
    <w:div w:id="1124888971">
      <w:bodyDiv w:val="1"/>
      <w:marLeft w:val="0"/>
      <w:marRight w:val="0"/>
      <w:marTop w:val="0"/>
      <w:marBottom w:val="0"/>
      <w:divBdr>
        <w:top w:val="none" w:sz="0" w:space="0" w:color="auto"/>
        <w:left w:val="none" w:sz="0" w:space="0" w:color="auto"/>
        <w:bottom w:val="none" w:sz="0" w:space="0" w:color="auto"/>
        <w:right w:val="none" w:sz="0" w:space="0" w:color="auto"/>
      </w:divBdr>
      <w:divsChild>
        <w:div w:id="581111761">
          <w:marLeft w:val="0"/>
          <w:marRight w:val="0"/>
          <w:marTop w:val="0"/>
          <w:marBottom w:val="0"/>
          <w:divBdr>
            <w:top w:val="none" w:sz="0" w:space="0" w:color="auto"/>
            <w:left w:val="none" w:sz="0" w:space="0" w:color="auto"/>
            <w:bottom w:val="none" w:sz="0" w:space="0" w:color="auto"/>
            <w:right w:val="none" w:sz="0" w:space="0" w:color="auto"/>
          </w:divBdr>
        </w:div>
      </w:divsChild>
    </w:div>
    <w:div w:id="1136797363">
      <w:bodyDiv w:val="1"/>
      <w:marLeft w:val="0"/>
      <w:marRight w:val="0"/>
      <w:marTop w:val="0"/>
      <w:marBottom w:val="0"/>
      <w:divBdr>
        <w:top w:val="none" w:sz="0" w:space="0" w:color="auto"/>
        <w:left w:val="none" w:sz="0" w:space="0" w:color="auto"/>
        <w:bottom w:val="none" w:sz="0" w:space="0" w:color="auto"/>
        <w:right w:val="none" w:sz="0" w:space="0" w:color="auto"/>
      </w:divBdr>
      <w:divsChild>
        <w:div w:id="201721438">
          <w:marLeft w:val="0"/>
          <w:marRight w:val="0"/>
          <w:marTop w:val="0"/>
          <w:marBottom w:val="0"/>
          <w:divBdr>
            <w:top w:val="none" w:sz="0" w:space="0" w:color="auto"/>
            <w:left w:val="none" w:sz="0" w:space="0" w:color="auto"/>
            <w:bottom w:val="none" w:sz="0" w:space="0" w:color="auto"/>
            <w:right w:val="none" w:sz="0" w:space="0" w:color="auto"/>
          </w:divBdr>
          <w:divsChild>
            <w:div w:id="1914270478">
              <w:marLeft w:val="0"/>
              <w:marRight w:val="0"/>
              <w:marTop w:val="0"/>
              <w:marBottom w:val="0"/>
              <w:divBdr>
                <w:top w:val="none" w:sz="0" w:space="0" w:color="auto"/>
                <w:left w:val="none" w:sz="0" w:space="0" w:color="auto"/>
                <w:bottom w:val="none" w:sz="0" w:space="0" w:color="auto"/>
                <w:right w:val="none" w:sz="0" w:space="0" w:color="auto"/>
              </w:divBdr>
              <w:divsChild>
                <w:div w:id="171114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39812">
      <w:bodyDiv w:val="1"/>
      <w:marLeft w:val="0"/>
      <w:marRight w:val="0"/>
      <w:marTop w:val="0"/>
      <w:marBottom w:val="0"/>
      <w:divBdr>
        <w:top w:val="none" w:sz="0" w:space="0" w:color="auto"/>
        <w:left w:val="none" w:sz="0" w:space="0" w:color="auto"/>
        <w:bottom w:val="none" w:sz="0" w:space="0" w:color="auto"/>
        <w:right w:val="none" w:sz="0" w:space="0" w:color="auto"/>
      </w:divBdr>
    </w:div>
    <w:div w:id="1280449132">
      <w:bodyDiv w:val="1"/>
      <w:marLeft w:val="0"/>
      <w:marRight w:val="0"/>
      <w:marTop w:val="0"/>
      <w:marBottom w:val="0"/>
      <w:divBdr>
        <w:top w:val="none" w:sz="0" w:space="0" w:color="auto"/>
        <w:left w:val="none" w:sz="0" w:space="0" w:color="auto"/>
        <w:bottom w:val="none" w:sz="0" w:space="0" w:color="auto"/>
        <w:right w:val="none" w:sz="0" w:space="0" w:color="auto"/>
      </w:divBdr>
      <w:divsChild>
        <w:div w:id="1663002530">
          <w:marLeft w:val="0"/>
          <w:marRight w:val="0"/>
          <w:marTop w:val="0"/>
          <w:marBottom w:val="0"/>
          <w:divBdr>
            <w:top w:val="none" w:sz="0" w:space="0" w:color="auto"/>
            <w:left w:val="none" w:sz="0" w:space="0" w:color="auto"/>
            <w:bottom w:val="none" w:sz="0" w:space="0" w:color="auto"/>
            <w:right w:val="none" w:sz="0" w:space="0" w:color="auto"/>
          </w:divBdr>
          <w:divsChild>
            <w:div w:id="1229194049">
              <w:marLeft w:val="0"/>
              <w:marRight w:val="0"/>
              <w:marTop w:val="0"/>
              <w:marBottom w:val="0"/>
              <w:divBdr>
                <w:top w:val="none" w:sz="0" w:space="0" w:color="auto"/>
                <w:left w:val="none" w:sz="0" w:space="0" w:color="auto"/>
                <w:bottom w:val="none" w:sz="0" w:space="0" w:color="auto"/>
                <w:right w:val="none" w:sz="0" w:space="0" w:color="auto"/>
              </w:divBdr>
              <w:divsChild>
                <w:div w:id="58322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2156">
      <w:bodyDiv w:val="1"/>
      <w:marLeft w:val="0"/>
      <w:marRight w:val="0"/>
      <w:marTop w:val="0"/>
      <w:marBottom w:val="0"/>
      <w:divBdr>
        <w:top w:val="none" w:sz="0" w:space="0" w:color="auto"/>
        <w:left w:val="none" w:sz="0" w:space="0" w:color="auto"/>
        <w:bottom w:val="none" w:sz="0" w:space="0" w:color="auto"/>
        <w:right w:val="none" w:sz="0" w:space="0" w:color="auto"/>
      </w:divBdr>
    </w:div>
    <w:div w:id="1392077583">
      <w:bodyDiv w:val="1"/>
      <w:marLeft w:val="0"/>
      <w:marRight w:val="0"/>
      <w:marTop w:val="0"/>
      <w:marBottom w:val="0"/>
      <w:divBdr>
        <w:top w:val="none" w:sz="0" w:space="0" w:color="auto"/>
        <w:left w:val="none" w:sz="0" w:space="0" w:color="auto"/>
        <w:bottom w:val="none" w:sz="0" w:space="0" w:color="auto"/>
        <w:right w:val="none" w:sz="0" w:space="0" w:color="auto"/>
      </w:divBdr>
      <w:divsChild>
        <w:div w:id="2113165253">
          <w:marLeft w:val="0"/>
          <w:marRight w:val="0"/>
          <w:marTop w:val="0"/>
          <w:marBottom w:val="0"/>
          <w:divBdr>
            <w:top w:val="none" w:sz="0" w:space="0" w:color="auto"/>
            <w:left w:val="none" w:sz="0" w:space="0" w:color="auto"/>
            <w:bottom w:val="none" w:sz="0" w:space="0" w:color="auto"/>
            <w:right w:val="none" w:sz="0" w:space="0" w:color="auto"/>
          </w:divBdr>
          <w:divsChild>
            <w:div w:id="1860654710">
              <w:marLeft w:val="0"/>
              <w:marRight w:val="0"/>
              <w:marTop w:val="0"/>
              <w:marBottom w:val="0"/>
              <w:divBdr>
                <w:top w:val="none" w:sz="0" w:space="0" w:color="auto"/>
                <w:left w:val="none" w:sz="0" w:space="0" w:color="auto"/>
                <w:bottom w:val="none" w:sz="0" w:space="0" w:color="auto"/>
                <w:right w:val="none" w:sz="0" w:space="0" w:color="auto"/>
              </w:divBdr>
              <w:divsChild>
                <w:div w:id="327290016">
                  <w:marLeft w:val="0"/>
                  <w:marRight w:val="0"/>
                  <w:marTop w:val="0"/>
                  <w:marBottom w:val="0"/>
                  <w:divBdr>
                    <w:top w:val="none" w:sz="0" w:space="0" w:color="auto"/>
                    <w:left w:val="none" w:sz="0" w:space="0" w:color="auto"/>
                    <w:bottom w:val="none" w:sz="0" w:space="0" w:color="auto"/>
                    <w:right w:val="none" w:sz="0" w:space="0" w:color="auto"/>
                  </w:divBdr>
                  <w:divsChild>
                    <w:div w:id="9876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580545">
      <w:bodyDiv w:val="1"/>
      <w:marLeft w:val="0"/>
      <w:marRight w:val="0"/>
      <w:marTop w:val="0"/>
      <w:marBottom w:val="0"/>
      <w:divBdr>
        <w:top w:val="none" w:sz="0" w:space="0" w:color="auto"/>
        <w:left w:val="none" w:sz="0" w:space="0" w:color="auto"/>
        <w:bottom w:val="none" w:sz="0" w:space="0" w:color="auto"/>
        <w:right w:val="none" w:sz="0" w:space="0" w:color="auto"/>
      </w:divBdr>
      <w:divsChild>
        <w:div w:id="304050750">
          <w:marLeft w:val="0"/>
          <w:marRight w:val="0"/>
          <w:marTop w:val="0"/>
          <w:marBottom w:val="0"/>
          <w:divBdr>
            <w:top w:val="none" w:sz="0" w:space="0" w:color="auto"/>
            <w:left w:val="none" w:sz="0" w:space="0" w:color="auto"/>
            <w:bottom w:val="none" w:sz="0" w:space="0" w:color="auto"/>
            <w:right w:val="none" w:sz="0" w:space="0" w:color="auto"/>
          </w:divBdr>
          <w:divsChild>
            <w:div w:id="696587279">
              <w:marLeft w:val="0"/>
              <w:marRight w:val="0"/>
              <w:marTop w:val="0"/>
              <w:marBottom w:val="0"/>
              <w:divBdr>
                <w:top w:val="none" w:sz="0" w:space="0" w:color="auto"/>
                <w:left w:val="none" w:sz="0" w:space="0" w:color="auto"/>
                <w:bottom w:val="none" w:sz="0" w:space="0" w:color="auto"/>
                <w:right w:val="none" w:sz="0" w:space="0" w:color="auto"/>
              </w:divBdr>
              <w:divsChild>
                <w:div w:id="64161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471207">
      <w:bodyDiv w:val="1"/>
      <w:marLeft w:val="0"/>
      <w:marRight w:val="0"/>
      <w:marTop w:val="0"/>
      <w:marBottom w:val="0"/>
      <w:divBdr>
        <w:top w:val="none" w:sz="0" w:space="0" w:color="auto"/>
        <w:left w:val="none" w:sz="0" w:space="0" w:color="auto"/>
        <w:bottom w:val="none" w:sz="0" w:space="0" w:color="auto"/>
        <w:right w:val="none" w:sz="0" w:space="0" w:color="auto"/>
      </w:divBdr>
      <w:divsChild>
        <w:div w:id="1813987004">
          <w:marLeft w:val="0"/>
          <w:marRight w:val="0"/>
          <w:marTop w:val="0"/>
          <w:marBottom w:val="0"/>
          <w:divBdr>
            <w:top w:val="none" w:sz="0" w:space="0" w:color="auto"/>
            <w:left w:val="none" w:sz="0" w:space="0" w:color="auto"/>
            <w:bottom w:val="none" w:sz="0" w:space="0" w:color="auto"/>
            <w:right w:val="none" w:sz="0" w:space="0" w:color="auto"/>
          </w:divBdr>
          <w:divsChild>
            <w:div w:id="1717969211">
              <w:marLeft w:val="0"/>
              <w:marRight w:val="0"/>
              <w:marTop w:val="0"/>
              <w:marBottom w:val="0"/>
              <w:divBdr>
                <w:top w:val="none" w:sz="0" w:space="0" w:color="auto"/>
                <w:left w:val="none" w:sz="0" w:space="0" w:color="auto"/>
                <w:bottom w:val="none" w:sz="0" w:space="0" w:color="auto"/>
                <w:right w:val="none" w:sz="0" w:space="0" w:color="auto"/>
              </w:divBdr>
              <w:divsChild>
                <w:div w:id="15829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93357">
      <w:bodyDiv w:val="1"/>
      <w:marLeft w:val="0"/>
      <w:marRight w:val="0"/>
      <w:marTop w:val="0"/>
      <w:marBottom w:val="0"/>
      <w:divBdr>
        <w:top w:val="none" w:sz="0" w:space="0" w:color="auto"/>
        <w:left w:val="none" w:sz="0" w:space="0" w:color="auto"/>
        <w:bottom w:val="none" w:sz="0" w:space="0" w:color="auto"/>
        <w:right w:val="none" w:sz="0" w:space="0" w:color="auto"/>
      </w:divBdr>
    </w:div>
    <w:div w:id="1631132485">
      <w:bodyDiv w:val="1"/>
      <w:marLeft w:val="0"/>
      <w:marRight w:val="0"/>
      <w:marTop w:val="0"/>
      <w:marBottom w:val="0"/>
      <w:divBdr>
        <w:top w:val="none" w:sz="0" w:space="0" w:color="auto"/>
        <w:left w:val="none" w:sz="0" w:space="0" w:color="auto"/>
        <w:bottom w:val="none" w:sz="0" w:space="0" w:color="auto"/>
        <w:right w:val="none" w:sz="0" w:space="0" w:color="auto"/>
      </w:divBdr>
      <w:divsChild>
        <w:div w:id="946155899">
          <w:marLeft w:val="0"/>
          <w:marRight w:val="0"/>
          <w:marTop w:val="0"/>
          <w:marBottom w:val="0"/>
          <w:divBdr>
            <w:top w:val="none" w:sz="0" w:space="0" w:color="auto"/>
            <w:left w:val="none" w:sz="0" w:space="0" w:color="auto"/>
            <w:bottom w:val="none" w:sz="0" w:space="0" w:color="auto"/>
            <w:right w:val="none" w:sz="0" w:space="0" w:color="auto"/>
          </w:divBdr>
          <w:divsChild>
            <w:div w:id="1836914247">
              <w:marLeft w:val="0"/>
              <w:marRight w:val="0"/>
              <w:marTop w:val="0"/>
              <w:marBottom w:val="0"/>
              <w:divBdr>
                <w:top w:val="none" w:sz="0" w:space="0" w:color="auto"/>
                <w:left w:val="none" w:sz="0" w:space="0" w:color="auto"/>
                <w:bottom w:val="none" w:sz="0" w:space="0" w:color="auto"/>
                <w:right w:val="none" w:sz="0" w:space="0" w:color="auto"/>
              </w:divBdr>
              <w:divsChild>
                <w:div w:id="19747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17306">
      <w:bodyDiv w:val="1"/>
      <w:marLeft w:val="0"/>
      <w:marRight w:val="0"/>
      <w:marTop w:val="0"/>
      <w:marBottom w:val="0"/>
      <w:divBdr>
        <w:top w:val="none" w:sz="0" w:space="0" w:color="auto"/>
        <w:left w:val="none" w:sz="0" w:space="0" w:color="auto"/>
        <w:bottom w:val="none" w:sz="0" w:space="0" w:color="auto"/>
        <w:right w:val="none" w:sz="0" w:space="0" w:color="auto"/>
      </w:divBdr>
      <w:divsChild>
        <w:div w:id="704520016">
          <w:marLeft w:val="0"/>
          <w:marRight w:val="0"/>
          <w:marTop w:val="0"/>
          <w:marBottom w:val="0"/>
          <w:divBdr>
            <w:top w:val="none" w:sz="0" w:space="0" w:color="auto"/>
            <w:left w:val="none" w:sz="0" w:space="0" w:color="auto"/>
            <w:bottom w:val="none" w:sz="0" w:space="0" w:color="auto"/>
            <w:right w:val="none" w:sz="0" w:space="0" w:color="auto"/>
          </w:divBdr>
          <w:divsChild>
            <w:div w:id="587616289">
              <w:marLeft w:val="0"/>
              <w:marRight w:val="0"/>
              <w:marTop w:val="0"/>
              <w:marBottom w:val="0"/>
              <w:divBdr>
                <w:top w:val="none" w:sz="0" w:space="0" w:color="auto"/>
                <w:left w:val="none" w:sz="0" w:space="0" w:color="auto"/>
                <w:bottom w:val="none" w:sz="0" w:space="0" w:color="auto"/>
                <w:right w:val="none" w:sz="0" w:space="0" w:color="auto"/>
              </w:divBdr>
              <w:divsChild>
                <w:div w:id="26361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794598">
      <w:bodyDiv w:val="1"/>
      <w:marLeft w:val="0"/>
      <w:marRight w:val="0"/>
      <w:marTop w:val="0"/>
      <w:marBottom w:val="0"/>
      <w:divBdr>
        <w:top w:val="none" w:sz="0" w:space="0" w:color="auto"/>
        <w:left w:val="none" w:sz="0" w:space="0" w:color="auto"/>
        <w:bottom w:val="none" w:sz="0" w:space="0" w:color="auto"/>
        <w:right w:val="none" w:sz="0" w:space="0" w:color="auto"/>
      </w:divBdr>
      <w:divsChild>
        <w:div w:id="2083477863">
          <w:marLeft w:val="0"/>
          <w:marRight w:val="0"/>
          <w:marTop w:val="0"/>
          <w:marBottom w:val="0"/>
          <w:divBdr>
            <w:top w:val="none" w:sz="0" w:space="0" w:color="auto"/>
            <w:left w:val="none" w:sz="0" w:space="0" w:color="auto"/>
            <w:bottom w:val="none" w:sz="0" w:space="0" w:color="auto"/>
            <w:right w:val="none" w:sz="0" w:space="0" w:color="auto"/>
          </w:divBdr>
          <w:divsChild>
            <w:div w:id="836531782">
              <w:marLeft w:val="0"/>
              <w:marRight w:val="0"/>
              <w:marTop w:val="0"/>
              <w:marBottom w:val="0"/>
              <w:divBdr>
                <w:top w:val="none" w:sz="0" w:space="0" w:color="auto"/>
                <w:left w:val="none" w:sz="0" w:space="0" w:color="auto"/>
                <w:bottom w:val="none" w:sz="0" w:space="0" w:color="auto"/>
                <w:right w:val="none" w:sz="0" w:space="0" w:color="auto"/>
              </w:divBdr>
            </w:div>
          </w:divsChild>
        </w:div>
        <w:div w:id="664941224">
          <w:marLeft w:val="0"/>
          <w:marRight w:val="0"/>
          <w:marTop w:val="0"/>
          <w:marBottom w:val="0"/>
          <w:divBdr>
            <w:top w:val="none" w:sz="0" w:space="0" w:color="auto"/>
            <w:left w:val="none" w:sz="0" w:space="0" w:color="auto"/>
            <w:bottom w:val="none" w:sz="0" w:space="0" w:color="auto"/>
            <w:right w:val="none" w:sz="0" w:space="0" w:color="auto"/>
          </w:divBdr>
          <w:divsChild>
            <w:div w:id="1855219713">
              <w:marLeft w:val="0"/>
              <w:marRight w:val="0"/>
              <w:marTop w:val="0"/>
              <w:marBottom w:val="0"/>
              <w:divBdr>
                <w:top w:val="none" w:sz="0" w:space="0" w:color="auto"/>
                <w:left w:val="none" w:sz="0" w:space="0" w:color="auto"/>
                <w:bottom w:val="none" w:sz="0" w:space="0" w:color="auto"/>
                <w:right w:val="none" w:sz="0" w:space="0" w:color="auto"/>
              </w:divBdr>
              <w:divsChild>
                <w:div w:id="185448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9771">
          <w:marLeft w:val="0"/>
          <w:marRight w:val="0"/>
          <w:marTop w:val="0"/>
          <w:marBottom w:val="0"/>
          <w:divBdr>
            <w:top w:val="none" w:sz="0" w:space="0" w:color="auto"/>
            <w:left w:val="none" w:sz="0" w:space="0" w:color="auto"/>
            <w:bottom w:val="none" w:sz="0" w:space="0" w:color="auto"/>
            <w:right w:val="none" w:sz="0" w:space="0" w:color="auto"/>
          </w:divBdr>
          <w:divsChild>
            <w:div w:id="1993170824">
              <w:marLeft w:val="0"/>
              <w:marRight w:val="0"/>
              <w:marTop w:val="0"/>
              <w:marBottom w:val="0"/>
              <w:divBdr>
                <w:top w:val="none" w:sz="0" w:space="0" w:color="auto"/>
                <w:left w:val="none" w:sz="0" w:space="0" w:color="auto"/>
                <w:bottom w:val="none" w:sz="0" w:space="0" w:color="auto"/>
                <w:right w:val="none" w:sz="0" w:space="0" w:color="auto"/>
              </w:divBdr>
              <w:divsChild>
                <w:div w:id="19875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792807">
          <w:marLeft w:val="0"/>
          <w:marRight w:val="0"/>
          <w:marTop w:val="0"/>
          <w:marBottom w:val="0"/>
          <w:divBdr>
            <w:top w:val="none" w:sz="0" w:space="0" w:color="auto"/>
            <w:left w:val="none" w:sz="0" w:space="0" w:color="auto"/>
            <w:bottom w:val="none" w:sz="0" w:space="0" w:color="auto"/>
            <w:right w:val="none" w:sz="0" w:space="0" w:color="auto"/>
          </w:divBdr>
          <w:divsChild>
            <w:div w:id="337661799">
              <w:marLeft w:val="0"/>
              <w:marRight w:val="0"/>
              <w:marTop w:val="0"/>
              <w:marBottom w:val="0"/>
              <w:divBdr>
                <w:top w:val="none" w:sz="0" w:space="0" w:color="auto"/>
                <w:left w:val="none" w:sz="0" w:space="0" w:color="auto"/>
                <w:bottom w:val="none" w:sz="0" w:space="0" w:color="auto"/>
                <w:right w:val="none" w:sz="0" w:space="0" w:color="auto"/>
              </w:divBdr>
              <w:divsChild>
                <w:div w:id="21091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06920">
          <w:marLeft w:val="0"/>
          <w:marRight w:val="0"/>
          <w:marTop w:val="0"/>
          <w:marBottom w:val="0"/>
          <w:divBdr>
            <w:top w:val="none" w:sz="0" w:space="0" w:color="auto"/>
            <w:left w:val="none" w:sz="0" w:space="0" w:color="auto"/>
            <w:bottom w:val="none" w:sz="0" w:space="0" w:color="auto"/>
            <w:right w:val="none" w:sz="0" w:space="0" w:color="auto"/>
          </w:divBdr>
          <w:divsChild>
            <w:div w:id="428279385">
              <w:marLeft w:val="0"/>
              <w:marRight w:val="0"/>
              <w:marTop w:val="0"/>
              <w:marBottom w:val="0"/>
              <w:divBdr>
                <w:top w:val="none" w:sz="0" w:space="0" w:color="auto"/>
                <w:left w:val="none" w:sz="0" w:space="0" w:color="auto"/>
                <w:bottom w:val="none" w:sz="0" w:space="0" w:color="auto"/>
                <w:right w:val="none" w:sz="0" w:space="0" w:color="auto"/>
              </w:divBdr>
              <w:divsChild>
                <w:div w:id="15600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653045">
      <w:bodyDiv w:val="1"/>
      <w:marLeft w:val="0"/>
      <w:marRight w:val="0"/>
      <w:marTop w:val="0"/>
      <w:marBottom w:val="0"/>
      <w:divBdr>
        <w:top w:val="none" w:sz="0" w:space="0" w:color="auto"/>
        <w:left w:val="none" w:sz="0" w:space="0" w:color="auto"/>
        <w:bottom w:val="none" w:sz="0" w:space="0" w:color="auto"/>
        <w:right w:val="none" w:sz="0" w:space="0" w:color="auto"/>
      </w:divBdr>
      <w:divsChild>
        <w:div w:id="1926844097">
          <w:marLeft w:val="0"/>
          <w:marRight w:val="0"/>
          <w:marTop w:val="0"/>
          <w:marBottom w:val="0"/>
          <w:divBdr>
            <w:top w:val="none" w:sz="0" w:space="0" w:color="auto"/>
            <w:left w:val="none" w:sz="0" w:space="0" w:color="auto"/>
            <w:bottom w:val="none" w:sz="0" w:space="0" w:color="auto"/>
            <w:right w:val="none" w:sz="0" w:space="0" w:color="auto"/>
          </w:divBdr>
          <w:divsChild>
            <w:div w:id="961225553">
              <w:marLeft w:val="0"/>
              <w:marRight w:val="0"/>
              <w:marTop w:val="0"/>
              <w:marBottom w:val="0"/>
              <w:divBdr>
                <w:top w:val="none" w:sz="0" w:space="0" w:color="auto"/>
                <w:left w:val="none" w:sz="0" w:space="0" w:color="auto"/>
                <w:bottom w:val="none" w:sz="0" w:space="0" w:color="auto"/>
                <w:right w:val="none" w:sz="0" w:space="0" w:color="auto"/>
              </w:divBdr>
              <w:divsChild>
                <w:div w:id="140680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78107">
      <w:bodyDiv w:val="1"/>
      <w:marLeft w:val="0"/>
      <w:marRight w:val="0"/>
      <w:marTop w:val="0"/>
      <w:marBottom w:val="0"/>
      <w:divBdr>
        <w:top w:val="none" w:sz="0" w:space="0" w:color="auto"/>
        <w:left w:val="none" w:sz="0" w:space="0" w:color="auto"/>
        <w:bottom w:val="none" w:sz="0" w:space="0" w:color="auto"/>
        <w:right w:val="none" w:sz="0" w:space="0" w:color="auto"/>
      </w:divBdr>
    </w:div>
    <w:div w:id="1735471011">
      <w:bodyDiv w:val="1"/>
      <w:marLeft w:val="0"/>
      <w:marRight w:val="0"/>
      <w:marTop w:val="0"/>
      <w:marBottom w:val="0"/>
      <w:divBdr>
        <w:top w:val="none" w:sz="0" w:space="0" w:color="auto"/>
        <w:left w:val="none" w:sz="0" w:space="0" w:color="auto"/>
        <w:bottom w:val="none" w:sz="0" w:space="0" w:color="auto"/>
        <w:right w:val="none" w:sz="0" w:space="0" w:color="auto"/>
      </w:divBdr>
    </w:div>
    <w:div w:id="1763988480">
      <w:bodyDiv w:val="1"/>
      <w:marLeft w:val="0"/>
      <w:marRight w:val="0"/>
      <w:marTop w:val="0"/>
      <w:marBottom w:val="0"/>
      <w:divBdr>
        <w:top w:val="none" w:sz="0" w:space="0" w:color="auto"/>
        <w:left w:val="none" w:sz="0" w:space="0" w:color="auto"/>
        <w:bottom w:val="none" w:sz="0" w:space="0" w:color="auto"/>
        <w:right w:val="none" w:sz="0" w:space="0" w:color="auto"/>
      </w:divBdr>
    </w:div>
    <w:div w:id="1778520861">
      <w:bodyDiv w:val="1"/>
      <w:marLeft w:val="0"/>
      <w:marRight w:val="0"/>
      <w:marTop w:val="0"/>
      <w:marBottom w:val="0"/>
      <w:divBdr>
        <w:top w:val="none" w:sz="0" w:space="0" w:color="auto"/>
        <w:left w:val="none" w:sz="0" w:space="0" w:color="auto"/>
        <w:bottom w:val="none" w:sz="0" w:space="0" w:color="auto"/>
        <w:right w:val="none" w:sz="0" w:space="0" w:color="auto"/>
      </w:divBdr>
    </w:div>
    <w:div w:id="1871142668">
      <w:bodyDiv w:val="1"/>
      <w:marLeft w:val="0"/>
      <w:marRight w:val="0"/>
      <w:marTop w:val="0"/>
      <w:marBottom w:val="0"/>
      <w:divBdr>
        <w:top w:val="none" w:sz="0" w:space="0" w:color="auto"/>
        <w:left w:val="none" w:sz="0" w:space="0" w:color="auto"/>
        <w:bottom w:val="none" w:sz="0" w:space="0" w:color="auto"/>
        <w:right w:val="none" w:sz="0" w:space="0" w:color="auto"/>
      </w:divBdr>
    </w:div>
    <w:div w:id="1970698250">
      <w:bodyDiv w:val="1"/>
      <w:marLeft w:val="0"/>
      <w:marRight w:val="0"/>
      <w:marTop w:val="0"/>
      <w:marBottom w:val="0"/>
      <w:divBdr>
        <w:top w:val="none" w:sz="0" w:space="0" w:color="auto"/>
        <w:left w:val="none" w:sz="0" w:space="0" w:color="auto"/>
        <w:bottom w:val="none" w:sz="0" w:space="0" w:color="auto"/>
        <w:right w:val="none" w:sz="0" w:space="0" w:color="auto"/>
      </w:divBdr>
      <w:divsChild>
        <w:div w:id="1008364087">
          <w:marLeft w:val="0"/>
          <w:marRight w:val="0"/>
          <w:marTop w:val="0"/>
          <w:marBottom w:val="0"/>
          <w:divBdr>
            <w:top w:val="none" w:sz="0" w:space="0" w:color="auto"/>
            <w:left w:val="none" w:sz="0" w:space="0" w:color="auto"/>
            <w:bottom w:val="none" w:sz="0" w:space="0" w:color="auto"/>
            <w:right w:val="none" w:sz="0" w:space="0" w:color="auto"/>
          </w:divBdr>
          <w:divsChild>
            <w:div w:id="738748825">
              <w:marLeft w:val="0"/>
              <w:marRight w:val="0"/>
              <w:marTop w:val="0"/>
              <w:marBottom w:val="0"/>
              <w:divBdr>
                <w:top w:val="none" w:sz="0" w:space="0" w:color="auto"/>
                <w:left w:val="none" w:sz="0" w:space="0" w:color="auto"/>
                <w:bottom w:val="none" w:sz="0" w:space="0" w:color="auto"/>
                <w:right w:val="none" w:sz="0" w:space="0" w:color="auto"/>
              </w:divBdr>
              <w:divsChild>
                <w:div w:id="658583319">
                  <w:marLeft w:val="0"/>
                  <w:marRight w:val="0"/>
                  <w:marTop w:val="0"/>
                  <w:marBottom w:val="0"/>
                  <w:divBdr>
                    <w:top w:val="none" w:sz="0" w:space="0" w:color="auto"/>
                    <w:left w:val="none" w:sz="0" w:space="0" w:color="auto"/>
                    <w:bottom w:val="none" w:sz="0" w:space="0" w:color="auto"/>
                    <w:right w:val="none" w:sz="0" w:space="0" w:color="auto"/>
                  </w:divBdr>
                  <w:divsChild>
                    <w:div w:id="34197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645230">
      <w:bodyDiv w:val="1"/>
      <w:marLeft w:val="0"/>
      <w:marRight w:val="0"/>
      <w:marTop w:val="0"/>
      <w:marBottom w:val="0"/>
      <w:divBdr>
        <w:top w:val="none" w:sz="0" w:space="0" w:color="auto"/>
        <w:left w:val="none" w:sz="0" w:space="0" w:color="auto"/>
        <w:bottom w:val="none" w:sz="0" w:space="0" w:color="auto"/>
        <w:right w:val="none" w:sz="0" w:space="0" w:color="auto"/>
      </w:divBdr>
    </w:div>
    <w:div w:id="1976984059">
      <w:bodyDiv w:val="1"/>
      <w:marLeft w:val="0"/>
      <w:marRight w:val="0"/>
      <w:marTop w:val="0"/>
      <w:marBottom w:val="0"/>
      <w:divBdr>
        <w:top w:val="none" w:sz="0" w:space="0" w:color="auto"/>
        <w:left w:val="none" w:sz="0" w:space="0" w:color="auto"/>
        <w:bottom w:val="none" w:sz="0" w:space="0" w:color="auto"/>
        <w:right w:val="none" w:sz="0" w:space="0" w:color="auto"/>
      </w:divBdr>
    </w:div>
    <w:div w:id="2011718764">
      <w:bodyDiv w:val="1"/>
      <w:marLeft w:val="0"/>
      <w:marRight w:val="0"/>
      <w:marTop w:val="0"/>
      <w:marBottom w:val="0"/>
      <w:divBdr>
        <w:top w:val="none" w:sz="0" w:space="0" w:color="auto"/>
        <w:left w:val="none" w:sz="0" w:space="0" w:color="auto"/>
        <w:bottom w:val="none" w:sz="0" w:space="0" w:color="auto"/>
        <w:right w:val="none" w:sz="0" w:space="0" w:color="auto"/>
      </w:divBdr>
    </w:div>
    <w:div w:id="204644805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77">
          <w:marLeft w:val="0"/>
          <w:marRight w:val="0"/>
          <w:marTop w:val="0"/>
          <w:marBottom w:val="0"/>
          <w:divBdr>
            <w:top w:val="none" w:sz="0" w:space="0" w:color="auto"/>
            <w:left w:val="none" w:sz="0" w:space="0" w:color="auto"/>
            <w:bottom w:val="none" w:sz="0" w:space="0" w:color="auto"/>
            <w:right w:val="none" w:sz="0" w:space="0" w:color="auto"/>
          </w:divBdr>
          <w:divsChild>
            <w:div w:id="465388811">
              <w:marLeft w:val="0"/>
              <w:marRight w:val="0"/>
              <w:marTop w:val="0"/>
              <w:marBottom w:val="0"/>
              <w:divBdr>
                <w:top w:val="none" w:sz="0" w:space="0" w:color="auto"/>
                <w:left w:val="none" w:sz="0" w:space="0" w:color="auto"/>
                <w:bottom w:val="none" w:sz="0" w:space="0" w:color="auto"/>
                <w:right w:val="none" w:sz="0" w:space="0" w:color="auto"/>
              </w:divBdr>
              <w:divsChild>
                <w:div w:id="13190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832069">
      <w:bodyDiv w:val="1"/>
      <w:marLeft w:val="0"/>
      <w:marRight w:val="0"/>
      <w:marTop w:val="0"/>
      <w:marBottom w:val="0"/>
      <w:divBdr>
        <w:top w:val="none" w:sz="0" w:space="0" w:color="auto"/>
        <w:left w:val="none" w:sz="0" w:space="0" w:color="auto"/>
        <w:bottom w:val="none" w:sz="0" w:space="0" w:color="auto"/>
        <w:right w:val="none" w:sz="0" w:space="0" w:color="auto"/>
      </w:divBdr>
      <w:divsChild>
        <w:div w:id="807555144">
          <w:marLeft w:val="0"/>
          <w:marRight w:val="0"/>
          <w:marTop w:val="0"/>
          <w:marBottom w:val="0"/>
          <w:divBdr>
            <w:top w:val="none" w:sz="0" w:space="0" w:color="auto"/>
            <w:left w:val="none" w:sz="0" w:space="0" w:color="auto"/>
            <w:bottom w:val="none" w:sz="0" w:space="0" w:color="auto"/>
            <w:right w:val="none" w:sz="0" w:space="0" w:color="auto"/>
          </w:divBdr>
          <w:divsChild>
            <w:div w:id="337271112">
              <w:marLeft w:val="0"/>
              <w:marRight w:val="0"/>
              <w:marTop w:val="0"/>
              <w:marBottom w:val="0"/>
              <w:divBdr>
                <w:top w:val="none" w:sz="0" w:space="0" w:color="auto"/>
                <w:left w:val="none" w:sz="0" w:space="0" w:color="auto"/>
                <w:bottom w:val="none" w:sz="0" w:space="0" w:color="auto"/>
                <w:right w:val="none" w:sz="0" w:space="0" w:color="auto"/>
              </w:divBdr>
              <w:divsChild>
                <w:div w:id="18269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761377">
      <w:bodyDiv w:val="1"/>
      <w:marLeft w:val="0"/>
      <w:marRight w:val="0"/>
      <w:marTop w:val="0"/>
      <w:marBottom w:val="0"/>
      <w:divBdr>
        <w:top w:val="none" w:sz="0" w:space="0" w:color="auto"/>
        <w:left w:val="none" w:sz="0" w:space="0" w:color="auto"/>
        <w:bottom w:val="none" w:sz="0" w:space="0" w:color="auto"/>
        <w:right w:val="none" w:sz="0" w:space="0" w:color="auto"/>
      </w:divBdr>
      <w:divsChild>
        <w:div w:id="1354577376">
          <w:marLeft w:val="0"/>
          <w:marRight w:val="0"/>
          <w:marTop w:val="0"/>
          <w:marBottom w:val="0"/>
          <w:divBdr>
            <w:top w:val="none" w:sz="0" w:space="0" w:color="auto"/>
            <w:left w:val="none" w:sz="0" w:space="0" w:color="auto"/>
            <w:bottom w:val="none" w:sz="0" w:space="0" w:color="auto"/>
            <w:right w:val="none" w:sz="0" w:space="0" w:color="auto"/>
          </w:divBdr>
          <w:divsChild>
            <w:div w:id="972170732">
              <w:marLeft w:val="0"/>
              <w:marRight w:val="0"/>
              <w:marTop w:val="0"/>
              <w:marBottom w:val="0"/>
              <w:divBdr>
                <w:top w:val="none" w:sz="0" w:space="0" w:color="auto"/>
                <w:left w:val="none" w:sz="0" w:space="0" w:color="auto"/>
                <w:bottom w:val="none" w:sz="0" w:space="0" w:color="auto"/>
                <w:right w:val="none" w:sz="0" w:space="0" w:color="auto"/>
              </w:divBdr>
              <w:divsChild>
                <w:div w:id="20166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eader" Target="header2.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8" Type="http://schemas.openxmlformats.org/officeDocument/2006/relationships/hyperlink" Target="https://www.hud.gov/sites/documents/CAPITALFUNDGUIDEBOOKFINAL.PDF" TargetMode="External"/><Relationship Id="rId13" Type="http://schemas.openxmlformats.org/officeDocument/2006/relationships/hyperlink" Target="https://www1.nyc.gov/assets/nycha/downloads/pdf/NYCHA_Capital_Action_Plan_May_8_2021.pdf" TargetMode="External"/><Relationship Id="rId18" Type="http://schemas.openxmlformats.org/officeDocument/2006/relationships/hyperlink" Target="https://www1.nyc.gov/assets/nycha/downloads/pdf/NYCHA_Transformation_Plan_Final.pdf" TargetMode="External"/><Relationship Id="rId3" Type="http://schemas.openxmlformats.org/officeDocument/2006/relationships/hyperlink" Target="https://www.hud.gov/sites/documents/2015PNA_CR_FINAL.PDF" TargetMode="External"/><Relationship Id="rId7" Type="http://schemas.openxmlformats.org/officeDocument/2006/relationships/hyperlink" Target="https://cbcny.org/research/nycha-capital" TargetMode="External"/><Relationship Id="rId12" Type="http://schemas.openxmlformats.org/officeDocument/2006/relationships/hyperlink" Target="https://council.nyc.gov/budget/wp-content/uploads/sites/54/2021/05/NYCHA.pdf" TargetMode="External"/><Relationship Id="rId17" Type="http://schemas.openxmlformats.org/officeDocument/2006/relationships/hyperlink" Target="https://www1.nyc.gov/assets/nycha/downloads/pdf/07.28.20-Press-Release-NYCHA-BLUEPRINT-FOR-CHANGE-NYHC.pdf"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www1.nyc.gov/assets/omb/downloads/pdf/ccp-10-21a.pdf" TargetMode="External"/><Relationship Id="rId20" Type="http://schemas.openxmlformats.org/officeDocument/2006/relationships/hyperlink" Target="https://www.nysenate.gov/legislation/bills/2021/S6999"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www.hud.gov/sites/dfiles/PIH/documents/PIH-2019-14.pdf" TargetMode="External"/><Relationship Id="rId11" Type="http://schemas.openxmlformats.org/officeDocument/2006/relationships/hyperlink" Target="https://www1.nyc.gov/assets/nycha/downloads/pdf/capital-plan-2125.pdf" TargetMode="External"/><Relationship Id="rId5" Type="http://schemas.openxmlformats.org/officeDocument/2006/relationships/hyperlink" Target="https://www.cbpp.org/sites/default/files/atoms/files/policybasics-housing.pdf" TargetMode="External"/><Relationship Id="rId15" Type="http://schemas.openxmlformats.org/officeDocument/2006/relationships/hyperlink" Target="https://www1.nyc.gov/site/omb/publications/description-of-all-publications.page" TargetMode="External"/><Relationship Id="rId10" Type="http://schemas.openxmlformats.org/officeDocument/2006/relationships/hyperlink" Target="https://www1.nyc.gov/assets/nycha/downloads/pdf/PNA%202017.pdf" TargetMode="External"/><Relationship Id="rId19" Type="http://schemas.openxmlformats.org/officeDocument/2006/relationships/hyperlink" Target="https://home3.nyc.gov/assets/nycha/downloads/pdf/NYCHA_FinalAnnualPlanFY22_FinalExecutiveSummary_10.18.21.pdf" TargetMode="External"/><Relationship Id="rId4" Type="http://schemas.openxmlformats.org/officeDocument/2006/relationships/hyperlink" Target="https://www1.nyc.gov/assets/nycha/downloads/pdf/NYCHA-Fact-Sheet_2020_Final.pdf" TargetMode="External"/><Relationship Id="rId9" Type="http://schemas.openxmlformats.org/officeDocument/2006/relationships/hyperlink" Target="https://www.hud.gov/program_offices/public_indian_housing/programs/ph/capfund/physicalassessment" TargetMode="External"/><Relationship Id="rId14" Type="http://schemas.openxmlformats.org/officeDocument/2006/relationships/hyperlink" Target="https://council.nyc.gov/budget/wp-content/uploads/sites/54/2021/03/NYCH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4D7C2-5DF3-4256-9D50-71EFBE0C1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4141</Words>
  <Characters>23605</Characters>
  <Application>Microsoft Office Word</Application>
  <DocSecurity>4</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Ruiz</dc:creator>
  <cp:keywords/>
  <dc:description/>
  <cp:lastModifiedBy>DelFranco, Ruthie</cp:lastModifiedBy>
  <cp:revision>2</cp:revision>
  <cp:lastPrinted>2021-11-17T23:05:00Z</cp:lastPrinted>
  <dcterms:created xsi:type="dcterms:W3CDTF">2021-11-18T01:31:00Z</dcterms:created>
  <dcterms:modified xsi:type="dcterms:W3CDTF">2021-11-18T01:31:00Z</dcterms:modified>
</cp:coreProperties>
</file>