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B545C3" w14:textId="77777777" w:rsidR="0062350F" w:rsidRPr="000850B9" w:rsidRDefault="0062350F" w:rsidP="0062350F">
      <w:pPr>
        <w:ind w:left="5040" w:firstLine="0"/>
        <w:jc w:val="right"/>
        <w:rPr>
          <w:spacing w:val="-3"/>
          <w:u w:val="single"/>
        </w:rPr>
      </w:pPr>
      <w:bookmarkStart w:id="0" w:name="_GoBack"/>
      <w:bookmarkEnd w:id="0"/>
      <w:r>
        <w:rPr>
          <w:spacing w:val="-3"/>
          <w:u w:val="single"/>
        </w:rPr>
        <w:t xml:space="preserve">Environmental Protection </w:t>
      </w:r>
      <w:r w:rsidRPr="000850B9">
        <w:rPr>
          <w:spacing w:val="-3"/>
          <w:u w:val="single"/>
        </w:rPr>
        <w:t>Committee Staff</w:t>
      </w:r>
    </w:p>
    <w:p w14:paraId="354209AE" w14:textId="0C19CC5C" w:rsidR="0062350F" w:rsidRDefault="0062350F" w:rsidP="0062350F">
      <w:pPr>
        <w:ind w:left="5040" w:firstLine="0"/>
        <w:jc w:val="right"/>
        <w:rPr>
          <w:spacing w:val="-3"/>
        </w:rPr>
      </w:pPr>
      <w:r>
        <w:rPr>
          <w:spacing w:val="-3"/>
        </w:rPr>
        <w:t xml:space="preserve">Samara Swanson, </w:t>
      </w:r>
      <w:r w:rsidR="00FB18E5">
        <w:rPr>
          <w:i/>
          <w:iCs/>
          <w:spacing w:val="-3"/>
        </w:rPr>
        <w:t xml:space="preserve">Legislative </w:t>
      </w:r>
      <w:r w:rsidRPr="00300C15">
        <w:rPr>
          <w:i/>
          <w:iCs/>
          <w:spacing w:val="-3"/>
        </w:rPr>
        <w:t>Counsel</w:t>
      </w:r>
    </w:p>
    <w:p w14:paraId="417A28C2" w14:textId="1561CF52" w:rsidR="0062350F" w:rsidRDefault="0062350F" w:rsidP="0062350F">
      <w:pPr>
        <w:ind w:left="5040" w:firstLine="0"/>
        <w:jc w:val="right"/>
        <w:rPr>
          <w:spacing w:val="-3"/>
        </w:rPr>
      </w:pPr>
      <w:r>
        <w:rPr>
          <w:spacing w:val="-3"/>
        </w:rPr>
        <w:t xml:space="preserve">Ricky Chawla, </w:t>
      </w:r>
      <w:r w:rsidR="00FB18E5">
        <w:rPr>
          <w:i/>
          <w:iCs/>
          <w:spacing w:val="-3"/>
        </w:rPr>
        <w:t xml:space="preserve">Legislative </w:t>
      </w:r>
      <w:r w:rsidRPr="00300C15">
        <w:rPr>
          <w:i/>
          <w:iCs/>
          <w:spacing w:val="-3"/>
        </w:rPr>
        <w:t>Policy Analyst</w:t>
      </w:r>
    </w:p>
    <w:p w14:paraId="067A7E6F" w14:textId="77777777" w:rsidR="0062350F" w:rsidRDefault="0062350F" w:rsidP="0062350F">
      <w:pPr>
        <w:ind w:left="5040" w:firstLine="0"/>
        <w:jc w:val="right"/>
        <w:rPr>
          <w:spacing w:val="-3"/>
        </w:rPr>
      </w:pPr>
      <w:r>
        <w:rPr>
          <w:spacing w:val="-3"/>
        </w:rPr>
        <w:t xml:space="preserve">Jonathan Seltzer, </w:t>
      </w:r>
      <w:r w:rsidRPr="00300C15">
        <w:rPr>
          <w:i/>
          <w:iCs/>
          <w:spacing w:val="-3"/>
        </w:rPr>
        <w:t>Senior Financial Analyst</w:t>
      </w:r>
    </w:p>
    <w:p w14:paraId="245127A4" w14:textId="77777777" w:rsidR="0062350F" w:rsidRDefault="0062350F" w:rsidP="0062350F">
      <w:pPr>
        <w:ind w:left="5040" w:firstLine="0"/>
        <w:rPr>
          <w:spacing w:val="-3"/>
        </w:rPr>
      </w:pPr>
    </w:p>
    <w:p w14:paraId="586A84B6" w14:textId="77777777" w:rsidR="0062350F" w:rsidRPr="00C008FD" w:rsidRDefault="0062350F" w:rsidP="0062350F">
      <w:pPr>
        <w:tabs>
          <w:tab w:val="left" w:pos="0"/>
        </w:tabs>
        <w:jc w:val="right"/>
      </w:pPr>
      <w:r>
        <w:rPr>
          <w:u w:val="single"/>
        </w:rPr>
        <w:t>Subcommittee on COVID Recovery and Resiliency</w:t>
      </w:r>
    </w:p>
    <w:p w14:paraId="0972148F" w14:textId="77777777" w:rsidR="0062350F" w:rsidRPr="00C008FD" w:rsidRDefault="0062350F" w:rsidP="0062350F">
      <w:pPr>
        <w:tabs>
          <w:tab w:val="left" w:pos="0"/>
        </w:tabs>
        <w:jc w:val="right"/>
      </w:pPr>
      <w:r>
        <w:t>Harbani Ahuja</w:t>
      </w:r>
      <w:r w:rsidRPr="00C008FD">
        <w:t xml:space="preserve">, </w:t>
      </w:r>
      <w:r w:rsidRPr="00C008FD">
        <w:rPr>
          <w:i/>
        </w:rPr>
        <w:t>Senior Legislative Counsel</w:t>
      </w:r>
    </w:p>
    <w:p w14:paraId="788B6EA3" w14:textId="77777777" w:rsidR="0062350F" w:rsidRDefault="0062350F" w:rsidP="0062350F">
      <w:pPr>
        <w:tabs>
          <w:tab w:val="left" w:pos="0"/>
        </w:tabs>
        <w:jc w:val="right"/>
      </w:pPr>
      <w:r>
        <w:t>Sara Liss</w:t>
      </w:r>
      <w:r w:rsidRPr="00C008FD">
        <w:t xml:space="preserve">, </w:t>
      </w:r>
      <w:r w:rsidRPr="00C008FD">
        <w:rPr>
          <w:i/>
        </w:rPr>
        <w:t>Senior Legislative Counsel</w:t>
      </w:r>
    </w:p>
    <w:p w14:paraId="1820685D" w14:textId="77777777" w:rsidR="0062350F" w:rsidRPr="00C008FD" w:rsidRDefault="0062350F" w:rsidP="0062350F">
      <w:pPr>
        <w:tabs>
          <w:tab w:val="left" w:pos="0"/>
        </w:tabs>
        <w:jc w:val="right"/>
        <w:rPr>
          <w:i/>
        </w:rPr>
      </w:pPr>
      <w:r w:rsidRPr="00C008FD">
        <w:t xml:space="preserve">Em Balkan, </w:t>
      </w:r>
      <w:r w:rsidRPr="00C008FD">
        <w:rPr>
          <w:i/>
        </w:rPr>
        <w:t>Senior Legislative Policy Analyst</w:t>
      </w:r>
    </w:p>
    <w:p w14:paraId="2E508915" w14:textId="77777777" w:rsidR="0062350F" w:rsidRDefault="0062350F" w:rsidP="0062350F">
      <w:pPr>
        <w:tabs>
          <w:tab w:val="left" w:pos="0"/>
        </w:tabs>
        <w:jc w:val="right"/>
        <w:rPr>
          <w:i/>
        </w:rPr>
      </w:pPr>
      <w:r>
        <w:t>Lauren Hunt</w:t>
      </w:r>
      <w:r w:rsidRPr="00C008FD">
        <w:rPr>
          <w:i/>
        </w:rPr>
        <w:t>, Finance Analyst</w:t>
      </w:r>
    </w:p>
    <w:p w14:paraId="62A7C78A" w14:textId="77777777" w:rsidR="0062350F" w:rsidRDefault="0062350F" w:rsidP="0062350F">
      <w:pPr>
        <w:tabs>
          <w:tab w:val="left" w:pos="0"/>
        </w:tabs>
        <w:jc w:val="right"/>
        <w:rPr>
          <w:i/>
        </w:rPr>
      </w:pPr>
      <w:r>
        <w:rPr>
          <w:iCs/>
        </w:rPr>
        <w:t xml:space="preserve">Brook Frye, </w:t>
      </w:r>
      <w:r>
        <w:rPr>
          <w:i/>
        </w:rPr>
        <w:t>Data Analyst</w:t>
      </w:r>
    </w:p>
    <w:p w14:paraId="599EDBF6" w14:textId="77777777" w:rsidR="0062350F" w:rsidRPr="000850B9" w:rsidRDefault="0062350F" w:rsidP="0062350F">
      <w:pPr>
        <w:ind w:left="5040" w:firstLine="0"/>
        <w:rPr>
          <w:spacing w:val="-3"/>
        </w:rPr>
      </w:pPr>
    </w:p>
    <w:p w14:paraId="3E695C9C" w14:textId="77777777" w:rsidR="0062350F" w:rsidRDefault="0062350F" w:rsidP="0062350F">
      <w:pPr>
        <w:ind w:left="5040"/>
        <w:rPr>
          <w:spacing w:val="-3"/>
        </w:rPr>
      </w:pPr>
    </w:p>
    <w:p w14:paraId="6B12AA41" w14:textId="77777777" w:rsidR="0062350F" w:rsidRPr="000850B9" w:rsidRDefault="0062350F" w:rsidP="0062350F">
      <w:pPr>
        <w:ind w:left="5040"/>
        <w:rPr>
          <w:b/>
          <w:spacing w:val="-3"/>
          <w:u w:val="single"/>
        </w:rPr>
      </w:pPr>
    </w:p>
    <w:p w14:paraId="461A7ACC" w14:textId="77777777" w:rsidR="0062350F" w:rsidRPr="000850B9" w:rsidRDefault="0062350F" w:rsidP="0062350F">
      <w:pPr>
        <w:keepNext/>
        <w:tabs>
          <w:tab w:val="center" w:pos="4680"/>
        </w:tabs>
        <w:suppressAutoHyphens/>
        <w:ind w:firstLine="0"/>
        <w:jc w:val="center"/>
        <w:outlineLvl w:val="3"/>
        <w:rPr>
          <w:b/>
          <w:spacing w:val="-3"/>
          <w:u w:val="single"/>
        </w:rPr>
      </w:pPr>
    </w:p>
    <w:p w14:paraId="00E5AF44" w14:textId="77777777" w:rsidR="0062350F" w:rsidRPr="000850B9" w:rsidRDefault="0062350F" w:rsidP="0062350F">
      <w:pPr>
        <w:ind w:firstLine="0"/>
        <w:jc w:val="center"/>
      </w:pPr>
      <w:r w:rsidRPr="000850B9">
        <w:rPr>
          <w:noProof/>
        </w:rPr>
        <w:drawing>
          <wp:inline distT="0" distB="0" distL="0" distR="0" wp14:anchorId="1DECFFDE" wp14:editId="2820A6E4">
            <wp:extent cx="1009650" cy="1033145"/>
            <wp:effectExtent l="0" t="0" r="0" b="0"/>
            <wp:docPr id="1" name="Picture 1" descr="A picture containing porcel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porcelain&#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09650" cy="1033145"/>
                    </a:xfrm>
                    <a:prstGeom prst="rect">
                      <a:avLst/>
                    </a:prstGeom>
                    <a:noFill/>
                    <a:ln>
                      <a:noFill/>
                    </a:ln>
                  </pic:spPr>
                </pic:pic>
              </a:graphicData>
            </a:graphic>
          </wp:inline>
        </w:drawing>
      </w:r>
    </w:p>
    <w:p w14:paraId="06817E4D" w14:textId="77777777" w:rsidR="0062350F" w:rsidRPr="000850B9" w:rsidRDefault="0062350F" w:rsidP="0062350F">
      <w:pPr>
        <w:ind w:firstLine="0"/>
      </w:pPr>
    </w:p>
    <w:p w14:paraId="30D70519" w14:textId="77777777" w:rsidR="0062350F" w:rsidRPr="00581DCF" w:rsidRDefault="0062350F" w:rsidP="0062350F">
      <w:pPr>
        <w:widowControl w:val="0"/>
        <w:ind w:firstLine="0"/>
        <w:jc w:val="center"/>
        <w:outlineLvl w:val="5"/>
        <w:rPr>
          <w:rFonts w:ascii="Times New Roman Bold" w:hAnsi="Times New Roman Bold"/>
          <w:b/>
          <w:bCs/>
          <w:smallCaps/>
          <w:color w:val="000000"/>
          <w:u w:val="single" w:color="000000"/>
        </w:rPr>
      </w:pPr>
      <w:r w:rsidRPr="00581DCF">
        <w:rPr>
          <w:rFonts w:ascii="Times New Roman Bold" w:eastAsia="Calibri" w:hAnsi="Times New Roman Bold" w:cs="Calibri"/>
          <w:b/>
          <w:bCs/>
          <w:smallCaps/>
          <w:color w:val="000000"/>
          <w:u w:val="single" w:color="000000"/>
        </w:rPr>
        <w:t>The New York City Council</w:t>
      </w:r>
    </w:p>
    <w:p w14:paraId="43EB6D1A" w14:textId="77777777" w:rsidR="0062350F" w:rsidRPr="00581DCF" w:rsidRDefault="0062350F" w:rsidP="0062350F">
      <w:pPr>
        <w:tabs>
          <w:tab w:val="center" w:pos="4680"/>
        </w:tabs>
        <w:ind w:firstLine="0"/>
        <w:jc w:val="center"/>
        <w:rPr>
          <w:iCs/>
        </w:rPr>
      </w:pPr>
      <w:r w:rsidRPr="00581DCF">
        <w:rPr>
          <w:iCs/>
        </w:rPr>
        <w:t xml:space="preserve"> </w:t>
      </w:r>
      <w:r>
        <w:rPr>
          <w:iCs/>
        </w:rPr>
        <w:t>Andrea Vazquez</w:t>
      </w:r>
      <w:r w:rsidRPr="00581DCF">
        <w:rPr>
          <w:iCs/>
        </w:rPr>
        <w:t>, Legislative Director</w:t>
      </w:r>
    </w:p>
    <w:p w14:paraId="39C550E8" w14:textId="77777777" w:rsidR="0062350F" w:rsidRPr="00581DCF" w:rsidRDefault="0062350F" w:rsidP="0062350F">
      <w:pPr>
        <w:tabs>
          <w:tab w:val="left" w:pos="-1440"/>
        </w:tabs>
        <w:ind w:left="4320"/>
        <w:rPr>
          <w:b/>
        </w:rPr>
      </w:pPr>
    </w:p>
    <w:p w14:paraId="61BD96F7" w14:textId="77777777" w:rsidR="0062350F" w:rsidRPr="00581DCF" w:rsidRDefault="0062350F" w:rsidP="0062350F">
      <w:pPr>
        <w:widowControl w:val="0"/>
        <w:ind w:firstLine="0"/>
        <w:jc w:val="center"/>
        <w:outlineLvl w:val="5"/>
        <w:rPr>
          <w:rFonts w:ascii="Times New Roman Bold" w:hAnsi="Times New Roman Bold"/>
          <w:b/>
          <w:bCs/>
          <w:smallCaps/>
          <w:color w:val="000000"/>
          <w:u w:val="single" w:color="000000"/>
        </w:rPr>
      </w:pPr>
      <w:r w:rsidRPr="00581DCF">
        <w:rPr>
          <w:rFonts w:ascii="Times New Roman Bold" w:eastAsia="Calibri" w:hAnsi="Times New Roman Bold" w:cs="Calibri"/>
          <w:b/>
          <w:bCs/>
          <w:smallCaps/>
          <w:color w:val="000000"/>
          <w:u w:val="single" w:color="000000"/>
        </w:rPr>
        <w:t>Committee Report of the Infrastructure Division</w:t>
      </w:r>
    </w:p>
    <w:p w14:paraId="56154244" w14:textId="089C066B" w:rsidR="00751DE2" w:rsidRDefault="0062350F" w:rsidP="00751DE2">
      <w:pPr>
        <w:tabs>
          <w:tab w:val="center" w:pos="4680"/>
        </w:tabs>
        <w:ind w:firstLine="0"/>
        <w:jc w:val="center"/>
        <w:rPr>
          <w:iCs/>
        </w:rPr>
      </w:pPr>
      <w:r>
        <w:rPr>
          <w:iCs/>
        </w:rPr>
        <w:t>Brad</w:t>
      </w:r>
      <w:r w:rsidRPr="00581DCF">
        <w:rPr>
          <w:iCs/>
        </w:rPr>
        <w:t xml:space="preserve"> </w:t>
      </w:r>
      <w:r>
        <w:rPr>
          <w:iCs/>
        </w:rPr>
        <w:t>Reid</w:t>
      </w:r>
      <w:r w:rsidRPr="00581DCF">
        <w:rPr>
          <w:iCs/>
        </w:rPr>
        <w:t>, Deputy Director</w:t>
      </w:r>
    </w:p>
    <w:p w14:paraId="48958FAC" w14:textId="60DE607D" w:rsidR="00CA7F12" w:rsidRPr="00751DE2" w:rsidRDefault="00CA7F12" w:rsidP="00CA7F12">
      <w:pPr>
        <w:pStyle w:val="Heading1"/>
        <w:jc w:val="center"/>
        <w:rPr>
          <w:b w:val="0"/>
          <w:bCs w:val="0"/>
          <w:i/>
          <w:iCs/>
          <w:smallCaps/>
          <w:color w:val="auto"/>
          <w:u w:val="single"/>
        </w:rPr>
      </w:pPr>
      <w:r w:rsidRPr="00751DE2">
        <w:rPr>
          <w:rFonts w:ascii="Times New Roman" w:hAnsi="Times New Roman"/>
          <w:smallCaps/>
          <w:color w:val="auto"/>
          <w:sz w:val="24"/>
          <w:szCs w:val="24"/>
          <w:u w:val="single"/>
        </w:rPr>
        <w:t>Committee Report O</w:t>
      </w:r>
      <w:r w:rsidR="00751DE2">
        <w:rPr>
          <w:rFonts w:ascii="Times New Roman" w:hAnsi="Times New Roman"/>
          <w:smallCaps/>
          <w:color w:val="auto"/>
          <w:sz w:val="24"/>
          <w:szCs w:val="24"/>
          <w:u w:val="single"/>
        </w:rPr>
        <w:t>f</w:t>
      </w:r>
      <w:r w:rsidRPr="00751DE2">
        <w:rPr>
          <w:rFonts w:ascii="Times New Roman" w:hAnsi="Times New Roman"/>
          <w:smallCaps/>
          <w:color w:val="auto"/>
          <w:sz w:val="24"/>
          <w:szCs w:val="24"/>
          <w:u w:val="single"/>
        </w:rPr>
        <w:t xml:space="preserve"> T</w:t>
      </w:r>
      <w:r w:rsidR="00751DE2">
        <w:rPr>
          <w:rFonts w:ascii="Times New Roman" w:hAnsi="Times New Roman"/>
          <w:smallCaps/>
          <w:color w:val="auto"/>
          <w:sz w:val="24"/>
          <w:szCs w:val="24"/>
          <w:u w:val="single"/>
        </w:rPr>
        <w:t>he</w:t>
      </w:r>
      <w:r w:rsidRPr="00751DE2">
        <w:rPr>
          <w:rFonts w:ascii="Times New Roman" w:hAnsi="Times New Roman"/>
          <w:smallCaps/>
          <w:color w:val="auto"/>
          <w:sz w:val="24"/>
          <w:szCs w:val="24"/>
          <w:u w:val="single"/>
        </w:rPr>
        <w:t xml:space="preserve"> </w:t>
      </w:r>
      <w:r w:rsidR="00751DE2">
        <w:rPr>
          <w:rFonts w:ascii="Times New Roman" w:hAnsi="Times New Roman"/>
          <w:smallCaps/>
          <w:color w:val="auto"/>
          <w:sz w:val="24"/>
          <w:szCs w:val="24"/>
          <w:u w:val="single"/>
        </w:rPr>
        <w:t>Human</w:t>
      </w:r>
      <w:r w:rsidRPr="00751DE2">
        <w:rPr>
          <w:rFonts w:ascii="Times New Roman" w:hAnsi="Times New Roman"/>
          <w:smallCaps/>
          <w:color w:val="auto"/>
          <w:sz w:val="24"/>
          <w:szCs w:val="24"/>
          <w:u w:val="single"/>
        </w:rPr>
        <w:t xml:space="preserve"> S</w:t>
      </w:r>
      <w:r w:rsidR="00751DE2">
        <w:rPr>
          <w:rFonts w:ascii="Times New Roman" w:hAnsi="Times New Roman"/>
          <w:smallCaps/>
          <w:color w:val="auto"/>
          <w:sz w:val="24"/>
          <w:szCs w:val="24"/>
          <w:u w:val="single"/>
        </w:rPr>
        <w:t>ervices</w:t>
      </w:r>
      <w:r w:rsidRPr="00751DE2">
        <w:rPr>
          <w:rFonts w:ascii="Times New Roman" w:hAnsi="Times New Roman"/>
          <w:smallCaps/>
          <w:color w:val="auto"/>
          <w:sz w:val="24"/>
          <w:szCs w:val="24"/>
          <w:u w:val="single"/>
        </w:rPr>
        <w:t xml:space="preserve"> Division</w:t>
      </w:r>
    </w:p>
    <w:p w14:paraId="2CB5A682" w14:textId="13F56367" w:rsidR="00CA7F12" w:rsidRPr="00CA5946" w:rsidRDefault="00751DE2" w:rsidP="00CA7F12">
      <w:pPr>
        <w:jc w:val="center"/>
        <w:rPr>
          <w:iCs/>
        </w:rPr>
      </w:pPr>
      <w:r w:rsidRPr="00CA5946">
        <w:rPr>
          <w:iCs/>
        </w:rPr>
        <w:t>Smita</w:t>
      </w:r>
      <w:r w:rsidR="00CA7F12" w:rsidRPr="00CA5946">
        <w:rPr>
          <w:iCs/>
        </w:rPr>
        <w:t xml:space="preserve"> </w:t>
      </w:r>
      <w:r w:rsidRPr="00CA5946">
        <w:rPr>
          <w:iCs/>
        </w:rPr>
        <w:t>Deshmukh</w:t>
      </w:r>
      <w:r w:rsidR="00CA7F12" w:rsidRPr="00CA5946">
        <w:rPr>
          <w:iCs/>
        </w:rPr>
        <w:t xml:space="preserve">, </w:t>
      </w:r>
      <w:r w:rsidRPr="00CA5946">
        <w:rPr>
          <w:iCs/>
        </w:rPr>
        <w:t>Deputy</w:t>
      </w:r>
      <w:r w:rsidR="00CA7F12" w:rsidRPr="00CA5946">
        <w:rPr>
          <w:iCs/>
        </w:rPr>
        <w:t xml:space="preserve"> Director </w:t>
      </w:r>
    </w:p>
    <w:p w14:paraId="4FC187B7" w14:textId="77777777" w:rsidR="00CA7F12" w:rsidRPr="0018411E" w:rsidRDefault="00CA7F12" w:rsidP="00CA7F12">
      <w:pPr>
        <w:jc w:val="center"/>
        <w:rPr>
          <w:b/>
          <w:u w:val="single"/>
        </w:rPr>
      </w:pPr>
    </w:p>
    <w:p w14:paraId="06725601" w14:textId="77777777" w:rsidR="0062350F" w:rsidRPr="00581DCF" w:rsidRDefault="0062350F" w:rsidP="00751DE2">
      <w:pPr>
        <w:tabs>
          <w:tab w:val="left" w:pos="-1440"/>
        </w:tabs>
        <w:ind w:firstLine="0"/>
        <w:rPr>
          <w:b/>
        </w:rPr>
      </w:pPr>
    </w:p>
    <w:p w14:paraId="6B5A0B8C" w14:textId="77777777" w:rsidR="0062350F" w:rsidRPr="00581DCF" w:rsidRDefault="0062350F" w:rsidP="0062350F">
      <w:pPr>
        <w:tabs>
          <w:tab w:val="center" w:pos="4680"/>
        </w:tabs>
        <w:ind w:firstLine="0"/>
        <w:jc w:val="center"/>
        <w:rPr>
          <w:rFonts w:ascii="Times New Roman Bold" w:hAnsi="Times New Roman Bold"/>
          <w:b/>
          <w:smallCaps/>
          <w:u w:val="single"/>
        </w:rPr>
      </w:pPr>
      <w:r w:rsidRPr="00581DCF">
        <w:rPr>
          <w:rFonts w:ascii="Times New Roman Bold" w:hAnsi="Times New Roman Bold"/>
          <w:b/>
          <w:smallCaps/>
          <w:u w:val="single"/>
        </w:rPr>
        <w:t>Committee on Environmental Protection</w:t>
      </w:r>
    </w:p>
    <w:p w14:paraId="7879F9FC" w14:textId="77777777" w:rsidR="0062350F" w:rsidRDefault="0062350F" w:rsidP="0062350F">
      <w:pPr>
        <w:ind w:firstLine="0"/>
        <w:jc w:val="center"/>
      </w:pPr>
      <w:r w:rsidRPr="00581DCF">
        <w:t xml:space="preserve">Hon. </w:t>
      </w:r>
      <w:r>
        <w:t>James F. Gennaro</w:t>
      </w:r>
      <w:r w:rsidRPr="00581DCF">
        <w:t>, Chair</w:t>
      </w:r>
    </w:p>
    <w:p w14:paraId="7A7829C3" w14:textId="77777777" w:rsidR="0062350F" w:rsidRDefault="0062350F" w:rsidP="0062350F">
      <w:pPr>
        <w:ind w:firstLine="0"/>
        <w:jc w:val="center"/>
      </w:pPr>
    </w:p>
    <w:p w14:paraId="6EE7095C" w14:textId="77777777" w:rsidR="0062350F" w:rsidRDefault="0062350F" w:rsidP="0062350F">
      <w:pPr>
        <w:ind w:firstLine="0"/>
        <w:jc w:val="center"/>
        <w:rPr>
          <w:b/>
          <w:bCs/>
          <w:smallCaps/>
          <w:u w:val="single"/>
        </w:rPr>
      </w:pPr>
      <w:r w:rsidRPr="005B59AE">
        <w:rPr>
          <w:b/>
          <w:bCs/>
          <w:smallCaps/>
          <w:u w:val="single"/>
        </w:rPr>
        <w:t>Subcommittee on COVID Recovery and Resiliency</w:t>
      </w:r>
    </w:p>
    <w:p w14:paraId="305F0170" w14:textId="77777777" w:rsidR="0062350F" w:rsidRPr="005B59AE" w:rsidRDefault="0062350F" w:rsidP="0062350F">
      <w:pPr>
        <w:ind w:firstLine="0"/>
        <w:jc w:val="center"/>
      </w:pPr>
      <w:r>
        <w:rPr>
          <w:smallCaps/>
        </w:rPr>
        <w:t>H</w:t>
      </w:r>
      <w:r>
        <w:t>on. Francisco Moya, Chair</w:t>
      </w:r>
    </w:p>
    <w:p w14:paraId="47C6F8A2" w14:textId="77777777" w:rsidR="0062350F" w:rsidRPr="00581DCF" w:rsidRDefault="0062350F" w:rsidP="0062350F">
      <w:pPr>
        <w:jc w:val="center"/>
      </w:pPr>
    </w:p>
    <w:p w14:paraId="373D3B9D" w14:textId="77777777" w:rsidR="0062350F" w:rsidRPr="00581DCF" w:rsidRDefault="0062350F" w:rsidP="0062350F">
      <w:pPr>
        <w:keepNext/>
        <w:ind w:firstLine="0"/>
        <w:jc w:val="center"/>
        <w:outlineLvl w:val="3"/>
        <w:rPr>
          <w:b/>
          <w:bCs/>
        </w:rPr>
      </w:pPr>
      <w:r>
        <w:rPr>
          <w:b/>
          <w:bCs/>
        </w:rPr>
        <w:t>March 11, 2022</w:t>
      </w:r>
    </w:p>
    <w:p w14:paraId="4324CAEE" w14:textId="77777777" w:rsidR="0062350F" w:rsidRDefault="0062350F" w:rsidP="0062350F">
      <w:pPr>
        <w:ind w:left="4320" w:hanging="4320"/>
        <w:jc w:val="both"/>
        <w:rPr>
          <w:bCs/>
        </w:rPr>
      </w:pPr>
    </w:p>
    <w:p w14:paraId="7589DE94" w14:textId="77777777" w:rsidR="0062350F" w:rsidRDefault="0062350F" w:rsidP="0062350F">
      <w:pPr>
        <w:ind w:left="4320" w:hanging="4320"/>
        <w:jc w:val="both"/>
        <w:rPr>
          <w:bCs/>
        </w:rPr>
      </w:pPr>
    </w:p>
    <w:p w14:paraId="452CD6F7" w14:textId="77777777" w:rsidR="0062350F" w:rsidRPr="0025785A" w:rsidRDefault="0062350F" w:rsidP="0062350F">
      <w:pPr>
        <w:tabs>
          <w:tab w:val="center" w:pos="4680"/>
        </w:tabs>
        <w:ind w:firstLine="0"/>
        <w:jc w:val="center"/>
        <w:rPr>
          <w:bCs/>
        </w:rPr>
      </w:pPr>
      <w:r>
        <w:rPr>
          <w:rFonts w:ascii="Times New Roman Bold" w:hAnsi="Times New Roman Bold"/>
          <w:b/>
          <w:smallCaps/>
        </w:rPr>
        <w:t xml:space="preserve">Oversight – COVID – 19 Testing in Wastewater </w:t>
      </w:r>
    </w:p>
    <w:p w14:paraId="643F9DAA" w14:textId="77777777" w:rsidR="0062350F" w:rsidRDefault="0062350F" w:rsidP="0062350F">
      <w:pPr>
        <w:pStyle w:val="NoSpacing"/>
        <w:rPr>
          <w:rFonts w:ascii="Times New Roman" w:hAnsi="Times New Roman" w:cs="Times New Roman"/>
          <w:sz w:val="24"/>
          <w:szCs w:val="24"/>
        </w:rPr>
      </w:pPr>
    </w:p>
    <w:p w14:paraId="77907E16" w14:textId="77777777" w:rsidR="0062350F" w:rsidRDefault="0062350F" w:rsidP="0062350F">
      <w:pPr>
        <w:pStyle w:val="NoSpacing"/>
        <w:rPr>
          <w:rFonts w:ascii="Times New Roman" w:hAnsi="Times New Roman" w:cs="Times New Roman"/>
          <w:sz w:val="24"/>
          <w:szCs w:val="24"/>
        </w:rPr>
      </w:pPr>
    </w:p>
    <w:p w14:paraId="7D421171" w14:textId="77777777" w:rsidR="0062350F" w:rsidRDefault="0062350F" w:rsidP="0062350F">
      <w:pPr>
        <w:pStyle w:val="NoSpacing"/>
        <w:rPr>
          <w:rFonts w:ascii="Times New Roman" w:hAnsi="Times New Roman" w:cs="Times New Roman"/>
          <w:sz w:val="24"/>
          <w:szCs w:val="24"/>
        </w:rPr>
      </w:pPr>
    </w:p>
    <w:p w14:paraId="1EAB7D22" w14:textId="77777777" w:rsidR="0062350F" w:rsidRDefault="0062350F" w:rsidP="0062350F">
      <w:pPr>
        <w:pStyle w:val="NoSpacing"/>
        <w:rPr>
          <w:rFonts w:ascii="Times New Roman" w:hAnsi="Times New Roman" w:cs="Times New Roman"/>
          <w:sz w:val="24"/>
          <w:szCs w:val="24"/>
        </w:rPr>
      </w:pPr>
    </w:p>
    <w:p w14:paraId="33EC4F6E" w14:textId="77777777" w:rsidR="0062350F" w:rsidRPr="00BD1477" w:rsidRDefault="0062350F" w:rsidP="0062350F">
      <w:pPr>
        <w:pStyle w:val="NoSpacing"/>
        <w:rPr>
          <w:rFonts w:ascii="Times New Roman" w:hAnsi="Times New Roman" w:cs="Times New Roman"/>
          <w:sz w:val="24"/>
          <w:szCs w:val="24"/>
        </w:rPr>
      </w:pPr>
    </w:p>
    <w:p w14:paraId="0BAFECC8" w14:textId="77777777" w:rsidR="0062350F" w:rsidRPr="00B96377" w:rsidRDefault="0062350F" w:rsidP="0062350F">
      <w:pPr>
        <w:pStyle w:val="BodyText"/>
        <w:numPr>
          <w:ilvl w:val="0"/>
          <w:numId w:val="1"/>
        </w:numPr>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line="240" w:lineRule="auto"/>
        <w:ind w:left="720"/>
        <w:jc w:val="left"/>
        <w:rPr>
          <w:b/>
          <w:bCs/>
          <w:smallCaps/>
        </w:rPr>
      </w:pPr>
      <w:r w:rsidRPr="00B96377">
        <w:rPr>
          <w:b/>
          <w:bCs/>
          <w:smallCaps/>
        </w:rPr>
        <w:t>Introduction</w:t>
      </w:r>
    </w:p>
    <w:p w14:paraId="771B6282" w14:textId="77777777" w:rsidR="0062350F" w:rsidRDefault="0062350F" w:rsidP="0062350F">
      <w:pPr>
        <w:spacing w:line="480" w:lineRule="auto"/>
        <w:ind w:firstLine="0"/>
        <w:jc w:val="both"/>
      </w:pPr>
    </w:p>
    <w:p w14:paraId="709F1BB8" w14:textId="624D6BA8" w:rsidR="0062350F" w:rsidRDefault="0062350F" w:rsidP="0062350F">
      <w:pPr>
        <w:spacing w:line="480" w:lineRule="auto"/>
        <w:jc w:val="both"/>
      </w:pPr>
      <w:r>
        <w:t>On March 11, 2022</w:t>
      </w:r>
      <w:r w:rsidRPr="00212B92">
        <w:t xml:space="preserve">, the Committee on Environmental Protection, chaired by Council Member </w:t>
      </w:r>
      <w:r>
        <w:t xml:space="preserve">James F. Gennaro, jointly with the </w:t>
      </w:r>
      <w:r w:rsidR="00FB18E5">
        <w:t>Subc</w:t>
      </w:r>
      <w:r>
        <w:t>ommittee on COVID Recovery and Resiliency</w:t>
      </w:r>
      <w:r w:rsidR="006006C7">
        <w:t>, chaired by Council Member Francisco Moya,</w:t>
      </w:r>
      <w:r>
        <w:t xml:space="preserve"> will hold an oversight hearing on “COVID-19 Testing in Wastewater”. </w:t>
      </w:r>
      <w:r w:rsidRPr="00D00960">
        <w:t xml:space="preserve">Those invited to testify include representatives from the Department </w:t>
      </w:r>
      <w:r>
        <w:t>of Environmental Protection</w:t>
      </w:r>
      <w:r w:rsidR="00B22400">
        <w:t xml:space="preserve"> (DEP)</w:t>
      </w:r>
      <w:r>
        <w:t xml:space="preserve">, academics in the field of microbiology, </w:t>
      </w:r>
      <w:r w:rsidRPr="00D00960">
        <w:t xml:space="preserve">environmental advocates, </w:t>
      </w:r>
      <w:r>
        <w:t xml:space="preserve">public health advocates, </w:t>
      </w:r>
      <w:r w:rsidRPr="00D00960">
        <w:t>and other interested parties.</w:t>
      </w:r>
    </w:p>
    <w:p w14:paraId="22F763D9" w14:textId="77777777" w:rsidR="0062350F" w:rsidRPr="00D00960" w:rsidRDefault="0062350F" w:rsidP="0062350F">
      <w:pPr>
        <w:spacing w:line="480" w:lineRule="auto"/>
        <w:jc w:val="both"/>
      </w:pPr>
    </w:p>
    <w:p w14:paraId="07BE3502" w14:textId="77777777" w:rsidR="0062350F" w:rsidRDefault="0062350F" w:rsidP="0062350F">
      <w:pPr>
        <w:pStyle w:val="BodyText"/>
        <w:numPr>
          <w:ilvl w:val="0"/>
          <w:numId w:val="1"/>
        </w:numPr>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line="240" w:lineRule="auto"/>
        <w:ind w:left="720"/>
        <w:jc w:val="left"/>
        <w:rPr>
          <w:b/>
          <w:bCs/>
          <w:smallCaps/>
        </w:rPr>
      </w:pPr>
      <w:r>
        <w:rPr>
          <w:b/>
          <w:bCs/>
          <w:smallCaps/>
        </w:rPr>
        <w:t>Background</w:t>
      </w:r>
    </w:p>
    <w:p w14:paraId="2704318B" w14:textId="77777777" w:rsidR="0062350F" w:rsidRDefault="0062350F" w:rsidP="0062350F">
      <w:pPr>
        <w:pStyle w:val="BodyText"/>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line="240" w:lineRule="auto"/>
        <w:ind w:left="720" w:firstLine="0"/>
        <w:jc w:val="left"/>
        <w:rPr>
          <w:b/>
          <w:bCs/>
          <w:smallCaps/>
        </w:rPr>
      </w:pPr>
    </w:p>
    <w:p w14:paraId="66ED7497" w14:textId="28B89396" w:rsidR="0062350F" w:rsidRDefault="0062350F" w:rsidP="0062350F">
      <w:pPr>
        <w:spacing w:line="480" w:lineRule="auto"/>
        <w:jc w:val="both"/>
      </w:pPr>
      <w:r w:rsidRPr="0018411E">
        <w:t xml:space="preserve">As of </w:t>
      </w:r>
      <w:r>
        <w:t>March 8, 2022,</w:t>
      </w:r>
      <w:r w:rsidRPr="0018411E">
        <w:t xml:space="preserve"> there have been more than </w:t>
      </w:r>
      <w:r w:rsidRPr="005E7163">
        <w:t>4</w:t>
      </w:r>
      <w:r>
        <w:t>48</w:t>
      </w:r>
      <w:r w:rsidRPr="005E7163">
        <w:t>,8</w:t>
      </w:r>
      <w:r>
        <w:t>6</w:t>
      </w:r>
      <w:r w:rsidRPr="005E7163">
        <w:t>2,</w:t>
      </w:r>
      <w:r>
        <w:t xml:space="preserve">096 </w:t>
      </w:r>
      <w:r w:rsidRPr="0018411E">
        <w:t xml:space="preserve">confirmed COVID-19 cases and more than </w:t>
      </w:r>
      <w:r>
        <w:t>6</w:t>
      </w:r>
      <w:r w:rsidRPr="005E7163">
        <w:t>,</w:t>
      </w:r>
      <w:r>
        <w:t>030</w:t>
      </w:r>
      <w:r w:rsidRPr="005E7163">
        <w:t>,</w:t>
      </w:r>
      <w:r>
        <w:t xml:space="preserve">800 </w:t>
      </w:r>
      <w:r w:rsidRPr="0018411E">
        <w:t xml:space="preserve">deaths worldwide, including more than </w:t>
      </w:r>
      <w:r>
        <w:t>80</w:t>
      </w:r>
      <w:r w:rsidRPr="005E7163">
        <w:t>,9</w:t>
      </w:r>
      <w:r>
        <w:t>83</w:t>
      </w:r>
      <w:r w:rsidRPr="005E7163">
        <w:t>,</w:t>
      </w:r>
      <w:r>
        <w:t xml:space="preserve">325 </w:t>
      </w:r>
      <w:r w:rsidRPr="0018411E">
        <w:t>cases and more than</w:t>
      </w:r>
      <w:r>
        <w:t xml:space="preserve"> </w:t>
      </w:r>
      <w:r w:rsidRPr="005E7163">
        <w:t>9</w:t>
      </w:r>
      <w:r>
        <w:t>86</w:t>
      </w:r>
      <w:r w:rsidRPr="005E7163">
        <w:t>,</w:t>
      </w:r>
      <w:r>
        <w:t>099</w:t>
      </w:r>
      <w:r w:rsidRPr="0018411E">
        <w:t xml:space="preserve"> deaths in </w:t>
      </w:r>
      <w:r>
        <w:t xml:space="preserve">the </w:t>
      </w:r>
      <w:r w:rsidRPr="0018411E">
        <w:t>Unite</w:t>
      </w:r>
      <w:r>
        <w:t>d</w:t>
      </w:r>
      <w:r w:rsidRPr="0018411E">
        <w:t xml:space="preserve"> States.</w:t>
      </w:r>
      <w:r w:rsidRPr="0018411E">
        <w:rPr>
          <w:rStyle w:val="FootnoteReference"/>
        </w:rPr>
        <w:footnoteReference w:id="1"/>
      </w:r>
      <w:r w:rsidRPr="0018411E">
        <w:t xml:space="preserve"> As of </w:t>
      </w:r>
      <w:r>
        <w:t>March 8</w:t>
      </w:r>
      <w:r w:rsidRPr="00D734C8">
        <w:t>,</w:t>
      </w:r>
      <w:r w:rsidRPr="0018411E">
        <w:t xml:space="preserve"> there have been more than </w:t>
      </w:r>
      <w:r>
        <w:t>4,915,401</w:t>
      </w:r>
      <w:r w:rsidRPr="0018411E">
        <w:t xml:space="preserve"> confirmed cases</w:t>
      </w:r>
      <w:r w:rsidRPr="0018411E">
        <w:rPr>
          <w:rStyle w:val="FootnoteReference"/>
        </w:rPr>
        <w:footnoteReference w:id="2"/>
      </w:r>
      <w:r w:rsidRPr="0018411E">
        <w:t xml:space="preserve"> and more than </w:t>
      </w:r>
      <w:r>
        <w:t>54,850</w:t>
      </w:r>
      <w:r w:rsidRPr="0018411E">
        <w:t xml:space="preserve"> deaths in </w:t>
      </w:r>
      <w:r w:rsidR="0035491B">
        <w:t>New York</w:t>
      </w:r>
      <w:r w:rsidRPr="0018411E">
        <w:t xml:space="preserve"> State,</w:t>
      </w:r>
      <w:r w:rsidRPr="0018411E">
        <w:rPr>
          <w:rStyle w:val="FootnoteReference"/>
        </w:rPr>
        <w:footnoteReference w:id="3"/>
      </w:r>
      <w:r w:rsidRPr="0018411E">
        <w:t xml:space="preserve"> including more than </w:t>
      </w:r>
      <w:r w:rsidRPr="000644D0">
        <w:t>2,2</w:t>
      </w:r>
      <w:r>
        <w:t>82</w:t>
      </w:r>
      <w:r w:rsidRPr="000644D0">
        <w:t>,</w:t>
      </w:r>
      <w:r>
        <w:t>831</w:t>
      </w:r>
      <w:r w:rsidRPr="0018411E">
        <w:t xml:space="preserve"> cases and </w:t>
      </w:r>
      <w:r w:rsidRPr="000644D0">
        <w:t>39,</w:t>
      </w:r>
      <w:r>
        <w:t>927</w:t>
      </w:r>
      <w:r w:rsidRPr="000644D0">
        <w:t xml:space="preserve"> confirmed</w:t>
      </w:r>
      <w:r w:rsidRPr="0018411E">
        <w:t xml:space="preserve"> deaths in New York City.</w:t>
      </w:r>
      <w:r w:rsidRPr="0018411E">
        <w:rPr>
          <w:rStyle w:val="FootnoteReference"/>
        </w:rPr>
        <w:footnoteReference w:id="4"/>
      </w:r>
      <w:r w:rsidRPr="0018411E">
        <w:t xml:space="preserve"> </w:t>
      </w:r>
      <w:r>
        <w:t>At least 86.2 percent of all New York City residents have received at least one dose of a COVID-19 vaccine, with roughly 13.8 percent of the population remaining unvaccinated.</w:t>
      </w:r>
      <w:r>
        <w:rPr>
          <w:rStyle w:val="FootnoteReference"/>
        </w:rPr>
        <w:footnoteReference w:id="5"/>
      </w:r>
      <w:r>
        <w:t xml:space="preserve"> Of all adults in New York City, nearly 97 percent have received at least one dose of a vaccine.</w:t>
      </w:r>
      <w:r>
        <w:rPr>
          <w:rStyle w:val="FootnoteReference"/>
        </w:rPr>
        <w:footnoteReference w:id="6"/>
      </w:r>
      <w:r>
        <w:t xml:space="preserve"> Those who are unvaccinated are much more likely to test positive for COVID-19, and to be hospitalized or to die.</w:t>
      </w:r>
      <w:r>
        <w:rPr>
          <w:rStyle w:val="FootnoteReference"/>
        </w:rPr>
        <w:footnoteReference w:id="7"/>
      </w:r>
      <w:r>
        <w:t xml:space="preserve"> According to DOHMH data, those who are unvaccinated are 1.4 times more likely to test positive, about 3 times more likely to be hospitalized, and are about 4 times more likely to die from COVID-19.</w:t>
      </w:r>
      <w:r>
        <w:rPr>
          <w:rStyle w:val="FootnoteReference"/>
        </w:rPr>
        <w:footnoteReference w:id="8"/>
      </w:r>
      <w:r>
        <w:t xml:space="preserve"> There are severe equity concerns when examining COVID-19 data and the impact of the pandemic on communities that are marginalized.</w:t>
      </w:r>
      <w:r>
        <w:rPr>
          <w:rStyle w:val="FootnoteReference"/>
        </w:rPr>
        <w:footnoteReference w:id="9"/>
      </w:r>
      <w:r>
        <w:t xml:space="preserve"> Available COVID-19 data</w:t>
      </w:r>
      <w:r>
        <w:rPr>
          <w:rStyle w:val="FootnoteReference"/>
        </w:rPr>
        <w:footnoteReference w:id="10"/>
      </w:r>
      <w:r>
        <w:t xml:space="preserve"> indicates that those living in high poverty areas and/or the Bronx as well as those who are Black/African American, Hispanic/Latino, and/or older are more likely to be hospitalized and die from COVID-19.</w:t>
      </w:r>
      <w:r>
        <w:rPr>
          <w:rStyle w:val="FootnoteReference"/>
        </w:rPr>
        <w:footnoteReference w:id="11"/>
      </w:r>
      <w:r>
        <w:t xml:space="preserve"> </w:t>
      </w:r>
    </w:p>
    <w:p w14:paraId="1E96AE79" w14:textId="77777777" w:rsidR="00CA5946" w:rsidRDefault="00CA5946" w:rsidP="0062350F">
      <w:pPr>
        <w:spacing w:line="480" w:lineRule="auto"/>
        <w:jc w:val="both"/>
      </w:pPr>
    </w:p>
    <w:p w14:paraId="3E9EAF8E" w14:textId="77777777" w:rsidR="0062350F" w:rsidRDefault="0062350F" w:rsidP="0062350F">
      <w:pPr>
        <w:spacing w:line="480" w:lineRule="auto"/>
        <w:ind w:firstLine="0"/>
        <w:jc w:val="both"/>
        <w:rPr>
          <w:i/>
          <w:iCs/>
          <w:u w:val="single"/>
        </w:rPr>
      </w:pPr>
      <w:r w:rsidRPr="00F97DDC">
        <w:rPr>
          <w:i/>
          <w:iCs/>
          <w:u w:val="single"/>
        </w:rPr>
        <w:t>COVID Testing in Wastewater</w:t>
      </w:r>
    </w:p>
    <w:p w14:paraId="68C1A73C" w14:textId="4C02A082" w:rsidR="0062350F" w:rsidRDefault="0062350F" w:rsidP="0062350F">
      <w:pPr>
        <w:pStyle w:val="Default"/>
        <w:spacing w:line="480" w:lineRule="auto"/>
        <w:ind w:firstLine="720"/>
        <w:jc w:val="both"/>
        <w:rPr>
          <w:bCs/>
        </w:rPr>
      </w:pPr>
      <w:r>
        <w:rPr>
          <w:bCs/>
        </w:rPr>
        <w:t xml:space="preserve">Wastewater monitoring for SARS-CoV-2 RNA presents an opportunity for pooled community testing that tracks changes in COVID-19 infection levels through </w:t>
      </w:r>
      <w:r w:rsidR="006C5B1D">
        <w:rPr>
          <w:bCs/>
        </w:rPr>
        <w:t xml:space="preserve">a </w:t>
      </w:r>
      <w:r>
        <w:rPr>
          <w:bCs/>
        </w:rPr>
        <w:t>community.</w:t>
      </w:r>
      <w:r>
        <w:rPr>
          <w:rStyle w:val="FootnoteReference"/>
          <w:bCs/>
        </w:rPr>
        <w:footnoteReference w:id="12"/>
      </w:r>
      <w:r>
        <w:rPr>
          <w:bCs/>
        </w:rPr>
        <w:t xml:space="preserve"> </w:t>
      </w:r>
      <w:r w:rsidRPr="00693CB4">
        <w:rPr>
          <w:bCs/>
        </w:rPr>
        <w:t xml:space="preserve">New York City has 14 wastewater treatment plants, categorized into </w:t>
      </w:r>
      <w:r>
        <w:rPr>
          <w:bCs/>
        </w:rPr>
        <w:t>three</w:t>
      </w:r>
      <w:r w:rsidRPr="00693CB4">
        <w:rPr>
          <w:bCs/>
        </w:rPr>
        <w:t xml:space="preserve"> regional areas</w:t>
      </w:r>
      <w:r>
        <w:rPr>
          <w:bCs/>
        </w:rPr>
        <w:t>:</w:t>
      </w:r>
      <w:r w:rsidRPr="00693CB4">
        <w:rPr>
          <w:bCs/>
        </w:rPr>
        <w:t xml:space="preserve"> north, south, and east.</w:t>
      </w:r>
      <w:r w:rsidRPr="00693CB4">
        <w:rPr>
          <w:rStyle w:val="FootnoteReference"/>
          <w:bCs/>
        </w:rPr>
        <w:footnoteReference w:id="13"/>
      </w:r>
      <w:r>
        <w:rPr>
          <w:bCs/>
        </w:rPr>
        <w:t xml:space="preserve"> Each of the 14 plants serves a distinct geographical area,</w:t>
      </w:r>
      <w:r>
        <w:rPr>
          <w:rStyle w:val="FootnoteReference"/>
          <w:bCs/>
        </w:rPr>
        <w:footnoteReference w:id="14"/>
      </w:r>
      <w:r>
        <w:rPr>
          <w:bCs/>
        </w:rPr>
        <w:t xml:space="preserve"> referred to as a sewershed.</w:t>
      </w:r>
      <w:r>
        <w:rPr>
          <w:rStyle w:val="FootnoteReference"/>
          <w:bCs/>
        </w:rPr>
        <w:footnoteReference w:id="15"/>
      </w:r>
      <w:r w:rsidRPr="00693CB4">
        <w:rPr>
          <w:bCs/>
        </w:rPr>
        <w:t xml:space="preserve"> In total, these plants </w:t>
      </w:r>
      <w:r w:rsidRPr="00460B52">
        <w:rPr>
          <w:bCs/>
          <w:color w:val="000000" w:themeColor="text1"/>
        </w:rPr>
        <w:t>have</w:t>
      </w:r>
      <w:r w:rsidRPr="00693CB4">
        <w:rPr>
          <w:bCs/>
        </w:rPr>
        <w:t xml:space="preserve"> a combined treatment capacity of 1</w:t>
      </w:r>
      <w:r>
        <w:rPr>
          <w:bCs/>
        </w:rPr>
        <w:t xml:space="preserve">.3 billion </w:t>
      </w:r>
      <w:r w:rsidRPr="00693CB4">
        <w:rPr>
          <w:bCs/>
        </w:rPr>
        <w:t>gallons per day.</w:t>
      </w:r>
      <w:r w:rsidRPr="00693CB4">
        <w:rPr>
          <w:rStyle w:val="FootnoteReference"/>
          <w:bCs/>
        </w:rPr>
        <w:footnoteReference w:id="16"/>
      </w:r>
      <w:r w:rsidRPr="00693CB4">
        <w:rPr>
          <w:bCs/>
        </w:rPr>
        <w:t xml:space="preserve"> </w:t>
      </w:r>
      <w:r>
        <w:rPr>
          <w:bCs/>
        </w:rPr>
        <w:t>Wastewater monitoring for SARS-CoV-2 RNA at the treatment plant level can provide trend data for COVID-19 infections that is specific to the communities serviced by each facility.</w:t>
      </w:r>
      <w:r>
        <w:rPr>
          <w:rStyle w:val="FootnoteReference"/>
          <w:bCs/>
        </w:rPr>
        <w:footnoteReference w:id="17"/>
      </w:r>
      <w:r>
        <w:rPr>
          <w:bCs/>
        </w:rPr>
        <w:t xml:space="preserve"> It is not currently possible to extrapolate sewage testing data into specific numbers of infected individuals, and testing at the treatment plant level would not capture evidence of infected individuals not serviced by the municipal sewer system.</w:t>
      </w:r>
      <w:r>
        <w:rPr>
          <w:rStyle w:val="FootnoteReference"/>
          <w:bCs/>
        </w:rPr>
        <w:footnoteReference w:id="18"/>
      </w:r>
    </w:p>
    <w:p w14:paraId="6839A207" w14:textId="77777777" w:rsidR="0062350F" w:rsidRDefault="0062350F" w:rsidP="0062350F">
      <w:pPr>
        <w:pStyle w:val="Default"/>
        <w:spacing w:line="480" w:lineRule="auto"/>
        <w:ind w:firstLine="720"/>
        <w:jc w:val="both"/>
        <w:rPr>
          <w:bCs/>
        </w:rPr>
      </w:pPr>
    </w:p>
    <w:p w14:paraId="0609E2B4" w14:textId="77777777" w:rsidR="0062350F" w:rsidRDefault="0062350F" w:rsidP="0062350F">
      <w:pPr>
        <w:pStyle w:val="Default"/>
        <w:spacing w:line="480" w:lineRule="auto"/>
        <w:ind w:firstLine="720"/>
        <w:jc w:val="both"/>
        <w:rPr>
          <w:bCs/>
        </w:rPr>
      </w:pPr>
      <w:r>
        <w:rPr>
          <w:bCs/>
          <w:noProof/>
        </w:rPr>
        <w:drawing>
          <wp:inline distT="0" distB="0" distL="0" distR="0" wp14:anchorId="07AF37FF" wp14:editId="6803E9D5">
            <wp:extent cx="4965031" cy="5794664"/>
            <wp:effectExtent l="0" t="0" r="1270" b="0"/>
            <wp:docPr id="2" name="Picture 2"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ap&#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4977396" cy="5809096"/>
                    </a:xfrm>
                    <a:prstGeom prst="rect">
                      <a:avLst/>
                    </a:prstGeom>
                  </pic:spPr>
                </pic:pic>
              </a:graphicData>
            </a:graphic>
          </wp:inline>
        </w:drawing>
      </w:r>
      <w:r>
        <w:rPr>
          <w:rStyle w:val="FootnoteReference"/>
          <w:bCs/>
        </w:rPr>
        <w:footnoteReference w:id="19"/>
      </w:r>
    </w:p>
    <w:p w14:paraId="444AC60B" w14:textId="4ECFBEE1" w:rsidR="0062350F" w:rsidRDefault="0062350F" w:rsidP="0062350F">
      <w:pPr>
        <w:pStyle w:val="Default"/>
        <w:jc w:val="both"/>
        <w:rPr>
          <w:bCs/>
          <w:sz w:val="20"/>
        </w:rPr>
      </w:pPr>
      <w:r w:rsidRPr="00C221B0">
        <w:rPr>
          <w:bCs/>
          <w:sz w:val="20"/>
        </w:rPr>
        <w:t>The above map shows the location of wastewater treatment plants</w:t>
      </w:r>
      <w:r>
        <w:rPr>
          <w:bCs/>
          <w:sz w:val="20"/>
        </w:rPr>
        <w:t xml:space="preserve">, their processing </w:t>
      </w:r>
      <w:r w:rsidRPr="00C221B0">
        <w:rPr>
          <w:bCs/>
          <w:sz w:val="20"/>
        </w:rPr>
        <w:t xml:space="preserve">capacity, as well </w:t>
      </w:r>
      <w:r>
        <w:rPr>
          <w:bCs/>
          <w:sz w:val="20"/>
        </w:rPr>
        <w:t>the area served by each plant.</w:t>
      </w:r>
    </w:p>
    <w:p w14:paraId="14A88878" w14:textId="77777777" w:rsidR="00CA5946" w:rsidRPr="00205184" w:rsidRDefault="00CA5946" w:rsidP="0062350F">
      <w:pPr>
        <w:pStyle w:val="Default"/>
        <w:jc w:val="both"/>
        <w:rPr>
          <w:bCs/>
          <w:sz w:val="20"/>
        </w:rPr>
      </w:pPr>
    </w:p>
    <w:p w14:paraId="039C65BF" w14:textId="77777777" w:rsidR="0062350F" w:rsidRDefault="0062350F" w:rsidP="0062350F">
      <w:pPr>
        <w:pStyle w:val="Default"/>
        <w:spacing w:line="480" w:lineRule="auto"/>
        <w:jc w:val="both"/>
        <w:rPr>
          <w:i/>
          <w:iCs/>
          <w:u w:val="single"/>
        </w:rPr>
      </w:pPr>
      <w:r>
        <w:rPr>
          <w:i/>
          <w:iCs/>
          <w:u w:val="single"/>
        </w:rPr>
        <w:t xml:space="preserve">Wastewater Based Epidemiology and </w:t>
      </w:r>
      <w:r w:rsidRPr="003C276E">
        <w:rPr>
          <w:i/>
          <w:iCs/>
          <w:u w:val="single"/>
        </w:rPr>
        <w:t xml:space="preserve">Metagenomic Next Gen Sequencing </w:t>
      </w:r>
    </w:p>
    <w:p w14:paraId="21F80A62" w14:textId="77777777" w:rsidR="0062350F" w:rsidRPr="006A5DF2" w:rsidRDefault="0062350F" w:rsidP="0062350F">
      <w:pPr>
        <w:pStyle w:val="Default"/>
        <w:spacing w:line="480" w:lineRule="auto"/>
        <w:jc w:val="both"/>
      </w:pPr>
      <w:r>
        <w:tab/>
        <w:t xml:space="preserve">Wastewater based epidemiology is based on the assumption that </w:t>
      </w:r>
      <w:r w:rsidRPr="006A5DF2">
        <w:t xml:space="preserve">any substance that is excreted by humans and is stable in wastewater can be used to calculate the original concentration excreted by </w:t>
      </w:r>
      <w:r>
        <w:t>a given population</w:t>
      </w:r>
      <w:r w:rsidRPr="006A5DF2">
        <w:t>.</w:t>
      </w:r>
      <w:r>
        <w:rPr>
          <w:rStyle w:val="FootnoteReference"/>
        </w:rPr>
        <w:footnoteReference w:id="20"/>
      </w:r>
      <w:r>
        <w:t xml:space="preserve"> In the past, this framework has been used to calculate illicit drug use, prevalence of Tamiflu use during the 2009 influenza pandemic, and to monitor the prevalence of diseases such as polio.</w:t>
      </w:r>
      <w:r>
        <w:rPr>
          <w:rStyle w:val="FootnoteReference"/>
        </w:rPr>
        <w:footnoteReference w:id="21"/>
      </w:r>
      <w:r>
        <w:t xml:space="preserve"> Because viruses do not grow outside of host cells, changes in  concentration of viral particles in wastewater can be used for detection of new viral outbreaks, the emergence of new viral strains, and potentially be extrapolated to determine the extent of infection in a given population.</w:t>
      </w:r>
      <w:r>
        <w:rPr>
          <w:rStyle w:val="FootnoteReference"/>
        </w:rPr>
        <w:footnoteReference w:id="22"/>
      </w:r>
      <w:r>
        <w:t xml:space="preserve"> In the early days of the COVID-19 pandemic, wastewater monitoring was hypothesized as a means of near-real-time outbreak data monitoring due to the continual supply of viral particles shed by infected humans in their urine and feces, regardless of whether individuals were showing symptoms or asymptomatic.</w:t>
      </w:r>
      <w:r>
        <w:rPr>
          <w:rStyle w:val="FootnoteReference"/>
        </w:rPr>
        <w:footnoteReference w:id="23"/>
      </w:r>
      <w:r>
        <w:t xml:space="preserve"> </w:t>
      </w:r>
    </w:p>
    <w:p w14:paraId="43B31BB5" w14:textId="3F3A4EC1" w:rsidR="0062350F" w:rsidRDefault="0062350F" w:rsidP="0062350F">
      <w:pPr>
        <w:pStyle w:val="Default"/>
        <w:spacing w:line="480" w:lineRule="auto"/>
        <w:jc w:val="both"/>
      </w:pPr>
      <w:r>
        <w:tab/>
        <w:t xml:space="preserve">Metagenomic next generation (“next gen”) sequencing refers to any </w:t>
      </w:r>
      <w:r w:rsidRPr="003C276E">
        <w:t xml:space="preserve">high-throughput </w:t>
      </w:r>
      <w:r>
        <w:t xml:space="preserve">genetic </w:t>
      </w:r>
      <w:r w:rsidRPr="003C276E">
        <w:t xml:space="preserve">sequencing methods </w:t>
      </w:r>
      <w:r>
        <w:t>that allow</w:t>
      </w:r>
      <w:r w:rsidRPr="003C276E">
        <w:t xml:space="preserve"> billions of nucleic acid fragments </w:t>
      </w:r>
      <w:r>
        <w:t>to</w:t>
      </w:r>
      <w:r w:rsidRPr="003C276E">
        <w:t xml:space="preserve"> be simultaneously and independently sequenced.</w:t>
      </w:r>
      <w:r>
        <w:rPr>
          <w:rStyle w:val="FootnoteReference"/>
        </w:rPr>
        <w:footnoteReference w:id="24"/>
      </w:r>
      <w:r w:rsidRPr="003C276E">
        <w:t xml:space="preserve"> </w:t>
      </w:r>
      <w:r>
        <w:t>Using computational approaches, overlapping gene sequences are identified, pieced together, then compared to a library of reference genomes in order to show which organisms have contributed genetic material to the sample.</w:t>
      </w:r>
      <w:r>
        <w:rPr>
          <w:rStyle w:val="FootnoteReference"/>
        </w:rPr>
        <w:footnoteReference w:id="25"/>
      </w:r>
      <w:r>
        <w:t xml:space="preserve">  This method of sequencing can simultaneously identify genetic material from completely different kingdoms of organisms, and provide data pertaining to what microbes are present in a given sample, and in what proportions.</w:t>
      </w:r>
      <w:r>
        <w:rPr>
          <w:rStyle w:val="FootnoteReference"/>
        </w:rPr>
        <w:footnoteReference w:id="26"/>
      </w:r>
      <w:r>
        <w:t xml:space="preserve"> As such, its utility in wastewater based epidemiology is not limited to COVID-19 detection, but potentially a wide range of infectious diseases and pathogens.</w:t>
      </w:r>
    </w:p>
    <w:p w14:paraId="415401A4" w14:textId="77777777" w:rsidR="00CA5946" w:rsidRPr="00C54913" w:rsidRDefault="00CA5946" w:rsidP="0062350F">
      <w:pPr>
        <w:pStyle w:val="Default"/>
        <w:spacing w:line="480" w:lineRule="auto"/>
        <w:jc w:val="both"/>
      </w:pPr>
    </w:p>
    <w:p w14:paraId="493ABAE1" w14:textId="77777777" w:rsidR="0062350F" w:rsidRPr="00FA157E" w:rsidRDefault="0062350F" w:rsidP="0062350F">
      <w:pPr>
        <w:spacing w:line="480" w:lineRule="auto"/>
        <w:ind w:firstLine="0"/>
        <w:jc w:val="both"/>
        <w:rPr>
          <w:i/>
          <w:iCs/>
          <w:u w:val="single"/>
        </w:rPr>
      </w:pPr>
      <w:r w:rsidRPr="00FA157E">
        <w:rPr>
          <w:i/>
          <w:iCs/>
          <w:u w:val="single"/>
        </w:rPr>
        <w:t>Variants of the SARS -CoV-2 Virus</w:t>
      </w:r>
    </w:p>
    <w:p w14:paraId="6D20388E" w14:textId="77777777" w:rsidR="0062350F" w:rsidRDefault="0062350F" w:rsidP="0062350F">
      <w:pPr>
        <w:spacing w:line="480" w:lineRule="auto"/>
        <w:jc w:val="both"/>
      </w:pPr>
      <w:r>
        <w:t>Since the first major worldwide outbreak of SARS-CoV-2, the virus that causes COVID-19, there have been several variants of the virus, with two particular variants identified as variants of concern by the Center for Disease Control and Prevention (CDC): the delta and omicron variants.</w:t>
      </w:r>
      <w:r>
        <w:rPr>
          <w:rStyle w:val="FootnoteReference"/>
        </w:rPr>
        <w:footnoteReference w:id="27"/>
      </w:r>
      <w:r>
        <w:t xml:space="preserve"> The delta variant is nearly twice as contagious as earlier variants and might cause more severe illness.</w:t>
      </w:r>
      <w:r>
        <w:rPr>
          <w:rStyle w:val="FootnoteReference"/>
        </w:rPr>
        <w:footnoteReference w:id="28"/>
      </w:r>
      <w:r>
        <w:t xml:space="preserve"> The greatest risk of transmission is among unvaccinated people, although people who are fully vaccinated can get vaccine breakthrough infections and spread the virus to others.</w:t>
      </w:r>
      <w:r>
        <w:rPr>
          <w:rStyle w:val="FootnoteReference"/>
        </w:rPr>
        <w:footnoteReference w:id="29"/>
      </w:r>
      <w:r>
        <w:t xml:space="preserve"> Research shows that COVID-19 vaccines are slightly less effective against the delta variant, but the Pfizer-BioNTech, Moderna, and Janssen/Johnson &amp; Johnson COVID-19 vaccines still appear to provide protection against severe COVID-19.</w:t>
      </w:r>
      <w:r>
        <w:rPr>
          <w:rStyle w:val="FootnoteReference"/>
        </w:rPr>
        <w:footnoteReference w:id="30"/>
      </w:r>
      <w:r>
        <w:t xml:space="preserve"> The omicron variant might spread more easily than other variants, including delta, but it is not yet clear if omicron causes more severe disease.</w:t>
      </w:r>
      <w:r>
        <w:rPr>
          <w:rStyle w:val="FootnoteReference"/>
        </w:rPr>
        <w:footnoteReference w:id="31"/>
      </w:r>
      <w:r>
        <w:t xml:space="preserve"> Similar to delta, it is expected that people who are fully vaccinated likely can get breakthrough infections and spread the virus to others, and COVID-19 vaccines are expected to be effective at preventing severe illness.</w:t>
      </w:r>
      <w:r>
        <w:rPr>
          <w:rStyle w:val="FootnoteReference"/>
        </w:rPr>
        <w:footnoteReference w:id="32"/>
      </w:r>
      <w:r>
        <w:t xml:space="preserve"> The alpha, gamma, and beta variants continue to be monitored but are spreading at much lower levels in the United States, and the mu variant is also being monitored.</w:t>
      </w:r>
      <w:r>
        <w:rPr>
          <w:rStyle w:val="FootnoteReference"/>
        </w:rPr>
        <w:footnoteReference w:id="33"/>
      </w:r>
      <w:r>
        <w:t xml:space="preserve"> There is also a omicron subvariant, known as BA.2, which is present in nearly half of U.S. States, and is 1.5 times more transmissible than the original omicron strain.</w:t>
      </w:r>
      <w:r>
        <w:rPr>
          <w:rStyle w:val="FootnoteReference"/>
        </w:rPr>
        <w:footnoteReference w:id="34"/>
      </w:r>
      <w:r>
        <w:t xml:space="preserve"> </w:t>
      </w:r>
    </w:p>
    <w:p w14:paraId="0826923B" w14:textId="6EEB50DC" w:rsidR="0062350F" w:rsidRDefault="0062350F" w:rsidP="0062350F">
      <w:pPr>
        <w:spacing w:line="480" w:lineRule="auto"/>
        <w:jc w:val="both"/>
      </w:pPr>
      <w:r>
        <w:t>As variants continue to circulate, the CDC has recommended additional primary shots for individuals with weakened immune systems, and booster shots for individuals aged 12 and older.</w:t>
      </w:r>
      <w:r>
        <w:rPr>
          <w:rStyle w:val="FootnoteReference"/>
        </w:rPr>
        <w:footnoteReference w:id="35"/>
      </w:r>
      <w:r>
        <w:t xml:space="preserve"> As COVID restrictions are now being relaxed in several U.S. states, including New York, scientists have stated that </w:t>
      </w:r>
      <w:r w:rsidR="006C7303">
        <w:t>t</w:t>
      </w:r>
      <w:r>
        <w:t>here is no certainty that COVID variants will get milder over time, and future ones could prove even more severe than delta was.</w:t>
      </w:r>
      <w:r>
        <w:rPr>
          <w:rStyle w:val="FootnoteReference"/>
        </w:rPr>
        <w:footnoteReference w:id="36"/>
      </w:r>
      <w:r>
        <w:t xml:space="preserve"> David Nabarro, a special envoy on COVID-19 for the World Health Organization (WHO) stated that the pandemic still “has a long way to go” and there “will be more variants after omicron and if they are more transmissible they will dominate,” adding that “they may turn out to be more lethal or have more long-term consequences.”</w:t>
      </w:r>
      <w:r>
        <w:rPr>
          <w:rStyle w:val="FootnoteReference"/>
        </w:rPr>
        <w:footnoteReference w:id="37"/>
      </w:r>
    </w:p>
    <w:p w14:paraId="1F2E6E1B" w14:textId="77777777" w:rsidR="00CA5946" w:rsidRDefault="00CA5946" w:rsidP="0062350F">
      <w:pPr>
        <w:spacing w:line="480" w:lineRule="auto"/>
        <w:jc w:val="both"/>
      </w:pPr>
    </w:p>
    <w:p w14:paraId="4AC4919D" w14:textId="77777777" w:rsidR="0062350F" w:rsidRDefault="0062350F" w:rsidP="0062350F">
      <w:pPr>
        <w:spacing w:line="480" w:lineRule="auto"/>
        <w:ind w:firstLine="0"/>
        <w:jc w:val="both"/>
        <w:rPr>
          <w:i/>
          <w:iCs/>
          <w:u w:val="single"/>
        </w:rPr>
      </w:pPr>
      <w:r w:rsidRPr="008F6A6D">
        <w:rPr>
          <w:i/>
          <w:iCs/>
          <w:u w:val="single"/>
        </w:rPr>
        <w:t>New York City’s SARS -CoV-2 Wastewater Monitoring Pilot Program</w:t>
      </w:r>
    </w:p>
    <w:p w14:paraId="72130601" w14:textId="3AEC23AC" w:rsidR="0062350F" w:rsidRDefault="0062350F" w:rsidP="0062350F">
      <w:pPr>
        <w:spacing w:line="480" w:lineRule="auto"/>
        <w:ind w:firstLine="0"/>
        <w:jc w:val="both"/>
      </w:pPr>
      <w:r>
        <w:tab/>
        <w:t xml:space="preserve">Local Law 28 of 2021 </w:t>
      </w:r>
      <w:r w:rsidRPr="008F6A6D">
        <w:rPr>
          <w:color w:val="000000"/>
          <w:shd w:val="clear" w:color="auto" w:fill="FFFFFF"/>
        </w:rPr>
        <w:t>require</w:t>
      </w:r>
      <w:r>
        <w:rPr>
          <w:color w:val="000000"/>
          <w:shd w:val="clear" w:color="auto" w:fill="FFFFFF"/>
        </w:rPr>
        <w:t>d</w:t>
      </w:r>
      <w:r w:rsidRPr="008F6A6D">
        <w:rPr>
          <w:color w:val="000000"/>
          <w:shd w:val="clear" w:color="auto" w:fill="FFFFFF"/>
        </w:rPr>
        <w:t xml:space="preserve"> the Commissioner of Environmental Protection, in consultation with the Commissioner of Health and Mental Hygiene to create a pilot program to test the city’s wastewater treatment plants for the presence of SARS-CoV-2</w:t>
      </w:r>
      <w:r>
        <w:rPr>
          <w:color w:val="000000"/>
          <w:shd w:val="clear" w:color="auto" w:fill="FFFFFF"/>
        </w:rPr>
        <w:t xml:space="preserve"> </w:t>
      </w:r>
      <w:r w:rsidRPr="008F6A6D">
        <w:rPr>
          <w:color w:val="000000"/>
          <w:shd w:val="clear" w:color="auto" w:fill="FFFFFF"/>
        </w:rPr>
        <w:t>and submit a report with the results of the program</w:t>
      </w:r>
      <w:r>
        <w:rPr>
          <w:color w:val="000000"/>
          <w:shd w:val="clear" w:color="auto" w:fill="FFFFFF"/>
        </w:rPr>
        <w:t xml:space="preserve"> to the New York City Council.</w:t>
      </w:r>
      <w:r>
        <w:rPr>
          <w:rStyle w:val="FootnoteReference"/>
          <w:color w:val="000000"/>
          <w:shd w:val="clear" w:color="auto" w:fill="FFFFFF"/>
        </w:rPr>
        <w:footnoteReference w:id="38"/>
      </w:r>
      <w:r>
        <w:rPr>
          <w:color w:val="000000"/>
          <w:shd w:val="clear" w:color="auto" w:fill="FFFFFF"/>
        </w:rPr>
        <w:t xml:space="preserve"> On February 17</w:t>
      </w:r>
      <w:r w:rsidRPr="00FB0BD8">
        <w:rPr>
          <w:color w:val="000000"/>
          <w:shd w:val="clear" w:color="auto" w:fill="FFFFFF"/>
          <w:vertAlign w:val="superscript"/>
        </w:rPr>
        <w:t>th</w:t>
      </w:r>
      <w:r>
        <w:rPr>
          <w:color w:val="000000"/>
          <w:shd w:val="clear" w:color="auto" w:fill="FFFFFF"/>
        </w:rPr>
        <w:t xml:space="preserve"> of 2022, a report titled “Analysis of the effectiveness of a pilot program to monitor SARS-CoV-2 presence in wastewater in New York City” was submitted to the Council, with a summary of responses to the LL 28 reporting requirements, and outlining the findings of the pilot program study.</w:t>
      </w:r>
      <w:r>
        <w:rPr>
          <w:rStyle w:val="FootnoteReference"/>
          <w:color w:val="000000"/>
          <w:shd w:val="clear" w:color="auto" w:fill="FFFFFF"/>
        </w:rPr>
        <w:footnoteReference w:id="39"/>
      </w:r>
      <w:r>
        <w:rPr>
          <w:color w:val="000000"/>
          <w:shd w:val="clear" w:color="auto" w:fill="FFFFFF"/>
        </w:rPr>
        <w:t xml:space="preserve"> </w:t>
      </w:r>
      <w:r>
        <w:t>While the report states that the pilot was highly effective in developing NYC’s capacity for WBE (wastewater based epidemiology), and allowing DEP to establish methods of measuring SARS-CoV-2 levels, detect</w:t>
      </w:r>
      <w:r w:rsidR="000A7285">
        <w:t>ing</w:t>
      </w:r>
      <w:r>
        <w:t xml:space="preserve"> SARS-CoV-2 variants in wastewater, and </w:t>
      </w:r>
      <w:r w:rsidR="000A7285">
        <w:t>for</w:t>
      </w:r>
      <w:r>
        <w:t xml:space="preserve"> develop</w:t>
      </w:r>
      <w:r w:rsidR="000A7285">
        <w:t>ing</w:t>
      </w:r>
      <w:r>
        <w:t xml:space="preserve"> strong relationships with academic, state, and federal partners, initial expectations about the utility of WBE for providing a leading indicator of COVID-19 infection rates were not borne out.</w:t>
      </w:r>
      <w:r>
        <w:rPr>
          <w:rStyle w:val="FootnoteReference"/>
        </w:rPr>
        <w:footnoteReference w:id="40"/>
      </w:r>
      <w:r>
        <w:t xml:space="preserve">  </w:t>
      </w:r>
    </w:p>
    <w:p w14:paraId="4D3D5780" w14:textId="558E9D2C" w:rsidR="0062350F" w:rsidRPr="003643C2" w:rsidRDefault="0062350F" w:rsidP="003643C2">
      <w:pPr>
        <w:spacing w:line="480" w:lineRule="auto"/>
        <w:jc w:val="both"/>
      </w:pPr>
      <w:r w:rsidRPr="003643C2">
        <w:t>For the purposes of the pilot program, DEP collected samples of wastewater entering each of NYC’s 14 W</w:t>
      </w:r>
      <w:r w:rsidR="00B22400" w:rsidRPr="003643C2">
        <w:t xml:space="preserve">astewater </w:t>
      </w:r>
      <w:r w:rsidRPr="003643C2">
        <w:t>R</w:t>
      </w:r>
      <w:r w:rsidR="00B22400" w:rsidRPr="003643C2">
        <w:t xml:space="preserve">esource </w:t>
      </w:r>
      <w:r w:rsidRPr="003643C2">
        <w:t>R</w:t>
      </w:r>
      <w:r w:rsidR="00B22400" w:rsidRPr="003643C2">
        <w:t xml:space="preserve">ecovery </w:t>
      </w:r>
      <w:r w:rsidRPr="003643C2">
        <w:t>F</w:t>
      </w:r>
      <w:r w:rsidR="00B22400" w:rsidRPr="003643C2">
        <w:t>acilitie</w:t>
      </w:r>
      <w:r w:rsidRPr="003643C2">
        <w:t>s (</w:t>
      </w:r>
      <w:r w:rsidR="00B22400" w:rsidRPr="003643C2">
        <w:t>WRRF</w:t>
      </w:r>
      <w:r w:rsidRPr="003643C2">
        <w:t>) every three hours over a 24-hour period, then combined those samples into one sample corresponding to a 24-hour period.</w:t>
      </w:r>
      <w:r w:rsidR="003643C2">
        <w:rPr>
          <w:rStyle w:val="FootnoteReference"/>
        </w:rPr>
        <w:footnoteReference w:id="41"/>
      </w:r>
      <w:r w:rsidR="00CA5946" w:rsidRPr="003643C2">
        <w:t xml:space="preserve"> Samples were tested using reverse-transcriptase quantitative polymerase chain reaction (RT-qPCR) twice weekly beginning August 31, 2020, then reduced to once weekly from January 31, 2021 to April 18, 2021.</w:t>
      </w:r>
      <w:r w:rsidR="003643C2">
        <w:rPr>
          <w:rStyle w:val="FootnoteReference"/>
        </w:rPr>
        <w:footnoteReference w:id="42"/>
      </w:r>
      <w:r w:rsidRPr="003643C2">
        <w:t xml:space="preserve"> DEP also carried out localized monitoring in two NYC sewersheds in order to establish protocols.</w:t>
      </w:r>
      <w:r w:rsidR="003643C2">
        <w:rPr>
          <w:rStyle w:val="FootnoteReference"/>
        </w:rPr>
        <w:footnoteReference w:id="43"/>
      </w:r>
      <w:r w:rsidR="003643C2">
        <w:t xml:space="preserve"> </w:t>
      </w:r>
      <w:r w:rsidRPr="003643C2">
        <w:t>While DEP was able to demonstrate the utility of subsewershed monitoring in producing locali</w:t>
      </w:r>
      <w:r w:rsidR="00CA5946" w:rsidRPr="003643C2">
        <w:t>zed</w:t>
      </w:r>
    </w:p>
    <w:p w14:paraId="0AAE7253" w14:textId="77777777" w:rsidR="00CA5946" w:rsidRDefault="00CA5946" w:rsidP="00CA5946">
      <w:pPr>
        <w:spacing w:line="480" w:lineRule="auto"/>
        <w:ind w:firstLine="0"/>
        <w:jc w:val="both"/>
      </w:pPr>
      <w:r w:rsidRPr="003435A2">
        <w:rPr>
          <w:color w:val="201F1E"/>
        </w:rPr>
        <w:t>measurements of SARS-CoV-2 RNA</w:t>
      </w:r>
      <w:r>
        <w:rPr>
          <w:color w:val="201F1E"/>
        </w:rPr>
        <w:t xml:space="preserve">, the agency ultimately determined that </w:t>
      </w:r>
      <w:r w:rsidRPr="003435A2">
        <w:rPr>
          <w:color w:val="201F1E"/>
        </w:rPr>
        <w:t xml:space="preserve">localized sampling </w:t>
      </w:r>
      <w:r>
        <w:rPr>
          <w:color w:val="201F1E"/>
        </w:rPr>
        <w:t>was</w:t>
      </w:r>
      <w:r w:rsidRPr="003435A2">
        <w:rPr>
          <w:color w:val="201F1E"/>
        </w:rPr>
        <w:t xml:space="preserve"> </w:t>
      </w:r>
      <w:r>
        <w:rPr>
          <w:color w:val="201F1E"/>
        </w:rPr>
        <w:t xml:space="preserve">too </w:t>
      </w:r>
      <w:r w:rsidRPr="003435A2">
        <w:rPr>
          <w:color w:val="201F1E"/>
        </w:rPr>
        <w:t>labor intensive</w:t>
      </w:r>
      <w:r>
        <w:rPr>
          <w:color w:val="201F1E"/>
        </w:rPr>
        <w:t>,</w:t>
      </w:r>
      <w:r w:rsidRPr="003435A2">
        <w:rPr>
          <w:color w:val="201F1E"/>
        </w:rPr>
        <w:t xml:space="preserve"> and diverted staff from </w:t>
      </w:r>
      <w:r>
        <w:rPr>
          <w:color w:val="201F1E"/>
        </w:rPr>
        <w:t>other</w:t>
      </w:r>
      <w:r w:rsidRPr="003435A2">
        <w:rPr>
          <w:color w:val="201F1E"/>
        </w:rPr>
        <w:t xml:space="preserve"> monitoring duties required for DEP’s regulatory compliance.</w:t>
      </w:r>
      <w:r>
        <w:rPr>
          <w:rStyle w:val="FootnoteReference"/>
          <w:color w:val="201F1E"/>
        </w:rPr>
        <w:footnoteReference w:id="44"/>
      </w:r>
      <w:r>
        <w:rPr>
          <w:color w:val="201F1E"/>
        </w:rPr>
        <w:t xml:space="preserve"> </w:t>
      </w:r>
      <w:r>
        <w:t>Due to the need to test each round of sampling to verify results, and the effort involved in reconnaissance of manhole sites, and coordination of traffic control needed to safely undergo sampling, DEP found that the localized sampling would best be utilized in very limited fashion, over small areas, and under specific circumstances.</w:t>
      </w:r>
      <w:r>
        <w:rPr>
          <w:rStyle w:val="FootnoteReference"/>
        </w:rPr>
        <w:footnoteReference w:id="45"/>
      </w:r>
    </w:p>
    <w:p w14:paraId="61649E43" w14:textId="48EC1EB7" w:rsidR="00CA5946" w:rsidRDefault="00CA5946" w:rsidP="00CA5946">
      <w:pPr>
        <w:spacing w:line="480" w:lineRule="auto"/>
        <w:ind w:right="220"/>
        <w:jc w:val="both"/>
      </w:pPr>
      <w:r>
        <w:t>DEP and its partners at CUNY (City University of New York) utilized a targeted sequencing approach to identify variants within sewersheds.</w:t>
      </w:r>
      <w:r>
        <w:rPr>
          <w:rStyle w:val="FootnoteReference"/>
        </w:rPr>
        <w:footnoteReference w:id="46"/>
      </w:r>
      <w:r>
        <w:t xml:space="preserve"> Because the approach only sequenced a portion of the SARS-COV-2 genome, it could not distinguish between all the known SARS-COV-2 variants, but was able to detect the most prevalent variants, such as Alpha, Delta, and Omicron in NYC’s wastewater.</w:t>
      </w:r>
      <w:r>
        <w:rPr>
          <w:rStyle w:val="FootnoteReference"/>
        </w:rPr>
        <w:footnoteReference w:id="47"/>
      </w:r>
      <w:r>
        <w:t xml:space="preserve"> Additionally, DEP was able to identify  SARS-C</w:t>
      </w:r>
      <w:r w:rsidR="000128DF">
        <w:t>o</w:t>
      </w:r>
      <w:r>
        <w:t>V-2 mutations that were not detected in sequencing of clinical specimens in NYC,  specifically in the sewersheds of Oakwood Beach and Owls Head.  Localized sampling was utilized to pinpoint the origin of some mutations to one of the nine subsewersheds served by the Oakwood Beach WRRF in Staten Island.</w:t>
      </w:r>
      <w:r>
        <w:rPr>
          <w:rStyle w:val="FootnoteReference"/>
        </w:rPr>
        <w:footnoteReference w:id="48"/>
      </w:r>
      <w:r>
        <w:t xml:space="preserve"> </w:t>
      </w:r>
    </w:p>
    <w:p w14:paraId="6C184E73" w14:textId="77777777" w:rsidR="00CA5946" w:rsidRDefault="00CA5946" w:rsidP="00CA5946">
      <w:pPr>
        <w:spacing w:line="480" w:lineRule="auto"/>
        <w:ind w:right="60"/>
        <w:jc w:val="both"/>
      </w:pPr>
      <w:r>
        <w:t>In order to be useful as a leading indicator, data from wastewater would need to identify peaks in advance of the percent positivity rate of the City’s testing apparatus.</w:t>
      </w:r>
      <w:r>
        <w:rPr>
          <w:rStyle w:val="FootnoteReference"/>
        </w:rPr>
        <w:footnoteReference w:id="49"/>
      </w:r>
      <w:r>
        <w:t xml:space="preserve"> However, the study found that while the figures from wastewater testing tended to corroborate the percent positivity rate, there was a lag of about two weeks in the wastewater data as compared to the percent positivity data.</w:t>
      </w:r>
      <w:r>
        <w:rPr>
          <w:rStyle w:val="FootnoteReference"/>
        </w:rPr>
        <w:footnoteReference w:id="50"/>
      </w:r>
      <w:r>
        <w:t xml:space="preserve"> The sensitivity level of current testing methods and the high rate of dilution of potential samples was identified as a potential reason for this lag, though evaluation of how trends in SARS-CoV-2 RNA levels can be used as a leading indicator is still ongoing.</w:t>
      </w:r>
      <w:r>
        <w:rPr>
          <w:rStyle w:val="FootnoteReference"/>
        </w:rPr>
        <w:footnoteReference w:id="51"/>
      </w:r>
      <w:r>
        <w:t xml:space="preserve"> </w:t>
      </w:r>
    </w:p>
    <w:p w14:paraId="7B867102" w14:textId="77777777" w:rsidR="00CA5946" w:rsidRPr="008F6A6D" w:rsidRDefault="00CA5946" w:rsidP="00CA5946">
      <w:pPr>
        <w:spacing w:line="480" w:lineRule="auto"/>
        <w:jc w:val="both"/>
      </w:pPr>
      <w:r>
        <w:t>DEP estimates that operating costs for the program totaled over $520K for the 21-month period, or approximately $300K annually.</w:t>
      </w:r>
      <w:r>
        <w:rPr>
          <w:rStyle w:val="FootnoteReference"/>
        </w:rPr>
        <w:footnoteReference w:id="52"/>
      </w:r>
      <w:r>
        <w:t xml:space="preserve"> While these costs do not reflect program development or the procurement of equipment, the agency now possesses the capability to undergo WBE, and are ready to reactivate the program as needed.</w:t>
      </w:r>
      <w:r>
        <w:rPr>
          <w:rStyle w:val="FootnoteReference"/>
        </w:rPr>
        <w:footnoteReference w:id="53"/>
      </w:r>
      <w:r>
        <w:t xml:space="preserve"> DEP and DOHMH have recommended extending the pilot program for an additional year.</w:t>
      </w:r>
      <w:r>
        <w:rPr>
          <w:rStyle w:val="FootnoteReference"/>
        </w:rPr>
        <w:footnoteReference w:id="54"/>
      </w:r>
      <w:r>
        <w:t xml:space="preserve"> Additionally, as of January 2022, DEP is participating in a Centers for Disease Control and Prevention (CDC) National Wastewater Surveillance System (NWSS) program to test wastewater throughout the country for SARS-CoV-2.</w:t>
      </w:r>
      <w:r>
        <w:rPr>
          <w:rStyle w:val="FootnoteReference"/>
        </w:rPr>
        <w:footnoteReference w:id="55"/>
      </w:r>
      <w:r>
        <w:t xml:space="preserve"> The program is expected to run for one year and will be paid for by CDC.</w:t>
      </w:r>
      <w:r>
        <w:rPr>
          <w:rStyle w:val="FootnoteReference"/>
        </w:rPr>
        <w:footnoteReference w:id="56"/>
      </w:r>
      <w:r>
        <w:t xml:space="preserve"> DEP will also conduct parallel testing using RT-qPCR, for an additional three months, in order to help gain further insight into the performance of its analytical methods.</w:t>
      </w:r>
      <w:r>
        <w:rPr>
          <w:rStyle w:val="FootnoteReference"/>
        </w:rPr>
        <w:footnoteReference w:id="57"/>
      </w:r>
    </w:p>
    <w:p w14:paraId="6FAA54D5" w14:textId="77777777" w:rsidR="00CA5946" w:rsidRDefault="00CA5946" w:rsidP="00CA5946">
      <w:pPr>
        <w:pStyle w:val="BodyText"/>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line="240" w:lineRule="auto"/>
        <w:ind w:firstLine="0"/>
        <w:jc w:val="left"/>
        <w:rPr>
          <w:b/>
          <w:bCs/>
          <w:smallCaps/>
        </w:rPr>
      </w:pPr>
    </w:p>
    <w:p w14:paraId="74855A00" w14:textId="77777777" w:rsidR="00CA5946" w:rsidRDefault="00CA5946" w:rsidP="00CA5946">
      <w:pPr>
        <w:spacing w:line="480" w:lineRule="auto"/>
        <w:ind w:firstLine="0"/>
        <w:jc w:val="both"/>
        <w:rPr>
          <w:rFonts w:ascii="Times New Roman Bold" w:hAnsi="Times New Roman Bold"/>
          <w:b/>
          <w:smallCaps/>
        </w:rPr>
      </w:pPr>
      <w:r w:rsidRPr="00D46BA8">
        <w:rPr>
          <w:b/>
        </w:rPr>
        <w:t>I</w:t>
      </w:r>
      <w:r>
        <w:rPr>
          <w:b/>
        </w:rPr>
        <w:t>V</w:t>
      </w:r>
      <w:r w:rsidRPr="00D46BA8">
        <w:rPr>
          <w:b/>
        </w:rPr>
        <w:t>.</w:t>
      </w:r>
      <w:r w:rsidRPr="00D46BA8">
        <w:rPr>
          <w:b/>
        </w:rPr>
        <w:tab/>
      </w:r>
      <w:r>
        <w:rPr>
          <w:rFonts w:ascii="Times New Roman Bold" w:hAnsi="Times New Roman Bold"/>
          <w:b/>
          <w:smallCaps/>
        </w:rPr>
        <w:t>Conclusion</w:t>
      </w:r>
    </w:p>
    <w:p w14:paraId="3ADA9E1F" w14:textId="77777777" w:rsidR="00CA5946" w:rsidRDefault="00CA5946" w:rsidP="00CA5946">
      <w:pPr>
        <w:autoSpaceDE w:val="0"/>
        <w:autoSpaceDN w:val="0"/>
        <w:adjustRightInd w:val="0"/>
        <w:spacing w:before="120" w:after="120" w:line="480" w:lineRule="auto"/>
        <w:jc w:val="both"/>
      </w:pPr>
      <w:r>
        <w:t xml:space="preserve">During today’s hearing, the Committee hopes to hear testimony from representatives of the relevant City agencies on the utility and limits of New York City’s wastewater based epidemiology program. The Committee would like to hear from academics in the field of wastewater based epidemiology, public health advocates, and other interested parties. </w:t>
      </w:r>
    </w:p>
    <w:p w14:paraId="6FF0E94B" w14:textId="77777777" w:rsidR="00CA5946" w:rsidRDefault="00CA5946" w:rsidP="00CA5946"/>
    <w:p w14:paraId="7747634D" w14:textId="0FEC1FC9" w:rsidR="00CA5946" w:rsidRPr="003435A2" w:rsidRDefault="00CA5946" w:rsidP="00CA5946">
      <w:pPr>
        <w:spacing w:line="480" w:lineRule="auto"/>
        <w:ind w:right="480" w:firstLine="0"/>
        <w:jc w:val="both"/>
        <w:sectPr w:rsidR="00CA5946" w:rsidRPr="003435A2" w:rsidSect="003643C2">
          <w:headerReference w:type="even" r:id="rId10"/>
          <w:headerReference w:type="default" r:id="rId11"/>
          <w:footerReference w:type="even" r:id="rId12"/>
          <w:footerReference w:type="default" r:id="rId13"/>
          <w:headerReference w:type="first" r:id="rId14"/>
          <w:footerReference w:type="first" r:id="rId15"/>
          <w:type w:val="continuous"/>
          <w:pgSz w:w="12240" w:h="15840"/>
          <w:pgMar w:top="1440" w:right="1440" w:bottom="1440" w:left="1440" w:header="0" w:footer="0" w:gutter="0"/>
          <w:cols w:space="0" w:equalWidth="0">
            <w:col w:w="9720"/>
          </w:cols>
          <w:docGrid w:linePitch="360"/>
        </w:sectPr>
      </w:pPr>
    </w:p>
    <w:p w14:paraId="376F7DC7" w14:textId="77777777" w:rsidR="0062350F" w:rsidRDefault="0062350F" w:rsidP="003643C2">
      <w:pPr>
        <w:spacing w:line="480" w:lineRule="auto"/>
        <w:ind w:firstLine="0"/>
        <w:jc w:val="both"/>
      </w:pPr>
      <w:bookmarkStart w:id="1" w:name="page3"/>
      <w:bookmarkEnd w:id="1"/>
    </w:p>
    <w:sectPr w:rsidR="0062350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7D5B86" w14:textId="77777777" w:rsidR="00813E05" w:rsidRDefault="00813E05" w:rsidP="0062350F">
      <w:r>
        <w:separator/>
      </w:r>
    </w:p>
  </w:endnote>
  <w:endnote w:type="continuationSeparator" w:id="0">
    <w:p w14:paraId="6BE4E65D" w14:textId="77777777" w:rsidR="00813E05" w:rsidRDefault="00813E05" w:rsidP="006235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2020803070505020304"/>
    <w:charset w:val="00"/>
    <w:family w:val="roman"/>
    <w:pitch w:val="variable"/>
    <w:sig w:usb0="E0002AEF" w:usb1="C0007841"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056FFC" w14:textId="77777777" w:rsidR="00751DE2" w:rsidRDefault="00751D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4B31E0" w14:textId="77777777" w:rsidR="00751DE2" w:rsidRDefault="00751D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0B313E" w14:textId="77777777" w:rsidR="00751DE2" w:rsidRDefault="00751D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7BB275" w14:textId="77777777" w:rsidR="00813E05" w:rsidRDefault="00813E05" w:rsidP="0062350F">
      <w:r>
        <w:separator/>
      </w:r>
    </w:p>
  </w:footnote>
  <w:footnote w:type="continuationSeparator" w:id="0">
    <w:p w14:paraId="57520115" w14:textId="77777777" w:rsidR="00813E05" w:rsidRDefault="00813E05" w:rsidP="0062350F">
      <w:r>
        <w:continuationSeparator/>
      </w:r>
    </w:p>
  </w:footnote>
  <w:footnote w:id="1">
    <w:p w14:paraId="792E730E" w14:textId="77777777" w:rsidR="0062350F" w:rsidRDefault="0062350F" w:rsidP="0062350F">
      <w:pPr>
        <w:pStyle w:val="FootnoteText"/>
        <w:ind w:firstLine="0"/>
      </w:pPr>
      <w:r>
        <w:rPr>
          <w:rStyle w:val="FootnoteReference"/>
        </w:rPr>
        <w:footnoteRef/>
      </w:r>
      <w:r>
        <w:t xml:space="preserve"> Worldometer, COVID-19 Coronavirus Pandemic, </w:t>
      </w:r>
      <w:hyperlink r:id="rId1" w:history="1">
        <w:r>
          <w:rPr>
            <w:rStyle w:val="Hyperlink"/>
            <w:rFonts w:eastAsia="Arial Unicode MS"/>
          </w:rPr>
          <w:t>https://www.worldometers.info/coronavirus/</w:t>
        </w:r>
      </w:hyperlink>
      <w:r>
        <w:t xml:space="preserve">. </w:t>
      </w:r>
    </w:p>
  </w:footnote>
  <w:footnote w:id="2">
    <w:p w14:paraId="0600E8C2" w14:textId="77777777" w:rsidR="0062350F" w:rsidRDefault="0062350F" w:rsidP="0062350F">
      <w:pPr>
        <w:pStyle w:val="FootnoteText"/>
        <w:ind w:firstLine="0"/>
      </w:pPr>
      <w:r>
        <w:rPr>
          <w:rStyle w:val="FootnoteReference"/>
        </w:rPr>
        <w:footnoteRef/>
      </w:r>
      <w:r>
        <w:t xml:space="preserve"> NYS DOH COVID-19 Tracker, Persons Tested Positive by County, </w:t>
      </w:r>
      <w:hyperlink r:id="rId2" w:history="1">
        <w:r>
          <w:rPr>
            <w:rStyle w:val="Hyperlink"/>
            <w:rFonts w:eastAsia="Arial Unicode MS"/>
          </w:rPr>
          <w:t>https://covid19tracker.health.ny.gov/views/NYS-COVID19-Tracker/NYSDOHCOVID-19Tracker-Map?%3Aembed=yes&amp;%3Atoolbar=no&amp;%3Atabs=n</w:t>
        </w:r>
      </w:hyperlink>
      <w:r>
        <w:t>.</w:t>
      </w:r>
    </w:p>
  </w:footnote>
  <w:footnote w:id="3">
    <w:p w14:paraId="6BEE19F0" w14:textId="77777777" w:rsidR="0062350F" w:rsidRDefault="0062350F" w:rsidP="0062350F">
      <w:pPr>
        <w:pStyle w:val="FootnoteText"/>
        <w:ind w:firstLine="0"/>
      </w:pPr>
      <w:r>
        <w:rPr>
          <w:rStyle w:val="FootnoteReference"/>
        </w:rPr>
        <w:footnoteRef/>
      </w:r>
      <w:r>
        <w:t xml:space="preserve"> NYS DOH COVID-19 Fatalities Tracker, </w:t>
      </w:r>
      <w:hyperlink r:id="rId3" w:history="1">
        <w:r w:rsidRPr="002B268E">
          <w:rPr>
            <w:rStyle w:val="Hyperlink"/>
            <w:rFonts w:eastAsia="Arial Unicode MS"/>
          </w:rPr>
          <w:t>https://coronavirus.health.ny.gov/fatalities-0</w:t>
        </w:r>
      </w:hyperlink>
      <w:r>
        <w:t xml:space="preserve"> </w:t>
      </w:r>
    </w:p>
  </w:footnote>
  <w:footnote w:id="4">
    <w:p w14:paraId="2866069F" w14:textId="77777777" w:rsidR="0062350F" w:rsidRDefault="0062350F" w:rsidP="0062350F">
      <w:pPr>
        <w:pStyle w:val="FootnoteText"/>
        <w:ind w:firstLine="0"/>
      </w:pPr>
      <w:r>
        <w:rPr>
          <w:rStyle w:val="FootnoteReference"/>
        </w:rPr>
        <w:footnoteRef/>
      </w:r>
      <w:r>
        <w:t xml:space="preserve"> NYC DOHMH, COVID-19: Data,</w:t>
      </w:r>
      <w:r w:rsidRPr="00B47353">
        <w:t xml:space="preserve"> </w:t>
      </w:r>
      <w:r w:rsidRPr="00DD3594">
        <w:t>https://www1.nyc.gov/site/doh/covid/covid-19-data.page</w:t>
      </w:r>
    </w:p>
  </w:footnote>
  <w:footnote w:id="5">
    <w:p w14:paraId="6D18D41B" w14:textId="77777777" w:rsidR="0062350F" w:rsidRPr="004D0709" w:rsidRDefault="0062350F" w:rsidP="0062350F">
      <w:pPr>
        <w:pStyle w:val="FootnoteText"/>
        <w:ind w:firstLine="0"/>
        <w:rPr>
          <w:i/>
          <w:iCs/>
        </w:rPr>
      </w:pPr>
      <w:r>
        <w:rPr>
          <w:rStyle w:val="FootnoteReference"/>
        </w:rPr>
        <w:footnoteRef/>
      </w:r>
      <w:r>
        <w:t xml:space="preserve"> </w:t>
      </w:r>
      <w:r>
        <w:rPr>
          <w:i/>
          <w:iCs/>
        </w:rPr>
        <w:t>Id.</w:t>
      </w:r>
    </w:p>
  </w:footnote>
  <w:footnote w:id="6">
    <w:p w14:paraId="6C8E018C" w14:textId="77777777" w:rsidR="0062350F" w:rsidRPr="003E3607" w:rsidRDefault="0062350F" w:rsidP="0062350F">
      <w:pPr>
        <w:pStyle w:val="FootnoteText"/>
        <w:ind w:firstLine="0"/>
        <w:rPr>
          <w:i/>
          <w:iCs/>
        </w:rPr>
      </w:pPr>
      <w:r>
        <w:rPr>
          <w:rStyle w:val="FootnoteReference"/>
        </w:rPr>
        <w:footnoteRef/>
      </w:r>
      <w:r>
        <w:t xml:space="preserve"> </w:t>
      </w:r>
      <w:r>
        <w:rPr>
          <w:i/>
          <w:iCs/>
        </w:rPr>
        <w:t>Id.</w:t>
      </w:r>
    </w:p>
  </w:footnote>
  <w:footnote w:id="7">
    <w:p w14:paraId="1EDE4DE0" w14:textId="77777777" w:rsidR="0062350F" w:rsidRPr="003E3607" w:rsidRDefault="0062350F" w:rsidP="0062350F">
      <w:pPr>
        <w:pStyle w:val="FootnoteText"/>
        <w:ind w:firstLine="0"/>
        <w:rPr>
          <w:i/>
          <w:iCs/>
        </w:rPr>
      </w:pPr>
      <w:r>
        <w:rPr>
          <w:rStyle w:val="FootnoteReference"/>
        </w:rPr>
        <w:footnoteRef/>
      </w:r>
      <w:r>
        <w:t xml:space="preserve"> </w:t>
      </w:r>
      <w:r>
        <w:rPr>
          <w:i/>
          <w:iCs/>
        </w:rPr>
        <w:t xml:space="preserve">Id. </w:t>
      </w:r>
    </w:p>
  </w:footnote>
  <w:footnote w:id="8">
    <w:p w14:paraId="515E4126" w14:textId="77777777" w:rsidR="0062350F" w:rsidRPr="00886482" w:rsidRDefault="0062350F" w:rsidP="0062350F">
      <w:pPr>
        <w:pStyle w:val="FootnoteText"/>
        <w:ind w:firstLine="0"/>
        <w:rPr>
          <w:i/>
          <w:iCs/>
        </w:rPr>
      </w:pPr>
      <w:r>
        <w:rPr>
          <w:rStyle w:val="FootnoteReference"/>
        </w:rPr>
        <w:footnoteRef/>
      </w:r>
      <w:r>
        <w:t xml:space="preserve"> </w:t>
      </w:r>
      <w:r>
        <w:rPr>
          <w:i/>
          <w:iCs/>
        </w:rPr>
        <w:t xml:space="preserve">Id. </w:t>
      </w:r>
    </w:p>
  </w:footnote>
  <w:footnote w:id="9">
    <w:p w14:paraId="27F6202E" w14:textId="77777777" w:rsidR="0062350F" w:rsidRPr="00886482" w:rsidRDefault="0062350F" w:rsidP="0062350F">
      <w:pPr>
        <w:pStyle w:val="FootnoteText"/>
        <w:ind w:firstLine="0"/>
        <w:rPr>
          <w:i/>
          <w:iCs/>
        </w:rPr>
      </w:pPr>
      <w:r>
        <w:rPr>
          <w:rStyle w:val="FootnoteReference"/>
        </w:rPr>
        <w:footnoteRef/>
      </w:r>
      <w:r>
        <w:t xml:space="preserve"> </w:t>
      </w:r>
      <w:r>
        <w:rPr>
          <w:i/>
          <w:iCs/>
        </w:rPr>
        <w:t>Id.</w:t>
      </w:r>
    </w:p>
  </w:footnote>
  <w:footnote w:id="10">
    <w:p w14:paraId="283D423B" w14:textId="77777777" w:rsidR="0062350F" w:rsidRDefault="0062350F" w:rsidP="0062350F">
      <w:pPr>
        <w:pStyle w:val="FootnoteText"/>
        <w:ind w:firstLine="0"/>
      </w:pPr>
      <w:r>
        <w:rPr>
          <w:rStyle w:val="FootnoteReference"/>
        </w:rPr>
        <w:footnoteRef/>
      </w:r>
      <w:r>
        <w:t xml:space="preserve"> While DOHMH releases much data regarding COVID-19, the data does not capture the impact on certain communities, including immigrant, Asian, religious, disability, and limited English proficient communities.  </w:t>
      </w:r>
    </w:p>
  </w:footnote>
  <w:footnote w:id="11">
    <w:p w14:paraId="512289C7" w14:textId="77777777" w:rsidR="0062350F" w:rsidRDefault="0062350F" w:rsidP="0062350F">
      <w:pPr>
        <w:pStyle w:val="FootnoteText"/>
        <w:ind w:firstLine="0"/>
      </w:pPr>
      <w:r>
        <w:rPr>
          <w:rStyle w:val="FootnoteReference"/>
        </w:rPr>
        <w:footnoteRef/>
      </w:r>
      <w:r>
        <w:t xml:space="preserve"> NYC DOHMH, COVID-19: Data,</w:t>
      </w:r>
      <w:r w:rsidRPr="00B47353">
        <w:t xml:space="preserve"> </w:t>
      </w:r>
      <w:hyperlink r:id="rId4" w:history="1">
        <w:r>
          <w:rPr>
            <w:rStyle w:val="Hyperlink"/>
            <w:rFonts w:eastAsia="Arial Unicode MS"/>
          </w:rPr>
          <w:t>https://www1.nyc.gov/site/doh/covid/covid-19-data.page</w:t>
        </w:r>
      </w:hyperlink>
      <w:r>
        <w:t xml:space="preserve">. </w:t>
      </w:r>
    </w:p>
  </w:footnote>
  <w:footnote w:id="12">
    <w:p w14:paraId="350C87E9" w14:textId="77777777" w:rsidR="0062350F" w:rsidRDefault="0062350F" w:rsidP="0062350F">
      <w:pPr>
        <w:pStyle w:val="FootnoteText"/>
        <w:ind w:firstLine="0"/>
      </w:pPr>
      <w:r>
        <w:rPr>
          <w:rStyle w:val="FootnoteReference"/>
        </w:rPr>
        <w:footnoteRef/>
      </w:r>
      <w:r>
        <w:t xml:space="preserve"> Centers for Disease Control and Prevention. National Wastewater Surveillance System. </w:t>
      </w:r>
      <w:hyperlink r:id="rId5" w:history="1">
        <w:r w:rsidRPr="00DE162D">
          <w:rPr>
            <w:rStyle w:val="Hyperlink"/>
          </w:rPr>
          <w:t>https://www.cdc.gov/coronavirus/2019-ncov/cases-updates/wastewater-surveillance.html</w:t>
        </w:r>
      </w:hyperlink>
      <w:r>
        <w:t xml:space="preserve"> (last accessed 10/22/20)</w:t>
      </w:r>
    </w:p>
  </w:footnote>
  <w:footnote w:id="13">
    <w:p w14:paraId="3CC6CFB5" w14:textId="77777777" w:rsidR="0062350F" w:rsidRPr="00460B52" w:rsidRDefault="0062350F" w:rsidP="0062350F">
      <w:pPr>
        <w:pStyle w:val="FootnoteText"/>
        <w:ind w:firstLine="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Style w:val="FootnoteReference"/>
        </w:rPr>
        <w:footnoteRef/>
      </w:r>
      <w:r>
        <w:t xml:space="preserve"> New York City Department Of Environmental Protection, “New York City’s Wastewater Treatment System” </w:t>
      </w:r>
      <w:r w:rsidRPr="006F69DC">
        <w:t>https://www1.nyc.gov/site/dep/water/wastewater-treatment-system.page</w:t>
      </w:r>
      <w:r>
        <w:rPr>
          <w:rStyle w:val="Hyperlink"/>
          <w:color w:val="000000" w:themeColor="text1"/>
        </w:rPr>
        <w:t>(last accessed 10/22/20)</w:t>
      </w:r>
    </w:p>
  </w:footnote>
  <w:footnote w:id="14">
    <w:p w14:paraId="321B3955" w14:textId="77777777" w:rsidR="0062350F" w:rsidRDefault="0062350F" w:rsidP="0062350F">
      <w:pPr>
        <w:pStyle w:val="FootnoteText"/>
        <w:ind w:firstLine="0"/>
      </w:pPr>
      <w:r>
        <w:rPr>
          <w:rStyle w:val="FootnoteReference"/>
        </w:rPr>
        <w:footnoteRef/>
      </w:r>
      <w:r>
        <w:t xml:space="preserve"> NYC Mayor’s Office of Environmental Coordination CEQR Technical Manual 2014. </w:t>
      </w:r>
      <w:hyperlink r:id="rId6" w:history="1">
        <w:r w:rsidRPr="00DE162D">
          <w:rPr>
            <w:rStyle w:val="Hyperlink"/>
          </w:rPr>
          <w:t>https://www1.nyc.gov/assets/oec/technical-manual/2014_ceqr_technical_manual_rev_04_27_2016.pdf</w:t>
        </w:r>
      </w:hyperlink>
      <w:r>
        <w:t xml:space="preserve"> (last accessed 10/22/20)</w:t>
      </w:r>
    </w:p>
  </w:footnote>
  <w:footnote w:id="15">
    <w:p w14:paraId="59733EE7" w14:textId="77777777" w:rsidR="0062350F" w:rsidRDefault="0062350F" w:rsidP="0062350F">
      <w:pPr>
        <w:pStyle w:val="FootnoteText"/>
        <w:ind w:firstLine="0"/>
      </w:pPr>
      <w:r>
        <w:rPr>
          <w:rStyle w:val="FootnoteReference"/>
        </w:rPr>
        <w:footnoteRef/>
      </w:r>
      <w:r>
        <w:t xml:space="preserve"> NYC Open Sewer Atlas. Sewersheds and Community boards. </w:t>
      </w:r>
      <w:hyperlink r:id="rId7" w:history="1">
        <w:r w:rsidRPr="00DE162D">
          <w:rPr>
            <w:rStyle w:val="Hyperlink"/>
          </w:rPr>
          <w:t>https://openseweratlas.tumblr.com/post/90255588644/sewersheds-and-community-boards</w:t>
        </w:r>
      </w:hyperlink>
      <w:r>
        <w:t xml:space="preserve"> (last accessed 10/22/20)</w:t>
      </w:r>
    </w:p>
  </w:footnote>
  <w:footnote w:id="16">
    <w:p w14:paraId="354119A2" w14:textId="77777777" w:rsidR="0062350F" w:rsidRDefault="0062350F" w:rsidP="0062350F">
      <w:pPr>
        <w:pStyle w:val="FootnoteText"/>
        <w:ind w:firstLine="0"/>
      </w:pPr>
      <w:r>
        <w:rPr>
          <w:rStyle w:val="FootnoteReference"/>
        </w:rPr>
        <w:footnoteRef/>
      </w:r>
      <w:r>
        <w:t xml:space="preserve"> Id.</w:t>
      </w:r>
    </w:p>
  </w:footnote>
  <w:footnote w:id="17">
    <w:p w14:paraId="1D811D0B" w14:textId="77777777" w:rsidR="0062350F" w:rsidRDefault="0062350F" w:rsidP="0062350F">
      <w:pPr>
        <w:pStyle w:val="FootnoteText"/>
        <w:ind w:firstLine="0"/>
      </w:pPr>
      <w:r>
        <w:rPr>
          <w:rStyle w:val="FootnoteReference"/>
        </w:rPr>
        <w:footnoteRef/>
      </w:r>
      <w:r>
        <w:t xml:space="preserve"> Centers for Disease Control and Prevention. National Wastewater Surveillance System. </w:t>
      </w:r>
      <w:hyperlink r:id="rId8" w:history="1">
        <w:r w:rsidRPr="00DE162D">
          <w:rPr>
            <w:rStyle w:val="Hyperlink"/>
          </w:rPr>
          <w:t>https://www.cdc.gov/coronavirus/2019-ncov/cases-updates/wastewater-surveillance.html</w:t>
        </w:r>
      </w:hyperlink>
      <w:r>
        <w:t xml:space="preserve"> (last accessed 10/22/20)</w:t>
      </w:r>
    </w:p>
  </w:footnote>
  <w:footnote w:id="18">
    <w:p w14:paraId="7D43E384" w14:textId="77777777" w:rsidR="0062350F" w:rsidRDefault="0062350F" w:rsidP="0062350F">
      <w:pPr>
        <w:pStyle w:val="FootnoteText"/>
        <w:ind w:firstLine="0"/>
      </w:pPr>
      <w:r>
        <w:rPr>
          <w:rStyle w:val="FootnoteReference"/>
        </w:rPr>
        <w:footnoteRef/>
      </w:r>
      <w:r>
        <w:t xml:space="preserve"> Id. </w:t>
      </w:r>
    </w:p>
  </w:footnote>
  <w:footnote w:id="19">
    <w:p w14:paraId="307C4BD2" w14:textId="77777777" w:rsidR="0062350F" w:rsidRDefault="0062350F" w:rsidP="0062350F">
      <w:pPr>
        <w:pStyle w:val="FootnoteText"/>
        <w:ind w:firstLine="0"/>
      </w:pPr>
      <w:r>
        <w:rPr>
          <w:rStyle w:val="FootnoteReference"/>
        </w:rPr>
        <w:footnoteRef/>
      </w:r>
      <w:r>
        <w:t xml:space="preserve"> NYC Mayor’s Office of Environmental Coordination CEQR Technical Manual 2014. </w:t>
      </w:r>
      <w:hyperlink r:id="rId9" w:history="1">
        <w:r w:rsidRPr="00DE162D">
          <w:rPr>
            <w:rStyle w:val="Hyperlink"/>
          </w:rPr>
          <w:t>https://www1.nyc.gov/assets/oec/technical-manual/2014_ceqr_technical_manual_rev_04_27_2016.pdf</w:t>
        </w:r>
      </w:hyperlink>
      <w:r>
        <w:t xml:space="preserve"> </w:t>
      </w:r>
    </w:p>
  </w:footnote>
  <w:footnote w:id="20">
    <w:p w14:paraId="2B757D59" w14:textId="77777777" w:rsidR="0062350F" w:rsidRDefault="0062350F" w:rsidP="0062350F">
      <w:pPr>
        <w:pStyle w:val="FootnoteText"/>
        <w:ind w:firstLine="0"/>
      </w:pPr>
      <w:r>
        <w:rPr>
          <w:rStyle w:val="FootnoteReference"/>
        </w:rPr>
        <w:footnoteRef/>
      </w:r>
      <w:r>
        <w:t xml:space="preserve"> </w:t>
      </w:r>
      <w:r w:rsidRPr="00C3078D">
        <w:t>Polo, David et al. “Making waves: Wastewater-based epidemiology for COVID-19 - approaches and challenges for surveillance and prediction.” </w:t>
      </w:r>
      <w:r w:rsidRPr="00C3078D">
        <w:rPr>
          <w:i/>
          <w:iCs/>
        </w:rPr>
        <w:t>Water research</w:t>
      </w:r>
      <w:r w:rsidRPr="00C3078D">
        <w:t>, vol. 186</w:t>
      </w:r>
      <w:r>
        <w:t xml:space="preserve">. </w:t>
      </w:r>
      <w:r w:rsidRPr="00C3078D">
        <w:t xml:space="preserve"> </w:t>
      </w:r>
      <w:r>
        <w:t>S</w:t>
      </w:r>
      <w:r w:rsidRPr="00C3078D">
        <w:t>ep</w:t>
      </w:r>
      <w:r>
        <w:t xml:space="preserve">tember 9, </w:t>
      </w:r>
      <w:r w:rsidRPr="00C3078D">
        <w:t xml:space="preserve"> 2020</w:t>
      </w:r>
      <w:r>
        <w:t xml:space="preserve"> </w:t>
      </w:r>
      <w:hyperlink r:id="rId10" w:history="1">
        <w:r w:rsidRPr="00DE162D">
          <w:rPr>
            <w:rStyle w:val="Hyperlink"/>
          </w:rPr>
          <w:t>https://www.ncbi.nlm.nih.gov/pmc/articles/PMC7480445/</w:t>
        </w:r>
      </w:hyperlink>
      <w:r>
        <w:t xml:space="preserve"> </w:t>
      </w:r>
    </w:p>
  </w:footnote>
  <w:footnote w:id="21">
    <w:p w14:paraId="555692CD" w14:textId="77777777" w:rsidR="0062350F" w:rsidRDefault="0062350F" w:rsidP="0062350F">
      <w:pPr>
        <w:pStyle w:val="FootnoteText"/>
        <w:ind w:firstLine="0"/>
      </w:pPr>
      <w:r>
        <w:rPr>
          <w:rStyle w:val="FootnoteReference"/>
        </w:rPr>
        <w:footnoteRef/>
      </w:r>
      <w:r>
        <w:t xml:space="preserve"> Id. </w:t>
      </w:r>
    </w:p>
  </w:footnote>
  <w:footnote w:id="22">
    <w:p w14:paraId="754AA9A5" w14:textId="77777777" w:rsidR="0062350F" w:rsidRDefault="0062350F" w:rsidP="0062350F">
      <w:pPr>
        <w:pStyle w:val="FootnoteText"/>
        <w:ind w:firstLine="0"/>
      </w:pPr>
      <w:r>
        <w:rPr>
          <w:rStyle w:val="FootnoteReference"/>
        </w:rPr>
        <w:footnoteRef/>
      </w:r>
      <w:r>
        <w:t xml:space="preserve"> Id. </w:t>
      </w:r>
    </w:p>
  </w:footnote>
  <w:footnote w:id="23">
    <w:p w14:paraId="4C5B23B7" w14:textId="77777777" w:rsidR="0062350F" w:rsidRDefault="0062350F" w:rsidP="0062350F">
      <w:pPr>
        <w:pStyle w:val="FootnoteText"/>
        <w:ind w:firstLine="0"/>
      </w:pPr>
      <w:r>
        <w:rPr>
          <w:rStyle w:val="FootnoteReference"/>
        </w:rPr>
        <w:footnoteRef/>
      </w:r>
      <w:r>
        <w:t xml:space="preserve"> Id. </w:t>
      </w:r>
    </w:p>
  </w:footnote>
  <w:footnote w:id="24">
    <w:p w14:paraId="5F75F839" w14:textId="77777777" w:rsidR="0062350F" w:rsidRDefault="0062350F" w:rsidP="0062350F">
      <w:pPr>
        <w:pStyle w:val="FootnoteText"/>
        <w:ind w:firstLine="0"/>
      </w:pPr>
      <w:r>
        <w:rPr>
          <w:rStyle w:val="FootnoteReference"/>
        </w:rPr>
        <w:footnoteRef/>
      </w:r>
      <w:r>
        <w:t xml:space="preserve"> American Society for Microbiology. Metagenomic Next Generation Sequencing: How Does It Work, and Is It Coming to Your Clinical Microbiology Lab? </w:t>
      </w:r>
      <w:hyperlink r:id="rId11" w:history="1">
        <w:r w:rsidRPr="00DE162D">
          <w:rPr>
            <w:rStyle w:val="Hyperlink"/>
          </w:rPr>
          <w:t>https://asm.org/Articles/2019/November/Metagenomic-Next-Generation-Sequencing-How-Does-It</w:t>
        </w:r>
      </w:hyperlink>
      <w:r>
        <w:t xml:space="preserve"> (last accessed 10/23/20)</w:t>
      </w:r>
    </w:p>
  </w:footnote>
  <w:footnote w:id="25">
    <w:p w14:paraId="4BC08D41" w14:textId="77777777" w:rsidR="0062350F" w:rsidRDefault="0062350F" w:rsidP="0062350F">
      <w:pPr>
        <w:pStyle w:val="FootnoteText"/>
        <w:ind w:firstLine="0"/>
      </w:pPr>
      <w:r>
        <w:rPr>
          <w:rStyle w:val="FootnoteReference"/>
        </w:rPr>
        <w:footnoteRef/>
      </w:r>
      <w:r>
        <w:t xml:space="preserve"> Id. </w:t>
      </w:r>
    </w:p>
  </w:footnote>
  <w:footnote w:id="26">
    <w:p w14:paraId="34F7DBB1" w14:textId="77777777" w:rsidR="0062350F" w:rsidRDefault="0062350F" w:rsidP="0062350F">
      <w:pPr>
        <w:pStyle w:val="FootnoteText"/>
        <w:ind w:firstLine="0"/>
      </w:pPr>
      <w:r>
        <w:rPr>
          <w:rStyle w:val="FootnoteReference"/>
        </w:rPr>
        <w:footnoteRef/>
      </w:r>
      <w:r>
        <w:t xml:space="preserve"> Id. </w:t>
      </w:r>
    </w:p>
  </w:footnote>
  <w:footnote w:id="27">
    <w:p w14:paraId="23B3F06A" w14:textId="77777777" w:rsidR="0062350F" w:rsidRDefault="0062350F" w:rsidP="0062350F">
      <w:pPr>
        <w:pStyle w:val="FootnoteText"/>
        <w:ind w:firstLine="0"/>
      </w:pPr>
      <w:r w:rsidRPr="00EC0BB2">
        <w:rPr>
          <w:rStyle w:val="FootnoteReference"/>
        </w:rPr>
        <w:footnoteRef/>
      </w:r>
      <w:r w:rsidRPr="00EC0BB2">
        <w:t xml:space="preserve"> </w:t>
      </w:r>
      <w:r>
        <w:t xml:space="preserve">Daniel C. DeSimone, M.D., </w:t>
      </w:r>
      <w:r>
        <w:rPr>
          <w:i/>
          <w:iCs/>
        </w:rPr>
        <w:t>COVID-19 variants: What’s the concern?</w:t>
      </w:r>
      <w:r>
        <w:t xml:space="preserve">, </w:t>
      </w:r>
      <w:r w:rsidRPr="008837B2">
        <w:rPr>
          <w:smallCaps/>
        </w:rPr>
        <w:t>Mayo Clinic</w:t>
      </w:r>
      <w:r>
        <w:t>, Jan. 11, 2022,</w:t>
      </w:r>
      <w:r>
        <w:rPr>
          <w:i/>
          <w:iCs/>
        </w:rPr>
        <w:t xml:space="preserve"> </w:t>
      </w:r>
      <w:hyperlink r:id="rId12" w:history="1">
        <w:r w:rsidRPr="00AB2661">
          <w:rPr>
            <w:rStyle w:val="Hyperlink"/>
            <w:rFonts w:eastAsia="Arial Unicode MS"/>
          </w:rPr>
          <w:t>https://www.mayoclinic.org/diseases-conditions/coronavirus/expert-answers/covid-variant/faq-20505779</w:t>
        </w:r>
      </w:hyperlink>
      <w:r>
        <w:t xml:space="preserve">. </w:t>
      </w:r>
    </w:p>
  </w:footnote>
  <w:footnote w:id="28">
    <w:p w14:paraId="491AE78D" w14:textId="77777777" w:rsidR="0062350F" w:rsidRPr="00FD3233" w:rsidRDefault="0062350F" w:rsidP="0062350F">
      <w:pPr>
        <w:pStyle w:val="FootnoteText"/>
        <w:ind w:firstLine="0"/>
        <w:rPr>
          <w:i/>
          <w:iCs/>
        </w:rPr>
      </w:pPr>
      <w:r>
        <w:rPr>
          <w:rStyle w:val="FootnoteReference"/>
        </w:rPr>
        <w:footnoteRef/>
      </w:r>
      <w:r>
        <w:t xml:space="preserve"> </w:t>
      </w:r>
      <w:r>
        <w:rPr>
          <w:i/>
          <w:iCs/>
        </w:rPr>
        <w:t>Id.</w:t>
      </w:r>
    </w:p>
  </w:footnote>
  <w:footnote w:id="29">
    <w:p w14:paraId="2831EC48" w14:textId="77777777" w:rsidR="0062350F" w:rsidRPr="00FD3233" w:rsidRDefault="0062350F" w:rsidP="0062350F">
      <w:pPr>
        <w:pStyle w:val="FootnoteText"/>
        <w:ind w:firstLine="0"/>
        <w:rPr>
          <w:i/>
          <w:iCs/>
        </w:rPr>
      </w:pPr>
      <w:r>
        <w:rPr>
          <w:rStyle w:val="FootnoteReference"/>
        </w:rPr>
        <w:footnoteRef/>
      </w:r>
      <w:r>
        <w:t xml:space="preserve"> </w:t>
      </w:r>
      <w:r>
        <w:rPr>
          <w:i/>
          <w:iCs/>
        </w:rPr>
        <w:t>Id.</w:t>
      </w:r>
    </w:p>
  </w:footnote>
  <w:footnote w:id="30">
    <w:p w14:paraId="1E425AC1" w14:textId="77777777" w:rsidR="0062350F" w:rsidRPr="00A177DB" w:rsidRDefault="0062350F" w:rsidP="0062350F">
      <w:pPr>
        <w:pStyle w:val="FootnoteText"/>
        <w:ind w:firstLine="0"/>
        <w:rPr>
          <w:i/>
          <w:iCs/>
        </w:rPr>
      </w:pPr>
      <w:r>
        <w:rPr>
          <w:rStyle w:val="FootnoteReference"/>
        </w:rPr>
        <w:footnoteRef/>
      </w:r>
      <w:r>
        <w:t xml:space="preserve"> </w:t>
      </w:r>
      <w:r>
        <w:rPr>
          <w:i/>
          <w:iCs/>
        </w:rPr>
        <w:t>Id.</w:t>
      </w:r>
    </w:p>
  </w:footnote>
  <w:footnote w:id="31">
    <w:p w14:paraId="72A0545C" w14:textId="77777777" w:rsidR="0062350F" w:rsidRPr="005C1D90" w:rsidRDefault="0062350F" w:rsidP="0062350F">
      <w:pPr>
        <w:pStyle w:val="FootnoteText"/>
        <w:ind w:firstLine="0"/>
        <w:rPr>
          <w:i/>
          <w:iCs/>
        </w:rPr>
      </w:pPr>
      <w:r>
        <w:rPr>
          <w:rStyle w:val="FootnoteReference"/>
        </w:rPr>
        <w:footnoteRef/>
      </w:r>
      <w:r>
        <w:t xml:space="preserve"> </w:t>
      </w:r>
      <w:r>
        <w:rPr>
          <w:i/>
          <w:iCs/>
        </w:rPr>
        <w:t>Id.</w:t>
      </w:r>
    </w:p>
  </w:footnote>
  <w:footnote w:id="32">
    <w:p w14:paraId="0BD13ABF" w14:textId="77777777" w:rsidR="0062350F" w:rsidRPr="00B048C8" w:rsidRDefault="0062350F" w:rsidP="0062350F">
      <w:pPr>
        <w:pStyle w:val="FootnoteText"/>
        <w:ind w:firstLine="0"/>
        <w:rPr>
          <w:i/>
          <w:iCs/>
        </w:rPr>
      </w:pPr>
      <w:r>
        <w:rPr>
          <w:rStyle w:val="FootnoteReference"/>
        </w:rPr>
        <w:footnoteRef/>
      </w:r>
      <w:r>
        <w:t xml:space="preserve"> </w:t>
      </w:r>
      <w:r>
        <w:rPr>
          <w:i/>
          <w:iCs/>
        </w:rPr>
        <w:t>Id.</w:t>
      </w:r>
    </w:p>
  </w:footnote>
  <w:footnote w:id="33">
    <w:p w14:paraId="74C76576" w14:textId="77777777" w:rsidR="0062350F" w:rsidRPr="003E7CCB" w:rsidRDefault="0062350F" w:rsidP="0062350F">
      <w:pPr>
        <w:pStyle w:val="FootnoteText"/>
        <w:ind w:firstLine="0"/>
        <w:rPr>
          <w:i/>
          <w:iCs/>
        </w:rPr>
      </w:pPr>
      <w:r>
        <w:rPr>
          <w:rStyle w:val="FootnoteReference"/>
        </w:rPr>
        <w:footnoteRef/>
      </w:r>
      <w:r>
        <w:t xml:space="preserve"> </w:t>
      </w:r>
      <w:r>
        <w:rPr>
          <w:i/>
          <w:iCs/>
        </w:rPr>
        <w:t>Id.</w:t>
      </w:r>
    </w:p>
  </w:footnote>
  <w:footnote w:id="34">
    <w:p w14:paraId="208C42ED" w14:textId="77777777" w:rsidR="0062350F" w:rsidRDefault="0062350F" w:rsidP="0062350F">
      <w:pPr>
        <w:pStyle w:val="FootnoteText"/>
        <w:ind w:firstLine="0"/>
      </w:pPr>
      <w:r>
        <w:rPr>
          <w:rStyle w:val="FootnoteReference"/>
        </w:rPr>
        <w:footnoteRef/>
      </w:r>
      <w:r>
        <w:t xml:space="preserve"> Spencer Kimball, </w:t>
      </w:r>
      <w:r w:rsidRPr="001B4477">
        <w:rPr>
          <w:i/>
          <w:iCs/>
        </w:rPr>
        <w:t>The latest Covid variant is 1.5 times more contagious than omicron and already circulating in almost half of U.S. states</w:t>
      </w:r>
      <w:r>
        <w:t xml:space="preserve">, CNBC, Jan. 28, 2022,  </w:t>
      </w:r>
      <w:hyperlink r:id="rId13" w:history="1">
        <w:r w:rsidRPr="00AB2661">
          <w:rPr>
            <w:rStyle w:val="Hyperlink"/>
            <w:rFonts w:eastAsia="Arial Unicode MS"/>
          </w:rPr>
          <w:t>https://www.cnbc.com/2022/01/28/the-new-bapoint2-omicron-subvariant-is-already-circulating-in-half-of-us-states.html</w:t>
        </w:r>
      </w:hyperlink>
      <w:r>
        <w:t xml:space="preserve">. </w:t>
      </w:r>
    </w:p>
  </w:footnote>
  <w:footnote w:id="35">
    <w:p w14:paraId="3FF036AB" w14:textId="77777777" w:rsidR="0062350F" w:rsidRPr="00B52D44" w:rsidRDefault="0062350F" w:rsidP="0062350F">
      <w:pPr>
        <w:pStyle w:val="FootnoteText"/>
        <w:ind w:firstLine="0"/>
      </w:pPr>
      <w:r>
        <w:rPr>
          <w:rStyle w:val="FootnoteReference"/>
        </w:rPr>
        <w:footnoteRef/>
      </w:r>
      <w:r>
        <w:t xml:space="preserve"> </w:t>
      </w:r>
      <w:r w:rsidRPr="008837B2">
        <w:t xml:space="preserve">Daniel C. DeSimone, M.D., </w:t>
      </w:r>
      <w:r w:rsidRPr="008837B2">
        <w:rPr>
          <w:i/>
          <w:iCs/>
        </w:rPr>
        <w:t xml:space="preserve">supra </w:t>
      </w:r>
      <w:r w:rsidRPr="008837B2">
        <w:t>note 12.</w:t>
      </w:r>
    </w:p>
  </w:footnote>
  <w:footnote w:id="36">
    <w:p w14:paraId="7D6E1D47" w14:textId="77777777" w:rsidR="0062350F" w:rsidRDefault="0062350F" w:rsidP="0062350F">
      <w:pPr>
        <w:pStyle w:val="FootnoteText"/>
        <w:ind w:firstLine="0"/>
      </w:pPr>
      <w:r>
        <w:rPr>
          <w:rStyle w:val="FootnoteReference"/>
        </w:rPr>
        <w:footnoteRef/>
      </w:r>
      <w:r>
        <w:t xml:space="preserve"> Ed Browne, </w:t>
      </w:r>
      <w:r w:rsidRPr="00501B99">
        <w:rPr>
          <w:i/>
          <w:iCs/>
        </w:rPr>
        <w:t>More COVID Variants Coming After Omicron, WHO Expert Warns</w:t>
      </w:r>
      <w:r>
        <w:t xml:space="preserve">, </w:t>
      </w:r>
      <w:r w:rsidRPr="00501B99">
        <w:rPr>
          <w:smallCaps/>
        </w:rPr>
        <w:t>Newsweek</w:t>
      </w:r>
      <w:r>
        <w:t xml:space="preserve">, Feb. 14, 2022, </w:t>
      </w:r>
      <w:hyperlink r:id="rId14" w:history="1">
        <w:r w:rsidRPr="00AB2661">
          <w:rPr>
            <w:rStyle w:val="Hyperlink"/>
            <w:rFonts w:eastAsia="Arial Unicode MS"/>
          </w:rPr>
          <w:t>https://www.newsweek.com/more-variant-after-omicron-who-experts-mask-mandates-covid-1678901</w:t>
        </w:r>
      </w:hyperlink>
      <w:r>
        <w:t xml:space="preserve">. </w:t>
      </w:r>
    </w:p>
  </w:footnote>
  <w:footnote w:id="37">
    <w:p w14:paraId="046620DC" w14:textId="77777777" w:rsidR="0062350F" w:rsidRPr="00A13ED0" w:rsidRDefault="0062350F" w:rsidP="0062350F">
      <w:pPr>
        <w:pStyle w:val="FootnoteText"/>
        <w:ind w:firstLine="0"/>
        <w:rPr>
          <w:i/>
          <w:iCs/>
        </w:rPr>
      </w:pPr>
      <w:r>
        <w:rPr>
          <w:rStyle w:val="FootnoteReference"/>
        </w:rPr>
        <w:footnoteRef/>
      </w:r>
      <w:r>
        <w:t xml:space="preserve"> </w:t>
      </w:r>
      <w:r>
        <w:rPr>
          <w:i/>
          <w:iCs/>
        </w:rPr>
        <w:t>Id.</w:t>
      </w:r>
    </w:p>
  </w:footnote>
  <w:footnote w:id="38">
    <w:p w14:paraId="5D075955" w14:textId="77777777" w:rsidR="0062350F" w:rsidRDefault="0062350F" w:rsidP="0062350F">
      <w:pPr>
        <w:pStyle w:val="FootnoteText"/>
        <w:ind w:firstLine="0"/>
      </w:pPr>
      <w:r>
        <w:rPr>
          <w:rStyle w:val="FootnoteReference"/>
        </w:rPr>
        <w:footnoteRef/>
      </w:r>
      <w:r>
        <w:t xml:space="preserve"> Local Law 28 of 2021. New York City Council. </w:t>
      </w:r>
      <w:r w:rsidRPr="00FB0BD8">
        <w:t>https://legistar.council.nyc.gov/LegislationDetail.aspx?ID=4573811&amp;GUID=6711C617-20A6-4151-9F52-91267048E8A1&amp;Options=ID%7CText%7COther%7C&amp;Search=28</w:t>
      </w:r>
    </w:p>
  </w:footnote>
  <w:footnote w:id="39">
    <w:p w14:paraId="7DFB01AB" w14:textId="77777777" w:rsidR="0062350F" w:rsidRDefault="0062350F" w:rsidP="0062350F">
      <w:pPr>
        <w:pStyle w:val="FootnoteText"/>
        <w:ind w:firstLine="0"/>
      </w:pPr>
      <w:r>
        <w:rPr>
          <w:rStyle w:val="FootnoteReference"/>
        </w:rPr>
        <w:footnoteRef/>
      </w:r>
      <w:r>
        <w:t xml:space="preserve"> </w:t>
      </w:r>
      <w:r>
        <w:rPr>
          <w:color w:val="000000"/>
          <w:shd w:val="clear" w:color="auto" w:fill="FFFFFF"/>
        </w:rPr>
        <w:t xml:space="preserve">Analysis of the effectiveness of a pilot program to monitor SARS-CoV-2 presence in wastewater in New York City. New York City Department of Environmental Protection and New York City Department of Health and Mental Hygiene. February 17, 2022. </w:t>
      </w:r>
    </w:p>
  </w:footnote>
  <w:footnote w:id="40">
    <w:p w14:paraId="217BFDA0" w14:textId="77777777" w:rsidR="0062350F" w:rsidRDefault="0062350F" w:rsidP="0062350F">
      <w:pPr>
        <w:pStyle w:val="FootnoteText"/>
        <w:ind w:firstLine="0"/>
      </w:pPr>
      <w:r>
        <w:rPr>
          <w:rStyle w:val="FootnoteReference"/>
        </w:rPr>
        <w:footnoteRef/>
      </w:r>
      <w:r>
        <w:t xml:space="preserve"> Id.</w:t>
      </w:r>
    </w:p>
  </w:footnote>
  <w:footnote w:id="41">
    <w:p w14:paraId="37A05643" w14:textId="685F495E" w:rsidR="003643C2" w:rsidRDefault="003643C2" w:rsidP="003643C2">
      <w:pPr>
        <w:pStyle w:val="FootnoteText"/>
        <w:ind w:firstLine="0"/>
      </w:pPr>
      <w:r>
        <w:rPr>
          <w:rStyle w:val="FootnoteReference"/>
        </w:rPr>
        <w:footnoteRef/>
      </w:r>
      <w:r>
        <w:t xml:space="preserve"> Id.</w:t>
      </w:r>
    </w:p>
  </w:footnote>
  <w:footnote w:id="42">
    <w:p w14:paraId="6C4742D7" w14:textId="1DBBD1DA" w:rsidR="003643C2" w:rsidRDefault="003643C2" w:rsidP="003643C2">
      <w:pPr>
        <w:pStyle w:val="FootnoteText"/>
        <w:ind w:firstLine="0"/>
      </w:pPr>
      <w:r>
        <w:rPr>
          <w:rStyle w:val="FootnoteReference"/>
        </w:rPr>
        <w:footnoteRef/>
      </w:r>
      <w:r>
        <w:t xml:space="preserve"> Id. </w:t>
      </w:r>
    </w:p>
  </w:footnote>
  <w:footnote w:id="43">
    <w:p w14:paraId="778A5602" w14:textId="447E2303" w:rsidR="003643C2" w:rsidRDefault="003643C2" w:rsidP="003643C2">
      <w:pPr>
        <w:pStyle w:val="FootnoteText"/>
        <w:ind w:firstLine="0"/>
      </w:pPr>
      <w:r>
        <w:rPr>
          <w:rStyle w:val="FootnoteReference"/>
        </w:rPr>
        <w:footnoteRef/>
      </w:r>
      <w:r>
        <w:t xml:space="preserve"> Id. </w:t>
      </w:r>
    </w:p>
  </w:footnote>
  <w:footnote w:id="44">
    <w:p w14:paraId="0832E0E1" w14:textId="77777777" w:rsidR="00CA5946" w:rsidRDefault="00CA5946" w:rsidP="00CA5946">
      <w:pPr>
        <w:pStyle w:val="FootnoteText"/>
        <w:ind w:firstLine="0"/>
      </w:pPr>
      <w:r>
        <w:rPr>
          <w:rStyle w:val="FootnoteReference"/>
        </w:rPr>
        <w:footnoteRef/>
      </w:r>
      <w:r>
        <w:t xml:space="preserve"> Id.</w:t>
      </w:r>
    </w:p>
  </w:footnote>
  <w:footnote w:id="45">
    <w:p w14:paraId="22E9CA51" w14:textId="77777777" w:rsidR="00CA5946" w:rsidRDefault="00CA5946" w:rsidP="00CA5946">
      <w:pPr>
        <w:pStyle w:val="FootnoteText"/>
        <w:ind w:firstLine="0"/>
      </w:pPr>
      <w:r>
        <w:rPr>
          <w:rStyle w:val="FootnoteReference"/>
        </w:rPr>
        <w:footnoteRef/>
      </w:r>
      <w:r>
        <w:t xml:space="preserve"> Id. </w:t>
      </w:r>
    </w:p>
  </w:footnote>
  <w:footnote w:id="46">
    <w:p w14:paraId="7E035033" w14:textId="77777777" w:rsidR="00CA5946" w:rsidRDefault="00CA5946" w:rsidP="00CA5946">
      <w:pPr>
        <w:pStyle w:val="FootnoteText"/>
        <w:ind w:firstLine="0"/>
      </w:pPr>
      <w:r>
        <w:rPr>
          <w:rStyle w:val="FootnoteReference"/>
        </w:rPr>
        <w:footnoteRef/>
      </w:r>
      <w:r>
        <w:t xml:space="preserve"> Id.</w:t>
      </w:r>
    </w:p>
  </w:footnote>
  <w:footnote w:id="47">
    <w:p w14:paraId="6028BF5E" w14:textId="77777777" w:rsidR="00CA5946" w:rsidRDefault="00CA5946" w:rsidP="00CA5946">
      <w:pPr>
        <w:pStyle w:val="FootnoteText"/>
        <w:ind w:firstLine="0"/>
      </w:pPr>
      <w:r>
        <w:rPr>
          <w:rStyle w:val="FootnoteReference"/>
        </w:rPr>
        <w:footnoteRef/>
      </w:r>
      <w:r>
        <w:t xml:space="preserve"> Id</w:t>
      </w:r>
    </w:p>
  </w:footnote>
  <w:footnote w:id="48">
    <w:p w14:paraId="16426952" w14:textId="77777777" w:rsidR="00CA5946" w:rsidRDefault="00CA5946" w:rsidP="00CA5946">
      <w:pPr>
        <w:pStyle w:val="FootnoteText"/>
        <w:ind w:firstLine="0"/>
      </w:pPr>
      <w:r>
        <w:rPr>
          <w:rStyle w:val="FootnoteReference"/>
        </w:rPr>
        <w:footnoteRef/>
      </w:r>
      <w:r>
        <w:t xml:space="preserve"> Id.</w:t>
      </w:r>
    </w:p>
  </w:footnote>
  <w:footnote w:id="49">
    <w:p w14:paraId="0CCF1F0C" w14:textId="77777777" w:rsidR="00CA5946" w:rsidRDefault="00CA5946" w:rsidP="00CA5946">
      <w:pPr>
        <w:pStyle w:val="FootnoteText"/>
        <w:ind w:firstLine="0"/>
      </w:pPr>
      <w:r>
        <w:rPr>
          <w:rStyle w:val="FootnoteReference"/>
        </w:rPr>
        <w:footnoteRef/>
      </w:r>
      <w:r>
        <w:t xml:space="preserve"> Id. </w:t>
      </w:r>
    </w:p>
  </w:footnote>
  <w:footnote w:id="50">
    <w:p w14:paraId="00E6C1F1" w14:textId="77777777" w:rsidR="00CA5946" w:rsidRDefault="00CA5946" w:rsidP="00CA5946">
      <w:pPr>
        <w:pStyle w:val="FootnoteText"/>
        <w:ind w:firstLine="0"/>
      </w:pPr>
      <w:r>
        <w:rPr>
          <w:rStyle w:val="FootnoteReference"/>
        </w:rPr>
        <w:footnoteRef/>
      </w:r>
      <w:r>
        <w:t xml:space="preserve"> Id. </w:t>
      </w:r>
    </w:p>
  </w:footnote>
  <w:footnote w:id="51">
    <w:p w14:paraId="2FAADEF8" w14:textId="4202A37C" w:rsidR="00CA5946" w:rsidRDefault="00CA5946" w:rsidP="00CA5946">
      <w:pPr>
        <w:pStyle w:val="FootnoteText"/>
        <w:ind w:firstLine="0"/>
      </w:pPr>
      <w:r>
        <w:rPr>
          <w:rStyle w:val="FootnoteReference"/>
        </w:rPr>
        <w:footnoteRef/>
      </w:r>
      <w:r w:rsidR="00DB7A8A">
        <w:t xml:space="preserve"> </w:t>
      </w:r>
      <w:r>
        <w:t xml:space="preserve">Id. </w:t>
      </w:r>
    </w:p>
  </w:footnote>
  <w:footnote w:id="52">
    <w:p w14:paraId="49388E36" w14:textId="77777777" w:rsidR="00CA5946" w:rsidRDefault="00CA5946" w:rsidP="00CA5946">
      <w:pPr>
        <w:pStyle w:val="FootnoteText"/>
        <w:ind w:firstLine="0"/>
      </w:pPr>
      <w:r>
        <w:rPr>
          <w:rStyle w:val="FootnoteReference"/>
        </w:rPr>
        <w:footnoteRef/>
      </w:r>
      <w:r>
        <w:t xml:space="preserve"> Id. </w:t>
      </w:r>
    </w:p>
  </w:footnote>
  <w:footnote w:id="53">
    <w:p w14:paraId="19B482DA" w14:textId="77777777" w:rsidR="00CA5946" w:rsidRDefault="00CA5946" w:rsidP="00CA5946">
      <w:pPr>
        <w:pStyle w:val="FootnoteText"/>
        <w:ind w:firstLine="0"/>
      </w:pPr>
      <w:r>
        <w:rPr>
          <w:rStyle w:val="FootnoteReference"/>
        </w:rPr>
        <w:footnoteRef/>
      </w:r>
      <w:r>
        <w:t xml:space="preserve"> Id. </w:t>
      </w:r>
    </w:p>
  </w:footnote>
  <w:footnote w:id="54">
    <w:p w14:paraId="3D0C9D18" w14:textId="77777777" w:rsidR="00CA5946" w:rsidRDefault="00CA5946" w:rsidP="00CA5946">
      <w:pPr>
        <w:pStyle w:val="FootnoteText"/>
        <w:ind w:firstLine="0"/>
      </w:pPr>
      <w:r>
        <w:rPr>
          <w:rStyle w:val="FootnoteReference"/>
        </w:rPr>
        <w:footnoteRef/>
      </w:r>
      <w:r>
        <w:t xml:space="preserve"> Id. </w:t>
      </w:r>
    </w:p>
  </w:footnote>
  <w:footnote w:id="55">
    <w:p w14:paraId="27F36887" w14:textId="77777777" w:rsidR="00CA5946" w:rsidRDefault="00CA5946" w:rsidP="00CA5946">
      <w:pPr>
        <w:pStyle w:val="FootnoteText"/>
        <w:ind w:firstLine="0"/>
      </w:pPr>
      <w:r>
        <w:rPr>
          <w:rStyle w:val="FootnoteReference"/>
        </w:rPr>
        <w:footnoteRef/>
      </w:r>
      <w:r>
        <w:t xml:space="preserve"> Id. </w:t>
      </w:r>
    </w:p>
  </w:footnote>
  <w:footnote w:id="56">
    <w:p w14:paraId="3FFDCF78" w14:textId="77777777" w:rsidR="00CA5946" w:rsidRDefault="00CA5946" w:rsidP="00CA5946">
      <w:pPr>
        <w:pStyle w:val="FootnoteText"/>
        <w:ind w:firstLine="0"/>
      </w:pPr>
      <w:r>
        <w:rPr>
          <w:rStyle w:val="FootnoteReference"/>
        </w:rPr>
        <w:footnoteRef/>
      </w:r>
      <w:r>
        <w:t xml:space="preserve"> Id.</w:t>
      </w:r>
    </w:p>
  </w:footnote>
  <w:footnote w:id="57">
    <w:p w14:paraId="070D12ED" w14:textId="77777777" w:rsidR="00CA5946" w:rsidRDefault="00CA5946" w:rsidP="00CA5946">
      <w:pPr>
        <w:pStyle w:val="FootnoteText"/>
        <w:ind w:firstLine="0"/>
      </w:pPr>
      <w:r>
        <w:rPr>
          <w:rStyle w:val="FootnoteReference"/>
        </w:rPr>
        <w:footnoteRef/>
      </w:r>
      <w:r>
        <w:t xml:space="preserve"> Id.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577E56" w14:textId="0324388A" w:rsidR="00751DE2" w:rsidRDefault="00751D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5E0EC3" w14:textId="1F99BC15" w:rsidR="00751DE2" w:rsidRDefault="00751DE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E2807C" w14:textId="38C1F015" w:rsidR="00751DE2" w:rsidRDefault="00751D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A"/>
    <w:multiLevelType w:val="hybridMultilevel"/>
    <w:tmpl w:val="3F6AB60E"/>
    <w:lvl w:ilvl="0" w:tplc="FFFFFFFF">
      <w:start w:val="100"/>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457B523F"/>
    <w:multiLevelType w:val="hybridMultilevel"/>
    <w:tmpl w:val="0C465C64"/>
    <w:lvl w:ilvl="0" w:tplc="395CE43A">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350F"/>
    <w:rsid w:val="000128DF"/>
    <w:rsid w:val="00025FA9"/>
    <w:rsid w:val="000A7285"/>
    <w:rsid w:val="00180C1E"/>
    <w:rsid w:val="0025440B"/>
    <w:rsid w:val="0035491B"/>
    <w:rsid w:val="003643C2"/>
    <w:rsid w:val="003E30EF"/>
    <w:rsid w:val="00511242"/>
    <w:rsid w:val="006006C7"/>
    <w:rsid w:val="0062350F"/>
    <w:rsid w:val="006C5B1D"/>
    <w:rsid w:val="006C7303"/>
    <w:rsid w:val="00751DE2"/>
    <w:rsid w:val="00757CE7"/>
    <w:rsid w:val="007A64D1"/>
    <w:rsid w:val="00813E05"/>
    <w:rsid w:val="00B22400"/>
    <w:rsid w:val="00BD27EA"/>
    <w:rsid w:val="00C33D4C"/>
    <w:rsid w:val="00CA5946"/>
    <w:rsid w:val="00CA7F12"/>
    <w:rsid w:val="00D06206"/>
    <w:rsid w:val="00DB7A8A"/>
    <w:rsid w:val="00FB18E5"/>
    <w:rsid w:val="00FB64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6939A8A"/>
  <w15:chartTrackingRefBased/>
  <w15:docId w15:val="{6552817B-E5B7-2A4F-8E79-D2B5F50B2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350F"/>
    <w:pPr>
      <w:ind w:firstLine="720"/>
    </w:pPr>
    <w:rPr>
      <w:rFonts w:ascii="Times New Roman" w:eastAsia="Times New Roman" w:hAnsi="Times New Roman" w:cs="Times New Roman"/>
    </w:rPr>
  </w:style>
  <w:style w:type="paragraph" w:styleId="Heading1">
    <w:name w:val="heading 1"/>
    <w:basedOn w:val="Normal"/>
    <w:next w:val="Normal"/>
    <w:link w:val="Heading1Char"/>
    <w:uiPriority w:val="99"/>
    <w:qFormat/>
    <w:rsid w:val="00CA7F12"/>
    <w:pPr>
      <w:keepNext/>
      <w:keepLines/>
      <w:spacing w:before="480"/>
      <w:ind w:firstLine="0"/>
      <w:outlineLvl w:val="0"/>
    </w:pPr>
    <w:rPr>
      <w:rFonts w:ascii="Cambria"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T"/>
    <w:basedOn w:val="Normal"/>
    <w:link w:val="FootnoteTextChar"/>
    <w:uiPriority w:val="99"/>
    <w:unhideWhenUsed/>
    <w:qFormat/>
    <w:rsid w:val="0062350F"/>
    <w:rPr>
      <w:sz w:val="20"/>
      <w:szCs w:val="20"/>
    </w:rPr>
  </w:style>
  <w:style w:type="character" w:customStyle="1" w:styleId="FootnoteTextChar">
    <w:name w:val="Footnote Text Char"/>
    <w:aliases w:val="FT Char"/>
    <w:basedOn w:val="DefaultParagraphFont"/>
    <w:link w:val="FootnoteText"/>
    <w:uiPriority w:val="99"/>
    <w:rsid w:val="0062350F"/>
    <w:rPr>
      <w:rFonts w:ascii="Times New Roman" w:eastAsia="Times New Roman" w:hAnsi="Times New Roman" w:cs="Times New Roman"/>
      <w:sz w:val="20"/>
      <w:szCs w:val="20"/>
    </w:rPr>
  </w:style>
  <w:style w:type="character" w:styleId="FootnoteReference">
    <w:name w:val="footnote reference"/>
    <w:uiPriority w:val="99"/>
    <w:unhideWhenUsed/>
    <w:qFormat/>
    <w:rsid w:val="0062350F"/>
    <w:rPr>
      <w:vertAlign w:val="superscript"/>
    </w:rPr>
  </w:style>
  <w:style w:type="character" w:styleId="Hyperlink">
    <w:name w:val="Hyperlink"/>
    <w:rsid w:val="0062350F"/>
    <w:rPr>
      <w:u w:val="single"/>
    </w:rPr>
  </w:style>
  <w:style w:type="paragraph" w:styleId="NoSpacing">
    <w:name w:val="No Spacing"/>
    <w:uiPriority w:val="1"/>
    <w:qFormat/>
    <w:rsid w:val="0062350F"/>
    <w:pPr>
      <w:pBdr>
        <w:top w:val="nil"/>
        <w:left w:val="nil"/>
        <w:bottom w:val="nil"/>
        <w:right w:val="nil"/>
        <w:between w:val="nil"/>
        <w:bar w:val="nil"/>
      </w:pBdr>
    </w:pPr>
    <w:rPr>
      <w:rFonts w:ascii="Calibri" w:eastAsia="Calibri" w:hAnsi="Calibri" w:cs="Calibri"/>
      <w:color w:val="000000"/>
      <w:sz w:val="22"/>
      <w:szCs w:val="22"/>
      <w:u w:color="000000"/>
      <w:bdr w:val="nil"/>
    </w:rPr>
  </w:style>
  <w:style w:type="paragraph" w:styleId="BodyText">
    <w:name w:val="Body Text"/>
    <w:link w:val="BodyTextChar"/>
    <w:rsid w:val="0062350F"/>
    <w:pPr>
      <w:pBdr>
        <w:top w:val="nil"/>
        <w:left w:val="nil"/>
        <w:bottom w:val="nil"/>
        <w:right w:val="nil"/>
        <w:between w:val="nil"/>
        <w:bar w:val="nil"/>
      </w:pBdr>
      <w:spacing w:line="480" w:lineRule="auto"/>
      <w:ind w:firstLine="720"/>
      <w:jc w:val="both"/>
    </w:pPr>
    <w:rPr>
      <w:rFonts w:ascii="Times New Roman" w:eastAsia="Arial Unicode MS" w:hAnsi="Times New Roman" w:cs="Arial Unicode MS"/>
      <w:color w:val="000000"/>
      <w:u w:color="000000"/>
      <w:bdr w:val="nil"/>
    </w:rPr>
  </w:style>
  <w:style w:type="character" w:customStyle="1" w:styleId="BodyTextChar">
    <w:name w:val="Body Text Char"/>
    <w:basedOn w:val="DefaultParagraphFont"/>
    <w:link w:val="BodyText"/>
    <w:rsid w:val="0062350F"/>
    <w:rPr>
      <w:rFonts w:ascii="Times New Roman" w:eastAsia="Arial Unicode MS" w:hAnsi="Times New Roman" w:cs="Arial Unicode MS"/>
      <w:color w:val="000000"/>
      <w:u w:color="000000"/>
      <w:bdr w:val="nil"/>
    </w:rPr>
  </w:style>
  <w:style w:type="paragraph" w:customStyle="1" w:styleId="Default">
    <w:name w:val="Default"/>
    <w:rsid w:val="0062350F"/>
    <w:pPr>
      <w:autoSpaceDE w:val="0"/>
      <w:autoSpaceDN w:val="0"/>
      <w:adjustRightInd w:val="0"/>
    </w:pPr>
    <w:rPr>
      <w:rFonts w:ascii="Times New Roman" w:hAnsi="Times New Roman" w:cs="Times New Roman"/>
      <w:color w:val="000000"/>
    </w:rPr>
  </w:style>
  <w:style w:type="paragraph" w:styleId="BalloonText">
    <w:name w:val="Balloon Text"/>
    <w:basedOn w:val="Normal"/>
    <w:link w:val="BalloonTextChar"/>
    <w:uiPriority w:val="99"/>
    <w:semiHidden/>
    <w:unhideWhenUsed/>
    <w:rsid w:val="0062350F"/>
    <w:rPr>
      <w:sz w:val="18"/>
      <w:szCs w:val="18"/>
    </w:rPr>
  </w:style>
  <w:style w:type="character" w:customStyle="1" w:styleId="BalloonTextChar">
    <w:name w:val="Balloon Text Char"/>
    <w:basedOn w:val="DefaultParagraphFont"/>
    <w:link w:val="BalloonText"/>
    <w:uiPriority w:val="99"/>
    <w:semiHidden/>
    <w:rsid w:val="0062350F"/>
    <w:rPr>
      <w:rFonts w:ascii="Times New Roman" w:eastAsia="Times New Roman" w:hAnsi="Times New Roman" w:cs="Times New Roman"/>
      <w:sz w:val="18"/>
      <w:szCs w:val="18"/>
    </w:rPr>
  </w:style>
  <w:style w:type="character" w:styleId="FollowedHyperlink">
    <w:name w:val="FollowedHyperlink"/>
    <w:basedOn w:val="DefaultParagraphFont"/>
    <w:uiPriority w:val="99"/>
    <w:semiHidden/>
    <w:unhideWhenUsed/>
    <w:rsid w:val="0062350F"/>
    <w:rPr>
      <w:color w:val="954F72" w:themeColor="followedHyperlink"/>
      <w:u w:val="single"/>
    </w:rPr>
  </w:style>
  <w:style w:type="character" w:customStyle="1" w:styleId="Heading1Char">
    <w:name w:val="Heading 1 Char"/>
    <w:basedOn w:val="DefaultParagraphFont"/>
    <w:link w:val="Heading1"/>
    <w:uiPriority w:val="99"/>
    <w:rsid w:val="00CA7F12"/>
    <w:rPr>
      <w:rFonts w:ascii="Cambria" w:eastAsia="Times New Roman" w:hAnsi="Cambria" w:cs="Times New Roman"/>
      <w:b/>
      <w:bCs/>
      <w:color w:val="365F91"/>
      <w:sz w:val="28"/>
      <w:szCs w:val="28"/>
    </w:rPr>
  </w:style>
  <w:style w:type="paragraph" w:styleId="Header">
    <w:name w:val="header"/>
    <w:basedOn w:val="Normal"/>
    <w:link w:val="HeaderChar"/>
    <w:uiPriority w:val="99"/>
    <w:unhideWhenUsed/>
    <w:rsid w:val="00751DE2"/>
    <w:pPr>
      <w:tabs>
        <w:tab w:val="center" w:pos="4680"/>
        <w:tab w:val="right" w:pos="9360"/>
      </w:tabs>
    </w:pPr>
  </w:style>
  <w:style w:type="character" w:customStyle="1" w:styleId="HeaderChar">
    <w:name w:val="Header Char"/>
    <w:basedOn w:val="DefaultParagraphFont"/>
    <w:link w:val="Header"/>
    <w:uiPriority w:val="99"/>
    <w:rsid w:val="00751DE2"/>
    <w:rPr>
      <w:rFonts w:ascii="Times New Roman" w:eastAsia="Times New Roman" w:hAnsi="Times New Roman" w:cs="Times New Roman"/>
    </w:rPr>
  </w:style>
  <w:style w:type="paragraph" w:styleId="Footer">
    <w:name w:val="footer"/>
    <w:basedOn w:val="Normal"/>
    <w:link w:val="FooterChar"/>
    <w:uiPriority w:val="99"/>
    <w:unhideWhenUsed/>
    <w:rsid w:val="00751DE2"/>
    <w:pPr>
      <w:tabs>
        <w:tab w:val="center" w:pos="4680"/>
        <w:tab w:val="right" w:pos="9360"/>
      </w:tabs>
    </w:pPr>
  </w:style>
  <w:style w:type="character" w:customStyle="1" w:styleId="FooterChar">
    <w:name w:val="Footer Char"/>
    <w:basedOn w:val="DefaultParagraphFont"/>
    <w:link w:val="Footer"/>
    <w:uiPriority w:val="99"/>
    <w:rsid w:val="00751DE2"/>
    <w:rPr>
      <w:rFonts w:ascii="Times New Roman" w:eastAsia="Times New Roman" w:hAnsi="Times New Roman" w:cs="Times New Roman"/>
    </w:rPr>
  </w:style>
  <w:style w:type="paragraph" w:styleId="Revision">
    <w:name w:val="Revision"/>
    <w:hidden/>
    <w:uiPriority w:val="99"/>
    <w:semiHidden/>
    <w:rsid w:val="00FB18E5"/>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FB18E5"/>
    <w:rPr>
      <w:sz w:val="16"/>
      <w:szCs w:val="16"/>
    </w:rPr>
  </w:style>
  <w:style w:type="paragraph" w:styleId="CommentText">
    <w:name w:val="annotation text"/>
    <w:basedOn w:val="Normal"/>
    <w:link w:val="CommentTextChar"/>
    <w:uiPriority w:val="99"/>
    <w:semiHidden/>
    <w:unhideWhenUsed/>
    <w:rsid w:val="00FB18E5"/>
    <w:rPr>
      <w:sz w:val="20"/>
      <w:szCs w:val="20"/>
    </w:rPr>
  </w:style>
  <w:style w:type="character" w:customStyle="1" w:styleId="CommentTextChar">
    <w:name w:val="Comment Text Char"/>
    <w:basedOn w:val="DefaultParagraphFont"/>
    <w:link w:val="CommentText"/>
    <w:uiPriority w:val="99"/>
    <w:semiHidden/>
    <w:rsid w:val="00FB18E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B18E5"/>
    <w:rPr>
      <w:b/>
      <w:bCs/>
    </w:rPr>
  </w:style>
  <w:style w:type="character" w:customStyle="1" w:styleId="CommentSubjectChar">
    <w:name w:val="Comment Subject Char"/>
    <w:basedOn w:val="CommentTextChar"/>
    <w:link w:val="CommentSubject"/>
    <w:uiPriority w:val="99"/>
    <w:semiHidden/>
    <w:rsid w:val="00FB18E5"/>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8" Type="http://schemas.openxmlformats.org/officeDocument/2006/relationships/hyperlink" Target="https://www.cdc.gov/coronavirus/2019-ncov/cases-updates/wastewater-surveillance.html" TargetMode="External"/><Relationship Id="rId13" Type="http://schemas.openxmlformats.org/officeDocument/2006/relationships/hyperlink" Target="https://www.cnbc.com/2022/01/28/the-new-bapoint2-omicron-subvariant-is-already-circulating-in-half-of-us-states.html" TargetMode="External"/><Relationship Id="rId3" Type="http://schemas.openxmlformats.org/officeDocument/2006/relationships/hyperlink" Target="https://coronavirus.health.ny.gov/fatalities-0" TargetMode="External"/><Relationship Id="rId7" Type="http://schemas.openxmlformats.org/officeDocument/2006/relationships/hyperlink" Target="https://openseweratlas.tumblr.com/post/90255588644/sewersheds-and-community-boards" TargetMode="External"/><Relationship Id="rId12" Type="http://schemas.openxmlformats.org/officeDocument/2006/relationships/hyperlink" Target="https://www.mayoclinic.org/diseases-conditions/coronavirus/expert-answers/covid-variant/faq-20505779" TargetMode="External"/><Relationship Id="rId2" Type="http://schemas.openxmlformats.org/officeDocument/2006/relationships/hyperlink" Target="https://covid19tracker.health.ny.gov/views/NYS-COVID19-Tracker/NYSDOHCOVID-19Tracker-Map?%3Aembed=yes&amp;%3Atoolbar=no&amp;%3Atabs=n" TargetMode="External"/><Relationship Id="rId1" Type="http://schemas.openxmlformats.org/officeDocument/2006/relationships/hyperlink" Target="https://www.worldometers.info/coronavirus/" TargetMode="External"/><Relationship Id="rId6" Type="http://schemas.openxmlformats.org/officeDocument/2006/relationships/hyperlink" Target="https://www1.nyc.gov/assets/oec/technical-manual/2014_ceqr_technical_manual_rev_04_27_2016.pdf" TargetMode="External"/><Relationship Id="rId11" Type="http://schemas.openxmlformats.org/officeDocument/2006/relationships/hyperlink" Target="https://asm.org/Articles/2019/November/Metagenomic-Next-Generation-Sequencing-How-Does-It" TargetMode="External"/><Relationship Id="rId5" Type="http://schemas.openxmlformats.org/officeDocument/2006/relationships/hyperlink" Target="https://www.cdc.gov/coronavirus/2019-ncov/cases-updates/wastewater-surveillance.html" TargetMode="External"/><Relationship Id="rId10" Type="http://schemas.openxmlformats.org/officeDocument/2006/relationships/hyperlink" Target="https://www.ncbi.nlm.nih.gov/pmc/articles/PMC7480445/" TargetMode="External"/><Relationship Id="rId4" Type="http://schemas.openxmlformats.org/officeDocument/2006/relationships/hyperlink" Target="https://www1.nyc.gov/site/doh/covid/covid-19-data.page" TargetMode="External"/><Relationship Id="rId9" Type="http://schemas.openxmlformats.org/officeDocument/2006/relationships/hyperlink" Target="https://www1.nyc.gov/assets/oec/technical-manual/2014_ceqr_technical_manual_rev_04_27_2016.pdf" TargetMode="External"/><Relationship Id="rId14" Type="http://schemas.openxmlformats.org/officeDocument/2006/relationships/hyperlink" Target="https://www.newsweek.com/more-variant-after-omicron-who-experts-mask-mandates-covid-16789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2CF11F-380F-424D-A41B-0E749648FF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1938</Words>
  <Characters>11051</Characters>
  <Application>Microsoft Office Word</Application>
  <DocSecurity>4</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Ricky Chawla</dc:creator>
  <cp:keywords/>
  <dc:description/>
  <cp:lastModifiedBy>DelFranco, Ruthie</cp:lastModifiedBy>
  <cp:revision>2</cp:revision>
  <cp:lastPrinted>2022-03-10T16:00:00Z</cp:lastPrinted>
  <dcterms:created xsi:type="dcterms:W3CDTF">2022-03-11T14:04:00Z</dcterms:created>
  <dcterms:modified xsi:type="dcterms:W3CDTF">2022-03-11T14:04:00Z</dcterms:modified>
</cp:coreProperties>
</file>