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1C7ABB" w14:textId="77777777" w:rsidR="00BC5421" w:rsidRPr="000850B9" w:rsidRDefault="00BC5421" w:rsidP="00BC5421">
      <w:pPr>
        <w:ind w:left="5040"/>
        <w:jc w:val="right"/>
        <w:rPr>
          <w:spacing w:val="-3"/>
          <w:u w:val="single"/>
        </w:rPr>
      </w:pPr>
      <w:bookmarkStart w:id="0" w:name="_GoBack"/>
      <w:bookmarkEnd w:id="0"/>
      <w:r>
        <w:rPr>
          <w:spacing w:val="-3"/>
          <w:u w:val="single"/>
        </w:rPr>
        <w:t xml:space="preserve">Environmental Protection </w:t>
      </w:r>
      <w:r w:rsidRPr="000850B9">
        <w:rPr>
          <w:spacing w:val="-3"/>
          <w:u w:val="single"/>
        </w:rPr>
        <w:t>Committee Staff</w:t>
      </w:r>
    </w:p>
    <w:p w14:paraId="0B9D1813" w14:textId="77777777" w:rsidR="00BC5421" w:rsidRDefault="00BC5421" w:rsidP="00202DBD">
      <w:pPr>
        <w:ind w:left="5040"/>
        <w:jc w:val="right"/>
        <w:rPr>
          <w:spacing w:val="-3"/>
        </w:rPr>
      </w:pPr>
      <w:r>
        <w:rPr>
          <w:spacing w:val="-3"/>
        </w:rPr>
        <w:t xml:space="preserve">Samara Swanson, </w:t>
      </w:r>
      <w:r>
        <w:rPr>
          <w:i/>
          <w:iCs/>
          <w:spacing w:val="-3"/>
        </w:rPr>
        <w:t xml:space="preserve">Legislative </w:t>
      </w:r>
      <w:r w:rsidRPr="00300C15">
        <w:rPr>
          <w:i/>
          <w:iCs/>
          <w:spacing w:val="-3"/>
        </w:rPr>
        <w:t>Counsel</w:t>
      </w:r>
    </w:p>
    <w:p w14:paraId="24B156F6" w14:textId="77777777" w:rsidR="00BC5421" w:rsidRDefault="00BC5421" w:rsidP="00202DBD">
      <w:pPr>
        <w:ind w:left="4320"/>
        <w:jc w:val="right"/>
        <w:rPr>
          <w:spacing w:val="-3"/>
        </w:rPr>
      </w:pPr>
      <w:r>
        <w:rPr>
          <w:spacing w:val="-3"/>
        </w:rPr>
        <w:t xml:space="preserve">Ricky Chawla, </w:t>
      </w:r>
      <w:r w:rsidRPr="0083387A">
        <w:rPr>
          <w:i/>
          <w:iCs/>
          <w:spacing w:val="-3"/>
        </w:rPr>
        <w:t xml:space="preserve">Senior </w:t>
      </w:r>
      <w:r>
        <w:rPr>
          <w:i/>
          <w:iCs/>
          <w:spacing w:val="-3"/>
        </w:rPr>
        <w:t xml:space="preserve">Legislative </w:t>
      </w:r>
      <w:r w:rsidRPr="00300C15">
        <w:rPr>
          <w:i/>
          <w:iCs/>
          <w:spacing w:val="-3"/>
        </w:rPr>
        <w:t>Policy Analyst</w:t>
      </w:r>
    </w:p>
    <w:p w14:paraId="4261EED6" w14:textId="7F802FC0" w:rsidR="00BC5421" w:rsidRDefault="00202DBD" w:rsidP="00202DBD">
      <w:pPr>
        <w:ind w:left="5040"/>
        <w:jc w:val="right"/>
        <w:rPr>
          <w:spacing w:val="-3"/>
        </w:rPr>
      </w:pPr>
      <w:r>
        <w:rPr>
          <w:spacing w:val="-3"/>
        </w:rPr>
        <w:t>Andrew Lane-Lawless</w:t>
      </w:r>
      <w:r w:rsidR="00BC5421">
        <w:rPr>
          <w:spacing w:val="-3"/>
        </w:rPr>
        <w:t xml:space="preserve">, </w:t>
      </w:r>
      <w:r w:rsidR="00BC5421" w:rsidRPr="00300C15">
        <w:rPr>
          <w:i/>
          <w:iCs/>
          <w:spacing w:val="-3"/>
        </w:rPr>
        <w:t>Financial Analyst</w:t>
      </w:r>
    </w:p>
    <w:p w14:paraId="42146EEB" w14:textId="77777777" w:rsidR="00BC5421" w:rsidRDefault="00BC5421" w:rsidP="00BC5421">
      <w:pPr>
        <w:ind w:left="5040"/>
        <w:rPr>
          <w:spacing w:val="-3"/>
        </w:rPr>
      </w:pPr>
    </w:p>
    <w:p w14:paraId="24F00BC8" w14:textId="77777777" w:rsidR="00BC5421" w:rsidRDefault="00BC5421" w:rsidP="00BC5421">
      <w:pPr>
        <w:ind w:left="5040"/>
        <w:rPr>
          <w:spacing w:val="-3"/>
        </w:rPr>
      </w:pPr>
    </w:p>
    <w:p w14:paraId="2800CC67" w14:textId="77777777" w:rsidR="00BC5421" w:rsidRPr="000850B9" w:rsidRDefault="00BC5421" w:rsidP="00BC5421">
      <w:pPr>
        <w:ind w:left="5040"/>
        <w:rPr>
          <w:b/>
          <w:spacing w:val="-3"/>
          <w:u w:val="single"/>
        </w:rPr>
      </w:pPr>
    </w:p>
    <w:p w14:paraId="41AE4F9A" w14:textId="77777777" w:rsidR="00BC5421" w:rsidRPr="000850B9" w:rsidRDefault="00BC5421" w:rsidP="00BC5421">
      <w:pPr>
        <w:keepNext/>
        <w:tabs>
          <w:tab w:val="center" w:pos="4680"/>
        </w:tabs>
        <w:suppressAutoHyphens/>
        <w:jc w:val="center"/>
        <w:outlineLvl w:val="3"/>
        <w:rPr>
          <w:b/>
          <w:spacing w:val="-3"/>
          <w:u w:val="single"/>
        </w:rPr>
      </w:pPr>
    </w:p>
    <w:p w14:paraId="5730AC06" w14:textId="77777777" w:rsidR="00BC5421" w:rsidRPr="000850B9" w:rsidRDefault="00BC5421" w:rsidP="00BC5421">
      <w:pPr>
        <w:jc w:val="center"/>
      </w:pPr>
      <w:r w:rsidRPr="000850B9">
        <w:rPr>
          <w:noProof/>
        </w:rPr>
        <w:drawing>
          <wp:inline distT="0" distB="0" distL="0" distR="0" wp14:anchorId="48933B84" wp14:editId="535F12D0">
            <wp:extent cx="1009650" cy="1033145"/>
            <wp:effectExtent l="0" t="0" r="0" b="0"/>
            <wp:docPr id="1" name="Picture 1" descr="A picture containing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porcelai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9650" cy="1033145"/>
                    </a:xfrm>
                    <a:prstGeom prst="rect">
                      <a:avLst/>
                    </a:prstGeom>
                    <a:noFill/>
                    <a:ln>
                      <a:noFill/>
                    </a:ln>
                  </pic:spPr>
                </pic:pic>
              </a:graphicData>
            </a:graphic>
          </wp:inline>
        </w:drawing>
      </w:r>
    </w:p>
    <w:p w14:paraId="01443D4C" w14:textId="77777777" w:rsidR="00BC5421" w:rsidRPr="000850B9" w:rsidRDefault="00BC5421" w:rsidP="00BC5421"/>
    <w:p w14:paraId="31F03B4A" w14:textId="77777777" w:rsidR="00BC5421" w:rsidRPr="00581DCF" w:rsidRDefault="00BC5421" w:rsidP="00BC5421">
      <w:pPr>
        <w:widowControl w:val="0"/>
        <w:jc w:val="center"/>
        <w:outlineLvl w:val="5"/>
        <w:rPr>
          <w:rFonts w:ascii="Times New Roman Bold"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The New York City Council</w:t>
      </w:r>
    </w:p>
    <w:p w14:paraId="681F65F1" w14:textId="77777777" w:rsidR="00BC5421" w:rsidRPr="00581DCF" w:rsidRDefault="00BC5421" w:rsidP="00BC5421">
      <w:pPr>
        <w:tabs>
          <w:tab w:val="center" w:pos="4680"/>
        </w:tabs>
        <w:jc w:val="center"/>
        <w:rPr>
          <w:iCs/>
        </w:rPr>
      </w:pPr>
      <w:r w:rsidRPr="00581DCF">
        <w:rPr>
          <w:iCs/>
        </w:rPr>
        <w:t xml:space="preserve"> </w:t>
      </w:r>
      <w:r>
        <w:rPr>
          <w:iCs/>
        </w:rPr>
        <w:t>Andrea Vazquez</w:t>
      </w:r>
      <w:r w:rsidRPr="00581DCF">
        <w:rPr>
          <w:iCs/>
        </w:rPr>
        <w:t>, Legislative Director</w:t>
      </w:r>
    </w:p>
    <w:p w14:paraId="1796AEA6" w14:textId="77777777" w:rsidR="00BC5421" w:rsidRPr="00581DCF" w:rsidRDefault="00BC5421" w:rsidP="00BC5421">
      <w:pPr>
        <w:tabs>
          <w:tab w:val="left" w:pos="-1440"/>
        </w:tabs>
        <w:ind w:left="4320"/>
        <w:rPr>
          <w:b/>
        </w:rPr>
      </w:pPr>
    </w:p>
    <w:p w14:paraId="0AB6DB3E" w14:textId="34EAB810" w:rsidR="00BC5421" w:rsidRPr="00581DCF" w:rsidRDefault="00BC5421" w:rsidP="00BC5421">
      <w:pPr>
        <w:widowControl w:val="0"/>
        <w:jc w:val="center"/>
        <w:outlineLvl w:val="5"/>
        <w:rPr>
          <w:rFonts w:ascii="Times New Roman Bold"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Committee Report</w:t>
      </w:r>
      <w:r w:rsidR="0029201C">
        <w:rPr>
          <w:rFonts w:ascii="Times New Roman Bold" w:eastAsia="Calibri" w:hAnsi="Times New Roman Bold" w:cs="Calibri"/>
          <w:b/>
          <w:bCs/>
          <w:smallCaps/>
          <w:color w:val="000000"/>
          <w:u w:val="single" w:color="000000"/>
        </w:rPr>
        <w:t xml:space="preserve"> and Briefing Paper</w:t>
      </w:r>
      <w:r w:rsidRPr="00581DCF">
        <w:rPr>
          <w:rFonts w:ascii="Times New Roman Bold" w:eastAsia="Calibri" w:hAnsi="Times New Roman Bold" w:cs="Calibri"/>
          <w:b/>
          <w:bCs/>
          <w:smallCaps/>
          <w:color w:val="000000"/>
          <w:u w:val="single" w:color="000000"/>
        </w:rPr>
        <w:t xml:space="preserve"> of the Infrastructure Division</w:t>
      </w:r>
    </w:p>
    <w:p w14:paraId="24059132" w14:textId="77777777" w:rsidR="00BC5421" w:rsidRDefault="00BC5421" w:rsidP="00BC5421">
      <w:pPr>
        <w:tabs>
          <w:tab w:val="center" w:pos="4680"/>
        </w:tabs>
        <w:jc w:val="center"/>
        <w:rPr>
          <w:iCs/>
        </w:rPr>
      </w:pPr>
      <w:r>
        <w:rPr>
          <w:iCs/>
        </w:rPr>
        <w:t>Brad</w:t>
      </w:r>
      <w:r w:rsidRPr="00581DCF">
        <w:rPr>
          <w:iCs/>
        </w:rPr>
        <w:t xml:space="preserve"> </w:t>
      </w:r>
      <w:r>
        <w:rPr>
          <w:iCs/>
        </w:rPr>
        <w:t>Reid</w:t>
      </w:r>
      <w:r w:rsidRPr="00581DCF">
        <w:rPr>
          <w:iCs/>
        </w:rPr>
        <w:t>, Deputy Director</w:t>
      </w:r>
    </w:p>
    <w:p w14:paraId="04A0036F" w14:textId="77777777" w:rsidR="00BC5421" w:rsidRPr="00581DCF" w:rsidRDefault="00BC5421" w:rsidP="00BC5421">
      <w:pPr>
        <w:tabs>
          <w:tab w:val="left" w:pos="-1440"/>
        </w:tabs>
        <w:rPr>
          <w:b/>
        </w:rPr>
      </w:pPr>
    </w:p>
    <w:p w14:paraId="09B06BC1" w14:textId="77777777" w:rsidR="00BC5421" w:rsidRPr="00581DCF" w:rsidRDefault="00BC5421" w:rsidP="00BC5421">
      <w:pPr>
        <w:tabs>
          <w:tab w:val="center" w:pos="4680"/>
        </w:tabs>
        <w:jc w:val="center"/>
        <w:rPr>
          <w:rFonts w:ascii="Times New Roman Bold" w:hAnsi="Times New Roman Bold"/>
          <w:b/>
          <w:smallCaps/>
          <w:u w:val="single"/>
        </w:rPr>
      </w:pPr>
      <w:r w:rsidRPr="00581DCF">
        <w:rPr>
          <w:rFonts w:ascii="Times New Roman Bold" w:hAnsi="Times New Roman Bold"/>
          <w:b/>
          <w:smallCaps/>
          <w:u w:val="single"/>
        </w:rPr>
        <w:t>Committee on Environmental Protection</w:t>
      </w:r>
    </w:p>
    <w:p w14:paraId="502287F4" w14:textId="77777777" w:rsidR="00BC5421" w:rsidRDefault="00BC5421" w:rsidP="00BC5421">
      <w:pPr>
        <w:jc w:val="center"/>
      </w:pPr>
      <w:r w:rsidRPr="00581DCF">
        <w:t xml:space="preserve">Hon. </w:t>
      </w:r>
      <w:r>
        <w:t>James F. Gennaro</w:t>
      </w:r>
      <w:r w:rsidRPr="00581DCF">
        <w:t>, Chair</w:t>
      </w:r>
    </w:p>
    <w:p w14:paraId="57C6885C" w14:textId="77777777" w:rsidR="00BC5421" w:rsidRDefault="00BC5421" w:rsidP="00BC5421">
      <w:pPr>
        <w:jc w:val="center"/>
      </w:pPr>
    </w:p>
    <w:p w14:paraId="766A20C3" w14:textId="77777777" w:rsidR="00BC5421" w:rsidRPr="00581DCF" w:rsidRDefault="00BC5421" w:rsidP="00BC5421">
      <w:pPr>
        <w:jc w:val="center"/>
      </w:pPr>
    </w:p>
    <w:p w14:paraId="7055922C" w14:textId="08A42F87" w:rsidR="00BC5421" w:rsidRPr="00BC5421" w:rsidRDefault="00BC5421" w:rsidP="00BC5421">
      <w:pPr>
        <w:keepNext/>
        <w:jc w:val="center"/>
        <w:outlineLvl w:val="3"/>
        <w:rPr>
          <w:b/>
          <w:bCs/>
        </w:rPr>
      </w:pPr>
      <w:r>
        <w:rPr>
          <w:b/>
          <w:bCs/>
        </w:rPr>
        <w:t>October 13, 2022</w:t>
      </w:r>
    </w:p>
    <w:p w14:paraId="1DD595FA" w14:textId="77777777" w:rsidR="00BC5421" w:rsidRDefault="00BC5421" w:rsidP="00BC5421">
      <w:pPr>
        <w:ind w:left="4320" w:hanging="4320"/>
        <w:jc w:val="both"/>
        <w:rPr>
          <w:bCs/>
        </w:rPr>
      </w:pPr>
    </w:p>
    <w:p w14:paraId="3648E862" w14:textId="56EAB94A" w:rsidR="00BC5421" w:rsidRDefault="00BC5421" w:rsidP="00437D33">
      <w:pPr>
        <w:tabs>
          <w:tab w:val="center" w:pos="4680"/>
        </w:tabs>
        <w:jc w:val="center"/>
        <w:rPr>
          <w:rFonts w:ascii="Times New Roman Bold" w:hAnsi="Times New Roman Bold"/>
          <w:b/>
          <w:smallCaps/>
        </w:rPr>
      </w:pPr>
      <w:r>
        <w:rPr>
          <w:rFonts w:ascii="Times New Roman Bold" w:hAnsi="Times New Roman Bold"/>
          <w:b/>
          <w:smallCaps/>
        </w:rPr>
        <w:t xml:space="preserve">Oversight – </w:t>
      </w:r>
      <w:r w:rsidR="00437D33">
        <w:rPr>
          <w:rFonts w:ascii="Times New Roman Bold" w:hAnsi="Times New Roman Bold"/>
          <w:b/>
          <w:smallCaps/>
        </w:rPr>
        <w:t>Renewable Energy and New York City’s Climate Adaptation</w:t>
      </w:r>
    </w:p>
    <w:p w14:paraId="05D33CF4" w14:textId="77777777" w:rsidR="00437D33" w:rsidRDefault="00437D33" w:rsidP="00437D33">
      <w:pPr>
        <w:tabs>
          <w:tab w:val="center" w:pos="4680"/>
        </w:tabs>
        <w:jc w:val="center"/>
      </w:pPr>
    </w:p>
    <w:p w14:paraId="2607D57D" w14:textId="77777777" w:rsidR="00BC5421" w:rsidRDefault="00BC5421" w:rsidP="00BC5421">
      <w:pPr>
        <w:pStyle w:val="NoSpacing"/>
        <w:rPr>
          <w:rFonts w:ascii="Times New Roman" w:hAnsi="Times New Roman" w:cs="Times New Roman"/>
          <w:sz w:val="24"/>
          <w:szCs w:val="24"/>
        </w:rPr>
      </w:pPr>
    </w:p>
    <w:p w14:paraId="1595E6BE" w14:textId="2F11945B" w:rsidR="00BC5421" w:rsidRPr="00A10C5A" w:rsidRDefault="00BC5421" w:rsidP="00BC5421">
      <w:pPr>
        <w:pStyle w:val="Default"/>
        <w:ind w:left="4320" w:hanging="4320"/>
        <w:jc w:val="both"/>
        <w:rPr>
          <w:bCs/>
          <w:sz w:val="23"/>
          <w:szCs w:val="23"/>
        </w:rPr>
      </w:pPr>
      <w:r>
        <w:rPr>
          <w:rFonts w:ascii="Times Roman" w:eastAsia="Calibri" w:hAnsi="Times Roman"/>
          <w:b/>
          <w:smallCaps/>
          <w:u w:val="single"/>
        </w:rPr>
        <w:t>Int</w:t>
      </w:r>
      <w:r w:rsidRPr="00581DCF">
        <w:rPr>
          <w:rFonts w:ascii="Times Roman" w:eastAsia="Calibri" w:hAnsi="Times Roman"/>
          <w:b/>
          <w:smallCaps/>
          <w:u w:val="single"/>
        </w:rPr>
        <w:t>. No.</w:t>
      </w:r>
      <w:r>
        <w:rPr>
          <w:rFonts w:ascii="Times Roman" w:eastAsia="Calibri" w:hAnsi="Times Roman"/>
          <w:b/>
          <w:smallCaps/>
          <w:u w:val="single"/>
        </w:rPr>
        <w:t xml:space="preserve"> </w:t>
      </w:r>
      <w:r w:rsidR="00437D33">
        <w:rPr>
          <w:rFonts w:ascii="Times Roman" w:eastAsia="Calibri" w:hAnsi="Times Roman"/>
          <w:b/>
          <w:smallCaps/>
          <w:u w:val="single"/>
        </w:rPr>
        <w:t>315</w:t>
      </w:r>
      <w:r w:rsidRPr="00581DCF">
        <w:rPr>
          <w:rFonts w:ascii="Times Roman" w:eastAsia="Calibri" w:hAnsi="Times Roman"/>
          <w:b/>
          <w:smallCaps/>
          <w:u w:val="single"/>
        </w:rPr>
        <w:t>:</w:t>
      </w:r>
      <w:r>
        <w:rPr>
          <w:rFonts w:ascii="Times Roman" w:eastAsia="Calibri" w:hAnsi="Times Roman"/>
          <w:b/>
          <w:smallCaps/>
        </w:rPr>
        <w:tab/>
      </w:r>
      <w:r>
        <w:rPr>
          <w:rFonts w:ascii="Times Roman" w:eastAsia="Calibri" w:hAnsi="Times Roman"/>
        </w:rPr>
        <w:t xml:space="preserve">By Council Members </w:t>
      </w:r>
      <w:r w:rsidR="00437D33" w:rsidRPr="00437D33">
        <w:rPr>
          <w:rFonts w:ascii="Times Roman" w:eastAsia="Calibri" w:hAnsi="Times Roman"/>
        </w:rPr>
        <w:t>Brannan, Louis, Hanif, Yeger, Ayala, Dinowitz, Restler, Abreu, Sanchez, Schulman, Nurse, Cabán and Farías</w:t>
      </w:r>
    </w:p>
    <w:p w14:paraId="32C1C1B2" w14:textId="77777777" w:rsidR="00BC5421" w:rsidRDefault="00BC5421" w:rsidP="00BC5421">
      <w:pPr>
        <w:pStyle w:val="Default"/>
        <w:rPr>
          <w:b/>
          <w:bCs/>
          <w:sz w:val="23"/>
          <w:szCs w:val="23"/>
        </w:rPr>
      </w:pPr>
    </w:p>
    <w:p w14:paraId="368830E1" w14:textId="5EAF9359" w:rsidR="00BC5421" w:rsidRDefault="00BC5421" w:rsidP="00BC5421">
      <w:pPr>
        <w:pStyle w:val="Default"/>
        <w:ind w:left="4320" w:hanging="4320"/>
        <w:jc w:val="both"/>
        <w:rPr>
          <w:rFonts w:ascii="Times Roman" w:eastAsia="Calibri" w:hAnsi="Times Roman"/>
          <w:bCs/>
        </w:rPr>
      </w:pPr>
      <w:r w:rsidRPr="00581DCF">
        <w:rPr>
          <w:rFonts w:ascii="Times Roman" w:eastAsia="Calibri" w:hAnsi="Times Roman"/>
          <w:b/>
          <w:smallCaps/>
          <w:u w:val="single"/>
        </w:rPr>
        <w:t>Title:</w:t>
      </w:r>
      <w:r>
        <w:rPr>
          <w:rFonts w:ascii="Times Roman" w:eastAsia="Calibri" w:hAnsi="Times Roman"/>
          <w:bCs/>
          <w:smallCaps/>
        </w:rPr>
        <w:tab/>
      </w:r>
      <w:r w:rsidR="00437D33" w:rsidRPr="00437D33">
        <w:rPr>
          <w:rFonts w:ascii="Times Roman" w:eastAsia="Calibri" w:hAnsi="Times Roman"/>
          <w:bCs/>
        </w:rPr>
        <w:t>A Local Law to amend the administrative code of the city of New York, in relation to identifying all vacant and underutilized municipally-owned sites that would be suitable for the development of renewable energy and assessing the renewable-energy generation potential and feasibility of such sites</w:t>
      </w:r>
    </w:p>
    <w:p w14:paraId="10B49F0B" w14:textId="77777777" w:rsidR="00437D33" w:rsidRDefault="00437D33" w:rsidP="00BC5421">
      <w:pPr>
        <w:pStyle w:val="Default"/>
        <w:ind w:left="4320" w:hanging="4320"/>
        <w:jc w:val="both"/>
        <w:rPr>
          <w:rFonts w:ascii="Times Roman" w:eastAsia="Calibri" w:hAnsi="Times Roman"/>
          <w:bCs/>
        </w:rPr>
      </w:pPr>
    </w:p>
    <w:p w14:paraId="21C7F391" w14:textId="610562BC" w:rsidR="00BC5421" w:rsidRPr="002C2B63" w:rsidRDefault="00BC5421" w:rsidP="00BC5421">
      <w:pPr>
        <w:ind w:left="4320" w:hanging="4320"/>
        <w:jc w:val="both"/>
        <w:rPr>
          <w:rFonts w:eastAsia="Calibri"/>
        </w:rPr>
      </w:pPr>
      <w:r w:rsidRPr="002C2B63">
        <w:rPr>
          <w:rFonts w:ascii="Times New Roman Bold" w:eastAsia="Calibri" w:hAnsi="Times New Roman Bold"/>
          <w:b/>
          <w:smallCaps/>
          <w:u w:val="single"/>
        </w:rPr>
        <w:t>Administrative Code:</w:t>
      </w:r>
      <w:r w:rsidRPr="002C2B63">
        <w:rPr>
          <w:rFonts w:eastAsia="Calibri"/>
          <w:b/>
        </w:rPr>
        <w:tab/>
      </w:r>
      <w:r>
        <w:rPr>
          <w:rFonts w:eastAsia="Calibri"/>
        </w:rPr>
        <w:t>A</w:t>
      </w:r>
      <w:r w:rsidR="00E91F94">
        <w:rPr>
          <w:rFonts w:eastAsia="Calibri"/>
        </w:rPr>
        <w:t>dds new section 24-806.1</w:t>
      </w:r>
    </w:p>
    <w:p w14:paraId="0ED7D4A0" w14:textId="77777777" w:rsidR="00BC5421" w:rsidRDefault="00BC5421" w:rsidP="00BC5421">
      <w:pPr>
        <w:pStyle w:val="NoSpacing"/>
        <w:rPr>
          <w:rFonts w:ascii="Times New Roman" w:hAnsi="Times New Roman" w:cs="Times New Roman"/>
          <w:sz w:val="24"/>
          <w:szCs w:val="24"/>
        </w:rPr>
      </w:pPr>
    </w:p>
    <w:p w14:paraId="406C8B7C" w14:textId="50752240" w:rsidR="00E91F94" w:rsidRPr="00E91F94" w:rsidRDefault="00437D33" w:rsidP="00E91F94">
      <w:pPr>
        <w:pStyle w:val="Default"/>
        <w:ind w:left="4320" w:hanging="4320"/>
        <w:jc w:val="both"/>
        <w:rPr>
          <w:rFonts w:ascii="Times Roman" w:eastAsia="Calibri" w:hAnsi="Times Roman"/>
        </w:rPr>
      </w:pPr>
      <w:r>
        <w:rPr>
          <w:rFonts w:ascii="Times Roman" w:eastAsia="Calibri" w:hAnsi="Times Roman"/>
          <w:b/>
          <w:smallCaps/>
          <w:u w:val="single"/>
        </w:rPr>
        <w:t>Int</w:t>
      </w:r>
      <w:r w:rsidRPr="00581DCF">
        <w:rPr>
          <w:rFonts w:ascii="Times Roman" w:eastAsia="Calibri" w:hAnsi="Times Roman"/>
          <w:b/>
          <w:smallCaps/>
          <w:u w:val="single"/>
        </w:rPr>
        <w:t>. No.</w:t>
      </w:r>
      <w:r>
        <w:rPr>
          <w:rFonts w:ascii="Times Roman" w:eastAsia="Calibri" w:hAnsi="Times Roman"/>
          <w:b/>
          <w:smallCaps/>
          <w:u w:val="single"/>
        </w:rPr>
        <w:t xml:space="preserve"> </w:t>
      </w:r>
      <w:r w:rsidR="00E91F94">
        <w:rPr>
          <w:rFonts w:ascii="Times Roman" w:eastAsia="Calibri" w:hAnsi="Times Roman"/>
          <w:b/>
          <w:smallCaps/>
          <w:u w:val="single"/>
        </w:rPr>
        <w:t>33</w:t>
      </w:r>
      <w:r>
        <w:rPr>
          <w:rFonts w:ascii="Times Roman" w:eastAsia="Calibri" w:hAnsi="Times Roman"/>
          <w:b/>
          <w:smallCaps/>
          <w:u w:val="single"/>
        </w:rPr>
        <w:t>0</w:t>
      </w:r>
      <w:r w:rsidRPr="00581DCF">
        <w:rPr>
          <w:rFonts w:ascii="Times Roman" w:eastAsia="Calibri" w:hAnsi="Times Roman"/>
          <w:b/>
          <w:smallCaps/>
          <w:u w:val="single"/>
        </w:rPr>
        <w:t>:</w:t>
      </w:r>
      <w:r>
        <w:rPr>
          <w:rFonts w:ascii="Times Roman" w:eastAsia="Calibri" w:hAnsi="Times Roman"/>
          <w:b/>
          <w:smallCaps/>
        </w:rPr>
        <w:tab/>
      </w:r>
      <w:r>
        <w:rPr>
          <w:rFonts w:ascii="Times Roman" w:eastAsia="Calibri" w:hAnsi="Times Roman"/>
        </w:rPr>
        <w:t xml:space="preserve">By Council Members Gennaro, </w:t>
      </w:r>
      <w:r w:rsidR="00E91F94" w:rsidRPr="00E91F94">
        <w:rPr>
          <w:rFonts w:ascii="Times Roman" w:eastAsia="Calibri" w:hAnsi="Times Roman"/>
        </w:rPr>
        <w:t>Restler, Abreu, Won, Sanchez, Schulman, Nurse and Cabán (by request of the Queens Borough President)</w:t>
      </w:r>
    </w:p>
    <w:p w14:paraId="1F2FDF81" w14:textId="77777777" w:rsidR="00E91F94" w:rsidRPr="00E91F94" w:rsidRDefault="00E91F94" w:rsidP="00E91F94">
      <w:pPr>
        <w:pStyle w:val="Default"/>
        <w:ind w:left="4320" w:hanging="4320"/>
        <w:jc w:val="both"/>
        <w:rPr>
          <w:rFonts w:ascii="Times Roman" w:eastAsia="Calibri" w:hAnsi="Times Roman"/>
        </w:rPr>
      </w:pPr>
    </w:p>
    <w:p w14:paraId="4478DB19" w14:textId="46ABE4F7" w:rsidR="00437D33" w:rsidRDefault="00E91F94" w:rsidP="00E91F94">
      <w:pPr>
        <w:pStyle w:val="Default"/>
        <w:ind w:left="4320" w:hanging="4320"/>
        <w:jc w:val="both"/>
        <w:rPr>
          <w:rFonts w:ascii="Times Roman" w:eastAsia="Calibri" w:hAnsi="Times Roman"/>
          <w:bCs/>
        </w:rPr>
      </w:pPr>
      <w:r w:rsidRPr="00E91F94">
        <w:rPr>
          <w:rFonts w:ascii="Times Roman" w:eastAsia="Calibri" w:hAnsi="Times Roman"/>
        </w:rPr>
        <w:lastRenderedPageBreak/>
        <w:t xml:space="preserve"> </w:t>
      </w:r>
      <w:r w:rsidR="00437D33" w:rsidRPr="00581DCF">
        <w:rPr>
          <w:rFonts w:ascii="Times Roman" w:eastAsia="Calibri" w:hAnsi="Times Roman"/>
          <w:b/>
          <w:smallCaps/>
          <w:u w:val="single"/>
        </w:rPr>
        <w:t>Title:</w:t>
      </w:r>
      <w:r w:rsidR="00437D33">
        <w:rPr>
          <w:rFonts w:ascii="Times Roman" w:eastAsia="Calibri" w:hAnsi="Times Roman"/>
          <w:bCs/>
          <w:smallCaps/>
        </w:rPr>
        <w:tab/>
      </w:r>
      <w:r w:rsidRPr="00E91F94">
        <w:rPr>
          <w:rFonts w:ascii="Times Roman" w:eastAsia="Calibri" w:hAnsi="Times Roman"/>
          <w:bCs/>
        </w:rPr>
        <w:t>A Local Law to amend the administrative code of the city of New York, in relation to requiring the creation of a database of subsurface conditions to support better engineering of geothermal heat pumps.</w:t>
      </w:r>
    </w:p>
    <w:p w14:paraId="6B7A3362" w14:textId="77777777" w:rsidR="00437D33" w:rsidRDefault="00437D33" w:rsidP="00437D33">
      <w:pPr>
        <w:pStyle w:val="Default"/>
        <w:ind w:left="4320" w:hanging="4320"/>
        <w:jc w:val="both"/>
        <w:rPr>
          <w:rFonts w:ascii="Times Roman" w:eastAsia="Calibri" w:hAnsi="Times Roman"/>
          <w:bCs/>
        </w:rPr>
      </w:pPr>
    </w:p>
    <w:p w14:paraId="4A12269E" w14:textId="32D842E0" w:rsidR="00437D33" w:rsidRPr="002C2B63" w:rsidRDefault="00437D33" w:rsidP="00437D33">
      <w:pPr>
        <w:ind w:left="4320" w:hanging="4320"/>
        <w:jc w:val="both"/>
        <w:rPr>
          <w:rFonts w:eastAsia="Calibri"/>
        </w:rPr>
      </w:pPr>
      <w:r w:rsidRPr="002C2B63">
        <w:rPr>
          <w:rFonts w:ascii="Times New Roman Bold" w:eastAsia="Calibri" w:hAnsi="Times New Roman Bold"/>
          <w:b/>
          <w:smallCaps/>
          <w:u w:val="single"/>
        </w:rPr>
        <w:t>Administrative Code:</w:t>
      </w:r>
      <w:r w:rsidRPr="002C2B63">
        <w:rPr>
          <w:rFonts w:eastAsia="Calibri"/>
          <w:b/>
        </w:rPr>
        <w:tab/>
      </w:r>
      <w:r w:rsidR="00954BBF">
        <w:rPr>
          <w:rFonts w:eastAsia="Calibri"/>
        </w:rPr>
        <w:t>Adds</w:t>
      </w:r>
      <w:r w:rsidR="00954BBF" w:rsidRPr="002C2B63">
        <w:rPr>
          <w:rFonts w:eastAsia="Calibri"/>
        </w:rPr>
        <w:t xml:space="preserve"> </w:t>
      </w:r>
      <w:r w:rsidR="00954BBF">
        <w:rPr>
          <w:rFonts w:eastAsia="Calibri"/>
        </w:rPr>
        <w:t>subdivision c to</w:t>
      </w:r>
      <w:r w:rsidR="0029201C">
        <w:rPr>
          <w:rFonts w:eastAsia="Calibri"/>
        </w:rPr>
        <w:t xml:space="preserve"> section</w:t>
      </w:r>
      <w:r w:rsidR="00954BBF">
        <w:rPr>
          <w:rFonts w:eastAsia="Calibri"/>
        </w:rPr>
        <w:t xml:space="preserve"> </w:t>
      </w:r>
      <w:r w:rsidR="00954BBF" w:rsidRPr="002C2B63">
        <w:rPr>
          <w:rFonts w:eastAsia="Calibri"/>
        </w:rPr>
        <w:t>24-</w:t>
      </w:r>
      <w:r w:rsidR="00954BBF">
        <w:rPr>
          <w:rFonts w:eastAsia="Calibri"/>
        </w:rPr>
        <w:t>804</w:t>
      </w:r>
    </w:p>
    <w:p w14:paraId="0904B487" w14:textId="77777777" w:rsidR="00BC5421" w:rsidRDefault="00BC5421" w:rsidP="00BC5421">
      <w:pPr>
        <w:pStyle w:val="NoSpacing"/>
        <w:rPr>
          <w:rFonts w:ascii="Times New Roman" w:hAnsi="Times New Roman" w:cs="Times New Roman"/>
          <w:sz w:val="24"/>
          <w:szCs w:val="24"/>
        </w:rPr>
      </w:pPr>
    </w:p>
    <w:p w14:paraId="35606A85" w14:textId="38AFDE1F" w:rsidR="00437D33" w:rsidRPr="00A10C5A" w:rsidRDefault="00954BBF" w:rsidP="00437D33">
      <w:pPr>
        <w:pStyle w:val="Default"/>
        <w:ind w:left="4320" w:hanging="4320"/>
        <w:jc w:val="both"/>
        <w:rPr>
          <w:bCs/>
          <w:sz w:val="23"/>
          <w:szCs w:val="23"/>
        </w:rPr>
      </w:pPr>
      <w:r>
        <w:rPr>
          <w:rFonts w:ascii="Times Roman" w:eastAsia="Calibri" w:hAnsi="Times Roman"/>
          <w:b/>
          <w:smallCaps/>
          <w:u w:val="single"/>
        </w:rPr>
        <w:t>Res</w:t>
      </w:r>
      <w:r w:rsidR="00437D33" w:rsidRPr="00581DCF">
        <w:rPr>
          <w:rFonts w:ascii="Times Roman" w:eastAsia="Calibri" w:hAnsi="Times Roman"/>
          <w:b/>
          <w:smallCaps/>
          <w:u w:val="single"/>
        </w:rPr>
        <w:t>. No.</w:t>
      </w:r>
      <w:r w:rsidR="00437D33">
        <w:rPr>
          <w:rFonts w:ascii="Times Roman" w:eastAsia="Calibri" w:hAnsi="Times Roman"/>
          <w:b/>
          <w:smallCaps/>
          <w:u w:val="single"/>
        </w:rPr>
        <w:t xml:space="preserve"> </w:t>
      </w:r>
      <w:r>
        <w:rPr>
          <w:rFonts w:ascii="Times Roman" w:eastAsia="Calibri" w:hAnsi="Times Roman"/>
          <w:b/>
          <w:smallCaps/>
          <w:u w:val="single"/>
        </w:rPr>
        <w:t>169</w:t>
      </w:r>
      <w:r w:rsidR="00437D33" w:rsidRPr="00581DCF">
        <w:rPr>
          <w:rFonts w:ascii="Times Roman" w:eastAsia="Calibri" w:hAnsi="Times Roman"/>
          <w:b/>
          <w:smallCaps/>
          <w:u w:val="single"/>
        </w:rPr>
        <w:t>:</w:t>
      </w:r>
      <w:r w:rsidR="00437D33">
        <w:rPr>
          <w:rFonts w:ascii="Times Roman" w:eastAsia="Calibri" w:hAnsi="Times Roman"/>
          <w:b/>
          <w:smallCaps/>
        </w:rPr>
        <w:tab/>
      </w:r>
      <w:r w:rsidR="00437D33">
        <w:rPr>
          <w:rFonts w:ascii="Times Roman" w:eastAsia="Calibri" w:hAnsi="Times Roman"/>
        </w:rPr>
        <w:t xml:space="preserve">By Council Members </w:t>
      </w:r>
      <w:r w:rsidRPr="00954BBF">
        <w:rPr>
          <w:rFonts w:ascii="Times Roman" w:eastAsia="Calibri" w:hAnsi="Times Roman"/>
        </w:rPr>
        <w:t xml:space="preserve">Restler, Hanif, De La Rosa, Gutiérrez, Riley, Gennaro, Hudson, Joseph, Avilés, Brewer, Louis, Dinowitz, Won, Krishnan, Nurse, Schulman, Menin, Williams, Ossé, Brannan, Cabán, Rivera, Powers, Bottcher, Marte, Hanks, Abreu, Sanchez, Velázquez, Narcisse, Farías, Brooks-Powers, Salamanca, Ung, Ayala, Moya and Lee </w:t>
      </w:r>
      <w:r w:rsidR="00BB60A0">
        <w:rPr>
          <w:rFonts w:ascii="Times Roman" w:eastAsia="Calibri" w:hAnsi="Times Roman"/>
        </w:rPr>
        <w:t xml:space="preserve">(in conjunction with the Brooklyn Borough President) </w:t>
      </w:r>
      <w:r w:rsidRPr="00954BBF">
        <w:rPr>
          <w:rFonts w:ascii="Times Roman" w:eastAsia="Calibri" w:hAnsi="Times Roman"/>
        </w:rPr>
        <w:t>(by request of the Queens Borough President)</w:t>
      </w:r>
    </w:p>
    <w:p w14:paraId="4EE3321A" w14:textId="77777777" w:rsidR="00437D33" w:rsidRDefault="00437D33" w:rsidP="00437D33">
      <w:pPr>
        <w:pStyle w:val="Default"/>
        <w:rPr>
          <w:b/>
          <w:bCs/>
          <w:sz w:val="23"/>
          <w:szCs w:val="23"/>
        </w:rPr>
      </w:pPr>
    </w:p>
    <w:p w14:paraId="6F9E1245" w14:textId="1C51FDAF" w:rsidR="00437D33" w:rsidRDefault="00437D33" w:rsidP="00954BBF">
      <w:pPr>
        <w:pStyle w:val="Default"/>
        <w:ind w:left="4320" w:hanging="4320"/>
        <w:jc w:val="both"/>
        <w:rPr>
          <w:rFonts w:ascii="Times Roman" w:eastAsia="Calibri" w:hAnsi="Times Roman"/>
          <w:bCs/>
        </w:rPr>
      </w:pPr>
      <w:r w:rsidRPr="00581DCF">
        <w:rPr>
          <w:rFonts w:ascii="Times Roman" w:eastAsia="Calibri" w:hAnsi="Times Roman"/>
          <w:b/>
          <w:smallCaps/>
          <w:u w:val="single"/>
        </w:rPr>
        <w:t>Title:</w:t>
      </w:r>
      <w:r>
        <w:rPr>
          <w:rFonts w:ascii="Times Roman" w:eastAsia="Calibri" w:hAnsi="Times Roman"/>
          <w:bCs/>
          <w:smallCaps/>
        </w:rPr>
        <w:tab/>
      </w:r>
      <w:r w:rsidR="00954BBF" w:rsidRPr="00954BBF">
        <w:rPr>
          <w:rFonts w:ascii="Times Roman" w:eastAsia="Calibri" w:hAnsi="Times Roman"/>
          <w:bCs/>
        </w:rPr>
        <w:t>Resolution calling for the Climate Action Council to draft, and the Governor to implement, a final Climate Action Council Scoping Plan that commits to meeting CLCPA targets and bold climate &amp; environmental justice action in New York</w:t>
      </w:r>
      <w:r w:rsidR="002449B2">
        <w:rPr>
          <w:rFonts w:ascii="Times Roman" w:eastAsia="Calibri" w:hAnsi="Times Roman"/>
          <w:bCs/>
        </w:rPr>
        <w:t>.</w:t>
      </w:r>
    </w:p>
    <w:p w14:paraId="551B999A" w14:textId="77777777" w:rsidR="00954BBF" w:rsidRPr="002C2B63" w:rsidRDefault="00954BBF" w:rsidP="00954BBF">
      <w:pPr>
        <w:pStyle w:val="Default"/>
        <w:ind w:left="4320" w:hanging="4320"/>
        <w:jc w:val="both"/>
        <w:rPr>
          <w:rFonts w:eastAsia="Calibri"/>
        </w:rPr>
      </w:pPr>
    </w:p>
    <w:p w14:paraId="440BE3E8" w14:textId="05F2BE8E" w:rsidR="00437D33" w:rsidRPr="00A10C5A" w:rsidRDefault="00954BBF" w:rsidP="00437D33">
      <w:pPr>
        <w:pStyle w:val="Default"/>
        <w:ind w:left="4320" w:hanging="4320"/>
        <w:jc w:val="both"/>
        <w:rPr>
          <w:bCs/>
          <w:sz w:val="23"/>
          <w:szCs w:val="23"/>
        </w:rPr>
      </w:pPr>
      <w:r>
        <w:rPr>
          <w:rFonts w:ascii="Times Roman" w:eastAsia="Calibri" w:hAnsi="Times Roman"/>
          <w:b/>
          <w:smallCaps/>
          <w:u w:val="single"/>
        </w:rPr>
        <w:t>Res</w:t>
      </w:r>
      <w:r w:rsidR="00437D33" w:rsidRPr="00581DCF">
        <w:rPr>
          <w:rFonts w:ascii="Times Roman" w:eastAsia="Calibri" w:hAnsi="Times Roman"/>
          <w:b/>
          <w:smallCaps/>
          <w:u w:val="single"/>
        </w:rPr>
        <w:t>. No.</w:t>
      </w:r>
      <w:r w:rsidR="00437D33">
        <w:rPr>
          <w:rFonts w:ascii="Times Roman" w:eastAsia="Calibri" w:hAnsi="Times Roman"/>
          <w:b/>
          <w:smallCaps/>
          <w:u w:val="single"/>
        </w:rPr>
        <w:t xml:space="preserve"> </w:t>
      </w:r>
      <w:r>
        <w:rPr>
          <w:rFonts w:ascii="Times Roman" w:eastAsia="Calibri" w:hAnsi="Times Roman"/>
          <w:b/>
          <w:smallCaps/>
          <w:u w:val="single"/>
        </w:rPr>
        <w:t>189</w:t>
      </w:r>
      <w:r w:rsidR="00437D33" w:rsidRPr="00581DCF">
        <w:rPr>
          <w:rFonts w:ascii="Times Roman" w:eastAsia="Calibri" w:hAnsi="Times Roman"/>
          <w:b/>
          <w:smallCaps/>
          <w:u w:val="single"/>
        </w:rPr>
        <w:t>:</w:t>
      </w:r>
      <w:r w:rsidR="00437D33">
        <w:rPr>
          <w:rFonts w:ascii="Times Roman" w:eastAsia="Calibri" w:hAnsi="Times Roman"/>
          <w:b/>
          <w:smallCaps/>
        </w:rPr>
        <w:tab/>
      </w:r>
      <w:r w:rsidR="00437D33">
        <w:rPr>
          <w:rFonts w:ascii="Times Roman" w:eastAsia="Calibri" w:hAnsi="Times Roman"/>
        </w:rPr>
        <w:t xml:space="preserve">By Council Members </w:t>
      </w:r>
      <w:r w:rsidR="00943CF6" w:rsidRPr="00943CF6">
        <w:rPr>
          <w:rFonts w:ascii="Times Roman" w:eastAsia="Calibri" w:hAnsi="Times Roman"/>
        </w:rPr>
        <w:t>Avilés, Louis, Hudson, Brannan, Hanif, Joseph, Nurse, Abreu, Restler, Won, Gutiérrez, Cabán, Schulman, Menin, Marte, Bottcher, Dinowitz, De La Rosa, Sanchez, Narcisse, Velázquez, Far</w:t>
      </w:r>
      <w:r w:rsidR="00CF2DC8">
        <w:rPr>
          <w:rFonts w:ascii="Times Roman" w:eastAsia="Calibri" w:hAnsi="Times Roman"/>
        </w:rPr>
        <w:t>í</w:t>
      </w:r>
      <w:r w:rsidR="00943CF6" w:rsidRPr="00943CF6">
        <w:rPr>
          <w:rFonts w:ascii="Times Roman" w:eastAsia="Calibri" w:hAnsi="Times Roman"/>
        </w:rPr>
        <w:t>as, Richardson Jordan, Ossé</w:t>
      </w:r>
      <w:r w:rsidR="0029201C">
        <w:rPr>
          <w:rFonts w:ascii="Times Roman" w:eastAsia="Calibri" w:hAnsi="Times Roman"/>
        </w:rPr>
        <w:t>,</w:t>
      </w:r>
      <w:r w:rsidR="00943CF6" w:rsidRPr="00943CF6">
        <w:rPr>
          <w:rFonts w:ascii="Times Roman" w:eastAsia="Calibri" w:hAnsi="Times Roman"/>
        </w:rPr>
        <w:t xml:space="preserve"> Williams</w:t>
      </w:r>
      <w:r w:rsidR="0029201C">
        <w:rPr>
          <w:rFonts w:ascii="Times Roman" w:eastAsia="Calibri" w:hAnsi="Times Roman"/>
        </w:rPr>
        <w:t>, Brewer and Krishnan (in conjunction with the Brooklyn Borough President)</w:t>
      </w:r>
    </w:p>
    <w:p w14:paraId="17331712" w14:textId="77777777" w:rsidR="00437D33" w:rsidRDefault="00437D33" w:rsidP="00437D33">
      <w:pPr>
        <w:pStyle w:val="Default"/>
        <w:rPr>
          <w:b/>
          <w:bCs/>
          <w:sz w:val="23"/>
          <w:szCs w:val="23"/>
        </w:rPr>
      </w:pPr>
    </w:p>
    <w:p w14:paraId="148E4D94" w14:textId="1DC47D2B" w:rsidR="00BC5421" w:rsidRDefault="00437D33" w:rsidP="00943CF6">
      <w:pPr>
        <w:pStyle w:val="Default"/>
        <w:ind w:left="4320" w:hanging="4320"/>
        <w:jc w:val="both"/>
        <w:rPr>
          <w:rFonts w:ascii="Times Roman" w:eastAsia="Calibri" w:hAnsi="Times Roman"/>
          <w:bCs/>
        </w:rPr>
      </w:pPr>
      <w:r w:rsidRPr="00581DCF">
        <w:rPr>
          <w:rFonts w:ascii="Times Roman" w:eastAsia="Calibri" w:hAnsi="Times Roman"/>
          <w:b/>
          <w:smallCaps/>
          <w:u w:val="single"/>
        </w:rPr>
        <w:t>Title:</w:t>
      </w:r>
      <w:r>
        <w:rPr>
          <w:rFonts w:ascii="Times Roman" w:eastAsia="Calibri" w:hAnsi="Times Roman"/>
          <w:bCs/>
          <w:smallCaps/>
        </w:rPr>
        <w:tab/>
      </w:r>
      <w:r w:rsidR="00943CF6" w:rsidRPr="00943CF6">
        <w:rPr>
          <w:rFonts w:ascii="Times Roman" w:eastAsia="Calibri" w:hAnsi="Times Roman"/>
          <w:bCs/>
        </w:rPr>
        <w:t>Resolution calling upon the New York State Legislature to pass, and Governor to sign, Senate Bill S.6453 and Assembly Bill A.1466C, the “NYS Build Public Renewables Act” enabling the New York Power Authority to own and build new renewable generation, storage, and transmission.</w:t>
      </w:r>
    </w:p>
    <w:p w14:paraId="1602AD32" w14:textId="7FBB1114" w:rsidR="00943CF6" w:rsidRDefault="00943CF6" w:rsidP="00943CF6">
      <w:pPr>
        <w:pStyle w:val="Default"/>
        <w:ind w:left="4320" w:hanging="4320"/>
        <w:jc w:val="both"/>
      </w:pPr>
    </w:p>
    <w:p w14:paraId="35465E55" w14:textId="4C850D33" w:rsidR="00C61F76" w:rsidRDefault="00192AB6" w:rsidP="00C61F76">
      <w:pPr>
        <w:pStyle w:val="Default"/>
        <w:ind w:left="4320" w:hanging="4320"/>
        <w:jc w:val="both"/>
        <w:rPr>
          <w:rFonts w:ascii="Times Roman" w:eastAsia="Calibri" w:hAnsi="Times Roman"/>
        </w:rPr>
      </w:pPr>
      <w:r>
        <w:rPr>
          <w:rFonts w:ascii="Times Roman" w:eastAsia="Calibri" w:hAnsi="Times Roman"/>
          <w:b/>
          <w:smallCaps/>
          <w:u w:val="single"/>
        </w:rPr>
        <w:t xml:space="preserve">Proposed </w:t>
      </w:r>
      <w:r w:rsidR="00C61F76">
        <w:rPr>
          <w:rFonts w:ascii="Times Roman" w:eastAsia="Calibri" w:hAnsi="Times Roman"/>
          <w:b/>
          <w:smallCaps/>
          <w:u w:val="single"/>
        </w:rPr>
        <w:t>Res</w:t>
      </w:r>
      <w:r w:rsidR="00C61F76" w:rsidRPr="00581DCF">
        <w:rPr>
          <w:rFonts w:ascii="Times Roman" w:eastAsia="Calibri" w:hAnsi="Times Roman"/>
          <w:b/>
          <w:smallCaps/>
          <w:u w:val="single"/>
        </w:rPr>
        <w:t>. No.</w:t>
      </w:r>
      <w:r w:rsidR="00C61F76">
        <w:rPr>
          <w:rFonts w:ascii="Times Roman" w:eastAsia="Calibri" w:hAnsi="Times Roman"/>
          <w:b/>
          <w:smallCaps/>
          <w:u w:val="single"/>
        </w:rPr>
        <w:t xml:space="preserve"> 258</w:t>
      </w:r>
      <w:r>
        <w:rPr>
          <w:rFonts w:ascii="Times Roman" w:eastAsia="Calibri" w:hAnsi="Times Roman"/>
          <w:b/>
          <w:smallCaps/>
          <w:u w:val="single"/>
        </w:rPr>
        <w:t>-A</w:t>
      </w:r>
      <w:r w:rsidR="00C61F76" w:rsidRPr="00581DCF">
        <w:rPr>
          <w:rFonts w:ascii="Times Roman" w:eastAsia="Calibri" w:hAnsi="Times Roman"/>
          <w:b/>
          <w:smallCaps/>
          <w:u w:val="single"/>
        </w:rPr>
        <w:t>:</w:t>
      </w:r>
      <w:r w:rsidR="00C61F76">
        <w:rPr>
          <w:rFonts w:ascii="Times Roman" w:eastAsia="Calibri" w:hAnsi="Times Roman"/>
          <w:b/>
          <w:smallCaps/>
        </w:rPr>
        <w:tab/>
      </w:r>
      <w:r w:rsidR="00C61F76">
        <w:rPr>
          <w:rFonts w:ascii="Times Roman" w:eastAsia="Calibri" w:hAnsi="Times Roman"/>
        </w:rPr>
        <w:t xml:space="preserve">By Council Members </w:t>
      </w:r>
      <w:r w:rsidR="00C61F76" w:rsidRPr="00C61F76">
        <w:rPr>
          <w:rFonts w:ascii="Times Roman" w:eastAsia="Calibri" w:hAnsi="Times Roman"/>
        </w:rPr>
        <w:t>Gennaro, Cabán, Louis, Hanif, Nurse, Joseph, Restler and Sanchez</w:t>
      </w:r>
    </w:p>
    <w:p w14:paraId="163B0CD9" w14:textId="77777777" w:rsidR="00C61F76" w:rsidRDefault="00C61F76" w:rsidP="00C61F76">
      <w:pPr>
        <w:pStyle w:val="Default"/>
        <w:ind w:left="4320" w:hanging="4320"/>
        <w:jc w:val="both"/>
        <w:rPr>
          <w:b/>
          <w:bCs/>
          <w:sz w:val="23"/>
          <w:szCs w:val="23"/>
        </w:rPr>
      </w:pPr>
    </w:p>
    <w:p w14:paraId="679DB06D" w14:textId="6001F348" w:rsidR="00C61F76" w:rsidRDefault="00C61F76" w:rsidP="00C61F76">
      <w:pPr>
        <w:pStyle w:val="Default"/>
        <w:ind w:left="4320" w:hanging="4320"/>
        <w:jc w:val="both"/>
        <w:rPr>
          <w:rFonts w:ascii="Times Roman" w:eastAsia="Calibri" w:hAnsi="Times Roman"/>
          <w:bCs/>
        </w:rPr>
      </w:pPr>
      <w:r w:rsidRPr="00581DCF">
        <w:rPr>
          <w:rFonts w:ascii="Times Roman" w:eastAsia="Calibri" w:hAnsi="Times Roman"/>
          <w:b/>
          <w:smallCaps/>
          <w:u w:val="single"/>
        </w:rPr>
        <w:t>Title:</w:t>
      </w:r>
      <w:r>
        <w:rPr>
          <w:rFonts w:ascii="Times Roman" w:eastAsia="Calibri" w:hAnsi="Times Roman"/>
          <w:bCs/>
          <w:smallCaps/>
        </w:rPr>
        <w:tab/>
      </w:r>
      <w:r w:rsidRPr="00943CF6">
        <w:rPr>
          <w:rFonts w:ascii="Times Roman" w:eastAsia="Calibri" w:hAnsi="Times Roman"/>
          <w:bCs/>
        </w:rPr>
        <w:t xml:space="preserve">Resolution </w:t>
      </w:r>
      <w:r w:rsidRPr="00C61F76">
        <w:rPr>
          <w:rFonts w:ascii="Times Roman" w:eastAsia="Calibri" w:hAnsi="Times Roman"/>
          <w:bCs/>
        </w:rPr>
        <w:t>supporting the Clean Water, Clean Air, and Green Jobs Environmental Bond Act of 2022, provided that funding is allocated to the city in a manner that is commensurate with the city’s contribution to statewide tax revenue</w:t>
      </w:r>
      <w:r>
        <w:rPr>
          <w:rFonts w:ascii="Times Roman" w:eastAsia="Calibri" w:hAnsi="Times Roman"/>
          <w:bCs/>
        </w:rPr>
        <w:t>.</w:t>
      </w:r>
    </w:p>
    <w:p w14:paraId="468B3C21" w14:textId="668E8E3C" w:rsidR="00943CF6" w:rsidRDefault="00943CF6" w:rsidP="00943CF6">
      <w:pPr>
        <w:pStyle w:val="Default"/>
        <w:ind w:left="4320" w:hanging="4320"/>
        <w:jc w:val="both"/>
      </w:pPr>
    </w:p>
    <w:p w14:paraId="05F3823F" w14:textId="69D85452" w:rsidR="00943CF6" w:rsidRDefault="00943CF6" w:rsidP="00943CF6">
      <w:pPr>
        <w:pStyle w:val="Default"/>
        <w:ind w:left="4320" w:hanging="4320"/>
        <w:jc w:val="both"/>
      </w:pPr>
    </w:p>
    <w:p w14:paraId="2B27B8CA" w14:textId="77777777" w:rsidR="00943CF6" w:rsidRPr="00BD1477" w:rsidRDefault="00943CF6" w:rsidP="00943CF6">
      <w:pPr>
        <w:pStyle w:val="Default"/>
        <w:ind w:left="4320" w:hanging="4320"/>
        <w:jc w:val="both"/>
      </w:pPr>
    </w:p>
    <w:p w14:paraId="3242D286" w14:textId="77777777" w:rsidR="00BC5421" w:rsidRPr="00B96377" w:rsidRDefault="00BC5421" w:rsidP="00BC5421">
      <w:pPr>
        <w:pStyle w:val="BodyText"/>
        <w:numPr>
          <w:ilvl w:val="0"/>
          <w:numId w:val="1"/>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sidRPr="00B96377">
        <w:rPr>
          <w:b/>
          <w:bCs/>
          <w:smallCaps/>
        </w:rPr>
        <w:t>Introduction</w:t>
      </w:r>
    </w:p>
    <w:p w14:paraId="2D1F121F" w14:textId="26A9B412" w:rsidR="00BC5421" w:rsidRDefault="00BC5421"/>
    <w:p w14:paraId="254BAF29" w14:textId="500A482A" w:rsidR="00DF1AA6" w:rsidRDefault="00DF1AA6" w:rsidP="00DF1AA6">
      <w:pPr>
        <w:pStyle w:val="Default"/>
        <w:spacing w:line="480" w:lineRule="auto"/>
        <w:ind w:firstLine="720"/>
        <w:jc w:val="both"/>
      </w:pPr>
      <w:r>
        <w:t>On October 13, 2022</w:t>
      </w:r>
      <w:r w:rsidRPr="00212B92">
        <w:t>, the Committee on Environmental Protection</w:t>
      </w:r>
      <w:r w:rsidR="0029201C">
        <w:t xml:space="preserve"> (Committee)</w:t>
      </w:r>
      <w:r w:rsidRPr="00212B92">
        <w:t xml:space="preserve">, chaired by Council Member </w:t>
      </w:r>
      <w:r>
        <w:t>James F. Gennaro, will hear</w:t>
      </w:r>
      <w:r w:rsidRPr="005923AE">
        <w:t xml:space="preserve"> </w:t>
      </w:r>
      <w:r>
        <w:t xml:space="preserve">Int. No. </w:t>
      </w:r>
      <w:r w:rsidR="00A37CCC">
        <w:t>315</w:t>
      </w:r>
      <w:r>
        <w:t xml:space="preserve">, </w:t>
      </w:r>
      <w:r w:rsidR="00A37CCC">
        <w:t xml:space="preserve">in relation to </w:t>
      </w:r>
      <w:r w:rsidR="00A37CCC" w:rsidRPr="00D70450">
        <w:rPr>
          <w:bCs/>
        </w:rPr>
        <w:t>identifying all vacant and underutilized municipally-owned sites that would be suitable for the development of renewable energy and assessing the renewable-energy generation potential and feasibility of such sites</w:t>
      </w:r>
      <w:r w:rsidR="003711AF">
        <w:t>;</w:t>
      </w:r>
      <w:r w:rsidR="00A37CCC">
        <w:t xml:space="preserve"> Int. No. 330, requiring </w:t>
      </w:r>
      <w:r w:rsidR="006F0265">
        <w:t xml:space="preserve">New York  </w:t>
      </w:r>
      <w:r w:rsidR="00A37CCC">
        <w:t>City</w:t>
      </w:r>
      <w:r w:rsidR="006F0265">
        <w:t xml:space="preserve"> (City)</w:t>
      </w:r>
      <w:r w:rsidR="00A37CCC">
        <w:t xml:space="preserve"> to </w:t>
      </w:r>
      <w:r w:rsidR="00A37CCC" w:rsidRPr="004D50BC">
        <w:t>create</w:t>
      </w:r>
      <w:r w:rsidR="00A37CCC">
        <w:t xml:space="preserve"> and maintain</w:t>
      </w:r>
      <w:r w:rsidR="00A37CCC" w:rsidRPr="004D50BC">
        <w:t xml:space="preserve"> a database of subsurface conditions to support better engineering of geothermal heat pumps</w:t>
      </w:r>
      <w:r w:rsidR="003711AF">
        <w:rPr>
          <w:bCs/>
        </w:rPr>
        <w:t>;</w:t>
      </w:r>
      <w:r w:rsidR="00A37CCC">
        <w:rPr>
          <w:bCs/>
        </w:rPr>
        <w:t xml:space="preserve"> Res. No. 169 calling upon </w:t>
      </w:r>
      <w:r w:rsidR="00B67C7F">
        <w:rPr>
          <w:bCs/>
        </w:rPr>
        <w:t>the</w:t>
      </w:r>
      <w:r>
        <w:rPr>
          <w:bCs/>
        </w:rPr>
        <w:t xml:space="preserve"> </w:t>
      </w:r>
      <w:r w:rsidR="00A37CCC" w:rsidRPr="00954BBF">
        <w:rPr>
          <w:rFonts w:ascii="Times Roman" w:eastAsia="Calibri" w:hAnsi="Times Roman"/>
          <w:bCs/>
        </w:rPr>
        <w:t>Climate Action Council to draft, and the Governor to implement, a final Climate Action Council Scoping Plan</w:t>
      </w:r>
      <w:r w:rsidR="003711AF">
        <w:rPr>
          <w:rFonts w:ascii="Times Roman" w:eastAsia="Calibri" w:hAnsi="Times Roman"/>
          <w:bCs/>
        </w:rPr>
        <w:t>;</w:t>
      </w:r>
      <w:r w:rsidR="00B67C7F">
        <w:rPr>
          <w:rFonts w:ascii="Times Roman" w:eastAsia="Calibri" w:hAnsi="Times Roman"/>
          <w:bCs/>
        </w:rPr>
        <w:t xml:space="preserve"> Res. No. 189, in support of </w:t>
      </w:r>
      <w:r w:rsidR="00B67C7F" w:rsidRPr="00943CF6">
        <w:rPr>
          <w:rFonts w:ascii="Times Roman" w:eastAsia="Calibri" w:hAnsi="Times Roman"/>
          <w:bCs/>
        </w:rPr>
        <w:t>Senate Bill S.</w:t>
      </w:r>
      <w:r w:rsidR="000C4948">
        <w:rPr>
          <w:rFonts w:ascii="Times Roman" w:eastAsia="Calibri" w:hAnsi="Times Roman"/>
          <w:bCs/>
        </w:rPr>
        <w:t xml:space="preserve"> </w:t>
      </w:r>
      <w:r w:rsidR="00B67C7F" w:rsidRPr="00943CF6">
        <w:rPr>
          <w:rFonts w:ascii="Times Roman" w:eastAsia="Calibri" w:hAnsi="Times Roman"/>
          <w:bCs/>
        </w:rPr>
        <w:t>6453 and Assembly Bill A.</w:t>
      </w:r>
      <w:r w:rsidR="000C4948">
        <w:rPr>
          <w:rFonts w:ascii="Times Roman" w:eastAsia="Calibri" w:hAnsi="Times Roman"/>
          <w:bCs/>
        </w:rPr>
        <w:t xml:space="preserve"> </w:t>
      </w:r>
      <w:r w:rsidR="00B67C7F" w:rsidRPr="00943CF6">
        <w:rPr>
          <w:rFonts w:ascii="Times Roman" w:eastAsia="Calibri" w:hAnsi="Times Roman"/>
          <w:bCs/>
        </w:rPr>
        <w:t>1466C, the “NYS Build Public Renewables Act”</w:t>
      </w:r>
      <w:r w:rsidR="003711AF">
        <w:rPr>
          <w:rFonts w:ascii="Times Roman" w:eastAsia="Calibri" w:hAnsi="Times Roman"/>
          <w:bCs/>
        </w:rPr>
        <w:t>;</w:t>
      </w:r>
      <w:r w:rsidR="00C61F76">
        <w:rPr>
          <w:rFonts w:ascii="Times Roman" w:eastAsia="Calibri" w:hAnsi="Times Roman"/>
          <w:bCs/>
        </w:rPr>
        <w:t xml:space="preserve"> and </w:t>
      </w:r>
      <w:r w:rsidR="00192AB6">
        <w:rPr>
          <w:rFonts w:ascii="Times Roman" w:eastAsia="Calibri" w:hAnsi="Times Roman"/>
          <w:bCs/>
        </w:rPr>
        <w:t xml:space="preserve">Proposed </w:t>
      </w:r>
      <w:r w:rsidR="00C61F76">
        <w:rPr>
          <w:rFonts w:ascii="Times Roman" w:eastAsia="Calibri" w:hAnsi="Times Roman"/>
          <w:bCs/>
        </w:rPr>
        <w:t>Res. No. 258</w:t>
      </w:r>
      <w:r w:rsidR="00192AB6">
        <w:rPr>
          <w:rFonts w:ascii="Times Roman" w:eastAsia="Calibri" w:hAnsi="Times Roman"/>
          <w:bCs/>
        </w:rPr>
        <w:t>-A</w:t>
      </w:r>
      <w:r w:rsidR="00C61F76">
        <w:rPr>
          <w:rFonts w:ascii="Times Roman" w:eastAsia="Calibri" w:hAnsi="Times Roman"/>
          <w:bCs/>
        </w:rPr>
        <w:t xml:space="preserve">, in support of </w:t>
      </w:r>
      <w:r w:rsidR="00C61F76" w:rsidRPr="00C61F76">
        <w:rPr>
          <w:rFonts w:ascii="Times Roman" w:eastAsia="Calibri" w:hAnsi="Times Roman"/>
          <w:bCs/>
        </w:rPr>
        <w:t>the Clean Water, Clean Air, and Green Jobs Environmental Bond Act of 2022</w:t>
      </w:r>
      <w:r w:rsidR="00C61F76">
        <w:rPr>
          <w:rFonts w:ascii="Times Roman" w:eastAsia="Calibri" w:hAnsi="Times Roman"/>
          <w:bCs/>
        </w:rPr>
        <w:t xml:space="preserve">. </w:t>
      </w:r>
      <w:r w:rsidRPr="00693CB4">
        <w:t xml:space="preserve">The Committee </w:t>
      </w:r>
      <w:r w:rsidR="003711AF">
        <w:t xml:space="preserve">has invited to testify representatives </w:t>
      </w:r>
      <w:r w:rsidRPr="00693CB4">
        <w:t xml:space="preserve">from </w:t>
      </w:r>
      <w:r>
        <w:t>the Department of Environmental Protection (DEP)</w:t>
      </w:r>
      <w:r w:rsidR="003711AF">
        <w:rPr>
          <w:color w:val="000000" w:themeColor="text1"/>
        </w:rPr>
        <w:t xml:space="preserve"> and</w:t>
      </w:r>
      <w:r w:rsidR="00C61F76">
        <w:rPr>
          <w:color w:val="000000" w:themeColor="text1"/>
        </w:rPr>
        <w:t xml:space="preserve"> the Department of Citywide Administrative Services,</w:t>
      </w:r>
      <w:r w:rsidR="003711AF">
        <w:rPr>
          <w:color w:val="000000" w:themeColor="text1"/>
        </w:rPr>
        <w:t xml:space="preserve"> as well as</w:t>
      </w:r>
      <w:r w:rsidRPr="00641B4C">
        <w:rPr>
          <w:color w:val="000000" w:themeColor="text1"/>
        </w:rPr>
        <w:t xml:space="preserve"> </w:t>
      </w:r>
      <w:r w:rsidRPr="001B42C7">
        <w:rPr>
          <w:color w:val="000000" w:themeColor="text1"/>
        </w:rPr>
        <w:t xml:space="preserve">environmental </w:t>
      </w:r>
      <w:r w:rsidRPr="00693CB4">
        <w:t>advocates and interested members of the public.</w:t>
      </w:r>
    </w:p>
    <w:p w14:paraId="638B7D47" w14:textId="77777777" w:rsidR="00DF1AA6" w:rsidRPr="00641B4C" w:rsidRDefault="00DF1AA6" w:rsidP="00DF1AA6">
      <w:pPr>
        <w:pStyle w:val="Default"/>
        <w:spacing w:line="480" w:lineRule="auto"/>
        <w:ind w:firstLine="720"/>
        <w:jc w:val="both"/>
        <w:rPr>
          <w:bCs/>
        </w:rPr>
      </w:pPr>
    </w:p>
    <w:p w14:paraId="70090B10" w14:textId="2578D5C8" w:rsidR="00A37CCC" w:rsidRPr="00740BFF" w:rsidRDefault="00202DBD" w:rsidP="001A50DF">
      <w:pPr>
        <w:pStyle w:val="BodyText"/>
        <w:numPr>
          <w:ilvl w:val="0"/>
          <w:numId w:val="1"/>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Background</w:t>
      </w:r>
    </w:p>
    <w:p w14:paraId="551533DA" w14:textId="77777777" w:rsidR="00202DBD" w:rsidRDefault="00202DBD" w:rsidP="00202DBD">
      <w:pPr>
        <w:pStyle w:val="BodyText"/>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firstLine="0"/>
        <w:jc w:val="left"/>
        <w:rPr>
          <w:b/>
          <w:bCs/>
          <w:smallCaps/>
        </w:rPr>
      </w:pPr>
    </w:p>
    <w:p w14:paraId="645BC7F6" w14:textId="491AB3E2" w:rsidR="00202DBD" w:rsidRDefault="00202DBD" w:rsidP="001A50DF">
      <w:pPr>
        <w:spacing w:line="480" w:lineRule="auto"/>
        <w:ind w:firstLine="720"/>
        <w:jc w:val="both"/>
      </w:pPr>
      <w:r w:rsidRPr="00527B67">
        <w:t>In 2018</w:t>
      </w:r>
      <w:r>
        <w:t>,</w:t>
      </w:r>
      <w:r w:rsidRPr="00527B67">
        <w:t xml:space="preserve"> </w:t>
      </w:r>
      <w:r>
        <w:t>t</w:t>
      </w:r>
      <w:r w:rsidRPr="00527B67">
        <w:t xml:space="preserve">he United Nations Intergovernmental Panel on Climate Change (IPCC) identified </w:t>
      </w:r>
      <w:r>
        <w:t xml:space="preserve">an increase </w:t>
      </w:r>
      <w:r w:rsidR="0029201C">
        <w:t xml:space="preserve">in global temperature </w:t>
      </w:r>
      <w:r>
        <w:t xml:space="preserve">of </w:t>
      </w:r>
      <w:r w:rsidRPr="00527B67">
        <w:t>1.5</w:t>
      </w:r>
      <w:r>
        <w:rPr>
          <w:color w:val="333333"/>
          <w:shd w:val="clear" w:color="auto" w:fill="FFFFFF"/>
        </w:rPr>
        <w:t xml:space="preserve"> degrees</w:t>
      </w:r>
      <w:r w:rsidRPr="00527B67">
        <w:t xml:space="preserve"> Celsius above pre-industrial levels as the point over which irreversible environmental changes and potential loss of ecosystems become increasingly likely.</w:t>
      </w:r>
      <w:r w:rsidRPr="00527B67">
        <w:rPr>
          <w:rStyle w:val="FootnoteReference"/>
          <w:rFonts w:eastAsia="Arial Unicode MS"/>
        </w:rPr>
        <w:footnoteReference w:id="1"/>
      </w:r>
      <w:r w:rsidRPr="00527B67">
        <w:t xml:space="preserve"> According to the United States (U</w:t>
      </w:r>
      <w:r>
        <w:t>.</w:t>
      </w:r>
      <w:r w:rsidRPr="00527B67">
        <w:t>S</w:t>
      </w:r>
      <w:r>
        <w:t>.</w:t>
      </w:r>
      <w:r w:rsidRPr="00527B67">
        <w:t>) Global Change Research Program’s Fourth National Climate Assessment, failure to significantly mitigate global manmade carbon emissions will lead to increasing rates of sea level rise, increased frequency of extreme weather events, and rising temperatures, which are expected to cause ongoing damage to critical infrastructure, property, and economic productivity.</w:t>
      </w:r>
      <w:r w:rsidRPr="00527B67">
        <w:rPr>
          <w:rStyle w:val="FootnoteReference"/>
          <w:rFonts w:eastAsia="Arial Unicode MS"/>
        </w:rPr>
        <w:footnoteReference w:id="2"/>
      </w:r>
      <w:r w:rsidRPr="00527B67">
        <w:t xml:space="preserve"> </w:t>
      </w:r>
    </w:p>
    <w:p w14:paraId="301315FD" w14:textId="3829F250" w:rsidR="00202DBD" w:rsidRDefault="00202DBD" w:rsidP="001A50DF">
      <w:pPr>
        <w:spacing w:line="480" w:lineRule="auto"/>
        <w:ind w:firstLine="720"/>
        <w:jc w:val="both"/>
      </w:pPr>
      <w:r>
        <w:t>On June 7, 2021, the Mauna Loa Observatory in Hawaii,</w:t>
      </w:r>
      <w:r>
        <w:rPr>
          <w:rStyle w:val="FootnoteReference"/>
          <w:rFonts w:eastAsia="Arial Unicode MS"/>
        </w:rPr>
        <w:footnoteReference w:id="3"/>
      </w:r>
      <w:r>
        <w:t xml:space="preserve"> which has compiled atmospheric CO</w:t>
      </w:r>
      <w:r>
        <w:rPr>
          <w:vertAlign w:val="subscript"/>
        </w:rPr>
        <w:t xml:space="preserve">2  </w:t>
      </w:r>
      <w:r>
        <w:t>data since the 1950’s, recorded 419.33 parts per million (ppm) of CO</w:t>
      </w:r>
      <w:r>
        <w:rPr>
          <w:vertAlign w:val="subscript"/>
        </w:rPr>
        <w:t xml:space="preserve">2 </w:t>
      </w:r>
      <w:r>
        <w:t>in the atmosphere, the highest atmospheric CO</w:t>
      </w:r>
      <w:r>
        <w:rPr>
          <w:vertAlign w:val="subscript"/>
        </w:rPr>
        <w:t xml:space="preserve">2 </w:t>
      </w:r>
      <w:r>
        <w:t>reading since recordkeeping began.</w:t>
      </w:r>
      <w:r>
        <w:rPr>
          <w:rStyle w:val="FootnoteReference"/>
          <w:rFonts w:eastAsia="Arial Unicode MS"/>
        </w:rPr>
        <w:footnoteReference w:id="4"/>
      </w:r>
      <w:r>
        <w:t xml:space="preserve"> According to the </w:t>
      </w:r>
      <w:r w:rsidRPr="0028440E">
        <w:t xml:space="preserve">National Aeronautics and Space Administration </w:t>
      </w:r>
      <w:r>
        <w:t>(NASA), these are the highest CO</w:t>
      </w:r>
      <w:r>
        <w:rPr>
          <w:vertAlign w:val="subscript"/>
        </w:rPr>
        <w:t xml:space="preserve">2 </w:t>
      </w:r>
      <w:r>
        <w:t>levels the planet has seen in the past 800,000 years.</w:t>
      </w:r>
      <w:r>
        <w:rPr>
          <w:rStyle w:val="FootnoteReference"/>
          <w:rFonts w:eastAsia="Arial Unicode MS"/>
        </w:rPr>
        <w:footnoteReference w:id="5"/>
      </w:r>
      <w:r>
        <w:t xml:space="preserve"> A study published in 2017 in the climate change-focused journal The Anthropocene Review estimates that human-linked factors during the past six decades are causing the climate to change 170 times faster than </w:t>
      </w:r>
      <w:r w:rsidR="004572CE">
        <w:t xml:space="preserve">it </w:t>
      </w:r>
      <w:r>
        <w:t>would without human intervention.</w:t>
      </w:r>
      <w:r>
        <w:rPr>
          <w:rStyle w:val="FootnoteReference"/>
          <w:rFonts w:eastAsia="Arial Unicode MS"/>
        </w:rPr>
        <w:footnoteReference w:id="6"/>
      </w:r>
      <w:r>
        <w:t xml:space="preserve"> </w:t>
      </w:r>
    </w:p>
    <w:p w14:paraId="621EBB58" w14:textId="77777777" w:rsidR="000B4E31" w:rsidRDefault="00202DBD" w:rsidP="001A50DF">
      <w:pPr>
        <w:spacing w:line="480" w:lineRule="auto"/>
        <w:ind w:firstLine="720"/>
        <w:jc w:val="both"/>
      </w:pPr>
      <w:r>
        <w:t>The effects of climate change are often inequitably distributed, with low-income communities, communities of color, children, and senior citizens more likely to experience the deleterious effects.</w:t>
      </w:r>
      <w:r>
        <w:rPr>
          <w:rStyle w:val="FootnoteReference"/>
          <w:rFonts w:eastAsia="Arial Unicode MS"/>
        </w:rPr>
        <w:footnoteReference w:id="7"/>
      </w:r>
      <w:r>
        <w:t xml:space="preserve"> Low-income communities often lack the financial and community resources to adequately respond to weather-related disasters, while communities of color are disproportionately likely to live in neighborhoods with environmental justice concerns.</w:t>
      </w:r>
      <w:r>
        <w:rPr>
          <w:rStyle w:val="FootnoteReference"/>
          <w:rFonts w:eastAsia="Arial Unicode MS"/>
        </w:rPr>
        <w:footnoteReference w:id="8"/>
      </w:r>
      <w:r>
        <w:t xml:space="preserve"> Additionally, children and seniors are more vulnerable to the effects of extreme weather than healthy adults.</w:t>
      </w:r>
      <w:r>
        <w:rPr>
          <w:rStyle w:val="FootnoteReference"/>
          <w:rFonts w:eastAsia="Arial Unicode MS"/>
        </w:rPr>
        <w:footnoteReference w:id="9"/>
      </w:r>
      <w:r>
        <w:t xml:space="preserve"> </w:t>
      </w:r>
    </w:p>
    <w:p w14:paraId="44B0B81E" w14:textId="3C41C9E5" w:rsidR="00202DBD" w:rsidRDefault="00202DBD" w:rsidP="001A50DF">
      <w:pPr>
        <w:spacing w:line="480" w:lineRule="auto"/>
        <w:ind w:firstLine="720"/>
        <w:jc w:val="both"/>
      </w:pPr>
      <w:r>
        <w:t xml:space="preserve">According to the IPCC, climate modeling pathways featuring little to no overshoot of the 1.5 degree Celsius </w:t>
      </w:r>
      <w:r w:rsidR="000B4E31">
        <w:t>increase in global temperature above pre-industrial levels</w:t>
      </w:r>
      <w:r>
        <w:t xml:space="preserve"> generally show global carbon emissions reaching net zero by 2050.</w:t>
      </w:r>
      <w:r>
        <w:rPr>
          <w:rStyle w:val="FootnoteReference"/>
          <w:rFonts w:eastAsia="Arial Unicode MS"/>
        </w:rPr>
        <w:footnoteReference w:id="10"/>
      </w:r>
      <w:r>
        <w:t xml:space="preserve"> </w:t>
      </w:r>
    </w:p>
    <w:p w14:paraId="7F76F6BB" w14:textId="77777777" w:rsidR="0029201C" w:rsidRDefault="0029201C" w:rsidP="00EC58BC">
      <w:pPr>
        <w:suppressLineNumbers/>
        <w:spacing w:line="480" w:lineRule="auto"/>
        <w:jc w:val="both"/>
        <w:rPr>
          <w:bCs/>
          <w:i/>
        </w:rPr>
      </w:pPr>
    </w:p>
    <w:p w14:paraId="0FF5D163" w14:textId="58F30E43" w:rsidR="00AA1962" w:rsidRDefault="00EC58BC" w:rsidP="00EC58BC">
      <w:pPr>
        <w:suppressLineNumbers/>
        <w:spacing w:line="480" w:lineRule="auto"/>
        <w:jc w:val="both"/>
        <w:rPr>
          <w:bCs/>
          <w:i/>
        </w:rPr>
      </w:pPr>
      <w:r w:rsidRPr="00EC58BC">
        <w:rPr>
          <w:bCs/>
          <w:i/>
        </w:rPr>
        <w:t>New York State</w:t>
      </w:r>
      <w:r w:rsidR="00AA1962">
        <w:rPr>
          <w:bCs/>
          <w:i/>
        </w:rPr>
        <w:t>’s Renewable</w:t>
      </w:r>
      <w:r w:rsidRPr="00EC58BC">
        <w:rPr>
          <w:bCs/>
          <w:i/>
        </w:rPr>
        <w:t xml:space="preserve"> Energy </w:t>
      </w:r>
      <w:r w:rsidR="00AA1962">
        <w:rPr>
          <w:bCs/>
          <w:i/>
        </w:rPr>
        <w:t>and Storage Outlook</w:t>
      </w:r>
    </w:p>
    <w:p w14:paraId="76D292EB" w14:textId="513A3020" w:rsidR="00CF7483" w:rsidRDefault="00CF7483" w:rsidP="001A50DF">
      <w:pPr>
        <w:suppressLineNumbers/>
        <w:spacing w:line="480" w:lineRule="auto"/>
        <w:ind w:firstLine="720"/>
        <w:jc w:val="both"/>
      </w:pPr>
      <w:r>
        <w:t xml:space="preserve">The </w:t>
      </w:r>
      <w:r w:rsidR="00411E13" w:rsidRPr="00411E13">
        <w:t>Climate Leadership and Community Protection Act</w:t>
      </w:r>
      <w:r w:rsidR="00411E13">
        <w:t>, passed in 2019,</w:t>
      </w:r>
      <w:r w:rsidRPr="00CF7483">
        <w:t xml:space="preserve"> </w:t>
      </w:r>
      <w:r>
        <w:t>codified aggressive energy and climate goals for New York State</w:t>
      </w:r>
      <w:r w:rsidR="00AF4941">
        <w:t xml:space="preserve"> (State)</w:t>
      </w:r>
      <w:r>
        <w:t xml:space="preserve">, including </w:t>
      </w:r>
      <w:r w:rsidR="001A34D8">
        <w:t xml:space="preserve">goals of </w:t>
      </w:r>
      <w:r>
        <w:t xml:space="preserve">6,000 </w:t>
      </w:r>
      <w:r w:rsidR="001A34D8">
        <w:t>megawatts (</w:t>
      </w:r>
      <w:r>
        <w:t>MW</w:t>
      </w:r>
      <w:r w:rsidR="001A34D8">
        <w:t>)</w:t>
      </w:r>
      <w:r>
        <w:t xml:space="preserve"> of solar power by 2025, 70% renewable energy by 2030, 3,000 MW of energy storage by 2030, 9,000 MW of offshore wind by 2035, 100% carbon-free electricity by 2040, and an 85% reduction in </w:t>
      </w:r>
      <w:r w:rsidR="001A34D8">
        <w:t>greenhouse gas (</w:t>
      </w:r>
      <w:r>
        <w:t>GHG</w:t>
      </w:r>
      <w:r w:rsidR="001A34D8">
        <w:t>)</w:t>
      </w:r>
      <w:r>
        <w:t xml:space="preserve"> emissions from 1990 levels by 2050</w:t>
      </w:r>
      <w:r w:rsidR="00B67C7F">
        <w:t>.</w:t>
      </w:r>
      <w:r>
        <w:rPr>
          <w:rStyle w:val="FootnoteReference"/>
        </w:rPr>
        <w:footnoteReference w:id="11"/>
      </w:r>
      <w:r>
        <w:t xml:space="preserve"> </w:t>
      </w:r>
      <w:r w:rsidR="00C82CAD">
        <w:t>The</w:t>
      </w:r>
      <w:r w:rsidR="008D6332">
        <w:t xml:space="preserve"> State</w:t>
      </w:r>
      <w:r w:rsidR="00DE5ADA">
        <w:t>’s upstate grid is expected to be met with 100% emissions</w:t>
      </w:r>
      <w:r w:rsidR="008D6332">
        <w:t>-</w:t>
      </w:r>
      <w:r w:rsidR="00DE5ADA">
        <w:t>free generation by 2030, while 80% of the downstate load is expected to come from  renewable generation b</w:t>
      </w:r>
      <w:r w:rsidR="00A41592">
        <w:t>y then.</w:t>
      </w:r>
      <w:r w:rsidR="00A41592">
        <w:rPr>
          <w:rStyle w:val="FootnoteReference"/>
        </w:rPr>
        <w:footnoteReference w:id="12"/>
      </w:r>
      <w:r w:rsidR="00A41592">
        <w:t xml:space="preserve"> It is expected that the d</w:t>
      </w:r>
      <w:r w:rsidR="00A41592" w:rsidRPr="00A41592">
        <w:t xml:space="preserve">ownstate load </w:t>
      </w:r>
      <w:r w:rsidR="00A41592">
        <w:t>will be</w:t>
      </w:r>
      <w:r w:rsidR="00A41592" w:rsidRPr="00A41592">
        <w:t xml:space="preserve"> completely met with zero emissions generation </w:t>
      </w:r>
      <w:r w:rsidR="00A41592">
        <w:t>by</w:t>
      </w:r>
      <w:r w:rsidR="00A41592" w:rsidRPr="00A41592">
        <w:t xml:space="preserve"> 2040</w:t>
      </w:r>
      <w:r w:rsidR="00A41592">
        <w:t>, with</w:t>
      </w:r>
      <w:r w:rsidR="00A41592" w:rsidRPr="00A41592">
        <w:t xml:space="preserve"> 90% of </w:t>
      </w:r>
      <w:r w:rsidR="00A41592">
        <w:t>the</w:t>
      </w:r>
      <w:r w:rsidR="00A41592" w:rsidRPr="00A41592">
        <w:t xml:space="preserve"> electricity </w:t>
      </w:r>
      <w:r w:rsidR="00A8249B">
        <w:t xml:space="preserve">coming </w:t>
      </w:r>
      <w:r w:rsidR="00A41592" w:rsidRPr="00A41592">
        <w:t>from renewable resources</w:t>
      </w:r>
      <w:r w:rsidR="00A41592">
        <w:t>, 7% from nuclear generation, 2% from renewable natural gas, and approximately 1% from other unspecified zero emission sources.</w:t>
      </w:r>
      <w:r w:rsidR="00A41592">
        <w:rPr>
          <w:rStyle w:val="FootnoteReference"/>
        </w:rPr>
        <w:footnoteReference w:id="13"/>
      </w:r>
    </w:p>
    <w:p w14:paraId="5456C5E8" w14:textId="2CB887D0" w:rsidR="00CF7483" w:rsidRPr="00D421AB" w:rsidRDefault="00CF7483" w:rsidP="00D421AB">
      <w:pPr>
        <w:pStyle w:val="ColorfulList-Accent11"/>
        <w:spacing w:line="480" w:lineRule="auto"/>
        <w:ind w:left="0" w:firstLine="720"/>
        <w:jc w:val="both"/>
        <w:rPr>
          <w:rFonts w:ascii="Times New Roman" w:hAnsi="Times New Roman"/>
        </w:rPr>
      </w:pPr>
      <w:r>
        <w:rPr>
          <w:rFonts w:ascii="Times New Roman" w:hAnsi="Times New Roman"/>
        </w:rPr>
        <w:t>There are a number of major projects that aim</w:t>
      </w:r>
      <w:r w:rsidRPr="00ED1C7E">
        <w:rPr>
          <w:rFonts w:ascii="Times New Roman" w:hAnsi="Times New Roman"/>
        </w:rPr>
        <w:t xml:space="preserve"> to bring renewable energy into </w:t>
      </w:r>
      <w:r w:rsidR="00E71E2B">
        <w:rPr>
          <w:rFonts w:ascii="Times New Roman" w:hAnsi="Times New Roman"/>
        </w:rPr>
        <w:t>the</w:t>
      </w:r>
      <w:r w:rsidRPr="00ED1C7E">
        <w:rPr>
          <w:rFonts w:ascii="Times New Roman" w:hAnsi="Times New Roman"/>
        </w:rPr>
        <w:t xml:space="preserve"> City’s grid</w:t>
      </w:r>
      <w:r>
        <w:rPr>
          <w:rFonts w:ascii="Times New Roman" w:hAnsi="Times New Roman"/>
        </w:rPr>
        <w:t>, including:</w:t>
      </w:r>
      <w:r w:rsidRPr="00ED1C7E">
        <w:rPr>
          <w:rFonts w:ascii="Times New Roman" w:hAnsi="Times New Roman"/>
        </w:rPr>
        <w:t xml:space="preserve"> the Clean Path New York project, which will connect 2,050 </w:t>
      </w:r>
      <w:r w:rsidR="00FE45F4">
        <w:rPr>
          <w:rFonts w:ascii="Times New Roman" w:hAnsi="Times New Roman"/>
        </w:rPr>
        <w:t>MW</w:t>
      </w:r>
      <w:r w:rsidR="00FE45F4" w:rsidRPr="00ED1C7E">
        <w:rPr>
          <w:rFonts w:ascii="Times New Roman" w:hAnsi="Times New Roman"/>
        </w:rPr>
        <w:t xml:space="preserve"> </w:t>
      </w:r>
      <w:r w:rsidRPr="00ED1C7E">
        <w:rPr>
          <w:rFonts w:ascii="Times New Roman" w:hAnsi="Times New Roman"/>
        </w:rPr>
        <w:t xml:space="preserve">of new wind generation and 1,826 </w:t>
      </w:r>
      <w:r w:rsidR="003A40DF">
        <w:rPr>
          <w:rFonts w:ascii="Times New Roman" w:hAnsi="Times New Roman"/>
        </w:rPr>
        <w:t>MW</w:t>
      </w:r>
      <w:r w:rsidR="003A40DF" w:rsidRPr="00ED1C7E">
        <w:rPr>
          <w:rFonts w:ascii="Times New Roman" w:hAnsi="Times New Roman"/>
        </w:rPr>
        <w:t xml:space="preserve"> </w:t>
      </w:r>
      <w:r w:rsidRPr="00ED1C7E">
        <w:rPr>
          <w:rFonts w:ascii="Times New Roman" w:hAnsi="Times New Roman"/>
        </w:rPr>
        <w:t>of new solar generation assets to a substation in Astoria, Queens;</w:t>
      </w:r>
      <w:r w:rsidRPr="00ED1C7E">
        <w:rPr>
          <w:rFonts w:ascii="Times New Roman" w:hAnsi="Times New Roman"/>
          <w:vertAlign w:val="superscript"/>
        </w:rPr>
        <w:footnoteReference w:id="14"/>
      </w:r>
      <w:r w:rsidRPr="00ED1C7E">
        <w:rPr>
          <w:rFonts w:ascii="Times New Roman" w:hAnsi="Times New Roman"/>
        </w:rPr>
        <w:t xml:space="preserve"> the Champlain Hudson Power Express (CHPE) project, which will connect </w:t>
      </w:r>
      <w:r w:rsidR="00E71E2B">
        <w:rPr>
          <w:rFonts w:ascii="Times New Roman" w:hAnsi="Times New Roman"/>
        </w:rPr>
        <w:t>the</w:t>
      </w:r>
      <w:r w:rsidRPr="00ED1C7E">
        <w:rPr>
          <w:rFonts w:ascii="Times New Roman" w:hAnsi="Times New Roman"/>
        </w:rPr>
        <w:t xml:space="preserve"> City’s grid to 1,250 </w:t>
      </w:r>
      <w:r w:rsidR="00D64381">
        <w:rPr>
          <w:rFonts w:ascii="Times New Roman" w:hAnsi="Times New Roman"/>
        </w:rPr>
        <w:t>MW</w:t>
      </w:r>
      <w:r w:rsidR="00D64381" w:rsidRPr="00ED1C7E">
        <w:rPr>
          <w:rFonts w:ascii="Times New Roman" w:hAnsi="Times New Roman"/>
        </w:rPr>
        <w:t xml:space="preserve"> </w:t>
      </w:r>
      <w:r w:rsidRPr="00ED1C7E">
        <w:rPr>
          <w:rFonts w:ascii="Times New Roman" w:hAnsi="Times New Roman"/>
        </w:rPr>
        <w:t>of renewable energy generated by HydroQuebec via a 339-mile-long transmission wire running underwater or buried along existing rights</w:t>
      </w:r>
      <w:r w:rsidR="00D64381">
        <w:rPr>
          <w:rFonts w:ascii="Times New Roman" w:hAnsi="Times New Roman"/>
        </w:rPr>
        <w:t>-</w:t>
      </w:r>
      <w:r w:rsidRPr="00ED1C7E">
        <w:rPr>
          <w:rFonts w:ascii="Times New Roman" w:hAnsi="Times New Roman"/>
        </w:rPr>
        <w:t>of</w:t>
      </w:r>
      <w:r w:rsidR="00D64381">
        <w:rPr>
          <w:rFonts w:ascii="Times New Roman" w:hAnsi="Times New Roman"/>
        </w:rPr>
        <w:t>-</w:t>
      </w:r>
      <w:r w:rsidRPr="00ED1C7E">
        <w:rPr>
          <w:rFonts w:ascii="Times New Roman" w:hAnsi="Times New Roman"/>
        </w:rPr>
        <w:t>way;</w:t>
      </w:r>
      <w:r w:rsidRPr="00ED1C7E">
        <w:rPr>
          <w:rFonts w:ascii="Times New Roman" w:hAnsi="Times New Roman"/>
          <w:vertAlign w:val="superscript"/>
        </w:rPr>
        <w:footnoteReference w:id="15"/>
      </w:r>
      <w:r w:rsidRPr="00ED1C7E">
        <w:rPr>
          <w:rFonts w:ascii="Times New Roman" w:hAnsi="Times New Roman"/>
        </w:rPr>
        <w:t xml:space="preserve"> and the Empire Wind offshore wind farm, which is expected to produce 2.1 gigawatts of renewable energy, will connect to the C</w:t>
      </w:r>
      <w:r w:rsidR="006278AD">
        <w:rPr>
          <w:rFonts w:ascii="Times New Roman" w:hAnsi="Times New Roman"/>
        </w:rPr>
        <w:t>ity</w:t>
      </w:r>
      <w:r w:rsidRPr="00ED1C7E">
        <w:rPr>
          <w:rFonts w:ascii="Times New Roman" w:hAnsi="Times New Roman"/>
        </w:rPr>
        <w:t xml:space="preserve"> grid at the Gowanus Substation, and will be headquartered at the </w:t>
      </w:r>
      <w:r>
        <w:rPr>
          <w:rFonts w:ascii="Times New Roman" w:hAnsi="Times New Roman"/>
        </w:rPr>
        <w:t xml:space="preserve">South Brooklyn Marine Terminal, </w:t>
      </w:r>
      <w:r w:rsidRPr="00ED1C7E">
        <w:rPr>
          <w:rFonts w:ascii="Times New Roman" w:hAnsi="Times New Roman"/>
        </w:rPr>
        <w:t>where the project’s construction activities, operations, and maintenance base will be located.</w:t>
      </w:r>
      <w:r w:rsidRPr="00ED1C7E">
        <w:rPr>
          <w:rFonts w:ascii="Times New Roman" w:hAnsi="Times New Roman"/>
          <w:vertAlign w:val="superscript"/>
        </w:rPr>
        <w:footnoteReference w:id="16"/>
      </w:r>
    </w:p>
    <w:p w14:paraId="7DFA5E2F" w14:textId="53C84A4B" w:rsidR="00765494" w:rsidRDefault="00D421AB" w:rsidP="00CF7483">
      <w:pPr>
        <w:suppressLineNumbers/>
        <w:spacing w:line="480" w:lineRule="auto"/>
        <w:ind w:firstLine="720"/>
        <w:jc w:val="both"/>
      </w:pPr>
      <w:r>
        <w:t xml:space="preserve">In June of 2022, </w:t>
      </w:r>
      <w:r w:rsidR="006278AD">
        <w:t>Sta</w:t>
      </w:r>
      <w:r w:rsidR="00BB68CB">
        <w:t xml:space="preserve">te </w:t>
      </w:r>
      <w:r>
        <w:t xml:space="preserve">Governor Kathy Hochul announced </w:t>
      </w:r>
      <w:r w:rsidRPr="00D421AB">
        <w:t>the award of contracts for 159</w:t>
      </w:r>
      <w:r w:rsidR="00D64381">
        <w:t xml:space="preserve"> </w:t>
      </w:r>
      <w:r w:rsidRPr="00D421AB">
        <w:t>MW of battery storage co-located at solar power plants</w:t>
      </w:r>
      <w:r>
        <w:t xml:space="preserve"> across New York State.</w:t>
      </w:r>
      <w:r>
        <w:rPr>
          <w:rStyle w:val="FootnoteReference"/>
        </w:rPr>
        <w:footnoteReference w:id="17"/>
      </w:r>
      <w:r w:rsidR="00B67C7F">
        <w:t xml:space="preserve"> </w:t>
      </w:r>
      <w:r>
        <w:t>In September</w:t>
      </w:r>
      <w:r w:rsidR="00B67C7F">
        <w:t>, 2022,</w:t>
      </w:r>
      <w:r>
        <w:t xml:space="preserve"> the</w:t>
      </w:r>
      <w:r w:rsidR="00B67C7F">
        <w:t xml:space="preserve"> </w:t>
      </w:r>
      <w:r w:rsidR="00B67C7F" w:rsidRPr="00B67C7F">
        <w:t>Governor announced</w:t>
      </w:r>
      <w:r>
        <w:t xml:space="preserve"> an additiona</w:t>
      </w:r>
      <w:r w:rsidR="0029201C">
        <w:t>l</w:t>
      </w:r>
      <w:r w:rsidR="00B67C7F" w:rsidRPr="00B67C7F">
        <w:t xml:space="preserve"> $16.6 million</w:t>
      </w:r>
      <w:r w:rsidR="00CF7483">
        <w:t xml:space="preserve"> dollars in funding </w:t>
      </w:r>
      <w:r w:rsidR="00B67C7F" w:rsidRPr="00B67C7F">
        <w:t xml:space="preserve">for five long duration energy storage projects </w:t>
      </w:r>
      <w:r w:rsidR="00B67C7F">
        <w:t>aimed at</w:t>
      </w:r>
      <w:r w:rsidR="00B67C7F" w:rsidRPr="00B67C7F">
        <w:t xml:space="preserve"> harness</w:t>
      </w:r>
      <w:r w:rsidR="00B67C7F">
        <w:t>ing</w:t>
      </w:r>
      <w:r w:rsidR="00B67C7F" w:rsidRPr="00B67C7F">
        <w:t xml:space="preserve"> renewable energy and </w:t>
      </w:r>
      <w:r w:rsidR="00B67C7F">
        <w:t xml:space="preserve">increasing energy storage for </w:t>
      </w:r>
      <w:r w:rsidR="00B67C7F" w:rsidRPr="00B67C7F">
        <w:t>New York</w:t>
      </w:r>
      <w:r w:rsidR="00740F32">
        <w:t xml:space="preserve"> State’</w:t>
      </w:r>
      <w:r w:rsidR="00B67C7F" w:rsidRPr="00B67C7F">
        <w:t>s electric grid</w:t>
      </w:r>
      <w:r w:rsidR="00CF7483">
        <w:t>, and</w:t>
      </w:r>
      <w:r w:rsidR="00B67C7F" w:rsidRPr="00B67C7F">
        <w:t xml:space="preserve"> an additional $17 million in competitive funding for projects that advance development and demonstration of scalable innovative long duration energy storage technologies</w:t>
      </w:r>
      <w:r w:rsidR="00CF7483">
        <w:t>.</w:t>
      </w:r>
      <w:r>
        <w:rPr>
          <w:rStyle w:val="FootnoteReference"/>
        </w:rPr>
        <w:footnoteReference w:id="18"/>
      </w:r>
      <w:r>
        <w:t xml:space="preserve"> In June of 2022, The </w:t>
      </w:r>
      <w:r w:rsidRPr="00D421AB">
        <w:t>New York State Public Service Commission approved an application for a Certificate of Public Convenience and Necessity,</w:t>
      </w:r>
      <w:r w:rsidR="004B34BE">
        <w:t xml:space="preserve"> filed by </w:t>
      </w:r>
      <w:r w:rsidRPr="00D421AB">
        <w:t>Astoria Generation for construction of a 135</w:t>
      </w:r>
      <w:r w:rsidR="000C4613">
        <w:t xml:space="preserve"> </w:t>
      </w:r>
      <w:r w:rsidRPr="00D421AB">
        <w:t>MW</w:t>
      </w:r>
      <w:r w:rsidR="004B34BE">
        <w:t xml:space="preserve"> battery energy storage system</w:t>
      </w:r>
      <w:r w:rsidRPr="00D421AB">
        <w:t xml:space="preserve"> </w:t>
      </w:r>
      <w:r w:rsidR="004B34BE">
        <w:t>(</w:t>
      </w:r>
      <w:r w:rsidRPr="00D421AB">
        <w:t>BESS</w:t>
      </w:r>
      <w:r w:rsidR="004B34BE">
        <w:t>)</w:t>
      </w:r>
      <w:r w:rsidRPr="00D421AB">
        <w:t xml:space="preserve"> at the site of Astoria Generating Station, </w:t>
      </w:r>
      <w:r w:rsidR="004B34BE">
        <w:t xml:space="preserve">which currently operates as a </w:t>
      </w:r>
      <w:r w:rsidRPr="00D421AB">
        <w:t>959</w:t>
      </w:r>
      <w:r w:rsidR="00DE74BD">
        <w:t xml:space="preserve"> </w:t>
      </w:r>
      <w:r w:rsidRPr="00D421AB">
        <w:t>MW fuel oil and natural gas plan</w:t>
      </w:r>
      <w:r w:rsidR="004B34BE">
        <w:t>t.</w:t>
      </w:r>
      <w:r w:rsidR="004B34BE">
        <w:rPr>
          <w:rStyle w:val="FootnoteReference"/>
        </w:rPr>
        <w:footnoteReference w:id="19"/>
      </w:r>
      <w:r w:rsidR="004B34BE">
        <w:t xml:space="preserve"> </w:t>
      </w:r>
      <w:r w:rsidR="004B34BE" w:rsidRPr="004B34BE">
        <w:t>The company</w:t>
      </w:r>
      <w:r w:rsidR="004B34BE">
        <w:t xml:space="preserve"> has</w:t>
      </w:r>
      <w:r w:rsidR="004B34BE" w:rsidRPr="004B34BE">
        <w:t xml:space="preserve"> plans to </w:t>
      </w:r>
      <w:r w:rsidR="004B34BE">
        <w:t>install</w:t>
      </w:r>
      <w:r w:rsidR="004B34BE" w:rsidRPr="004B34BE">
        <w:t xml:space="preserve"> a total 350</w:t>
      </w:r>
      <w:r w:rsidR="00FF65C7">
        <w:t xml:space="preserve"> </w:t>
      </w:r>
      <w:r w:rsidR="004B34BE" w:rsidRPr="004B34BE">
        <w:t xml:space="preserve">MW of battery storage </w:t>
      </w:r>
      <w:r w:rsidR="004B34BE">
        <w:t>between</w:t>
      </w:r>
      <w:r w:rsidR="004B34BE" w:rsidRPr="004B34BE">
        <w:t xml:space="preserve"> </w:t>
      </w:r>
      <w:r w:rsidR="004B34BE">
        <w:t xml:space="preserve">the </w:t>
      </w:r>
      <w:r w:rsidR="004B34BE" w:rsidRPr="004B34BE">
        <w:t xml:space="preserve">Astoria Generating Station </w:t>
      </w:r>
      <w:r w:rsidR="004B34BE">
        <w:t xml:space="preserve">and </w:t>
      </w:r>
      <w:r w:rsidR="004B34BE" w:rsidRPr="004B34BE">
        <w:t>its Gowanus and Narrows power plant sites in Brooklyn.</w:t>
      </w:r>
      <w:r w:rsidR="004B34BE">
        <w:rPr>
          <w:rStyle w:val="FootnoteReference"/>
        </w:rPr>
        <w:footnoteReference w:id="20"/>
      </w:r>
      <w:r w:rsidR="004B34BE">
        <w:t xml:space="preserve"> The Charles Poletti Power Plant, a natural gas and oil powered peaker plant</w:t>
      </w:r>
      <w:r w:rsidR="00F421BF">
        <w:t xml:space="preserve"> (one that generally runs only when there is peak demand)</w:t>
      </w:r>
      <w:r w:rsidR="004B34BE">
        <w:t xml:space="preserve"> that was decommissioned in 2014, is also expected to be recommissioned as a BESS facility, with an expected storage capacity of </w:t>
      </w:r>
      <w:r w:rsidR="004B34BE" w:rsidRPr="004B34BE">
        <w:t>100</w:t>
      </w:r>
      <w:r w:rsidR="00FF65C7">
        <w:t xml:space="preserve"> </w:t>
      </w:r>
      <w:r w:rsidR="004B34BE" w:rsidRPr="004B34BE">
        <w:t>MW/400</w:t>
      </w:r>
      <w:r w:rsidR="00FF65C7">
        <w:t xml:space="preserve"> </w:t>
      </w:r>
      <w:r w:rsidR="004B34BE" w:rsidRPr="004B34BE">
        <w:t>MW</w:t>
      </w:r>
      <w:r w:rsidR="00FF65C7">
        <w:t xml:space="preserve"> per </w:t>
      </w:r>
      <w:r w:rsidR="004B34BE" w:rsidRPr="004B34BE">
        <w:t>h</w:t>
      </w:r>
      <w:r w:rsidR="00FF65C7">
        <w:t>our</w:t>
      </w:r>
      <w:r w:rsidR="00153192">
        <w:t xml:space="preserve"> (MWh)</w:t>
      </w:r>
      <w:r w:rsidR="004B34BE">
        <w:t>.</w:t>
      </w:r>
      <w:r w:rsidR="004B34BE">
        <w:rPr>
          <w:rStyle w:val="FootnoteReference"/>
        </w:rPr>
        <w:footnoteReference w:id="21"/>
      </w:r>
    </w:p>
    <w:p w14:paraId="1FB8CB43" w14:textId="77777777" w:rsidR="00EC58BC" w:rsidRDefault="00EC58BC" w:rsidP="00EC58BC">
      <w:pPr>
        <w:suppressLineNumbers/>
        <w:spacing w:line="480" w:lineRule="auto"/>
        <w:jc w:val="both"/>
      </w:pPr>
    </w:p>
    <w:p w14:paraId="77C4B446" w14:textId="630A7391" w:rsidR="00EC58BC" w:rsidRPr="00EC58BC" w:rsidRDefault="00EC58BC" w:rsidP="00EC58BC">
      <w:pPr>
        <w:suppressLineNumbers/>
        <w:spacing w:line="480" w:lineRule="auto"/>
        <w:jc w:val="both"/>
        <w:rPr>
          <w:bCs/>
          <w:i/>
        </w:rPr>
      </w:pPr>
      <w:r w:rsidRPr="00EC58BC">
        <w:t xml:space="preserve"> </w:t>
      </w:r>
      <w:r w:rsidRPr="00EC58BC">
        <w:rPr>
          <w:bCs/>
          <w:i/>
        </w:rPr>
        <w:t>Energy Usage a</w:t>
      </w:r>
      <w:r w:rsidR="006503DA">
        <w:rPr>
          <w:bCs/>
          <w:i/>
        </w:rPr>
        <w:t>t</w:t>
      </w:r>
      <w:r w:rsidRPr="00EC58BC">
        <w:rPr>
          <w:bCs/>
          <w:i/>
        </w:rPr>
        <w:t xml:space="preserve"> </w:t>
      </w:r>
      <w:r w:rsidR="003F51CF">
        <w:rPr>
          <w:bCs/>
          <w:i/>
        </w:rPr>
        <w:t xml:space="preserve">New York </w:t>
      </w:r>
      <w:r w:rsidRPr="00EC58BC">
        <w:rPr>
          <w:bCs/>
          <w:i/>
        </w:rPr>
        <w:t>City</w:t>
      </w:r>
      <w:r w:rsidR="003F51CF">
        <w:rPr>
          <w:bCs/>
          <w:i/>
        </w:rPr>
        <w:t>-</w:t>
      </w:r>
      <w:r w:rsidRPr="00EC58BC">
        <w:rPr>
          <w:bCs/>
          <w:i/>
        </w:rPr>
        <w:t>Owned Buildings</w:t>
      </w:r>
    </w:p>
    <w:p w14:paraId="73452AF0" w14:textId="3B0FFA50" w:rsidR="00B82FC9" w:rsidRDefault="00EC58BC" w:rsidP="001A50DF">
      <w:pPr>
        <w:suppressLineNumbers/>
        <w:spacing w:line="480" w:lineRule="auto"/>
        <w:ind w:firstLine="720"/>
        <w:jc w:val="both"/>
      </w:pPr>
      <w:r>
        <w:t xml:space="preserve">According to the City Open Data portal, </w:t>
      </w:r>
      <w:r w:rsidR="008D7E5C">
        <w:t>C</w:t>
      </w:r>
      <w:r>
        <w:t>ity-owned buildings consumed 1,317,725 million British Thermal Units</w:t>
      </w:r>
      <w:r w:rsidR="00A4599C">
        <w:t xml:space="preserve"> (mmbtu</w:t>
      </w:r>
      <w:r>
        <w:t>) of energy in fiscal year 2015,</w:t>
      </w:r>
      <w:r w:rsidR="004B34BE">
        <w:t xml:space="preserve"> the most recent date for which data is available,</w:t>
      </w:r>
      <w:r>
        <w:t xml:space="preserve"> excluding heating fuel oil.</w:t>
      </w:r>
      <w:r>
        <w:rPr>
          <w:rStyle w:val="FootnoteReference"/>
        </w:rPr>
        <w:footnoteReference w:id="22"/>
      </w:r>
      <w:r>
        <w:t xml:space="preserve"> This translates into roughly 386 gigawatts of annual power consumption.</w:t>
      </w:r>
      <w:r>
        <w:rPr>
          <w:rStyle w:val="FootnoteReference"/>
        </w:rPr>
        <w:footnoteReference w:id="23"/>
      </w:r>
      <w:r>
        <w:t xml:space="preserve"> Local Law 107 of 2018 mandates that all </w:t>
      </w:r>
      <w:r w:rsidR="006B4183">
        <w:t>C</w:t>
      </w:r>
      <w:r>
        <w:t>ity</w:t>
      </w:r>
      <w:r w:rsidR="006B4183">
        <w:t>-</w:t>
      </w:r>
      <w:r>
        <w:t>owned buildings be powered by 100% renewable energy by 2050,</w:t>
      </w:r>
      <w:r>
        <w:rPr>
          <w:rStyle w:val="FootnoteReference"/>
        </w:rPr>
        <w:footnoteReference w:id="24"/>
      </w:r>
      <w:r>
        <w:t xml:space="preserve"> which will likely necessitate the installation of battery storage in order to ensure reliability of the power supply. </w:t>
      </w:r>
      <w:r w:rsidR="00A37CCC">
        <w:t>Heat</w:t>
      </w:r>
      <w:r>
        <w:t xml:space="preserve"> and hot water production account for </w:t>
      </w:r>
      <w:r w:rsidR="00A37CCC">
        <w:t>more than half</w:t>
      </w:r>
      <w:r>
        <w:t xml:space="preserve"> of citywide energy consumption,</w:t>
      </w:r>
      <w:r>
        <w:rPr>
          <w:rStyle w:val="FootnoteReference"/>
        </w:rPr>
        <w:footnoteReference w:id="25"/>
      </w:r>
      <w:r>
        <w:t xml:space="preserve"> and City studies have shown that buildings where hot water production is decoupled from space heating boilers </w:t>
      </w:r>
      <w:r w:rsidRPr="00CF1FA4">
        <w:t xml:space="preserve">had substantially lower </w:t>
      </w:r>
      <w:r>
        <w:t>rates of fuel consumption than buildings where these two functions were serviced by the same equipment.</w:t>
      </w:r>
      <w:r>
        <w:rPr>
          <w:rStyle w:val="FootnoteReference"/>
        </w:rPr>
        <w:footnoteReference w:id="26"/>
      </w:r>
      <w:r>
        <w:t xml:space="preserve"> </w:t>
      </w:r>
    </w:p>
    <w:p w14:paraId="1ECFD80D" w14:textId="12BCC196" w:rsidR="00EC58BC" w:rsidRDefault="00EC58BC" w:rsidP="001A50DF">
      <w:pPr>
        <w:suppressLineNumbers/>
        <w:spacing w:line="480" w:lineRule="auto"/>
        <w:ind w:firstLine="720"/>
        <w:jc w:val="both"/>
      </w:pPr>
      <w:r>
        <w:t xml:space="preserve">Solar water heaters present a potential option for hot water production for </w:t>
      </w:r>
      <w:r w:rsidR="00CC1ADC">
        <w:t>C</w:t>
      </w:r>
      <w:r>
        <w:t xml:space="preserve">ity buildings with significantly lower dependence on heating fuel for </w:t>
      </w:r>
      <w:r w:rsidR="00C44E76">
        <w:t>such</w:t>
      </w:r>
      <w:r w:rsidR="00931351">
        <w:t xml:space="preserve"> </w:t>
      </w:r>
      <w:r>
        <w:t xml:space="preserve">production. According to the </w:t>
      </w:r>
      <w:r w:rsidR="00BF5A7F">
        <w:t>U.S.</w:t>
      </w:r>
      <w:r>
        <w:t xml:space="preserve"> Department of Energy, solar water heaters can cut water heating bills by 50% to 80% in residential applications.</w:t>
      </w:r>
      <w:r>
        <w:rPr>
          <w:rStyle w:val="FootnoteReference"/>
        </w:rPr>
        <w:footnoteReference w:id="27"/>
      </w:r>
      <w:r>
        <w:t xml:space="preserve"> Much like geothermal heat exchangers, solar water heaters take advantage of natural heat energy, in this case solar energy, to reduce the energy required to bring water to the desired temperature.</w:t>
      </w:r>
      <w:r>
        <w:rPr>
          <w:rStyle w:val="FootnoteReference"/>
        </w:rPr>
        <w:footnoteReference w:id="28"/>
      </w:r>
      <w:r>
        <w:t xml:space="preserve"> While </w:t>
      </w:r>
      <w:r w:rsidR="00F421BF">
        <w:t xml:space="preserve">these heaters </w:t>
      </w:r>
      <w:r>
        <w:t>must be installed in conjunction with a backup heating system,</w:t>
      </w:r>
      <w:r>
        <w:rPr>
          <w:rStyle w:val="FootnoteReference"/>
        </w:rPr>
        <w:footnoteReference w:id="29"/>
      </w:r>
      <w:r>
        <w:t xml:space="preserve"> the technology can provide the bulk of the energy required to heat water and has also been proven reliable for district scale use</w:t>
      </w:r>
      <w:r w:rsidR="00527BED">
        <w:t xml:space="preserve">, </w:t>
      </w:r>
      <w:r w:rsidR="00EC4F65">
        <w:t xml:space="preserve">involving </w:t>
      </w:r>
      <w:r w:rsidR="00527BED">
        <w:t xml:space="preserve">multiple buildings </w:t>
      </w:r>
      <w:r w:rsidR="00EC4F65">
        <w:t xml:space="preserve">being </w:t>
      </w:r>
      <w:r w:rsidR="00527BED">
        <w:t>served by the same resource</w:t>
      </w:r>
      <w:r>
        <w:t xml:space="preserve">. For example, in the Drake Landing Solar Community in </w:t>
      </w:r>
      <w:r w:rsidR="00D752EA">
        <w:t>Alberta</w:t>
      </w:r>
      <w:r>
        <w:t>, Canada, where solar water heaters were coupled with a borehole thermal storage system, an array of 800 panels is able to collect and store enough heat during the summer months to provide over 90% of both hot water and space heating for 52 homes.</w:t>
      </w:r>
      <w:r>
        <w:rPr>
          <w:rStyle w:val="FootnoteReference"/>
        </w:rPr>
        <w:footnoteReference w:id="30"/>
      </w:r>
    </w:p>
    <w:p w14:paraId="6C74D72F" w14:textId="77777777" w:rsidR="0029201C" w:rsidRDefault="0029201C" w:rsidP="001A50DF">
      <w:pPr>
        <w:suppressLineNumbers/>
        <w:spacing w:line="480" w:lineRule="auto"/>
        <w:jc w:val="both"/>
        <w:rPr>
          <w:bCs/>
          <w:i/>
        </w:rPr>
      </w:pPr>
    </w:p>
    <w:p w14:paraId="61A9CD6A" w14:textId="4568BCAC" w:rsidR="00202DBD" w:rsidRPr="001A50DF" w:rsidRDefault="00202DBD" w:rsidP="001A50DF">
      <w:pPr>
        <w:suppressLineNumbers/>
        <w:spacing w:line="480" w:lineRule="auto"/>
        <w:jc w:val="both"/>
        <w:rPr>
          <w:bCs/>
          <w:i/>
        </w:rPr>
      </w:pPr>
      <w:r w:rsidRPr="001A50DF">
        <w:rPr>
          <w:bCs/>
          <w:i/>
        </w:rPr>
        <w:t>City</w:t>
      </w:r>
      <w:r w:rsidR="00F421BF">
        <w:rPr>
          <w:bCs/>
          <w:i/>
        </w:rPr>
        <w:t>-</w:t>
      </w:r>
      <w:r w:rsidRPr="001A50DF">
        <w:rPr>
          <w:bCs/>
          <w:i/>
        </w:rPr>
        <w:t>Owned Property and Renewable Energy Generation</w:t>
      </w:r>
    </w:p>
    <w:p w14:paraId="5908AFCA" w14:textId="4C530205" w:rsidR="00AA2803" w:rsidRDefault="00202DBD" w:rsidP="00217962">
      <w:pPr>
        <w:spacing w:line="480" w:lineRule="auto"/>
        <w:ind w:firstLine="720"/>
        <w:jc w:val="both"/>
      </w:pPr>
      <w:r>
        <w:t xml:space="preserve">According to the Living Lots project, a community gardens advocacy group, there are currently </w:t>
      </w:r>
      <w:r w:rsidR="00217962">
        <w:t>622</w:t>
      </w:r>
      <w:r>
        <w:t xml:space="preserve"> acres of vacant public land on </w:t>
      </w:r>
      <w:r w:rsidR="00217962">
        <w:t>867</w:t>
      </w:r>
      <w:r>
        <w:t xml:space="preserve"> </w:t>
      </w:r>
      <w:r w:rsidR="00217962">
        <w:t>sites</w:t>
      </w:r>
      <w:r>
        <w:t xml:space="preserve"> across the five boroughs</w:t>
      </w:r>
      <w:r w:rsidR="00E17047">
        <w:t xml:space="preserve"> of the City</w:t>
      </w:r>
      <w:r>
        <w:t>.</w:t>
      </w:r>
      <w:r>
        <w:rPr>
          <w:rStyle w:val="FootnoteReference"/>
        </w:rPr>
        <w:footnoteReference w:id="31"/>
      </w:r>
      <w:r>
        <w:t xml:space="preserve"> </w:t>
      </w:r>
      <w:r w:rsidR="00AA2803">
        <w:t xml:space="preserve">It may be possible </w:t>
      </w:r>
      <w:r w:rsidR="008A2FC9">
        <w:t>for</w:t>
      </w:r>
      <w:r w:rsidR="00AA2803">
        <w:t xml:space="preserve"> some of this vacant land </w:t>
      </w:r>
      <w:r w:rsidR="008A2FC9">
        <w:t>to</w:t>
      </w:r>
      <w:r w:rsidR="00AA2803">
        <w:t xml:space="preserve"> be used for renewable energy generation.</w:t>
      </w:r>
    </w:p>
    <w:p w14:paraId="4A3A51AB" w14:textId="565983CB" w:rsidR="00202DBD" w:rsidRDefault="00202DBD" w:rsidP="00217962">
      <w:pPr>
        <w:spacing w:line="480" w:lineRule="auto"/>
        <w:ind w:firstLine="720"/>
        <w:jc w:val="both"/>
      </w:pPr>
      <w:r>
        <w:t xml:space="preserve">According to the </w:t>
      </w:r>
      <w:r w:rsidR="00BF5A7F">
        <w:t>U.S.</w:t>
      </w:r>
      <w:r>
        <w:t xml:space="preserve"> National Renewable Energy Laboratory, a</w:t>
      </w:r>
      <w:r w:rsidRPr="00225DD8">
        <w:t xml:space="preserve"> large fixed-tilt photovoltaic solar power plant that produces 1,000 </w:t>
      </w:r>
      <w:r w:rsidR="00261CB9">
        <w:t>MWh</w:t>
      </w:r>
      <w:r w:rsidRPr="00225DD8">
        <w:t xml:space="preserve"> per year requires, on average,</w:t>
      </w:r>
      <w:r>
        <w:t xml:space="preserve"> 2.8 acres </w:t>
      </w:r>
      <w:r w:rsidR="00A825C2">
        <w:t xml:space="preserve">of land </w:t>
      </w:r>
      <w:r>
        <w:t>for the solar panels,</w:t>
      </w:r>
      <w:r>
        <w:rPr>
          <w:rStyle w:val="FootnoteReference"/>
        </w:rPr>
        <w:footnoteReference w:id="32"/>
      </w:r>
      <w:r>
        <w:t xml:space="preserve"> while s</w:t>
      </w:r>
      <w:r w:rsidRPr="00225DD8">
        <w:t xml:space="preserve">mall single-axis photovoltaic systems require an average </w:t>
      </w:r>
      <w:r w:rsidR="00A825C2">
        <w:t xml:space="preserve">of </w:t>
      </w:r>
      <w:r w:rsidRPr="00225DD8">
        <w:t xml:space="preserve">2.9 acres per 1,000 </w:t>
      </w:r>
      <w:r w:rsidR="00A825C2">
        <w:t>MWh</w:t>
      </w:r>
      <w:r>
        <w:t>.</w:t>
      </w:r>
      <w:r>
        <w:rPr>
          <w:rStyle w:val="FootnoteReference"/>
        </w:rPr>
        <w:footnoteReference w:id="33"/>
      </w:r>
      <w:r>
        <w:t xml:space="preserve"> This figure increases to 3.8 acres when considering the spacing requirements of the photovoltaic arrays.</w:t>
      </w:r>
      <w:r>
        <w:rPr>
          <w:rStyle w:val="FootnoteReference"/>
        </w:rPr>
        <w:footnoteReference w:id="34"/>
      </w:r>
      <w:r>
        <w:t xml:space="preserve"> </w:t>
      </w:r>
    </w:p>
    <w:p w14:paraId="19B88FE0" w14:textId="003F6B29" w:rsidR="00137BED" w:rsidRDefault="00202DBD" w:rsidP="00526C9A">
      <w:pPr>
        <w:spacing w:line="480" w:lineRule="auto"/>
        <w:ind w:firstLine="720"/>
        <w:jc w:val="both"/>
      </w:pPr>
      <w:r>
        <w:t xml:space="preserve">According to the </w:t>
      </w:r>
      <w:r w:rsidR="00BF5A7F">
        <w:t>U.S.</w:t>
      </w:r>
      <w:r>
        <w:t xml:space="preserve"> Department of Energy’s Office of Energy Efficiency and Renewable Energy, small wind turbines are ideal for use in areas where tall buildings potentially obstruct wind flow, for sites of 1 acre or larger.</w:t>
      </w:r>
      <w:r>
        <w:rPr>
          <w:rStyle w:val="FootnoteReference"/>
        </w:rPr>
        <w:footnoteReference w:id="35"/>
      </w:r>
      <w:r>
        <w:t xml:space="preserve"> Turbines suited for small applications range in </w:t>
      </w:r>
      <w:r w:rsidR="002937EC">
        <w:t xml:space="preserve">models </w:t>
      </w:r>
      <w:r>
        <w:t>from 400 watts to 100</w:t>
      </w:r>
      <w:r w:rsidR="00A1779D">
        <w:t xml:space="preserve"> kilowatts (</w:t>
      </w:r>
      <w:r>
        <w:t>kw</w:t>
      </w:r>
      <w:r w:rsidR="00A1779D">
        <w:t>)</w:t>
      </w:r>
      <w:r>
        <w:t>, and a typical 2</w:t>
      </w:r>
      <w:r w:rsidR="00A1779D">
        <w:t xml:space="preserve"> </w:t>
      </w:r>
      <w:r>
        <w:t>kw wind turbine operates at a noise level of approximate</w:t>
      </w:r>
      <w:r w:rsidR="00944094">
        <w:t>ly</w:t>
      </w:r>
      <w:r>
        <w:t xml:space="preserve"> 55</w:t>
      </w:r>
      <w:r w:rsidR="00655351">
        <w:t xml:space="preserve"> decibels</w:t>
      </w:r>
      <w:r>
        <w:t xml:space="preserve"> at 50 feet away</w:t>
      </w:r>
      <w:r w:rsidR="00137BED">
        <w:t xml:space="preserve"> from the turbine hub</w:t>
      </w:r>
      <w:r>
        <w:t>.</w:t>
      </w:r>
      <w:r w:rsidR="00137BED">
        <w:rPr>
          <w:rStyle w:val="FootnoteReference"/>
        </w:rPr>
        <w:footnoteReference w:id="36"/>
      </w:r>
      <w:r>
        <w:t xml:space="preserve"> At this </w:t>
      </w:r>
      <w:r w:rsidR="00137BED">
        <w:t xml:space="preserve">noise </w:t>
      </w:r>
      <w:r>
        <w:t xml:space="preserve">level, a </w:t>
      </w:r>
      <w:r w:rsidR="00137BED">
        <w:t xml:space="preserve">person would have to make a </w:t>
      </w:r>
      <w:r>
        <w:t xml:space="preserve">conscious effort to isolate the </w:t>
      </w:r>
      <w:r w:rsidR="00137BED">
        <w:t xml:space="preserve">turbine </w:t>
      </w:r>
      <w:r>
        <w:t>sound from ambient noise under most conditions.</w:t>
      </w:r>
      <w:r>
        <w:rPr>
          <w:rStyle w:val="FootnoteReference"/>
        </w:rPr>
        <w:footnoteReference w:id="37"/>
      </w:r>
      <w:r w:rsidR="00526C9A">
        <w:t xml:space="preserve"> </w:t>
      </w:r>
    </w:p>
    <w:p w14:paraId="71EB6E74" w14:textId="1668C234" w:rsidR="00C46F80" w:rsidRDefault="00202DBD" w:rsidP="00526C9A">
      <w:pPr>
        <w:spacing w:line="480" w:lineRule="auto"/>
        <w:ind w:firstLine="720"/>
        <w:jc w:val="both"/>
      </w:pPr>
      <w:r>
        <w:t xml:space="preserve">Considering the potential for local variability in site suitability across the </w:t>
      </w:r>
      <w:r w:rsidR="00655351">
        <w:t>C</w:t>
      </w:r>
      <w:r>
        <w:t xml:space="preserve">ity, a comprehensive assessment of generation potential of vacant and underutilized municipally owned sites would provide necessary context </w:t>
      </w:r>
      <w:r w:rsidR="00DA3E42">
        <w:t xml:space="preserve">for </w:t>
      </w:r>
      <w:r>
        <w:t>assessing generation capacity under real world conditions.</w:t>
      </w:r>
    </w:p>
    <w:p w14:paraId="7A220C7C" w14:textId="77777777" w:rsidR="00C46F80" w:rsidRDefault="00C46F80" w:rsidP="00202DBD">
      <w:pPr>
        <w:spacing w:line="480" w:lineRule="auto"/>
        <w:jc w:val="both"/>
      </w:pPr>
    </w:p>
    <w:p w14:paraId="7A87A2F4" w14:textId="77777777" w:rsidR="00C46F80" w:rsidRPr="00C46F80" w:rsidRDefault="00C46F80" w:rsidP="00C46F80">
      <w:pPr>
        <w:suppressLineNumbers/>
        <w:spacing w:line="480" w:lineRule="auto"/>
        <w:jc w:val="both"/>
        <w:rPr>
          <w:bCs/>
          <w:i/>
        </w:rPr>
      </w:pPr>
      <w:r w:rsidRPr="00C46F80">
        <w:rPr>
          <w:bCs/>
          <w:i/>
        </w:rPr>
        <w:t>Subsurface Conditions and the Efficacy of Geothermal Heat Pumps</w:t>
      </w:r>
    </w:p>
    <w:p w14:paraId="40835317" w14:textId="02E6745E" w:rsidR="00C46F80" w:rsidRDefault="00C46F80" w:rsidP="00C46F80">
      <w:pPr>
        <w:suppressLineNumbers/>
        <w:spacing w:line="480" w:lineRule="auto"/>
        <w:ind w:firstLine="720"/>
        <w:jc w:val="both"/>
      </w:pPr>
      <w:r>
        <w:t>The effectiveness of a geothermal heat pump’s ability to move heat between a structure and the ground is dependent on a variety of factors</w:t>
      </w:r>
      <w:r w:rsidR="008A2C74">
        <w:t>,</w:t>
      </w:r>
      <w:r>
        <w:t xml:space="preserve"> such as the composition of the soil or rock surrounding the heat exchangers as well as the moisture content, all of which can affect heat transfer rates.</w:t>
      </w:r>
      <w:r>
        <w:rPr>
          <w:rStyle w:val="FootnoteReference"/>
        </w:rPr>
        <w:footnoteReference w:id="38"/>
      </w:r>
      <w:r>
        <w:t xml:space="preserve"> These thermal </w:t>
      </w:r>
      <w:r w:rsidR="008A2C74">
        <w:t xml:space="preserve">factors </w:t>
      </w:r>
      <w:r>
        <w:t xml:space="preserve">vary based on the density of the sediment, as well as the type of minerals present in the </w:t>
      </w:r>
      <w:r w:rsidR="00E83BA3">
        <w:t>ground</w:t>
      </w:r>
      <w:r>
        <w:t>.</w:t>
      </w:r>
      <w:r w:rsidR="001A50DF">
        <w:rPr>
          <w:rStyle w:val="FootnoteReference"/>
        </w:rPr>
        <w:footnoteReference w:id="39"/>
      </w:r>
      <w:r>
        <w:t xml:space="preserve"> Quartz</w:t>
      </w:r>
      <w:r w:rsidR="008A2C74">
        <w:t>,</w:t>
      </w:r>
      <w:r>
        <w:t xml:space="preserve"> for example, has high thermal conductivity, and is often added to the thermal grout used to line boreholes in order to improve heat transfer between heat exchangers and the surrounding earth.</w:t>
      </w:r>
      <w:r>
        <w:rPr>
          <w:rStyle w:val="FootnoteReference"/>
        </w:rPr>
        <w:footnoteReference w:id="40"/>
      </w:r>
    </w:p>
    <w:p w14:paraId="64E188DE" w14:textId="7414CD50" w:rsidR="00C46F80" w:rsidRDefault="00C46F80" w:rsidP="00C46F80">
      <w:pPr>
        <w:suppressLineNumbers/>
        <w:spacing w:line="480" w:lineRule="auto"/>
        <w:ind w:firstLine="720"/>
        <w:jc w:val="both"/>
      </w:pPr>
      <w:r w:rsidRPr="006A6B5A">
        <w:t xml:space="preserve">Subsurface conditions in </w:t>
      </w:r>
      <w:r w:rsidR="008A2C74">
        <w:t>the</w:t>
      </w:r>
      <w:r w:rsidRPr="006A6B5A">
        <w:t xml:space="preserve"> City vary widely, and can range from bedrock, to glacial deposits, to recently created landfilled areas</w:t>
      </w:r>
      <w:r>
        <w:t xml:space="preserve"> (see Figure 1).</w:t>
      </w:r>
      <w:r>
        <w:rPr>
          <w:rStyle w:val="FootnoteReference"/>
        </w:rPr>
        <w:footnoteReference w:id="41"/>
      </w:r>
      <w:r w:rsidRPr="006A6B5A">
        <w:t xml:space="preserve"> In Manhattan and the Bronx, bedrock often comprises the land surface, or is very close to the land surface. This bedrock slopes downward towards the southeast, and in some parts of Queens and Brooklyn, the bedrock can be covered in hundreds of feet of glac</w:t>
      </w:r>
      <w:r>
        <w:t>ial till.</w:t>
      </w:r>
      <w:r>
        <w:rPr>
          <w:rStyle w:val="FootnoteReference"/>
        </w:rPr>
        <w:footnoteReference w:id="42"/>
      </w:r>
      <w:r>
        <w:t xml:space="preserve"> When paired with the complex matrix of subsurface utilities in </w:t>
      </w:r>
      <w:r w:rsidR="002D695B">
        <w:t>the</w:t>
      </w:r>
      <w:r>
        <w:t xml:space="preserve"> City, the great variability of subsurface geological conditions presents a significant impediment to individuals seeking to install geothermal heat pumps.</w:t>
      </w:r>
      <w:r>
        <w:rPr>
          <w:rStyle w:val="FootnoteReference"/>
        </w:rPr>
        <w:footnoteReference w:id="43"/>
      </w:r>
      <w:r>
        <w:t xml:space="preserve"> A database of subsurface conditions that includes geological logs of the </w:t>
      </w:r>
      <w:r w:rsidR="00A25562">
        <w:t>C</w:t>
      </w:r>
      <w:r>
        <w:t>ity’s geothermal bores, locations of existing geothermal energy systems, and the locations of all water wells, including those unused and privately owned, would establish a necessary base of information useful for system selection and initial cost analysis for interested parties seeking to install geothermal heat pumps.</w:t>
      </w:r>
      <w:r>
        <w:rPr>
          <w:rStyle w:val="FootnoteReference"/>
        </w:rPr>
        <w:footnoteReference w:id="44"/>
      </w:r>
      <w:r>
        <w:t xml:space="preserve"> This information would likely be useful to communities seeking to collaborate for district scale geothermal or thermal storage applications, as well as for the identification of areas ideal for district scale geothermal or thermal storage</w:t>
      </w:r>
      <w:r w:rsidR="00A25562">
        <w:t>-</w:t>
      </w:r>
      <w:r>
        <w:t>type projects.</w:t>
      </w:r>
    </w:p>
    <w:p w14:paraId="4B6B9D8A" w14:textId="5D15737E" w:rsidR="00C46F80" w:rsidRDefault="00C46F80" w:rsidP="00C46F80">
      <w:pPr>
        <w:spacing w:line="480" w:lineRule="auto"/>
      </w:pPr>
      <w:r w:rsidRPr="001A50DF">
        <w:rPr>
          <w:u w:val="single"/>
        </w:rPr>
        <w:t>Figure 1</w:t>
      </w:r>
      <w:r>
        <w:rPr>
          <w:rStyle w:val="FootnoteReference"/>
        </w:rPr>
        <w:footnoteReference w:id="45"/>
      </w:r>
      <w:r>
        <w:rPr>
          <w:noProof/>
        </w:rPr>
        <w:drawing>
          <wp:inline distT="0" distB="0" distL="0" distR="0" wp14:anchorId="59A5535C" wp14:editId="5EB3E11F">
            <wp:extent cx="5943600" cy="5345259"/>
            <wp:effectExtent l="0" t="0" r="0" b="1905"/>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943600" cy="5345259"/>
                    </a:xfrm>
                    <a:prstGeom prst="rect">
                      <a:avLst/>
                    </a:prstGeom>
                  </pic:spPr>
                </pic:pic>
              </a:graphicData>
            </a:graphic>
          </wp:inline>
        </w:drawing>
      </w:r>
    </w:p>
    <w:p w14:paraId="61947B53" w14:textId="48B979C0" w:rsidR="009369D2" w:rsidRPr="001A50DF" w:rsidRDefault="00C46F80" w:rsidP="001A50DF">
      <w:pPr>
        <w:pStyle w:val="BodyText"/>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firstLine="0"/>
        <w:rPr>
          <w:sz w:val="20"/>
          <w:szCs w:val="20"/>
        </w:rPr>
      </w:pPr>
      <w:r w:rsidRPr="001A50DF">
        <w:rPr>
          <w:sz w:val="20"/>
          <w:szCs w:val="20"/>
        </w:rPr>
        <w:t xml:space="preserve">Figure 1: A map of subsurface conditions of the Bronx, Manhattan, and Queens, showing the westmost side of the island of </w:t>
      </w:r>
      <w:r w:rsidR="00A23B59" w:rsidRPr="001A50DF">
        <w:rPr>
          <w:sz w:val="20"/>
          <w:szCs w:val="20"/>
        </w:rPr>
        <w:t xml:space="preserve"> </w:t>
      </w:r>
      <w:r w:rsidRPr="001A50DF">
        <w:rPr>
          <w:sz w:val="20"/>
          <w:szCs w:val="20"/>
        </w:rPr>
        <w:t>Manhattan comprised of Cambrian-Ordovician Hartland Schist, The Upper East side of the island north of Central Park comprised of Cambrian-Ordovician Inwood Marble, and the remainder of the island</w:t>
      </w:r>
      <w:r w:rsidR="00F46181">
        <w:rPr>
          <w:sz w:val="20"/>
          <w:szCs w:val="20"/>
        </w:rPr>
        <w:t xml:space="preserve"> comprised of</w:t>
      </w:r>
      <w:r w:rsidRPr="001A50DF">
        <w:rPr>
          <w:sz w:val="20"/>
          <w:szCs w:val="20"/>
        </w:rPr>
        <w:t xml:space="preserve"> Cambrian Manhattan Formation. The Bronx </w:t>
      </w:r>
      <w:r w:rsidR="00F46181">
        <w:rPr>
          <w:sz w:val="20"/>
          <w:szCs w:val="20"/>
        </w:rPr>
        <w:t xml:space="preserve">is </w:t>
      </w:r>
      <w:r w:rsidRPr="001A50DF">
        <w:rPr>
          <w:sz w:val="20"/>
          <w:szCs w:val="20"/>
        </w:rPr>
        <w:t xml:space="preserve">mostly comprised of Cambrian-Ordovician Hartland Schist and Proterozoic Fordham Gneiss, while </w:t>
      </w:r>
      <w:r w:rsidR="00715C41">
        <w:rPr>
          <w:sz w:val="20"/>
          <w:szCs w:val="20"/>
        </w:rPr>
        <w:t xml:space="preserve">the </w:t>
      </w:r>
      <w:r w:rsidRPr="001A50DF">
        <w:rPr>
          <w:sz w:val="20"/>
          <w:szCs w:val="20"/>
        </w:rPr>
        <w:t xml:space="preserve">Queens subsurface </w:t>
      </w:r>
      <w:r w:rsidR="00715C41">
        <w:rPr>
          <w:sz w:val="20"/>
          <w:szCs w:val="20"/>
        </w:rPr>
        <w:t>is</w:t>
      </w:r>
      <w:r w:rsidRPr="001A50DF">
        <w:rPr>
          <w:sz w:val="20"/>
          <w:szCs w:val="20"/>
        </w:rPr>
        <w:t xml:space="preserve"> largely comprised of surfic</w:t>
      </w:r>
      <w:r w:rsidR="00944094" w:rsidRPr="001A50DF">
        <w:rPr>
          <w:sz w:val="20"/>
          <w:szCs w:val="20"/>
        </w:rPr>
        <w:t>i</w:t>
      </w:r>
      <w:r w:rsidRPr="001A50DF">
        <w:rPr>
          <w:sz w:val="20"/>
          <w:szCs w:val="20"/>
        </w:rPr>
        <w:t>al glacial and alluvial deposits.</w:t>
      </w:r>
    </w:p>
    <w:p w14:paraId="025B1913" w14:textId="77777777" w:rsidR="00C46F80" w:rsidRDefault="00C46F80" w:rsidP="001A50DF">
      <w:pPr>
        <w:pStyle w:val="BodyText"/>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firstLine="0"/>
        <w:rPr>
          <w:b/>
          <w:bCs/>
          <w:smallCaps/>
        </w:rPr>
      </w:pPr>
    </w:p>
    <w:p w14:paraId="0BC55EAE" w14:textId="77777777" w:rsidR="00A37CCC" w:rsidRDefault="00A37CCC" w:rsidP="001A50DF">
      <w:pPr>
        <w:pStyle w:val="BodyText"/>
        <w:numPr>
          <w:ilvl w:val="0"/>
          <w:numId w:val="1"/>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left="720"/>
        <w:jc w:val="left"/>
        <w:rPr>
          <w:b/>
          <w:bCs/>
          <w:smallCaps/>
        </w:rPr>
      </w:pPr>
      <w:r>
        <w:rPr>
          <w:b/>
          <w:bCs/>
          <w:smallCaps/>
        </w:rPr>
        <w:t xml:space="preserve">Legislation </w:t>
      </w:r>
    </w:p>
    <w:p w14:paraId="719525B9" w14:textId="01D524B8" w:rsidR="00A37CCC" w:rsidRDefault="00A37CCC" w:rsidP="001A50DF">
      <w:pPr>
        <w:spacing w:line="480" w:lineRule="auto"/>
      </w:pPr>
    </w:p>
    <w:p w14:paraId="5027AB56" w14:textId="1C59B1AB" w:rsidR="004B34BE" w:rsidRDefault="004B34BE" w:rsidP="009369D2">
      <w:pPr>
        <w:spacing w:line="480" w:lineRule="auto"/>
        <w:ind w:firstLine="720"/>
        <w:jc w:val="both"/>
      </w:pPr>
      <w:r w:rsidRPr="009409FA">
        <w:rPr>
          <w:b/>
        </w:rPr>
        <w:t xml:space="preserve">Int. No. </w:t>
      </w:r>
      <w:r>
        <w:rPr>
          <w:b/>
        </w:rPr>
        <w:t xml:space="preserve">315 </w:t>
      </w:r>
      <w:r w:rsidRPr="00A246C1">
        <w:t xml:space="preserve">would require the </w:t>
      </w:r>
      <w:r>
        <w:t>DEP</w:t>
      </w:r>
      <w:r w:rsidRPr="00A246C1">
        <w:t xml:space="preserve"> to review the opportunities to generate </w:t>
      </w:r>
      <w:r w:rsidR="00D06B1E">
        <w:t>renewable</w:t>
      </w:r>
      <w:r w:rsidRPr="00A246C1">
        <w:t xml:space="preserve"> energy from vacant and underutilized sites</w:t>
      </w:r>
      <w:r w:rsidR="00E2050A">
        <w:t>,</w:t>
      </w:r>
      <w:r w:rsidRPr="00A246C1">
        <w:t xml:space="preserve"> including closed and capped landfills and brownfields</w:t>
      </w:r>
      <w:r w:rsidR="008F4B47">
        <w:t xml:space="preserve"> in </w:t>
      </w:r>
      <w:r w:rsidR="00E2050A">
        <w:t>the</w:t>
      </w:r>
      <w:r w:rsidR="008F4B47">
        <w:t xml:space="preserve"> City</w:t>
      </w:r>
      <w:r w:rsidRPr="00A246C1">
        <w:t xml:space="preserve">. This local law would also require that the </w:t>
      </w:r>
      <w:r>
        <w:t>DEP</w:t>
      </w:r>
      <w:r w:rsidRPr="00A246C1">
        <w:t xml:space="preserve"> undertake a feasibility study </w:t>
      </w:r>
      <w:r w:rsidR="00E2050A">
        <w:t>and</w:t>
      </w:r>
      <w:r w:rsidR="00E2050A" w:rsidRPr="00A246C1">
        <w:t xml:space="preserve"> </w:t>
      </w:r>
      <w:r w:rsidRPr="00A246C1">
        <w:t>a cost</w:t>
      </w:r>
      <w:r w:rsidR="008F4B47">
        <w:t>-</w:t>
      </w:r>
      <w:r w:rsidRPr="00A246C1">
        <w:t>benefit analysis</w:t>
      </w:r>
      <w:r w:rsidR="000F3533">
        <w:t xml:space="preserve"> pertaining to renewable energy generation on such sites</w:t>
      </w:r>
      <w:r w:rsidRPr="00A246C1">
        <w:t xml:space="preserve">. If there are no recommendations made with respect to the opportunities to generate solar or wind energy </w:t>
      </w:r>
      <w:r w:rsidR="006C1BF6">
        <w:t>on</w:t>
      </w:r>
      <w:r w:rsidR="008F4B47">
        <w:t xml:space="preserve"> any specific</w:t>
      </w:r>
      <w:r w:rsidR="008F4B47" w:rsidRPr="00A246C1">
        <w:t xml:space="preserve"> </w:t>
      </w:r>
      <w:r w:rsidRPr="00A246C1">
        <w:t>vacant and underutilized sites</w:t>
      </w:r>
      <w:r w:rsidR="008F4B47">
        <w:t>,</w:t>
      </w:r>
      <w:r w:rsidRPr="00A246C1">
        <w:t xml:space="preserve"> the </w:t>
      </w:r>
      <w:r>
        <w:t>DEP</w:t>
      </w:r>
      <w:r w:rsidRPr="00A246C1">
        <w:t xml:space="preserve"> would be required to undertake another study in three years to examine this issue again and ascertain whether generation of solar or wind energy from</w:t>
      </w:r>
      <w:r w:rsidR="008F4B47">
        <w:t xml:space="preserve"> those</w:t>
      </w:r>
      <w:r w:rsidRPr="00A246C1">
        <w:t xml:space="preserve"> vacant and underutilized sites </w:t>
      </w:r>
      <w:r w:rsidR="00974EFB">
        <w:t>would be</w:t>
      </w:r>
      <w:r w:rsidRPr="00A246C1">
        <w:t xml:space="preserve"> more feasible at that time. This local law would take effect immediately.</w:t>
      </w:r>
    </w:p>
    <w:p w14:paraId="17ACC392" w14:textId="33167B52" w:rsidR="004B34BE" w:rsidRDefault="00A37CCC" w:rsidP="00192AB6">
      <w:pPr>
        <w:spacing w:line="480" w:lineRule="auto"/>
        <w:ind w:firstLine="720"/>
        <w:jc w:val="both"/>
      </w:pPr>
      <w:r w:rsidRPr="009409FA">
        <w:rPr>
          <w:b/>
        </w:rPr>
        <w:t xml:space="preserve">Int. No. </w:t>
      </w:r>
      <w:r>
        <w:rPr>
          <w:b/>
        </w:rPr>
        <w:t>330</w:t>
      </w:r>
      <w:r w:rsidRPr="009409FA">
        <w:t xml:space="preserve"> would require</w:t>
      </w:r>
      <w:r w:rsidR="008F4B47" w:rsidRPr="008F4B47">
        <w:rPr>
          <w:rFonts w:ascii="Tahoma" w:hAnsi="Tahoma" w:cs="Tahoma"/>
          <w:color w:val="000000"/>
          <w:sz w:val="20"/>
          <w:szCs w:val="20"/>
          <w:shd w:val="clear" w:color="auto" w:fill="FFFFFF"/>
        </w:rPr>
        <w:t xml:space="preserve"> </w:t>
      </w:r>
      <w:r w:rsidR="008F4B47" w:rsidRPr="008F4B47">
        <w:t>the creation</w:t>
      </w:r>
      <w:r w:rsidR="008F4B47">
        <w:t xml:space="preserve"> and maintenance</w:t>
      </w:r>
      <w:r w:rsidR="008F4B47" w:rsidRPr="008F4B47">
        <w:t xml:space="preserve"> of a</w:t>
      </w:r>
      <w:r w:rsidR="008F4B47">
        <w:t xml:space="preserve"> single</w:t>
      </w:r>
      <w:r w:rsidR="008F4B47" w:rsidRPr="008F4B47">
        <w:t xml:space="preserve"> database</w:t>
      </w:r>
      <w:r w:rsidR="00D06B1E">
        <w:t xml:space="preserve"> of subsurface conditions, including</w:t>
      </w:r>
      <w:r w:rsidR="008F4B47">
        <w:t xml:space="preserve"> geological logs of the City’s geothermal bores, </w:t>
      </w:r>
      <w:r w:rsidR="008F4B47" w:rsidRPr="008F4B47">
        <w:t>locations of geothermal energy system installations</w:t>
      </w:r>
      <w:r w:rsidR="008F4B47">
        <w:t>, and</w:t>
      </w:r>
      <w:r w:rsidR="008F4B47" w:rsidRPr="008F4B47">
        <w:t xml:space="preserve"> locations of any and all water wells</w:t>
      </w:r>
      <w:r w:rsidR="008F4B47">
        <w:t>,</w:t>
      </w:r>
      <w:r w:rsidR="008F4B47" w:rsidRPr="008F4B47">
        <w:t xml:space="preserve"> including unused privately owned wells. T</w:t>
      </w:r>
      <w:r w:rsidR="008F4B47">
        <w:t>he</w:t>
      </w:r>
      <w:r w:rsidR="008F4B47" w:rsidRPr="008F4B47">
        <w:t xml:space="preserve"> database </w:t>
      </w:r>
      <w:r w:rsidR="008F4B47">
        <w:t>would be required to</w:t>
      </w:r>
      <w:r w:rsidR="008F4B47" w:rsidRPr="008F4B47">
        <w:t xml:space="preserve"> be updated annually.</w:t>
      </w:r>
      <w:r w:rsidRPr="009409FA">
        <w:t xml:space="preserve"> This local law </w:t>
      </w:r>
      <w:r>
        <w:t>would</w:t>
      </w:r>
      <w:r w:rsidRPr="009409FA">
        <w:t xml:space="preserve"> take effect immediately.</w:t>
      </w:r>
    </w:p>
    <w:p w14:paraId="52337ABC" w14:textId="25ACA1AB" w:rsidR="00526C9A" w:rsidRPr="00192AB6" w:rsidRDefault="004B34BE" w:rsidP="00192AB6">
      <w:pPr>
        <w:spacing w:line="480" w:lineRule="auto"/>
        <w:ind w:firstLine="720"/>
        <w:jc w:val="both"/>
        <w:rPr>
          <w:color w:val="000000"/>
        </w:rPr>
      </w:pPr>
      <w:r w:rsidRPr="004B34BE">
        <w:rPr>
          <w:b/>
          <w:bCs/>
        </w:rPr>
        <w:t xml:space="preserve">Res. No. 169 </w:t>
      </w:r>
      <w:r>
        <w:rPr>
          <w:color w:val="000000"/>
        </w:rPr>
        <w:t xml:space="preserve">calls for the Climate Action Council to draft, and the Governor to implement, a final Climate Action Council Scoping Plan that commits to meeting CLCPA targets and bold climate </w:t>
      </w:r>
      <w:r w:rsidR="008F4B47">
        <w:rPr>
          <w:color w:val="000000"/>
        </w:rPr>
        <w:t>and</w:t>
      </w:r>
      <w:r>
        <w:rPr>
          <w:color w:val="000000"/>
        </w:rPr>
        <w:t xml:space="preserve"> environmental justice action in </w:t>
      </w:r>
      <w:r w:rsidR="006C1BF6">
        <w:rPr>
          <w:color w:val="000000"/>
        </w:rPr>
        <w:t>the State</w:t>
      </w:r>
      <w:r>
        <w:rPr>
          <w:color w:val="000000"/>
        </w:rPr>
        <w:t>.</w:t>
      </w:r>
    </w:p>
    <w:p w14:paraId="3997D062" w14:textId="6AC2D5FE" w:rsidR="004B34BE" w:rsidRDefault="004B34BE" w:rsidP="00A23B59">
      <w:pPr>
        <w:spacing w:line="480" w:lineRule="auto"/>
        <w:ind w:firstLine="720"/>
        <w:jc w:val="both"/>
        <w:rPr>
          <w:color w:val="000000"/>
        </w:rPr>
      </w:pPr>
      <w:r w:rsidRPr="004B34BE">
        <w:rPr>
          <w:b/>
          <w:bCs/>
        </w:rPr>
        <w:t>Res. No. 189</w:t>
      </w:r>
      <w:r>
        <w:rPr>
          <w:b/>
          <w:bCs/>
        </w:rPr>
        <w:t xml:space="preserve"> </w:t>
      </w:r>
      <w:r w:rsidRPr="004B34BE">
        <w:t>calls</w:t>
      </w:r>
      <w:r>
        <w:rPr>
          <w:b/>
          <w:bCs/>
        </w:rPr>
        <w:t xml:space="preserve"> </w:t>
      </w:r>
      <w:r>
        <w:rPr>
          <w:color w:val="000000"/>
        </w:rPr>
        <w:t>upon the State Legislature to pass, and Governor to sign, Senate Bill S.</w:t>
      </w:r>
      <w:r w:rsidR="00835A6B">
        <w:rPr>
          <w:color w:val="000000"/>
        </w:rPr>
        <w:t xml:space="preserve"> </w:t>
      </w:r>
      <w:r>
        <w:rPr>
          <w:color w:val="000000"/>
        </w:rPr>
        <w:t>6453 and Assembly Bill A.</w:t>
      </w:r>
      <w:r w:rsidR="00835A6B">
        <w:rPr>
          <w:color w:val="000000"/>
        </w:rPr>
        <w:t xml:space="preserve"> </w:t>
      </w:r>
      <w:r>
        <w:rPr>
          <w:color w:val="000000"/>
        </w:rPr>
        <w:t>1466C, the “NYS Build Public Renewables Act</w:t>
      </w:r>
      <w:r w:rsidR="00835A6B">
        <w:rPr>
          <w:color w:val="000000"/>
        </w:rPr>
        <w:t>,</w:t>
      </w:r>
      <w:r>
        <w:rPr>
          <w:color w:val="000000"/>
        </w:rPr>
        <w:t>” enabling the New York Power Authority to own and build new renewable generation, storage, and transmission.</w:t>
      </w:r>
    </w:p>
    <w:p w14:paraId="05D545A2" w14:textId="1FAFAC5A" w:rsidR="004B34BE" w:rsidRDefault="00192AB6" w:rsidP="001A50DF">
      <w:pPr>
        <w:spacing w:line="480" w:lineRule="auto"/>
        <w:ind w:firstLine="720"/>
        <w:jc w:val="both"/>
        <w:rPr>
          <w:color w:val="000000"/>
          <w:shd w:val="clear" w:color="auto" w:fill="FFFFFF"/>
        </w:rPr>
      </w:pPr>
      <w:r w:rsidRPr="00192AB6">
        <w:rPr>
          <w:b/>
          <w:bCs/>
          <w:color w:val="000000"/>
        </w:rPr>
        <w:t>Proposed Res. No. 258-A</w:t>
      </w:r>
      <w:r>
        <w:rPr>
          <w:b/>
          <w:bCs/>
          <w:color w:val="000000"/>
        </w:rPr>
        <w:t xml:space="preserve"> </w:t>
      </w:r>
      <w:r>
        <w:rPr>
          <w:color w:val="000000"/>
        </w:rPr>
        <w:t xml:space="preserve">would support </w:t>
      </w:r>
      <w:r w:rsidRPr="00192AB6">
        <w:rPr>
          <w:color w:val="000000"/>
          <w:shd w:val="clear" w:color="auto" w:fill="FFFFFF"/>
        </w:rPr>
        <w:t xml:space="preserve">the State Clean Water, Clean Air, and Green Jobs Environmental Bond Act of 2022, </w:t>
      </w:r>
      <w:r>
        <w:rPr>
          <w:color w:val="000000"/>
          <w:shd w:val="clear" w:color="auto" w:fill="FFFFFF"/>
        </w:rPr>
        <w:t>on the condition</w:t>
      </w:r>
      <w:r w:rsidRPr="00192AB6">
        <w:rPr>
          <w:color w:val="000000"/>
          <w:shd w:val="clear" w:color="auto" w:fill="FFFFFF"/>
        </w:rPr>
        <w:t xml:space="preserve"> that funding </w:t>
      </w:r>
      <w:r>
        <w:rPr>
          <w:color w:val="000000"/>
          <w:shd w:val="clear" w:color="auto" w:fill="FFFFFF"/>
        </w:rPr>
        <w:t>be</w:t>
      </w:r>
      <w:r w:rsidRPr="00192AB6">
        <w:rPr>
          <w:color w:val="000000"/>
          <w:shd w:val="clear" w:color="auto" w:fill="FFFFFF"/>
        </w:rPr>
        <w:t xml:space="preserve"> allocated to the </w:t>
      </w:r>
      <w:r w:rsidR="00835A6B">
        <w:rPr>
          <w:color w:val="000000"/>
          <w:shd w:val="clear" w:color="auto" w:fill="FFFFFF"/>
        </w:rPr>
        <w:t>C</w:t>
      </w:r>
      <w:r w:rsidRPr="00192AB6">
        <w:rPr>
          <w:color w:val="000000"/>
          <w:shd w:val="clear" w:color="auto" w:fill="FFFFFF"/>
        </w:rPr>
        <w:t xml:space="preserve">ity in a manner commensurate with the </w:t>
      </w:r>
      <w:r w:rsidR="00835A6B">
        <w:rPr>
          <w:color w:val="000000"/>
          <w:shd w:val="clear" w:color="auto" w:fill="FFFFFF"/>
        </w:rPr>
        <w:t>C</w:t>
      </w:r>
      <w:r w:rsidRPr="00192AB6">
        <w:rPr>
          <w:color w:val="000000"/>
          <w:shd w:val="clear" w:color="auto" w:fill="FFFFFF"/>
        </w:rPr>
        <w:t>ity’s contribution to statewide tax revenue.</w:t>
      </w:r>
    </w:p>
    <w:p w14:paraId="3173C520" w14:textId="415E1A97" w:rsidR="00A46038" w:rsidRDefault="00A46038" w:rsidP="001A50DF">
      <w:pPr>
        <w:spacing w:line="480" w:lineRule="auto"/>
        <w:ind w:firstLine="720"/>
        <w:jc w:val="both"/>
        <w:rPr>
          <w:color w:val="000000"/>
          <w:shd w:val="clear" w:color="auto" w:fill="FFFFFF"/>
        </w:rPr>
      </w:pPr>
    </w:p>
    <w:p w14:paraId="522EF503" w14:textId="6E7A4BFA" w:rsidR="00A46038" w:rsidRDefault="00A46038" w:rsidP="001A50DF">
      <w:pPr>
        <w:spacing w:line="480" w:lineRule="auto"/>
        <w:ind w:firstLine="720"/>
        <w:jc w:val="both"/>
        <w:rPr>
          <w:color w:val="000000"/>
          <w:shd w:val="clear" w:color="auto" w:fill="FFFFFF"/>
        </w:rPr>
      </w:pPr>
    </w:p>
    <w:p w14:paraId="64C1B87E" w14:textId="76CFB195" w:rsidR="00A46038" w:rsidRDefault="00A46038" w:rsidP="001A50DF">
      <w:pPr>
        <w:spacing w:line="480" w:lineRule="auto"/>
        <w:ind w:firstLine="720"/>
        <w:jc w:val="both"/>
        <w:rPr>
          <w:color w:val="000000"/>
          <w:shd w:val="clear" w:color="auto" w:fill="FFFFFF"/>
        </w:rPr>
      </w:pPr>
    </w:p>
    <w:p w14:paraId="18DC8BFB" w14:textId="5FF2D08F" w:rsidR="00A46038" w:rsidRDefault="00A46038" w:rsidP="001A50DF">
      <w:pPr>
        <w:spacing w:line="480" w:lineRule="auto"/>
        <w:ind w:firstLine="720"/>
        <w:jc w:val="both"/>
        <w:rPr>
          <w:color w:val="000000"/>
          <w:shd w:val="clear" w:color="auto" w:fill="FFFFFF"/>
        </w:rPr>
      </w:pPr>
    </w:p>
    <w:p w14:paraId="0137D685" w14:textId="562D5441" w:rsidR="00A46038" w:rsidRDefault="00A46038" w:rsidP="001A50DF">
      <w:pPr>
        <w:spacing w:line="480" w:lineRule="auto"/>
        <w:ind w:firstLine="720"/>
        <w:jc w:val="both"/>
        <w:rPr>
          <w:color w:val="000000"/>
          <w:shd w:val="clear" w:color="auto" w:fill="FFFFFF"/>
        </w:rPr>
      </w:pPr>
    </w:p>
    <w:p w14:paraId="24061456" w14:textId="1846FA91" w:rsidR="00A46038" w:rsidRDefault="00A46038" w:rsidP="001A50DF">
      <w:pPr>
        <w:spacing w:line="480" w:lineRule="auto"/>
        <w:ind w:firstLine="720"/>
        <w:jc w:val="both"/>
        <w:rPr>
          <w:color w:val="000000"/>
          <w:shd w:val="clear" w:color="auto" w:fill="FFFFFF"/>
        </w:rPr>
      </w:pPr>
    </w:p>
    <w:p w14:paraId="76073F8D" w14:textId="0F1DEAE1" w:rsidR="00A46038" w:rsidRDefault="00A46038" w:rsidP="001A50DF">
      <w:pPr>
        <w:spacing w:line="480" w:lineRule="auto"/>
        <w:ind w:firstLine="720"/>
        <w:jc w:val="both"/>
        <w:rPr>
          <w:color w:val="000000"/>
          <w:shd w:val="clear" w:color="auto" w:fill="FFFFFF"/>
        </w:rPr>
      </w:pPr>
    </w:p>
    <w:p w14:paraId="09C86786" w14:textId="6838327B" w:rsidR="00A46038" w:rsidRDefault="00A46038" w:rsidP="001A50DF">
      <w:pPr>
        <w:spacing w:line="480" w:lineRule="auto"/>
        <w:ind w:firstLine="720"/>
        <w:jc w:val="both"/>
        <w:rPr>
          <w:color w:val="000000"/>
          <w:shd w:val="clear" w:color="auto" w:fill="FFFFFF"/>
        </w:rPr>
      </w:pPr>
    </w:p>
    <w:p w14:paraId="4EF5785E" w14:textId="3A178644" w:rsidR="00A46038" w:rsidRDefault="00A46038" w:rsidP="001A50DF">
      <w:pPr>
        <w:spacing w:line="480" w:lineRule="auto"/>
        <w:ind w:firstLine="720"/>
        <w:jc w:val="both"/>
        <w:rPr>
          <w:color w:val="000000"/>
          <w:shd w:val="clear" w:color="auto" w:fill="FFFFFF"/>
        </w:rPr>
      </w:pPr>
    </w:p>
    <w:p w14:paraId="3386A98F" w14:textId="50239808" w:rsidR="00A46038" w:rsidRDefault="00A46038" w:rsidP="001A50DF">
      <w:pPr>
        <w:spacing w:line="480" w:lineRule="auto"/>
        <w:ind w:firstLine="720"/>
        <w:jc w:val="both"/>
        <w:rPr>
          <w:color w:val="000000"/>
          <w:shd w:val="clear" w:color="auto" w:fill="FFFFFF"/>
        </w:rPr>
      </w:pPr>
    </w:p>
    <w:p w14:paraId="008C56E2" w14:textId="22EDC5C4" w:rsidR="00A46038" w:rsidRDefault="00A46038" w:rsidP="001A50DF">
      <w:pPr>
        <w:spacing w:line="480" w:lineRule="auto"/>
        <w:ind w:firstLine="720"/>
        <w:jc w:val="both"/>
        <w:rPr>
          <w:color w:val="000000"/>
          <w:shd w:val="clear" w:color="auto" w:fill="FFFFFF"/>
        </w:rPr>
      </w:pPr>
    </w:p>
    <w:p w14:paraId="16C8A362" w14:textId="2A30A7E7" w:rsidR="00A46038" w:rsidRDefault="00A46038" w:rsidP="001A50DF">
      <w:pPr>
        <w:spacing w:line="480" w:lineRule="auto"/>
        <w:ind w:firstLine="720"/>
        <w:jc w:val="both"/>
        <w:rPr>
          <w:color w:val="000000"/>
          <w:shd w:val="clear" w:color="auto" w:fill="FFFFFF"/>
        </w:rPr>
      </w:pPr>
    </w:p>
    <w:p w14:paraId="27A61B14" w14:textId="2A699B68" w:rsidR="00A46038" w:rsidRDefault="00A46038" w:rsidP="001A50DF">
      <w:pPr>
        <w:spacing w:line="480" w:lineRule="auto"/>
        <w:ind w:firstLine="720"/>
        <w:jc w:val="both"/>
        <w:rPr>
          <w:color w:val="000000"/>
          <w:shd w:val="clear" w:color="auto" w:fill="FFFFFF"/>
        </w:rPr>
      </w:pPr>
    </w:p>
    <w:p w14:paraId="307BAB67" w14:textId="136B5C9C" w:rsidR="00A46038" w:rsidRDefault="00A46038" w:rsidP="001A50DF">
      <w:pPr>
        <w:spacing w:line="480" w:lineRule="auto"/>
        <w:ind w:firstLine="720"/>
        <w:jc w:val="both"/>
        <w:rPr>
          <w:color w:val="000000"/>
          <w:shd w:val="clear" w:color="auto" w:fill="FFFFFF"/>
        </w:rPr>
      </w:pPr>
    </w:p>
    <w:p w14:paraId="18CC81C3" w14:textId="789AD0B1" w:rsidR="00A46038" w:rsidRDefault="00A46038" w:rsidP="001A50DF">
      <w:pPr>
        <w:spacing w:line="480" w:lineRule="auto"/>
        <w:ind w:firstLine="720"/>
        <w:jc w:val="both"/>
        <w:rPr>
          <w:color w:val="000000"/>
          <w:shd w:val="clear" w:color="auto" w:fill="FFFFFF"/>
        </w:rPr>
      </w:pPr>
    </w:p>
    <w:p w14:paraId="66451D5B" w14:textId="048428D1" w:rsidR="00A46038" w:rsidRDefault="00A46038" w:rsidP="001A50DF">
      <w:pPr>
        <w:spacing w:line="480" w:lineRule="auto"/>
        <w:ind w:firstLine="720"/>
        <w:jc w:val="both"/>
        <w:rPr>
          <w:color w:val="000000"/>
          <w:shd w:val="clear" w:color="auto" w:fill="FFFFFF"/>
        </w:rPr>
      </w:pPr>
    </w:p>
    <w:p w14:paraId="5D1E9DF6" w14:textId="7A9EBD81" w:rsidR="00A46038" w:rsidRDefault="00A46038" w:rsidP="001A50DF">
      <w:pPr>
        <w:spacing w:line="480" w:lineRule="auto"/>
        <w:ind w:firstLine="720"/>
        <w:jc w:val="both"/>
        <w:rPr>
          <w:color w:val="000000"/>
          <w:shd w:val="clear" w:color="auto" w:fill="FFFFFF"/>
        </w:rPr>
      </w:pPr>
    </w:p>
    <w:p w14:paraId="36D90795" w14:textId="3F04B393" w:rsidR="00A46038" w:rsidRDefault="00A46038" w:rsidP="001A50DF">
      <w:pPr>
        <w:spacing w:line="480" w:lineRule="auto"/>
        <w:ind w:firstLine="720"/>
        <w:jc w:val="both"/>
        <w:rPr>
          <w:color w:val="000000"/>
          <w:shd w:val="clear" w:color="auto" w:fill="FFFFFF"/>
        </w:rPr>
      </w:pPr>
    </w:p>
    <w:p w14:paraId="3269DD14" w14:textId="22531778" w:rsidR="00A46038" w:rsidRDefault="00A46038" w:rsidP="001A50DF">
      <w:pPr>
        <w:spacing w:line="480" w:lineRule="auto"/>
        <w:ind w:firstLine="720"/>
        <w:jc w:val="both"/>
        <w:rPr>
          <w:color w:val="000000"/>
          <w:shd w:val="clear" w:color="auto" w:fill="FFFFFF"/>
        </w:rPr>
      </w:pPr>
    </w:p>
    <w:p w14:paraId="68B809D8" w14:textId="775E8699" w:rsidR="00A46038" w:rsidRDefault="00A46038" w:rsidP="001A50DF">
      <w:pPr>
        <w:spacing w:line="480" w:lineRule="auto"/>
        <w:ind w:firstLine="720"/>
        <w:jc w:val="both"/>
        <w:rPr>
          <w:color w:val="000000"/>
          <w:shd w:val="clear" w:color="auto" w:fill="FFFFFF"/>
        </w:rPr>
      </w:pPr>
    </w:p>
    <w:p w14:paraId="005E8157" w14:textId="04D00395" w:rsidR="00A46038" w:rsidRDefault="00A46038" w:rsidP="00A46038">
      <w:pPr>
        <w:spacing w:line="480" w:lineRule="auto"/>
        <w:ind w:firstLine="720"/>
        <w:jc w:val="center"/>
        <w:rPr>
          <w:color w:val="000000"/>
          <w:shd w:val="clear" w:color="auto" w:fill="FFFFFF"/>
        </w:rPr>
      </w:pPr>
      <w:r>
        <w:t>[This page intentionally left blank.]</w:t>
      </w:r>
    </w:p>
    <w:p w14:paraId="1204FF08" w14:textId="64B8991D" w:rsidR="00A46038" w:rsidRDefault="00A46038" w:rsidP="001A50DF">
      <w:pPr>
        <w:spacing w:line="480" w:lineRule="auto"/>
        <w:ind w:firstLine="720"/>
        <w:jc w:val="both"/>
        <w:rPr>
          <w:color w:val="000000"/>
          <w:shd w:val="clear" w:color="auto" w:fill="FFFFFF"/>
        </w:rPr>
      </w:pPr>
    </w:p>
    <w:p w14:paraId="18D6EB1E" w14:textId="0806A1DD" w:rsidR="00A46038" w:rsidRDefault="00A46038" w:rsidP="001A50DF">
      <w:pPr>
        <w:spacing w:line="480" w:lineRule="auto"/>
        <w:ind w:firstLine="720"/>
        <w:jc w:val="both"/>
        <w:rPr>
          <w:color w:val="000000"/>
          <w:shd w:val="clear" w:color="auto" w:fill="FFFFFF"/>
        </w:rPr>
      </w:pPr>
    </w:p>
    <w:p w14:paraId="017C4519" w14:textId="17739133" w:rsidR="00A46038" w:rsidRDefault="00A46038" w:rsidP="001A50DF">
      <w:pPr>
        <w:spacing w:line="480" w:lineRule="auto"/>
        <w:ind w:firstLine="720"/>
        <w:jc w:val="both"/>
        <w:rPr>
          <w:color w:val="000000"/>
          <w:shd w:val="clear" w:color="auto" w:fill="FFFFFF"/>
        </w:rPr>
      </w:pPr>
    </w:p>
    <w:p w14:paraId="4795FF16" w14:textId="6067BEC0" w:rsidR="00A46038" w:rsidRDefault="00A46038" w:rsidP="001A50DF">
      <w:pPr>
        <w:spacing w:line="480" w:lineRule="auto"/>
        <w:ind w:firstLine="720"/>
        <w:jc w:val="both"/>
        <w:rPr>
          <w:color w:val="000000"/>
          <w:shd w:val="clear" w:color="auto" w:fill="FFFFFF"/>
        </w:rPr>
      </w:pPr>
    </w:p>
    <w:p w14:paraId="070DC67D" w14:textId="36844AC1" w:rsidR="00A46038" w:rsidRDefault="00A46038" w:rsidP="001A50DF">
      <w:pPr>
        <w:spacing w:line="480" w:lineRule="auto"/>
        <w:ind w:firstLine="720"/>
        <w:jc w:val="both"/>
        <w:rPr>
          <w:color w:val="000000"/>
          <w:shd w:val="clear" w:color="auto" w:fill="FFFFFF"/>
        </w:rPr>
      </w:pPr>
    </w:p>
    <w:p w14:paraId="0C34A170" w14:textId="5A21F890" w:rsidR="00A46038" w:rsidRDefault="00A46038" w:rsidP="001A50DF">
      <w:pPr>
        <w:spacing w:line="480" w:lineRule="auto"/>
        <w:ind w:firstLine="720"/>
        <w:jc w:val="both"/>
        <w:rPr>
          <w:color w:val="000000"/>
          <w:shd w:val="clear" w:color="auto" w:fill="FFFFFF"/>
        </w:rPr>
      </w:pPr>
    </w:p>
    <w:p w14:paraId="644992F6" w14:textId="7597E1B9" w:rsidR="00A46038" w:rsidRDefault="00A46038" w:rsidP="001A50DF">
      <w:pPr>
        <w:spacing w:line="480" w:lineRule="auto"/>
        <w:ind w:firstLine="720"/>
        <w:jc w:val="both"/>
        <w:rPr>
          <w:color w:val="000000"/>
          <w:shd w:val="clear" w:color="auto" w:fill="FFFFFF"/>
        </w:rPr>
      </w:pPr>
    </w:p>
    <w:p w14:paraId="5EBB67CC" w14:textId="5689E509" w:rsidR="00A46038" w:rsidRDefault="00A46038" w:rsidP="001A50DF">
      <w:pPr>
        <w:spacing w:line="480" w:lineRule="auto"/>
        <w:ind w:firstLine="720"/>
        <w:jc w:val="both"/>
        <w:rPr>
          <w:color w:val="000000"/>
          <w:shd w:val="clear" w:color="auto" w:fill="FFFFFF"/>
        </w:rPr>
      </w:pPr>
    </w:p>
    <w:p w14:paraId="032461A4" w14:textId="25C27C1D" w:rsidR="00A46038" w:rsidRDefault="00A46038" w:rsidP="001A50DF">
      <w:pPr>
        <w:spacing w:line="480" w:lineRule="auto"/>
        <w:ind w:firstLine="720"/>
        <w:jc w:val="both"/>
        <w:rPr>
          <w:color w:val="000000"/>
          <w:shd w:val="clear" w:color="auto" w:fill="FFFFFF"/>
        </w:rPr>
      </w:pPr>
    </w:p>
    <w:p w14:paraId="31202C78" w14:textId="3A56D076" w:rsidR="00A46038" w:rsidRDefault="00A46038" w:rsidP="001A50DF">
      <w:pPr>
        <w:spacing w:line="480" w:lineRule="auto"/>
        <w:ind w:firstLine="720"/>
        <w:jc w:val="both"/>
        <w:rPr>
          <w:color w:val="000000"/>
          <w:shd w:val="clear" w:color="auto" w:fill="FFFFFF"/>
        </w:rPr>
      </w:pPr>
    </w:p>
    <w:p w14:paraId="2F8802AE" w14:textId="0FDB8F73" w:rsidR="00A46038" w:rsidRDefault="00A46038" w:rsidP="001A50DF">
      <w:pPr>
        <w:spacing w:line="480" w:lineRule="auto"/>
        <w:ind w:firstLine="720"/>
        <w:jc w:val="both"/>
        <w:rPr>
          <w:color w:val="000000"/>
          <w:shd w:val="clear" w:color="auto" w:fill="FFFFFF"/>
        </w:rPr>
      </w:pPr>
    </w:p>
    <w:p w14:paraId="751AF821" w14:textId="26AE0386" w:rsidR="00A46038" w:rsidRDefault="00A46038" w:rsidP="001A50DF">
      <w:pPr>
        <w:spacing w:line="480" w:lineRule="auto"/>
        <w:ind w:firstLine="720"/>
        <w:jc w:val="both"/>
        <w:rPr>
          <w:color w:val="000000"/>
          <w:shd w:val="clear" w:color="auto" w:fill="FFFFFF"/>
        </w:rPr>
      </w:pPr>
    </w:p>
    <w:p w14:paraId="7CC9F721" w14:textId="6B1AA9D1" w:rsidR="00A46038" w:rsidRDefault="00A46038" w:rsidP="001A50DF">
      <w:pPr>
        <w:spacing w:line="480" w:lineRule="auto"/>
        <w:ind w:firstLine="720"/>
        <w:jc w:val="both"/>
        <w:rPr>
          <w:color w:val="000000"/>
          <w:shd w:val="clear" w:color="auto" w:fill="FFFFFF"/>
        </w:rPr>
      </w:pPr>
    </w:p>
    <w:p w14:paraId="78F1A870" w14:textId="69D7D815" w:rsidR="00A46038" w:rsidRDefault="00A46038" w:rsidP="001A50DF">
      <w:pPr>
        <w:spacing w:line="480" w:lineRule="auto"/>
        <w:ind w:firstLine="720"/>
        <w:jc w:val="both"/>
        <w:rPr>
          <w:color w:val="000000"/>
          <w:shd w:val="clear" w:color="auto" w:fill="FFFFFF"/>
        </w:rPr>
      </w:pPr>
    </w:p>
    <w:p w14:paraId="1889802A" w14:textId="6E067943" w:rsidR="00A46038" w:rsidRDefault="00A46038" w:rsidP="001A50DF">
      <w:pPr>
        <w:spacing w:line="480" w:lineRule="auto"/>
        <w:ind w:firstLine="720"/>
        <w:jc w:val="both"/>
        <w:rPr>
          <w:color w:val="000000"/>
          <w:shd w:val="clear" w:color="auto" w:fill="FFFFFF"/>
        </w:rPr>
      </w:pPr>
    </w:p>
    <w:p w14:paraId="0966ED6A" w14:textId="4CAEA88A" w:rsidR="00A46038" w:rsidRDefault="00A46038" w:rsidP="001A50DF">
      <w:pPr>
        <w:spacing w:line="480" w:lineRule="auto"/>
        <w:ind w:firstLine="720"/>
        <w:jc w:val="both"/>
        <w:rPr>
          <w:color w:val="000000"/>
          <w:shd w:val="clear" w:color="auto" w:fill="FFFFFF"/>
        </w:rPr>
      </w:pPr>
    </w:p>
    <w:p w14:paraId="63849657" w14:textId="70886A22" w:rsidR="00A46038" w:rsidRDefault="00A46038" w:rsidP="001A50DF">
      <w:pPr>
        <w:spacing w:line="480" w:lineRule="auto"/>
        <w:ind w:firstLine="720"/>
        <w:jc w:val="both"/>
        <w:rPr>
          <w:color w:val="000000"/>
          <w:shd w:val="clear" w:color="auto" w:fill="FFFFFF"/>
        </w:rPr>
      </w:pPr>
    </w:p>
    <w:p w14:paraId="3C5C9516" w14:textId="46D034D9" w:rsidR="00A46038" w:rsidRDefault="00A46038" w:rsidP="001A50DF">
      <w:pPr>
        <w:spacing w:line="480" w:lineRule="auto"/>
        <w:ind w:firstLine="720"/>
        <w:jc w:val="both"/>
        <w:rPr>
          <w:color w:val="000000"/>
          <w:shd w:val="clear" w:color="auto" w:fill="FFFFFF"/>
        </w:rPr>
      </w:pPr>
    </w:p>
    <w:p w14:paraId="3C884A17" w14:textId="538F255A" w:rsidR="00A46038" w:rsidRDefault="00A46038" w:rsidP="001A50DF">
      <w:pPr>
        <w:spacing w:line="480" w:lineRule="auto"/>
        <w:ind w:firstLine="720"/>
        <w:jc w:val="both"/>
        <w:rPr>
          <w:color w:val="000000"/>
          <w:shd w:val="clear" w:color="auto" w:fill="FFFFFF"/>
        </w:rPr>
      </w:pPr>
    </w:p>
    <w:p w14:paraId="3598D519" w14:textId="4333ED09" w:rsidR="00A46038" w:rsidRDefault="00A46038" w:rsidP="001A50DF">
      <w:pPr>
        <w:spacing w:line="480" w:lineRule="auto"/>
        <w:ind w:firstLine="720"/>
        <w:jc w:val="both"/>
        <w:rPr>
          <w:color w:val="000000"/>
          <w:shd w:val="clear" w:color="auto" w:fill="FFFFFF"/>
        </w:rPr>
      </w:pPr>
    </w:p>
    <w:p w14:paraId="3A193AA7" w14:textId="74EBDDF9" w:rsidR="00A46038" w:rsidRDefault="00A46038" w:rsidP="001A50DF">
      <w:pPr>
        <w:spacing w:line="480" w:lineRule="auto"/>
        <w:ind w:firstLine="720"/>
        <w:jc w:val="both"/>
        <w:rPr>
          <w:color w:val="000000"/>
          <w:shd w:val="clear" w:color="auto" w:fill="FFFFFF"/>
        </w:rPr>
      </w:pPr>
    </w:p>
    <w:p w14:paraId="17AF9A56" w14:textId="77777777" w:rsidR="00A46038" w:rsidRDefault="00A46038" w:rsidP="001A50DF">
      <w:pPr>
        <w:spacing w:line="480" w:lineRule="auto"/>
        <w:ind w:firstLine="720"/>
        <w:jc w:val="both"/>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E91F94" w:rsidRPr="00E91F94" w14:paraId="357C6DEF" w14:textId="77777777" w:rsidTr="00E91F94">
        <w:trPr>
          <w:tblCellSpacing w:w="0" w:type="dxa"/>
        </w:trPr>
        <w:tc>
          <w:tcPr>
            <w:tcW w:w="0" w:type="auto"/>
            <w:shd w:val="clear" w:color="auto" w:fill="FFFFFF"/>
            <w:vAlign w:val="center"/>
            <w:hideMark/>
          </w:tcPr>
          <w:p w14:paraId="7BCA7E87" w14:textId="77777777" w:rsidR="00E91F94" w:rsidRPr="00E91F94" w:rsidRDefault="00E91F94" w:rsidP="00E91F94">
            <w:pPr>
              <w:shd w:val="clear" w:color="auto" w:fill="FFFFFF"/>
              <w:jc w:val="center"/>
              <w:rPr>
                <w:rFonts w:ascii="Times" w:hAnsi="Times"/>
                <w:color w:val="000000"/>
                <w:sz w:val="27"/>
                <w:szCs w:val="27"/>
              </w:rPr>
            </w:pPr>
            <w:r w:rsidRPr="00E91F94">
              <w:rPr>
                <w:color w:val="000000"/>
              </w:rPr>
              <w:t>Int. No. 315</w:t>
            </w:r>
          </w:p>
          <w:p w14:paraId="2264F1D0" w14:textId="77777777" w:rsidR="00E91F94" w:rsidRPr="00E91F94" w:rsidRDefault="00E91F94" w:rsidP="00E91F94">
            <w:pPr>
              <w:shd w:val="clear" w:color="auto" w:fill="FFFFFF"/>
              <w:jc w:val="both"/>
              <w:rPr>
                <w:rFonts w:ascii="Times" w:hAnsi="Times"/>
                <w:color w:val="000000"/>
                <w:sz w:val="27"/>
                <w:szCs w:val="27"/>
              </w:rPr>
            </w:pPr>
            <w:r w:rsidRPr="00E91F94">
              <w:rPr>
                <w:color w:val="000000"/>
              </w:rPr>
              <w:t> </w:t>
            </w:r>
          </w:p>
          <w:p w14:paraId="159D7A47" w14:textId="77777777" w:rsidR="00E91F94" w:rsidRPr="00E91F94" w:rsidRDefault="00E91F94" w:rsidP="00E91F94">
            <w:pPr>
              <w:shd w:val="clear" w:color="auto" w:fill="FFFFFF"/>
              <w:jc w:val="both"/>
              <w:rPr>
                <w:rFonts w:ascii="Times" w:hAnsi="Times"/>
                <w:color w:val="000000"/>
                <w:sz w:val="27"/>
                <w:szCs w:val="27"/>
              </w:rPr>
            </w:pPr>
            <w:r w:rsidRPr="00E91F94">
              <w:rPr>
                <w:color w:val="000000"/>
              </w:rPr>
              <w:t>By Council Members Brannan, Louis, Hanif, Yeger, Ayala, Dinowitz, Restler, Abreu, Sanchez, Schulman, Nurse, Cabán and Farías</w:t>
            </w:r>
          </w:p>
          <w:p w14:paraId="5568B4BB" w14:textId="77777777" w:rsidR="00E91F94" w:rsidRPr="00E91F94" w:rsidRDefault="00E91F94" w:rsidP="00E91F94">
            <w:pPr>
              <w:shd w:val="clear" w:color="auto" w:fill="FFFFFF"/>
              <w:jc w:val="both"/>
              <w:rPr>
                <w:rFonts w:ascii="Times" w:hAnsi="Times"/>
                <w:color w:val="000000"/>
                <w:sz w:val="27"/>
                <w:szCs w:val="27"/>
              </w:rPr>
            </w:pPr>
            <w:r w:rsidRPr="00E91F94">
              <w:rPr>
                <w:color w:val="000000"/>
              </w:rPr>
              <w:t> </w:t>
            </w:r>
          </w:p>
          <w:p w14:paraId="2CEA59F4" w14:textId="77777777" w:rsidR="00E91F94" w:rsidRPr="00E91F94" w:rsidRDefault="00E91F94" w:rsidP="00E91F94">
            <w:pPr>
              <w:shd w:val="clear" w:color="auto" w:fill="FFFFFF"/>
              <w:jc w:val="both"/>
              <w:rPr>
                <w:rFonts w:ascii="Times" w:hAnsi="Times"/>
                <w:color w:val="000000"/>
                <w:sz w:val="27"/>
                <w:szCs w:val="27"/>
              </w:rPr>
            </w:pPr>
            <w:r w:rsidRPr="00E91F94">
              <w:rPr>
                <w:color w:val="000000"/>
              </w:rPr>
              <w:t>A Local Law to amend the administrative code of the city of New York, in relation to identifying all vacant and underutilized municipally-owned sites that would be suitable for the development of renewable energy and assessing the renewable-energy generation potential and feasibility of such sites</w:t>
            </w:r>
          </w:p>
          <w:p w14:paraId="3589AE52" w14:textId="77777777" w:rsidR="00E91F94" w:rsidRPr="00E91F94" w:rsidRDefault="00E91F94" w:rsidP="00E91F94">
            <w:pPr>
              <w:shd w:val="clear" w:color="auto" w:fill="FFFFFF"/>
              <w:jc w:val="both"/>
              <w:rPr>
                <w:rFonts w:ascii="Times" w:hAnsi="Times"/>
                <w:color w:val="000000"/>
                <w:sz w:val="27"/>
                <w:szCs w:val="27"/>
              </w:rPr>
            </w:pPr>
            <w:r w:rsidRPr="00E91F94">
              <w:rPr>
                <w:color w:val="000000"/>
              </w:rPr>
              <w:t> </w:t>
            </w:r>
          </w:p>
          <w:p w14:paraId="7DF160F8" w14:textId="77777777" w:rsidR="00E91F94" w:rsidRPr="00E91F94" w:rsidRDefault="00E91F94" w:rsidP="00E91F94">
            <w:pPr>
              <w:shd w:val="clear" w:color="auto" w:fill="FFFFFF"/>
              <w:jc w:val="both"/>
              <w:rPr>
                <w:rFonts w:ascii="Times" w:hAnsi="Times"/>
                <w:color w:val="000000"/>
                <w:sz w:val="27"/>
                <w:szCs w:val="27"/>
              </w:rPr>
            </w:pPr>
            <w:r w:rsidRPr="00E91F94">
              <w:rPr>
                <w:color w:val="000000"/>
                <w:u w:val="single"/>
              </w:rPr>
              <w:t>Be it enacted by the Council as follows:</w:t>
            </w:r>
          </w:p>
          <w:p w14:paraId="3021FA7D" w14:textId="77777777" w:rsidR="00E91F94" w:rsidRPr="00E91F94" w:rsidRDefault="00E91F94" w:rsidP="00E91F94">
            <w:pPr>
              <w:shd w:val="clear" w:color="auto" w:fill="FFFFFF"/>
              <w:jc w:val="both"/>
              <w:rPr>
                <w:rFonts w:ascii="Times" w:hAnsi="Times"/>
                <w:color w:val="000000"/>
                <w:sz w:val="27"/>
                <w:szCs w:val="27"/>
              </w:rPr>
            </w:pPr>
            <w:r w:rsidRPr="00E91F94">
              <w:rPr>
                <w:color w:val="000000"/>
              </w:rPr>
              <w:t> </w:t>
            </w:r>
          </w:p>
          <w:p w14:paraId="22935292" w14:textId="478FA4B1" w:rsidR="00E91F94" w:rsidRPr="00E91F94" w:rsidRDefault="00CB77AA" w:rsidP="00E91F94">
            <w:pPr>
              <w:shd w:val="clear" w:color="auto" w:fill="FFFFFF"/>
              <w:spacing w:line="480" w:lineRule="auto"/>
              <w:jc w:val="both"/>
              <w:rPr>
                <w:rFonts w:ascii="Times" w:hAnsi="Times"/>
                <w:color w:val="000000"/>
                <w:sz w:val="27"/>
                <w:szCs w:val="27"/>
              </w:rPr>
            </w:pPr>
            <w:r>
              <w:rPr>
                <w:color w:val="000000"/>
              </w:rPr>
              <w:t xml:space="preserve">          </w:t>
            </w:r>
            <w:r w:rsidR="00E91F94" w:rsidRPr="00E91F94">
              <w:rPr>
                <w:color w:val="000000"/>
              </w:rPr>
              <w:t>Section 1. Chapter 8 of title 24 of the administrative code is amended by adding a new section 24-806.1 to read as follows:</w:t>
            </w:r>
          </w:p>
          <w:p w14:paraId="08D3779F" w14:textId="346209CB" w:rsidR="00E91F94" w:rsidRPr="00E91F94" w:rsidRDefault="00CB77AA" w:rsidP="00E91F94">
            <w:pPr>
              <w:shd w:val="clear" w:color="auto" w:fill="FFFFFF"/>
              <w:spacing w:line="480" w:lineRule="auto"/>
              <w:jc w:val="both"/>
              <w:rPr>
                <w:rFonts w:ascii="Times" w:hAnsi="Times"/>
                <w:color w:val="000000"/>
                <w:sz w:val="27"/>
                <w:szCs w:val="27"/>
              </w:rPr>
            </w:pPr>
            <w:r w:rsidRPr="001A50DF">
              <w:rPr>
                <w:color w:val="000000"/>
              </w:rPr>
              <w:t xml:space="preserve">          </w:t>
            </w:r>
            <w:r w:rsidR="00E91F94" w:rsidRPr="00E91F94">
              <w:rPr>
                <w:color w:val="000000"/>
                <w:u w:val="single"/>
              </w:rPr>
              <w:t>§ 24-806.1 Renewable energy generation on vacant city-owned lots. a. On or before December 31, 2023, and by December 31 every three years thereafter, the department shall submit to the mayor and the speaker of the council a report identifying all vacant and underutilized municipally-owned sites, including closed- and capped-solid waste landfills and brownfields, that would be suitable for the development of renewable energy. Such report shall include an assessment of the feasibility of renewable energy generation and a cost-benefit analysis of solar or wind energy generation on such sites.</w:t>
            </w:r>
          </w:p>
          <w:p w14:paraId="33A0B44D" w14:textId="5A64C877" w:rsidR="00E91F94" w:rsidRPr="00E91F94" w:rsidRDefault="00CB77AA" w:rsidP="00E91F94">
            <w:pPr>
              <w:shd w:val="clear" w:color="auto" w:fill="FFFFFF"/>
              <w:spacing w:line="480" w:lineRule="auto"/>
              <w:jc w:val="both"/>
              <w:rPr>
                <w:rFonts w:ascii="Times" w:hAnsi="Times"/>
                <w:color w:val="000000"/>
                <w:sz w:val="27"/>
                <w:szCs w:val="27"/>
              </w:rPr>
            </w:pPr>
            <w:r w:rsidRPr="001A50DF">
              <w:rPr>
                <w:color w:val="000000"/>
              </w:rPr>
              <w:t xml:space="preserve">          </w:t>
            </w:r>
            <w:r w:rsidR="00E91F94" w:rsidRPr="00E91F94">
              <w:rPr>
                <w:color w:val="000000"/>
                <w:u w:val="single"/>
              </w:rPr>
              <w:t>b.  The department shall submit to the mayor and speaker of the council a draft of such study no less than 90 days before the submission of the final report. If the study concludes that no greater use may be made from a particular vacant or underutilized site, the department shall explain its reasons therefor.</w:t>
            </w:r>
          </w:p>
          <w:p w14:paraId="3731C7E3" w14:textId="49C2ED24" w:rsidR="00E91F94" w:rsidRPr="00E91F94" w:rsidRDefault="00CB77AA" w:rsidP="00E91F94">
            <w:pPr>
              <w:shd w:val="clear" w:color="auto" w:fill="FFFFFF"/>
              <w:spacing w:line="480" w:lineRule="auto"/>
              <w:jc w:val="both"/>
              <w:rPr>
                <w:rFonts w:ascii="Times" w:hAnsi="Times"/>
                <w:color w:val="000000"/>
                <w:sz w:val="27"/>
                <w:szCs w:val="27"/>
              </w:rPr>
            </w:pPr>
            <w:r w:rsidRPr="001A50DF">
              <w:rPr>
                <w:color w:val="000000"/>
              </w:rPr>
              <w:t xml:space="preserve">          </w:t>
            </w:r>
            <w:r w:rsidR="00E91F94" w:rsidRPr="00E91F94">
              <w:rPr>
                <w:color w:val="000000"/>
                <w:u w:val="single"/>
              </w:rPr>
              <w:t>c. For each such vacant or underutilized site the department identifies would not be suitable for generating solar or wind energy, the department shall re-evaluate such site in the subsequent triennial report and determine whether generation of solar or wind energy from such site would be more feasible at that time.</w:t>
            </w:r>
          </w:p>
          <w:p w14:paraId="0BCE281C" w14:textId="0B8DE181" w:rsidR="00E91F94" w:rsidRPr="00E91F94" w:rsidRDefault="00CB77AA" w:rsidP="00E91F94">
            <w:pPr>
              <w:shd w:val="clear" w:color="auto" w:fill="FFFFFF"/>
              <w:spacing w:line="480" w:lineRule="auto"/>
              <w:jc w:val="both"/>
              <w:rPr>
                <w:rFonts w:ascii="Times" w:hAnsi="Times"/>
                <w:color w:val="000000"/>
                <w:sz w:val="27"/>
                <w:szCs w:val="27"/>
              </w:rPr>
            </w:pPr>
            <w:r>
              <w:rPr>
                <w:color w:val="000000"/>
              </w:rPr>
              <w:t xml:space="preserve">          </w:t>
            </w:r>
            <w:r w:rsidR="00E91F94" w:rsidRPr="00E91F94">
              <w:rPr>
                <w:color w:val="000000"/>
              </w:rPr>
              <w:t>§ 2. This local law shall take effect immediately.</w:t>
            </w:r>
          </w:p>
          <w:p w14:paraId="7EE56913" w14:textId="77777777" w:rsidR="00E91F94" w:rsidRPr="00E91F94" w:rsidRDefault="00E91F94" w:rsidP="00E91F94">
            <w:pPr>
              <w:shd w:val="clear" w:color="auto" w:fill="FFFFFF"/>
              <w:jc w:val="both"/>
              <w:rPr>
                <w:rFonts w:ascii="Times" w:hAnsi="Times"/>
                <w:color w:val="000000"/>
                <w:sz w:val="27"/>
                <w:szCs w:val="27"/>
              </w:rPr>
            </w:pPr>
            <w:r w:rsidRPr="00E91F94">
              <w:rPr>
                <w:color w:val="000000"/>
              </w:rPr>
              <w:t> </w:t>
            </w:r>
          </w:p>
          <w:p w14:paraId="41FCF2DE" w14:textId="77777777" w:rsidR="00E91F94" w:rsidRPr="00E91F94" w:rsidRDefault="00E91F94" w:rsidP="00E91F94">
            <w:pPr>
              <w:shd w:val="clear" w:color="auto" w:fill="FFFFFF"/>
              <w:jc w:val="both"/>
              <w:rPr>
                <w:rFonts w:ascii="Times" w:hAnsi="Times"/>
                <w:color w:val="000000"/>
                <w:sz w:val="27"/>
                <w:szCs w:val="27"/>
              </w:rPr>
            </w:pPr>
            <w:r w:rsidRPr="00E91F94">
              <w:rPr>
                <w:color w:val="000000"/>
              </w:rPr>
              <w:t> </w:t>
            </w:r>
          </w:p>
          <w:p w14:paraId="1FFDF6F5" w14:textId="77777777" w:rsidR="00E91F94" w:rsidRPr="00E91F94" w:rsidRDefault="00E91F94" w:rsidP="00E91F94">
            <w:pPr>
              <w:shd w:val="clear" w:color="auto" w:fill="FFFFFF"/>
              <w:jc w:val="both"/>
              <w:rPr>
                <w:rFonts w:ascii="Times" w:hAnsi="Times"/>
                <w:color w:val="000000"/>
                <w:sz w:val="27"/>
                <w:szCs w:val="27"/>
              </w:rPr>
            </w:pPr>
            <w:r w:rsidRPr="00E91F94">
              <w:rPr>
                <w:color w:val="000000"/>
                <w:sz w:val="22"/>
                <w:szCs w:val="22"/>
                <w:u w:val="single"/>
              </w:rPr>
              <w:t>Session 12</w:t>
            </w:r>
          </w:p>
          <w:p w14:paraId="6CF7D358" w14:textId="77777777" w:rsidR="00E91F94" w:rsidRPr="00E91F94" w:rsidRDefault="00E91F94" w:rsidP="00E91F94">
            <w:pPr>
              <w:shd w:val="clear" w:color="auto" w:fill="FFFFFF"/>
              <w:jc w:val="both"/>
              <w:rPr>
                <w:rFonts w:ascii="Times" w:hAnsi="Times"/>
                <w:color w:val="000000"/>
                <w:sz w:val="27"/>
                <w:szCs w:val="27"/>
              </w:rPr>
            </w:pPr>
            <w:r w:rsidRPr="00E91F94">
              <w:rPr>
                <w:color w:val="000000"/>
                <w:sz w:val="22"/>
                <w:szCs w:val="22"/>
              </w:rPr>
              <w:t>JSA</w:t>
            </w:r>
          </w:p>
          <w:p w14:paraId="7A73B59A" w14:textId="77777777" w:rsidR="00E91F94" w:rsidRPr="00E91F94" w:rsidRDefault="00E91F94" w:rsidP="00E91F94">
            <w:pPr>
              <w:shd w:val="clear" w:color="auto" w:fill="FFFFFF"/>
              <w:jc w:val="both"/>
              <w:rPr>
                <w:rFonts w:ascii="Times" w:hAnsi="Times"/>
                <w:color w:val="000000"/>
                <w:sz w:val="27"/>
                <w:szCs w:val="27"/>
              </w:rPr>
            </w:pPr>
            <w:r w:rsidRPr="00E91F94">
              <w:rPr>
                <w:color w:val="000000"/>
                <w:sz w:val="22"/>
                <w:szCs w:val="22"/>
              </w:rPr>
              <w:t>LS # 279</w:t>
            </w:r>
          </w:p>
          <w:p w14:paraId="440ABEAB" w14:textId="77777777" w:rsidR="00E91F94" w:rsidRPr="00E91F94" w:rsidRDefault="00E91F94" w:rsidP="00E91F94">
            <w:pPr>
              <w:shd w:val="clear" w:color="auto" w:fill="FFFFFF"/>
              <w:jc w:val="both"/>
              <w:rPr>
                <w:rFonts w:ascii="Times" w:hAnsi="Times"/>
                <w:color w:val="000000"/>
                <w:sz w:val="27"/>
                <w:szCs w:val="27"/>
              </w:rPr>
            </w:pPr>
            <w:r w:rsidRPr="00E91F94">
              <w:rPr>
                <w:color w:val="000000"/>
                <w:sz w:val="22"/>
                <w:szCs w:val="22"/>
              </w:rPr>
              <w:t>4/26/2022</w:t>
            </w:r>
          </w:p>
          <w:p w14:paraId="6B418B59" w14:textId="77777777" w:rsidR="00E91F94" w:rsidRPr="00E91F94" w:rsidRDefault="00E91F94" w:rsidP="00E91F94">
            <w:pPr>
              <w:shd w:val="clear" w:color="auto" w:fill="FFFFFF"/>
              <w:jc w:val="both"/>
              <w:rPr>
                <w:rFonts w:ascii="Times" w:hAnsi="Times"/>
                <w:color w:val="000000"/>
                <w:sz w:val="27"/>
                <w:szCs w:val="27"/>
              </w:rPr>
            </w:pPr>
            <w:r w:rsidRPr="00E91F94">
              <w:rPr>
                <w:color w:val="000000"/>
                <w:sz w:val="22"/>
                <w:szCs w:val="22"/>
              </w:rPr>
              <w:t> </w:t>
            </w:r>
          </w:p>
          <w:p w14:paraId="4C8BBE62" w14:textId="77777777" w:rsidR="00E91F94" w:rsidRPr="00E91F94" w:rsidRDefault="00E91F94" w:rsidP="00E91F94">
            <w:pPr>
              <w:shd w:val="clear" w:color="auto" w:fill="FFFFFF"/>
              <w:jc w:val="both"/>
              <w:rPr>
                <w:rFonts w:ascii="Times" w:hAnsi="Times"/>
                <w:color w:val="000000"/>
                <w:sz w:val="27"/>
                <w:szCs w:val="27"/>
              </w:rPr>
            </w:pPr>
            <w:r w:rsidRPr="00E91F94">
              <w:rPr>
                <w:color w:val="000000"/>
                <w:sz w:val="22"/>
                <w:szCs w:val="22"/>
                <w:u w:val="single"/>
              </w:rPr>
              <w:t>Session 11</w:t>
            </w:r>
          </w:p>
          <w:p w14:paraId="2813828E" w14:textId="77777777" w:rsidR="00E91F94" w:rsidRPr="00E91F94" w:rsidRDefault="00E91F94" w:rsidP="00E91F94">
            <w:pPr>
              <w:shd w:val="clear" w:color="auto" w:fill="FFFFFF"/>
              <w:jc w:val="both"/>
              <w:rPr>
                <w:rFonts w:ascii="Times" w:hAnsi="Times"/>
                <w:color w:val="000000"/>
                <w:sz w:val="27"/>
                <w:szCs w:val="27"/>
              </w:rPr>
            </w:pPr>
            <w:r w:rsidRPr="00E91F94">
              <w:rPr>
                <w:color w:val="000000"/>
                <w:sz w:val="22"/>
                <w:szCs w:val="22"/>
              </w:rPr>
              <w:t>SS</w:t>
            </w:r>
          </w:p>
          <w:p w14:paraId="0F8449F8" w14:textId="77777777" w:rsidR="00E91F94" w:rsidRPr="00E91F94" w:rsidRDefault="00E91F94" w:rsidP="00E91F94">
            <w:pPr>
              <w:shd w:val="clear" w:color="auto" w:fill="FFFFFF"/>
              <w:jc w:val="both"/>
              <w:rPr>
                <w:rFonts w:ascii="Times" w:hAnsi="Times"/>
                <w:color w:val="000000"/>
                <w:sz w:val="27"/>
                <w:szCs w:val="27"/>
              </w:rPr>
            </w:pPr>
            <w:r w:rsidRPr="00E91F94">
              <w:rPr>
                <w:color w:val="000000"/>
                <w:sz w:val="22"/>
                <w:szCs w:val="22"/>
              </w:rPr>
              <w:t>LS # 1643 </w:t>
            </w:r>
          </w:p>
          <w:p w14:paraId="0E158C7B" w14:textId="77777777" w:rsidR="00E91F94" w:rsidRDefault="00E91F94" w:rsidP="00E91F94">
            <w:pPr>
              <w:shd w:val="clear" w:color="auto" w:fill="FFFFFF"/>
              <w:jc w:val="both"/>
              <w:rPr>
                <w:color w:val="000000"/>
                <w:sz w:val="22"/>
                <w:szCs w:val="22"/>
              </w:rPr>
            </w:pPr>
            <w:r w:rsidRPr="00E91F94">
              <w:rPr>
                <w:color w:val="000000"/>
                <w:sz w:val="22"/>
                <w:szCs w:val="22"/>
              </w:rPr>
              <w:t>Int. #1182-2018</w:t>
            </w:r>
          </w:p>
          <w:p w14:paraId="0070142A" w14:textId="77777777" w:rsidR="00D45BAC" w:rsidRDefault="00D45BAC" w:rsidP="00E91F94">
            <w:pPr>
              <w:shd w:val="clear" w:color="auto" w:fill="FFFFFF"/>
              <w:jc w:val="both"/>
              <w:rPr>
                <w:color w:val="000000"/>
                <w:sz w:val="22"/>
                <w:szCs w:val="22"/>
              </w:rPr>
            </w:pPr>
          </w:p>
          <w:p w14:paraId="45927774" w14:textId="77777777" w:rsidR="00D45BAC" w:rsidRDefault="00D45BAC" w:rsidP="00E91F94">
            <w:pPr>
              <w:shd w:val="clear" w:color="auto" w:fill="FFFFFF"/>
              <w:jc w:val="both"/>
              <w:rPr>
                <w:color w:val="000000"/>
                <w:sz w:val="22"/>
                <w:szCs w:val="22"/>
              </w:rPr>
            </w:pPr>
          </w:p>
          <w:p w14:paraId="7BF8764B" w14:textId="77777777" w:rsidR="00D45BAC" w:rsidRDefault="00D45BAC" w:rsidP="00E91F94">
            <w:pPr>
              <w:shd w:val="clear" w:color="auto" w:fill="FFFFFF"/>
              <w:jc w:val="both"/>
              <w:rPr>
                <w:color w:val="000000"/>
                <w:sz w:val="22"/>
                <w:szCs w:val="22"/>
              </w:rPr>
            </w:pPr>
          </w:p>
          <w:p w14:paraId="5A32C7B3" w14:textId="77777777" w:rsidR="00D45BAC" w:rsidRDefault="00D45BAC" w:rsidP="00E91F94">
            <w:pPr>
              <w:shd w:val="clear" w:color="auto" w:fill="FFFFFF"/>
              <w:jc w:val="both"/>
              <w:rPr>
                <w:color w:val="000000"/>
                <w:sz w:val="22"/>
                <w:szCs w:val="22"/>
              </w:rPr>
            </w:pPr>
          </w:p>
          <w:p w14:paraId="25D45B35" w14:textId="77777777" w:rsidR="00D45BAC" w:rsidRDefault="00D45BAC" w:rsidP="00E91F94">
            <w:pPr>
              <w:shd w:val="clear" w:color="auto" w:fill="FFFFFF"/>
              <w:jc w:val="both"/>
              <w:rPr>
                <w:color w:val="000000"/>
                <w:sz w:val="22"/>
                <w:szCs w:val="22"/>
              </w:rPr>
            </w:pPr>
          </w:p>
          <w:p w14:paraId="657A159B" w14:textId="77777777" w:rsidR="00D45BAC" w:rsidRDefault="00D45BAC" w:rsidP="00E91F94">
            <w:pPr>
              <w:shd w:val="clear" w:color="auto" w:fill="FFFFFF"/>
              <w:jc w:val="both"/>
              <w:rPr>
                <w:color w:val="000000"/>
                <w:sz w:val="22"/>
                <w:szCs w:val="22"/>
              </w:rPr>
            </w:pPr>
          </w:p>
          <w:p w14:paraId="50E22687" w14:textId="77777777" w:rsidR="00D45BAC" w:rsidRDefault="00D45BAC" w:rsidP="00E91F94">
            <w:pPr>
              <w:shd w:val="clear" w:color="auto" w:fill="FFFFFF"/>
              <w:jc w:val="both"/>
              <w:rPr>
                <w:color w:val="000000"/>
                <w:sz w:val="22"/>
                <w:szCs w:val="22"/>
              </w:rPr>
            </w:pPr>
          </w:p>
          <w:p w14:paraId="33D98678" w14:textId="77777777" w:rsidR="00D45BAC" w:rsidRDefault="00D45BAC" w:rsidP="00E91F94">
            <w:pPr>
              <w:shd w:val="clear" w:color="auto" w:fill="FFFFFF"/>
              <w:jc w:val="both"/>
              <w:rPr>
                <w:color w:val="000000"/>
                <w:sz w:val="22"/>
                <w:szCs w:val="22"/>
              </w:rPr>
            </w:pPr>
          </w:p>
          <w:p w14:paraId="4EB5C15E" w14:textId="77777777" w:rsidR="00D45BAC" w:rsidRDefault="00D45BAC" w:rsidP="00E91F94">
            <w:pPr>
              <w:shd w:val="clear" w:color="auto" w:fill="FFFFFF"/>
              <w:jc w:val="both"/>
              <w:rPr>
                <w:color w:val="000000"/>
                <w:sz w:val="22"/>
                <w:szCs w:val="22"/>
              </w:rPr>
            </w:pPr>
          </w:p>
          <w:p w14:paraId="71F151B0" w14:textId="77777777" w:rsidR="00D45BAC" w:rsidRDefault="00D45BAC" w:rsidP="00E91F94">
            <w:pPr>
              <w:shd w:val="clear" w:color="auto" w:fill="FFFFFF"/>
              <w:jc w:val="both"/>
              <w:rPr>
                <w:color w:val="000000"/>
                <w:sz w:val="22"/>
                <w:szCs w:val="22"/>
              </w:rPr>
            </w:pPr>
          </w:p>
          <w:p w14:paraId="5C19F01A" w14:textId="77777777" w:rsidR="00D45BAC" w:rsidRDefault="00D45BAC" w:rsidP="00E91F94">
            <w:pPr>
              <w:shd w:val="clear" w:color="auto" w:fill="FFFFFF"/>
              <w:jc w:val="both"/>
              <w:rPr>
                <w:color w:val="000000"/>
                <w:sz w:val="22"/>
                <w:szCs w:val="22"/>
              </w:rPr>
            </w:pPr>
          </w:p>
          <w:p w14:paraId="73A72E98" w14:textId="77777777" w:rsidR="00D45BAC" w:rsidRDefault="00D45BAC" w:rsidP="00E91F94">
            <w:pPr>
              <w:shd w:val="clear" w:color="auto" w:fill="FFFFFF"/>
              <w:jc w:val="both"/>
              <w:rPr>
                <w:color w:val="000000"/>
                <w:sz w:val="22"/>
                <w:szCs w:val="22"/>
              </w:rPr>
            </w:pPr>
          </w:p>
          <w:p w14:paraId="510DEA5E" w14:textId="77777777" w:rsidR="00D45BAC" w:rsidRDefault="00D45BAC" w:rsidP="00E91F94">
            <w:pPr>
              <w:shd w:val="clear" w:color="auto" w:fill="FFFFFF"/>
              <w:jc w:val="both"/>
              <w:rPr>
                <w:color w:val="000000"/>
                <w:sz w:val="22"/>
                <w:szCs w:val="22"/>
              </w:rPr>
            </w:pPr>
          </w:p>
          <w:p w14:paraId="72DF4BAF" w14:textId="77777777" w:rsidR="00D45BAC" w:rsidRDefault="00D45BAC" w:rsidP="00E91F94">
            <w:pPr>
              <w:shd w:val="clear" w:color="auto" w:fill="FFFFFF"/>
              <w:jc w:val="both"/>
              <w:rPr>
                <w:color w:val="000000"/>
                <w:sz w:val="22"/>
                <w:szCs w:val="22"/>
              </w:rPr>
            </w:pPr>
          </w:p>
          <w:p w14:paraId="491318C0" w14:textId="77777777" w:rsidR="00D45BAC" w:rsidRDefault="00D45BAC" w:rsidP="00E91F94">
            <w:pPr>
              <w:shd w:val="clear" w:color="auto" w:fill="FFFFFF"/>
              <w:jc w:val="both"/>
              <w:rPr>
                <w:color w:val="000000"/>
                <w:sz w:val="22"/>
                <w:szCs w:val="22"/>
              </w:rPr>
            </w:pPr>
          </w:p>
          <w:p w14:paraId="07AECC3D" w14:textId="77777777" w:rsidR="00D45BAC" w:rsidRDefault="00D45BAC" w:rsidP="00E91F94">
            <w:pPr>
              <w:shd w:val="clear" w:color="auto" w:fill="FFFFFF"/>
              <w:jc w:val="both"/>
              <w:rPr>
                <w:color w:val="000000"/>
                <w:sz w:val="22"/>
                <w:szCs w:val="22"/>
              </w:rPr>
            </w:pPr>
          </w:p>
          <w:p w14:paraId="785A0B93" w14:textId="77777777" w:rsidR="00D45BAC" w:rsidRDefault="00D45BAC" w:rsidP="00E91F94">
            <w:pPr>
              <w:shd w:val="clear" w:color="auto" w:fill="FFFFFF"/>
              <w:jc w:val="both"/>
              <w:rPr>
                <w:color w:val="000000"/>
                <w:sz w:val="22"/>
                <w:szCs w:val="22"/>
              </w:rPr>
            </w:pPr>
          </w:p>
          <w:p w14:paraId="56158CF0" w14:textId="77777777" w:rsidR="00D45BAC" w:rsidRDefault="00D45BAC" w:rsidP="00E91F94">
            <w:pPr>
              <w:shd w:val="clear" w:color="auto" w:fill="FFFFFF"/>
              <w:jc w:val="both"/>
              <w:rPr>
                <w:color w:val="000000"/>
                <w:sz w:val="22"/>
                <w:szCs w:val="22"/>
              </w:rPr>
            </w:pPr>
          </w:p>
          <w:p w14:paraId="2D3F20EA" w14:textId="77777777" w:rsidR="00D45BAC" w:rsidRDefault="00D45BAC" w:rsidP="00E91F94">
            <w:pPr>
              <w:shd w:val="clear" w:color="auto" w:fill="FFFFFF"/>
              <w:jc w:val="both"/>
              <w:rPr>
                <w:color w:val="000000"/>
                <w:sz w:val="22"/>
                <w:szCs w:val="22"/>
              </w:rPr>
            </w:pPr>
          </w:p>
          <w:p w14:paraId="19C39588" w14:textId="77777777" w:rsidR="00D45BAC" w:rsidRDefault="00D45BAC" w:rsidP="00E91F94">
            <w:pPr>
              <w:shd w:val="clear" w:color="auto" w:fill="FFFFFF"/>
              <w:jc w:val="both"/>
              <w:rPr>
                <w:color w:val="000000"/>
                <w:sz w:val="22"/>
                <w:szCs w:val="22"/>
              </w:rPr>
            </w:pPr>
          </w:p>
          <w:p w14:paraId="2CB5AE81" w14:textId="77777777" w:rsidR="00D45BAC" w:rsidRDefault="00D45BAC" w:rsidP="00E91F94">
            <w:pPr>
              <w:shd w:val="clear" w:color="auto" w:fill="FFFFFF"/>
              <w:jc w:val="both"/>
              <w:rPr>
                <w:color w:val="000000"/>
                <w:sz w:val="22"/>
                <w:szCs w:val="22"/>
              </w:rPr>
            </w:pPr>
          </w:p>
          <w:p w14:paraId="480ABE9E" w14:textId="77777777" w:rsidR="00D45BAC" w:rsidRDefault="00D45BAC" w:rsidP="00E91F94">
            <w:pPr>
              <w:shd w:val="clear" w:color="auto" w:fill="FFFFFF"/>
              <w:jc w:val="both"/>
              <w:rPr>
                <w:color w:val="000000"/>
                <w:sz w:val="22"/>
                <w:szCs w:val="22"/>
              </w:rPr>
            </w:pPr>
          </w:p>
          <w:p w14:paraId="253F61A5" w14:textId="77777777" w:rsidR="00D45BAC" w:rsidRDefault="00D45BAC" w:rsidP="00E91F94">
            <w:pPr>
              <w:shd w:val="clear" w:color="auto" w:fill="FFFFFF"/>
              <w:jc w:val="both"/>
              <w:rPr>
                <w:color w:val="000000"/>
                <w:sz w:val="22"/>
                <w:szCs w:val="22"/>
              </w:rPr>
            </w:pPr>
          </w:p>
          <w:p w14:paraId="6E719A79" w14:textId="77777777" w:rsidR="00D45BAC" w:rsidRDefault="00D45BAC" w:rsidP="00E91F94">
            <w:pPr>
              <w:shd w:val="clear" w:color="auto" w:fill="FFFFFF"/>
              <w:jc w:val="both"/>
              <w:rPr>
                <w:color w:val="000000"/>
                <w:sz w:val="22"/>
                <w:szCs w:val="22"/>
              </w:rPr>
            </w:pPr>
          </w:p>
          <w:p w14:paraId="0C1F2B03" w14:textId="77777777" w:rsidR="00D45BAC" w:rsidRDefault="00D45BAC" w:rsidP="00E91F94">
            <w:pPr>
              <w:shd w:val="clear" w:color="auto" w:fill="FFFFFF"/>
              <w:jc w:val="both"/>
              <w:rPr>
                <w:color w:val="000000"/>
                <w:sz w:val="22"/>
                <w:szCs w:val="22"/>
              </w:rPr>
            </w:pPr>
          </w:p>
          <w:p w14:paraId="00C1E676" w14:textId="77777777" w:rsidR="00D45BAC" w:rsidRDefault="00D45BAC" w:rsidP="00E91F94">
            <w:pPr>
              <w:shd w:val="clear" w:color="auto" w:fill="FFFFFF"/>
              <w:jc w:val="both"/>
              <w:rPr>
                <w:color w:val="000000"/>
                <w:sz w:val="22"/>
                <w:szCs w:val="22"/>
              </w:rPr>
            </w:pPr>
          </w:p>
          <w:p w14:paraId="5095D353" w14:textId="77777777" w:rsidR="00D45BAC" w:rsidRDefault="00D45BAC" w:rsidP="00E91F94">
            <w:pPr>
              <w:shd w:val="clear" w:color="auto" w:fill="FFFFFF"/>
              <w:jc w:val="both"/>
              <w:rPr>
                <w:color w:val="000000"/>
                <w:sz w:val="22"/>
                <w:szCs w:val="22"/>
              </w:rPr>
            </w:pPr>
          </w:p>
          <w:p w14:paraId="01D1D6CC" w14:textId="77777777" w:rsidR="00D45BAC" w:rsidRDefault="00D45BAC" w:rsidP="00E91F94">
            <w:pPr>
              <w:shd w:val="clear" w:color="auto" w:fill="FFFFFF"/>
              <w:jc w:val="both"/>
              <w:rPr>
                <w:color w:val="000000"/>
                <w:sz w:val="22"/>
                <w:szCs w:val="22"/>
              </w:rPr>
            </w:pPr>
          </w:p>
          <w:p w14:paraId="6A4292DE" w14:textId="77777777" w:rsidR="00D45BAC" w:rsidRDefault="00D45BAC" w:rsidP="00E91F94">
            <w:pPr>
              <w:shd w:val="clear" w:color="auto" w:fill="FFFFFF"/>
              <w:jc w:val="both"/>
              <w:rPr>
                <w:color w:val="000000"/>
                <w:sz w:val="22"/>
                <w:szCs w:val="22"/>
              </w:rPr>
            </w:pPr>
          </w:p>
          <w:p w14:paraId="5B706F60" w14:textId="77777777" w:rsidR="00D45BAC" w:rsidRDefault="00D45BAC" w:rsidP="00E91F94">
            <w:pPr>
              <w:shd w:val="clear" w:color="auto" w:fill="FFFFFF"/>
              <w:jc w:val="both"/>
              <w:rPr>
                <w:color w:val="000000"/>
                <w:sz w:val="22"/>
                <w:szCs w:val="22"/>
              </w:rPr>
            </w:pPr>
          </w:p>
          <w:p w14:paraId="0A485921" w14:textId="14900149" w:rsidR="004B34BE" w:rsidRDefault="004B34BE" w:rsidP="00E91F94">
            <w:pPr>
              <w:shd w:val="clear" w:color="auto" w:fill="FFFFFF"/>
              <w:jc w:val="both"/>
              <w:rPr>
                <w:color w:val="000000"/>
                <w:sz w:val="22"/>
                <w:szCs w:val="22"/>
              </w:rPr>
            </w:pPr>
          </w:p>
          <w:p w14:paraId="738E0D21" w14:textId="7D466A6C" w:rsidR="004B34BE" w:rsidRDefault="004B34BE" w:rsidP="00E91F94">
            <w:pPr>
              <w:shd w:val="clear" w:color="auto" w:fill="FFFFFF"/>
              <w:jc w:val="both"/>
              <w:rPr>
                <w:color w:val="000000"/>
                <w:sz w:val="22"/>
                <w:szCs w:val="22"/>
              </w:rPr>
            </w:pPr>
          </w:p>
          <w:p w14:paraId="116DBB41" w14:textId="7CD05501" w:rsidR="00EC3877" w:rsidRDefault="00EC3877" w:rsidP="00E91F94">
            <w:pPr>
              <w:shd w:val="clear" w:color="auto" w:fill="FFFFFF"/>
              <w:jc w:val="both"/>
              <w:rPr>
                <w:color w:val="000000"/>
                <w:sz w:val="22"/>
                <w:szCs w:val="22"/>
              </w:rPr>
            </w:pPr>
          </w:p>
          <w:p w14:paraId="5F5A0FE2" w14:textId="28496472" w:rsidR="00EC3877" w:rsidRDefault="00EC3877" w:rsidP="00E91F94">
            <w:pPr>
              <w:shd w:val="clear" w:color="auto" w:fill="FFFFFF"/>
              <w:jc w:val="both"/>
              <w:rPr>
                <w:color w:val="000000"/>
                <w:sz w:val="22"/>
                <w:szCs w:val="22"/>
              </w:rPr>
            </w:pPr>
          </w:p>
          <w:p w14:paraId="303A560F" w14:textId="54824ABE" w:rsidR="00EC3877" w:rsidRDefault="00EC3877" w:rsidP="00E91F94">
            <w:pPr>
              <w:shd w:val="clear" w:color="auto" w:fill="FFFFFF"/>
              <w:jc w:val="both"/>
              <w:rPr>
                <w:color w:val="000000"/>
                <w:sz w:val="22"/>
                <w:szCs w:val="22"/>
              </w:rPr>
            </w:pPr>
          </w:p>
          <w:p w14:paraId="68DF9A60" w14:textId="46C098E7" w:rsidR="004B34BE" w:rsidRDefault="004B34BE" w:rsidP="00E91F94">
            <w:pPr>
              <w:shd w:val="clear" w:color="auto" w:fill="FFFFFF"/>
              <w:jc w:val="both"/>
              <w:rPr>
                <w:color w:val="000000"/>
                <w:sz w:val="22"/>
                <w:szCs w:val="22"/>
              </w:rPr>
            </w:pPr>
          </w:p>
          <w:p w14:paraId="61167467" w14:textId="27038812" w:rsidR="00D45BAC" w:rsidRPr="00E91F94" w:rsidRDefault="00D45BAC" w:rsidP="00E91F94">
            <w:pPr>
              <w:shd w:val="clear" w:color="auto" w:fill="FFFFFF"/>
              <w:jc w:val="both"/>
              <w:rPr>
                <w:rFonts w:ascii="Times" w:hAnsi="Times"/>
                <w:color w:val="000000"/>
                <w:sz w:val="27"/>
                <w:szCs w:val="27"/>
              </w:rPr>
            </w:pPr>
          </w:p>
        </w:tc>
      </w:tr>
      <w:tr w:rsidR="00D45BAC" w:rsidRPr="00D45BAC" w14:paraId="6BE2DA8D" w14:textId="77777777" w:rsidTr="00D45BAC">
        <w:trPr>
          <w:tblCellSpacing w:w="0" w:type="dxa"/>
        </w:trPr>
        <w:tc>
          <w:tcPr>
            <w:tcW w:w="0" w:type="auto"/>
            <w:shd w:val="clear" w:color="auto" w:fill="FFFFFF"/>
            <w:vAlign w:val="center"/>
            <w:hideMark/>
          </w:tcPr>
          <w:p w14:paraId="5A2C6924" w14:textId="77777777" w:rsidR="00D45BAC" w:rsidRPr="00D45BAC" w:rsidRDefault="00D45BAC" w:rsidP="00D45BAC">
            <w:pPr>
              <w:shd w:val="clear" w:color="auto" w:fill="FFFFFF"/>
              <w:jc w:val="center"/>
              <w:rPr>
                <w:rFonts w:ascii="Times" w:hAnsi="Times"/>
                <w:color w:val="000000"/>
                <w:sz w:val="27"/>
                <w:szCs w:val="27"/>
              </w:rPr>
            </w:pPr>
            <w:r w:rsidRPr="00D45BAC">
              <w:rPr>
                <w:color w:val="000000"/>
              </w:rPr>
              <w:t>Int. No. 330</w:t>
            </w:r>
          </w:p>
          <w:p w14:paraId="74CA7A18" w14:textId="77777777" w:rsidR="00D45BAC" w:rsidRPr="00D45BAC" w:rsidRDefault="00D45BAC" w:rsidP="00D45BAC">
            <w:pPr>
              <w:shd w:val="clear" w:color="auto" w:fill="FFFFFF"/>
              <w:jc w:val="both"/>
              <w:rPr>
                <w:rFonts w:ascii="Times" w:hAnsi="Times"/>
                <w:color w:val="000000"/>
                <w:sz w:val="27"/>
                <w:szCs w:val="27"/>
              </w:rPr>
            </w:pPr>
            <w:r w:rsidRPr="00D45BAC">
              <w:rPr>
                <w:color w:val="000000"/>
              </w:rPr>
              <w:t> </w:t>
            </w:r>
          </w:p>
          <w:p w14:paraId="16BAD9C4" w14:textId="77777777" w:rsidR="00D45BAC" w:rsidRPr="00D45BAC" w:rsidRDefault="00D45BAC" w:rsidP="00D45BAC">
            <w:pPr>
              <w:shd w:val="clear" w:color="auto" w:fill="FFFFFF"/>
              <w:jc w:val="both"/>
              <w:rPr>
                <w:rFonts w:ascii="Times" w:hAnsi="Times"/>
                <w:color w:val="000000"/>
                <w:sz w:val="27"/>
                <w:szCs w:val="27"/>
              </w:rPr>
            </w:pPr>
            <w:r w:rsidRPr="00D45BAC">
              <w:rPr>
                <w:color w:val="000000"/>
              </w:rPr>
              <w:t>By Council Members Gennaro, Restler, Abreu, Won, Sanchez, Schulman, Nurse and Cabán (by request of the Queens Borough President)</w:t>
            </w:r>
          </w:p>
          <w:p w14:paraId="1940EF2D" w14:textId="77777777" w:rsidR="00D45BAC" w:rsidRPr="00D45BAC" w:rsidRDefault="00D45BAC" w:rsidP="00D45BAC">
            <w:pPr>
              <w:shd w:val="clear" w:color="auto" w:fill="FFFFFF"/>
              <w:jc w:val="both"/>
              <w:rPr>
                <w:rFonts w:ascii="Times" w:hAnsi="Times"/>
                <w:color w:val="000000"/>
                <w:sz w:val="27"/>
                <w:szCs w:val="27"/>
              </w:rPr>
            </w:pPr>
            <w:r w:rsidRPr="00D45BAC">
              <w:rPr>
                <w:color w:val="000000"/>
              </w:rPr>
              <w:t> </w:t>
            </w:r>
          </w:p>
          <w:p w14:paraId="6B2442F3" w14:textId="77777777" w:rsidR="00D45BAC" w:rsidRPr="00D45BAC" w:rsidRDefault="00D45BAC" w:rsidP="00D45BAC">
            <w:pPr>
              <w:shd w:val="clear" w:color="auto" w:fill="FFFFFF"/>
              <w:jc w:val="both"/>
              <w:rPr>
                <w:rFonts w:ascii="Times" w:hAnsi="Times"/>
                <w:color w:val="000000"/>
                <w:sz w:val="27"/>
                <w:szCs w:val="27"/>
              </w:rPr>
            </w:pPr>
            <w:r w:rsidRPr="00D45BAC">
              <w:rPr>
                <w:color w:val="000000"/>
              </w:rPr>
              <w:t>A Local Law to amend the administrative code of the city of New York, in relation to requiring the creation of a database of subsurface conditions to support better engineering of geothermal heat pumps.</w:t>
            </w:r>
          </w:p>
          <w:p w14:paraId="6929478E" w14:textId="77777777" w:rsidR="00D45BAC" w:rsidRPr="00D45BAC" w:rsidRDefault="00D45BAC" w:rsidP="00D45BAC">
            <w:pPr>
              <w:shd w:val="clear" w:color="auto" w:fill="FFFFFF"/>
              <w:jc w:val="both"/>
              <w:rPr>
                <w:rFonts w:ascii="Times" w:hAnsi="Times"/>
                <w:color w:val="000000"/>
                <w:sz w:val="27"/>
                <w:szCs w:val="27"/>
              </w:rPr>
            </w:pPr>
            <w:r w:rsidRPr="00D45BAC">
              <w:rPr>
                <w:color w:val="000000"/>
              </w:rPr>
              <w:t> </w:t>
            </w:r>
          </w:p>
          <w:p w14:paraId="6FAB0659" w14:textId="77777777" w:rsidR="00D45BAC" w:rsidRPr="00D45BAC" w:rsidRDefault="00D45BAC" w:rsidP="00D45BAC">
            <w:pPr>
              <w:shd w:val="clear" w:color="auto" w:fill="FFFFFF"/>
              <w:jc w:val="both"/>
              <w:rPr>
                <w:rFonts w:ascii="Times" w:hAnsi="Times"/>
                <w:color w:val="000000"/>
                <w:sz w:val="27"/>
                <w:szCs w:val="27"/>
              </w:rPr>
            </w:pPr>
            <w:r w:rsidRPr="00D45BAC">
              <w:rPr>
                <w:color w:val="000000"/>
                <w:u w:val="single"/>
              </w:rPr>
              <w:t>Be it enacted by the Council as follows:</w:t>
            </w:r>
          </w:p>
          <w:p w14:paraId="0F1F7687" w14:textId="77777777" w:rsidR="00D45BAC" w:rsidRPr="00D45BAC" w:rsidRDefault="00D45BAC" w:rsidP="00D45BAC">
            <w:pPr>
              <w:shd w:val="clear" w:color="auto" w:fill="FFFFFF"/>
              <w:jc w:val="both"/>
              <w:rPr>
                <w:rFonts w:ascii="Times" w:hAnsi="Times"/>
                <w:color w:val="000000"/>
                <w:sz w:val="27"/>
                <w:szCs w:val="27"/>
              </w:rPr>
            </w:pPr>
            <w:r w:rsidRPr="00D45BAC">
              <w:rPr>
                <w:color w:val="000000"/>
              </w:rPr>
              <w:t> </w:t>
            </w:r>
          </w:p>
          <w:p w14:paraId="4512C5A0" w14:textId="3EC74E56" w:rsidR="00D45BAC" w:rsidRPr="00D45BAC" w:rsidRDefault="003C06F0" w:rsidP="00D45BAC">
            <w:pPr>
              <w:shd w:val="clear" w:color="auto" w:fill="FFFFFF"/>
              <w:spacing w:line="480" w:lineRule="auto"/>
              <w:jc w:val="both"/>
              <w:rPr>
                <w:rFonts w:ascii="Times" w:hAnsi="Times"/>
                <w:color w:val="000000"/>
                <w:sz w:val="27"/>
                <w:szCs w:val="27"/>
              </w:rPr>
            </w:pPr>
            <w:r>
              <w:rPr>
                <w:color w:val="000000"/>
              </w:rPr>
              <w:t xml:space="preserve">          </w:t>
            </w:r>
            <w:r w:rsidR="00D45BAC" w:rsidRPr="00D45BAC">
              <w:rPr>
                <w:color w:val="000000"/>
              </w:rPr>
              <w:t>Section 1. Section 24-804 of chapter 8 of title 24 of the administrative code of the city of New York is amended by adding a new subdivision to c to read as follows:</w:t>
            </w:r>
          </w:p>
          <w:p w14:paraId="7C3467E2" w14:textId="77777777" w:rsidR="00D45BAC" w:rsidRPr="00D45BAC" w:rsidRDefault="00D45BAC" w:rsidP="00D45BAC">
            <w:pPr>
              <w:shd w:val="clear" w:color="auto" w:fill="FFFFFF"/>
              <w:spacing w:line="480" w:lineRule="auto"/>
              <w:jc w:val="both"/>
              <w:rPr>
                <w:rFonts w:ascii="Times" w:hAnsi="Times"/>
                <w:color w:val="000000"/>
                <w:sz w:val="27"/>
                <w:szCs w:val="27"/>
              </w:rPr>
            </w:pPr>
            <w:r w:rsidRPr="00D45BAC">
              <w:rPr>
                <w:color w:val="000000"/>
                <w:sz w:val="14"/>
                <w:szCs w:val="14"/>
              </w:rPr>
              <w:t>                     </w:t>
            </w:r>
            <w:r w:rsidRPr="00D45BAC">
              <w:rPr>
                <w:color w:val="000000"/>
                <w:u w:val="single"/>
              </w:rPr>
              <w:t>c. Database of subsurface conditions. 1. The department, in conjunction with the department of design and construction and the department of city planning, shall develop and maintain a database of subsurface conditions by December 31, 2023 to offer resources to support the engineering and design of geothermal heat pump systems. </w:t>
            </w:r>
          </w:p>
          <w:p w14:paraId="0182445D" w14:textId="6C871087" w:rsidR="00D45BAC" w:rsidRPr="00D45BAC" w:rsidRDefault="004A5987" w:rsidP="00D45BAC">
            <w:pPr>
              <w:shd w:val="clear" w:color="auto" w:fill="FFFFFF"/>
              <w:spacing w:line="480" w:lineRule="auto"/>
              <w:jc w:val="both"/>
              <w:rPr>
                <w:rFonts w:ascii="Times" w:hAnsi="Times"/>
                <w:color w:val="000000"/>
                <w:sz w:val="27"/>
                <w:szCs w:val="27"/>
              </w:rPr>
            </w:pPr>
            <w:r w:rsidRPr="001A50DF">
              <w:rPr>
                <w:color w:val="000000"/>
              </w:rPr>
              <w:t xml:space="preserve">          </w:t>
            </w:r>
            <w:r w:rsidR="00D45BAC" w:rsidRPr="00D45BAC">
              <w:rPr>
                <w:color w:val="000000"/>
                <w:u w:val="single"/>
              </w:rPr>
              <w:t>2. Such database shall be updated annually and shall include:</w:t>
            </w:r>
          </w:p>
          <w:p w14:paraId="7D854F9D" w14:textId="5A181190" w:rsidR="00D45BAC" w:rsidRPr="00D45BAC" w:rsidRDefault="004A5987" w:rsidP="00D45BAC">
            <w:pPr>
              <w:shd w:val="clear" w:color="auto" w:fill="FFFFFF"/>
              <w:spacing w:line="480" w:lineRule="auto"/>
              <w:jc w:val="both"/>
              <w:rPr>
                <w:rFonts w:ascii="Times" w:hAnsi="Times"/>
                <w:color w:val="000000"/>
                <w:sz w:val="27"/>
                <w:szCs w:val="27"/>
              </w:rPr>
            </w:pPr>
            <w:r w:rsidRPr="001A50DF">
              <w:rPr>
                <w:color w:val="000000"/>
              </w:rPr>
              <w:t xml:space="preserve">          </w:t>
            </w:r>
            <w:r w:rsidR="00D45BAC" w:rsidRPr="00D45BAC">
              <w:rPr>
                <w:color w:val="000000"/>
                <w:u w:val="single"/>
              </w:rPr>
              <w:t>(a) A repository for geological logs of the city’s geothermal bores;</w:t>
            </w:r>
          </w:p>
          <w:p w14:paraId="7E4C4433" w14:textId="09B6DFEC" w:rsidR="00D45BAC" w:rsidRPr="00D45BAC" w:rsidRDefault="004A5987" w:rsidP="00D45BAC">
            <w:pPr>
              <w:shd w:val="clear" w:color="auto" w:fill="FFFFFF"/>
              <w:spacing w:line="480" w:lineRule="auto"/>
              <w:jc w:val="both"/>
              <w:rPr>
                <w:rFonts w:ascii="Times" w:hAnsi="Times"/>
                <w:color w:val="000000"/>
                <w:sz w:val="27"/>
                <w:szCs w:val="27"/>
              </w:rPr>
            </w:pPr>
            <w:r w:rsidRPr="001A50DF">
              <w:rPr>
                <w:color w:val="000000"/>
              </w:rPr>
              <w:t xml:space="preserve">          </w:t>
            </w:r>
            <w:r w:rsidR="00D45BAC" w:rsidRPr="00D45BAC">
              <w:rPr>
                <w:color w:val="000000"/>
                <w:u w:val="single"/>
              </w:rPr>
              <w:t>(b) The locations of existing geothermal energy systems; and</w:t>
            </w:r>
          </w:p>
          <w:p w14:paraId="4EE1622C" w14:textId="06CF3CE7" w:rsidR="00D45BAC" w:rsidRPr="00D45BAC" w:rsidRDefault="004A5987" w:rsidP="00D45BAC">
            <w:pPr>
              <w:shd w:val="clear" w:color="auto" w:fill="FFFFFF"/>
              <w:spacing w:line="480" w:lineRule="auto"/>
              <w:jc w:val="both"/>
              <w:rPr>
                <w:rFonts w:ascii="Times" w:hAnsi="Times"/>
                <w:color w:val="000000"/>
                <w:sz w:val="27"/>
                <w:szCs w:val="27"/>
              </w:rPr>
            </w:pPr>
            <w:r w:rsidRPr="001A50DF">
              <w:rPr>
                <w:color w:val="000000"/>
              </w:rPr>
              <w:t xml:space="preserve">          </w:t>
            </w:r>
            <w:r w:rsidR="00D45BAC" w:rsidRPr="00D45BAC">
              <w:rPr>
                <w:color w:val="000000"/>
                <w:u w:val="single"/>
              </w:rPr>
              <w:t>(c)  The locations of all water wells, including any unused privately owned water wells.</w:t>
            </w:r>
          </w:p>
          <w:p w14:paraId="377FFF63" w14:textId="53003427" w:rsidR="00D45BAC" w:rsidRPr="00D45BAC" w:rsidRDefault="004A5987" w:rsidP="00D45BAC">
            <w:pPr>
              <w:shd w:val="clear" w:color="auto" w:fill="FFFFFF"/>
              <w:spacing w:line="480" w:lineRule="auto"/>
              <w:jc w:val="both"/>
              <w:rPr>
                <w:rFonts w:ascii="Times" w:hAnsi="Times"/>
                <w:color w:val="000000"/>
                <w:sz w:val="27"/>
                <w:szCs w:val="27"/>
              </w:rPr>
            </w:pPr>
            <w:r>
              <w:rPr>
                <w:color w:val="000000"/>
              </w:rPr>
              <w:t xml:space="preserve">          </w:t>
            </w:r>
            <w:r w:rsidR="00D45BAC" w:rsidRPr="00D45BAC">
              <w:rPr>
                <w:color w:val="000000"/>
              </w:rPr>
              <w:t>§ 2. This local law takes effect immediately.</w:t>
            </w:r>
          </w:p>
          <w:p w14:paraId="447544CB" w14:textId="77777777" w:rsidR="00D45BAC" w:rsidRPr="00D45BAC" w:rsidRDefault="00D45BAC" w:rsidP="00D45BAC">
            <w:pPr>
              <w:shd w:val="clear" w:color="auto" w:fill="FFFFFF"/>
              <w:jc w:val="both"/>
              <w:rPr>
                <w:rFonts w:ascii="Times" w:hAnsi="Times"/>
                <w:color w:val="000000"/>
                <w:sz w:val="27"/>
                <w:szCs w:val="27"/>
              </w:rPr>
            </w:pPr>
            <w:r w:rsidRPr="00D45BAC">
              <w:rPr>
                <w:rFonts w:ascii="Arial" w:hAnsi="Arial" w:cs="Arial"/>
                <w:color w:val="000000"/>
              </w:rPr>
              <w:t> </w:t>
            </w:r>
          </w:p>
          <w:p w14:paraId="74574D0F" w14:textId="5582F5C4" w:rsidR="00D45BAC" w:rsidRPr="00D45BAC" w:rsidRDefault="00D45BAC" w:rsidP="00D45BAC">
            <w:pPr>
              <w:shd w:val="clear" w:color="auto" w:fill="FFFFFF"/>
              <w:rPr>
                <w:rFonts w:ascii="Times" w:hAnsi="Times"/>
                <w:color w:val="000000"/>
                <w:sz w:val="27"/>
                <w:szCs w:val="27"/>
              </w:rPr>
            </w:pPr>
            <w:r w:rsidRPr="00D45BAC">
              <w:rPr>
                <w:color w:val="000000"/>
                <w:sz w:val="20"/>
                <w:szCs w:val="20"/>
              </w:rPr>
              <w:t> </w:t>
            </w:r>
          </w:p>
          <w:p w14:paraId="543433B5" w14:textId="77777777" w:rsidR="00D45BAC" w:rsidRPr="00D45BAC" w:rsidRDefault="00D45BAC" w:rsidP="00D45BAC">
            <w:pPr>
              <w:shd w:val="clear" w:color="auto" w:fill="FFFFFF"/>
              <w:rPr>
                <w:rFonts w:ascii="Times" w:hAnsi="Times"/>
                <w:color w:val="000000"/>
                <w:sz w:val="27"/>
                <w:szCs w:val="27"/>
              </w:rPr>
            </w:pPr>
            <w:r w:rsidRPr="00D45BAC">
              <w:rPr>
                <w:color w:val="000000"/>
                <w:sz w:val="20"/>
                <w:szCs w:val="20"/>
              </w:rPr>
              <w:t> </w:t>
            </w:r>
          </w:p>
          <w:p w14:paraId="71B078F3" w14:textId="77777777" w:rsidR="00D45BAC" w:rsidRPr="00D45BAC" w:rsidRDefault="00D45BAC" w:rsidP="00D45BAC">
            <w:pPr>
              <w:shd w:val="clear" w:color="auto" w:fill="FFFFFF"/>
              <w:rPr>
                <w:rFonts w:ascii="Times" w:hAnsi="Times"/>
                <w:color w:val="000000"/>
                <w:sz w:val="27"/>
                <w:szCs w:val="27"/>
              </w:rPr>
            </w:pPr>
            <w:r w:rsidRPr="00D45BAC">
              <w:rPr>
                <w:color w:val="000000"/>
                <w:sz w:val="20"/>
                <w:szCs w:val="20"/>
                <w:u w:val="single"/>
              </w:rPr>
              <w:t>Session 12</w:t>
            </w:r>
          </w:p>
          <w:p w14:paraId="1A1CE616" w14:textId="77777777" w:rsidR="00D45BAC" w:rsidRPr="00D45BAC" w:rsidRDefault="00D45BAC" w:rsidP="00D45BAC">
            <w:pPr>
              <w:shd w:val="clear" w:color="auto" w:fill="FFFFFF"/>
              <w:rPr>
                <w:rFonts w:ascii="Times" w:hAnsi="Times"/>
                <w:color w:val="000000"/>
                <w:sz w:val="27"/>
                <w:szCs w:val="27"/>
              </w:rPr>
            </w:pPr>
            <w:r w:rsidRPr="00D45BAC">
              <w:rPr>
                <w:color w:val="000000"/>
                <w:sz w:val="20"/>
                <w:szCs w:val="20"/>
              </w:rPr>
              <w:t>ARP</w:t>
            </w:r>
          </w:p>
          <w:p w14:paraId="61B38B5E" w14:textId="77777777" w:rsidR="00D45BAC" w:rsidRPr="00D45BAC" w:rsidRDefault="00D45BAC" w:rsidP="00D45BAC">
            <w:pPr>
              <w:shd w:val="clear" w:color="auto" w:fill="FFFFFF"/>
              <w:rPr>
                <w:rFonts w:ascii="Times" w:hAnsi="Times"/>
                <w:color w:val="000000"/>
                <w:sz w:val="27"/>
                <w:szCs w:val="27"/>
              </w:rPr>
            </w:pPr>
            <w:r w:rsidRPr="00D45BAC">
              <w:rPr>
                <w:color w:val="000000"/>
                <w:sz w:val="20"/>
                <w:szCs w:val="20"/>
              </w:rPr>
              <w:t>LS # 347</w:t>
            </w:r>
          </w:p>
          <w:p w14:paraId="3FF689E3" w14:textId="77777777" w:rsidR="00D45BAC" w:rsidRPr="00D45BAC" w:rsidRDefault="00D45BAC" w:rsidP="00D45BAC">
            <w:pPr>
              <w:shd w:val="clear" w:color="auto" w:fill="FFFFFF"/>
              <w:rPr>
                <w:rFonts w:ascii="Times" w:hAnsi="Times"/>
                <w:color w:val="000000"/>
                <w:sz w:val="27"/>
                <w:szCs w:val="27"/>
              </w:rPr>
            </w:pPr>
            <w:r w:rsidRPr="00D45BAC">
              <w:rPr>
                <w:color w:val="000000"/>
                <w:sz w:val="20"/>
                <w:szCs w:val="20"/>
              </w:rPr>
              <w:t>4/28/2022</w:t>
            </w:r>
          </w:p>
          <w:p w14:paraId="7014A327" w14:textId="77777777" w:rsidR="00D45BAC" w:rsidRPr="00D45BAC" w:rsidRDefault="00D45BAC" w:rsidP="00D45BAC">
            <w:pPr>
              <w:shd w:val="clear" w:color="auto" w:fill="FFFFFF"/>
              <w:rPr>
                <w:rFonts w:ascii="Times" w:hAnsi="Times"/>
                <w:color w:val="000000"/>
                <w:sz w:val="27"/>
                <w:szCs w:val="27"/>
              </w:rPr>
            </w:pPr>
            <w:r w:rsidRPr="00D45BAC">
              <w:rPr>
                <w:color w:val="000000"/>
                <w:sz w:val="20"/>
                <w:szCs w:val="20"/>
              </w:rPr>
              <w:t> </w:t>
            </w:r>
          </w:p>
          <w:p w14:paraId="62C3F944" w14:textId="77777777" w:rsidR="00D45BAC" w:rsidRPr="00D45BAC" w:rsidRDefault="00D45BAC" w:rsidP="00D45BAC">
            <w:pPr>
              <w:shd w:val="clear" w:color="auto" w:fill="FFFFFF"/>
              <w:rPr>
                <w:rFonts w:ascii="Times" w:hAnsi="Times"/>
                <w:color w:val="000000"/>
                <w:sz w:val="27"/>
                <w:szCs w:val="27"/>
              </w:rPr>
            </w:pPr>
            <w:r w:rsidRPr="00D45BAC">
              <w:rPr>
                <w:color w:val="000000"/>
                <w:sz w:val="20"/>
                <w:szCs w:val="20"/>
                <w:u w:val="single"/>
              </w:rPr>
              <w:t>Session 11</w:t>
            </w:r>
          </w:p>
          <w:p w14:paraId="133E8756" w14:textId="77777777" w:rsidR="00D45BAC" w:rsidRPr="00D45BAC" w:rsidRDefault="00D45BAC" w:rsidP="00D45BAC">
            <w:pPr>
              <w:shd w:val="clear" w:color="auto" w:fill="FFFFFF"/>
              <w:rPr>
                <w:rFonts w:ascii="Times" w:hAnsi="Times"/>
                <w:color w:val="000000"/>
                <w:sz w:val="27"/>
                <w:szCs w:val="27"/>
              </w:rPr>
            </w:pPr>
            <w:r w:rsidRPr="00D45BAC">
              <w:rPr>
                <w:color w:val="000000"/>
                <w:sz w:val="20"/>
                <w:szCs w:val="20"/>
              </w:rPr>
              <w:t>SS</w:t>
            </w:r>
          </w:p>
          <w:p w14:paraId="60DABBB7" w14:textId="77777777" w:rsidR="00D45BAC" w:rsidRPr="00D45BAC" w:rsidRDefault="00D45BAC" w:rsidP="00D45BAC">
            <w:pPr>
              <w:shd w:val="clear" w:color="auto" w:fill="FFFFFF"/>
              <w:rPr>
                <w:rFonts w:ascii="Times" w:hAnsi="Times"/>
                <w:color w:val="000000"/>
                <w:sz w:val="27"/>
                <w:szCs w:val="27"/>
              </w:rPr>
            </w:pPr>
            <w:r w:rsidRPr="00D45BAC">
              <w:rPr>
                <w:color w:val="000000"/>
                <w:sz w:val="20"/>
                <w:szCs w:val="20"/>
              </w:rPr>
              <w:t>LS # 2196</w:t>
            </w:r>
          </w:p>
          <w:p w14:paraId="426054A4" w14:textId="77777777" w:rsidR="00D45BAC" w:rsidRPr="00D45BAC" w:rsidRDefault="00D45BAC" w:rsidP="00D45BAC">
            <w:pPr>
              <w:shd w:val="clear" w:color="auto" w:fill="FFFFFF"/>
              <w:rPr>
                <w:rFonts w:ascii="Times" w:hAnsi="Times"/>
                <w:color w:val="000000"/>
                <w:sz w:val="27"/>
                <w:szCs w:val="27"/>
              </w:rPr>
            </w:pPr>
            <w:r w:rsidRPr="00D45BAC">
              <w:rPr>
                <w:color w:val="000000"/>
                <w:sz w:val="20"/>
                <w:szCs w:val="20"/>
              </w:rPr>
              <w:t>Int. No. 1375-2019</w:t>
            </w:r>
          </w:p>
          <w:p w14:paraId="54E9023B" w14:textId="6532396D" w:rsidR="00954BBF" w:rsidRDefault="00D45BAC" w:rsidP="00D45BAC">
            <w:pPr>
              <w:shd w:val="clear" w:color="auto" w:fill="FFFFFF"/>
              <w:jc w:val="both"/>
              <w:rPr>
                <w:rFonts w:ascii="Arial" w:hAnsi="Arial" w:cs="Arial"/>
                <w:color w:val="000000"/>
                <w:sz w:val="16"/>
                <w:szCs w:val="16"/>
              </w:rPr>
            </w:pPr>
            <w:r w:rsidRPr="00D45BAC">
              <w:rPr>
                <w:rFonts w:ascii="Arial" w:hAnsi="Arial" w:cs="Arial"/>
                <w:color w:val="000000"/>
                <w:sz w:val="16"/>
                <w:szCs w:val="16"/>
              </w:rPr>
              <w:t> </w:t>
            </w:r>
          </w:p>
          <w:p w14:paraId="52D201A8" w14:textId="5D967BEC" w:rsidR="004B34BE" w:rsidRDefault="004B34BE" w:rsidP="00D45BAC">
            <w:pPr>
              <w:shd w:val="clear" w:color="auto" w:fill="FFFFFF"/>
              <w:jc w:val="both"/>
              <w:rPr>
                <w:rFonts w:ascii="Arial" w:hAnsi="Arial" w:cs="Arial"/>
                <w:color w:val="000000"/>
                <w:sz w:val="16"/>
                <w:szCs w:val="16"/>
              </w:rPr>
            </w:pPr>
          </w:p>
          <w:p w14:paraId="711CEA2B" w14:textId="7D5060DD" w:rsidR="004B34BE" w:rsidRDefault="004B34BE" w:rsidP="00D45BAC">
            <w:pPr>
              <w:shd w:val="clear" w:color="auto" w:fill="FFFFFF"/>
              <w:jc w:val="both"/>
              <w:rPr>
                <w:rFonts w:ascii="Arial" w:hAnsi="Arial" w:cs="Arial"/>
                <w:color w:val="000000"/>
                <w:sz w:val="16"/>
                <w:szCs w:val="16"/>
              </w:rPr>
            </w:pPr>
          </w:p>
          <w:p w14:paraId="0FA0F832" w14:textId="2D5E5E06" w:rsidR="004B34BE" w:rsidRDefault="004B34BE" w:rsidP="00D45BAC">
            <w:pPr>
              <w:shd w:val="clear" w:color="auto" w:fill="FFFFFF"/>
              <w:jc w:val="both"/>
              <w:rPr>
                <w:rFonts w:ascii="Arial" w:hAnsi="Arial" w:cs="Arial"/>
                <w:color w:val="000000"/>
                <w:sz w:val="16"/>
                <w:szCs w:val="16"/>
              </w:rPr>
            </w:pPr>
          </w:p>
          <w:p w14:paraId="1849C713" w14:textId="6166F4E6" w:rsidR="004B34BE" w:rsidRDefault="004B34BE" w:rsidP="00D45BAC">
            <w:pPr>
              <w:shd w:val="clear" w:color="auto" w:fill="FFFFFF"/>
              <w:jc w:val="both"/>
              <w:rPr>
                <w:rFonts w:ascii="Arial" w:hAnsi="Arial" w:cs="Arial"/>
                <w:color w:val="000000"/>
                <w:sz w:val="16"/>
                <w:szCs w:val="16"/>
              </w:rPr>
            </w:pPr>
          </w:p>
          <w:p w14:paraId="45CE02F5" w14:textId="53DADFC2" w:rsidR="004B34BE" w:rsidRDefault="005C4F89" w:rsidP="001A50DF">
            <w:pPr>
              <w:shd w:val="clear" w:color="auto" w:fill="FFFFFF"/>
              <w:jc w:val="center"/>
              <w:rPr>
                <w:rFonts w:ascii="Arial" w:hAnsi="Arial" w:cs="Arial"/>
                <w:color w:val="000000"/>
                <w:sz w:val="16"/>
                <w:szCs w:val="16"/>
              </w:rPr>
            </w:pPr>
            <w:r>
              <w:rPr>
                <w:rFonts w:ascii="Times" w:hAnsi="Times"/>
                <w:color w:val="000000"/>
                <w:sz w:val="27"/>
                <w:szCs w:val="27"/>
              </w:rPr>
              <w:br/>
            </w:r>
            <w:r>
              <w:t>[This page intentionally left blank.]</w:t>
            </w:r>
          </w:p>
          <w:p w14:paraId="39D9A863" w14:textId="6E1DA345" w:rsidR="004B34BE" w:rsidRDefault="004B34BE" w:rsidP="00D45BAC">
            <w:pPr>
              <w:shd w:val="clear" w:color="auto" w:fill="FFFFFF"/>
              <w:jc w:val="both"/>
              <w:rPr>
                <w:rFonts w:ascii="Arial" w:hAnsi="Arial" w:cs="Arial"/>
                <w:color w:val="000000"/>
                <w:sz w:val="16"/>
                <w:szCs w:val="16"/>
              </w:rPr>
            </w:pPr>
          </w:p>
          <w:p w14:paraId="020D8EF2" w14:textId="5D319D93" w:rsidR="004B34BE" w:rsidRDefault="004B34BE" w:rsidP="00D45BAC">
            <w:pPr>
              <w:shd w:val="clear" w:color="auto" w:fill="FFFFFF"/>
              <w:jc w:val="both"/>
              <w:rPr>
                <w:rFonts w:ascii="Arial" w:hAnsi="Arial" w:cs="Arial"/>
                <w:color w:val="000000"/>
                <w:sz w:val="16"/>
                <w:szCs w:val="16"/>
              </w:rPr>
            </w:pPr>
          </w:p>
          <w:p w14:paraId="5376EB11" w14:textId="1424D3C7" w:rsidR="004B34BE" w:rsidRDefault="004B34BE" w:rsidP="00D45BAC">
            <w:pPr>
              <w:shd w:val="clear" w:color="auto" w:fill="FFFFFF"/>
              <w:jc w:val="both"/>
              <w:rPr>
                <w:rFonts w:ascii="Arial" w:hAnsi="Arial" w:cs="Arial"/>
                <w:color w:val="000000"/>
                <w:sz w:val="16"/>
                <w:szCs w:val="16"/>
              </w:rPr>
            </w:pPr>
          </w:p>
          <w:p w14:paraId="63DD42A5" w14:textId="3A52AD7A" w:rsidR="004B34BE" w:rsidRDefault="004B34BE" w:rsidP="00D45BAC">
            <w:pPr>
              <w:shd w:val="clear" w:color="auto" w:fill="FFFFFF"/>
              <w:jc w:val="both"/>
              <w:rPr>
                <w:rFonts w:ascii="Arial" w:hAnsi="Arial" w:cs="Arial"/>
                <w:color w:val="000000"/>
                <w:sz w:val="16"/>
                <w:szCs w:val="16"/>
              </w:rPr>
            </w:pPr>
          </w:p>
          <w:p w14:paraId="10D5ECA0" w14:textId="79E37EA7" w:rsidR="004B34BE" w:rsidRDefault="004B34BE" w:rsidP="00D45BAC">
            <w:pPr>
              <w:shd w:val="clear" w:color="auto" w:fill="FFFFFF"/>
              <w:jc w:val="both"/>
              <w:rPr>
                <w:rFonts w:ascii="Arial" w:hAnsi="Arial" w:cs="Arial"/>
                <w:color w:val="000000"/>
                <w:sz w:val="16"/>
                <w:szCs w:val="16"/>
              </w:rPr>
            </w:pPr>
          </w:p>
          <w:p w14:paraId="277EC647" w14:textId="45896424" w:rsidR="004B34BE" w:rsidRDefault="004B34BE" w:rsidP="00D45BAC">
            <w:pPr>
              <w:shd w:val="clear" w:color="auto" w:fill="FFFFFF"/>
              <w:jc w:val="both"/>
              <w:rPr>
                <w:rFonts w:ascii="Arial" w:hAnsi="Arial" w:cs="Arial"/>
                <w:color w:val="000000"/>
                <w:sz w:val="16"/>
                <w:szCs w:val="16"/>
              </w:rPr>
            </w:pPr>
          </w:p>
          <w:p w14:paraId="42D38475" w14:textId="478D4C01" w:rsidR="004B34BE" w:rsidRDefault="004B34BE" w:rsidP="00D45BAC">
            <w:pPr>
              <w:shd w:val="clear" w:color="auto" w:fill="FFFFFF"/>
              <w:jc w:val="both"/>
              <w:rPr>
                <w:rFonts w:ascii="Arial" w:hAnsi="Arial" w:cs="Arial"/>
                <w:color w:val="000000"/>
                <w:sz w:val="16"/>
                <w:szCs w:val="16"/>
              </w:rPr>
            </w:pPr>
          </w:p>
          <w:p w14:paraId="12A9917E" w14:textId="0E3F3B0F" w:rsidR="004B34BE" w:rsidRDefault="004B34BE" w:rsidP="00D45BAC">
            <w:pPr>
              <w:shd w:val="clear" w:color="auto" w:fill="FFFFFF"/>
              <w:jc w:val="both"/>
              <w:rPr>
                <w:rFonts w:ascii="Arial" w:hAnsi="Arial" w:cs="Arial"/>
                <w:color w:val="000000"/>
                <w:sz w:val="16"/>
                <w:szCs w:val="16"/>
              </w:rPr>
            </w:pPr>
          </w:p>
          <w:p w14:paraId="2AC96F57" w14:textId="0CC11BA0" w:rsidR="004B34BE" w:rsidRDefault="004B34BE" w:rsidP="00D45BAC">
            <w:pPr>
              <w:shd w:val="clear" w:color="auto" w:fill="FFFFFF"/>
              <w:jc w:val="both"/>
              <w:rPr>
                <w:rFonts w:ascii="Arial" w:hAnsi="Arial" w:cs="Arial"/>
                <w:color w:val="000000"/>
                <w:sz w:val="16"/>
                <w:szCs w:val="16"/>
              </w:rPr>
            </w:pPr>
          </w:p>
          <w:p w14:paraId="674D7362" w14:textId="21506187" w:rsidR="004B34BE" w:rsidRDefault="004B34BE" w:rsidP="00D45BAC">
            <w:pPr>
              <w:shd w:val="clear" w:color="auto" w:fill="FFFFFF"/>
              <w:jc w:val="both"/>
              <w:rPr>
                <w:rFonts w:ascii="Arial" w:hAnsi="Arial" w:cs="Arial"/>
                <w:color w:val="000000"/>
                <w:sz w:val="16"/>
                <w:szCs w:val="16"/>
              </w:rPr>
            </w:pPr>
          </w:p>
          <w:p w14:paraId="23BA333D" w14:textId="394C71AB" w:rsidR="004B34BE" w:rsidRDefault="004B34BE" w:rsidP="00D45BAC">
            <w:pPr>
              <w:shd w:val="clear" w:color="auto" w:fill="FFFFFF"/>
              <w:jc w:val="both"/>
              <w:rPr>
                <w:rFonts w:ascii="Arial" w:hAnsi="Arial" w:cs="Arial"/>
                <w:color w:val="000000"/>
                <w:sz w:val="16"/>
                <w:szCs w:val="16"/>
              </w:rPr>
            </w:pPr>
          </w:p>
          <w:p w14:paraId="44B1840A" w14:textId="69234215" w:rsidR="004B34BE" w:rsidRDefault="004B34BE" w:rsidP="00D45BAC">
            <w:pPr>
              <w:shd w:val="clear" w:color="auto" w:fill="FFFFFF"/>
              <w:jc w:val="both"/>
              <w:rPr>
                <w:rFonts w:ascii="Arial" w:hAnsi="Arial" w:cs="Arial"/>
                <w:color w:val="000000"/>
                <w:sz w:val="16"/>
                <w:szCs w:val="16"/>
              </w:rPr>
            </w:pPr>
          </w:p>
          <w:p w14:paraId="08AB004A" w14:textId="2336D680" w:rsidR="004B34BE" w:rsidRDefault="004B34BE" w:rsidP="00D45BAC">
            <w:pPr>
              <w:shd w:val="clear" w:color="auto" w:fill="FFFFFF"/>
              <w:jc w:val="both"/>
              <w:rPr>
                <w:rFonts w:ascii="Arial" w:hAnsi="Arial" w:cs="Arial"/>
                <w:color w:val="000000"/>
                <w:sz w:val="16"/>
                <w:szCs w:val="16"/>
              </w:rPr>
            </w:pPr>
          </w:p>
          <w:p w14:paraId="09CFA826" w14:textId="7E725D64" w:rsidR="004B34BE" w:rsidRDefault="004B34BE" w:rsidP="00D45BAC">
            <w:pPr>
              <w:shd w:val="clear" w:color="auto" w:fill="FFFFFF"/>
              <w:jc w:val="both"/>
              <w:rPr>
                <w:rFonts w:ascii="Arial" w:hAnsi="Arial" w:cs="Arial"/>
                <w:color w:val="000000"/>
                <w:sz w:val="16"/>
                <w:szCs w:val="16"/>
              </w:rPr>
            </w:pPr>
          </w:p>
          <w:p w14:paraId="0475D040" w14:textId="36C2D1BC" w:rsidR="004B34BE" w:rsidRDefault="004B34BE" w:rsidP="00D45BAC">
            <w:pPr>
              <w:shd w:val="clear" w:color="auto" w:fill="FFFFFF"/>
              <w:jc w:val="both"/>
              <w:rPr>
                <w:rFonts w:ascii="Arial" w:hAnsi="Arial" w:cs="Arial"/>
                <w:color w:val="000000"/>
                <w:sz w:val="16"/>
                <w:szCs w:val="16"/>
              </w:rPr>
            </w:pPr>
          </w:p>
          <w:p w14:paraId="6AF4F2C2" w14:textId="5211F808" w:rsidR="004B34BE" w:rsidRDefault="004B34BE" w:rsidP="00D45BAC">
            <w:pPr>
              <w:shd w:val="clear" w:color="auto" w:fill="FFFFFF"/>
              <w:jc w:val="both"/>
              <w:rPr>
                <w:rFonts w:ascii="Arial" w:hAnsi="Arial" w:cs="Arial"/>
                <w:color w:val="000000"/>
                <w:sz w:val="16"/>
                <w:szCs w:val="16"/>
              </w:rPr>
            </w:pPr>
          </w:p>
          <w:p w14:paraId="166538FB" w14:textId="4447A224" w:rsidR="004B34BE" w:rsidRDefault="004B34BE" w:rsidP="00D45BAC">
            <w:pPr>
              <w:shd w:val="clear" w:color="auto" w:fill="FFFFFF"/>
              <w:jc w:val="both"/>
              <w:rPr>
                <w:rFonts w:ascii="Arial" w:hAnsi="Arial" w:cs="Arial"/>
                <w:color w:val="000000"/>
                <w:sz w:val="16"/>
                <w:szCs w:val="16"/>
              </w:rPr>
            </w:pPr>
          </w:p>
          <w:p w14:paraId="0B241852" w14:textId="02C5C215" w:rsidR="004B34BE" w:rsidRDefault="004B34BE" w:rsidP="00D45BAC">
            <w:pPr>
              <w:shd w:val="clear" w:color="auto" w:fill="FFFFFF"/>
              <w:jc w:val="both"/>
              <w:rPr>
                <w:rFonts w:ascii="Arial" w:hAnsi="Arial" w:cs="Arial"/>
                <w:color w:val="000000"/>
                <w:sz w:val="16"/>
                <w:szCs w:val="16"/>
              </w:rPr>
            </w:pPr>
          </w:p>
          <w:p w14:paraId="77B34D42" w14:textId="34A7CE92" w:rsidR="004B34BE" w:rsidRDefault="004B34BE" w:rsidP="00D45BAC">
            <w:pPr>
              <w:shd w:val="clear" w:color="auto" w:fill="FFFFFF"/>
              <w:jc w:val="both"/>
              <w:rPr>
                <w:rFonts w:ascii="Arial" w:hAnsi="Arial" w:cs="Arial"/>
                <w:color w:val="000000"/>
                <w:sz w:val="16"/>
                <w:szCs w:val="16"/>
              </w:rPr>
            </w:pPr>
          </w:p>
          <w:p w14:paraId="24AC8FAE" w14:textId="0B10DB7C" w:rsidR="004B34BE" w:rsidRDefault="004B34BE" w:rsidP="00D45BAC">
            <w:pPr>
              <w:shd w:val="clear" w:color="auto" w:fill="FFFFFF"/>
              <w:jc w:val="both"/>
              <w:rPr>
                <w:rFonts w:ascii="Arial" w:hAnsi="Arial" w:cs="Arial"/>
                <w:color w:val="000000"/>
                <w:sz w:val="16"/>
                <w:szCs w:val="16"/>
              </w:rPr>
            </w:pPr>
          </w:p>
          <w:p w14:paraId="20C0CC49" w14:textId="1F69D4C1" w:rsidR="004B34BE" w:rsidRDefault="004B34BE" w:rsidP="00D45BAC">
            <w:pPr>
              <w:shd w:val="clear" w:color="auto" w:fill="FFFFFF"/>
              <w:jc w:val="both"/>
              <w:rPr>
                <w:rFonts w:ascii="Arial" w:hAnsi="Arial" w:cs="Arial"/>
                <w:color w:val="000000"/>
                <w:sz w:val="16"/>
                <w:szCs w:val="16"/>
              </w:rPr>
            </w:pPr>
          </w:p>
          <w:p w14:paraId="3A13A77C" w14:textId="1F0D22CE" w:rsidR="004B34BE" w:rsidRDefault="004B34BE" w:rsidP="00D45BAC">
            <w:pPr>
              <w:shd w:val="clear" w:color="auto" w:fill="FFFFFF"/>
              <w:jc w:val="both"/>
              <w:rPr>
                <w:rFonts w:ascii="Arial" w:hAnsi="Arial" w:cs="Arial"/>
                <w:color w:val="000000"/>
                <w:sz w:val="16"/>
                <w:szCs w:val="16"/>
              </w:rPr>
            </w:pPr>
          </w:p>
          <w:p w14:paraId="55FCFBBF" w14:textId="6552B017" w:rsidR="004B34BE" w:rsidRDefault="004B34BE" w:rsidP="00D45BAC">
            <w:pPr>
              <w:shd w:val="clear" w:color="auto" w:fill="FFFFFF"/>
              <w:jc w:val="both"/>
              <w:rPr>
                <w:rFonts w:ascii="Arial" w:hAnsi="Arial" w:cs="Arial"/>
                <w:color w:val="000000"/>
                <w:sz w:val="16"/>
                <w:szCs w:val="16"/>
              </w:rPr>
            </w:pPr>
          </w:p>
          <w:p w14:paraId="303A5D2A" w14:textId="4A14E2EF" w:rsidR="004B34BE" w:rsidRDefault="004B34BE" w:rsidP="00D45BAC">
            <w:pPr>
              <w:shd w:val="clear" w:color="auto" w:fill="FFFFFF"/>
              <w:jc w:val="both"/>
              <w:rPr>
                <w:rFonts w:ascii="Arial" w:hAnsi="Arial" w:cs="Arial"/>
                <w:color w:val="000000"/>
                <w:sz w:val="16"/>
                <w:szCs w:val="16"/>
              </w:rPr>
            </w:pPr>
          </w:p>
          <w:p w14:paraId="1E52BA07" w14:textId="66B751CB" w:rsidR="004B34BE" w:rsidRDefault="004B34BE" w:rsidP="00D45BAC">
            <w:pPr>
              <w:shd w:val="clear" w:color="auto" w:fill="FFFFFF"/>
              <w:jc w:val="both"/>
              <w:rPr>
                <w:rFonts w:ascii="Arial" w:hAnsi="Arial" w:cs="Arial"/>
                <w:color w:val="000000"/>
                <w:sz w:val="16"/>
                <w:szCs w:val="16"/>
              </w:rPr>
            </w:pPr>
          </w:p>
          <w:p w14:paraId="21C9BBE1" w14:textId="53396620" w:rsidR="004B34BE" w:rsidRDefault="004B34BE" w:rsidP="00D45BAC">
            <w:pPr>
              <w:shd w:val="clear" w:color="auto" w:fill="FFFFFF"/>
              <w:jc w:val="both"/>
              <w:rPr>
                <w:rFonts w:ascii="Arial" w:hAnsi="Arial" w:cs="Arial"/>
                <w:color w:val="000000"/>
                <w:sz w:val="16"/>
                <w:szCs w:val="16"/>
              </w:rPr>
            </w:pPr>
          </w:p>
          <w:p w14:paraId="5C0FCD17" w14:textId="653BC1AC" w:rsidR="004B34BE" w:rsidRDefault="004B34BE" w:rsidP="00D45BAC">
            <w:pPr>
              <w:shd w:val="clear" w:color="auto" w:fill="FFFFFF"/>
              <w:jc w:val="both"/>
              <w:rPr>
                <w:rFonts w:ascii="Arial" w:hAnsi="Arial" w:cs="Arial"/>
                <w:color w:val="000000"/>
                <w:sz w:val="16"/>
                <w:szCs w:val="16"/>
              </w:rPr>
            </w:pPr>
          </w:p>
          <w:p w14:paraId="4081C6EA" w14:textId="4DB8DA45" w:rsidR="004B34BE" w:rsidRDefault="004B34BE" w:rsidP="00D45BAC">
            <w:pPr>
              <w:shd w:val="clear" w:color="auto" w:fill="FFFFFF"/>
              <w:jc w:val="both"/>
              <w:rPr>
                <w:rFonts w:ascii="Arial" w:hAnsi="Arial" w:cs="Arial"/>
                <w:color w:val="000000"/>
                <w:sz w:val="16"/>
                <w:szCs w:val="16"/>
              </w:rPr>
            </w:pPr>
          </w:p>
          <w:p w14:paraId="479A6C0C" w14:textId="0A2FE02E" w:rsidR="004B34BE" w:rsidRDefault="004B34BE" w:rsidP="00D45BAC">
            <w:pPr>
              <w:shd w:val="clear" w:color="auto" w:fill="FFFFFF"/>
              <w:jc w:val="both"/>
              <w:rPr>
                <w:rFonts w:ascii="Arial" w:hAnsi="Arial" w:cs="Arial"/>
                <w:color w:val="000000"/>
                <w:sz w:val="16"/>
                <w:szCs w:val="16"/>
              </w:rPr>
            </w:pPr>
          </w:p>
          <w:p w14:paraId="69B7F3B0" w14:textId="510CA2DE" w:rsidR="004B34BE" w:rsidRDefault="004B34BE" w:rsidP="00D45BAC">
            <w:pPr>
              <w:shd w:val="clear" w:color="auto" w:fill="FFFFFF"/>
              <w:jc w:val="both"/>
              <w:rPr>
                <w:rFonts w:ascii="Arial" w:hAnsi="Arial" w:cs="Arial"/>
                <w:color w:val="000000"/>
                <w:sz w:val="16"/>
                <w:szCs w:val="16"/>
              </w:rPr>
            </w:pPr>
          </w:p>
          <w:p w14:paraId="6CD1091E" w14:textId="2A57C860" w:rsidR="004B34BE" w:rsidRDefault="004B34BE" w:rsidP="00D45BAC">
            <w:pPr>
              <w:shd w:val="clear" w:color="auto" w:fill="FFFFFF"/>
              <w:jc w:val="both"/>
              <w:rPr>
                <w:rFonts w:ascii="Arial" w:hAnsi="Arial" w:cs="Arial"/>
                <w:color w:val="000000"/>
                <w:sz w:val="16"/>
                <w:szCs w:val="16"/>
              </w:rPr>
            </w:pPr>
          </w:p>
          <w:p w14:paraId="04AEC3C0" w14:textId="3F984B0E" w:rsidR="004B34BE" w:rsidRDefault="004B34BE" w:rsidP="00D45BAC">
            <w:pPr>
              <w:shd w:val="clear" w:color="auto" w:fill="FFFFFF"/>
              <w:jc w:val="both"/>
              <w:rPr>
                <w:rFonts w:ascii="Arial" w:hAnsi="Arial" w:cs="Arial"/>
                <w:color w:val="000000"/>
                <w:sz w:val="16"/>
                <w:szCs w:val="16"/>
              </w:rPr>
            </w:pPr>
          </w:p>
          <w:p w14:paraId="50843BAA" w14:textId="7BF1D1F4" w:rsidR="004B34BE" w:rsidRDefault="004B34BE" w:rsidP="00D45BAC">
            <w:pPr>
              <w:shd w:val="clear" w:color="auto" w:fill="FFFFFF"/>
              <w:jc w:val="both"/>
              <w:rPr>
                <w:rFonts w:ascii="Arial" w:hAnsi="Arial" w:cs="Arial"/>
                <w:color w:val="000000"/>
                <w:sz w:val="16"/>
                <w:szCs w:val="16"/>
              </w:rPr>
            </w:pPr>
          </w:p>
          <w:p w14:paraId="07107EBF" w14:textId="1EDB17AA" w:rsidR="004B34BE" w:rsidRDefault="004B34BE" w:rsidP="00D45BAC">
            <w:pPr>
              <w:shd w:val="clear" w:color="auto" w:fill="FFFFFF"/>
              <w:jc w:val="both"/>
              <w:rPr>
                <w:rFonts w:ascii="Arial" w:hAnsi="Arial" w:cs="Arial"/>
                <w:color w:val="000000"/>
                <w:sz w:val="16"/>
                <w:szCs w:val="16"/>
              </w:rPr>
            </w:pPr>
          </w:p>
          <w:p w14:paraId="5627AA06" w14:textId="4AB29D24" w:rsidR="004B34BE" w:rsidRDefault="004B34BE" w:rsidP="00D45BAC">
            <w:pPr>
              <w:shd w:val="clear" w:color="auto" w:fill="FFFFFF"/>
              <w:jc w:val="both"/>
              <w:rPr>
                <w:rFonts w:ascii="Arial" w:hAnsi="Arial" w:cs="Arial"/>
                <w:color w:val="000000"/>
                <w:sz w:val="16"/>
                <w:szCs w:val="16"/>
              </w:rPr>
            </w:pPr>
          </w:p>
          <w:p w14:paraId="41435CAC" w14:textId="50471038" w:rsidR="004B34BE" w:rsidRDefault="004B34BE" w:rsidP="00D45BAC">
            <w:pPr>
              <w:shd w:val="clear" w:color="auto" w:fill="FFFFFF"/>
              <w:jc w:val="both"/>
              <w:rPr>
                <w:rFonts w:ascii="Arial" w:hAnsi="Arial" w:cs="Arial"/>
                <w:color w:val="000000"/>
                <w:sz w:val="16"/>
                <w:szCs w:val="16"/>
              </w:rPr>
            </w:pPr>
          </w:p>
          <w:p w14:paraId="51461719" w14:textId="08F1035C" w:rsidR="004B34BE" w:rsidRDefault="004B34BE" w:rsidP="00D45BAC">
            <w:pPr>
              <w:shd w:val="clear" w:color="auto" w:fill="FFFFFF"/>
              <w:jc w:val="both"/>
              <w:rPr>
                <w:rFonts w:ascii="Arial" w:hAnsi="Arial" w:cs="Arial"/>
                <w:color w:val="000000"/>
                <w:sz w:val="16"/>
                <w:szCs w:val="16"/>
              </w:rPr>
            </w:pPr>
          </w:p>
          <w:p w14:paraId="211A9BC4" w14:textId="14D682A6" w:rsidR="004B34BE" w:rsidRDefault="004B34BE" w:rsidP="00D45BAC">
            <w:pPr>
              <w:shd w:val="clear" w:color="auto" w:fill="FFFFFF"/>
              <w:jc w:val="both"/>
              <w:rPr>
                <w:rFonts w:ascii="Arial" w:hAnsi="Arial" w:cs="Arial"/>
                <w:color w:val="000000"/>
                <w:sz w:val="16"/>
                <w:szCs w:val="16"/>
              </w:rPr>
            </w:pPr>
          </w:p>
          <w:p w14:paraId="045EE8FC" w14:textId="481CB462" w:rsidR="004B34BE" w:rsidRDefault="004B34BE" w:rsidP="00D45BAC">
            <w:pPr>
              <w:shd w:val="clear" w:color="auto" w:fill="FFFFFF"/>
              <w:jc w:val="both"/>
              <w:rPr>
                <w:rFonts w:ascii="Arial" w:hAnsi="Arial" w:cs="Arial"/>
                <w:color w:val="000000"/>
                <w:sz w:val="16"/>
                <w:szCs w:val="16"/>
              </w:rPr>
            </w:pPr>
          </w:p>
          <w:p w14:paraId="1040ED38" w14:textId="25D93A1D" w:rsidR="004B34BE" w:rsidRDefault="004B34BE" w:rsidP="00D45BAC">
            <w:pPr>
              <w:shd w:val="clear" w:color="auto" w:fill="FFFFFF"/>
              <w:jc w:val="both"/>
              <w:rPr>
                <w:rFonts w:ascii="Arial" w:hAnsi="Arial" w:cs="Arial"/>
                <w:color w:val="000000"/>
                <w:sz w:val="16"/>
                <w:szCs w:val="16"/>
              </w:rPr>
            </w:pPr>
          </w:p>
          <w:p w14:paraId="199729ED" w14:textId="57303633" w:rsidR="004B34BE" w:rsidRDefault="004B34BE" w:rsidP="00D45BAC">
            <w:pPr>
              <w:shd w:val="clear" w:color="auto" w:fill="FFFFFF"/>
              <w:jc w:val="both"/>
              <w:rPr>
                <w:rFonts w:ascii="Arial" w:hAnsi="Arial" w:cs="Arial"/>
                <w:color w:val="000000"/>
                <w:sz w:val="16"/>
                <w:szCs w:val="16"/>
              </w:rPr>
            </w:pPr>
          </w:p>
          <w:p w14:paraId="6F9C18D8" w14:textId="5271F9E6" w:rsidR="004B34BE" w:rsidRDefault="004B34BE" w:rsidP="00D45BAC">
            <w:pPr>
              <w:shd w:val="clear" w:color="auto" w:fill="FFFFFF"/>
              <w:jc w:val="both"/>
              <w:rPr>
                <w:rFonts w:ascii="Arial" w:hAnsi="Arial" w:cs="Arial"/>
                <w:color w:val="000000"/>
                <w:sz w:val="16"/>
                <w:szCs w:val="16"/>
              </w:rPr>
            </w:pPr>
          </w:p>
          <w:p w14:paraId="798CC7E4" w14:textId="28DD5FC7" w:rsidR="004B34BE" w:rsidRDefault="004B34BE" w:rsidP="00D45BAC">
            <w:pPr>
              <w:shd w:val="clear" w:color="auto" w:fill="FFFFFF"/>
              <w:jc w:val="both"/>
              <w:rPr>
                <w:rFonts w:ascii="Arial" w:hAnsi="Arial" w:cs="Arial"/>
                <w:color w:val="000000"/>
                <w:sz w:val="16"/>
                <w:szCs w:val="16"/>
              </w:rPr>
            </w:pPr>
          </w:p>
          <w:p w14:paraId="4FB02923" w14:textId="3427075F" w:rsidR="004B34BE" w:rsidRDefault="004B34BE" w:rsidP="00D45BAC">
            <w:pPr>
              <w:shd w:val="clear" w:color="auto" w:fill="FFFFFF"/>
              <w:jc w:val="both"/>
              <w:rPr>
                <w:rFonts w:ascii="Arial" w:hAnsi="Arial" w:cs="Arial"/>
                <w:color w:val="000000"/>
                <w:sz w:val="16"/>
                <w:szCs w:val="16"/>
              </w:rPr>
            </w:pPr>
          </w:p>
          <w:p w14:paraId="58529151" w14:textId="729DA70A" w:rsidR="004B34BE" w:rsidRDefault="004B34BE" w:rsidP="00D45BAC">
            <w:pPr>
              <w:shd w:val="clear" w:color="auto" w:fill="FFFFFF"/>
              <w:jc w:val="both"/>
              <w:rPr>
                <w:rFonts w:ascii="Arial" w:hAnsi="Arial" w:cs="Arial"/>
                <w:color w:val="000000"/>
                <w:sz w:val="16"/>
                <w:szCs w:val="16"/>
              </w:rPr>
            </w:pPr>
          </w:p>
          <w:p w14:paraId="251E29F0" w14:textId="113BA70B" w:rsidR="004B34BE" w:rsidRDefault="004B34BE" w:rsidP="00D45BAC">
            <w:pPr>
              <w:shd w:val="clear" w:color="auto" w:fill="FFFFFF"/>
              <w:jc w:val="both"/>
              <w:rPr>
                <w:rFonts w:ascii="Arial" w:hAnsi="Arial" w:cs="Arial"/>
                <w:color w:val="000000"/>
                <w:sz w:val="16"/>
                <w:szCs w:val="16"/>
              </w:rPr>
            </w:pPr>
          </w:p>
          <w:p w14:paraId="38841615" w14:textId="3E4FE93D" w:rsidR="004B34BE" w:rsidRDefault="004B34BE" w:rsidP="00D45BAC">
            <w:pPr>
              <w:shd w:val="clear" w:color="auto" w:fill="FFFFFF"/>
              <w:jc w:val="both"/>
              <w:rPr>
                <w:rFonts w:ascii="Arial" w:hAnsi="Arial" w:cs="Arial"/>
                <w:color w:val="000000"/>
                <w:sz w:val="16"/>
                <w:szCs w:val="16"/>
              </w:rPr>
            </w:pPr>
          </w:p>
          <w:p w14:paraId="1AB39930" w14:textId="7708799C" w:rsidR="004B34BE" w:rsidRDefault="004B34BE" w:rsidP="00D45BAC">
            <w:pPr>
              <w:shd w:val="clear" w:color="auto" w:fill="FFFFFF"/>
              <w:jc w:val="both"/>
              <w:rPr>
                <w:rFonts w:ascii="Arial" w:hAnsi="Arial" w:cs="Arial"/>
                <w:color w:val="000000"/>
                <w:sz w:val="16"/>
                <w:szCs w:val="16"/>
              </w:rPr>
            </w:pPr>
          </w:p>
          <w:p w14:paraId="1B2E5833" w14:textId="5BFA6030" w:rsidR="004B34BE" w:rsidRDefault="004B34BE" w:rsidP="00D45BAC">
            <w:pPr>
              <w:shd w:val="clear" w:color="auto" w:fill="FFFFFF"/>
              <w:jc w:val="both"/>
              <w:rPr>
                <w:rFonts w:ascii="Arial" w:hAnsi="Arial" w:cs="Arial"/>
                <w:color w:val="000000"/>
                <w:sz w:val="16"/>
                <w:szCs w:val="16"/>
              </w:rPr>
            </w:pPr>
          </w:p>
          <w:p w14:paraId="2F48EC1A" w14:textId="1B96730B" w:rsidR="004B34BE" w:rsidRDefault="004B34BE" w:rsidP="00D45BAC">
            <w:pPr>
              <w:shd w:val="clear" w:color="auto" w:fill="FFFFFF"/>
              <w:jc w:val="both"/>
              <w:rPr>
                <w:rFonts w:ascii="Arial" w:hAnsi="Arial" w:cs="Arial"/>
                <w:color w:val="000000"/>
                <w:sz w:val="16"/>
                <w:szCs w:val="16"/>
              </w:rPr>
            </w:pPr>
          </w:p>
          <w:p w14:paraId="75C83F6A" w14:textId="1E35BE38" w:rsidR="004B34BE" w:rsidRDefault="004B34BE" w:rsidP="00D45BAC">
            <w:pPr>
              <w:shd w:val="clear" w:color="auto" w:fill="FFFFFF"/>
              <w:jc w:val="both"/>
              <w:rPr>
                <w:rFonts w:ascii="Arial" w:hAnsi="Arial" w:cs="Arial"/>
                <w:color w:val="000000"/>
                <w:sz w:val="16"/>
                <w:szCs w:val="16"/>
              </w:rPr>
            </w:pPr>
          </w:p>
          <w:p w14:paraId="0ECF35CD" w14:textId="77777777" w:rsidR="004B34BE" w:rsidRPr="00D45BAC" w:rsidRDefault="004B34BE" w:rsidP="00D45BAC">
            <w:pPr>
              <w:shd w:val="clear" w:color="auto" w:fill="FFFFFF"/>
              <w:jc w:val="both"/>
              <w:rPr>
                <w:rFonts w:ascii="Times" w:hAnsi="Times"/>
                <w:color w:val="000000"/>
                <w:sz w:val="27"/>
                <w:szCs w:val="27"/>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954BBF" w14:paraId="3E096938" w14:textId="77777777" w:rsidTr="00954BBF">
              <w:trPr>
                <w:tblCellSpacing w:w="0" w:type="dxa"/>
              </w:trPr>
              <w:tc>
                <w:tcPr>
                  <w:tcW w:w="0" w:type="auto"/>
                  <w:shd w:val="clear" w:color="auto" w:fill="FFFFFF"/>
                  <w:vAlign w:val="center"/>
                  <w:hideMark/>
                </w:tcPr>
                <w:p w14:paraId="0350C803" w14:textId="77777777" w:rsidR="004B34BE" w:rsidRDefault="004B34BE" w:rsidP="00954BBF">
                  <w:pPr>
                    <w:pStyle w:val="NormalWeb"/>
                    <w:shd w:val="clear" w:color="auto" w:fill="FFFFFF"/>
                    <w:spacing w:before="0" w:beforeAutospacing="0" w:after="0" w:afterAutospacing="0"/>
                    <w:jc w:val="center"/>
                    <w:rPr>
                      <w:color w:val="000000"/>
                    </w:rPr>
                  </w:pPr>
                </w:p>
                <w:p w14:paraId="59577A34" w14:textId="77777777" w:rsidR="004B34BE" w:rsidRDefault="004B34BE" w:rsidP="00954BBF">
                  <w:pPr>
                    <w:pStyle w:val="NormalWeb"/>
                    <w:shd w:val="clear" w:color="auto" w:fill="FFFFFF"/>
                    <w:spacing w:before="0" w:beforeAutospacing="0" w:after="0" w:afterAutospacing="0"/>
                    <w:jc w:val="center"/>
                    <w:rPr>
                      <w:color w:val="000000"/>
                    </w:rPr>
                  </w:pPr>
                </w:p>
                <w:p w14:paraId="41B8C181" w14:textId="77777777" w:rsidR="004B34BE" w:rsidRDefault="004B34BE" w:rsidP="00954BBF">
                  <w:pPr>
                    <w:pStyle w:val="NormalWeb"/>
                    <w:shd w:val="clear" w:color="auto" w:fill="FFFFFF"/>
                    <w:spacing w:before="0" w:beforeAutospacing="0" w:after="0" w:afterAutospacing="0"/>
                    <w:jc w:val="center"/>
                    <w:rPr>
                      <w:color w:val="000000"/>
                    </w:rPr>
                  </w:pPr>
                </w:p>
                <w:p w14:paraId="3B7B5299" w14:textId="77777777" w:rsidR="004B34BE" w:rsidRDefault="004B34BE" w:rsidP="00954BBF">
                  <w:pPr>
                    <w:pStyle w:val="NormalWeb"/>
                    <w:shd w:val="clear" w:color="auto" w:fill="FFFFFF"/>
                    <w:spacing w:before="0" w:beforeAutospacing="0" w:after="0" w:afterAutospacing="0"/>
                    <w:jc w:val="center"/>
                    <w:rPr>
                      <w:color w:val="000000"/>
                    </w:rPr>
                  </w:pPr>
                </w:p>
                <w:p w14:paraId="3A06D0A7" w14:textId="30F5FB59" w:rsidR="004B34BE" w:rsidRDefault="004B34BE" w:rsidP="00192AB6">
                  <w:pPr>
                    <w:pStyle w:val="NormalWeb"/>
                    <w:shd w:val="clear" w:color="auto" w:fill="FFFFFF"/>
                    <w:spacing w:before="0" w:beforeAutospacing="0" w:after="0" w:afterAutospacing="0"/>
                    <w:rPr>
                      <w:color w:val="000000"/>
                    </w:rPr>
                  </w:pPr>
                </w:p>
                <w:p w14:paraId="67B847A4" w14:textId="77777777" w:rsidR="00192AB6" w:rsidRDefault="00192AB6" w:rsidP="00192AB6">
                  <w:pPr>
                    <w:pStyle w:val="NormalWeb"/>
                    <w:shd w:val="clear" w:color="auto" w:fill="FFFFFF"/>
                    <w:spacing w:before="0" w:beforeAutospacing="0" w:after="0" w:afterAutospacing="0"/>
                    <w:rPr>
                      <w:color w:val="000000"/>
                    </w:rPr>
                  </w:pPr>
                </w:p>
                <w:p w14:paraId="5BC19748" w14:textId="23A15544" w:rsidR="004B34BE" w:rsidRDefault="004B34BE" w:rsidP="00954BBF">
                  <w:pPr>
                    <w:pStyle w:val="NormalWeb"/>
                    <w:shd w:val="clear" w:color="auto" w:fill="FFFFFF"/>
                    <w:spacing w:before="0" w:beforeAutospacing="0" w:after="0" w:afterAutospacing="0"/>
                    <w:jc w:val="center"/>
                    <w:rPr>
                      <w:color w:val="000000"/>
                    </w:rPr>
                  </w:pPr>
                </w:p>
                <w:p w14:paraId="7F50E0C0" w14:textId="5CCB17CA" w:rsidR="00192AB6" w:rsidRDefault="00192AB6" w:rsidP="00954BBF">
                  <w:pPr>
                    <w:pStyle w:val="NormalWeb"/>
                    <w:shd w:val="clear" w:color="auto" w:fill="FFFFFF"/>
                    <w:spacing w:before="0" w:beforeAutospacing="0" w:after="0" w:afterAutospacing="0"/>
                    <w:jc w:val="center"/>
                    <w:rPr>
                      <w:color w:val="000000"/>
                    </w:rPr>
                  </w:pPr>
                </w:p>
                <w:p w14:paraId="2B74651A" w14:textId="77777777" w:rsidR="00192AB6" w:rsidRDefault="00192AB6" w:rsidP="001A50DF">
                  <w:pPr>
                    <w:pStyle w:val="NormalWeb"/>
                    <w:shd w:val="clear" w:color="auto" w:fill="FFFFFF"/>
                    <w:spacing w:before="0" w:beforeAutospacing="0" w:after="0" w:afterAutospacing="0"/>
                    <w:rPr>
                      <w:color w:val="000000"/>
                    </w:rPr>
                  </w:pPr>
                </w:p>
                <w:p w14:paraId="0A076CA0" w14:textId="327F6139" w:rsidR="00954BBF" w:rsidRDefault="00954BBF" w:rsidP="00954BBF">
                  <w:pPr>
                    <w:pStyle w:val="NormalWeb"/>
                    <w:shd w:val="clear" w:color="auto" w:fill="FFFFFF"/>
                    <w:spacing w:before="0" w:beforeAutospacing="0" w:after="0" w:afterAutospacing="0"/>
                    <w:jc w:val="center"/>
                    <w:rPr>
                      <w:rFonts w:ascii="Times" w:hAnsi="Times"/>
                      <w:color w:val="000000"/>
                      <w:sz w:val="27"/>
                      <w:szCs w:val="27"/>
                    </w:rPr>
                  </w:pPr>
                  <w:r>
                    <w:rPr>
                      <w:color w:val="000000"/>
                    </w:rPr>
                    <w:t>Res. No. 169</w:t>
                  </w:r>
                </w:p>
                <w:p w14:paraId="59DEEBC6" w14:textId="77777777" w:rsidR="00954BBF" w:rsidRDefault="00954BBF" w:rsidP="00954BBF">
                  <w:pPr>
                    <w:pStyle w:val="NormalWeb"/>
                    <w:shd w:val="clear" w:color="auto" w:fill="FFFFFF"/>
                    <w:spacing w:before="0" w:beforeAutospacing="0" w:after="0" w:afterAutospacing="0"/>
                    <w:jc w:val="both"/>
                    <w:rPr>
                      <w:rFonts w:ascii="Times" w:hAnsi="Times"/>
                      <w:color w:val="000000"/>
                      <w:sz w:val="27"/>
                      <w:szCs w:val="27"/>
                    </w:rPr>
                  </w:pPr>
                  <w:r>
                    <w:rPr>
                      <w:color w:val="000000"/>
                    </w:rPr>
                    <w:t> </w:t>
                  </w:r>
                </w:p>
                <w:p w14:paraId="5807E6DE" w14:textId="77777777" w:rsidR="00954BBF" w:rsidRDefault="00954BBF" w:rsidP="00954BBF">
                  <w:pPr>
                    <w:pStyle w:val="NormalWeb"/>
                    <w:shd w:val="clear" w:color="auto" w:fill="FFFFFF"/>
                    <w:spacing w:before="0" w:beforeAutospacing="0" w:after="0" w:afterAutospacing="0"/>
                    <w:jc w:val="both"/>
                    <w:rPr>
                      <w:rFonts w:ascii="Times" w:hAnsi="Times"/>
                      <w:color w:val="000000"/>
                      <w:sz w:val="27"/>
                      <w:szCs w:val="27"/>
                    </w:rPr>
                  </w:pPr>
                  <w:r>
                    <w:rPr>
                      <w:color w:val="000000"/>
                    </w:rPr>
                    <w:t>Resolution calling for the Climate Action Council to draft, and the Governor to implement, a final Climate Action Council Scoping Plan that commits to meeting CLCPA targets and bold climate &amp; environmental justice action in New York.</w:t>
                  </w:r>
                </w:p>
                <w:p w14:paraId="4230A79E" w14:textId="77777777" w:rsidR="00954BBF" w:rsidRDefault="00954BBF" w:rsidP="00954BBF">
                  <w:pPr>
                    <w:pStyle w:val="NormalWeb"/>
                    <w:shd w:val="clear" w:color="auto" w:fill="FFFFFF"/>
                    <w:spacing w:before="0" w:beforeAutospacing="0" w:after="0" w:afterAutospacing="0"/>
                    <w:jc w:val="both"/>
                    <w:rPr>
                      <w:rFonts w:ascii="Times" w:hAnsi="Times"/>
                      <w:color w:val="000000"/>
                      <w:sz w:val="27"/>
                      <w:szCs w:val="27"/>
                    </w:rPr>
                  </w:pPr>
                  <w:r>
                    <w:rPr>
                      <w:color w:val="000000"/>
                    </w:rPr>
                    <w:t> </w:t>
                  </w:r>
                </w:p>
                <w:p w14:paraId="5F9B317D" w14:textId="02A60031" w:rsidR="00954BBF" w:rsidRDefault="00954BBF" w:rsidP="00954BBF">
                  <w:pPr>
                    <w:pStyle w:val="NormalWeb"/>
                    <w:shd w:val="clear" w:color="auto" w:fill="FFFFFF"/>
                    <w:spacing w:before="0" w:beforeAutospacing="0" w:after="0" w:afterAutospacing="0"/>
                    <w:jc w:val="both"/>
                    <w:rPr>
                      <w:rFonts w:ascii="Times" w:hAnsi="Times"/>
                      <w:color w:val="000000"/>
                      <w:sz w:val="27"/>
                      <w:szCs w:val="27"/>
                    </w:rPr>
                  </w:pPr>
                  <w:r>
                    <w:rPr>
                      <w:color w:val="000000"/>
                    </w:rPr>
                    <w:t xml:space="preserve">By Council Members Restler, Hanif, De La Rosa, Gutiérrez, Riley, Gennaro, Hudson, Joseph, Avilés, Brewer, Louis, Dinowitz, Won, Krishnan, Nurse, Schulman, Menin, Williams, Ossé, Brannan, Cabán, Rivera, Powers, Bottcher, Marte, Hanks, Abreu, Sanchez, Velázquez, Narcisse, Farías, Brooks-Powers, Salamanca, Ung, Ayala, Moya and Lee </w:t>
                  </w:r>
                  <w:r w:rsidR="008354B6">
                    <w:rPr>
                      <w:color w:val="000000"/>
                    </w:rPr>
                    <w:t xml:space="preserve">(in conjunction with the Brooklyn Borough President) </w:t>
                  </w:r>
                  <w:r>
                    <w:rPr>
                      <w:color w:val="000000"/>
                    </w:rPr>
                    <w:t>(by request of the Queens Borough President)</w:t>
                  </w:r>
                </w:p>
                <w:p w14:paraId="5FC66120" w14:textId="77777777" w:rsidR="00954BBF" w:rsidRDefault="00954BBF" w:rsidP="00954BBF">
                  <w:pPr>
                    <w:pStyle w:val="NormalWeb"/>
                    <w:shd w:val="clear" w:color="auto" w:fill="FFFFFF"/>
                    <w:spacing w:before="0" w:beforeAutospacing="0" w:after="0" w:afterAutospacing="0"/>
                    <w:jc w:val="both"/>
                    <w:rPr>
                      <w:rFonts w:ascii="Times" w:hAnsi="Times"/>
                      <w:color w:val="000000"/>
                      <w:sz w:val="27"/>
                      <w:szCs w:val="27"/>
                    </w:rPr>
                  </w:pPr>
                  <w:r>
                    <w:rPr>
                      <w:color w:val="000000"/>
                    </w:rPr>
                    <w:t> </w:t>
                  </w:r>
                </w:p>
                <w:p w14:paraId="5888E4DC" w14:textId="77777777" w:rsidR="00954BBF" w:rsidRDefault="00954BBF" w:rsidP="00954BBF">
                  <w:pPr>
                    <w:pStyle w:val="NormalWeb"/>
                    <w:shd w:val="clear" w:color="auto" w:fill="FFFFFF"/>
                    <w:spacing w:before="0" w:beforeAutospacing="0" w:after="160" w:afterAutospacing="0" w:line="480" w:lineRule="auto"/>
                    <w:ind w:firstLine="720"/>
                    <w:jc w:val="both"/>
                    <w:rPr>
                      <w:rFonts w:ascii="Times" w:hAnsi="Times"/>
                      <w:color w:val="000000"/>
                      <w:sz w:val="27"/>
                      <w:szCs w:val="27"/>
                    </w:rPr>
                  </w:pPr>
                  <w:r>
                    <w:rPr>
                      <w:color w:val="000000"/>
                    </w:rPr>
                    <w:t>Whereas, New Yorkers are experiencing the effects of the climate crisis, such as worsening storms, flooding, sea level rise and heat waves; and</w:t>
                  </w:r>
                </w:p>
                <w:p w14:paraId="16C0BCC4" w14:textId="77777777" w:rsidR="00954BBF" w:rsidRDefault="00954BBF" w:rsidP="00954BBF">
                  <w:pPr>
                    <w:pStyle w:val="NormalWeb"/>
                    <w:shd w:val="clear" w:color="auto" w:fill="FFFFFF"/>
                    <w:spacing w:before="0" w:beforeAutospacing="0" w:after="160" w:afterAutospacing="0" w:line="480" w:lineRule="auto"/>
                    <w:ind w:firstLine="720"/>
                    <w:jc w:val="both"/>
                    <w:rPr>
                      <w:rFonts w:ascii="Times" w:hAnsi="Times"/>
                      <w:color w:val="000000"/>
                      <w:sz w:val="27"/>
                      <w:szCs w:val="27"/>
                    </w:rPr>
                  </w:pPr>
                  <w:r>
                    <w:rPr>
                      <w:color w:val="000000"/>
                    </w:rPr>
                    <w:t>Whereas, in 2019 the New York State Legislature passed the Climate Leadership and Community Protection Act, committing New York to a net-zero carbon economy by 2050, a 100% zero emission electric sector by 2040, a 40% reduction from 1990 levels in statewide greenhouse gas emissions by 2030, 70% renewable energy by 2030, and 40% of the benefits of spending on climate programs to disadvantaged communities; and</w:t>
                  </w:r>
                </w:p>
                <w:p w14:paraId="7B1673CE" w14:textId="77777777" w:rsidR="00954BBF" w:rsidRDefault="00954BBF" w:rsidP="00954BBF">
                  <w:pPr>
                    <w:pStyle w:val="NormalWeb"/>
                    <w:shd w:val="clear" w:color="auto" w:fill="FFFFFF"/>
                    <w:spacing w:before="0" w:beforeAutospacing="0" w:after="160" w:afterAutospacing="0" w:line="480" w:lineRule="auto"/>
                    <w:ind w:firstLine="720"/>
                    <w:jc w:val="both"/>
                    <w:rPr>
                      <w:rFonts w:ascii="Times" w:hAnsi="Times"/>
                      <w:color w:val="000000"/>
                      <w:sz w:val="27"/>
                      <w:szCs w:val="27"/>
                    </w:rPr>
                  </w:pPr>
                  <w:r>
                    <w:rPr>
                      <w:color w:val="000000"/>
                    </w:rPr>
                    <w:t>Whereas, The effects of climate change are often inequitably distributed, with communities of color, children, older people, and low income communities, who often lack the financial and community resources to adequately respond to weather-related disasters, more likely to experience the deleterious effects; and</w:t>
                  </w:r>
                </w:p>
                <w:p w14:paraId="2765A66A" w14:textId="77777777" w:rsidR="00954BBF" w:rsidRDefault="00954BBF" w:rsidP="00954BBF">
                  <w:pPr>
                    <w:pStyle w:val="NormalWeb"/>
                    <w:shd w:val="clear" w:color="auto" w:fill="FFFFFF"/>
                    <w:spacing w:before="0" w:beforeAutospacing="0" w:after="160" w:afterAutospacing="0" w:line="480" w:lineRule="auto"/>
                    <w:ind w:firstLine="720"/>
                    <w:jc w:val="both"/>
                    <w:rPr>
                      <w:rFonts w:ascii="Times" w:hAnsi="Times"/>
                      <w:color w:val="000000"/>
                      <w:sz w:val="27"/>
                      <w:szCs w:val="27"/>
                    </w:rPr>
                  </w:pPr>
                  <w:r>
                    <w:rPr>
                      <w:color w:val="000000"/>
                    </w:rPr>
                    <w:t>Whereas, According to the International Panel on Climate Change, substantial reductions in greenhouse gas emissions will be required by mid-century in order to limit the global average increase in temperature to 1.5 degrees Celsius, and no more than 2 degrees Celsius, to minimize the worst impacts of climate change; and</w:t>
                  </w:r>
                </w:p>
                <w:p w14:paraId="01ADFEAA" w14:textId="77777777" w:rsidR="00954BBF" w:rsidRDefault="00954BBF" w:rsidP="00954BBF">
                  <w:pPr>
                    <w:pStyle w:val="NormalWeb"/>
                    <w:shd w:val="clear" w:color="auto" w:fill="FFFFFF"/>
                    <w:spacing w:before="0" w:beforeAutospacing="0" w:after="160" w:afterAutospacing="0" w:line="480" w:lineRule="auto"/>
                    <w:ind w:firstLine="720"/>
                    <w:jc w:val="both"/>
                    <w:rPr>
                      <w:rFonts w:ascii="Times" w:hAnsi="Times"/>
                      <w:color w:val="000000"/>
                      <w:sz w:val="27"/>
                      <w:szCs w:val="27"/>
                    </w:rPr>
                  </w:pPr>
                  <w:r>
                    <w:rPr>
                      <w:color w:val="000000"/>
                    </w:rPr>
                    <w:t>Whereas, The IPCC’s most recent report found that “without immediate and deep emissions reductions across all sectors, limiting global warming to 1.5°C is beyond reach,” stating that no new fossil fuel infrastructure must be built; and</w:t>
                  </w:r>
                </w:p>
                <w:p w14:paraId="0B0F5E2F" w14:textId="77777777" w:rsidR="00954BBF" w:rsidRDefault="00954BBF" w:rsidP="00954BBF">
                  <w:pPr>
                    <w:pStyle w:val="NormalWeb"/>
                    <w:shd w:val="clear" w:color="auto" w:fill="FFFFFF"/>
                    <w:spacing w:before="0" w:beforeAutospacing="0" w:after="160" w:afterAutospacing="0" w:line="480" w:lineRule="auto"/>
                    <w:ind w:firstLine="720"/>
                    <w:jc w:val="both"/>
                    <w:rPr>
                      <w:rFonts w:ascii="Times" w:hAnsi="Times"/>
                      <w:color w:val="000000"/>
                      <w:sz w:val="27"/>
                      <w:szCs w:val="27"/>
                    </w:rPr>
                  </w:pPr>
                  <w:r>
                    <w:rPr>
                      <w:color w:val="000000"/>
                    </w:rPr>
                    <w:t>Whereas, The Climate Action Council is tasked with developing recommendations to achieve the requirements of the Climate Leadership and Community Protection Act; and</w:t>
                  </w:r>
                </w:p>
                <w:p w14:paraId="679CDACF" w14:textId="77777777" w:rsidR="00954BBF" w:rsidRDefault="00954BBF" w:rsidP="00954BBF">
                  <w:pPr>
                    <w:pStyle w:val="NormalWeb"/>
                    <w:shd w:val="clear" w:color="auto" w:fill="FFFFFF"/>
                    <w:spacing w:before="0" w:beforeAutospacing="0" w:after="160" w:afterAutospacing="0" w:line="480" w:lineRule="auto"/>
                    <w:ind w:firstLine="720"/>
                    <w:jc w:val="both"/>
                    <w:rPr>
                      <w:rFonts w:ascii="Times" w:hAnsi="Times"/>
                      <w:color w:val="000000"/>
                      <w:sz w:val="27"/>
                      <w:szCs w:val="27"/>
                    </w:rPr>
                  </w:pPr>
                  <w:r>
                    <w:rPr>
                      <w:color w:val="000000"/>
                    </w:rPr>
                    <w:t>Whereas, The Climate Action Council’s Draft Scoping Plan estimates that the benefits of implementing a robust Scoping Plan to meet the CLCPA will outweigh the costs by over $90 billion dollars; and</w:t>
                  </w:r>
                </w:p>
                <w:p w14:paraId="07832EB4" w14:textId="77777777" w:rsidR="00954BBF" w:rsidRDefault="00954BBF" w:rsidP="00954BBF">
                  <w:pPr>
                    <w:pStyle w:val="NormalWeb"/>
                    <w:shd w:val="clear" w:color="auto" w:fill="FFFFFF"/>
                    <w:spacing w:before="0" w:beforeAutospacing="0" w:after="160" w:afterAutospacing="0" w:line="480" w:lineRule="auto"/>
                    <w:ind w:firstLine="720"/>
                    <w:jc w:val="both"/>
                    <w:rPr>
                      <w:rFonts w:ascii="Times" w:hAnsi="Times"/>
                      <w:color w:val="000000"/>
                      <w:sz w:val="27"/>
                      <w:szCs w:val="27"/>
                    </w:rPr>
                  </w:pPr>
                  <w:r>
                    <w:rPr>
                      <w:color w:val="000000"/>
                    </w:rPr>
                    <w:t>Whereas, Buildings, transportation, and electricity generation account for 73% of New York’s statewide greenhouse gas emissions, while the use of fossil fuels for heating and hot water production in the city’s building stock accounts for approximately 42% of the City’s total GHG emissions; and</w:t>
                  </w:r>
                </w:p>
                <w:p w14:paraId="4EA36F14" w14:textId="77777777" w:rsidR="00954BBF" w:rsidRDefault="00954BBF" w:rsidP="00954BBF">
                  <w:pPr>
                    <w:pStyle w:val="NormalWeb"/>
                    <w:shd w:val="clear" w:color="auto" w:fill="FFFFFF"/>
                    <w:spacing w:before="0" w:beforeAutospacing="0" w:after="160" w:afterAutospacing="0" w:line="480" w:lineRule="auto"/>
                    <w:ind w:firstLine="720"/>
                    <w:jc w:val="both"/>
                    <w:rPr>
                      <w:rFonts w:ascii="Times" w:hAnsi="Times"/>
                      <w:color w:val="000000"/>
                      <w:sz w:val="27"/>
                      <w:szCs w:val="27"/>
                    </w:rPr>
                  </w:pPr>
                  <w:r>
                    <w:rPr>
                      <w:color w:val="000000"/>
                    </w:rPr>
                    <w:t>Whereas, In 2019, NYC passed the Climate Mobilization Act, featuring Local Law 97, limiting emissions from new and existing buildings over 25,000 square feet, and Local Laws 92 and 94, requiring solar and green roofs for new building construction. Together, these laws are expected to reduce emissions from the city’s largest buildings by 40% by 2030 and 80% by 2050; and</w:t>
                  </w:r>
                </w:p>
                <w:p w14:paraId="6EE93B3D" w14:textId="77777777" w:rsidR="00954BBF" w:rsidRDefault="00954BBF" w:rsidP="00954BBF">
                  <w:pPr>
                    <w:pStyle w:val="NormalWeb"/>
                    <w:shd w:val="clear" w:color="auto" w:fill="FFFFFF"/>
                    <w:spacing w:before="0" w:beforeAutospacing="0" w:after="160" w:afterAutospacing="0" w:line="480" w:lineRule="auto"/>
                    <w:ind w:firstLine="720"/>
                    <w:jc w:val="both"/>
                    <w:rPr>
                      <w:rFonts w:ascii="Times" w:hAnsi="Times"/>
                      <w:color w:val="000000"/>
                      <w:sz w:val="27"/>
                      <w:szCs w:val="27"/>
                    </w:rPr>
                  </w:pPr>
                  <w:r>
                    <w:rPr>
                      <w:color w:val="000000"/>
                    </w:rPr>
                    <w:t>Whereas, Decarbonizing New York City’s building stock will require an aggressive push toward large scale building electrification, and widespread equitable access to air source and geothermal heat pumps, and energy efficiency upgrades and retrofits; and</w:t>
                  </w:r>
                </w:p>
                <w:p w14:paraId="04927F5C" w14:textId="77777777" w:rsidR="00954BBF" w:rsidRDefault="00954BBF" w:rsidP="00954BBF">
                  <w:pPr>
                    <w:pStyle w:val="NormalWeb"/>
                    <w:shd w:val="clear" w:color="auto" w:fill="FFFFFF"/>
                    <w:spacing w:before="0" w:beforeAutospacing="0" w:after="160" w:afterAutospacing="0" w:line="480" w:lineRule="auto"/>
                    <w:ind w:firstLine="720"/>
                    <w:jc w:val="both"/>
                    <w:rPr>
                      <w:rFonts w:ascii="Times" w:hAnsi="Times"/>
                      <w:color w:val="000000"/>
                      <w:sz w:val="27"/>
                      <w:szCs w:val="27"/>
                    </w:rPr>
                  </w:pPr>
                  <w:r>
                    <w:rPr>
                      <w:color w:val="000000"/>
                    </w:rPr>
                    <w:t>Whereas, The Scoping Plan should include recommendations in support of all newly constructed buildings being all-electric by 2024, full electrification of building stock statewide,  and the cessation of marketing and incentives for gas and fuel oil;</w:t>
                  </w:r>
                </w:p>
                <w:p w14:paraId="032CAAFE" w14:textId="77777777" w:rsidR="00954BBF" w:rsidRDefault="00954BBF" w:rsidP="00954BBF">
                  <w:pPr>
                    <w:pStyle w:val="NormalWeb"/>
                    <w:shd w:val="clear" w:color="auto" w:fill="FFFFFF"/>
                    <w:spacing w:before="0" w:beforeAutospacing="0" w:after="160" w:afterAutospacing="0" w:line="480" w:lineRule="auto"/>
                    <w:ind w:firstLine="720"/>
                    <w:jc w:val="both"/>
                    <w:rPr>
                      <w:rFonts w:ascii="Times" w:hAnsi="Times"/>
                      <w:color w:val="000000"/>
                      <w:sz w:val="27"/>
                      <w:szCs w:val="27"/>
                    </w:rPr>
                  </w:pPr>
                  <w:r>
                    <w:rPr>
                      <w:color w:val="000000"/>
                    </w:rPr>
                    <w:t>Whereas, Over 69% of New York City’s power is produced via fossil fuel combustion, and environmental justice communities in New York City bear an inequitable burden of pollution from local “peaker plants,” which despite running infrequently, emit almost 2.7 million tons of carbon dioxide (CO2) annually, and constituted almost 5 percent of New York City’s CO2 emissions in 2019; and</w:t>
                  </w:r>
                </w:p>
                <w:p w14:paraId="63A87916" w14:textId="77777777" w:rsidR="00954BBF" w:rsidRDefault="00954BBF" w:rsidP="00954BBF">
                  <w:pPr>
                    <w:pStyle w:val="NormalWeb"/>
                    <w:shd w:val="clear" w:color="auto" w:fill="FFFFFF"/>
                    <w:spacing w:before="0" w:beforeAutospacing="0" w:after="160" w:afterAutospacing="0" w:line="480" w:lineRule="auto"/>
                    <w:ind w:firstLine="720"/>
                    <w:jc w:val="both"/>
                    <w:rPr>
                      <w:rFonts w:ascii="Times" w:hAnsi="Times"/>
                      <w:color w:val="000000"/>
                      <w:sz w:val="27"/>
                      <w:szCs w:val="27"/>
                    </w:rPr>
                  </w:pPr>
                  <w:r>
                    <w:rPr>
                      <w:color w:val="000000"/>
                    </w:rPr>
                    <w:t>Whereas, It is imperative that New York City achieve a 100% zero-emissions electric grid, and to protect public health no new or repowered fossil fuel power plants should be permitted in New York; and</w:t>
                  </w:r>
                </w:p>
                <w:p w14:paraId="513A1E48" w14:textId="77777777" w:rsidR="00954BBF" w:rsidRDefault="00954BBF" w:rsidP="00954BBF">
                  <w:pPr>
                    <w:pStyle w:val="NormalWeb"/>
                    <w:shd w:val="clear" w:color="auto" w:fill="FFFFFF"/>
                    <w:spacing w:before="0" w:beforeAutospacing="0" w:after="160" w:afterAutospacing="0" w:line="480" w:lineRule="auto"/>
                    <w:ind w:firstLine="720"/>
                    <w:jc w:val="both"/>
                    <w:rPr>
                      <w:rFonts w:ascii="Times" w:hAnsi="Times"/>
                      <w:color w:val="000000"/>
                      <w:sz w:val="27"/>
                      <w:szCs w:val="27"/>
                    </w:rPr>
                  </w:pPr>
                  <w:r>
                    <w:rPr>
                      <w:color w:val="000000"/>
                    </w:rPr>
                    <w:t>Whereas, Clean energy like offshore wind, rooftop solar, battery storage, transmission upgrades can provide power in New York, drive economic growth, and reduce New York City’s reliance on dirty fossil fuel plants; and</w:t>
                  </w:r>
                </w:p>
                <w:p w14:paraId="3DA8801B" w14:textId="77777777" w:rsidR="00954BBF" w:rsidRDefault="00954BBF" w:rsidP="00954BBF">
                  <w:pPr>
                    <w:pStyle w:val="NormalWeb"/>
                    <w:shd w:val="clear" w:color="auto" w:fill="FFFFFF"/>
                    <w:spacing w:before="0" w:beforeAutospacing="0" w:after="160" w:afterAutospacing="0" w:line="480" w:lineRule="auto"/>
                    <w:ind w:firstLine="720"/>
                    <w:jc w:val="both"/>
                    <w:rPr>
                      <w:rFonts w:ascii="Times" w:hAnsi="Times"/>
                      <w:color w:val="000000"/>
                      <w:sz w:val="27"/>
                      <w:szCs w:val="27"/>
                    </w:rPr>
                  </w:pPr>
                  <w:r>
                    <w:rPr>
                      <w:color w:val="000000"/>
                    </w:rPr>
                    <w:t>Whereas, New York State’s Just Transition Working Group estimates that more than 211,000 green jobs could be created by 2030 as a result of climate policies, with New York City poised to become a major hub for the offshore wind industry, and growing local industries in energy efficiency, electrification retrofits and installations, and rooftop solar; and</w:t>
                  </w:r>
                </w:p>
                <w:p w14:paraId="04475E62" w14:textId="77777777" w:rsidR="00954BBF" w:rsidRDefault="00954BBF" w:rsidP="00954BBF">
                  <w:pPr>
                    <w:pStyle w:val="NormalWeb"/>
                    <w:shd w:val="clear" w:color="auto" w:fill="FFFFFF"/>
                    <w:spacing w:before="0" w:beforeAutospacing="0" w:after="160" w:afterAutospacing="0" w:line="480" w:lineRule="auto"/>
                    <w:ind w:firstLine="720"/>
                    <w:jc w:val="both"/>
                    <w:rPr>
                      <w:rFonts w:ascii="Times" w:hAnsi="Times"/>
                      <w:color w:val="000000"/>
                      <w:sz w:val="27"/>
                      <w:szCs w:val="27"/>
                    </w:rPr>
                  </w:pPr>
                  <w:r>
                    <w:rPr>
                      <w:color w:val="000000"/>
                    </w:rPr>
                    <w:t>Whereas, The recommendations of the State’s Climate and Just Transition Working Groups and frontline environmental justice leaders must be incorporated into the final recommendations for the Scoping Plan, including year by year targets for transitioning to zero emissions electricity, widespread transportation electrification, and enhancement of transit, smart growth, and reduced vehicle miles traveled (VMT) through bike and pedestrian infrastructure expansions; and</w:t>
                  </w:r>
                </w:p>
                <w:p w14:paraId="40FC8F85" w14:textId="77777777" w:rsidR="00954BBF" w:rsidRDefault="00954BBF" w:rsidP="00954BBF">
                  <w:pPr>
                    <w:pStyle w:val="NormalWeb"/>
                    <w:shd w:val="clear" w:color="auto" w:fill="FFFFFF"/>
                    <w:spacing w:before="0" w:beforeAutospacing="0" w:after="160" w:afterAutospacing="0" w:line="480" w:lineRule="auto"/>
                    <w:ind w:firstLine="720"/>
                    <w:jc w:val="both"/>
                    <w:rPr>
                      <w:rFonts w:ascii="Times" w:hAnsi="Times"/>
                      <w:color w:val="000000"/>
                      <w:sz w:val="27"/>
                      <w:szCs w:val="27"/>
                    </w:rPr>
                  </w:pPr>
                  <w:r>
                    <w:rPr>
                      <w:color w:val="000000"/>
                    </w:rPr>
                    <w:t>Whereas, It is imperative that the Governor ensure that these provisions are recommended in the final scoping plan, to protect the health and well-being of New Yorkers and meet the challenge of climate change while building a clean energy economy for all; now, therefore, be it</w:t>
                  </w:r>
                </w:p>
                <w:p w14:paraId="341ACAD1" w14:textId="77777777" w:rsidR="00954BBF" w:rsidRDefault="00954BBF" w:rsidP="00954BBF">
                  <w:pPr>
                    <w:pStyle w:val="NormalWeb"/>
                    <w:shd w:val="clear" w:color="auto" w:fill="FFFFFF"/>
                    <w:spacing w:before="0" w:beforeAutospacing="0" w:after="160" w:afterAutospacing="0" w:line="480" w:lineRule="auto"/>
                    <w:ind w:firstLine="720"/>
                    <w:jc w:val="both"/>
                    <w:rPr>
                      <w:rFonts w:ascii="Times" w:hAnsi="Times"/>
                      <w:color w:val="000000"/>
                      <w:sz w:val="27"/>
                      <w:szCs w:val="27"/>
                    </w:rPr>
                  </w:pPr>
                  <w:r>
                    <w:rPr>
                      <w:color w:val="000000"/>
                    </w:rPr>
                    <w:t>Resolved, That the Council of the City of New York calls for the Climate Action Council to draft, and the Governor to implement, a final Climate Action Council Scoping Plan that commits to meeting CLCPA targets and bold climate &amp; environmental justice action in New York.</w:t>
                  </w:r>
                </w:p>
                <w:p w14:paraId="02E3842E" w14:textId="77777777" w:rsidR="00954BBF" w:rsidRDefault="00954BBF" w:rsidP="00954BBF">
                  <w:pPr>
                    <w:pStyle w:val="NormalWeb"/>
                    <w:shd w:val="clear" w:color="auto" w:fill="FFFFFF"/>
                    <w:spacing w:before="0" w:beforeAutospacing="0" w:after="0" w:afterAutospacing="0"/>
                    <w:jc w:val="both"/>
                    <w:rPr>
                      <w:rFonts w:ascii="Times" w:hAnsi="Times"/>
                      <w:color w:val="000000"/>
                      <w:sz w:val="27"/>
                      <w:szCs w:val="27"/>
                    </w:rPr>
                  </w:pPr>
                  <w:r>
                    <w:rPr>
                      <w:color w:val="000000"/>
                      <w:sz w:val="18"/>
                      <w:szCs w:val="18"/>
                    </w:rPr>
                    <w:t>NRC</w:t>
                  </w:r>
                </w:p>
                <w:p w14:paraId="6D527A6D" w14:textId="77777777" w:rsidR="00954BBF" w:rsidRDefault="00954BBF" w:rsidP="00954BBF">
                  <w:pPr>
                    <w:pStyle w:val="NormalWeb"/>
                    <w:shd w:val="clear" w:color="auto" w:fill="FFFFFF"/>
                    <w:spacing w:before="0" w:beforeAutospacing="0" w:after="0" w:afterAutospacing="0"/>
                    <w:jc w:val="both"/>
                    <w:rPr>
                      <w:rFonts w:ascii="Times" w:hAnsi="Times"/>
                      <w:color w:val="000000"/>
                      <w:sz w:val="27"/>
                      <w:szCs w:val="27"/>
                    </w:rPr>
                  </w:pPr>
                  <w:r>
                    <w:rPr>
                      <w:color w:val="000000"/>
                      <w:sz w:val="18"/>
                      <w:szCs w:val="18"/>
                    </w:rPr>
                    <w:t>LS#8777</w:t>
                  </w:r>
                </w:p>
                <w:p w14:paraId="102F9DC4" w14:textId="77777777" w:rsidR="00954BBF" w:rsidRDefault="00954BBF" w:rsidP="00954BBF">
                  <w:pPr>
                    <w:pStyle w:val="NormalWeb"/>
                    <w:shd w:val="clear" w:color="auto" w:fill="FFFFFF"/>
                    <w:spacing w:before="0" w:beforeAutospacing="0" w:after="160" w:afterAutospacing="0"/>
                    <w:rPr>
                      <w:rFonts w:ascii="Times" w:hAnsi="Times"/>
                      <w:color w:val="000000"/>
                      <w:sz w:val="27"/>
                      <w:szCs w:val="27"/>
                    </w:rPr>
                  </w:pPr>
                  <w:r>
                    <w:rPr>
                      <w:color w:val="000000"/>
                      <w:sz w:val="18"/>
                      <w:szCs w:val="18"/>
                    </w:rPr>
                    <w:t>5/12/2022</w:t>
                  </w:r>
                </w:p>
                <w:p w14:paraId="0DC41D7B" w14:textId="77777777" w:rsidR="00954BBF" w:rsidRDefault="00954BBF" w:rsidP="00954BBF">
                  <w:pPr>
                    <w:pStyle w:val="NormalWeb"/>
                    <w:shd w:val="clear" w:color="auto" w:fill="FFFFFF"/>
                    <w:spacing w:before="0" w:beforeAutospacing="0" w:after="160" w:afterAutospacing="0"/>
                    <w:rPr>
                      <w:rFonts w:ascii="Times" w:hAnsi="Times"/>
                      <w:color w:val="000000"/>
                      <w:sz w:val="27"/>
                      <w:szCs w:val="27"/>
                    </w:rPr>
                  </w:pPr>
                  <w:r>
                    <w:rPr>
                      <w:color w:val="000000"/>
                    </w:rPr>
                    <w:t> </w:t>
                  </w:r>
                </w:p>
                <w:p w14:paraId="362F7E11" w14:textId="2CD57B40" w:rsidR="004B34BE" w:rsidRDefault="00954BBF" w:rsidP="00954BBF">
                  <w:pPr>
                    <w:pStyle w:val="NormalWeb"/>
                    <w:shd w:val="clear" w:color="auto" w:fill="FFFFFF"/>
                    <w:spacing w:before="0" w:beforeAutospacing="0" w:after="160" w:afterAutospacing="0" w:line="480" w:lineRule="auto"/>
                    <w:jc w:val="both"/>
                    <w:rPr>
                      <w:color w:val="000000"/>
                    </w:rPr>
                  </w:pPr>
                  <w:r>
                    <w:rPr>
                      <w:color w:val="000000"/>
                    </w:rPr>
                    <w:t> </w:t>
                  </w:r>
                </w:p>
                <w:p w14:paraId="14E614C7" w14:textId="59B7D78E" w:rsidR="004B34BE" w:rsidRDefault="004B34BE" w:rsidP="00954BBF">
                  <w:pPr>
                    <w:pStyle w:val="NormalWeb"/>
                    <w:shd w:val="clear" w:color="auto" w:fill="FFFFFF"/>
                    <w:spacing w:before="0" w:beforeAutospacing="0" w:after="160" w:afterAutospacing="0" w:line="480" w:lineRule="auto"/>
                    <w:jc w:val="both"/>
                    <w:rPr>
                      <w:color w:val="000000"/>
                      <w:sz w:val="27"/>
                      <w:szCs w:val="27"/>
                    </w:rPr>
                  </w:pPr>
                </w:p>
                <w:p w14:paraId="7CD54470" w14:textId="1CAF856F" w:rsidR="004B34BE" w:rsidRDefault="004B34BE" w:rsidP="00954BBF">
                  <w:pPr>
                    <w:pStyle w:val="NormalWeb"/>
                    <w:shd w:val="clear" w:color="auto" w:fill="FFFFFF"/>
                    <w:spacing w:before="0" w:beforeAutospacing="0" w:after="160" w:afterAutospacing="0" w:line="480" w:lineRule="auto"/>
                    <w:jc w:val="both"/>
                    <w:rPr>
                      <w:color w:val="000000"/>
                      <w:sz w:val="27"/>
                      <w:szCs w:val="27"/>
                    </w:rPr>
                  </w:pPr>
                </w:p>
                <w:p w14:paraId="149EB9D6" w14:textId="284BF74C" w:rsidR="004B34BE" w:rsidRDefault="004B34BE" w:rsidP="00954BBF">
                  <w:pPr>
                    <w:pStyle w:val="NormalWeb"/>
                    <w:shd w:val="clear" w:color="auto" w:fill="FFFFFF"/>
                    <w:spacing w:before="0" w:beforeAutospacing="0" w:after="160" w:afterAutospacing="0" w:line="480" w:lineRule="auto"/>
                    <w:jc w:val="both"/>
                    <w:rPr>
                      <w:color w:val="000000"/>
                      <w:sz w:val="27"/>
                      <w:szCs w:val="27"/>
                    </w:rPr>
                  </w:pPr>
                </w:p>
                <w:p w14:paraId="3EFFA400" w14:textId="70435F86" w:rsidR="004B34BE" w:rsidRDefault="004B34BE" w:rsidP="00954BBF">
                  <w:pPr>
                    <w:pStyle w:val="NormalWeb"/>
                    <w:shd w:val="clear" w:color="auto" w:fill="FFFFFF"/>
                    <w:spacing w:before="0" w:beforeAutospacing="0" w:after="160" w:afterAutospacing="0" w:line="480" w:lineRule="auto"/>
                    <w:jc w:val="both"/>
                    <w:rPr>
                      <w:color w:val="000000"/>
                      <w:sz w:val="27"/>
                      <w:szCs w:val="27"/>
                    </w:rPr>
                  </w:pPr>
                </w:p>
                <w:p w14:paraId="63B49B7A" w14:textId="2B575191" w:rsidR="004B34BE" w:rsidRDefault="004B34BE" w:rsidP="00954BBF">
                  <w:pPr>
                    <w:pStyle w:val="NormalWeb"/>
                    <w:shd w:val="clear" w:color="auto" w:fill="FFFFFF"/>
                    <w:spacing w:before="0" w:beforeAutospacing="0" w:after="160" w:afterAutospacing="0" w:line="480" w:lineRule="auto"/>
                    <w:jc w:val="both"/>
                    <w:rPr>
                      <w:rFonts w:ascii="Times" w:hAnsi="Times"/>
                      <w:color w:val="000000"/>
                      <w:sz w:val="27"/>
                      <w:szCs w:val="27"/>
                    </w:rPr>
                  </w:pPr>
                </w:p>
                <w:p w14:paraId="4FE0E737" w14:textId="02130406" w:rsidR="00192AB6" w:rsidRDefault="00192AB6" w:rsidP="00954BBF">
                  <w:pPr>
                    <w:pStyle w:val="NormalWeb"/>
                    <w:shd w:val="clear" w:color="auto" w:fill="FFFFFF"/>
                    <w:spacing w:before="0" w:beforeAutospacing="0" w:after="160" w:afterAutospacing="0" w:line="480" w:lineRule="auto"/>
                    <w:jc w:val="both"/>
                    <w:rPr>
                      <w:rFonts w:ascii="Times" w:hAnsi="Times"/>
                      <w:color w:val="000000"/>
                      <w:sz w:val="27"/>
                      <w:szCs w:val="27"/>
                    </w:rPr>
                  </w:pPr>
                </w:p>
                <w:p w14:paraId="4098F45B" w14:textId="46E31F79" w:rsidR="00192AB6" w:rsidRDefault="00192AB6" w:rsidP="00954BBF">
                  <w:pPr>
                    <w:pStyle w:val="NormalWeb"/>
                    <w:shd w:val="clear" w:color="auto" w:fill="FFFFFF"/>
                    <w:spacing w:before="0" w:beforeAutospacing="0" w:after="160" w:afterAutospacing="0" w:line="480" w:lineRule="auto"/>
                    <w:jc w:val="both"/>
                    <w:rPr>
                      <w:rFonts w:ascii="Times" w:hAnsi="Times"/>
                      <w:color w:val="000000"/>
                      <w:sz w:val="27"/>
                      <w:szCs w:val="27"/>
                    </w:rPr>
                  </w:pPr>
                </w:p>
                <w:p w14:paraId="123B4BB0" w14:textId="77777777" w:rsidR="00192AB6" w:rsidRDefault="00192AB6" w:rsidP="00192AB6">
                  <w:pPr>
                    <w:pStyle w:val="NormalWeb"/>
                    <w:shd w:val="clear" w:color="auto" w:fill="FFFFFF"/>
                    <w:spacing w:before="0" w:beforeAutospacing="0" w:after="160" w:afterAutospacing="0"/>
                    <w:jc w:val="both"/>
                    <w:rPr>
                      <w:rFonts w:ascii="Times" w:hAnsi="Times"/>
                      <w:color w:val="000000"/>
                      <w:sz w:val="27"/>
                      <w:szCs w:val="27"/>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4B34BE" w14:paraId="203D0594" w14:textId="77777777" w:rsidTr="004B34BE">
                    <w:trPr>
                      <w:tblCellSpacing w:w="0" w:type="dxa"/>
                    </w:trPr>
                    <w:tc>
                      <w:tcPr>
                        <w:tcW w:w="0" w:type="auto"/>
                        <w:shd w:val="clear" w:color="auto" w:fill="FFFFFF"/>
                        <w:vAlign w:val="center"/>
                        <w:hideMark/>
                      </w:tcPr>
                      <w:p w14:paraId="570424AC" w14:textId="77777777" w:rsidR="004B34BE" w:rsidRDefault="004B34BE" w:rsidP="00192AB6">
                        <w:pPr>
                          <w:pStyle w:val="NormalWeb"/>
                          <w:shd w:val="clear" w:color="auto" w:fill="FFFFFF"/>
                          <w:spacing w:before="0" w:beforeAutospacing="0" w:after="0" w:afterAutospacing="0"/>
                          <w:jc w:val="center"/>
                          <w:rPr>
                            <w:rFonts w:ascii="Times" w:hAnsi="Times"/>
                            <w:color w:val="000000"/>
                            <w:sz w:val="27"/>
                            <w:szCs w:val="27"/>
                          </w:rPr>
                        </w:pPr>
                        <w:r>
                          <w:rPr>
                            <w:color w:val="000000"/>
                          </w:rPr>
                          <w:t>Res. No. 189</w:t>
                        </w:r>
                      </w:p>
                      <w:p w14:paraId="54FFB3CC" w14:textId="77777777" w:rsidR="004B34BE" w:rsidRDefault="004B34BE" w:rsidP="004B34BE">
                        <w:pPr>
                          <w:pStyle w:val="NormalWeb"/>
                          <w:shd w:val="clear" w:color="auto" w:fill="FFFFFF"/>
                          <w:spacing w:before="0" w:beforeAutospacing="0" w:after="0" w:afterAutospacing="0"/>
                          <w:jc w:val="both"/>
                          <w:rPr>
                            <w:rFonts w:ascii="Times" w:hAnsi="Times"/>
                            <w:color w:val="000000"/>
                            <w:sz w:val="27"/>
                            <w:szCs w:val="27"/>
                          </w:rPr>
                        </w:pPr>
                        <w:r>
                          <w:rPr>
                            <w:color w:val="000000"/>
                          </w:rPr>
                          <w:t> </w:t>
                        </w:r>
                      </w:p>
                      <w:p w14:paraId="70A186BA" w14:textId="77777777" w:rsidR="004B34BE" w:rsidRDefault="004B34BE" w:rsidP="004B34BE">
                        <w:pPr>
                          <w:pStyle w:val="NormalWeb"/>
                          <w:shd w:val="clear" w:color="auto" w:fill="FFFFFF"/>
                          <w:spacing w:before="0" w:beforeAutospacing="0" w:after="0" w:afterAutospacing="0"/>
                          <w:jc w:val="both"/>
                          <w:rPr>
                            <w:rFonts w:ascii="Times" w:hAnsi="Times"/>
                            <w:color w:val="000000"/>
                            <w:sz w:val="27"/>
                            <w:szCs w:val="27"/>
                          </w:rPr>
                        </w:pPr>
                        <w:r>
                          <w:rPr>
                            <w:color w:val="000000"/>
                          </w:rPr>
                          <w:t>Resolution calling upon the New York State Legislature to pass, and Governor to sign, Senate Bill S.6453 and Assembly Bill A.1466C, the “NYS Build Public Renewables Act” enabling the New York Power Authority to own and build new renewable generation, storage, and transmission.</w:t>
                        </w:r>
                      </w:p>
                      <w:p w14:paraId="7FBA83CE" w14:textId="77777777" w:rsidR="004B34BE" w:rsidRDefault="004B34BE" w:rsidP="004B34BE">
                        <w:pPr>
                          <w:pStyle w:val="NormalWeb"/>
                          <w:shd w:val="clear" w:color="auto" w:fill="FFFFFF"/>
                          <w:spacing w:before="0" w:beforeAutospacing="0" w:after="0" w:afterAutospacing="0"/>
                          <w:jc w:val="both"/>
                          <w:rPr>
                            <w:rFonts w:ascii="Times" w:hAnsi="Times"/>
                            <w:color w:val="000000"/>
                            <w:sz w:val="27"/>
                            <w:szCs w:val="27"/>
                          </w:rPr>
                        </w:pPr>
                        <w:r>
                          <w:rPr>
                            <w:color w:val="000000"/>
                          </w:rPr>
                          <w:t> </w:t>
                        </w:r>
                      </w:p>
                      <w:p w14:paraId="315F67F4" w14:textId="724F5B28" w:rsidR="004B34BE" w:rsidRDefault="004B34BE" w:rsidP="004B34BE">
                        <w:pPr>
                          <w:pStyle w:val="NormalWeb"/>
                          <w:shd w:val="clear" w:color="auto" w:fill="FFFFFF"/>
                          <w:spacing w:before="0" w:beforeAutospacing="0" w:after="0" w:afterAutospacing="0"/>
                          <w:rPr>
                            <w:rFonts w:ascii="Times" w:hAnsi="Times"/>
                            <w:color w:val="000000"/>
                            <w:sz w:val="27"/>
                            <w:szCs w:val="27"/>
                          </w:rPr>
                        </w:pPr>
                        <w:r>
                          <w:rPr>
                            <w:color w:val="000000"/>
                          </w:rPr>
                          <w:t>By Council Members Avilés, Louis, Hudson, Brannan, Hanif, Joseph, Nurse, Abreu, Restler, Won, Gutiérrez, Cabán, Schulman, Menin, Marte, Bottcher, Dinowitz, De La Rosa, Sanchez, Narcisse, Velázquez, Farias, Richardson Jordan, Ossé</w:t>
                        </w:r>
                        <w:r w:rsidR="008F4B47">
                          <w:rPr>
                            <w:color w:val="000000"/>
                          </w:rPr>
                          <w:t xml:space="preserve">, </w:t>
                        </w:r>
                        <w:r>
                          <w:rPr>
                            <w:color w:val="000000"/>
                          </w:rPr>
                          <w:t>Williams</w:t>
                        </w:r>
                        <w:r w:rsidR="008F4B47" w:rsidRPr="008F4B47">
                          <w:rPr>
                            <w:color w:val="000000"/>
                          </w:rPr>
                          <w:t>, Brewer and Krishnan (in conjunction with the Brooklyn Borough President)</w:t>
                        </w:r>
                      </w:p>
                      <w:p w14:paraId="3423C7B2" w14:textId="77777777" w:rsidR="004B34BE" w:rsidRDefault="004B34BE" w:rsidP="004B34BE">
                        <w:pPr>
                          <w:pStyle w:val="NormalWeb"/>
                          <w:shd w:val="clear" w:color="auto" w:fill="FFFFFF"/>
                          <w:spacing w:before="0" w:beforeAutospacing="0" w:after="0" w:afterAutospacing="0"/>
                          <w:rPr>
                            <w:rFonts w:ascii="Times" w:hAnsi="Times"/>
                            <w:color w:val="000000"/>
                            <w:sz w:val="27"/>
                            <w:szCs w:val="27"/>
                          </w:rPr>
                        </w:pPr>
                        <w:r>
                          <w:rPr>
                            <w:color w:val="000000"/>
                          </w:rPr>
                          <w:t> </w:t>
                        </w:r>
                      </w:p>
                      <w:p w14:paraId="5BB0B926" w14:textId="77777777" w:rsidR="004B34BE" w:rsidRDefault="004B34BE" w:rsidP="004B34BE">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rPr>
                          <w:t>Whereas, In 2021,</w:t>
                        </w:r>
                        <w:r>
                          <w:rPr>
                            <w:rFonts w:ascii="Helvetica" w:hAnsi="Helvetica"/>
                            <w:color w:val="1645B7"/>
                            <w:sz w:val="26"/>
                            <w:szCs w:val="26"/>
                          </w:rPr>
                          <w:t> </w:t>
                        </w:r>
                        <w:r>
                          <w:rPr>
                            <w:color w:val="000000"/>
                          </w:rPr>
                          <w:t>New York State’s electric grid was comprised of approximately 30% renewable generation resources, with approximately 4% provided by wind, 2.5% solar assets statewide. Environmental advocates have expressed concerns that there are insufficient renewable projects in the pipeline to meet the Climate Leadership and Community Protection Act’s (CLCPA) mandated target of 70% renewable energy by 2030, and a zero emission grid by 2040; and</w:t>
                        </w:r>
                      </w:p>
                      <w:p w14:paraId="25BBDD91" w14:textId="77777777" w:rsidR="004B34BE" w:rsidRDefault="004B34BE" w:rsidP="004B34BE">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rPr>
                          <w:t>Whereas, In New York City, electricity is largely generated via the combustion of fossil fuels, with approximately 85% of the electric supply sourced from fossil-fuel combustion plants in 2021, compared to upstate, where only 12% is sourced from fossil-fuel combustion plants and 88% of the electricity is supplied via renewable generation; and</w:t>
                        </w:r>
                      </w:p>
                      <w:p w14:paraId="332FD9B2" w14:textId="77777777" w:rsidR="004B34BE" w:rsidRDefault="004B34BE" w:rsidP="004B34BE">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rPr>
                          <w:t>Whereas, The combustion of fossil fuels for energy production leads to the emission of airborne pollutants such as sulfur dioxide (SO</w:t>
                        </w:r>
                        <w:r>
                          <w:rPr>
                            <w:color w:val="000000"/>
                            <w:vertAlign w:val="subscript"/>
                          </w:rPr>
                          <w:t>2</w:t>
                        </w:r>
                        <w:r>
                          <w:rPr>
                            <w:color w:val="000000"/>
                          </w:rPr>
                          <w:t>), nitrogen oxides (NO</w:t>
                        </w:r>
                        <w:r>
                          <w:rPr>
                            <w:color w:val="000000"/>
                            <w:vertAlign w:val="subscript"/>
                          </w:rPr>
                          <w:t>X</w:t>
                        </w:r>
                        <w:r>
                          <w:rPr>
                            <w:color w:val="000000"/>
                          </w:rPr>
                          <w:t>), particulate matter (PM), carbon dioxide (CO</w:t>
                        </w:r>
                        <w:r>
                          <w:rPr>
                            <w:color w:val="000000"/>
                            <w:vertAlign w:val="subscript"/>
                          </w:rPr>
                          <w:t>2</w:t>
                        </w:r>
                        <w:r>
                          <w:rPr>
                            <w:color w:val="000000"/>
                          </w:rPr>
                          <w:t>), mercury (Hg), among others; and</w:t>
                        </w:r>
                      </w:p>
                      <w:p w14:paraId="4DBF4938" w14:textId="77777777" w:rsidR="004B34BE" w:rsidRDefault="004B34BE" w:rsidP="004B34BE">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rPr>
                          <w:t>Whereas, According to the United States Environmental Protection Agency, exposure to these pollutants has been linked to a variety of negative health effects, both physical and psychological. Positive correlations have been found between exposure to elevated levels of airborne pollutants and worsened mental health outcomes, increased rates of certain cancers, higher incidences of asthma, bronchitis, heart disease, emergency room visits, and premature death; and</w:t>
                        </w:r>
                      </w:p>
                      <w:p w14:paraId="3E68D517" w14:textId="77777777" w:rsidR="004B34BE" w:rsidRDefault="004B34BE" w:rsidP="004B34BE">
                        <w:pPr>
                          <w:pStyle w:val="NormalWeb"/>
                          <w:shd w:val="clear" w:color="auto" w:fill="FFFFFF"/>
                          <w:spacing w:before="0" w:beforeAutospacing="0" w:after="160" w:afterAutospacing="0" w:line="480" w:lineRule="auto"/>
                          <w:ind w:firstLine="720"/>
                          <w:jc w:val="both"/>
                          <w:rPr>
                            <w:rFonts w:ascii="Times" w:hAnsi="Times"/>
                            <w:color w:val="000000"/>
                            <w:sz w:val="27"/>
                            <w:szCs w:val="27"/>
                          </w:rPr>
                        </w:pPr>
                        <w:r>
                          <w:rPr>
                            <w:color w:val="000000"/>
                          </w:rPr>
                          <w:t>Whereas, Statistical analysis in California suggests that power plants, are more likely to be sited in economically disadvantaged communities, a trend that holds true when plotting the location of NYC’s in-city power plants over maps showing concentrations of persons of self-identified minority status and percentages of communities at or below the federal poverty guideline; and</w:t>
                        </w:r>
                      </w:p>
                      <w:p w14:paraId="56C3B4D6" w14:textId="77777777" w:rsidR="004B34BE" w:rsidRDefault="004B34BE" w:rsidP="004B34BE">
                        <w:pPr>
                          <w:pStyle w:val="NormalWeb"/>
                          <w:shd w:val="clear" w:color="auto" w:fill="FFFFFF"/>
                          <w:spacing w:before="0" w:beforeAutospacing="0" w:after="160" w:afterAutospacing="0" w:line="480" w:lineRule="auto"/>
                          <w:ind w:firstLine="720"/>
                          <w:jc w:val="both"/>
                          <w:rPr>
                            <w:rFonts w:ascii="Times" w:hAnsi="Times"/>
                            <w:color w:val="000000"/>
                            <w:sz w:val="27"/>
                            <w:szCs w:val="27"/>
                          </w:rPr>
                        </w:pPr>
                        <w:r>
                          <w:rPr>
                            <w:color w:val="000000"/>
                          </w:rPr>
                          <w:t>Whereas, The New York City Mayor’s Office of Climate and Environmental Justice acknowledges that the City must maximize the use of renewables within the city</w:t>
                        </w:r>
                        <w:r>
                          <w:rPr>
                            <w:rFonts w:ascii="Calibri" w:hAnsi="Calibri" w:cs="Calibri"/>
                            <w:color w:val="000000"/>
                          </w:rPr>
                          <w:t>,</w:t>
                        </w:r>
                        <w:r>
                          <w:rPr>
                            <w:color w:val="000000"/>
                          </w:rPr>
                          <w:t> and increase transmission from clean power sources outside the city, in order to meet the CLCPA mandated goal of an 100% zero emissions grid by 2040; and</w:t>
                        </w:r>
                      </w:p>
                      <w:p w14:paraId="2CFD5BA5" w14:textId="77777777" w:rsidR="004B34BE" w:rsidRDefault="004B34BE" w:rsidP="004B34BE">
                        <w:pPr>
                          <w:pStyle w:val="NormalWeb"/>
                          <w:shd w:val="clear" w:color="auto" w:fill="FFFFFF"/>
                          <w:spacing w:before="0" w:beforeAutospacing="0" w:after="160" w:afterAutospacing="0" w:line="480" w:lineRule="auto"/>
                          <w:ind w:firstLine="720"/>
                          <w:jc w:val="both"/>
                          <w:rPr>
                            <w:rFonts w:ascii="Times" w:hAnsi="Times"/>
                            <w:color w:val="000000"/>
                            <w:sz w:val="27"/>
                            <w:szCs w:val="27"/>
                          </w:rPr>
                        </w:pPr>
                        <w:r>
                          <w:rPr>
                            <w:color w:val="000000"/>
                          </w:rPr>
                          <w:t>Whereas, The New York Power Authority (NYPA) is the largest public utility in the country, providing approximately 25% of New York’s energy, around 80% of which is renewable hydroelectric power, the most affordable source of energy available in the state; and</w:t>
                        </w:r>
                      </w:p>
                      <w:p w14:paraId="0EB1A3FC" w14:textId="77777777" w:rsidR="004B34BE" w:rsidRDefault="004B34BE" w:rsidP="004B34BE">
                        <w:pPr>
                          <w:pStyle w:val="NormalWeb"/>
                          <w:shd w:val="clear" w:color="auto" w:fill="FFFFFF"/>
                          <w:spacing w:before="0" w:beforeAutospacing="0" w:after="160" w:afterAutospacing="0" w:line="480" w:lineRule="auto"/>
                          <w:ind w:firstLine="720"/>
                          <w:jc w:val="both"/>
                          <w:rPr>
                            <w:rFonts w:ascii="Times" w:hAnsi="Times"/>
                            <w:color w:val="000000"/>
                            <w:sz w:val="27"/>
                            <w:szCs w:val="27"/>
                          </w:rPr>
                        </w:pPr>
                        <w:r>
                          <w:rPr>
                            <w:color w:val="000000"/>
                          </w:rPr>
                          <w:t>Whereas, The</w:t>
                        </w:r>
                        <w:r>
                          <w:rPr>
                            <w:rFonts w:ascii="Calibri" w:hAnsi="Calibri" w:cs="Calibri"/>
                            <w:color w:val="000000"/>
                          </w:rPr>
                          <w:t> </w:t>
                        </w:r>
                        <w:r>
                          <w:rPr>
                            <w:color w:val="000000"/>
                          </w:rPr>
                          <w:t>NYPA is currently barred by its charter from owning more than six generation projects over 25 megawatts, a restriction that would be removed by The Build Public Renewables Act, allowing the NYPA to scale up new large-scale renewable sources faster, cheaper, and, as a public entity accountable to New Yorkers, potentially more democratically than private developers can; and</w:t>
                        </w:r>
                      </w:p>
                      <w:p w14:paraId="4FECA242" w14:textId="77777777" w:rsidR="004B34BE" w:rsidRDefault="004B34BE" w:rsidP="004B34BE">
                        <w:pPr>
                          <w:pStyle w:val="NormalWeb"/>
                          <w:shd w:val="clear" w:color="auto" w:fill="FFFFFF"/>
                          <w:spacing w:before="0" w:beforeAutospacing="0" w:after="160" w:afterAutospacing="0" w:line="480" w:lineRule="auto"/>
                          <w:ind w:firstLine="720"/>
                          <w:jc w:val="both"/>
                          <w:rPr>
                            <w:rFonts w:ascii="Times" w:hAnsi="Times"/>
                            <w:color w:val="000000"/>
                            <w:sz w:val="27"/>
                            <w:szCs w:val="27"/>
                          </w:rPr>
                        </w:pPr>
                        <w:r>
                          <w:rPr>
                            <w:color w:val="000000"/>
                          </w:rPr>
                          <w:t>Whereas, The legislation will enable the NYPA to sell additional low-cost renewable energy directly to all customer classes at wholesale prices, with disadvantaged communities and low-income customers prioritized and automatically enrolled to receive the lowest-cost NYPA power on an opt-out basis; and</w:t>
                        </w:r>
                      </w:p>
                      <w:p w14:paraId="4419A228" w14:textId="77777777" w:rsidR="004B34BE" w:rsidRDefault="004B34BE" w:rsidP="004B34BE">
                        <w:pPr>
                          <w:pStyle w:val="NormalWeb"/>
                          <w:shd w:val="clear" w:color="auto" w:fill="FFFFFF"/>
                          <w:spacing w:before="0" w:beforeAutospacing="0" w:after="160" w:afterAutospacing="0" w:line="480" w:lineRule="auto"/>
                          <w:ind w:firstLine="720"/>
                          <w:jc w:val="both"/>
                          <w:rPr>
                            <w:rFonts w:ascii="Times" w:hAnsi="Times"/>
                            <w:color w:val="000000"/>
                            <w:sz w:val="27"/>
                            <w:szCs w:val="27"/>
                          </w:rPr>
                        </w:pPr>
                        <w:r>
                          <w:rPr>
                            <w:color w:val="000000"/>
                          </w:rPr>
                          <w:t>Whereas, The advocacy group Public Power NY estimates that the bill would be revenue neutral for the State and could be financed through a combination of NYPA’s low-cost bond issuances and progressive electric rates, helping to ensure that the renewable transition is undertaken as affordably as possible; and</w:t>
                        </w:r>
                      </w:p>
                      <w:p w14:paraId="266EACC1" w14:textId="77777777" w:rsidR="004B34BE" w:rsidRDefault="004B34BE" w:rsidP="004B34BE">
                        <w:pPr>
                          <w:pStyle w:val="NormalWeb"/>
                          <w:shd w:val="clear" w:color="auto" w:fill="FFFFFF"/>
                          <w:spacing w:before="0" w:beforeAutospacing="0" w:after="160" w:afterAutospacing="0" w:line="480" w:lineRule="auto"/>
                          <w:ind w:firstLine="720"/>
                          <w:jc w:val="both"/>
                          <w:rPr>
                            <w:rFonts w:ascii="Times" w:hAnsi="Times"/>
                            <w:color w:val="000000"/>
                            <w:sz w:val="27"/>
                            <w:szCs w:val="27"/>
                          </w:rPr>
                        </w:pPr>
                        <w:r>
                          <w:rPr>
                            <w:color w:val="000000"/>
                          </w:rPr>
                          <w:t>Whereas, According to a study published by environmental advocacy group The Climate + Community Project, the bill has the potential to generate $48.6-$93.5 billion in economic activity statewide by 2030, and would help ensure that more of the dollars New Yorkers spend on energy stay within the state by reducing reliance on fossil fuel purchased from out of state, and reducing reliance on corporations for the buildout of renewable resources like offshore wind; and</w:t>
                        </w:r>
                      </w:p>
                      <w:p w14:paraId="7EE621E1" w14:textId="77777777" w:rsidR="004B34BE" w:rsidRDefault="004B34BE" w:rsidP="004B34BE">
                        <w:pPr>
                          <w:pStyle w:val="NormalWeb"/>
                          <w:shd w:val="clear" w:color="auto" w:fill="FFFFFF"/>
                          <w:spacing w:before="0" w:beforeAutospacing="0" w:after="160" w:afterAutospacing="0" w:line="480" w:lineRule="auto"/>
                          <w:ind w:firstLine="720"/>
                          <w:jc w:val="both"/>
                          <w:rPr>
                            <w:rFonts w:ascii="Times" w:hAnsi="Times"/>
                            <w:color w:val="000000"/>
                            <w:sz w:val="27"/>
                            <w:szCs w:val="27"/>
                          </w:rPr>
                        </w:pPr>
                        <w:r>
                          <w:rPr>
                            <w:color w:val="000000"/>
                          </w:rPr>
                          <w:t>Whereas,</w:t>
                        </w:r>
                        <w:r>
                          <w:rPr>
                            <w:rFonts w:ascii="Helvetica" w:hAnsi="Helvetica"/>
                            <w:color w:val="1645B7"/>
                            <w:sz w:val="26"/>
                            <w:szCs w:val="26"/>
                          </w:rPr>
                          <w:t> </w:t>
                        </w:r>
                        <w:r>
                          <w:rPr>
                            <w:color w:val="000000"/>
                          </w:rPr>
                          <w:t>The study also estimates that the bill has the potential to create 28,410 to 51,133 well-paying green jobs, would assist in the just transition for fossil fuel industry workers to the green economy, as</w:t>
                        </w:r>
                        <w:r>
                          <w:rPr>
                            <w:rFonts w:ascii="Helvetica" w:hAnsi="Helvetica"/>
                            <w:color w:val="1645B7"/>
                            <w:sz w:val="26"/>
                            <w:szCs w:val="26"/>
                          </w:rPr>
                          <w:t> </w:t>
                        </w:r>
                        <w:r>
                          <w:rPr>
                            <w:color w:val="000000"/>
                          </w:rPr>
                          <w:t>all NYPA projects must pay prevailing wages, remain neutral to unionization, and remain subject to project labor agreements; now, therefore, be it</w:t>
                        </w:r>
                      </w:p>
                      <w:p w14:paraId="5DAEB6AA" w14:textId="77777777" w:rsidR="004B34BE" w:rsidRDefault="004B34BE" w:rsidP="004B34BE">
                        <w:pPr>
                          <w:pStyle w:val="NormalWeb"/>
                          <w:shd w:val="clear" w:color="auto" w:fill="FFFFFF"/>
                          <w:spacing w:before="0" w:beforeAutospacing="0" w:after="160" w:afterAutospacing="0" w:line="480" w:lineRule="auto"/>
                          <w:jc w:val="both"/>
                          <w:rPr>
                            <w:rFonts w:ascii="Times" w:hAnsi="Times"/>
                            <w:color w:val="000000"/>
                            <w:sz w:val="27"/>
                            <w:szCs w:val="27"/>
                          </w:rPr>
                        </w:pPr>
                        <w:r>
                          <w:rPr>
                            <w:color w:val="000000"/>
                            <w:sz w:val="14"/>
                            <w:szCs w:val="14"/>
                          </w:rPr>
                          <w:t>                     </w:t>
                        </w:r>
                        <w:r>
                          <w:rPr>
                            <w:color w:val="000000"/>
                          </w:rPr>
                          <w:t>Resolved, That the Council of the City of New York calls upon the New York State Legislature to pass, and Governor to sign, Senate Bill S.6453 and Assembly Bill A1466C, the “NYS Build Public Renewables Act” enabling the New York Power Authority to own and build new renewable generation, storage, and transmission.</w:t>
                        </w:r>
                      </w:p>
                      <w:p w14:paraId="12A27067" w14:textId="77777777" w:rsidR="004B34BE" w:rsidRDefault="004B34BE" w:rsidP="004B34BE">
                        <w:pPr>
                          <w:pStyle w:val="NormalWeb"/>
                          <w:shd w:val="clear" w:color="auto" w:fill="FFFFFF"/>
                          <w:spacing w:before="0" w:beforeAutospacing="0" w:after="0" w:afterAutospacing="0"/>
                          <w:jc w:val="both"/>
                          <w:rPr>
                            <w:rFonts w:ascii="Times" w:hAnsi="Times"/>
                            <w:color w:val="000000"/>
                            <w:sz w:val="27"/>
                            <w:szCs w:val="27"/>
                          </w:rPr>
                        </w:pPr>
                        <w:r>
                          <w:rPr>
                            <w:color w:val="000000"/>
                            <w:sz w:val="18"/>
                            <w:szCs w:val="18"/>
                          </w:rPr>
                          <w:t>NRC</w:t>
                        </w:r>
                      </w:p>
                      <w:p w14:paraId="7CBECE52" w14:textId="77777777" w:rsidR="004B34BE" w:rsidRDefault="004B34BE" w:rsidP="004B34BE">
                        <w:pPr>
                          <w:pStyle w:val="NormalWeb"/>
                          <w:shd w:val="clear" w:color="auto" w:fill="FFFFFF"/>
                          <w:spacing w:before="0" w:beforeAutospacing="0" w:after="0" w:afterAutospacing="0"/>
                          <w:jc w:val="both"/>
                          <w:rPr>
                            <w:rFonts w:ascii="Times" w:hAnsi="Times"/>
                            <w:color w:val="000000"/>
                            <w:sz w:val="27"/>
                            <w:szCs w:val="27"/>
                          </w:rPr>
                        </w:pPr>
                        <w:r>
                          <w:rPr>
                            <w:color w:val="000000"/>
                            <w:sz w:val="18"/>
                            <w:szCs w:val="18"/>
                          </w:rPr>
                          <w:t>LS#7200</w:t>
                        </w:r>
                      </w:p>
                      <w:p w14:paraId="3EFE14C1" w14:textId="77777777" w:rsidR="004B34BE" w:rsidRDefault="004B34BE" w:rsidP="004B34BE">
                        <w:pPr>
                          <w:pStyle w:val="NormalWeb"/>
                          <w:shd w:val="clear" w:color="auto" w:fill="FFFFFF"/>
                          <w:spacing w:before="0" w:beforeAutospacing="0" w:after="0" w:afterAutospacing="0"/>
                          <w:jc w:val="both"/>
                          <w:rPr>
                            <w:rFonts w:ascii="Times" w:hAnsi="Times"/>
                            <w:color w:val="000000"/>
                            <w:sz w:val="27"/>
                            <w:szCs w:val="27"/>
                          </w:rPr>
                        </w:pPr>
                        <w:r>
                          <w:rPr>
                            <w:color w:val="000000"/>
                            <w:sz w:val="18"/>
                            <w:szCs w:val="18"/>
                          </w:rPr>
                          <w:t>5/25/2022</w:t>
                        </w:r>
                        <w:r>
                          <w:rPr>
                            <w:color w:val="000000"/>
                            <w:sz w:val="14"/>
                            <w:szCs w:val="14"/>
                          </w:rPr>
                          <w:t>                     </w:t>
                        </w:r>
                      </w:p>
                      <w:p w14:paraId="346EF86C" w14:textId="77777777" w:rsidR="004B34BE" w:rsidRDefault="004B34BE" w:rsidP="004B34BE">
                        <w:pPr>
                          <w:pStyle w:val="NormalWeb"/>
                          <w:shd w:val="clear" w:color="auto" w:fill="FFFFFF"/>
                          <w:spacing w:before="0" w:beforeAutospacing="0" w:after="160" w:afterAutospacing="0"/>
                          <w:rPr>
                            <w:rFonts w:ascii="Times" w:hAnsi="Times"/>
                            <w:color w:val="000000"/>
                            <w:sz w:val="27"/>
                            <w:szCs w:val="27"/>
                          </w:rPr>
                        </w:pPr>
                        <w:r>
                          <w:rPr>
                            <w:rFonts w:ascii="Calibri" w:hAnsi="Calibri" w:cs="Calibri"/>
                            <w:color w:val="000000"/>
                            <w:sz w:val="22"/>
                            <w:szCs w:val="22"/>
                          </w:rPr>
                          <w:t> </w:t>
                        </w:r>
                      </w:p>
                    </w:tc>
                  </w:tr>
                </w:tbl>
                <w:p w14:paraId="6817A2D8" w14:textId="5FF30A38" w:rsidR="00954BBF" w:rsidRDefault="004B34BE" w:rsidP="001A50DF">
                  <w:pPr>
                    <w:jc w:val="center"/>
                    <w:rPr>
                      <w:rFonts w:ascii="Times" w:hAnsi="Times"/>
                      <w:sz w:val="27"/>
                      <w:szCs w:val="27"/>
                    </w:rPr>
                  </w:pPr>
                  <w:r>
                    <w:rPr>
                      <w:rFonts w:ascii="Times" w:hAnsi="Times"/>
                      <w:color w:val="000000"/>
                      <w:sz w:val="27"/>
                      <w:szCs w:val="27"/>
                    </w:rPr>
                    <w:br/>
                  </w:r>
                  <w:r w:rsidR="005C4F89">
                    <w:t>[This page intentionally left blank.]</w:t>
                  </w:r>
                </w:p>
                <w:p w14:paraId="6DCF1FF2" w14:textId="77777777" w:rsidR="00954BBF" w:rsidRDefault="00954BBF" w:rsidP="00954BBF">
                  <w:pPr>
                    <w:pStyle w:val="NormalWeb"/>
                    <w:shd w:val="clear" w:color="auto" w:fill="FFFFFF"/>
                    <w:spacing w:before="0" w:beforeAutospacing="0" w:after="160" w:afterAutospacing="0"/>
                    <w:rPr>
                      <w:rFonts w:ascii="Times" w:hAnsi="Times"/>
                      <w:color w:val="000000"/>
                      <w:sz w:val="27"/>
                      <w:szCs w:val="27"/>
                    </w:rPr>
                  </w:pPr>
                  <w:r>
                    <w:rPr>
                      <w:rFonts w:ascii="Calibri" w:hAnsi="Calibri" w:cs="Calibri"/>
                      <w:color w:val="000000"/>
                      <w:sz w:val="22"/>
                      <w:szCs w:val="22"/>
                    </w:rPr>
                    <w:t> </w:t>
                  </w:r>
                </w:p>
              </w:tc>
            </w:tr>
          </w:tbl>
          <w:p w14:paraId="0A166F2D" w14:textId="77777777" w:rsidR="00954BBF" w:rsidRDefault="00954BBF" w:rsidP="00954BBF">
            <w:r>
              <w:rPr>
                <w:rFonts w:ascii="Times" w:hAnsi="Times"/>
                <w:color w:val="000000"/>
                <w:sz w:val="27"/>
                <w:szCs w:val="27"/>
              </w:rPr>
              <w:br/>
            </w:r>
          </w:p>
          <w:p w14:paraId="049BE668" w14:textId="4C438242" w:rsidR="00D45BAC" w:rsidRPr="00D45BAC" w:rsidRDefault="00D45BAC" w:rsidP="00D45BAC">
            <w:pPr>
              <w:shd w:val="clear" w:color="auto" w:fill="FFFFFF"/>
              <w:jc w:val="both"/>
              <w:rPr>
                <w:rFonts w:ascii="Times" w:hAnsi="Times"/>
                <w:color w:val="000000"/>
                <w:sz w:val="27"/>
                <w:szCs w:val="27"/>
              </w:rPr>
            </w:pPr>
          </w:p>
        </w:tc>
      </w:tr>
      <w:tr w:rsidR="004A5987" w:rsidRPr="00D45BAC" w14:paraId="23FF0C82" w14:textId="77777777" w:rsidTr="00D45BAC">
        <w:trPr>
          <w:tblCellSpacing w:w="0" w:type="dxa"/>
        </w:trPr>
        <w:tc>
          <w:tcPr>
            <w:tcW w:w="0" w:type="auto"/>
            <w:shd w:val="clear" w:color="auto" w:fill="FFFFFF"/>
            <w:vAlign w:val="center"/>
          </w:tcPr>
          <w:p w14:paraId="32CE00BC" w14:textId="77777777" w:rsidR="004A5987" w:rsidRPr="00D45BAC" w:rsidRDefault="004A5987" w:rsidP="00D45BAC">
            <w:pPr>
              <w:shd w:val="clear" w:color="auto" w:fill="FFFFFF"/>
              <w:jc w:val="center"/>
              <w:rPr>
                <w:color w:val="000000"/>
              </w:rPr>
            </w:pPr>
          </w:p>
        </w:tc>
      </w:tr>
    </w:tbl>
    <w:p w14:paraId="78E74AF4" w14:textId="6DBF3081" w:rsidR="00D45BAC" w:rsidRPr="00D45BAC" w:rsidRDefault="00D45BAC" w:rsidP="00D45BAC">
      <w:r w:rsidRPr="00D45BAC">
        <w:rPr>
          <w:rFonts w:ascii="Times" w:hAnsi="Times"/>
          <w:color w:val="000000"/>
          <w:sz w:val="27"/>
          <w:szCs w:val="27"/>
        </w:rPr>
        <w:br/>
      </w:r>
    </w:p>
    <w:p w14:paraId="01922D7D" w14:textId="77777777" w:rsidR="00E91F94" w:rsidRPr="00E91F94" w:rsidRDefault="00E91F94" w:rsidP="00E91F94">
      <w:r w:rsidRPr="00E91F94">
        <w:rPr>
          <w:rFonts w:ascii="Times" w:hAnsi="Times"/>
          <w:color w:val="000000"/>
          <w:sz w:val="27"/>
          <w:szCs w:val="27"/>
        </w:rPr>
        <w:br/>
      </w:r>
    </w:p>
    <w:p w14:paraId="3FD79B6F" w14:textId="4D72C745" w:rsidR="00E91F94" w:rsidRDefault="00E91F94"/>
    <w:p w14:paraId="475379A8" w14:textId="686F08D5" w:rsidR="00E91F94" w:rsidRDefault="00E91F94"/>
    <w:p w14:paraId="06B2B550" w14:textId="10E2810D" w:rsidR="00E91F94" w:rsidRDefault="00E91F94"/>
    <w:p w14:paraId="5C7D9208" w14:textId="58583397" w:rsidR="00E91F94" w:rsidRDefault="00E91F94"/>
    <w:p w14:paraId="4AC01D45" w14:textId="472FABBE" w:rsidR="00E91F94" w:rsidRDefault="00E91F94"/>
    <w:p w14:paraId="0ADC8366" w14:textId="48A99EB2" w:rsidR="00E91F94" w:rsidRDefault="00E91F94"/>
    <w:p w14:paraId="2E39E6CF" w14:textId="7E586C5C" w:rsidR="00E91F94" w:rsidRDefault="00E91F94"/>
    <w:p w14:paraId="21420B79" w14:textId="7DBED2C8" w:rsidR="00E91F94" w:rsidRDefault="00E91F94"/>
    <w:p w14:paraId="1CA93AD8" w14:textId="2343316F" w:rsidR="00E91F94" w:rsidRDefault="00E91F94"/>
    <w:p w14:paraId="63CC354E" w14:textId="2C25E434" w:rsidR="00E91F94" w:rsidRDefault="00E91F94"/>
    <w:p w14:paraId="44B063D3" w14:textId="3DF273B0" w:rsidR="00E91F94" w:rsidRDefault="00E91F94"/>
    <w:p w14:paraId="194CFF35" w14:textId="39E746AE" w:rsidR="00E91F94" w:rsidRDefault="00E91F94"/>
    <w:p w14:paraId="788F646A" w14:textId="07D3538A" w:rsidR="00E91F94" w:rsidRDefault="00E91F94"/>
    <w:p w14:paraId="51389C3D" w14:textId="03CEB877" w:rsidR="00192AB6" w:rsidRDefault="00192AB6"/>
    <w:p w14:paraId="2C875AB7" w14:textId="5FAFDBC5" w:rsidR="00192AB6" w:rsidRDefault="00192AB6"/>
    <w:p w14:paraId="788F04BB" w14:textId="21B576EB" w:rsidR="00192AB6" w:rsidRDefault="00192AB6"/>
    <w:p w14:paraId="499FC7F3" w14:textId="11C6800F" w:rsidR="00192AB6" w:rsidRDefault="00192AB6"/>
    <w:p w14:paraId="072B7D92" w14:textId="2A7CED68" w:rsidR="00192AB6" w:rsidRDefault="00192AB6"/>
    <w:p w14:paraId="15AC7E6F" w14:textId="157B1F06" w:rsidR="00192AB6" w:rsidRDefault="00192AB6"/>
    <w:p w14:paraId="2F61F396" w14:textId="5BCA8321" w:rsidR="00192AB6" w:rsidRDefault="00192AB6"/>
    <w:p w14:paraId="03156754" w14:textId="6729A8ED" w:rsidR="00192AB6" w:rsidRDefault="00192AB6"/>
    <w:p w14:paraId="44427AC5" w14:textId="456CACE9" w:rsidR="00192AB6" w:rsidRDefault="00192AB6"/>
    <w:p w14:paraId="75323C36" w14:textId="233CCE18" w:rsidR="00192AB6" w:rsidRDefault="00192AB6"/>
    <w:p w14:paraId="6EBB268A" w14:textId="1CC26256" w:rsidR="00192AB6" w:rsidRDefault="00192AB6"/>
    <w:p w14:paraId="68434DCA" w14:textId="790C2256" w:rsidR="00192AB6" w:rsidRDefault="00192AB6"/>
    <w:p w14:paraId="618E22EB" w14:textId="24DE7DF2" w:rsidR="00192AB6" w:rsidRDefault="00192AB6"/>
    <w:p w14:paraId="069267F6" w14:textId="60B40215" w:rsidR="00192AB6" w:rsidRDefault="00192AB6"/>
    <w:p w14:paraId="74C0D1F7" w14:textId="75B1E655" w:rsidR="00EC3877" w:rsidRDefault="00EC3877"/>
    <w:p w14:paraId="44DE2EAF" w14:textId="0C2BD5E9" w:rsidR="00EC3877" w:rsidRDefault="00EC3877"/>
    <w:p w14:paraId="08B9F2C3" w14:textId="1EC661A6" w:rsidR="00EC3877" w:rsidRDefault="00EC3877"/>
    <w:p w14:paraId="3B9CE649" w14:textId="2DE75041" w:rsidR="00EC3877" w:rsidRDefault="00EC3877"/>
    <w:p w14:paraId="1DFEA176" w14:textId="77777777" w:rsidR="00EC3877" w:rsidRDefault="00EC3877"/>
    <w:p w14:paraId="704FD658" w14:textId="41DEE208" w:rsidR="00192AB6" w:rsidRDefault="00192AB6"/>
    <w:p w14:paraId="7D5A1B23" w14:textId="77777777" w:rsidR="00A46038" w:rsidRDefault="00A46038"/>
    <w:p w14:paraId="399DC249" w14:textId="77777777" w:rsidR="00192AB6" w:rsidRPr="00192AB6" w:rsidRDefault="00192AB6" w:rsidP="00192AB6">
      <w:pPr>
        <w:shd w:val="clear" w:color="auto" w:fill="FFFFFF"/>
        <w:jc w:val="center"/>
        <w:rPr>
          <w:rFonts w:ascii="Times" w:hAnsi="Times"/>
          <w:color w:val="000000"/>
          <w:sz w:val="27"/>
          <w:szCs w:val="27"/>
        </w:rPr>
      </w:pPr>
      <w:r w:rsidRPr="00192AB6">
        <w:rPr>
          <w:color w:val="000000"/>
        </w:rPr>
        <w:t>Proposed Res. No. 258-A</w:t>
      </w:r>
    </w:p>
    <w:p w14:paraId="74334ED8" w14:textId="77777777" w:rsidR="00192AB6" w:rsidRPr="00192AB6" w:rsidRDefault="00192AB6" w:rsidP="00192AB6">
      <w:pPr>
        <w:shd w:val="clear" w:color="auto" w:fill="FFFFFF"/>
        <w:rPr>
          <w:rFonts w:ascii="Times" w:hAnsi="Times"/>
          <w:color w:val="000000"/>
          <w:sz w:val="27"/>
          <w:szCs w:val="27"/>
        </w:rPr>
      </w:pPr>
      <w:r w:rsidRPr="00192AB6">
        <w:rPr>
          <w:color w:val="000000"/>
        </w:rPr>
        <w:t> </w:t>
      </w:r>
    </w:p>
    <w:p w14:paraId="6F64BCFC" w14:textId="77777777" w:rsidR="00192AB6" w:rsidRPr="00192AB6" w:rsidRDefault="00192AB6" w:rsidP="00192AB6">
      <w:pPr>
        <w:shd w:val="clear" w:color="auto" w:fill="FFFFFF"/>
        <w:jc w:val="both"/>
        <w:rPr>
          <w:rFonts w:ascii="Times" w:hAnsi="Times"/>
          <w:color w:val="000000"/>
          <w:sz w:val="27"/>
          <w:szCs w:val="27"/>
        </w:rPr>
      </w:pPr>
      <w:r w:rsidRPr="00192AB6">
        <w:rPr>
          <w:color w:val="000000"/>
        </w:rPr>
        <w:t>Resolution supporting the Clean Water, Clean Air, and Green Jobs Environmental Bond Act of 2022, provided that funding is allocated to the city in a manner that is commensurate with the city’s contribution to statewide tax revenue.</w:t>
      </w:r>
    </w:p>
    <w:p w14:paraId="06B30DF4" w14:textId="77777777" w:rsidR="00192AB6" w:rsidRPr="00192AB6" w:rsidRDefault="00192AB6" w:rsidP="00192AB6">
      <w:pPr>
        <w:shd w:val="clear" w:color="auto" w:fill="FFFFFF"/>
        <w:rPr>
          <w:rFonts w:ascii="Times" w:hAnsi="Times"/>
          <w:color w:val="000000"/>
          <w:sz w:val="27"/>
          <w:szCs w:val="27"/>
        </w:rPr>
      </w:pPr>
      <w:r w:rsidRPr="00192AB6">
        <w:rPr>
          <w:color w:val="000000"/>
        </w:rPr>
        <w:t> </w:t>
      </w:r>
    </w:p>
    <w:p w14:paraId="1E2B0D9A" w14:textId="77777777" w:rsidR="00192AB6" w:rsidRPr="00192AB6" w:rsidRDefault="00192AB6" w:rsidP="00192AB6">
      <w:pPr>
        <w:shd w:val="clear" w:color="auto" w:fill="FFFFFF"/>
        <w:rPr>
          <w:rFonts w:ascii="Times" w:hAnsi="Times"/>
          <w:color w:val="000000"/>
          <w:sz w:val="27"/>
          <w:szCs w:val="27"/>
        </w:rPr>
      </w:pPr>
      <w:r w:rsidRPr="00192AB6">
        <w:rPr>
          <w:color w:val="000000"/>
        </w:rPr>
        <w:t>By Council Members Gennaro, Cabán, Louis, Hanif, Nurse, Joseph, Restler and Sanchez</w:t>
      </w:r>
    </w:p>
    <w:p w14:paraId="74B59D1E" w14:textId="77777777" w:rsidR="00192AB6" w:rsidRPr="00192AB6" w:rsidRDefault="00192AB6" w:rsidP="00192AB6">
      <w:pPr>
        <w:shd w:val="clear" w:color="auto" w:fill="FFFFFF"/>
        <w:rPr>
          <w:rFonts w:ascii="Times" w:hAnsi="Times"/>
          <w:color w:val="000000"/>
          <w:sz w:val="27"/>
          <w:szCs w:val="27"/>
        </w:rPr>
      </w:pPr>
      <w:r w:rsidRPr="00192AB6">
        <w:rPr>
          <w:color w:val="000000"/>
        </w:rPr>
        <w:t> </w:t>
      </w:r>
    </w:p>
    <w:p w14:paraId="76596F5F" w14:textId="77777777" w:rsidR="00192AB6" w:rsidRPr="00192AB6" w:rsidRDefault="00192AB6" w:rsidP="00192AB6">
      <w:pPr>
        <w:shd w:val="clear" w:color="auto" w:fill="FFFFFF"/>
        <w:spacing w:after="160" w:line="480" w:lineRule="auto"/>
        <w:ind w:firstLine="720"/>
        <w:jc w:val="both"/>
        <w:rPr>
          <w:rFonts w:ascii="Times" w:hAnsi="Times"/>
          <w:color w:val="000000"/>
          <w:sz w:val="27"/>
          <w:szCs w:val="27"/>
        </w:rPr>
      </w:pPr>
      <w:r w:rsidRPr="00192AB6">
        <w:rPr>
          <w:color w:val="000000"/>
        </w:rPr>
        <w:t>Whereas, According to the United States (U.S.) Global Change Research Program’s Fourth National Climate Assessment, failure to sufficiently mitigate global carbon emissions will result in increased rates of sea level rise, increased frequency of extreme weather events, and rising temperatures, which are expected to cause ongoing damage to critical infrastructure, property, and economic productivity; and</w:t>
      </w:r>
    </w:p>
    <w:p w14:paraId="601289DE" w14:textId="77777777" w:rsidR="00192AB6" w:rsidRPr="00192AB6" w:rsidRDefault="00192AB6" w:rsidP="00192AB6">
      <w:pPr>
        <w:shd w:val="clear" w:color="auto" w:fill="FFFFFF"/>
        <w:spacing w:after="160" w:line="480" w:lineRule="auto"/>
        <w:ind w:firstLine="720"/>
        <w:jc w:val="both"/>
        <w:rPr>
          <w:rFonts w:ascii="Times" w:hAnsi="Times"/>
          <w:color w:val="000000"/>
          <w:sz w:val="27"/>
          <w:szCs w:val="27"/>
        </w:rPr>
      </w:pPr>
      <w:r w:rsidRPr="00192AB6">
        <w:rPr>
          <w:color w:val="000000"/>
        </w:rPr>
        <w:t>Whereas, New York City’s geographic location makes it particularly vulnerable to the threat of rising sea levels as well as the increased frequency of hurricanes and tropical storms; and</w:t>
      </w:r>
    </w:p>
    <w:p w14:paraId="423FFB51" w14:textId="77777777" w:rsidR="00192AB6" w:rsidRPr="00192AB6" w:rsidRDefault="00192AB6" w:rsidP="00192AB6">
      <w:pPr>
        <w:shd w:val="clear" w:color="auto" w:fill="FFFFFF"/>
        <w:spacing w:after="160" w:line="480" w:lineRule="auto"/>
        <w:ind w:firstLine="720"/>
        <w:jc w:val="both"/>
        <w:rPr>
          <w:rFonts w:ascii="Times" w:hAnsi="Times"/>
          <w:color w:val="000000"/>
          <w:sz w:val="27"/>
          <w:szCs w:val="27"/>
        </w:rPr>
      </w:pPr>
      <w:r w:rsidRPr="00192AB6">
        <w:rPr>
          <w:color w:val="000000"/>
        </w:rPr>
        <w:t>Whereas, A predecessor of the “Clean Water, Clean Air, and Green Jobs Environmental Bond Act of 2022” was passed by the New York State Legislature as part of the 2020-21 budget under the name “Restore Mother Nature Environmental Bond Act,” and was expected to be included as a statewide ballot question for the general election in November of 2020; and</w:t>
      </w:r>
    </w:p>
    <w:p w14:paraId="2B991AF5" w14:textId="77777777" w:rsidR="00192AB6" w:rsidRPr="00192AB6" w:rsidRDefault="00192AB6" w:rsidP="00192AB6">
      <w:pPr>
        <w:shd w:val="clear" w:color="auto" w:fill="FFFFFF"/>
        <w:spacing w:after="160" w:line="480" w:lineRule="auto"/>
        <w:ind w:firstLine="720"/>
        <w:jc w:val="both"/>
        <w:rPr>
          <w:rFonts w:ascii="Times" w:hAnsi="Times"/>
          <w:color w:val="000000"/>
          <w:sz w:val="27"/>
          <w:szCs w:val="27"/>
        </w:rPr>
      </w:pPr>
      <w:r w:rsidRPr="00192AB6">
        <w:rPr>
          <w:color w:val="000000"/>
        </w:rPr>
        <w:t>Whereas, The Restore Mother Nature Environmental Bond Act was pulled from inclusion on the November ballot due to the financial impact of COVID-19 on the state budget, before being reintroduced as the</w:t>
      </w:r>
      <w:r w:rsidRPr="00192AB6">
        <w:rPr>
          <w:rFonts w:ascii="Calibri" w:hAnsi="Calibri" w:cs="Calibri"/>
          <w:color w:val="000000"/>
          <w:sz w:val="22"/>
          <w:szCs w:val="22"/>
        </w:rPr>
        <w:t> </w:t>
      </w:r>
      <w:r w:rsidRPr="00192AB6">
        <w:rPr>
          <w:color w:val="000000"/>
        </w:rPr>
        <w:t>Clean Water, Clean Air, and Green Jobs Environmental Bond Act of 2022; and</w:t>
      </w:r>
    </w:p>
    <w:p w14:paraId="2BABFC40" w14:textId="77777777" w:rsidR="00192AB6" w:rsidRPr="00192AB6" w:rsidRDefault="00192AB6" w:rsidP="00192AB6">
      <w:pPr>
        <w:shd w:val="clear" w:color="auto" w:fill="FFFFFF"/>
        <w:spacing w:after="160" w:line="480" w:lineRule="auto"/>
        <w:ind w:firstLine="720"/>
        <w:jc w:val="both"/>
        <w:rPr>
          <w:rFonts w:ascii="Times" w:hAnsi="Times"/>
          <w:color w:val="000000"/>
          <w:sz w:val="27"/>
          <w:szCs w:val="27"/>
        </w:rPr>
      </w:pPr>
      <w:r w:rsidRPr="00192AB6">
        <w:rPr>
          <w:color w:val="000000"/>
        </w:rPr>
        <w:t>Whereas, The Clean Water, Clean Air, and Green Jobs Environmental Bond Act of 2022, though approved by both the State Assembly and State Senate, and passed as part of the Fiscal Year 2022-23 State Budget, will require the approval of New York State residents via a ballot question during the November 2022 general election; and</w:t>
      </w:r>
    </w:p>
    <w:p w14:paraId="7FF8F585" w14:textId="77777777" w:rsidR="00192AB6" w:rsidRPr="00192AB6" w:rsidRDefault="00192AB6" w:rsidP="00192AB6">
      <w:pPr>
        <w:shd w:val="clear" w:color="auto" w:fill="FFFFFF"/>
        <w:spacing w:after="160" w:line="480" w:lineRule="auto"/>
        <w:ind w:firstLine="720"/>
        <w:jc w:val="both"/>
        <w:rPr>
          <w:rFonts w:ascii="Times" w:hAnsi="Times"/>
          <w:color w:val="000000"/>
          <w:sz w:val="27"/>
          <w:szCs w:val="27"/>
        </w:rPr>
      </w:pPr>
      <w:r w:rsidRPr="00192AB6">
        <w:rPr>
          <w:color w:val="000000"/>
        </w:rPr>
        <w:t>Whereas, The Clean Water, Clean Air, and Green Jobs Environmental Bond Act of 2022 would authorize the issuance of 4.2 billion dollars in bonds to finance critical environmental restoration and resiliency projects across the state of New York; and</w:t>
      </w:r>
    </w:p>
    <w:p w14:paraId="0CEFDA18" w14:textId="77777777" w:rsidR="00192AB6" w:rsidRPr="00192AB6" w:rsidRDefault="00192AB6" w:rsidP="00192AB6">
      <w:pPr>
        <w:shd w:val="clear" w:color="auto" w:fill="FFFFFF"/>
        <w:spacing w:after="160" w:line="480" w:lineRule="auto"/>
        <w:ind w:firstLine="720"/>
        <w:jc w:val="both"/>
        <w:rPr>
          <w:rFonts w:ascii="Times" w:hAnsi="Times"/>
          <w:color w:val="000000"/>
          <w:sz w:val="27"/>
          <w:szCs w:val="27"/>
        </w:rPr>
      </w:pPr>
      <w:r w:rsidRPr="00192AB6">
        <w:rPr>
          <w:color w:val="000000"/>
        </w:rPr>
        <w:t>Whereas, The Bond Act would allocate 1.2 billion dollars toward reducing flood risk in vulnerable areas, 1.5 billion dollars toward climate change mitigation efforts, 650 million dollars toward water quality improvement and resilient infrastructure, and 650 million dollars toward the preservation and enhancement of open space and recreational amenities; and</w:t>
      </w:r>
    </w:p>
    <w:p w14:paraId="688E780C" w14:textId="77777777" w:rsidR="00192AB6" w:rsidRPr="00192AB6" w:rsidRDefault="00192AB6" w:rsidP="00192AB6">
      <w:pPr>
        <w:shd w:val="clear" w:color="auto" w:fill="FFFFFF"/>
        <w:spacing w:after="160" w:line="480" w:lineRule="auto"/>
        <w:ind w:firstLine="720"/>
        <w:jc w:val="both"/>
        <w:rPr>
          <w:rFonts w:ascii="Times" w:hAnsi="Times"/>
          <w:color w:val="000000"/>
          <w:sz w:val="27"/>
          <w:szCs w:val="27"/>
        </w:rPr>
      </w:pPr>
      <w:r w:rsidRPr="00192AB6">
        <w:rPr>
          <w:color w:val="000000"/>
        </w:rPr>
        <w:t>Whereas, The Bond Act would seek to address flood risk by fortifying natural barriers and restoring critical habitats such as marshes and wetlands that can absorb excess rainwater and reduce the risk of tidal flooding, as well as expanding New York State’s Buyouts and Acquisitions programs to cover the preemptive purchase of coastal and wetland property to convert into natural barriers; and</w:t>
      </w:r>
    </w:p>
    <w:p w14:paraId="3CA06071" w14:textId="77777777" w:rsidR="00192AB6" w:rsidRPr="00192AB6" w:rsidRDefault="00192AB6" w:rsidP="00192AB6">
      <w:pPr>
        <w:shd w:val="clear" w:color="auto" w:fill="FFFFFF"/>
        <w:spacing w:after="160" w:line="480" w:lineRule="auto"/>
        <w:ind w:firstLine="720"/>
        <w:jc w:val="both"/>
        <w:rPr>
          <w:rFonts w:ascii="Times" w:hAnsi="Times"/>
          <w:color w:val="000000"/>
          <w:sz w:val="27"/>
          <w:szCs w:val="27"/>
        </w:rPr>
      </w:pPr>
      <w:r w:rsidRPr="00192AB6">
        <w:rPr>
          <w:color w:val="000000"/>
        </w:rPr>
        <w:t>Whereas, a study conducted by The National Institute of Building Sciences found that every dollar spent on hazard mitigation can save six dollars in future physical disaster losses, even before factoring in economic disruption and social impact from future events; and</w:t>
      </w:r>
    </w:p>
    <w:p w14:paraId="6FA0A118" w14:textId="77777777" w:rsidR="00192AB6" w:rsidRPr="00192AB6" w:rsidRDefault="00192AB6" w:rsidP="00192AB6">
      <w:pPr>
        <w:shd w:val="clear" w:color="auto" w:fill="FFFFFF"/>
        <w:spacing w:after="160" w:line="480" w:lineRule="auto"/>
        <w:ind w:firstLine="720"/>
        <w:jc w:val="both"/>
        <w:rPr>
          <w:rFonts w:ascii="Times" w:hAnsi="Times"/>
          <w:color w:val="000000"/>
          <w:sz w:val="27"/>
          <w:szCs w:val="27"/>
        </w:rPr>
      </w:pPr>
      <w:r w:rsidRPr="00192AB6">
        <w:rPr>
          <w:color w:val="000000"/>
        </w:rPr>
        <w:t>Whereas, This Bond Act would advance climate change mitigation work by funding projects such as green and energy-efficient building upgrades, carbon sequestration and emissions mitigation projects, climate adaptation and mitigation projects, the care and maintenance of urban forestry, and air and water pollution reduction efforts, including a specific sub-allocation for the electrification of school buses; and </w:t>
      </w:r>
    </w:p>
    <w:p w14:paraId="005111F4" w14:textId="77777777" w:rsidR="00192AB6" w:rsidRPr="00192AB6" w:rsidRDefault="00192AB6" w:rsidP="00192AB6">
      <w:pPr>
        <w:shd w:val="clear" w:color="auto" w:fill="FFFFFF"/>
        <w:spacing w:after="160" w:line="480" w:lineRule="auto"/>
        <w:ind w:firstLine="720"/>
        <w:jc w:val="both"/>
        <w:rPr>
          <w:rFonts w:ascii="Times" w:hAnsi="Times"/>
          <w:color w:val="000000"/>
          <w:sz w:val="27"/>
          <w:szCs w:val="27"/>
        </w:rPr>
      </w:pPr>
      <w:r w:rsidRPr="00192AB6">
        <w:rPr>
          <w:color w:val="000000"/>
        </w:rPr>
        <w:t>Whereas, The Bond Act also designates that a portion of the total funding must be allocated to disadvantaged communities that bear a disproportionate share of negative environmental consequences, such as those New York City neighborhoods which were most heavily impacted by the COVID-19 crisis and were already overburdened by numerous environmental health hazards and proximity to polluting infrastructure; and</w:t>
      </w:r>
    </w:p>
    <w:p w14:paraId="412A7769" w14:textId="77777777" w:rsidR="00192AB6" w:rsidRPr="00192AB6" w:rsidRDefault="00192AB6" w:rsidP="00192AB6">
      <w:pPr>
        <w:shd w:val="clear" w:color="auto" w:fill="FFFFFF"/>
        <w:spacing w:after="160" w:line="480" w:lineRule="auto"/>
        <w:ind w:firstLine="720"/>
        <w:jc w:val="both"/>
        <w:rPr>
          <w:rFonts w:ascii="Times" w:hAnsi="Times"/>
          <w:color w:val="000000"/>
          <w:sz w:val="27"/>
          <w:szCs w:val="27"/>
        </w:rPr>
      </w:pPr>
      <w:r w:rsidRPr="00192AB6">
        <w:rPr>
          <w:color w:val="000000"/>
        </w:rPr>
        <w:t>Whereas, As New York City comprises 50% of the state’s population, and 62% of the state’s tax base, the state must ensure that NYC is fully eligible for all programs in the Bond Act, and that benefits accrue to the city in a manner that is commensurate with the city’s contribution to statewide tax revenue; and</w:t>
      </w:r>
    </w:p>
    <w:p w14:paraId="1533D2B6" w14:textId="77777777" w:rsidR="00192AB6" w:rsidRPr="00192AB6" w:rsidRDefault="00192AB6" w:rsidP="00192AB6">
      <w:pPr>
        <w:shd w:val="clear" w:color="auto" w:fill="FFFFFF"/>
        <w:spacing w:after="160" w:line="480" w:lineRule="auto"/>
        <w:ind w:firstLine="720"/>
        <w:jc w:val="both"/>
        <w:rPr>
          <w:rFonts w:ascii="Times" w:hAnsi="Times"/>
          <w:color w:val="000000"/>
          <w:sz w:val="27"/>
          <w:szCs w:val="27"/>
        </w:rPr>
      </w:pPr>
      <w:r w:rsidRPr="00192AB6">
        <w:rPr>
          <w:color w:val="000000"/>
        </w:rPr>
        <w:t>Whereas, If approved by the voters of New York State, the Clean Water, Clean Air, and Green Jobs Environmental Bond Act of 2022, would enable New York State and City to directly address hazardous conditions in those disadvantaged communities, making those communities more resilient and more livable now and in the future; now, therefore, be it</w:t>
      </w:r>
    </w:p>
    <w:p w14:paraId="002750A2" w14:textId="77777777" w:rsidR="00192AB6" w:rsidRPr="00192AB6" w:rsidRDefault="00192AB6" w:rsidP="00192AB6">
      <w:pPr>
        <w:shd w:val="clear" w:color="auto" w:fill="FFFFFF"/>
        <w:spacing w:after="160" w:line="480" w:lineRule="auto"/>
        <w:jc w:val="both"/>
        <w:rPr>
          <w:rFonts w:ascii="Times" w:hAnsi="Times"/>
          <w:color w:val="000000"/>
          <w:sz w:val="27"/>
          <w:szCs w:val="27"/>
        </w:rPr>
      </w:pPr>
      <w:r w:rsidRPr="00192AB6">
        <w:rPr>
          <w:color w:val="000000"/>
          <w:sz w:val="14"/>
          <w:szCs w:val="14"/>
        </w:rPr>
        <w:t>                     </w:t>
      </w:r>
      <w:r w:rsidRPr="00192AB6">
        <w:rPr>
          <w:color w:val="000000"/>
        </w:rPr>
        <w:t>Resolved, That the Council of the City of New York supports the New York State Clean Water, Clean Air, and Green Jobs Environmental Bond Act of 2022, provided that funding is allocated to the city in a manner that is commensurate with the city’s contribution to statewide tax revenue.</w:t>
      </w:r>
    </w:p>
    <w:p w14:paraId="7F4D1962" w14:textId="77777777" w:rsidR="00192AB6" w:rsidRPr="00192AB6" w:rsidRDefault="00192AB6" w:rsidP="00192AB6">
      <w:pPr>
        <w:shd w:val="clear" w:color="auto" w:fill="FFFFFF"/>
        <w:spacing w:after="160" w:line="480" w:lineRule="auto"/>
        <w:jc w:val="both"/>
        <w:rPr>
          <w:rFonts w:ascii="Times" w:hAnsi="Times"/>
          <w:color w:val="000000"/>
          <w:sz w:val="27"/>
          <w:szCs w:val="27"/>
        </w:rPr>
      </w:pPr>
      <w:r w:rsidRPr="00192AB6">
        <w:rPr>
          <w:color w:val="000000"/>
        </w:rPr>
        <w:t> </w:t>
      </w:r>
    </w:p>
    <w:p w14:paraId="4BD3D032" w14:textId="77777777" w:rsidR="00192AB6" w:rsidRPr="00192AB6" w:rsidRDefault="00192AB6" w:rsidP="00192AB6">
      <w:pPr>
        <w:shd w:val="clear" w:color="auto" w:fill="FFFFFF"/>
        <w:jc w:val="both"/>
        <w:rPr>
          <w:rFonts w:ascii="Times" w:hAnsi="Times"/>
          <w:color w:val="000000"/>
          <w:sz w:val="27"/>
          <w:szCs w:val="27"/>
        </w:rPr>
      </w:pPr>
      <w:r w:rsidRPr="00192AB6">
        <w:rPr>
          <w:color w:val="000000"/>
          <w:sz w:val="18"/>
          <w:szCs w:val="18"/>
        </w:rPr>
        <w:t>NRC</w:t>
      </w:r>
    </w:p>
    <w:p w14:paraId="17E6DF50" w14:textId="77777777" w:rsidR="00192AB6" w:rsidRPr="00192AB6" w:rsidRDefault="00192AB6" w:rsidP="00192AB6">
      <w:pPr>
        <w:shd w:val="clear" w:color="auto" w:fill="FFFFFF"/>
        <w:jc w:val="both"/>
        <w:rPr>
          <w:rFonts w:ascii="Times" w:hAnsi="Times"/>
          <w:color w:val="000000"/>
          <w:sz w:val="27"/>
          <w:szCs w:val="27"/>
        </w:rPr>
      </w:pPr>
      <w:r w:rsidRPr="00192AB6">
        <w:rPr>
          <w:color w:val="000000"/>
          <w:sz w:val="18"/>
          <w:szCs w:val="18"/>
        </w:rPr>
        <w:t>LS#7174, 7705</w:t>
      </w:r>
    </w:p>
    <w:p w14:paraId="0F11CF0A" w14:textId="77777777" w:rsidR="00192AB6" w:rsidRPr="00192AB6" w:rsidRDefault="00192AB6" w:rsidP="00192AB6">
      <w:pPr>
        <w:shd w:val="clear" w:color="auto" w:fill="FFFFFF"/>
        <w:spacing w:after="160" w:line="480" w:lineRule="auto"/>
        <w:jc w:val="both"/>
        <w:rPr>
          <w:rFonts w:ascii="Times" w:hAnsi="Times"/>
          <w:color w:val="000000"/>
          <w:sz w:val="27"/>
          <w:szCs w:val="27"/>
        </w:rPr>
      </w:pPr>
      <w:r w:rsidRPr="00192AB6">
        <w:rPr>
          <w:color w:val="000000"/>
          <w:sz w:val="18"/>
          <w:szCs w:val="18"/>
        </w:rPr>
        <w:t>9/08/2022</w:t>
      </w:r>
      <w:r w:rsidRPr="00192AB6">
        <w:rPr>
          <w:color w:val="000000"/>
          <w:sz w:val="14"/>
          <w:szCs w:val="14"/>
        </w:rPr>
        <w:t>                     </w:t>
      </w:r>
    </w:p>
    <w:p w14:paraId="066F7169" w14:textId="77777777" w:rsidR="00192AB6" w:rsidRDefault="00192AB6"/>
    <w:sectPr w:rsidR="00192AB6">
      <w:footerReference w:type="even"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5DEA99" w14:textId="77777777" w:rsidR="009F3B49" w:rsidRDefault="009F3B49" w:rsidP="00202DBD">
      <w:r>
        <w:separator/>
      </w:r>
    </w:p>
  </w:endnote>
  <w:endnote w:type="continuationSeparator" w:id="0">
    <w:p w14:paraId="4B002A1E" w14:textId="77777777" w:rsidR="009F3B49" w:rsidRDefault="009F3B49" w:rsidP="00202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Grande">
    <w:altName w:val="Arial"/>
    <w:charset w:val="00"/>
    <w:family w:val="swiss"/>
    <w:pitch w:val="variable"/>
    <w:sig w:usb0="00000000" w:usb1="5000A1FF" w:usb2="00000000" w:usb3="00000000" w:csb0="000001BF" w:csb1="00000000"/>
  </w:font>
  <w:font w:name="ヒラギノ角ゴ Pro W3">
    <w:altName w:val="Malgun Gothic Semilight"/>
    <w:charset w:val="80"/>
    <w:family w:val="swiss"/>
    <w:pitch w:val="variable"/>
    <w:sig w:usb0="00000000" w:usb1="7AC7FFFF" w:usb2="00000012" w:usb3="00000000" w:csb0="0002000D" w:csb1="00000000"/>
  </w:font>
  <w:font w:name="Times New Roman Bold">
    <w:altName w:val="Times New Roman"/>
    <w:panose1 w:val="02020803070505020304"/>
    <w:charset w:val="00"/>
    <w:family w:val="roman"/>
    <w:notTrueType/>
    <w:pitch w:val="default"/>
  </w:font>
  <w:font w:name="Times Roman">
    <w:altName w:val="Times New Roman"/>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w:panose1 w:val="02020603050405020304"/>
    <w:charset w:val="00"/>
    <w:family w:val="auto"/>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789204188"/>
      <w:docPartObj>
        <w:docPartGallery w:val="Page Numbers (Bottom of Page)"/>
        <w:docPartUnique/>
      </w:docPartObj>
    </w:sdtPr>
    <w:sdtEndPr>
      <w:rPr>
        <w:rStyle w:val="PageNumber"/>
      </w:rPr>
    </w:sdtEndPr>
    <w:sdtContent>
      <w:p w14:paraId="083E63D7" w14:textId="0B66346C" w:rsidR="001A50DF" w:rsidRDefault="001A50DF" w:rsidP="001A50D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9EF9BF2" w14:textId="77777777" w:rsidR="001A50DF" w:rsidRDefault="001A50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425717391"/>
      <w:docPartObj>
        <w:docPartGallery w:val="Page Numbers (Bottom of Page)"/>
        <w:docPartUnique/>
      </w:docPartObj>
    </w:sdtPr>
    <w:sdtEndPr>
      <w:rPr>
        <w:rStyle w:val="PageNumber"/>
      </w:rPr>
    </w:sdtEndPr>
    <w:sdtContent>
      <w:p w14:paraId="3E2774D2" w14:textId="4A443AFE" w:rsidR="001A50DF" w:rsidRDefault="001A50DF" w:rsidP="001A50D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CE2ED0">
          <w:rPr>
            <w:rStyle w:val="PageNumber"/>
            <w:noProof/>
          </w:rPr>
          <w:t>1</w:t>
        </w:r>
        <w:r>
          <w:rPr>
            <w:rStyle w:val="PageNumber"/>
          </w:rPr>
          <w:fldChar w:fldCharType="end"/>
        </w:r>
      </w:p>
    </w:sdtContent>
  </w:sdt>
  <w:p w14:paraId="387D68BA" w14:textId="77777777" w:rsidR="001A50DF" w:rsidRDefault="001A50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2B7C24" w14:textId="77777777" w:rsidR="009F3B49" w:rsidRDefault="009F3B49" w:rsidP="00202DBD">
      <w:r>
        <w:separator/>
      </w:r>
    </w:p>
  </w:footnote>
  <w:footnote w:type="continuationSeparator" w:id="0">
    <w:p w14:paraId="29BAAAC9" w14:textId="77777777" w:rsidR="009F3B49" w:rsidRDefault="009F3B49" w:rsidP="00202DBD">
      <w:r>
        <w:continuationSeparator/>
      </w:r>
    </w:p>
  </w:footnote>
  <w:footnote w:id="1">
    <w:p w14:paraId="048A9CA0" w14:textId="09DBF59E" w:rsidR="001A50DF" w:rsidRPr="00C23C8D" w:rsidRDefault="001A50DF" w:rsidP="00202DBD">
      <w:pPr>
        <w:pStyle w:val="FootnoteText"/>
        <w:ind w:firstLine="0"/>
      </w:pPr>
      <w:r w:rsidRPr="00C23C8D">
        <w:rPr>
          <w:rStyle w:val="FootnoteReference"/>
          <w:rFonts w:eastAsia="Arial Unicode MS"/>
        </w:rPr>
        <w:footnoteRef/>
      </w:r>
      <w:r w:rsidRPr="00C23C8D">
        <w:t xml:space="preserve"> International Panel on Climate Change. Special Report on Global Warming of 1.5 C. </w:t>
      </w:r>
      <w:hyperlink r:id="rId1" w:history="1">
        <w:r w:rsidRPr="00C23C8D">
          <w:rPr>
            <w:rStyle w:val="Hyperlink"/>
          </w:rPr>
          <w:t>https://www.ipcc.ch/2018/10/08/summary-for-policymakers-of-ipcc-special-report-on-global-warming-of-1-5c-approved-by-governments/</w:t>
        </w:r>
      </w:hyperlink>
      <w:r w:rsidRPr="001A50DF">
        <w:rPr>
          <w:rStyle w:val="Hyperlink"/>
          <w:u w:val="none"/>
        </w:rPr>
        <w:t xml:space="preserve"> (last accessed 4/8/22)</w:t>
      </w:r>
    </w:p>
  </w:footnote>
  <w:footnote w:id="2">
    <w:p w14:paraId="54A7642A" w14:textId="77777777" w:rsidR="001A50DF" w:rsidRPr="00C23C8D" w:rsidRDefault="001A50DF" w:rsidP="00202DBD">
      <w:pPr>
        <w:pStyle w:val="FootnoteText"/>
        <w:ind w:firstLine="0"/>
      </w:pPr>
      <w:r w:rsidRPr="00C23C8D">
        <w:rPr>
          <w:rStyle w:val="FootnoteReference"/>
          <w:rFonts w:eastAsia="Arial Unicode MS"/>
        </w:rPr>
        <w:footnoteRef/>
      </w:r>
      <w:r w:rsidRPr="00C23C8D">
        <w:t xml:space="preserve"> Reidmiller et al. United States Global Change Research Program, 2018. Impacts, Risks, and Adaptation in the United States: Fourth National Climate Assessment, Volume II. </w:t>
      </w:r>
      <w:hyperlink r:id="rId2" w:history="1">
        <w:r w:rsidRPr="00C23C8D">
          <w:rPr>
            <w:rStyle w:val="Hyperlink"/>
          </w:rPr>
          <w:t>https://nca2018.globalchange.gov/</w:t>
        </w:r>
      </w:hyperlink>
      <w:r w:rsidRPr="00C23C8D">
        <w:t xml:space="preserve"> (last accessed </w:t>
      </w:r>
      <w:r>
        <w:t>4/8/22</w:t>
      </w:r>
      <w:r w:rsidRPr="00C23C8D">
        <w:t>)</w:t>
      </w:r>
    </w:p>
  </w:footnote>
  <w:footnote w:id="3">
    <w:p w14:paraId="34BA8862" w14:textId="20C5BBBA" w:rsidR="001A50DF" w:rsidRPr="00C23C8D" w:rsidRDefault="001A50DF" w:rsidP="00202DBD">
      <w:pPr>
        <w:pStyle w:val="FootnoteText"/>
        <w:ind w:firstLine="0"/>
      </w:pPr>
      <w:r w:rsidRPr="00C23C8D">
        <w:rPr>
          <w:rStyle w:val="FootnoteReference"/>
          <w:rFonts w:eastAsia="Arial Unicode MS"/>
        </w:rPr>
        <w:footnoteRef/>
      </w:r>
      <w:r w:rsidRPr="00C23C8D">
        <w:t xml:space="preserve"> </w:t>
      </w:r>
      <w:r w:rsidRPr="00602A97">
        <w:t>NOAA: Carbon Dioxide Peaks Near 420 ppm at Mauna Loa Observatory</w:t>
      </w:r>
      <w:r>
        <w:t xml:space="preserve">. </w:t>
      </w:r>
      <w:r w:rsidRPr="006672A7">
        <w:t>Cooperative Institute for Research in Environmental Sciences at the University of Colorado Boulder</w:t>
      </w:r>
      <w:r>
        <w:t xml:space="preserve">. </w:t>
      </w:r>
      <w:hyperlink r:id="rId3" w:history="1">
        <w:r w:rsidRPr="00F100F2">
          <w:rPr>
            <w:rStyle w:val="Hyperlink"/>
          </w:rPr>
          <w:t>https://cires.colorado.edu/news/noaa-carbon-dioxide-peaks-near-420-ppm-mauna-loa-observatory</w:t>
        </w:r>
      </w:hyperlink>
      <w:r>
        <w:t xml:space="preserve"> </w:t>
      </w:r>
      <w:r w:rsidRPr="00C23C8D">
        <w:t>(last accessed</w:t>
      </w:r>
      <w:r w:rsidR="00527BED">
        <w:t xml:space="preserve"> 10/12</w:t>
      </w:r>
      <w:r>
        <w:t>/22</w:t>
      </w:r>
      <w:r w:rsidRPr="00C23C8D">
        <w:t>)</w:t>
      </w:r>
    </w:p>
  </w:footnote>
  <w:footnote w:id="4">
    <w:p w14:paraId="730EEB5E" w14:textId="5CBF94B4" w:rsidR="001A50DF" w:rsidRPr="00C23C8D" w:rsidRDefault="001A50DF" w:rsidP="00202DBD">
      <w:pPr>
        <w:pStyle w:val="FootnoteText"/>
        <w:ind w:firstLine="0"/>
      </w:pPr>
      <w:r w:rsidRPr="00C23C8D">
        <w:rPr>
          <w:rStyle w:val="FootnoteReference"/>
          <w:rFonts w:eastAsia="Arial Unicode MS"/>
        </w:rPr>
        <w:footnoteRef/>
      </w:r>
      <w:r w:rsidRPr="00C23C8D">
        <w:t xml:space="preserve"> Patrick Galey. 415.26 parts per million: CO2 levels hit historic high. Phys.Org. </w:t>
      </w:r>
      <w:hyperlink r:id="rId4" w:history="1">
        <w:r w:rsidRPr="00C23C8D">
          <w:rPr>
            <w:rStyle w:val="Hyperlink"/>
          </w:rPr>
          <w:t>https://phys.org/news/2019-05-million-co2-historic-high.html</w:t>
        </w:r>
      </w:hyperlink>
      <w:r w:rsidRPr="00C23C8D">
        <w:t xml:space="preserve"> (last accessed </w:t>
      </w:r>
      <w:r w:rsidR="00527BED">
        <w:t>10/12</w:t>
      </w:r>
      <w:r>
        <w:t>/22</w:t>
      </w:r>
      <w:r w:rsidRPr="00C23C8D">
        <w:t>)</w:t>
      </w:r>
    </w:p>
  </w:footnote>
  <w:footnote w:id="5">
    <w:p w14:paraId="1E687833" w14:textId="3CB897D4" w:rsidR="001A50DF" w:rsidRPr="00C23C8D" w:rsidRDefault="001A50DF" w:rsidP="00202DBD">
      <w:pPr>
        <w:pStyle w:val="FootnoteText"/>
        <w:ind w:firstLine="0"/>
      </w:pPr>
      <w:r w:rsidRPr="00C23C8D">
        <w:rPr>
          <w:rStyle w:val="FootnoteReference"/>
          <w:rFonts w:eastAsia="Arial Unicode MS"/>
        </w:rPr>
        <w:footnoteRef/>
      </w:r>
      <w:r w:rsidRPr="00C23C8D">
        <w:t xml:space="preserve"> National Aeronautics and Space Administration. Global Climate Change. Graphic: The Relentless Rise of Carbon Dioxide. </w:t>
      </w:r>
      <w:hyperlink r:id="rId5" w:history="1">
        <w:r w:rsidRPr="00C23C8D">
          <w:rPr>
            <w:rStyle w:val="Hyperlink"/>
          </w:rPr>
          <w:t>https://climate.nasa.gov/climate_resources/24/graphic-the-relentless-rise-of-carbon-dioxide/</w:t>
        </w:r>
      </w:hyperlink>
      <w:r w:rsidRPr="00C23C8D">
        <w:t xml:space="preserve"> (last accessed </w:t>
      </w:r>
      <w:r w:rsidR="00527BED">
        <w:t>10/12/22</w:t>
      </w:r>
      <w:r w:rsidRPr="00C23C8D">
        <w:t>)</w:t>
      </w:r>
    </w:p>
  </w:footnote>
  <w:footnote w:id="6">
    <w:p w14:paraId="28D80A88" w14:textId="10A58313" w:rsidR="001A50DF" w:rsidRPr="0009395D" w:rsidRDefault="001A50DF" w:rsidP="00202DBD">
      <w:pPr>
        <w:pStyle w:val="FootnoteText"/>
        <w:ind w:firstLine="0"/>
      </w:pPr>
      <w:r w:rsidRPr="00C23C8D">
        <w:rPr>
          <w:rStyle w:val="FootnoteReference"/>
          <w:rFonts w:eastAsia="Arial Unicode MS"/>
        </w:rPr>
        <w:footnoteRef/>
      </w:r>
      <w:r w:rsidRPr="00C23C8D">
        <w:t xml:space="preserve"> Owen Gaffney and Will Steffen. The Anthropocene equation. The Anthropocene Review. 2017, volume 4. </w:t>
      </w:r>
      <w:hyperlink r:id="rId6" w:history="1">
        <w:r w:rsidRPr="00C23C8D">
          <w:rPr>
            <w:rStyle w:val="Hyperlink"/>
          </w:rPr>
          <w:t>https://journals.sagepub.com/doi/pdf/10.1177/2053019616688022</w:t>
        </w:r>
      </w:hyperlink>
      <w:r w:rsidRPr="00C23C8D">
        <w:t xml:space="preserve"> </w:t>
      </w:r>
      <w:r w:rsidRPr="001A50DF">
        <w:rPr>
          <w:rStyle w:val="Hyperlink"/>
          <w:u w:val="none"/>
        </w:rPr>
        <w:t xml:space="preserve">(last accessed </w:t>
      </w:r>
      <w:r w:rsidR="00527BED">
        <w:rPr>
          <w:rStyle w:val="Hyperlink"/>
          <w:u w:val="none"/>
        </w:rPr>
        <w:t>10/12/22</w:t>
      </w:r>
      <w:r w:rsidRPr="001A50DF">
        <w:rPr>
          <w:rStyle w:val="Hyperlink"/>
          <w:u w:val="none"/>
        </w:rPr>
        <w:t>)</w:t>
      </w:r>
    </w:p>
  </w:footnote>
  <w:footnote w:id="7">
    <w:p w14:paraId="0318BA42" w14:textId="2B783793" w:rsidR="001A50DF" w:rsidRPr="00C23C8D" w:rsidRDefault="001A50DF" w:rsidP="00202DBD">
      <w:pPr>
        <w:pStyle w:val="FootnoteText"/>
        <w:ind w:firstLine="0"/>
      </w:pPr>
      <w:r w:rsidRPr="00C23C8D">
        <w:rPr>
          <w:rStyle w:val="FootnoteReference"/>
          <w:rFonts w:eastAsia="Arial Unicode MS"/>
        </w:rPr>
        <w:footnoteRef/>
      </w:r>
      <w:r w:rsidRPr="00C23C8D">
        <w:t xml:space="preserve"> </w:t>
      </w:r>
      <w:r w:rsidR="00527BED">
        <w:t xml:space="preserve">Fourth National Climate Assessment. Volume II. </w:t>
      </w:r>
      <w:hyperlink r:id="rId7" w:history="1">
        <w:r w:rsidR="00CA3885" w:rsidRPr="00FC224A">
          <w:rPr>
            <w:rStyle w:val="Hyperlink"/>
          </w:rPr>
          <w:t>https://nca2018.globalchange.gov/</w:t>
        </w:r>
      </w:hyperlink>
      <w:r w:rsidR="00CA3885">
        <w:t xml:space="preserve"> </w:t>
      </w:r>
      <w:r w:rsidR="00527BED" w:rsidRPr="00527BED" w:rsidDel="00527BED">
        <w:t xml:space="preserve"> </w:t>
      </w:r>
    </w:p>
  </w:footnote>
  <w:footnote w:id="8">
    <w:p w14:paraId="66AE27F4" w14:textId="77777777" w:rsidR="001A50DF" w:rsidRPr="00C23C8D" w:rsidRDefault="001A50DF" w:rsidP="00202DBD">
      <w:pPr>
        <w:pStyle w:val="FootnoteText"/>
        <w:ind w:firstLine="0"/>
      </w:pPr>
      <w:r w:rsidRPr="00C23C8D">
        <w:rPr>
          <w:rStyle w:val="FootnoteReference"/>
          <w:rFonts w:eastAsia="Arial Unicode MS"/>
        </w:rPr>
        <w:footnoteRef/>
      </w:r>
      <w:r w:rsidRPr="00C23C8D">
        <w:t xml:space="preserve"> Id.</w:t>
      </w:r>
    </w:p>
  </w:footnote>
  <w:footnote w:id="9">
    <w:p w14:paraId="423F9B67" w14:textId="77777777" w:rsidR="001A50DF" w:rsidRPr="00C23C8D" w:rsidRDefault="001A50DF" w:rsidP="00202DBD">
      <w:pPr>
        <w:pStyle w:val="FootnoteText"/>
        <w:ind w:firstLine="0"/>
      </w:pPr>
      <w:r w:rsidRPr="00C23C8D">
        <w:rPr>
          <w:rStyle w:val="FootnoteReference"/>
          <w:rFonts w:eastAsia="Arial Unicode MS"/>
        </w:rPr>
        <w:footnoteRef/>
      </w:r>
      <w:r w:rsidRPr="00C23C8D">
        <w:t xml:space="preserve"> Id.</w:t>
      </w:r>
    </w:p>
  </w:footnote>
  <w:footnote w:id="10">
    <w:p w14:paraId="1D398E25" w14:textId="1119D99B" w:rsidR="001A50DF" w:rsidRPr="00C23C8D" w:rsidRDefault="001A50DF" w:rsidP="00202DBD">
      <w:pPr>
        <w:pStyle w:val="FootnoteText"/>
        <w:ind w:firstLine="0"/>
      </w:pPr>
      <w:r w:rsidRPr="00C23C8D">
        <w:rPr>
          <w:rStyle w:val="FootnoteReference"/>
          <w:rFonts w:eastAsia="Arial Unicode MS"/>
        </w:rPr>
        <w:footnoteRef/>
      </w:r>
      <w:r w:rsidRPr="00C23C8D">
        <w:t xml:space="preserve"> International Panel on Climate Change. Special Report on Global Warming of 1.5 C. </w:t>
      </w:r>
      <w:hyperlink r:id="rId8" w:history="1">
        <w:r w:rsidRPr="00C23C8D">
          <w:rPr>
            <w:rStyle w:val="Hyperlink"/>
          </w:rPr>
          <w:t>https://www.ipcc.ch/2018/10/08/summary-for-policymakers-of-ipcc-special-report-on-global-warming-of-1-5c-approved-by-governments/</w:t>
        </w:r>
      </w:hyperlink>
      <w:r w:rsidRPr="001A50DF">
        <w:rPr>
          <w:rStyle w:val="Hyperlink"/>
          <w:u w:val="none"/>
        </w:rPr>
        <w:t xml:space="preserve"> </w:t>
      </w:r>
      <w:r w:rsidRPr="00C23C8D">
        <w:rPr>
          <w:rStyle w:val="Hyperlink"/>
        </w:rPr>
        <w:t>(</w:t>
      </w:r>
      <w:r w:rsidRPr="001A50DF">
        <w:rPr>
          <w:rStyle w:val="Hyperlink"/>
          <w:u w:val="none"/>
        </w:rPr>
        <w:t>last accessed 4/8/22)</w:t>
      </w:r>
    </w:p>
  </w:footnote>
  <w:footnote w:id="11">
    <w:p w14:paraId="0CED2E09" w14:textId="2F11B8F5" w:rsidR="001A50DF" w:rsidRDefault="001A50DF" w:rsidP="00CF7483">
      <w:pPr>
        <w:pStyle w:val="FootnoteText"/>
        <w:ind w:firstLine="0"/>
      </w:pPr>
      <w:r>
        <w:rPr>
          <w:rStyle w:val="FootnoteReference"/>
        </w:rPr>
        <w:footnoteRef/>
      </w:r>
      <w:r>
        <w:t xml:space="preserve">NYSERDA. Energy Storage.  </w:t>
      </w:r>
      <w:hyperlink r:id="rId9" w:history="1">
        <w:r w:rsidRPr="00F509BD">
          <w:rPr>
            <w:rStyle w:val="Hyperlink"/>
          </w:rPr>
          <w:t>https://www.nyserda.ny.gov/All-Programs/energy-storage</w:t>
        </w:r>
      </w:hyperlink>
      <w:r>
        <w:t xml:space="preserve"> </w:t>
      </w:r>
    </w:p>
  </w:footnote>
  <w:footnote w:id="12">
    <w:p w14:paraId="678E2085" w14:textId="2BD4CBCB" w:rsidR="001A50DF" w:rsidRDefault="001A50DF" w:rsidP="00A41592">
      <w:pPr>
        <w:pStyle w:val="FootnoteText"/>
        <w:ind w:firstLine="0"/>
      </w:pPr>
      <w:r>
        <w:rPr>
          <w:rStyle w:val="FootnoteReference"/>
        </w:rPr>
        <w:footnoteRef/>
      </w:r>
      <w:r>
        <w:t xml:space="preserve"> NYSERDA. Story of our grid. </w:t>
      </w:r>
      <w:hyperlink r:id="rId10" w:history="1">
        <w:r w:rsidRPr="00F100F2">
          <w:rPr>
            <w:rStyle w:val="Hyperlink"/>
          </w:rPr>
          <w:t>https://www.nyserda.ny.gov/About/Publications/Research-and-Development-Technical-Reports/Electric-Power-Transmission-and-Distribution-Reports/Electric-Power-Transmission-and-Distribution-Reports---Archive/New-York-Power-Grid-Study/Story-of-Our-Grid</w:t>
        </w:r>
      </w:hyperlink>
      <w:r>
        <w:t xml:space="preserve"> </w:t>
      </w:r>
    </w:p>
  </w:footnote>
  <w:footnote w:id="13">
    <w:p w14:paraId="2F20DDA3" w14:textId="789101BA" w:rsidR="001A50DF" w:rsidRDefault="001A50DF" w:rsidP="00A41592">
      <w:pPr>
        <w:pStyle w:val="FootnoteText"/>
        <w:ind w:firstLine="0"/>
      </w:pPr>
      <w:r>
        <w:rPr>
          <w:rStyle w:val="FootnoteReference"/>
        </w:rPr>
        <w:footnoteRef/>
      </w:r>
      <w:r>
        <w:t xml:space="preserve"> Id. </w:t>
      </w:r>
    </w:p>
  </w:footnote>
  <w:footnote w:id="14">
    <w:p w14:paraId="529C84D1" w14:textId="77777777" w:rsidR="001A50DF" w:rsidRDefault="001A50DF" w:rsidP="00CF7483">
      <w:pPr>
        <w:pStyle w:val="FootnoteText"/>
        <w:ind w:firstLine="0"/>
      </w:pPr>
      <w:r>
        <w:rPr>
          <w:rStyle w:val="FootnoteReference"/>
        </w:rPr>
        <w:footnoteRef/>
      </w:r>
      <w:r>
        <w:t xml:space="preserve"> Clean Path New York: Project Overview, </w:t>
      </w:r>
      <w:hyperlink r:id="rId11" w:anchor="overview" w:history="1">
        <w:r w:rsidRPr="0076593C">
          <w:rPr>
            <w:rStyle w:val="Hyperlink"/>
          </w:rPr>
          <w:t>https://www.cleanpathny.com/#overview</w:t>
        </w:r>
      </w:hyperlink>
      <w:r>
        <w:t xml:space="preserve"> </w:t>
      </w:r>
    </w:p>
  </w:footnote>
  <w:footnote w:id="15">
    <w:p w14:paraId="59A025D5" w14:textId="77777777" w:rsidR="001A50DF" w:rsidRDefault="001A50DF" w:rsidP="00CF7483">
      <w:pPr>
        <w:pStyle w:val="FootnoteText"/>
        <w:ind w:firstLine="0"/>
      </w:pPr>
      <w:r>
        <w:rPr>
          <w:rStyle w:val="FootnoteReference"/>
        </w:rPr>
        <w:footnoteRef/>
      </w:r>
      <w:r>
        <w:t xml:space="preserve"> Champlain Hudson Power Express: Project Overview, </w:t>
      </w:r>
      <w:hyperlink r:id="rId12" w:history="1">
        <w:r w:rsidRPr="0076593C">
          <w:rPr>
            <w:rStyle w:val="Hyperlink"/>
          </w:rPr>
          <w:t>https://chpexpress.com/project-overview/</w:t>
        </w:r>
      </w:hyperlink>
      <w:r>
        <w:t>.</w:t>
      </w:r>
    </w:p>
  </w:footnote>
  <w:footnote w:id="16">
    <w:p w14:paraId="6FD84966" w14:textId="77777777" w:rsidR="001A50DF" w:rsidRDefault="001A50DF" w:rsidP="00CF7483">
      <w:pPr>
        <w:pStyle w:val="FootnoteText"/>
        <w:ind w:firstLine="0"/>
      </w:pPr>
      <w:r>
        <w:rPr>
          <w:rStyle w:val="FootnoteReference"/>
        </w:rPr>
        <w:footnoteRef/>
      </w:r>
      <w:r>
        <w:t xml:space="preserve"> Empire Wind: About the Project, </w:t>
      </w:r>
      <w:hyperlink r:id="rId13" w:history="1">
        <w:r w:rsidRPr="0076593C">
          <w:rPr>
            <w:rStyle w:val="Hyperlink"/>
          </w:rPr>
          <w:t>https://www.empirewind.com/about/project/</w:t>
        </w:r>
      </w:hyperlink>
    </w:p>
  </w:footnote>
  <w:footnote w:id="17">
    <w:p w14:paraId="50AA9AFB" w14:textId="4D7CFF0F" w:rsidR="001A50DF" w:rsidRDefault="001A50DF" w:rsidP="00D421AB">
      <w:pPr>
        <w:pStyle w:val="FootnoteText"/>
        <w:ind w:firstLine="0"/>
      </w:pPr>
      <w:r>
        <w:rPr>
          <w:rStyle w:val="FootnoteReference"/>
        </w:rPr>
        <w:footnoteRef/>
      </w:r>
      <w:r>
        <w:t xml:space="preserve"> Andy Colthorpe. Eastern Generation gets permit for 135 MW battery storage at New York fossil fuel plant site. Energy Storage News.  </w:t>
      </w:r>
      <w:hyperlink r:id="rId14" w:history="1">
        <w:r w:rsidRPr="00F100F2">
          <w:rPr>
            <w:rStyle w:val="Hyperlink"/>
          </w:rPr>
          <w:t>https://www.energy-storage.news/eastern-generation-gets-permit-for-135mw-battery-storage-at-new-york-fossil-fuel-plant-site/</w:t>
        </w:r>
      </w:hyperlink>
      <w:r>
        <w:t xml:space="preserve"> </w:t>
      </w:r>
    </w:p>
  </w:footnote>
  <w:footnote w:id="18">
    <w:p w14:paraId="390F5451" w14:textId="32F71877" w:rsidR="001A50DF" w:rsidRDefault="001A50DF" w:rsidP="00D421AB">
      <w:pPr>
        <w:pStyle w:val="FootnoteText"/>
        <w:ind w:firstLine="0"/>
      </w:pPr>
      <w:r>
        <w:rPr>
          <w:rStyle w:val="FootnoteReference"/>
        </w:rPr>
        <w:footnoteRef/>
      </w:r>
      <w:r>
        <w:t xml:space="preserve"> NYSERDA. Governor Hochul announces 16.6 million in awards for five long duration energy storage projects. September 8, 2022. </w:t>
      </w:r>
      <w:hyperlink r:id="rId15" w:history="1">
        <w:r w:rsidRPr="00F509BD">
          <w:rPr>
            <w:rStyle w:val="Hyperlink"/>
          </w:rPr>
          <w:t>https://www.nyserda.ny.gov/About/Newsroom/2022-Announcements/2022-09-08-Governor-Hochul-Announces-Millions-in-Awards-for-Five-Energy-Storage-Projects</w:t>
        </w:r>
      </w:hyperlink>
      <w:r>
        <w:t xml:space="preserve"> </w:t>
      </w:r>
    </w:p>
  </w:footnote>
  <w:footnote w:id="19">
    <w:p w14:paraId="046DA395" w14:textId="43287EEF" w:rsidR="001A50DF" w:rsidRDefault="001A50DF" w:rsidP="004B34BE">
      <w:pPr>
        <w:pStyle w:val="FootnoteText"/>
        <w:ind w:firstLine="0"/>
      </w:pPr>
      <w:r>
        <w:rPr>
          <w:rStyle w:val="FootnoteReference"/>
        </w:rPr>
        <w:footnoteRef/>
      </w:r>
      <w:r>
        <w:t xml:space="preserve"> Andy Colthorpe. Eastern Generation gets permit for 135 MW battery storage at New York fossil fuel plant site. Energy Storage News.  </w:t>
      </w:r>
      <w:hyperlink r:id="rId16" w:history="1">
        <w:r w:rsidRPr="00F100F2">
          <w:rPr>
            <w:rStyle w:val="Hyperlink"/>
          </w:rPr>
          <w:t>https://www.energy-storage.news/eastern-generation-gets-permit-for-135mw-battery-storage-at-new-york-fossil-fuel-plant-site/</w:t>
        </w:r>
      </w:hyperlink>
      <w:r>
        <w:t xml:space="preserve"> </w:t>
      </w:r>
    </w:p>
  </w:footnote>
  <w:footnote w:id="20">
    <w:p w14:paraId="3DAD39E4" w14:textId="62751037" w:rsidR="001A50DF" w:rsidRDefault="001A50DF" w:rsidP="004B34BE">
      <w:pPr>
        <w:pStyle w:val="FootnoteText"/>
        <w:ind w:firstLine="0"/>
      </w:pPr>
      <w:r>
        <w:rPr>
          <w:rStyle w:val="FootnoteReference"/>
        </w:rPr>
        <w:footnoteRef/>
      </w:r>
      <w:r>
        <w:t xml:space="preserve"> Id.  </w:t>
      </w:r>
    </w:p>
  </w:footnote>
  <w:footnote w:id="21">
    <w:p w14:paraId="49AA3514" w14:textId="7F34031A" w:rsidR="001A50DF" w:rsidRDefault="001A50DF" w:rsidP="004B34BE">
      <w:pPr>
        <w:pStyle w:val="FootnoteText"/>
        <w:ind w:firstLine="0"/>
      </w:pPr>
      <w:r>
        <w:rPr>
          <w:rStyle w:val="FootnoteReference"/>
        </w:rPr>
        <w:footnoteRef/>
      </w:r>
      <w:r>
        <w:t xml:space="preserve"> Id. </w:t>
      </w:r>
    </w:p>
  </w:footnote>
  <w:footnote w:id="22">
    <w:p w14:paraId="2B2907CB" w14:textId="1DE6DD18" w:rsidR="001A50DF" w:rsidRDefault="001A50DF" w:rsidP="00EC58BC">
      <w:pPr>
        <w:pStyle w:val="FootnoteText"/>
        <w:ind w:firstLine="0"/>
      </w:pPr>
      <w:r>
        <w:rPr>
          <w:rStyle w:val="FootnoteReference"/>
        </w:rPr>
        <w:footnoteRef/>
      </w:r>
      <w:r>
        <w:t xml:space="preserve"> NYC Open Data. DCAS Managed Building Energy Usage. </w:t>
      </w:r>
      <w:hyperlink r:id="rId17" w:history="1">
        <w:r w:rsidRPr="002C1CBF">
          <w:rPr>
            <w:rStyle w:val="Hyperlink"/>
          </w:rPr>
          <w:t>https://data.cityofnewyork.us/City-Government/DCAS-Managed-Building-Energy-Usage/ubdi-jgw2</w:t>
        </w:r>
      </w:hyperlink>
      <w:r>
        <w:t xml:space="preserve"> </w:t>
      </w:r>
    </w:p>
  </w:footnote>
  <w:footnote w:id="23">
    <w:p w14:paraId="601CC68B" w14:textId="2D0E65E6" w:rsidR="001A50DF" w:rsidRDefault="001A50DF" w:rsidP="00EC58BC">
      <w:pPr>
        <w:pStyle w:val="FootnoteText"/>
        <w:ind w:firstLine="0"/>
      </w:pPr>
      <w:r>
        <w:rPr>
          <w:rStyle w:val="FootnoteReference"/>
        </w:rPr>
        <w:footnoteRef/>
      </w:r>
      <w:r>
        <w:t xml:space="preserve"> </w:t>
      </w:r>
      <w:hyperlink r:id="rId18" w:history="1">
        <w:r w:rsidRPr="00F100F2">
          <w:rPr>
            <w:rStyle w:val="Hyperlink"/>
          </w:rPr>
          <w:t>www.TheUnitConverter.com</w:t>
        </w:r>
      </w:hyperlink>
      <w:r>
        <w:t xml:space="preserve"> </w:t>
      </w:r>
    </w:p>
  </w:footnote>
  <w:footnote w:id="24">
    <w:p w14:paraId="4AF9AD7E" w14:textId="27BDC3D6" w:rsidR="001A50DF" w:rsidRDefault="001A50DF" w:rsidP="00411E13">
      <w:pPr>
        <w:pStyle w:val="FootnoteText"/>
        <w:ind w:firstLine="0"/>
      </w:pPr>
      <w:r>
        <w:rPr>
          <w:rStyle w:val="FootnoteReference"/>
        </w:rPr>
        <w:footnoteRef/>
      </w:r>
      <w:r>
        <w:t xml:space="preserve"> New York City Council. Local Law 107 of 2018. </w:t>
      </w:r>
      <w:hyperlink r:id="rId19" w:history="1">
        <w:r w:rsidRPr="002C1CBF">
          <w:rPr>
            <w:rStyle w:val="Hyperlink"/>
          </w:rPr>
          <w:t>https://legistar.council.nyc.gov/LegislationDetail.aspx?ID=3344782&amp;GUID=58E3ED36-D6C6-4B12-9816-16996ACA259B&amp;Options=&amp;Search</w:t>
        </w:r>
      </w:hyperlink>
      <w:r>
        <w:t xml:space="preserve"> </w:t>
      </w:r>
    </w:p>
  </w:footnote>
  <w:footnote w:id="25">
    <w:p w14:paraId="6781A34C" w14:textId="0EADCBF2" w:rsidR="001A50DF" w:rsidRDefault="001A50DF" w:rsidP="00411E13">
      <w:pPr>
        <w:pStyle w:val="FootnoteText"/>
        <w:ind w:firstLine="0"/>
      </w:pPr>
      <w:r>
        <w:rPr>
          <w:rStyle w:val="FootnoteReference"/>
        </w:rPr>
        <w:footnoteRef/>
      </w:r>
      <w:r>
        <w:t xml:space="preserve"> New York City’s Energy and Water Use 20202 Report </w:t>
      </w:r>
      <w:hyperlink r:id="rId20" w:history="1">
        <w:r w:rsidRPr="00F100F2">
          <w:rPr>
            <w:rStyle w:val="Hyperlink"/>
          </w:rPr>
          <w:t>https://www.urbangreencouncil.org/sites/default/files/2020_nyc_benchmarking_report.pdf</w:t>
        </w:r>
      </w:hyperlink>
      <w:r>
        <w:t xml:space="preserve"> </w:t>
      </w:r>
    </w:p>
  </w:footnote>
  <w:footnote w:id="26">
    <w:p w14:paraId="7362835B" w14:textId="02EDE192" w:rsidR="001A50DF" w:rsidRDefault="001A50DF" w:rsidP="00411E13">
      <w:pPr>
        <w:pStyle w:val="FootnoteText"/>
        <w:ind w:firstLine="0"/>
      </w:pPr>
      <w:r>
        <w:rPr>
          <w:rStyle w:val="FootnoteReference"/>
        </w:rPr>
        <w:footnoteRef/>
      </w:r>
      <w:r>
        <w:t xml:space="preserve"> Id.</w:t>
      </w:r>
    </w:p>
  </w:footnote>
  <w:footnote w:id="27">
    <w:p w14:paraId="255637B7" w14:textId="1D34ED04" w:rsidR="001A50DF" w:rsidRDefault="001A50DF" w:rsidP="00411E13">
      <w:pPr>
        <w:pStyle w:val="FootnoteText"/>
        <w:ind w:firstLine="0"/>
      </w:pPr>
      <w:r>
        <w:rPr>
          <w:rStyle w:val="FootnoteReference"/>
        </w:rPr>
        <w:footnoteRef/>
      </w:r>
      <w:r>
        <w:t xml:space="preserve"> US Department of Energy. Estimating the Cost and Efficiency of a Solar Water Heater</w:t>
      </w:r>
      <w:r w:rsidR="00527BED">
        <w:t xml:space="preserve"> </w:t>
      </w:r>
      <w:hyperlink r:id="rId21" w:history="1">
        <w:r w:rsidR="00D731C2" w:rsidRPr="00FC224A">
          <w:rPr>
            <w:rStyle w:val="Hyperlink"/>
          </w:rPr>
          <w:t>https://www.energy.gov/energysaver/estimating-cost-and-energy-efficiency-solar-water-heater</w:t>
        </w:r>
      </w:hyperlink>
      <w:r w:rsidR="00D731C2">
        <w:t xml:space="preserve"> </w:t>
      </w:r>
    </w:p>
  </w:footnote>
  <w:footnote w:id="28">
    <w:p w14:paraId="71319211" w14:textId="0E47A004" w:rsidR="001A50DF" w:rsidRDefault="001A50DF" w:rsidP="00411E13">
      <w:pPr>
        <w:pStyle w:val="FootnoteText"/>
        <w:ind w:firstLine="0"/>
      </w:pPr>
      <w:r>
        <w:rPr>
          <w:rStyle w:val="FootnoteReference"/>
        </w:rPr>
        <w:footnoteRef/>
      </w:r>
      <w:r w:rsidR="00D731C2">
        <w:t xml:space="preserve"> See</w:t>
      </w:r>
      <w:r>
        <w:t xml:space="preserve"> </w:t>
      </w:r>
      <w:r w:rsidR="00527BED">
        <w:t xml:space="preserve">Energystar.gov – Solar Water Heaters. </w:t>
      </w:r>
      <w:hyperlink r:id="rId22" w:history="1">
        <w:r w:rsidR="00527BED" w:rsidRPr="00F509BD">
          <w:rPr>
            <w:rStyle w:val="Hyperlink"/>
          </w:rPr>
          <w:t>https://www.energystar.gov/products/water_heaters/water_heater_solar/how_it_works</w:t>
        </w:r>
      </w:hyperlink>
      <w:r w:rsidR="00527BED">
        <w:t xml:space="preserve"> </w:t>
      </w:r>
    </w:p>
  </w:footnote>
  <w:footnote w:id="29">
    <w:p w14:paraId="15BD79E9" w14:textId="77777777" w:rsidR="001A50DF" w:rsidRDefault="001A50DF" w:rsidP="00411E13">
      <w:pPr>
        <w:pStyle w:val="FootnoteText"/>
        <w:ind w:firstLine="0"/>
      </w:pPr>
      <w:r>
        <w:rPr>
          <w:rStyle w:val="FootnoteReference"/>
        </w:rPr>
        <w:footnoteRef/>
      </w:r>
      <w:r>
        <w:t xml:space="preserve"> Id. </w:t>
      </w:r>
    </w:p>
  </w:footnote>
  <w:footnote w:id="30">
    <w:p w14:paraId="20FA8A22" w14:textId="4B0E2D7E" w:rsidR="001A50DF" w:rsidRDefault="001A50DF" w:rsidP="00411E13">
      <w:pPr>
        <w:pStyle w:val="FootnoteText"/>
        <w:ind w:firstLine="0"/>
      </w:pPr>
      <w:r>
        <w:rPr>
          <w:rStyle w:val="FootnoteReference"/>
        </w:rPr>
        <w:footnoteRef/>
      </w:r>
      <w:r>
        <w:t xml:space="preserve"> Drake Landing Solar Community. “How it Works” </w:t>
      </w:r>
      <w:hyperlink r:id="rId23" w:history="1">
        <w:r w:rsidRPr="002C1CBF">
          <w:rPr>
            <w:rStyle w:val="Hyperlink"/>
          </w:rPr>
          <w:t>https://dlsc.ca/how.htm</w:t>
        </w:r>
      </w:hyperlink>
      <w:r>
        <w:t xml:space="preserve"> </w:t>
      </w:r>
    </w:p>
  </w:footnote>
  <w:footnote w:id="31">
    <w:p w14:paraId="46073AFC" w14:textId="6070E027" w:rsidR="001A50DF" w:rsidRDefault="001A50DF" w:rsidP="00202DBD">
      <w:pPr>
        <w:pStyle w:val="FootnoteText"/>
        <w:ind w:firstLine="0"/>
      </w:pPr>
      <w:r>
        <w:rPr>
          <w:rStyle w:val="FootnoteReference"/>
        </w:rPr>
        <w:footnoteRef/>
      </w:r>
      <w:r>
        <w:t xml:space="preserve"> Living Lots NYC. Vacant Public Land. </w:t>
      </w:r>
      <w:hyperlink r:id="rId24" w:anchor="11/40.7303/-73.9905" w:history="1">
        <w:r w:rsidRPr="008F7A09">
          <w:rPr>
            <w:rStyle w:val="Hyperlink"/>
          </w:rPr>
          <w:t>https://livinglotsnyc.org/#11/40.7303/-73.9905</w:t>
        </w:r>
      </w:hyperlink>
      <w:r>
        <w:t xml:space="preserve"> </w:t>
      </w:r>
    </w:p>
  </w:footnote>
  <w:footnote w:id="32">
    <w:p w14:paraId="1E6EACFE" w14:textId="69E1133E" w:rsidR="001A50DF" w:rsidRDefault="001A50DF" w:rsidP="00202DBD">
      <w:pPr>
        <w:pStyle w:val="FootnoteText"/>
        <w:ind w:firstLine="0"/>
      </w:pPr>
      <w:r>
        <w:rPr>
          <w:rStyle w:val="FootnoteReference"/>
        </w:rPr>
        <w:footnoteRef/>
      </w:r>
      <w:r>
        <w:t xml:space="preserve"> United States National Renewable Energy Laboratory.</w:t>
      </w:r>
      <w:r w:rsidRPr="00225DD8">
        <w:t xml:space="preserve"> </w:t>
      </w:r>
      <w:r>
        <w:t xml:space="preserve">Land-Use Requirements for Solar Power Plants in the United States. </w:t>
      </w:r>
      <w:hyperlink r:id="rId25" w:history="1">
        <w:r w:rsidRPr="001A50DF">
          <w:rPr>
            <w:u w:val="single"/>
          </w:rPr>
          <w:t>https://www.nrel.gov/docs/fy13osti/56290.pdf</w:t>
        </w:r>
      </w:hyperlink>
      <w:r w:rsidRPr="00141AFE">
        <w:rPr>
          <w:sz w:val="22"/>
          <w:szCs w:val="22"/>
        </w:rPr>
        <w:t xml:space="preserve"> </w:t>
      </w:r>
    </w:p>
  </w:footnote>
  <w:footnote w:id="33">
    <w:p w14:paraId="16EF3EC7" w14:textId="77777777" w:rsidR="001A50DF" w:rsidRDefault="001A50DF" w:rsidP="00411E13">
      <w:pPr>
        <w:pStyle w:val="FootnoteText"/>
        <w:ind w:firstLine="0"/>
      </w:pPr>
      <w:r>
        <w:rPr>
          <w:rStyle w:val="FootnoteReference"/>
        </w:rPr>
        <w:footnoteRef/>
      </w:r>
      <w:r>
        <w:t xml:space="preserve"> Id.</w:t>
      </w:r>
    </w:p>
  </w:footnote>
  <w:footnote w:id="34">
    <w:p w14:paraId="73481C1A" w14:textId="77777777" w:rsidR="001A50DF" w:rsidRDefault="001A50DF" w:rsidP="00411E13">
      <w:pPr>
        <w:pStyle w:val="FootnoteText"/>
        <w:ind w:firstLine="0"/>
      </w:pPr>
      <w:r>
        <w:rPr>
          <w:rStyle w:val="FootnoteReference"/>
        </w:rPr>
        <w:footnoteRef/>
      </w:r>
      <w:r>
        <w:t xml:space="preserve"> Id. </w:t>
      </w:r>
    </w:p>
  </w:footnote>
  <w:footnote w:id="35">
    <w:p w14:paraId="306AFA0C" w14:textId="79F409BF" w:rsidR="001A50DF" w:rsidRDefault="001A50DF" w:rsidP="00411E13">
      <w:pPr>
        <w:pStyle w:val="FootnoteText"/>
        <w:ind w:firstLine="0"/>
      </w:pPr>
      <w:r>
        <w:rPr>
          <w:rStyle w:val="FootnoteReference"/>
        </w:rPr>
        <w:footnoteRef/>
      </w:r>
      <w:r>
        <w:t xml:space="preserve"> </w:t>
      </w:r>
      <w:r w:rsidRPr="006148D8">
        <w:t>United States Department of Energy Office of Energy Efficiency and Renewable Energy</w:t>
      </w:r>
      <w:r>
        <w:t xml:space="preserve">. Small Wind Guidebook. </w:t>
      </w:r>
      <w:hyperlink r:id="rId26" w:history="1">
        <w:r w:rsidRPr="00141AFE">
          <w:rPr>
            <w:rStyle w:val="Hyperlink"/>
          </w:rPr>
          <w:t>https://windexchange.energy.gov/small-wind-guidebook</w:t>
        </w:r>
      </w:hyperlink>
      <w:r w:rsidRPr="00141AFE">
        <w:t xml:space="preserve"> </w:t>
      </w:r>
    </w:p>
  </w:footnote>
  <w:footnote w:id="36">
    <w:p w14:paraId="33314BC5" w14:textId="11492B15" w:rsidR="001A50DF" w:rsidRDefault="001A50DF" w:rsidP="001A50DF">
      <w:pPr>
        <w:pStyle w:val="FootnoteText"/>
        <w:ind w:firstLine="0"/>
      </w:pPr>
      <w:r>
        <w:rPr>
          <w:rStyle w:val="FootnoteReference"/>
        </w:rPr>
        <w:footnoteRef/>
      </w:r>
      <w:r>
        <w:t xml:space="preserve"> Id.</w:t>
      </w:r>
    </w:p>
  </w:footnote>
  <w:footnote w:id="37">
    <w:p w14:paraId="130767B8" w14:textId="77777777" w:rsidR="001A50DF" w:rsidRDefault="001A50DF" w:rsidP="00411E13">
      <w:pPr>
        <w:pStyle w:val="FootnoteText"/>
        <w:ind w:firstLine="0"/>
      </w:pPr>
      <w:r>
        <w:rPr>
          <w:rStyle w:val="FootnoteReference"/>
        </w:rPr>
        <w:footnoteRef/>
      </w:r>
      <w:r>
        <w:t xml:space="preserve"> Id. </w:t>
      </w:r>
    </w:p>
  </w:footnote>
  <w:footnote w:id="38">
    <w:p w14:paraId="3B4C9553" w14:textId="50057372" w:rsidR="001A50DF" w:rsidRPr="001A50DF" w:rsidRDefault="001A50DF" w:rsidP="001A50DF">
      <w:pPr>
        <w:pStyle w:val="FootnoteText"/>
        <w:ind w:firstLine="0"/>
      </w:pPr>
      <w:r>
        <w:rPr>
          <w:rStyle w:val="FootnoteReference"/>
        </w:rPr>
        <w:footnoteRef/>
      </w:r>
      <w:r>
        <w:t xml:space="preserve">  </w:t>
      </w:r>
      <w:r w:rsidRPr="004111E0">
        <w:t xml:space="preserve">United States Department of Energy. Choosing and Installing Geothermal Heat Pumps. </w:t>
      </w:r>
      <w:hyperlink r:id="rId27" w:history="1">
        <w:r w:rsidRPr="001A50DF">
          <w:rPr>
            <w:rStyle w:val="Hyperlink"/>
          </w:rPr>
          <w:t>https://www.energy.gov/energysaver/choosing-and-installing-geothermal-heat-pumps</w:t>
        </w:r>
      </w:hyperlink>
      <w:r w:rsidRPr="001A50DF">
        <w:t xml:space="preserve"> (last accessed 10/12/22)</w:t>
      </w:r>
    </w:p>
  </w:footnote>
  <w:footnote w:id="39">
    <w:p w14:paraId="5E0AFB1C" w14:textId="319FE813" w:rsidR="001A50DF" w:rsidRPr="001A50DF" w:rsidRDefault="001A50DF" w:rsidP="001A50DF">
      <w:pPr>
        <w:pStyle w:val="FootnoteText"/>
        <w:ind w:firstLine="0"/>
      </w:pPr>
      <w:r w:rsidRPr="001A50DF">
        <w:rPr>
          <w:rStyle w:val="FootnoteReference"/>
        </w:rPr>
        <w:footnoteRef/>
      </w:r>
      <w:r w:rsidRPr="001A50DF">
        <w:t xml:space="preserve"> Shawn Naylor and Andrew Gustin. Geothermal Ground Source Heat Pumps and Geology in Indiana. Indiana Geological and Water Survey. Indiana University. </w:t>
      </w:r>
      <w:hyperlink r:id="rId28" w:history="1">
        <w:r w:rsidRPr="001A50DF">
          <w:rPr>
            <w:rStyle w:val="Hyperlink"/>
          </w:rPr>
          <w:t>https://igws.indiana.edu/Geothermal/HeatPumps</w:t>
        </w:r>
      </w:hyperlink>
      <w:r w:rsidRPr="001A50DF">
        <w:t xml:space="preserve"> (last accessed 10/12/22)</w:t>
      </w:r>
    </w:p>
  </w:footnote>
  <w:footnote w:id="40">
    <w:p w14:paraId="0409617B" w14:textId="1174CD61" w:rsidR="001A50DF" w:rsidRPr="001A50DF" w:rsidRDefault="001A50DF" w:rsidP="001A50DF">
      <w:pPr>
        <w:pStyle w:val="FootnoteText"/>
        <w:ind w:firstLine="0"/>
      </w:pPr>
      <w:r w:rsidRPr="001A50DF">
        <w:rPr>
          <w:rStyle w:val="FootnoteReference"/>
        </w:rPr>
        <w:footnoteRef/>
      </w:r>
      <w:r w:rsidR="00DC657A">
        <w:t xml:space="preserve"> </w:t>
      </w:r>
      <w:r w:rsidRPr="001A50DF">
        <w:t>Id.</w:t>
      </w:r>
    </w:p>
  </w:footnote>
  <w:footnote w:id="41">
    <w:p w14:paraId="76ED545E" w14:textId="4C96E816" w:rsidR="001A50DF" w:rsidRPr="001A50DF" w:rsidRDefault="001A50DF" w:rsidP="001A50DF">
      <w:pPr>
        <w:pStyle w:val="FootnoteText"/>
        <w:ind w:firstLine="0"/>
      </w:pPr>
      <w:r w:rsidRPr="001A50DF">
        <w:rPr>
          <w:rStyle w:val="FootnoteReference"/>
        </w:rPr>
        <w:footnoteRef/>
      </w:r>
      <w:r w:rsidRPr="001A50DF">
        <w:t xml:space="preserve"> New York City Department of Design and Construction. Geothermal Heat Pump Manual. </w:t>
      </w:r>
      <w:hyperlink r:id="rId29" w:history="1">
        <w:r w:rsidR="00DE5B85" w:rsidRPr="00FC224A">
          <w:rPr>
            <w:rStyle w:val="Hyperlink"/>
          </w:rPr>
          <w:t>https://www1.nyc.gov/assets/ddc/downloads/Sustainable/GeothermalHeatPumpManual.pdf</w:t>
        </w:r>
      </w:hyperlink>
      <w:r w:rsidR="00DE5B85">
        <w:t xml:space="preserve"> </w:t>
      </w:r>
      <w:r w:rsidRPr="001A50DF">
        <w:t>(last accessed 10/12/22)</w:t>
      </w:r>
    </w:p>
  </w:footnote>
  <w:footnote w:id="42">
    <w:p w14:paraId="09CA8C31" w14:textId="77777777" w:rsidR="001A50DF" w:rsidRPr="001A50DF" w:rsidRDefault="001A50DF" w:rsidP="001A50DF">
      <w:pPr>
        <w:pStyle w:val="FootnoteText"/>
        <w:ind w:firstLine="0"/>
      </w:pPr>
      <w:r w:rsidRPr="001A50DF">
        <w:rPr>
          <w:rStyle w:val="FootnoteReference"/>
        </w:rPr>
        <w:footnoteRef/>
      </w:r>
      <w:r w:rsidRPr="001A50DF">
        <w:t xml:space="preserve"> Id. </w:t>
      </w:r>
    </w:p>
  </w:footnote>
  <w:footnote w:id="43">
    <w:p w14:paraId="3A70F8F6" w14:textId="56E29686" w:rsidR="001A50DF" w:rsidRPr="001A50DF" w:rsidRDefault="001A50DF" w:rsidP="001A50DF">
      <w:pPr>
        <w:pStyle w:val="FootnoteText"/>
        <w:ind w:firstLine="0"/>
      </w:pPr>
      <w:r w:rsidRPr="001A50DF">
        <w:rPr>
          <w:rStyle w:val="FootnoteReference"/>
        </w:rPr>
        <w:footnoteRef/>
      </w:r>
      <w:r w:rsidRPr="001A50DF">
        <w:t xml:space="preserve"> Greg Milner. Nobody Knows What Lies Beneath New York City. Bloomberg Businessweek. August 10, 2017. </w:t>
      </w:r>
      <w:hyperlink r:id="rId30" w:history="1">
        <w:r w:rsidRPr="001A50DF">
          <w:rPr>
            <w:rStyle w:val="Hyperlink"/>
          </w:rPr>
          <w:t>https://www.bloomberg.com/news/features/2017-08-10/nobody-knows-what-lies-beneath-new-york-city</w:t>
        </w:r>
      </w:hyperlink>
      <w:r w:rsidRPr="001A50DF">
        <w:t xml:space="preserve"> (last accessed 10/12/22) </w:t>
      </w:r>
    </w:p>
  </w:footnote>
  <w:footnote w:id="44">
    <w:p w14:paraId="1B0BC1F2" w14:textId="4DB5688C" w:rsidR="001A50DF" w:rsidRDefault="001A50DF" w:rsidP="001A50DF">
      <w:pPr>
        <w:pStyle w:val="FootnoteText"/>
        <w:ind w:firstLine="0"/>
      </w:pPr>
      <w:r w:rsidRPr="001A50DF">
        <w:rPr>
          <w:rStyle w:val="FootnoteReference"/>
        </w:rPr>
        <w:footnoteRef/>
      </w:r>
      <w:r w:rsidRPr="001A50DF">
        <w:t xml:space="preserve"> New York City Mayor’s Office of Sustainability. Geothermal Systems and their Application in New York City. </w:t>
      </w:r>
      <w:hyperlink r:id="rId31" w:history="1">
        <w:r w:rsidRPr="001A50DF">
          <w:rPr>
            <w:rStyle w:val="Hyperlink"/>
          </w:rPr>
          <w:t>http://www.nyc.gov/html/planyc/downloads/pdf/publications/2015_Geothermal.pdf</w:t>
        </w:r>
      </w:hyperlink>
      <w:r w:rsidRPr="001A50DF">
        <w:t xml:space="preserve"> (last accessed 10/12/22)</w:t>
      </w:r>
    </w:p>
  </w:footnote>
  <w:footnote w:id="45">
    <w:p w14:paraId="68C0F586" w14:textId="69F32CEA" w:rsidR="001A50DF" w:rsidRPr="00B237FC" w:rsidRDefault="001A50DF" w:rsidP="00C46F80">
      <w:pPr>
        <w:pStyle w:val="FootnoteText"/>
        <w:ind w:firstLine="0"/>
      </w:pPr>
      <w:r w:rsidRPr="00B237FC">
        <w:rPr>
          <w:rStyle w:val="FootnoteReference"/>
        </w:rPr>
        <w:footnoteRef/>
      </w:r>
      <w:r w:rsidRPr="00B237FC">
        <w:t xml:space="preserve"> United States Geological Survey. The NYC Region - geologic map of northern Manhattan and The Bronx. </w:t>
      </w:r>
      <w:hyperlink r:id="rId32" w:history="1">
        <w:r w:rsidRPr="00B237FC">
          <w:rPr>
            <w:rStyle w:val="Hyperlink"/>
          </w:rPr>
          <w:t>https://www.usgs.gov/media/images/nyc-region-geologic-map-northern-manhattan-and-bronx</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4B21FA"/>
    <w:multiLevelType w:val="hybridMultilevel"/>
    <w:tmpl w:val="7DBE57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8602E1F"/>
    <w:multiLevelType w:val="hybridMultilevel"/>
    <w:tmpl w:val="156A02D8"/>
    <w:lvl w:ilvl="0" w:tplc="36CA29EA">
      <w:start w:val="1"/>
      <w:numFmt w:val="upperRoman"/>
      <w:lvlText w:val="%1."/>
      <w:lvlJc w:val="right"/>
      <w:pPr>
        <w:ind w:left="360" w:hanging="360"/>
      </w:pPr>
      <w:rPr>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57B523F"/>
    <w:multiLevelType w:val="hybridMultilevel"/>
    <w:tmpl w:val="0C465C64"/>
    <w:lvl w:ilvl="0" w:tplc="395CE43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421"/>
    <w:rsid w:val="00032ACB"/>
    <w:rsid w:val="0009395D"/>
    <w:rsid w:val="00097897"/>
    <w:rsid w:val="000B4ADE"/>
    <w:rsid w:val="000B4E31"/>
    <w:rsid w:val="000C4613"/>
    <w:rsid w:val="000C4948"/>
    <w:rsid w:val="000F3533"/>
    <w:rsid w:val="001256EA"/>
    <w:rsid w:val="00137BED"/>
    <w:rsid w:val="00141AFE"/>
    <w:rsid w:val="00153192"/>
    <w:rsid w:val="001548F9"/>
    <w:rsid w:val="00170991"/>
    <w:rsid w:val="00171C87"/>
    <w:rsid w:val="00192AB6"/>
    <w:rsid w:val="001949CA"/>
    <w:rsid w:val="001A34D8"/>
    <w:rsid w:val="001A50DF"/>
    <w:rsid w:val="00202DBD"/>
    <w:rsid w:val="0021668E"/>
    <w:rsid w:val="00217962"/>
    <w:rsid w:val="002449B2"/>
    <w:rsid w:val="00261CB9"/>
    <w:rsid w:val="0029201C"/>
    <w:rsid w:val="002937EC"/>
    <w:rsid w:val="002D695B"/>
    <w:rsid w:val="003711AF"/>
    <w:rsid w:val="003A40DF"/>
    <w:rsid w:val="003C06F0"/>
    <w:rsid w:val="003F51CF"/>
    <w:rsid w:val="00411E13"/>
    <w:rsid w:val="0043185A"/>
    <w:rsid w:val="00437D33"/>
    <w:rsid w:val="004412D3"/>
    <w:rsid w:val="004572CE"/>
    <w:rsid w:val="00475698"/>
    <w:rsid w:val="004A5987"/>
    <w:rsid w:val="004B34BE"/>
    <w:rsid w:val="004F3F7A"/>
    <w:rsid w:val="00526C9A"/>
    <w:rsid w:val="00527BED"/>
    <w:rsid w:val="00544103"/>
    <w:rsid w:val="005C4F89"/>
    <w:rsid w:val="00615AEC"/>
    <w:rsid w:val="006278AD"/>
    <w:rsid w:val="006503DA"/>
    <w:rsid w:val="00655351"/>
    <w:rsid w:val="006B1DC0"/>
    <w:rsid w:val="006B4183"/>
    <w:rsid w:val="006B598D"/>
    <w:rsid w:val="006C1BF6"/>
    <w:rsid w:val="006F0265"/>
    <w:rsid w:val="007126FF"/>
    <w:rsid w:val="00715C41"/>
    <w:rsid w:val="00740BFF"/>
    <w:rsid w:val="00740F32"/>
    <w:rsid w:val="00765494"/>
    <w:rsid w:val="00774D89"/>
    <w:rsid w:val="007A4CD8"/>
    <w:rsid w:val="008344CE"/>
    <w:rsid w:val="008354B6"/>
    <w:rsid w:val="00835A6B"/>
    <w:rsid w:val="00873308"/>
    <w:rsid w:val="008A2C74"/>
    <w:rsid w:val="008A2FC9"/>
    <w:rsid w:val="008B55FA"/>
    <w:rsid w:val="008D6332"/>
    <w:rsid w:val="008D7E5C"/>
    <w:rsid w:val="008F4B47"/>
    <w:rsid w:val="00931351"/>
    <w:rsid w:val="00932757"/>
    <w:rsid w:val="009369D2"/>
    <w:rsid w:val="00943CF6"/>
    <w:rsid w:val="00944094"/>
    <w:rsid w:val="00954BBF"/>
    <w:rsid w:val="009666F1"/>
    <w:rsid w:val="00974EFB"/>
    <w:rsid w:val="00986577"/>
    <w:rsid w:val="009F3B49"/>
    <w:rsid w:val="009F58C5"/>
    <w:rsid w:val="00A1779D"/>
    <w:rsid w:val="00A23B59"/>
    <w:rsid w:val="00A25562"/>
    <w:rsid w:val="00A37CCC"/>
    <w:rsid w:val="00A41592"/>
    <w:rsid w:val="00A4209B"/>
    <w:rsid w:val="00A4599C"/>
    <w:rsid w:val="00A46038"/>
    <w:rsid w:val="00A8249B"/>
    <w:rsid w:val="00A825C2"/>
    <w:rsid w:val="00A97D9B"/>
    <w:rsid w:val="00AA1962"/>
    <w:rsid w:val="00AA2803"/>
    <w:rsid w:val="00AF4941"/>
    <w:rsid w:val="00B237FC"/>
    <w:rsid w:val="00B67C7F"/>
    <w:rsid w:val="00B80CC3"/>
    <w:rsid w:val="00B82FC9"/>
    <w:rsid w:val="00B91216"/>
    <w:rsid w:val="00BB60A0"/>
    <w:rsid w:val="00BB68CB"/>
    <w:rsid w:val="00BC5421"/>
    <w:rsid w:val="00BE24CE"/>
    <w:rsid w:val="00BF5A7F"/>
    <w:rsid w:val="00C44E76"/>
    <w:rsid w:val="00C46F80"/>
    <w:rsid w:val="00C61F76"/>
    <w:rsid w:val="00C82CAD"/>
    <w:rsid w:val="00CA3885"/>
    <w:rsid w:val="00CB3FE2"/>
    <w:rsid w:val="00CB77AA"/>
    <w:rsid w:val="00CC1ADC"/>
    <w:rsid w:val="00CE2ED0"/>
    <w:rsid w:val="00CF2DC8"/>
    <w:rsid w:val="00CF7483"/>
    <w:rsid w:val="00D06B1E"/>
    <w:rsid w:val="00D22828"/>
    <w:rsid w:val="00D34883"/>
    <w:rsid w:val="00D421AB"/>
    <w:rsid w:val="00D45BAC"/>
    <w:rsid w:val="00D60CC4"/>
    <w:rsid w:val="00D634F7"/>
    <w:rsid w:val="00D64381"/>
    <w:rsid w:val="00D731C2"/>
    <w:rsid w:val="00D752EA"/>
    <w:rsid w:val="00DA3E42"/>
    <w:rsid w:val="00DC657A"/>
    <w:rsid w:val="00DE5ADA"/>
    <w:rsid w:val="00DE5B85"/>
    <w:rsid w:val="00DE74BD"/>
    <w:rsid w:val="00DF1AA6"/>
    <w:rsid w:val="00DF4D94"/>
    <w:rsid w:val="00E17047"/>
    <w:rsid w:val="00E2050A"/>
    <w:rsid w:val="00E71E2B"/>
    <w:rsid w:val="00E83BA3"/>
    <w:rsid w:val="00E85436"/>
    <w:rsid w:val="00E91F94"/>
    <w:rsid w:val="00EA63BC"/>
    <w:rsid w:val="00EC3877"/>
    <w:rsid w:val="00EC4F65"/>
    <w:rsid w:val="00EC58BC"/>
    <w:rsid w:val="00F421BF"/>
    <w:rsid w:val="00F4295E"/>
    <w:rsid w:val="00F46181"/>
    <w:rsid w:val="00F939DE"/>
    <w:rsid w:val="00FE45F4"/>
    <w:rsid w:val="00FF65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DE859"/>
  <w15:chartTrackingRefBased/>
  <w15:docId w15:val="{12EB5B26-2353-7B4B-A240-ADC4E00D7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34B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C5421"/>
    <w:pPr>
      <w:pBdr>
        <w:top w:val="nil"/>
        <w:left w:val="nil"/>
        <w:bottom w:val="nil"/>
        <w:right w:val="nil"/>
        <w:between w:val="nil"/>
        <w:bar w:val="nil"/>
      </w:pBdr>
    </w:pPr>
    <w:rPr>
      <w:rFonts w:ascii="Calibri" w:eastAsia="Calibri" w:hAnsi="Calibri" w:cs="Calibri"/>
      <w:color w:val="000000"/>
      <w:sz w:val="22"/>
      <w:szCs w:val="22"/>
      <w:u w:color="000000"/>
      <w:bdr w:val="nil"/>
    </w:rPr>
  </w:style>
  <w:style w:type="paragraph" w:styleId="BodyText">
    <w:name w:val="Body Text"/>
    <w:link w:val="BodyTextChar"/>
    <w:rsid w:val="00BC5421"/>
    <w:pPr>
      <w:pBdr>
        <w:top w:val="nil"/>
        <w:left w:val="nil"/>
        <w:bottom w:val="nil"/>
        <w:right w:val="nil"/>
        <w:between w:val="nil"/>
        <w:bar w:val="nil"/>
      </w:pBdr>
      <w:spacing w:line="480" w:lineRule="auto"/>
      <w:ind w:firstLine="720"/>
      <w:jc w:val="both"/>
    </w:pPr>
    <w:rPr>
      <w:rFonts w:ascii="Times New Roman" w:eastAsia="Arial Unicode MS" w:hAnsi="Times New Roman" w:cs="Arial Unicode MS"/>
      <w:color w:val="000000"/>
      <w:u w:color="000000"/>
      <w:bdr w:val="nil"/>
    </w:rPr>
  </w:style>
  <w:style w:type="character" w:customStyle="1" w:styleId="BodyTextChar">
    <w:name w:val="Body Text Char"/>
    <w:basedOn w:val="DefaultParagraphFont"/>
    <w:link w:val="BodyText"/>
    <w:rsid w:val="00BC5421"/>
    <w:rPr>
      <w:rFonts w:ascii="Times New Roman" w:eastAsia="Arial Unicode MS" w:hAnsi="Times New Roman" w:cs="Arial Unicode MS"/>
      <w:color w:val="000000"/>
      <w:u w:color="000000"/>
      <w:bdr w:val="nil"/>
    </w:rPr>
  </w:style>
  <w:style w:type="paragraph" w:customStyle="1" w:styleId="Default">
    <w:name w:val="Default"/>
    <w:rsid w:val="00BC5421"/>
    <w:pPr>
      <w:autoSpaceDE w:val="0"/>
      <w:autoSpaceDN w:val="0"/>
      <w:adjustRightInd w:val="0"/>
    </w:pPr>
    <w:rPr>
      <w:rFonts w:ascii="Times New Roman" w:hAnsi="Times New Roman" w:cs="Times New Roman"/>
      <w:color w:val="000000"/>
    </w:rPr>
  </w:style>
  <w:style w:type="paragraph" w:styleId="NormalWeb">
    <w:name w:val="Normal (Web)"/>
    <w:basedOn w:val="Normal"/>
    <w:uiPriority w:val="99"/>
    <w:semiHidden/>
    <w:unhideWhenUsed/>
    <w:rsid w:val="00E91F94"/>
    <w:pPr>
      <w:spacing w:before="100" w:beforeAutospacing="1" w:after="100" w:afterAutospacing="1"/>
    </w:pPr>
  </w:style>
  <w:style w:type="paragraph" w:styleId="BalloonText">
    <w:name w:val="Balloon Text"/>
    <w:basedOn w:val="Normal"/>
    <w:link w:val="BalloonTextChar"/>
    <w:uiPriority w:val="99"/>
    <w:semiHidden/>
    <w:unhideWhenUsed/>
    <w:rsid w:val="00943CF6"/>
    <w:pPr>
      <w:ind w:firstLine="720"/>
    </w:pPr>
    <w:rPr>
      <w:sz w:val="18"/>
      <w:szCs w:val="18"/>
    </w:rPr>
  </w:style>
  <w:style w:type="character" w:customStyle="1" w:styleId="BalloonTextChar">
    <w:name w:val="Balloon Text Char"/>
    <w:basedOn w:val="DefaultParagraphFont"/>
    <w:link w:val="BalloonText"/>
    <w:uiPriority w:val="99"/>
    <w:semiHidden/>
    <w:rsid w:val="00943CF6"/>
    <w:rPr>
      <w:rFonts w:ascii="Times New Roman" w:eastAsia="Times New Roman" w:hAnsi="Times New Roman" w:cs="Times New Roman"/>
      <w:sz w:val="18"/>
      <w:szCs w:val="18"/>
    </w:rPr>
  </w:style>
  <w:style w:type="paragraph" w:styleId="FootnoteText">
    <w:name w:val="footnote text"/>
    <w:aliases w:val="FT"/>
    <w:basedOn w:val="Normal"/>
    <w:link w:val="FootnoteTextChar"/>
    <w:unhideWhenUsed/>
    <w:qFormat/>
    <w:rsid w:val="00202DBD"/>
    <w:pPr>
      <w:ind w:firstLine="720"/>
    </w:pPr>
    <w:rPr>
      <w:sz w:val="20"/>
      <w:szCs w:val="20"/>
    </w:rPr>
  </w:style>
  <w:style w:type="character" w:customStyle="1" w:styleId="FootnoteTextChar">
    <w:name w:val="Footnote Text Char"/>
    <w:aliases w:val="FT Char"/>
    <w:basedOn w:val="DefaultParagraphFont"/>
    <w:link w:val="FootnoteText"/>
    <w:rsid w:val="00202DBD"/>
    <w:rPr>
      <w:rFonts w:ascii="Times New Roman" w:eastAsia="Times New Roman" w:hAnsi="Times New Roman" w:cs="Times New Roman"/>
      <w:sz w:val="20"/>
      <w:szCs w:val="20"/>
    </w:rPr>
  </w:style>
  <w:style w:type="character" w:styleId="FootnoteReference">
    <w:name w:val="footnote reference"/>
    <w:unhideWhenUsed/>
    <w:qFormat/>
    <w:rsid w:val="00202DBD"/>
    <w:rPr>
      <w:vertAlign w:val="superscript"/>
    </w:rPr>
  </w:style>
  <w:style w:type="character" w:styleId="Hyperlink">
    <w:name w:val="Hyperlink"/>
    <w:rsid w:val="00202DBD"/>
    <w:rPr>
      <w:u w:val="single"/>
    </w:rPr>
  </w:style>
  <w:style w:type="paragraph" w:styleId="Footer">
    <w:name w:val="footer"/>
    <w:basedOn w:val="Normal"/>
    <w:link w:val="FooterChar"/>
    <w:uiPriority w:val="99"/>
    <w:unhideWhenUsed/>
    <w:rsid w:val="00202DBD"/>
    <w:pPr>
      <w:tabs>
        <w:tab w:val="center" w:pos="4680"/>
        <w:tab w:val="right" w:pos="9360"/>
      </w:tabs>
      <w:ind w:firstLine="720"/>
    </w:pPr>
  </w:style>
  <w:style w:type="character" w:customStyle="1" w:styleId="FooterChar">
    <w:name w:val="Footer Char"/>
    <w:basedOn w:val="DefaultParagraphFont"/>
    <w:link w:val="Footer"/>
    <w:uiPriority w:val="99"/>
    <w:rsid w:val="00202DBD"/>
    <w:rPr>
      <w:rFonts w:ascii="Times New Roman" w:eastAsia="Times New Roman" w:hAnsi="Times New Roman" w:cs="Times New Roman"/>
    </w:rPr>
  </w:style>
  <w:style w:type="character" w:styleId="PageNumber">
    <w:name w:val="page number"/>
    <w:basedOn w:val="DefaultParagraphFont"/>
    <w:uiPriority w:val="99"/>
    <w:semiHidden/>
    <w:unhideWhenUsed/>
    <w:rsid w:val="00202DBD"/>
  </w:style>
  <w:style w:type="paragraph" w:styleId="ListParagraph">
    <w:name w:val="List Paragraph"/>
    <w:basedOn w:val="Normal"/>
    <w:uiPriority w:val="34"/>
    <w:qFormat/>
    <w:rsid w:val="00EC58BC"/>
    <w:pPr>
      <w:spacing w:after="160" w:line="259" w:lineRule="auto"/>
      <w:ind w:left="720"/>
      <w:contextualSpacing/>
    </w:pPr>
    <w:rPr>
      <w:rFonts w:asciiTheme="minorHAnsi" w:eastAsiaTheme="minorHAnsi" w:hAnsiTheme="minorHAnsi" w:cstheme="minorBidi"/>
      <w:sz w:val="22"/>
      <w:szCs w:val="22"/>
    </w:rPr>
  </w:style>
  <w:style w:type="paragraph" w:customStyle="1" w:styleId="ColorfulList-Accent11">
    <w:name w:val="Colorful List - Accent 11"/>
    <w:qFormat/>
    <w:rsid w:val="00AA1962"/>
    <w:pPr>
      <w:ind w:left="720"/>
    </w:pPr>
    <w:rPr>
      <w:rFonts w:ascii="Lucida Grande" w:eastAsia="ヒラギノ角ゴ Pro W3" w:hAnsi="Lucida Grande" w:cs="Times New Roman"/>
      <w:color w:val="000000"/>
      <w:szCs w:val="20"/>
    </w:rPr>
  </w:style>
  <w:style w:type="character" w:styleId="FollowedHyperlink">
    <w:name w:val="FollowedHyperlink"/>
    <w:basedOn w:val="DefaultParagraphFont"/>
    <w:uiPriority w:val="99"/>
    <w:semiHidden/>
    <w:unhideWhenUsed/>
    <w:rsid w:val="00A37CCC"/>
    <w:rPr>
      <w:color w:val="954F72" w:themeColor="followedHyperlink"/>
      <w:u w:val="single"/>
    </w:rPr>
  </w:style>
  <w:style w:type="character" w:customStyle="1" w:styleId="UnresolvedMention1">
    <w:name w:val="Unresolved Mention1"/>
    <w:basedOn w:val="DefaultParagraphFont"/>
    <w:uiPriority w:val="99"/>
    <w:semiHidden/>
    <w:unhideWhenUsed/>
    <w:rsid w:val="00CF7483"/>
    <w:rPr>
      <w:color w:val="605E5C"/>
      <w:shd w:val="clear" w:color="auto" w:fill="E1DFDD"/>
    </w:rPr>
  </w:style>
  <w:style w:type="character" w:styleId="CommentReference">
    <w:name w:val="annotation reference"/>
    <w:basedOn w:val="DefaultParagraphFont"/>
    <w:uiPriority w:val="99"/>
    <w:semiHidden/>
    <w:unhideWhenUsed/>
    <w:rsid w:val="00774D89"/>
    <w:rPr>
      <w:sz w:val="16"/>
      <w:szCs w:val="16"/>
    </w:rPr>
  </w:style>
  <w:style w:type="paragraph" w:styleId="CommentText">
    <w:name w:val="annotation text"/>
    <w:basedOn w:val="Normal"/>
    <w:link w:val="CommentTextChar"/>
    <w:uiPriority w:val="99"/>
    <w:semiHidden/>
    <w:unhideWhenUsed/>
    <w:rsid w:val="00774D89"/>
    <w:rPr>
      <w:sz w:val="20"/>
      <w:szCs w:val="20"/>
    </w:rPr>
  </w:style>
  <w:style w:type="character" w:customStyle="1" w:styleId="CommentTextChar">
    <w:name w:val="Comment Text Char"/>
    <w:basedOn w:val="DefaultParagraphFont"/>
    <w:link w:val="CommentText"/>
    <w:uiPriority w:val="99"/>
    <w:semiHidden/>
    <w:rsid w:val="00774D8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4D89"/>
    <w:rPr>
      <w:b/>
      <w:bCs/>
    </w:rPr>
  </w:style>
  <w:style w:type="character" w:customStyle="1" w:styleId="CommentSubjectChar">
    <w:name w:val="Comment Subject Char"/>
    <w:basedOn w:val="CommentTextChar"/>
    <w:link w:val="CommentSubject"/>
    <w:uiPriority w:val="99"/>
    <w:semiHidden/>
    <w:rsid w:val="00774D89"/>
    <w:rPr>
      <w:rFonts w:ascii="Times New Roman" w:eastAsia="Times New Roman" w:hAnsi="Times New Roman" w:cs="Times New Roman"/>
      <w:b/>
      <w:bCs/>
      <w:sz w:val="20"/>
      <w:szCs w:val="20"/>
    </w:rPr>
  </w:style>
  <w:style w:type="paragraph" w:styleId="Revision">
    <w:name w:val="Revision"/>
    <w:hidden/>
    <w:uiPriority w:val="99"/>
    <w:semiHidden/>
    <w:rsid w:val="00932757"/>
    <w:rPr>
      <w:rFonts w:ascii="Times New Roman" w:eastAsia="Times New Roman" w:hAnsi="Times New Roman" w:cs="Times New Roman"/>
    </w:rPr>
  </w:style>
  <w:style w:type="character" w:customStyle="1" w:styleId="UnresolvedMention2">
    <w:name w:val="Unresolved Mention2"/>
    <w:basedOn w:val="DefaultParagraphFont"/>
    <w:uiPriority w:val="99"/>
    <w:semiHidden/>
    <w:unhideWhenUsed/>
    <w:rsid w:val="00527B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956338">
      <w:bodyDiv w:val="1"/>
      <w:marLeft w:val="0"/>
      <w:marRight w:val="0"/>
      <w:marTop w:val="0"/>
      <w:marBottom w:val="0"/>
      <w:divBdr>
        <w:top w:val="none" w:sz="0" w:space="0" w:color="auto"/>
        <w:left w:val="none" w:sz="0" w:space="0" w:color="auto"/>
        <w:bottom w:val="none" w:sz="0" w:space="0" w:color="auto"/>
        <w:right w:val="none" w:sz="0" w:space="0" w:color="auto"/>
      </w:divBdr>
      <w:divsChild>
        <w:div w:id="2013288357">
          <w:marLeft w:val="0"/>
          <w:marRight w:val="0"/>
          <w:marTop w:val="0"/>
          <w:marBottom w:val="0"/>
          <w:divBdr>
            <w:top w:val="none" w:sz="0" w:space="0" w:color="auto"/>
            <w:left w:val="none" w:sz="0" w:space="0" w:color="auto"/>
            <w:bottom w:val="none" w:sz="0" w:space="0" w:color="auto"/>
            <w:right w:val="none" w:sz="0" w:space="0" w:color="auto"/>
          </w:divBdr>
          <w:divsChild>
            <w:div w:id="2012635613">
              <w:marLeft w:val="0"/>
              <w:marRight w:val="0"/>
              <w:marTop w:val="0"/>
              <w:marBottom w:val="0"/>
              <w:divBdr>
                <w:top w:val="none" w:sz="0" w:space="0" w:color="C0C0C0"/>
                <w:left w:val="none" w:sz="0" w:space="0" w:color="C0C0C0"/>
                <w:bottom w:val="none" w:sz="0" w:space="0" w:color="C0C0C0"/>
                <w:right w:val="none" w:sz="0" w:space="0" w:color="C0C0C0"/>
              </w:divBdr>
              <w:divsChild>
                <w:div w:id="1993244003">
                  <w:marLeft w:val="0"/>
                  <w:marRight w:val="0"/>
                  <w:marTop w:val="0"/>
                  <w:marBottom w:val="0"/>
                  <w:divBdr>
                    <w:top w:val="none" w:sz="0" w:space="0" w:color="auto"/>
                    <w:left w:val="none" w:sz="0" w:space="0" w:color="auto"/>
                    <w:bottom w:val="none" w:sz="0" w:space="0" w:color="auto"/>
                    <w:right w:val="none" w:sz="0" w:space="0" w:color="auto"/>
                  </w:divBdr>
                  <w:divsChild>
                    <w:div w:id="1146047800">
                      <w:marLeft w:val="0"/>
                      <w:marRight w:val="0"/>
                      <w:marTop w:val="0"/>
                      <w:marBottom w:val="0"/>
                      <w:divBdr>
                        <w:top w:val="none" w:sz="0" w:space="0" w:color="auto"/>
                        <w:left w:val="none" w:sz="0" w:space="0" w:color="auto"/>
                        <w:bottom w:val="none" w:sz="0" w:space="0" w:color="auto"/>
                        <w:right w:val="none" w:sz="0" w:space="0" w:color="auto"/>
                      </w:divBdr>
                      <w:divsChild>
                        <w:div w:id="1606889167">
                          <w:marLeft w:val="150"/>
                          <w:marRight w:val="150"/>
                          <w:marTop w:val="150"/>
                          <w:marBottom w:val="150"/>
                          <w:divBdr>
                            <w:top w:val="none" w:sz="0" w:space="0" w:color="auto"/>
                            <w:left w:val="none" w:sz="0" w:space="0" w:color="auto"/>
                            <w:bottom w:val="none" w:sz="0" w:space="0" w:color="auto"/>
                            <w:right w:val="none" w:sz="0" w:space="0" w:color="auto"/>
                          </w:divBdr>
                          <w:divsChild>
                            <w:div w:id="1387677553">
                              <w:marLeft w:val="0"/>
                              <w:marRight w:val="0"/>
                              <w:marTop w:val="0"/>
                              <w:marBottom w:val="0"/>
                              <w:divBdr>
                                <w:top w:val="none" w:sz="0" w:space="0" w:color="auto"/>
                                <w:left w:val="none" w:sz="0" w:space="0" w:color="auto"/>
                                <w:bottom w:val="none" w:sz="0" w:space="0" w:color="auto"/>
                                <w:right w:val="none" w:sz="0" w:space="0" w:color="auto"/>
                              </w:divBdr>
                              <w:divsChild>
                                <w:div w:id="130308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3841160">
      <w:bodyDiv w:val="1"/>
      <w:marLeft w:val="0"/>
      <w:marRight w:val="0"/>
      <w:marTop w:val="0"/>
      <w:marBottom w:val="0"/>
      <w:divBdr>
        <w:top w:val="none" w:sz="0" w:space="0" w:color="auto"/>
        <w:left w:val="none" w:sz="0" w:space="0" w:color="auto"/>
        <w:bottom w:val="none" w:sz="0" w:space="0" w:color="auto"/>
        <w:right w:val="none" w:sz="0" w:space="0" w:color="auto"/>
      </w:divBdr>
      <w:divsChild>
        <w:div w:id="1750536648">
          <w:marLeft w:val="0"/>
          <w:marRight w:val="0"/>
          <w:marTop w:val="0"/>
          <w:marBottom w:val="0"/>
          <w:divBdr>
            <w:top w:val="none" w:sz="0" w:space="0" w:color="auto"/>
            <w:left w:val="none" w:sz="0" w:space="0" w:color="auto"/>
            <w:bottom w:val="none" w:sz="0" w:space="0" w:color="auto"/>
            <w:right w:val="none" w:sz="0" w:space="0" w:color="auto"/>
          </w:divBdr>
          <w:divsChild>
            <w:div w:id="541941622">
              <w:marLeft w:val="0"/>
              <w:marRight w:val="0"/>
              <w:marTop w:val="0"/>
              <w:marBottom w:val="0"/>
              <w:divBdr>
                <w:top w:val="none" w:sz="0" w:space="0" w:color="C0C0C0"/>
                <w:left w:val="none" w:sz="0" w:space="0" w:color="C0C0C0"/>
                <w:bottom w:val="none" w:sz="0" w:space="0" w:color="C0C0C0"/>
                <w:right w:val="none" w:sz="0" w:space="0" w:color="C0C0C0"/>
              </w:divBdr>
              <w:divsChild>
                <w:div w:id="1932006766">
                  <w:marLeft w:val="0"/>
                  <w:marRight w:val="0"/>
                  <w:marTop w:val="0"/>
                  <w:marBottom w:val="0"/>
                  <w:divBdr>
                    <w:top w:val="none" w:sz="0" w:space="0" w:color="auto"/>
                    <w:left w:val="none" w:sz="0" w:space="0" w:color="auto"/>
                    <w:bottom w:val="none" w:sz="0" w:space="0" w:color="auto"/>
                    <w:right w:val="none" w:sz="0" w:space="0" w:color="auto"/>
                  </w:divBdr>
                  <w:divsChild>
                    <w:div w:id="474298949">
                      <w:marLeft w:val="0"/>
                      <w:marRight w:val="0"/>
                      <w:marTop w:val="0"/>
                      <w:marBottom w:val="0"/>
                      <w:divBdr>
                        <w:top w:val="none" w:sz="0" w:space="0" w:color="auto"/>
                        <w:left w:val="none" w:sz="0" w:space="0" w:color="auto"/>
                        <w:bottom w:val="none" w:sz="0" w:space="0" w:color="auto"/>
                        <w:right w:val="none" w:sz="0" w:space="0" w:color="auto"/>
                      </w:divBdr>
                      <w:divsChild>
                        <w:div w:id="498010547">
                          <w:marLeft w:val="150"/>
                          <w:marRight w:val="150"/>
                          <w:marTop w:val="150"/>
                          <w:marBottom w:val="150"/>
                          <w:divBdr>
                            <w:top w:val="none" w:sz="0" w:space="0" w:color="auto"/>
                            <w:left w:val="none" w:sz="0" w:space="0" w:color="auto"/>
                            <w:bottom w:val="none" w:sz="0" w:space="0" w:color="auto"/>
                            <w:right w:val="none" w:sz="0" w:space="0" w:color="auto"/>
                          </w:divBdr>
                          <w:divsChild>
                            <w:div w:id="801507826">
                              <w:marLeft w:val="0"/>
                              <w:marRight w:val="0"/>
                              <w:marTop w:val="0"/>
                              <w:marBottom w:val="0"/>
                              <w:divBdr>
                                <w:top w:val="none" w:sz="0" w:space="0" w:color="auto"/>
                                <w:left w:val="none" w:sz="0" w:space="0" w:color="auto"/>
                                <w:bottom w:val="none" w:sz="0" w:space="0" w:color="auto"/>
                                <w:right w:val="none" w:sz="0" w:space="0" w:color="auto"/>
                              </w:divBdr>
                              <w:divsChild>
                                <w:div w:id="161771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0465033">
      <w:bodyDiv w:val="1"/>
      <w:marLeft w:val="0"/>
      <w:marRight w:val="0"/>
      <w:marTop w:val="0"/>
      <w:marBottom w:val="0"/>
      <w:divBdr>
        <w:top w:val="none" w:sz="0" w:space="0" w:color="auto"/>
        <w:left w:val="none" w:sz="0" w:space="0" w:color="auto"/>
        <w:bottom w:val="none" w:sz="0" w:space="0" w:color="auto"/>
        <w:right w:val="none" w:sz="0" w:space="0" w:color="auto"/>
      </w:divBdr>
    </w:div>
    <w:div w:id="810635866">
      <w:bodyDiv w:val="1"/>
      <w:marLeft w:val="0"/>
      <w:marRight w:val="0"/>
      <w:marTop w:val="0"/>
      <w:marBottom w:val="0"/>
      <w:divBdr>
        <w:top w:val="none" w:sz="0" w:space="0" w:color="auto"/>
        <w:left w:val="none" w:sz="0" w:space="0" w:color="auto"/>
        <w:bottom w:val="none" w:sz="0" w:space="0" w:color="auto"/>
        <w:right w:val="none" w:sz="0" w:space="0" w:color="auto"/>
      </w:divBdr>
    </w:div>
    <w:div w:id="909537199">
      <w:bodyDiv w:val="1"/>
      <w:marLeft w:val="0"/>
      <w:marRight w:val="0"/>
      <w:marTop w:val="0"/>
      <w:marBottom w:val="0"/>
      <w:divBdr>
        <w:top w:val="none" w:sz="0" w:space="0" w:color="auto"/>
        <w:left w:val="none" w:sz="0" w:space="0" w:color="auto"/>
        <w:bottom w:val="none" w:sz="0" w:space="0" w:color="auto"/>
        <w:right w:val="none" w:sz="0" w:space="0" w:color="auto"/>
      </w:divBdr>
    </w:div>
    <w:div w:id="1130250261">
      <w:bodyDiv w:val="1"/>
      <w:marLeft w:val="0"/>
      <w:marRight w:val="0"/>
      <w:marTop w:val="0"/>
      <w:marBottom w:val="0"/>
      <w:divBdr>
        <w:top w:val="none" w:sz="0" w:space="0" w:color="auto"/>
        <w:left w:val="none" w:sz="0" w:space="0" w:color="auto"/>
        <w:bottom w:val="none" w:sz="0" w:space="0" w:color="auto"/>
        <w:right w:val="none" w:sz="0" w:space="0" w:color="auto"/>
      </w:divBdr>
    </w:div>
    <w:div w:id="1210606570">
      <w:bodyDiv w:val="1"/>
      <w:marLeft w:val="0"/>
      <w:marRight w:val="0"/>
      <w:marTop w:val="0"/>
      <w:marBottom w:val="0"/>
      <w:divBdr>
        <w:top w:val="none" w:sz="0" w:space="0" w:color="auto"/>
        <w:left w:val="none" w:sz="0" w:space="0" w:color="auto"/>
        <w:bottom w:val="none" w:sz="0" w:space="0" w:color="auto"/>
        <w:right w:val="none" w:sz="0" w:space="0" w:color="auto"/>
      </w:divBdr>
    </w:div>
    <w:div w:id="1233813106">
      <w:bodyDiv w:val="1"/>
      <w:marLeft w:val="0"/>
      <w:marRight w:val="0"/>
      <w:marTop w:val="0"/>
      <w:marBottom w:val="0"/>
      <w:divBdr>
        <w:top w:val="none" w:sz="0" w:space="0" w:color="auto"/>
        <w:left w:val="none" w:sz="0" w:space="0" w:color="auto"/>
        <w:bottom w:val="none" w:sz="0" w:space="0" w:color="auto"/>
        <w:right w:val="none" w:sz="0" w:space="0" w:color="auto"/>
      </w:divBdr>
      <w:divsChild>
        <w:div w:id="2125809236">
          <w:marLeft w:val="0"/>
          <w:marRight w:val="0"/>
          <w:marTop w:val="0"/>
          <w:marBottom w:val="0"/>
          <w:divBdr>
            <w:top w:val="none" w:sz="0" w:space="0" w:color="auto"/>
            <w:left w:val="none" w:sz="0" w:space="0" w:color="auto"/>
            <w:bottom w:val="none" w:sz="0" w:space="0" w:color="auto"/>
            <w:right w:val="none" w:sz="0" w:space="0" w:color="auto"/>
          </w:divBdr>
          <w:divsChild>
            <w:div w:id="1050498044">
              <w:marLeft w:val="0"/>
              <w:marRight w:val="0"/>
              <w:marTop w:val="0"/>
              <w:marBottom w:val="0"/>
              <w:divBdr>
                <w:top w:val="none" w:sz="0" w:space="0" w:color="C0C0C0"/>
                <w:left w:val="none" w:sz="0" w:space="0" w:color="C0C0C0"/>
                <w:bottom w:val="none" w:sz="0" w:space="0" w:color="C0C0C0"/>
                <w:right w:val="none" w:sz="0" w:space="0" w:color="C0C0C0"/>
              </w:divBdr>
              <w:divsChild>
                <w:div w:id="1794788419">
                  <w:marLeft w:val="0"/>
                  <w:marRight w:val="0"/>
                  <w:marTop w:val="0"/>
                  <w:marBottom w:val="0"/>
                  <w:divBdr>
                    <w:top w:val="none" w:sz="0" w:space="0" w:color="auto"/>
                    <w:left w:val="none" w:sz="0" w:space="0" w:color="auto"/>
                    <w:bottom w:val="none" w:sz="0" w:space="0" w:color="auto"/>
                    <w:right w:val="none" w:sz="0" w:space="0" w:color="auto"/>
                  </w:divBdr>
                  <w:divsChild>
                    <w:div w:id="377438832">
                      <w:marLeft w:val="0"/>
                      <w:marRight w:val="0"/>
                      <w:marTop w:val="0"/>
                      <w:marBottom w:val="0"/>
                      <w:divBdr>
                        <w:top w:val="none" w:sz="0" w:space="0" w:color="auto"/>
                        <w:left w:val="none" w:sz="0" w:space="0" w:color="auto"/>
                        <w:bottom w:val="none" w:sz="0" w:space="0" w:color="auto"/>
                        <w:right w:val="none" w:sz="0" w:space="0" w:color="auto"/>
                      </w:divBdr>
                      <w:divsChild>
                        <w:div w:id="1939755848">
                          <w:marLeft w:val="150"/>
                          <w:marRight w:val="150"/>
                          <w:marTop w:val="150"/>
                          <w:marBottom w:val="150"/>
                          <w:divBdr>
                            <w:top w:val="none" w:sz="0" w:space="0" w:color="auto"/>
                            <w:left w:val="none" w:sz="0" w:space="0" w:color="auto"/>
                            <w:bottom w:val="none" w:sz="0" w:space="0" w:color="auto"/>
                            <w:right w:val="none" w:sz="0" w:space="0" w:color="auto"/>
                          </w:divBdr>
                          <w:divsChild>
                            <w:div w:id="1308702036">
                              <w:marLeft w:val="0"/>
                              <w:marRight w:val="0"/>
                              <w:marTop w:val="0"/>
                              <w:marBottom w:val="0"/>
                              <w:divBdr>
                                <w:top w:val="none" w:sz="0" w:space="0" w:color="auto"/>
                                <w:left w:val="none" w:sz="0" w:space="0" w:color="auto"/>
                                <w:bottom w:val="none" w:sz="0" w:space="0" w:color="auto"/>
                                <w:right w:val="none" w:sz="0" w:space="0" w:color="auto"/>
                              </w:divBdr>
                              <w:divsChild>
                                <w:div w:id="194773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0094573">
      <w:bodyDiv w:val="1"/>
      <w:marLeft w:val="0"/>
      <w:marRight w:val="0"/>
      <w:marTop w:val="0"/>
      <w:marBottom w:val="0"/>
      <w:divBdr>
        <w:top w:val="none" w:sz="0" w:space="0" w:color="auto"/>
        <w:left w:val="none" w:sz="0" w:space="0" w:color="auto"/>
        <w:bottom w:val="none" w:sz="0" w:space="0" w:color="auto"/>
        <w:right w:val="none" w:sz="0" w:space="0" w:color="auto"/>
      </w:divBdr>
    </w:div>
    <w:div w:id="1577352651">
      <w:bodyDiv w:val="1"/>
      <w:marLeft w:val="0"/>
      <w:marRight w:val="0"/>
      <w:marTop w:val="0"/>
      <w:marBottom w:val="0"/>
      <w:divBdr>
        <w:top w:val="none" w:sz="0" w:space="0" w:color="auto"/>
        <w:left w:val="none" w:sz="0" w:space="0" w:color="auto"/>
        <w:bottom w:val="none" w:sz="0" w:space="0" w:color="auto"/>
        <w:right w:val="none" w:sz="0" w:space="0" w:color="auto"/>
      </w:divBdr>
      <w:divsChild>
        <w:div w:id="644285070">
          <w:marLeft w:val="0"/>
          <w:marRight w:val="0"/>
          <w:marTop w:val="0"/>
          <w:marBottom w:val="0"/>
          <w:divBdr>
            <w:top w:val="none" w:sz="0" w:space="0" w:color="auto"/>
            <w:left w:val="none" w:sz="0" w:space="0" w:color="auto"/>
            <w:bottom w:val="none" w:sz="0" w:space="0" w:color="auto"/>
            <w:right w:val="none" w:sz="0" w:space="0" w:color="auto"/>
          </w:divBdr>
          <w:divsChild>
            <w:div w:id="1301764967">
              <w:marLeft w:val="0"/>
              <w:marRight w:val="0"/>
              <w:marTop w:val="0"/>
              <w:marBottom w:val="0"/>
              <w:divBdr>
                <w:top w:val="none" w:sz="0" w:space="0" w:color="C0C0C0"/>
                <w:left w:val="none" w:sz="0" w:space="0" w:color="C0C0C0"/>
                <w:bottom w:val="none" w:sz="0" w:space="0" w:color="C0C0C0"/>
                <w:right w:val="none" w:sz="0" w:space="0" w:color="C0C0C0"/>
              </w:divBdr>
              <w:divsChild>
                <w:div w:id="1256405695">
                  <w:marLeft w:val="0"/>
                  <w:marRight w:val="0"/>
                  <w:marTop w:val="0"/>
                  <w:marBottom w:val="0"/>
                  <w:divBdr>
                    <w:top w:val="none" w:sz="0" w:space="0" w:color="auto"/>
                    <w:left w:val="none" w:sz="0" w:space="0" w:color="auto"/>
                    <w:bottom w:val="none" w:sz="0" w:space="0" w:color="auto"/>
                    <w:right w:val="none" w:sz="0" w:space="0" w:color="auto"/>
                  </w:divBdr>
                  <w:divsChild>
                    <w:div w:id="271086539">
                      <w:marLeft w:val="0"/>
                      <w:marRight w:val="0"/>
                      <w:marTop w:val="0"/>
                      <w:marBottom w:val="0"/>
                      <w:divBdr>
                        <w:top w:val="none" w:sz="0" w:space="0" w:color="auto"/>
                        <w:left w:val="none" w:sz="0" w:space="0" w:color="auto"/>
                        <w:bottom w:val="none" w:sz="0" w:space="0" w:color="auto"/>
                        <w:right w:val="none" w:sz="0" w:space="0" w:color="auto"/>
                      </w:divBdr>
                      <w:divsChild>
                        <w:div w:id="1654943388">
                          <w:marLeft w:val="150"/>
                          <w:marRight w:val="150"/>
                          <w:marTop w:val="150"/>
                          <w:marBottom w:val="150"/>
                          <w:divBdr>
                            <w:top w:val="none" w:sz="0" w:space="0" w:color="auto"/>
                            <w:left w:val="none" w:sz="0" w:space="0" w:color="auto"/>
                            <w:bottom w:val="none" w:sz="0" w:space="0" w:color="auto"/>
                            <w:right w:val="none" w:sz="0" w:space="0" w:color="auto"/>
                          </w:divBdr>
                          <w:divsChild>
                            <w:div w:id="734006889">
                              <w:marLeft w:val="0"/>
                              <w:marRight w:val="0"/>
                              <w:marTop w:val="0"/>
                              <w:marBottom w:val="0"/>
                              <w:divBdr>
                                <w:top w:val="none" w:sz="0" w:space="0" w:color="auto"/>
                                <w:left w:val="none" w:sz="0" w:space="0" w:color="auto"/>
                                <w:bottom w:val="none" w:sz="0" w:space="0" w:color="auto"/>
                                <w:right w:val="none" w:sz="0" w:space="0" w:color="auto"/>
                              </w:divBdr>
                              <w:divsChild>
                                <w:div w:id="33130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ipcc.ch/2018/10/08/summary-for-policymakers-of-ipcc-special-report-on-global-warming-of-1-5c-approved-by-governments/" TargetMode="External"/><Relationship Id="rId13" Type="http://schemas.openxmlformats.org/officeDocument/2006/relationships/hyperlink" Target="https://www.empirewind.com/about/project/" TargetMode="External"/><Relationship Id="rId18" Type="http://schemas.openxmlformats.org/officeDocument/2006/relationships/hyperlink" Target="http://www.TheUnitConverter.com" TargetMode="External"/><Relationship Id="rId26" Type="http://schemas.openxmlformats.org/officeDocument/2006/relationships/hyperlink" Target="https://windexchange.energy.gov/small-wind-guidebook" TargetMode="External"/><Relationship Id="rId3" Type="http://schemas.openxmlformats.org/officeDocument/2006/relationships/hyperlink" Target="https://cires.colorado.edu/news/noaa-carbon-dioxide-peaks-near-420-ppm-mauna-loa-observatory" TargetMode="External"/><Relationship Id="rId21" Type="http://schemas.openxmlformats.org/officeDocument/2006/relationships/hyperlink" Target="https://www.energy.gov/energysaver/estimating-cost-and-energy-efficiency-solar-water-heater" TargetMode="External"/><Relationship Id="rId7" Type="http://schemas.openxmlformats.org/officeDocument/2006/relationships/hyperlink" Target="https://nca2018.globalchange.gov/" TargetMode="External"/><Relationship Id="rId12" Type="http://schemas.openxmlformats.org/officeDocument/2006/relationships/hyperlink" Target="https://chpexpress.com/project-overview/" TargetMode="External"/><Relationship Id="rId17" Type="http://schemas.openxmlformats.org/officeDocument/2006/relationships/hyperlink" Target="https://data.cityofnewyork.us/City-Government/DCAS-Managed-Building-Energy-Usage/ubdi-jgw2" TargetMode="External"/><Relationship Id="rId25" Type="http://schemas.openxmlformats.org/officeDocument/2006/relationships/hyperlink" Target="https://www.nrel.gov/docs/fy13osti/56290.pdf" TargetMode="External"/><Relationship Id="rId2" Type="http://schemas.openxmlformats.org/officeDocument/2006/relationships/hyperlink" Target="https://nca2018.globalchange.gov/" TargetMode="External"/><Relationship Id="rId16" Type="http://schemas.openxmlformats.org/officeDocument/2006/relationships/hyperlink" Target="https://www.energy-storage.news/eastern-generation-gets-permit-for-135mw-battery-storage-at-new-york-fossil-fuel-plant-site/" TargetMode="External"/><Relationship Id="rId20" Type="http://schemas.openxmlformats.org/officeDocument/2006/relationships/hyperlink" Target="https://www.urbangreencouncil.org/sites/default/files/2020_nyc_benchmarking_report.pdf" TargetMode="External"/><Relationship Id="rId29" Type="http://schemas.openxmlformats.org/officeDocument/2006/relationships/hyperlink" Target="https://www1.nyc.gov/assets/ddc/downloads/Sustainable/GeothermalHeatPumpManual.pdf" TargetMode="External"/><Relationship Id="rId1" Type="http://schemas.openxmlformats.org/officeDocument/2006/relationships/hyperlink" Target="https://www.ipcc.ch/2018/10/08/summary-for-policymakers-of-ipcc-special-report-on-global-warming-of-1-5c-approved-by-governments/" TargetMode="External"/><Relationship Id="rId6" Type="http://schemas.openxmlformats.org/officeDocument/2006/relationships/hyperlink" Target="https://journals.sagepub.com/doi/pdf/10.1177/2053019616688022" TargetMode="External"/><Relationship Id="rId11" Type="http://schemas.openxmlformats.org/officeDocument/2006/relationships/hyperlink" Target="https://www.cleanpathny.com/" TargetMode="External"/><Relationship Id="rId24" Type="http://schemas.openxmlformats.org/officeDocument/2006/relationships/hyperlink" Target="https://livinglotsnyc.org/" TargetMode="External"/><Relationship Id="rId32" Type="http://schemas.openxmlformats.org/officeDocument/2006/relationships/hyperlink" Target="https://www.usgs.gov/media/images/nyc-region-geologic-map-northern-manhattan-and-bronx" TargetMode="External"/><Relationship Id="rId5" Type="http://schemas.openxmlformats.org/officeDocument/2006/relationships/hyperlink" Target="https://climate.nasa.gov/climate_resources/24/graphic-the-relentless-rise-of-carbon-dioxide/" TargetMode="External"/><Relationship Id="rId15" Type="http://schemas.openxmlformats.org/officeDocument/2006/relationships/hyperlink" Target="https://www.nyserda.ny.gov/About/Newsroom/2022-Announcements/2022-09-08-Governor-Hochul-Announces-Millions-in-Awards-for-Five-Energy-Storage-Projects" TargetMode="External"/><Relationship Id="rId23" Type="http://schemas.openxmlformats.org/officeDocument/2006/relationships/hyperlink" Target="https://dlsc.ca/how.htm" TargetMode="External"/><Relationship Id="rId28" Type="http://schemas.openxmlformats.org/officeDocument/2006/relationships/hyperlink" Target="https://igws.indiana.edu/Geothermal/HeatPumps" TargetMode="External"/><Relationship Id="rId10" Type="http://schemas.openxmlformats.org/officeDocument/2006/relationships/hyperlink" Target="https://www.nyserda.ny.gov/About/Publications/Research-and-Development-Technical-Reports/Electric-Power-Transmission-and-Distribution-Reports/Electric-Power-Transmission-and-Distribution-Reports---Archive/New-York-Power-Grid-Study/Story-of-Our-Grid" TargetMode="External"/><Relationship Id="rId19" Type="http://schemas.openxmlformats.org/officeDocument/2006/relationships/hyperlink" Target="https://legistar.council.nyc.gov/LegislationDetail.aspx?ID=3344782&amp;GUID=58E3ED36-D6C6-4B12-9816-16996ACA259B&amp;Options=&amp;Search" TargetMode="External"/><Relationship Id="rId31" Type="http://schemas.openxmlformats.org/officeDocument/2006/relationships/hyperlink" Target="http://www.nyc.gov/html/planyc/downloads/pdf/publications/2015_Geothermal.pdf" TargetMode="External"/><Relationship Id="rId4" Type="http://schemas.openxmlformats.org/officeDocument/2006/relationships/hyperlink" Target="https://phys.org/news/2019-05-million-co2-historic-high.html" TargetMode="External"/><Relationship Id="rId9" Type="http://schemas.openxmlformats.org/officeDocument/2006/relationships/hyperlink" Target="https://www.nyserda.ny.gov/All-Programs/energy-storage" TargetMode="External"/><Relationship Id="rId14" Type="http://schemas.openxmlformats.org/officeDocument/2006/relationships/hyperlink" Target="https://www.energy-storage.news/eastern-generation-gets-permit-for-135mw-battery-storage-at-new-york-fossil-fuel-plant-site/" TargetMode="External"/><Relationship Id="rId22" Type="http://schemas.openxmlformats.org/officeDocument/2006/relationships/hyperlink" Target="https://www.energystar.gov/products/water_heaters/water_heater_solar/how_it_works" TargetMode="External"/><Relationship Id="rId27" Type="http://schemas.openxmlformats.org/officeDocument/2006/relationships/hyperlink" Target="https://www.energy.gov/energysaver/choosing-and-installing-geothermal-heat-pumps" TargetMode="External"/><Relationship Id="rId30" Type="http://schemas.openxmlformats.org/officeDocument/2006/relationships/hyperlink" Target="https://www.bloomberg.com/news/features/2017-08-10/nobody-knows-what-lies-beneath-new-york-c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6cd606e7603f85516fa43680e1ba452e">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3d39692dd1041c76a8e9a981d52e3398"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B415C-4587-4049-91A4-01601ADADA1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741FB2D-1865-4789-B219-96EF04B77750}">
  <ds:schemaRefs>
    <ds:schemaRef ds:uri="http://schemas.microsoft.com/sharepoint/v3/contenttype/forms"/>
  </ds:schemaRefs>
</ds:datastoreItem>
</file>

<file path=customXml/itemProps3.xml><?xml version="1.0" encoding="utf-8"?>
<ds:datastoreItem xmlns:ds="http://schemas.openxmlformats.org/officeDocument/2006/customXml" ds:itemID="{D31521C3-F022-4EBF-A985-CDB8F142BF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06C86C-536F-4CEF-A0F5-F2296AA5A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5592</Words>
  <Characters>31880</Characters>
  <Application>Microsoft Office Word</Application>
  <DocSecurity>4</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Ricky Chawla</dc:creator>
  <cp:keywords/>
  <dc:description/>
  <cp:lastModifiedBy>DelFranco, Ruthie</cp:lastModifiedBy>
  <cp:revision>2</cp:revision>
  <cp:lastPrinted>2022-10-13T15:28:00Z</cp:lastPrinted>
  <dcterms:created xsi:type="dcterms:W3CDTF">2022-10-14T12:59:00Z</dcterms:created>
  <dcterms:modified xsi:type="dcterms:W3CDTF">2022-10-14T12:59:00Z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