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D98D1F" w14:textId="06D89EC8" w:rsidR="00FA28C6" w:rsidRDefault="00FA28C6" w:rsidP="00391A87">
      <w:pPr>
        <w:spacing w:after="0" w:line="240" w:lineRule="auto"/>
        <w:jc w:val="center"/>
        <w:rPr>
          <w:rFonts w:ascii="Times New Roman" w:hAnsi="Times New Roman" w:cs="Times New Roman"/>
          <w:sz w:val="24"/>
          <w:szCs w:val="24"/>
        </w:rPr>
      </w:pPr>
      <w:r w:rsidRPr="000529EA">
        <w:rPr>
          <w:rFonts w:ascii="Times New Roman" w:hAnsi="Times New Roman" w:cs="Times New Roman"/>
          <w:sz w:val="24"/>
          <w:szCs w:val="24"/>
        </w:rPr>
        <w:t>Res. No</w:t>
      </w:r>
      <w:r w:rsidR="00391A87">
        <w:rPr>
          <w:rFonts w:ascii="Times New Roman" w:hAnsi="Times New Roman" w:cs="Times New Roman"/>
          <w:sz w:val="24"/>
          <w:szCs w:val="24"/>
        </w:rPr>
        <w:t>.</w:t>
      </w:r>
      <w:r w:rsidR="0040485C">
        <w:rPr>
          <w:rFonts w:ascii="Times New Roman" w:hAnsi="Times New Roman" w:cs="Times New Roman"/>
          <w:sz w:val="24"/>
          <w:szCs w:val="24"/>
        </w:rPr>
        <w:t xml:space="preserve"> 190</w:t>
      </w:r>
    </w:p>
    <w:p w14:paraId="32D431C8" w14:textId="77777777" w:rsidR="00391A87" w:rsidRDefault="00391A87" w:rsidP="00391A87">
      <w:pPr>
        <w:spacing w:after="0" w:line="240" w:lineRule="auto"/>
        <w:rPr>
          <w:rFonts w:ascii="Times New Roman" w:hAnsi="Times New Roman" w:cs="Times New Roman"/>
          <w:sz w:val="24"/>
          <w:szCs w:val="24"/>
        </w:rPr>
      </w:pPr>
    </w:p>
    <w:p w14:paraId="6CC5DE9F" w14:textId="77777777" w:rsidR="00391A87" w:rsidRPr="00391A87" w:rsidRDefault="00391A87" w:rsidP="00391A87">
      <w:pPr>
        <w:spacing w:after="0" w:line="240" w:lineRule="auto"/>
        <w:rPr>
          <w:rFonts w:ascii="Times New Roman" w:hAnsi="Times New Roman" w:cs="Times New Roman"/>
          <w:vanish/>
          <w:sz w:val="24"/>
          <w:szCs w:val="24"/>
        </w:rPr>
      </w:pPr>
      <w:r w:rsidRPr="00391A87">
        <w:rPr>
          <w:rFonts w:ascii="Times New Roman" w:hAnsi="Times New Roman" w:cs="Times New Roman"/>
          <w:vanish/>
          <w:sz w:val="24"/>
          <w:szCs w:val="24"/>
        </w:rPr>
        <w:t>..Title</w:t>
      </w:r>
    </w:p>
    <w:p w14:paraId="7F8E9EA7" w14:textId="0060F6AC" w:rsidR="002A0A1D" w:rsidRDefault="00FA28C6" w:rsidP="00391A87">
      <w:pPr>
        <w:spacing w:after="0" w:line="240" w:lineRule="auto"/>
        <w:rPr>
          <w:rFonts w:ascii="Times New Roman" w:hAnsi="Times New Roman" w:cs="Times New Roman"/>
          <w:sz w:val="24"/>
          <w:szCs w:val="24"/>
        </w:rPr>
      </w:pPr>
      <w:r w:rsidRPr="000529EA">
        <w:rPr>
          <w:rFonts w:ascii="Times New Roman" w:hAnsi="Times New Roman" w:cs="Times New Roman"/>
          <w:sz w:val="24"/>
          <w:szCs w:val="24"/>
        </w:rPr>
        <w:t xml:space="preserve">Resolution </w:t>
      </w:r>
      <w:r w:rsidR="008A1E78">
        <w:rPr>
          <w:rFonts w:ascii="Times New Roman" w:hAnsi="Times New Roman" w:cs="Times New Roman"/>
          <w:sz w:val="24"/>
          <w:szCs w:val="24"/>
        </w:rPr>
        <w:t>calling upon</w:t>
      </w:r>
      <w:r w:rsidR="008A1E78" w:rsidRPr="004866EA">
        <w:rPr>
          <w:rFonts w:ascii="Times New Roman" w:hAnsi="Times New Roman" w:cs="Times New Roman"/>
          <w:sz w:val="24"/>
          <w:szCs w:val="24"/>
        </w:rPr>
        <w:t xml:space="preserve"> </w:t>
      </w:r>
      <w:r w:rsidR="004866EA" w:rsidRPr="004866EA">
        <w:rPr>
          <w:rFonts w:ascii="Times New Roman" w:hAnsi="Times New Roman" w:cs="Times New Roman"/>
          <w:sz w:val="24"/>
          <w:szCs w:val="24"/>
        </w:rPr>
        <w:t>the</w:t>
      </w:r>
      <w:r w:rsidR="00991A33">
        <w:rPr>
          <w:rFonts w:ascii="Times New Roman" w:hAnsi="Times New Roman" w:cs="Times New Roman"/>
          <w:sz w:val="24"/>
          <w:szCs w:val="24"/>
        </w:rPr>
        <w:t xml:space="preserve"> </w:t>
      </w:r>
      <w:r w:rsidR="004866EA" w:rsidRPr="004866EA">
        <w:rPr>
          <w:rFonts w:ascii="Times New Roman" w:hAnsi="Times New Roman" w:cs="Times New Roman"/>
          <w:sz w:val="24"/>
          <w:szCs w:val="24"/>
        </w:rPr>
        <w:t>N</w:t>
      </w:r>
      <w:r w:rsidR="008A1E78">
        <w:rPr>
          <w:rFonts w:ascii="Times New Roman" w:hAnsi="Times New Roman" w:cs="Times New Roman"/>
          <w:sz w:val="24"/>
          <w:szCs w:val="24"/>
        </w:rPr>
        <w:t xml:space="preserve">ew </w:t>
      </w:r>
      <w:r w:rsidR="004866EA" w:rsidRPr="004866EA">
        <w:rPr>
          <w:rFonts w:ascii="Times New Roman" w:hAnsi="Times New Roman" w:cs="Times New Roman"/>
          <w:sz w:val="24"/>
          <w:szCs w:val="24"/>
        </w:rPr>
        <w:t>Y</w:t>
      </w:r>
      <w:r w:rsidR="008A1E78">
        <w:rPr>
          <w:rFonts w:ascii="Times New Roman" w:hAnsi="Times New Roman" w:cs="Times New Roman"/>
          <w:sz w:val="24"/>
          <w:szCs w:val="24"/>
        </w:rPr>
        <w:t xml:space="preserve">ork </w:t>
      </w:r>
      <w:r w:rsidR="004866EA" w:rsidRPr="004866EA">
        <w:rPr>
          <w:rFonts w:ascii="Times New Roman" w:hAnsi="Times New Roman" w:cs="Times New Roman"/>
          <w:sz w:val="24"/>
          <w:szCs w:val="24"/>
        </w:rPr>
        <w:t>S</w:t>
      </w:r>
      <w:r w:rsidR="008A1E78">
        <w:rPr>
          <w:rFonts w:ascii="Times New Roman" w:hAnsi="Times New Roman" w:cs="Times New Roman"/>
          <w:sz w:val="24"/>
          <w:szCs w:val="24"/>
        </w:rPr>
        <w:t>tate</w:t>
      </w:r>
      <w:r w:rsidR="004866EA" w:rsidRPr="004866EA">
        <w:rPr>
          <w:rFonts w:ascii="Times New Roman" w:hAnsi="Times New Roman" w:cs="Times New Roman"/>
          <w:sz w:val="24"/>
          <w:szCs w:val="24"/>
        </w:rPr>
        <w:t xml:space="preserve"> Legislature </w:t>
      </w:r>
      <w:r w:rsidR="00991A33">
        <w:rPr>
          <w:rFonts w:ascii="Times New Roman" w:hAnsi="Times New Roman" w:cs="Times New Roman"/>
          <w:sz w:val="24"/>
          <w:szCs w:val="24"/>
        </w:rPr>
        <w:t xml:space="preserve">and Governor </w:t>
      </w:r>
      <w:r w:rsidR="00AB4F47">
        <w:rPr>
          <w:rFonts w:ascii="Times New Roman" w:hAnsi="Times New Roman" w:cs="Times New Roman"/>
          <w:sz w:val="24"/>
          <w:szCs w:val="24"/>
        </w:rPr>
        <w:t>to</w:t>
      </w:r>
      <w:r w:rsidR="00991A33">
        <w:rPr>
          <w:rFonts w:ascii="Times New Roman" w:hAnsi="Times New Roman" w:cs="Times New Roman"/>
          <w:sz w:val="24"/>
          <w:szCs w:val="24"/>
        </w:rPr>
        <w:t xml:space="preserve"> provide their share of the additional three billion dollars annually,</w:t>
      </w:r>
      <w:r w:rsidR="0040485C">
        <w:rPr>
          <w:rFonts w:ascii="Times New Roman" w:hAnsi="Times New Roman" w:cs="Times New Roman"/>
          <w:sz w:val="24"/>
          <w:szCs w:val="24"/>
        </w:rPr>
        <w:t xml:space="preserve"> </w:t>
      </w:r>
      <w:r w:rsidR="00991A33">
        <w:rPr>
          <w:rFonts w:ascii="Times New Roman" w:hAnsi="Times New Roman" w:cs="Times New Roman"/>
          <w:sz w:val="24"/>
          <w:szCs w:val="24"/>
        </w:rPr>
        <w:t>that must be reinvested</w:t>
      </w:r>
      <w:r w:rsidR="00AB4F47">
        <w:rPr>
          <w:rFonts w:ascii="Times New Roman" w:hAnsi="Times New Roman" w:cs="Times New Roman"/>
          <w:sz w:val="24"/>
          <w:szCs w:val="24"/>
        </w:rPr>
        <w:t xml:space="preserve"> </w:t>
      </w:r>
      <w:r w:rsidR="00991A33">
        <w:rPr>
          <w:rFonts w:ascii="Times New Roman" w:hAnsi="Times New Roman" w:cs="Times New Roman"/>
          <w:sz w:val="24"/>
          <w:szCs w:val="24"/>
        </w:rPr>
        <w:t>into NYCHA in order</w:t>
      </w:r>
      <w:r w:rsidR="00AB4F47">
        <w:rPr>
          <w:rFonts w:ascii="Times New Roman" w:hAnsi="Times New Roman" w:cs="Times New Roman"/>
          <w:sz w:val="24"/>
          <w:szCs w:val="24"/>
        </w:rPr>
        <w:t xml:space="preserve"> </w:t>
      </w:r>
      <w:r w:rsidR="00991A33" w:rsidRPr="00991A33">
        <w:rPr>
          <w:rFonts w:ascii="Times New Roman" w:hAnsi="Times New Roman" w:cs="Times New Roman"/>
          <w:sz w:val="24"/>
          <w:szCs w:val="24"/>
        </w:rPr>
        <w:t xml:space="preserve">to address </w:t>
      </w:r>
      <w:r w:rsidR="00991A33">
        <w:rPr>
          <w:rFonts w:ascii="Times New Roman" w:hAnsi="Times New Roman" w:cs="Times New Roman"/>
          <w:sz w:val="24"/>
          <w:szCs w:val="24"/>
        </w:rPr>
        <w:t xml:space="preserve">capital needs resulting from </w:t>
      </w:r>
      <w:r w:rsidR="00991A33" w:rsidRPr="00991A33">
        <w:rPr>
          <w:rFonts w:ascii="Times New Roman" w:hAnsi="Times New Roman" w:cs="Times New Roman"/>
          <w:sz w:val="24"/>
          <w:szCs w:val="24"/>
        </w:rPr>
        <w:t xml:space="preserve">decades of disinvestment in </w:t>
      </w:r>
      <w:r w:rsidR="00991A33">
        <w:rPr>
          <w:rFonts w:ascii="Times New Roman" w:hAnsi="Times New Roman" w:cs="Times New Roman"/>
          <w:sz w:val="24"/>
          <w:szCs w:val="24"/>
        </w:rPr>
        <w:t>it</w:t>
      </w:r>
      <w:r w:rsidR="00991A33" w:rsidRPr="00991A33">
        <w:rPr>
          <w:rFonts w:ascii="Times New Roman" w:hAnsi="Times New Roman" w:cs="Times New Roman"/>
          <w:sz w:val="24"/>
          <w:szCs w:val="24"/>
        </w:rPr>
        <w:t>s building stock</w:t>
      </w:r>
      <w:r w:rsidR="004866EA" w:rsidRPr="004866EA">
        <w:rPr>
          <w:rFonts w:ascii="Times New Roman" w:hAnsi="Times New Roman" w:cs="Times New Roman"/>
          <w:sz w:val="24"/>
          <w:szCs w:val="24"/>
        </w:rPr>
        <w:t>.</w:t>
      </w:r>
    </w:p>
    <w:p w14:paraId="0BE6B8C3" w14:textId="3A25FD5C" w:rsidR="00391A87" w:rsidRPr="00391A87" w:rsidRDefault="00391A87" w:rsidP="00391A87">
      <w:pPr>
        <w:spacing w:after="0" w:line="240" w:lineRule="auto"/>
        <w:rPr>
          <w:rFonts w:ascii="Times New Roman" w:hAnsi="Times New Roman" w:cs="Times New Roman"/>
          <w:vanish/>
          <w:sz w:val="24"/>
          <w:szCs w:val="24"/>
        </w:rPr>
      </w:pPr>
      <w:r w:rsidRPr="00391A87">
        <w:rPr>
          <w:rFonts w:ascii="Times New Roman" w:hAnsi="Times New Roman" w:cs="Times New Roman"/>
          <w:vanish/>
          <w:sz w:val="24"/>
          <w:szCs w:val="24"/>
        </w:rPr>
        <w:t>..Body</w:t>
      </w:r>
    </w:p>
    <w:p w14:paraId="5E758E6F" w14:textId="77777777" w:rsidR="00391A87" w:rsidRDefault="00391A87" w:rsidP="00391A87">
      <w:pPr>
        <w:spacing w:after="0" w:line="240" w:lineRule="auto"/>
        <w:rPr>
          <w:rFonts w:ascii="Times New Roman" w:hAnsi="Times New Roman" w:cs="Times New Roman"/>
          <w:sz w:val="24"/>
          <w:szCs w:val="24"/>
        </w:rPr>
      </w:pPr>
    </w:p>
    <w:p w14:paraId="6DFC134A" w14:textId="77777777" w:rsidR="00B230FC" w:rsidRDefault="00B230FC" w:rsidP="00B230F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By Council Members Avilés, Louis, Hanif, Brewer, Joseph, Nurse, Abreu, Restler, Won, Cabán, Sanchez, Riley, Ossé, Richardson Jordan, Rivera, Williams, Krishnan, De La Rosa, Brooks-Powers, Hudson, Ayala and Schulman</w:t>
      </w:r>
    </w:p>
    <w:p w14:paraId="3BA4234F" w14:textId="77777777" w:rsidR="00391A87" w:rsidRDefault="00391A87" w:rsidP="00391A87">
      <w:pPr>
        <w:spacing w:after="0" w:line="240" w:lineRule="auto"/>
        <w:rPr>
          <w:rFonts w:ascii="Times New Roman" w:hAnsi="Times New Roman" w:cs="Times New Roman"/>
          <w:sz w:val="24"/>
          <w:szCs w:val="24"/>
        </w:rPr>
      </w:pPr>
      <w:bookmarkStart w:id="0" w:name="_GoBack"/>
      <w:bookmarkEnd w:id="0"/>
    </w:p>
    <w:p w14:paraId="24B0C745" w14:textId="77777777" w:rsidR="00EF1CAC" w:rsidRDefault="009340B4" w:rsidP="00EF1CA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4866EA" w:rsidRPr="004866EA">
        <w:rPr>
          <w:rFonts w:ascii="Times New Roman" w:eastAsia="Times New Roman" w:hAnsi="Times New Roman" w:cs="Times New Roman"/>
          <w:color w:val="333333"/>
          <w:sz w:val="24"/>
          <w:szCs w:val="24"/>
          <w:shd w:val="clear" w:color="auto" w:fill="FFFFFF"/>
        </w:rPr>
        <w:t>The New York City Housing Authority (NYCHA)</w:t>
      </w:r>
      <w:r w:rsidR="004866EA">
        <w:rPr>
          <w:rFonts w:ascii="Times New Roman" w:eastAsia="Times New Roman" w:hAnsi="Times New Roman" w:cs="Times New Roman"/>
          <w:color w:val="333333"/>
          <w:sz w:val="24"/>
          <w:szCs w:val="24"/>
          <w:shd w:val="clear" w:color="auto" w:fill="FFFFFF"/>
        </w:rPr>
        <w:t xml:space="preserve"> is </w:t>
      </w:r>
      <w:r w:rsidR="004866EA" w:rsidRPr="004866EA">
        <w:rPr>
          <w:rFonts w:ascii="Times New Roman" w:eastAsia="Times New Roman" w:hAnsi="Times New Roman" w:cs="Times New Roman"/>
          <w:color w:val="333333"/>
          <w:sz w:val="24"/>
          <w:szCs w:val="24"/>
          <w:shd w:val="clear" w:color="auto" w:fill="FFFFFF"/>
        </w:rPr>
        <w:t xml:space="preserve">the largest public housing authority in North America, </w:t>
      </w:r>
      <w:r w:rsidR="004866EA">
        <w:rPr>
          <w:rFonts w:ascii="Times New Roman" w:eastAsia="Times New Roman" w:hAnsi="Times New Roman" w:cs="Times New Roman"/>
          <w:color w:val="333333"/>
          <w:sz w:val="24"/>
          <w:szCs w:val="24"/>
          <w:shd w:val="clear" w:color="auto" w:fill="FFFFFF"/>
        </w:rPr>
        <w:t xml:space="preserve">providing homes </w:t>
      </w:r>
      <w:r w:rsidR="00EF1CAC">
        <w:rPr>
          <w:rFonts w:ascii="Times New Roman" w:eastAsia="Times New Roman" w:hAnsi="Times New Roman" w:cs="Times New Roman"/>
          <w:color w:val="333333"/>
          <w:sz w:val="24"/>
          <w:szCs w:val="24"/>
          <w:shd w:val="clear" w:color="auto" w:fill="FFFFFF"/>
        </w:rPr>
        <w:t xml:space="preserve">for </w:t>
      </w:r>
      <w:r w:rsidR="004866EA">
        <w:rPr>
          <w:rFonts w:ascii="Times New Roman" w:eastAsia="Times New Roman" w:hAnsi="Times New Roman" w:cs="Times New Roman"/>
          <w:color w:val="333333"/>
          <w:sz w:val="24"/>
          <w:szCs w:val="24"/>
          <w:shd w:val="clear" w:color="auto" w:fill="FFFFFF"/>
        </w:rPr>
        <w:t>over 6% of New York City residents</w:t>
      </w:r>
      <w:r w:rsidR="00EF1CAC">
        <w:rPr>
          <w:rFonts w:ascii="Times New Roman" w:eastAsia="Times New Roman" w:hAnsi="Times New Roman" w:cs="Times New Roman"/>
          <w:color w:val="333333"/>
          <w:sz w:val="24"/>
          <w:szCs w:val="24"/>
          <w:shd w:val="clear" w:color="auto" w:fill="FFFFFF"/>
        </w:rPr>
        <w:t xml:space="preserve"> or</w:t>
      </w:r>
      <w:r w:rsidR="00EF1CAC" w:rsidRPr="004866EA">
        <w:rPr>
          <w:rFonts w:ascii="Times New Roman" w:eastAsia="Times New Roman" w:hAnsi="Times New Roman" w:cs="Times New Roman"/>
          <w:color w:val="333333"/>
          <w:sz w:val="24"/>
          <w:szCs w:val="24"/>
          <w:shd w:val="clear" w:color="auto" w:fill="FFFFFF"/>
        </w:rPr>
        <w:t xml:space="preserve"> </w:t>
      </w:r>
      <w:r w:rsidR="00EF1CAC">
        <w:rPr>
          <w:rFonts w:ascii="Times New Roman" w:eastAsia="Times New Roman" w:hAnsi="Times New Roman" w:cs="Times New Roman"/>
          <w:color w:val="333333"/>
          <w:sz w:val="24"/>
          <w:szCs w:val="24"/>
          <w:shd w:val="clear" w:color="auto" w:fill="FFFFFF"/>
        </w:rPr>
        <w:t>approximately 550,000 people</w:t>
      </w:r>
      <w:r w:rsidR="004866EA">
        <w:rPr>
          <w:rFonts w:ascii="Times New Roman" w:eastAsia="Times New Roman" w:hAnsi="Times New Roman" w:cs="Times New Roman"/>
          <w:color w:val="333333"/>
          <w:sz w:val="24"/>
          <w:szCs w:val="24"/>
          <w:shd w:val="clear" w:color="auto" w:fill="FFFFFF"/>
        </w:rPr>
        <w:t>,</w:t>
      </w:r>
      <w:r w:rsidR="004866EA" w:rsidRPr="004866EA">
        <w:rPr>
          <w:rFonts w:ascii="Times New Roman" w:eastAsia="Times New Roman" w:hAnsi="Times New Roman" w:cs="Times New Roman"/>
          <w:color w:val="333333"/>
          <w:sz w:val="24"/>
          <w:szCs w:val="24"/>
          <w:shd w:val="clear" w:color="auto" w:fill="FFFFFF"/>
        </w:rPr>
        <w:t xml:space="preserve"> across 177,</w:t>
      </w:r>
      <w:r w:rsidR="004866EA">
        <w:rPr>
          <w:rFonts w:ascii="Times New Roman" w:eastAsia="Times New Roman" w:hAnsi="Times New Roman" w:cs="Times New Roman"/>
          <w:color w:val="333333"/>
          <w:sz w:val="24"/>
          <w:szCs w:val="24"/>
          <w:shd w:val="clear" w:color="auto" w:fill="FFFFFF"/>
        </w:rPr>
        <w:t>611</w:t>
      </w:r>
      <w:r w:rsidR="004866EA" w:rsidRPr="004866EA">
        <w:rPr>
          <w:rFonts w:ascii="Times New Roman" w:eastAsia="Times New Roman" w:hAnsi="Times New Roman" w:cs="Times New Roman"/>
          <w:color w:val="333333"/>
          <w:sz w:val="24"/>
          <w:szCs w:val="24"/>
          <w:shd w:val="clear" w:color="auto" w:fill="FFFFFF"/>
        </w:rPr>
        <w:t xml:space="preserve"> apartments within 335 housing developments</w:t>
      </w:r>
      <w:r w:rsidRPr="004866EA">
        <w:rPr>
          <w:rFonts w:ascii="Times New Roman" w:hAnsi="Times New Roman" w:cs="Times New Roman"/>
          <w:sz w:val="24"/>
          <w:szCs w:val="24"/>
        </w:rPr>
        <w:t>; and</w:t>
      </w:r>
    </w:p>
    <w:p w14:paraId="0C518AD6" w14:textId="238CC6F3" w:rsidR="007617E7" w:rsidRDefault="007617E7" w:rsidP="00EF1CA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w:t>
      </w:r>
      <w:r w:rsidR="004866EA" w:rsidRPr="004866EA">
        <w:rPr>
          <w:rFonts w:ascii="Roboto" w:eastAsia="Times New Roman" w:hAnsi="Roboto" w:cs="Times New Roman"/>
          <w:color w:val="333333"/>
          <w:sz w:val="24"/>
          <w:szCs w:val="24"/>
          <w:shd w:val="clear" w:color="auto" w:fill="FFFFFF"/>
        </w:rPr>
        <w:t xml:space="preserve"> </w:t>
      </w:r>
      <w:r w:rsidR="00EF1CAC">
        <w:rPr>
          <w:rFonts w:ascii="Times New Roman" w:eastAsia="Times New Roman" w:hAnsi="Times New Roman" w:cs="Times New Roman"/>
          <w:color w:val="333333"/>
          <w:sz w:val="24"/>
          <w:szCs w:val="24"/>
          <w:shd w:val="clear" w:color="auto" w:fill="FFFFFF"/>
        </w:rPr>
        <w:t>Formed</w:t>
      </w:r>
      <w:r w:rsidR="004866EA" w:rsidRPr="004866EA">
        <w:rPr>
          <w:rFonts w:ascii="Times New Roman" w:eastAsia="Times New Roman" w:hAnsi="Times New Roman" w:cs="Times New Roman"/>
          <w:color w:val="333333"/>
          <w:sz w:val="24"/>
          <w:szCs w:val="24"/>
          <w:shd w:val="clear" w:color="auto" w:fill="FFFFFF"/>
        </w:rPr>
        <w:t xml:space="preserve"> in 1935</w:t>
      </w:r>
      <w:r w:rsidR="004866EA">
        <w:rPr>
          <w:rFonts w:ascii="Times New Roman" w:eastAsia="Times New Roman" w:hAnsi="Times New Roman" w:cs="Times New Roman"/>
          <w:color w:val="333333"/>
          <w:sz w:val="24"/>
          <w:szCs w:val="24"/>
          <w:shd w:val="clear" w:color="auto" w:fill="FFFFFF"/>
        </w:rPr>
        <w:t xml:space="preserve"> with a mission statement of</w:t>
      </w:r>
      <w:r w:rsidR="004866EA" w:rsidRPr="004866EA">
        <w:rPr>
          <w:rFonts w:ascii="Times New Roman" w:eastAsia="Times New Roman" w:hAnsi="Times New Roman" w:cs="Times New Roman"/>
          <w:color w:val="333333"/>
          <w:sz w:val="24"/>
          <w:szCs w:val="24"/>
          <w:shd w:val="clear" w:color="auto" w:fill="FFFFFF"/>
        </w:rPr>
        <w:t xml:space="preserve"> provid</w:t>
      </w:r>
      <w:r w:rsidR="004866EA">
        <w:rPr>
          <w:rFonts w:ascii="Times New Roman" w:eastAsia="Times New Roman" w:hAnsi="Times New Roman" w:cs="Times New Roman"/>
          <w:color w:val="333333"/>
          <w:sz w:val="24"/>
          <w:szCs w:val="24"/>
          <w:shd w:val="clear" w:color="auto" w:fill="FFFFFF"/>
        </w:rPr>
        <w:t>ing</w:t>
      </w:r>
      <w:r w:rsidR="004866EA" w:rsidRPr="004866EA">
        <w:rPr>
          <w:rFonts w:ascii="Times New Roman" w:eastAsia="Times New Roman" w:hAnsi="Times New Roman" w:cs="Times New Roman"/>
          <w:color w:val="333333"/>
          <w:sz w:val="24"/>
          <w:szCs w:val="24"/>
          <w:shd w:val="clear" w:color="auto" w:fill="FFFFFF"/>
        </w:rPr>
        <w:t xml:space="preserve"> decent, affordable housing for low- and moderate-income New Yorkers</w:t>
      </w:r>
      <w:r w:rsidR="004866EA">
        <w:rPr>
          <w:rFonts w:ascii="Roboto" w:eastAsia="Times New Roman" w:hAnsi="Roboto" w:cs="Times New Roman"/>
          <w:color w:val="333333"/>
          <w:sz w:val="24"/>
          <w:szCs w:val="24"/>
          <w:shd w:val="clear" w:color="auto" w:fill="FFFFFF"/>
        </w:rPr>
        <w:t xml:space="preserve">, </w:t>
      </w:r>
      <w:r w:rsidR="004866EA" w:rsidRPr="004866EA">
        <w:rPr>
          <w:rFonts w:ascii="Times New Roman" w:eastAsia="Times New Roman" w:hAnsi="Times New Roman" w:cs="Times New Roman"/>
          <w:color w:val="333333"/>
          <w:sz w:val="24"/>
          <w:szCs w:val="24"/>
          <w:shd w:val="clear" w:color="auto" w:fill="FFFFFF"/>
        </w:rPr>
        <w:t>NYCHA has suffered</w:t>
      </w:r>
      <w:r w:rsidR="004866EA">
        <w:rPr>
          <w:rFonts w:ascii="Times New Roman" w:eastAsia="Times New Roman" w:hAnsi="Times New Roman" w:cs="Times New Roman"/>
          <w:color w:val="333333"/>
          <w:sz w:val="24"/>
          <w:szCs w:val="24"/>
          <w:shd w:val="clear" w:color="auto" w:fill="FFFFFF"/>
        </w:rPr>
        <w:t xml:space="preserve"> from decades of disinvestment at the </w:t>
      </w:r>
      <w:r w:rsidR="00E72460">
        <w:rPr>
          <w:rFonts w:ascii="Times New Roman" w:eastAsia="Times New Roman" w:hAnsi="Times New Roman" w:cs="Times New Roman"/>
          <w:color w:val="333333"/>
          <w:sz w:val="24"/>
          <w:szCs w:val="24"/>
          <w:shd w:val="clear" w:color="auto" w:fill="FFFFFF"/>
        </w:rPr>
        <w:t>f</w:t>
      </w:r>
      <w:r w:rsidR="004866EA">
        <w:rPr>
          <w:rFonts w:ascii="Times New Roman" w:eastAsia="Times New Roman" w:hAnsi="Times New Roman" w:cs="Times New Roman"/>
          <w:color w:val="333333"/>
          <w:sz w:val="24"/>
          <w:szCs w:val="24"/>
          <w:shd w:val="clear" w:color="auto" w:fill="FFFFFF"/>
        </w:rPr>
        <w:t xml:space="preserve">ederal, </w:t>
      </w:r>
      <w:r w:rsidR="00E72460">
        <w:rPr>
          <w:rFonts w:ascii="Times New Roman" w:eastAsia="Times New Roman" w:hAnsi="Times New Roman" w:cs="Times New Roman"/>
          <w:color w:val="333333"/>
          <w:sz w:val="24"/>
          <w:szCs w:val="24"/>
          <w:shd w:val="clear" w:color="auto" w:fill="FFFFFF"/>
        </w:rPr>
        <w:t>s</w:t>
      </w:r>
      <w:r w:rsidR="004866EA">
        <w:rPr>
          <w:rFonts w:ascii="Times New Roman" w:eastAsia="Times New Roman" w:hAnsi="Times New Roman" w:cs="Times New Roman"/>
          <w:color w:val="333333"/>
          <w:sz w:val="24"/>
          <w:szCs w:val="24"/>
          <w:shd w:val="clear" w:color="auto" w:fill="FFFFFF"/>
        </w:rPr>
        <w:t xml:space="preserve">tate, and </w:t>
      </w:r>
      <w:r w:rsidR="00E72460">
        <w:rPr>
          <w:rFonts w:ascii="Times New Roman" w:eastAsia="Times New Roman" w:hAnsi="Times New Roman" w:cs="Times New Roman"/>
          <w:color w:val="333333"/>
          <w:sz w:val="24"/>
          <w:szCs w:val="24"/>
          <w:shd w:val="clear" w:color="auto" w:fill="FFFFFF"/>
        </w:rPr>
        <w:t>c</w:t>
      </w:r>
      <w:r w:rsidR="004866EA">
        <w:rPr>
          <w:rFonts w:ascii="Times New Roman" w:eastAsia="Times New Roman" w:hAnsi="Times New Roman" w:cs="Times New Roman"/>
          <w:color w:val="333333"/>
          <w:sz w:val="24"/>
          <w:szCs w:val="24"/>
          <w:shd w:val="clear" w:color="auto" w:fill="FFFFFF"/>
        </w:rPr>
        <w:t>ity level</w:t>
      </w:r>
      <w:r>
        <w:rPr>
          <w:rFonts w:ascii="Times New Roman" w:hAnsi="Times New Roman" w:cs="Times New Roman"/>
          <w:sz w:val="24"/>
          <w:szCs w:val="24"/>
        </w:rPr>
        <w:t xml:space="preserve">; and </w:t>
      </w:r>
    </w:p>
    <w:p w14:paraId="0BAD2783" w14:textId="6D094C98" w:rsidR="00665AF9" w:rsidRDefault="00665AF9" w:rsidP="00EF1CA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More than half of the affordable housing in New York City that is accessible to residents with incomes at or below 30% of the area median income is located within NYCHA developments; and</w:t>
      </w:r>
    </w:p>
    <w:p w14:paraId="1D29A91C" w14:textId="043E4B98" w:rsidR="00CE2133" w:rsidRDefault="00EF1CAC"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w:t>
      </w:r>
      <w:r w:rsidR="006957A5">
        <w:rPr>
          <w:rFonts w:ascii="Times New Roman" w:hAnsi="Times New Roman" w:cs="Times New Roman"/>
          <w:sz w:val="24"/>
          <w:szCs w:val="24"/>
        </w:rPr>
        <w:t xml:space="preserve"> NYCHA is prohibited from charging residents more than 30% of their household income in rent, and must rely on federal, state, and city subsidies to cover the difference between rental income and maintenance and operation costs</w:t>
      </w:r>
      <w:r w:rsidR="00ED0754">
        <w:rPr>
          <w:rFonts w:ascii="Times New Roman" w:hAnsi="Times New Roman" w:cs="Times New Roman"/>
          <w:sz w:val="24"/>
          <w:szCs w:val="24"/>
        </w:rPr>
        <w:t xml:space="preserve">; and </w:t>
      </w:r>
    </w:p>
    <w:p w14:paraId="6A462AF2" w14:textId="143E5489" w:rsidR="00C17186" w:rsidRDefault="00C17186"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w:t>
      </w:r>
      <w:r w:rsidR="00324FEF">
        <w:rPr>
          <w:rFonts w:ascii="Times New Roman" w:hAnsi="Times New Roman" w:cs="Times New Roman"/>
          <w:sz w:val="24"/>
          <w:szCs w:val="24"/>
        </w:rPr>
        <w:t xml:space="preserve"> Since 2000, NYCHA has faced severe federal funding shortfalls, </w:t>
      </w:r>
      <w:r w:rsidR="007828AE">
        <w:rPr>
          <w:rFonts w:ascii="Times New Roman" w:hAnsi="Times New Roman" w:cs="Times New Roman"/>
          <w:sz w:val="24"/>
          <w:szCs w:val="24"/>
        </w:rPr>
        <w:t xml:space="preserve">consistently </w:t>
      </w:r>
      <w:r w:rsidR="00324FEF">
        <w:rPr>
          <w:rFonts w:ascii="Times New Roman" w:hAnsi="Times New Roman" w:cs="Times New Roman"/>
          <w:sz w:val="24"/>
          <w:szCs w:val="24"/>
        </w:rPr>
        <w:t xml:space="preserve">receiving less </w:t>
      </w:r>
      <w:r w:rsidR="00265EF2">
        <w:rPr>
          <w:rFonts w:ascii="Times New Roman" w:hAnsi="Times New Roman" w:cs="Times New Roman"/>
          <w:sz w:val="24"/>
          <w:szCs w:val="24"/>
        </w:rPr>
        <w:t>money</w:t>
      </w:r>
      <w:r w:rsidR="00B907BA">
        <w:rPr>
          <w:rFonts w:ascii="Times New Roman" w:hAnsi="Times New Roman" w:cs="Times New Roman"/>
          <w:sz w:val="24"/>
          <w:szCs w:val="24"/>
        </w:rPr>
        <w:t xml:space="preserve"> </w:t>
      </w:r>
      <w:r w:rsidR="00265EF2">
        <w:rPr>
          <w:rFonts w:ascii="Times New Roman" w:hAnsi="Times New Roman" w:cs="Times New Roman"/>
          <w:sz w:val="24"/>
          <w:szCs w:val="24"/>
        </w:rPr>
        <w:t>than it is eligible for under United States Department of Housing and Urban Development (HUD) formulas</w:t>
      </w:r>
      <w:r>
        <w:rPr>
          <w:rFonts w:ascii="Times New Roman" w:hAnsi="Times New Roman" w:cs="Times New Roman"/>
          <w:sz w:val="24"/>
          <w:szCs w:val="24"/>
        </w:rPr>
        <w:t xml:space="preserve">; and </w:t>
      </w:r>
    </w:p>
    <w:p w14:paraId="5A7C6E99" w14:textId="7D8B5285" w:rsidR="00EF1CAC" w:rsidRDefault="00EF1CAC"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w:t>
      </w:r>
      <w:r w:rsidR="00665AF9">
        <w:rPr>
          <w:rFonts w:ascii="Times New Roman" w:hAnsi="Times New Roman" w:cs="Times New Roman"/>
          <w:sz w:val="24"/>
          <w:szCs w:val="24"/>
        </w:rPr>
        <w:t xml:space="preserve"> NYCHA </w:t>
      </w:r>
      <w:r w:rsidR="005A2006">
        <w:rPr>
          <w:rFonts w:ascii="Times New Roman" w:hAnsi="Times New Roman" w:cs="Times New Roman"/>
          <w:sz w:val="24"/>
          <w:szCs w:val="24"/>
        </w:rPr>
        <w:t>housing units</w:t>
      </w:r>
      <w:r w:rsidR="00665AF9">
        <w:rPr>
          <w:rFonts w:ascii="Times New Roman" w:hAnsi="Times New Roman" w:cs="Times New Roman"/>
          <w:sz w:val="24"/>
          <w:szCs w:val="24"/>
        </w:rPr>
        <w:t xml:space="preserve"> that w</w:t>
      </w:r>
      <w:r w:rsidR="005A2006">
        <w:rPr>
          <w:rFonts w:ascii="Times New Roman" w:hAnsi="Times New Roman" w:cs="Times New Roman"/>
          <w:sz w:val="24"/>
          <w:szCs w:val="24"/>
        </w:rPr>
        <w:t>ere</w:t>
      </w:r>
      <w:r w:rsidR="00665AF9">
        <w:rPr>
          <w:rFonts w:ascii="Times New Roman" w:hAnsi="Times New Roman" w:cs="Times New Roman"/>
          <w:sz w:val="24"/>
          <w:szCs w:val="24"/>
        </w:rPr>
        <w:t xml:space="preserve"> constructed with state funds </w:t>
      </w:r>
      <w:r w:rsidR="005A2006">
        <w:rPr>
          <w:rFonts w:ascii="Times New Roman" w:hAnsi="Times New Roman" w:cs="Times New Roman"/>
          <w:sz w:val="24"/>
          <w:szCs w:val="24"/>
        </w:rPr>
        <w:t>and thus</w:t>
      </w:r>
      <w:r w:rsidR="00665AF9">
        <w:rPr>
          <w:rFonts w:ascii="Times New Roman" w:hAnsi="Times New Roman" w:cs="Times New Roman"/>
          <w:sz w:val="24"/>
          <w:szCs w:val="24"/>
        </w:rPr>
        <w:t xml:space="preserve"> ineligible for federal funding under Section 9</w:t>
      </w:r>
      <w:r w:rsidR="005A2006">
        <w:rPr>
          <w:rFonts w:ascii="Times New Roman" w:hAnsi="Times New Roman" w:cs="Times New Roman"/>
          <w:sz w:val="24"/>
          <w:szCs w:val="24"/>
        </w:rPr>
        <w:t xml:space="preserve">, were further burdened when New York State </w:t>
      </w:r>
      <w:r w:rsidR="005A2006" w:rsidRPr="005A2006">
        <w:rPr>
          <w:rFonts w:ascii="Times New Roman" w:hAnsi="Times New Roman" w:cs="Times New Roman"/>
          <w:sz w:val="24"/>
          <w:szCs w:val="24"/>
        </w:rPr>
        <w:t>terminated operating support for th</w:t>
      </w:r>
      <w:r w:rsidR="005A2006">
        <w:rPr>
          <w:rFonts w:ascii="Times New Roman" w:hAnsi="Times New Roman" w:cs="Times New Roman"/>
          <w:sz w:val="24"/>
          <w:szCs w:val="24"/>
        </w:rPr>
        <w:t>ose</w:t>
      </w:r>
      <w:r w:rsidR="005A2006" w:rsidRPr="005A2006">
        <w:rPr>
          <w:rFonts w:ascii="Times New Roman" w:hAnsi="Times New Roman" w:cs="Times New Roman"/>
          <w:sz w:val="24"/>
          <w:szCs w:val="24"/>
        </w:rPr>
        <w:t xml:space="preserve"> units</w:t>
      </w:r>
      <w:r w:rsidR="005A2006">
        <w:rPr>
          <w:rFonts w:ascii="Times New Roman" w:hAnsi="Times New Roman" w:cs="Times New Roman"/>
          <w:sz w:val="24"/>
          <w:szCs w:val="24"/>
        </w:rPr>
        <w:t xml:space="preserve"> in 1998</w:t>
      </w:r>
      <w:r>
        <w:rPr>
          <w:rFonts w:ascii="Times New Roman" w:hAnsi="Times New Roman" w:cs="Times New Roman"/>
          <w:sz w:val="24"/>
          <w:szCs w:val="24"/>
        </w:rPr>
        <w:t xml:space="preserve">; and </w:t>
      </w:r>
    </w:p>
    <w:p w14:paraId="64E9BDB0" w14:textId="490F506C" w:rsidR="005A2006" w:rsidRDefault="005A2006" w:rsidP="005A200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Whereas, </w:t>
      </w:r>
      <w:r w:rsidR="007828AE">
        <w:rPr>
          <w:rFonts w:ascii="Times New Roman" w:hAnsi="Times New Roman" w:cs="Times New Roman"/>
          <w:sz w:val="24"/>
          <w:szCs w:val="24"/>
        </w:rPr>
        <w:t>C</w:t>
      </w:r>
      <w:r>
        <w:rPr>
          <w:rFonts w:ascii="Times New Roman" w:hAnsi="Times New Roman" w:cs="Times New Roman"/>
          <w:sz w:val="24"/>
          <w:szCs w:val="24"/>
        </w:rPr>
        <w:t xml:space="preserve">hronic disinvestment has forced NYCHA to reduce staffing and defer necessary maintenance, leading to a continued decline in the condition of its housing stock, and significantly increasing </w:t>
      </w:r>
      <w:r w:rsidR="007828AE">
        <w:rPr>
          <w:rFonts w:ascii="Times New Roman" w:hAnsi="Times New Roman" w:cs="Times New Roman"/>
          <w:sz w:val="24"/>
          <w:szCs w:val="24"/>
        </w:rPr>
        <w:t>the cost and complexity of the</w:t>
      </w:r>
      <w:r w:rsidR="000255A1">
        <w:rPr>
          <w:rFonts w:ascii="Times New Roman" w:hAnsi="Times New Roman" w:cs="Times New Roman"/>
          <w:sz w:val="24"/>
          <w:szCs w:val="24"/>
        </w:rPr>
        <w:t xml:space="preserve"> work</w:t>
      </w:r>
      <w:r>
        <w:rPr>
          <w:rFonts w:ascii="Times New Roman" w:hAnsi="Times New Roman" w:cs="Times New Roman"/>
          <w:sz w:val="24"/>
          <w:szCs w:val="24"/>
        </w:rPr>
        <w:t xml:space="preserve"> necessary to bring </w:t>
      </w:r>
      <w:r w:rsidR="007828AE">
        <w:rPr>
          <w:rFonts w:ascii="Times New Roman" w:hAnsi="Times New Roman" w:cs="Times New Roman"/>
          <w:sz w:val="24"/>
          <w:szCs w:val="24"/>
        </w:rPr>
        <w:t>its buildings</w:t>
      </w:r>
      <w:r>
        <w:rPr>
          <w:rFonts w:ascii="Times New Roman" w:hAnsi="Times New Roman" w:cs="Times New Roman"/>
          <w:sz w:val="24"/>
          <w:szCs w:val="24"/>
        </w:rPr>
        <w:t xml:space="preserve"> back to a state of good repair; and </w:t>
      </w:r>
    </w:p>
    <w:p w14:paraId="6B8D1CF8" w14:textId="6AB90FF2" w:rsidR="004336EB" w:rsidRDefault="004336EB" w:rsidP="005A200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Shortfalls in NYCHA’s operating subsidies have caused the agency to respond by transferring funds from its capital subsidy to cover operating costs, with 54 million</w:t>
      </w:r>
      <w:r w:rsidR="00E72460">
        <w:rPr>
          <w:rFonts w:ascii="Times New Roman" w:hAnsi="Times New Roman" w:cs="Times New Roman"/>
          <w:sz w:val="24"/>
          <w:szCs w:val="24"/>
        </w:rPr>
        <w:t xml:space="preserve"> dollars</w:t>
      </w:r>
      <w:r>
        <w:rPr>
          <w:rFonts w:ascii="Times New Roman" w:hAnsi="Times New Roman" w:cs="Times New Roman"/>
          <w:sz w:val="24"/>
          <w:szCs w:val="24"/>
        </w:rPr>
        <w:t xml:space="preserve"> of NYCHA’s federal capital subsidy used to cover daily operating costs instead of </w:t>
      </w:r>
      <w:r w:rsidR="00E72460">
        <w:rPr>
          <w:rFonts w:ascii="Times New Roman" w:hAnsi="Times New Roman" w:cs="Times New Roman"/>
          <w:sz w:val="24"/>
          <w:szCs w:val="24"/>
        </w:rPr>
        <w:t>being put towards</w:t>
      </w:r>
      <w:r>
        <w:rPr>
          <w:rFonts w:ascii="Times New Roman" w:hAnsi="Times New Roman" w:cs="Times New Roman"/>
          <w:sz w:val="24"/>
          <w:szCs w:val="24"/>
        </w:rPr>
        <w:t xml:space="preserve"> capital improvements </w:t>
      </w:r>
      <w:r w:rsidR="00E72460">
        <w:rPr>
          <w:rFonts w:ascii="Times New Roman" w:hAnsi="Times New Roman" w:cs="Times New Roman"/>
          <w:sz w:val="24"/>
          <w:szCs w:val="24"/>
        </w:rPr>
        <w:t xml:space="preserve">of buildings </w:t>
      </w:r>
      <w:r>
        <w:rPr>
          <w:rFonts w:ascii="Times New Roman" w:hAnsi="Times New Roman" w:cs="Times New Roman"/>
          <w:sz w:val="24"/>
          <w:szCs w:val="24"/>
        </w:rPr>
        <w:t>in 2017; and</w:t>
      </w:r>
    </w:p>
    <w:p w14:paraId="382BC2E6" w14:textId="429C0057" w:rsidR="00EF1CAC" w:rsidRDefault="00EF1CAC"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w:t>
      </w:r>
      <w:r w:rsidR="005A2006">
        <w:rPr>
          <w:rFonts w:ascii="Times New Roman" w:hAnsi="Times New Roman" w:cs="Times New Roman"/>
          <w:sz w:val="24"/>
          <w:szCs w:val="24"/>
        </w:rPr>
        <w:t xml:space="preserve">, </w:t>
      </w:r>
      <w:r w:rsidR="004336EB">
        <w:rPr>
          <w:rFonts w:ascii="Times New Roman" w:hAnsi="Times New Roman" w:cs="Times New Roman"/>
          <w:sz w:val="24"/>
          <w:szCs w:val="24"/>
        </w:rPr>
        <w:t>F</w:t>
      </w:r>
      <w:r w:rsidR="005A2006">
        <w:rPr>
          <w:rFonts w:ascii="Times New Roman" w:hAnsi="Times New Roman" w:cs="Times New Roman"/>
          <w:sz w:val="24"/>
          <w:szCs w:val="24"/>
        </w:rPr>
        <w:t xml:space="preserve">unding cuts </w:t>
      </w:r>
      <w:r w:rsidR="004336EB">
        <w:rPr>
          <w:rFonts w:ascii="Times New Roman" w:hAnsi="Times New Roman" w:cs="Times New Roman"/>
          <w:sz w:val="24"/>
          <w:szCs w:val="24"/>
        </w:rPr>
        <w:t xml:space="preserve">have </w:t>
      </w:r>
      <w:r w:rsidR="005A2006">
        <w:rPr>
          <w:rFonts w:ascii="Times New Roman" w:hAnsi="Times New Roman" w:cs="Times New Roman"/>
          <w:sz w:val="24"/>
          <w:szCs w:val="24"/>
        </w:rPr>
        <w:t>directly correlated</w:t>
      </w:r>
      <w:r w:rsidR="005A2006" w:rsidRPr="005A2006">
        <w:rPr>
          <w:rFonts w:ascii="Times New Roman" w:hAnsi="Times New Roman" w:cs="Times New Roman"/>
          <w:sz w:val="24"/>
          <w:szCs w:val="24"/>
        </w:rPr>
        <w:t xml:space="preserve"> with an increase in </w:t>
      </w:r>
      <w:r w:rsidR="005A2006">
        <w:rPr>
          <w:rFonts w:ascii="Times New Roman" w:hAnsi="Times New Roman" w:cs="Times New Roman"/>
          <w:sz w:val="24"/>
          <w:szCs w:val="24"/>
        </w:rPr>
        <w:t>NYCHA complaints</w:t>
      </w:r>
      <w:r w:rsidR="005A2006" w:rsidRPr="005A2006">
        <w:rPr>
          <w:rFonts w:ascii="Times New Roman" w:hAnsi="Times New Roman" w:cs="Times New Roman"/>
          <w:sz w:val="24"/>
          <w:szCs w:val="24"/>
        </w:rPr>
        <w:t xml:space="preserve"> </w:t>
      </w:r>
      <w:r w:rsidR="005A2006">
        <w:rPr>
          <w:rFonts w:ascii="Times New Roman" w:hAnsi="Times New Roman" w:cs="Times New Roman"/>
          <w:sz w:val="24"/>
          <w:szCs w:val="24"/>
        </w:rPr>
        <w:t>for</w:t>
      </w:r>
      <w:r w:rsidR="005A2006" w:rsidRPr="005A2006">
        <w:rPr>
          <w:rFonts w:ascii="Times New Roman" w:hAnsi="Times New Roman" w:cs="Times New Roman"/>
          <w:sz w:val="24"/>
          <w:szCs w:val="24"/>
        </w:rPr>
        <w:t xml:space="preserve"> </w:t>
      </w:r>
      <w:r w:rsidR="005A2006">
        <w:rPr>
          <w:rFonts w:ascii="Times New Roman" w:hAnsi="Times New Roman" w:cs="Times New Roman"/>
          <w:sz w:val="24"/>
          <w:szCs w:val="24"/>
        </w:rPr>
        <w:t>heat and hot water</w:t>
      </w:r>
      <w:r w:rsidR="002E6D03">
        <w:rPr>
          <w:rFonts w:ascii="Times New Roman" w:hAnsi="Times New Roman" w:cs="Times New Roman"/>
          <w:sz w:val="24"/>
          <w:szCs w:val="24"/>
        </w:rPr>
        <w:t xml:space="preserve"> outages</w:t>
      </w:r>
      <w:r w:rsidR="005A2006">
        <w:rPr>
          <w:rFonts w:ascii="Times New Roman" w:hAnsi="Times New Roman" w:cs="Times New Roman"/>
          <w:sz w:val="24"/>
          <w:szCs w:val="24"/>
        </w:rPr>
        <w:t>, leaks, mold</w:t>
      </w:r>
      <w:r w:rsidR="005A2006" w:rsidRPr="005A2006">
        <w:rPr>
          <w:rFonts w:ascii="Times New Roman" w:hAnsi="Times New Roman" w:cs="Times New Roman"/>
          <w:sz w:val="24"/>
          <w:szCs w:val="24"/>
        </w:rPr>
        <w:t xml:space="preserve">, peeling paint, and </w:t>
      </w:r>
      <w:r w:rsidR="005A2006">
        <w:rPr>
          <w:rFonts w:ascii="Times New Roman" w:hAnsi="Times New Roman" w:cs="Times New Roman"/>
          <w:sz w:val="24"/>
          <w:szCs w:val="24"/>
        </w:rPr>
        <w:t>pest issues</w:t>
      </w:r>
      <w:r w:rsidR="005A2006" w:rsidRPr="005A2006">
        <w:rPr>
          <w:rFonts w:ascii="Times New Roman" w:hAnsi="Times New Roman" w:cs="Times New Roman"/>
          <w:sz w:val="24"/>
          <w:szCs w:val="24"/>
        </w:rPr>
        <w:t xml:space="preserve">. </w:t>
      </w:r>
      <w:r w:rsidR="005A2006">
        <w:rPr>
          <w:rFonts w:ascii="Times New Roman" w:hAnsi="Times New Roman" w:cs="Times New Roman"/>
          <w:sz w:val="24"/>
          <w:szCs w:val="24"/>
        </w:rPr>
        <w:t>From</w:t>
      </w:r>
      <w:r w:rsidR="005A2006" w:rsidRPr="005A2006">
        <w:rPr>
          <w:rFonts w:ascii="Times New Roman" w:hAnsi="Times New Roman" w:cs="Times New Roman"/>
          <w:sz w:val="24"/>
          <w:szCs w:val="24"/>
        </w:rPr>
        <w:t xml:space="preserve"> 2005 </w:t>
      </w:r>
      <w:r w:rsidR="005A2006">
        <w:rPr>
          <w:rFonts w:ascii="Times New Roman" w:hAnsi="Times New Roman" w:cs="Times New Roman"/>
          <w:sz w:val="24"/>
          <w:szCs w:val="24"/>
        </w:rPr>
        <w:t>to</w:t>
      </w:r>
      <w:r w:rsidR="005A2006" w:rsidRPr="005A2006">
        <w:rPr>
          <w:rFonts w:ascii="Times New Roman" w:hAnsi="Times New Roman" w:cs="Times New Roman"/>
          <w:sz w:val="24"/>
          <w:szCs w:val="24"/>
        </w:rPr>
        <w:t xml:space="preserve"> 2017, NYCHA ho</w:t>
      </w:r>
      <w:r w:rsidR="005A2006">
        <w:rPr>
          <w:rFonts w:ascii="Times New Roman" w:hAnsi="Times New Roman" w:cs="Times New Roman"/>
          <w:sz w:val="24"/>
          <w:szCs w:val="24"/>
        </w:rPr>
        <w:t>using</w:t>
      </w:r>
      <w:r w:rsidR="005A2006" w:rsidRPr="005A2006">
        <w:rPr>
          <w:rFonts w:ascii="Times New Roman" w:hAnsi="Times New Roman" w:cs="Times New Roman"/>
          <w:sz w:val="24"/>
          <w:szCs w:val="24"/>
        </w:rPr>
        <w:t xml:space="preserve"> went from having comparable or lower deficiency rates than private-sector low-income housing to having rates over twice as high</w:t>
      </w:r>
      <w:r>
        <w:rPr>
          <w:rFonts w:ascii="Times New Roman" w:hAnsi="Times New Roman" w:cs="Times New Roman"/>
          <w:sz w:val="24"/>
          <w:szCs w:val="24"/>
        </w:rPr>
        <w:t xml:space="preserve">; and </w:t>
      </w:r>
    </w:p>
    <w:p w14:paraId="19930B90" w14:textId="5F21344C" w:rsidR="007828AE" w:rsidRDefault="007828AE"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Inadequate access to heat and hot water, exposure to lead paint, mold, and pest issues can have severe deleterious long-term consequences for the health and wellbeing of NYCHA residents; and </w:t>
      </w:r>
    </w:p>
    <w:p w14:paraId="17E040FF" w14:textId="091C7EEC" w:rsidR="004336EB" w:rsidRDefault="004336EB" w:rsidP="004336E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The advocacy group </w:t>
      </w:r>
      <w:r w:rsidRPr="004336EB">
        <w:rPr>
          <w:rFonts w:ascii="Times New Roman" w:hAnsi="Times New Roman" w:cs="Times New Roman"/>
          <w:sz w:val="24"/>
          <w:szCs w:val="24"/>
        </w:rPr>
        <w:t>Citizens Budget Commission,</w:t>
      </w:r>
      <w:r>
        <w:rPr>
          <w:rFonts w:ascii="Times New Roman" w:hAnsi="Times New Roman" w:cs="Times New Roman"/>
          <w:sz w:val="24"/>
          <w:szCs w:val="24"/>
        </w:rPr>
        <w:t xml:space="preserve"> warns that absent</w:t>
      </w:r>
      <w:r w:rsidRPr="004336EB">
        <w:rPr>
          <w:rFonts w:ascii="Times New Roman" w:hAnsi="Times New Roman" w:cs="Times New Roman"/>
          <w:sz w:val="24"/>
          <w:szCs w:val="24"/>
        </w:rPr>
        <w:t xml:space="preserve"> dramatic </w:t>
      </w:r>
      <w:r>
        <w:rPr>
          <w:rFonts w:ascii="Times New Roman" w:hAnsi="Times New Roman" w:cs="Times New Roman"/>
          <w:sz w:val="24"/>
          <w:szCs w:val="24"/>
        </w:rPr>
        <w:t>efforts to address the material conditions within the agency’s building stock</w:t>
      </w:r>
      <w:r w:rsidRPr="004336EB">
        <w:rPr>
          <w:rFonts w:ascii="Times New Roman" w:hAnsi="Times New Roman" w:cs="Times New Roman"/>
          <w:sz w:val="24"/>
          <w:szCs w:val="24"/>
        </w:rPr>
        <w:t xml:space="preserve"> within</w:t>
      </w:r>
      <w:r>
        <w:rPr>
          <w:rFonts w:ascii="Times New Roman" w:hAnsi="Times New Roman" w:cs="Times New Roman"/>
          <w:sz w:val="24"/>
          <w:szCs w:val="24"/>
        </w:rPr>
        <w:t xml:space="preserve"> the next</w:t>
      </w:r>
      <w:r w:rsidRPr="004336EB">
        <w:rPr>
          <w:rFonts w:ascii="Times New Roman" w:hAnsi="Times New Roman" w:cs="Times New Roman"/>
          <w:sz w:val="24"/>
          <w:szCs w:val="24"/>
        </w:rPr>
        <w:t xml:space="preserve"> 10 years</w:t>
      </w:r>
      <w:r>
        <w:rPr>
          <w:rFonts w:ascii="Times New Roman" w:hAnsi="Times New Roman" w:cs="Times New Roman"/>
          <w:sz w:val="24"/>
          <w:szCs w:val="24"/>
        </w:rPr>
        <w:t>,</w:t>
      </w:r>
      <w:r w:rsidRPr="004336EB">
        <w:rPr>
          <w:rFonts w:ascii="Times New Roman" w:hAnsi="Times New Roman" w:cs="Times New Roman"/>
          <w:sz w:val="24"/>
          <w:szCs w:val="24"/>
        </w:rPr>
        <w:t xml:space="preserve"> nearly 90 percent of NYCHA’s housing units could be at risk of deteriorating </w:t>
      </w:r>
      <w:r>
        <w:rPr>
          <w:rFonts w:ascii="Times New Roman" w:hAnsi="Times New Roman" w:cs="Times New Roman"/>
          <w:sz w:val="24"/>
          <w:szCs w:val="24"/>
        </w:rPr>
        <w:t>beyond</w:t>
      </w:r>
      <w:r w:rsidRPr="004336EB">
        <w:rPr>
          <w:rFonts w:ascii="Times New Roman" w:hAnsi="Times New Roman" w:cs="Times New Roman"/>
          <w:sz w:val="24"/>
          <w:szCs w:val="24"/>
        </w:rPr>
        <w:t xml:space="preserve"> the point at which it is cost-effective to repair</w:t>
      </w:r>
      <w:r>
        <w:rPr>
          <w:rFonts w:ascii="Times New Roman" w:hAnsi="Times New Roman" w:cs="Times New Roman"/>
          <w:sz w:val="24"/>
          <w:szCs w:val="24"/>
        </w:rPr>
        <w:t xml:space="preserve">; and </w:t>
      </w:r>
    </w:p>
    <w:p w14:paraId="1C343A2D" w14:textId="58A5B58B" w:rsidR="007828AE" w:rsidRDefault="007828AE"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NYCHA’s current plan to address funding shortages by privatizing the management of certain buildings via the Rental Assistance Determination/Permanent </w:t>
      </w:r>
      <w:r>
        <w:rPr>
          <w:rFonts w:ascii="Times New Roman" w:hAnsi="Times New Roman" w:cs="Times New Roman"/>
          <w:sz w:val="24"/>
          <w:szCs w:val="24"/>
        </w:rPr>
        <w:lastRenderedPageBreak/>
        <w:t>Affordability Commitment Together (RAD/PACT) has been criticized for overstating the program’s ability to attract private unsubsidized funding; and</w:t>
      </w:r>
    </w:p>
    <w:p w14:paraId="3AA3F4FA" w14:textId="77777777" w:rsidR="004336EB" w:rsidRDefault="00972FBE" w:rsidP="00EF1CA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426EE3">
        <w:rPr>
          <w:rFonts w:ascii="Times New Roman" w:hAnsi="Times New Roman" w:cs="Times New Roman"/>
          <w:sz w:val="24"/>
          <w:szCs w:val="24"/>
        </w:rPr>
        <w:t>There are concerns that RAD/PACT conversions negatively affect tenant access to services and protections afforded to them under NYCHA tenancy, and preliminary evidence that eviction rates are higher in converted buildings</w:t>
      </w:r>
      <w:r w:rsidR="00840EF2">
        <w:rPr>
          <w:rFonts w:ascii="Times New Roman" w:hAnsi="Times New Roman" w:cs="Times New Roman"/>
          <w:sz w:val="24"/>
          <w:szCs w:val="24"/>
        </w:rPr>
        <w:t>;</w:t>
      </w:r>
      <w:r w:rsidR="004336EB">
        <w:rPr>
          <w:rFonts w:ascii="Times New Roman" w:hAnsi="Times New Roman" w:cs="Times New Roman"/>
          <w:sz w:val="24"/>
          <w:szCs w:val="24"/>
        </w:rPr>
        <w:t xml:space="preserve"> and</w:t>
      </w:r>
    </w:p>
    <w:p w14:paraId="4E98104B" w14:textId="53343BE8" w:rsidR="00840EF2" w:rsidRDefault="004336EB" w:rsidP="00EF1CA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A recent r</w:t>
      </w:r>
      <w:r w:rsidRPr="004336EB">
        <w:rPr>
          <w:rFonts w:ascii="Times New Roman" w:hAnsi="Times New Roman" w:cs="Times New Roman"/>
          <w:sz w:val="24"/>
          <w:szCs w:val="24"/>
        </w:rPr>
        <w:t>eport from Community Preservation Corporation, a nonprofit affordable housing financing company</w:t>
      </w:r>
      <w:r>
        <w:rPr>
          <w:rFonts w:ascii="Times New Roman" w:hAnsi="Times New Roman" w:cs="Times New Roman"/>
          <w:sz w:val="24"/>
          <w:szCs w:val="24"/>
        </w:rPr>
        <w:t xml:space="preserve">, </w:t>
      </w:r>
      <w:r w:rsidRPr="004336EB">
        <w:rPr>
          <w:rFonts w:ascii="Times New Roman" w:hAnsi="Times New Roman" w:cs="Times New Roman"/>
          <w:sz w:val="24"/>
          <w:szCs w:val="24"/>
        </w:rPr>
        <w:t xml:space="preserve">argues the city and state will each need to allocate an additional $1.5 billion annually for the </w:t>
      </w:r>
      <w:r w:rsidR="002D1C3B">
        <w:rPr>
          <w:rFonts w:ascii="Times New Roman" w:hAnsi="Times New Roman" w:cs="Times New Roman"/>
          <w:sz w:val="24"/>
          <w:szCs w:val="24"/>
        </w:rPr>
        <w:t>c</w:t>
      </w:r>
      <w:r w:rsidRPr="004336EB">
        <w:rPr>
          <w:rFonts w:ascii="Times New Roman" w:hAnsi="Times New Roman" w:cs="Times New Roman"/>
          <w:sz w:val="24"/>
          <w:szCs w:val="24"/>
        </w:rPr>
        <w:t>omprehensive modernization of whole developments,</w:t>
      </w:r>
      <w:r>
        <w:rPr>
          <w:rFonts w:ascii="Times New Roman" w:hAnsi="Times New Roman" w:cs="Times New Roman"/>
          <w:sz w:val="24"/>
          <w:szCs w:val="24"/>
        </w:rPr>
        <w:t xml:space="preserve"> in order to address the decades of disinvestment and the resulting deterioration of conditions in NYCHA’s building stock;</w:t>
      </w:r>
      <w:r w:rsidR="00840EF2">
        <w:rPr>
          <w:rFonts w:ascii="Times New Roman" w:hAnsi="Times New Roman" w:cs="Times New Roman"/>
          <w:sz w:val="24"/>
          <w:szCs w:val="24"/>
        </w:rPr>
        <w:t xml:space="preserve"> now, therefore, be it</w:t>
      </w:r>
    </w:p>
    <w:p w14:paraId="496C41E3" w14:textId="77777777" w:rsidR="00991A33" w:rsidRDefault="00840EF2" w:rsidP="00991A33">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Resolved, That the Council of </w:t>
      </w:r>
      <w:r w:rsidR="00F9722A">
        <w:rPr>
          <w:rFonts w:ascii="Times New Roman" w:hAnsi="Times New Roman" w:cs="Times New Roman"/>
          <w:sz w:val="24"/>
          <w:szCs w:val="24"/>
        </w:rPr>
        <w:t xml:space="preserve">the City of </w:t>
      </w:r>
      <w:r>
        <w:rPr>
          <w:rFonts w:ascii="Times New Roman" w:hAnsi="Times New Roman" w:cs="Times New Roman"/>
          <w:sz w:val="24"/>
          <w:szCs w:val="24"/>
        </w:rPr>
        <w:t xml:space="preserve">New York </w:t>
      </w:r>
      <w:r w:rsidR="008A1E78">
        <w:rPr>
          <w:rFonts w:ascii="Times New Roman" w:hAnsi="Times New Roman" w:cs="Times New Roman"/>
          <w:sz w:val="24"/>
          <w:szCs w:val="24"/>
        </w:rPr>
        <w:t xml:space="preserve">calls upon </w:t>
      </w:r>
      <w:r w:rsidR="00991A33" w:rsidRPr="00991A33">
        <w:rPr>
          <w:rFonts w:ascii="Times New Roman" w:hAnsi="Times New Roman" w:cs="Times New Roman"/>
          <w:sz w:val="24"/>
          <w:szCs w:val="24"/>
        </w:rPr>
        <w:t>the New York State Legislature and Governor to provide their share of the additional three billion dollars annually, that must be reinvested into NYCHA in order to address capital needs resulting from decades of disinvestment in its building stock</w:t>
      </w:r>
      <w:r w:rsidR="00991A33">
        <w:rPr>
          <w:rFonts w:ascii="Times New Roman" w:hAnsi="Times New Roman" w:cs="Times New Roman"/>
          <w:sz w:val="24"/>
          <w:szCs w:val="24"/>
        </w:rPr>
        <w:t>.</w:t>
      </w:r>
    </w:p>
    <w:p w14:paraId="3BD32C19" w14:textId="77777777" w:rsidR="00391A87" w:rsidRDefault="00391A87" w:rsidP="00991A33">
      <w:pPr>
        <w:spacing w:after="0" w:line="240" w:lineRule="auto"/>
        <w:jc w:val="both"/>
        <w:rPr>
          <w:rFonts w:ascii="Times New Roman" w:hAnsi="Times New Roman" w:cs="Times New Roman"/>
          <w:sz w:val="18"/>
          <w:szCs w:val="18"/>
        </w:rPr>
      </w:pPr>
    </w:p>
    <w:p w14:paraId="1B6CEF45" w14:textId="77777777" w:rsidR="00391A87" w:rsidRDefault="00391A87" w:rsidP="00991A33">
      <w:pPr>
        <w:spacing w:after="0" w:line="240" w:lineRule="auto"/>
        <w:jc w:val="both"/>
        <w:rPr>
          <w:rFonts w:ascii="Times New Roman" w:hAnsi="Times New Roman" w:cs="Times New Roman"/>
          <w:sz w:val="18"/>
          <w:szCs w:val="18"/>
        </w:rPr>
      </w:pPr>
    </w:p>
    <w:p w14:paraId="27218AB3" w14:textId="77777777" w:rsidR="00391A87" w:rsidRDefault="00391A87" w:rsidP="00991A33">
      <w:pPr>
        <w:spacing w:after="0" w:line="240" w:lineRule="auto"/>
        <w:jc w:val="both"/>
        <w:rPr>
          <w:rFonts w:ascii="Times New Roman" w:hAnsi="Times New Roman" w:cs="Times New Roman"/>
          <w:sz w:val="18"/>
          <w:szCs w:val="18"/>
        </w:rPr>
      </w:pPr>
    </w:p>
    <w:p w14:paraId="0228E457" w14:textId="3D23F2AC" w:rsidR="00991A33" w:rsidRPr="008F6E36" w:rsidRDefault="00840EF2" w:rsidP="00991A33">
      <w:pPr>
        <w:spacing w:after="0" w:line="240" w:lineRule="auto"/>
        <w:jc w:val="both"/>
        <w:rPr>
          <w:rFonts w:ascii="Times New Roman" w:hAnsi="Times New Roman" w:cs="Times New Roman"/>
          <w:sz w:val="18"/>
          <w:szCs w:val="18"/>
        </w:rPr>
      </w:pPr>
      <w:r w:rsidRPr="008F6E36">
        <w:rPr>
          <w:rFonts w:ascii="Times New Roman" w:hAnsi="Times New Roman" w:cs="Times New Roman"/>
          <w:sz w:val="18"/>
          <w:szCs w:val="18"/>
        </w:rPr>
        <w:t>NRC</w:t>
      </w:r>
    </w:p>
    <w:p w14:paraId="3D376C0D" w14:textId="26454F6B" w:rsidR="00840EF2" w:rsidRPr="008F6E36" w:rsidRDefault="00840EF2" w:rsidP="00991A33">
      <w:pPr>
        <w:spacing w:after="0" w:line="240" w:lineRule="auto"/>
        <w:jc w:val="both"/>
        <w:rPr>
          <w:rFonts w:ascii="Times New Roman" w:hAnsi="Times New Roman" w:cs="Times New Roman"/>
          <w:sz w:val="18"/>
          <w:szCs w:val="18"/>
        </w:rPr>
      </w:pPr>
      <w:r w:rsidRPr="008F6E36">
        <w:rPr>
          <w:rFonts w:ascii="Times New Roman" w:hAnsi="Times New Roman" w:cs="Times New Roman"/>
          <w:sz w:val="18"/>
          <w:szCs w:val="18"/>
        </w:rPr>
        <w:t>LS#</w:t>
      </w:r>
      <w:r w:rsidR="004866EA">
        <w:rPr>
          <w:rFonts w:ascii="Times New Roman" w:hAnsi="Times New Roman" w:cs="Times New Roman"/>
          <w:sz w:val="18"/>
          <w:szCs w:val="18"/>
        </w:rPr>
        <w:t>7</w:t>
      </w:r>
      <w:r w:rsidR="00AB4F47">
        <w:rPr>
          <w:rFonts w:ascii="Times New Roman" w:hAnsi="Times New Roman" w:cs="Times New Roman"/>
          <w:sz w:val="18"/>
          <w:szCs w:val="18"/>
        </w:rPr>
        <w:t>405</w:t>
      </w:r>
    </w:p>
    <w:p w14:paraId="1238F72E" w14:textId="13D02D06" w:rsidR="00840EF2" w:rsidRPr="008F6E36" w:rsidRDefault="004336EB" w:rsidP="00991A3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5</w:t>
      </w:r>
      <w:r w:rsidR="00840EF2" w:rsidRPr="008F6E36">
        <w:rPr>
          <w:rFonts w:ascii="Times New Roman" w:hAnsi="Times New Roman" w:cs="Times New Roman"/>
          <w:sz w:val="18"/>
          <w:szCs w:val="18"/>
        </w:rPr>
        <w:t>/</w:t>
      </w:r>
      <w:r>
        <w:rPr>
          <w:rFonts w:ascii="Times New Roman" w:hAnsi="Times New Roman" w:cs="Times New Roman"/>
          <w:sz w:val="18"/>
          <w:szCs w:val="18"/>
        </w:rPr>
        <w:t>2</w:t>
      </w:r>
      <w:r w:rsidR="002D1C3B">
        <w:rPr>
          <w:rFonts w:ascii="Times New Roman" w:hAnsi="Times New Roman" w:cs="Times New Roman"/>
          <w:sz w:val="18"/>
          <w:szCs w:val="18"/>
        </w:rPr>
        <w:t>3</w:t>
      </w:r>
      <w:r w:rsidR="00840EF2" w:rsidRPr="008F6E36">
        <w:rPr>
          <w:rFonts w:ascii="Times New Roman" w:hAnsi="Times New Roman" w:cs="Times New Roman"/>
          <w:sz w:val="18"/>
          <w:szCs w:val="18"/>
        </w:rPr>
        <w:t>/202</w:t>
      </w:r>
      <w:r w:rsidR="00EF1CAC">
        <w:rPr>
          <w:rFonts w:ascii="Times New Roman" w:hAnsi="Times New Roman" w:cs="Times New Roman"/>
          <w:sz w:val="18"/>
          <w:szCs w:val="18"/>
        </w:rPr>
        <w:t>2</w:t>
      </w:r>
      <w:r w:rsidR="00840EF2" w:rsidRPr="008F6E36">
        <w:rPr>
          <w:rFonts w:ascii="Times New Roman" w:hAnsi="Times New Roman" w:cs="Times New Roman"/>
          <w:sz w:val="18"/>
          <w:szCs w:val="18"/>
        </w:rPr>
        <w:tab/>
      </w:r>
    </w:p>
    <w:p w14:paraId="18F77329" w14:textId="2E6F6BFD" w:rsidR="00840EF2" w:rsidRDefault="00840EF2" w:rsidP="009340B4">
      <w:pPr>
        <w:spacing w:line="480" w:lineRule="auto"/>
        <w:ind w:firstLine="720"/>
        <w:jc w:val="both"/>
        <w:rPr>
          <w:rFonts w:ascii="Times New Roman" w:hAnsi="Times New Roman" w:cs="Times New Roman"/>
          <w:sz w:val="24"/>
          <w:szCs w:val="24"/>
        </w:rPr>
      </w:pPr>
    </w:p>
    <w:p w14:paraId="47CE50CE" w14:textId="77777777" w:rsidR="00C17186" w:rsidRDefault="00C17186" w:rsidP="009340B4">
      <w:pPr>
        <w:spacing w:line="480" w:lineRule="auto"/>
        <w:ind w:firstLine="720"/>
        <w:jc w:val="both"/>
        <w:rPr>
          <w:rFonts w:ascii="Times New Roman" w:hAnsi="Times New Roman" w:cs="Times New Roman"/>
          <w:sz w:val="24"/>
          <w:szCs w:val="24"/>
        </w:rPr>
      </w:pPr>
    </w:p>
    <w:p w14:paraId="2345F61D" w14:textId="77777777" w:rsidR="009340B4" w:rsidRDefault="009340B4" w:rsidP="00FA28C6">
      <w:pPr>
        <w:rPr>
          <w:rFonts w:ascii="Times New Roman" w:hAnsi="Times New Roman" w:cs="Times New Roman"/>
          <w:sz w:val="24"/>
          <w:szCs w:val="24"/>
        </w:rPr>
      </w:pPr>
    </w:p>
    <w:p w14:paraId="7B3653E1" w14:textId="77777777" w:rsidR="00FA28C6" w:rsidRDefault="00FA28C6"/>
    <w:sectPr w:rsidR="00FA28C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263658" w14:textId="77777777" w:rsidR="00823C92" w:rsidRDefault="00823C92" w:rsidP="004866EA">
      <w:pPr>
        <w:spacing w:after="0" w:line="240" w:lineRule="auto"/>
      </w:pPr>
      <w:r>
        <w:separator/>
      </w:r>
    </w:p>
  </w:endnote>
  <w:endnote w:type="continuationSeparator" w:id="0">
    <w:p w14:paraId="6553A529" w14:textId="77777777" w:rsidR="00823C92" w:rsidRDefault="00823C92" w:rsidP="00486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variable"/>
    <w:sig w:usb0="E00002FF" w:usb1="5000205B" w:usb2="0000002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E14B18" w14:textId="77777777" w:rsidR="00823C92" w:rsidRDefault="00823C92" w:rsidP="004866EA">
      <w:pPr>
        <w:spacing w:after="0" w:line="240" w:lineRule="auto"/>
      </w:pPr>
      <w:r>
        <w:separator/>
      </w:r>
    </w:p>
  </w:footnote>
  <w:footnote w:type="continuationSeparator" w:id="0">
    <w:p w14:paraId="4D3B7F61" w14:textId="77777777" w:rsidR="00823C92" w:rsidRDefault="00823C92" w:rsidP="004866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8C6"/>
    <w:rsid w:val="000237DC"/>
    <w:rsid w:val="000255A1"/>
    <w:rsid w:val="00044819"/>
    <w:rsid w:val="00051026"/>
    <w:rsid w:val="00093EA6"/>
    <w:rsid w:val="000A57C6"/>
    <w:rsid w:val="000B72B3"/>
    <w:rsid w:val="001A1CF3"/>
    <w:rsid w:val="001C298F"/>
    <w:rsid w:val="002214EC"/>
    <w:rsid w:val="00226D89"/>
    <w:rsid w:val="00240F29"/>
    <w:rsid w:val="00265EF2"/>
    <w:rsid w:val="00274969"/>
    <w:rsid w:val="002A0A1D"/>
    <w:rsid w:val="002C4656"/>
    <w:rsid w:val="002D1C3B"/>
    <w:rsid w:val="002E6D03"/>
    <w:rsid w:val="00316A2E"/>
    <w:rsid w:val="00324FEF"/>
    <w:rsid w:val="00330A7B"/>
    <w:rsid w:val="00374C66"/>
    <w:rsid w:val="00383CF4"/>
    <w:rsid w:val="00391A87"/>
    <w:rsid w:val="003B2D7F"/>
    <w:rsid w:val="003F4C3E"/>
    <w:rsid w:val="0040485C"/>
    <w:rsid w:val="004154EA"/>
    <w:rsid w:val="00426EE3"/>
    <w:rsid w:val="004336EB"/>
    <w:rsid w:val="004866EA"/>
    <w:rsid w:val="004D794F"/>
    <w:rsid w:val="004E3606"/>
    <w:rsid w:val="0056693C"/>
    <w:rsid w:val="005A2006"/>
    <w:rsid w:val="005E3A96"/>
    <w:rsid w:val="00665AF9"/>
    <w:rsid w:val="006957A5"/>
    <w:rsid w:val="007177B9"/>
    <w:rsid w:val="007543C6"/>
    <w:rsid w:val="0076152B"/>
    <w:rsid w:val="007617E7"/>
    <w:rsid w:val="007828AE"/>
    <w:rsid w:val="007A041B"/>
    <w:rsid w:val="007A0CAE"/>
    <w:rsid w:val="00823C92"/>
    <w:rsid w:val="00840EF2"/>
    <w:rsid w:val="00857E3C"/>
    <w:rsid w:val="008972BE"/>
    <w:rsid w:val="008A1E78"/>
    <w:rsid w:val="008A2518"/>
    <w:rsid w:val="008F6E36"/>
    <w:rsid w:val="009340B4"/>
    <w:rsid w:val="00950F76"/>
    <w:rsid w:val="00972FBE"/>
    <w:rsid w:val="00991A33"/>
    <w:rsid w:val="009A7890"/>
    <w:rsid w:val="009B77F4"/>
    <w:rsid w:val="009C19E0"/>
    <w:rsid w:val="00A10143"/>
    <w:rsid w:val="00A271B8"/>
    <w:rsid w:val="00A50F7B"/>
    <w:rsid w:val="00A63C76"/>
    <w:rsid w:val="00A7508D"/>
    <w:rsid w:val="00A75484"/>
    <w:rsid w:val="00AB4F47"/>
    <w:rsid w:val="00AC3A9C"/>
    <w:rsid w:val="00B04B87"/>
    <w:rsid w:val="00B1101B"/>
    <w:rsid w:val="00B230FC"/>
    <w:rsid w:val="00B439B4"/>
    <w:rsid w:val="00B907BA"/>
    <w:rsid w:val="00B97015"/>
    <w:rsid w:val="00C14508"/>
    <w:rsid w:val="00C17186"/>
    <w:rsid w:val="00C52A23"/>
    <w:rsid w:val="00C52E6A"/>
    <w:rsid w:val="00C776B2"/>
    <w:rsid w:val="00CA62EA"/>
    <w:rsid w:val="00CE2133"/>
    <w:rsid w:val="00CF0E12"/>
    <w:rsid w:val="00D7023A"/>
    <w:rsid w:val="00D74EB3"/>
    <w:rsid w:val="00DD2452"/>
    <w:rsid w:val="00DF4187"/>
    <w:rsid w:val="00E433B3"/>
    <w:rsid w:val="00E72460"/>
    <w:rsid w:val="00E84BB5"/>
    <w:rsid w:val="00E91E67"/>
    <w:rsid w:val="00ED0754"/>
    <w:rsid w:val="00ED72FC"/>
    <w:rsid w:val="00EF1CAC"/>
    <w:rsid w:val="00F4769B"/>
    <w:rsid w:val="00F90F82"/>
    <w:rsid w:val="00F9722A"/>
    <w:rsid w:val="00FA28C6"/>
    <w:rsid w:val="00FF04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6C918"/>
  <w15:chartTrackingRefBased/>
  <w15:docId w15:val="{8451A92F-D42B-F548-8834-9864840D0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28C6"/>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40B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340B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340B4"/>
    <w:rPr>
      <w:sz w:val="16"/>
      <w:szCs w:val="16"/>
    </w:rPr>
  </w:style>
  <w:style w:type="paragraph" w:styleId="CommentText">
    <w:name w:val="annotation text"/>
    <w:basedOn w:val="Normal"/>
    <w:link w:val="CommentTextChar"/>
    <w:uiPriority w:val="99"/>
    <w:semiHidden/>
    <w:unhideWhenUsed/>
    <w:rsid w:val="009340B4"/>
    <w:pPr>
      <w:spacing w:line="240" w:lineRule="auto"/>
    </w:pPr>
    <w:rPr>
      <w:sz w:val="20"/>
      <w:szCs w:val="20"/>
    </w:rPr>
  </w:style>
  <w:style w:type="character" w:customStyle="1" w:styleId="CommentTextChar">
    <w:name w:val="Comment Text Char"/>
    <w:basedOn w:val="DefaultParagraphFont"/>
    <w:link w:val="CommentText"/>
    <w:uiPriority w:val="99"/>
    <w:semiHidden/>
    <w:rsid w:val="009340B4"/>
    <w:rPr>
      <w:sz w:val="20"/>
      <w:szCs w:val="20"/>
    </w:rPr>
  </w:style>
  <w:style w:type="paragraph" w:styleId="CommentSubject">
    <w:name w:val="annotation subject"/>
    <w:basedOn w:val="CommentText"/>
    <w:next w:val="CommentText"/>
    <w:link w:val="CommentSubjectChar"/>
    <w:uiPriority w:val="99"/>
    <w:semiHidden/>
    <w:unhideWhenUsed/>
    <w:rsid w:val="002A0A1D"/>
    <w:rPr>
      <w:b/>
      <w:bCs/>
    </w:rPr>
  </w:style>
  <w:style w:type="character" w:customStyle="1" w:styleId="CommentSubjectChar">
    <w:name w:val="Comment Subject Char"/>
    <w:basedOn w:val="CommentTextChar"/>
    <w:link w:val="CommentSubject"/>
    <w:uiPriority w:val="99"/>
    <w:semiHidden/>
    <w:rsid w:val="002A0A1D"/>
    <w:rPr>
      <w:b/>
      <w:bCs/>
      <w:sz w:val="20"/>
      <w:szCs w:val="20"/>
    </w:rPr>
  </w:style>
  <w:style w:type="paragraph" w:styleId="FootnoteText">
    <w:name w:val="footnote text"/>
    <w:aliases w:val="FT"/>
    <w:basedOn w:val="Normal"/>
    <w:link w:val="FootnoteTextChar"/>
    <w:uiPriority w:val="99"/>
    <w:unhideWhenUsed/>
    <w:rsid w:val="004866EA"/>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4866EA"/>
    <w:rPr>
      <w:sz w:val="20"/>
      <w:szCs w:val="20"/>
    </w:rPr>
  </w:style>
  <w:style w:type="character" w:styleId="FootnoteReference">
    <w:name w:val="footnote reference"/>
    <w:basedOn w:val="DefaultParagraphFont"/>
    <w:uiPriority w:val="99"/>
    <w:unhideWhenUsed/>
    <w:rsid w:val="004866EA"/>
    <w:rPr>
      <w:vertAlign w:val="superscript"/>
    </w:rPr>
  </w:style>
  <w:style w:type="character" w:styleId="Hyperlink">
    <w:name w:val="Hyperlink"/>
    <w:basedOn w:val="DefaultParagraphFont"/>
    <w:uiPriority w:val="99"/>
    <w:unhideWhenUsed/>
    <w:rsid w:val="004866EA"/>
    <w:rPr>
      <w:color w:val="0000FF"/>
      <w:u w:val="single"/>
    </w:rPr>
  </w:style>
  <w:style w:type="paragraph" w:styleId="Revision">
    <w:name w:val="Revision"/>
    <w:hidden/>
    <w:uiPriority w:val="99"/>
    <w:semiHidden/>
    <w:rsid w:val="008A1E7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897747">
      <w:bodyDiv w:val="1"/>
      <w:marLeft w:val="0"/>
      <w:marRight w:val="0"/>
      <w:marTop w:val="0"/>
      <w:marBottom w:val="0"/>
      <w:divBdr>
        <w:top w:val="none" w:sz="0" w:space="0" w:color="auto"/>
        <w:left w:val="none" w:sz="0" w:space="0" w:color="auto"/>
        <w:bottom w:val="none" w:sz="0" w:space="0" w:color="auto"/>
        <w:right w:val="none" w:sz="0" w:space="0" w:color="auto"/>
      </w:divBdr>
    </w:div>
    <w:div w:id="202377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696</Words>
  <Characters>3972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 Chawla</dc:creator>
  <cp:keywords/>
  <dc:description/>
  <cp:lastModifiedBy>Martin, William</cp:lastModifiedBy>
  <cp:revision>45</cp:revision>
  <dcterms:created xsi:type="dcterms:W3CDTF">2022-05-27T13:25:00Z</dcterms:created>
  <dcterms:modified xsi:type="dcterms:W3CDTF">2023-04-07T20:23:00Z</dcterms:modified>
</cp:coreProperties>
</file>