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545C3" w14:textId="77777777" w:rsidR="0062350F" w:rsidRPr="000850B9" w:rsidRDefault="0062350F" w:rsidP="0062350F">
      <w:pPr>
        <w:ind w:left="5040" w:firstLine="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354209AE" w14:textId="0C19CC5C" w:rsidR="0062350F" w:rsidRDefault="0062350F" w:rsidP="0062350F">
      <w:pPr>
        <w:ind w:left="5040" w:firstLine="0"/>
        <w:jc w:val="right"/>
        <w:rPr>
          <w:spacing w:val="-3"/>
        </w:rPr>
      </w:pPr>
      <w:r>
        <w:rPr>
          <w:spacing w:val="-3"/>
        </w:rPr>
        <w:t xml:space="preserve">Samara Swanson, </w:t>
      </w:r>
      <w:r w:rsidR="00FB18E5">
        <w:rPr>
          <w:i/>
          <w:iCs/>
          <w:spacing w:val="-3"/>
        </w:rPr>
        <w:t xml:space="preserve">Legislative </w:t>
      </w:r>
      <w:r w:rsidRPr="00300C15">
        <w:rPr>
          <w:i/>
          <w:iCs/>
          <w:spacing w:val="-3"/>
        </w:rPr>
        <w:t>Counsel</w:t>
      </w:r>
    </w:p>
    <w:p w14:paraId="417A28C2" w14:textId="1561CF52" w:rsidR="0062350F" w:rsidRDefault="0062350F" w:rsidP="0062350F">
      <w:pPr>
        <w:ind w:left="5040" w:firstLine="0"/>
        <w:jc w:val="right"/>
        <w:rPr>
          <w:spacing w:val="-3"/>
        </w:rPr>
      </w:pPr>
      <w:r>
        <w:rPr>
          <w:spacing w:val="-3"/>
        </w:rPr>
        <w:t xml:space="preserve">Ricky Chawla, </w:t>
      </w:r>
      <w:r w:rsidR="00FB18E5">
        <w:rPr>
          <w:i/>
          <w:iCs/>
          <w:spacing w:val="-3"/>
        </w:rPr>
        <w:t xml:space="preserve">Legislative </w:t>
      </w:r>
      <w:r w:rsidRPr="00300C15">
        <w:rPr>
          <w:i/>
          <w:iCs/>
          <w:spacing w:val="-3"/>
        </w:rPr>
        <w:t>Policy Analyst</w:t>
      </w:r>
    </w:p>
    <w:p w14:paraId="067A7E6F" w14:textId="77777777" w:rsidR="0062350F" w:rsidRDefault="0062350F" w:rsidP="0062350F">
      <w:pPr>
        <w:ind w:left="5040" w:firstLine="0"/>
        <w:jc w:val="right"/>
        <w:rPr>
          <w:spacing w:val="-3"/>
        </w:rPr>
      </w:pPr>
      <w:r>
        <w:rPr>
          <w:spacing w:val="-3"/>
        </w:rPr>
        <w:t xml:space="preserve">Jonathan Seltzer, </w:t>
      </w:r>
      <w:r w:rsidRPr="00300C15">
        <w:rPr>
          <w:i/>
          <w:iCs/>
          <w:spacing w:val="-3"/>
        </w:rPr>
        <w:t>Senior Financial Analyst</w:t>
      </w:r>
    </w:p>
    <w:p w14:paraId="245127A4" w14:textId="77777777" w:rsidR="0062350F" w:rsidRDefault="0062350F" w:rsidP="0062350F">
      <w:pPr>
        <w:ind w:left="5040" w:firstLine="0"/>
        <w:rPr>
          <w:spacing w:val="-3"/>
        </w:rPr>
      </w:pPr>
    </w:p>
    <w:p w14:paraId="3E695C9C" w14:textId="77777777" w:rsidR="0062350F" w:rsidRDefault="0062350F" w:rsidP="0062350F">
      <w:pPr>
        <w:ind w:left="5040"/>
        <w:rPr>
          <w:spacing w:val="-3"/>
        </w:rPr>
      </w:pPr>
    </w:p>
    <w:p w14:paraId="6B12AA41" w14:textId="77777777" w:rsidR="0062350F" w:rsidRPr="000850B9" w:rsidRDefault="0062350F" w:rsidP="0062350F">
      <w:pPr>
        <w:ind w:left="5040"/>
        <w:rPr>
          <w:b/>
          <w:spacing w:val="-3"/>
          <w:u w:val="single"/>
        </w:rPr>
      </w:pPr>
    </w:p>
    <w:p w14:paraId="461A7ACC" w14:textId="77777777" w:rsidR="0062350F" w:rsidRPr="000850B9" w:rsidRDefault="0062350F" w:rsidP="0062350F">
      <w:pPr>
        <w:keepNext/>
        <w:tabs>
          <w:tab w:val="center" w:pos="4680"/>
        </w:tabs>
        <w:suppressAutoHyphens/>
        <w:ind w:firstLine="0"/>
        <w:jc w:val="center"/>
        <w:outlineLvl w:val="3"/>
        <w:rPr>
          <w:b/>
          <w:spacing w:val="-3"/>
          <w:u w:val="single"/>
        </w:rPr>
      </w:pPr>
    </w:p>
    <w:p w14:paraId="00E5AF44" w14:textId="77777777" w:rsidR="0062350F" w:rsidRPr="000850B9" w:rsidRDefault="0062350F" w:rsidP="0062350F">
      <w:pPr>
        <w:ind w:firstLine="0"/>
        <w:jc w:val="center"/>
      </w:pPr>
      <w:r w:rsidRPr="000850B9">
        <w:rPr>
          <w:noProof/>
        </w:rPr>
        <w:drawing>
          <wp:inline distT="0" distB="0" distL="0" distR="0" wp14:anchorId="1DECFFDE" wp14:editId="2820A6E4">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6817E4D" w14:textId="77777777" w:rsidR="0062350F" w:rsidRPr="000850B9" w:rsidRDefault="0062350F" w:rsidP="0062350F">
      <w:pPr>
        <w:ind w:firstLine="0"/>
      </w:pPr>
    </w:p>
    <w:p w14:paraId="30D70519"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43EB6D1A" w14:textId="77777777" w:rsidR="0062350F" w:rsidRPr="00581DCF" w:rsidRDefault="0062350F" w:rsidP="0062350F">
      <w:pPr>
        <w:tabs>
          <w:tab w:val="center" w:pos="4680"/>
        </w:tabs>
        <w:ind w:firstLine="0"/>
        <w:jc w:val="center"/>
        <w:rPr>
          <w:iCs/>
        </w:rPr>
      </w:pPr>
      <w:r w:rsidRPr="00581DCF">
        <w:rPr>
          <w:iCs/>
        </w:rPr>
        <w:t xml:space="preserve"> </w:t>
      </w:r>
      <w:r>
        <w:rPr>
          <w:iCs/>
        </w:rPr>
        <w:t>Andrea Vazquez</w:t>
      </w:r>
      <w:r w:rsidRPr="00581DCF">
        <w:rPr>
          <w:iCs/>
        </w:rPr>
        <w:t>, Legislative Director</w:t>
      </w:r>
    </w:p>
    <w:p w14:paraId="39C550E8" w14:textId="77777777" w:rsidR="0062350F" w:rsidRPr="00581DCF" w:rsidRDefault="0062350F" w:rsidP="0062350F">
      <w:pPr>
        <w:tabs>
          <w:tab w:val="left" w:pos="-1440"/>
        </w:tabs>
        <w:ind w:left="4320"/>
        <w:rPr>
          <w:b/>
        </w:rPr>
      </w:pPr>
    </w:p>
    <w:p w14:paraId="61BD96F7"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6154244" w14:textId="089C066B" w:rsidR="00751DE2" w:rsidRDefault="0062350F" w:rsidP="00751DE2">
      <w:pPr>
        <w:tabs>
          <w:tab w:val="center" w:pos="4680"/>
        </w:tabs>
        <w:ind w:firstLine="0"/>
        <w:jc w:val="center"/>
        <w:rPr>
          <w:iCs/>
        </w:rPr>
      </w:pPr>
      <w:r>
        <w:rPr>
          <w:iCs/>
        </w:rPr>
        <w:t>Brad</w:t>
      </w:r>
      <w:r w:rsidRPr="00581DCF">
        <w:rPr>
          <w:iCs/>
        </w:rPr>
        <w:t xml:space="preserve"> </w:t>
      </w:r>
      <w:r>
        <w:rPr>
          <w:iCs/>
        </w:rPr>
        <w:t>Reid</w:t>
      </w:r>
      <w:r w:rsidRPr="00581DCF">
        <w:rPr>
          <w:iCs/>
        </w:rPr>
        <w:t>, Deputy Director</w:t>
      </w:r>
    </w:p>
    <w:p w14:paraId="06725601" w14:textId="77777777" w:rsidR="0062350F" w:rsidRPr="00581DCF" w:rsidRDefault="0062350F" w:rsidP="00751DE2">
      <w:pPr>
        <w:tabs>
          <w:tab w:val="left" w:pos="-1440"/>
        </w:tabs>
        <w:ind w:firstLine="0"/>
        <w:rPr>
          <w:b/>
        </w:rPr>
      </w:pPr>
    </w:p>
    <w:p w14:paraId="6B5A0B8C" w14:textId="77777777" w:rsidR="0062350F" w:rsidRPr="00581DCF" w:rsidRDefault="0062350F" w:rsidP="0062350F">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879F9FC" w14:textId="77777777" w:rsidR="0062350F" w:rsidRDefault="0062350F" w:rsidP="0062350F">
      <w:pPr>
        <w:ind w:firstLine="0"/>
        <w:jc w:val="center"/>
      </w:pPr>
      <w:r w:rsidRPr="00581DCF">
        <w:t xml:space="preserve">Hon. </w:t>
      </w:r>
      <w:r>
        <w:t>James F. Gennaro</w:t>
      </w:r>
      <w:r w:rsidRPr="00581DCF">
        <w:t>, Chair</w:t>
      </w:r>
    </w:p>
    <w:p w14:paraId="7A7829C3" w14:textId="77777777" w:rsidR="0062350F" w:rsidRDefault="0062350F" w:rsidP="0062350F">
      <w:pPr>
        <w:ind w:firstLine="0"/>
        <w:jc w:val="center"/>
      </w:pPr>
    </w:p>
    <w:p w14:paraId="47C6F8A2" w14:textId="77777777" w:rsidR="0062350F" w:rsidRPr="00581DCF" w:rsidRDefault="0062350F" w:rsidP="0062350F">
      <w:pPr>
        <w:jc w:val="center"/>
      </w:pPr>
    </w:p>
    <w:p w14:paraId="373D3B9D" w14:textId="1126C663" w:rsidR="0062350F" w:rsidRPr="00581DCF" w:rsidRDefault="00E80C4E" w:rsidP="0062350F">
      <w:pPr>
        <w:keepNext/>
        <w:ind w:firstLine="0"/>
        <w:jc w:val="center"/>
        <w:outlineLvl w:val="3"/>
        <w:rPr>
          <w:b/>
          <w:bCs/>
        </w:rPr>
      </w:pPr>
      <w:r>
        <w:rPr>
          <w:b/>
          <w:bCs/>
        </w:rPr>
        <w:t>June 7</w:t>
      </w:r>
      <w:r w:rsidR="0062350F">
        <w:rPr>
          <w:b/>
          <w:bCs/>
        </w:rPr>
        <w:t>, 2022</w:t>
      </w:r>
    </w:p>
    <w:p w14:paraId="4324CAEE" w14:textId="77777777" w:rsidR="0062350F" w:rsidRDefault="0062350F" w:rsidP="0062350F">
      <w:pPr>
        <w:ind w:left="4320" w:hanging="4320"/>
        <w:jc w:val="both"/>
        <w:rPr>
          <w:bCs/>
        </w:rPr>
      </w:pPr>
    </w:p>
    <w:p w14:paraId="7589DE94" w14:textId="77777777" w:rsidR="0062350F" w:rsidRDefault="0062350F" w:rsidP="0062350F">
      <w:pPr>
        <w:ind w:left="4320" w:hanging="4320"/>
        <w:jc w:val="both"/>
        <w:rPr>
          <w:bCs/>
        </w:rPr>
      </w:pPr>
    </w:p>
    <w:p w14:paraId="452CD6F7" w14:textId="35CAF125" w:rsidR="0062350F" w:rsidRPr="0025785A" w:rsidRDefault="0062350F" w:rsidP="0062350F">
      <w:pPr>
        <w:tabs>
          <w:tab w:val="center" w:pos="4680"/>
        </w:tabs>
        <w:ind w:firstLine="0"/>
        <w:jc w:val="center"/>
        <w:rPr>
          <w:bCs/>
        </w:rPr>
      </w:pPr>
      <w:r>
        <w:rPr>
          <w:rFonts w:ascii="Times New Roman Bold" w:hAnsi="Times New Roman Bold"/>
          <w:b/>
          <w:smallCaps/>
        </w:rPr>
        <w:t xml:space="preserve">Oversight – </w:t>
      </w:r>
      <w:r w:rsidR="005B2654" w:rsidRPr="005B2654">
        <w:rPr>
          <w:rFonts w:ascii="Times New Roman Bold" w:hAnsi="Times New Roman Bold"/>
          <w:b/>
          <w:smallCaps/>
        </w:rPr>
        <w:t>Phase out of No. 4 Fuel Oil</w:t>
      </w:r>
    </w:p>
    <w:p w14:paraId="643F9DAA" w14:textId="77777777" w:rsidR="0062350F" w:rsidRDefault="0062350F" w:rsidP="0062350F">
      <w:pPr>
        <w:pStyle w:val="NoSpacing"/>
        <w:rPr>
          <w:rFonts w:ascii="Times New Roman" w:hAnsi="Times New Roman" w:cs="Times New Roman"/>
          <w:sz w:val="24"/>
          <w:szCs w:val="24"/>
        </w:rPr>
      </w:pPr>
    </w:p>
    <w:p w14:paraId="77907E16" w14:textId="77777777" w:rsidR="0062350F" w:rsidRDefault="0062350F" w:rsidP="0062350F">
      <w:pPr>
        <w:pStyle w:val="NoSpacing"/>
        <w:rPr>
          <w:rFonts w:ascii="Times New Roman" w:hAnsi="Times New Roman" w:cs="Times New Roman"/>
          <w:sz w:val="24"/>
          <w:szCs w:val="24"/>
        </w:rPr>
      </w:pPr>
    </w:p>
    <w:p w14:paraId="7DAB5372" w14:textId="29E4CF08" w:rsidR="005923AE" w:rsidRPr="00A10C5A" w:rsidRDefault="005923AE" w:rsidP="005923AE">
      <w:pPr>
        <w:pStyle w:val="Default"/>
        <w:ind w:left="4320" w:hanging="4320"/>
        <w:jc w:val="both"/>
        <w:rPr>
          <w:bCs/>
          <w:sz w:val="23"/>
          <w:szCs w:val="23"/>
        </w:rPr>
      </w:pPr>
      <w:r>
        <w:rPr>
          <w:rFonts w:ascii="Times Roman" w:eastAsia="Calibri" w:hAnsi="Times Roman"/>
          <w:b/>
          <w:smallCaps/>
          <w:u w:val="single"/>
        </w:rPr>
        <w:t>Int</w:t>
      </w:r>
      <w:r w:rsidRPr="00581DCF">
        <w:rPr>
          <w:rFonts w:ascii="Times Roman" w:eastAsia="Calibri" w:hAnsi="Times Roman"/>
          <w:b/>
          <w:smallCaps/>
          <w:u w:val="single"/>
        </w:rPr>
        <w:t>. No.</w:t>
      </w:r>
      <w:r w:rsidR="007F12F6">
        <w:rPr>
          <w:rFonts w:ascii="Times Roman" w:eastAsia="Calibri" w:hAnsi="Times Roman"/>
          <w:b/>
          <w:smallCaps/>
          <w:u w:val="single"/>
        </w:rPr>
        <w:t xml:space="preserve"> 470</w:t>
      </w:r>
      <w:r w:rsidRPr="00581DCF">
        <w:rPr>
          <w:rFonts w:ascii="Times Roman" w:eastAsia="Calibri" w:hAnsi="Times Roman"/>
          <w:b/>
          <w:smallCaps/>
          <w:u w:val="single"/>
        </w:rPr>
        <w:t>:</w:t>
      </w:r>
      <w:r w:rsidR="00C1070A">
        <w:rPr>
          <w:rFonts w:ascii="Times Roman" w:eastAsia="Calibri" w:hAnsi="Times Roman"/>
          <w:b/>
          <w:smallCaps/>
          <w:u w:val="single"/>
        </w:rPr>
        <w:t xml:space="preserve"> </w:t>
      </w:r>
      <w:r>
        <w:rPr>
          <w:rFonts w:ascii="Times Roman" w:eastAsia="Calibri" w:hAnsi="Times Roman"/>
          <w:b/>
          <w:smallCaps/>
        </w:rPr>
        <w:tab/>
      </w:r>
      <w:r>
        <w:rPr>
          <w:rFonts w:ascii="Times Roman" w:eastAsia="Calibri" w:hAnsi="Times Roman"/>
        </w:rPr>
        <w:t>By Council Members Gennaro</w:t>
      </w:r>
      <w:r w:rsidR="00FB56E1">
        <w:rPr>
          <w:rFonts w:ascii="Times Roman" w:eastAsia="Calibri" w:hAnsi="Times Roman"/>
        </w:rPr>
        <w:t xml:space="preserve">, </w:t>
      </w:r>
      <w:r>
        <w:rPr>
          <w:rFonts w:ascii="Times Roman" w:eastAsia="Calibri" w:hAnsi="Times Roman"/>
        </w:rPr>
        <w:t>Cab</w:t>
      </w:r>
      <w:r w:rsidRPr="005923AE">
        <w:rPr>
          <w:rFonts w:ascii="Times Roman" w:eastAsia="Calibri" w:hAnsi="Times Roman"/>
        </w:rPr>
        <w:t>á</w:t>
      </w:r>
      <w:r>
        <w:rPr>
          <w:rFonts w:ascii="Times Roman" w:eastAsia="Calibri" w:hAnsi="Times Roman"/>
        </w:rPr>
        <w:t>n</w:t>
      </w:r>
      <w:r w:rsidR="00FB56E1">
        <w:rPr>
          <w:rFonts w:ascii="Times Roman" w:eastAsia="Calibri" w:hAnsi="Times Roman"/>
        </w:rPr>
        <w:t>, and Brannan</w:t>
      </w:r>
    </w:p>
    <w:p w14:paraId="30AD4981" w14:textId="77777777" w:rsidR="005923AE" w:rsidRDefault="005923AE" w:rsidP="005923AE">
      <w:pPr>
        <w:pStyle w:val="Default"/>
        <w:rPr>
          <w:b/>
          <w:bCs/>
          <w:sz w:val="23"/>
          <w:szCs w:val="23"/>
        </w:rPr>
      </w:pPr>
    </w:p>
    <w:p w14:paraId="02E9B4E8" w14:textId="77777777" w:rsidR="005923AE" w:rsidRDefault="005923AE" w:rsidP="005923AE">
      <w:pPr>
        <w:pStyle w:val="Default"/>
        <w:ind w:left="4320" w:hanging="4320"/>
        <w:jc w:val="both"/>
        <w:rPr>
          <w:rFonts w:ascii="Times Roman" w:eastAsia="Calibri" w:hAnsi="Times Roman"/>
          <w:bCs/>
        </w:rPr>
      </w:pPr>
      <w:r w:rsidRPr="00581DCF">
        <w:rPr>
          <w:rFonts w:ascii="Times Roman" w:eastAsia="Calibri" w:hAnsi="Times Roman"/>
          <w:b/>
          <w:smallCaps/>
          <w:u w:val="single"/>
        </w:rPr>
        <w:t>Title:</w:t>
      </w:r>
      <w:r>
        <w:rPr>
          <w:rFonts w:ascii="Times Roman" w:eastAsia="Calibri" w:hAnsi="Times Roman"/>
          <w:bCs/>
          <w:smallCaps/>
        </w:rPr>
        <w:tab/>
      </w:r>
      <w:r>
        <w:rPr>
          <w:rFonts w:ascii="Times Roman" w:eastAsia="Calibri" w:hAnsi="Times Roman"/>
          <w:bCs/>
        </w:rPr>
        <w:t>A Local Law to amend the administrative code of the city of New York, in relation to phasing out the use of fuel oil grade no. 4</w:t>
      </w:r>
    </w:p>
    <w:p w14:paraId="5ACDCFFE" w14:textId="77777777" w:rsidR="005923AE" w:rsidRDefault="005923AE" w:rsidP="005923AE">
      <w:pPr>
        <w:pStyle w:val="Default"/>
        <w:ind w:left="4320" w:hanging="4320"/>
        <w:jc w:val="both"/>
        <w:rPr>
          <w:rFonts w:ascii="Times Roman" w:eastAsia="Calibri" w:hAnsi="Times Roman"/>
          <w:bCs/>
        </w:rPr>
      </w:pPr>
    </w:p>
    <w:p w14:paraId="24B12775" w14:textId="77777777" w:rsidR="005923AE" w:rsidRPr="002C2B63" w:rsidRDefault="005923AE" w:rsidP="005923AE">
      <w:pPr>
        <w:ind w:left="4320" w:hanging="4320"/>
        <w:jc w:val="both"/>
        <w:rPr>
          <w:rFonts w:eastAsia="Calibri"/>
        </w:rPr>
      </w:pPr>
      <w:r w:rsidRPr="002C2B63">
        <w:rPr>
          <w:rFonts w:ascii="Times New Roman Bold" w:eastAsia="Calibri" w:hAnsi="Times New Roman Bold"/>
          <w:b/>
          <w:smallCaps/>
          <w:u w:val="single"/>
        </w:rPr>
        <w:t>Administrative Code:</w:t>
      </w:r>
      <w:r w:rsidRPr="002C2B63">
        <w:rPr>
          <w:rFonts w:eastAsia="Calibri"/>
          <w:b/>
        </w:rPr>
        <w:tab/>
      </w:r>
      <w:r>
        <w:rPr>
          <w:rFonts w:eastAsia="Calibri"/>
        </w:rPr>
        <w:t>Amends</w:t>
      </w:r>
      <w:r w:rsidRPr="002C2B63">
        <w:rPr>
          <w:rFonts w:eastAsia="Calibri"/>
        </w:rPr>
        <w:t xml:space="preserve"> </w:t>
      </w:r>
      <w:r>
        <w:rPr>
          <w:rFonts w:eastAsia="Calibri"/>
        </w:rPr>
        <w:t xml:space="preserve">subdivision d of </w:t>
      </w:r>
      <w:r w:rsidRPr="002C2B63">
        <w:rPr>
          <w:rFonts w:eastAsia="Calibri"/>
        </w:rPr>
        <w:t>24-1</w:t>
      </w:r>
      <w:r>
        <w:rPr>
          <w:rFonts w:eastAsia="Calibri"/>
        </w:rPr>
        <w:t>6</w:t>
      </w:r>
      <w:r w:rsidRPr="002C2B63">
        <w:rPr>
          <w:rFonts w:eastAsia="Calibri"/>
        </w:rPr>
        <w:t xml:space="preserve">8 </w:t>
      </w:r>
    </w:p>
    <w:p w14:paraId="7D421171" w14:textId="77777777" w:rsidR="0062350F" w:rsidRDefault="0062350F" w:rsidP="0062350F">
      <w:pPr>
        <w:pStyle w:val="NoSpacing"/>
        <w:rPr>
          <w:rFonts w:ascii="Times New Roman" w:hAnsi="Times New Roman" w:cs="Times New Roman"/>
          <w:sz w:val="24"/>
          <w:szCs w:val="24"/>
        </w:rPr>
      </w:pPr>
    </w:p>
    <w:p w14:paraId="1EAB7D22" w14:textId="77777777" w:rsidR="0062350F" w:rsidRDefault="0062350F" w:rsidP="0062350F">
      <w:pPr>
        <w:pStyle w:val="NoSpacing"/>
        <w:rPr>
          <w:rFonts w:ascii="Times New Roman" w:hAnsi="Times New Roman" w:cs="Times New Roman"/>
          <w:sz w:val="24"/>
          <w:szCs w:val="24"/>
        </w:rPr>
      </w:pPr>
    </w:p>
    <w:p w14:paraId="33EC4F6E" w14:textId="77777777" w:rsidR="0062350F" w:rsidRPr="00BD1477" w:rsidRDefault="0062350F" w:rsidP="0062350F">
      <w:pPr>
        <w:pStyle w:val="NoSpacing"/>
        <w:rPr>
          <w:rFonts w:ascii="Times New Roman" w:hAnsi="Times New Roman" w:cs="Times New Roman"/>
          <w:sz w:val="24"/>
          <w:szCs w:val="24"/>
        </w:rPr>
      </w:pPr>
    </w:p>
    <w:p w14:paraId="0BAFECC8" w14:textId="77777777" w:rsidR="0062350F" w:rsidRPr="00B96377"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771B6282" w14:textId="77777777" w:rsidR="0062350F" w:rsidRDefault="0062350F" w:rsidP="0062350F">
      <w:pPr>
        <w:spacing w:line="480" w:lineRule="auto"/>
        <w:ind w:firstLine="0"/>
        <w:jc w:val="both"/>
      </w:pPr>
    </w:p>
    <w:p w14:paraId="22F763D9" w14:textId="2E877DB6" w:rsidR="0062350F" w:rsidRDefault="0062350F" w:rsidP="00641B4C">
      <w:pPr>
        <w:pStyle w:val="Default"/>
        <w:spacing w:line="480" w:lineRule="auto"/>
        <w:ind w:firstLine="720"/>
        <w:jc w:val="both"/>
      </w:pPr>
      <w:r>
        <w:t xml:space="preserve">On </w:t>
      </w:r>
      <w:r w:rsidR="00E80C4E">
        <w:t>June 7</w:t>
      </w:r>
      <w:r>
        <w:t>, 2022</w:t>
      </w:r>
      <w:r w:rsidRPr="00212B92">
        <w:t xml:space="preserve">, the Committee on Environmental Protection, chaired by Council Member </w:t>
      </w:r>
      <w:r>
        <w:t xml:space="preserve">James F. Gennaro, will </w:t>
      </w:r>
      <w:r w:rsidR="005923AE">
        <w:t>hear</w:t>
      </w:r>
      <w:r w:rsidR="005923AE" w:rsidRPr="005923AE">
        <w:t xml:space="preserve"> </w:t>
      </w:r>
      <w:r w:rsidR="005923AE">
        <w:t>Int. No</w:t>
      </w:r>
      <w:r w:rsidR="00407D59">
        <w:t>. 470</w:t>
      </w:r>
      <w:r w:rsidR="005923AE">
        <w:t xml:space="preserve">, in relation to the phasing out of fuel oil grade </w:t>
      </w:r>
      <w:r w:rsidR="00446E45">
        <w:t>N</w:t>
      </w:r>
      <w:r w:rsidR="005923AE">
        <w:t>o.</w:t>
      </w:r>
      <w:r w:rsidR="005B2654">
        <w:t xml:space="preserve"> </w:t>
      </w:r>
      <w:r w:rsidR="005923AE">
        <w:t>4</w:t>
      </w:r>
      <w:r w:rsidR="005923AE">
        <w:rPr>
          <w:bCs/>
        </w:rPr>
        <w:t xml:space="preserve"> </w:t>
      </w:r>
      <w:r w:rsidR="001B42C7">
        <w:rPr>
          <w:bCs/>
        </w:rPr>
        <w:t xml:space="preserve">. </w:t>
      </w:r>
      <w:r w:rsidR="001B42C7" w:rsidRPr="00693CB4">
        <w:lastRenderedPageBreak/>
        <w:t xml:space="preserve">The Committee expects to hear testimony from </w:t>
      </w:r>
      <w:r w:rsidR="001B42C7">
        <w:t xml:space="preserve">the </w:t>
      </w:r>
      <w:r w:rsidR="00641B4C">
        <w:t>Department of Environmental Protection (DEP)</w:t>
      </w:r>
      <w:r w:rsidR="001B42C7" w:rsidRPr="00641B4C">
        <w:rPr>
          <w:color w:val="000000" w:themeColor="text1"/>
        </w:rPr>
        <w:t>, th</w:t>
      </w:r>
      <w:r w:rsidR="005923AE">
        <w:rPr>
          <w:color w:val="000000" w:themeColor="text1"/>
        </w:rPr>
        <w:t>e Department of Buildings (DOB)</w:t>
      </w:r>
      <w:r w:rsidR="00641B4C">
        <w:rPr>
          <w:color w:val="000000" w:themeColor="text1"/>
        </w:rPr>
        <w:t xml:space="preserve">, </w:t>
      </w:r>
      <w:r w:rsidR="001B42C7" w:rsidRPr="001B42C7">
        <w:rPr>
          <w:color w:val="000000" w:themeColor="text1"/>
        </w:rPr>
        <w:t xml:space="preserve">environmental </w:t>
      </w:r>
      <w:r w:rsidR="001B42C7" w:rsidRPr="00693CB4">
        <w:t xml:space="preserve">advocates, </w:t>
      </w:r>
      <w:r w:rsidR="001B42C7">
        <w:t xml:space="preserve">real estate industry advocates, </w:t>
      </w:r>
      <w:r w:rsidR="001B42C7" w:rsidRPr="00693CB4">
        <w:t>and interested members of the public.</w:t>
      </w:r>
    </w:p>
    <w:p w14:paraId="0349691C" w14:textId="77777777" w:rsidR="00E80C4E" w:rsidRPr="00641B4C" w:rsidRDefault="00E80C4E" w:rsidP="00641B4C">
      <w:pPr>
        <w:pStyle w:val="Default"/>
        <w:spacing w:line="480" w:lineRule="auto"/>
        <w:ind w:firstLine="720"/>
        <w:jc w:val="both"/>
        <w:rPr>
          <w:bCs/>
        </w:rPr>
      </w:pPr>
    </w:p>
    <w:p w14:paraId="07BE3502" w14:textId="44E1D268" w:rsidR="0062350F"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2651B8F3" w14:textId="77777777" w:rsidR="00B25268" w:rsidRDefault="00B25268" w:rsidP="00B25268">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1D546ED9" w14:textId="0A09913F" w:rsidR="00FE1CF0" w:rsidRDefault="00122282" w:rsidP="00FE1CF0">
      <w:pPr>
        <w:spacing w:line="500" w:lineRule="auto"/>
        <w:jc w:val="both"/>
        <w:rPr>
          <w:sz w:val="23"/>
          <w:szCs w:val="23"/>
        </w:rPr>
      </w:pPr>
      <w:r>
        <w:rPr>
          <w:sz w:val="23"/>
          <w:szCs w:val="23"/>
        </w:rPr>
        <w:t>Local Law 43 of 2010 mandated the reduction of sulfur content in heating fuel combusted in New York City, as well as mandating that fuel oil combusted be comprised of no less than 2% biodiesel by volume.</w:t>
      </w:r>
      <w:r>
        <w:rPr>
          <w:rStyle w:val="FootnoteReference"/>
          <w:sz w:val="23"/>
          <w:szCs w:val="23"/>
        </w:rPr>
        <w:footnoteReference w:id="1"/>
      </w:r>
      <w:r>
        <w:rPr>
          <w:sz w:val="23"/>
          <w:szCs w:val="23"/>
        </w:rPr>
        <w:t xml:space="preserve"> </w:t>
      </w:r>
      <w:r w:rsidR="0092039D">
        <w:rPr>
          <w:sz w:val="23"/>
          <w:szCs w:val="23"/>
        </w:rPr>
        <w:t>In 2011, as part of the PlaNYC initiative, the Administration</w:t>
      </w:r>
      <w:r w:rsidR="00354C70">
        <w:rPr>
          <w:sz w:val="23"/>
          <w:szCs w:val="23"/>
        </w:rPr>
        <w:t xml:space="preserve"> of Mayor Michael Bloomberg</w:t>
      </w:r>
      <w:r w:rsidR="0092039D">
        <w:rPr>
          <w:sz w:val="23"/>
          <w:szCs w:val="23"/>
        </w:rPr>
        <w:t xml:space="preserve"> announced </w:t>
      </w:r>
      <w:r w:rsidR="00354C70">
        <w:rPr>
          <w:sz w:val="23"/>
          <w:szCs w:val="23"/>
        </w:rPr>
        <w:t xml:space="preserve">rules regarding </w:t>
      </w:r>
      <w:r w:rsidR="0092039D">
        <w:rPr>
          <w:sz w:val="23"/>
          <w:szCs w:val="23"/>
        </w:rPr>
        <w:t xml:space="preserve">the </w:t>
      </w:r>
      <w:r w:rsidR="00486045">
        <w:rPr>
          <w:sz w:val="23"/>
          <w:szCs w:val="23"/>
        </w:rPr>
        <w:t>mandatory phase</w:t>
      </w:r>
      <w:r w:rsidR="0092039D">
        <w:rPr>
          <w:sz w:val="23"/>
          <w:szCs w:val="23"/>
        </w:rPr>
        <w:t xml:space="preserve"> out of </w:t>
      </w:r>
      <w:r w:rsidR="0092039D" w:rsidRPr="0092039D">
        <w:rPr>
          <w:sz w:val="23"/>
          <w:szCs w:val="23"/>
        </w:rPr>
        <w:t>the use of unrefined oil sludge and</w:t>
      </w:r>
      <w:r w:rsidR="00506BB4">
        <w:rPr>
          <w:sz w:val="23"/>
          <w:szCs w:val="23"/>
        </w:rPr>
        <w:t xml:space="preserve"> fuel oil grades </w:t>
      </w:r>
      <w:r w:rsidR="00446E45">
        <w:rPr>
          <w:sz w:val="23"/>
          <w:szCs w:val="23"/>
        </w:rPr>
        <w:t>No</w:t>
      </w:r>
      <w:r w:rsidR="00506BB4">
        <w:rPr>
          <w:sz w:val="23"/>
          <w:szCs w:val="23"/>
        </w:rPr>
        <w:t>. 6 and 4,</w:t>
      </w:r>
      <w:r w:rsidR="0092039D" w:rsidRPr="0092039D">
        <w:rPr>
          <w:sz w:val="23"/>
          <w:szCs w:val="23"/>
        </w:rPr>
        <w:t xml:space="preserve"> the most-polluting grades of heating oil.</w:t>
      </w:r>
      <w:r w:rsidR="00506BB4">
        <w:rPr>
          <w:rStyle w:val="FootnoteReference"/>
          <w:sz w:val="23"/>
          <w:szCs w:val="23"/>
        </w:rPr>
        <w:footnoteReference w:id="2"/>
      </w:r>
      <w:r w:rsidR="00506BB4">
        <w:rPr>
          <w:sz w:val="23"/>
          <w:szCs w:val="23"/>
        </w:rPr>
        <w:t xml:space="preserve"> According to the rules, buildings were given until 2015 to cease the combustion of fuel oil grade no. 6, and until 2030 to phase out the use of fuel oil grade no. 4, in lieu of cleaner burning heating fuels such as </w:t>
      </w:r>
      <w:r w:rsidR="00446E45">
        <w:rPr>
          <w:sz w:val="23"/>
          <w:szCs w:val="23"/>
        </w:rPr>
        <w:t>N</w:t>
      </w:r>
      <w:r w:rsidR="00506BB4">
        <w:rPr>
          <w:sz w:val="23"/>
          <w:szCs w:val="23"/>
        </w:rPr>
        <w:t>o. 2 fuel oil or natural gas.</w:t>
      </w:r>
      <w:r w:rsidR="00506BB4">
        <w:rPr>
          <w:rStyle w:val="FootnoteReference"/>
          <w:sz w:val="23"/>
          <w:szCs w:val="23"/>
        </w:rPr>
        <w:footnoteReference w:id="3"/>
      </w:r>
      <w:r w:rsidR="00506BB4">
        <w:rPr>
          <w:sz w:val="23"/>
          <w:szCs w:val="23"/>
        </w:rPr>
        <w:t xml:space="preserve"> </w:t>
      </w:r>
      <w:r w:rsidR="003808F8">
        <w:rPr>
          <w:sz w:val="23"/>
          <w:szCs w:val="23"/>
        </w:rPr>
        <w:t xml:space="preserve">In 2015, the City Council passed Local Law 38, which, as part of a larger </w:t>
      </w:r>
      <w:r w:rsidR="002444B5">
        <w:rPr>
          <w:sz w:val="23"/>
          <w:szCs w:val="23"/>
        </w:rPr>
        <w:t xml:space="preserve">update of the </w:t>
      </w:r>
      <w:r w:rsidR="003808F8">
        <w:rPr>
          <w:sz w:val="23"/>
          <w:szCs w:val="23"/>
        </w:rPr>
        <w:t>air pollution control code, codified in law certain target dates for prohibitions on the use of certain fuel oil types.</w:t>
      </w:r>
      <w:r w:rsidR="002444B5">
        <w:rPr>
          <w:rStyle w:val="FootnoteReference"/>
          <w:sz w:val="23"/>
          <w:szCs w:val="23"/>
        </w:rPr>
        <w:footnoteReference w:id="4"/>
      </w:r>
      <w:r w:rsidR="003808F8">
        <w:rPr>
          <w:sz w:val="23"/>
          <w:szCs w:val="23"/>
        </w:rPr>
        <w:t xml:space="preserve"> </w:t>
      </w:r>
      <w:r w:rsidR="00CA6A14">
        <w:rPr>
          <w:sz w:val="23"/>
          <w:szCs w:val="23"/>
        </w:rPr>
        <w:t xml:space="preserve">In February of </w:t>
      </w:r>
      <w:r w:rsidR="00CF32E2">
        <w:rPr>
          <w:sz w:val="23"/>
          <w:szCs w:val="23"/>
        </w:rPr>
        <w:t xml:space="preserve">2016, the </w:t>
      </w:r>
      <w:r w:rsidR="00CA6A14" w:rsidRPr="00CA6A14">
        <w:rPr>
          <w:sz w:val="23"/>
          <w:szCs w:val="23"/>
        </w:rPr>
        <w:t xml:space="preserve">de Blasio </w:t>
      </w:r>
      <w:r w:rsidR="00CF32E2">
        <w:rPr>
          <w:sz w:val="23"/>
          <w:szCs w:val="23"/>
        </w:rPr>
        <w:t xml:space="preserve">administration </w:t>
      </w:r>
      <w:r w:rsidR="00CA6A14" w:rsidRPr="00CA6A14">
        <w:rPr>
          <w:sz w:val="23"/>
          <w:szCs w:val="23"/>
        </w:rPr>
        <w:t xml:space="preserve">announced that </w:t>
      </w:r>
      <w:r w:rsidR="00CF32E2">
        <w:rPr>
          <w:sz w:val="23"/>
          <w:szCs w:val="23"/>
        </w:rPr>
        <w:t xml:space="preserve">as of December 31 2015, </w:t>
      </w:r>
      <w:r w:rsidR="00CA6A14" w:rsidRPr="00CA6A14">
        <w:rPr>
          <w:sz w:val="23"/>
          <w:szCs w:val="23"/>
        </w:rPr>
        <w:t xml:space="preserve">all 5,300 buildings that were registered as burning Number 6 heating oil in 2011 </w:t>
      </w:r>
      <w:r w:rsidR="00CF32E2">
        <w:rPr>
          <w:sz w:val="23"/>
          <w:szCs w:val="23"/>
        </w:rPr>
        <w:t>had</w:t>
      </w:r>
      <w:r w:rsidR="00CA6A14" w:rsidRPr="00CA6A14">
        <w:rPr>
          <w:sz w:val="23"/>
          <w:szCs w:val="23"/>
        </w:rPr>
        <w:t xml:space="preserve"> converted to a cleaner fuel</w:t>
      </w:r>
      <w:r w:rsidR="00CF32E2">
        <w:rPr>
          <w:sz w:val="23"/>
          <w:szCs w:val="23"/>
        </w:rPr>
        <w:t>.</w:t>
      </w:r>
      <w:r w:rsidR="00CF32E2">
        <w:rPr>
          <w:rStyle w:val="FootnoteReference"/>
          <w:sz w:val="23"/>
          <w:szCs w:val="23"/>
        </w:rPr>
        <w:footnoteReference w:id="5"/>
      </w:r>
    </w:p>
    <w:p w14:paraId="30B88E56" w14:textId="4998F1C8" w:rsidR="001723F4" w:rsidRDefault="00FE1CF0" w:rsidP="001723F4">
      <w:pPr>
        <w:spacing w:line="500" w:lineRule="auto"/>
        <w:jc w:val="both"/>
        <w:rPr>
          <w:sz w:val="23"/>
          <w:szCs w:val="23"/>
        </w:rPr>
      </w:pPr>
      <w:r w:rsidRPr="00FE1CF0">
        <w:rPr>
          <w:sz w:val="23"/>
          <w:szCs w:val="23"/>
        </w:rPr>
        <w:t>No. 6 oil, also called residual oil, is the dirtiest of these fuels</w:t>
      </w:r>
      <w:r>
        <w:rPr>
          <w:sz w:val="23"/>
          <w:szCs w:val="23"/>
        </w:rPr>
        <w:t>, and is comprised of</w:t>
      </w:r>
      <w:r w:rsidRPr="00FE1CF0">
        <w:rPr>
          <w:sz w:val="23"/>
          <w:szCs w:val="23"/>
        </w:rPr>
        <w:t xml:space="preserve"> what remains of crude oil after distillate fuel oils and gasoline have been extracted from it through distillation.</w:t>
      </w:r>
      <w:r w:rsidR="00076C27">
        <w:rPr>
          <w:rStyle w:val="FootnoteReference"/>
          <w:sz w:val="23"/>
          <w:szCs w:val="23"/>
        </w:rPr>
        <w:footnoteReference w:id="6"/>
      </w:r>
      <w:r w:rsidRPr="00FE1CF0">
        <w:rPr>
          <w:sz w:val="23"/>
          <w:szCs w:val="23"/>
        </w:rPr>
        <w:t xml:space="preserve">  No. 6 is a high-viscosity oil</w:t>
      </w:r>
      <w:r>
        <w:rPr>
          <w:sz w:val="23"/>
          <w:szCs w:val="23"/>
        </w:rPr>
        <w:t xml:space="preserve"> that generally requires</w:t>
      </w:r>
      <w:r w:rsidRPr="00FE1CF0">
        <w:rPr>
          <w:sz w:val="23"/>
          <w:szCs w:val="23"/>
        </w:rPr>
        <w:t xml:space="preserve"> pre-heating before use</w:t>
      </w:r>
      <w:r>
        <w:rPr>
          <w:sz w:val="23"/>
          <w:szCs w:val="23"/>
        </w:rPr>
        <w:t>,</w:t>
      </w:r>
      <w:r w:rsidRPr="00FE1CF0">
        <w:rPr>
          <w:sz w:val="23"/>
          <w:szCs w:val="23"/>
        </w:rPr>
        <w:t xml:space="preserve"> </w:t>
      </w:r>
      <w:r w:rsidR="00446E45">
        <w:rPr>
          <w:sz w:val="23"/>
          <w:szCs w:val="23"/>
        </w:rPr>
        <w:t xml:space="preserve">and </w:t>
      </w:r>
      <w:r w:rsidRPr="00FE1CF0">
        <w:rPr>
          <w:sz w:val="23"/>
          <w:szCs w:val="23"/>
        </w:rPr>
        <w:t>is used mostly in commercial and industrial equipment.</w:t>
      </w:r>
      <w:r w:rsidR="00076C27">
        <w:rPr>
          <w:rStyle w:val="FootnoteReference"/>
          <w:sz w:val="23"/>
          <w:szCs w:val="23"/>
        </w:rPr>
        <w:footnoteReference w:id="7"/>
      </w:r>
      <w:r w:rsidRPr="00FE1CF0">
        <w:rPr>
          <w:sz w:val="23"/>
          <w:szCs w:val="23"/>
        </w:rPr>
        <w:t xml:space="preserve"> No. 2 oil, which is also called distillate fuel, is a more refined fuel</w:t>
      </w:r>
      <w:r>
        <w:rPr>
          <w:sz w:val="23"/>
          <w:szCs w:val="23"/>
        </w:rPr>
        <w:t>, containing</w:t>
      </w:r>
      <w:r w:rsidRPr="00FE1CF0">
        <w:rPr>
          <w:sz w:val="23"/>
          <w:szCs w:val="23"/>
        </w:rPr>
        <w:t xml:space="preserve"> sulfur in drastically lower amounts than occur in No. 6 oil, </w:t>
      </w:r>
      <w:r>
        <w:rPr>
          <w:sz w:val="23"/>
          <w:szCs w:val="23"/>
        </w:rPr>
        <w:t>and low enough in viscosity that</w:t>
      </w:r>
      <w:r w:rsidRPr="00FE1CF0">
        <w:rPr>
          <w:sz w:val="23"/>
          <w:szCs w:val="23"/>
        </w:rPr>
        <w:t xml:space="preserve"> it does not require pre-heating before use.</w:t>
      </w:r>
      <w:r w:rsidR="00076C27">
        <w:rPr>
          <w:rStyle w:val="FootnoteReference"/>
          <w:sz w:val="23"/>
          <w:szCs w:val="23"/>
        </w:rPr>
        <w:footnoteReference w:id="8"/>
      </w:r>
      <w:r w:rsidRPr="00FE1CF0">
        <w:rPr>
          <w:sz w:val="23"/>
          <w:szCs w:val="23"/>
        </w:rPr>
        <w:t xml:space="preserve"> No. 4 oil is a blend of residual and distillate fuels, such as oils No. 6 and No. 2.</w:t>
      </w:r>
      <w:r w:rsidR="00076C27">
        <w:rPr>
          <w:rStyle w:val="FootnoteReference"/>
          <w:sz w:val="23"/>
          <w:szCs w:val="23"/>
        </w:rPr>
        <w:footnoteReference w:id="9"/>
      </w:r>
      <w:r w:rsidRPr="00FE1CF0">
        <w:rPr>
          <w:sz w:val="23"/>
          <w:szCs w:val="23"/>
        </w:rPr>
        <w:t xml:space="preserve">  No. 4 oil that is used in the City is typically a mix of No. 6 and No. 2 oil in a 50/50 proportion.</w:t>
      </w:r>
      <w:r w:rsidR="00076C27">
        <w:rPr>
          <w:rStyle w:val="FootnoteReference"/>
          <w:sz w:val="23"/>
          <w:szCs w:val="23"/>
        </w:rPr>
        <w:footnoteReference w:id="10"/>
      </w:r>
      <w:r w:rsidRPr="00FE1CF0">
        <w:rPr>
          <w:sz w:val="23"/>
          <w:szCs w:val="23"/>
        </w:rPr>
        <w:t xml:space="preserve">  </w:t>
      </w:r>
      <w:r>
        <w:rPr>
          <w:sz w:val="23"/>
          <w:szCs w:val="23"/>
        </w:rPr>
        <w:t xml:space="preserve">Like </w:t>
      </w:r>
      <w:r w:rsidRPr="00FE1CF0">
        <w:rPr>
          <w:sz w:val="23"/>
          <w:szCs w:val="23"/>
        </w:rPr>
        <w:t xml:space="preserve">No. 6 and No. 2 oils, No. 4 is defined by </w:t>
      </w:r>
      <w:r>
        <w:rPr>
          <w:sz w:val="23"/>
          <w:szCs w:val="23"/>
        </w:rPr>
        <w:t>its</w:t>
      </w:r>
      <w:r w:rsidRPr="00FE1CF0">
        <w:rPr>
          <w:sz w:val="23"/>
          <w:szCs w:val="23"/>
        </w:rPr>
        <w:t xml:space="preserve"> physical and performance specifications.</w:t>
      </w:r>
      <w:r w:rsidR="00076C27">
        <w:rPr>
          <w:rStyle w:val="FootnoteReference"/>
          <w:sz w:val="23"/>
          <w:szCs w:val="23"/>
        </w:rPr>
        <w:footnoteReference w:id="11"/>
      </w:r>
      <w:r w:rsidRPr="00FE1CF0">
        <w:rPr>
          <w:sz w:val="23"/>
          <w:szCs w:val="23"/>
        </w:rPr>
        <w:t xml:space="preserve"> No. 4 is used in large stationary engines, power plants and large building boilers.</w:t>
      </w:r>
      <w:r w:rsidR="00076C27">
        <w:rPr>
          <w:rStyle w:val="FootnoteReference"/>
          <w:sz w:val="23"/>
          <w:szCs w:val="23"/>
        </w:rPr>
        <w:footnoteReference w:id="12"/>
      </w:r>
      <w:r w:rsidRPr="00FE1CF0">
        <w:rPr>
          <w:sz w:val="23"/>
          <w:szCs w:val="23"/>
        </w:rPr>
        <w:t xml:space="preserve"> No. 6 and No. 4 oil contain sulfur, nickel and other impurities and can be difficult to burn cleanly and completely.</w:t>
      </w:r>
      <w:r w:rsidR="00076C27">
        <w:rPr>
          <w:rStyle w:val="FootnoteReference"/>
          <w:sz w:val="23"/>
          <w:szCs w:val="23"/>
        </w:rPr>
        <w:footnoteReference w:id="13"/>
      </w:r>
      <w:r w:rsidRPr="00FE1CF0">
        <w:rPr>
          <w:sz w:val="23"/>
          <w:szCs w:val="23"/>
        </w:rPr>
        <w:t xml:space="preserve"> Combustion of these fuels emits unburned fuel in the form of soot, which spews out of exhaust stacks and chimneys, </w:t>
      </w:r>
      <w:r>
        <w:rPr>
          <w:sz w:val="23"/>
          <w:szCs w:val="23"/>
        </w:rPr>
        <w:t>and can</w:t>
      </w:r>
      <w:r w:rsidRPr="00FE1CF0">
        <w:rPr>
          <w:sz w:val="23"/>
          <w:szCs w:val="23"/>
        </w:rPr>
        <w:t xml:space="preserve"> coat boiler and combustion equipment.</w:t>
      </w:r>
      <w:r w:rsidR="00076C27">
        <w:rPr>
          <w:rStyle w:val="FootnoteReference"/>
          <w:sz w:val="23"/>
          <w:szCs w:val="23"/>
        </w:rPr>
        <w:footnoteReference w:id="14"/>
      </w:r>
      <w:r w:rsidRPr="00FE1CF0">
        <w:rPr>
          <w:sz w:val="23"/>
          <w:szCs w:val="23"/>
        </w:rPr>
        <w:t xml:space="preserve"> </w:t>
      </w:r>
    </w:p>
    <w:p w14:paraId="01BD26BD" w14:textId="3711645B" w:rsidR="001723F4" w:rsidRPr="001723F4" w:rsidRDefault="001723F4" w:rsidP="001723F4">
      <w:pPr>
        <w:spacing w:line="500" w:lineRule="auto"/>
        <w:jc w:val="both"/>
        <w:rPr>
          <w:sz w:val="23"/>
          <w:szCs w:val="23"/>
        </w:rPr>
      </w:pPr>
      <w:r w:rsidRPr="001723F4">
        <w:rPr>
          <w:sz w:val="23"/>
          <w:szCs w:val="23"/>
        </w:rPr>
        <w:t xml:space="preserve">According to the </w:t>
      </w:r>
      <w:r w:rsidR="00B80D65">
        <w:rPr>
          <w:sz w:val="23"/>
          <w:szCs w:val="23"/>
        </w:rPr>
        <w:t>United States Environmental Protection Agency (</w:t>
      </w:r>
      <w:r w:rsidRPr="001723F4">
        <w:rPr>
          <w:sz w:val="23"/>
          <w:szCs w:val="23"/>
        </w:rPr>
        <w:t>EPA</w:t>
      </w:r>
      <w:r w:rsidR="00B80D65">
        <w:rPr>
          <w:sz w:val="23"/>
          <w:szCs w:val="23"/>
        </w:rPr>
        <w:t>)</w:t>
      </w:r>
      <w:r w:rsidRPr="001723F4">
        <w:rPr>
          <w:sz w:val="23"/>
          <w:szCs w:val="23"/>
        </w:rPr>
        <w:t>, exposure to airborne pollutants has been linked to a variety of negative health outcomes, both physical and psychological.</w:t>
      </w:r>
      <w:r w:rsidR="00A22519">
        <w:rPr>
          <w:rStyle w:val="FootnoteReference"/>
          <w:sz w:val="23"/>
          <w:szCs w:val="23"/>
        </w:rPr>
        <w:footnoteReference w:id="15"/>
      </w:r>
      <w:r w:rsidRPr="001723F4">
        <w:rPr>
          <w:sz w:val="23"/>
          <w:szCs w:val="23"/>
        </w:rPr>
        <w:t xml:space="preserve">  Positive correlations have been found between exposure to elevated levels of airborne particulate matter and mental health concerns such as suicide attempts, as well as exacerbated symptoms in populations afflicted with schizophrenia.</w:t>
      </w:r>
      <w:r w:rsidR="00A22519">
        <w:rPr>
          <w:rStyle w:val="FootnoteReference"/>
          <w:sz w:val="23"/>
          <w:szCs w:val="23"/>
        </w:rPr>
        <w:footnoteReference w:id="16"/>
      </w:r>
      <w:r w:rsidRPr="001723F4">
        <w:rPr>
          <w:sz w:val="23"/>
          <w:szCs w:val="23"/>
        </w:rPr>
        <w:t xml:space="preserve">  Children can be particularly vulnerable to the effects of exposure to airborne pollutants because they consume more air and water per unit of body size compared to adults, are more likely to be active outdoors during peak traffic hours, tend to play closer to the ground where particulate matter concentrations are highest, and because the membrane barriers in their respiratory tract are not fully developed.</w:t>
      </w:r>
      <w:r w:rsidR="00A22519">
        <w:rPr>
          <w:rStyle w:val="FootnoteReference"/>
          <w:sz w:val="23"/>
          <w:szCs w:val="23"/>
        </w:rPr>
        <w:footnoteReference w:id="17"/>
      </w:r>
      <w:r w:rsidRPr="001723F4">
        <w:rPr>
          <w:sz w:val="23"/>
          <w:szCs w:val="23"/>
        </w:rPr>
        <w:t xml:space="preserve">  </w:t>
      </w:r>
    </w:p>
    <w:p w14:paraId="51B173BD" w14:textId="28F679F0" w:rsidR="009A2F5E" w:rsidRPr="009A2F5E" w:rsidRDefault="001723F4" w:rsidP="00076C27">
      <w:pPr>
        <w:spacing w:line="500" w:lineRule="auto"/>
        <w:jc w:val="both"/>
        <w:rPr>
          <w:sz w:val="23"/>
          <w:szCs w:val="23"/>
        </w:rPr>
      </w:pPr>
      <w:r w:rsidRPr="001723F4">
        <w:rPr>
          <w:sz w:val="23"/>
          <w:szCs w:val="23"/>
        </w:rPr>
        <w:t>People living in environments with a high level of sulfate particles (23.5 micro-g/m3) were 36% more likely to have lung cancer compared to those living in a community with lower levels of sulfate particle pollution, and positive correlations have been found between ambient concentrations of nitrous oxide and incidences of breast cancer in women.</w:t>
      </w:r>
      <w:r w:rsidR="00A22519">
        <w:rPr>
          <w:rStyle w:val="FootnoteReference"/>
          <w:sz w:val="23"/>
          <w:szCs w:val="23"/>
        </w:rPr>
        <w:footnoteReference w:id="18"/>
      </w:r>
      <w:r w:rsidRPr="001723F4">
        <w:rPr>
          <w:sz w:val="23"/>
          <w:szCs w:val="23"/>
        </w:rPr>
        <w:t xml:space="preserve"> Cardiovascular events and rates of hospitalization for cardiovascular issues are positively correlated with increases in ambient particulate matter, with a 10 microgram per square meter increase in black smoke averaging a 4.8% increase in hospitalizations for populations 65 and over.</w:t>
      </w:r>
      <w:r w:rsidR="00A22519">
        <w:rPr>
          <w:rStyle w:val="FootnoteReference"/>
          <w:sz w:val="23"/>
          <w:szCs w:val="23"/>
        </w:rPr>
        <w:footnoteReference w:id="19"/>
      </w:r>
      <w:r w:rsidRPr="001723F4">
        <w:rPr>
          <w:sz w:val="23"/>
          <w:szCs w:val="23"/>
        </w:rPr>
        <w:t xml:space="preserve">  A 10 microgram per square meter increase in PM2.5 levels was associated with a 24% increase in the risk of a heart attack or stroke, and a 76% increase in the risk of death from cardiovascular disease in postmenopausal women.</w:t>
      </w:r>
      <w:r w:rsidR="00A22519">
        <w:rPr>
          <w:rStyle w:val="FootnoteReference"/>
          <w:sz w:val="23"/>
          <w:szCs w:val="23"/>
        </w:rPr>
        <w:footnoteReference w:id="20"/>
      </w:r>
      <w:r w:rsidRPr="001723F4">
        <w:rPr>
          <w:sz w:val="23"/>
          <w:szCs w:val="23"/>
        </w:rPr>
        <w:t xml:space="preserve">  Exposures to PM2.5</w:t>
      </w:r>
      <w:r w:rsidR="00076C27">
        <w:rPr>
          <w:sz w:val="23"/>
          <w:szCs w:val="23"/>
        </w:rPr>
        <w:t xml:space="preserve">, </w:t>
      </w:r>
      <w:r w:rsidRPr="001723F4">
        <w:rPr>
          <w:sz w:val="23"/>
          <w:szCs w:val="23"/>
        </w:rPr>
        <w:t>PM10</w:t>
      </w:r>
      <w:r w:rsidR="00076C27">
        <w:rPr>
          <w:sz w:val="23"/>
          <w:szCs w:val="23"/>
        </w:rPr>
        <w:t>, and nitrous oxide</w:t>
      </w:r>
      <w:r w:rsidRPr="001723F4">
        <w:rPr>
          <w:sz w:val="23"/>
          <w:szCs w:val="23"/>
        </w:rPr>
        <w:t xml:space="preserve"> are strongly associated with increases in blood pressure,  while long term exposure to PM2.5 and nitrous oxide has been linked to heightened levels of inflammation biomarkers in the bloodstream.</w:t>
      </w:r>
      <w:r w:rsidR="00A22519">
        <w:rPr>
          <w:rStyle w:val="FootnoteReference"/>
          <w:sz w:val="23"/>
          <w:szCs w:val="23"/>
        </w:rPr>
        <w:footnoteReference w:id="21"/>
      </w:r>
      <w:r w:rsidRPr="001723F4">
        <w:rPr>
          <w:sz w:val="23"/>
          <w:szCs w:val="23"/>
        </w:rPr>
        <w:t xml:space="preserve">  Inflammation and oxidative stress on the brain has been linked to the manifestation of symptoms of depression, while inflammation in the airways can contribute to the development of asthma as well as an increase in the severity of symptoms.</w:t>
      </w:r>
      <w:r w:rsidR="00A22519">
        <w:rPr>
          <w:rStyle w:val="FootnoteReference"/>
          <w:sz w:val="23"/>
          <w:szCs w:val="23"/>
        </w:rPr>
        <w:footnoteReference w:id="22"/>
      </w:r>
      <w:r w:rsidRPr="001723F4">
        <w:rPr>
          <w:sz w:val="23"/>
          <w:szCs w:val="23"/>
        </w:rPr>
        <w:t xml:space="preserve"> </w:t>
      </w:r>
    </w:p>
    <w:p w14:paraId="4557CFEC" w14:textId="2D9A2030" w:rsidR="001723F4" w:rsidRDefault="009A2F5E" w:rsidP="001723F4">
      <w:pPr>
        <w:spacing w:line="500" w:lineRule="auto"/>
        <w:jc w:val="both"/>
        <w:rPr>
          <w:sz w:val="23"/>
          <w:szCs w:val="23"/>
        </w:rPr>
      </w:pPr>
      <w:r w:rsidRPr="009A2F5E">
        <w:rPr>
          <w:sz w:val="23"/>
          <w:szCs w:val="23"/>
        </w:rPr>
        <w:t>Switching from No. 4 oil to No. 2 oil eliminates the emission of harmful nickel.</w:t>
      </w:r>
      <w:r w:rsidR="00966D60">
        <w:rPr>
          <w:sz w:val="23"/>
          <w:szCs w:val="23"/>
        </w:rPr>
        <w:t xml:space="preserve"> </w:t>
      </w:r>
      <w:r w:rsidRPr="009A2F5E">
        <w:rPr>
          <w:sz w:val="23"/>
          <w:szCs w:val="23"/>
        </w:rPr>
        <w:t xml:space="preserve">Additionally, </w:t>
      </w:r>
      <w:r w:rsidR="00966D60">
        <w:rPr>
          <w:sz w:val="23"/>
          <w:szCs w:val="23"/>
        </w:rPr>
        <w:t>ultra low sulfer diesel (</w:t>
      </w:r>
      <w:r w:rsidRPr="009A2F5E">
        <w:rPr>
          <w:sz w:val="23"/>
          <w:szCs w:val="23"/>
        </w:rPr>
        <w:t>ULSD</w:t>
      </w:r>
      <w:r w:rsidR="00966D60">
        <w:rPr>
          <w:sz w:val="23"/>
          <w:szCs w:val="23"/>
        </w:rPr>
        <w:t>)</w:t>
      </w:r>
      <w:r w:rsidRPr="009A2F5E">
        <w:rPr>
          <w:sz w:val="23"/>
          <w:szCs w:val="23"/>
        </w:rPr>
        <w:t xml:space="preserve"> No. 2 oil contains only 15 parts per million (ppm) of sulfur compared to 3,000 ppm in No. 6 and</w:t>
      </w:r>
      <w:r w:rsidR="001E68DD">
        <w:rPr>
          <w:sz w:val="23"/>
          <w:szCs w:val="23"/>
        </w:rPr>
        <w:t>, and approximately 1,500ppm in</w:t>
      </w:r>
      <w:r w:rsidRPr="009A2F5E">
        <w:rPr>
          <w:sz w:val="23"/>
          <w:szCs w:val="23"/>
        </w:rPr>
        <w:t xml:space="preserve"> No. 4 </w:t>
      </w:r>
      <w:r w:rsidR="001E68DD">
        <w:rPr>
          <w:sz w:val="23"/>
          <w:szCs w:val="23"/>
        </w:rPr>
        <w:t xml:space="preserve">(when made with ultra low sulfur diesel No. 2 fuel oil) </w:t>
      </w:r>
      <w:r w:rsidRPr="009A2F5E">
        <w:rPr>
          <w:sz w:val="23"/>
          <w:szCs w:val="23"/>
        </w:rPr>
        <w:t xml:space="preserve">oils and, according to the City’s Department of Environmental Protection, </w:t>
      </w:r>
      <w:r w:rsidR="004765CC">
        <w:rPr>
          <w:sz w:val="23"/>
          <w:szCs w:val="23"/>
        </w:rPr>
        <w:t>the total phase out of No. 6 and No. 4 fuel oil</w:t>
      </w:r>
      <w:r w:rsidRPr="009A2F5E">
        <w:rPr>
          <w:sz w:val="23"/>
          <w:szCs w:val="23"/>
        </w:rPr>
        <w:t xml:space="preserve"> </w:t>
      </w:r>
      <w:r w:rsidR="004765CC">
        <w:rPr>
          <w:sz w:val="23"/>
          <w:szCs w:val="23"/>
        </w:rPr>
        <w:t>would</w:t>
      </w:r>
      <w:r w:rsidRPr="009A2F5E">
        <w:rPr>
          <w:sz w:val="23"/>
          <w:szCs w:val="23"/>
        </w:rPr>
        <w:t xml:space="preserve"> reduce the amount of fine particulate matter </w:t>
      </w:r>
      <w:r w:rsidR="004765CC">
        <w:rPr>
          <w:sz w:val="23"/>
          <w:szCs w:val="23"/>
        </w:rPr>
        <w:t>attributed to</w:t>
      </w:r>
      <w:r w:rsidRPr="009A2F5E">
        <w:rPr>
          <w:sz w:val="23"/>
          <w:szCs w:val="23"/>
        </w:rPr>
        <w:t xml:space="preserve"> heating buildings by at least 63%.</w:t>
      </w:r>
      <w:r w:rsidR="003D4040">
        <w:rPr>
          <w:rStyle w:val="FootnoteReference"/>
          <w:sz w:val="23"/>
          <w:szCs w:val="23"/>
        </w:rPr>
        <w:footnoteReference w:id="23"/>
      </w:r>
      <w:r w:rsidR="004765CC">
        <w:rPr>
          <w:sz w:val="23"/>
          <w:szCs w:val="23"/>
        </w:rPr>
        <w:t xml:space="preserve"> In 2011,</w:t>
      </w:r>
      <w:r w:rsidR="001723F4">
        <w:rPr>
          <w:sz w:val="23"/>
          <w:szCs w:val="23"/>
        </w:rPr>
        <w:t xml:space="preserve"> the combustion of No. 6 and No. 4 fuel oil, </w:t>
      </w:r>
      <w:r w:rsidR="004765CC">
        <w:rPr>
          <w:sz w:val="23"/>
          <w:szCs w:val="23"/>
        </w:rPr>
        <w:t xml:space="preserve">despite being </w:t>
      </w:r>
      <w:r w:rsidR="001723F4">
        <w:rPr>
          <w:sz w:val="23"/>
          <w:szCs w:val="23"/>
        </w:rPr>
        <w:t>used</w:t>
      </w:r>
      <w:r w:rsidR="004765CC">
        <w:rPr>
          <w:sz w:val="23"/>
          <w:szCs w:val="23"/>
        </w:rPr>
        <w:t xml:space="preserve"> </w:t>
      </w:r>
      <w:r w:rsidR="001723F4">
        <w:rPr>
          <w:sz w:val="23"/>
          <w:szCs w:val="23"/>
        </w:rPr>
        <w:t>in 1% of New York City buildings, was responsible for 85% of soot pollution citywide.</w:t>
      </w:r>
      <w:r w:rsidR="003D4040">
        <w:rPr>
          <w:rStyle w:val="FootnoteReference"/>
          <w:sz w:val="23"/>
          <w:szCs w:val="23"/>
        </w:rPr>
        <w:footnoteReference w:id="24"/>
      </w:r>
      <w:r w:rsidR="001723F4">
        <w:rPr>
          <w:sz w:val="23"/>
          <w:szCs w:val="23"/>
        </w:rPr>
        <w:t xml:space="preserve"> </w:t>
      </w:r>
    </w:p>
    <w:p w14:paraId="0CD18D02" w14:textId="212AF85E" w:rsidR="007B60D2" w:rsidRPr="001723F4" w:rsidRDefault="005502FA" w:rsidP="001723F4">
      <w:pPr>
        <w:spacing w:line="500" w:lineRule="auto"/>
        <w:jc w:val="both"/>
        <w:rPr>
          <w:sz w:val="23"/>
          <w:szCs w:val="23"/>
        </w:rPr>
      </w:pPr>
      <w:r w:rsidRPr="00FB56E1">
        <w:rPr>
          <w:sz w:val="23"/>
          <w:szCs w:val="23"/>
        </w:rPr>
        <w:t xml:space="preserve">If fuel oil </w:t>
      </w:r>
      <w:r>
        <w:rPr>
          <w:sz w:val="23"/>
          <w:szCs w:val="23"/>
        </w:rPr>
        <w:t>No.</w:t>
      </w:r>
      <w:r w:rsidRPr="00FB56E1">
        <w:rPr>
          <w:sz w:val="23"/>
          <w:szCs w:val="23"/>
        </w:rPr>
        <w:t xml:space="preserve"> </w:t>
      </w:r>
      <w:r>
        <w:rPr>
          <w:sz w:val="23"/>
          <w:szCs w:val="23"/>
        </w:rPr>
        <w:t>2 had replaced</w:t>
      </w:r>
      <w:r w:rsidRPr="00FB56E1">
        <w:rPr>
          <w:sz w:val="23"/>
          <w:szCs w:val="23"/>
        </w:rPr>
        <w:t xml:space="preserve"> fuel oil </w:t>
      </w:r>
      <w:r>
        <w:rPr>
          <w:sz w:val="23"/>
          <w:szCs w:val="23"/>
        </w:rPr>
        <w:t>No.</w:t>
      </w:r>
      <w:r w:rsidRPr="00FB56E1">
        <w:rPr>
          <w:sz w:val="23"/>
          <w:szCs w:val="23"/>
        </w:rPr>
        <w:t xml:space="preserve"> 4 in 2020, </w:t>
      </w:r>
      <w:r>
        <w:rPr>
          <w:sz w:val="23"/>
          <w:szCs w:val="23"/>
        </w:rPr>
        <w:t xml:space="preserve">including an adjustment for the different amounts of each fuel needed to achieve the same amount of heating, </w:t>
      </w:r>
      <w:r w:rsidRPr="00FB56E1">
        <w:rPr>
          <w:sz w:val="23"/>
          <w:szCs w:val="23"/>
        </w:rPr>
        <w:t>it would have resulted in</w:t>
      </w:r>
      <w:r>
        <w:rPr>
          <w:sz w:val="23"/>
          <w:szCs w:val="23"/>
        </w:rPr>
        <w:t xml:space="preserve"> a reduction of</w:t>
      </w:r>
      <w:r w:rsidRPr="00FB56E1">
        <w:rPr>
          <w:sz w:val="23"/>
          <w:szCs w:val="23"/>
        </w:rPr>
        <w:t xml:space="preserve"> 10,937</w:t>
      </w:r>
      <w:r>
        <w:rPr>
          <w:sz w:val="23"/>
          <w:szCs w:val="23"/>
        </w:rPr>
        <w:t xml:space="preserve"> tons of</w:t>
      </w:r>
      <w:r w:rsidRPr="00FB56E1">
        <w:rPr>
          <w:sz w:val="23"/>
          <w:szCs w:val="23"/>
        </w:rPr>
        <w:t xml:space="preserve"> GHG [tCO2e] in that one year</w:t>
      </w:r>
      <w:r>
        <w:rPr>
          <w:sz w:val="23"/>
          <w:szCs w:val="23"/>
        </w:rPr>
        <w:t>, the e</w:t>
      </w:r>
      <w:r w:rsidRPr="00FB56E1">
        <w:rPr>
          <w:sz w:val="23"/>
          <w:szCs w:val="23"/>
        </w:rPr>
        <w:t xml:space="preserve">quivalent of 2,400 cars removed </w:t>
      </w:r>
      <w:r>
        <w:rPr>
          <w:sz w:val="23"/>
          <w:szCs w:val="23"/>
        </w:rPr>
        <w:t xml:space="preserve">from the road </w:t>
      </w:r>
      <w:r w:rsidRPr="00FB56E1">
        <w:rPr>
          <w:sz w:val="23"/>
          <w:szCs w:val="23"/>
        </w:rPr>
        <w:t>for that one year</w:t>
      </w:r>
      <w:r>
        <w:rPr>
          <w:sz w:val="23"/>
          <w:szCs w:val="23"/>
        </w:rPr>
        <w:t>.</w:t>
      </w:r>
      <w:r>
        <w:rPr>
          <w:rStyle w:val="FootnoteReference"/>
          <w:sz w:val="23"/>
          <w:szCs w:val="23"/>
        </w:rPr>
        <w:footnoteReference w:id="25"/>
      </w:r>
      <w:r>
        <w:rPr>
          <w:sz w:val="23"/>
          <w:szCs w:val="23"/>
        </w:rPr>
        <w:t xml:space="preserve"> However, possibly the most significant impacts of such a change would be seen in the reduction of criteria air pollutants, the harmful effects of which were discussed earlier. </w:t>
      </w:r>
      <w:r w:rsidR="007B60D2" w:rsidRPr="00814EBD">
        <w:rPr>
          <w:sz w:val="23"/>
          <w:szCs w:val="23"/>
        </w:rPr>
        <w:t xml:space="preserve">Changing from </w:t>
      </w:r>
      <w:r w:rsidR="007B60D2">
        <w:rPr>
          <w:sz w:val="23"/>
          <w:szCs w:val="23"/>
        </w:rPr>
        <w:t>No. 4 fuel oil</w:t>
      </w:r>
      <w:r w:rsidR="007B60D2" w:rsidRPr="00814EBD">
        <w:rPr>
          <w:sz w:val="23"/>
          <w:szCs w:val="23"/>
        </w:rPr>
        <w:t xml:space="preserve"> to </w:t>
      </w:r>
      <w:r w:rsidR="007B60D2">
        <w:rPr>
          <w:sz w:val="23"/>
          <w:szCs w:val="23"/>
        </w:rPr>
        <w:t xml:space="preserve">No. 2 fuel oil would </w:t>
      </w:r>
      <w:r w:rsidR="007B60D2" w:rsidRPr="00814EBD">
        <w:rPr>
          <w:sz w:val="23"/>
          <w:szCs w:val="23"/>
        </w:rPr>
        <w:t xml:space="preserve">reduce </w:t>
      </w:r>
      <w:r w:rsidR="007B60D2">
        <w:rPr>
          <w:sz w:val="23"/>
          <w:szCs w:val="23"/>
        </w:rPr>
        <w:t>particulate matter</w:t>
      </w:r>
      <w:r w:rsidR="007B60D2" w:rsidRPr="00814EBD">
        <w:rPr>
          <w:sz w:val="23"/>
          <w:szCs w:val="23"/>
        </w:rPr>
        <w:t xml:space="preserve"> emissions by </w:t>
      </w:r>
      <w:r w:rsidR="007B60D2">
        <w:rPr>
          <w:sz w:val="23"/>
          <w:szCs w:val="23"/>
        </w:rPr>
        <w:t>an estimated</w:t>
      </w:r>
      <w:r w:rsidR="007B60D2" w:rsidRPr="00814EBD">
        <w:rPr>
          <w:sz w:val="23"/>
          <w:szCs w:val="23"/>
        </w:rPr>
        <w:t xml:space="preserve"> </w:t>
      </w:r>
      <w:r w:rsidR="007B60D2">
        <w:rPr>
          <w:sz w:val="23"/>
          <w:szCs w:val="23"/>
        </w:rPr>
        <w:t xml:space="preserve">47%, as well as reducing </w:t>
      </w:r>
      <w:r>
        <w:rPr>
          <w:sz w:val="23"/>
          <w:szCs w:val="23"/>
        </w:rPr>
        <w:t>nitrous oxide</w:t>
      </w:r>
      <w:r w:rsidR="007B60D2">
        <w:rPr>
          <w:sz w:val="23"/>
          <w:szCs w:val="23"/>
        </w:rPr>
        <w:t xml:space="preserve"> by 32.5</w:t>
      </w:r>
      <w:r w:rsidR="007B60D2" w:rsidRPr="00814EBD">
        <w:rPr>
          <w:sz w:val="23"/>
          <w:szCs w:val="23"/>
        </w:rPr>
        <w:t xml:space="preserve">% and </w:t>
      </w:r>
      <w:r>
        <w:rPr>
          <w:sz w:val="23"/>
          <w:szCs w:val="23"/>
        </w:rPr>
        <w:t>sulfur dioxide</w:t>
      </w:r>
      <w:r w:rsidR="007B60D2" w:rsidRPr="00814EBD">
        <w:rPr>
          <w:sz w:val="23"/>
          <w:szCs w:val="23"/>
        </w:rPr>
        <w:t xml:space="preserve"> by </w:t>
      </w:r>
      <w:r w:rsidR="007B60D2">
        <w:rPr>
          <w:sz w:val="23"/>
          <w:szCs w:val="23"/>
        </w:rPr>
        <w:t>34</w:t>
      </w:r>
      <w:r w:rsidR="007B60D2" w:rsidRPr="00814EBD">
        <w:rPr>
          <w:sz w:val="23"/>
          <w:szCs w:val="23"/>
        </w:rPr>
        <w:t>%.</w:t>
      </w:r>
      <w:r w:rsidR="007B60D2">
        <w:rPr>
          <w:rStyle w:val="FootnoteReference"/>
          <w:sz w:val="23"/>
          <w:szCs w:val="23"/>
        </w:rPr>
        <w:footnoteReference w:id="26"/>
      </w:r>
      <w:r w:rsidR="007B60D2">
        <w:rPr>
          <w:sz w:val="23"/>
          <w:szCs w:val="23"/>
        </w:rPr>
        <w:t xml:space="preserve"> Additionally, No. 2</w:t>
      </w:r>
      <w:r w:rsidR="007B60D2" w:rsidRPr="00814EBD">
        <w:rPr>
          <w:sz w:val="23"/>
          <w:szCs w:val="23"/>
        </w:rPr>
        <w:t xml:space="preserve"> fuel</w:t>
      </w:r>
      <w:r w:rsidR="007B60D2">
        <w:rPr>
          <w:sz w:val="23"/>
          <w:szCs w:val="23"/>
        </w:rPr>
        <w:t xml:space="preserve"> oil</w:t>
      </w:r>
      <w:r w:rsidR="007B60D2" w:rsidRPr="00814EBD">
        <w:rPr>
          <w:sz w:val="23"/>
          <w:szCs w:val="23"/>
        </w:rPr>
        <w:t xml:space="preserve"> does not need to be stored in a heated tank </w:t>
      </w:r>
      <w:r w:rsidR="007B60D2">
        <w:rPr>
          <w:sz w:val="23"/>
          <w:szCs w:val="23"/>
        </w:rPr>
        <w:t xml:space="preserve">due to its lower viscosity than residual fuels, </w:t>
      </w:r>
      <w:r w:rsidR="0027351E">
        <w:rPr>
          <w:sz w:val="23"/>
          <w:szCs w:val="23"/>
        </w:rPr>
        <w:t xml:space="preserve">so </w:t>
      </w:r>
      <w:r w:rsidR="007B60D2">
        <w:rPr>
          <w:sz w:val="23"/>
          <w:szCs w:val="23"/>
        </w:rPr>
        <w:t>it requires less energy to maintain in a usable state</w:t>
      </w:r>
      <w:r w:rsidR="007B60D2" w:rsidRPr="00814EBD">
        <w:rPr>
          <w:sz w:val="23"/>
          <w:szCs w:val="23"/>
        </w:rPr>
        <w:t>.</w:t>
      </w:r>
      <w:r w:rsidR="007B60D2">
        <w:rPr>
          <w:rStyle w:val="FootnoteReference"/>
          <w:sz w:val="23"/>
          <w:szCs w:val="23"/>
        </w:rPr>
        <w:footnoteReference w:id="27"/>
      </w:r>
      <w:r w:rsidR="007B60D2" w:rsidRPr="00814EBD">
        <w:rPr>
          <w:sz w:val="23"/>
          <w:szCs w:val="23"/>
        </w:rPr>
        <w:t xml:space="preserve"> </w:t>
      </w:r>
      <w:r w:rsidR="007B60D2">
        <w:rPr>
          <w:sz w:val="23"/>
          <w:szCs w:val="23"/>
        </w:rPr>
        <w:t>Because</w:t>
      </w:r>
      <w:r w:rsidR="007B60D2" w:rsidRPr="00814EBD">
        <w:rPr>
          <w:sz w:val="23"/>
          <w:szCs w:val="23"/>
        </w:rPr>
        <w:t xml:space="preserve"> combustion of </w:t>
      </w:r>
      <w:r w:rsidR="007B60D2">
        <w:rPr>
          <w:sz w:val="23"/>
          <w:szCs w:val="23"/>
        </w:rPr>
        <w:t xml:space="preserve">No. 2. fuel oil results in significantly lower ash and particulate emissions, </w:t>
      </w:r>
      <w:r w:rsidR="007B60D2" w:rsidRPr="00814EBD">
        <w:rPr>
          <w:sz w:val="23"/>
          <w:szCs w:val="23"/>
        </w:rPr>
        <w:t>fuel burners and combustion areas require</w:t>
      </w:r>
      <w:r w:rsidR="007B60D2">
        <w:rPr>
          <w:sz w:val="23"/>
          <w:szCs w:val="23"/>
        </w:rPr>
        <w:t xml:space="preserve"> far</w:t>
      </w:r>
      <w:r w:rsidR="007B60D2" w:rsidRPr="00814EBD">
        <w:rPr>
          <w:sz w:val="23"/>
          <w:szCs w:val="23"/>
        </w:rPr>
        <w:t xml:space="preserve"> less frequent maintenance and cleaning.</w:t>
      </w:r>
      <w:r w:rsidR="007B60D2">
        <w:rPr>
          <w:rStyle w:val="FootnoteReference"/>
          <w:sz w:val="23"/>
          <w:szCs w:val="23"/>
        </w:rPr>
        <w:footnoteReference w:id="28"/>
      </w:r>
    </w:p>
    <w:p w14:paraId="6555D361" w14:textId="7E877AE9" w:rsidR="00FE1CF0" w:rsidRPr="00FE1CF0" w:rsidRDefault="001723F4" w:rsidP="00CF32E2">
      <w:pPr>
        <w:spacing w:line="500" w:lineRule="auto"/>
        <w:jc w:val="both"/>
        <w:rPr>
          <w:sz w:val="23"/>
          <w:szCs w:val="23"/>
        </w:rPr>
      </w:pPr>
      <w:r w:rsidRPr="001723F4">
        <w:rPr>
          <w:sz w:val="23"/>
          <w:szCs w:val="23"/>
        </w:rPr>
        <w:t>A study of six cities found that an average of 3% fewer people died for every reduction of one micro-g/m3 in the average levels of PM2.5 fine particulate matter, meaning that each micro-g/m3 reduction is approximate to saving 75,000 people per year in the United States (U.S.).</w:t>
      </w:r>
      <w:r w:rsidR="009B6A0F">
        <w:rPr>
          <w:rStyle w:val="FootnoteReference"/>
          <w:sz w:val="23"/>
          <w:szCs w:val="23"/>
        </w:rPr>
        <w:footnoteReference w:id="29"/>
      </w:r>
      <w:r w:rsidRPr="001723F4">
        <w:rPr>
          <w:sz w:val="23"/>
          <w:szCs w:val="23"/>
        </w:rPr>
        <w:t xml:space="preserve">  </w:t>
      </w:r>
      <w:r w:rsidRPr="00FE1CF0">
        <w:rPr>
          <w:sz w:val="23"/>
          <w:szCs w:val="23"/>
        </w:rPr>
        <w:t xml:space="preserve">In </w:t>
      </w:r>
      <w:r>
        <w:rPr>
          <w:sz w:val="23"/>
          <w:szCs w:val="23"/>
        </w:rPr>
        <w:t>New York</w:t>
      </w:r>
      <w:r w:rsidRPr="00FE1CF0">
        <w:rPr>
          <w:sz w:val="23"/>
          <w:szCs w:val="23"/>
        </w:rPr>
        <w:t xml:space="preserve"> City, fine particulate matter </w:t>
      </w:r>
      <w:r>
        <w:rPr>
          <w:sz w:val="23"/>
          <w:szCs w:val="23"/>
        </w:rPr>
        <w:t>is estimated to cause</w:t>
      </w:r>
      <w:r w:rsidRPr="00FE1CF0">
        <w:rPr>
          <w:sz w:val="23"/>
          <w:szCs w:val="23"/>
        </w:rPr>
        <w:t xml:space="preserve"> more than 2,000 deaths, 2,000 hospital admissions for lung and heart conditions</w:t>
      </w:r>
      <w:r w:rsidR="009B6A0F">
        <w:rPr>
          <w:sz w:val="23"/>
          <w:szCs w:val="23"/>
        </w:rPr>
        <w:t xml:space="preserve"> annually</w:t>
      </w:r>
      <w:r w:rsidRPr="009A2F5E">
        <w:rPr>
          <w:sz w:val="23"/>
          <w:szCs w:val="23"/>
        </w:rPr>
        <w:t>.</w:t>
      </w:r>
      <w:r w:rsidR="009B6A0F">
        <w:rPr>
          <w:rStyle w:val="FootnoteReference"/>
          <w:sz w:val="23"/>
          <w:szCs w:val="23"/>
        </w:rPr>
        <w:footnoteReference w:id="30"/>
      </w:r>
    </w:p>
    <w:tbl>
      <w:tblPr>
        <w:tblW w:w="0" w:type="auto"/>
        <w:tblInd w:w="10" w:type="dxa"/>
        <w:tblLayout w:type="fixed"/>
        <w:tblCellMar>
          <w:left w:w="0" w:type="dxa"/>
          <w:right w:w="0" w:type="dxa"/>
        </w:tblCellMar>
        <w:tblLook w:val="04A0" w:firstRow="1" w:lastRow="0" w:firstColumn="1" w:lastColumn="0" w:noHBand="0" w:noVBand="1"/>
      </w:tblPr>
      <w:tblGrid>
        <w:gridCol w:w="2560"/>
        <w:gridCol w:w="1720"/>
        <w:gridCol w:w="960"/>
        <w:gridCol w:w="960"/>
        <w:gridCol w:w="300"/>
        <w:gridCol w:w="660"/>
        <w:gridCol w:w="960"/>
      </w:tblGrid>
      <w:tr w:rsidR="00533F1B" w14:paraId="183D1000" w14:textId="77777777" w:rsidTr="00703A04">
        <w:trPr>
          <w:trHeight w:val="269"/>
        </w:trPr>
        <w:tc>
          <w:tcPr>
            <w:tcW w:w="2560" w:type="dxa"/>
            <w:vAlign w:val="bottom"/>
          </w:tcPr>
          <w:p w14:paraId="30E00058" w14:textId="77777777" w:rsidR="00533F1B" w:rsidRDefault="00533F1B" w:rsidP="00703A04">
            <w:pPr>
              <w:rPr>
                <w:sz w:val="23"/>
                <w:szCs w:val="23"/>
              </w:rPr>
            </w:pPr>
          </w:p>
        </w:tc>
        <w:tc>
          <w:tcPr>
            <w:tcW w:w="1720" w:type="dxa"/>
            <w:vAlign w:val="bottom"/>
          </w:tcPr>
          <w:p w14:paraId="1C79EF5C" w14:textId="77777777" w:rsidR="00533F1B" w:rsidRDefault="00533F1B" w:rsidP="00076C27">
            <w:pPr>
              <w:ind w:firstLine="0"/>
              <w:rPr>
                <w:sz w:val="23"/>
                <w:szCs w:val="23"/>
              </w:rPr>
            </w:pPr>
          </w:p>
        </w:tc>
        <w:tc>
          <w:tcPr>
            <w:tcW w:w="3840" w:type="dxa"/>
            <w:gridSpan w:val="5"/>
            <w:vAlign w:val="bottom"/>
          </w:tcPr>
          <w:p w14:paraId="0CE06987" w14:textId="49B3E902" w:rsidR="00533F1B" w:rsidRDefault="00533F1B" w:rsidP="00533F1B">
            <w:pPr>
              <w:ind w:right="250" w:firstLine="0"/>
              <w:rPr>
                <w:sz w:val="20"/>
                <w:szCs w:val="20"/>
              </w:rPr>
            </w:pPr>
            <w:r>
              <w:rPr>
                <w:rFonts w:ascii="Calibri" w:eastAsia="Calibri" w:hAnsi="Calibri" w:cs="Calibri"/>
                <w:b/>
                <w:bCs/>
                <w:sz w:val="22"/>
                <w:szCs w:val="22"/>
              </w:rPr>
              <w:t>Emissions Per Unit of Energy Input</w:t>
            </w:r>
          </w:p>
        </w:tc>
      </w:tr>
      <w:tr w:rsidR="00533F1B" w14:paraId="1F2E0247" w14:textId="77777777" w:rsidTr="00703A04">
        <w:trPr>
          <w:trHeight w:val="310"/>
        </w:trPr>
        <w:tc>
          <w:tcPr>
            <w:tcW w:w="2560" w:type="dxa"/>
            <w:vAlign w:val="bottom"/>
          </w:tcPr>
          <w:p w14:paraId="799B8D10" w14:textId="77777777" w:rsidR="00533F1B" w:rsidRDefault="00533F1B" w:rsidP="00703A04">
            <w:pPr>
              <w:ind w:left="40"/>
              <w:rPr>
                <w:sz w:val="20"/>
                <w:szCs w:val="20"/>
              </w:rPr>
            </w:pPr>
            <w:r>
              <w:rPr>
                <w:rFonts w:ascii="Calibri" w:eastAsia="Calibri" w:hAnsi="Calibri" w:cs="Calibri"/>
                <w:b/>
                <w:bCs/>
                <w:sz w:val="22"/>
                <w:szCs w:val="22"/>
              </w:rPr>
              <w:t>Fuel Type</w:t>
            </w:r>
          </w:p>
        </w:tc>
        <w:tc>
          <w:tcPr>
            <w:tcW w:w="1720" w:type="dxa"/>
            <w:vAlign w:val="bottom"/>
          </w:tcPr>
          <w:p w14:paraId="5F7FA070" w14:textId="77777777" w:rsidR="00533F1B" w:rsidRDefault="00533F1B" w:rsidP="00703A04">
            <w:pPr>
              <w:ind w:left="20"/>
              <w:rPr>
                <w:sz w:val="20"/>
                <w:szCs w:val="20"/>
              </w:rPr>
            </w:pPr>
            <w:r>
              <w:rPr>
                <w:rFonts w:ascii="Calibri" w:eastAsia="Calibri" w:hAnsi="Calibri" w:cs="Calibri"/>
                <w:b/>
                <w:bCs/>
                <w:sz w:val="22"/>
                <w:szCs w:val="22"/>
              </w:rPr>
              <w:t>Unit</w:t>
            </w:r>
          </w:p>
        </w:tc>
        <w:tc>
          <w:tcPr>
            <w:tcW w:w="960" w:type="dxa"/>
            <w:vAlign w:val="bottom"/>
          </w:tcPr>
          <w:p w14:paraId="3E3ACBD1" w14:textId="4F717FB7" w:rsidR="00533F1B" w:rsidRDefault="00533F1B" w:rsidP="00533F1B">
            <w:pPr>
              <w:ind w:right="230" w:firstLine="0"/>
              <w:rPr>
                <w:sz w:val="20"/>
                <w:szCs w:val="20"/>
              </w:rPr>
            </w:pPr>
            <w:r>
              <w:rPr>
                <w:rFonts w:ascii="Calibri" w:eastAsia="Calibri" w:hAnsi="Calibri" w:cs="Calibri"/>
                <w:b/>
                <w:bCs/>
                <w:sz w:val="22"/>
                <w:szCs w:val="22"/>
              </w:rPr>
              <w:t>PM2.5</w:t>
            </w:r>
          </w:p>
        </w:tc>
        <w:tc>
          <w:tcPr>
            <w:tcW w:w="960" w:type="dxa"/>
            <w:vAlign w:val="bottom"/>
          </w:tcPr>
          <w:p w14:paraId="70A9F6AD" w14:textId="3ABEFBC0" w:rsidR="00533F1B" w:rsidRDefault="00533F1B" w:rsidP="00703A04">
            <w:pPr>
              <w:ind w:right="430"/>
              <w:jc w:val="right"/>
              <w:rPr>
                <w:sz w:val="20"/>
                <w:szCs w:val="20"/>
              </w:rPr>
            </w:pPr>
            <w:r>
              <w:rPr>
                <w:rFonts w:ascii="Calibri" w:eastAsia="Calibri" w:hAnsi="Calibri" w:cs="Calibri"/>
                <w:b/>
                <w:bCs/>
                <w:sz w:val="22"/>
                <w:szCs w:val="22"/>
              </w:rPr>
              <w:t xml:space="preserve">  NOx</w:t>
            </w:r>
          </w:p>
        </w:tc>
        <w:tc>
          <w:tcPr>
            <w:tcW w:w="300" w:type="dxa"/>
            <w:vAlign w:val="bottom"/>
          </w:tcPr>
          <w:p w14:paraId="43693E50" w14:textId="7F6EA0BE" w:rsidR="00533F1B" w:rsidRDefault="00533F1B" w:rsidP="00533F1B">
            <w:pPr>
              <w:ind w:firstLine="0"/>
              <w:rPr>
                <w:sz w:val="20"/>
                <w:szCs w:val="20"/>
              </w:rPr>
            </w:pPr>
            <w:r>
              <w:rPr>
                <w:rFonts w:ascii="Calibri" w:eastAsia="Calibri" w:hAnsi="Calibri" w:cs="Calibri"/>
                <w:b/>
                <w:bCs/>
                <w:w w:val="97"/>
                <w:sz w:val="22"/>
                <w:szCs w:val="22"/>
              </w:rPr>
              <w:t>NO</w:t>
            </w:r>
          </w:p>
        </w:tc>
        <w:tc>
          <w:tcPr>
            <w:tcW w:w="660" w:type="dxa"/>
            <w:vAlign w:val="bottom"/>
          </w:tcPr>
          <w:p w14:paraId="37885975" w14:textId="77777777" w:rsidR="00533F1B" w:rsidRDefault="00533F1B" w:rsidP="00703A04"/>
        </w:tc>
        <w:tc>
          <w:tcPr>
            <w:tcW w:w="960" w:type="dxa"/>
            <w:vAlign w:val="bottom"/>
          </w:tcPr>
          <w:p w14:paraId="04DCA18B" w14:textId="77777777" w:rsidR="00533F1B" w:rsidRDefault="00533F1B" w:rsidP="00533F1B">
            <w:pPr>
              <w:ind w:right="450" w:firstLine="0"/>
              <w:rPr>
                <w:sz w:val="20"/>
                <w:szCs w:val="20"/>
              </w:rPr>
            </w:pPr>
            <w:r>
              <w:rPr>
                <w:rFonts w:ascii="Calibri" w:eastAsia="Calibri" w:hAnsi="Calibri" w:cs="Calibri"/>
                <w:b/>
                <w:bCs/>
                <w:sz w:val="22"/>
                <w:szCs w:val="22"/>
              </w:rPr>
              <w:t>SO2</w:t>
            </w:r>
          </w:p>
        </w:tc>
      </w:tr>
      <w:tr w:rsidR="00533F1B" w14:paraId="52B18C2C" w14:textId="77777777" w:rsidTr="00703A04">
        <w:trPr>
          <w:trHeight w:val="44"/>
        </w:trPr>
        <w:tc>
          <w:tcPr>
            <w:tcW w:w="2560" w:type="dxa"/>
            <w:tcBorders>
              <w:bottom w:val="single" w:sz="8" w:space="0" w:color="auto"/>
            </w:tcBorders>
            <w:vAlign w:val="bottom"/>
          </w:tcPr>
          <w:p w14:paraId="431A1AC9" w14:textId="77777777" w:rsidR="00533F1B" w:rsidRDefault="00533F1B" w:rsidP="00703A04">
            <w:pPr>
              <w:rPr>
                <w:sz w:val="3"/>
                <w:szCs w:val="3"/>
              </w:rPr>
            </w:pPr>
          </w:p>
        </w:tc>
        <w:tc>
          <w:tcPr>
            <w:tcW w:w="1720" w:type="dxa"/>
            <w:tcBorders>
              <w:bottom w:val="single" w:sz="8" w:space="0" w:color="auto"/>
            </w:tcBorders>
            <w:vAlign w:val="bottom"/>
          </w:tcPr>
          <w:p w14:paraId="5B826550" w14:textId="77777777" w:rsidR="00533F1B" w:rsidRDefault="00533F1B" w:rsidP="00703A04">
            <w:pPr>
              <w:rPr>
                <w:sz w:val="3"/>
                <w:szCs w:val="3"/>
              </w:rPr>
            </w:pPr>
          </w:p>
        </w:tc>
        <w:tc>
          <w:tcPr>
            <w:tcW w:w="960" w:type="dxa"/>
            <w:tcBorders>
              <w:bottom w:val="single" w:sz="8" w:space="0" w:color="auto"/>
            </w:tcBorders>
            <w:vAlign w:val="bottom"/>
          </w:tcPr>
          <w:p w14:paraId="3475952A" w14:textId="77777777" w:rsidR="00533F1B" w:rsidRDefault="00533F1B" w:rsidP="00703A04">
            <w:pPr>
              <w:rPr>
                <w:sz w:val="3"/>
                <w:szCs w:val="3"/>
              </w:rPr>
            </w:pPr>
          </w:p>
        </w:tc>
        <w:tc>
          <w:tcPr>
            <w:tcW w:w="960" w:type="dxa"/>
            <w:tcBorders>
              <w:bottom w:val="single" w:sz="8" w:space="0" w:color="auto"/>
            </w:tcBorders>
            <w:vAlign w:val="bottom"/>
          </w:tcPr>
          <w:p w14:paraId="1DE843B4" w14:textId="77777777" w:rsidR="00533F1B" w:rsidRDefault="00533F1B" w:rsidP="00703A04">
            <w:pPr>
              <w:rPr>
                <w:sz w:val="3"/>
                <w:szCs w:val="3"/>
              </w:rPr>
            </w:pPr>
          </w:p>
        </w:tc>
        <w:tc>
          <w:tcPr>
            <w:tcW w:w="300" w:type="dxa"/>
            <w:tcBorders>
              <w:bottom w:val="single" w:sz="8" w:space="0" w:color="auto"/>
            </w:tcBorders>
            <w:vAlign w:val="bottom"/>
          </w:tcPr>
          <w:p w14:paraId="727A02E4" w14:textId="77777777" w:rsidR="00533F1B" w:rsidRDefault="00533F1B" w:rsidP="00703A04">
            <w:pPr>
              <w:rPr>
                <w:sz w:val="3"/>
                <w:szCs w:val="3"/>
              </w:rPr>
            </w:pPr>
          </w:p>
        </w:tc>
        <w:tc>
          <w:tcPr>
            <w:tcW w:w="660" w:type="dxa"/>
            <w:tcBorders>
              <w:bottom w:val="single" w:sz="8" w:space="0" w:color="auto"/>
            </w:tcBorders>
            <w:vAlign w:val="bottom"/>
          </w:tcPr>
          <w:p w14:paraId="4DCDCF00" w14:textId="77777777" w:rsidR="00533F1B" w:rsidRDefault="00533F1B" w:rsidP="00703A04">
            <w:pPr>
              <w:rPr>
                <w:sz w:val="3"/>
                <w:szCs w:val="3"/>
              </w:rPr>
            </w:pPr>
          </w:p>
        </w:tc>
        <w:tc>
          <w:tcPr>
            <w:tcW w:w="960" w:type="dxa"/>
            <w:tcBorders>
              <w:bottom w:val="single" w:sz="8" w:space="0" w:color="auto"/>
            </w:tcBorders>
            <w:vAlign w:val="bottom"/>
          </w:tcPr>
          <w:p w14:paraId="6B8B1BAC" w14:textId="77777777" w:rsidR="00533F1B" w:rsidRDefault="00533F1B" w:rsidP="00703A04">
            <w:pPr>
              <w:rPr>
                <w:sz w:val="3"/>
                <w:szCs w:val="3"/>
              </w:rPr>
            </w:pPr>
          </w:p>
        </w:tc>
      </w:tr>
      <w:tr w:rsidR="00533F1B" w14:paraId="02C1EEA4" w14:textId="77777777" w:rsidTr="00703A04">
        <w:trPr>
          <w:trHeight w:val="264"/>
        </w:trPr>
        <w:tc>
          <w:tcPr>
            <w:tcW w:w="2560" w:type="dxa"/>
            <w:tcBorders>
              <w:left w:val="single" w:sz="8" w:space="0" w:color="auto"/>
              <w:right w:val="single" w:sz="8" w:space="0" w:color="auto"/>
            </w:tcBorders>
            <w:vAlign w:val="bottom"/>
          </w:tcPr>
          <w:p w14:paraId="005B430A" w14:textId="77777777" w:rsidR="00533F1B" w:rsidRDefault="00533F1B" w:rsidP="00076C27">
            <w:pPr>
              <w:spacing w:line="265" w:lineRule="exact"/>
              <w:ind w:firstLine="0"/>
              <w:rPr>
                <w:sz w:val="20"/>
                <w:szCs w:val="20"/>
              </w:rPr>
            </w:pPr>
            <w:r>
              <w:rPr>
                <w:rFonts w:ascii="Calibri" w:eastAsia="Calibri" w:hAnsi="Calibri" w:cs="Calibri"/>
                <w:sz w:val="22"/>
                <w:szCs w:val="22"/>
              </w:rPr>
              <w:t>#6 Oil</w:t>
            </w:r>
          </w:p>
        </w:tc>
        <w:tc>
          <w:tcPr>
            <w:tcW w:w="1720" w:type="dxa"/>
            <w:tcBorders>
              <w:right w:val="single" w:sz="8" w:space="0" w:color="auto"/>
            </w:tcBorders>
            <w:vAlign w:val="bottom"/>
          </w:tcPr>
          <w:p w14:paraId="48277BF2"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2DCADE4A" w14:textId="77777777" w:rsidR="00533F1B" w:rsidRDefault="00533F1B" w:rsidP="00703A04">
            <w:pPr>
              <w:spacing w:line="265" w:lineRule="exact"/>
              <w:jc w:val="right"/>
              <w:rPr>
                <w:sz w:val="20"/>
                <w:szCs w:val="20"/>
              </w:rPr>
            </w:pPr>
            <w:r>
              <w:rPr>
                <w:rFonts w:ascii="Calibri" w:eastAsia="Calibri" w:hAnsi="Calibri" w:cs="Calibri"/>
                <w:sz w:val="22"/>
                <w:szCs w:val="22"/>
              </w:rPr>
              <w:t>0.0320</w:t>
            </w:r>
          </w:p>
        </w:tc>
        <w:tc>
          <w:tcPr>
            <w:tcW w:w="960" w:type="dxa"/>
            <w:tcBorders>
              <w:right w:val="single" w:sz="8" w:space="0" w:color="auto"/>
            </w:tcBorders>
            <w:vAlign w:val="bottom"/>
          </w:tcPr>
          <w:p w14:paraId="5ABE89E8" w14:textId="77777777" w:rsidR="00533F1B" w:rsidRDefault="00533F1B" w:rsidP="00703A04">
            <w:pPr>
              <w:spacing w:line="265" w:lineRule="exact"/>
              <w:jc w:val="right"/>
              <w:rPr>
                <w:sz w:val="20"/>
                <w:szCs w:val="20"/>
              </w:rPr>
            </w:pPr>
            <w:r>
              <w:rPr>
                <w:rFonts w:ascii="Calibri" w:eastAsia="Calibri" w:hAnsi="Calibri" w:cs="Calibri"/>
                <w:sz w:val="22"/>
                <w:szCs w:val="22"/>
              </w:rPr>
              <w:t>0.3667</w:t>
            </w:r>
          </w:p>
        </w:tc>
        <w:tc>
          <w:tcPr>
            <w:tcW w:w="300" w:type="dxa"/>
            <w:vAlign w:val="bottom"/>
          </w:tcPr>
          <w:p w14:paraId="5ABD7EFE" w14:textId="77777777" w:rsidR="00533F1B" w:rsidRDefault="00533F1B" w:rsidP="00703A04"/>
        </w:tc>
        <w:tc>
          <w:tcPr>
            <w:tcW w:w="660" w:type="dxa"/>
            <w:tcBorders>
              <w:right w:val="single" w:sz="8" w:space="0" w:color="auto"/>
            </w:tcBorders>
            <w:vAlign w:val="bottom"/>
          </w:tcPr>
          <w:p w14:paraId="32BDBDD3" w14:textId="77777777" w:rsidR="00533F1B" w:rsidRDefault="00533F1B" w:rsidP="00703A04">
            <w:pPr>
              <w:spacing w:line="265" w:lineRule="exact"/>
              <w:jc w:val="right"/>
              <w:rPr>
                <w:sz w:val="20"/>
                <w:szCs w:val="20"/>
              </w:rPr>
            </w:pPr>
            <w:r>
              <w:rPr>
                <w:rFonts w:ascii="Calibri" w:eastAsia="Calibri" w:hAnsi="Calibri" w:cs="Calibri"/>
                <w:w w:val="97"/>
                <w:sz w:val="22"/>
                <w:szCs w:val="22"/>
              </w:rPr>
              <w:t>0.0333</w:t>
            </w:r>
          </w:p>
        </w:tc>
        <w:tc>
          <w:tcPr>
            <w:tcW w:w="960" w:type="dxa"/>
            <w:tcBorders>
              <w:right w:val="single" w:sz="8" w:space="0" w:color="auto"/>
            </w:tcBorders>
            <w:vAlign w:val="bottom"/>
          </w:tcPr>
          <w:p w14:paraId="3428228B" w14:textId="77777777" w:rsidR="00533F1B" w:rsidRDefault="00533F1B" w:rsidP="00703A04">
            <w:pPr>
              <w:spacing w:line="265" w:lineRule="exact"/>
              <w:jc w:val="right"/>
              <w:rPr>
                <w:sz w:val="20"/>
                <w:szCs w:val="20"/>
              </w:rPr>
            </w:pPr>
            <w:r>
              <w:rPr>
                <w:rFonts w:ascii="Calibri" w:eastAsia="Calibri" w:hAnsi="Calibri" w:cs="Calibri"/>
                <w:sz w:val="22"/>
                <w:szCs w:val="22"/>
              </w:rPr>
              <w:t>0.3140</w:t>
            </w:r>
          </w:p>
        </w:tc>
      </w:tr>
      <w:tr w:rsidR="00533F1B" w14:paraId="62773A69"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64ECA945"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6626B5E6"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761D36BB"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59C99FA4" w14:textId="77777777" w:rsidR="00533F1B" w:rsidRDefault="00533F1B" w:rsidP="00703A04">
            <w:pPr>
              <w:rPr>
                <w:sz w:val="3"/>
                <w:szCs w:val="3"/>
              </w:rPr>
            </w:pPr>
          </w:p>
        </w:tc>
        <w:tc>
          <w:tcPr>
            <w:tcW w:w="300" w:type="dxa"/>
            <w:tcBorders>
              <w:bottom w:val="single" w:sz="8" w:space="0" w:color="auto"/>
            </w:tcBorders>
            <w:vAlign w:val="bottom"/>
          </w:tcPr>
          <w:p w14:paraId="26FE2C39"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7FF351C8"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34956602" w14:textId="77777777" w:rsidR="00533F1B" w:rsidRDefault="00533F1B" w:rsidP="00703A04">
            <w:pPr>
              <w:rPr>
                <w:sz w:val="3"/>
                <w:szCs w:val="3"/>
              </w:rPr>
            </w:pPr>
          </w:p>
        </w:tc>
      </w:tr>
      <w:tr w:rsidR="00533F1B" w14:paraId="31142FFF" w14:textId="77777777" w:rsidTr="00703A04">
        <w:trPr>
          <w:trHeight w:val="264"/>
        </w:trPr>
        <w:tc>
          <w:tcPr>
            <w:tcW w:w="2560" w:type="dxa"/>
            <w:tcBorders>
              <w:left w:val="single" w:sz="8" w:space="0" w:color="auto"/>
              <w:right w:val="single" w:sz="8" w:space="0" w:color="auto"/>
            </w:tcBorders>
            <w:vAlign w:val="bottom"/>
          </w:tcPr>
          <w:p w14:paraId="1308A643" w14:textId="77777777" w:rsidR="00533F1B" w:rsidRDefault="00533F1B" w:rsidP="00076C27">
            <w:pPr>
              <w:spacing w:line="265" w:lineRule="exact"/>
              <w:ind w:firstLine="0"/>
              <w:rPr>
                <w:sz w:val="20"/>
                <w:szCs w:val="20"/>
              </w:rPr>
            </w:pPr>
            <w:r>
              <w:rPr>
                <w:rFonts w:ascii="Calibri" w:eastAsia="Calibri" w:hAnsi="Calibri" w:cs="Calibri"/>
                <w:sz w:val="22"/>
                <w:szCs w:val="22"/>
              </w:rPr>
              <w:t>Heavy #4 Oil</w:t>
            </w:r>
          </w:p>
        </w:tc>
        <w:tc>
          <w:tcPr>
            <w:tcW w:w="1720" w:type="dxa"/>
            <w:tcBorders>
              <w:right w:val="single" w:sz="8" w:space="0" w:color="auto"/>
            </w:tcBorders>
            <w:vAlign w:val="bottom"/>
          </w:tcPr>
          <w:p w14:paraId="4DDF2331"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0455FA40" w14:textId="77777777" w:rsidR="00533F1B" w:rsidRDefault="00533F1B" w:rsidP="00703A04">
            <w:pPr>
              <w:spacing w:line="265" w:lineRule="exact"/>
              <w:jc w:val="right"/>
              <w:rPr>
                <w:sz w:val="20"/>
                <w:szCs w:val="20"/>
              </w:rPr>
            </w:pPr>
            <w:r>
              <w:rPr>
                <w:rFonts w:ascii="Calibri" w:eastAsia="Calibri" w:hAnsi="Calibri" w:cs="Calibri"/>
                <w:sz w:val="22"/>
                <w:szCs w:val="22"/>
              </w:rPr>
              <w:t>0.0247</w:t>
            </w:r>
          </w:p>
        </w:tc>
        <w:tc>
          <w:tcPr>
            <w:tcW w:w="960" w:type="dxa"/>
            <w:tcBorders>
              <w:right w:val="single" w:sz="8" w:space="0" w:color="auto"/>
            </w:tcBorders>
            <w:vAlign w:val="bottom"/>
          </w:tcPr>
          <w:p w14:paraId="716E2EDB" w14:textId="77777777" w:rsidR="00533F1B" w:rsidRDefault="00533F1B" w:rsidP="00703A04">
            <w:pPr>
              <w:spacing w:line="265" w:lineRule="exact"/>
              <w:jc w:val="right"/>
              <w:rPr>
                <w:sz w:val="20"/>
                <w:szCs w:val="20"/>
              </w:rPr>
            </w:pPr>
            <w:r>
              <w:rPr>
                <w:rFonts w:ascii="Calibri" w:eastAsia="Calibri" w:hAnsi="Calibri" w:cs="Calibri"/>
                <w:sz w:val="22"/>
                <w:szCs w:val="22"/>
              </w:rPr>
              <w:t>0.2883</w:t>
            </w:r>
          </w:p>
        </w:tc>
        <w:tc>
          <w:tcPr>
            <w:tcW w:w="300" w:type="dxa"/>
            <w:vAlign w:val="bottom"/>
          </w:tcPr>
          <w:p w14:paraId="2B087DF2" w14:textId="77777777" w:rsidR="00533F1B" w:rsidRDefault="00533F1B" w:rsidP="00703A04"/>
        </w:tc>
        <w:tc>
          <w:tcPr>
            <w:tcW w:w="660" w:type="dxa"/>
            <w:tcBorders>
              <w:right w:val="single" w:sz="8" w:space="0" w:color="auto"/>
            </w:tcBorders>
            <w:vAlign w:val="bottom"/>
          </w:tcPr>
          <w:p w14:paraId="7FD48673" w14:textId="77777777" w:rsidR="00533F1B" w:rsidRDefault="00533F1B" w:rsidP="00703A04">
            <w:pPr>
              <w:spacing w:line="265" w:lineRule="exact"/>
              <w:jc w:val="right"/>
              <w:rPr>
                <w:sz w:val="20"/>
                <w:szCs w:val="20"/>
              </w:rPr>
            </w:pPr>
            <w:r>
              <w:rPr>
                <w:rFonts w:ascii="Calibri" w:eastAsia="Calibri" w:hAnsi="Calibri" w:cs="Calibri"/>
                <w:w w:val="97"/>
                <w:sz w:val="22"/>
                <w:szCs w:val="22"/>
              </w:rPr>
              <w:t>0.0342</w:t>
            </w:r>
          </w:p>
        </w:tc>
        <w:tc>
          <w:tcPr>
            <w:tcW w:w="960" w:type="dxa"/>
            <w:tcBorders>
              <w:right w:val="single" w:sz="8" w:space="0" w:color="auto"/>
            </w:tcBorders>
            <w:vAlign w:val="bottom"/>
          </w:tcPr>
          <w:p w14:paraId="1736EC4E" w14:textId="77777777" w:rsidR="00533F1B" w:rsidRDefault="00533F1B" w:rsidP="00703A04">
            <w:pPr>
              <w:spacing w:line="265" w:lineRule="exact"/>
              <w:jc w:val="right"/>
              <w:rPr>
                <w:sz w:val="20"/>
                <w:szCs w:val="20"/>
              </w:rPr>
            </w:pPr>
            <w:r>
              <w:rPr>
                <w:rFonts w:ascii="Calibri" w:eastAsia="Calibri" w:hAnsi="Calibri" w:cs="Calibri"/>
                <w:sz w:val="22"/>
                <w:szCs w:val="22"/>
              </w:rPr>
              <w:t>0.2751</w:t>
            </w:r>
          </w:p>
        </w:tc>
      </w:tr>
      <w:tr w:rsidR="00533F1B" w14:paraId="5CA26D8C"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6E82244C"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11B76F93"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45400689"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44478F16" w14:textId="77777777" w:rsidR="00533F1B" w:rsidRDefault="00533F1B" w:rsidP="00703A04">
            <w:pPr>
              <w:rPr>
                <w:sz w:val="3"/>
                <w:szCs w:val="3"/>
              </w:rPr>
            </w:pPr>
          </w:p>
        </w:tc>
        <w:tc>
          <w:tcPr>
            <w:tcW w:w="300" w:type="dxa"/>
            <w:tcBorders>
              <w:bottom w:val="single" w:sz="8" w:space="0" w:color="auto"/>
            </w:tcBorders>
            <w:vAlign w:val="bottom"/>
          </w:tcPr>
          <w:p w14:paraId="08490641"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7481951F"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2A42B83B" w14:textId="77777777" w:rsidR="00533F1B" w:rsidRDefault="00533F1B" w:rsidP="00703A04">
            <w:pPr>
              <w:rPr>
                <w:sz w:val="3"/>
                <w:szCs w:val="3"/>
              </w:rPr>
            </w:pPr>
          </w:p>
        </w:tc>
      </w:tr>
      <w:tr w:rsidR="00533F1B" w14:paraId="3AF96AA4" w14:textId="77777777" w:rsidTr="00703A04">
        <w:trPr>
          <w:trHeight w:val="264"/>
        </w:trPr>
        <w:tc>
          <w:tcPr>
            <w:tcW w:w="2560" w:type="dxa"/>
            <w:tcBorders>
              <w:left w:val="single" w:sz="8" w:space="0" w:color="auto"/>
              <w:right w:val="single" w:sz="8" w:space="0" w:color="auto"/>
            </w:tcBorders>
            <w:vAlign w:val="bottom"/>
          </w:tcPr>
          <w:p w14:paraId="5E5183F3" w14:textId="77777777" w:rsidR="00533F1B" w:rsidRDefault="00533F1B" w:rsidP="00076C27">
            <w:pPr>
              <w:spacing w:line="265" w:lineRule="exact"/>
              <w:ind w:firstLine="0"/>
              <w:rPr>
                <w:sz w:val="20"/>
                <w:szCs w:val="20"/>
              </w:rPr>
            </w:pPr>
            <w:r>
              <w:rPr>
                <w:rFonts w:ascii="Calibri" w:eastAsia="Calibri" w:hAnsi="Calibri" w:cs="Calibri"/>
                <w:sz w:val="22"/>
                <w:szCs w:val="22"/>
              </w:rPr>
              <w:t>Light #4 Oil (#2 ULSD)</w:t>
            </w:r>
          </w:p>
        </w:tc>
        <w:tc>
          <w:tcPr>
            <w:tcW w:w="1720" w:type="dxa"/>
            <w:tcBorders>
              <w:right w:val="single" w:sz="8" w:space="0" w:color="auto"/>
            </w:tcBorders>
            <w:vAlign w:val="bottom"/>
          </w:tcPr>
          <w:p w14:paraId="783FF749"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48FEAEF2" w14:textId="77777777" w:rsidR="00533F1B" w:rsidRDefault="00533F1B" w:rsidP="00703A04">
            <w:pPr>
              <w:spacing w:line="265" w:lineRule="exact"/>
              <w:jc w:val="right"/>
              <w:rPr>
                <w:sz w:val="20"/>
                <w:szCs w:val="20"/>
              </w:rPr>
            </w:pPr>
            <w:r>
              <w:rPr>
                <w:rFonts w:ascii="Calibri" w:eastAsia="Calibri" w:hAnsi="Calibri" w:cs="Calibri"/>
                <w:sz w:val="22"/>
                <w:szCs w:val="22"/>
              </w:rPr>
              <w:t>0.0148</w:t>
            </w:r>
          </w:p>
        </w:tc>
        <w:tc>
          <w:tcPr>
            <w:tcW w:w="960" w:type="dxa"/>
            <w:tcBorders>
              <w:right w:val="single" w:sz="8" w:space="0" w:color="auto"/>
            </w:tcBorders>
            <w:vAlign w:val="bottom"/>
          </w:tcPr>
          <w:p w14:paraId="6D8A4477" w14:textId="77777777" w:rsidR="00533F1B" w:rsidRDefault="00533F1B" w:rsidP="00703A04">
            <w:pPr>
              <w:spacing w:line="265" w:lineRule="exact"/>
              <w:jc w:val="right"/>
              <w:rPr>
                <w:sz w:val="20"/>
                <w:szCs w:val="20"/>
              </w:rPr>
            </w:pPr>
            <w:r>
              <w:rPr>
                <w:rFonts w:ascii="Calibri" w:eastAsia="Calibri" w:hAnsi="Calibri" w:cs="Calibri"/>
                <w:sz w:val="22"/>
                <w:szCs w:val="22"/>
              </w:rPr>
              <w:t>0.2458</w:t>
            </w:r>
          </w:p>
        </w:tc>
        <w:tc>
          <w:tcPr>
            <w:tcW w:w="300" w:type="dxa"/>
            <w:vAlign w:val="bottom"/>
          </w:tcPr>
          <w:p w14:paraId="6C717F2A" w14:textId="77777777" w:rsidR="00533F1B" w:rsidRDefault="00533F1B" w:rsidP="00703A04"/>
        </w:tc>
        <w:tc>
          <w:tcPr>
            <w:tcW w:w="660" w:type="dxa"/>
            <w:tcBorders>
              <w:right w:val="single" w:sz="8" w:space="0" w:color="auto"/>
            </w:tcBorders>
            <w:vAlign w:val="bottom"/>
          </w:tcPr>
          <w:p w14:paraId="59286ADD" w14:textId="77777777" w:rsidR="00533F1B" w:rsidRDefault="00533F1B" w:rsidP="00703A04">
            <w:pPr>
              <w:spacing w:line="265" w:lineRule="exact"/>
              <w:jc w:val="right"/>
              <w:rPr>
                <w:sz w:val="20"/>
                <w:szCs w:val="20"/>
              </w:rPr>
            </w:pPr>
            <w:r>
              <w:rPr>
                <w:rFonts w:ascii="Calibri" w:eastAsia="Calibri" w:hAnsi="Calibri" w:cs="Calibri"/>
                <w:w w:val="97"/>
                <w:sz w:val="22"/>
                <w:szCs w:val="22"/>
              </w:rPr>
              <w:t>0.0346</w:t>
            </w:r>
          </w:p>
        </w:tc>
        <w:tc>
          <w:tcPr>
            <w:tcW w:w="960" w:type="dxa"/>
            <w:tcBorders>
              <w:right w:val="single" w:sz="8" w:space="0" w:color="auto"/>
            </w:tcBorders>
            <w:vAlign w:val="bottom"/>
          </w:tcPr>
          <w:p w14:paraId="7E987CD1" w14:textId="77777777" w:rsidR="00533F1B" w:rsidRDefault="00533F1B" w:rsidP="00703A04">
            <w:pPr>
              <w:spacing w:line="265" w:lineRule="exact"/>
              <w:jc w:val="right"/>
              <w:rPr>
                <w:sz w:val="20"/>
                <w:szCs w:val="20"/>
              </w:rPr>
            </w:pPr>
            <w:r>
              <w:rPr>
                <w:rFonts w:ascii="Calibri" w:eastAsia="Calibri" w:hAnsi="Calibri" w:cs="Calibri"/>
                <w:sz w:val="22"/>
                <w:szCs w:val="22"/>
              </w:rPr>
              <w:t>0.1453</w:t>
            </w:r>
          </w:p>
        </w:tc>
      </w:tr>
      <w:tr w:rsidR="00533F1B" w14:paraId="1F7D1144"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0D7CF437"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0DB1A545"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731DFFE3"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60EE8DAA" w14:textId="77777777" w:rsidR="00533F1B" w:rsidRDefault="00533F1B" w:rsidP="00703A04">
            <w:pPr>
              <w:rPr>
                <w:sz w:val="3"/>
                <w:szCs w:val="3"/>
              </w:rPr>
            </w:pPr>
          </w:p>
        </w:tc>
        <w:tc>
          <w:tcPr>
            <w:tcW w:w="300" w:type="dxa"/>
            <w:tcBorders>
              <w:bottom w:val="single" w:sz="8" w:space="0" w:color="auto"/>
            </w:tcBorders>
            <w:vAlign w:val="bottom"/>
          </w:tcPr>
          <w:p w14:paraId="3ABDA9AB"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1922E914"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6B546394" w14:textId="77777777" w:rsidR="00533F1B" w:rsidRDefault="00533F1B" w:rsidP="00703A04">
            <w:pPr>
              <w:rPr>
                <w:sz w:val="3"/>
                <w:szCs w:val="3"/>
              </w:rPr>
            </w:pPr>
          </w:p>
        </w:tc>
      </w:tr>
      <w:tr w:rsidR="00533F1B" w14:paraId="2DB82F91" w14:textId="77777777" w:rsidTr="00703A04">
        <w:trPr>
          <w:trHeight w:val="264"/>
        </w:trPr>
        <w:tc>
          <w:tcPr>
            <w:tcW w:w="2560" w:type="dxa"/>
            <w:tcBorders>
              <w:left w:val="single" w:sz="8" w:space="0" w:color="auto"/>
              <w:right w:val="single" w:sz="8" w:space="0" w:color="auto"/>
            </w:tcBorders>
            <w:vAlign w:val="bottom"/>
          </w:tcPr>
          <w:p w14:paraId="1C0C11C8" w14:textId="77777777" w:rsidR="00533F1B" w:rsidRDefault="00533F1B" w:rsidP="00076C27">
            <w:pPr>
              <w:spacing w:line="265" w:lineRule="exact"/>
              <w:ind w:firstLine="0"/>
              <w:rPr>
                <w:sz w:val="20"/>
                <w:szCs w:val="20"/>
              </w:rPr>
            </w:pPr>
            <w:r>
              <w:rPr>
                <w:rFonts w:ascii="Calibri" w:eastAsia="Calibri" w:hAnsi="Calibri" w:cs="Calibri"/>
                <w:sz w:val="22"/>
                <w:szCs w:val="22"/>
              </w:rPr>
              <w:t>#2 Oil</w:t>
            </w:r>
          </w:p>
        </w:tc>
        <w:tc>
          <w:tcPr>
            <w:tcW w:w="1720" w:type="dxa"/>
            <w:tcBorders>
              <w:right w:val="single" w:sz="8" w:space="0" w:color="auto"/>
            </w:tcBorders>
            <w:vAlign w:val="bottom"/>
          </w:tcPr>
          <w:p w14:paraId="1612E25A"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6D824F1D" w14:textId="77777777" w:rsidR="00533F1B" w:rsidRDefault="00533F1B" w:rsidP="00703A04">
            <w:pPr>
              <w:spacing w:line="265" w:lineRule="exact"/>
              <w:jc w:val="right"/>
              <w:rPr>
                <w:sz w:val="20"/>
                <w:szCs w:val="20"/>
              </w:rPr>
            </w:pPr>
            <w:r>
              <w:rPr>
                <w:rFonts w:ascii="Calibri" w:eastAsia="Calibri" w:hAnsi="Calibri" w:cs="Calibri"/>
                <w:sz w:val="22"/>
                <w:szCs w:val="22"/>
              </w:rPr>
              <w:t>0.0111</w:t>
            </w:r>
          </w:p>
        </w:tc>
        <w:tc>
          <w:tcPr>
            <w:tcW w:w="960" w:type="dxa"/>
            <w:tcBorders>
              <w:right w:val="single" w:sz="8" w:space="0" w:color="auto"/>
            </w:tcBorders>
            <w:vAlign w:val="bottom"/>
          </w:tcPr>
          <w:p w14:paraId="3B22031F" w14:textId="77777777" w:rsidR="00533F1B" w:rsidRDefault="00533F1B" w:rsidP="00703A04">
            <w:pPr>
              <w:spacing w:line="265" w:lineRule="exact"/>
              <w:jc w:val="right"/>
              <w:rPr>
                <w:sz w:val="20"/>
                <w:szCs w:val="20"/>
              </w:rPr>
            </w:pPr>
            <w:r>
              <w:rPr>
                <w:rFonts w:ascii="Calibri" w:eastAsia="Calibri" w:hAnsi="Calibri" w:cs="Calibri"/>
                <w:sz w:val="22"/>
                <w:szCs w:val="22"/>
              </w:rPr>
              <w:t>0.1429</w:t>
            </w:r>
          </w:p>
        </w:tc>
        <w:tc>
          <w:tcPr>
            <w:tcW w:w="300" w:type="dxa"/>
            <w:vAlign w:val="bottom"/>
          </w:tcPr>
          <w:p w14:paraId="22DE9235" w14:textId="77777777" w:rsidR="00533F1B" w:rsidRDefault="00533F1B" w:rsidP="00703A04"/>
        </w:tc>
        <w:tc>
          <w:tcPr>
            <w:tcW w:w="660" w:type="dxa"/>
            <w:tcBorders>
              <w:right w:val="single" w:sz="8" w:space="0" w:color="auto"/>
            </w:tcBorders>
            <w:vAlign w:val="bottom"/>
          </w:tcPr>
          <w:p w14:paraId="4F9BBBD7" w14:textId="77777777" w:rsidR="00533F1B" w:rsidRDefault="00533F1B" w:rsidP="00703A04">
            <w:pPr>
              <w:spacing w:line="265" w:lineRule="exact"/>
              <w:jc w:val="right"/>
              <w:rPr>
                <w:sz w:val="20"/>
                <w:szCs w:val="20"/>
              </w:rPr>
            </w:pPr>
            <w:r>
              <w:rPr>
                <w:rFonts w:ascii="Calibri" w:eastAsia="Calibri" w:hAnsi="Calibri" w:cs="Calibri"/>
                <w:w w:val="97"/>
                <w:sz w:val="22"/>
                <w:szCs w:val="22"/>
              </w:rPr>
              <w:t>0.0357</w:t>
            </w:r>
          </w:p>
        </w:tc>
        <w:tc>
          <w:tcPr>
            <w:tcW w:w="960" w:type="dxa"/>
            <w:tcBorders>
              <w:right w:val="single" w:sz="8" w:space="0" w:color="auto"/>
            </w:tcBorders>
            <w:vAlign w:val="bottom"/>
          </w:tcPr>
          <w:p w14:paraId="248216FA" w14:textId="77777777" w:rsidR="00533F1B" w:rsidRDefault="00533F1B" w:rsidP="00703A04">
            <w:pPr>
              <w:spacing w:line="265" w:lineRule="exact"/>
              <w:jc w:val="right"/>
              <w:rPr>
                <w:sz w:val="20"/>
                <w:szCs w:val="20"/>
              </w:rPr>
            </w:pPr>
            <w:r>
              <w:rPr>
                <w:rFonts w:ascii="Calibri" w:eastAsia="Calibri" w:hAnsi="Calibri" w:cs="Calibri"/>
                <w:sz w:val="22"/>
                <w:szCs w:val="22"/>
              </w:rPr>
              <w:t>0.2029</w:t>
            </w:r>
          </w:p>
        </w:tc>
      </w:tr>
      <w:tr w:rsidR="00533F1B" w14:paraId="027B4E9D"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0E0590BD"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068E6BF2"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20CFC8C1"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5E556389" w14:textId="77777777" w:rsidR="00533F1B" w:rsidRDefault="00533F1B" w:rsidP="00703A04">
            <w:pPr>
              <w:rPr>
                <w:sz w:val="3"/>
                <w:szCs w:val="3"/>
              </w:rPr>
            </w:pPr>
          </w:p>
        </w:tc>
        <w:tc>
          <w:tcPr>
            <w:tcW w:w="300" w:type="dxa"/>
            <w:tcBorders>
              <w:bottom w:val="single" w:sz="8" w:space="0" w:color="auto"/>
            </w:tcBorders>
            <w:vAlign w:val="bottom"/>
          </w:tcPr>
          <w:p w14:paraId="0CD86D4B"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65E586A6"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316B752F" w14:textId="77777777" w:rsidR="00533F1B" w:rsidRDefault="00533F1B" w:rsidP="00703A04">
            <w:pPr>
              <w:rPr>
                <w:sz w:val="3"/>
                <w:szCs w:val="3"/>
              </w:rPr>
            </w:pPr>
          </w:p>
        </w:tc>
      </w:tr>
      <w:tr w:rsidR="00533F1B" w14:paraId="19C45DBE" w14:textId="77777777" w:rsidTr="00703A04">
        <w:trPr>
          <w:trHeight w:val="264"/>
        </w:trPr>
        <w:tc>
          <w:tcPr>
            <w:tcW w:w="2560" w:type="dxa"/>
            <w:tcBorders>
              <w:left w:val="single" w:sz="8" w:space="0" w:color="auto"/>
              <w:right w:val="single" w:sz="8" w:space="0" w:color="auto"/>
            </w:tcBorders>
            <w:vAlign w:val="bottom"/>
          </w:tcPr>
          <w:p w14:paraId="4F839BE6" w14:textId="77777777" w:rsidR="00533F1B" w:rsidRDefault="00533F1B" w:rsidP="00076C27">
            <w:pPr>
              <w:spacing w:line="265" w:lineRule="exact"/>
              <w:ind w:firstLine="0"/>
              <w:rPr>
                <w:sz w:val="20"/>
                <w:szCs w:val="20"/>
              </w:rPr>
            </w:pPr>
            <w:r>
              <w:rPr>
                <w:rFonts w:ascii="Calibri" w:eastAsia="Calibri" w:hAnsi="Calibri" w:cs="Calibri"/>
                <w:sz w:val="22"/>
                <w:szCs w:val="22"/>
              </w:rPr>
              <w:t>#2 LS</w:t>
            </w:r>
          </w:p>
        </w:tc>
        <w:tc>
          <w:tcPr>
            <w:tcW w:w="1720" w:type="dxa"/>
            <w:tcBorders>
              <w:right w:val="single" w:sz="8" w:space="0" w:color="auto"/>
            </w:tcBorders>
            <w:vAlign w:val="bottom"/>
          </w:tcPr>
          <w:p w14:paraId="0700AF9C"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405DB11D" w14:textId="77777777" w:rsidR="00533F1B" w:rsidRDefault="00533F1B" w:rsidP="00703A04">
            <w:pPr>
              <w:spacing w:line="265" w:lineRule="exact"/>
              <w:jc w:val="right"/>
              <w:rPr>
                <w:sz w:val="20"/>
                <w:szCs w:val="20"/>
              </w:rPr>
            </w:pPr>
            <w:r>
              <w:rPr>
                <w:rFonts w:ascii="Calibri" w:eastAsia="Calibri" w:hAnsi="Calibri" w:cs="Calibri"/>
                <w:sz w:val="22"/>
                <w:szCs w:val="22"/>
              </w:rPr>
              <w:t>0.0111</w:t>
            </w:r>
          </w:p>
        </w:tc>
        <w:tc>
          <w:tcPr>
            <w:tcW w:w="960" w:type="dxa"/>
            <w:tcBorders>
              <w:right w:val="single" w:sz="8" w:space="0" w:color="auto"/>
            </w:tcBorders>
            <w:vAlign w:val="bottom"/>
          </w:tcPr>
          <w:p w14:paraId="65607D46" w14:textId="77777777" w:rsidR="00533F1B" w:rsidRDefault="00533F1B" w:rsidP="00703A04">
            <w:pPr>
              <w:spacing w:line="265" w:lineRule="exact"/>
              <w:jc w:val="right"/>
              <w:rPr>
                <w:sz w:val="20"/>
                <w:szCs w:val="20"/>
              </w:rPr>
            </w:pPr>
            <w:r>
              <w:rPr>
                <w:rFonts w:ascii="Calibri" w:eastAsia="Calibri" w:hAnsi="Calibri" w:cs="Calibri"/>
                <w:sz w:val="22"/>
                <w:szCs w:val="22"/>
              </w:rPr>
              <w:t>0.1429</w:t>
            </w:r>
          </w:p>
        </w:tc>
        <w:tc>
          <w:tcPr>
            <w:tcW w:w="300" w:type="dxa"/>
            <w:vAlign w:val="bottom"/>
          </w:tcPr>
          <w:p w14:paraId="41B2DB2B" w14:textId="77777777" w:rsidR="00533F1B" w:rsidRDefault="00533F1B" w:rsidP="00703A04"/>
        </w:tc>
        <w:tc>
          <w:tcPr>
            <w:tcW w:w="660" w:type="dxa"/>
            <w:tcBorders>
              <w:right w:val="single" w:sz="8" w:space="0" w:color="auto"/>
            </w:tcBorders>
            <w:vAlign w:val="bottom"/>
          </w:tcPr>
          <w:p w14:paraId="058EDA50" w14:textId="77777777" w:rsidR="00533F1B" w:rsidRDefault="00533F1B" w:rsidP="00703A04">
            <w:pPr>
              <w:spacing w:line="265" w:lineRule="exact"/>
              <w:jc w:val="right"/>
              <w:rPr>
                <w:sz w:val="20"/>
                <w:szCs w:val="20"/>
              </w:rPr>
            </w:pPr>
            <w:r>
              <w:rPr>
                <w:rFonts w:ascii="Calibri" w:eastAsia="Calibri" w:hAnsi="Calibri" w:cs="Calibri"/>
                <w:w w:val="97"/>
                <w:sz w:val="22"/>
                <w:szCs w:val="22"/>
              </w:rPr>
              <w:t>0.0357</w:t>
            </w:r>
          </w:p>
        </w:tc>
        <w:tc>
          <w:tcPr>
            <w:tcW w:w="960" w:type="dxa"/>
            <w:tcBorders>
              <w:right w:val="single" w:sz="8" w:space="0" w:color="auto"/>
            </w:tcBorders>
            <w:vAlign w:val="bottom"/>
          </w:tcPr>
          <w:p w14:paraId="5459F2CC" w14:textId="77777777" w:rsidR="00533F1B" w:rsidRDefault="00533F1B" w:rsidP="00703A04">
            <w:pPr>
              <w:spacing w:line="265" w:lineRule="exact"/>
              <w:jc w:val="right"/>
              <w:rPr>
                <w:sz w:val="20"/>
                <w:szCs w:val="20"/>
              </w:rPr>
            </w:pPr>
            <w:r>
              <w:rPr>
                <w:rFonts w:ascii="Calibri" w:eastAsia="Calibri" w:hAnsi="Calibri" w:cs="Calibri"/>
                <w:sz w:val="22"/>
                <w:szCs w:val="22"/>
              </w:rPr>
              <w:t>0.0507</w:t>
            </w:r>
          </w:p>
        </w:tc>
      </w:tr>
      <w:tr w:rsidR="00533F1B" w14:paraId="7F451517"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1D4D0F80"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3058744C"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4C72566F"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596ABD75" w14:textId="77777777" w:rsidR="00533F1B" w:rsidRDefault="00533F1B" w:rsidP="00703A04">
            <w:pPr>
              <w:rPr>
                <w:sz w:val="3"/>
                <w:szCs w:val="3"/>
              </w:rPr>
            </w:pPr>
          </w:p>
        </w:tc>
        <w:tc>
          <w:tcPr>
            <w:tcW w:w="300" w:type="dxa"/>
            <w:tcBorders>
              <w:bottom w:val="single" w:sz="8" w:space="0" w:color="auto"/>
            </w:tcBorders>
            <w:vAlign w:val="bottom"/>
          </w:tcPr>
          <w:p w14:paraId="6EF3293D"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0181ED0B"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706F776A" w14:textId="77777777" w:rsidR="00533F1B" w:rsidRDefault="00533F1B" w:rsidP="00703A04">
            <w:pPr>
              <w:rPr>
                <w:sz w:val="3"/>
                <w:szCs w:val="3"/>
              </w:rPr>
            </w:pPr>
          </w:p>
        </w:tc>
      </w:tr>
      <w:tr w:rsidR="00533F1B" w14:paraId="58A18F73" w14:textId="77777777" w:rsidTr="00703A04">
        <w:trPr>
          <w:trHeight w:val="264"/>
        </w:trPr>
        <w:tc>
          <w:tcPr>
            <w:tcW w:w="2560" w:type="dxa"/>
            <w:tcBorders>
              <w:left w:val="single" w:sz="8" w:space="0" w:color="auto"/>
              <w:right w:val="single" w:sz="8" w:space="0" w:color="auto"/>
            </w:tcBorders>
            <w:vAlign w:val="bottom"/>
          </w:tcPr>
          <w:p w14:paraId="18471B34" w14:textId="77777777" w:rsidR="00533F1B" w:rsidRDefault="00533F1B" w:rsidP="00076C27">
            <w:pPr>
              <w:spacing w:line="265" w:lineRule="exact"/>
              <w:ind w:firstLine="0"/>
              <w:rPr>
                <w:sz w:val="20"/>
                <w:szCs w:val="20"/>
              </w:rPr>
            </w:pPr>
            <w:r>
              <w:rPr>
                <w:rFonts w:ascii="Calibri" w:eastAsia="Calibri" w:hAnsi="Calibri" w:cs="Calibri"/>
                <w:sz w:val="22"/>
                <w:szCs w:val="22"/>
              </w:rPr>
              <w:t>#2 ULSD</w:t>
            </w:r>
          </w:p>
        </w:tc>
        <w:tc>
          <w:tcPr>
            <w:tcW w:w="1720" w:type="dxa"/>
            <w:tcBorders>
              <w:right w:val="single" w:sz="8" w:space="0" w:color="auto"/>
            </w:tcBorders>
            <w:vAlign w:val="bottom"/>
          </w:tcPr>
          <w:p w14:paraId="7AEB5980"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31D58BDF" w14:textId="77777777" w:rsidR="00533F1B" w:rsidRDefault="00533F1B" w:rsidP="00703A04">
            <w:pPr>
              <w:spacing w:line="265" w:lineRule="exact"/>
              <w:jc w:val="right"/>
              <w:rPr>
                <w:sz w:val="20"/>
                <w:szCs w:val="20"/>
              </w:rPr>
            </w:pPr>
            <w:r>
              <w:rPr>
                <w:rFonts w:ascii="Calibri" w:eastAsia="Calibri" w:hAnsi="Calibri" w:cs="Calibri"/>
                <w:sz w:val="22"/>
                <w:szCs w:val="22"/>
              </w:rPr>
              <w:t>0.0002</w:t>
            </w:r>
          </w:p>
        </w:tc>
        <w:tc>
          <w:tcPr>
            <w:tcW w:w="960" w:type="dxa"/>
            <w:tcBorders>
              <w:right w:val="single" w:sz="8" w:space="0" w:color="auto"/>
            </w:tcBorders>
            <w:vAlign w:val="bottom"/>
          </w:tcPr>
          <w:p w14:paraId="6863B3F7" w14:textId="77777777" w:rsidR="00533F1B" w:rsidRDefault="00533F1B" w:rsidP="00703A04">
            <w:pPr>
              <w:spacing w:line="265" w:lineRule="exact"/>
              <w:jc w:val="right"/>
              <w:rPr>
                <w:sz w:val="20"/>
                <w:szCs w:val="20"/>
              </w:rPr>
            </w:pPr>
            <w:r>
              <w:rPr>
                <w:rFonts w:ascii="Calibri" w:eastAsia="Calibri" w:hAnsi="Calibri" w:cs="Calibri"/>
                <w:sz w:val="22"/>
                <w:szCs w:val="22"/>
              </w:rPr>
              <w:t>0.1429</w:t>
            </w:r>
          </w:p>
        </w:tc>
        <w:tc>
          <w:tcPr>
            <w:tcW w:w="300" w:type="dxa"/>
            <w:vAlign w:val="bottom"/>
          </w:tcPr>
          <w:p w14:paraId="53FBEF49" w14:textId="77777777" w:rsidR="00533F1B" w:rsidRDefault="00533F1B" w:rsidP="00703A04"/>
        </w:tc>
        <w:tc>
          <w:tcPr>
            <w:tcW w:w="660" w:type="dxa"/>
            <w:tcBorders>
              <w:right w:val="single" w:sz="8" w:space="0" w:color="auto"/>
            </w:tcBorders>
            <w:vAlign w:val="bottom"/>
          </w:tcPr>
          <w:p w14:paraId="03179439" w14:textId="77777777" w:rsidR="00533F1B" w:rsidRDefault="00533F1B" w:rsidP="00703A04">
            <w:pPr>
              <w:spacing w:line="265" w:lineRule="exact"/>
              <w:jc w:val="right"/>
              <w:rPr>
                <w:sz w:val="20"/>
                <w:szCs w:val="20"/>
              </w:rPr>
            </w:pPr>
            <w:r>
              <w:rPr>
                <w:rFonts w:ascii="Calibri" w:eastAsia="Calibri" w:hAnsi="Calibri" w:cs="Calibri"/>
                <w:w w:val="97"/>
                <w:sz w:val="22"/>
                <w:szCs w:val="22"/>
              </w:rPr>
              <w:t>0.0357</w:t>
            </w:r>
          </w:p>
        </w:tc>
        <w:tc>
          <w:tcPr>
            <w:tcW w:w="960" w:type="dxa"/>
            <w:tcBorders>
              <w:right w:val="single" w:sz="8" w:space="0" w:color="auto"/>
            </w:tcBorders>
            <w:vAlign w:val="bottom"/>
          </w:tcPr>
          <w:p w14:paraId="3A9DF3DF" w14:textId="77777777" w:rsidR="00533F1B" w:rsidRDefault="00533F1B" w:rsidP="00703A04">
            <w:pPr>
              <w:spacing w:line="265" w:lineRule="exact"/>
              <w:jc w:val="right"/>
              <w:rPr>
                <w:sz w:val="20"/>
                <w:szCs w:val="20"/>
              </w:rPr>
            </w:pPr>
            <w:r>
              <w:rPr>
                <w:rFonts w:ascii="Calibri" w:eastAsia="Calibri" w:hAnsi="Calibri" w:cs="Calibri"/>
                <w:sz w:val="22"/>
                <w:szCs w:val="22"/>
              </w:rPr>
              <w:t>0.0015</w:t>
            </w:r>
          </w:p>
        </w:tc>
      </w:tr>
      <w:tr w:rsidR="00533F1B" w14:paraId="1A48D575" w14:textId="77777777" w:rsidTr="00703A04">
        <w:trPr>
          <w:trHeight w:val="44"/>
        </w:trPr>
        <w:tc>
          <w:tcPr>
            <w:tcW w:w="2560" w:type="dxa"/>
            <w:tcBorders>
              <w:left w:val="single" w:sz="8" w:space="0" w:color="auto"/>
              <w:bottom w:val="single" w:sz="8" w:space="0" w:color="auto"/>
              <w:right w:val="single" w:sz="8" w:space="0" w:color="auto"/>
            </w:tcBorders>
            <w:vAlign w:val="bottom"/>
          </w:tcPr>
          <w:p w14:paraId="49090CAA" w14:textId="77777777" w:rsidR="00533F1B" w:rsidRDefault="00533F1B" w:rsidP="00703A04">
            <w:pPr>
              <w:rPr>
                <w:sz w:val="3"/>
                <w:szCs w:val="3"/>
              </w:rPr>
            </w:pPr>
          </w:p>
        </w:tc>
        <w:tc>
          <w:tcPr>
            <w:tcW w:w="1720" w:type="dxa"/>
            <w:tcBorders>
              <w:bottom w:val="single" w:sz="8" w:space="0" w:color="auto"/>
              <w:right w:val="single" w:sz="8" w:space="0" w:color="auto"/>
            </w:tcBorders>
            <w:vAlign w:val="bottom"/>
          </w:tcPr>
          <w:p w14:paraId="7B37A015"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20054D07"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0668C1B7" w14:textId="77777777" w:rsidR="00533F1B" w:rsidRDefault="00533F1B" w:rsidP="00703A04">
            <w:pPr>
              <w:rPr>
                <w:sz w:val="3"/>
                <w:szCs w:val="3"/>
              </w:rPr>
            </w:pPr>
          </w:p>
        </w:tc>
        <w:tc>
          <w:tcPr>
            <w:tcW w:w="300" w:type="dxa"/>
            <w:tcBorders>
              <w:bottom w:val="single" w:sz="8" w:space="0" w:color="auto"/>
            </w:tcBorders>
            <w:vAlign w:val="bottom"/>
          </w:tcPr>
          <w:p w14:paraId="7BDC377C" w14:textId="77777777" w:rsidR="00533F1B" w:rsidRDefault="00533F1B" w:rsidP="00703A04">
            <w:pPr>
              <w:rPr>
                <w:sz w:val="3"/>
                <w:szCs w:val="3"/>
              </w:rPr>
            </w:pPr>
          </w:p>
        </w:tc>
        <w:tc>
          <w:tcPr>
            <w:tcW w:w="660" w:type="dxa"/>
            <w:tcBorders>
              <w:bottom w:val="single" w:sz="8" w:space="0" w:color="auto"/>
              <w:right w:val="single" w:sz="8" w:space="0" w:color="auto"/>
            </w:tcBorders>
            <w:vAlign w:val="bottom"/>
          </w:tcPr>
          <w:p w14:paraId="4A497E1E" w14:textId="77777777" w:rsidR="00533F1B" w:rsidRDefault="00533F1B" w:rsidP="00703A04">
            <w:pPr>
              <w:rPr>
                <w:sz w:val="3"/>
                <w:szCs w:val="3"/>
              </w:rPr>
            </w:pPr>
          </w:p>
        </w:tc>
        <w:tc>
          <w:tcPr>
            <w:tcW w:w="960" w:type="dxa"/>
            <w:tcBorders>
              <w:bottom w:val="single" w:sz="8" w:space="0" w:color="auto"/>
              <w:right w:val="single" w:sz="8" w:space="0" w:color="auto"/>
            </w:tcBorders>
            <w:vAlign w:val="bottom"/>
          </w:tcPr>
          <w:p w14:paraId="0078184C" w14:textId="77777777" w:rsidR="00533F1B" w:rsidRDefault="00533F1B" w:rsidP="00703A04">
            <w:pPr>
              <w:rPr>
                <w:sz w:val="3"/>
                <w:szCs w:val="3"/>
              </w:rPr>
            </w:pPr>
          </w:p>
        </w:tc>
      </w:tr>
      <w:tr w:rsidR="00533F1B" w14:paraId="1537F6FB" w14:textId="77777777" w:rsidTr="00703A04">
        <w:trPr>
          <w:trHeight w:val="265"/>
        </w:trPr>
        <w:tc>
          <w:tcPr>
            <w:tcW w:w="2560" w:type="dxa"/>
            <w:tcBorders>
              <w:left w:val="single" w:sz="8" w:space="0" w:color="auto"/>
              <w:right w:val="single" w:sz="8" w:space="0" w:color="auto"/>
            </w:tcBorders>
            <w:vAlign w:val="bottom"/>
          </w:tcPr>
          <w:p w14:paraId="7731A5AB" w14:textId="77777777" w:rsidR="00533F1B" w:rsidRDefault="00533F1B" w:rsidP="00076C27">
            <w:pPr>
              <w:spacing w:line="265" w:lineRule="exact"/>
              <w:ind w:firstLine="0"/>
              <w:rPr>
                <w:sz w:val="20"/>
                <w:szCs w:val="20"/>
              </w:rPr>
            </w:pPr>
            <w:r>
              <w:rPr>
                <w:rFonts w:ascii="Calibri" w:eastAsia="Calibri" w:hAnsi="Calibri" w:cs="Calibri"/>
                <w:sz w:val="22"/>
                <w:szCs w:val="22"/>
              </w:rPr>
              <w:t>Natural Gas</w:t>
            </w:r>
          </w:p>
        </w:tc>
        <w:tc>
          <w:tcPr>
            <w:tcW w:w="1720" w:type="dxa"/>
            <w:tcBorders>
              <w:right w:val="single" w:sz="8" w:space="0" w:color="auto"/>
            </w:tcBorders>
            <w:vAlign w:val="bottom"/>
          </w:tcPr>
          <w:p w14:paraId="46AD975B" w14:textId="77777777" w:rsidR="00533F1B" w:rsidRDefault="00533F1B" w:rsidP="00703A04">
            <w:pPr>
              <w:spacing w:line="265" w:lineRule="exact"/>
              <w:ind w:left="20"/>
              <w:rPr>
                <w:sz w:val="20"/>
                <w:szCs w:val="20"/>
              </w:rPr>
            </w:pPr>
            <w:r>
              <w:rPr>
                <w:rFonts w:ascii="Calibri" w:eastAsia="Calibri" w:hAnsi="Calibri" w:cs="Calibri"/>
                <w:sz w:val="22"/>
                <w:szCs w:val="22"/>
              </w:rPr>
              <w:t>lb/MMBtu</w:t>
            </w:r>
          </w:p>
        </w:tc>
        <w:tc>
          <w:tcPr>
            <w:tcW w:w="960" w:type="dxa"/>
            <w:tcBorders>
              <w:right w:val="single" w:sz="8" w:space="0" w:color="auto"/>
            </w:tcBorders>
            <w:vAlign w:val="bottom"/>
          </w:tcPr>
          <w:p w14:paraId="0C945474" w14:textId="77777777" w:rsidR="00533F1B" w:rsidRDefault="00533F1B" w:rsidP="00703A04">
            <w:pPr>
              <w:spacing w:line="265" w:lineRule="exact"/>
              <w:jc w:val="right"/>
              <w:rPr>
                <w:sz w:val="20"/>
                <w:szCs w:val="20"/>
              </w:rPr>
            </w:pPr>
            <w:r>
              <w:rPr>
                <w:rFonts w:ascii="Calibri" w:eastAsia="Calibri" w:hAnsi="Calibri" w:cs="Calibri"/>
                <w:sz w:val="22"/>
                <w:szCs w:val="22"/>
              </w:rPr>
              <w:t>0.0075</w:t>
            </w:r>
          </w:p>
        </w:tc>
        <w:tc>
          <w:tcPr>
            <w:tcW w:w="960" w:type="dxa"/>
            <w:tcBorders>
              <w:right w:val="single" w:sz="8" w:space="0" w:color="auto"/>
            </w:tcBorders>
            <w:vAlign w:val="bottom"/>
          </w:tcPr>
          <w:p w14:paraId="3178AA2D" w14:textId="77777777" w:rsidR="00533F1B" w:rsidRDefault="00533F1B" w:rsidP="00703A04">
            <w:pPr>
              <w:spacing w:line="265" w:lineRule="exact"/>
              <w:jc w:val="right"/>
              <w:rPr>
                <w:sz w:val="20"/>
                <w:szCs w:val="20"/>
              </w:rPr>
            </w:pPr>
            <w:r>
              <w:rPr>
                <w:rFonts w:ascii="Calibri" w:eastAsia="Calibri" w:hAnsi="Calibri" w:cs="Calibri"/>
                <w:sz w:val="22"/>
                <w:szCs w:val="22"/>
              </w:rPr>
              <w:t>0.0980</w:t>
            </w:r>
          </w:p>
        </w:tc>
        <w:tc>
          <w:tcPr>
            <w:tcW w:w="300" w:type="dxa"/>
            <w:vAlign w:val="bottom"/>
          </w:tcPr>
          <w:p w14:paraId="7D25577C" w14:textId="77777777" w:rsidR="00533F1B" w:rsidRDefault="00533F1B" w:rsidP="00703A04">
            <w:pPr>
              <w:rPr>
                <w:sz w:val="23"/>
                <w:szCs w:val="23"/>
              </w:rPr>
            </w:pPr>
          </w:p>
        </w:tc>
        <w:tc>
          <w:tcPr>
            <w:tcW w:w="660" w:type="dxa"/>
            <w:tcBorders>
              <w:right w:val="single" w:sz="8" w:space="0" w:color="auto"/>
            </w:tcBorders>
            <w:vAlign w:val="bottom"/>
          </w:tcPr>
          <w:p w14:paraId="1C9A39C4" w14:textId="77777777" w:rsidR="00533F1B" w:rsidRDefault="00533F1B" w:rsidP="00703A04">
            <w:pPr>
              <w:spacing w:line="265" w:lineRule="exact"/>
              <w:jc w:val="right"/>
              <w:rPr>
                <w:sz w:val="20"/>
                <w:szCs w:val="20"/>
              </w:rPr>
            </w:pPr>
            <w:r>
              <w:rPr>
                <w:rFonts w:ascii="Calibri" w:eastAsia="Calibri" w:hAnsi="Calibri" w:cs="Calibri"/>
                <w:w w:val="97"/>
                <w:sz w:val="22"/>
                <w:szCs w:val="22"/>
              </w:rPr>
              <w:t>0.0824</w:t>
            </w:r>
          </w:p>
        </w:tc>
        <w:tc>
          <w:tcPr>
            <w:tcW w:w="960" w:type="dxa"/>
            <w:tcBorders>
              <w:right w:val="single" w:sz="8" w:space="0" w:color="auto"/>
            </w:tcBorders>
            <w:vAlign w:val="bottom"/>
          </w:tcPr>
          <w:p w14:paraId="63A6E8A5" w14:textId="77777777" w:rsidR="00533F1B" w:rsidRDefault="00533F1B" w:rsidP="00703A04">
            <w:pPr>
              <w:spacing w:line="265" w:lineRule="exact"/>
              <w:jc w:val="right"/>
              <w:rPr>
                <w:sz w:val="20"/>
                <w:szCs w:val="20"/>
              </w:rPr>
            </w:pPr>
            <w:r>
              <w:rPr>
                <w:rFonts w:ascii="Calibri" w:eastAsia="Calibri" w:hAnsi="Calibri" w:cs="Calibri"/>
                <w:sz w:val="22"/>
                <w:szCs w:val="22"/>
              </w:rPr>
              <w:t>0.0006</w:t>
            </w:r>
          </w:p>
        </w:tc>
      </w:tr>
      <w:tr w:rsidR="00533F1B" w14:paraId="770C40F7" w14:textId="77777777" w:rsidTr="00703A04">
        <w:trPr>
          <w:trHeight w:val="47"/>
        </w:trPr>
        <w:tc>
          <w:tcPr>
            <w:tcW w:w="2560" w:type="dxa"/>
            <w:tcBorders>
              <w:left w:val="single" w:sz="8" w:space="0" w:color="auto"/>
              <w:bottom w:val="single" w:sz="8" w:space="0" w:color="auto"/>
              <w:right w:val="single" w:sz="8" w:space="0" w:color="auto"/>
            </w:tcBorders>
            <w:vAlign w:val="bottom"/>
          </w:tcPr>
          <w:p w14:paraId="1F0ACA63" w14:textId="77777777" w:rsidR="00533F1B" w:rsidRDefault="00533F1B" w:rsidP="00703A04">
            <w:pPr>
              <w:rPr>
                <w:sz w:val="4"/>
                <w:szCs w:val="4"/>
              </w:rPr>
            </w:pPr>
          </w:p>
        </w:tc>
        <w:tc>
          <w:tcPr>
            <w:tcW w:w="1720" w:type="dxa"/>
            <w:tcBorders>
              <w:bottom w:val="single" w:sz="8" w:space="0" w:color="auto"/>
              <w:right w:val="single" w:sz="8" w:space="0" w:color="auto"/>
            </w:tcBorders>
            <w:vAlign w:val="bottom"/>
          </w:tcPr>
          <w:p w14:paraId="7C02EB36" w14:textId="77777777" w:rsidR="00533F1B" w:rsidRDefault="00533F1B" w:rsidP="00703A04">
            <w:pPr>
              <w:rPr>
                <w:sz w:val="4"/>
                <w:szCs w:val="4"/>
              </w:rPr>
            </w:pPr>
          </w:p>
        </w:tc>
        <w:tc>
          <w:tcPr>
            <w:tcW w:w="960" w:type="dxa"/>
            <w:tcBorders>
              <w:bottom w:val="single" w:sz="8" w:space="0" w:color="auto"/>
              <w:right w:val="single" w:sz="8" w:space="0" w:color="auto"/>
            </w:tcBorders>
            <w:vAlign w:val="bottom"/>
          </w:tcPr>
          <w:p w14:paraId="1706801D" w14:textId="77777777" w:rsidR="00533F1B" w:rsidRDefault="00533F1B" w:rsidP="00703A04">
            <w:pPr>
              <w:rPr>
                <w:sz w:val="4"/>
                <w:szCs w:val="4"/>
              </w:rPr>
            </w:pPr>
          </w:p>
        </w:tc>
        <w:tc>
          <w:tcPr>
            <w:tcW w:w="960" w:type="dxa"/>
            <w:tcBorders>
              <w:bottom w:val="single" w:sz="8" w:space="0" w:color="auto"/>
              <w:right w:val="single" w:sz="8" w:space="0" w:color="auto"/>
            </w:tcBorders>
            <w:vAlign w:val="bottom"/>
          </w:tcPr>
          <w:p w14:paraId="6F6D97FF" w14:textId="77777777" w:rsidR="00533F1B" w:rsidRDefault="00533F1B" w:rsidP="00703A04">
            <w:pPr>
              <w:rPr>
                <w:sz w:val="4"/>
                <w:szCs w:val="4"/>
              </w:rPr>
            </w:pPr>
          </w:p>
        </w:tc>
        <w:tc>
          <w:tcPr>
            <w:tcW w:w="300" w:type="dxa"/>
            <w:tcBorders>
              <w:bottom w:val="single" w:sz="8" w:space="0" w:color="auto"/>
            </w:tcBorders>
            <w:vAlign w:val="bottom"/>
          </w:tcPr>
          <w:p w14:paraId="5A6D0C11" w14:textId="77777777" w:rsidR="00533F1B" w:rsidRDefault="00533F1B" w:rsidP="00703A04">
            <w:pPr>
              <w:rPr>
                <w:sz w:val="4"/>
                <w:szCs w:val="4"/>
              </w:rPr>
            </w:pPr>
          </w:p>
        </w:tc>
        <w:tc>
          <w:tcPr>
            <w:tcW w:w="660" w:type="dxa"/>
            <w:tcBorders>
              <w:bottom w:val="single" w:sz="8" w:space="0" w:color="auto"/>
              <w:right w:val="single" w:sz="8" w:space="0" w:color="auto"/>
            </w:tcBorders>
            <w:vAlign w:val="bottom"/>
          </w:tcPr>
          <w:p w14:paraId="2474E0E3" w14:textId="77777777" w:rsidR="00533F1B" w:rsidRDefault="00533F1B" w:rsidP="00703A04">
            <w:pPr>
              <w:rPr>
                <w:sz w:val="4"/>
                <w:szCs w:val="4"/>
              </w:rPr>
            </w:pPr>
          </w:p>
        </w:tc>
        <w:tc>
          <w:tcPr>
            <w:tcW w:w="960" w:type="dxa"/>
            <w:tcBorders>
              <w:bottom w:val="single" w:sz="8" w:space="0" w:color="auto"/>
              <w:right w:val="single" w:sz="8" w:space="0" w:color="auto"/>
            </w:tcBorders>
            <w:vAlign w:val="bottom"/>
          </w:tcPr>
          <w:p w14:paraId="32E42FD8" w14:textId="77777777" w:rsidR="00533F1B" w:rsidRDefault="00533F1B" w:rsidP="00703A04">
            <w:pPr>
              <w:rPr>
                <w:sz w:val="4"/>
                <w:szCs w:val="4"/>
              </w:rPr>
            </w:pPr>
          </w:p>
        </w:tc>
      </w:tr>
    </w:tbl>
    <w:p w14:paraId="2C253938" w14:textId="77777777" w:rsidR="00533F1B" w:rsidRDefault="00533F1B" w:rsidP="00533F1B">
      <w:pPr>
        <w:spacing w:line="4" w:lineRule="exact"/>
        <w:rPr>
          <w:sz w:val="20"/>
          <w:szCs w:val="20"/>
        </w:rPr>
      </w:pPr>
    </w:p>
    <w:p w14:paraId="2B10EBFE" w14:textId="03A74A2C" w:rsidR="00533F1B" w:rsidRDefault="00533F1B" w:rsidP="00076C27">
      <w:pPr>
        <w:spacing w:line="234" w:lineRule="auto"/>
        <w:ind w:right="480" w:firstLine="0"/>
        <w:rPr>
          <w:sz w:val="20"/>
          <w:szCs w:val="20"/>
        </w:rPr>
      </w:pPr>
      <w:r>
        <w:rPr>
          <w:sz w:val="22"/>
          <w:szCs w:val="22"/>
        </w:rPr>
        <w:t>The chart above shows the amount of pollutants that each fuel oil grade contains per unit of energy it produces.</w:t>
      </w:r>
      <w:r w:rsidR="009B6A0F">
        <w:rPr>
          <w:rStyle w:val="FootnoteReference"/>
          <w:sz w:val="22"/>
          <w:szCs w:val="22"/>
        </w:rPr>
        <w:footnoteReference w:id="31"/>
      </w:r>
    </w:p>
    <w:p w14:paraId="61666693" w14:textId="77777777" w:rsidR="009B6A0F" w:rsidRDefault="009B6A0F" w:rsidP="00076C27">
      <w:pPr>
        <w:spacing w:line="500" w:lineRule="auto"/>
        <w:jc w:val="both"/>
        <w:rPr>
          <w:sz w:val="23"/>
          <w:szCs w:val="23"/>
        </w:rPr>
      </w:pPr>
    </w:p>
    <w:p w14:paraId="61A1931F" w14:textId="440EC1DB" w:rsidR="00FE1CF0" w:rsidRDefault="00076C27" w:rsidP="00076C27">
      <w:pPr>
        <w:spacing w:line="500" w:lineRule="auto"/>
        <w:jc w:val="both"/>
        <w:rPr>
          <w:sz w:val="23"/>
          <w:szCs w:val="23"/>
        </w:rPr>
      </w:pPr>
      <w:r w:rsidRPr="00076C27">
        <w:rPr>
          <w:sz w:val="23"/>
          <w:szCs w:val="23"/>
        </w:rPr>
        <w:t xml:space="preserve">New York City’s air quality has improved drastically since the passage of clean heat regulations banning the combustion of No. 6 fuel oil after 2015, and mandating the phase out the combustion of No. 4 fuel oil for heating purposes by 2030, with citywide annual averages of </w:t>
      </w:r>
      <w:r w:rsidR="00966D60">
        <w:rPr>
          <w:sz w:val="23"/>
          <w:szCs w:val="23"/>
        </w:rPr>
        <w:t>nitric oxide</w:t>
      </w:r>
      <w:r w:rsidRPr="00076C27">
        <w:rPr>
          <w:sz w:val="23"/>
          <w:szCs w:val="23"/>
        </w:rPr>
        <w:t xml:space="preserve"> declining </w:t>
      </w:r>
      <w:r w:rsidR="00966D60">
        <w:rPr>
          <w:sz w:val="23"/>
          <w:szCs w:val="23"/>
        </w:rPr>
        <w:t>56</w:t>
      </w:r>
      <w:r w:rsidRPr="00076C27">
        <w:rPr>
          <w:sz w:val="23"/>
          <w:szCs w:val="23"/>
        </w:rPr>
        <w:t>% between 2009 and 20</w:t>
      </w:r>
      <w:r w:rsidR="00966D60">
        <w:rPr>
          <w:sz w:val="23"/>
          <w:szCs w:val="23"/>
        </w:rPr>
        <w:t>20</w:t>
      </w:r>
      <w:r w:rsidR="00CA6A14">
        <w:rPr>
          <w:sz w:val="23"/>
          <w:szCs w:val="23"/>
        </w:rPr>
        <w:t>,</w:t>
      </w:r>
      <w:r w:rsidRPr="00076C27">
        <w:rPr>
          <w:sz w:val="23"/>
          <w:szCs w:val="23"/>
        </w:rPr>
        <w:t xml:space="preserve"> </w:t>
      </w:r>
      <w:r w:rsidR="00CA6A14" w:rsidRPr="00076C27">
        <w:rPr>
          <w:sz w:val="23"/>
          <w:szCs w:val="23"/>
        </w:rPr>
        <w:t xml:space="preserve">nitrogen dioxide levels declining </w:t>
      </w:r>
      <w:r w:rsidR="00CA6A14">
        <w:rPr>
          <w:sz w:val="23"/>
          <w:szCs w:val="23"/>
        </w:rPr>
        <w:t>39</w:t>
      </w:r>
      <w:r w:rsidR="00CA6A14" w:rsidRPr="00076C27">
        <w:rPr>
          <w:sz w:val="23"/>
          <w:szCs w:val="23"/>
        </w:rPr>
        <w:t>%</w:t>
      </w:r>
      <w:r w:rsidR="00CA6A14">
        <w:rPr>
          <w:sz w:val="23"/>
          <w:szCs w:val="23"/>
        </w:rPr>
        <w:t xml:space="preserve"> </w:t>
      </w:r>
      <w:r w:rsidRPr="00076C27">
        <w:rPr>
          <w:sz w:val="23"/>
          <w:szCs w:val="23"/>
        </w:rPr>
        <w:t xml:space="preserve">during the same time period,  fine particulate matter levels declining </w:t>
      </w:r>
      <w:r w:rsidR="00966D60">
        <w:rPr>
          <w:sz w:val="23"/>
          <w:szCs w:val="23"/>
        </w:rPr>
        <w:t>43</w:t>
      </w:r>
      <w:r w:rsidRPr="00076C27">
        <w:rPr>
          <w:sz w:val="23"/>
          <w:szCs w:val="23"/>
        </w:rPr>
        <w:t>%,  and sulfur dioxide levels</w:t>
      </w:r>
      <w:r w:rsidR="00CA6A14">
        <w:rPr>
          <w:sz w:val="23"/>
          <w:szCs w:val="23"/>
        </w:rPr>
        <w:t xml:space="preserve"> declining over 98% citywide</w:t>
      </w:r>
      <w:r w:rsidRPr="00076C27">
        <w:rPr>
          <w:sz w:val="23"/>
          <w:szCs w:val="23"/>
        </w:rPr>
        <w:t>.</w:t>
      </w:r>
      <w:r w:rsidR="00FB56E1">
        <w:rPr>
          <w:rStyle w:val="FootnoteReference"/>
          <w:sz w:val="23"/>
          <w:szCs w:val="23"/>
        </w:rPr>
        <w:footnoteReference w:id="32"/>
      </w:r>
      <w:r w:rsidRPr="00076C27">
        <w:rPr>
          <w:sz w:val="23"/>
          <w:szCs w:val="23"/>
        </w:rPr>
        <w:t xml:space="preserve">  While the overall air quality in New York City has been improving, the improvements have not been equitably distributed across the board. </w:t>
      </w:r>
      <w:r w:rsidR="00FB56E1">
        <w:rPr>
          <w:rStyle w:val="FootnoteReference"/>
          <w:sz w:val="23"/>
          <w:szCs w:val="23"/>
        </w:rPr>
        <w:footnoteReference w:id="33"/>
      </w:r>
      <w:r w:rsidRPr="00076C27">
        <w:rPr>
          <w:sz w:val="23"/>
          <w:szCs w:val="23"/>
        </w:rPr>
        <w:t xml:space="preserve"> After the banning of the combustion of No. 6 fuel oil, studies showed that </w:t>
      </w:r>
      <w:r w:rsidR="000538A0">
        <w:rPr>
          <w:sz w:val="23"/>
          <w:szCs w:val="23"/>
        </w:rPr>
        <w:t xml:space="preserve">buildings in </w:t>
      </w:r>
      <w:r w:rsidRPr="00076C27">
        <w:rPr>
          <w:sz w:val="23"/>
          <w:szCs w:val="23"/>
        </w:rPr>
        <w:t>communities in upper Manhattan and the Bronx, many at the intersection of high rates of poverty (above 20%) and racial and ethnic minority composition (above 51%) were less likely to convert to No. 2 fuel oil or natural gas combusting systems, and more likely to transition to combusting No. 4 fuel oil.</w:t>
      </w:r>
      <w:r w:rsidR="00FB56E1">
        <w:rPr>
          <w:rStyle w:val="FootnoteReference"/>
          <w:sz w:val="23"/>
          <w:szCs w:val="23"/>
        </w:rPr>
        <w:footnoteReference w:id="34"/>
      </w:r>
      <w:r w:rsidRPr="00076C27">
        <w:rPr>
          <w:sz w:val="23"/>
          <w:szCs w:val="23"/>
        </w:rPr>
        <w:t xml:space="preserve"> As of 2015, more than 50% of the buildings burning No. 4 fuel oil were clustered in Manhattan north of 110th street, and the Bronx, communities that represent approximately 20% of the city’s total population,  meaning the city’s efforts to improve air quality by phasing out fuel oils with the highest particulate emissions have made the least progress in neighborhoods already burdened by some of the highest rates of asthma in the nation.</w:t>
      </w:r>
      <w:r w:rsidR="00FB56E1">
        <w:rPr>
          <w:rStyle w:val="FootnoteReference"/>
          <w:sz w:val="23"/>
          <w:szCs w:val="23"/>
        </w:rPr>
        <w:footnoteReference w:id="35"/>
      </w:r>
      <w:r w:rsidRPr="00076C27">
        <w:rPr>
          <w:sz w:val="23"/>
          <w:szCs w:val="23"/>
        </w:rPr>
        <w:t xml:space="preserve">   </w:t>
      </w:r>
    </w:p>
    <w:p w14:paraId="10C5D0FD" w14:textId="079D2D53" w:rsidR="00294D4E" w:rsidRDefault="00FB56E1" w:rsidP="00FB56E1">
      <w:pPr>
        <w:spacing w:line="500" w:lineRule="auto"/>
        <w:jc w:val="both"/>
        <w:rPr>
          <w:sz w:val="23"/>
          <w:szCs w:val="23"/>
        </w:rPr>
      </w:pPr>
      <w:r>
        <w:rPr>
          <w:sz w:val="23"/>
          <w:szCs w:val="23"/>
        </w:rPr>
        <w:t>According to d</w:t>
      </w:r>
      <w:r w:rsidRPr="00FB56E1">
        <w:rPr>
          <w:sz w:val="23"/>
          <w:szCs w:val="23"/>
        </w:rPr>
        <w:t xml:space="preserve">ata from NYC </w:t>
      </w:r>
      <w:r w:rsidR="000538A0">
        <w:rPr>
          <w:sz w:val="23"/>
          <w:szCs w:val="23"/>
        </w:rPr>
        <w:t>Greenhouse Gas</w:t>
      </w:r>
      <w:r w:rsidR="000538A0" w:rsidRPr="00FB56E1">
        <w:rPr>
          <w:sz w:val="23"/>
          <w:szCs w:val="23"/>
        </w:rPr>
        <w:t xml:space="preserve"> </w:t>
      </w:r>
      <w:r w:rsidRPr="00FB56E1">
        <w:rPr>
          <w:sz w:val="23"/>
          <w:szCs w:val="23"/>
        </w:rPr>
        <w:t>Inventories and L</w:t>
      </w:r>
      <w:r w:rsidR="000538A0">
        <w:rPr>
          <w:sz w:val="23"/>
          <w:szCs w:val="23"/>
        </w:rPr>
        <w:t xml:space="preserve">ocal </w:t>
      </w:r>
      <w:r w:rsidRPr="00FB56E1">
        <w:rPr>
          <w:sz w:val="23"/>
          <w:szCs w:val="23"/>
        </w:rPr>
        <w:t>L</w:t>
      </w:r>
      <w:r w:rsidR="000538A0">
        <w:rPr>
          <w:sz w:val="23"/>
          <w:szCs w:val="23"/>
        </w:rPr>
        <w:t xml:space="preserve">aw </w:t>
      </w:r>
      <w:r w:rsidRPr="00FB56E1">
        <w:rPr>
          <w:sz w:val="23"/>
          <w:szCs w:val="23"/>
        </w:rPr>
        <w:t>84</w:t>
      </w:r>
      <w:r>
        <w:rPr>
          <w:sz w:val="23"/>
          <w:szCs w:val="23"/>
        </w:rPr>
        <w:t xml:space="preserve"> self</w:t>
      </w:r>
      <w:r w:rsidR="000538A0">
        <w:rPr>
          <w:sz w:val="23"/>
          <w:szCs w:val="23"/>
        </w:rPr>
        <w:t>-</w:t>
      </w:r>
      <w:r>
        <w:rPr>
          <w:sz w:val="23"/>
          <w:szCs w:val="23"/>
        </w:rPr>
        <w:t xml:space="preserve">reporting data, </w:t>
      </w:r>
      <w:r w:rsidRPr="00FB56E1">
        <w:rPr>
          <w:sz w:val="23"/>
          <w:szCs w:val="23"/>
        </w:rPr>
        <w:t>45,090,678 gallons of fuel oil #4</w:t>
      </w:r>
      <w:r>
        <w:rPr>
          <w:sz w:val="23"/>
          <w:szCs w:val="23"/>
        </w:rPr>
        <w:t xml:space="preserve"> were</w:t>
      </w:r>
      <w:r w:rsidRPr="00FB56E1">
        <w:rPr>
          <w:sz w:val="23"/>
          <w:szCs w:val="23"/>
        </w:rPr>
        <w:t xml:space="preserve"> consumed in 2020</w:t>
      </w:r>
      <w:r>
        <w:rPr>
          <w:sz w:val="23"/>
          <w:szCs w:val="23"/>
        </w:rPr>
        <w:t>, representing approximately 1% of citywide greenhouse gas emissions.</w:t>
      </w:r>
      <w:r>
        <w:rPr>
          <w:rStyle w:val="FootnoteReference"/>
          <w:sz w:val="23"/>
          <w:szCs w:val="23"/>
        </w:rPr>
        <w:footnoteReference w:id="36"/>
      </w:r>
      <w:r>
        <w:rPr>
          <w:sz w:val="23"/>
          <w:szCs w:val="23"/>
        </w:rPr>
        <w:t xml:space="preserve"> Approximately </w:t>
      </w:r>
      <w:r w:rsidRPr="00FB56E1">
        <w:rPr>
          <w:sz w:val="23"/>
          <w:szCs w:val="23"/>
        </w:rPr>
        <w:t xml:space="preserve">82% </w:t>
      </w:r>
      <w:r>
        <w:rPr>
          <w:sz w:val="23"/>
          <w:szCs w:val="23"/>
        </w:rPr>
        <w:t xml:space="preserve">of the No. 4. fuel oil used was in </w:t>
      </w:r>
      <w:r w:rsidRPr="00FB56E1">
        <w:rPr>
          <w:sz w:val="23"/>
          <w:szCs w:val="23"/>
        </w:rPr>
        <w:t>residential</w:t>
      </w:r>
      <w:r>
        <w:rPr>
          <w:sz w:val="23"/>
          <w:szCs w:val="23"/>
        </w:rPr>
        <w:t xml:space="preserve"> buildings</w:t>
      </w:r>
      <w:r w:rsidRPr="00FB56E1">
        <w:rPr>
          <w:sz w:val="23"/>
          <w:szCs w:val="23"/>
        </w:rPr>
        <w:t xml:space="preserve">, 15% </w:t>
      </w:r>
      <w:r w:rsidR="000538A0">
        <w:rPr>
          <w:sz w:val="23"/>
          <w:szCs w:val="23"/>
        </w:rPr>
        <w:t xml:space="preserve">in </w:t>
      </w:r>
      <w:r w:rsidRPr="00FB56E1">
        <w:rPr>
          <w:sz w:val="23"/>
          <w:szCs w:val="23"/>
        </w:rPr>
        <w:t>commercial and institutional</w:t>
      </w:r>
      <w:r>
        <w:rPr>
          <w:sz w:val="23"/>
          <w:szCs w:val="23"/>
        </w:rPr>
        <w:t xml:space="preserve"> facilities</w:t>
      </w:r>
      <w:r w:rsidRPr="00FB56E1">
        <w:rPr>
          <w:sz w:val="23"/>
          <w:szCs w:val="23"/>
        </w:rPr>
        <w:t xml:space="preserve">, </w:t>
      </w:r>
      <w:r>
        <w:rPr>
          <w:sz w:val="23"/>
          <w:szCs w:val="23"/>
        </w:rPr>
        <w:t xml:space="preserve">and </w:t>
      </w:r>
      <w:r w:rsidRPr="00FB56E1">
        <w:rPr>
          <w:sz w:val="23"/>
          <w:szCs w:val="23"/>
        </w:rPr>
        <w:t xml:space="preserve">3% </w:t>
      </w:r>
      <w:r>
        <w:rPr>
          <w:sz w:val="23"/>
          <w:szCs w:val="23"/>
        </w:rPr>
        <w:t xml:space="preserve">for </w:t>
      </w:r>
      <w:r w:rsidRPr="00FB56E1">
        <w:rPr>
          <w:sz w:val="23"/>
          <w:szCs w:val="23"/>
        </w:rPr>
        <w:t>manufacturing and construction</w:t>
      </w:r>
      <w:r>
        <w:rPr>
          <w:sz w:val="23"/>
          <w:szCs w:val="23"/>
        </w:rPr>
        <w:t>.</w:t>
      </w:r>
      <w:r>
        <w:rPr>
          <w:rStyle w:val="FootnoteReference"/>
          <w:sz w:val="23"/>
          <w:szCs w:val="23"/>
        </w:rPr>
        <w:footnoteReference w:id="37"/>
      </w:r>
      <w:r>
        <w:rPr>
          <w:sz w:val="23"/>
          <w:szCs w:val="23"/>
        </w:rPr>
        <w:t xml:space="preserve"> Approximately </w:t>
      </w:r>
      <w:r w:rsidRPr="00FB56E1">
        <w:rPr>
          <w:sz w:val="23"/>
          <w:szCs w:val="23"/>
        </w:rPr>
        <w:t>22% of</w:t>
      </w:r>
      <w:r>
        <w:rPr>
          <w:sz w:val="23"/>
          <w:szCs w:val="23"/>
        </w:rPr>
        <w:t xml:space="preserve"> No. 4. fuel oil </w:t>
      </w:r>
      <w:r w:rsidRPr="00FB56E1">
        <w:rPr>
          <w:sz w:val="23"/>
          <w:szCs w:val="23"/>
        </w:rPr>
        <w:t>consumption is from City owned buildings</w:t>
      </w:r>
      <w:r>
        <w:rPr>
          <w:sz w:val="23"/>
          <w:szCs w:val="23"/>
        </w:rPr>
        <w:t xml:space="preserve">, with </w:t>
      </w:r>
      <w:r w:rsidRPr="00FB56E1">
        <w:rPr>
          <w:sz w:val="23"/>
          <w:szCs w:val="23"/>
        </w:rPr>
        <w:t>78% of</w:t>
      </w:r>
      <w:r>
        <w:rPr>
          <w:sz w:val="23"/>
          <w:szCs w:val="23"/>
        </w:rPr>
        <w:t xml:space="preserve"> that consumption associated with buildings operated by the Department of Education.</w:t>
      </w:r>
      <w:r>
        <w:rPr>
          <w:rStyle w:val="FootnoteReference"/>
          <w:sz w:val="23"/>
          <w:szCs w:val="23"/>
        </w:rPr>
        <w:footnoteReference w:id="38"/>
      </w:r>
      <w:r w:rsidR="00814EBD">
        <w:rPr>
          <w:sz w:val="23"/>
          <w:szCs w:val="23"/>
        </w:rPr>
        <w:t xml:space="preserve"> </w:t>
      </w:r>
    </w:p>
    <w:p w14:paraId="6FAA54D5" w14:textId="3239DDFF" w:rsidR="00CA5946" w:rsidRDefault="00CA5946" w:rsidP="00CA5946">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74855A00" w14:textId="796FEA05" w:rsidR="00CA5946" w:rsidRDefault="00CA5946" w:rsidP="00CA5946">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5571B26F" w14:textId="3E267D64" w:rsidR="00C1070A" w:rsidRDefault="0088409A" w:rsidP="0088409A">
      <w:pPr>
        <w:spacing w:line="480" w:lineRule="auto"/>
        <w:jc w:val="both"/>
      </w:pPr>
      <w:r>
        <w:t xml:space="preserve">At this hearing the Committee </w:t>
      </w:r>
      <w:r w:rsidR="000538A0">
        <w:t xml:space="preserve">expects </w:t>
      </w:r>
      <w:r>
        <w:t xml:space="preserve">to receive testimony from </w:t>
      </w:r>
      <w:r w:rsidR="000538A0">
        <w:t>relevant City agencies</w:t>
      </w:r>
      <w:r>
        <w:t xml:space="preserve">, </w:t>
      </w:r>
      <w:r w:rsidR="000538A0">
        <w:t xml:space="preserve">the </w:t>
      </w:r>
      <w:r>
        <w:t xml:space="preserve">real estate industry, </w:t>
      </w:r>
      <w:r w:rsidR="000538A0">
        <w:t xml:space="preserve">the </w:t>
      </w:r>
      <w:r>
        <w:t xml:space="preserve">fuel oil industry, and environmental advocates regarding the </w:t>
      </w:r>
      <w:r w:rsidR="000538A0">
        <w:t xml:space="preserve">ongoing phase out of No. 4 fuel oil and the </w:t>
      </w:r>
      <w:r>
        <w:t xml:space="preserve">merits of Int. No. 470. </w:t>
      </w:r>
    </w:p>
    <w:p w14:paraId="00FCB6F2" w14:textId="77777777" w:rsidR="0088409A" w:rsidRDefault="0088409A" w:rsidP="0088409A">
      <w:pPr>
        <w:spacing w:line="480" w:lineRule="auto"/>
        <w:jc w:val="both"/>
        <w:rPr>
          <w:rFonts w:ascii="Times New Roman Bold" w:hAnsi="Times New Roman Bold"/>
          <w:b/>
          <w:smallCaps/>
        </w:rPr>
      </w:pPr>
    </w:p>
    <w:p w14:paraId="4A8EBA98" w14:textId="54C894C7" w:rsidR="00C1070A" w:rsidRDefault="00C1070A" w:rsidP="00CA5946">
      <w:pPr>
        <w:spacing w:line="480" w:lineRule="auto"/>
        <w:ind w:firstLine="0"/>
        <w:jc w:val="both"/>
        <w:rPr>
          <w:rFonts w:ascii="Times New Roman Bold" w:hAnsi="Times New Roman Bold"/>
          <w:b/>
          <w:smallCaps/>
        </w:rPr>
      </w:pPr>
      <w:r>
        <w:rPr>
          <w:rFonts w:ascii="Times New Roman Bold" w:hAnsi="Times New Roman Bold"/>
          <w:b/>
          <w:smallCaps/>
        </w:rPr>
        <w:t xml:space="preserve">V. </w:t>
      </w:r>
      <w:r>
        <w:rPr>
          <w:rFonts w:ascii="Times New Roman Bold" w:hAnsi="Times New Roman Bold"/>
          <w:b/>
          <w:smallCaps/>
        </w:rPr>
        <w:tab/>
        <w:t>Legislation</w:t>
      </w:r>
    </w:p>
    <w:p w14:paraId="2282E26E" w14:textId="589FCFA9" w:rsidR="00076C27" w:rsidRDefault="00076C27" w:rsidP="00076C27">
      <w:pPr>
        <w:spacing w:line="480" w:lineRule="auto"/>
        <w:jc w:val="both"/>
        <w:rPr>
          <w:color w:val="000000"/>
          <w:shd w:val="clear" w:color="auto" w:fill="FFFFFF"/>
        </w:rPr>
      </w:pPr>
      <w:r w:rsidRPr="002028F8">
        <w:rPr>
          <w:b/>
          <w:bCs/>
          <w:color w:val="000000"/>
          <w:shd w:val="clear" w:color="auto" w:fill="FFFFFF"/>
        </w:rPr>
        <w:t xml:space="preserve">Int. No. </w:t>
      </w:r>
      <w:r>
        <w:rPr>
          <w:b/>
          <w:bCs/>
          <w:color w:val="000000"/>
          <w:shd w:val="clear" w:color="auto" w:fill="FFFFFF"/>
        </w:rPr>
        <w:t xml:space="preserve">470 </w:t>
      </w:r>
      <w:r>
        <w:rPr>
          <w:color w:val="000000"/>
          <w:shd w:val="clear" w:color="auto" w:fill="FFFFFF"/>
        </w:rPr>
        <w:t xml:space="preserve">would amend Section 24-168 of the Administrative Code of the City of New York, which currently permits use of No. 4 fuel oil in buildings until 2030, to mandate the gradual phase out of No. 4 fuel oil by January 1, 2025, </w:t>
      </w:r>
      <w:r w:rsidR="004F2739">
        <w:rPr>
          <w:color w:val="000000"/>
          <w:shd w:val="clear" w:color="auto" w:fill="FFFFFF"/>
        </w:rPr>
        <w:t xml:space="preserve">and an earlier phase out of No. 4 fuel oil for: newly installed boilers; </w:t>
      </w:r>
      <w:r>
        <w:rPr>
          <w:color w:val="000000"/>
          <w:shd w:val="clear" w:color="auto" w:fill="FFFFFF"/>
        </w:rPr>
        <w:t>buildings that can switch to natural gas use immediately</w:t>
      </w:r>
      <w:r w:rsidR="004F2739">
        <w:rPr>
          <w:color w:val="000000"/>
          <w:shd w:val="clear" w:color="auto" w:fill="FFFFFF"/>
        </w:rPr>
        <w:t>;</w:t>
      </w:r>
      <w:r>
        <w:rPr>
          <w:color w:val="000000"/>
          <w:shd w:val="clear" w:color="auto" w:fill="FFFFFF"/>
        </w:rPr>
        <w:t xml:space="preserve"> </w:t>
      </w:r>
      <w:r w:rsidR="004F2739">
        <w:rPr>
          <w:color w:val="000000"/>
          <w:shd w:val="clear" w:color="auto" w:fill="FFFFFF"/>
        </w:rPr>
        <w:t>a</w:t>
      </w:r>
      <w:r w:rsidR="00C8780D">
        <w:rPr>
          <w:color w:val="000000"/>
          <w:shd w:val="clear" w:color="auto" w:fill="FFFFFF"/>
        </w:rPr>
        <w:t>n</w:t>
      </w:r>
      <w:r w:rsidR="004F2739">
        <w:rPr>
          <w:color w:val="000000"/>
          <w:shd w:val="clear" w:color="auto" w:fill="FFFFFF"/>
        </w:rPr>
        <w:t xml:space="preserve">d buildings with above ground </w:t>
      </w:r>
      <w:r>
        <w:rPr>
          <w:color w:val="000000"/>
          <w:shd w:val="clear" w:color="auto" w:fill="FFFFFF"/>
        </w:rPr>
        <w:t xml:space="preserve">fuel tanks. This local law would take effect immediately. </w:t>
      </w:r>
    </w:p>
    <w:p w14:paraId="2E0077A0" w14:textId="62FA0D17" w:rsidR="00C1070A" w:rsidRDefault="00C1070A" w:rsidP="00CA5946">
      <w:pPr>
        <w:spacing w:line="480" w:lineRule="auto"/>
        <w:ind w:firstLine="0"/>
        <w:jc w:val="both"/>
        <w:rPr>
          <w:rFonts w:ascii="Times New Roman Bold" w:hAnsi="Times New Roman Bold"/>
          <w:b/>
          <w:smallCaps/>
        </w:rPr>
      </w:pPr>
    </w:p>
    <w:p w14:paraId="2DD50EA3" w14:textId="619F508A" w:rsidR="00C1070A" w:rsidRDefault="00C1070A" w:rsidP="00CA5946">
      <w:pPr>
        <w:spacing w:line="480" w:lineRule="auto"/>
        <w:ind w:firstLine="0"/>
        <w:jc w:val="both"/>
        <w:rPr>
          <w:rFonts w:ascii="Times New Roman Bold" w:hAnsi="Times New Roman Bold"/>
          <w:b/>
          <w:smallCaps/>
        </w:rPr>
      </w:pPr>
    </w:p>
    <w:p w14:paraId="37E1A95B" w14:textId="672ADF20" w:rsidR="00C1070A" w:rsidRDefault="00C1070A" w:rsidP="00CA5946">
      <w:pPr>
        <w:spacing w:line="480" w:lineRule="auto"/>
        <w:ind w:firstLine="0"/>
        <w:jc w:val="both"/>
        <w:rPr>
          <w:rFonts w:ascii="Times New Roman Bold" w:hAnsi="Times New Roman Bold"/>
          <w:b/>
          <w:smallCaps/>
        </w:rPr>
      </w:pPr>
    </w:p>
    <w:p w14:paraId="72BEAB02" w14:textId="17B36A82" w:rsidR="00C1070A" w:rsidRDefault="00C1070A" w:rsidP="00CA5946">
      <w:pPr>
        <w:spacing w:line="480" w:lineRule="auto"/>
        <w:ind w:firstLine="0"/>
        <w:jc w:val="both"/>
        <w:rPr>
          <w:rFonts w:ascii="Times New Roman Bold" w:hAnsi="Times New Roman Bold"/>
          <w:b/>
          <w:smallCaps/>
        </w:rPr>
      </w:pPr>
    </w:p>
    <w:p w14:paraId="5909BD97" w14:textId="65BB24D1" w:rsidR="00C1070A" w:rsidRDefault="00C1070A" w:rsidP="00CA5946">
      <w:pPr>
        <w:spacing w:line="480" w:lineRule="auto"/>
        <w:ind w:firstLine="0"/>
        <w:jc w:val="both"/>
        <w:rPr>
          <w:rFonts w:ascii="Times New Roman Bold" w:hAnsi="Times New Roman Bold"/>
          <w:b/>
          <w:smallCaps/>
        </w:rPr>
      </w:pPr>
    </w:p>
    <w:p w14:paraId="7E5E5E58" w14:textId="0A367830" w:rsidR="00FB56E1" w:rsidRDefault="00FB56E1" w:rsidP="00CA5946">
      <w:pPr>
        <w:spacing w:line="480" w:lineRule="auto"/>
        <w:ind w:firstLine="0"/>
        <w:jc w:val="both"/>
        <w:rPr>
          <w:rFonts w:ascii="Times New Roman Bold" w:hAnsi="Times New Roman Bold"/>
          <w:b/>
          <w:smallCaps/>
        </w:rPr>
      </w:pPr>
    </w:p>
    <w:p w14:paraId="66AD798A" w14:textId="281C9480" w:rsidR="00CA6A14" w:rsidRDefault="00CA6A14" w:rsidP="00CA5946">
      <w:pPr>
        <w:spacing w:line="480" w:lineRule="auto"/>
        <w:ind w:firstLine="0"/>
        <w:jc w:val="both"/>
        <w:rPr>
          <w:rFonts w:ascii="Times New Roman Bold" w:hAnsi="Times New Roman Bold"/>
          <w:b/>
          <w:smallCaps/>
        </w:rPr>
      </w:pPr>
    </w:p>
    <w:p w14:paraId="643515ED" w14:textId="6396FE56" w:rsidR="00CA6A14" w:rsidRDefault="00CA6A14" w:rsidP="00CA5946">
      <w:pPr>
        <w:spacing w:line="480" w:lineRule="auto"/>
        <w:ind w:firstLine="0"/>
        <w:jc w:val="both"/>
        <w:rPr>
          <w:rFonts w:ascii="Times New Roman Bold" w:hAnsi="Times New Roman Bold"/>
          <w:b/>
          <w:smallCaps/>
        </w:rPr>
      </w:pPr>
    </w:p>
    <w:p w14:paraId="74DA28BA" w14:textId="77777777" w:rsidR="00FB56E1" w:rsidRDefault="00FB56E1" w:rsidP="00FB56E1">
      <w:pPr>
        <w:pStyle w:val="NormalWeb"/>
        <w:shd w:val="clear" w:color="auto" w:fill="FFFFFF"/>
        <w:spacing w:before="0" w:beforeAutospacing="0" w:after="0" w:afterAutospacing="0"/>
        <w:rPr>
          <w:color w:val="000000"/>
        </w:rPr>
      </w:pPr>
    </w:p>
    <w:p w14:paraId="51D43126" w14:textId="77777777" w:rsidR="00B81284" w:rsidRDefault="00B81284" w:rsidP="00FB56E1">
      <w:pPr>
        <w:pStyle w:val="NormalWeb"/>
        <w:shd w:val="clear" w:color="auto" w:fill="FFFFFF"/>
        <w:spacing w:before="0" w:beforeAutospacing="0" w:after="0" w:afterAutospacing="0"/>
        <w:jc w:val="center"/>
        <w:rPr>
          <w:color w:val="000000"/>
        </w:rPr>
      </w:pPr>
    </w:p>
    <w:p w14:paraId="7AE225D9" w14:textId="092454C1" w:rsidR="00C1070A" w:rsidRDefault="00C1070A" w:rsidP="00FB56E1">
      <w:pPr>
        <w:pStyle w:val="NormalWeb"/>
        <w:shd w:val="clear" w:color="auto" w:fill="FFFFFF"/>
        <w:spacing w:before="0" w:beforeAutospacing="0" w:after="0" w:afterAutospacing="0"/>
        <w:jc w:val="center"/>
        <w:rPr>
          <w:rFonts w:ascii="Times" w:hAnsi="Times"/>
          <w:color w:val="000000"/>
          <w:sz w:val="27"/>
          <w:szCs w:val="27"/>
        </w:rPr>
      </w:pPr>
      <w:r>
        <w:rPr>
          <w:color w:val="000000"/>
        </w:rPr>
        <w:t>Int. No. 470</w:t>
      </w:r>
    </w:p>
    <w:p w14:paraId="50D2E04E" w14:textId="77777777" w:rsidR="00C1070A" w:rsidRDefault="00C1070A" w:rsidP="00C1070A">
      <w:pPr>
        <w:pStyle w:val="NormalWeb"/>
        <w:shd w:val="clear" w:color="auto" w:fill="FFFFFF"/>
        <w:spacing w:before="0" w:beforeAutospacing="0" w:after="0" w:afterAutospacing="0"/>
        <w:jc w:val="center"/>
        <w:rPr>
          <w:rFonts w:ascii="Times" w:hAnsi="Times"/>
          <w:color w:val="000000"/>
          <w:sz w:val="27"/>
          <w:szCs w:val="27"/>
        </w:rPr>
      </w:pPr>
      <w:r>
        <w:rPr>
          <w:color w:val="000000"/>
        </w:rPr>
        <w:t> </w:t>
      </w:r>
    </w:p>
    <w:p w14:paraId="44F3EE85" w14:textId="77777777" w:rsidR="00C1070A" w:rsidRDefault="00C1070A" w:rsidP="00C1070A">
      <w:pPr>
        <w:pStyle w:val="NormalWeb"/>
        <w:shd w:val="clear" w:color="auto" w:fill="FFFFFF"/>
        <w:spacing w:before="0" w:beforeAutospacing="0" w:after="200" w:afterAutospacing="0"/>
        <w:rPr>
          <w:rFonts w:ascii="Times" w:hAnsi="Times"/>
          <w:color w:val="000000"/>
          <w:sz w:val="27"/>
          <w:szCs w:val="27"/>
        </w:rPr>
      </w:pPr>
      <w:r>
        <w:rPr>
          <w:color w:val="000000"/>
        </w:rPr>
        <w:t>By Council Members Gennaro, Cabán and Brannan</w:t>
      </w:r>
    </w:p>
    <w:p w14:paraId="5D124A84" w14:textId="77777777" w:rsidR="00C1070A" w:rsidRDefault="00C1070A" w:rsidP="00C1070A">
      <w:pPr>
        <w:pStyle w:val="NormalWeb"/>
        <w:shd w:val="clear" w:color="auto" w:fill="FFFFFF"/>
        <w:spacing w:before="0" w:beforeAutospacing="0" w:after="0" w:afterAutospacing="0"/>
        <w:jc w:val="both"/>
        <w:rPr>
          <w:rFonts w:ascii="Times" w:hAnsi="Times"/>
          <w:color w:val="000000"/>
          <w:sz w:val="27"/>
          <w:szCs w:val="27"/>
        </w:rPr>
      </w:pPr>
      <w:r>
        <w:rPr>
          <w:color w:val="000000"/>
        </w:rPr>
        <w:t>A Local Law to amend the administrative code of the city of New York, in relation to phasing out the use of fuel oil grade no. 4</w:t>
      </w:r>
    </w:p>
    <w:p w14:paraId="21C1A0DE" w14:textId="77777777" w:rsidR="00C1070A" w:rsidRDefault="00C1070A" w:rsidP="00C1070A">
      <w:pPr>
        <w:pStyle w:val="NormalWeb"/>
        <w:shd w:val="clear" w:color="auto" w:fill="FFFFFF"/>
        <w:spacing w:before="0" w:beforeAutospacing="0" w:after="0" w:afterAutospacing="0"/>
        <w:ind w:firstLine="720"/>
        <w:jc w:val="both"/>
        <w:rPr>
          <w:rFonts w:ascii="Times" w:hAnsi="Times"/>
          <w:color w:val="000000"/>
          <w:sz w:val="27"/>
          <w:szCs w:val="27"/>
        </w:rPr>
      </w:pPr>
      <w:r>
        <w:rPr>
          <w:color w:val="000000"/>
        </w:rPr>
        <w:t> </w:t>
      </w:r>
    </w:p>
    <w:p w14:paraId="1C45223E" w14:textId="77777777" w:rsidR="00C1070A" w:rsidRDefault="00C1070A" w:rsidP="00C1070A">
      <w:pPr>
        <w:pStyle w:val="NormalWeb"/>
        <w:shd w:val="clear" w:color="auto" w:fill="FFFFFF"/>
        <w:spacing w:before="0" w:beforeAutospacing="0" w:after="0" w:afterAutospacing="0" w:line="480" w:lineRule="auto"/>
        <w:jc w:val="both"/>
        <w:rPr>
          <w:rFonts w:ascii="Times" w:hAnsi="Times"/>
          <w:color w:val="000000"/>
          <w:sz w:val="27"/>
          <w:szCs w:val="27"/>
        </w:rPr>
      </w:pPr>
      <w:r>
        <w:rPr>
          <w:color w:val="000000"/>
          <w:u w:val="single"/>
        </w:rPr>
        <w:t>Be it enacted by the Council as follows:</w:t>
      </w:r>
    </w:p>
    <w:p w14:paraId="233F63D7" w14:textId="77777777" w:rsidR="00C1070A" w:rsidRDefault="00C1070A" w:rsidP="00C1070A">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Section 1. Subdivision (d) of section 24-168 of the administrative code of the city of New York, as amended by local law 38 for the year 2015 and as further amended by local law 31 for the year 2018, is amended to read as follows:</w:t>
      </w:r>
    </w:p>
    <w:p w14:paraId="51E5F53D" w14:textId="77777777" w:rsidR="00C1070A" w:rsidRDefault="00C1070A" w:rsidP="00C1070A">
      <w:pPr>
        <w:pStyle w:val="NormalWeb"/>
        <w:shd w:val="clear" w:color="auto" w:fill="FFFFFF"/>
        <w:spacing w:before="0" w:beforeAutospacing="0" w:after="0" w:afterAutospacing="0" w:line="480" w:lineRule="auto"/>
        <w:ind w:firstLine="720"/>
        <w:jc w:val="both"/>
        <w:rPr>
          <w:rFonts w:ascii="Times" w:hAnsi="Times"/>
          <w:color w:val="000000"/>
          <w:sz w:val="27"/>
          <w:szCs w:val="27"/>
        </w:rPr>
      </w:pPr>
      <w:r>
        <w:rPr>
          <w:color w:val="000000"/>
        </w:rPr>
        <w:t>(d) Except as provided in subdivision (f) of this section, no person shall cause or permit a boiler to burn fuel oil grade no. 4 on or after [January 1, 2030, or for a boiler used to generate electricity and/or steam in an electric, steam, or combined electric and steam generation facility, on or after] January 1, 2025</w:t>
      </w:r>
      <w:r>
        <w:rPr>
          <w:color w:val="000000"/>
          <w:u w:val="single"/>
        </w:rPr>
        <w:t>; and on or after December 31, 2023, for the following boilers: (i) a boiler that uses natural gas as primary fuel and fuel oil grade no. 4 as a backup fuel, other than a boiler used to generate electricity and/or steam in an electric, steam, or combined electric and steam generation facility, (ii) a boiler that uses an above-ground oil storage tank, other than a boiler used to generate electricity and/or steam in an electric, steam, or combined electric and steam generation facility or (iii) a newly installed boiler</w:t>
      </w:r>
      <w:r>
        <w:rPr>
          <w:color w:val="000000"/>
        </w:rPr>
        <w:t>.</w:t>
      </w:r>
    </w:p>
    <w:p w14:paraId="7DFDFF98" w14:textId="1E00FE58" w:rsidR="00C1070A" w:rsidRDefault="00C1070A" w:rsidP="00B81284">
      <w:pPr>
        <w:pStyle w:val="NormalWeb"/>
        <w:shd w:val="clear" w:color="auto" w:fill="FFFFFF"/>
        <w:spacing w:before="0" w:beforeAutospacing="0" w:after="0" w:afterAutospacing="0" w:line="480" w:lineRule="auto"/>
        <w:ind w:firstLine="720"/>
        <w:jc w:val="both"/>
        <w:rPr>
          <w:color w:val="000000"/>
        </w:rPr>
      </w:pPr>
      <w:r>
        <w:rPr>
          <w:color w:val="000000"/>
        </w:rPr>
        <w:t>§ 2. This local law takes effect immediately.</w:t>
      </w:r>
    </w:p>
    <w:p w14:paraId="272A2F71" w14:textId="77777777" w:rsidR="00B81284" w:rsidRDefault="00B81284" w:rsidP="00B81284">
      <w:pPr>
        <w:pStyle w:val="NormalWeb"/>
        <w:shd w:val="clear" w:color="auto" w:fill="FFFFFF"/>
        <w:spacing w:before="0" w:beforeAutospacing="0" w:after="0" w:afterAutospacing="0" w:line="480" w:lineRule="auto"/>
        <w:ind w:firstLine="720"/>
        <w:jc w:val="both"/>
        <w:rPr>
          <w:color w:val="000000"/>
        </w:rPr>
      </w:pPr>
    </w:p>
    <w:p w14:paraId="19AF2D9D"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r>
        <w:rPr>
          <w:color w:val="000000"/>
          <w:sz w:val="18"/>
          <w:szCs w:val="18"/>
        </w:rPr>
        <w:t>:</w:t>
      </w:r>
    </w:p>
    <w:p w14:paraId="7075B05B"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6DFB8878"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LS # 274, 7235, 8817</w:t>
      </w:r>
    </w:p>
    <w:p w14:paraId="65AF55B5"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4/22/2022 12:50 pm</w:t>
      </w:r>
    </w:p>
    <w:p w14:paraId="1277F32C"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1EB8A079"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11</w:t>
      </w:r>
      <w:r>
        <w:rPr>
          <w:color w:val="000000"/>
          <w:sz w:val="18"/>
          <w:szCs w:val="18"/>
        </w:rPr>
        <w:t>:</w:t>
      </w:r>
    </w:p>
    <w:p w14:paraId="2BF1125B"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SS</w:t>
      </w:r>
    </w:p>
    <w:p w14:paraId="5A5A0313"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LS #1608 / Int. 980-2018</w:t>
      </w:r>
    </w:p>
    <w:p w14:paraId="4A34DDD2" w14:textId="77777777" w:rsidR="00B81284" w:rsidRDefault="00B81284" w:rsidP="00B81284">
      <w:pPr>
        <w:pStyle w:val="NormalWeb"/>
        <w:shd w:val="clear" w:color="auto" w:fill="FFFFFF"/>
        <w:spacing w:before="0" w:beforeAutospacing="0" w:after="0" w:afterAutospacing="0"/>
        <w:jc w:val="both"/>
        <w:rPr>
          <w:color w:val="000000"/>
          <w:sz w:val="27"/>
          <w:szCs w:val="27"/>
        </w:rPr>
      </w:pPr>
      <w:r>
        <w:rPr>
          <w:color w:val="000000"/>
          <w:sz w:val="18"/>
          <w:szCs w:val="18"/>
        </w:rPr>
        <w:t>5/23/2018</w:t>
      </w:r>
    </w:p>
    <w:p w14:paraId="0C615AC9" w14:textId="77777777" w:rsidR="00B81284" w:rsidRPr="00B81284" w:rsidRDefault="00B81284" w:rsidP="00B81284">
      <w:pPr>
        <w:pStyle w:val="NormalWeb"/>
        <w:shd w:val="clear" w:color="auto" w:fill="FFFFFF"/>
        <w:spacing w:before="0" w:beforeAutospacing="0" w:after="0" w:afterAutospacing="0" w:line="480" w:lineRule="auto"/>
        <w:jc w:val="both"/>
        <w:rPr>
          <w:color w:val="000000"/>
        </w:rPr>
      </w:pPr>
    </w:p>
    <w:p w14:paraId="59D602EA" w14:textId="77777777" w:rsidR="00C1070A" w:rsidRDefault="00C1070A" w:rsidP="00CA5946">
      <w:pPr>
        <w:spacing w:line="480" w:lineRule="auto"/>
        <w:ind w:firstLine="0"/>
        <w:jc w:val="both"/>
        <w:rPr>
          <w:rFonts w:ascii="Times New Roman Bold" w:hAnsi="Times New Roman Bold"/>
          <w:b/>
          <w:smallCaps/>
        </w:rPr>
      </w:pPr>
    </w:p>
    <w:p w14:paraId="3E88E204" w14:textId="77777777" w:rsidR="00C1070A" w:rsidRDefault="00C1070A" w:rsidP="00CA5946">
      <w:pPr>
        <w:spacing w:line="480" w:lineRule="auto"/>
        <w:ind w:firstLine="0"/>
        <w:jc w:val="both"/>
        <w:rPr>
          <w:rFonts w:ascii="Times New Roman Bold" w:hAnsi="Times New Roman Bold"/>
          <w:b/>
          <w:smallCaps/>
        </w:rPr>
      </w:pPr>
    </w:p>
    <w:p w14:paraId="0DD4F78A" w14:textId="77777777" w:rsidR="00C1070A" w:rsidRDefault="00C1070A" w:rsidP="00CA5946">
      <w:pPr>
        <w:spacing w:line="480" w:lineRule="auto"/>
        <w:ind w:firstLine="0"/>
        <w:jc w:val="both"/>
        <w:rPr>
          <w:rFonts w:ascii="Times New Roman Bold" w:hAnsi="Times New Roman Bold"/>
          <w:b/>
          <w:smallCaps/>
        </w:rPr>
      </w:pPr>
    </w:p>
    <w:p w14:paraId="3553B604" w14:textId="77777777" w:rsidR="00C1070A" w:rsidRDefault="00C1070A" w:rsidP="00CA5946">
      <w:pPr>
        <w:spacing w:line="480" w:lineRule="auto"/>
        <w:ind w:firstLine="0"/>
        <w:jc w:val="both"/>
        <w:rPr>
          <w:rFonts w:ascii="Times New Roman Bold" w:hAnsi="Times New Roman Bold"/>
          <w:b/>
          <w:smallCaps/>
        </w:rPr>
      </w:pPr>
    </w:p>
    <w:sectPr w:rsidR="00C1070A">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8C293" w16cex:dateUtc="2022-06-06T22:14:00Z"/>
  <w16cex:commentExtensible w16cex:durableId="2648C2E1" w16cex:dateUtc="2022-06-06T22:16:00Z"/>
  <w16cex:commentExtensible w16cex:durableId="2648C2E8" w16cex:dateUtc="2022-06-06T22:16:00Z"/>
  <w16cex:commentExtensible w16cex:durableId="2648C24F" w16cex:dateUtc="2022-06-06T22:13:00Z"/>
  <w16cex:commentExtensible w16cex:durableId="2648C120" w16cex:dateUtc="2022-06-06T22:08:00Z"/>
  <w16cex:commentExtensible w16cex:durableId="2648C15F" w16cex:dateUtc="2022-06-06T2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349625" w16cid:durableId="2648C293"/>
  <w16cid:commentId w16cid:paraId="0852BAE2" w16cid:durableId="2648C2E1"/>
  <w16cid:commentId w16cid:paraId="3656921D" w16cid:durableId="2648C2E8"/>
  <w16cid:commentId w16cid:paraId="57412997" w16cid:durableId="2648C24F"/>
  <w16cid:commentId w16cid:paraId="49EEE280" w16cid:durableId="2648C120"/>
  <w16cid:commentId w16cid:paraId="12D9152E" w16cid:durableId="2648C1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338FA" w14:textId="77777777" w:rsidR="000476CD" w:rsidRDefault="000476CD" w:rsidP="0062350F">
      <w:r>
        <w:separator/>
      </w:r>
    </w:p>
  </w:endnote>
  <w:endnote w:type="continuationSeparator" w:id="0">
    <w:p w14:paraId="3025851F" w14:textId="77777777" w:rsidR="000476CD" w:rsidRDefault="000476CD" w:rsidP="0062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altName w:val="﷽﷽﷽﷽﷽﷽﷽﷽=쐀练翱"/>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89932141"/>
      <w:docPartObj>
        <w:docPartGallery w:val="Page Numbers (Bottom of Page)"/>
        <w:docPartUnique/>
      </w:docPartObj>
    </w:sdtPr>
    <w:sdtEndPr>
      <w:rPr>
        <w:rStyle w:val="PageNumber"/>
      </w:rPr>
    </w:sdtEndPr>
    <w:sdtContent>
      <w:p w14:paraId="036ADDC0" w14:textId="1A71A29F" w:rsidR="004765CC" w:rsidRDefault="004765CC" w:rsidP="008B7E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34B75A" w14:textId="77777777" w:rsidR="004765CC" w:rsidRDefault="004765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76940937"/>
      <w:docPartObj>
        <w:docPartGallery w:val="Page Numbers (Bottom of Page)"/>
        <w:docPartUnique/>
      </w:docPartObj>
    </w:sdtPr>
    <w:sdtEndPr>
      <w:rPr>
        <w:rStyle w:val="PageNumber"/>
      </w:rPr>
    </w:sdtEndPr>
    <w:sdtContent>
      <w:p w14:paraId="66D1F8BC" w14:textId="5B43EA8B" w:rsidR="004765CC" w:rsidRDefault="004765CC" w:rsidP="008B7E0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FD78C0">
          <w:rPr>
            <w:rStyle w:val="PageNumber"/>
            <w:noProof/>
          </w:rPr>
          <w:t>10</w:t>
        </w:r>
        <w:r>
          <w:rPr>
            <w:rStyle w:val="PageNumber"/>
          </w:rPr>
          <w:fldChar w:fldCharType="end"/>
        </w:r>
      </w:p>
    </w:sdtContent>
  </w:sdt>
  <w:p w14:paraId="3F70D617" w14:textId="77777777" w:rsidR="004765CC" w:rsidRDefault="00476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8B201" w14:textId="77777777" w:rsidR="000476CD" w:rsidRDefault="000476CD" w:rsidP="0062350F">
      <w:r>
        <w:separator/>
      </w:r>
    </w:p>
  </w:footnote>
  <w:footnote w:type="continuationSeparator" w:id="0">
    <w:p w14:paraId="695D2EF8" w14:textId="77777777" w:rsidR="000476CD" w:rsidRDefault="000476CD" w:rsidP="0062350F">
      <w:r>
        <w:continuationSeparator/>
      </w:r>
    </w:p>
  </w:footnote>
  <w:footnote w:id="1">
    <w:p w14:paraId="0E9BE5BC" w14:textId="5F91ACF9" w:rsidR="00122282" w:rsidRDefault="00122282" w:rsidP="00B81284">
      <w:pPr>
        <w:pStyle w:val="FootnoteText"/>
        <w:ind w:firstLine="0"/>
      </w:pPr>
      <w:r>
        <w:rPr>
          <w:rStyle w:val="FootnoteReference"/>
        </w:rPr>
        <w:footnoteRef/>
      </w:r>
      <w:r>
        <w:t xml:space="preserve"> Local Law 43 of 2010. New York City Council.  </w:t>
      </w:r>
      <w:r w:rsidRPr="00122282">
        <w:t>https://legistar.council.nyc.gov/LegislationDetail.aspx?ID=660184&amp;GUID=0F06CC07-D87E-42B1-8FB3-A7FB7E27CCCC</w:t>
      </w:r>
    </w:p>
  </w:footnote>
  <w:footnote w:id="2">
    <w:p w14:paraId="2689D84D" w14:textId="72F6DC9D" w:rsidR="00506BB4" w:rsidRPr="00DB0325" w:rsidRDefault="00506BB4" w:rsidP="00DB0325">
      <w:pPr>
        <w:tabs>
          <w:tab w:val="left" w:pos="110"/>
        </w:tabs>
        <w:spacing w:line="238" w:lineRule="auto"/>
        <w:ind w:right="700" w:firstLine="0"/>
        <w:rPr>
          <w:color w:val="0563C1"/>
          <w:sz w:val="18"/>
          <w:szCs w:val="18"/>
          <w:u w:val="single"/>
        </w:rPr>
      </w:pPr>
      <w:r>
        <w:rPr>
          <w:rStyle w:val="FootnoteReference"/>
        </w:rPr>
        <w:footnoteRef/>
      </w:r>
      <w:r>
        <w:t xml:space="preserve"> </w:t>
      </w:r>
      <w:r w:rsidR="003B09F8">
        <w:rPr>
          <w:sz w:val="18"/>
          <w:szCs w:val="18"/>
        </w:rPr>
        <w:t xml:space="preserve">New Rule Will End New York City Use of Worst Heating Oils, Give Big Apple Citizens Dramatically Cleaner Air. Environmenatl Defense Fund. April, 2011. </w:t>
      </w:r>
      <w:hyperlink r:id="rId1" w:history="1">
        <w:r w:rsidR="003B09F8" w:rsidRPr="008B7E08">
          <w:rPr>
            <w:rStyle w:val="Hyperlink"/>
            <w:sz w:val="18"/>
            <w:szCs w:val="18"/>
          </w:rPr>
          <w:t>https://www.edf.org/news/new-rule-will-end-new-york-city-use-worst-heating-oils-give-big-apple-citizens-dramatically-cle</w:t>
        </w:r>
      </w:hyperlink>
      <w:r w:rsidR="003B09F8">
        <w:rPr>
          <w:sz w:val="18"/>
          <w:szCs w:val="18"/>
        </w:rPr>
        <w:t xml:space="preserve"> </w:t>
      </w:r>
      <w:r w:rsidR="00DB0325">
        <w:rPr>
          <w:sz w:val="18"/>
          <w:szCs w:val="18"/>
        </w:rPr>
        <w:t>(Last accessed 6/3/22)</w:t>
      </w:r>
    </w:p>
  </w:footnote>
  <w:footnote w:id="3">
    <w:p w14:paraId="4CB29517" w14:textId="4985B296" w:rsidR="00506BB4" w:rsidRPr="00DB0325" w:rsidRDefault="00506BB4" w:rsidP="00DB0325">
      <w:pPr>
        <w:spacing w:line="253" w:lineRule="auto"/>
        <w:ind w:right="20" w:firstLine="0"/>
        <w:rPr>
          <w:sz w:val="18"/>
          <w:szCs w:val="18"/>
        </w:rPr>
      </w:pPr>
      <w:r>
        <w:rPr>
          <w:rStyle w:val="FootnoteReference"/>
        </w:rPr>
        <w:footnoteRef/>
      </w:r>
      <w:r>
        <w:t xml:space="preserve"> </w:t>
      </w:r>
      <w:r w:rsidR="00966D60">
        <w:rPr>
          <w:sz w:val="18"/>
          <w:szCs w:val="18"/>
        </w:rPr>
        <w:t>Id.</w:t>
      </w:r>
    </w:p>
  </w:footnote>
  <w:footnote w:id="4">
    <w:p w14:paraId="444A02D3" w14:textId="07009AB5" w:rsidR="002444B5" w:rsidRDefault="002444B5" w:rsidP="00B81284">
      <w:pPr>
        <w:pStyle w:val="FootnoteText"/>
        <w:ind w:firstLine="0"/>
      </w:pPr>
      <w:r>
        <w:rPr>
          <w:rStyle w:val="FootnoteReference"/>
        </w:rPr>
        <w:footnoteRef/>
      </w:r>
      <w:r>
        <w:t xml:space="preserve"> Local Law 38 of 2015, New York City Council</w:t>
      </w:r>
    </w:p>
    <w:p w14:paraId="3D3BD172" w14:textId="243E9CAE" w:rsidR="002444B5" w:rsidRDefault="002444B5" w:rsidP="00B81284">
      <w:pPr>
        <w:pStyle w:val="FootnoteText"/>
        <w:ind w:firstLine="0"/>
      </w:pPr>
      <w:r w:rsidRPr="002444B5">
        <w:t>https://www1.nyc.gov/assets/buildings/local_laws/ll38of2015.pdf</w:t>
      </w:r>
    </w:p>
  </w:footnote>
  <w:footnote w:id="5">
    <w:p w14:paraId="79EBB556" w14:textId="3803DCEF" w:rsidR="00CF32E2" w:rsidRPr="00CF32E2" w:rsidRDefault="00CF32E2" w:rsidP="00CF32E2">
      <w:pPr>
        <w:pStyle w:val="FootnoteText"/>
        <w:ind w:firstLine="0"/>
        <w:rPr>
          <w:sz w:val="18"/>
          <w:szCs w:val="18"/>
        </w:rPr>
      </w:pPr>
      <w:r>
        <w:rPr>
          <w:rStyle w:val="FootnoteReference"/>
        </w:rPr>
        <w:footnoteRef/>
      </w:r>
      <w:r>
        <w:t xml:space="preserve"> </w:t>
      </w:r>
      <w:r w:rsidRPr="00CF32E2">
        <w:rPr>
          <w:sz w:val="18"/>
          <w:szCs w:val="18"/>
        </w:rPr>
        <w:t>Mayor de Blasio and DEP Announce That All 5,300 Buildings Have Discontinued Use of Most Polluting Heating Oil, Leading to Significantly Cleaner Air</w:t>
      </w:r>
      <w:r>
        <w:rPr>
          <w:sz w:val="18"/>
          <w:szCs w:val="18"/>
        </w:rPr>
        <w:t xml:space="preserve">. NYC Office of the Mayor. </w:t>
      </w:r>
      <w:hyperlink r:id="rId2" w:history="1">
        <w:r w:rsidRPr="008B7E08">
          <w:rPr>
            <w:rStyle w:val="Hyperlink"/>
            <w:sz w:val="18"/>
            <w:szCs w:val="18"/>
          </w:rPr>
          <w:t>https://www1.nyc.gov/office-of-the-mayor/news/152-16/mayor-de-blasio-dep-that-all-5-300-buildings-have-discontinued-use-most-polluting</w:t>
        </w:r>
      </w:hyperlink>
      <w:r>
        <w:rPr>
          <w:sz w:val="18"/>
          <w:szCs w:val="18"/>
        </w:rPr>
        <w:t xml:space="preserve"> (last accessed 6/3/22)</w:t>
      </w:r>
    </w:p>
  </w:footnote>
  <w:footnote w:id="6">
    <w:p w14:paraId="12848D44" w14:textId="2E4740A3" w:rsidR="00076C27" w:rsidRPr="00DB0325" w:rsidRDefault="00076C27" w:rsidP="00CF32E2">
      <w:pPr>
        <w:spacing w:line="253" w:lineRule="auto"/>
        <w:ind w:right="20" w:firstLine="0"/>
      </w:pPr>
      <w:r>
        <w:rPr>
          <w:rStyle w:val="FootnoteReference"/>
        </w:rPr>
        <w:footnoteRef/>
      </w:r>
      <w:r>
        <w:t xml:space="preserve"> </w:t>
      </w:r>
      <w:r w:rsidR="00966D60">
        <w:rPr>
          <w:sz w:val="18"/>
          <w:szCs w:val="18"/>
        </w:rPr>
        <w:t xml:space="preserve">United States Energy Information Administration. Distillate Fuel Oil.  </w:t>
      </w:r>
      <w:hyperlink r:id="rId3" w:history="1">
        <w:r w:rsidR="00966D60" w:rsidRPr="008B7E08">
          <w:rPr>
            <w:rStyle w:val="Hyperlink"/>
            <w:sz w:val="18"/>
            <w:szCs w:val="18"/>
          </w:rPr>
          <w:t>https://www.eia.gov/tools/glossary/index.php?id=Distillate%20fuel%20oil</w:t>
        </w:r>
      </w:hyperlink>
      <w:r w:rsidR="00966D60">
        <w:rPr>
          <w:sz w:val="18"/>
          <w:szCs w:val="18"/>
        </w:rPr>
        <w:t xml:space="preserve"> (Last accessed 6/3/22)</w:t>
      </w:r>
    </w:p>
  </w:footnote>
  <w:footnote w:id="7">
    <w:p w14:paraId="7E97EA87" w14:textId="04467B18" w:rsidR="00076C27" w:rsidRDefault="00076C27" w:rsidP="00076C27">
      <w:pPr>
        <w:pStyle w:val="FootnoteText"/>
        <w:ind w:firstLine="0"/>
      </w:pPr>
      <w:r w:rsidRPr="00DB0325">
        <w:rPr>
          <w:rStyle w:val="FootnoteReference"/>
          <w:sz w:val="18"/>
          <w:szCs w:val="18"/>
        </w:rPr>
        <w:footnoteRef/>
      </w:r>
      <w:r w:rsidRPr="00DB0325">
        <w:rPr>
          <w:sz w:val="18"/>
          <w:szCs w:val="18"/>
        </w:rPr>
        <w:t xml:space="preserve"> </w:t>
      </w:r>
      <w:r w:rsidR="00DB0325" w:rsidRPr="00DB0325">
        <w:rPr>
          <w:sz w:val="18"/>
          <w:szCs w:val="18"/>
        </w:rPr>
        <w:t>Id.</w:t>
      </w:r>
      <w:r w:rsidR="00DB0325">
        <w:t xml:space="preserve"> </w:t>
      </w:r>
    </w:p>
  </w:footnote>
  <w:footnote w:id="8">
    <w:p w14:paraId="3B32EC4D" w14:textId="699CF385" w:rsidR="00076C27" w:rsidRPr="00DB0325" w:rsidRDefault="00076C27" w:rsidP="00076C27">
      <w:pPr>
        <w:pStyle w:val="FootnoteText"/>
        <w:ind w:firstLine="0"/>
        <w:rPr>
          <w:sz w:val="18"/>
          <w:szCs w:val="18"/>
        </w:rPr>
      </w:pPr>
      <w:r>
        <w:rPr>
          <w:rStyle w:val="FootnoteReference"/>
        </w:rPr>
        <w:footnoteRef/>
      </w:r>
      <w:r>
        <w:t xml:space="preserve"> </w:t>
      </w:r>
      <w:r w:rsidR="00DB0325">
        <w:rPr>
          <w:sz w:val="18"/>
          <w:szCs w:val="18"/>
        </w:rPr>
        <w:t xml:space="preserve">Id. </w:t>
      </w:r>
    </w:p>
  </w:footnote>
  <w:footnote w:id="9">
    <w:p w14:paraId="688BE530" w14:textId="4D474675" w:rsidR="00076C27" w:rsidRDefault="00076C27" w:rsidP="00076C27">
      <w:pPr>
        <w:pStyle w:val="FootnoteText"/>
        <w:ind w:firstLine="0"/>
      </w:pPr>
      <w:r>
        <w:rPr>
          <w:rStyle w:val="FootnoteReference"/>
        </w:rPr>
        <w:footnoteRef/>
      </w:r>
      <w:r>
        <w:t xml:space="preserve"> </w:t>
      </w:r>
      <w:r w:rsidR="00DB0325" w:rsidRPr="00DB0325">
        <w:rPr>
          <w:sz w:val="18"/>
          <w:szCs w:val="18"/>
        </w:rPr>
        <w:t>Id.</w:t>
      </w:r>
    </w:p>
  </w:footnote>
  <w:footnote w:id="10">
    <w:p w14:paraId="28890CC0" w14:textId="7E4FEF48" w:rsidR="00076C27" w:rsidRPr="00A22519" w:rsidRDefault="00076C27" w:rsidP="00A22519">
      <w:pPr>
        <w:tabs>
          <w:tab w:val="left" w:pos="110"/>
        </w:tabs>
        <w:spacing w:line="238" w:lineRule="auto"/>
        <w:ind w:right="700" w:firstLine="0"/>
        <w:rPr>
          <w:color w:val="0563C1"/>
          <w:sz w:val="18"/>
          <w:szCs w:val="18"/>
          <w:u w:val="single"/>
        </w:rPr>
      </w:pPr>
      <w:r>
        <w:rPr>
          <w:rStyle w:val="FootnoteReference"/>
        </w:rPr>
        <w:footnoteRef/>
      </w:r>
      <w:r>
        <w:t xml:space="preserve"> </w:t>
      </w:r>
      <w:r w:rsidR="00A22519" w:rsidRPr="00DB0325">
        <w:rPr>
          <w:sz w:val="18"/>
          <w:szCs w:val="18"/>
        </w:rPr>
        <w:t>Environmental Defense Fund and Urban Green Council, “The bottom of the barrel, HOW THE DIRTIEST HEATING OIL POLLUTES OUR AIR AND HARMS OUR HEALTH” December 21, 2009</w:t>
      </w:r>
      <w:r w:rsidR="00A22519">
        <w:rPr>
          <w:sz w:val="20"/>
          <w:szCs w:val="20"/>
        </w:rPr>
        <w:t xml:space="preserve"> </w:t>
      </w:r>
      <w:r w:rsidR="00A22519" w:rsidRPr="00DB0325">
        <w:rPr>
          <w:sz w:val="18"/>
          <w:szCs w:val="18"/>
        </w:rPr>
        <w:t xml:space="preserve">available at </w:t>
      </w:r>
      <w:hyperlink r:id="rId4">
        <w:r w:rsidR="00A22519" w:rsidRPr="00DB0325">
          <w:rPr>
            <w:color w:val="0563C1"/>
            <w:sz w:val="18"/>
            <w:szCs w:val="18"/>
            <w:u w:val="single"/>
          </w:rPr>
          <w:t>https://www.edf.org/sites/default/files/10086_EDF_BottomBarrel_Exec_Summ.pdf</w:t>
        </w:r>
      </w:hyperlink>
      <w:r w:rsidR="00A22519">
        <w:rPr>
          <w:color w:val="0563C1"/>
          <w:sz w:val="18"/>
          <w:szCs w:val="18"/>
          <w:u w:val="single"/>
        </w:rPr>
        <w:t xml:space="preserve"> </w:t>
      </w:r>
      <w:r w:rsidR="00A22519">
        <w:rPr>
          <w:sz w:val="18"/>
          <w:szCs w:val="18"/>
        </w:rPr>
        <w:t>(Last accessed 6/3/22)</w:t>
      </w:r>
    </w:p>
  </w:footnote>
  <w:footnote w:id="11">
    <w:p w14:paraId="2C5035C6" w14:textId="4CB7F244" w:rsidR="00076C27" w:rsidRPr="00A22519" w:rsidRDefault="00076C27" w:rsidP="00A22519">
      <w:pPr>
        <w:spacing w:line="253" w:lineRule="auto"/>
        <w:ind w:right="180" w:firstLine="0"/>
        <w:rPr>
          <w:sz w:val="19"/>
          <w:szCs w:val="19"/>
        </w:rPr>
      </w:pPr>
      <w:r>
        <w:rPr>
          <w:rStyle w:val="FootnoteReference"/>
        </w:rPr>
        <w:footnoteRef/>
      </w:r>
      <w:r>
        <w:t xml:space="preserve"> </w:t>
      </w:r>
      <w:r w:rsidR="00A22519" w:rsidRPr="00A22519">
        <w:rPr>
          <w:sz w:val="18"/>
          <w:szCs w:val="18"/>
        </w:rPr>
        <w:t xml:space="preserve">ASTM International, Standard Specification for Fuel Oils available at </w:t>
      </w:r>
      <w:hyperlink r:id="rId5">
        <w:r w:rsidR="00A22519" w:rsidRPr="00A22519">
          <w:rPr>
            <w:color w:val="0563C1"/>
            <w:sz w:val="18"/>
            <w:szCs w:val="18"/>
            <w:u w:val="single"/>
          </w:rPr>
          <w:t>https://www.astm.org/Standards/D396.htm</w:t>
        </w:r>
      </w:hyperlink>
      <w:r w:rsidR="00A22519" w:rsidRPr="00A22519">
        <w:rPr>
          <w:sz w:val="18"/>
          <w:szCs w:val="18"/>
        </w:rPr>
        <w:t xml:space="preserve"> 7 InspectAPedia, Encyclopedia of Building &amp; Environmental Inspection, Testing, Diagnosis, Repair, page on “Heating Oil &amp; Fuel Oil Properties Guide” available at </w:t>
      </w:r>
      <w:hyperlink r:id="rId6">
        <w:r w:rsidR="00A22519" w:rsidRPr="00A22519">
          <w:rPr>
            <w:color w:val="0563C1"/>
            <w:sz w:val="18"/>
            <w:szCs w:val="18"/>
            <w:u w:val="single"/>
          </w:rPr>
          <w:t>https://www.astm.org/Standards/D396.htm</w:t>
        </w:r>
      </w:hyperlink>
    </w:p>
  </w:footnote>
  <w:footnote w:id="12">
    <w:p w14:paraId="67BD4B03" w14:textId="3C0FF5E9" w:rsidR="00076C27" w:rsidRDefault="00076C27" w:rsidP="00076C27">
      <w:pPr>
        <w:pStyle w:val="FootnoteText"/>
        <w:ind w:firstLine="0"/>
      </w:pPr>
      <w:r>
        <w:rPr>
          <w:rStyle w:val="FootnoteReference"/>
        </w:rPr>
        <w:footnoteRef/>
      </w:r>
      <w:r>
        <w:t xml:space="preserve"> </w:t>
      </w:r>
      <w:r w:rsidR="00A22519">
        <w:t xml:space="preserve">Id. </w:t>
      </w:r>
    </w:p>
  </w:footnote>
  <w:footnote w:id="13">
    <w:p w14:paraId="560F02DC" w14:textId="77E7ADBE" w:rsidR="00076C27" w:rsidRDefault="00076C27" w:rsidP="00A22519">
      <w:pPr>
        <w:pStyle w:val="FootnoteText"/>
        <w:ind w:firstLine="0"/>
      </w:pPr>
      <w:r>
        <w:rPr>
          <w:rStyle w:val="FootnoteReference"/>
        </w:rPr>
        <w:footnoteRef/>
      </w:r>
      <w:r>
        <w:t xml:space="preserve"> </w:t>
      </w:r>
      <w:r w:rsidR="00A22519">
        <w:rPr>
          <w:sz w:val="19"/>
          <w:szCs w:val="19"/>
        </w:rPr>
        <w:t>NYC Clean Heat, webpage available at</w:t>
      </w:r>
      <w:r w:rsidR="00A22519">
        <w:rPr>
          <w:sz w:val="13"/>
          <w:szCs w:val="13"/>
        </w:rPr>
        <w:t xml:space="preserve"> </w:t>
      </w:r>
      <w:hyperlink r:id="rId7">
        <w:r w:rsidR="00A22519">
          <w:rPr>
            <w:color w:val="0563C1"/>
            <w:sz w:val="19"/>
            <w:szCs w:val="19"/>
            <w:u w:val="single"/>
          </w:rPr>
          <w:t>https://www.nyccleanheat.org/content/problem</w:t>
        </w:r>
        <w:r w:rsidR="00A22519">
          <w:rPr>
            <w:sz w:val="13"/>
            <w:szCs w:val="13"/>
            <w:u w:val="single"/>
          </w:rPr>
          <w:t xml:space="preserve"> </w:t>
        </w:r>
      </w:hyperlink>
    </w:p>
  </w:footnote>
  <w:footnote w:id="14">
    <w:p w14:paraId="7E19B165" w14:textId="775D991D" w:rsidR="00076C27" w:rsidRDefault="00076C27" w:rsidP="00A22519">
      <w:pPr>
        <w:pStyle w:val="FootnoteText"/>
        <w:ind w:firstLine="0"/>
      </w:pPr>
      <w:r>
        <w:rPr>
          <w:rStyle w:val="FootnoteReference"/>
        </w:rPr>
        <w:footnoteRef/>
      </w:r>
      <w:r>
        <w:t xml:space="preserve"> </w:t>
      </w:r>
      <w:r w:rsidR="00A22519">
        <w:t xml:space="preserve">Id. </w:t>
      </w:r>
    </w:p>
  </w:footnote>
  <w:footnote w:id="15">
    <w:p w14:paraId="790D0A9D" w14:textId="7D1C0450" w:rsidR="00A22519" w:rsidRPr="00A22519" w:rsidRDefault="00A22519" w:rsidP="00A22519">
      <w:pPr>
        <w:pStyle w:val="FootnoteText"/>
        <w:ind w:firstLine="0"/>
        <w:rPr>
          <w:sz w:val="18"/>
          <w:szCs w:val="18"/>
        </w:rPr>
      </w:pPr>
      <w:r>
        <w:rPr>
          <w:rStyle w:val="FootnoteReference"/>
        </w:rPr>
        <w:footnoteRef/>
      </w:r>
      <w:r>
        <w:t xml:space="preserve"> </w:t>
      </w:r>
      <w:r w:rsidRPr="00A22519">
        <w:rPr>
          <w:sz w:val="18"/>
          <w:szCs w:val="18"/>
        </w:rPr>
        <w:t xml:space="preserve">U.S. Environmental Protection Agency. 8 Hour Ozone (2015) Designated Area/State Information. </w:t>
      </w:r>
      <w:hyperlink r:id="rId8" w:history="1">
        <w:r w:rsidRPr="00A22519">
          <w:rPr>
            <w:rStyle w:val="Hyperlink"/>
            <w:sz w:val="18"/>
            <w:szCs w:val="18"/>
          </w:rPr>
          <w:t>https://www3.epa.gov/airquality/greenbook/jbtc.html</w:t>
        </w:r>
      </w:hyperlink>
      <w:r w:rsidRPr="00A22519">
        <w:rPr>
          <w:rStyle w:val="Hyperlink"/>
          <w:sz w:val="18"/>
          <w:szCs w:val="18"/>
        </w:rPr>
        <w:t xml:space="preserve">  </w:t>
      </w:r>
      <w:r w:rsidRPr="00A22519">
        <w:rPr>
          <w:rStyle w:val="Hyperlink"/>
          <w:sz w:val="18"/>
          <w:szCs w:val="18"/>
          <w:u w:val="none"/>
        </w:rPr>
        <w:t>(last accessed 6/3/22)</w:t>
      </w:r>
    </w:p>
  </w:footnote>
  <w:footnote w:id="16">
    <w:p w14:paraId="5EE52526" w14:textId="5E9AA4D6" w:rsidR="00A22519" w:rsidRPr="00A22519" w:rsidRDefault="00A22519" w:rsidP="00A22519">
      <w:pPr>
        <w:pStyle w:val="FootnoteText"/>
        <w:ind w:firstLine="0"/>
        <w:rPr>
          <w:sz w:val="18"/>
          <w:szCs w:val="18"/>
        </w:rPr>
      </w:pPr>
      <w:r>
        <w:rPr>
          <w:rStyle w:val="FootnoteReference"/>
        </w:rPr>
        <w:footnoteRef/>
      </w:r>
      <w:r>
        <w:t xml:space="preserve"> </w:t>
      </w:r>
      <w:r w:rsidRPr="00A22519">
        <w:rPr>
          <w:sz w:val="18"/>
          <w:szCs w:val="18"/>
        </w:rPr>
        <w:t>Yackerson NS et al. 2014. The influence of air-suspended particulate concentration on the incidence of suicide attempts and exacerbation of schizophrenia. International journal of biometeorology, 58(1): 61-7.</w:t>
      </w:r>
    </w:p>
  </w:footnote>
  <w:footnote w:id="17">
    <w:p w14:paraId="0F022C1A" w14:textId="09306A9F" w:rsidR="00A22519" w:rsidRDefault="00A22519" w:rsidP="00A22519">
      <w:pPr>
        <w:pStyle w:val="FootnoteText"/>
        <w:ind w:firstLine="0"/>
      </w:pPr>
      <w:r>
        <w:rPr>
          <w:rStyle w:val="FootnoteReference"/>
        </w:rPr>
        <w:footnoteRef/>
      </w:r>
      <w:r>
        <w:t xml:space="preserve"> </w:t>
      </w:r>
      <w:r w:rsidRPr="00A22519">
        <w:rPr>
          <w:sz w:val="18"/>
          <w:szCs w:val="18"/>
        </w:rPr>
        <w:t xml:space="preserve">D’Anguilli A. Severe Urban Outdoor Air Pollution and Children’s Structural and Functional Brain Development, From Evidence to Precautionary Strategic Action. Frontiers in Public Health. April, 2018. </w:t>
      </w:r>
      <w:hyperlink r:id="rId9" w:history="1">
        <w:r w:rsidRPr="00A22519">
          <w:rPr>
            <w:rStyle w:val="Hyperlink"/>
            <w:sz w:val="18"/>
            <w:szCs w:val="18"/>
          </w:rPr>
          <w:t>https://www.frontiersin.org/articles/10.3389/fpubh.2018.00095/full</w:t>
        </w:r>
      </w:hyperlink>
    </w:p>
  </w:footnote>
  <w:footnote w:id="18">
    <w:p w14:paraId="2FB1366C" w14:textId="32121193" w:rsidR="00A22519" w:rsidRDefault="00A22519" w:rsidP="00A22519">
      <w:pPr>
        <w:pStyle w:val="FootnoteText"/>
        <w:ind w:firstLine="0"/>
      </w:pPr>
      <w:r>
        <w:rPr>
          <w:rStyle w:val="FootnoteReference"/>
        </w:rPr>
        <w:footnoteRef/>
      </w:r>
      <w:r>
        <w:t xml:space="preserve"> </w:t>
      </w:r>
      <w:r w:rsidR="003D4040" w:rsidRPr="00B03220">
        <w:t>Hystad P, PJ Villeneuve, et al. 2015. Exposure to traffic-related air pollution and the risk of developing breast cancer among women in eight Canadian provinces: a case-control study. Environment international, 74: 240-8.</w:t>
      </w:r>
    </w:p>
  </w:footnote>
  <w:footnote w:id="19">
    <w:p w14:paraId="3BB6A55F" w14:textId="7A391522" w:rsidR="00A22519" w:rsidRDefault="00A22519" w:rsidP="00A22519">
      <w:pPr>
        <w:pStyle w:val="FootnoteText"/>
        <w:ind w:firstLine="0"/>
      </w:pPr>
      <w:r>
        <w:rPr>
          <w:rStyle w:val="FootnoteReference"/>
        </w:rPr>
        <w:footnoteRef/>
      </w:r>
      <w:r>
        <w:t xml:space="preserve"> </w:t>
      </w:r>
      <w:r w:rsidR="003D4040" w:rsidRPr="00B03220">
        <w:t>Prescott GJ, GR Cohen, et al. 1998. Urban air pollution and cardiopulmonary ill health: a 14.5 year time series study. Occupational and Environmental Medicine 55(10): 697-4.</w:t>
      </w:r>
    </w:p>
  </w:footnote>
  <w:footnote w:id="20">
    <w:p w14:paraId="3B887C73" w14:textId="7F9C7159" w:rsidR="00A22519" w:rsidRDefault="00A22519" w:rsidP="00A22519">
      <w:pPr>
        <w:pStyle w:val="FootnoteText"/>
        <w:ind w:firstLine="0"/>
      </w:pPr>
      <w:r>
        <w:rPr>
          <w:rStyle w:val="FootnoteReference"/>
        </w:rPr>
        <w:footnoteRef/>
      </w:r>
      <w:r>
        <w:t xml:space="preserve"> </w:t>
      </w:r>
      <w:r w:rsidR="003D4040" w:rsidRPr="00B03220">
        <w:t>Miller KA, DS Siscovick, et al. 2007. Long-term exposure to air pollution and incidence of cardiovascular events in women. New England Journal of Medicine 356(5): 447-58.</w:t>
      </w:r>
    </w:p>
  </w:footnote>
  <w:footnote w:id="21">
    <w:p w14:paraId="7C7D6149" w14:textId="2FB55440" w:rsidR="00A22519" w:rsidRDefault="00A22519" w:rsidP="00A22519">
      <w:pPr>
        <w:pStyle w:val="FootnoteText"/>
        <w:ind w:firstLine="0"/>
      </w:pPr>
      <w:r>
        <w:rPr>
          <w:rStyle w:val="FootnoteReference"/>
        </w:rPr>
        <w:footnoteRef/>
      </w:r>
      <w:r>
        <w:t xml:space="preserve"> </w:t>
      </w:r>
      <w:r w:rsidR="003D4040" w:rsidRPr="0071238B">
        <w:t>U.S Environmental Protection Agency. EnviroAtlas Eco-Health Relationship Browser. https://enviroatlas.epa.gov/enviroatlas/Tools/EcoHealth_RelationshipBrowser/index.html</w:t>
      </w:r>
    </w:p>
  </w:footnote>
  <w:footnote w:id="22">
    <w:p w14:paraId="12B0B0FA" w14:textId="4B733405" w:rsidR="00A22519" w:rsidRDefault="00A22519" w:rsidP="00A22519">
      <w:pPr>
        <w:pStyle w:val="FootnoteText"/>
        <w:ind w:firstLine="0"/>
      </w:pPr>
      <w:r>
        <w:rPr>
          <w:rStyle w:val="FootnoteReference"/>
        </w:rPr>
        <w:footnoteRef/>
      </w:r>
      <w:r>
        <w:t xml:space="preserve"> </w:t>
      </w:r>
      <w:r w:rsidR="003D4040">
        <w:t xml:space="preserve">Id. </w:t>
      </w:r>
    </w:p>
  </w:footnote>
  <w:footnote w:id="23">
    <w:p w14:paraId="0DC39AC2" w14:textId="73E5830C" w:rsidR="003D4040" w:rsidRDefault="003D4040" w:rsidP="003D4040">
      <w:pPr>
        <w:pStyle w:val="FootnoteText"/>
        <w:ind w:firstLine="0"/>
      </w:pPr>
      <w:r>
        <w:rPr>
          <w:rStyle w:val="FootnoteReference"/>
        </w:rPr>
        <w:footnoteRef/>
      </w:r>
      <w:r>
        <w:t xml:space="preserve"> </w:t>
      </w:r>
      <w:r>
        <w:rPr>
          <w:sz w:val="19"/>
          <w:szCs w:val="19"/>
        </w:rPr>
        <w:t xml:space="preserve">New York City Department of Environmental Protection, webpage on “Heating Oil” </w:t>
      </w:r>
      <w:r w:rsidRPr="003D4040">
        <w:t>https://web.archive.org/web/20120520131518/http://www.nyc.gov/html/dep/html/air/buildings_heating_oil.shtml</w:t>
      </w:r>
    </w:p>
  </w:footnote>
  <w:footnote w:id="24">
    <w:p w14:paraId="0C6997D0" w14:textId="3945AFF7" w:rsidR="003D4040" w:rsidRPr="003D4040" w:rsidRDefault="003D4040" w:rsidP="003D4040">
      <w:pPr>
        <w:pStyle w:val="FootnoteText"/>
        <w:ind w:firstLine="0"/>
        <w:rPr>
          <w:sz w:val="18"/>
          <w:szCs w:val="18"/>
        </w:rPr>
      </w:pPr>
      <w:r>
        <w:rPr>
          <w:rStyle w:val="FootnoteReference"/>
        </w:rPr>
        <w:footnoteRef/>
      </w:r>
      <w:r>
        <w:t xml:space="preserve"> </w:t>
      </w:r>
      <w:r>
        <w:rPr>
          <w:sz w:val="18"/>
          <w:szCs w:val="18"/>
        </w:rPr>
        <w:t xml:space="preserve">Mireya Navarro. City Issues Rule to Ban Dirtiest Oils at Buildings. </w:t>
      </w:r>
      <w:r w:rsidRPr="003D4040">
        <w:rPr>
          <w:sz w:val="18"/>
          <w:szCs w:val="18"/>
        </w:rPr>
        <w:t>New York Times</w:t>
      </w:r>
      <w:r>
        <w:t xml:space="preserve">. </w:t>
      </w:r>
      <w:r>
        <w:rPr>
          <w:sz w:val="18"/>
          <w:szCs w:val="18"/>
        </w:rPr>
        <w:t xml:space="preserve">April, 2011. </w:t>
      </w:r>
      <w:r w:rsidRPr="003D4040">
        <w:rPr>
          <w:sz w:val="18"/>
          <w:szCs w:val="18"/>
        </w:rPr>
        <w:t>https://www.nytimes.com/2011/04/22/nyregion/new-york-city-bans-dirtiest-heating-oils-at-buildings.html</w:t>
      </w:r>
    </w:p>
  </w:footnote>
  <w:footnote w:id="25">
    <w:p w14:paraId="3A852D2D" w14:textId="77777777" w:rsidR="005502FA" w:rsidRDefault="005502FA" w:rsidP="005502FA">
      <w:pPr>
        <w:pStyle w:val="FootnoteText"/>
        <w:ind w:firstLine="0"/>
      </w:pPr>
      <w:r>
        <w:rPr>
          <w:rStyle w:val="FootnoteReference"/>
        </w:rPr>
        <w:footnoteRef/>
      </w:r>
      <w:r>
        <w:t xml:space="preserve"> Id. </w:t>
      </w:r>
    </w:p>
  </w:footnote>
  <w:footnote w:id="26">
    <w:p w14:paraId="181D1DB2" w14:textId="77777777" w:rsidR="007B60D2" w:rsidRDefault="007B60D2" w:rsidP="007B60D2">
      <w:pPr>
        <w:pStyle w:val="FootnoteText"/>
        <w:ind w:firstLine="0"/>
      </w:pPr>
      <w:r>
        <w:rPr>
          <w:rStyle w:val="FootnoteReference"/>
        </w:rPr>
        <w:footnoteRef/>
      </w:r>
      <w:r>
        <w:t xml:space="preserve"> The Bottom of the Barrel. How the Dirtiest Heating Oil Pollutes Our Air and Harms Our Health. Environmental Defense Fund. December 2009. </w:t>
      </w:r>
      <w:hyperlink r:id="rId10" w:history="1">
        <w:r w:rsidRPr="006A17EF">
          <w:rPr>
            <w:rStyle w:val="Hyperlink"/>
          </w:rPr>
          <w:t>https://www.edf.org/sites/default/files/10085_EDF_Heating_Oil_Report.pdf</w:t>
        </w:r>
      </w:hyperlink>
      <w:r>
        <w:t xml:space="preserve">  Extrapolated from figures showing reductions switching from No. 6 to No. 2 fuel oil, assuming No. 4 is a 50/50 mixture. </w:t>
      </w:r>
    </w:p>
  </w:footnote>
  <w:footnote w:id="27">
    <w:p w14:paraId="3008E5EB" w14:textId="77777777" w:rsidR="007B60D2" w:rsidRDefault="007B60D2" w:rsidP="007B60D2">
      <w:pPr>
        <w:pStyle w:val="FootnoteText"/>
        <w:ind w:firstLine="0"/>
      </w:pPr>
      <w:r>
        <w:rPr>
          <w:rStyle w:val="FootnoteReference"/>
        </w:rPr>
        <w:footnoteRef/>
      </w:r>
      <w:r>
        <w:t xml:space="preserve"> Id.</w:t>
      </w:r>
    </w:p>
  </w:footnote>
  <w:footnote w:id="28">
    <w:p w14:paraId="6069414F" w14:textId="77777777" w:rsidR="007B60D2" w:rsidRDefault="007B60D2" w:rsidP="007B60D2">
      <w:pPr>
        <w:pStyle w:val="FootnoteText"/>
        <w:ind w:firstLine="0"/>
      </w:pPr>
      <w:r>
        <w:rPr>
          <w:rStyle w:val="FootnoteReference"/>
        </w:rPr>
        <w:footnoteRef/>
      </w:r>
      <w:r>
        <w:t xml:space="preserve"> Id.  </w:t>
      </w:r>
    </w:p>
  </w:footnote>
  <w:footnote w:id="29">
    <w:p w14:paraId="6E8F8D0C" w14:textId="4CF477EE" w:rsidR="009B6A0F" w:rsidRPr="009B6A0F" w:rsidRDefault="009B6A0F" w:rsidP="009B6A0F">
      <w:pPr>
        <w:pStyle w:val="FootnoteText"/>
        <w:ind w:firstLine="0"/>
        <w:rPr>
          <w:sz w:val="18"/>
          <w:szCs w:val="18"/>
        </w:rPr>
      </w:pPr>
      <w:r>
        <w:rPr>
          <w:rStyle w:val="FootnoteReference"/>
        </w:rPr>
        <w:footnoteRef/>
      </w:r>
      <w:r>
        <w:t xml:space="preserve"> </w:t>
      </w:r>
      <w:r w:rsidRPr="009B6A0F">
        <w:rPr>
          <w:sz w:val="18"/>
          <w:szCs w:val="18"/>
        </w:rPr>
        <w:t>Laden et al. Reduction in Fine Particulate Air Pollution and Mortality, Extended Follow-up of the Harvard Six Cities Study. The American Journal of Respiratory and Critical Care Medicine. March, 2006.</w:t>
      </w:r>
    </w:p>
  </w:footnote>
  <w:footnote w:id="30">
    <w:p w14:paraId="59EAD17C" w14:textId="0537BBF7" w:rsidR="009B6A0F" w:rsidRDefault="009B6A0F" w:rsidP="009B6A0F">
      <w:pPr>
        <w:pStyle w:val="FootnoteText"/>
        <w:ind w:firstLine="0"/>
      </w:pPr>
      <w:r>
        <w:rPr>
          <w:rStyle w:val="FootnoteReference"/>
        </w:rPr>
        <w:footnoteRef/>
      </w:r>
      <w:r>
        <w:t xml:space="preserve"> </w:t>
      </w:r>
      <w:r w:rsidRPr="009B6A0F">
        <w:rPr>
          <w:sz w:val="18"/>
          <w:szCs w:val="18"/>
        </w:rPr>
        <w:t>NYC Department of Health.</w:t>
      </w:r>
      <w:r>
        <w:t xml:space="preserve"> </w:t>
      </w:r>
      <w:r w:rsidRPr="009B6A0F">
        <w:rPr>
          <w:sz w:val="18"/>
          <w:szCs w:val="18"/>
        </w:rPr>
        <w:t xml:space="preserve">Air Pollution and the Health of New Yorkers. </w:t>
      </w:r>
      <w:hyperlink r:id="rId11" w:history="1">
        <w:r w:rsidRPr="008B7E08">
          <w:rPr>
            <w:rStyle w:val="Hyperlink"/>
            <w:sz w:val="18"/>
            <w:szCs w:val="18"/>
          </w:rPr>
          <w:t>https://www1.nyc.gov/assets/doh/downloads/pdf/eode/eode-air-quality-impact.pdf</w:t>
        </w:r>
      </w:hyperlink>
      <w:r>
        <w:rPr>
          <w:sz w:val="18"/>
          <w:szCs w:val="18"/>
        </w:rPr>
        <w:t xml:space="preserve"> (last accessed 6/3/22)</w:t>
      </w:r>
    </w:p>
  </w:footnote>
  <w:footnote w:id="31">
    <w:p w14:paraId="43D5225F" w14:textId="42AFFF5F" w:rsidR="009B6A0F" w:rsidRDefault="009B6A0F" w:rsidP="00B81284">
      <w:pPr>
        <w:spacing w:line="252" w:lineRule="auto"/>
        <w:ind w:right="280" w:firstLine="0"/>
      </w:pPr>
      <w:r w:rsidRPr="009B6A0F">
        <w:rPr>
          <w:rStyle w:val="FootnoteReference"/>
          <w:sz w:val="18"/>
          <w:szCs w:val="18"/>
        </w:rPr>
        <w:footnoteRef/>
      </w:r>
      <w:r w:rsidRPr="009B6A0F">
        <w:rPr>
          <w:sz w:val="18"/>
          <w:szCs w:val="18"/>
        </w:rPr>
        <w:t xml:space="preserve"> Source: New York City Department of Environmental Protection. DEP uses this table to calculate emission factors for different fuel grades. It is based on EPA’s AP-42. The only change was the ULS#2 PM2.5 emissions factors, which DEP calculated based on the linear decline in PM2.5 emissions associated with fuel sulfur content, were based on a report from Brookhaven Laboratory. The No. 4 emissions factors in the table are based on an estimated fuel mix containing No. 6 and No.2 factors. DEP uses these emissions factors for commercial/residential/institutional/industrial boilers.</w:t>
      </w:r>
    </w:p>
  </w:footnote>
  <w:footnote w:id="32">
    <w:p w14:paraId="6D21FF01" w14:textId="70F51E1E" w:rsidR="00FB56E1" w:rsidRDefault="00FB56E1" w:rsidP="00FB56E1">
      <w:pPr>
        <w:pStyle w:val="FootnoteText"/>
        <w:ind w:firstLine="0"/>
      </w:pPr>
      <w:r>
        <w:rPr>
          <w:rStyle w:val="FootnoteReference"/>
        </w:rPr>
        <w:footnoteRef/>
      </w:r>
      <w:r>
        <w:t xml:space="preserve"> New York City Community Air Survey. Neighborhood Air Quality 2008-20</w:t>
      </w:r>
      <w:r w:rsidR="00CA6A14">
        <w:t>20</w:t>
      </w:r>
      <w:r>
        <w:t xml:space="preserve"> </w:t>
      </w:r>
      <w:r w:rsidR="00CA6A14" w:rsidRPr="00CA6A14">
        <w:t>https://nyccas.cityofnewyork.us/nyccas2022/report/3</w:t>
      </w:r>
    </w:p>
  </w:footnote>
  <w:footnote w:id="33">
    <w:p w14:paraId="6AC2773D" w14:textId="283ACA97" w:rsidR="00FB56E1" w:rsidRDefault="00FB56E1" w:rsidP="00FB56E1">
      <w:pPr>
        <w:pStyle w:val="FootnoteText"/>
        <w:ind w:firstLine="0"/>
      </w:pPr>
      <w:r>
        <w:rPr>
          <w:rStyle w:val="FootnoteReference"/>
        </w:rPr>
        <w:footnoteRef/>
      </w:r>
      <w:r>
        <w:t xml:space="preserve"> Id. </w:t>
      </w:r>
    </w:p>
  </w:footnote>
  <w:footnote w:id="34">
    <w:p w14:paraId="4A32F1C3" w14:textId="7407EDC4" w:rsidR="00FB56E1" w:rsidRDefault="00FB56E1" w:rsidP="00FB56E1">
      <w:pPr>
        <w:pStyle w:val="FootnoteText"/>
        <w:ind w:firstLine="0"/>
      </w:pPr>
      <w:r>
        <w:rPr>
          <w:rStyle w:val="FootnoteReference"/>
        </w:rPr>
        <w:footnoteRef/>
      </w:r>
      <w:r>
        <w:t xml:space="preserve"> Id. </w:t>
      </w:r>
    </w:p>
  </w:footnote>
  <w:footnote w:id="35">
    <w:p w14:paraId="7942F9CB" w14:textId="0C452C1B" w:rsidR="00FB56E1" w:rsidRDefault="00FB56E1" w:rsidP="00FB56E1">
      <w:pPr>
        <w:pStyle w:val="FootnoteText"/>
        <w:ind w:firstLine="0"/>
      </w:pPr>
      <w:r>
        <w:rPr>
          <w:rStyle w:val="FootnoteReference"/>
        </w:rPr>
        <w:footnoteRef/>
      </w:r>
      <w:r>
        <w:t xml:space="preserve"> Id. </w:t>
      </w:r>
    </w:p>
  </w:footnote>
  <w:footnote w:id="36">
    <w:p w14:paraId="70A32CF5" w14:textId="013A4E7E" w:rsidR="00FB56E1" w:rsidRDefault="00FB56E1" w:rsidP="00FB56E1">
      <w:pPr>
        <w:pStyle w:val="FootnoteText"/>
        <w:ind w:firstLine="0"/>
      </w:pPr>
      <w:r>
        <w:rPr>
          <w:rStyle w:val="FootnoteReference"/>
        </w:rPr>
        <w:footnoteRef/>
      </w:r>
      <w:r>
        <w:t xml:space="preserve"> Mayor’s Office of Sustainability. Inventory of New York City Greenhouse Gas Emissions. </w:t>
      </w:r>
      <w:hyperlink r:id="rId12" w:history="1">
        <w:r w:rsidRPr="008B7E08">
          <w:rPr>
            <w:rStyle w:val="Hyperlink"/>
          </w:rPr>
          <w:t>https://nyc-ghg-inventory.cusp.nyu.edu/</w:t>
        </w:r>
      </w:hyperlink>
      <w:r>
        <w:t xml:space="preserve"> (last accessed 6/3/22)</w:t>
      </w:r>
    </w:p>
  </w:footnote>
  <w:footnote w:id="37">
    <w:p w14:paraId="49886BCE" w14:textId="166D3D62" w:rsidR="00FB56E1" w:rsidRDefault="00FB56E1" w:rsidP="00FB56E1">
      <w:pPr>
        <w:pStyle w:val="FootnoteText"/>
        <w:ind w:firstLine="0"/>
      </w:pPr>
      <w:r>
        <w:rPr>
          <w:rStyle w:val="FootnoteReference"/>
        </w:rPr>
        <w:footnoteRef/>
      </w:r>
      <w:r>
        <w:t xml:space="preserve"> Id. </w:t>
      </w:r>
    </w:p>
  </w:footnote>
  <w:footnote w:id="38">
    <w:p w14:paraId="46D724AC" w14:textId="03D284C7" w:rsidR="00FB56E1" w:rsidRDefault="00FB56E1" w:rsidP="00FB56E1">
      <w:pPr>
        <w:pStyle w:val="FootnoteText"/>
        <w:ind w:firstLine="0"/>
      </w:pPr>
      <w:r>
        <w:rPr>
          <w:rStyle w:val="FootnoteReference"/>
        </w:rPr>
        <w:footnoteRef/>
      </w:r>
      <w:r>
        <w:t xml:space="preserve"> Id.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3DD33" w14:textId="1F755CDE" w:rsidR="00E4666C" w:rsidRDefault="00E46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DC903" w14:textId="74787DAC" w:rsidR="00E4666C" w:rsidRDefault="00E46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52B58" w14:textId="5B2116D2" w:rsidR="00E4666C" w:rsidRDefault="00E46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3F6AB60E"/>
    <w:lvl w:ilvl="0" w:tplc="FFFFFFFF">
      <w:start w:val="10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12DB"/>
    <w:multiLevelType w:val="hybridMultilevel"/>
    <w:tmpl w:val="5B4AB720"/>
    <w:lvl w:ilvl="0" w:tplc="EAAA2906">
      <w:start w:val="8"/>
      <w:numFmt w:val="decimal"/>
      <w:lvlText w:val="%1"/>
      <w:lvlJc w:val="left"/>
    </w:lvl>
    <w:lvl w:ilvl="1" w:tplc="38FC6EB4">
      <w:numFmt w:val="decimal"/>
      <w:lvlText w:val=""/>
      <w:lvlJc w:val="left"/>
    </w:lvl>
    <w:lvl w:ilvl="2" w:tplc="7AD8271A">
      <w:numFmt w:val="decimal"/>
      <w:lvlText w:val=""/>
      <w:lvlJc w:val="left"/>
    </w:lvl>
    <w:lvl w:ilvl="3" w:tplc="8C88CEF6">
      <w:numFmt w:val="decimal"/>
      <w:lvlText w:val=""/>
      <w:lvlJc w:val="left"/>
    </w:lvl>
    <w:lvl w:ilvl="4" w:tplc="3D0C6D2A">
      <w:numFmt w:val="decimal"/>
      <w:lvlText w:val=""/>
      <w:lvlJc w:val="left"/>
    </w:lvl>
    <w:lvl w:ilvl="5" w:tplc="7568B212">
      <w:numFmt w:val="decimal"/>
      <w:lvlText w:val=""/>
      <w:lvlJc w:val="left"/>
    </w:lvl>
    <w:lvl w:ilvl="6" w:tplc="E6087ED6">
      <w:numFmt w:val="decimal"/>
      <w:lvlText w:val=""/>
      <w:lvlJc w:val="left"/>
    </w:lvl>
    <w:lvl w:ilvl="7" w:tplc="36C20640">
      <w:numFmt w:val="decimal"/>
      <w:lvlText w:val=""/>
      <w:lvlJc w:val="left"/>
    </w:lvl>
    <w:lvl w:ilvl="8" w:tplc="3D8C8534">
      <w:numFmt w:val="decimal"/>
      <w:lvlText w:val=""/>
      <w:lvlJc w:val="left"/>
    </w:lvl>
  </w:abstractNum>
  <w:abstractNum w:abstractNumId="2" w15:restartNumberingAfterBreak="0">
    <w:nsid w:val="0000153C"/>
    <w:multiLevelType w:val="hybridMultilevel"/>
    <w:tmpl w:val="A1245E3A"/>
    <w:lvl w:ilvl="0" w:tplc="61D46C9E">
      <w:start w:val="10"/>
      <w:numFmt w:val="decimal"/>
      <w:lvlText w:val="%1"/>
      <w:lvlJc w:val="left"/>
    </w:lvl>
    <w:lvl w:ilvl="1" w:tplc="8C8C7DD2">
      <w:numFmt w:val="decimal"/>
      <w:lvlText w:val=""/>
      <w:lvlJc w:val="left"/>
    </w:lvl>
    <w:lvl w:ilvl="2" w:tplc="77C440CE">
      <w:numFmt w:val="decimal"/>
      <w:lvlText w:val=""/>
      <w:lvlJc w:val="left"/>
    </w:lvl>
    <w:lvl w:ilvl="3" w:tplc="81587F02">
      <w:numFmt w:val="decimal"/>
      <w:lvlText w:val=""/>
      <w:lvlJc w:val="left"/>
    </w:lvl>
    <w:lvl w:ilvl="4" w:tplc="E5A80E2E">
      <w:numFmt w:val="decimal"/>
      <w:lvlText w:val=""/>
      <w:lvlJc w:val="left"/>
    </w:lvl>
    <w:lvl w:ilvl="5" w:tplc="4C7A402A">
      <w:numFmt w:val="decimal"/>
      <w:lvlText w:val=""/>
      <w:lvlJc w:val="left"/>
    </w:lvl>
    <w:lvl w:ilvl="6" w:tplc="E8D021DE">
      <w:numFmt w:val="decimal"/>
      <w:lvlText w:val=""/>
      <w:lvlJc w:val="left"/>
    </w:lvl>
    <w:lvl w:ilvl="7" w:tplc="BB7277F8">
      <w:numFmt w:val="decimal"/>
      <w:lvlText w:val=""/>
      <w:lvlJc w:val="left"/>
    </w:lvl>
    <w:lvl w:ilvl="8" w:tplc="C016C6B6">
      <w:numFmt w:val="decimal"/>
      <w:lvlText w:val=""/>
      <w:lvlJc w:val="left"/>
    </w:lvl>
  </w:abstractNum>
  <w:abstractNum w:abstractNumId="3" w15:restartNumberingAfterBreak="0">
    <w:nsid w:val="00002EA6"/>
    <w:multiLevelType w:val="hybridMultilevel"/>
    <w:tmpl w:val="A560E558"/>
    <w:lvl w:ilvl="0" w:tplc="ED76900C">
      <w:start w:val="3"/>
      <w:numFmt w:val="decimal"/>
      <w:lvlText w:val="%1"/>
      <w:lvlJc w:val="left"/>
    </w:lvl>
    <w:lvl w:ilvl="1" w:tplc="83FAAAA0">
      <w:numFmt w:val="decimal"/>
      <w:lvlText w:val=""/>
      <w:lvlJc w:val="left"/>
    </w:lvl>
    <w:lvl w:ilvl="2" w:tplc="3AA8A8D6">
      <w:numFmt w:val="decimal"/>
      <w:lvlText w:val=""/>
      <w:lvlJc w:val="left"/>
    </w:lvl>
    <w:lvl w:ilvl="3" w:tplc="C2B2979E">
      <w:numFmt w:val="decimal"/>
      <w:lvlText w:val=""/>
      <w:lvlJc w:val="left"/>
    </w:lvl>
    <w:lvl w:ilvl="4" w:tplc="05FCDA86">
      <w:numFmt w:val="decimal"/>
      <w:lvlText w:val=""/>
      <w:lvlJc w:val="left"/>
    </w:lvl>
    <w:lvl w:ilvl="5" w:tplc="FB3E1C9A">
      <w:numFmt w:val="decimal"/>
      <w:lvlText w:val=""/>
      <w:lvlJc w:val="left"/>
    </w:lvl>
    <w:lvl w:ilvl="6" w:tplc="A164FA8E">
      <w:numFmt w:val="decimal"/>
      <w:lvlText w:val=""/>
      <w:lvlJc w:val="left"/>
    </w:lvl>
    <w:lvl w:ilvl="7" w:tplc="DDAA755E">
      <w:numFmt w:val="decimal"/>
      <w:lvlText w:val=""/>
      <w:lvlJc w:val="left"/>
    </w:lvl>
    <w:lvl w:ilvl="8" w:tplc="0A940968">
      <w:numFmt w:val="decimal"/>
      <w:lvlText w:val=""/>
      <w:lvlJc w:val="left"/>
    </w:lvl>
  </w:abstractNum>
  <w:abstractNum w:abstractNumId="4" w15:restartNumberingAfterBreak="0">
    <w:nsid w:val="0000390C"/>
    <w:multiLevelType w:val="hybridMultilevel"/>
    <w:tmpl w:val="DE529DA2"/>
    <w:lvl w:ilvl="0" w:tplc="CA047E68">
      <w:start w:val="23"/>
      <w:numFmt w:val="decimal"/>
      <w:lvlText w:val="%1"/>
      <w:lvlJc w:val="left"/>
    </w:lvl>
    <w:lvl w:ilvl="1" w:tplc="CC66EC20">
      <w:numFmt w:val="decimal"/>
      <w:lvlText w:val=""/>
      <w:lvlJc w:val="left"/>
    </w:lvl>
    <w:lvl w:ilvl="2" w:tplc="376EE940">
      <w:numFmt w:val="decimal"/>
      <w:lvlText w:val=""/>
      <w:lvlJc w:val="left"/>
    </w:lvl>
    <w:lvl w:ilvl="3" w:tplc="BB8A51B2">
      <w:numFmt w:val="decimal"/>
      <w:lvlText w:val=""/>
      <w:lvlJc w:val="left"/>
    </w:lvl>
    <w:lvl w:ilvl="4" w:tplc="9DEE1CD4">
      <w:numFmt w:val="decimal"/>
      <w:lvlText w:val=""/>
      <w:lvlJc w:val="left"/>
    </w:lvl>
    <w:lvl w:ilvl="5" w:tplc="73F04CC6">
      <w:numFmt w:val="decimal"/>
      <w:lvlText w:val=""/>
      <w:lvlJc w:val="left"/>
    </w:lvl>
    <w:lvl w:ilvl="6" w:tplc="BA46C2EE">
      <w:numFmt w:val="decimal"/>
      <w:lvlText w:val=""/>
      <w:lvlJc w:val="left"/>
    </w:lvl>
    <w:lvl w:ilvl="7" w:tplc="BBC29598">
      <w:numFmt w:val="decimal"/>
      <w:lvlText w:val=""/>
      <w:lvlJc w:val="left"/>
    </w:lvl>
    <w:lvl w:ilvl="8" w:tplc="59047DE8">
      <w:numFmt w:val="decimal"/>
      <w:lvlText w:val=""/>
      <w:lvlJc w:val="left"/>
    </w:lvl>
  </w:abstractNum>
  <w:abstractNum w:abstractNumId="5" w15:restartNumberingAfterBreak="0">
    <w:nsid w:val="00007E87"/>
    <w:multiLevelType w:val="hybridMultilevel"/>
    <w:tmpl w:val="C88C2CFE"/>
    <w:lvl w:ilvl="0" w:tplc="6CF44D7E">
      <w:start w:val="21"/>
      <w:numFmt w:val="decimal"/>
      <w:lvlText w:val="%1"/>
      <w:lvlJc w:val="left"/>
    </w:lvl>
    <w:lvl w:ilvl="1" w:tplc="37C259D2">
      <w:numFmt w:val="decimal"/>
      <w:lvlText w:val=""/>
      <w:lvlJc w:val="left"/>
    </w:lvl>
    <w:lvl w:ilvl="2" w:tplc="435A4E18">
      <w:numFmt w:val="decimal"/>
      <w:lvlText w:val=""/>
      <w:lvlJc w:val="left"/>
    </w:lvl>
    <w:lvl w:ilvl="3" w:tplc="796A7B9A">
      <w:numFmt w:val="decimal"/>
      <w:lvlText w:val=""/>
      <w:lvlJc w:val="left"/>
    </w:lvl>
    <w:lvl w:ilvl="4" w:tplc="241A5476">
      <w:numFmt w:val="decimal"/>
      <w:lvlText w:val=""/>
      <w:lvlJc w:val="left"/>
    </w:lvl>
    <w:lvl w:ilvl="5" w:tplc="BB38EDEA">
      <w:numFmt w:val="decimal"/>
      <w:lvlText w:val=""/>
      <w:lvlJc w:val="left"/>
    </w:lvl>
    <w:lvl w:ilvl="6" w:tplc="B28061CE">
      <w:numFmt w:val="decimal"/>
      <w:lvlText w:val=""/>
      <w:lvlJc w:val="left"/>
    </w:lvl>
    <w:lvl w:ilvl="7" w:tplc="A9C2FD22">
      <w:numFmt w:val="decimal"/>
      <w:lvlText w:val=""/>
      <w:lvlJc w:val="left"/>
    </w:lvl>
    <w:lvl w:ilvl="8" w:tplc="C05E9064">
      <w:numFmt w:val="decimal"/>
      <w:lvlText w:val=""/>
      <w:lvlJc w:val="left"/>
    </w:lvl>
  </w:abstractNum>
  <w:abstractNum w:abstractNumId="6" w15:restartNumberingAfterBreak="0">
    <w:nsid w:val="18082E16"/>
    <w:multiLevelType w:val="hybridMultilevel"/>
    <w:tmpl w:val="74B010C4"/>
    <w:lvl w:ilvl="0" w:tplc="703E5482">
      <w:start w:val="1"/>
      <w:numFmt w:val="upperRoman"/>
      <w:lvlText w:val="%1."/>
      <w:lvlJc w:val="left"/>
      <w:pPr>
        <w:ind w:left="720" w:hanging="720"/>
      </w:pPr>
      <w:rPr>
        <w:rFonts w:hint="default"/>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5"/>
  </w:num>
  <w:num w:numId="5">
    <w:abstractNumId w:val="4"/>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0F"/>
    <w:rsid w:val="000128DF"/>
    <w:rsid w:val="0003278D"/>
    <w:rsid w:val="000411BE"/>
    <w:rsid w:val="000476CD"/>
    <w:rsid w:val="000538A0"/>
    <w:rsid w:val="00076C27"/>
    <w:rsid w:val="000A7285"/>
    <w:rsid w:val="00122282"/>
    <w:rsid w:val="00170733"/>
    <w:rsid w:val="001723F4"/>
    <w:rsid w:val="00180C1E"/>
    <w:rsid w:val="001A1E03"/>
    <w:rsid w:val="001B42C7"/>
    <w:rsid w:val="001E68DD"/>
    <w:rsid w:val="00215607"/>
    <w:rsid w:val="002444B5"/>
    <w:rsid w:val="0025440B"/>
    <w:rsid w:val="0027351E"/>
    <w:rsid w:val="002927E2"/>
    <w:rsid w:val="00294D4E"/>
    <w:rsid w:val="00324A44"/>
    <w:rsid w:val="00347F3B"/>
    <w:rsid w:val="0035491B"/>
    <w:rsid w:val="00354C70"/>
    <w:rsid w:val="003643C2"/>
    <w:rsid w:val="0036703B"/>
    <w:rsid w:val="003808F8"/>
    <w:rsid w:val="00384E85"/>
    <w:rsid w:val="003B09F8"/>
    <w:rsid w:val="003C0AA2"/>
    <w:rsid w:val="003D4040"/>
    <w:rsid w:val="003E30EF"/>
    <w:rsid w:val="003F3884"/>
    <w:rsid w:val="00407D59"/>
    <w:rsid w:val="004204F2"/>
    <w:rsid w:val="00435FF7"/>
    <w:rsid w:val="00446E45"/>
    <w:rsid w:val="004765CC"/>
    <w:rsid w:val="00486045"/>
    <w:rsid w:val="004F2739"/>
    <w:rsid w:val="00506BB4"/>
    <w:rsid w:val="00511242"/>
    <w:rsid w:val="0052684F"/>
    <w:rsid w:val="00533F1B"/>
    <w:rsid w:val="00536ACD"/>
    <w:rsid w:val="005502FA"/>
    <w:rsid w:val="00567E6E"/>
    <w:rsid w:val="005923AE"/>
    <w:rsid w:val="005B2654"/>
    <w:rsid w:val="006006C7"/>
    <w:rsid w:val="00602A97"/>
    <w:rsid w:val="006140F7"/>
    <w:rsid w:val="0062350F"/>
    <w:rsid w:val="00641B4C"/>
    <w:rsid w:val="006672A7"/>
    <w:rsid w:val="0067585E"/>
    <w:rsid w:val="006C5B1D"/>
    <w:rsid w:val="006C7303"/>
    <w:rsid w:val="00751DE2"/>
    <w:rsid w:val="00757CE7"/>
    <w:rsid w:val="007A64D1"/>
    <w:rsid w:val="007B60D2"/>
    <w:rsid w:val="007F12F6"/>
    <w:rsid w:val="00804ACF"/>
    <w:rsid w:val="00811A62"/>
    <w:rsid w:val="00813497"/>
    <w:rsid w:val="00813E05"/>
    <w:rsid w:val="00814EBD"/>
    <w:rsid w:val="0086736B"/>
    <w:rsid w:val="00873372"/>
    <w:rsid w:val="0088409A"/>
    <w:rsid w:val="008C5BA0"/>
    <w:rsid w:val="008D2460"/>
    <w:rsid w:val="00910B21"/>
    <w:rsid w:val="00916E2E"/>
    <w:rsid w:val="0092039D"/>
    <w:rsid w:val="0094300E"/>
    <w:rsid w:val="00943339"/>
    <w:rsid w:val="00966D60"/>
    <w:rsid w:val="00996003"/>
    <w:rsid w:val="009A2F5E"/>
    <w:rsid w:val="009B6A0F"/>
    <w:rsid w:val="009E2820"/>
    <w:rsid w:val="009E5731"/>
    <w:rsid w:val="009E68F6"/>
    <w:rsid w:val="009E747A"/>
    <w:rsid w:val="00A0148E"/>
    <w:rsid w:val="00A22519"/>
    <w:rsid w:val="00A30775"/>
    <w:rsid w:val="00A31520"/>
    <w:rsid w:val="00AE77E6"/>
    <w:rsid w:val="00B22400"/>
    <w:rsid w:val="00B25268"/>
    <w:rsid w:val="00B80D65"/>
    <w:rsid w:val="00B81284"/>
    <w:rsid w:val="00BD27EA"/>
    <w:rsid w:val="00C03BB1"/>
    <w:rsid w:val="00C1070A"/>
    <w:rsid w:val="00C33D4C"/>
    <w:rsid w:val="00C8780D"/>
    <w:rsid w:val="00CA5946"/>
    <w:rsid w:val="00CA6A14"/>
    <w:rsid w:val="00CA7F12"/>
    <w:rsid w:val="00CC66F1"/>
    <w:rsid w:val="00CF32E2"/>
    <w:rsid w:val="00D00B3E"/>
    <w:rsid w:val="00D06206"/>
    <w:rsid w:val="00D26AB7"/>
    <w:rsid w:val="00DB0325"/>
    <w:rsid w:val="00DB7A8A"/>
    <w:rsid w:val="00DC7DDF"/>
    <w:rsid w:val="00E17C17"/>
    <w:rsid w:val="00E4666C"/>
    <w:rsid w:val="00E80C4E"/>
    <w:rsid w:val="00F91820"/>
    <w:rsid w:val="00FB18E5"/>
    <w:rsid w:val="00FB56E1"/>
    <w:rsid w:val="00FB6468"/>
    <w:rsid w:val="00FD78C0"/>
    <w:rsid w:val="00FE1C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39A8A"/>
  <w15:chartTrackingRefBased/>
  <w15:docId w15:val="{6552817B-E5B7-2A4F-8E79-D2B5F50B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0F"/>
    <w:pPr>
      <w:ind w:firstLine="720"/>
    </w:pPr>
    <w:rPr>
      <w:rFonts w:ascii="Times New Roman" w:eastAsia="Times New Roman" w:hAnsi="Times New Roman" w:cs="Times New Roman"/>
    </w:rPr>
  </w:style>
  <w:style w:type="paragraph" w:styleId="Heading1">
    <w:name w:val="heading 1"/>
    <w:basedOn w:val="Normal"/>
    <w:next w:val="Normal"/>
    <w:link w:val="Heading1Char"/>
    <w:uiPriority w:val="99"/>
    <w:qFormat/>
    <w:rsid w:val="00CA7F12"/>
    <w:pPr>
      <w:keepNext/>
      <w:keepLines/>
      <w:spacing w:before="480"/>
      <w:ind w:firstLine="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62350F"/>
    <w:rPr>
      <w:sz w:val="20"/>
      <w:szCs w:val="20"/>
    </w:rPr>
  </w:style>
  <w:style w:type="character" w:customStyle="1" w:styleId="FootnoteTextChar">
    <w:name w:val="Footnote Text Char"/>
    <w:aliases w:val="FT Char"/>
    <w:basedOn w:val="DefaultParagraphFont"/>
    <w:link w:val="FootnoteText"/>
    <w:uiPriority w:val="99"/>
    <w:rsid w:val="0062350F"/>
    <w:rPr>
      <w:rFonts w:ascii="Times New Roman" w:eastAsia="Times New Roman" w:hAnsi="Times New Roman" w:cs="Times New Roman"/>
      <w:sz w:val="20"/>
      <w:szCs w:val="20"/>
    </w:rPr>
  </w:style>
  <w:style w:type="character" w:styleId="FootnoteReference">
    <w:name w:val="footnote reference"/>
    <w:uiPriority w:val="99"/>
    <w:unhideWhenUsed/>
    <w:qFormat/>
    <w:rsid w:val="0062350F"/>
    <w:rPr>
      <w:vertAlign w:val="superscript"/>
    </w:rPr>
  </w:style>
  <w:style w:type="character" w:styleId="Hyperlink">
    <w:name w:val="Hyperlink"/>
    <w:rsid w:val="0062350F"/>
    <w:rPr>
      <w:u w:val="single"/>
    </w:rPr>
  </w:style>
  <w:style w:type="paragraph" w:styleId="NoSpacing">
    <w:name w:val="No Spacing"/>
    <w:uiPriority w:val="1"/>
    <w:qFormat/>
    <w:rsid w:val="0062350F"/>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62350F"/>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62350F"/>
    <w:rPr>
      <w:rFonts w:ascii="Times New Roman" w:eastAsia="Arial Unicode MS" w:hAnsi="Times New Roman" w:cs="Arial Unicode MS"/>
      <w:color w:val="000000"/>
      <w:u w:color="000000"/>
      <w:bdr w:val="nil"/>
    </w:rPr>
  </w:style>
  <w:style w:type="paragraph" w:customStyle="1" w:styleId="Default">
    <w:name w:val="Default"/>
    <w:rsid w:val="0062350F"/>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2350F"/>
    <w:rPr>
      <w:sz w:val="18"/>
      <w:szCs w:val="18"/>
    </w:rPr>
  </w:style>
  <w:style w:type="character" w:customStyle="1" w:styleId="BalloonTextChar">
    <w:name w:val="Balloon Text Char"/>
    <w:basedOn w:val="DefaultParagraphFont"/>
    <w:link w:val="BalloonText"/>
    <w:uiPriority w:val="99"/>
    <w:semiHidden/>
    <w:rsid w:val="0062350F"/>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62350F"/>
    <w:rPr>
      <w:color w:val="954F72" w:themeColor="followedHyperlink"/>
      <w:u w:val="single"/>
    </w:rPr>
  </w:style>
  <w:style w:type="character" w:customStyle="1" w:styleId="Heading1Char">
    <w:name w:val="Heading 1 Char"/>
    <w:basedOn w:val="DefaultParagraphFont"/>
    <w:link w:val="Heading1"/>
    <w:uiPriority w:val="99"/>
    <w:rsid w:val="00CA7F1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751DE2"/>
    <w:pPr>
      <w:tabs>
        <w:tab w:val="center" w:pos="4680"/>
        <w:tab w:val="right" w:pos="9360"/>
      </w:tabs>
    </w:pPr>
  </w:style>
  <w:style w:type="character" w:customStyle="1" w:styleId="HeaderChar">
    <w:name w:val="Header Char"/>
    <w:basedOn w:val="DefaultParagraphFont"/>
    <w:link w:val="Header"/>
    <w:uiPriority w:val="99"/>
    <w:rsid w:val="00751DE2"/>
    <w:rPr>
      <w:rFonts w:ascii="Times New Roman" w:eastAsia="Times New Roman" w:hAnsi="Times New Roman" w:cs="Times New Roman"/>
    </w:rPr>
  </w:style>
  <w:style w:type="paragraph" w:styleId="Footer">
    <w:name w:val="footer"/>
    <w:basedOn w:val="Normal"/>
    <w:link w:val="FooterChar"/>
    <w:uiPriority w:val="99"/>
    <w:unhideWhenUsed/>
    <w:rsid w:val="00751DE2"/>
    <w:pPr>
      <w:tabs>
        <w:tab w:val="center" w:pos="4680"/>
        <w:tab w:val="right" w:pos="9360"/>
      </w:tabs>
    </w:pPr>
  </w:style>
  <w:style w:type="character" w:customStyle="1" w:styleId="FooterChar">
    <w:name w:val="Footer Char"/>
    <w:basedOn w:val="DefaultParagraphFont"/>
    <w:link w:val="Footer"/>
    <w:uiPriority w:val="99"/>
    <w:rsid w:val="00751DE2"/>
    <w:rPr>
      <w:rFonts w:ascii="Times New Roman" w:eastAsia="Times New Roman" w:hAnsi="Times New Roman" w:cs="Times New Roman"/>
    </w:rPr>
  </w:style>
  <w:style w:type="paragraph" w:styleId="Revision">
    <w:name w:val="Revision"/>
    <w:hidden/>
    <w:uiPriority w:val="99"/>
    <w:semiHidden/>
    <w:rsid w:val="00FB18E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18E5"/>
    <w:rPr>
      <w:sz w:val="16"/>
      <w:szCs w:val="16"/>
    </w:rPr>
  </w:style>
  <w:style w:type="paragraph" w:styleId="CommentText">
    <w:name w:val="annotation text"/>
    <w:basedOn w:val="Normal"/>
    <w:link w:val="CommentTextChar"/>
    <w:uiPriority w:val="99"/>
    <w:semiHidden/>
    <w:unhideWhenUsed/>
    <w:rsid w:val="00FB18E5"/>
    <w:rPr>
      <w:sz w:val="20"/>
      <w:szCs w:val="20"/>
    </w:rPr>
  </w:style>
  <w:style w:type="character" w:customStyle="1" w:styleId="CommentTextChar">
    <w:name w:val="Comment Text Char"/>
    <w:basedOn w:val="DefaultParagraphFont"/>
    <w:link w:val="CommentText"/>
    <w:uiPriority w:val="99"/>
    <w:semiHidden/>
    <w:rsid w:val="00FB1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18E5"/>
    <w:rPr>
      <w:b/>
      <w:bCs/>
    </w:rPr>
  </w:style>
  <w:style w:type="character" w:customStyle="1" w:styleId="CommentSubjectChar">
    <w:name w:val="Comment Subject Char"/>
    <w:basedOn w:val="CommentTextChar"/>
    <w:link w:val="CommentSubject"/>
    <w:uiPriority w:val="99"/>
    <w:semiHidden/>
    <w:rsid w:val="00FB18E5"/>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567E6E"/>
    <w:rPr>
      <w:color w:val="605E5C"/>
      <w:shd w:val="clear" w:color="auto" w:fill="E1DFDD"/>
    </w:rPr>
  </w:style>
  <w:style w:type="paragraph" w:styleId="ListParagraph">
    <w:name w:val="List Paragraph"/>
    <w:basedOn w:val="Normal"/>
    <w:uiPriority w:val="34"/>
    <w:qFormat/>
    <w:rsid w:val="00C1070A"/>
    <w:pPr>
      <w:ind w:left="720"/>
      <w:contextualSpacing/>
    </w:pPr>
  </w:style>
  <w:style w:type="paragraph" w:styleId="NormalWeb">
    <w:name w:val="Normal (Web)"/>
    <w:basedOn w:val="Normal"/>
    <w:uiPriority w:val="99"/>
    <w:semiHidden/>
    <w:unhideWhenUsed/>
    <w:rsid w:val="00C1070A"/>
    <w:pPr>
      <w:spacing w:before="100" w:beforeAutospacing="1" w:after="100" w:afterAutospacing="1"/>
      <w:ind w:firstLine="0"/>
    </w:pPr>
  </w:style>
  <w:style w:type="character" w:styleId="PageNumber">
    <w:name w:val="page number"/>
    <w:basedOn w:val="DefaultParagraphFont"/>
    <w:uiPriority w:val="99"/>
    <w:semiHidden/>
    <w:unhideWhenUsed/>
    <w:rsid w:val="004765CC"/>
  </w:style>
  <w:style w:type="character" w:customStyle="1" w:styleId="UnresolvedMention2">
    <w:name w:val="Unresolved Mention2"/>
    <w:basedOn w:val="DefaultParagraphFont"/>
    <w:uiPriority w:val="99"/>
    <w:semiHidden/>
    <w:unhideWhenUsed/>
    <w:rsid w:val="00DB0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446396">
      <w:bodyDiv w:val="1"/>
      <w:marLeft w:val="0"/>
      <w:marRight w:val="0"/>
      <w:marTop w:val="0"/>
      <w:marBottom w:val="0"/>
      <w:divBdr>
        <w:top w:val="none" w:sz="0" w:space="0" w:color="auto"/>
        <w:left w:val="none" w:sz="0" w:space="0" w:color="auto"/>
        <w:bottom w:val="none" w:sz="0" w:space="0" w:color="auto"/>
        <w:right w:val="none" w:sz="0" w:space="0" w:color="auto"/>
      </w:divBdr>
    </w:div>
    <w:div w:id="1083407523">
      <w:bodyDiv w:val="1"/>
      <w:marLeft w:val="0"/>
      <w:marRight w:val="0"/>
      <w:marTop w:val="0"/>
      <w:marBottom w:val="0"/>
      <w:divBdr>
        <w:top w:val="none" w:sz="0" w:space="0" w:color="auto"/>
        <w:left w:val="none" w:sz="0" w:space="0" w:color="auto"/>
        <w:bottom w:val="none" w:sz="0" w:space="0" w:color="auto"/>
        <w:right w:val="none" w:sz="0" w:space="0" w:color="auto"/>
      </w:divBdr>
    </w:div>
    <w:div w:id="1106466489">
      <w:bodyDiv w:val="1"/>
      <w:marLeft w:val="0"/>
      <w:marRight w:val="0"/>
      <w:marTop w:val="0"/>
      <w:marBottom w:val="0"/>
      <w:divBdr>
        <w:top w:val="none" w:sz="0" w:space="0" w:color="auto"/>
        <w:left w:val="none" w:sz="0" w:space="0" w:color="auto"/>
        <w:bottom w:val="none" w:sz="0" w:space="0" w:color="auto"/>
        <w:right w:val="none" w:sz="0" w:space="0" w:color="auto"/>
      </w:divBdr>
    </w:div>
    <w:div w:id="1396320217">
      <w:bodyDiv w:val="1"/>
      <w:marLeft w:val="0"/>
      <w:marRight w:val="0"/>
      <w:marTop w:val="0"/>
      <w:marBottom w:val="0"/>
      <w:divBdr>
        <w:top w:val="none" w:sz="0" w:space="0" w:color="auto"/>
        <w:left w:val="none" w:sz="0" w:space="0" w:color="auto"/>
        <w:bottom w:val="none" w:sz="0" w:space="0" w:color="auto"/>
        <w:right w:val="none" w:sz="0" w:space="0" w:color="auto"/>
      </w:divBdr>
    </w:div>
    <w:div w:id="1816331873">
      <w:bodyDiv w:val="1"/>
      <w:marLeft w:val="0"/>
      <w:marRight w:val="0"/>
      <w:marTop w:val="0"/>
      <w:marBottom w:val="0"/>
      <w:divBdr>
        <w:top w:val="none" w:sz="0" w:space="0" w:color="auto"/>
        <w:left w:val="none" w:sz="0" w:space="0" w:color="auto"/>
        <w:bottom w:val="none" w:sz="0" w:space="0" w:color="auto"/>
        <w:right w:val="none" w:sz="0" w:space="0" w:color="auto"/>
      </w:divBdr>
    </w:div>
    <w:div w:id="189500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3.epa.gov/airquality/greenbook/jbtc.html" TargetMode="External"/><Relationship Id="rId3" Type="http://schemas.openxmlformats.org/officeDocument/2006/relationships/hyperlink" Target="https://www.eia.gov/tools/glossary/index.php?id=Distillate%20fuel%20oil" TargetMode="External"/><Relationship Id="rId7" Type="http://schemas.openxmlformats.org/officeDocument/2006/relationships/hyperlink" Target="https://www.nyccleanheat.org/content/problem" TargetMode="External"/><Relationship Id="rId12" Type="http://schemas.openxmlformats.org/officeDocument/2006/relationships/hyperlink" Target="https://nyc-ghg-inventory.cusp.nyu.edu/" TargetMode="External"/><Relationship Id="rId2" Type="http://schemas.openxmlformats.org/officeDocument/2006/relationships/hyperlink" Target="https://www1.nyc.gov/office-of-the-mayor/news/152-16/mayor-de-blasio-dep-that-all-5-300-buildings-have-discontinued-use-most-polluting" TargetMode="External"/><Relationship Id="rId1" Type="http://schemas.openxmlformats.org/officeDocument/2006/relationships/hyperlink" Target="https://www.edf.org/news/new-rule-will-end-new-york-city-use-worst-heating-oils-give-big-apple-citizens-dramatically-cle" TargetMode="External"/><Relationship Id="rId6" Type="http://schemas.openxmlformats.org/officeDocument/2006/relationships/hyperlink" Target="https://www.astm.org/Standards/D396.htm" TargetMode="External"/><Relationship Id="rId11" Type="http://schemas.openxmlformats.org/officeDocument/2006/relationships/hyperlink" Target="https://www1.nyc.gov/assets/doh/downloads/pdf/eode/eode-air-quality-impact.pdf" TargetMode="External"/><Relationship Id="rId5" Type="http://schemas.openxmlformats.org/officeDocument/2006/relationships/hyperlink" Target="https://www.astm.org/Standards/D396.htm" TargetMode="External"/><Relationship Id="rId10" Type="http://schemas.openxmlformats.org/officeDocument/2006/relationships/hyperlink" Target="https://www.edf.org/sites/default/files/10085_EDF_Heating_Oil_Report.pdf" TargetMode="External"/><Relationship Id="rId4" Type="http://schemas.openxmlformats.org/officeDocument/2006/relationships/hyperlink" Target="https://www.edf.org/sites/default/files/10086_EDF_BottomBarrel_Exec_Summ.pdf" TargetMode="External"/><Relationship Id="rId9" Type="http://schemas.openxmlformats.org/officeDocument/2006/relationships/hyperlink" Target="https://www.frontiersin.org/articles/10.3389/fpubh.2018.00095/f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8536C-5519-40D6-86F9-29D362CCF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1893</Words>
  <Characters>10792</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2022-03-10T16:00:00Z</cp:lastPrinted>
  <dcterms:created xsi:type="dcterms:W3CDTF">2022-06-07T18:04:00Z</dcterms:created>
  <dcterms:modified xsi:type="dcterms:W3CDTF">2022-06-07T18:04:00Z</dcterms:modified>
</cp:coreProperties>
</file>