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E19FA" w14:textId="23518D6D" w:rsidR="006B0484" w:rsidRPr="006B0484" w:rsidRDefault="006B0484" w:rsidP="006B0484">
      <w:pPr>
        <w:jc w:val="right"/>
        <w:rPr>
          <w:spacing w:val="-3"/>
          <w:u w:val="single"/>
        </w:rPr>
      </w:pPr>
      <w:bookmarkStart w:id="0" w:name="_GoBack"/>
      <w:bookmarkEnd w:id="0"/>
      <w:r>
        <w:rPr>
          <w:spacing w:val="-3"/>
          <w:u w:val="single"/>
        </w:rPr>
        <w:t>Committee Staff</w:t>
      </w:r>
      <w:r w:rsidRPr="008C3098">
        <w:rPr>
          <w:spacing w:val="-3"/>
        </w:rPr>
        <w:t xml:space="preserve"> </w:t>
      </w:r>
    </w:p>
    <w:p w14:paraId="37C74717" w14:textId="77777777" w:rsidR="006B0484" w:rsidRPr="008C3098" w:rsidRDefault="006B0484" w:rsidP="006B0484">
      <w:pPr>
        <w:ind w:left="5040"/>
        <w:jc w:val="right"/>
        <w:rPr>
          <w:spacing w:val="-3"/>
        </w:rPr>
      </w:pPr>
      <w:r w:rsidRPr="00756C50">
        <w:rPr>
          <w:iCs/>
          <w:spacing w:val="-3"/>
        </w:rPr>
        <w:t>Claire MacLachlan,</w:t>
      </w:r>
      <w:r>
        <w:rPr>
          <w:i/>
          <w:iCs/>
          <w:spacing w:val="-3"/>
        </w:rPr>
        <w:t xml:space="preserve"> Legislative Counsel</w:t>
      </w:r>
    </w:p>
    <w:p w14:paraId="72FF0AD5" w14:textId="77777777" w:rsidR="006B0484" w:rsidRPr="008C3098" w:rsidRDefault="006B0484" w:rsidP="006B0484">
      <w:pPr>
        <w:jc w:val="right"/>
        <w:rPr>
          <w:i/>
          <w:iCs/>
          <w:spacing w:val="-3"/>
        </w:rPr>
      </w:pPr>
      <w:r w:rsidRPr="008C3098">
        <w:rPr>
          <w:spacing w:val="-3"/>
        </w:rPr>
        <w:t xml:space="preserve">Ricky Chawla, </w:t>
      </w:r>
      <w:r w:rsidRPr="008C3098">
        <w:rPr>
          <w:i/>
          <w:spacing w:val="-3"/>
        </w:rPr>
        <w:t>Senior</w:t>
      </w:r>
      <w:r w:rsidRPr="008C3098">
        <w:rPr>
          <w:spacing w:val="-3"/>
        </w:rPr>
        <w:t xml:space="preserve"> </w:t>
      </w:r>
      <w:r w:rsidRPr="008C3098">
        <w:rPr>
          <w:i/>
          <w:iCs/>
          <w:spacing w:val="-3"/>
        </w:rPr>
        <w:t>Legislative Policy Analyst</w:t>
      </w:r>
    </w:p>
    <w:p w14:paraId="3D4F772E" w14:textId="77777777" w:rsidR="006B0484" w:rsidRPr="008C3098" w:rsidRDefault="006B0484" w:rsidP="006B0484">
      <w:pPr>
        <w:ind w:left="5040"/>
        <w:jc w:val="right"/>
        <w:rPr>
          <w:spacing w:val="-3"/>
        </w:rPr>
      </w:pPr>
      <w:r w:rsidRPr="008C3098">
        <w:rPr>
          <w:iCs/>
          <w:spacing w:val="-3"/>
        </w:rPr>
        <w:t>Andrew Bourne</w:t>
      </w:r>
      <w:r w:rsidRPr="008C3098">
        <w:rPr>
          <w:i/>
          <w:iCs/>
          <w:spacing w:val="-3"/>
        </w:rPr>
        <w:t>, Legislative Policy Analyst</w:t>
      </w:r>
    </w:p>
    <w:p w14:paraId="2C9BE578" w14:textId="77777777" w:rsidR="006B0484" w:rsidRDefault="006B0484" w:rsidP="006B0484">
      <w:pPr>
        <w:ind w:left="5040"/>
        <w:jc w:val="right"/>
        <w:rPr>
          <w:i/>
          <w:iCs/>
          <w:spacing w:val="-3"/>
        </w:rPr>
      </w:pPr>
      <w:r w:rsidRPr="008C3098">
        <w:rPr>
          <w:spacing w:val="-3"/>
        </w:rPr>
        <w:t xml:space="preserve">Andrew Lane-Lawless, </w:t>
      </w:r>
      <w:r w:rsidRPr="008C3098">
        <w:rPr>
          <w:i/>
          <w:iCs/>
          <w:spacing w:val="-3"/>
        </w:rPr>
        <w:t>Financial Analyst</w:t>
      </w:r>
    </w:p>
    <w:p w14:paraId="73BF0A8D" w14:textId="77777777" w:rsidR="006B0484" w:rsidRPr="00E85E96" w:rsidRDefault="006B0484" w:rsidP="006B0484">
      <w:pPr>
        <w:ind w:left="5040"/>
        <w:jc w:val="right"/>
        <w:rPr>
          <w:i/>
          <w:iCs/>
          <w:spacing w:val="-3"/>
        </w:rPr>
      </w:pPr>
      <w:r>
        <w:rPr>
          <w:iCs/>
          <w:spacing w:val="-3"/>
        </w:rPr>
        <w:t xml:space="preserve">Tanveer Singh, </w:t>
      </w:r>
      <w:r>
        <w:rPr>
          <w:i/>
          <w:iCs/>
          <w:spacing w:val="-3"/>
        </w:rPr>
        <w:t>Financial Analyst</w:t>
      </w:r>
    </w:p>
    <w:p w14:paraId="0304BAE3" w14:textId="77777777" w:rsidR="006B0484" w:rsidRPr="007E6709" w:rsidRDefault="006B0484" w:rsidP="006B0484">
      <w:pPr>
        <w:suppressLineNumbers/>
        <w:tabs>
          <w:tab w:val="left" w:pos="4680"/>
        </w:tabs>
      </w:pPr>
      <w:r w:rsidRPr="007E6709">
        <w:rPr>
          <w:noProof/>
        </w:rPr>
        <w:drawing>
          <wp:anchor distT="0" distB="0" distL="114300" distR="114300" simplePos="0" relativeHeight="251659264" behindDoc="0" locked="0" layoutInCell="1" allowOverlap="1" wp14:anchorId="3FF51EA4" wp14:editId="39A55BCF">
            <wp:simplePos x="0" y="0"/>
            <wp:positionH relativeFrom="column">
              <wp:posOffset>2336800</wp:posOffset>
            </wp:positionH>
            <wp:positionV relativeFrom="paragraph">
              <wp:posOffset>233680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67824D16" w14:textId="77777777" w:rsidR="006B0484" w:rsidRPr="007E6709" w:rsidRDefault="006B0484" w:rsidP="006B0484">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The New York City Council</w:t>
      </w:r>
    </w:p>
    <w:p w14:paraId="0CD42ECC" w14:textId="77777777" w:rsidR="006B0484" w:rsidRPr="007E6709" w:rsidRDefault="006B0484" w:rsidP="006B0484">
      <w:pPr>
        <w:suppressLineNumbers/>
        <w:tabs>
          <w:tab w:val="center" w:pos="4680"/>
        </w:tabs>
        <w:jc w:val="center"/>
        <w:rPr>
          <w:rFonts w:eastAsia="Arial Unicode MS"/>
          <w:iCs/>
        </w:rPr>
      </w:pPr>
      <w:r w:rsidRPr="007E6709">
        <w:rPr>
          <w:iCs/>
        </w:rPr>
        <w:t>Andrea Vazquez, Legislative Director</w:t>
      </w:r>
    </w:p>
    <w:p w14:paraId="4313FE82" w14:textId="77777777" w:rsidR="006B0484" w:rsidRPr="007E6709" w:rsidRDefault="006B0484" w:rsidP="006B0484">
      <w:pPr>
        <w:suppressLineNumbers/>
        <w:tabs>
          <w:tab w:val="left" w:pos="-1440"/>
        </w:tabs>
        <w:ind w:left="4320"/>
        <w:rPr>
          <w:b/>
          <w:szCs w:val="24"/>
        </w:rPr>
      </w:pPr>
    </w:p>
    <w:p w14:paraId="7117961E" w14:textId="77777777" w:rsidR="006B0484" w:rsidRPr="007E6709" w:rsidRDefault="006B0484" w:rsidP="006B0484">
      <w:pPr>
        <w:pStyle w:val="Body"/>
        <w:widowControl w:val="0"/>
        <w:suppressLineNumbers/>
        <w:spacing w:after="0" w:line="240" w:lineRule="auto"/>
        <w:jc w:val="center"/>
        <w:outlineLvl w:val="5"/>
        <w:rPr>
          <w:rFonts w:ascii="Times New Roman" w:eastAsia="Times New Roman" w:hAnsi="Times New Roman" w:cs="Times New Roman"/>
          <w:b/>
          <w:bCs/>
          <w:smallCaps/>
          <w:sz w:val="24"/>
          <w:szCs w:val="24"/>
          <w:u w:val="single"/>
        </w:rPr>
      </w:pPr>
      <w:r w:rsidRPr="007E6709">
        <w:rPr>
          <w:rFonts w:ascii="Times New Roman" w:hAnsi="Times New Roman" w:cs="Times New Roman"/>
          <w:b/>
          <w:bCs/>
          <w:smallCaps/>
          <w:sz w:val="24"/>
          <w:szCs w:val="24"/>
          <w:u w:val="single"/>
        </w:rPr>
        <w:t>Committee Report of the Infrastructure Division</w:t>
      </w:r>
    </w:p>
    <w:p w14:paraId="30E6F562" w14:textId="77777777" w:rsidR="006B0484" w:rsidRPr="007E6709" w:rsidRDefault="006B0484" w:rsidP="006B0484">
      <w:pPr>
        <w:suppressLineNumbers/>
        <w:tabs>
          <w:tab w:val="center" w:pos="4680"/>
        </w:tabs>
        <w:jc w:val="center"/>
        <w:rPr>
          <w:rFonts w:eastAsia="Arial Unicode MS"/>
          <w:iCs/>
        </w:rPr>
      </w:pPr>
      <w:r w:rsidRPr="007E6709">
        <w:rPr>
          <w:iCs/>
        </w:rPr>
        <w:t>Brad Reid, Deputy Director, Infrastructure Division</w:t>
      </w:r>
    </w:p>
    <w:p w14:paraId="27608D71" w14:textId="77777777" w:rsidR="006B0484" w:rsidRPr="007E6709" w:rsidRDefault="006B0484" w:rsidP="006B0484">
      <w:pPr>
        <w:suppressLineNumbers/>
        <w:tabs>
          <w:tab w:val="left" w:pos="-1440"/>
        </w:tabs>
        <w:ind w:left="4320"/>
        <w:rPr>
          <w:b/>
          <w:szCs w:val="24"/>
        </w:rPr>
      </w:pPr>
    </w:p>
    <w:p w14:paraId="3E1EDD8D" w14:textId="77777777" w:rsidR="006B0484" w:rsidRPr="008C3098" w:rsidRDefault="006B0484" w:rsidP="006B0484">
      <w:pPr>
        <w:tabs>
          <w:tab w:val="center" w:pos="4680"/>
        </w:tabs>
        <w:jc w:val="center"/>
        <w:rPr>
          <w:rFonts w:ascii="Times New Roman Bold" w:hAnsi="Times New Roman Bold"/>
          <w:b/>
          <w:smallCaps/>
          <w:u w:val="single"/>
        </w:rPr>
      </w:pPr>
      <w:r w:rsidRPr="008C3098">
        <w:rPr>
          <w:rFonts w:ascii="Times New Roman Bold" w:hAnsi="Times New Roman Bold"/>
          <w:b/>
          <w:smallCaps/>
          <w:u w:val="single"/>
        </w:rPr>
        <w:t>Committee on Environmental Protection</w:t>
      </w:r>
      <w:r>
        <w:rPr>
          <w:rFonts w:ascii="Times New Roman Bold" w:hAnsi="Times New Roman Bold"/>
          <w:b/>
          <w:smallCaps/>
          <w:u w:val="single"/>
        </w:rPr>
        <w:t xml:space="preserve">, Resiliency and Waterfronts </w:t>
      </w:r>
    </w:p>
    <w:p w14:paraId="41263839" w14:textId="77777777" w:rsidR="006B0484" w:rsidRPr="008C3098" w:rsidRDefault="006B0484" w:rsidP="006B0484">
      <w:pPr>
        <w:jc w:val="center"/>
      </w:pPr>
      <w:r w:rsidRPr="008C3098">
        <w:t>Hon. James F. Gennaro, Chair</w:t>
      </w:r>
    </w:p>
    <w:p w14:paraId="7247BFEA" w14:textId="77777777" w:rsidR="006B0484" w:rsidRPr="007E6709" w:rsidRDefault="006B0484" w:rsidP="006B0484">
      <w:pPr>
        <w:suppressLineNumbers/>
        <w:ind w:hanging="720"/>
        <w:jc w:val="center"/>
        <w:rPr>
          <w:bCs/>
          <w:color w:val="000000"/>
        </w:rPr>
      </w:pPr>
    </w:p>
    <w:p w14:paraId="2FDFD71E" w14:textId="284E6F71" w:rsidR="006B0484" w:rsidRPr="006B0484" w:rsidRDefault="006B0484" w:rsidP="006B0484">
      <w:pPr>
        <w:suppressLineNumbers/>
        <w:tabs>
          <w:tab w:val="center" w:pos="4680"/>
        </w:tabs>
        <w:jc w:val="center"/>
        <w:rPr>
          <w:color w:val="000000"/>
        </w:rPr>
      </w:pPr>
      <w:r>
        <w:rPr>
          <w:b/>
        </w:rPr>
        <w:t>December 20</w:t>
      </w:r>
      <w:r w:rsidRPr="007E6709">
        <w:rPr>
          <w:b/>
        </w:rPr>
        <w:t>, 2023</w:t>
      </w:r>
    </w:p>
    <w:p w14:paraId="59CDD67D" w14:textId="77777777" w:rsidR="006B0484" w:rsidRPr="007E6709" w:rsidRDefault="006B0484" w:rsidP="006B0484">
      <w:pPr>
        <w:suppressLineNumbers/>
        <w:ind w:left="1080"/>
        <w:rPr>
          <w:szCs w:val="24"/>
        </w:rPr>
      </w:pPr>
    </w:p>
    <w:p w14:paraId="48AA659B" w14:textId="5CEF52D3" w:rsidR="006B0484" w:rsidRPr="007E6709" w:rsidRDefault="006B0484" w:rsidP="006B0484">
      <w:pPr>
        <w:suppressLineNumbers/>
        <w:ind w:left="3600" w:hanging="3600"/>
      </w:pPr>
      <w:r w:rsidRPr="007E6709">
        <w:rPr>
          <w:b/>
          <w:smallCaps/>
          <w:u w:val="single"/>
        </w:rPr>
        <w:t xml:space="preserve">Proposed Int. No. </w:t>
      </w:r>
      <w:r>
        <w:rPr>
          <w:b/>
          <w:smallCaps/>
          <w:u w:val="single"/>
        </w:rPr>
        <w:t>532</w:t>
      </w:r>
      <w:r w:rsidRPr="007E6709">
        <w:rPr>
          <w:b/>
          <w:smallCaps/>
          <w:u w:val="single"/>
        </w:rPr>
        <w:t>-A</w:t>
      </w:r>
      <w:r w:rsidRPr="007E6709">
        <w:rPr>
          <w:b/>
          <w:smallCaps/>
        </w:rPr>
        <w:t>:</w:t>
      </w:r>
      <w:r w:rsidRPr="007E6709">
        <w:rPr>
          <w:smallCaps/>
        </w:rPr>
        <w:tab/>
      </w:r>
      <w:r>
        <w:rPr>
          <w:color w:val="000000"/>
          <w:shd w:val="clear" w:color="auto" w:fill="FFFFFF"/>
        </w:rPr>
        <w:t>By Council Members Gennaro, Restler, Holden, Riley</w:t>
      </w:r>
      <w:r w:rsidR="00EB1F7A">
        <w:rPr>
          <w:color w:val="000000"/>
          <w:shd w:val="clear" w:color="auto" w:fill="FFFFFF"/>
        </w:rPr>
        <w:t xml:space="preserve">, </w:t>
      </w:r>
      <w:r>
        <w:rPr>
          <w:color w:val="000000"/>
          <w:shd w:val="clear" w:color="auto" w:fill="FFFFFF"/>
        </w:rPr>
        <w:t>Velázquez</w:t>
      </w:r>
      <w:r w:rsidR="00EB1F7A">
        <w:rPr>
          <w:color w:val="000000"/>
          <w:shd w:val="clear" w:color="auto" w:fill="FFFFFF"/>
        </w:rPr>
        <w:t xml:space="preserve"> and Cabán</w:t>
      </w:r>
    </w:p>
    <w:p w14:paraId="4C08D03D" w14:textId="77777777" w:rsidR="006B0484" w:rsidRPr="007E6709" w:rsidRDefault="006B0484" w:rsidP="006B0484">
      <w:pPr>
        <w:suppressLineNumbers/>
        <w:ind w:left="3600" w:hanging="3600"/>
        <w:rPr>
          <w:b/>
          <w:smallCaps/>
          <w:u w:val="single"/>
        </w:rPr>
      </w:pPr>
    </w:p>
    <w:p w14:paraId="09298157" w14:textId="5223C76E" w:rsidR="006B0484" w:rsidRPr="007E6709" w:rsidRDefault="006B0484" w:rsidP="006B0484">
      <w:pPr>
        <w:suppressLineNumbers/>
        <w:ind w:left="3600" w:hanging="3600"/>
      </w:pPr>
      <w:r w:rsidRPr="007E6709">
        <w:rPr>
          <w:b/>
          <w:smallCaps/>
          <w:u w:val="single"/>
        </w:rPr>
        <w:t>Title</w:t>
      </w:r>
      <w:r w:rsidRPr="007E6709">
        <w:rPr>
          <w:b/>
          <w:smallCaps/>
        </w:rPr>
        <w:t>:</w:t>
      </w:r>
      <w:r w:rsidRPr="007E6709">
        <w:tab/>
      </w:r>
      <w:r>
        <w:rPr>
          <w:color w:val="000000"/>
          <w:shd w:val="clear" w:color="auto" w:fill="FFFFFF"/>
        </w:rPr>
        <w:t>A Local Law to amend the administrative code of the city of New York, in relation to installing pumpout facilities to establish the city’s coastal waters as no-discharge zones</w:t>
      </w:r>
    </w:p>
    <w:p w14:paraId="18539D88" w14:textId="77777777" w:rsidR="006B0484" w:rsidRPr="007E6709" w:rsidRDefault="006B0484" w:rsidP="006B0484">
      <w:pPr>
        <w:suppressLineNumbers/>
        <w:ind w:left="3600" w:hanging="3600"/>
      </w:pPr>
    </w:p>
    <w:p w14:paraId="5ACF235A" w14:textId="5208002B" w:rsidR="006B0484" w:rsidRDefault="006B0484" w:rsidP="006B0484">
      <w:pPr>
        <w:suppressLineNumbers/>
        <w:ind w:left="3600" w:hanging="3600"/>
      </w:pPr>
      <w:r w:rsidRPr="007E6709">
        <w:rPr>
          <w:b/>
          <w:smallCaps/>
          <w:u w:val="single"/>
        </w:rPr>
        <w:t>Administrative Code</w:t>
      </w:r>
      <w:r w:rsidRPr="007E6709">
        <w:rPr>
          <w:b/>
          <w:smallCaps/>
        </w:rPr>
        <w:t>:</w:t>
      </w:r>
      <w:r w:rsidRPr="007E6709">
        <w:tab/>
      </w:r>
      <w:r w:rsidR="00A17161">
        <w:t>Adds a new</w:t>
      </w:r>
      <w:r>
        <w:t xml:space="preserve"> section 22-112</w:t>
      </w:r>
      <w:r w:rsidR="00A17161">
        <w:t>.1</w:t>
      </w:r>
    </w:p>
    <w:p w14:paraId="4A2D2B96" w14:textId="77777777" w:rsidR="0073033D" w:rsidRPr="007E6709" w:rsidRDefault="0073033D" w:rsidP="006B0484">
      <w:pPr>
        <w:suppressLineNumbers/>
        <w:ind w:left="3600" w:hanging="3600"/>
      </w:pPr>
    </w:p>
    <w:p w14:paraId="578C0F55" w14:textId="77777777" w:rsidR="006B0484" w:rsidRPr="007E6709" w:rsidRDefault="006B0484" w:rsidP="006B0484">
      <w:pPr>
        <w:suppressLineNumbers/>
        <w:jc w:val="left"/>
        <w:rPr>
          <w:szCs w:val="24"/>
        </w:rPr>
      </w:pPr>
    </w:p>
    <w:p w14:paraId="33350F57" w14:textId="77777777" w:rsidR="006B0484" w:rsidRPr="007E6709" w:rsidRDefault="006B0484" w:rsidP="006B0484">
      <w:pPr>
        <w:numPr>
          <w:ilvl w:val="0"/>
          <w:numId w:val="1"/>
        </w:numPr>
        <w:suppressLineNumbers/>
        <w:jc w:val="left"/>
        <w:rPr>
          <w:b/>
          <w:smallCaps/>
          <w:szCs w:val="24"/>
          <w:u w:val="single"/>
        </w:rPr>
      </w:pPr>
      <w:r w:rsidRPr="007E6709">
        <w:rPr>
          <w:b/>
          <w:smallCaps/>
          <w:szCs w:val="24"/>
          <w:u w:val="single"/>
        </w:rPr>
        <w:t>Introduction</w:t>
      </w:r>
    </w:p>
    <w:p w14:paraId="159A3FD2" w14:textId="77777777" w:rsidR="006B0484" w:rsidRPr="007E6709" w:rsidRDefault="006B0484" w:rsidP="006B0484">
      <w:pPr>
        <w:suppressLineNumbers/>
        <w:jc w:val="left"/>
        <w:rPr>
          <w:b/>
          <w:smallCaps/>
          <w:szCs w:val="24"/>
          <w:u w:val="single"/>
        </w:rPr>
      </w:pPr>
    </w:p>
    <w:p w14:paraId="598F0C24" w14:textId="70230B19" w:rsidR="006B0484" w:rsidRDefault="006B0484" w:rsidP="006B0484">
      <w:pPr>
        <w:suppressLineNumbers/>
        <w:spacing w:line="480" w:lineRule="auto"/>
        <w:ind w:firstLine="720"/>
        <w:rPr>
          <w:szCs w:val="24"/>
          <w:shd w:val="clear" w:color="auto" w:fill="FFFFFF"/>
        </w:rPr>
      </w:pPr>
      <w:r w:rsidRPr="007E6709">
        <w:rPr>
          <w:szCs w:val="24"/>
        </w:rPr>
        <w:t xml:space="preserve">On </w:t>
      </w:r>
      <w:r>
        <w:rPr>
          <w:szCs w:val="24"/>
        </w:rPr>
        <w:t>December 20</w:t>
      </w:r>
      <w:r w:rsidRPr="007E6709">
        <w:rPr>
          <w:szCs w:val="24"/>
        </w:rPr>
        <w:t xml:space="preserve">, 2023, the New York City Council Committee on </w:t>
      </w:r>
      <w:r>
        <w:rPr>
          <w:szCs w:val="24"/>
        </w:rPr>
        <w:t>Environmental Protection, Resiliency, and Waterfronts (the “Committee”)</w:t>
      </w:r>
      <w:r w:rsidRPr="007E6709">
        <w:rPr>
          <w:szCs w:val="24"/>
        </w:rPr>
        <w:t xml:space="preserve">, chaired by Council Member </w:t>
      </w:r>
      <w:r>
        <w:rPr>
          <w:szCs w:val="24"/>
        </w:rPr>
        <w:t>James</w:t>
      </w:r>
      <w:r w:rsidRPr="007E6709">
        <w:rPr>
          <w:szCs w:val="24"/>
        </w:rPr>
        <w:t xml:space="preserve"> </w:t>
      </w:r>
      <w:r>
        <w:rPr>
          <w:szCs w:val="24"/>
        </w:rPr>
        <w:t>Gennaro</w:t>
      </w:r>
      <w:r w:rsidRPr="007E6709">
        <w:rPr>
          <w:szCs w:val="24"/>
        </w:rPr>
        <w:t xml:space="preserve">, will hold a hearing to vote on </w:t>
      </w:r>
      <w:r>
        <w:t>Proposed Int. No. 532</w:t>
      </w:r>
      <w:r w:rsidRPr="007E6709">
        <w:t xml:space="preserve">-A, sponsored by Council Member </w:t>
      </w:r>
      <w:r>
        <w:lastRenderedPageBreak/>
        <w:t>Gennaro</w:t>
      </w:r>
      <w:r w:rsidRPr="007E6709">
        <w:t xml:space="preserve">, </w:t>
      </w:r>
      <w:r>
        <w:rPr>
          <w:color w:val="000000"/>
          <w:shd w:val="clear" w:color="auto" w:fill="FFFFFF"/>
        </w:rPr>
        <w:t>in relation to installing pumpout facilities to establish the city’s coastal waters as no-discharge zones</w:t>
      </w:r>
      <w:r w:rsidRPr="007E6709">
        <w:rPr>
          <w:szCs w:val="24"/>
          <w:shd w:val="clear" w:color="auto" w:fill="FFFFFF"/>
        </w:rPr>
        <w:t>.</w:t>
      </w:r>
      <w:r>
        <w:rPr>
          <w:szCs w:val="24"/>
          <w:shd w:val="clear" w:color="auto" w:fill="FFFFFF"/>
        </w:rPr>
        <w:t xml:space="preserve"> Proposed Int. No. 532-A was first heard by the Committee on February 3, 2023</w:t>
      </w:r>
      <w:r w:rsidRPr="007E6709">
        <w:rPr>
          <w:szCs w:val="24"/>
          <w:shd w:val="clear" w:color="auto" w:fill="FFFFFF"/>
        </w:rPr>
        <w:t>.</w:t>
      </w:r>
    </w:p>
    <w:p w14:paraId="5FD1AB66" w14:textId="77777777" w:rsidR="006B0484" w:rsidRDefault="006B0484" w:rsidP="006B0484">
      <w:pPr>
        <w:suppressLineNumbers/>
        <w:spacing w:line="480" w:lineRule="auto"/>
        <w:rPr>
          <w:szCs w:val="24"/>
          <w:shd w:val="clear" w:color="auto" w:fill="FFFFFF"/>
        </w:rPr>
      </w:pPr>
    </w:p>
    <w:p w14:paraId="09A95E98" w14:textId="77777777" w:rsidR="006B0484" w:rsidRDefault="006B0484" w:rsidP="006B0484">
      <w:pPr>
        <w:numPr>
          <w:ilvl w:val="0"/>
          <w:numId w:val="1"/>
        </w:numPr>
        <w:suppressLineNumbers/>
        <w:spacing w:line="480" w:lineRule="auto"/>
        <w:jc w:val="left"/>
        <w:rPr>
          <w:b/>
          <w:smallCaps/>
          <w:szCs w:val="24"/>
          <w:u w:val="single"/>
        </w:rPr>
      </w:pPr>
      <w:r>
        <w:rPr>
          <w:b/>
          <w:smallCaps/>
          <w:szCs w:val="24"/>
          <w:u w:val="single"/>
        </w:rPr>
        <w:t>Background</w:t>
      </w:r>
    </w:p>
    <w:p w14:paraId="634787B1" w14:textId="4EE34881" w:rsidR="009F6549" w:rsidRDefault="00B40152" w:rsidP="00FE16E0">
      <w:pPr>
        <w:suppressLineNumbers/>
        <w:spacing w:line="480" w:lineRule="auto"/>
        <w:ind w:firstLine="720"/>
        <w:rPr>
          <w:bCs/>
          <w:szCs w:val="24"/>
        </w:rPr>
      </w:pPr>
      <w:r>
        <w:rPr>
          <w:bCs/>
          <w:szCs w:val="24"/>
        </w:rPr>
        <w:t>No</w:t>
      </w:r>
      <w:r w:rsidR="00E2191C">
        <w:rPr>
          <w:bCs/>
          <w:szCs w:val="24"/>
        </w:rPr>
        <w:t>-</w:t>
      </w:r>
      <w:r>
        <w:rPr>
          <w:bCs/>
          <w:szCs w:val="24"/>
        </w:rPr>
        <w:t>discharge zones (“NDZs”) are areas in which treated and untreated sewage discharges from vessels are prohibited under federal law.</w:t>
      </w:r>
      <w:r>
        <w:rPr>
          <w:rStyle w:val="FootnoteReference"/>
          <w:bCs/>
          <w:szCs w:val="24"/>
        </w:rPr>
        <w:footnoteReference w:id="1"/>
      </w:r>
      <w:r>
        <w:rPr>
          <w:bCs/>
          <w:szCs w:val="24"/>
        </w:rPr>
        <w:t xml:space="preserve"> Designating a body of water as a</w:t>
      </w:r>
      <w:r w:rsidR="00E2191C">
        <w:rPr>
          <w:bCs/>
          <w:szCs w:val="24"/>
        </w:rPr>
        <w:t>n NDZ</w:t>
      </w:r>
      <w:r>
        <w:rPr>
          <w:bCs/>
          <w:szCs w:val="24"/>
        </w:rPr>
        <w:t xml:space="preserve"> may address both human health and environmental concerns, as sewage discharges from boats </w:t>
      </w:r>
      <w:r w:rsidR="008508CA">
        <w:rPr>
          <w:bCs/>
          <w:szCs w:val="24"/>
        </w:rPr>
        <w:t>can contain bacteria, viruses, chemical products, and nutrients that may stimulate harmful algal growth.</w:t>
      </w:r>
      <w:r w:rsidR="008508CA">
        <w:rPr>
          <w:rStyle w:val="FootnoteReference"/>
          <w:bCs/>
          <w:szCs w:val="24"/>
        </w:rPr>
        <w:footnoteReference w:id="2"/>
      </w:r>
      <w:r w:rsidR="008508CA">
        <w:rPr>
          <w:bCs/>
          <w:szCs w:val="24"/>
        </w:rPr>
        <w:t xml:space="preserve"> </w:t>
      </w:r>
      <w:r w:rsidR="009F6549" w:rsidRPr="009F6549">
        <w:rPr>
          <w:bCs/>
          <w:szCs w:val="24"/>
        </w:rPr>
        <w:t>In 2010, New York State and the</w:t>
      </w:r>
      <w:r w:rsidR="005F0040">
        <w:rPr>
          <w:bCs/>
          <w:szCs w:val="24"/>
        </w:rPr>
        <w:t xml:space="preserve"> United States Environmental Protection Agency</w:t>
      </w:r>
      <w:r w:rsidR="009F6549" w:rsidRPr="009F6549">
        <w:rPr>
          <w:bCs/>
          <w:szCs w:val="24"/>
        </w:rPr>
        <w:t xml:space="preserve"> </w:t>
      </w:r>
      <w:r w:rsidR="005F0040">
        <w:rPr>
          <w:bCs/>
          <w:szCs w:val="24"/>
        </w:rPr>
        <w:t>(“</w:t>
      </w:r>
      <w:r w:rsidR="009F6549" w:rsidRPr="009F6549">
        <w:rPr>
          <w:bCs/>
          <w:szCs w:val="24"/>
        </w:rPr>
        <w:t>EPA</w:t>
      </w:r>
      <w:r w:rsidR="005F0040">
        <w:rPr>
          <w:bCs/>
          <w:szCs w:val="24"/>
        </w:rPr>
        <w:t>”)</w:t>
      </w:r>
      <w:r w:rsidR="009F6549" w:rsidRPr="009F6549">
        <w:rPr>
          <w:bCs/>
          <w:szCs w:val="24"/>
        </w:rPr>
        <w:t xml:space="preserve"> announced a joint initiative to establish NDZ</w:t>
      </w:r>
      <w:r w:rsidR="005F0040">
        <w:rPr>
          <w:bCs/>
          <w:szCs w:val="24"/>
        </w:rPr>
        <w:t>s</w:t>
      </w:r>
      <w:r w:rsidR="009F6549" w:rsidRPr="009F6549">
        <w:rPr>
          <w:bCs/>
          <w:szCs w:val="24"/>
        </w:rPr>
        <w:t xml:space="preserve"> in all coastal and navigable connecting waterways of the State.</w:t>
      </w:r>
      <w:r w:rsidR="009F6549" w:rsidRPr="009F6549">
        <w:rPr>
          <w:bCs/>
          <w:szCs w:val="24"/>
          <w:vertAlign w:val="superscript"/>
        </w:rPr>
        <w:footnoteReference w:id="3"/>
      </w:r>
      <w:r w:rsidR="009F6549" w:rsidRPr="009F6549">
        <w:rPr>
          <w:bCs/>
          <w:szCs w:val="24"/>
        </w:rPr>
        <w:t xml:space="preserve"> </w:t>
      </w:r>
      <w:r w:rsidR="009F6549">
        <w:rPr>
          <w:bCs/>
          <w:szCs w:val="24"/>
        </w:rPr>
        <w:t>Currently, t</w:t>
      </w:r>
      <w:r w:rsidR="009F6549" w:rsidRPr="009F6549">
        <w:rPr>
          <w:bCs/>
          <w:szCs w:val="24"/>
        </w:rPr>
        <w:t>he bodies of water in New York City (“NYC” or the “City”) with an NDZ designation are the portions of the Hudson River and Long Island Sound within New York State, as well as Jamaica Bay.</w:t>
      </w:r>
      <w:r w:rsidR="009F6549" w:rsidRPr="009F6549">
        <w:rPr>
          <w:bCs/>
          <w:szCs w:val="24"/>
          <w:vertAlign w:val="superscript"/>
        </w:rPr>
        <w:footnoteReference w:id="4"/>
      </w:r>
    </w:p>
    <w:p w14:paraId="43A80417" w14:textId="37516131" w:rsidR="00EE1220" w:rsidRPr="00FD70DA" w:rsidRDefault="008508CA" w:rsidP="00FE16E0">
      <w:pPr>
        <w:suppressLineNumbers/>
        <w:spacing w:line="480" w:lineRule="auto"/>
        <w:ind w:firstLine="720"/>
        <w:rPr>
          <w:b/>
          <w:szCs w:val="24"/>
        </w:rPr>
      </w:pPr>
      <w:r>
        <w:rPr>
          <w:bCs/>
          <w:szCs w:val="24"/>
        </w:rPr>
        <w:t>The Clean Water Act (“CWA”) provides that s</w:t>
      </w:r>
      <w:r w:rsidR="00B40152">
        <w:rPr>
          <w:bCs/>
          <w:szCs w:val="24"/>
        </w:rPr>
        <w:t xml:space="preserve">tates may apply to </w:t>
      </w:r>
      <w:r>
        <w:rPr>
          <w:bCs/>
          <w:szCs w:val="24"/>
        </w:rPr>
        <w:t>the</w:t>
      </w:r>
      <w:r w:rsidR="00B40152">
        <w:rPr>
          <w:bCs/>
          <w:szCs w:val="24"/>
        </w:rPr>
        <w:t xml:space="preserve"> EPA </w:t>
      </w:r>
      <w:r>
        <w:rPr>
          <w:bCs/>
          <w:szCs w:val="24"/>
        </w:rPr>
        <w:t>to designate a body</w:t>
      </w:r>
      <w:r w:rsidR="00B40152">
        <w:rPr>
          <w:bCs/>
          <w:szCs w:val="24"/>
        </w:rPr>
        <w:t xml:space="preserve"> of water as </w:t>
      </w:r>
      <w:r>
        <w:rPr>
          <w:bCs/>
          <w:szCs w:val="24"/>
        </w:rPr>
        <w:t>an NDZ</w:t>
      </w:r>
      <w:r w:rsidR="00B40152">
        <w:rPr>
          <w:bCs/>
          <w:szCs w:val="24"/>
        </w:rPr>
        <w:t>.</w:t>
      </w:r>
      <w:r w:rsidR="00B40152">
        <w:rPr>
          <w:rStyle w:val="FootnoteReference"/>
          <w:bCs/>
          <w:szCs w:val="24"/>
        </w:rPr>
        <w:footnoteReference w:id="5"/>
      </w:r>
      <w:r w:rsidR="00B40152">
        <w:rPr>
          <w:bCs/>
          <w:szCs w:val="24"/>
        </w:rPr>
        <w:t xml:space="preserve"> </w:t>
      </w:r>
      <w:r w:rsidR="00A4224D">
        <w:rPr>
          <w:bCs/>
          <w:szCs w:val="24"/>
        </w:rPr>
        <w:t xml:space="preserve">The EPA may </w:t>
      </w:r>
      <w:r w:rsidR="0051657D">
        <w:rPr>
          <w:bCs/>
          <w:szCs w:val="24"/>
        </w:rPr>
        <w:t xml:space="preserve">approve the NDZ application </w:t>
      </w:r>
      <w:r w:rsidR="00A4224D">
        <w:rPr>
          <w:bCs/>
          <w:szCs w:val="24"/>
        </w:rPr>
        <w:t>if</w:t>
      </w:r>
      <w:r w:rsidR="0051657D">
        <w:rPr>
          <w:bCs/>
          <w:szCs w:val="24"/>
        </w:rPr>
        <w:t xml:space="preserve"> it determines that the protection and enhancement of the water body requires an NDZ; it determines that the water body has </w:t>
      </w:r>
      <w:r w:rsidR="0090546C">
        <w:rPr>
          <w:bCs/>
          <w:szCs w:val="24"/>
        </w:rPr>
        <w:t>adequate</w:t>
      </w:r>
      <w:r w:rsidR="00EB1F7A">
        <w:rPr>
          <w:rStyle w:val="FootnoteReference"/>
          <w:bCs/>
          <w:szCs w:val="24"/>
        </w:rPr>
        <w:footnoteReference w:id="6"/>
      </w:r>
      <w:r w:rsidR="0051657D">
        <w:rPr>
          <w:bCs/>
          <w:szCs w:val="24"/>
        </w:rPr>
        <w:t xml:space="preserve"> pumpout </w:t>
      </w:r>
      <w:r w:rsidR="001C5A59">
        <w:rPr>
          <w:bCs/>
          <w:szCs w:val="24"/>
        </w:rPr>
        <w:t>facilities</w:t>
      </w:r>
      <w:r w:rsidR="0051657D">
        <w:rPr>
          <w:bCs/>
          <w:szCs w:val="24"/>
        </w:rPr>
        <w:t xml:space="preserve"> and the state determines in its application that the water body requires an NDZ; or if it establishes that water body is a drinking water intake zone.</w:t>
      </w:r>
      <w:r w:rsidR="0051657D">
        <w:rPr>
          <w:rStyle w:val="FootnoteReference"/>
          <w:bCs/>
          <w:szCs w:val="24"/>
        </w:rPr>
        <w:footnoteReference w:id="7"/>
      </w:r>
      <w:r w:rsidR="0051657D">
        <w:rPr>
          <w:bCs/>
          <w:szCs w:val="24"/>
        </w:rPr>
        <w:t xml:space="preserve"> </w:t>
      </w:r>
      <w:r w:rsidR="00F72BE4">
        <w:rPr>
          <w:bCs/>
          <w:szCs w:val="24"/>
        </w:rPr>
        <w:t>To enforce the NDZ designation, the federal government may assess a civil penalty of not more than $2,000</w:t>
      </w:r>
      <w:r w:rsidR="0076479B">
        <w:rPr>
          <w:bCs/>
          <w:szCs w:val="24"/>
        </w:rPr>
        <w:t xml:space="preserve"> against owners or operators of vessels that illegally discharge sewage from a vessel.</w:t>
      </w:r>
      <w:r w:rsidR="006E1731">
        <w:rPr>
          <w:rStyle w:val="FootnoteReference"/>
          <w:bCs/>
          <w:szCs w:val="24"/>
        </w:rPr>
        <w:footnoteReference w:id="8"/>
      </w:r>
      <w:r w:rsidR="0076479B">
        <w:rPr>
          <w:bCs/>
          <w:szCs w:val="24"/>
        </w:rPr>
        <w:t xml:space="preserve"> Additionally,</w:t>
      </w:r>
      <w:r w:rsidR="00EB1F7A">
        <w:rPr>
          <w:bCs/>
          <w:szCs w:val="24"/>
        </w:rPr>
        <w:t xml:space="preserve"> </w:t>
      </w:r>
      <w:r w:rsidR="00F72BE4">
        <w:rPr>
          <w:bCs/>
          <w:szCs w:val="24"/>
        </w:rPr>
        <w:t>the Unites States Coast Guard may inspect</w:t>
      </w:r>
      <w:r w:rsidR="0076479B">
        <w:rPr>
          <w:bCs/>
          <w:szCs w:val="24"/>
        </w:rPr>
        <w:t xml:space="preserve"> and, under certain conditions,</w:t>
      </w:r>
      <w:r w:rsidR="00EB1F7A">
        <w:rPr>
          <w:bCs/>
          <w:szCs w:val="24"/>
        </w:rPr>
        <w:t xml:space="preserve"> detain vessels suspected of </w:t>
      </w:r>
      <w:r w:rsidR="003D4E17">
        <w:rPr>
          <w:bCs/>
          <w:szCs w:val="24"/>
        </w:rPr>
        <w:t>illegally discharging sewage</w:t>
      </w:r>
      <w:r w:rsidR="00EB1F7A">
        <w:rPr>
          <w:bCs/>
          <w:szCs w:val="24"/>
        </w:rPr>
        <w:t>.</w:t>
      </w:r>
      <w:r w:rsidR="00EB1F7A">
        <w:rPr>
          <w:rStyle w:val="FootnoteReference"/>
          <w:bCs/>
          <w:szCs w:val="24"/>
        </w:rPr>
        <w:footnoteReference w:id="9"/>
      </w:r>
      <w:r w:rsidR="00EB1F7A">
        <w:rPr>
          <w:bCs/>
          <w:szCs w:val="24"/>
        </w:rPr>
        <w:t xml:space="preserve"> </w:t>
      </w:r>
    </w:p>
    <w:p w14:paraId="7F24EC03" w14:textId="77777777" w:rsidR="00ED105F" w:rsidRPr="00EE1220" w:rsidRDefault="00ED105F" w:rsidP="008F49FA">
      <w:pPr>
        <w:suppressLineNumbers/>
        <w:spacing w:line="480" w:lineRule="auto"/>
        <w:ind w:firstLine="720"/>
        <w:rPr>
          <w:bCs/>
          <w:szCs w:val="24"/>
        </w:rPr>
      </w:pPr>
    </w:p>
    <w:p w14:paraId="6D2F6CA7" w14:textId="77777777" w:rsidR="006B0484" w:rsidRPr="007E6709" w:rsidRDefault="006B0484" w:rsidP="006B0484">
      <w:pPr>
        <w:numPr>
          <w:ilvl w:val="0"/>
          <w:numId w:val="1"/>
        </w:numPr>
        <w:suppressLineNumbers/>
        <w:spacing w:line="480" w:lineRule="auto"/>
        <w:jc w:val="left"/>
        <w:rPr>
          <w:b/>
          <w:smallCaps/>
          <w:szCs w:val="24"/>
          <w:u w:val="single"/>
        </w:rPr>
      </w:pPr>
      <w:r w:rsidRPr="007E6709">
        <w:rPr>
          <w:b/>
          <w:smallCaps/>
          <w:szCs w:val="24"/>
          <w:u w:val="single"/>
        </w:rPr>
        <w:t>Legislation</w:t>
      </w:r>
    </w:p>
    <w:p w14:paraId="4F6845F1" w14:textId="1F859F39" w:rsidR="006B0484" w:rsidRPr="007B3670" w:rsidRDefault="006B0484" w:rsidP="006B0484">
      <w:pPr>
        <w:suppressLineNumbers/>
        <w:spacing w:line="480" w:lineRule="auto"/>
        <w:jc w:val="center"/>
        <w:rPr>
          <w:b/>
          <w:szCs w:val="24"/>
        </w:rPr>
      </w:pPr>
      <w:r>
        <w:rPr>
          <w:b/>
          <w:szCs w:val="24"/>
        </w:rPr>
        <w:t>Proposed Int. No. 532</w:t>
      </w:r>
      <w:r w:rsidRPr="007B3670">
        <w:rPr>
          <w:b/>
          <w:szCs w:val="24"/>
        </w:rPr>
        <w:t>-A</w:t>
      </w:r>
    </w:p>
    <w:p w14:paraId="37749E95" w14:textId="5E3862CD" w:rsidR="00525E7A" w:rsidRDefault="00525E7A" w:rsidP="00525E7A">
      <w:pPr>
        <w:pStyle w:val="NoSpacing"/>
        <w:spacing w:line="480" w:lineRule="auto"/>
        <w:ind w:firstLine="720"/>
        <w:jc w:val="both"/>
        <w:rPr>
          <w:rFonts w:ascii="Times New Roman" w:hAnsi="Times New Roman"/>
          <w:sz w:val="24"/>
          <w:szCs w:val="24"/>
        </w:rPr>
      </w:pPr>
      <w:r>
        <w:rPr>
          <w:rFonts w:ascii="Times New Roman" w:hAnsi="Times New Roman"/>
          <w:sz w:val="24"/>
          <w:szCs w:val="24"/>
        </w:rPr>
        <w:t>Federal law requires sufficient vessel waste pumpout facilities for a body of water to be designated a</w:t>
      </w:r>
      <w:r w:rsidR="00F77198">
        <w:rPr>
          <w:rFonts w:ascii="Times New Roman" w:hAnsi="Times New Roman"/>
          <w:sz w:val="24"/>
          <w:szCs w:val="24"/>
        </w:rPr>
        <w:t xml:space="preserve">s an </w:t>
      </w:r>
      <w:r w:rsidR="007342BC">
        <w:rPr>
          <w:rFonts w:ascii="Times New Roman" w:hAnsi="Times New Roman"/>
          <w:sz w:val="24"/>
          <w:szCs w:val="24"/>
        </w:rPr>
        <w:t xml:space="preserve">NDZ </w:t>
      </w:r>
      <w:r>
        <w:rPr>
          <w:rFonts w:ascii="Times New Roman" w:hAnsi="Times New Roman"/>
          <w:sz w:val="24"/>
          <w:szCs w:val="24"/>
        </w:rPr>
        <w:t>for water protection purposes.</w:t>
      </w:r>
      <w:r w:rsidRPr="009D24A1">
        <w:rPr>
          <w:rFonts w:ascii="Times New Roman" w:hAnsi="Times New Roman"/>
          <w:sz w:val="24"/>
          <w:szCs w:val="24"/>
        </w:rPr>
        <w:t xml:space="preserve"> </w:t>
      </w:r>
      <w:r w:rsidRPr="00743154">
        <w:rPr>
          <w:rFonts w:ascii="Times New Roman" w:hAnsi="Times New Roman"/>
          <w:sz w:val="24"/>
          <w:szCs w:val="24"/>
        </w:rPr>
        <w:t xml:space="preserve">This bill would </w:t>
      </w:r>
      <w:r>
        <w:rPr>
          <w:rFonts w:ascii="Times New Roman" w:hAnsi="Times New Roman"/>
          <w:sz w:val="24"/>
          <w:szCs w:val="24"/>
        </w:rPr>
        <w:t xml:space="preserve">require </w:t>
      </w:r>
      <w:r w:rsidR="000047D3">
        <w:rPr>
          <w:rFonts w:ascii="Times New Roman" w:hAnsi="Times New Roman"/>
          <w:sz w:val="24"/>
          <w:szCs w:val="24"/>
        </w:rPr>
        <w:t>the Department of Environmental Protection (“DEP”)</w:t>
      </w:r>
      <w:r>
        <w:rPr>
          <w:rFonts w:ascii="Times New Roman" w:hAnsi="Times New Roman"/>
          <w:sz w:val="24"/>
          <w:szCs w:val="24"/>
        </w:rPr>
        <w:t xml:space="preserve"> to report </w:t>
      </w:r>
      <w:r w:rsidR="003E3BA5">
        <w:rPr>
          <w:rFonts w:ascii="Times New Roman" w:hAnsi="Times New Roman"/>
          <w:sz w:val="24"/>
          <w:szCs w:val="24"/>
        </w:rPr>
        <w:t xml:space="preserve">by December 31, 2025 </w:t>
      </w:r>
      <w:r>
        <w:rPr>
          <w:rFonts w:ascii="Times New Roman" w:hAnsi="Times New Roman"/>
          <w:sz w:val="24"/>
          <w:szCs w:val="24"/>
        </w:rPr>
        <w:t xml:space="preserve">on the additional construction and installation </w:t>
      </w:r>
      <w:r w:rsidR="007342BC">
        <w:rPr>
          <w:rFonts w:ascii="Times New Roman" w:hAnsi="Times New Roman"/>
          <w:sz w:val="24"/>
          <w:szCs w:val="24"/>
        </w:rPr>
        <w:t xml:space="preserve">of pumpout </w:t>
      </w:r>
      <w:r w:rsidR="00B40152">
        <w:rPr>
          <w:rFonts w:ascii="Times New Roman" w:hAnsi="Times New Roman"/>
          <w:sz w:val="24"/>
          <w:szCs w:val="24"/>
        </w:rPr>
        <w:t>facilities</w:t>
      </w:r>
      <w:r w:rsidR="007342BC">
        <w:rPr>
          <w:rFonts w:ascii="Times New Roman" w:hAnsi="Times New Roman"/>
          <w:sz w:val="24"/>
          <w:szCs w:val="24"/>
        </w:rPr>
        <w:t xml:space="preserve"> </w:t>
      </w:r>
      <w:r>
        <w:rPr>
          <w:rFonts w:ascii="Times New Roman" w:hAnsi="Times New Roman"/>
          <w:sz w:val="24"/>
          <w:szCs w:val="24"/>
        </w:rPr>
        <w:t xml:space="preserve">needed to establish </w:t>
      </w:r>
      <w:r w:rsidR="00F77198">
        <w:rPr>
          <w:rFonts w:ascii="Times New Roman" w:hAnsi="Times New Roman"/>
          <w:sz w:val="24"/>
          <w:szCs w:val="24"/>
        </w:rPr>
        <w:t>each of the C</w:t>
      </w:r>
      <w:r>
        <w:rPr>
          <w:rFonts w:ascii="Times New Roman" w:hAnsi="Times New Roman"/>
          <w:sz w:val="24"/>
          <w:szCs w:val="24"/>
        </w:rPr>
        <w:t xml:space="preserve">ity’s coastal bodies of water as </w:t>
      </w:r>
      <w:r w:rsidR="00F77198">
        <w:rPr>
          <w:rFonts w:ascii="Times New Roman" w:hAnsi="Times New Roman"/>
          <w:sz w:val="24"/>
          <w:szCs w:val="24"/>
        </w:rPr>
        <w:t xml:space="preserve">an </w:t>
      </w:r>
      <w:r w:rsidR="007342BC">
        <w:rPr>
          <w:rFonts w:ascii="Times New Roman" w:hAnsi="Times New Roman"/>
          <w:sz w:val="24"/>
          <w:szCs w:val="24"/>
        </w:rPr>
        <w:t xml:space="preserve">NDZ. </w:t>
      </w:r>
      <w:r w:rsidR="00F77198">
        <w:rPr>
          <w:rFonts w:ascii="Times New Roman" w:hAnsi="Times New Roman"/>
          <w:sz w:val="24"/>
          <w:szCs w:val="24"/>
        </w:rPr>
        <w:t xml:space="preserve">The report would also include information such as </w:t>
      </w:r>
      <w:r w:rsidR="003352C1">
        <w:rPr>
          <w:rFonts w:ascii="Times New Roman" w:hAnsi="Times New Roman"/>
          <w:sz w:val="24"/>
          <w:szCs w:val="24"/>
        </w:rPr>
        <w:t>anticipated costs</w:t>
      </w:r>
      <w:r w:rsidR="00B40152">
        <w:rPr>
          <w:rFonts w:ascii="Times New Roman" w:hAnsi="Times New Roman"/>
          <w:sz w:val="24"/>
          <w:szCs w:val="24"/>
        </w:rPr>
        <w:t>,</w:t>
      </w:r>
      <w:r w:rsidR="003352C1">
        <w:rPr>
          <w:rFonts w:ascii="Times New Roman" w:hAnsi="Times New Roman"/>
          <w:sz w:val="24"/>
          <w:szCs w:val="24"/>
        </w:rPr>
        <w:t xml:space="preserve"> </w:t>
      </w:r>
      <w:r w:rsidR="005C0FF8">
        <w:rPr>
          <w:rFonts w:ascii="Times New Roman" w:hAnsi="Times New Roman"/>
          <w:sz w:val="24"/>
          <w:szCs w:val="24"/>
        </w:rPr>
        <w:t xml:space="preserve">and </w:t>
      </w:r>
      <w:r w:rsidR="003352C1">
        <w:rPr>
          <w:rFonts w:ascii="Times New Roman" w:hAnsi="Times New Roman"/>
          <w:sz w:val="24"/>
          <w:szCs w:val="24"/>
        </w:rPr>
        <w:t>identification of the coastal bodies of water for which establishment of an NDZ would be most beneficial to water quality</w:t>
      </w:r>
      <w:r w:rsidR="00B40152">
        <w:rPr>
          <w:rFonts w:ascii="Times New Roman" w:hAnsi="Times New Roman"/>
          <w:sz w:val="24"/>
          <w:szCs w:val="24"/>
        </w:rPr>
        <w:t>,</w:t>
      </w:r>
      <w:r w:rsidR="003352C1">
        <w:rPr>
          <w:rFonts w:ascii="Times New Roman" w:hAnsi="Times New Roman"/>
          <w:sz w:val="24"/>
          <w:szCs w:val="24"/>
        </w:rPr>
        <w:t xml:space="preserve"> and </w:t>
      </w:r>
      <w:r w:rsidR="005C0FF8">
        <w:rPr>
          <w:rFonts w:ascii="Times New Roman" w:hAnsi="Times New Roman"/>
          <w:sz w:val="24"/>
          <w:szCs w:val="24"/>
        </w:rPr>
        <w:t>whether DEP has made</w:t>
      </w:r>
      <w:r w:rsidR="003352C1">
        <w:rPr>
          <w:rFonts w:ascii="Times New Roman" w:hAnsi="Times New Roman"/>
          <w:sz w:val="24"/>
          <w:szCs w:val="24"/>
        </w:rPr>
        <w:t xml:space="preserve"> a determination that establishment of an NDZ is not feasible for any individual coastal body of water in the City. </w:t>
      </w:r>
      <w:r w:rsidR="007342BC">
        <w:rPr>
          <w:rFonts w:ascii="Times New Roman" w:hAnsi="Times New Roman"/>
          <w:sz w:val="24"/>
          <w:szCs w:val="24"/>
        </w:rPr>
        <w:t>Additionally, the bill would require DEP</w:t>
      </w:r>
      <w:r>
        <w:rPr>
          <w:rFonts w:ascii="Times New Roman" w:hAnsi="Times New Roman"/>
          <w:sz w:val="24"/>
          <w:szCs w:val="24"/>
        </w:rPr>
        <w:t xml:space="preserve"> to install at least two pumpout facilities per year until </w:t>
      </w:r>
      <w:r w:rsidR="00F77198">
        <w:rPr>
          <w:rFonts w:ascii="Times New Roman" w:hAnsi="Times New Roman"/>
          <w:sz w:val="24"/>
          <w:szCs w:val="24"/>
        </w:rPr>
        <w:t>each of the City’s coastal bodies of water hosts the number of</w:t>
      </w:r>
      <w:r w:rsidR="00DD6F8A">
        <w:rPr>
          <w:rFonts w:ascii="Times New Roman" w:hAnsi="Times New Roman"/>
          <w:sz w:val="24"/>
          <w:szCs w:val="24"/>
        </w:rPr>
        <w:t xml:space="preserve"> operational</w:t>
      </w:r>
      <w:r w:rsidR="00F77198">
        <w:rPr>
          <w:rFonts w:ascii="Times New Roman" w:hAnsi="Times New Roman"/>
          <w:sz w:val="24"/>
          <w:szCs w:val="24"/>
        </w:rPr>
        <w:t xml:space="preserve"> pumpout </w:t>
      </w:r>
      <w:r w:rsidR="00B40152">
        <w:rPr>
          <w:rFonts w:ascii="Times New Roman" w:hAnsi="Times New Roman"/>
          <w:sz w:val="24"/>
          <w:szCs w:val="24"/>
        </w:rPr>
        <w:t>facilities</w:t>
      </w:r>
      <w:r w:rsidR="00F77198">
        <w:rPr>
          <w:rFonts w:ascii="Times New Roman" w:hAnsi="Times New Roman"/>
          <w:sz w:val="24"/>
          <w:szCs w:val="24"/>
        </w:rPr>
        <w:t xml:space="preserve"> required to become an NDZ as determined by such report</w:t>
      </w:r>
      <w:r w:rsidR="009F6549">
        <w:rPr>
          <w:rFonts w:ascii="Times New Roman" w:hAnsi="Times New Roman"/>
          <w:sz w:val="24"/>
          <w:szCs w:val="24"/>
        </w:rPr>
        <w:t>.</w:t>
      </w:r>
      <w:r>
        <w:rPr>
          <w:rFonts w:ascii="Times New Roman" w:hAnsi="Times New Roman"/>
          <w:sz w:val="24"/>
          <w:szCs w:val="24"/>
        </w:rPr>
        <w:t xml:space="preserve"> </w:t>
      </w:r>
      <w:r w:rsidR="009F6549">
        <w:rPr>
          <w:rFonts w:ascii="Times New Roman" w:hAnsi="Times New Roman"/>
          <w:sz w:val="24"/>
          <w:szCs w:val="24"/>
        </w:rPr>
        <w:t>H</w:t>
      </w:r>
      <w:r w:rsidR="00F77198">
        <w:rPr>
          <w:rFonts w:ascii="Times New Roman" w:hAnsi="Times New Roman"/>
          <w:sz w:val="24"/>
          <w:szCs w:val="24"/>
        </w:rPr>
        <w:t xml:space="preserve">owever, DEP would not have to install pumpout </w:t>
      </w:r>
      <w:r w:rsidR="00B40152">
        <w:rPr>
          <w:rFonts w:ascii="Times New Roman" w:hAnsi="Times New Roman"/>
          <w:sz w:val="24"/>
          <w:szCs w:val="24"/>
        </w:rPr>
        <w:t>facilities pursuant to this bill</w:t>
      </w:r>
      <w:r w:rsidR="00F77198">
        <w:rPr>
          <w:rFonts w:ascii="Times New Roman" w:hAnsi="Times New Roman"/>
          <w:sz w:val="24"/>
          <w:szCs w:val="24"/>
        </w:rPr>
        <w:t xml:space="preserve"> if the report determines that it would be infeasible </w:t>
      </w:r>
      <w:r w:rsidR="003352C1">
        <w:rPr>
          <w:rFonts w:ascii="Times New Roman" w:hAnsi="Times New Roman"/>
          <w:sz w:val="24"/>
          <w:szCs w:val="24"/>
        </w:rPr>
        <w:t xml:space="preserve">to establish </w:t>
      </w:r>
      <w:r>
        <w:rPr>
          <w:rFonts w:ascii="Times New Roman" w:hAnsi="Times New Roman"/>
          <w:sz w:val="24"/>
          <w:szCs w:val="24"/>
        </w:rPr>
        <w:t xml:space="preserve">any </w:t>
      </w:r>
      <w:r w:rsidR="003352C1">
        <w:rPr>
          <w:rFonts w:ascii="Times New Roman" w:hAnsi="Times New Roman"/>
          <w:sz w:val="24"/>
          <w:szCs w:val="24"/>
        </w:rPr>
        <w:t>individual coastal body of water in the City as an NDZ</w:t>
      </w:r>
      <w:r w:rsidR="00F77198">
        <w:rPr>
          <w:rFonts w:ascii="Times New Roman" w:hAnsi="Times New Roman"/>
          <w:sz w:val="24"/>
          <w:szCs w:val="24"/>
        </w:rPr>
        <w:t>. The bill</w:t>
      </w:r>
      <w:r w:rsidR="005908D1">
        <w:rPr>
          <w:rFonts w:ascii="Times New Roman" w:hAnsi="Times New Roman"/>
          <w:sz w:val="24"/>
          <w:szCs w:val="24"/>
        </w:rPr>
        <w:t xml:space="preserve"> would</w:t>
      </w:r>
      <w:r w:rsidR="00F77198">
        <w:rPr>
          <w:rFonts w:ascii="Times New Roman" w:hAnsi="Times New Roman"/>
          <w:sz w:val="24"/>
          <w:szCs w:val="24"/>
        </w:rPr>
        <w:t xml:space="preserve"> require DEP</w:t>
      </w:r>
      <w:r>
        <w:rPr>
          <w:rFonts w:ascii="Times New Roman" w:hAnsi="Times New Roman"/>
          <w:sz w:val="24"/>
          <w:szCs w:val="24"/>
        </w:rPr>
        <w:t xml:space="preserve"> to report every two years on progress regarding the foregoing, and to make best efforts to ensure that no-discharge zones continue to meet federal eligibility criteria for no-discharge zones once they are established.</w:t>
      </w:r>
    </w:p>
    <w:p w14:paraId="10B7A67C" w14:textId="4143EBC1" w:rsidR="006B0484" w:rsidRPr="003531DF" w:rsidRDefault="006B0484" w:rsidP="00525E7A">
      <w:pPr>
        <w:pStyle w:val="NoSpacing"/>
        <w:spacing w:before="80" w:line="480" w:lineRule="auto"/>
        <w:ind w:firstLine="720"/>
        <w:jc w:val="both"/>
        <w:rPr>
          <w:rFonts w:ascii="Times New Roman" w:hAnsi="Times New Roman"/>
          <w:sz w:val="24"/>
          <w:szCs w:val="24"/>
        </w:rPr>
      </w:pPr>
      <w:r w:rsidRPr="003531DF">
        <w:rPr>
          <w:rStyle w:val="ui-provider"/>
          <w:rFonts w:ascii="Times New Roman" w:hAnsi="Times New Roman"/>
          <w:sz w:val="24"/>
          <w:szCs w:val="24"/>
        </w:rPr>
        <w:t>Thi</w:t>
      </w:r>
      <w:r>
        <w:rPr>
          <w:rStyle w:val="ui-provider"/>
          <w:rFonts w:ascii="Times New Roman" w:hAnsi="Times New Roman"/>
          <w:sz w:val="24"/>
          <w:szCs w:val="24"/>
        </w:rPr>
        <w:t xml:space="preserve">s local law would take effect </w:t>
      </w:r>
      <w:r w:rsidR="00525E7A">
        <w:rPr>
          <w:rStyle w:val="ui-provider"/>
          <w:rFonts w:ascii="Times New Roman" w:hAnsi="Times New Roman"/>
          <w:sz w:val="24"/>
          <w:szCs w:val="24"/>
        </w:rPr>
        <w:t>immediately</w:t>
      </w:r>
      <w:r w:rsidR="007342BC">
        <w:rPr>
          <w:rStyle w:val="ui-provider"/>
          <w:rFonts w:ascii="Times New Roman" w:hAnsi="Times New Roman"/>
          <w:sz w:val="24"/>
          <w:szCs w:val="24"/>
        </w:rPr>
        <w:t>.</w:t>
      </w:r>
    </w:p>
    <w:p w14:paraId="707A9A6B" w14:textId="77777777" w:rsidR="006B0484" w:rsidRPr="007B3670" w:rsidRDefault="006B0484" w:rsidP="006B0484">
      <w:pPr>
        <w:pStyle w:val="NoSpacing"/>
        <w:suppressLineNumbers/>
        <w:spacing w:line="480" w:lineRule="auto"/>
        <w:ind w:firstLine="720"/>
        <w:jc w:val="both"/>
        <w:rPr>
          <w:rFonts w:ascii="Times New Roman" w:hAnsi="Times New Roman"/>
          <w:color w:val="000000"/>
          <w:sz w:val="24"/>
          <w:szCs w:val="24"/>
          <w:shd w:val="clear" w:color="auto" w:fill="FFFFFF"/>
        </w:rPr>
      </w:pPr>
    </w:p>
    <w:p w14:paraId="2A82DDA1" w14:textId="77777777" w:rsidR="006B0484" w:rsidRPr="007E6709" w:rsidRDefault="006B0484" w:rsidP="006B0484">
      <w:pPr>
        <w:pStyle w:val="NoSpacing"/>
        <w:suppressLineNumbers/>
        <w:spacing w:line="480" w:lineRule="auto"/>
        <w:jc w:val="both"/>
        <w:rPr>
          <w:rFonts w:ascii="Times New Roman" w:hAnsi="Times New Roman"/>
          <w:color w:val="000000"/>
          <w:sz w:val="24"/>
          <w:szCs w:val="24"/>
          <w:shd w:val="clear" w:color="auto" w:fill="FFFFFF"/>
        </w:rPr>
      </w:pPr>
    </w:p>
    <w:p w14:paraId="797D2C8C" w14:textId="77777777" w:rsidR="006B0484" w:rsidRPr="007E6709" w:rsidRDefault="006B0484" w:rsidP="006B0484">
      <w:pPr>
        <w:suppressLineNumbers/>
        <w:spacing w:line="480" w:lineRule="auto"/>
        <w:rPr>
          <w:szCs w:val="24"/>
        </w:rPr>
      </w:pPr>
    </w:p>
    <w:p w14:paraId="5222E680" w14:textId="77777777" w:rsidR="006B0484" w:rsidRPr="007E6709" w:rsidRDefault="006B0484" w:rsidP="006B0484">
      <w:pPr>
        <w:suppressLineNumbers/>
        <w:spacing w:line="480" w:lineRule="auto"/>
        <w:rPr>
          <w:szCs w:val="24"/>
        </w:rPr>
      </w:pPr>
    </w:p>
    <w:p w14:paraId="1FF1AF38" w14:textId="77777777" w:rsidR="006B0484" w:rsidRDefault="006B0484" w:rsidP="006B0484">
      <w:pPr>
        <w:suppressLineNumbers/>
        <w:spacing w:after="160" w:line="480" w:lineRule="auto"/>
        <w:jc w:val="left"/>
        <w:rPr>
          <w:szCs w:val="24"/>
        </w:rPr>
      </w:pPr>
      <w:r w:rsidRPr="007E6709">
        <w:rPr>
          <w:szCs w:val="24"/>
        </w:rPr>
        <w:br w:type="page"/>
      </w:r>
    </w:p>
    <w:p w14:paraId="543BE7F4" w14:textId="77777777" w:rsidR="00525E7A" w:rsidRDefault="00525E7A" w:rsidP="00EB1F7A">
      <w:pPr>
        <w:pStyle w:val="NormalWeb"/>
        <w:suppressLineNumbers/>
        <w:shd w:val="clear" w:color="auto" w:fill="FFFFFF"/>
        <w:spacing w:before="0" w:beforeAutospacing="0" w:after="0" w:afterAutospacing="0"/>
        <w:jc w:val="center"/>
        <w:rPr>
          <w:color w:val="000000"/>
          <w:sz w:val="27"/>
          <w:szCs w:val="27"/>
        </w:rPr>
      </w:pPr>
      <w:r>
        <w:rPr>
          <w:color w:val="000000"/>
        </w:rPr>
        <w:t>Proposed Int. No. 532-A</w:t>
      </w:r>
    </w:p>
    <w:p w14:paraId="193E6298"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rPr>
        <w:t> </w:t>
      </w:r>
    </w:p>
    <w:p w14:paraId="09592ABA" w14:textId="23B49C14"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rPr>
        <w:t>By Council Members Gennaro, Restler, Holden, Riley</w:t>
      </w:r>
      <w:r w:rsidR="00EB1F7A">
        <w:rPr>
          <w:color w:val="000000"/>
          <w:shd w:val="clear" w:color="auto" w:fill="FFFFFF"/>
        </w:rPr>
        <w:t>,</w:t>
      </w:r>
      <w:r>
        <w:rPr>
          <w:color w:val="000000"/>
          <w:shd w:val="clear" w:color="auto" w:fill="FFFFFF"/>
        </w:rPr>
        <w:t xml:space="preserve"> Velázquez</w:t>
      </w:r>
      <w:r w:rsidR="00EB1F7A">
        <w:rPr>
          <w:color w:val="000000"/>
          <w:shd w:val="clear" w:color="auto" w:fill="FFFFFF"/>
        </w:rPr>
        <w:t xml:space="preserve"> and Cabán</w:t>
      </w:r>
    </w:p>
    <w:p w14:paraId="3CC8DC51"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rPr>
        <w:t> </w:t>
      </w:r>
    </w:p>
    <w:p w14:paraId="00B8D27E" w14:textId="77777777" w:rsidR="00525E7A" w:rsidRDefault="00525E7A" w:rsidP="00525E7A">
      <w:pPr>
        <w:pStyle w:val="NormalWeb"/>
        <w:suppressLineNumbers/>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installing pumpout facilities to establish the coastal waters of the city as no-discharge zones</w:t>
      </w:r>
    </w:p>
    <w:p w14:paraId="4D6FCEB1"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rPr>
        <w:t> </w:t>
      </w:r>
    </w:p>
    <w:p w14:paraId="006456CB" w14:textId="77777777" w:rsidR="00525E7A" w:rsidRDefault="00525E7A" w:rsidP="00525E7A">
      <w:pPr>
        <w:pStyle w:val="NormalWeb"/>
        <w:suppressLineNumbers/>
        <w:shd w:val="clear" w:color="auto" w:fill="FFFFFF"/>
        <w:spacing w:before="0" w:beforeAutospacing="0" w:after="0" w:afterAutospacing="0"/>
        <w:rPr>
          <w:color w:val="000000"/>
          <w:u w:val="single"/>
        </w:rPr>
        <w:sectPr w:rsidR="00525E7A" w:rsidSect="007C42E1">
          <w:footerReference w:type="default" r:id="rId9"/>
          <w:footerReference w:type="first" r:id="rId10"/>
          <w:pgSz w:w="12240" w:h="15840"/>
          <w:pgMar w:top="1440" w:right="1440" w:bottom="1440" w:left="1440" w:header="720" w:footer="720" w:gutter="0"/>
          <w:cols w:space="720"/>
          <w:docGrid w:linePitch="360"/>
        </w:sectPr>
      </w:pPr>
      <w:r>
        <w:rPr>
          <w:color w:val="000000"/>
          <w:u w:val="single"/>
        </w:rPr>
        <w:t>Be it enacted by the Council as follows:</w:t>
      </w:r>
    </w:p>
    <w:p w14:paraId="5873B7C0"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p>
    <w:p w14:paraId="6A5D2740"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Subchapter 1 of chapter 1 of title 22 of the administrative code of the city of New York is amended by adding a new section 22-112.1 to read as follows:</w:t>
      </w:r>
    </w:p>
    <w:p w14:paraId="12B7AEAD"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 22-112.1 a. Definitions. For purposes of this section, the term “pumpout facility” has the meaning ascribed to such term in the environmental conservation law. </w:t>
      </w:r>
    </w:p>
    <w:p w14:paraId="2BB4CFF5"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b. No later than December 31, 2025, the department of environmental protection shall develop a report that would summarize the additional construction and installation needed for all coastal bodies of water of the city to be designated as no-discharge zones. Such report shall include, at a minimum:</w:t>
      </w:r>
    </w:p>
    <w:p w14:paraId="529AAAD1"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1. Which coastal bodies of water of the city have been designated as no-discharge zones;</w:t>
      </w:r>
    </w:p>
    <w:p w14:paraId="1297F257"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2. The existing number and locations of pumpout facilities in or adjacent to the city’s coastal bodies of water;</w:t>
      </w:r>
    </w:p>
    <w:p w14:paraId="6A38A1FC"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3. </w:t>
      </w:r>
      <w:r w:rsidRPr="0022527B">
        <w:rPr>
          <w:color w:val="000000"/>
          <w:u w:val="single"/>
        </w:rPr>
        <w:t>Determine the number of additional pumpout facilities required to establish a no-discharge zone in each coastal body of water in the city, and the necessary locations of such pumpout facilities</w:t>
      </w:r>
      <w:r>
        <w:rPr>
          <w:color w:val="000000"/>
          <w:u w:val="single"/>
        </w:rPr>
        <w:t>;</w:t>
      </w:r>
    </w:p>
    <w:p w14:paraId="19AB2B19"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 The costs that would be incurred in order to establish a no-discharge zone in each remaining coastal body of water in the city; and</w:t>
      </w:r>
    </w:p>
    <w:p w14:paraId="56A11CCC" w14:textId="77777777" w:rsidR="00525E7A" w:rsidRPr="0022527B"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 xml:space="preserve">5. The coastal bodies of water in which the establishment of a no-discharge zone would be most beneficial to water quality. </w:t>
      </w:r>
    </w:p>
    <w:p w14:paraId="7DDA9938"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c. If the department of environmental protection determines that establishing certain coastal bodies of water as no-discharge zones is not feasible despite the best efforts of city government, or if the fiscal cost of the installation of pumpout facilities along a particular coastal body of water would be significantly in excess of the typical cost of installation for equivalent pumpout facilities in other locations in the city, the department of environmental protection shall include such determination in the report and make recommendations with respect to actions that may be undertaken to achieve no-discharge zone status in all of the coastal bodies of water of the city.</w:t>
      </w:r>
    </w:p>
    <w:p w14:paraId="4634F4C0"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d. Each calendar year, beginning in the calendar year following the issuance of the report required pursuant to subdivision b of this section, until all of the coastal bodies of water of the city are designated as no-discharge zones or the department of environmental protection determines that establishing all of the coastal bodies of water of the city as no-discharge zones is not feasible pursuant to subdivision c of this section, the department of environmental protection shall install at least 2 public pumpout facilities until each coastal body of water hosts the number of operational pumpout facilities the department of environmental protection determines is required to be established as a no-discharge zone pursuant to the report required by subdivision b of this section or any update of such report. The department of environmental protection shall prioritize installing pumpout facilities in or around the coastal bodies of water that would most benefit from being designated no-discharge zones, as identified pursuant to the report required by subdivision b of this section or any update of such report.</w:t>
      </w:r>
    </w:p>
    <w:p w14:paraId="789E49E1"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e. By December 31, 2027, and by December 31 of every second year thereafter, until all of the coastal bodies of water of the city have been designated as no-discharge zones by the United States environmental protection agency, other than any portions of such coastal bodies of water for which a determination has been made pursuant to subdivision c of this section, the department of environmental protection shall</w:t>
      </w:r>
      <w:r w:rsidRPr="00BF09E7">
        <w:rPr>
          <w:color w:val="000000"/>
          <w:u w:val="single"/>
        </w:rPr>
        <w:t xml:space="preserve"> </w:t>
      </w:r>
      <w:r>
        <w:rPr>
          <w:color w:val="000000"/>
          <w:u w:val="single"/>
        </w:rPr>
        <w:t>submit a report to the mayor and the council including but not limited to the following:</w:t>
      </w:r>
    </w:p>
    <w:p w14:paraId="6B853EA9"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1. The number and locations of pumpout facilities constructed in or adjacent to the city’s coastal bodies of water since the date of the most recent report issued pursuant to this section and the number and locations of pumpout facilities to be constructed during the following calendar year;</w:t>
      </w:r>
    </w:p>
    <w:p w14:paraId="71C1D865"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2. Which coastal bodies of water of the city have been designated as a no-discharge zone since the date of the most recent report issued pursuant to this section;</w:t>
      </w:r>
    </w:p>
    <w:p w14:paraId="34979666"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3. An assessment of priorities pursuant to subdivision d of this section; and</w:t>
      </w:r>
    </w:p>
    <w:p w14:paraId="36719CB3" w14:textId="77777777" w:rsidR="00525E7A" w:rsidRPr="00D709C8" w:rsidRDefault="00525E7A" w:rsidP="00525E7A">
      <w:pPr>
        <w:pStyle w:val="NormalWeb"/>
        <w:shd w:val="clear" w:color="auto" w:fill="FFFFFF"/>
        <w:spacing w:before="0" w:beforeAutospacing="0" w:after="0" w:afterAutospacing="0" w:line="480" w:lineRule="auto"/>
        <w:ind w:firstLine="720"/>
        <w:jc w:val="both"/>
        <w:rPr>
          <w:color w:val="000000"/>
          <w:u w:val="single"/>
        </w:rPr>
      </w:pPr>
      <w:r>
        <w:rPr>
          <w:color w:val="000000"/>
          <w:u w:val="single"/>
        </w:rPr>
        <w:t>4. An assessment of progress toward establishing all of the city’s coastal bodies of water as no-discharge zones.</w:t>
      </w:r>
      <w:r w:rsidDel="00BF09E7">
        <w:rPr>
          <w:color w:val="000000"/>
          <w:u w:val="single"/>
        </w:rPr>
        <w:t xml:space="preserve"> </w:t>
      </w:r>
    </w:p>
    <w:p w14:paraId="3F954A1B" w14:textId="77777777" w:rsidR="00525E7A" w:rsidRDefault="00525E7A" w:rsidP="00525E7A">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f. The department of environmental protection shall use best efforts to ensure that all no-discharge zones continue to meet federal eligibility criteria for no-discharge zones promulgated pursuant to the clean water act.</w:t>
      </w:r>
    </w:p>
    <w:p w14:paraId="246258BA" w14:textId="77777777" w:rsidR="00525E7A" w:rsidRDefault="00525E7A" w:rsidP="00525E7A">
      <w:pPr>
        <w:pStyle w:val="NormalWeb"/>
        <w:shd w:val="clear" w:color="auto" w:fill="FFFFFF"/>
        <w:spacing w:before="0" w:beforeAutospacing="0" w:after="0" w:afterAutospacing="0" w:line="480" w:lineRule="auto"/>
        <w:ind w:firstLine="720"/>
        <w:rPr>
          <w:color w:val="000000"/>
        </w:rPr>
        <w:sectPr w:rsidR="00525E7A" w:rsidSect="007C42E1">
          <w:type w:val="continuous"/>
          <w:pgSz w:w="12240" w:h="15840"/>
          <w:pgMar w:top="1440" w:right="1440" w:bottom="1440" w:left="1440" w:header="720" w:footer="720" w:gutter="0"/>
          <w:lnNumType w:countBy="1"/>
          <w:cols w:space="720"/>
          <w:docGrid w:linePitch="360"/>
        </w:sectPr>
      </w:pPr>
      <w:r>
        <w:rPr>
          <w:color w:val="000000"/>
        </w:rPr>
        <w:t>§ 2. This local law takes effect immediately.</w:t>
      </w:r>
    </w:p>
    <w:p w14:paraId="4C25BCB8" w14:textId="77777777" w:rsidR="00525E7A" w:rsidRDefault="00525E7A" w:rsidP="00525E7A">
      <w:pPr>
        <w:pStyle w:val="NormalWeb"/>
        <w:suppressLineNumbers/>
        <w:shd w:val="clear" w:color="auto" w:fill="FFFFFF"/>
        <w:spacing w:before="0" w:beforeAutospacing="0" w:after="0" w:afterAutospacing="0" w:line="480" w:lineRule="auto"/>
        <w:rPr>
          <w:color w:val="000000"/>
          <w:sz w:val="27"/>
          <w:szCs w:val="27"/>
        </w:rPr>
      </w:pPr>
    </w:p>
    <w:p w14:paraId="5EC5AFFD"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u w:val="single"/>
        </w:rPr>
        <w:t>Session 12</w:t>
      </w:r>
    </w:p>
    <w:p w14:paraId="60FD723F"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rPr>
        <w:t>MHL/CCM</w:t>
      </w:r>
    </w:p>
    <w:p w14:paraId="7614C5F5"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rPr>
        <w:t>LS #8570</w:t>
      </w:r>
    </w:p>
    <w:p w14:paraId="15FB3780" w14:textId="77777777" w:rsidR="00525E7A" w:rsidRDefault="00525E7A" w:rsidP="00525E7A">
      <w:pPr>
        <w:pStyle w:val="NormalWeb"/>
        <w:suppressLineNumbers/>
        <w:shd w:val="clear" w:color="auto" w:fill="FFFFFF"/>
        <w:spacing w:before="0" w:beforeAutospacing="0" w:after="0" w:afterAutospacing="0"/>
        <w:rPr>
          <w:color w:val="000000"/>
          <w:sz w:val="20"/>
          <w:szCs w:val="20"/>
        </w:rPr>
      </w:pPr>
      <w:r>
        <w:rPr>
          <w:color w:val="000000"/>
          <w:sz w:val="20"/>
          <w:szCs w:val="20"/>
        </w:rPr>
        <w:t>12/12/2023 11:25 PM</w:t>
      </w:r>
    </w:p>
    <w:p w14:paraId="618CE7C4"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p>
    <w:p w14:paraId="75A421DE"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u w:val="single"/>
        </w:rPr>
        <w:t>Session 11</w:t>
      </w:r>
    </w:p>
    <w:p w14:paraId="34B42F6B"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rPr>
        <w:t>HB/MAJ</w:t>
      </w:r>
    </w:p>
    <w:p w14:paraId="7F8BF9C1"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rPr>
        <w:t>LS #520</w:t>
      </w:r>
    </w:p>
    <w:p w14:paraId="37F951CE" w14:textId="77777777" w:rsidR="00525E7A" w:rsidRDefault="00525E7A" w:rsidP="00525E7A">
      <w:pPr>
        <w:pStyle w:val="NormalWeb"/>
        <w:suppressLineNumbers/>
        <w:shd w:val="clear" w:color="auto" w:fill="FFFFFF"/>
        <w:spacing w:before="0" w:beforeAutospacing="0" w:after="0" w:afterAutospacing="0"/>
        <w:rPr>
          <w:color w:val="000000"/>
          <w:sz w:val="27"/>
          <w:szCs w:val="27"/>
        </w:rPr>
      </w:pPr>
      <w:r>
        <w:rPr>
          <w:color w:val="000000"/>
          <w:sz w:val="20"/>
          <w:szCs w:val="20"/>
        </w:rPr>
        <w:t>Int. 702-2018</w:t>
      </w:r>
    </w:p>
    <w:p w14:paraId="72C42CDE" w14:textId="77777777" w:rsidR="00525E7A" w:rsidRDefault="00525E7A" w:rsidP="00525E7A">
      <w:pPr>
        <w:suppressLineNumbers/>
      </w:pPr>
    </w:p>
    <w:p w14:paraId="75C6C5FB" w14:textId="7CE6DE8F" w:rsidR="006B0484" w:rsidRPr="006B0484" w:rsidRDefault="006B0484" w:rsidP="00525E7A">
      <w:pPr>
        <w:jc w:val="center"/>
      </w:pPr>
    </w:p>
    <w:sectPr w:rsidR="006B0484" w:rsidRPr="006B0484" w:rsidSect="007C42E1">
      <w:type w:val="continuous"/>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AF25A6E" w16cex:dateUtc="2023-12-18T1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16288B" w16cid:durableId="5AF25A6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6B327" w14:textId="77777777" w:rsidR="007C42E1" w:rsidRDefault="007C42E1" w:rsidP="006B0484">
      <w:r>
        <w:separator/>
      </w:r>
    </w:p>
  </w:endnote>
  <w:endnote w:type="continuationSeparator" w:id="0">
    <w:p w14:paraId="342959AA" w14:textId="77777777" w:rsidR="007C42E1" w:rsidRDefault="007C42E1" w:rsidP="006B0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0F68D54D" w14:textId="28EDD22E" w:rsidR="006B0484" w:rsidRDefault="006B0484">
        <w:pPr>
          <w:pStyle w:val="Footer"/>
          <w:jc w:val="center"/>
        </w:pPr>
        <w:r>
          <w:fldChar w:fldCharType="begin"/>
        </w:r>
        <w:r>
          <w:instrText xml:space="preserve"> PAGE   \* MERGEFORMAT </w:instrText>
        </w:r>
        <w:r>
          <w:fldChar w:fldCharType="separate"/>
        </w:r>
        <w:r w:rsidR="0089284F">
          <w:rPr>
            <w:noProof/>
          </w:rPr>
          <w:t>1</w:t>
        </w:r>
        <w:r>
          <w:rPr>
            <w:noProof/>
          </w:rPr>
          <w:fldChar w:fldCharType="end"/>
        </w:r>
      </w:p>
    </w:sdtContent>
  </w:sdt>
  <w:p w14:paraId="43CBA963" w14:textId="77777777" w:rsidR="006B0484" w:rsidRDefault="006B048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3FA44034" w14:textId="77777777" w:rsidR="006B0484" w:rsidRDefault="006B048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3FE987" w14:textId="77777777" w:rsidR="006B0484" w:rsidRDefault="006B04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227A29" w14:textId="77777777" w:rsidR="007C42E1" w:rsidRDefault="007C42E1" w:rsidP="006B0484">
      <w:r>
        <w:separator/>
      </w:r>
    </w:p>
  </w:footnote>
  <w:footnote w:type="continuationSeparator" w:id="0">
    <w:p w14:paraId="5D1D290E" w14:textId="77777777" w:rsidR="007C42E1" w:rsidRDefault="007C42E1" w:rsidP="006B0484">
      <w:r>
        <w:continuationSeparator/>
      </w:r>
    </w:p>
  </w:footnote>
  <w:footnote w:id="1">
    <w:p w14:paraId="7D70A9E4" w14:textId="40AEDC91" w:rsidR="00B40152" w:rsidRDefault="00B40152" w:rsidP="00917A5B">
      <w:pPr>
        <w:pStyle w:val="FootnoteText"/>
        <w:jc w:val="left"/>
      </w:pPr>
      <w:r>
        <w:rPr>
          <w:rStyle w:val="FootnoteReference"/>
        </w:rPr>
        <w:footnoteRef/>
      </w:r>
      <w:r>
        <w:t xml:space="preserve"> </w:t>
      </w:r>
      <w:r w:rsidR="00917A5B">
        <w:t xml:space="preserve">US EPA, “Vessel Sewage No-Discharge Zones,” August 14, 2023. </w:t>
      </w:r>
      <w:r w:rsidR="00917A5B">
        <w:rPr>
          <w:i/>
          <w:iCs/>
        </w:rPr>
        <w:t>Available at</w:t>
      </w:r>
      <w:r w:rsidR="00917A5B">
        <w:t xml:space="preserve"> </w:t>
      </w:r>
      <w:hyperlink r:id="rId1" w:history="1">
        <w:r w:rsidR="00917A5B" w:rsidRPr="0059403B">
          <w:rPr>
            <w:rStyle w:val="Hyperlink"/>
          </w:rPr>
          <w:t>https://www.epa.gov/vessels-marinas-and-ports/vessel-sewage-no-discharge-zones</w:t>
        </w:r>
      </w:hyperlink>
      <w:r w:rsidR="00917A5B">
        <w:t xml:space="preserve">. </w:t>
      </w:r>
    </w:p>
  </w:footnote>
  <w:footnote w:id="2">
    <w:p w14:paraId="5936551D" w14:textId="68B19305" w:rsidR="00917A5B" w:rsidRDefault="008508CA" w:rsidP="00917A5B">
      <w:pPr>
        <w:pStyle w:val="FootnoteText"/>
        <w:jc w:val="left"/>
      </w:pPr>
      <w:r>
        <w:rPr>
          <w:rStyle w:val="FootnoteReference"/>
        </w:rPr>
        <w:footnoteRef/>
      </w:r>
      <w:r w:rsidR="00917A5B">
        <w:t xml:space="preserve"> Massachusetts Office of Coastal Zone Management, “Benefits of No Discharge Zones (NDZs).” </w:t>
      </w:r>
      <w:r w:rsidR="00917A5B">
        <w:rPr>
          <w:i/>
          <w:iCs/>
        </w:rPr>
        <w:t xml:space="preserve">Available at </w:t>
      </w:r>
      <w:hyperlink r:id="rId2" w:history="1">
        <w:r w:rsidR="00917A5B" w:rsidRPr="0059403B">
          <w:rPr>
            <w:rStyle w:val="Hyperlink"/>
          </w:rPr>
          <w:t>https://www.mass.gov/info-details/benefits-of-no-discharge-zones-ndzs</w:t>
        </w:r>
      </w:hyperlink>
      <w:r w:rsidR="00917A5B">
        <w:t>.</w:t>
      </w:r>
    </w:p>
  </w:footnote>
  <w:footnote w:id="3">
    <w:p w14:paraId="517B72AD" w14:textId="77777777" w:rsidR="009F6549" w:rsidRDefault="009F6549" w:rsidP="009F6549">
      <w:pPr>
        <w:pStyle w:val="FootnoteText"/>
        <w:jc w:val="left"/>
      </w:pPr>
      <w:r>
        <w:rPr>
          <w:rStyle w:val="FootnoteReference"/>
        </w:rPr>
        <w:footnoteRef/>
      </w:r>
      <w:r>
        <w:t xml:space="preserve"> New York Department of Environmental Conservation, “New York State’s No Discharge Zones.” </w:t>
      </w:r>
      <w:r>
        <w:rPr>
          <w:i/>
          <w:iCs/>
        </w:rPr>
        <w:t xml:space="preserve">Available at </w:t>
      </w:r>
      <w:hyperlink r:id="rId3" w:history="1">
        <w:r w:rsidRPr="0059403B">
          <w:rPr>
            <w:rStyle w:val="Hyperlink"/>
          </w:rPr>
          <w:t>https://dec.ny.gov/environmental-protection/water/water-quality/no-discharge-zones</w:t>
        </w:r>
      </w:hyperlink>
      <w:r>
        <w:t>.</w:t>
      </w:r>
    </w:p>
  </w:footnote>
  <w:footnote w:id="4">
    <w:p w14:paraId="07EB45BF" w14:textId="77777777" w:rsidR="009F6549" w:rsidRDefault="009F6549" w:rsidP="009F6549">
      <w:pPr>
        <w:pStyle w:val="FootnoteText"/>
        <w:jc w:val="left"/>
      </w:pPr>
      <w:r>
        <w:rPr>
          <w:rStyle w:val="FootnoteReference"/>
        </w:rPr>
        <w:footnoteRef/>
      </w:r>
      <w:r>
        <w:t xml:space="preserve"> </w:t>
      </w:r>
      <w:r w:rsidRPr="003E3BA5">
        <w:rPr>
          <w:i/>
        </w:rPr>
        <w:t>Id.</w:t>
      </w:r>
    </w:p>
  </w:footnote>
  <w:footnote w:id="5">
    <w:p w14:paraId="67BF1F78" w14:textId="1279403A" w:rsidR="00917A5B" w:rsidRDefault="00B40152" w:rsidP="00917A5B">
      <w:pPr>
        <w:pStyle w:val="FootnoteText"/>
        <w:jc w:val="left"/>
      </w:pPr>
      <w:r>
        <w:rPr>
          <w:rStyle w:val="FootnoteReference"/>
        </w:rPr>
        <w:footnoteRef/>
      </w:r>
      <w:r>
        <w:t xml:space="preserve"> </w:t>
      </w:r>
      <w:r w:rsidR="00917A5B">
        <w:t xml:space="preserve">33 </w:t>
      </w:r>
      <w:r w:rsidR="00DD6F8A">
        <w:t xml:space="preserve">USC </w:t>
      </w:r>
      <w:r w:rsidR="00E2191C">
        <w:t>§ </w:t>
      </w:r>
      <w:r w:rsidR="00917A5B">
        <w:t>1322(f).</w:t>
      </w:r>
    </w:p>
  </w:footnote>
  <w:footnote w:id="6">
    <w:p w14:paraId="1FD6C369" w14:textId="308258D6" w:rsidR="0076479B" w:rsidRDefault="00EB1F7A" w:rsidP="00917A5B">
      <w:pPr>
        <w:pStyle w:val="FootnoteText"/>
        <w:jc w:val="left"/>
      </w:pPr>
      <w:r>
        <w:rPr>
          <w:rStyle w:val="FootnoteReference"/>
        </w:rPr>
        <w:footnoteRef/>
      </w:r>
      <w:r>
        <w:t xml:space="preserve"> </w:t>
      </w:r>
      <w:r w:rsidR="00917A5B">
        <w:rPr>
          <w:bCs/>
          <w:szCs w:val="24"/>
        </w:rPr>
        <w:t>The federal government has determined that an</w:t>
      </w:r>
      <w:r>
        <w:t xml:space="preserve"> adequate number of pumpout sta</w:t>
      </w:r>
      <w:r>
        <w:rPr>
          <w:bCs/>
          <w:szCs w:val="24"/>
        </w:rPr>
        <w:t xml:space="preserve">tions is one station per 300 to 600 boats; </w:t>
      </w:r>
      <w:r w:rsidR="00917A5B">
        <w:rPr>
          <w:bCs/>
          <w:szCs w:val="24"/>
        </w:rPr>
        <w:t xml:space="preserve">US Fish and Wildlife Service, “Clean Vessel Act: Pumpout Station and Sump Station Technical Guidelines,” March 10, 1994. </w:t>
      </w:r>
      <w:r w:rsidR="00917A5B">
        <w:rPr>
          <w:bCs/>
          <w:i/>
          <w:iCs/>
          <w:szCs w:val="24"/>
        </w:rPr>
        <w:t>Available at</w:t>
      </w:r>
      <w:r w:rsidR="00FE16E0">
        <w:rPr>
          <w:bCs/>
          <w:i/>
          <w:iCs/>
          <w:szCs w:val="24"/>
        </w:rPr>
        <w:t xml:space="preserve"> </w:t>
      </w:r>
      <w:hyperlink r:id="rId4" w:history="1">
        <w:r w:rsidR="0076479B" w:rsidRPr="00083BA2">
          <w:rPr>
            <w:rStyle w:val="Hyperlink"/>
          </w:rPr>
          <w:t>https://www.govinfo.gov/content/pkg/FR-1994-03-10/html/94-5530.htm</w:t>
        </w:r>
      </w:hyperlink>
      <w:r w:rsidR="00FE16E0">
        <w:t>.</w:t>
      </w:r>
    </w:p>
  </w:footnote>
  <w:footnote w:id="7">
    <w:p w14:paraId="1D5900AB" w14:textId="6F538F6C" w:rsidR="0051657D" w:rsidRDefault="0051657D" w:rsidP="00917A5B">
      <w:pPr>
        <w:pStyle w:val="FootnoteText"/>
        <w:jc w:val="left"/>
      </w:pPr>
      <w:r>
        <w:rPr>
          <w:rStyle w:val="FootnoteReference"/>
        </w:rPr>
        <w:footnoteRef/>
      </w:r>
      <w:r>
        <w:t xml:space="preserve"> </w:t>
      </w:r>
      <w:r w:rsidR="00917A5B">
        <w:t xml:space="preserve">33 </w:t>
      </w:r>
      <w:r w:rsidR="00DD6F8A">
        <w:t xml:space="preserve">USC </w:t>
      </w:r>
      <w:r w:rsidR="00E2191C">
        <w:t>§ </w:t>
      </w:r>
      <w:r w:rsidR="00917A5B">
        <w:t>1322 (f)(3)</w:t>
      </w:r>
      <w:r w:rsidR="005908D1">
        <w:t>–</w:t>
      </w:r>
      <w:r w:rsidR="0070501B">
        <w:t>(4)</w:t>
      </w:r>
      <w:r w:rsidR="00917A5B">
        <w:t xml:space="preserve">. </w:t>
      </w:r>
      <w:r w:rsidR="00917A5B">
        <w:rPr>
          <w:i/>
          <w:iCs/>
        </w:rPr>
        <w:t xml:space="preserve">Available at </w:t>
      </w:r>
      <w:hyperlink r:id="rId5" w:history="1">
        <w:r w:rsidR="00917A5B" w:rsidRPr="0059403B">
          <w:rPr>
            <w:rStyle w:val="Hyperlink"/>
          </w:rPr>
          <w:t>https://www.govinfo.gov/content/pkg/USCODE-2020-title33/pdf/USCODE-2020-title33-chap26-subchapIII-sec1322.pdf</w:t>
        </w:r>
      </w:hyperlink>
      <w:r w:rsidR="00917A5B">
        <w:t>.</w:t>
      </w:r>
    </w:p>
  </w:footnote>
  <w:footnote w:id="8">
    <w:p w14:paraId="40F42E64" w14:textId="7D8D0B25" w:rsidR="006E1731" w:rsidRDefault="006E1731">
      <w:pPr>
        <w:pStyle w:val="FootnoteText"/>
      </w:pPr>
      <w:r>
        <w:rPr>
          <w:rStyle w:val="FootnoteReference"/>
        </w:rPr>
        <w:footnoteRef/>
      </w:r>
      <w:r>
        <w:t xml:space="preserve"> 33 USC §§ 1322 (j). </w:t>
      </w:r>
      <w:r>
        <w:rPr>
          <w:i/>
          <w:iCs/>
        </w:rPr>
        <w:t xml:space="preserve">Available at </w:t>
      </w:r>
      <w:hyperlink r:id="rId6" w:history="1">
        <w:r w:rsidRPr="0059403B">
          <w:rPr>
            <w:rStyle w:val="Hyperlink"/>
          </w:rPr>
          <w:t>https://www.govinfo.gov/content/pkg/USCODE-2020-title33/pdf/USCODE-2020-title33-chap26-subchapIII-sec1322.pdf</w:t>
        </w:r>
      </w:hyperlink>
      <w:r>
        <w:t>.</w:t>
      </w:r>
    </w:p>
  </w:footnote>
  <w:footnote w:id="9">
    <w:p w14:paraId="7871FF32" w14:textId="755979CC" w:rsidR="00EB1F7A" w:rsidRDefault="00EB1F7A" w:rsidP="00917A5B">
      <w:pPr>
        <w:pStyle w:val="FootnoteText"/>
        <w:jc w:val="left"/>
      </w:pPr>
      <w:r>
        <w:rPr>
          <w:rStyle w:val="FootnoteReference"/>
        </w:rPr>
        <w:footnoteRef/>
      </w:r>
      <w:r>
        <w:t xml:space="preserve"> </w:t>
      </w:r>
      <w:r w:rsidR="00917A5B">
        <w:t xml:space="preserve">33 </w:t>
      </w:r>
      <w:r w:rsidR="00DD6F8A">
        <w:t>USC §§ </w:t>
      </w:r>
      <w:r w:rsidR="006E1731">
        <w:t xml:space="preserve">1322 </w:t>
      </w:r>
      <w:r w:rsidR="00917A5B">
        <w:t xml:space="preserve">(k). </w:t>
      </w:r>
      <w:r w:rsidR="00917A5B">
        <w:rPr>
          <w:i/>
          <w:iCs/>
        </w:rPr>
        <w:t xml:space="preserve">Available at </w:t>
      </w:r>
      <w:hyperlink r:id="rId7" w:history="1">
        <w:r w:rsidR="00917A5B" w:rsidRPr="0059403B">
          <w:rPr>
            <w:rStyle w:val="Hyperlink"/>
          </w:rPr>
          <w:t>https://www.govinfo.gov/content/pkg/USCODE-2020-title33/pdf/USCODE-2020-title33-chap26-subchapIII-sec1322.pdf</w:t>
        </w:r>
      </w:hyperlink>
      <w:r w:rsidR="00917A5B">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07948"/>
    <w:multiLevelType w:val="hybridMultilevel"/>
    <w:tmpl w:val="7414C17C"/>
    <w:lvl w:ilvl="0" w:tplc="4AAE6932">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6F9873AF"/>
    <w:multiLevelType w:val="hybridMultilevel"/>
    <w:tmpl w:val="BC1AD49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84"/>
    <w:rsid w:val="000047D3"/>
    <w:rsid w:val="0005119D"/>
    <w:rsid w:val="00067F9D"/>
    <w:rsid w:val="001C5A59"/>
    <w:rsid w:val="00251DB3"/>
    <w:rsid w:val="003352C1"/>
    <w:rsid w:val="003D4E17"/>
    <w:rsid w:val="003E3BA5"/>
    <w:rsid w:val="0051657D"/>
    <w:rsid w:val="00525E7A"/>
    <w:rsid w:val="005908D1"/>
    <w:rsid w:val="005C0FF8"/>
    <w:rsid w:val="005F0040"/>
    <w:rsid w:val="006338B8"/>
    <w:rsid w:val="006B0484"/>
    <w:rsid w:val="006C3F0D"/>
    <w:rsid w:val="006E1731"/>
    <w:rsid w:val="0070501B"/>
    <w:rsid w:val="0073033D"/>
    <w:rsid w:val="00730CF4"/>
    <w:rsid w:val="007342BC"/>
    <w:rsid w:val="0076479B"/>
    <w:rsid w:val="007C42E1"/>
    <w:rsid w:val="00802B6E"/>
    <w:rsid w:val="008508CA"/>
    <w:rsid w:val="0089284F"/>
    <w:rsid w:val="008F49FA"/>
    <w:rsid w:val="0090546C"/>
    <w:rsid w:val="00917A5B"/>
    <w:rsid w:val="00982586"/>
    <w:rsid w:val="009F6549"/>
    <w:rsid w:val="00A17161"/>
    <w:rsid w:val="00A4224D"/>
    <w:rsid w:val="00AF208D"/>
    <w:rsid w:val="00B40152"/>
    <w:rsid w:val="00B446A8"/>
    <w:rsid w:val="00C328E0"/>
    <w:rsid w:val="00C47CDC"/>
    <w:rsid w:val="00D46067"/>
    <w:rsid w:val="00DD5988"/>
    <w:rsid w:val="00DD6F8A"/>
    <w:rsid w:val="00E16894"/>
    <w:rsid w:val="00E2191C"/>
    <w:rsid w:val="00E340F6"/>
    <w:rsid w:val="00EB1F7A"/>
    <w:rsid w:val="00ED105F"/>
    <w:rsid w:val="00EE1220"/>
    <w:rsid w:val="00F72BE4"/>
    <w:rsid w:val="00F77198"/>
    <w:rsid w:val="00FB515A"/>
    <w:rsid w:val="00FD07E2"/>
    <w:rsid w:val="00FD70DA"/>
    <w:rsid w:val="00FE16E0"/>
    <w:rsid w:val="00FE2268"/>
    <w:rsid w:val="00FF7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97D6"/>
  <w15:chartTrackingRefBased/>
  <w15:docId w15:val="{55981CE5-BEC6-DD45-B45E-1DE82C87D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0484"/>
    <w:pPr>
      <w:jc w:val="both"/>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B048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er">
    <w:name w:val="footer"/>
    <w:basedOn w:val="Normal"/>
    <w:link w:val="FooterChar"/>
    <w:uiPriority w:val="99"/>
    <w:unhideWhenUsed/>
    <w:rsid w:val="006B0484"/>
    <w:pPr>
      <w:tabs>
        <w:tab w:val="center" w:pos="4680"/>
        <w:tab w:val="right" w:pos="9360"/>
      </w:tabs>
    </w:pPr>
  </w:style>
  <w:style w:type="character" w:customStyle="1" w:styleId="FooterChar">
    <w:name w:val="Footer Char"/>
    <w:basedOn w:val="DefaultParagraphFont"/>
    <w:link w:val="Footer"/>
    <w:uiPriority w:val="99"/>
    <w:rsid w:val="006B0484"/>
    <w:rPr>
      <w:rFonts w:ascii="Times New Roman" w:eastAsia="Times New Roman" w:hAnsi="Times New Roman" w:cs="Times New Roman"/>
      <w:szCs w:val="20"/>
    </w:rPr>
  </w:style>
  <w:style w:type="paragraph" w:styleId="NoSpacing">
    <w:name w:val="No Spacing"/>
    <w:uiPriority w:val="1"/>
    <w:qFormat/>
    <w:rsid w:val="006B0484"/>
    <w:rPr>
      <w:rFonts w:ascii="Calibri" w:eastAsia="Calibri" w:hAnsi="Calibri" w:cs="Times New Roman"/>
      <w:sz w:val="22"/>
      <w:szCs w:val="22"/>
    </w:rPr>
  </w:style>
  <w:style w:type="paragraph" w:styleId="FootnoteText">
    <w:name w:val="footnote text"/>
    <w:aliases w:val="FT"/>
    <w:basedOn w:val="Normal"/>
    <w:link w:val="FootnoteTextChar"/>
    <w:uiPriority w:val="99"/>
    <w:unhideWhenUsed/>
    <w:qFormat/>
    <w:rsid w:val="006B0484"/>
    <w:rPr>
      <w:sz w:val="20"/>
    </w:rPr>
  </w:style>
  <w:style w:type="character" w:customStyle="1" w:styleId="FootnoteTextChar">
    <w:name w:val="Footnote Text Char"/>
    <w:aliases w:val="FT Char"/>
    <w:basedOn w:val="DefaultParagraphFont"/>
    <w:link w:val="FootnoteText"/>
    <w:uiPriority w:val="99"/>
    <w:rsid w:val="006B0484"/>
    <w:rPr>
      <w:rFonts w:ascii="Times New Roman" w:eastAsia="Times New Roman" w:hAnsi="Times New Roman" w:cs="Times New Roman"/>
      <w:sz w:val="20"/>
      <w:szCs w:val="20"/>
    </w:rPr>
  </w:style>
  <w:style w:type="character" w:styleId="FootnoteReference">
    <w:name w:val="footnote reference"/>
    <w:uiPriority w:val="99"/>
    <w:unhideWhenUsed/>
    <w:qFormat/>
    <w:rsid w:val="006B0484"/>
    <w:rPr>
      <w:vertAlign w:val="superscript"/>
    </w:rPr>
  </w:style>
  <w:style w:type="character" w:styleId="Hyperlink">
    <w:name w:val="Hyperlink"/>
    <w:uiPriority w:val="99"/>
    <w:unhideWhenUsed/>
    <w:rsid w:val="006B0484"/>
    <w:rPr>
      <w:color w:val="0000FF"/>
      <w:u w:val="single"/>
    </w:rPr>
  </w:style>
  <w:style w:type="character" w:customStyle="1" w:styleId="ui-provider">
    <w:name w:val="ui-provider"/>
    <w:basedOn w:val="DefaultParagraphFont"/>
    <w:rsid w:val="006B0484"/>
  </w:style>
  <w:style w:type="character" w:customStyle="1" w:styleId="normaltextrun">
    <w:name w:val="normaltextrun"/>
    <w:basedOn w:val="DefaultParagraphFont"/>
    <w:rsid w:val="006B0484"/>
  </w:style>
  <w:style w:type="character" w:styleId="LineNumber">
    <w:name w:val="line number"/>
    <w:basedOn w:val="DefaultParagraphFont"/>
    <w:uiPriority w:val="99"/>
    <w:semiHidden/>
    <w:unhideWhenUsed/>
    <w:rsid w:val="006B0484"/>
  </w:style>
  <w:style w:type="paragraph" w:styleId="NormalWeb">
    <w:name w:val="Normal (Web)"/>
    <w:basedOn w:val="Normal"/>
    <w:uiPriority w:val="99"/>
    <w:unhideWhenUsed/>
    <w:rsid w:val="00525E7A"/>
    <w:pPr>
      <w:spacing w:before="100" w:beforeAutospacing="1" w:after="100" w:afterAutospacing="1"/>
      <w:jc w:val="left"/>
    </w:pPr>
    <w:rPr>
      <w:szCs w:val="24"/>
    </w:rPr>
  </w:style>
  <w:style w:type="paragraph" w:styleId="Revision">
    <w:name w:val="Revision"/>
    <w:hidden/>
    <w:uiPriority w:val="99"/>
    <w:semiHidden/>
    <w:rsid w:val="007342BC"/>
    <w:rPr>
      <w:rFonts w:ascii="Times New Roman" w:eastAsia="Times New Roman" w:hAnsi="Times New Roman" w:cs="Times New Roman"/>
      <w:szCs w:val="20"/>
    </w:rPr>
  </w:style>
  <w:style w:type="paragraph" w:styleId="ListParagraph">
    <w:name w:val="List Paragraph"/>
    <w:basedOn w:val="Normal"/>
    <w:uiPriority w:val="34"/>
    <w:qFormat/>
    <w:rsid w:val="00B40152"/>
    <w:pPr>
      <w:ind w:left="720"/>
      <w:contextualSpacing/>
    </w:pPr>
  </w:style>
  <w:style w:type="character" w:customStyle="1" w:styleId="UnresolvedMention">
    <w:name w:val="Unresolved Mention"/>
    <w:basedOn w:val="DefaultParagraphFont"/>
    <w:uiPriority w:val="99"/>
    <w:semiHidden/>
    <w:unhideWhenUsed/>
    <w:rsid w:val="00917A5B"/>
    <w:rPr>
      <w:color w:val="605E5C"/>
      <w:shd w:val="clear" w:color="auto" w:fill="E1DFDD"/>
    </w:rPr>
  </w:style>
  <w:style w:type="character" w:styleId="CommentReference">
    <w:name w:val="annotation reference"/>
    <w:basedOn w:val="DefaultParagraphFont"/>
    <w:uiPriority w:val="99"/>
    <w:semiHidden/>
    <w:unhideWhenUsed/>
    <w:rsid w:val="00D46067"/>
    <w:rPr>
      <w:sz w:val="16"/>
      <w:szCs w:val="16"/>
    </w:rPr>
  </w:style>
  <w:style w:type="paragraph" w:styleId="CommentText">
    <w:name w:val="annotation text"/>
    <w:basedOn w:val="Normal"/>
    <w:link w:val="CommentTextChar"/>
    <w:uiPriority w:val="99"/>
    <w:semiHidden/>
    <w:unhideWhenUsed/>
    <w:rsid w:val="00D46067"/>
    <w:rPr>
      <w:sz w:val="20"/>
    </w:rPr>
  </w:style>
  <w:style w:type="character" w:customStyle="1" w:styleId="CommentTextChar">
    <w:name w:val="Comment Text Char"/>
    <w:basedOn w:val="DefaultParagraphFont"/>
    <w:link w:val="CommentText"/>
    <w:uiPriority w:val="99"/>
    <w:semiHidden/>
    <w:rsid w:val="00D4606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067"/>
    <w:rPr>
      <w:b/>
      <w:bCs/>
    </w:rPr>
  </w:style>
  <w:style w:type="character" w:customStyle="1" w:styleId="CommentSubjectChar">
    <w:name w:val="Comment Subject Char"/>
    <w:basedOn w:val="CommentTextChar"/>
    <w:link w:val="CommentSubject"/>
    <w:uiPriority w:val="99"/>
    <w:semiHidden/>
    <w:rsid w:val="00D46067"/>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219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191C"/>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DD6F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44676">
      <w:bodyDiv w:val="1"/>
      <w:marLeft w:val="0"/>
      <w:marRight w:val="0"/>
      <w:marTop w:val="0"/>
      <w:marBottom w:val="0"/>
      <w:divBdr>
        <w:top w:val="none" w:sz="0" w:space="0" w:color="auto"/>
        <w:left w:val="none" w:sz="0" w:space="0" w:color="auto"/>
        <w:bottom w:val="none" w:sz="0" w:space="0" w:color="auto"/>
        <w:right w:val="none" w:sz="0" w:space="0" w:color="auto"/>
      </w:divBdr>
    </w:div>
    <w:div w:id="98986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ec.ny.gov/environmental-protection/water/water-quality/no-discharge-zones" TargetMode="External"/><Relationship Id="rId7" Type="http://schemas.openxmlformats.org/officeDocument/2006/relationships/hyperlink" Target="https://www.govinfo.gov/content/pkg/USCODE-2020-title33/pdf/USCODE-2020-title33-chap26-subchapIII-sec1322.pdf" TargetMode="External"/><Relationship Id="rId2" Type="http://schemas.openxmlformats.org/officeDocument/2006/relationships/hyperlink" Target="https://www.mass.gov/info-details/benefits-of-no-discharge-zones-ndzs" TargetMode="External"/><Relationship Id="rId1" Type="http://schemas.openxmlformats.org/officeDocument/2006/relationships/hyperlink" Target="https://www.epa.gov/vessels-marinas-and-ports/vessel-sewage-no-discharge-zones" TargetMode="External"/><Relationship Id="rId6" Type="http://schemas.openxmlformats.org/officeDocument/2006/relationships/hyperlink" Target="https://www.govinfo.gov/content/pkg/USCODE-2020-title33/pdf/USCODE-2020-title33-chap26-subchapIII-sec1322.pdf" TargetMode="External"/><Relationship Id="rId5" Type="http://schemas.openxmlformats.org/officeDocument/2006/relationships/hyperlink" Target="https://www.govinfo.gov/content/pkg/USCODE-2020-title33/pdf/USCODE-2020-title33-chap26-subchapIII-sec1322.pdf" TargetMode="External"/><Relationship Id="rId4" Type="http://schemas.openxmlformats.org/officeDocument/2006/relationships/hyperlink" Target="https://www.govinfo.gov/content/pkg/FR-1994-03-10/html/94-5530.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154F0-30BB-41C7-806A-D4042867B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1391</Words>
  <Characters>7933</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andrew.graham.bourne@gmail.com</dc:creator>
  <cp:keywords/>
  <dc:description/>
  <cp:lastModifiedBy>Jeffries, Jillian</cp:lastModifiedBy>
  <cp:revision>2</cp:revision>
  <dcterms:created xsi:type="dcterms:W3CDTF">2023-12-20T16:07:00Z</dcterms:created>
  <dcterms:modified xsi:type="dcterms:W3CDTF">2023-12-20T16:07:00Z</dcterms:modified>
</cp:coreProperties>
</file>