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1E983" w14:textId="77777777" w:rsidR="00814C1C" w:rsidRPr="00C1697D" w:rsidRDefault="00814C1C" w:rsidP="00910C58">
      <w:pPr>
        <w:spacing w:after="0" w:line="240" w:lineRule="auto"/>
        <w:jc w:val="right"/>
        <w:rPr>
          <w:rFonts w:ascii="Times New Roman" w:hAnsi="Times New Roman" w:cs="Times New Roman"/>
          <w:sz w:val="24"/>
          <w:szCs w:val="24"/>
          <w:u w:val="single"/>
        </w:rPr>
      </w:pPr>
      <w:bookmarkStart w:id="0" w:name="_GoBack"/>
      <w:bookmarkEnd w:id="0"/>
      <w:r w:rsidRPr="00C1697D">
        <w:rPr>
          <w:rFonts w:ascii="Times New Roman" w:hAnsi="Times New Roman" w:cs="Times New Roman"/>
          <w:sz w:val="24"/>
          <w:szCs w:val="24"/>
          <w:u w:val="single"/>
        </w:rPr>
        <w:t>Public Housing Committee Staff</w:t>
      </w:r>
    </w:p>
    <w:p w14:paraId="4D881809" w14:textId="77777777" w:rsidR="00814C1C" w:rsidRPr="00C1697D" w:rsidRDefault="00814C1C" w:rsidP="00910C58">
      <w:pPr>
        <w:spacing w:after="0" w:line="240" w:lineRule="auto"/>
        <w:jc w:val="right"/>
        <w:rPr>
          <w:rFonts w:ascii="Times New Roman" w:hAnsi="Times New Roman" w:cs="Times New Roman"/>
          <w:sz w:val="24"/>
          <w:szCs w:val="24"/>
        </w:rPr>
      </w:pPr>
      <w:r w:rsidRPr="00C1697D">
        <w:rPr>
          <w:rFonts w:ascii="Times New Roman" w:hAnsi="Times New Roman" w:cs="Times New Roman"/>
          <w:sz w:val="24"/>
          <w:szCs w:val="24"/>
        </w:rPr>
        <w:t xml:space="preserve">Connor Mealey, </w:t>
      </w:r>
      <w:r w:rsidRPr="00C1697D">
        <w:rPr>
          <w:rFonts w:ascii="Times New Roman" w:hAnsi="Times New Roman" w:cs="Times New Roman"/>
          <w:i/>
          <w:iCs/>
          <w:sz w:val="24"/>
          <w:szCs w:val="24"/>
        </w:rPr>
        <w:t>Counsel</w:t>
      </w:r>
    </w:p>
    <w:p w14:paraId="790EFC1D" w14:textId="77777777" w:rsidR="00814C1C" w:rsidRPr="00C1697D" w:rsidRDefault="00814C1C" w:rsidP="00910C58">
      <w:pPr>
        <w:spacing w:after="0" w:line="240" w:lineRule="auto"/>
        <w:jc w:val="right"/>
        <w:rPr>
          <w:rFonts w:ascii="Times New Roman" w:hAnsi="Times New Roman" w:cs="Times New Roman"/>
          <w:sz w:val="24"/>
          <w:szCs w:val="24"/>
        </w:rPr>
      </w:pPr>
      <w:r w:rsidRPr="00C1697D">
        <w:rPr>
          <w:rFonts w:ascii="Times New Roman" w:hAnsi="Times New Roman" w:cs="Times New Roman"/>
          <w:sz w:val="24"/>
          <w:szCs w:val="24"/>
        </w:rPr>
        <w:t xml:space="preserve">Jose Conde, </w:t>
      </w:r>
      <w:r w:rsidRPr="00C1697D">
        <w:rPr>
          <w:rFonts w:ascii="Times New Roman" w:hAnsi="Times New Roman" w:cs="Times New Roman"/>
          <w:i/>
          <w:sz w:val="24"/>
          <w:szCs w:val="24"/>
        </w:rPr>
        <w:t>Senior Policy Analyst</w:t>
      </w:r>
    </w:p>
    <w:p w14:paraId="4EEAE57C" w14:textId="77777777" w:rsidR="00814C1C" w:rsidRPr="00C1697D" w:rsidRDefault="00814C1C" w:rsidP="00910C58">
      <w:pPr>
        <w:spacing w:after="0" w:line="240" w:lineRule="auto"/>
        <w:jc w:val="right"/>
        <w:rPr>
          <w:rFonts w:ascii="Times New Roman" w:hAnsi="Times New Roman" w:cs="Times New Roman"/>
          <w:i/>
          <w:iCs/>
          <w:sz w:val="24"/>
          <w:szCs w:val="24"/>
        </w:rPr>
      </w:pPr>
      <w:r w:rsidRPr="00C1697D">
        <w:rPr>
          <w:rFonts w:ascii="Times New Roman" w:hAnsi="Times New Roman" w:cs="Times New Roman"/>
          <w:sz w:val="24"/>
          <w:szCs w:val="24"/>
        </w:rPr>
        <w:t xml:space="preserve">Charles Kim, </w:t>
      </w:r>
      <w:r w:rsidRPr="00C1697D">
        <w:rPr>
          <w:rFonts w:ascii="Times New Roman" w:hAnsi="Times New Roman" w:cs="Times New Roman"/>
          <w:i/>
          <w:iCs/>
          <w:sz w:val="24"/>
          <w:szCs w:val="24"/>
        </w:rPr>
        <w:t>Policy Analyst</w:t>
      </w:r>
    </w:p>
    <w:p w14:paraId="2472B71E" w14:textId="77777777" w:rsidR="00814C1C" w:rsidRPr="00C1697D" w:rsidRDefault="00814C1C" w:rsidP="00910C58">
      <w:pPr>
        <w:spacing w:after="0" w:line="240" w:lineRule="auto"/>
        <w:jc w:val="right"/>
        <w:rPr>
          <w:rFonts w:ascii="Times New Roman" w:hAnsi="Times New Roman" w:cs="Times New Roman"/>
          <w:i/>
          <w:iCs/>
          <w:sz w:val="24"/>
          <w:szCs w:val="24"/>
        </w:rPr>
      </w:pPr>
      <w:r w:rsidRPr="00C1697D">
        <w:rPr>
          <w:rFonts w:ascii="Times New Roman" w:hAnsi="Times New Roman" w:cs="Times New Roman"/>
          <w:iCs/>
          <w:sz w:val="24"/>
          <w:szCs w:val="24"/>
        </w:rPr>
        <w:t xml:space="preserve">Dan Kroop, </w:t>
      </w:r>
      <w:r w:rsidRPr="00C1697D">
        <w:rPr>
          <w:rFonts w:ascii="Times New Roman" w:hAnsi="Times New Roman" w:cs="Times New Roman"/>
          <w:i/>
          <w:iCs/>
          <w:sz w:val="24"/>
          <w:szCs w:val="24"/>
        </w:rPr>
        <w:t>Senior Financial Analyst</w:t>
      </w:r>
    </w:p>
    <w:p w14:paraId="5FE7B10B" w14:textId="77777777" w:rsidR="00814C1C" w:rsidRPr="00C1697D" w:rsidRDefault="00814C1C" w:rsidP="00910C58">
      <w:pPr>
        <w:spacing w:after="0" w:line="240" w:lineRule="auto"/>
        <w:jc w:val="right"/>
        <w:rPr>
          <w:rFonts w:ascii="Times New Roman" w:hAnsi="Times New Roman" w:cs="Times New Roman"/>
          <w:i/>
          <w:iCs/>
          <w:sz w:val="24"/>
          <w:szCs w:val="24"/>
        </w:rPr>
      </w:pPr>
      <w:r w:rsidRPr="00C1697D">
        <w:rPr>
          <w:rFonts w:ascii="Times New Roman" w:hAnsi="Times New Roman" w:cs="Times New Roman"/>
          <w:iCs/>
          <w:sz w:val="24"/>
          <w:szCs w:val="24"/>
        </w:rPr>
        <w:t xml:space="preserve">Nicholas Montalbano, </w:t>
      </w:r>
      <w:r w:rsidRPr="00C1697D">
        <w:rPr>
          <w:rFonts w:ascii="Times New Roman" w:hAnsi="Times New Roman" w:cs="Times New Roman"/>
          <w:i/>
          <w:iCs/>
          <w:sz w:val="24"/>
          <w:szCs w:val="24"/>
        </w:rPr>
        <w:t>Senior Data Scientist</w:t>
      </w:r>
    </w:p>
    <w:p w14:paraId="567FE735" w14:textId="77777777" w:rsidR="00814C1C" w:rsidRPr="00C1697D" w:rsidRDefault="00814C1C" w:rsidP="00910C58">
      <w:pPr>
        <w:spacing w:after="0" w:line="240" w:lineRule="auto"/>
        <w:jc w:val="right"/>
        <w:rPr>
          <w:rFonts w:ascii="Times New Roman" w:hAnsi="Times New Roman" w:cs="Times New Roman"/>
          <w:i/>
          <w:iCs/>
          <w:sz w:val="24"/>
          <w:szCs w:val="24"/>
        </w:rPr>
      </w:pPr>
      <w:r w:rsidRPr="00C1697D">
        <w:rPr>
          <w:rFonts w:ascii="Times New Roman" w:hAnsi="Times New Roman" w:cs="Times New Roman"/>
          <w:iCs/>
          <w:sz w:val="24"/>
          <w:szCs w:val="24"/>
        </w:rPr>
        <w:t xml:space="preserve">Christopher Zawora, </w:t>
      </w:r>
      <w:r w:rsidRPr="00C1697D">
        <w:rPr>
          <w:rFonts w:ascii="Times New Roman" w:hAnsi="Times New Roman" w:cs="Times New Roman"/>
          <w:i/>
          <w:iCs/>
          <w:sz w:val="24"/>
          <w:szCs w:val="24"/>
        </w:rPr>
        <w:t>Data Scientist</w:t>
      </w:r>
    </w:p>
    <w:p w14:paraId="03D5D1E5" w14:textId="77777777" w:rsidR="00814C1C" w:rsidRPr="00C1697D" w:rsidRDefault="00814C1C" w:rsidP="0055015A">
      <w:pPr>
        <w:spacing w:after="0" w:line="240" w:lineRule="auto"/>
        <w:jc w:val="both"/>
        <w:rPr>
          <w:rFonts w:ascii="Times New Roman" w:hAnsi="Times New Roman" w:cs="Times New Roman"/>
          <w:i/>
          <w:iCs/>
          <w:sz w:val="24"/>
          <w:szCs w:val="24"/>
        </w:rPr>
      </w:pPr>
    </w:p>
    <w:p w14:paraId="3CE1F869" w14:textId="77777777" w:rsidR="00814C1C" w:rsidRPr="00C1697D" w:rsidRDefault="00814C1C" w:rsidP="0055015A">
      <w:pPr>
        <w:tabs>
          <w:tab w:val="left" w:pos="0"/>
        </w:tabs>
        <w:jc w:val="both"/>
        <w:rPr>
          <w:rFonts w:ascii="Times New Roman" w:hAnsi="Times New Roman" w:cs="Times New Roman"/>
          <w:sz w:val="24"/>
          <w:szCs w:val="24"/>
          <w:u w:val="single"/>
        </w:rPr>
      </w:pPr>
    </w:p>
    <w:p w14:paraId="4403B327" w14:textId="77777777" w:rsidR="00814C1C" w:rsidRPr="00C1697D" w:rsidRDefault="00814C1C" w:rsidP="0055015A">
      <w:pPr>
        <w:tabs>
          <w:tab w:val="left" w:pos="0"/>
        </w:tabs>
        <w:jc w:val="both"/>
        <w:rPr>
          <w:rFonts w:ascii="Times New Roman" w:hAnsi="Times New Roman" w:cs="Times New Roman"/>
          <w:sz w:val="24"/>
          <w:szCs w:val="24"/>
          <w:u w:val="single"/>
        </w:rPr>
      </w:pPr>
    </w:p>
    <w:p w14:paraId="5CFCC54B" w14:textId="77777777" w:rsidR="00814C1C" w:rsidRPr="00C1697D" w:rsidRDefault="00814C1C" w:rsidP="0055015A">
      <w:pPr>
        <w:tabs>
          <w:tab w:val="left" w:pos="0"/>
        </w:tabs>
        <w:jc w:val="both"/>
        <w:rPr>
          <w:rFonts w:ascii="Times New Roman" w:hAnsi="Times New Roman" w:cs="Times New Roman"/>
          <w:i/>
          <w:sz w:val="24"/>
          <w:szCs w:val="24"/>
        </w:rPr>
      </w:pPr>
    </w:p>
    <w:p w14:paraId="6829BE30" w14:textId="77777777" w:rsidR="00814C1C" w:rsidRPr="00C1697D" w:rsidRDefault="00814C1C" w:rsidP="0055015A">
      <w:pPr>
        <w:tabs>
          <w:tab w:val="left" w:pos="0"/>
        </w:tabs>
        <w:jc w:val="both"/>
        <w:rPr>
          <w:rFonts w:ascii="Times New Roman" w:hAnsi="Times New Roman" w:cs="Times New Roman"/>
          <w:sz w:val="24"/>
          <w:szCs w:val="24"/>
        </w:rPr>
      </w:pPr>
      <w:r w:rsidRPr="00C1697D">
        <w:rPr>
          <w:rFonts w:ascii="Times New Roman" w:hAnsi="Times New Roman" w:cs="Times New Roman"/>
          <w:noProof/>
          <w:sz w:val="24"/>
          <w:szCs w:val="24"/>
        </w:rPr>
        <w:drawing>
          <wp:anchor distT="0" distB="0" distL="114300" distR="114300" simplePos="0" relativeHeight="251659264" behindDoc="0" locked="0" layoutInCell="1" allowOverlap="1" wp14:anchorId="4F1A1260" wp14:editId="363FC24B">
            <wp:simplePos x="0" y="0"/>
            <wp:positionH relativeFrom="margin">
              <wp:align>center</wp:align>
            </wp:positionH>
            <wp:positionV relativeFrom="paragraph">
              <wp:posOffset>10160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24721F84" w14:textId="77777777" w:rsidR="00814C1C" w:rsidRPr="00C1697D" w:rsidRDefault="00814C1C" w:rsidP="0055015A">
      <w:pPr>
        <w:tabs>
          <w:tab w:val="left" w:pos="7517"/>
        </w:tabs>
        <w:spacing w:after="0"/>
        <w:jc w:val="both"/>
        <w:rPr>
          <w:rFonts w:ascii="Times New Roman" w:hAnsi="Times New Roman" w:cs="Times New Roman"/>
          <w:b/>
          <w:bCs/>
          <w:sz w:val="24"/>
          <w:szCs w:val="24"/>
        </w:rPr>
      </w:pPr>
      <w:r w:rsidRPr="00C1697D">
        <w:rPr>
          <w:rFonts w:ascii="Times New Roman" w:hAnsi="Times New Roman" w:cs="Times New Roman"/>
          <w:b/>
          <w:sz w:val="24"/>
          <w:szCs w:val="24"/>
        </w:rPr>
        <w:br w:type="textWrapping" w:clear="all"/>
      </w:r>
    </w:p>
    <w:p w14:paraId="492FC9E5" w14:textId="77777777" w:rsidR="00814C1C" w:rsidRPr="00C1697D" w:rsidRDefault="00814C1C" w:rsidP="00910C58">
      <w:pPr>
        <w:tabs>
          <w:tab w:val="left" w:pos="7517"/>
        </w:tabs>
        <w:spacing w:after="0"/>
        <w:jc w:val="center"/>
        <w:rPr>
          <w:rFonts w:ascii="Times New Roman" w:hAnsi="Times New Roman" w:cs="Times New Roman"/>
          <w:b/>
          <w:sz w:val="24"/>
          <w:szCs w:val="24"/>
        </w:rPr>
      </w:pPr>
      <w:r w:rsidRPr="00C1697D">
        <w:rPr>
          <w:rFonts w:ascii="Times New Roman" w:hAnsi="Times New Roman" w:cs="Times New Roman"/>
          <w:b/>
          <w:bCs/>
          <w:sz w:val="24"/>
          <w:szCs w:val="24"/>
        </w:rPr>
        <w:t>THE NEW YORK CITY COUNCIL</w:t>
      </w:r>
    </w:p>
    <w:p w14:paraId="49611FD8" w14:textId="77777777" w:rsidR="00814C1C" w:rsidRPr="00C1697D" w:rsidRDefault="00814C1C" w:rsidP="00910C58">
      <w:pPr>
        <w:spacing w:after="0"/>
        <w:jc w:val="center"/>
        <w:rPr>
          <w:rFonts w:ascii="Times New Roman" w:hAnsi="Times New Roman" w:cs="Times New Roman"/>
          <w:sz w:val="24"/>
          <w:szCs w:val="24"/>
        </w:rPr>
      </w:pPr>
    </w:p>
    <w:p w14:paraId="2E0F9084" w14:textId="77777777" w:rsidR="00814C1C" w:rsidRPr="00C1697D" w:rsidRDefault="00814C1C" w:rsidP="00910C58">
      <w:pPr>
        <w:pStyle w:val="Heading1"/>
        <w:spacing w:line="240" w:lineRule="auto"/>
        <w:jc w:val="center"/>
        <w:rPr>
          <w:b/>
          <w:bCs/>
          <w:i w:val="0"/>
          <w:iCs w:val="0"/>
          <w:caps/>
          <w:u w:val="single"/>
        </w:rPr>
      </w:pPr>
      <w:r w:rsidRPr="00C1697D">
        <w:rPr>
          <w:b/>
          <w:bCs/>
          <w:i w:val="0"/>
          <w:iCs w:val="0"/>
          <w:caps/>
          <w:u w:val="single"/>
        </w:rPr>
        <w:t>BRIEFING PAPER OF THE INFRASTRUCTURE DIVISION</w:t>
      </w:r>
    </w:p>
    <w:p w14:paraId="2627D2C6" w14:textId="1AD00CB2" w:rsidR="00814C1C" w:rsidRPr="00C1697D" w:rsidRDefault="00814C1C" w:rsidP="00910C58">
      <w:pPr>
        <w:spacing w:after="0"/>
        <w:jc w:val="center"/>
        <w:rPr>
          <w:rFonts w:ascii="Times New Roman" w:hAnsi="Times New Roman" w:cs="Times New Roman"/>
          <w:i/>
          <w:sz w:val="24"/>
          <w:szCs w:val="24"/>
        </w:rPr>
      </w:pPr>
      <w:r w:rsidRPr="00C1697D">
        <w:rPr>
          <w:rFonts w:ascii="Times New Roman" w:hAnsi="Times New Roman" w:cs="Times New Roman"/>
          <w:sz w:val="24"/>
          <w:szCs w:val="24"/>
        </w:rPr>
        <w:t>Andrea Vazquez,</w:t>
      </w:r>
      <w:r w:rsidRPr="00C1697D">
        <w:rPr>
          <w:rFonts w:ascii="Times New Roman" w:hAnsi="Times New Roman" w:cs="Times New Roman"/>
          <w:i/>
          <w:sz w:val="24"/>
          <w:szCs w:val="24"/>
        </w:rPr>
        <w:t xml:space="preserve"> Legislative Director</w:t>
      </w:r>
    </w:p>
    <w:p w14:paraId="60CDBFF5" w14:textId="77777777" w:rsidR="00814C1C" w:rsidRPr="00C1697D" w:rsidRDefault="00814C1C" w:rsidP="00910C58">
      <w:pPr>
        <w:spacing w:after="0"/>
        <w:jc w:val="center"/>
        <w:rPr>
          <w:rFonts w:ascii="Times New Roman" w:hAnsi="Times New Roman" w:cs="Times New Roman"/>
          <w:i/>
          <w:sz w:val="24"/>
          <w:szCs w:val="24"/>
        </w:rPr>
      </w:pPr>
      <w:r w:rsidRPr="00C1697D">
        <w:rPr>
          <w:rFonts w:ascii="Times New Roman" w:hAnsi="Times New Roman" w:cs="Times New Roman"/>
          <w:sz w:val="24"/>
          <w:szCs w:val="24"/>
        </w:rPr>
        <w:t xml:space="preserve">Bradley Reid, </w:t>
      </w:r>
      <w:r w:rsidRPr="00C1697D">
        <w:rPr>
          <w:rFonts w:ascii="Times New Roman" w:hAnsi="Times New Roman" w:cs="Times New Roman"/>
          <w:i/>
          <w:sz w:val="24"/>
          <w:szCs w:val="24"/>
        </w:rPr>
        <w:t>Deputy Director, Infrastructure</w:t>
      </w:r>
    </w:p>
    <w:p w14:paraId="504A0586" w14:textId="77777777" w:rsidR="00814C1C" w:rsidRPr="00C1697D" w:rsidRDefault="00814C1C" w:rsidP="00910C58">
      <w:pPr>
        <w:spacing w:after="0"/>
        <w:jc w:val="center"/>
        <w:rPr>
          <w:rFonts w:ascii="Times New Roman" w:hAnsi="Times New Roman" w:cs="Times New Roman"/>
          <w:sz w:val="24"/>
          <w:szCs w:val="24"/>
        </w:rPr>
      </w:pPr>
    </w:p>
    <w:p w14:paraId="42C2D89F" w14:textId="77777777" w:rsidR="00814C1C" w:rsidRPr="00C1697D" w:rsidRDefault="00814C1C" w:rsidP="00910C58">
      <w:pPr>
        <w:spacing w:after="0"/>
        <w:jc w:val="center"/>
        <w:rPr>
          <w:rFonts w:ascii="Times New Roman" w:hAnsi="Times New Roman" w:cs="Times New Roman"/>
          <w:b/>
          <w:sz w:val="24"/>
          <w:szCs w:val="24"/>
          <w:u w:val="single"/>
        </w:rPr>
      </w:pPr>
    </w:p>
    <w:p w14:paraId="47FD17AA" w14:textId="3A83CDC0" w:rsidR="00814C1C" w:rsidRPr="00C1697D" w:rsidRDefault="00814C1C" w:rsidP="00910C58">
      <w:pPr>
        <w:spacing w:after="0"/>
        <w:jc w:val="center"/>
        <w:rPr>
          <w:rFonts w:ascii="Times New Roman" w:hAnsi="Times New Roman" w:cs="Times New Roman"/>
          <w:b/>
          <w:sz w:val="24"/>
          <w:szCs w:val="24"/>
          <w:u w:val="single"/>
        </w:rPr>
      </w:pPr>
      <w:r w:rsidRPr="00C1697D">
        <w:rPr>
          <w:rFonts w:ascii="Times New Roman" w:hAnsi="Times New Roman" w:cs="Times New Roman"/>
          <w:b/>
          <w:sz w:val="24"/>
          <w:szCs w:val="24"/>
          <w:u w:val="single"/>
        </w:rPr>
        <w:t>COMMITTEE ON PUBLIC HOUSING</w:t>
      </w:r>
    </w:p>
    <w:p w14:paraId="5381AEAC" w14:textId="77777777" w:rsidR="00814C1C" w:rsidRPr="00C1697D" w:rsidRDefault="00814C1C" w:rsidP="00910C58">
      <w:pPr>
        <w:spacing w:after="0"/>
        <w:jc w:val="center"/>
        <w:rPr>
          <w:rFonts w:ascii="Times New Roman" w:hAnsi="Times New Roman" w:cs="Times New Roman"/>
          <w:i/>
          <w:sz w:val="24"/>
          <w:szCs w:val="24"/>
        </w:rPr>
      </w:pPr>
      <w:r w:rsidRPr="00C1697D">
        <w:rPr>
          <w:rFonts w:ascii="Times New Roman" w:hAnsi="Times New Roman" w:cs="Times New Roman"/>
          <w:sz w:val="24"/>
          <w:szCs w:val="24"/>
        </w:rPr>
        <w:t xml:space="preserve">Hon. Alexa </w:t>
      </w:r>
      <w:r w:rsidRPr="00C1697D">
        <w:rPr>
          <w:rFonts w:ascii="Times New Roman" w:hAnsi="Times New Roman" w:cs="Times New Roman"/>
          <w:sz w:val="24"/>
          <w:szCs w:val="24"/>
          <w:shd w:val="solid" w:color="FFFFFF" w:fill="FFFFFF"/>
        </w:rPr>
        <w:t>Avilés</w:t>
      </w:r>
      <w:r w:rsidRPr="00C1697D">
        <w:rPr>
          <w:rFonts w:ascii="Times New Roman" w:hAnsi="Times New Roman" w:cs="Times New Roman"/>
          <w:sz w:val="24"/>
          <w:szCs w:val="24"/>
        </w:rPr>
        <w:t>,</w:t>
      </w:r>
      <w:r w:rsidRPr="00C1697D">
        <w:rPr>
          <w:rFonts w:ascii="Times New Roman" w:hAnsi="Times New Roman" w:cs="Times New Roman"/>
          <w:i/>
          <w:sz w:val="24"/>
          <w:szCs w:val="24"/>
        </w:rPr>
        <w:t xml:space="preserve"> Chair</w:t>
      </w:r>
    </w:p>
    <w:p w14:paraId="3116D520" w14:textId="77777777" w:rsidR="00814C1C" w:rsidRPr="00C1697D" w:rsidRDefault="00814C1C" w:rsidP="00910C58">
      <w:pPr>
        <w:pStyle w:val="FootnoteText"/>
        <w:jc w:val="center"/>
        <w:rPr>
          <w:b/>
          <w:sz w:val="24"/>
          <w:szCs w:val="24"/>
          <w:u w:val="single"/>
        </w:rPr>
      </w:pPr>
    </w:p>
    <w:p w14:paraId="53FB01E4" w14:textId="77777777" w:rsidR="00814C1C" w:rsidRPr="00C1697D" w:rsidRDefault="00814C1C" w:rsidP="00910C58">
      <w:pPr>
        <w:pStyle w:val="FootnoteText"/>
        <w:jc w:val="center"/>
        <w:rPr>
          <w:b/>
          <w:sz w:val="24"/>
          <w:szCs w:val="24"/>
          <w:u w:val="single"/>
        </w:rPr>
      </w:pPr>
    </w:p>
    <w:p w14:paraId="5F847CCA" w14:textId="77777777" w:rsidR="00814C1C" w:rsidRPr="00C1697D" w:rsidRDefault="002C5F65" w:rsidP="00910C58">
      <w:pPr>
        <w:spacing w:after="0"/>
        <w:jc w:val="center"/>
        <w:rPr>
          <w:rFonts w:ascii="Times New Roman" w:hAnsi="Times New Roman" w:cs="Times New Roman"/>
          <w:sz w:val="24"/>
          <w:szCs w:val="24"/>
        </w:rPr>
      </w:pPr>
      <w:r w:rsidRPr="00C1697D">
        <w:rPr>
          <w:rFonts w:ascii="Times New Roman" w:eastAsia="Times New Roman" w:hAnsi="Times New Roman" w:cs="Times New Roman"/>
          <w:b/>
          <w:bCs/>
          <w:sz w:val="24"/>
          <w:szCs w:val="24"/>
        </w:rPr>
        <w:t>October 24</w:t>
      </w:r>
      <w:r w:rsidR="00814C1C" w:rsidRPr="00C1697D">
        <w:rPr>
          <w:rFonts w:ascii="Times New Roman" w:eastAsia="Times New Roman" w:hAnsi="Times New Roman" w:cs="Times New Roman"/>
          <w:b/>
          <w:bCs/>
          <w:sz w:val="24"/>
          <w:szCs w:val="24"/>
        </w:rPr>
        <w:t>, 2023</w:t>
      </w:r>
    </w:p>
    <w:p w14:paraId="78B43FF9" w14:textId="77777777" w:rsidR="00814C1C" w:rsidRPr="00C1697D" w:rsidRDefault="00814C1C" w:rsidP="00910C58">
      <w:pPr>
        <w:widowControl w:val="0"/>
        <w:autoSpaceDE w:val="0"/>
        <w:autoSpaceDN w:val="0"/>
        <w:adjustRightInd w:val="0"/>
        <w:spacing w:after="0"/>
        <w:jc w:val="center"/>
        <w:rPr>
          <w:rFonts w:ascii="Times New Roman" w:hAnsi="Times New Roman" w:cs="Times New Roman"/>
          <w:b/>
          <w:sz w:val="24"/>
          <w:szCs w:val="24"/>
          <w:u w:val="single"/>
        </w:rPr>
      </w:pPr>
    </w:p>
    <w:p w14:paraId="3607378E" w14:textId="6D79045B" w:rsidR="00D431CE" w:rsidRPr="00C1697D" w:rsidRDefault="00D431CE" w:rsidP="00910C58">
      <w:pPr>
        <w:suppressAutoHyphens/>
        <w:spacing w:after="0" w:line="240" w:lineRule="auto"/>
        <w:jc w:val="center"/>
        <w:rPr>
          <w:rFonts w:ascii="Times New Roman" w:eastAsia="Times New Roman" w:hAnsi="Times New Roman" w:cs="Times New Roman"/>
          <w:b/>
          <w:sz w:val="24"/>
          <w:szCs w:val="24"/>
          <w:u w:val="single"/>
        </w:rPr>
      </w:pPr>
      <w:r w:rsidRPr="00C1697D">
        <w:rPr>
          <w:rFonts w:ascii="Times New Roman" w:eastAsia="Times New Roman" w:hAnsi="Times New Roman" w:cs="Times New Roman"/>
          <w:b/>
          <w:sz w:val="24"/>
          <w:szCs w:val="24"/>
          <w:u w:val="single"/>
        </w:rPr>
        <w:t>Oversight: RAD/PACT,</w:t>
      </w:r>
    </w:p>
    <w:p w14:paraId="4DEB256A" w14:textId="77777777" w:rsidR="00814C1C" w:rsidRPr="00C1697D" w:rsidRDefault="00D431CE" w:rsidP="00910C58">
      <w:pPr>
        <w:suppressAutoHyphens/>
        <w:spacing w:after="0" w:line="240" w:lineRule="auto"/>
        <w:jc w:val="center"/>
        <w:rPr>
          <w:rFonts w:ascii="Times New Roman" w:eastAsia="Times New Roman" w:hAnsi="Times New Roman" w:cs="Times New Roman"/>
          <w:b/>
          <w:sz w:val="24"/>
          <w:szCs w:val="24"/>
          <w:u w:val="single"/>
        </w:rPr>
      </w:pPr>
      <w:r w:rsidRPr="00C1697D">
        <w:rPr>
          <w:rFonts w:ascii="Times New Roman" w:eastAsia="Times New Roman" w:hAnsi="Times New Roman" w:cs="Times New Roman"/>
          <w:b/>
          <w:sz w:val="24"/>
          <w:szCs w:val="24"/>
          <w:u w:val="single"/>
        </w:rPr>
        <w:t>The Trust, &amp; The Future of NYCHA</w:t>
      </w:r>
    </w:p>
    <w:p w14:paraId="510743C0" w14:textId="77777777" w:rsidR="00D04522" w:rsidRPr="00C1697D" w:rsidRDefault="00D04522" w:rsidP="00910C58">
      <w:pPr>
        <w:suppressAutoHyphens/>
        <w:spacing w:after="0" w:line="480" w:lineRule="auto"/>
        <w:jc w:val="center"/>
        <w:rPr>
          <w:rFonts w:ascii="Times New Roman" w:eastAsia="Calibri" w:hAnsi="Times New Roman" w:cs="Times New Roman"/>
          <w:b/>
          <w:i/>
          <w:iCs/>
          <w:sz w:val="24"/>
          <w:szCs w:val="24"/>
          <w:u w:val="single"/>
          <w:lang w:eastAsia="zh-CN"/>
        </w:rPr>
      </w:pPr>
    </w:p>
    <w:p w14:paraId="1EBEFA56" w14:textId="77777777" w:rsidR="00D04522" w:rsidRPr="00C1697D" w:rsidRDefault="003459CE" w:rsidP="0055015A">
      <w:pPr>
        <w:suppressAutoHyphens/>
        <w:spacing w:after="0" w:line="240" w:lineRule="auto"/>
        <w:ind w:left="3600" w:hanging="3600"/>
        <w:jc w:val="both"/>
        <w:rPr>
          <w:rFonts w:ascii="Times New Roman" w:eastAsia="Calibri" w:hAnsi="Times New Roman" w:cs="Times New Roman"/>
          <w:bCs/>
          <w:iCs/>
          <w:sz w:val="24"/>
          <w:szCs w:val="24"/>
          <w:lang w:eastAsia="zh-CN"/>
        </w:rPr>
      </w:pPr>
      <w:r w:rsidRPr="00957ECB">
        <w:rPr>
          <w:rFonts w:ascii="Times New Roman" w:eastAsia="Calibri" w:hAnsi="Times New Roman" w:cs="Times New Roman"/>
          <w:b/>
          <w:bCs/>
          <w:iCs/>
          <w:smallCaps/>
          <w:sz w:val="24"/>
          <w:szCs w:val="24"/>
          <w:lang w:eastAsia="zh-CN"/>
        </w:rPr>
        <w:t>Int. No. 646</w:t>
      </w:r>
      <w:r w:rsidR="00D04522" w:rsidRPr="00957ECB">
        <w:rPr>
          <w:rFonts w:ascii="Times New Roman" w:eastAsia="Calibri" w:hAnsi="Times New Roman" w:cs="Times New Roman"/>
          <w:b/>
          <w:bCs/>
          <w:iCs/>
          <w:sz w:val="24"/>
          <w:szCs w:val="24"/>
          <w:lang w:eastAsia="zh-CN"/>
        </w:rPr>
        <w:t>:</w:t>
      </w:r>
      <w:r w:rsidR="00D04522" w:rsidRPr="00C1697D">
        <w:rPr>
          <w:rFonts w:ascii="Times New Roman" w:eastAsia="Calibri" w:hAnsi="Times New Roman" w:cs="Times New Roman"/>
          <w:bCs/>
          <w:iCs/>
          <w:sz w:val="24"/>
          <w:szCs w:val="24"/>
          <w:lang w:eastAsia="zh-CN"/>
        </w:rPr>
        <w:tab/>
        <w:t xml:space="preserve">By Council Members Avilés, Louis, Caban, Velázquez, Restler, Won, Hanif, Ossé, Ayala, </w:t>
      </w:r>
      <w:r w:rsidRPr="00C1697D">
        <w:rPr>
          <w:rFonts w:ascii="Times New Roman" w:eastAsia="Calibri" w:hAnsi="Times New Roman" w:cs="Times New Roman"/>
          <w:bCs/>
          <w:iCs/>
          <w:sz w:val="24"/>
          <w:szCs w:val="24"/>
          <w:lang w:eastAsia="zh-CN"/>
        </w:rPr>
        <w:t>Nurse, De La Rosa, Farías, Hudson, Krishnan, Gutiérrez, Narcisse</w:t>
      </w:r>
    </w:p>
    <w:p w14:paraId="1F968A10" w14:textId="77777777" w:rsidR="003459CE" w:rsidRPr="00C1697D" w:rsidRDefault="003459CE" w:rsidP="0055015A">
      <w:pPr>
        <w:suppressAutoHyphens/>
        <w:spacing w:after="0" w:line="240" w:lineRule="auto"/>
        <w:ind w:left="3600" w:hanging="3600"/>
        <w:jc w:val="both"/>
        <w:rPr>
          <w:rFonts w:ascii="Times New Roman" w:eastAsia="Calibri" w:hAnsi="Times New Roman" w:cs="Times New Roman"/>
          <w:bCs/>
          <w:iCs/>
          <w:sz w:val="24"/>
          <w:szCs w:val="24"/>
          <w:lang w:eastAsia="zh-CN"/>
        </w:rPr>
      </w:pPr>
    </w:p>
    <w:p w14:paraId="6D3B52F7" w14:textId="77777777" w:rsidR="00D04522" w:rsidRPr="00C1697D" w:rsidRDefault="00D04522" w:rsidP="0055015A">
      <w:pPr>
        <w:suppressAutoHyphens/>
        <w:spacing w:after="0" w:line="240" w:lineRule="auto"/>
        <w:ind w:left="3600" w:hanging="3600"/>
        <w:jc w:val="both"/>
        <w:rPr>
          <w:rFonts w:ascii="Times New Roman" w:eastAsia="Calibri" w:hAnsi="Times New Roman" w:cs="Times New Roman"/>
          <w:bCs/>
          <w:iCs/>
          <w:sz w:val="24"/>
          <w:szCs w:val="24"/>
          <w:lang w:eastAsia="zh-CN"/>
        </w:rPr>
      </w:pPr>
      <w:r w:rsidRPr="00957ECB">
        <w:rPr>
          <w:rFonts w:ascii="Times New Roman" w:eastAsia="Calibri" w:hAnsi="Times New Roman" w:cs="Times New Roman"/>
          <w:b/>
          <w:bCs/>
          <w:iCs/>
          <w:sz w:val="24"/>
          <w:szCs w:val="24"/>
          <w:lang w:eastAsia="zh-CN"/>
        </w:rPr>
        <w:t>TITLE:</w:t>
      </w:r>
      <w:r w:rsidRPr="00C1697D">
        <w:rPr>
          <w:rFonts w:ascii="Times New Roman" w:eastAsia="Calibri" w:hAnsi="Times New Roman" w:cs="Times New Roman"/>
          <w:bCs/>
          <w:iCs/>
          <w:sz w:val="24"/>
          <w:szCs w:val="24"/>
          <w:lang w:eastAsia="zh-CN"/>
        </w:rPr>
        <w:tab/>
      </w:r>
      <w:r w:rsidR="003459CE" w:rsidRPr="00C1697D">
        <w:rPr>
          <w:rFonts w:ascii="Times New Roman" w:eastAsia="Calibri" w:hAnsi="Times New Roman" w:cs="Times New Roman"/>
          <w:bCs/>
          <w:iCs/>
          <w:sz w:val="24"/>
          <w:szCs w:val="24"/>
          <w:lang w:eastAsia="zh-CN"/>
        </w:rPr>
        <w:t>A Local Law in relation to a report on the permanent affordability commitment together program</w:t>
      </w:r>
    </w:p>
    <w:p w14:paraId="17EAAEB1" w14:textId="77777777" w:rsidR="003459CE" w:rsidRPr="00C1697D" w:rsidRDefault="003459CE" w:rsidP="0055015A">
      <w:pPr>
        <w:suppressAutoHyphens/>
        <w:spacing w:after="0" w:line="240" w:lineRule="auto"/>
        <w:ind w:left="3600" w:hanging="3600"/>
        <w:jc w:val="both"/>
        <w:rPr>
          <w:rFonts w:ascii="Times New Roman" w:eastAsia="Calibri" w:hAnsi="Times New Roman" w:cs="Times New Roman"/>
          <w:bCs/>
          <w:iCs/>
          <w:sz w:val="24"/>
          <w:szCs w:val="24"/>
          <w:lang w:eastAsia="zh-CN"/>
        </w:rPr>
      </w:pPr>
    </w:p>
    <w:p w14:paraId="26DDF3DD" w14:textId="77777777" w:rsidR="003459CE" w:rsidRPr="00C1697D" w:rsidRDefault="003459CE" w:rsidP="00AC563D">
      <w:pPr>
        <w:suppressAutoHyphens/>
        <w:spacing w:after="0" w:line="240" w:lineRule="auto"/>
        <w:jc w:val="both"/>
        <w:rPr>
          <w:rFonts w:ascii="Times New Roman" w:eastAsia="Calibri" w:hAnsi="Times New Roman" w:cs="Times New Roman"/>
          <w:bCs/>
          <w:iCs/>
          <w:sz w:val="24"/>
          <w:szCs w:val="24"/>
          <w:lang w:eastAsia="zh-CN"/>
        </w:rPr>
      </w:pPr>
    </w:p>
    <w:p w14:paraId="2BE1287F" w14:textId="77777777" w:rsidR="00D04522" w:rsidRPr="00C1697D" w:rsidRDefault="00D04522" w:rsidP="0055015A">
      <w:pPr>
        <w:suppressAutoHyphens/>
        <w:spacing w:after="0" w:line="240" w:lineRule="auto"/>
        <w:ind w:left="3600" w:hanging="3600"/>
        <w:jc w:val="both"/>
        <w:rPr>
          <w:rFonts w:ascii="Times New Roman" w:eastAsia="Calibri" w:hAnsi="Times New Roman" w:cs="Times New Roman"/>
          <w:bCs/>
          <w:iCs/>
          <w:sz w:val="24"/>
          <w:szCs w:val="24"/>
          <w:lang w:eastAsia="zh-CN"/>
        </w:rPr>
      </w:pPr>
      <w:r w:rsidRPr="00957ECB">
        <w:rPr>
          <w:rFonts w:ascii="Times New Roman" w:eastAsia="Calibri" w:hAnsi="Times New Roman" w:cs="Times New Roman"/>
          <w:b/>
          <w:bCs/>
          <w:iCs/>
          <w:smallCaps/>
          <w:sz w:val="24"/>
          <w:szCs w:val="24"/>
          <w:lang w:eastAsia="zh-CN"/>
        </w:rPr>
        <w:lastRenderedPageBreak/>
        <w:t>INT. NO.</w:t>
      </w:r>
      <w:r w:rsidRPr="00957ECB">
        <w:rPr>
          <w:rFonts w:ascii="Times New Roman" w:eastAsia="Calibri" w:hAnsi="Times New Roman" w:cs="Times New Roman"/>
          <w:b/>
          <w:bCs/>
          <w:iCs/>
          <w:sz w:val="24"/>
          <w:szCs w:val="24"/>
          <w:lang w:eastAsia="zh-CN"/>
        </w:rPr>
        <w:t xml:space="preserve"> </w:t>
      </w:r>
      <w:r w:rsidR="00157F9C" w:rsidRPr="00957ECB">
        <w:rPr>
          <w:rFonts w:ascii="Times New Roman" w:eastAsia="Calibri" w:hAnsi="Times New Roman" w:cs="Times New Roman"/>
          <w:b/>
          <w:bCs/>
          <w:iCs/>
          <w:sz w:val="24"/>
          <w:szCs w:val="24"/>
          <w:lang w:eastAsia="zh-CN"/>
        </w:rPr>
        <w:t>648</w:t>
      </w:r>
      <w:r w:rsidRPr="00957ECB">
        <w:rPr>
          <w:rFonts w:ascii="Times New Roman" w:eastAsia="Calibri" w:hAnsi="Times New Roman" w:cs="Times New Roman"/>
          <w:b/>
          <w:bCs/>
          <w:iCs/>
          <w:sz w:val="24"/>
          <w:szCs w:val="24"/>
          <w:lang w:eastAsia="zh-CN"/>
        </w:rPr>
        <w:t>:</w:t>
      </w:r>
      <w:r w:rsidRPr="00C1697D">
        <w:rPr>
          <w:rFonts w:ascii="Times New Roman" w:eastAsia="Calibri" w:hAnsi="Times New Roman" w:cs="Times New Roman"/>
          <w:bCs/>
          <w:iCs/>
          <w:sz w:val="24"/>
          <w:szCs w:val="24"/>
          <w:lang w:eastAsia="zh-CN"/>
        </w:rPr>
        <w:tab/>
        <w:t xml:space="preserve">By </w:t>
      </w:r>
      <w:r w:rsidR="00157F9C" w:rsidRPr="00C1697D">
        <w:rPr>
          <w:rFonts w:ascii="Times New Roman" w:eastAsia="Calibri" w:hAnsi="Times New Roman" w:cs="Times New Roman"/>
          <w:bCs/>
          <w:iCs/>
          <w:sz w:val="24"/>
          <w:szCs w:val="24"/>
          <w:lang w:eastAsia="zh-CN"/>
        </w:rPr>
        <w:t>Council Members Avilés, Feliz, Louis, Velázquez, Restler, Won, Hanif, Hudson, Brewer, Ossé, Farías, Ayala, Nurse, De La Rosa, Sanchez, Powers, Narcisse, Schulman, Bottcher, Krishnan, Gutiérrez, Cabán, Menin, Ung, Marte, Rivera, Riley, Abreu, Brannan and Gennaro</w:t>
      </w:r>
    </w:p>
    <w:p w14:paraId="77DB675A" w14:textId="77777777" w:rsidR="003459CE" w:rsidRPr="00C1697D" w:rsidRDefault="003459CE" w:rsidP="0055015A">
      <w:pPr>
        <w:suppressAutoHyphens/>
        <w:spacing w:after="0" w:line="240" w:lineRule="auto"/>
        <w:ind w:left="3600" w:hanging="3600"/>
        <w:jc w:val="both"/>
        <w:rPr>
          <w:rFonts w:ascii="Times New Roman" w:eastAsia="Calibri" w:hAnsi="Times New Roman" w:cs="Times New Roman"/>
          <w:bCs/>
          <w:iCs/>
          <w:sz w:val="24"/>
          <w:szCs w:val="24"/>
          <w:lang w:eastAsia="zh-CN"/>
        </w:rPr>
      </w:pPr>
    </w:p>
    <w:p w14:paraId="3718D205" w14:textId="77777777" w:rsidR="00D04522" w:rsidRPr="00C1697D" w:rsidRDefault="00D04522" w:rsidP="0055015A">
      <w:pPr>
        <w:suppressAutoHyphens/>
        <w:spacing w:after="0" w:line="240" w:lineRule="auto"/>
        <w:ind w:left="3600" w:hanging="3600"/>
        <w:jc w:val="both"/>
        <w:rPr>
          <w:rFonts w:ascii="Times New Roman" w:eastAsia="Calibri" w:hAnsi="Times New Roman" w:cs="Times New Roman"/>
          <w:bCs/>
          <w:iCs/>
          <w:sz w:val="24"/>
          <w:szCs w:val="24"/>
          <w:lang w:eastAsia="zh-CN"/>
        </w:rPr>
      </w:pPr>
      <w:r w:rsidRPr="00957ECB">
        <w:rPr>
          <w:rFonts w:ascii="Times New Roman" w:eastAsia="Calibri" w:hAnsi="Times New Roman" w:cs="Times New Roman"/>
          <w:b/>
          <w:bCs/>
          <w:iCs/>
          <w:sz w:val="24"/>
          <w:szCs w:val="24"/>
          <w:lang w:eastAsia="zh-CN"/>
        </w:rPr>
        <w:t>TITLE:</w:t>
      </w:r>
      <w:r w:rsidRPr="00C1697D">
        <w:rPr>
          <w:rFonts w:ascii="Times New Roman" w:eastAsia="Calibri" w:hAnsi="Times New Roman" w:cs="Times New Roman"/>
          <w:bCs/>
          <w:iCs/>
          <w:sz w:val="24"/>
          <w:szCs w:val="24"/>
          <w:lang w:eastAsia="zh-CN"/>
        </w:rPr>
        <w:tab/>
      </w:r>
      <w:r w:rsidR="00172B84" w:rsidRPr="00C1697D">
        <w:rPr>
          <w:rFonts w:ascii="Times New Roman" w:eastAsia="Calibri" w:hAnsi="Times New Roman" w:cs="Times New Roman"/>
          <w:bCs/>
          <w:iCs/>
          <w:sz w:val="24"/>
          <w:szCs w:val="24"/>
          <w:lang w:eastAsia="zh-CN"/>
        </w:rPr>
        <w:t>A Local Law to amend the administrative code of the city of New York, in relation to reporting on vacant public housing dwelling units</w:t>
      </w:r>
    </w:p>
    <w:p w14:paraId="4E3DDA10" w14:textId="77777777" w:rsidR="003459CE" w:rsidRPr="00C1697D" w:rsidRDefault="003459CE" w:rsidP="0055015A">
      <w:pPr>
        <w:suppressAutoHyphens/>
        <w:spacing w:after="0" w:line="240" w:lineRule="auto"/>
        <w:ind w:left="3600" w:hanging="3600"/>
        <w:jc w:val="both"/>
        <w:rPr>
          <w:rFonts w:ascii="Times New Roman" w:eastAsia="Calibri" w:hAnsi="Times New Roman" w:cs="Times New Roman"/>
          <w:bCs/>
          <w:iCs/>
          <w:sz w:val="24"/>
          <w:szCs w:val="24"/>
          <w:lang w:eastAsia="zh-CN"/>
        </w:rPr>
      </w:pPr>
    </w:p>
    <w:p w14:paraId="35E38642" w14:textId="6F5D14B7" w:rsidR="00D04522" w:rsidRPr="00C1697D" w:rsidRDefault="00D04522" w:rsidP="0055015A">
      <w:pPr>
        <w:suppressAutoHyphens/>
        <w:spacing w:after="0" w:line="240" w:lineRule="auto"/>
        <w:ind w:left="3600" w:hanging="3600"/>
        <w:jc w:val="both"/>
        <w:rPr>
          <w:rFonts w:ascii="Times New Roman" w:eastAsia="Calibri" w:hAnsi="Times New Roman" w:cs="Times New Roman"/>
          <w:bCs/>
          <w:iCs/>
          <w:sz w:val="24"/>
          <w:szCs w:val="24"/>
          <w:lang w:eastAsia="zh-CN"/>
        </w:rPr>
      </w:pPr>
      <w:r w:rsidRPr="00957ECB">
        <w:rPr>
          <w:rFonts w:ascii="Times New Roman" w:eastAsia="Calibri" w:hAnsi="Times New Roman" w:cs="Times New Roman"/>
          <w:b/>
          <w:bCs/>
          <w:iCs/>
          <w:sz w:val="24"/>
          <w:szCs w:val="24"/>
          <w:lang w:eastAsia="zh-CN"/>
        </w:rPr>
        <w:t>ADMINISTRATIVE CODE:</w:t>
      </w:r>
      <w:r w:rsidRPr="00C1697D">
        <w:rPr>
          <w:rFonts w:ascii="Times New Roman" w:eastAsia="Calibri" w:hAnsi="Times New Roman" w:cs="Times New Roman"/>
          <w:bCs/>
          <w:iCs/>
          <w:sz w:val="24"/>
          <w:szCs w:val="24"/>
          <w:lang w:eastAsia="zh-CN"/>
        </w:rPr>
        <w:tab/>
        <w:t>Adds new section</w:t>
      </w:r>
      <w:r w:rsidR="004579FE">
        <w:rPr>
          <w:rFonts w:ascii="Times New Roman" w:eastAsia="Calibri" w:hAnsi="Times New Roman" w:cs="Times New Roman"/>
          <w:bCs/>
          <w:iCs/>
          <w:sz w:val="24"/>
          <w:szCs w:val="24"/>
          <w:lang w:eastAsia="zh-CN"/>
        </w:rPr>
        <w:t>s</w:t>
      </w:r>
      <w:r w:rsidRPr="00C1697D">
        <w:rPr>
          <w:rFonts w:ascii="Times New Roman" w:eastAsia="Calibri" w:hAnsi="Times New Roman" w:cs="Times New Roman"/>
          <w:bCs/>
          <w:iCs/>
          <w:sz w:val="24"/>
          <w:szCs w:val="24"/>
          <w:lang w:eastAsia="zh-CN"/>
        </w:rPr>
        <w:t xml:space="preserve"> </w:t>
      </w:r>
      <w:r w:rsidR="00172B84" w:rsidRPr="00C1697D">
        <w:rPr>
          <w:rFonts w:ascii="Times New Roman" w:eastAsia="Calibri" w:hAnsi="Times New Roman" w:cs="Times New Roman"/>
          <w:bCs/>
          <w:iCs/>
          <w:sz w:val="24"/>
          <w:szCs w:val="24"/>
          <w:lang w:eastAsia="zh-CN"/>
        </w:rPr>
        <w:t>3-190</w:t>
      </w:r>
      <w:r w:rsidR="00CA02A2">
        <w:rPr>
          <w:rFonts w:ascii="Times New Roman" w:eastAsia="Calibri" w:hAnsi="Times New Roman" w:cs="Times New Roman"/>
          <w:bCs/>
          <w:iCs/>
          <w:sz w:val="24"/>
          <w:szCs w:val="24"/>
          <w:lang w:eastAsia="zh-CN"/>
        </w:rPr>
        <w:t xml:space="preserve"> and </w:t>
      </w:r>
      <w:r w:rsidR="004579FE">
        <w:rPr>
          <w:rFonts w:ascii="Times New Roman" w:eastAsia="Calibri" w:hAnsi="Times New Roman" w:cs="Times New Roman"/>
          <w:bCs/>
          <w:iCs/>
          <w:sz w:val="24"/>
          <w:szCs w:val="24"/>
          <w:lang w:eastAsia="zh-CN"/>
        </w:rPr>
        <w:t>3-191</w:t>
      </w:r>
      <w:r w:rsidR="00172B84" w:rsidRPr="00C1697D">
        <w:rPr>
          <w:rFonts w:ascii="Times New Roman" w:eastAsia="Calibri" w:hAnsi="Times New Roman" w:cs="Times New Roman"/>
          <w:bCs/>
          <w:iCs/>
          <w:sz w:val="24"/>
          <w:szCs w:val="24"/>
          <w:lang w:eastAsia="zh-CN"/>
        </w:rPr>
        <w:t xml:space="preserve"> </w:t>
      </w:r>
    </w:p>
    <w:p w14:paraId="74A261C6" w14:textId="77777777" w:rsidR="00D04522" w:rsidRPr="00C1697D" w:rsidRDefault="00D04522" w:rsidP="0055015A">
      <w:pPr>
        <w:suppressAutoHyphens/>
        <w:spacing w:after="0" w:line="480" w:lineRule="auto"/>
        <w:ind w:left="3600" w:hanging="3600"/>
        <w:jc w:val="both"/>
        <w:rPr>
          <w:rFonts w:ascii="Times New Roman" w:eastAsia="Calibri" w:hAnsi="Times New Roman" w:cs="Times New Roman"/>
          <w:bCs/>
          <w:iCs/>
          <w:sz w:val="24"/>
          <w:szCs w:val="24"/>
          <w:lang w:eastAsia="zh-CN"/>
        </w:rPr>
      </w:pPr>
    </w:p>
    <w:p w14:paraId="148DD3EE" w14:textId="77777777" w:rsidR="00D04522" w:rsidRPr="00C1697D" w:rsidRDefault="00D04522" w:rsidP="0055015A">
      <w:pPr>
        <w:suppressAutoHyphens/>
        <w:spacing w:after="0" w:line="480" w:lineRule="auto"/>
        <w:jc w:val="both"/>
        <w:rPr>
          <w:rFonts w:ascii="Times New Roman" w:eastAsia="Calibri" w:hAnsi="Times New Roman" w:cs="Times New Roman"/>
          <w:b/>
          <w:bCs/>
          <w:i/>
          <w:iCs/>
          <w:sz w:val="24"/>
          <w:szCs w:val="24"/>
          <w:lang w:eastAsia="zh-CN"/>
        </w:rPr>
      </w:pPr>
    </w:p>
    <w:p w14:paraId="200813A0" w14:textId="77777777" w:rsidR="00814C1C" w:rsidRPr="00910C58" w:rsidRDefault="00814C1C" w:rsidP="00910C58">
      <w:pPr>
        <w:suppressAutoHyphens/>
        <w:spacing w:after="0" w:line="480" w:lineRule="auto"/>
        <w:jc w:val="both"/>
        <w:rPr>
          <w:rFonts w:ascii="Times New Roman" w:eastAsia="Calibri" w:hAnsi="Times New Roman" w:cs="Times New Roman"/>
          <w:b/>
          <w:bCs/>
          <w:iCs/>
          <w:sz w:val="24"/>
          <w:szCs w:val="24"/>
          <w:u w:val="single"/>
          <w:lang w:eastAsia="zh-CN"/>
        </w:rPr>
      </w:pPr>
      <w:r w:rsidRPr="00910C58">
        <w:rPr>
          <w:rFonts w:ascii="Times New Roman" w:eastAsia="Calibri" w:hAnsi="Times New Roman" w:cs="Times New Roman"/>
          <w:b/>
          <w:bCs/>
          <w:iCs/>
          <w:sz w:val="24"/>
          <w:szCs w:val="24"/>
          <w:u w:val="single"/>
          <w:lang w:eastAsia="zh-CN"/>
        </w:rPr>
        <w:t>INTRODUCTION</w:t>
      </w:r>
    </w:p>
    <w:p w14:paraId="70E5A382" w14:textId="4B2EF2C9" w:rsidR="00814C1C" w:rsidRPr="00C1697D" w:rsidRDefault="00814C1C" w:rsidP="00910C58">
      <w:pPr>
        <w:spacing w:after="0" w:line="480" w:lineRule="auto"/>
        <w:ind w:firstLine="720"/>
        <w:contextualSpacing/>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 xml:space="preserve">On </w:t>
      </w:r>
      <w:r w:rsidR="0054548C" w:rsidRPr="00C1697D">
        <w:rPr>
          <w:rFonts w:ascii="Times New Roman" w:eastAsia="Times New Roman" w:hAnsi="Times New Roman" w:cs="Times New Roman"/>
          <w:sz w:val="24"/>
          <w:szCs w:val="24"/>
        </w:rPr>
        <w:t>October</w:t>
      </w:r>
      <w:r w:rsidRPr="00C1697D">
        <w:rPr>
          <w:rFonts w:ascii="Times New Roman" w:eastAsia="Times New Roman" w:hAnsi="Times New Roman" w:cs="Times New Roman"/>
          <w:sz w:val="24"/>
          <w:szCs w:val="24"/>
        </w:rPr>
        <w:t xml:space="preserve"> </w:t>
      </w:r>
      <w:r w:rsidR="005907DF" w:rsidRPr="00C1697D">
        <w:rPr>
          <w:rFonts w:ascii="Times New Roman" w:eastAsia="Times New Roman" w:hAnsi="Times New Roman" w:cs="Times New Roman"/>
          <w:sz w:val="24"/>
          <w:szCs w:val="24"/>
        </w:rPr>
        <w:t>24</w:t>
      </w:r>
      <w:r w:rsidRPr="00C1697D">
        <w:rPr>
          <w:rFonts w:ascii="Times New Roman" w:eastAsia="Times New Roman" w:hAnsi="Times New Roman" w:cs="Times New Roman"/>
          <w:sz w:val="24"/>
          <w:szCs w:val="24"/>
        </w:rPr>
        <w:t xml:space="preserve">, 2023, the Committee on Public Housing, chaired by Council Member Alexa Avilés, will hold an oversight hearing titled </w:t>
      </w:r>
      <w:r w:rsidR="00AE69FC">
        <w:rPr>
          <w:rFonts w:ascii="Times New Roman" w:eastAsia="Times New Roman" w:hAnsi="Times New Roman" w:cs="Times New Roman"/>
          <w:sz w:val="24"/>
          <w:szCs w:val="24"/>
        </w:rPr>
        <w:t>“</w:t>
      </w:r>
      <w:r w:rsidR="00D431CE" w:rsidRPr="00C1697D">
        <w:rPr>
          <w:rFonts w:ascii="Times New Roman" w:eastAsia="Times New Roman" w:hAnsi="Times New Roman" w:cs="Times New Roman"/>
          <w:sz w:val="24"/>
          <w:szCs w:val="24"/>
        </w:rPr>
        <w:t>RAD/PACT, The Trust, &amp; The Future of NYCHA</w:t>
      </w:r>
      <w:r w:rsidR="00AE69FC">
        <w:rPr>
          <w:rFonts w:ascii="Times New Roman" w:eastAsia="Times New Roman" w:hAnsi="Times New Roman" w:cs="Times New Roman"/>
          <w:sz w:val="24"/>
          <w:szCs w:val="24"/>
        </w:rPr>
        <w:t>.</w:t>
      </w:r>
      <w:r w:rsidRPr="00C1697D">
        <w:rPr>
          <w:rFonts w:ascii="Times New Roman" w:eastAsia="Times New Roman" w:hAnsi="Times New Roman" w:cs="Times New Roman"/>
          <w:sz w:val="24"/>
          <w:szCs w:val="24"/>
        </w:rPr>
        <w:t xml:space="preserve">” At the hearing, the Committee expects to hear testimony from the New York City Housing Authority (“NYCHA”) </w:t>
      </w:r>
      <w:r w:rsidR="005907DF" w:rsidRPr="00C1697D">
        <w:rPr>
          <w:rFonts w:ascii="Times New Roman" w:eastAsia="Times New Roman" w:hAnsi="Times New Roman" w:cs="Times New Roman"/>
          <w:sz w:val="24"/>
          <w:szCs w:val="24"/>
        </w:rPr>
        <w:t>about the current state of NYCHA</w:t>
      </w:r>
      <w:r w:rsidR="00AE69FC">
        <w:rPr>
          <w:rFonts w:ascii="Times New Roman" w:eastAsia="Times New Roman" w:hAnsi="Times New Roman" w:cs="Times New Roman"/>
          <w:sz w:val="24"/>
          <w:szCs w:val="24"/>
        </w:rPr>
        <w:t>,</w:t>
      </w:r>
      <w:r w:rsidR="005907DF" w:rsidRPr="00C1697D">
        <w:rPr>
          <w:rFonts w:ascii="Times New Roman" w:eastAsia="Times New Roman" w:hAnsi="Times New Roman" w:cs="Times New Roman"/>
          <w:sz w:val="24"/>
          <w:szCs w:val="24"/>
        </w:rPr>
        <w:t xml:space="preserve"> includ</w:t>
      </w:r>
      <w:r w:rsidR="00AE69FC">
        <w:rPr>
          <w:rFonts w:ascii="Times New Roman" w:eastAsia="Times New Roman" w:hAnsi="Times New Roman" w:cs="Times New Roman"/>
          <w:sz w:val="24"/>
          <w:szCs w:val="24"/>
        </w:rPr>
        <w:t>ing</w:t>
      </w:r>
      <w:r w:rsidR="005907DF" w:rsidRPr="00C1697D">
        <w:rPr>
          <w:rFonts w:ascii="Times New Roman" w:eastAsia="Times New Roman" w:hAnsi="Times New Roman" w:cs="Times New Roman"/>
          <w:sz w:val="24"/>
          <w:szCs w:val="24"/>
        </w:rPr>
        <w:t xml:space="preserve"> the over 60 developments in the Per</w:t>
      </w:r>
      <w:r w:rsidR="008576B6" w:rsidRPr="00C1697D">
        <w:rPr>
          <w:rFonts w:ascii="Times New Roman" w:eastAsia="Times New Roman" w:hAnsi="Times New Roman" w:cs="Times New Roman"/>
          <w:sz w:val="24"/>
          <w:szCs w:val="24"/>
        </w:rPr>
        <w:t>manent Affordability Commit</w:t>
      </w:r>
      <w:r w:rsidR="002C5F65" w:rsidRPr="00C1697D">
        <w:rPr>
          <w:rFonts w:ascii="Times New Roman" w:eastAsia="Times New Roman" w:hAnsi="Times New Roman" w:cs="Times New Roman"/>
          <w:sz w:val="24"/>
          <w:szCs w:val="24"/>
        </w:rPr>
        <w:t xml:space="preserve">ment Together (“PACT”) </w:t>
      </w:r>
      <w:r w:rsidR="005907DF" w:rsidRPr="00C1697D">
        <w:rPr>
          <w:rFonts w:ascii="Times New Roman" w:eastAsia="Times New Roman" w:hAnsi="Times New Roman" w:cs="Times New Roman"/>
          <w:sz w:val="24"/>
          <w:szCs w:val="24"/>
        </w:rPr>
        <w:t xml:space="preserve">program, </w:t>
      </w:r>
      <w:r w:rsidR="002C5F65" w:rsidRPr="00C1697D">
        <w:rPr>
          <w:rFonts w:ascii="Times New Roman" w:eastAsia="Times New Roman" w:hAnsi="Times New Roman" w:cs="Times New Roman"/>
          <w:sz w:val="24"/>
          <w:szCs w:val="24"/>
        </w:rPr>
        <w:t>and their</w:t>
      </w:r>
      <w:r w:rsidR="005907DF" w:rsidRPr="00C1697D">
        <w:rPr>
          <w:rFonts w:ascii="Times New Roman" w:eastAsia="Times New Roman" w:hAnsi="Times New Roman" w:cs="Times New Roman"/>
          <w:sz w:val="24"/>
          <w:szCs w:val="24"/>
        </w:rPr>
        <w:t xml:space="preserve"> plans for transferring developments in</w:t>
      </w:r>
      <w:r w:rsidR="002C5F65" w:rsidRPr="00C1697D">
        <w:rPr>
          <w:rFonts w:ascii="Times New Roman" w:eastAsia="Times New Roman" w:hAnsi="Times New Roman" w:cs="Times New Roman"/>
          <w:sz w:val="24"/>
          <w:szCs w:val="24"/>
        </w:rPr>
        <w:t xml:space="preserve">to the newly created New York City Public Housing Preservation Trust (“Trust”). </w:t>
      </w:r>
      <w:r w:rsidRPr="00C1697D">
        <w:rPr>
          <w:rFonts w:ascii="Times New Roman" w:eastAsia="Times New Roman" w:hAnsi="Times New Roman" w:cs="Times New Roman"/>
          <w:sz w:val="24"/>
          <w:szCs w:val="24"/>
        </w:rPr>
        <w:t xml:space="preserve">Witnesses invited to testify include NYCHA residents, </w:t>
      </w:r>
      <w:r w:rsidR="002C5F65" w:rsidRPr="00C1697D">
        <w:rPr>
          <w:rFonts w:ascii="Times New Roman" w:eastAsia="Times New Roman" w:hAnsi="Times New Roman" w:cs="Times New Roman"/>
          <w:sz w:val="24"/>
          <w:szCs w:val="24"/>
        </w:rPr>
        <w:t>advocates</w:t>
      </w:r>
      <w:r w:rsidRPr="00C1697D">
        <w:rPr>
          <w:rFonts w:ascii="Times New Roman" w:eastAsia="Times New Roman" w:hAnsi="Times New Roman" w:cs="Times New Roman"/>
          <w:sz w:val="24"/>
          <w:szCs w:val="24"/>
        </w:rPr>
        <w:t>, vario</w:t>
      </w:r>
      <w:r w:rsidR="002C5F65" w:rsidRPr="00C1697D">
        <w:rPr>
          <w:rFonts w:ascii="Times New Roman" w:eastAsia="Times New Roman" w:hAnsi="Times New Roman" w:cs="Times New Roman"/>
          <w:sz w:val="24"/>
          <w:szCs w:val="24"/>
        </w:rPr>
        <w:t>us unions representing NYCHA workers</w:t>
      </w:r>
      <w:r w:rsidR="00AE69FC">
        <w:rPr>
          <w:rFonts w:ascii="Times New Roman" w:eastAsia="Times New Roman" w:hAnsi="Times New Roman" w:cs="Times New Roman"/>
          <w:sz w:val="24"/>
          <w:szCs w:val="24"/>
        </w:rPr>
        <w:t>,</w:t>
      </w:r>
      <w:r w:rsidR="002C5F65" w:rsidRPr="00C1697D">
        <w:rPr>
          <w:rFonts w:ascii="Times New Roman" w:eastAsia="Times New Roman" w:hAnsi="Times New Roman" w:cs="Times New Roman"/>
          <w:sz w:val="24"/>
          <w:szCs w:val="24"/>
        </w:rPr>
        <w:t xml:space="preserve"> </w:t>
      </w:r>
      <w:r w:rsidRPr="00C1697D">
        <w:rPr>
          <w:rFonts w:ascii="Times New Roman" w:eastAsia="Times New Roman" w:hAnsi="Times New Roman" w:cs="Times New Roman"/>
          <w:sz w:val="24"/>
          <w:szCs w:val="24"/>
        </w:rPr>
        <w:t>and other interested parties.</w:t>
      </w:r>
    </w:p>
    <w:p w14:paraId="34BEAFE2" w14:textId="77777777" w:rsidR="00D431CE" w:rsidRPr="00C1697D" w:rsidRDefault="00D431CE" w:rsidP="00910C58">
      <w:pPr>
        <w:suppressAutoHyphens/>
        <w:spacing w:after="0" w:line="480" w:lineRule="auto"/>
        <w:contextualSpacing/>
        <w:jc w:val="both"/>
        <w:rPr>
          <w:rFonts w:ascii="Times New Roman" w:eastAsia="Calibri" w:hAnsi="Times New Roman" w:cs="Times New Roman"/>
          <w:b/>
          <w:i/>
          <w:iCs/>
          <w:sz w:val="24"/>
          <w:szCs w:val="24"/>
          <w:lang w:eastAsia="zh-CN"/>
        </w:rPr>
      </w:pPr>
      <w:r w:rsidRPr="00C1697D">
        <w:rPr>
          <w:rFonts w:ascii="Times New Roman" w:eastAsia="Calibri" w:hAnsi="Times New Roman" w:cs="Times New Roman"/>
          <w:b/>
          <w:i/>
          <w:iCs/>
          <w:sz w:val="24"/>
          <w:szCs w:val="24"/>
          <w:lang w:eastAsia="zh-CN"/>
        </w:rPr>
        <w:t>BACKGROUND ON NYCHA AND PUBLIC HOUSING</w:t>
      </w:r>
    </w:p>
    <w:p w14:paraId="126E3C1C" w14:textId="77777777" w:rsidR="00D431CE" w:rsidRPr="00C1697D" w:rsidRDefault="00D431CE" w:rsidP="00910C58">
      <w:pPr>
        <w:suppressAutoHyphens/>
        <w:spacing w:after="0" w:line="480" w:lineRule="auto"/>
        <w:ind w:firstLine="720"/>
        <w:contextualSpacing/>
        <w:jc w:val="both"/>
        <w:rPr>
          <w:rFonts w:ascii="Times New Roman" w:eastAsia="Calibri" w:hAnsi="Times New Roman" w:cs="Times New Roman"/>
          <w:sz w:val="24"/>
          <w:szCs w:val="24"/>
          <w:lang w:eastAsia="zh-CN"/>
        </w:rPr>
      </w:pPr>
      <w:r w:rsidRPr="00C1697D">
        <w:rPr>
          <w:rFonts w:ascii="Times New Roman" w:eastAsia="Calibri" w:hAnsi="Times New Roman" w:cs="Times New Roman"/>
          <w:sz w:val="24"/>
          <w:szCs w:val="24"/>
          <w:lang w:eastAsia="zh-CN"/>
        </w:rPr>
        <w:t xml:space="preserve">Former New York City Mayor Fiorello La Guardia created NYCHA in 1934 </w:t>
      </w:r>
      <w:r w:rsidRPr="00C1697D">
        <w:rPr>
          <w:rFonts w:ascii="Times New Roman" w:eastAsia="Times New Roman" w:hAnsi="Times New Roman" w:cs="Times New Roman"/>
          <w:sz w:val="24"/>
          <w:szCs w:val="24"/>
          <w:lang w:eastAsia="zh-CN"/>
        </w:rPr>
        <w:t>to replace dilapidated tenements using funds from The New Deal,</w:t>
      </w:r>
      <w:r w:rsidRPr="00C1697D">
        <w:rPr>
          <w:rFonts w:ascii="Times New Roman" w:eastAsia="Times New Roman" w:hAnsi="Times New Roman" w:cs="Times New Roman"/>
          <w:sz w:val="24"/>
          <w:szCs w:val="24"/>
          <w:vertAlign w:val="superscript"/>
          <w:lang w:eastAsia="zh-CN"/>
        </w:rPr>
        <w:footnoteReference w:id="2"/>
      </w:r>
      <w:r w:rsidRPr="00C1697D">
        <w:rPr>
          <w:rFonts w:ascii="Times New Roman" w:eastAsia="Times New Roman" w:hAnsi="Times New Roman" w:cs="Times New Roman"/>
          <w:sz w:val="24"/>
          <w:szCs w:val="24"/>
          <w:lang w:eastAsia="zh-CN"/>
        </w:rPr>
        <w:t xml:space="preserve"> three years before the Housing Act of 1937 established public housing nationwide.</w:t>
      </w:r>
      <w:r w:rsidRPr="00C1697D">
        <w:rPr>
          <w:rFonts w:ascii="Times New Roman" w:eastAsia="Times New Roman" w:hAnsi="Times New Roman" w:cs="Times New Roman"/>
          <w:sz w:val="24"/>
          <w:szCs w:val="24"/>
          <w:vertAlign w:val="superscript"/>
          <w:lang w:eastAsia="zh-CN"/>
        </w:rPr>
        <w:footnoteReference w:id="3"/>
      </w:r>
      <w:r w:rsidRPr="00C1697D">
        <w:rPr>
          <w:rFonts w:ascii="Times New Roman" w:eastAsia="Times New Roman" w:hAnsi="Times New Roman" w:cs="Times New Roman"/>
          <w:sz w:val="24"/>
          <w:szCs w:val="24"/>
          <w:lang w:eastAsia="zh-CN"/>
        </w:rPr>
        <w:t xml:space="preserve"> </w:t>
      </w:r>
      <w:r w:rsidRPr="00C1697D">
        <w:rPr>
          <w:rFonts w:ascii="Times New Roman" w:eastAsia="Calibri" w:hAnsi="Times New Roman" w:cs="Times New Roman"/>
          <w:sz w:val="24"/>
          <w:szCs w:val="24"/>
          <w:lang w:eastAsia="zh-CN"/>
        </w:rPr>
        <w:t>NYCHA originally served two purposes: (1) to provide low-cost housing for middle-class, working families temporarily unemployed because of the Great Depression and (2) to bolster the lagging economy by creating jobs for the building trades.</w:t>
      </w:r>
      <w:r w:rsidRPr="00C1697D">
        <w:rPr>
          <w:rFonts w:ascii="Times New Roman" w:eastAsia="Calibri" w:hAnsi="Times New Roman" w:cs="Times New Roman"/>
          <w:sz w:val="24"/>
          <w:szCs w:val="24"/>
          <w:vertAlign w:val="superscript"/>
          <w:lang w:eastAsia="zh-CN"/>
        </w:rPr>
        <w:footnoteReference w:id="4"/>
      </w:r>
      <w:r w:rsidRPr="00C1697D">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C1697D">
        <w:rPr>
          <w:rFonts w:ascii="Times New Roman" w:eastAsia="Calibri" w:hAnsi="Times New Roman" w:cs="Times New Roman"/>
          <w:sz w:val="24"/>
          <w:szCs w:val="24"/>
          <w:vertAlign w:val="superscript"/>
          <w:lang w:eastAsia="zh-CN"/>
        </w:rPr>
        <w:footnoteReference w:id="5"/>
      </w:r>
      <w:r w:rsidRPr="00C1697D">
        <w:rPr>
          <w:rFonts w:ascii="Times New Roman" w:eastAsia="Calibri" w:hAnsi="Times New Roman" w:cs="Times New Roman"/>
          <w:sz w:val="24"/>
          <w:szCs w:val="24"/>
          <w:lang w:eastAsia="zh-CN"/>
        </w:rPr>
        <w:t xml:space="preserve"> </w:t>
      </w:r>
    </w:p>
    <w:p w14:paraId="5ED3E280" w14:textId="56F94CD3" w:rsidR="008D7887" w:rsidRDefault="00D431CE" w:rsidP="00910C58">
      <w:pPr>
        <w:suppressAutoHyphens/>
        <w:spacing w:after="0" w:line="480" w:lineRule="auto"/>
        <w:ind w:firstLine="720"/>
        <w:contextualSpacing/>
        <w:jc w:val="both"/>
        <w:rPr>
          <w:rFonts w:ascii="Times New Roman" w:eastAsia="Calibri" w:hAnsi="Times New Roman" w:cs="Times New Roman"/>
          <w:sz w:val="24"/>
          <w:szCs w:val="24"/>
          <w:lang w:eastAsia="zh-CN"/>
        </w:rPr>
      </w:pPr>
      <w:r w:rsidRPr="00C1697D">
        <w:rPr>
          <w:rFonts w:ascii="Times New Roman" w:eastAsia="Calibri" w:hAnsi="Times New Roman" w:cs="Times New Roman"/>
          <w:sz w:val="24"/>
          <w:szCs w:val="24"/>
          <w:lang w:eastAsia="zh-CN"/>
        </w:rPr>
        <w:t>As of April 2023, NYCHA has 335 developments, and 177,569 units home to 3</w:t>
      </w:r>
      <w:r w:rsidRPr="00C1697D">
        <w:rPr>
          <w:rFonts w:ascii="Times New Roman" w:eastAsia="Times New Roman" w:hAnsi="Times New Roman" w:cs="Times New Roman"/>
          <w:sz w:val="24"/>
          <w:szCs w:val="24"/>
        </w:rPr>
        <w:t xml:space="preserve">60,970 </w:t>
      </w:r>
      <w:r w:rsidRPr="00C1697D">
        <w:rPr>
          <w:rFonts w:ascii="Times New Roman" w:eastAsia="Calibri" w:hAnsi="Times New Roman" w:cs="Times New Roman"/>
          <w:sz w:val="24"/>
          <w:szCs w:val="24"/>
          <w:lang w:eastAsia="zh-CN"/>
        </w:rPr>
        <w:t xml:space="preserve">authorized residents in their the conventional public housing program (“Section 9”) and the </w:t>
      </w:r>
      <w:r w:rsidR="002C5F65" w:rsidRPr="00C1697D">
        <w:rPr>
          <w:rFonts w:ascii="Times New Roman" w:eastAsia="Calibri" w:hAnsi="Times New Roman" w:cs="Times New Roman"/>
          <w:sz w:val="24"/>
          <w:szCs w:val="24"/>
          <w:lang w:eastAsia="zh-CN"/>
        </w:rPr>
        <w:t>PACT program</w:t>
      </w:r>
      <w:r w:rsidRPr="00C1697D">
        <w:rPr>
          <w:rFonts w:ascii="Times New Roman" w:eastAsia="Calibri" w:hAnsi="Times New Roman" w:cs="Times New Roman"/>
          <w:sz w:val="24"/>
          <w:szCs w:val="24"/>
          <w:lang w:eastAsia="zh-CN"/>
        </w:rPr>
        <w:t>, which is NYCHA’s implementation of the federal Rental Assistance Demonstration (“RAD”) program.</w:t>
      </w:r>
      <w:r w:rsidRPr="00C1697D">
        <w:rPr>
          <w:rFonts w:ascii="Times New Roman" w:eastAsia="Calibri" w:hAnsi="Times New Roman" w:cs="Times New Roman"/>
          <w:sz w:val="24"/>
          <w:szCs w:val="24"/>
          <w:vertAlign w:val="superscript"/>
          <w:lang w:eastAsia="zh-CN"/>
        </w:rPr>
        <w:footnoteReference w:id="6"/>
      </w:r>
      <w:r w:rsidRPr="00C1697D">
        <w:rPr>
          <w:rFonts w:ascii="Times New Roman" w:eastAsia="Calibri" w:hAnsi="Times New Roman" w:cs="Times New Roman"/>
          <w:sz w:val="24"/>
          <w:szCs w:val="24"/>
          <w:lang w:eastAsia="zh-CN"/>
        </w:rPr>
        <w:t xml:space="preserve"> NYCHA also provides housing to 167,135 residents through the Housing Choice Voucher program created by the United States Housing and Community Development Act of 1978 (“Section 8”).</w:t>
      </w:r>
      <w:r w:rsidRPr="00C1697D">
        <w:rPr>
          <w:rStyle w:val="FootnoteReference"/>
          <w:rFonts w:ascii="Times New Roman" w:eastAsia="Calibri" w:hAnsi="Times New Roman" w:cs="Times New Roman"/>
          <w:sz w:val="24"/>
          <w:szCs w:val="24"/>
          <w:lang w:eastAsia="zh-CN"/>
        </w:rPr>
        <w:footnoteReference w:id="7"/>
      </w:r>
      <w:r w:rsidRPr="00C1697D">
        <w:rPr>
          <w:rFonts w:ascii="Times New Roman" w:eastAsia="Calibri" w:hAnsi="Times New Roman" w:cs="Times New Roman"/>
          <w:sz w:val="24"/>
          <w:szCs w:val="24"/>
          <w:lang w:eastAsia="zh-CN"/>
        </w:rPr>
        <w:t xml:space="preserve"> </w:t>
      </w:r>
    </w:p>
    <w:p w14:paraId="4C6F55A4" w14:textId="77777777" w:rsidR="008D7887" w:rsidRDefault="00D431CE" w:rsidP="00910C58">
      <w:pPr>
        <w:suppressAutoHyphens/>
        <w:spacing w:after="0" w:line="480" w:lineRule="auto"/>
        <w:ind w:firstLine="720"/>
        <w:contextualSpacing/>
        <w:jc w:val="both"/>
        <w:rPr>
          <w:rFonts w:ascii="Times New Roman" w:eastAsia="Calibri" w:hAnsi="Times New Roman" w:cs="Times New Roman"/>
          <w:sz w:val="24"/>
          <w:szCs w:val="24"/>
          <w:lang w:eastAsia="zh-CN"/>
        </w:rPr>
      </w:pPr>
      <w:r w:rsidRPr="00C1697D">
        <w:rPr>
          <w:rFonts w:ascii="Times New Roman" w:eastAsia="Calibri" w:hAnsi="Times New Roman" w:cs="Times New Roman"/>
          <w:sz w:val="24"/>
          <w:szCs w:val="24"/>
          <w:lang w:eastAsia="zh-CN"/>
        </w:rPr>
        <w:t>Beginning with Nostrand Houses in late 2023, NYCHA developments will also begin to vote on whether to remain in conventional public housing, move to the PACT program, or join the newly created</w:t>
      </w:r>
      <w:r w:rsidR="002C5F65" w:rsidRPr="00C1697D">
        <w:rPr>
          <w:rFonts w:ascii="Times New Roman" w:eastAsia="Calibri" w:hAnsi="Times New Roman" w:cs="Times New Roman"/>
          <w:sz w:val="24"/>
          <w:szCs w:val="24"/>
          <w:lang w:eastAsia="zh-CN"/>
        </w:rPr>
        <w:t xml:space="preserve"> Trust</w:t>
      </w:r>
      <w:r w:rsidRPr="00C1697D">
        <w:rPr>
          <w:rFonts w:ascii="Times New Roman" w:eastAsia="Calibri" w:hAnsi="Times New Roman" w:cs="Times New Roman"/>
          <w:sz w:val="24"/>
          <w:szCs w:val="24"/>
          <w:lang w:eastAsia="zh-CN"/>
        </w:rPr>
        <w:t>. Joining the Trust would keep the developments under NYCHA management while moving the developments to Project Based Section 8 funding.</w:t>
      </w:r>
      <w:r w:rsidRPr="00C1697D">
        <w:rPr>
          <w:rStyle w:val="FootnoteReference"/>
          <w:rFonts w:ascii="Times New Roman" w:eastAsia="Calibri" w:hAnsi="Times New Roman" w:cs="Times New Roman"/>
          <w:sz w:val="24"/>
          <w:szCs w:val="24"/>
          <w:lang w:eastAsia="zh-CN"/>
        </w:rPr>
        <w:footnoteReference w:id="8"/>
      </w:r>
      <w:r w:rsidRPr="00C1697D">
        <w:rPr>
          <w:rFonts w:ascii="Times New Roman" w:eastAsia="Calibri" w:hAnsi="Times New Roman" w:cs="Times New Roman"/>
          <w:sz w:val="24"/>
          <w:szCs w:val="24"/>
          <w:lang w:eastAsia="zh-CN"/>
        </w:rPr>
        <w:t xml:space="preserve"> </w:t>
      </w:r>
    </w:p>
    <w:p w14:paraId="2A04AAD5" w14:textId="7A69EB28" w:rsidR="00D431CE" w:rsidRPr="00C1697D" w:rsidRDefault="00D431CE" w:rsidP="00910C58">
      <w:pPr>
        <w:suppressAutoHyphens/>
        <w:spacing w:after="0" w:line="480" w:lineRule="auto"/>
        <w:ind w:firstLine="720"/>
        <w:contextualSpacing/>
        <w:jc w:val="both"/>
        <w:rPr>
          <w:rFonts w:ascii="Times New Roman" w:eastAsia="Calibri" w:hAnsi="Times New Roman" w:cs="Times New Roman"/>
          <w:sz w:val="24"/>
          <w:szCs w:val="24"/>
          <w:lang w:eastAsia="zh-CN"/>
        </w:rPr>
      </w:pPr>
      <w:r w:rsidRPr="00C1697D">
        <w:rPr>
          <w:rFonts w:ascii="Times New Roman" w:eastAsia="Calibri" w:hAnsi="Times New Roman" w:cs="Times New Roman"/>
          <w:sz w:val="24"/>
          <w:szCs w:val="24"/>
          <w:lang w:eastAsia="zh-CN"/>
        </w:rPr>
        <w:t>All these changes are taking place while NYCHA is under a federal monitor which was imposed by a U.S. district court judge after several federal court cases, including one brought by the United States Department of Justice alleging “that NYCHA has routinely failed to comply with lead-based paint safety regulations, had failed to provide decent, safe, and sanitary housing, including with respect to the provision of heat and elevators and the control and treatment of mold and pests; and had repeatedly misled the United States Department of Housing and Urban Development (“HUD”) through false statements and deceptive practices.”</w:t>
      </w:r>
      <w:r w:rsidRPr="00C1697D">
        <w:rPr>
          <w:rStyle w:val="FootnoteReference"/>
          <w:rFonts w:ascii="Times New Roman" w:eastAsia="Calibri" w:hAnsi="Times New Roman" w:cs="Times New Roman"/>
          <w:sz w:val="24"/>
          <w:szCs w:val="24"/>
          <w:lang w:eastAsia="zh-CN"/>
        </w:rPr>
        <w:footnoteReference w:id="9"/>
      </w:r>
      <w:r w:rsidRPr="00C1697D">
        <w:rPr>
          <w:rFonts w:ascii="Times New Roman" w:eastAsia="Calibri" w:hAnsi="Times New Roman" w:cs="Times New Roman"/>
          <w:sz w:val="24"/>
          <w:szCs w:val="24"/>
          <w:lang w:eastAsia="zh-CN"/>
        </w:rPr>
        <w:t xml:space="preserve"> The Agreement resulting from the lawsuit has led to substantial management changes as well as increased funding from the City.</w:t>
      </w:r>
      <w:r w:rsidRPr="00C1697D">
        <w:rPr>
          <w:rStyle w:val="FootnoteReference"/>
          <w:rFonts w:ascii="Times New Roman" w:eastAsia="Calibri" w:hAnsi="Times New Roman" w:cs="Times New Roman"/>
          <w:sz w:val="24"/>
          <w:szCs w:val="24"/>
          <w:lang w:eastAsia="zh-CN"/>
        </w:rPr>
        <w:footnoteReference w:id="10"/>
      </w:r>
    </w:p>
    <w:p w14:paraId="101A6AC0" w14:textId="254F3451" w:rsidR="00303678" w:rsidRPr="00910C58" w:rsidRDefault="00303678" w:rsidP="00910C58">
      <w:pPr>
        <w:pStyle w:val="paragraph"/>
        <w:spacing w:before="0" w:beforeAutospacing="0" w:after="0" w:afterAutospacing="0" w:line="480" w:lineRule="auto"/>
        <w:jc w:val="both"/>
        <w:textAlignment w:val="baseline"/>
        <w:rPr>
          <w:rStyle w:val="eop"/>
          <w:rFonts w:eastAsia="Calibri"/>
          <w:b/>
          <w:i/>
          <w:iCs/>
        </w:rPr>
      </w:pPr>
      <w:r w:rsidRPr="00910C58">
        <w:rPr>
          <w:rStyle w:val="eop"/>
          <w:rFonts w:eastAsia="Calibri"/>
          <w:b/>
          <w:i/>
          <w:iCs/>
        </w:rPr>
        <w:t xml:space="preserve">Changes </w:t>
      </w:r>
      <w:r w:rsidR="00910C58" w:rsidRPr="00910C58">
        <w:rPr>
          <w:rStyle w:val="eop"/>
          <w:rFonts w:eastAsia="Calibri"/>
          <w:b/>
          <w:i/>
          <w:iCs/>
        </w:rPr>
        <w:t xml:space="preserve">In </w:t>
      </w:r>
      <w:r w:rsidRPr="00910C58">
        <w:rPr>
          <w:rStyle w:val="eop"/>
          <w:rFonts w:eastAsia="Calibri"/>
          <w:b/>
          <w:i/>
          <w:iCs/>
        </w:rPr>
        <w:t xml:space="preserve">NYCHA’s </w:t>
      </w:r>
      <w:r w:rsidR="00910C58" w:rsidRPr="00910C58">
        <w:rPr>
          <w:rStyle w:val="eop"/>
          <w:rFonts w:eastAsia="Calibri"/>
          <w:b/>
          <w:i/>
          <w:iCs/>
        </w:rPr>
        <w:t>Leadership</w:t>
      </w:r>
    </w:p>
    <w:p w14:paraId="607DF228" w14:textId="44207D44" w:rsidR="00303678" w:rsidRPr="00C1697D" w:rsidRDefault="00303678" w:rsidP="00910C58">
      <w:pPr>
        <w:pStyle w:val="paragraph"/>
        <w:spacing w:before="0" w:beforeAutospacing="0" w:after="0" w:afterAutospacing="0" w:line="480" w:lineRule="auto"/>
        <w:ind w:firstLine="720"/>
        <w:jc w:val="both"/>
        <w:textAlignment w:val="baseline"/>
        <w:rPr>
          <w:rStyle w:val="eop"/>
          <w:rFonts w:eastAsia="Calibri"/>
        </w:rPr>
      </w:pPr>
      <w:r w:rsidRPr="00C1697D">
        <w:rPr>
          <w:rStyle w:val="eop"/>
          <w:rFonts w:eastAsia="Calibri"/>
        </w:rPr>
        <w:t xml:space="preserve">Over the past five years, the New York City Housing Authority (NYCHA) has experienced </w:t>
      </w:r>
      <w:r w:rsidR="00D47FFC">
        <w:rPr>
          <w:rStyle w:val="eop"/>
          <w:rFonts w:eastAsia="Calibri"/>
        </w:rPr>
        <w:t xml:space="preserve">a number of </w:t>
      </w:r>
      <w:r w:rsidRPr="00C1697D">
        <w:rPr>
          <w:rStyle w:val="eop"/>
          <w:rFonts w:eastAsia="Calibri"/>
        </w:rPr>
        <w:t>changes in its leadership.</w:t>
      </w:r>
      <w:r w:rsidRPr="00C1697D">
        <w:rPr>
          <w:rStyle w:val="FootnoteReference"/>
        </w:rPr>
        <w:footnoteReference w:id="11"/>
      </w:r>
      <w:r w:rsidRPr="00C1697D">
        <w:rPr>
          <w:rStyle w:val="eop"/>
          <w:rFonts w:eastAsia="Calibri"/>
        </w:rPr>
        <w:t xml:space="preserve"> The organization has seen </w:t>
      </w:r>
      <w:r w:rsidR="008D7887">
        <w:rPr>
          <w:rStyle w:val="eop"/>
          <w:rFonts w:eastAsia="Calibri"/>
        </w:rPr>
        <w:t>multiple</w:t>
      </w:r>
      <w:r w:rsidR="008D7887" w:rsidRPr="00C1697D">
        <w:rPr>
          <w:rStyle w:val="eop"/>
          <w:rFonts w:eastAsia="Calibri"/>
        </w:rPr>
        <w:t xml:space="preserve"> </w:t>
      </w:r>
      <w:r w:rsidRPr="00C1697D">
        <w:rPr>
          <w:rStyle w:val="eop"/>
          <w:rFonts w:eastAsia="Calibri"/>
        </w:rPr>
        <w:t xml:space="preserve">CEOs and Chairs take charge, which has resulted in a disruption in implementing long-term strategies and hinders the ability to address pressing issues promptly. </w:t>
      </w:r>
    </w:p>
    <w:p w14:paraId="5ABFE164" w14:textId="39079BBB" w:rsidR="00303678" w:rsidRPr="00C1697D" w:rsidRDefault="009F3819" w:rsidP="00910C58">
      <w:pPr>
        <w:pStyle w:val="paragraph"/>
        <w:spacing w:before="0" w:beforeAutospacing="0" w:after="0" w:afterAutospacing="0" w:line="480" w:lineRule="auto"/>
        <w:ind w:firstLine="720"/>
        <w:jc w:val="both"/>
        <w:textAlignment w:val="baseline"/>
        <w:rPr>
          <w:rStyle w:val="eop"/>
          <w:rFonts w:eastAsia="Calibri"/>
        </w:rPr>
      </w:pPr>
      <w:r w:rsidRPr="00C1697D">
        <w:rPr>
          <w:rStyle w:val="eop"/>
          <w:rFonts w:eastAsia="Calibri"/>
        </w:rPr>
        <w:t>In late 2019, when</w:t>
      </w:r>
      <w:r w:rsidR="00303678" w:rsidRPr="00C1697D">
        <w:rPr>
          <w:rStyle w:val="eop"/>
          <w:rFonts w:eastAsia="Calibri"/>
        </w:rPr>
        <w:t xml:space="preserve"> Greg Russ was appointed as </w:t>
      </w:r>
      <w:r w:rsidRPr="00C1697D">
        <w:rPr>
          <w:rStyle w:val="eop"/>
          <w:rFonts w:eastAsia="Calibri"/>
        </w:rPr>
        <w:t>CEO and Chair of NYCHA</w:t>
      </w:r>
      <w:r w:rsidR="00303678" w:rsidRPr="00C1697D">
        <w:rPr>
          <w:rStyle w:val="eop"/>
          <w:rFonts w:eastAsia="Calibri"/>
        </w:rPr>
        <w:t>, it was in response to years of mismanagement.</w:t>
      </w:r>
      <w:r w:rsidRPr="00C1697D">
        <w:rPr>
          <w:rStyle w:val="FootnoteReference"/>
          <w:rFonts w:eastAsia="Calibri"/>
        </w:rPr>
        <w:footnoteReference w:id="12"/>
      </w:r>
      <w:r w:rsidRPr="00C1697D">
        <w:rPr>
          <w:rStyle w:val="eop"/>
          <w:rFonts w:eastAsia="Calibri"/>
        </w:rPr>
        <w:t xml:space="preserve"> Former Mayor Bill d</w:t>
      </w:r>
      <w:r w:rsidR="00303678" w:rsidRPr="00C1697D">
        <w:rPr>
          <w:rStyle w:val="eop"/>
          <w:rFonts w:eastAsia="Calibri"/>
        </w:rPr>
        <w:t xml:space="preserve">e Blasio convinced Greg Russ to leave his job </w:t>
      </w:r>
      <w:r w:rsidR="008D7887">
        <w:rPr>
          <w:rStyle w:val="eop"/>
          <w:rFonts w:eastAsia="Calibri"/>
        </w:rPr>
        <w:t>with the</w:t>
      </w:r>
      <w:r w:rsidR="00303678" w:rsidRPr="00C1697D">
        <w:rPr>
          <w:rStyle w:val="eop"/>
          <w:rFonts w:eastAsia="Calibri"/>
        </w:rPr>
        <w:t xml:space="preserve"> Minneapolis Housing Authority and collect a</w:t>
      </w:r>
      <w:r w:rsidR="008D7887">
        <w:rPr>
          <w:rStyle w:val="eop"/>
          <w:rFonts w:eastAsia="Calibri"/>
        </w:rPr>
        <w:t>n annual</w:t>
      </w:r>
      <w:r w:rsidR="00303678" w:rsidRPr="00C1697D">
        <w:rPr>
          <w:rStyle w:val="eop"/>
          <w:rFonts w:eastAsia="Calibri"/>
        </w:rPr>
        <w:t xml:space="preserve"> salary of $414,000 to </w:t>
      </w:r>
      <w:r w:rsidR="008D7887">
        <w:rPr>
          <w:rStyle w:val="eop"/>
          <w:rFonts w:eastAsia="Calibri"/>
        </w:rPr>
        <w:t>$</w:t>
      </w:r>
      <w:r w:rsidR="00303678" w:rsidRPr="00C1697D">
        <w:rPr>
          <w:rStyle w:val="eop"/>
          <w:rFonts w:eastAsia="Calibri"/>
        </w:rPr>
        <w:t>430,000, during his three-year tenure, to serve as both CEO and Chair.</w:t>
      </w:r>
      <w:r w:rsidR="00303678" w:rsidRPr="00C1697D">
        <w:rPr>
          <w:rStyle w:val="FootnoteReference"/>
        </w:rPr>
        <w:footnoteReference w:id="13"/>
      </w:r>
      <w:r w:rsidR="00303678" w:rsidRPr="00C1697D">
        <w:rPr>
          <w:rStyle w:val="eop"/>
          <w:rFonts w:eastAsia="Calibri"/>
        </w:rPr>
        <w:t xml:space="preserve"> HUD funded $161,900 of his salary while the City paid for the rest.</w:t>
      </w:r>
      <w:r w:rsidR="00303678" w:rsidRPr="00C1697D">
        <w:rPr>
          <w:rStyle w:val="FootnoteReference"/>
        </w:rPr>
        <w:footnoteReference w:id="14"/>
      </w:r>
      <w:r w:rsidR="00303678" w:rsidRPr="00C1697D">
        <w:rPr>
          <w:rStyle w:val="eop"/>
          <w:rFonts w:eastAsia="Calibri"/>
        </w:rPr>
        <w:t xml:space="preserve"> According to news reports, it was unusual for HUD to provide this subsidy but it let Russ travel back and forth between Minneapolis and New York during his tenure.</w:t>
      </w:r>
      <w:r w:rsidR="00303678" w:rsidRPr="00C1697D">
        <w:rPr>
          <w:rStyle w:val="FootnoteReference"/>
        </w:rPr>
        <w:footnoteReference w:id="15"/>
      </w:r>
      <w:r w:rsidR="00303678" w:rsidRPr="00C1697D">
        <w:rPr>
          <w:rStyle w:val="eop"/>
          <w:rFonts w:eastAsia="Calibri"/>
        </w:rPr>
        <w:t xml:space="preserve"> </w:t>
      </w:r>
      <w:r w:rsidRPr="00C1697D">
        <w:rPr>
          <w:rStyle w:val="eop"/>
          <w:rFonts w:eastAsia="Calibri"/>
        </w:rPr>
        <w:t>In</w:t>
      </w:r>
      <w:r w:rsidR="00303678" w:rsidRPr="00C1697D">
        <w:rPr>
          <w:rStyle w:val="eop"/>
          <w:rFonts w:eastAsia="Calibri"/>
        </w:rPr>
        <w:t xml:space="preserve"> September 2022, NYCHA split the dual role of CEO and Chair</w:t>
      </w:r>
      <w:r w:rsidRPr="00C1697D">
        <w:rPr>
          <w:rStyle w:val="eop"/>
          <w:rFonts w:eastAsia="Calibri"/>
        </w:rPr>
        <w:t xml:space="preserve"> following the fallout from the a</w:t>
      </w:r>
      <w:r w:rsidR="00303678" w:rsidRPr="00C1697D">
        <w:rPr>
          <w:rStyle w:val="eop"/>
          <w:rFonts w:eastAsia="Calibri"/>
        </w:rPr>
        <w:t>rsenic scandal at Jacob Riis Houses</w:t>
      </w:r>
      <w:r w:rsidRPr="00C1697D">
        <w:rPr>
          <w:rStyle w:val="eop"/>
          <w:rFonts w:eastAsia="Calibri"/>
        </w:rPr>
        <w:t>.</w:t>
      </w:r>
      <w:r w:rsidR="00303678" w:rsidRPr="00C1697D">
        <w:rPr>
          <w:rStyle w:val="FootnoteReference"/>
        </w:rPr>
        <w:footnoteReference w:id="16"/>
      </w:r>
      <w:r w:rsidR="00303678" w:rsidRPr="00C1697D">
        <w:rPr>
          <w:rStyle w:val="eop"/>
          <w:rFonts w:eastAsia="Calibri"/>
        </w:rPr>
        <w:t xml:space="preserve"> </w:t>
      </w:r>
      <w:r w:rsidRPr="00C1697D">
        <w:rPr>
          <w:rStyle w:val="eop"/>
          <w:rFonts w:eastAsia="Calibri"/>
        </w:rPr>
        <w:t>This action</w:t>
      </w:r>
      <w:r w:rsidR="00303678" w:rsidRPr="00C1697D">
        <w:rPr>
          <w:rStyle w:val="eop"/>
          <w:rFonts w:eastAsia="Calibri"/>
        </w:rPr>
        <w:t xml:space="preserve"> decreased Greg Russ’s salary to $258,000 </w:t>
      </w:r>
      <w:r w:rsidRPr="00C1697D">
        <w:rPr>
          <w:rStyle w:val="eop"/>
          <w:rFonts w:eastAsia="Calibri"/>
        </w:rPr>
        <w:t>as he stepped down from his position as CEO and only acted as the</w:t>
      </w:r>
      <w:r w:rsidR="00303678" w:rsidRPr="00C1697D">
        <w:rPr>
          <w:rStyle w:val="eop"/>
          <w:rFonts w:eastAsia="Calibri"/>
        </w:rPr>
        <w:t xml:space="preserve"> chair of NYCHA. </w:t>
      </w:r>
    </w:p>
    <w:p w14:paraId="0E3692A5" w14:textId="3E5226C0" w:rsidR="00303678" w:rsidRPr="00C1697D" w:rsidRDefault="00303678" w:rsidP="00910C58">
      <w:pPr>
        <w:pStyle w:val="paragraph"/>
        <w:spacing w:before="0" w:beforeAutospacing="0" w:after="0" w:afterAutospacing="0" w:line="480" w:lineRule="auto"/>
        <w:ind w:firstLine="720"/>
        <w:jc w:val="both"/>
        <w:textAlignment w:val="baseline"/>
        <w:rPr>
          <w:rStyle w:val="eop"/>
          <w:rFonts w:eastAsia="Calibri"/>
        </w:rPr>
      </w:pPr>
      <w:r w:rsidRPr="00C1697D">
        <w:rPr>
          <w:rStyle w:val="eop"/>
          <w:rFonts w:eastAsia="Calibri"/>
        </w:rPr>
        <w:t>The idea to split the role of CEO and Chair roles originated from the “Blueprint for Change: Transformation Plan,” which was unveiled by NYCHA on March 2, 2021.</w:t>
      </w:r>
      <w:r w:rsidR="00E851FD">
        <w:rPr>
          <w:rStyle w:val="eop"/>
          <w:rFonts w:eastAsia="Calibri"/>
        </w:rPr>
        <w:t xml:space="preserve"> </w:t>
      </w:r>
      <w:r w:rsidRPr="00C1697D">
        <w:rPr>
          <w:rStyle w:val="eop"/>
          <w:rFonts w:eastAsia="Calibri"/>
        </w:rPr>
        <w:t>This plan outlined significant proposals to bring changes in governance, leadership structure and support functions at NYCHA.</w:t>
      </w:r>
      <w:r w:rsidRPr="00C1697D">
        <w:rPr>
          <w:rStyle w:val="FootnoteReference"/>
        </w:rPr>
        <w:footnoteReference w:id="17"/>
      </w:r>
      <w:r w:rsidR="00E851FD">
        <w:rPr>
          <w:rStyle w:val="eop"/>
          <w:rFonts w:eastAsia="Calibri"/>
        </w:rPr>
        <w:t xml:space="preserve"> </w:t>
      </w:r>
      <w:r w:rsidRPr="00C1697D">
        <w:rPr>
          <w:rStyle w:val="eop"/>
          <w:rFonts w:eastAsia="Calibri"/>
        </w:rPr>
        <w:t>Historically, NYCHA has been overseen by both Chair/CEO and a General Manager.</w:t>
      </w:r>
      <w:r w:rsidRPr="00C1697D">
        <w:rPr>
          <w:rStyle w:val="FootnoteReference"/>
        </w:rPr>
        <w:footnoteReference w:id="18"/>
      </w:r>
      <w:r w:rsidRPr="00C1697D">
        <w:rPr>
          <w:rStyle w:val="eop"/>
          <w:rFonts w:eastAsia="Calibri"/>
        </w:rPr>
        <w:t xml:space="preserve"> The plan highlighted a concern that this approach blurs the distinction between policy setting and policy implementation. By separating the roles, it allows for greater accountability within NYCHA.</w:t>
      </w:r>
      <w:r w:rsidRPr="00C1697D">
        <w:rPr>
          <w:rStyle w:val="FootnoteReference"/>
        </w:rPr>
        <w:footnoteReference w:id="19"/>
      </w:r>
      <w:r w:rsidRPr="00C1697D">
        <w:rPr>
          <w:rStyle w:val="eop"/>
          <w:rFonts w:eastAsia="Calibri"/>
        </w:rPr>
        <w:t xml:space="preserve"> The CEO can focus on day-to-day operations and executing the strategic vision, while the Chair and the full board can provide independent oversight and guidance. The plan recommends that NYCHA may propose that the Chair and the NYCHA Directors become unpaid positions appointed by the Mayor.</w:t>
      </w:r>
      <w:r w:rsidRPr="00C1697D">
        <w:rPr>
          <w:rStyle w:val="FootnoteReference"/>
        </w:rPr>
        <w:footnoteReference w:id="20"/>
      </w:r>
      <w:r w:rsidRPr="00C1697D">
        <w:rPr>
          <w:rStyle w:val="eop"/>
          <w:rFonts w:eastAsia="Calibri"/>
        </w:rPr>
        <w:t xml:space="preserve"> When NYCHA split the CEO and </w:t>
      </w:r>
      <w:r w:rsidR="00887FBB">
        <w:rPr>
          <w:rStyle w:val="eop"/>
          <w:rFonts w:eastAsia="Calibri"/>
        </w:rPr>
        <w:t>C</w:t>
      </w:r>
      <w:r w:rsidRPr="00C1697D">
        <w:rPr>
          <w:rStyle w:val="eop"/>
          <w:rFonts w:eastAsia="Calibri"/>
        </w:rPr>
        <w:t xml:space="preserve">hair positions in September 2022, NYCHA started discussions with HUD, the mayor's office, and the U.S. Department of Justice about changing the role of the </w:t>
      </w:r>
      <w:r w:rsidR="00887FBB">
        <w:rPr>
          <w:rStyle w:val="eop"/>
          <w:rFonts w:eastAsia="Calibri"/>
        </w:rPr>
        <w:t>C</w:t>
      </w:r>
      <w:r w:rsidRPr="00C1697D">
        <w:rPr>
          <w:rStyle w:val="eop"/>
          <w:rFonts w:eastAsia="Calibri"/>
        </w:rPr>
        <w:t xml:space="preserve">hair. </w:t>
      </w:r>
      <w:r w:rsidRPr="00C1697D">
        <w:rPr>
          <w:rStyle w:val="FootnoteReference"/>
        </w:rPr>
        <w:footnoteReference w:id="21"/>
      </w:r>
      <w:r w:rsidRPr="00C1697D">
        <w:t xml:space="preserve"> On June 2022, NYCHA’s board </w:t>
      </w:r>
      <w:r w:rsidRPr="00C1697D">
        <w:rPr>
          <w:rStyle w:val="eop"/>
          <w:rFonts w:eastAsia="Calibri"/>
        </w:rPr>
        <w:t>approved splitting the CEO/Chair positions as part of a sweeping “transformation plan” to restructure management.</w:t>
      </w:r>
      <w:r w:rsidRPr="00C1697D">
        <w:rPr>
          <w:rStyle w:val="FootnoteReference"/>
        </w:rPr>
        <w:footnoteReference w:id="22"/>
      </w:r>
      <w:r w:rsidR="00E851FD">
        <w:rPr>
          <w:rStyle w:val="eop"/>
          <w:rFonts w:eastAsia="Calibri"/>
        </w:rPr>
        <w:t xml:space="preserve"> </w:t>
      </w:r>
    </w:p>
    <w:p w14:paraId="5EA48B32" w14:textId="569A4E65" w:rsidR="00303678" w:rsidRPr="00C1697D" w:rsidRDefault="00303678" w:rsidP="00910C58">
      <w:pPr>
        <w:pStyle w:val="paragraph"/>
        <w:spacing w:before="0" w:beforeAutospacing="0" w:after="0" w:afterAutospacing="0" w:line="480" w:lineRule="auto"/>
        <w:ind w:firstLine="720"/>
        <w:jc w:val="both"/>
        <w:textAlignment w:val="baseline"/>
        <w:rPr>
          <w:rStyle w:val="eop"/>
          <w:rFonts w:eastAsia="Calibri"/>
          <w:color w:val="FF6600"/>
          <w:u w:val="single"/>
        </w:rPr>
      </w:pPr>
      <w:r w:rsidRPr="00C1697D">
        <w:rPr>
          <w:rStyle w:val="eop"/>
          <w:rFonts w:eastAsia="Calibri"/>
        </w:rPr>
        <w:t xml:space="preserve">Following the resignation of Gregory Russ as CEO in September 2022, Lisa Bova-Hiatt stepped in as the interim CEO. However, </w:t>
      </w:r>
      <w:r w:rsidR="00887FBB">
        <w:rPr>
          <w:rStyle w:val="eop"/>
          <w:rFonts w:eastAsia="Calibri"/>
        </w:rPr>
        <w:t>a</w:t>
      </w:r>
      <w:r w:rsidRPr="00C1697D">
        <w:rPr>
          <w:rStyle w:val="eop"/>
          <w:rFonts w:eastAsia="Calibri"/>
        </w:rPr>
        <w:t xml:space="preserve">fter a national search conducted by City Hall, along with the involvement of HUD and </w:t>
      </w:r>
      <w:r w:rsidR="00706ADA">
        <w:rPr>
          <w:rStyle w:val="eop"/>
          <w:rFonts w:eastAsia="Calibri"/>
        </w:rPr>
        <w:t xml:space="preserve">the </w:t>
      </w:r>
      <w:r w:rsidRPr="00C1697D">
        <w:rPr>
          <w:rStyle w:val="eop"/>
          <w:rFonts w:eastAsia="Calibri"/>
        </w:rPr>
        <w:t>U</w:t>
      </w:r>
      <w:r w:rsidR="00706ADA">
        <w:rPr>
          <w:rStyle w:val="eop"/>
          <w:rFonts w:eastAsia="Calibri"/>
        </w:rPr>
        <w:t>.</w:t>
      </w:r>
      <w:r w:rsidRPr="00C1697D">
        <w:rPr>
          <w:rStyle w:val="eop"/>
          <w:rFonts w:eastAsia="Calibri"/>
        </w:rPr>
        <w:t>S</w:t>
      </w:r>
      <w:r w:rsidR="00706ADA">
        <w:rPr>
          <w:rStyle w:val="eop"/>
          <w:rFonts w:eastAsia="Calibri"/>
        </w:rPr>
        <w:t>.</w:t>
      </w:r>
      <w:r w:rsidRPr="00C1697D">
        <w:rPr>
          <w:rStyle w:val="eop"/>
          <w:rFonts w:eastAsia="Calibri"/>
        </w:rPr>
        <w:t xml:space="preserve"> </w:t>
      </w:r>
      <w:r w:rsidR="00706ADA">
        <w:rPr>
          <w:rStyle w:val="eop"/>
          <w:rFonts w:eastAsia="Calibri"/>
        </w:rPr>
        <w:t>A</w:t>
      </w:r>
      <w:r w:rsidRPr="00C1697D">
        <w:rPr>
          <w:rStyle w:val="eop"/>
          <w:rFonts w:eastAsia="Calibri"/>
        </w:rPr>
        <w:t>ttorney</w:t>
      </w:r>
      <w:r w:rsidR="00706ADA">
        <w:rPr>
          <w:rStyle w:val="eop"/>
          <w:rFonts w:eastAsia="Calibri"/>
        </w:rPr>
        <w:t xml:space="preserve"> for the Southern District of New York</w:t>
      </w:r>
      <w:r w:rsidRPr="00C1697D">
        <w:rPr>
          <w:rStyle w:val="eop"/>
          <w:rFonts w:eastAsia="Calibri"/>
        </w:rPr>
        <w:t>, Lisa Bova-Hiatt was appointed as the permanent CEO of NYCHA.</w:t>
      </w:r>
      <w:r w:rsidRPr="00C1697D">
        <w:rPr>
          <w:rStyle w:val="FootnoteReference"/>
        </w:rPr>
        <w:footnoteReference w:id="23"/>
      </w:r>
      <w:r w:rsidR="00E851FD">
        <w:rPr>
          <w:rStyle w:val="eop"/>
          <w:rFonts w:eastAsia="Calibri"/>
        </w:rPr>
        <w:t xml:space="preserve"> </w:t>
      </w:r>
      <w:r w:rsidRPr="00C1697D">
        <w:rPr>
          <w:rStyle w:val="eop"/>
          <w:rFonts w:eastAsia="Calibri"/>
        </w:rPr>
        <w:t>In addition to this appointment, former New York State Homes and Community Renewal Commissioner James Rubin took over as chair of the NYCHA board and was also approved by HUD and the U</w:t>
      </w:r>
      <w:r w:rsidR="00AC5470">
        <w:rPr>
          <w:rStyle w:val="eop"/>
          <w:rFonts w:eastAsia="Calibri"/>
        </w:rPr>
        <w:t>.</w:t>
      </w:r>
      <w:r w:rsidRPr="00C1697D">
        <w:rPr>
          <w:rStyle w:val="eop"/>
          <w:rFonts w:eastAsia="Calibri"/>
        </w:rPr>
        <w:t>S</w:t>
      </w:r>
      <w:r w:rsidR="00AC5470">
        <w:rPr>
          <w:rStyle w:val="eop"/>
          <w:rFonts w:eastAsia="Calibri"/>
        </w:rPr>
        <w:t>.</w:t>
      </w:r>
      <w:r w:rsidRPr="00C1697D">
        <w:rPr>
          <w:rStyle w:val="eop"/>
          <w:rFonts w:eastAsia="Calibri"/>
        </w:rPr>
        <w:t xml:space="preserve"> </w:t>
      </w:r>
      <w:r w:rsidR="00AC5470">
        <w:rPr>
          <w:rStyle w:val="eop"/>
          <w:rFonts w:eastAsia="Calibri"/>
        </w:rPr>
        <w:t>A</w:t>
      </w:r>
      <w:r w:rsidRPr="00C1697D">
        <w:rPr>
          <w:rStyle w:val="eop"/>
          <w:rFonts w:eastAsia="Calibri"/>
        </w:rPr>
        <w:t>ttorney.</w:t>
      </w:r>
      <w:r w:rsidRPr="00C1697D">
        <w:rPr>
          <w:rStyle w:val="FootnoteReference"/>
        </w:rPr>
        <w:footnoteReference w:id="24"/>
      </w:r>
      <w:r w:rsidRPr="00C1697D">
        <w:rPr>
          <w:rStyle w:val="eop"/>
          <w:rFonts w:eastAsia="Calibri"/>
        </w:rPr>
        <w:t xml:space="preserve"> The involvement of </w:t>
      </w:r>
      <w:r w:rsidR="009F3819" w:rsidRPr="00C1697D">
        <w:rPr>
          <w:rStyle w:val="eop"/>
          <w:rFonts w:eastAsia="Calibri"/>
        </w:rPr>
        <w:t>HUD and</w:t>
      </w:r>
      <w:r w:rsidRPr="00C1697D">
        <w:rPr>
          <w:rStyle w:val="eop"/>
          <w:rFonts w:eastAsia="Calibri"/>
        </w:rPr>
        <w:t xml:space="preserve"> the U.S. </w:t>
      </w:r>
      <w:r w:rsidR="00AC5470">
        <w:rPr>
          <w:rStyle w:val="eop"/>
          <w:rFonts w:eastAsia="Calibri"/>
        </w:rPr>
        <w:t>A</w:t>
      </w:r>
      <w:r w:rsidRPr="00C1697D">
        <w:rPr>
          <w:rStyle w:val="eop"/>
          <w:rFonts w:eastAsia="Calibri"/>
        </w:rPr>
        <w:t xml:space="preserve">ttorney in the appointment process for the Chair and CEO at NYCHA is due to the 2019 NYCHA/HUD agreement (HUD agreement) which promised to restructure NYCHA and install a federal monitor. </w:t>
      </w:r>
    </w:p>
    <w:p w14:paraId="697CF366" w14:textId="77777777" w:rsidR="00303678" w:rsidRPr="00910C58" w:rsidRDefault="00303678" w:rsidP="00910C58">
      <w:pPr>
        <w:pStyle w:val="paragraph"/>
        <w:spacing w:before="0" w:beforeAutospacing="0" w:after="0" w:afterAutospacing="0" w:line="480" w:lineRule="auto"/>
        <w:jc w:val="both"/>
        <w:textAlignment w:val="baseline"/>
        <w:rPr>
          <w:rStyle w:val="eop"/>
          <w:rFonts w:eastAsiaTheme="minorHAnsi"/>
          <w:b/>
          <w:i/>
          <w:iCs/>
        </w:rPr>
      </w:pPr>
      <w:r w:rsidRPr="00910C58">
        <w:rPr>
          <w:rStyle w:val="eop"/>
          <w:rFonts w:eastAsia="Calibri"/>
          <w:b/>
          <w:i/>
          <w:iCs/>
        </w:rPr>
        <w:t>NYCHA’s Monitorship</w:t>
      </w:r>
    </w:p>
    <w:p w14:paraId="79928204" w14:textId="33ADEC94" w:rsidR="00303678" w:rsidRPr="00C1697D" w:rsidRDefault="00303678" w:rsidP="00910C58">
      <w:pPr>
        <w:pStyle w:val="paragraph"/>
        <w:spacing w:before="0" w:beforeAutospacing="0" w:after="0" w:afterAutospacing="0" w:line="480" w:lineRule="auto"/>
        <w:ind w:firstLine="720"/>
        <w:jc w:val="both"/>
        <w:textAlignment w:val="baseline"/>
        <w:rPr>
          <w:rStyle w:val="eop"/>
          <w:rFonts w:eastAsia="Calibri"/>
        </w:rPr>
      </w:pPr>
      <w:r w:rsidRPr="00C1697D">
        <w:rPr>
          <w:rFonts w:eastAsia="Calibri"/>
          <w:iCs/>
        </w:rPr>
        <w:t>On January 31, 2019, HUD, NYCHA, and the City contracted to address issues relating to physical conditions at NYCHA.</w:t>
      </w:r>
      <w:r w:rsidRPr="00C1697D">
        <w:rPr>
          <w:rFonts w:eastAsia="Calibri"/>
          <w:iCs/>
          <w:vertAlign w:val="superscript"/>
        </w:rPr>
        <w:footnoteReference w:id="25"/>
      </w:r>
      <w:r w:rsidRPr="00C1697D">
        <w:rPr>
          <w:rFonts w:eastAsia="Calibri"/>
          <w:iCs/>
        </w:rPr>
        <w:t xml:space="preserve"> </w:t>
      </w:r>
      <w:r w:rsidRPr="00C1697D">
        <w:rPr>
          <w:rFonts w:eastAsia="Calibri"/>
        </w:rPr>
        <w:t>The purpose of the HUD Agreement is to remedy NYCHA’s physical conditions, make sure NYCHA meets its obligations under federal law, reform NYCHA’s management structure, and help with cooperation and coordination among HUD, NYCHA, and the City.</w:t>
      </w:r>
      <w:r w:rsidRPr="00C1697D">
        <w:rPr>
          <w:rFonts w:eastAsia="Calibri"/>
          <w:vertAlign w:val="superscript"/>
        </w:rPr>
        <w:footnoteReference w:id="26"/>
      </w:r>
      <w:r w:rsidRPr="00C1697D">
        <w:rPr>
          <w:rFonts w:eastAsia="Calibri"/>
        </w:rPr>
        <w:t xml:space="preserve"> It requires NYCHA to prepare “Action Plans” setting forth policies and practices to meet its obligations to clean up toxic mold and dangerous lead paint, upgrading failing elevators and aging boiler systems and reducing the pest population. The HUD Agreement additionally requires that an independent monitor, who was appointed in 2019, review the specific needs of each building and development as they relate to mold, lead, heat, and pests, by establishing an outline of what type of plans NYCHA needs to make. </w:t>
      </w:r>
      <w:r w:rsidRPr="00C1697D">
        <w:rPr>
          <w:rStyle w:val="eop"/>
          <w:rFonts w:eastAsia="Calibri"/>
        </w:rPr>
        <w:t xml:space="preserve">NYCHA could move to </w:t>
      </w:r>
      <w:r w:rsidR="00AC5470">
        <w:rPr>
          <w:rStyle w:val="eop"/>
          <w:rFonts w:eastAsia="Calibri"/>
        </w:rPr>
        <w:t>exit</w:t>
      </w:r>
      <w:r w:rsidR="00AC5470" w:rsidRPr="00C1697D">
        <w:rPr>
          <w:rStyle w:val="eop"/>
          <w:rFonts w:eastAsia="Calibri"/>
        </w:rPr>
        <w:t xml:space="preserve"> </w:t>
      </w:r>
      <w:r w:rsidRPr="00C1697D">
        <w:rPr>
          <w:rStyle w:val="eop"/>
          <w:rFonts w:eastAsia="Calibri"/>
        </w:rPr>
        <w:t xml:space="preserve">out of the monitorship after five years but </w:t>
      </w:r>
      <w:r w:rsidR="00AC5470">
        <w:rPr>
          <w:rStyle w:val="eop"/>
          <w:rFonts w:eastAsia="Calibri"/>
        </w:rPr>
        <w:t xml:space="preserve">in order to do so </w:t>
      </w:r>
      <w:r w:rsidRPr="00C1697D">
        <w:rPr>
          <w:rStyle w:val="eop"/>
          <w:rFonts w:eastAsia="Calibri"/>
        </w:rPr>
        <w:t xml:space="preserve">NYCHA would have to </w:t>
      </w:r>
      <w:r w:rsidR="00AC5470">
        <w:rPr>
          <w:rStyle w:val="eop"/>
          <w:rFonts w:eastAsia="Calibri"/>
        </w:rPr>
        <w:t>demonstrate</w:t>
      </w:r>
      <w:r w:rsidR="00AC5470" w:rsidRPr="00C1697D">
        <w:rPr>
          <w:rStyle w:val="eop"/>
          <w:rFonts w:eastAsia="Calibri"/>
        </w:rPr>
        <w:t xml:space="preserve"> </w:t>
      </w:r>
      <w:r w:rsidRPr="00C1697D">
        <w:rPr>
          <w:rStyle w:val="eop"/>
          <w:rFonts w:eastAsia="Calibri"/>
        </w:rPr>
        <w:t>compliance in remedying the maintenance conditions outlined in the HUD Agreement. On May 24, 2023, it was reported that, HUD, NYCHA and the U</w:t>
      </w:r>
      <w:r w:rsidR="00AC5470">
        <w:rPr>
          <w:rStyle w:val="eop"/>
          <w:rFonts w:eastAsia="Calibri"/>
        </w:rPr>
        <w:t>.</w:t>
      </w:r>
      <w:r w:rsidRPr="00C1697D">
        <w:rPr>
          <w:rStyle w:val="eop"/>
          <w:rFonts w:eastAsia="Calibri"/>
        </w:rPr>
        <w:t>S</w:t>
      </w:r>
      <w:r w:rsidR="00AC5470">
        <w:rPr>
          <w:rStyle w:val="eop"/>
          <w:rFonts w:eastAsia="Calibri"/>
        </w:rPr>
        <w:t>.</w:t>
      </w:r>
      <w:r w:rsidRPr="00C1697D">
        <w:rPr>
          <w:rStyle w:val="eop"/>
          <w:rFonts w:eastAsia="Calibri"/>
        </w:rPr>
        <w:t xml:space="preserve"> </w:t>
      </w:r>
      <w:r w:rsidR="00AC5470">
        <w:rPr>
          <w:rStyle w:val="eop"/>
          <w:rFonts w:eastAsia="Calibri"/>
        </w:rPr>
        <w:t>A</w:t>
      </w:r>
      <w:r w:rsidRPr="00C1697D">
        <w:rPr>
          <w:rStyle w:val="eop"/>
          <w:rFonts w:eastAsia="Calibri"/>
        </w:rPr>
        <w:t xml:space="preserve">ttorney agreed to extend the monitor for another five years. </w:t>
      </w:r>
      <w:r w:rsidRPr="00C1697D">
        <w:rPr>
          <w:rStyle w:val="FootnoteReference"/>
        </w:rPr>
        <w:footnoteReference w:id="27"/>
      </w:r>
    </w:p>
    <w:p w14:paraId="1163F379" w14:textId="066302E3" w:rsidR="00303678" w:rsidRPr="00910C58" w:rsidRDefault="009002A3" w:rsidP="00910C58">
      <w:pPr>
        <w:pStyle w:val="paragraph"/>
        <w:spacing w:before="0" w:beforeAutospacing="0" w:after="0" w:afterAutospacing="0" w:line="480" w:lineRule="auto"/>
        <w:jc w:val="both"/>
        <w:textAlignment w:val="baseline"/>
        <w:rPr>
          <w:rStyle w:val="eop"/>
          <w:rFonts w:eastAsia="Calibri"/>
          <w:b/>
          <w:i/>
          <w:iCs/>
        </w:rPr>
      </w:pPr>
      <w:r>
        <w:rPr>
          <w:rStyle w:val="eop"/>
          <w:rFonts w:eastAsia="Calibri"/>
          <w:b/>
          <w:i/>
          <w:iCs/>
        </w:rPr>
        <w:t xml:space="preserve">Continuing Maintenance Challenges and Growing </w:t>
      </w:r>
      <w:r w:rsidRPr="00AC563D">
        <w:rPr>
          <w:rStyle w:val="eop"/>
          <w:rFonts w:eastAsia="Calibri"/>
          <w:b/>
          <w:i/>
        </w:rPr>
        <w:t>NYCHA</w:t>
      </w:r>
      <w:r w:rsidR="00303678" w:rsidRPr="00AC563D">
        <w:rPr>
          <w:rStyle w:val="eop"/>
          <w:rFonts w:eastAsia="Calibri"/>
          <w:b/>
          <w:i/>
        </w:rPr>
        <w:t xml:space="preserve"> </w:t>
      </w:r>
      <w:r w:rsidR="00303678" w:rsidRPr="00910C58">
        <w:rPr>
          <w:rStyle w:val="eop"/>
          <w:rFonts w:eastAsia="Calibri"/>
          <w:b/>
          <w:i/>
          <w:iCs/>
        </w:rPr>
        <w:t>Vacancies</w:t>
      </w:r>
    </w:p>
    <w:p w14:paraId="233CA216" w14:textId="5CADBA73" w:rsidR="009002A3" w:rsidRDefault="009002A3" w:rsidP="009002A3">
      <w:pPr>
        <w:pStyle w:val="paragraph"/>
        <w:spacing w:before="0" w:beforeAutospacing="0" w:after="0" w:afterAutospacing="0" w:line="480" w:lineRule="auto"/>
        <w:ind w:firstLine="720"/>
        <w:jc w:val="both"/>
        <w:textAlignment w:val="baseline"/>
        <w:rPr>
          <w:rStyle w:val="eop"/>
          <w:rFonts w:eastAsia="Calibri"/>
        </w:rPr>
      </w:pPr>
      <w:r w:rsidRPr="00C1697D">
        <w:rPr>
          <w:rStyle w:val="eop"/>
          <w:rFonts w:eastAsia="Calibri"/>
        </w:rPr>
        <w:t xml:space="preserve">NYCHA </w:t>
      </w:r>
      <w:r>
        <w:rPr>
          <w:rStyle w:val="eop"/>
          <w:rFonts w:eastAsia="Calibri"/>
        </w:rPr>
        <w:t>continues to</w:t>
      </w:r>
      <w:r w:rsidRPr="00C1697D">
        <w:rPr>
          <w:rStyle w:val="eop"/>
          <w:rFonts w:eastAsia="Calibri"/>
        </w:rPr>
        <w:t xml:space="preserve"> </w:t>
      </w:r>
      <w:r w:rsidR="00417A87">
        <w:rPr>
          <w:rStyle w:val="eop"/>
          <w:rFonts w:eastAsia="Calibri"/>
        </w:rPr>
        <w:t xml:space="preserve">have </w:t>
      </w:r>
      <w:r w:rsidRPr="00C1697D">
        <w:rPr>
          <w:rStyle w:val="eop"/>
          <w:rFonts w:eastAsia="Calibri"/>
        </w:rPr>
        <w:t>significant challenges when addressing maintenance issues</w:t>
      </w:r>
      <w:r>
        <w:rPr>
          <w:rStyle w:val="eop"/>
          <w:rFonts w:eastAsia="Calibri"/>
        </w:rPr>
        <w:t xml:space="preserve"> at occupied apartments while also seeing a significant increase in vacant units in developments. There is evidence that </w:t>
      </w:r>
      <w:r w:rsidRPr="00C1697D">
        <w:rPr>
          <w:rStyle w:val="eop"/>
          <w:rFonts w:eastAsia="Calibri"/>
        </w:rPr>
        <w:t>conditions</w:t>
      </w:r>
      <w:r>
        <w:rPr>
          <w:rStyle w:val="eop"/>
          <w:rFonts w:eastAsia="Calibri"/>
        </w:rPr>
        <w:t xml:space="preserve"> in NYCHA buildings continue to deteriorate across a variety of conditions</w:t>
      </w:r>
      <w:r w:rsidR="00417A87">
        <w:rPr>
          <w:rStyle w:val="eop"/>
          <w:rFonts w:eastAsia="Calibri"/>
        </w:rPr>
        <w:t>,</w:t>
      </w:r>
      <w:r>
        <w:rPr>
          <w:rStyle w:val="eop"/>
          <w:rFonts w:eastAsia="Calibri"/>
        </w:rPr>
        <w:t xml:space="preserve"> including</w:t>
      </w:r>
      <w:r w:rsidRPr="00C1697D">
        <w:rPr>
          <w:rStyle w:val="eop"/>
          <w:rFonts w:eastAsia="Calibri"/>
        </w:rPr>
        <w:t xml:space="preserve"> mold, lead paint, failing elevators, aging boiler systems and vermin infestations.</w:t>
      </w:r>
      <w:r>
        <w:rPr>
          <w:rStyle w:val="FootnoteReference"/>
          <w:rFonts w:eastAsia="Calibri"/>
        </w:rPr>
        <w:footnoteReference w:id="28"/>
      </w:r>
      <w:r w:rsidRPr="00C1697D">
        <w:rPr>
          <w:rStyle w:val="eop"/>
          <w:rFonts w:eastAsia="Calibri"/>
        </w:rPr>
        <w:t xml:space="preserve"> </w:t>
      </w:r>
      <w:r>
        <w:rPr>
          <w:rStyle w:val="eop"/>
          <w:rFonts w:eastAsia="Calibri"/>
        </w:rPr>
        <w:t xml:space="preserve">This is compounded by </w:t>
      </w:r>
      <w:r w:rsidR="005D03EA">
        <w:rPr>
          <w:rStyle w:val="eop"/>
          <w:rFonts w:eastAsia="Calibri"/>
        </w:rPr>
        <w:t>operational issues which have resulted in a growth in resident maintenance</w:t>
      </w:r>
      <w:r w:rsidRPr="00C1697D">
        <w:rPr>
          <w:rStyle w:val="eop"/>
          <w:rFonts w:eastAsia="Calibri"/>
        </w:rPr>
        <w:t xml:space="preserve"> requests increased from 582,000 to 681,000</w:t>
      </w:r>
      <w:r w:rsidR="005D03EA">
        <w:rPr>
          <w:rStyle w:val="eop"/>
          <w:rFonts w:eastAsia="Calibri"/>
        </w:rPr>
        <w:t xml:space="preserve"> between 2022 and 2023</w:t>
      </w:r>
      <w:r w:rsidRPr="00C1697D">
        <w:rPr>
          <w:rStyle w:val="eop"/>
          <w:rFonts w:eastAsia="Calibri"/>
        </w:rPr>
        <w:t xml:space="preserve">. </w:t>
      </w:r>
      <w:r w:rsidRPr="00C1697D">
        <w:rPr>
          <w:rStyle w:val="FootnoteReference"/>
        </w:rPr>
        <w:footnoteReference w:id="29"/>
      </w:r>
      <w:r w:rsidRPr="00C1697D">
        <w:rPr>
          <w:rStyle w:val="eop"/>
          <w:rFonts w:eastAsia="Calibri"/>
        </w:rPr>
        <w:t xml:space="preserve"> </w:t>
      </w:r>
    </w:p>
    <w:p w14:paraId="4280165D" w14:textId="46377B72" w:rsidR="00303678" w:rsidRPr="00C1697D" w:rsidRDefault="005D03EA" w:rsidP="00AC563D">
      <w:pPr>
        <w:pStyle w:val="paragraph"/>
        <w:spacing w:before="0" w:beforeAutospacing="0" w:after="0" w:afterAutospacing="0" w:line="480" w:lineRule="auto"/>
        <w:jc w:val="both"/>
        <w:textAlignment w:val="baseline"/>
        <w:rPr>
          <w:rStyle w:val="eop"/>
          <w:rFonts w:asciiTheme="minorHAnsi" w:eastAsia="Calibri" w:hAnsiTheme="minorHAnsi" w:cstheme="minorBidi"/>
          <w:sz w:val="22"/>
          <w:szCs w:val="22"/>
        </w:rPr>
      </w:pPr>
      <w:r>
        <w:rPr>
          <w:rStyle w:val="eop"/>
          <w:rFonts w:eastAsia="Calibri"/>
        </w:rPr>
        <w:t>One compounding effect of these ongoing maintenance issues and the ever growing age of NYCHA’s buildings is a</w:t>
      </w:r>
      <w:r w:rsidR="00417A87">
        <w:rPr>
          <w:rStyle w:val="eop"/>
          <w:rFonts w:eastAsia="Calibri"/>
        </w:rPr>
        <w:t>n increase</w:t>
      </w:r>
      <w:r>
        <w:rPr>
          <w:rStyle w:val="eop"/>
          <w:rFonts w:eastAsia="Calibri"/>
        </w:rPr>
        <w:t xml:space="preserve"> in the time it takes NYCHA to turn around apartments when they become vacant. </w:t>
      </w:r>
      <w:r w:rsidR="009002A3" w:rsidRPr="00C1697D">
        <w:rPr>
          <w:rStyle w:val="eop"/>
          <w:rFonts w:eastAsia="Calibri"/>
        </w:rPr>
        <w:t>The target time for an apartment turnover is set at 30 days but it takes an average of 410 days for an apartment to be ready for re-occupancy.</w:t>
      </w:r>
      <w:r w:rsidR="009002A3" w:rsidRPr="00C1697D">
        <w:rPr>
          <w:rStyle w:val="FootnoteReference"/>
        </w:rPr>
        <w:footnoteReference w:id="30"/>
      </w:r>
      <w:r w:rsidR="00E851FD">
        <w:rPr>
          <w:rStyle w:val="eop"/>
          <w:rFonts w:eastAsia="Calibri"/>
        </w:rPr>
        <w:t xml:space="preserve"> </w:t>
      </w:r>
      <w:r w:rsidR="00303678" w:rsidRPr="00C1697D">
        <w:rPr>
          <w:rStyle w:val="eop"/>
          <w:rFonts w:eastAsia="Calibri"/>
        </w:rPr>
        <w:t>NYCHA claims that the increase in vacant units has been attributed to ongoing maintenance staff vacancies and new standards for lead paint abatement. In 2019, there was a change in the standards for lead paint, reducing the acceptable limit from 1.0 milligrams per square centimeter to 0.5 milligrams per square centimeter.</w:t>
      </w:r>
      <w:r w:rsidR="00303678" w:rsidRPr="00C1697D">
        <w:rPr>
          <w:rStyle w:val="FootnoteReference"/>
        </w:rPr>
        <w:footnoteReference w:id="31"/>
      </w:r>
      <w:r w:rsidR="00303678" w:rsidRPr="00C1697D">
        <w:rPr>
          <w:rStyle w:val="eop"/>
          <w:rFonts w:eastAsia="Calibri"/>
        </w:rPr>
        <w:t xml:space="preserve"> The impact of this change became noticeable in December 2021, coinciding with an increase in the number of vacan</w:t>
      </w:r>
      <w:r w:rsidR="008E2B01">
        <w:rPr>
          <w:rStyle w:val="eop"/>
          <w:rFonts w:eastAsia="Calibri"/>
        </w:rPr>
        <w:t>t dwelling units</w:t>
      </w:r>
      <w:r w:rsidR="00303678" w:rsidRPr="00C1697D">
        <w:rPr>
          <w:rStyle w:val="eop"/>
          <w:rFonts w:eastAsia="Calibri"/>
        </w:rPr>
        <w:t xml:space="preserve"> within NYCHA properties.</w:t>
      </w:r>
      <w:r w:rsidR="00303678" w:rsidRPr="00C1697D">
        <w:rPr>
          <w:rStyle w:val="FootnoteReference"/>
        </w:rPr>
        <w:footnoteReference w:id="32"/>
      </w:r>
      <w:r w:rsidR="00303678" w:rsidRPr="00C1697D">
        <w:rPr>
          <w:rStyle w:val="eop"/>
          <w:rFonts w:eastAsia="Calibri"/>
        </w:rPr>
        <w:t xml:space="preserve"> The stricter lead paint standard required more resources and efforts to address lead-related issues, leading to delays in unit turnover and an accumulation of vacant units. To address the staffing concerns, NYCHA has contacted outside vendors to help complete tasks in turning over apartments, such as paint and plaster jobs, before a new tenant moves into the apartment. </w:t>
      </w:r>
      <w:r w:rsidR="00303678" w:rsidRPr="00C1697D">
        <w:rPr>
          <w:rStyle w:val="FootnoteReference"/>
        </w:rPr>
        <w:footnoteReference w:id="33"/>
      </w:r>
    </w:p>
    <w:p w14:paraId="46E6CA79" w14:textId="77777777" w:rsidR="00303678" w:rsidRPr="00910C58" w:rsidRDefault="00303678" w:rsidP="00910C58">
      <w:pPr>
        <w:pStyle w:val="paragraph"/>
        <w:spacing w:before="0" w:beforeAutospacing="0" w:after="0" w:afterAutospacing="0" w:line="480" w:lineRule="auto"/>
        <w:jc w:val="both"/>
        <w:textAlignment w:val="baseline"/>
        <w:rPr>
          <w:rStyle w:val="eop"/>
          <w:rFonts w:eastAsia="Calibri"/>
          <w:b/>
          <w:i/>
          <w:iCs/>
        </w:rPr>
      </w:pPr>
      <w:r w:rsidRPr="00910C58">
        <w:rPr>
          <w:rStyle w:val="eop"/>
          <w:rFonts w:eastAsia="Calibri"/>
          <w:b/>
          <w:i/>
          <w:iCs/>
        </w:rPr>
        <w:t>Rent Payment Crisis</w:t>
      </w:r>
    </w:p>
    <w:p w14:paraId="1EF251E3" w14:textId="1CFE2D83" w:rsidR="00303678" w:rsidRPr="00C1697D" w:rsidRDefault="00303678" w:rsidP="00910C58">
      <w:pPr>
        <w:pStyle w:val="paragraph"/>
        <w:spacing w:before="0" w:beforeAutospacing="0" w:after="0" w:afterAutospacing="0" w:line="480" w:lineRule="auto"/>
        <w:ind w:firstLine="720"/>
        <w:jc w:val="both"/>
        <w:textAlignment w:val="baseline"/>
        <w:rPr>
          <w:rStyle w:val="eop"/>
          <w:rFonts w:eastAsia="Calibri"/>
        </w:rPr>
      </w:pPr>
      <w:r w:rsidRPr="00C1697D">
        <w:rPr>
          <w:rStyle w:val="eop"/>
          <w:rFonts w:eastAsia="Calibri"/>
        </w:rPr>
        <w:t xml:space="preserve">As a result of the </w:t>
      </w:r>
      <w:r w:rsidR="008E2B01">
        <w:rPr>
          <w:rStyle w:val="eop"/>
          <w:rFonts w:eastAsia="Calibri"/>
        </w:rPr>
        <w:t>COVID-19</w:t>
      </w:r>
      <w:r w:rsidRPr="00C1697D">
        <w:rPr>
          <w:rStyle w:val="eop"/>
          <w:rFonts w:eastAsia="Calibri"/>
        </w:rPr>
        <w:t xml:space="preserve"> pandemic, many residents have faced financial hardships and are struggling to make rent payments </w:t>
      </w:r>
      <w:r w:rsidR="005D03EA">
        <w:rPr>
          <w:rStyle w:val="eop"/>
          <w:rFonts w:eastAsia="Calibri"/>
        </w:rPr>
        <w:t xml:space="preserve">which has </w:t>
      </w:r>
      <w:r w:rsidRPr="00C1697D">
        <w:rPr>
          <w:rStyle w:val="eop"/>
          <w:rFonts w:eastAsia="Calibri"/>
        </w:rPr>
        <w:t xml:space="preserve">led to a rent payment crisis at NYCHA. Rent payment pays for about one-third NYCHA’s operating costs. </w:t>
      </w:r>
      <w:r w:rsidRPr="00C1697D">
        <w:rPr>
          <w:rStyle w:val="FootnoteReference"/>
        </w:rPr>
        <w:footnoteReference w:id="34"/>
      </w:r>
      <w:r w:rsidRPr="00C1697D">
        <w:rPr>
          <w:rStyle w:val="eop"/>
          <w:rFonts w:eastAsia="Calibri"/>
        </w:rPr>
        <w:t xml:space="preserve"> As of May 2023, NYCHA has only collected 63 percent of rent payments</w:t>
      </w:r>
      <w:r w:rsidR="008E2B01">
        <w:rPr>
          <w:rStyle w:val="eop"/>
          <w:rFonts w:eastAsia="Calibri"/>
        </w:rPr>
        <w:t xml:space="preserve"> due</w:t>
      </w:r>
      <w:r w:rsidRPr="00C1697D">
        <w:rPr>
          <w:rStyle w:val="eop"/>
          <w:rFonts w:eastAsia="Calibri"/>
        </w:rPr>
        <w:t xml:space="preserve"> from its residents. This has resulted in a staggering rent arrear of over $500 million dollars.</w:t>
      </w:r>
      <w:r w:rsidRPr="00C1697D">
        <w:rPr>
          <w:rStyle w:val="FootnoteReference"/>
        </w:rPr>
        <w:footnoteReference w:id="35"/>
      </w:r>
      <w:r w:rsidRPr="00C1697D">
        <w:rPr>
          <w:rStyle w:val="eop"/>
          <w:rFonts w:eastAsia="Calibri"/>
        </w:rPr>
        <w:t xml:space="preserve"> The financial strain caused by the rent payment crisis further exacerbates the already difficult situation faced by NYCHA. At </w:t>
      </w:r>
      <w:r w:rsidR="008E2B01">
        <w:rPr>
          <w:rStyle w:val="eop"/>
          <w:rFonts w:eastAsia="Calibri"/>
        </w:rPr>
        <w:t>a hearing before the City Council’s Committee on Finance in May, 2023</w:t>
      </w:r>
      <w:r w:rsidRPr="00C1697D">
        <w:rPr>
          <w:rStyle w:val="eop"/>
          <w:rFonts w:eastAsia="Calibri"/>
        </w:rPr>
        <w:t>, NYCHA testified that they ha</w:t>
      </w:r>
      <w:r w:rsidR="008E2B01">
        <w:rPr>
          <w:rStyle w:val="eop"/>
          <w:rFonts w:eastAsia="Calibri"/>
        </w:rPr>
        <w:t>d</w:t>
      </w:r>
      <w:r w:rsidRPr="00C1697D">
        <w:rPr>
          <w:rStyle w:val="eop"/>
          <w:rFonts w:eastAsia="Calibri"/>
        </w:rPr>
        <w:t xml:space="preserve"> less than one month of reserves remaining and HUD recommends three to four months of operating reserves.</w:t>
      </w:r>
      <w:r w:rsidRPr="00C1697D">
        <w:rPr>
          <w:rStyle w:val="FootnoteReference"/>
        </w:rPr>
        <w:footnoteReference w:id="36"/>
      </w:r>
      <w:r w:rsidRPr="00C1697D">
        <w:rPr>
          <w:rStyle w:val="eop"/>
          <w:rFonts w:eastAsia="Calibri"/>
        </w:rPr>
        <w:t xml:space="preserve"> </w:t>
      </w:r>
      <w:r w:rsidR="005D03EA">
        <w:rPr>
          <w:rStyle w:val="eop"/>
          <w:rFonts w:eastAsia="Calibri"/>
        </w:rPr>
        <w:t>While the State has provide</w:t>
      </w:r>
      <w:r w:rsidR="00417A87">
        <w:rPr>
          <w:rStyle w:val="eop"/>
          <w:rFonts w:eastAsia="Calibri"/>
        </w:rPr>
        <w:t>d</w:t>
      </w:r>
      <w:r w:rsidR="005D03EA">
        <w:rPr>
          <w:rStyle w:val="eop"/>
          <w:rFonts w:eastAsia="Calibri"/>
        </w:rPr>
        <w:t xml:space="preserve"> assistance through the </w:t>
      </w:r>
      <w:r w:rsidRPr="00C1697D">
        <w:rPr>
          <w:rStyle w:val="eop"/>
          <w:rFonts w:eastAsia="Calibri"/>
        </w:rPr>
        <w:t>Emergency Rental Assistance Program (ERAP)</w:t>
      </w:r>
      <w:r w:rsidR="005D03EA">
        <w:rPr>
          <w:rStyle w:val="eop"/>
          <w:rFonts w:eastAsia="Calibri"/>
        </w:rPr>
        <w:t xml:space="preserve"> for NYCHA in this past year’s state budget, it was only an </w:t>
      </w:r>
      <w:r w:rsidRPr="00C1697D">
        <w:rPr>
          <w:rStyle w:val="eop"/>
          <w:rFonts w:eastAsia="Calibri"/>
        </w:rPr>
        <w:t xml:space="preserve">estimated $163 million </w:t>
      </w:r>
      <w:r w:rsidR="005D03EA">
        <w:rPr>
          <w:rStyle w:val="eop"/>
          <w:rFonts w:eastAsia="Calibri"/>
        </w:rPr>
        <w:t xml:space="preserve">with </w:t>
      </w:r>
      <w:r w:rsidRPr="00C1697D">
        <w:rPr>
          <w:rStyle w:val="eop"/>
          <w:rFonts w:eastAsia="Calibri"/>
        </w:rPr>
        <w:t xml:space="preserve">$128 million </w:t>
      </w:r>
      <w:r w:rsidR="008E2B01">
        <w:rPr>
          <w:rStyle w:val="eop"/>
          <w:rFonts w:eastAsia="Calibri"/>
        </w:rPr>
        <w:t>allocated</w:t>
      </w:r>
      <w:r w:rsidR="008E2B01" w:rsidRPr="00C1697D">
        <w:rPr>
          <w:rStyle w:val="eop"/>
          <w:rFonts w:eastAsia="Calibri"/>
        </w:rPr>
        <w:t xml:space="preserve"> </w:t>
      </w:r>
      <w:r w:rsidRPr="00C1697D">
        <w:rPr>
          <w:rStyle w:val="eop"/>
          <w:rFonts w:eastAsia="Calibri"/>
        </w:rPr>
        <w:t>specifically for NYCHA ERAP applicants, while an additional $35 million is designated for NYCHA.</w:t>
      </w:r>
      <w:r w:rsidRPr="00C1697D">
        <w:rPr>
          <w:rStyle w:val="FootnoteReference"/>
        </w:rPr>
        <w:footnoteReference w:id="37"/>
      </w:r>
      <w:r w:rsidR="005D03EA">
        <w:rPr>
          <w:rStyle w:val="eop"/>
          <w:rFonts w:eastAsia="Calibri"/>
        </w:rPr>
        <w:t xml:space="preserve"> This still leaves a sizable and</w:t>
      </w:r>
      <w:r w:rsidR="00417A87">
        <w:rPr>
          <w:rStyle w:val="eop"/>
          <w:rFonts w:eastAsia="Calibri"/>
        </w:rPr>
        <w:t>,</w:t>
      </w:r>
      <w:r w:rsidR="005D03EA">
        <w:rPr>
          <w:rStyle w:val="eop"/>
          <w:rFonts w:eastAsia="Calibri"/>
        </w:rPr>
        <w:t xml:space="preserve"> due to the ongoing rent collection issue, growing gap.</w:t>
      </w:r>
      <w:r w:rsidR="005D03EA">
        <w:rPr>
          <w:rStyle w:val="FootnoteReference"/>
          <w:rFonts w:eastAsia="Calibri"/>
        </w:rPr>
        <w:footnoteReference w:id="38"/>
      </w:r>
    </w:p>
    <w:p w14:paraId="513C2158" w14:textId="77777777" w:rsidR="00303678" w:rsidRPr="00910C58" w:rsidRDefault="00303678" w:rsidP="00910C58">
      <w:pPr>
        <w:pStyle w:val="paragraph"/>
        <w:spacing w:before="0" w:beforeAutospacing="0" w:after="0" w:afterAutospacing="0" w:line="480" w:lineRule="auto"/>
        <w:jc w:val="both"/>
        <w:textAlignment w:val="baseline"/>
        <w:rPr>
          <w:rStyle w:val="eop"/>
          <w:rFonts w:eastAsia="Calibri"/>
          <w:b/>
          <w:i/>
          <w:iCs/>
        </w:rPr>
      </w:pPr>
      <w:r w:rsidRPr="00910C58">
        <w:rPr>
          <w:rStyle w:val="eop"/>
          <w:rFonts w:eastAsia="Calibri"/>
          <w:b/>
          <w:i/>
          <w:iCs/>
        </w:rPr>
        <w:t>Disinvestment in Public Housing</w:t>
      </w:r>
    </w:p>
    <w:p w14:paraId="0AD8096F" w14:textId="70E22896" w:rsidR="00303678" w:rsidRPr="00C1697D" w:rsidRDefault="00E851FD" w:rsidP="00910C58">
      <w:pPr>
        <w:pStyle w:val="paragraph"/>
        <w:spacing w:before="0" w:beforeAutospacing="0" w:after="0" w:afterAutospacing="0" w:line="480" w:lineRule="auto"/>
        <w:ind w:firstLine="720"/>
        <w:jc w:val="both"/>
        <w:textAlignment w:val="baseline"/>
        <w:rPr>
          <w:rStyle w:val="eop"/>
          <w:rFonts w:eastAsia="Calibri"/>
        </w:rPr>
      </w:pPr>
      <w:r>
        <w:rPr>
          <w:rStyle w:val="eop"/>
          <w:rFonts w:eastAsia="Calibri"/>
        </w:rPr>
        <w:t>The ongoing</w:t>
      </w:r>
      <w:r w:rsidR="00303678" w:rsidRPr="00C1697D">
        <w:rPr>
          <w:rStyle w:val="eop"/>
          <w:rFonts w:eastAsia="Calibri"/>
        </w:rPr>
        <w:t xml:space="preserve"> repair needs</w:t>
      </w:r>
      <w:r>
        <w:rPr>
          <w:rStyle w:val="eop"/>
          <w:rFonts w:eastAsia="Calibri"/>
        </w:rPr>
        <w:t xml:space="preserve"> at NYCHA</w:t>
      </w:r>
      <w:r w:rsidR="00303678" w:rsidRPr="00C1697D">
        <w:rPr>
          <w:rStyle w:val="eop"/>
          <w:rFonts w:eastAsia="Calibri"/>
        </w:rPr>
        <w:t xml:space="preserve"> have not arisen overnight. Although there have been governance and management issues at NYCHA, systemic issues stemming from long-term neglect and underfunding by the federal government ha</w:t>
      </w:r>
      <w:r w:rsidR="008E2B01">
        <w:rPr>
          <w:rStyle w:val="eop"/>
          <w:rFonts w:eastAsia="Calibri"/>
        </w:rPr>
        <w:t>ve</w:t>
      </w:r>
      <w:r w:rsidR="00303678" w:rsidRPr="00C1697D">
        <w:rPr>
          <w:rStyle w:val="eop"/>
          <w:rFonts w:eastAsia="Calibri"/>
        </w:rPr>
        <w:t xml:space="preserve"> contributed to tenants living in substandard conditions. In the past 20 years, there has been a significant reduction in funding for repairs and operations by the federal government. NYCHA has </w:t>
      </w:r>
      <w:r w:rsidR="008E2B01">
        <w:rPr>
          <w:rStyle w:val="eop"/>
          <w:rFonts w:eastAsia="Calibri"/>
        </w:rPr>
        <w:t xml:space="preserve">accordingly </w:t>
      </w:r>
      <w:r w:rsidR="00303678" w:rsidRPr="00C1697D">
        <w:rPr>
          <w:rStyle w:val="eop"/>
          <w:rFonts w:eastAsia="Calibri"/>
        </w:rPr>
        <w:t>been forced to use its reserves to cover over $1.3 billion in expenses.</w:t>
      </w:r>
      <w:r w:rsidR="00303678" w:rsidRPr="00C1697D">
        <w:rPr>
          <w:rStyle w:val="FootnoteReference"/>
        </w:rPr>
        <w:footnoteReference w:id="39"/>
      </w:r>
      <w:r w:rsidR="00303678" w:rsidRPr="00C1697D">
        <w:rPr>
          <w:rStyle w:val="eop"/>
          <w:rFonts w:eastAsia="Calibri"/>
        </w:rPr>
        <w:t xml:space="preserve"> This lack of adequate federal appropriation has put a strain on NYCHA's ability to meet the needs of its residents and maintain its housing infrastructure.</w:t>
      </w:r>
      <w:r w:rsidR="00303678" w:rsidRPr="00C1697D">
        <w:rPr>
          <w:rStyle w:val="FootnoteReference"/>
        </w:rPr>
        <w:footnoteReference w:id="40"/>
      </w:r>
      <w:r w:rsidR="00303678" w:rsidRPr="00C1697D" w:rsidDel="006A62C7">
        <w:rPr>
          <w:rStyle w:val="eop"/>
          <w:rFonts w:eastAsia="Calibri"/>
        </w:rPr>
        <w:t xml:space="preserve"> </w:t>
      </w:r>
      <w:r w:rsidR="00303678" w:rsidRPr="00C1697D">
        <w:rPr>
          <w:rStyle w:val="eop"/>
          <w:rFonts w:eastAsia="Calibri"/>
        </w:rPr>
        <w:t>While there has been an increase in funding support in recent years, particularly in response to the national crisis caused by the COVID-19 pandemic, historically, national appropriations have been inadequate in meeting the needs of NYCHA and other public housing authorities.</w:t>
      </w:r>
      <w:r w:rsidR="00303678" w:rsidRPr="00C1697D">
        <w:rPr>
          <w:rStyle w:val="FootnoteReference"/>
        </w:rPr>
        <w:footnoteReference w:id="41"/>
      </w:r>
      <w:r w:rsidR="00303678" w:rsidRPr="00C1697D">
        <w:rPr>
          <w:rStyle w:val="eop"/>
          <w:rFonts w:eastAsia="Calibri"/>
        </w:rPr>
        <w:t xml:space="preserve"> For example, in 2021 HUD had a budget allocation of $69.3 billion but only $2.9 billion designated for public housing repairs. If adjusted for inflation, this amount is 35 percent lower than the capital funding allocated in 2000, which would be </w:t>
      </w:r>
      <w:r w:rsidR="00763AC3">
        <w:rPr>
          <w:rStyle w:val="eop"/>
          <w:rFonts w:eastAsia="Calibri"/>
        </w:rPr>
        <w:t xml:space="preserve">an inflation-adjusted </w:t>
      </w:r>
      <w:r w:rsidR="00303678" w:rsidRPr="00C1697D">
        <w:rPr>
          <w:rStyle w:val="eop"/>
          <w:rFonts w:eastAsia="Calibri"/>
        </w:rPr>
        <w:t>$ 4.5 billion.</w:t>
      </w:r>
      <w:r w:rsidR="00303678" w:rsidRPr="00C1697D">
        <w:rPr>
          <w:rStyle w:val="FootnoteReference"/>
        </w:rPr>
        <w:footnoteReference w:id="42"/>
      </w:r>
      <w:r w:rsidR="00303678" w:rsidRPr="00C1697D">
        <w:rPr>
          <w:rStyle w:val="eop"/>
          <w:rFonts w:eastAsia="Calibri"/>
        </w:rPr>
        <w:t xml:space="preserve"> </w:t>
      </w:r>
    </w:p>
    <w:p w14:paraId="1CEEA059" w14:textId="024AE304" w:rsidR="00303678" w:rsidRPr="00C1697D" w:rsidRDefault="00303678" w:rsidP="00910C58">
      <w:pPr>
        <w:pStyle w:val="paragraph"/>
        <w:spacing w:before="0" w:beforeAutospacing="0" w:after="0" w:afterAutospacing="0" w:line="480" w:lineRule="auto"/>
        <w:ind w:firstLine="720"/>
        <w:jc w:val="both"/>
        <w:textAlignment w:val="baseline"/>
        <w:rPr>
          <w:rStyle w:val="eop"/>
          <w:rFonts w:eastAsia="Calibri"/>
        </w:rPr>
      </w:pPr>
      <w:r w:rsidRPr="00C1697D">
        <w:rPr>
          <w:rStyle w:val="eop"/>
          <w:rFonts w:eastAsia="Calibri"/>
        </w:rPr>
        <w:t>The State and City also contributed to the decline of public housing by withdrawing operating support from 21 NYCHA developments they financed, containing 20,200 units.</w:t>
      </w:r>
      <w:r w:rsidRPr="00C1697D">
        <w:rPr>
          <w:rStyle w:val="FootnoteReference"/>
        </w:rPr>
        <w:footnoteReference w:id="43"/>
      </w:r>
      <w:r w:rsidRPr="00C1697D">
        <w:rPr>
          <w:rStyle w:val="eop"/>
          <w:rFonts w:eastAsia="Calibri"/>
        </w:rPr>
        <w:t xml:space="preserve"> On September 11, 2008, HUD approved NYCHA’s voluntary conversion plan (VCP).</w:t>
      </w:r>
      <w:r w:rsidRPr="00C1697D">
        <w:rPr>
          <w:rStyle w:val="FootnoteReference"/>
        </w:rPr>
        <w:footnoteReference w:id="44"/>
      </w:r>
      <w:r w:rsidRPr="00C1697D">
        <w:rPr>
          <w:rStyle w:val="eop"/>
          <w:rFonts w:eastAsia="Calibri"/>
        </w:rPr>
        <w:t xml:space="preserve"> This plan aimed to transition up to 8,400 public housing units to Section 8 assistance at 21 developments previously funded by the City or State but </w:t>
      </w:r>
      <w:r w:rsidR="00763AC3">
        <w:rPr>
          <w:rStyle w:val="eop"/>
          <w:rFonts w:eastAsia="Calibri"/>
        </w:rPr>
        <w:t xml:space="preserve">that </w:t>
      </w:r>
      <w:r w:rsidRPr="00C1697D">
        <w:rPr>
          <w:rStyle w:val="eop"/>
          <w:rFonts w:eastAsia="Calibri"/>
        </w:rPr>
        <w:t>did not receive federal funds.</w:t>
      </w:r>
      <w:r w:rsidRPr="00C1697D">
        <w:rPr>
          <w:rStyle w:val="FootnoteReference"/>
        </w:rPr>
        <w:footnoteReference w:id="45"/>
      </w:r>
      <w:r w:rsidRPr="00C1697D">
        <w:rPr>
          <w:rStyle w:val="eop"/>
          <w:rFonts w:eastAsia="Calibri"/>
        </w:rPr>
        <w:t xml:space="preserve"> The primary goal of this conversion plan was to address a significant gap between the cost of operating these buildings and the rent collected. By transitioning these units to Section 8 assistance, NYCHA aimed to ensure a more stable and sustainable financial model for their operations.</w:t>
      </w:r>
      <w:r w:rsidRPr="00C1697D">
        <w:rPr>
          <w:rStyle w:val="FootnoteReference"/>
        </w:rPr>
        <w:footnoteReference w:id="46"/>
      </w:r>
      <w:r w:rsidR="00E851FD">
        <w:rPr>
          <w:rStyle w:val="eop"/>
          <w:rFonts w:eastAsia="Calibri"/>
        </w:rPr>
        <w:t xml:space="preserve"> </w:t>
      </w:r>
      <w:r w:rsidRPr="00C1697D">
        <w:rPr>
          <w:rStyle w:val="eop"/>
          <w:rFonts w:eastAsia="Calibri"/>
        </w:rPr>
        <w:t>In 2017, the PACT program was expanded to some of these affected building</w:t>
      </w:r>
      <w:r w:rsidR="00763AC3">
        <w:rPr>
          <w:rStyle w:val="eop"/>
          <w:rFonts w:eastAsia="Calibri"/>
        </w:rPr>
        <w:t>s</w:t>
      </w:r>
      <w:r w:rsidRPr="00C1697D">
        <w:rPr>
          <w:rStyle w:val="eop"/>
          <w:rFonts w:eastAsia="Calibri"/>
        </w:rPr>
        <w:t xml:space="preserve"> to create a public-private partnership to preserve them.</w:t>
      </w:r>
      <w:r w:rsidRPr="00C1697D">
        <w:rPr>
          <w:rStyle w:val="FootnoteReference"/>
        </w:rPr>
        <w:footnoteReference w:id="47"/>
      </w:r>
      <w:r w:rsidRPr="00C1697D">
        <w:rPr>
          <w:rStyle w:val="eop"/>
          <w:rFonts w:eastAsia="Calibri"/>
        </w:rPr>
        <w:t xml:space="preserve"> </w:t>
      </w:r>
    </w:p>
    <w:p w14:paraId="098A3294" w14:textId="77777777" w:rsidR="00303678" w:rsidRPr="00910C58" w:rsidRDefault="00303678" w:rsidP="00910C58">
      <w:pPr>
        <w:pStyle w:val="paragraph"/>
        <w:spacing w:before="0" w:beforeAutospacing="0" w:after="0" w:afterAutospacing="0" w:line="480" w:lineRule="auto"/>
        <w:jc w:val="both"/>
        <w:textAlignment w:val="baseline"/>
        <w:rPr>
          <w:rStyle w:val="eop"/>
          <w:rFonts w:eastAsia="Calibri"/>
          <w:b/>
          <w:i/>
        </w:rPr>
      </w:pPr>
      <w:r w:rsidRPr="00910C58">
        <w:rPr>
          <w:rStyle w:val="eop"/>
          <w:rFonts w:eastAsia="Calibri"/>
          <w:b/>
          <w:i/>
        </w:rPr>
        <w:t>Funding Public Housing</w:t>
      </w:r>
    </w:p>
    <w:p w14:paraId="15C30CBE" w14:textId="5EE4A944" w:rsidR="00303678" w:rsidRPr="00C1697D" w:rsidRDefault="00303678" w:rsidP="00910C58">
      <w:pPr>
        <w:pStyle w:val="paragraph"/>
        <w:spacing w:before="0" w:beforeAutospacing="0" w:after="0" w:afterAutospacing="0" w:line="480" w:lineRule="auto"/>
        <w:ind w:firstLine="720"/>
        <w:jc w:val="both"/>
        <w:textAlignment w:val="baseline"/>
        <w:rPr>
          <w:rStyle w:val="eop"/>
          <w:rFonts w:eastAsia="Calibri"/>
        </w:rPr>
      </w:pPr>
      <w:r w:rsidRPr="00C1697D">
        <w:rPr>
          <w:rStyle w:val="eop"/>
          <w:rFonts w:eastAsia="Calibri"/>
        </w:rPr>
        <w:t xml:space="preserve">The lack of investment has resulted in deteriorating infrastructure and living conditions for residents. Over the past three years, there have </w:t>
      </w:r>
      <w:r w:rsidR="00713F16">
        <w:rPr>
          <w:rStyle w:val="eop"/>
          <w:rFonts w:eastAsia="Calibri"/>
        </w:rPr>
        <w:t xml:space="preserve">been </w:t>
      </w:r>
      <w:r w:rsidRPr="00C1697D">
        <w:rPr>
          <w:rStyle w:val="eop"/>
          <w:rFonts w:eastAsia="Calibri"/>
        </w:rPr>
        <w:t>discussions at the federal level to address the funding issues faced by public housing residents.</w:t>
      </w:r>
      <w:r w:rsidR="00E851FD">
        <w:rPr>
          <w:rStyle w:val="eop"/>
          <w:rFonts w:eastAsia="Calibri"/>
        </w:rPr>
        <w:t xml:space="preserve"> </w:t>
      </w:r>
      <w:r w:rsidRPr="00C1697D">
        <w:rPr>
          <w:rStyle w:val="eop"/>
          <w:rFonts w:eastAsia="Calibri"/>
        </w:rPr>
        <w:t xml:space="preserve">One of the significant proposals </w:t>
      </w:r>
      <w:r w:rsidR="00713F16">
        <w:rPr>
          <w:rStyle w:val="eop"/>
          <w:rFonts w:eastAsia="Calibri"/>
        </w:rPr>
        <w:t xml:space="preserve">that resulted </w:t>
      </w:r>
      <w:r w:rsidRPr="00C1697D">
        <w:rPr>
          <w:rStyle w:val="eop"/>
          <w:rFonts w:eastAsia="Calibri"/>
        </w:rPr>
        <w:t>was the Build It Back Better plan, which included a $65 billion allocation for public housing authorities nationwide.</w:t>
      </w:r>
      <w:r w:rsidRPr="00C1697D">
        <w:rPr>
          <w:rStyle w:val="FootnoteReference"/>
        </w:rPr>
        <w:footnoteReference w:id="48"/>
      </w:r>
      <w:r w:rsidRPr="00C1697D">
        <w:rPr>
          <w:rStyle w:val="eop"/>
          <w:rFonts w:eastAsia="Calibri"/>
        </w:rPr>
        <w:t xml:space="preserve"> However, despite passing in the United States House of Representatives, this proposal faced obstacles and ultimately stalled in the United States Senate. In 2021, another initiative called the Public Housing Emergency Act was introduced by Congresswoman </w:t>
      </w:r>
      <w:r w:rsidRPr="00C1697D">
        <w:rPr>
          <w:color w:val="282723"/>
        </w:rPr>
        <w:t>Nydia Velázquez</w:t>
      </w:r>
      <w:r w:rsidRPr="00C1697D">
        <w:rPr>
          <w:rStyle w:val="eop"/>
          <w:rFonts w:eastAsia="Calibri"/>
        </w:rPr>
        <w:t>.</w:t>
      </w:r>
      <w:r w:rsidRPr="00C1697D">
        <w:rPr>
          <w:rStyle w:val="FootnoteReference"/>
        </w:rPr>
        <w:footnoteReference w:id="49"/>
      </w:r>
      <w:r w:rsidRPr="00C1697D">
        <w:rPr>
          <w:rStyle w:val="eop"/>
          <w:rFonts w:eastAsia="Calibri"/>
        </w:rPr>
        <w:t xml:space="preserve"> This act </w:t>
      </w:r>
      <w:r w:rsidR="00713F16">
        <w:rPr>
          <w:rStyle w:val="eop"/>
          <w:rFonts w:eastAsia="Calibri"/>
        </w:rPr>
        <w:t xml:space="preserve">would have </w:t>
      </w:r>
      <w:r w:rsidRPr="00C1697D">
        <w:rPr>
          <w:rStyle w:val="eop"/>
          <w:rFonts w:eastAsia="Calibri"/>
        </w:rPr>
        <w:t>provided $ 70 billion to address the physical needs and upgrades at public housing developments across the United States. Out of this budget, $32 billion would have been given to NYCHA.</w:t>
      </w:r>
      <w:r w:rsidRPr="00C1697D">
        <w:rPr>
          <w:rStyle w:val="FootnoteReference"/>
        </w:rPr>
        <w:footnoteReference w:id="50"/>
      </w:r>
      <w:r w:rsidRPr="00C1697D">
        <w:rPr>
          <w:rStyle w:val="eop"/>
          <w:rFonts w:eastAsia="Calibri"/>
        </w:rPr>
        <w:t xml:space="preserve"> </w:t>
      </w:r>
      <w:r w:rsidR="00417A87">
        <w:rPr>
          <w:rStyle w:val="eop"/>
          <w:rFonts w:eastAsia="Calibri"/>
        </w:rPr>
        <w:t>T</w:t>
      </w:r>
      <w:r w:rsidR="00BA13AD">
        <w:rPr>
          <w:rStyle w:val="eop"/>
          <w:rFonts w:eastAsia="Calibri"/>
        </w:rPr>
        <w:t xml:space="preserve">his bill has </w:t>
      </w:r>
      <w:r w:rsidR="00417A87">
        <w:rPr>
          <w:rStyle w:val="eop"/>
          <w:rFonts w:eastAsia="Calibri"/>
        </w:rPr>
        <w:t xml:space="preserve">so far </w:t>
      </w:r>
      <w:r w:rsidR="00BA13AD">
        <w:rPr>
          <w:rStyle w:val="eop"/>
          <w:rFonts w:eastAsia="Calibri"/>
        </w:rPr>
        <w:t xml:space="preserve">not moved </w:t>
      </w:r>
      <w:r w:rsidR="005D48A9">
        <w:rPr>
          <w:rStyle w:val="eop"/>
          <w:rFonts w:eastAsia="Calibri"/>
        </w:rPr>
        <w:t>beyond introduction.</w:t>
      </w:r>
      <w:r w:rsidR="005D48A9">
        <w:rPr>
          <w:rStyle w:val="FootnoteReference"/>
          <w:rFonts w:eastAsia="Calibri"/>
        </w:rPr>
        <w:footnoteReference w:id="51"/>
      </w:r>
    </w:p>
    <w:p w14:paraId="76CC989B" w14:textId="1619B813" w:rsidR="00303678" w:rsidRPr="00910C58" w:rsidRDefault="00303678" w:rsidP="00910C58">
      <w:pPr>
        <w:pStyle w:val="paragraph"/>
        <w:spacing w:before="0" w:beforeAutospacing="0" w:after="0" w:afterAutospacing="0" w:line="480" w:lineRule="auto"/>
        <w:jc w:val="both"/>
        <w:textAlignment w:val="baseline"/>
        <w:rPr>
          <w:rStyle w:val="eop"/>
          <w:rFonts w:eastAsiaTheme="minorHAnsi"/>
          <w:b/>
          <w:i/>
        </w:rPr>
      </w:pPr>
      <w:r w:rsidRPr="00910C58">
        <w:rPr>
          <w:rStyle w:val="eop"/>
          <w:rFonts w:eastAsiaTheme="minorHAnsi"/>
          <w:b/>
          <w:i/>
        </w:rPr>
        <w:t xml:space="preserve">Other PHA’s Moving </w:t>
      </w:r>
      <w:r w:rsidR="00910C58" w:rsidRPr="00910C58">
        <w:rPr>
          <w:rStyle w:val="eop"/>
          <w:rFonts w:eastAsiaTheme="minorHAnsi"/>
          <w:b/>
          <w:i/>
        </w:rPr>
        <w:t xml:space="preserve">Away From </w:t>
      </w:r>
      <w:r w:rsidR="005D48A9">
        <w:rPr>
          <w:rStyle w:val="eop"/>
          <w:rFonts w:eastAsiaTheme="minorHAnsi"/>
          <w:b/>
          <w:i/>
        </w:rPr>
        <w:t xml:space="preserve">Traditional </w:t>
      </w:r>
      <w:r w:rsidRPr="00910C58">
        <w:rPr>
          <w:rStyle w:val="eop"/>
          <w:rFonts w:eastAsiaTheme="minorHAnsi"/>
          <w:b/>
          <w:i/>
        </w:rPr>
        <w:t>Public Housing</w:t>
      </w:r>
    </w:p>
    <w:p w14:paraId="22076C5E" w14:textId="4DE69E5A" w:rsidR="00303678" w:rsidRPr="00C1697D" w:rsidRDefault="00303678" w:rsidP="00910C58">
      <w:pPr>
        <w:pStyle w:val="paragraph"/>
        <w:spacing w:before="0" w:beforeAutospacing="0" w:after="0" w:afterAutospacing="0" w:line="480" w:lineRule="auto"/>
        <w:ind w:firstLine="720"/>
        <w:jc w:val="both"/>
        <w:textAlignment w:val="baseline"/>
        <w:rPr>
          <w:rStyle w:val="eop"/>
          <w:rFonts w:eastAsia="Calibri"/>
        </w:rPr>
      </w:pPr>
      <w:r w:rsidRPr="00C1697D">
        <w:rPr>
          <w:rStyle w:val="eop"/>
          <w:rFonts w:eastAsia="Calibri"/>
        </w:rPr>
        <w:t>Progress on addressing the funding challenges faced by public housing devel</w:t>
      </w:r>
      <w:r w:rsidR="005D48A9">
        <w:rPr>
          <w:rStyle w:val="eop"/>
          <w:rFonts w:eastAsia="Calibri"/>
        </w:rPr>
        <w:t>opments has been slow, but NYCHA is not alon</w:t>
      </w:r>
      <w:r w:rsidR="00EE1258">
        <w:rPr>
          <w:rStyle w:val="eop"/>
          <w:rFonts w:eastAsia="Calibri"/>
        </w:rPr>
        <w:t>e</w:t>
      </w:r>
      <w:r w:rsidR="005D48A9">
        <w:rPr>
          <w:rStyle w:val="eop"/>
          <w:rFonts w:eastAsia="Calibri"/>
        </w:rPr>
        <w:t xml:space="preserve"> in their challenges. </w:t>
      </w:r>
      <w:r w:rsidRPr="00C1697D">
        <w:rPr>
          <w:rStyle w:val="eop"/>
          <w:rFonts w:eastAsia="Calibri"/>
        </w:rPr>
        <w:t>The need for increased funding remains critical to ensure safe and habitable living conditions for residents living in public housing developments.</w:t>
      </w:r>
      <w:r w:rsidRPr="00C1697D">
        <w:rPr>
          <w:rStyle w:val="FootnoteReference"/>
        </w:rPr>
        <w:footnoteReference w:id="52"/>
      </w:r>
      <w:r w:rsidRPr="00C1697D">
        <w:rPr>
          <w:rStyle w:val="eop"/>
          <w:rFonts w:eastAsia="Calibri"/>
        </w:rPr>
        <w:t xml:space="preserve"> Many </w:t>
      </w:r>
      <w:r w:rsidR="00713F16">
        <w:rPr>
          <w:rStyle w:val="eop"/>
          <w:rFonts w:eastAsia="Calibri"/>
        </w:rPr>
        <w:t>public housing authorities (</w:t>
      </w:r>
      <w:r w:rsidRPr="00C1697D">
        <w:rPr>
          <w:rStyle w:val="eop"/>
          <w:rFonts w:eastAsia="Calibri"/>
        </w:rPr>
        <w:t>PHAs</w:t>
      </w:r>
      <w:r w:rsidR="00713F16">
        <w:rPr>
          <w:rStyle w:val="eop"/>
          <w:rFonts w:eastAsia="Calibri"/>
        </w:rPr>
        <w:t>)</w:t>
      </w:r>
      <w:r w:rsidRPr="00C1697D">
        <w:rPr>
          <w:rStyle w:val="eop"/>
          <w:rFonts w:eastAsia="Calibri"/>
        </w:rPr>
        <w:t xml:space="preserve"> have been looking to convert grants dedicated to public housing</w:t>
      </w:r>
      <w:r w:rsidR="00713F16">
        <w:rPr>
          <w:rStyle w:val="eop"/>
          <w:rFonts w:eastAsia="Calibri"/>
        </w:rPr>
        <w:t>, under</w:t>
      </w:r>
      <w:r w:rsidRPr="00C1697D">
        <w:rPr>
          <w:rStyle w:val="eop"/>
          <w:rFonts w:eastAsia="Calibri"/>
        </w:rPr>
        <w:t xml:space="preserve"> </w:t>
      </w:r>
      <w:r w:rsidR="00713F16">
        <w:rPr>
          <w:rStyle w:val="eop"/>
          <w:rFonts w:eastAsia="Calibri"/>
        </w:rPr>
        <w:t>S</w:t>
      </w:r>
      <w:r w:rsidRPr="00C1697D">
        <w:rPr>
          <w:rStyle w:val="eop"/>
          <w:rFonts w:eastAsia="Calibri"/>
        </w:rPr>
        <w:t>ection 9</w:t>
      </w:r>
      <w:r w:rsidR="00713F16">
        <w:rPr>
          <w:rStyle w:val="eop"/>
          <w:rFonts w:eastAsia="Calibri"/>
        </w:rPr>
        <w:t>,</w:t>
      </w:r>
      <w:r w:rsidRPr="00C1697D">
        <w:rPr>
          <w:rStyle w:val="eop"/>
          <w:rFonts w:eastAsia="Calibri"/>
        </w:rPr>
        <w:t xml:space="preserve"> to subsidies under Section 8. Section 8 are subsidies given to the private sector to create low-income housing. Although Section 8 and Section 9 are subject to annual congressional appropriations, Congress has increased appropriation to subsidize private housing under Section </w:t>
      </w:r>
      <w:r w:rsidR="00713F16">
        <w:rPr>
          <w:rStyle w:val="eop"/>
          <w:rFonts w:eastAsia="Calibri"/>
        </w:rPr>
        <w:t xml:space="preserve">8 </w:t>
      </w:r>
      <w:r w:rsidRPr="00C1697D">
        <w:rPr>
          <w:rStyle w:val="eop"/>
          <w:rFonts w:eastAsia="Calibri"/>
        </w:rPr>
        <w:t>while reducing public housing funding under Section 9.</w:t>
      </w:r>
      <w:r w:rsidRPr="00C1697D">
        <w:rPr>
          <w:rStyle w:val="FootnoteReference"/>
        </w:rPr>
        <w:footnoteReference w:id="53"/>
      </w:r>
      <w:r w:rsidR="00C1697D">
        <w:rPr>
          <w:rStyle w:val="eop"/>
          <w:rFonts w:eastAsia="Calibri"/>
        </w:rPr>
        <w:t xml:space="preserve"> </w:t>
      </w:r>
      <w:r w:rsidRPr="00C1697D">
        <w:rPr>
          <w:rStyle w:val="eop"/>
          <w:rFonts w:eastAsia="Calibri"/>
        </w:rPr>
        <w:t xml:space="preserve">Switching to Section 8 also lets PHAs access private financing as well as other subsidies, which are </w:t>
      </w:r>
      <w:r w:rsidR="00713F16">
        <w:rPr>
          <w:rStyle w:val="eop"/>
          <w:rFonts w:eastAsia="Calibri"/>
        </w:rPr>
        <w:t>reserved</w:t>
      </w:r>
      <w:r w:rsidR="00713F16" w:rsidRPr="00C1697D">
        <w:rPr>
          <w:rStyle w:val="eop"/>
          <w:rFonts w:eastAsia="Calibri"/>
        </w:rPr>
        <w:t xml:space="preserve"> </w:t>
      </w:r>
      <w:r w:rsidRPr="00C1697D">
        <w:rPr>
          <w:rStyle w:val="eop"/>
          <w:rFonts w:eastAsia="Calibri"/>
        </w:rPr>
        <w:t>for the private sector.</w:t>
      </w:r>
      <w:r w:rsidRPr="00C1697D">
        <w:rPr>
          <w:rStyle w:val="FootnoteReference"/>
        </w:rPr>
        <w:footnoteReference w:id="54"/>
      </w:r>
      <w:r w:rsidRPr="00C1697D">
        <w:rPr>
          <w:rStyle w:val="eop"/>
          <w:rFonts w:eastAsia="Calibri"/>
        </w:rPr>
        <w:t xml:space="preserve"> </w:t>
      </w:r>
    </w:p>
    <w:p w14:paraId="11D527F2" w14:textId="079E974E" w:rsidR="00303678" w:rsidRPr="00C1697D" w:rsidRDefault="00B055C3" w:rsidP="00910C58">
      <w:pPr>
        <w:pStyle w:val="paragraph"/>
        <w:spacing w:before="0" w:beforeAutospacing="0" w:after="0" w:afterAutospacing="0" w:line="480" w:lineRule="auto"/>
        <w:ind w:firstLine="720"/>
        <w:jc w:val="both"/>
        <w:textAlignment w:val="baseline"/>
        <w:rPr>
          <w:rStyle w:val="eop"/>
          <w:rFonts w:eastAsia="Calibri"/>
        </w:rPr>
      </w:pPr>
      <w:r>
        <w:rPr>
          <w:rStyle w:val="eop"/>
          <w:rFonts w:eastAsia="Calibri"/>
        </w:rPr>
        <w:t>T</w:t>
      </w:r>
      <w:r w:rsidR="00303678" w:rsidRPr="00C1697D">
        <w:rPr>
          <w:rStyle w:val="eop"/>
          <w:rFonts w:eastAsia="Calibri"/>
        </w:rPr>
        <w:t>he Chicago Housing Authority (CHA), demolish</w:t>
      </w:r>
      <w:r>
        <w:rPr>
          <w:rStyle w:val="eop"/>
          <w:rFonts w:eastAsia="Calibri"/>
        </w:rPr>
        <w:t>ed</w:t>
      </w:r>
      <w:r w:rsidR="00303678" w:rsidRPr="00C1697D">
        <w:rPr>
          <w:rStyle w:val="eop"/>
          <w:rFonts w:eastAsia="Calibri"/>
        </w:rPr>
        <w:t xml:space="preserve"> most of the</w:t>
      </w:r>
      <w:r>
        <w:rPr>
          <w:rStyle w:val="eop"/>
          <w:rFonts w:eastAsia="Calibri"/>
        </w:rPr>
        <w:t>ir</w:t>
      </w:r>
      <w:r w:rsidR="00303678" w:rsidRPr="00C1697D">
        <w:rPr>
          <w:rStyle w:val="eop"/>
          <w:rFonts w:eastAsia="Calibri"/>
        </w:rPr>
        <w:t xml:space="preserve"> city’s public housing developments in 2000 and promised</w:t>
      </w:r>
      <w:r>
        <w:rPr>
          <w:rStyle w:val="eop"/>
          <w:rFonts w:eastAsia="Calibri"/>
        </w:rPr>
        <w:t>, over</w:t>
      </w:r>
      <w:r w:rsidR="00303678" w:rsidRPr="00C1697D">
        <w:rPr>
          <w:rStyle w:val="eop"/>
          <w:rFonts w:eastAsia="Calibri"/>
        </w:rPr>
        <w:t xml:space="preserve"> a 10-year period, to replace or repair 25,000 public housing units.</w:t>
      </w:r>
      <w:r w:rsidR="00303678" w:rsidRPr="00C1697D">
        <w:rPr>
          <w:rStyle w:val="FootnoteReference"/>
        </w:rPr>
        <w:footnoteReference w:id="55"/>
      </w:r>
      <w:r w:rsidR="00303678" w:rsidRPr="00C1697D">
        <w:rPr>
          <w:rStyle w:val="eop"/>
          <w:rFonts w:eastAsia="Calibri"/>
        </w:rPr>
        <w:t xml:space="preserve"> The plan’s goal of 25,000 units was based on the number leased to tenants at the end of 1999, after the agency had already emptied thousands of apartments.</w:t>
      </w:r>
      <w:r w:rsidR="00303678" w:rsidRPr="00C1697D">
        <w:rPr>
          <w:rStyle w:val="FootnoteReference"/>
        </w:rPr>
        <w:footnoteReference w:id="56"/>
      </w:r>
      <w:r w:rsidR="00303678" w:rsidRPr="00C1697D">
        <w:rPr>
          <w:rStyle w:val="eop"/>
          <w:rFonts w:eastAsia="Calibri"/>
        </w:rPr>
        <w:t xml:space="preserve"> The plan acknowledged that thousands of family units would be lost in the transition.</w:t>
      </w:r>
      <w:r w:rsidR="00303678" w:rsidRPr="00C1697D">
        <w:rPr>
          <w:rStyle w:val="FootnoteReference"/>
        </w:rPr>
        <w:footnoteReference w:id="57"/>
      </w:r>
      <w:r w:rsidR="00C1697D">
        <w:rPr>
          <w:rStyle w:val="eop"/>
          <w:rFonts w:eastAsia="Calibri"/>
        </w:rPr>
        <w:t xml:space="preserve"> ProP</w:t>
      </w:r>
      <w:r w:rsidR="00303678" w:rsidRPr="00C1697D">
        <w:rPr>
          <w:rStyle w:val="eop"/>
          <w:rFonts w:eastAsia="Calibri"/>
        </w:rPr>
        <w:t>ublica, a news publication, questioned if CHA ever reached the 25,000-unit goal si</w:t>
      </w:r>
      <w:r w:rsidR="00C1697D">
        <w:rPr>
          <w:rStyle w:val="eop"/>
          <w:rFonts w:eastAsia="Calibri"/>
        </w:rPr>
        <w:t xml:space="preserve">nce over 5,000 privately owned </w:t>
      </w:r>
      <w:r w:rsidR="00303678" w:rsidRPr="00C1697D">
        <w:rPr>
          <w:rStyle w:val="eop"/>
          <w:rFonts w:eastAsia="Calibri"/>
        </w:rPr>
        <w:t>units were subsidized with project-based vouchers.</w:t>
      </w:r>
      <w:r w:rsidR="00303678" w:rsidRPr="00C1697D">
        <w:rPr>
          <w:rStyle w:val="FootnoteReference"/>
        </w:rPr>
        <w:footnoteReference w:id="58"/>
      </w:r>
      <w:r w:rsidR="00303678" w:rsidRPr="00C1697D">
        <w:rPr>
          <w:rStyle w:val="eop"/>
          <w:rFonts w:eastAsia="Calibri"/>
        </w:rPr>
        <w:t xml:space="preserve"> Unlike public housing, a property owner could opt out of </w:t>
      </w:r>
      <w:r>
        <w:rPr>
          <w:rStyle w:val="eop"/>
          <w:rFonts w:eastAsia="Calibri"/>
        </w:rPr>
        <w:t xml:space="preserve">a </w:t>
      </w:r>
      <w:r w:rsidR="00303678" w:rsidRPr="00C1697D">
        <w:rPr>
          <w:rStyle w:val="eop"/>
          <w:rFonts w:eastAsia="Calibri"/>
        </w:rPr>
        <w:t>project based voucher program after a set amount of time (contracts range from five to thirty years)</w:t>
      </w:r>
      <w:r>
        <w:rPr>
          <w:rStyle w:val="eop"/>
          <w:rFonts w:eastAsia="Calibri"/>
        </w:rPr>
        <w:t>.</w:t>
      </w:r>
      <w:r w:rsidR="00303678" w:rsidRPr="00C1697D">
        <w:rPr>
          <w:rStyle w:val="FootnoteReference"/>
        </w:rPr>
        <w:footnoteReference w:id="59"/>
      </w:r>
      <w:r w:rsidR="00E851FD">
        <w:rPr>
          <w:rStyle w:val="eop"/>
          <w:rFonts w:eastAsia="Calibri"/>
        </w:rPr>
        <w:t xml:space="preserve"> </w:t>
      </w:r>
      <w:r w:rsidR="00303678" w:rsidRPr="00C1697D">
        <w:rPr>
          <w:rStyle w:val="eop"/>
          <w:rFonts w:eastAsia="Calibri"/>
        </w:rPr>
        <w:t xml:space="preserve">Also, the original plan did not mention replacing permanent public housing with project-based vouchers. The news report also </w:t>
      </w:r>
      <w:r>
        <w:rPr>
          <w:rStyle w:val="eop"/>
          <w:rFonts w:eastAsia="Calibri"/>
        </w:rPr>
        <w:t>expressed</w:t>
      </w:r>
      <w:r w:rsidRPr="00C1697D">
        <w:rPr>
          <w:rStyle w:val="eop"/>
          <w:rFonts w:eastAsia="Calibri"/>
        </w:rPr>
        <w:t xml:space="preserve"> </w:t>
      </w:r>
      <w:r w:rsidR="00303678" w:rsidRPr="00C1697D">
        <w:rPr>
          <w:rStyle w:val="eop"/>
          <w:rFonts w:eastAsia="Calibri"/>
        </w:rPr>
        <w:t>concerns that some of the voucher units counted towards the 25,000 goal before the plan was launched or before the CHA subsidized them.</w:t>
      </w:r>
      <w:r w:rsidR="00303678" w:rsidRPr="00C1697D">
        <w:rPr>
          <w:rStyle w:val="FootnoteReference"/>
        </w:rPr>
        <w:footnoteReference w:id="60"/>
      </w:r>
    </w:p>
    <w:p w14:paraId="396A2191" w14:textId="52699BFD" w:rsidR="005907DF" w:rsidRPr="00C1697D" w:rsidRDefault="00303678" w:rsidP="00910C58">
      <w:pPr>
        <w:pStyle w:val="paragraph"/>
        <w:spacing w:before="0" w:beforeAutospacing="0" w:after="0" w:afterAutospacing="0" w:line="480" w:lineRule="auto"/>
        <w:ind w:firstLine="720"/>
        <w:jc w:val="both"/>
        <w:textAlignment w:val="baseline"/>
        <w:rPr>
          <w:rStyle w:val="eop"/>
          <w:rFonts w:eastAsia="Calibri"/>
        </w:rPr>
      </w:pPr>
      <w:r w:rsidRPr="00C1697D">
        <w:rPr>
          <w:rStyle w:val="eop"/>
          <w:rFonts w:eastAsia="Calibri"/>
        </w:rPr>
        <w:t>In Jersey City, the PHA has decided to also redevelop their public housing building</w:t>
      </w:r>
      <w:r w:rsidR="00B055C3">
        <w:rPr>
          <w:rStyle w:val="eop"/>
          <w:rFonts w:eastAsia="Calibri"/>
        </w:rPr>
        <w:t>s</w:t>
      </w:r>
      <w:r w:rsidRPr="00C1697D">
        <w:rPr>
          <w:rStyle w:val="eop"/>
          <w:rFonts w:eastAsia="Calibri"/>
        </w:rPr>
        <w:t xml:space="preserve"> but they are using a different approach. It was announced on March 2, 2023 that the new development at Holland Gardens will not only preserve all 192 existing public housing unit</w:t>
      </w:r>
      <w:r w:rsidR="00B055C3">
        <w:rPr>
          <w:rStyle w:val="eop"/>
          <w:rFonts w:eastAsia="Calibri"/>
        </w:rPr>
        <w:t>s</w:t>
      </w:r>
      <w:r w:rsidRPr="00C1697D">
        <w:rPr>
          <w:rStyle w:val="eop"/>
          <w:rFonts w:eastAsia="Calibri"/>
        </w:rPr>
        <w:t xml:space="preserve"> but it will </w:t>
      </w:r>
      <w:r w:rsidR="00B055C3">
        <w:rPr>
          <w:rStyle w:val="eop"/>
          <w:rFonts w:eastAsia="Calibri"/>
        </w:rPr>
        <w:t xml:space="preserve">also </w:t>
      </w:r>
      <w:r w:rsidRPr="00C1697D">
        <w:rPr>
          <w:rStyle w:val="eop"/>
          <w:rFonts w:eastAsia="Calibri"/>
        </w:rPr>
        <w:t>add 74 new affordable units for seniors, 309 market rate units, on site resident service</w:t>
      </w:r>
      <w:r w:rsidR="00B055C3">
        <w:rPr>
          <w:rStyle w:val="eop"/>
          <w:rFonts w:eastAsia="Calibri"/>
        </w:rPr>
        <w:t>,</w:t>
      </w:r>
      <w:r w:rsidRPr="00C1697D">
        <w:rPr>
          <w:rStyle w:val="eop"/>
          <w:rFonts w:eastAsia="Calibri"/>
        </w:rPr>
        <w:t xml:space="preserve"> and a brand new public library.</w:t>
      </w:r>
      <w:r w:rsidRPr="00C1697D">
        <w:rPr>
          <w:rStyle w:val="FootnoteReference"/>
        </w:rPr>
        <w:footnoteReference w:id="61"/>
      </w:r>
      <w:r w:rsidRPr="00C1697D">
        <w:rPr>
          <w:rStyle w:val="eop"/>
          <w:rFonts w:eastAsia="Calibri"/>
        </w:rPr>
        <w:t xml:space="preserve"> The public housing tenants will be temporarily relocated but will have a right of return when the new development is completed.</w:t>
      </w:r>
      <w:r w:rsidRPr="00C1697D">
        <w:rPr>
          <w:rStyle w:val="FootnoteReference"/>
        </w:rPr>
        <w:footnoteReference w:id="62"/>
      </w:r>
      <w:r w:rsidRPr="00C1697D">
        <w:rPr>
          <w:rStyle w:val="eop"/>
          <w:rFonts w:eastAsia="Calibri"/>
        </w:rPr>
        <w:t xml:space="preserve"> </w:t>
      </w:r>
    </w:p>
    <w:p w14:paraId="3796896C" w14:textId="6CD322D8" w:rsidR="005907DF" w:rsidRPr="00910C58" w:rsidRDefault="000900E4" w:rsidP="00910C58">
      <w:pPr>
        <w:pStyle w:val="paragraph"/>
        <w:spacing w:before="0" w:beforeAutospacing="0" w:after="0" w:afterAutospacing="0" w:line="480" w:lineRule="auto"/>
        <w:jc w:val="both"/>
        <w:textAlignment w:val="baseline"/>
        <w:rPr>
          <w:rStyle w:val="eop"/>
          <w:rFonts w:eastAsia="Calibri"/>
          <w:b/>
          <w:u w:val="single"/>
        </w:rPr>
      </w:pPr>
      <w:r w:rsidRPr="00910C58">
        <w:rPr>
          <w:rStyle w:val="eop"/>
          <w:rFonts w:eastAsia="Calibri"/>
          <w:b/>
          <w:u w:val="single"/>
        </w:rPr>
        <w:t>RAD/PACT: NYCHA’s PLAN FOR THE FUTURE</w:t>
      </w:r>
      <w:r w:rsidR="00E851FD">
        <w:rPr>
          <w:rStyle w:val="eop"/>
          <w:rFonts w:eastAsia="Calibri"/>
          <w:b/>
          <w:u w:val="single"/>
        </w:rPr>
        <w:t xml:space="preserve"> </w:t>
      </w:r>
    </w:p>
    <w:p w14:paraId="2522D498" w14:textId="508CEFDC" w:rsidR="002764ED" w:rsidRPr="00C1697D" w:rsidRDefault="005907DF" w:rsidP="00910C58">
      <w:pPr>
        <w:pStyle w:val="paragraph"/>
        <w:spacing w:before="0" w:beforeAutospacing="0" w:after="0" w:afterAutospacing="0" w:line="480" w:lineRule="auto"/>
        <w:ind w:firstLine="720"/>
        <w:jc w:val="both"/>
        <w:textAlignment w:val="baseline"/>
        <w:rPr>
          <w:rStyle w:val="eop"/>
        </w:rPr>
      </w:pPr>
      <w:r w:rsidRPr="00C1697D">
        <w:rPr>
          <w:rFonts w:eastAsiaTheme="minorHAnsi"/>
        </w:rPr>
        <w:t>A</w:t>
      </w:r>
      <w:r w:rsidRPr="00C1697D">
        <w:rPr>
          <w:rStyle w:val="normaltextrun"/>
        </w:rPr>
        <w:t>s stated above</w:t>
      </w:r>
      <w:r w:rsidR="00977E33">
        <w:rPr>
          <w:rStyle w:val="normaltextrun"/>
        </w:rPr>
        <w:t>,</w:t>
      </w:r>
      <w:r w:rsidRPr="00C1697D">
        <w:rPr>
          <w:rStyle w:val="normaltextrun"/>
        </w:rPr>
        <w:t xml:space="preserve"> the NYCHA RAD/PACT Program began in 2016 with an RFP for a developer to upgrade and manage the Ocean Bay (Bayside) development in Far Rockaway.</w:t>
      </w:r>
      <w:r w:rsidR="00AE4E7D" w:rsidRPr="00C1697D">
        <w:rPr>
          <w:rStyle w:val="FootnoteReference"/>
        </w:rPr>
        <w:footnoteReference w:id="63"/>
      </w:r>
      <w:r w:rsidR="0055015A" w:rsidRPr="00C1697D">
        <w:rPr>
          <w:rStyle w:val="normaltextrun"/>
        </w:rPr>
        <w:t xml:space="preserve"> This was soon followed by </w:t>
      </w:r>
      <w:r w:rsidR="00303297" w:rsidRPr="00C1697D">
        <w:rPr>
          <w:rStyle w:val="eop"/>
        </w:rPr>
        <w:t xml:space="preserve">developments across the </w:t>
      </w:r>
      <w:r w:rsidR="00AE4E7D" w:rsidRPr="00C1697D">
        <w:rPr>
          <w:rStyle w:val="eop"/>
        </w:rPr>
        <w:t xml:space="preserve">Bronx, Brooklyn and Manhattan </w:t>
      </w:r>
      <w:r w:rsidR="000900E4" w:rsidRPr="00C1697D">
        <w:rPr>
          <w:rStyle w:val="eop"/>
        </w:rPr>
        <w:t>with 69</w:t>
      </w:r>
      <w:r w:rsidR="00303297" w:rsidRPr="00C1697D">
        <w:rPr>
          <w:rStyle w:val="eop"/>
        </w:rPr>
        <w:t xml:space="preserve"> developments </w:t>
      </w:r>
      <w:r w:rsidR="00184B59" w:rsidRPr="00C1697D">
        <w:rPr>
          <w:rStyle w:val="eop"/>
        </w:rPr>
        <w:t>converted</w:t>
      </w:r>
      <w:r w:rsidR="000900E4" w:rsidRPr="00C1697D">
        <w:rPr>
          <w:rStyle w:val="eop"/>
        </w:rPr>
        <w:t xml:space="preserve">, </w:t>
      </w:r>
      <w:r w:rsidR="00977E33">
        <w:rPr>
          <w:rStyle w:val="eop"/>
        </w:rPr>
        <w:t>with</w:t>
      </w:r>
      <w:r w:rsidR="000900E4" w:rsidRPr="00C1697D">
        <w:rPr>
          <w:rStyle w:val="eop"/>
        </w:rPr>
        <w:t xml:space="preserve"> construction </w:t>
      </w:r>
      <w:r w:rsidR="00977E33">
        <w:rPr>
          <w:rStyle w:val="eop"/>
        </w:rPr>
        <w:t xml:space="preserve">either </w:t>
      </w:r>
      <w:r w:rsidR="000900E4" w:rsidRPr="00C1697D">
        <w:rPr>
          <w:rStyle w:val="eop"/>
        </w:rPr>
        <w:t>in progress or completed,</w:t>
      </w:r>
      <w:r w:rsidR="00167968" w:rsidRPr="00C1697D">
        <w:rPr>
          <w:rStyle w:val="eop"/>
        </w:rPr>
        <w:t xml:space="preserve"> as of October 2023</w:t>
      </w:r>
      <w:r w:rsidR="00184B59" w:rsidRPr="00C1697D">
        <w:rPr>
          <w:rStyle w:val="eop"/>
        </w:rPr>
        <w:t>, meaning they are fully managed by the private develop</w:t>
      </w:r>
      <w:r w:rsidR="00167968" w:rsidRPr="00C1697D">
        <w:rPr>
          <w:rStyle w:val="eop"/>
        </w:rPr>
        <w:t>ers.</w:t>
      </w:r>
      <w:r w:rsidR="00167968" w:rsidRPr="00C1697D">
        <w:rPr>
          <w:rStyle w:val="FootnoteReference"/>
        </w:rPr>
        <w:footnoteReference w:id="64"/>
      </w:r>
      <w:r w:rsidR="00167968" w:rsidRPr="00C1697D">
        <w:rPr>
          <w:rStyle w:val="eop"/>
        </w:rPr>
        <w:t xml:space="preserve"> </w:t>
      </w:r>
      <w:r w:rsidR="002764ED" w:rsidRPr="00C1697D">
        <w:rPr>
          <w:rStyle w:val="eop"/>
        </w:rPr>
        <w:t>There are also</w:t>
      </w:r>
      <w:r w:rsidR="000900E4" w:rsidRPr="00C1697D">
        <w:rPr>
          <w:rStyle w:val="eop"/>
        </w:rPr>
        <w:t xml:space="preserve"> 69</w:t>
      </w:r>
      <w:r w:rsidR="00A353A0" w:rsidRPr="00C1697D">
        <w:rPr>
          <w:rStyle w:val="eop"/>
        </w:rPr>
        <w:t xml:space="preserve"> </w:t>
      </w:r>
      <w:r w:rsidR="002764ED" w:rsidRPr="00C1697D">
        <w:rPr>
          <w:rStyle w:val="eop"/>
        </w:rPr>
        <w:t>more developments which are in the PACT pipeline</w:t>
      </w:r>
      <w:r w:rsidR="00977E33">
        <w:rPr>
          <w:rStyle w:val="eop"/>
        </w:rPr>
        <w:t>,</w:t>
      </w:r>
      <w:r w:rsidR="002764ED" w:rsidRPr="00C1697D">
        <w:rPr>
          <w:rStyle w:val="eop"/>
        </w:rPr>
        <w:t xml:space="preserve"> in planning and engagement phases</w:t>
      </w:r>
      <w:r w:rsidR="00977E33">
        <w:rPr>
          <w:rStyle w:val="eop"/>
        </w:rPr>
        <w:t>,</w:t>
      </w:r>
      <w:r w:rsidR="002764ED" w:rsidRPr="00C1697D">
        <w:rPr>
          <w:rStyle w:val="eop"/>
        </w:rPr>
        <w:t xml:space="preserve"> and will be converted</w:t>
      </w:r>
      <w:r w:rsidR="00A353A0" w:rsidRPr="00C1697D">
        <w:rPr>
          <w:rStyle w:val="eop"/>
        </w:rPr>
        <w:t xml:space="preserve"> in 2023 or</w:t>
      </w:r>
      <w:r w:rsidR="002764ED" w:rsidRPr="00C1697D">
        <w:rPr>
          <w:rStyle w:val="eop"/>
        </w:rPr>
        <w:t xml:space="preserve"> 2024.</w:t>
      </w:r>
      <w:r w:rsidR="00A353A0" w:rsidRPr="00C1697D">
        <w:rPr>
          <w:rStyle w:val="FootnoteReference"/>
        </w:rPr>
        <w:footnoteReference w:id="65"/>
      </w:r>
      <w:r w:rsidR="002764ED" w:rsidRPr="00C1697D">
        <w:rPr>
          <w:rStyle w:val="eop"/>
        </w:rPr>
        <w:t xml:space="preserve"> All told these developments </w:t>
      </w:r>
      <w:r w:rsidR="000900E4" w:rsidRPr="00C1697D">
        <w:rPr>
          <w:rStyle w:val="eop"/>
        </w:rPr>
        <w:t xml:space="preserve">have 37,709 </w:t>
      </w:r>
      <w:r w:rsidR="002764ED" w:rsidRPr="00C1697D">
        <w:rPr>
          <w:rStyle w:val="eop"/>
        </w:rPr>
        <w:t xml:space="preserve">apartments which </w:t>
      </w:r>
      <w:r w:rsidR="005D48A9">
        <w:rPr>
          <w:rStyle w:val="eop"/>
        </w:rPr>
        <w:t xml:space="preserve">account for </w:t>
      </w:r>
      <w:r w:rsidR="000900E4" w:rsidRPr="00C1697D">
        <w:rPr>
          <w:rStyle w:val="eop"/>
        </w:rPr>
        <w:t>over 20</w:t>
      </w:r>
      <w:r w:rsidR="002764ED" w:rsidRPr="00C1697D">
        <w:rPr>
          <w:rStyle w:val="eop"/>
        </w:rPr>
        <w:t xml:space="preserve"> percent of all NYCHA apartments.</w:t>
      </w:r>
      <w:r w:rsidR="002764ED" w:rsidRPr="00C1697D">
        <w:rPr>
          <w:rStyle w:val="FootnoteReference"/>
        </w:rPr>
        <w:footnoteReference w:id="66"/>
      </w:r>
      <w:r w:rsidR="002764ED" w:rsidRPr="00C1697D">
        <w:rPr>
          <w:rStyle w:val="eop"/>
        </w:rPr>
        <w:t xml:space="preserve"> </w:t>
      </w:r>
    </w:p>
    <w:p w14:paraId="5CFA2042" w14:textId="3389793E" w:rsidR="00C1697D" w:rsidRPr="00C1697D" w:rsidRDefault="002764ED" w:rsidP="00910C58">
      <w:pPr>
        <w:pStyle w:val="paragraph"/>
        <w:spacing w:before="0" w:beforeAutospacing="0" w:after="0" w:afterAutospacing="0" w:line="480" w:lineRule="auto"/>
        <w:ind w:firstLine="720"/>
        <w:jc w:val="both"/>
        <w:textAlignment w:val="baseline"/>
      </w:pPr>
      <w:r w:rsidRPr="00C1697D">
        <w:rPr>
          <w:rStyle w:val="eop"/>
        </w:rPr>
        <w:t>NYCHA has repeatedly stated that converted PACT developments have had their physical needs met and are being responsibly managed.</w:t>
      </w:r>
      <w:r w:rsidRPr="00C1697D">
        <w:rPr>
          <w:rStyle w:val="FootnoteReference"/>
        </w:rPr>
        <w:footnoteReference w:id="67"/>
      </w:r>
      <w:r w:rsidRPr="00C1697D">
        <w:rPr>
          <w:rStyle w:val="eop"/>
        </w:rPr>
        <w:t xml:space="preserve"> </w:t>
      </w:r>
      <w:r w:rsidR="00BC12A5" w:rsidRPr="00C1697D">
        <w:rPr>
          <w:rStyle w:val="eop"/>
        </w:rPr>
        <w:t>This overall message from NYCHA</w:t>
      </w:r>
      <w:r w:rsidR="00E5703E" w:rsidRPr="00C1697D">
        <w:rPr>
          <w:rStyle w:val="eop"/>
        </w:rPr>
        <w:t>, which is also seconded by some residents in PACT developments,</w:t>
      </w:r>
      <w:r w:rsidR="00BC12A5" w:rsidRPr="00C1697D">
        <w:rPr>
          <w:rStyle w:val="eop"/>
        </w:rPr>
        <w:t xml:space="preserve"> has b</w:t>
      </w:r>
      <w:r w:rsidR="00E5703E" w:rsidRPr="00C1697D">
        <w:rPr>
          <w:rStyle w:val="eop"/>
        </w:rPr>
        <w:t>een called into question by</w:t>
      </w:r>
      <w:r w:rsidR="00BC12A5" w:rsidRPr="00C1697D">
        <w:rPr>
          <w:rStyle w:val="eop"/>
        </w:rPr>
        <w:t xml:space="preserve"> residents</w:t>
      </w:r>
      <w:r w:rsidR="00E5703E" w:rsidRPr="00C1697D">
        <w:rPr>
          <w:rStyle w:val="eop"/>
        </w:rPr>
        <w:t xml:space="preserve"> </w:t>
      </w:r>
      <w:r w:rsidR="00BC12A5" w:rsidRPr="00C1697D">
        <w:rPr>
          <w:rStyle w:val="eop"/>
        </w:rPr>
        <w:t xml:space="preserve">who have complained about the quality of the repairs </w:t>
      </w:r>
      <w:r w:rsidR="002739A8" w:rsidRPr="00C1697D">
        <w:rPr>
          <w:rStyle w:val="eop"/>
        </w:rPr>
        <w:t>done by the private developers.</w:t>
      </w:r>
      <w:r w:rsidR="002739A8" w:rsidRPr="00C1697D">
        <w:rPr>
          <w:rStyle w:val="FootnoteReference"/>
        </w:rPr>
        <w:footnoteReference w:id="68"/>
      </w:r>
      <w:r w:rsidR="002739A8" w:rsidRPr="00C1697D">
        <w:rPr>
          <w:rStyle w:val="eop"/>
        </w:rPr>
        <w:t xml:space="preserve"> Getting complete and accurate analysis </w:t>
      </w:r>
      <w:r w:rsidR="00E5703E" w:rsidRPr="00C1697D">
        <w:rPr>
          <w:rStyle w:val="eop"/>
        </w:rPr>
        <w:t>o</w:t>
      </w:r>
      <w:r w:rsidR="00977E33">
        <w:rPr>
          <w:rStyle w:val="eop"/>
        </w:rPr>
        <w:t>f</w:t>
      </w:r>
      <w:r w:rsidR="00E5703E" w:rsidRPr="00C1697D">
        <w:rPr>
          <w:rStyle w:val="eop"/>
        </w:rPr>
        <w:t xml:space="preserve"> the work being done at converted developments is somewhat difficult, but there are at least some signs that not all the physical needs at some converted developments have been fully met. A</w:t>
      </w:r>
      <w:r w:rsidR="005D48A9">
        <w:rPr>
          <w:rStyle w:val="eop"/>
        </w:rPr>
        <w:t xml:space="preserve">n analysis of housing code violations on OpenDataNYC, </w:t>
      </w:r>
      <w:r w:rsidR="00EE1258">
        <w:rPr>
          <w:rStyle w:val="eop"/>
        </w:rPr>
        <w:t xml:space="preserve">by </w:t>
      </w:r>
      <w:r w:rsidR="00E5703E" w:rsidRPr="00C1697D">
        <w:rPr>
          <w:rStyle w:val="eop"/>
        </w:rPr>
        <w:t>Council staff found several developments with continual and persistent housing co</w:t>
      </w:r>
      <w:r w:rsidR="007B2E1A">
        <w:rPr>
          <w:rStyle w:val="eop"/>
        </w:rPr>
        <w:t xml:space="preserve">de violations since conversion to the PACT program. </w:t>
      </w:r>
      <w:r w:rsidR="00C1697D" w:rsidRPr="00C1697D">
        <w:t>B</w:t>
      </w:r>
      <w:r w:rsidR="007B2E1A">
        <w:t>etances</w:t>
      </w:r>
      <w:r w:rsidR="00977E33">
        <w:t>,</w:t>
      </w:r>
      <w:r w:rsidR="007B2E1A">
        <w:t xml:space="preserve"> which has </w:t>
      </w:r>
      <w:r w:rsidR="00C1697D" w:rsidRPr="00C1697D">
        <w:t>1,088 units total</w:t>
      </w:r>
      <w:r w:rsidR="007B2E1A">
        <w:t xml:space="preserve"> across multiple campuses across the South Bronx</w:t>
      </w:r>
      <w:r w:rsidR="00977E33">
        <w:t>,</w:t>
      </w:r>
      <w:r w:rsidR="007B2E1A">
        <w:t xml:space="preserve"> has </w:t>
      </w:r>
      <w:r w:rsidR="00C1697D" w:rsidRPr="00C1697D">
        <w:t xml:space="preserve">539 HPD violations since 2019 </w:t>
      </w:r>
      <w:r w:rsidR="007B2E1A">
        <w:t xml:space="preserve">with </w:t>
      </w:r>
      <w:r w:rsidR="00C1697D" w:rsidRPr="00C1697D">
        <w:t>40</w:t>
      </w:r>
      <w:r w:rsidR="007B2E1A">
        <w:t>2 Class B or Class C violations.</w:t>
      </w:r>
      <w:r w:rsidR="005D48A9">
        <w:rPr>
          <w:rStyle w:val="FootnoteReference"/>
        </w:rPr>
        <w:footnoteReference w:id="69"/>
      </w:r>
      <w:r w:rsidR="007B2E1A">
        <w:t xml:space="preserve"> In 2023</w:t>
      </w:r>
      <w:r w:rsidR="00977E33">
        <w:t>,</w:t>
      </w:r>
      <w:r w:rsidR="007B2E1A">
        <w:t xml:space="preserve"> through October, there has been an i</w:t>
      </w:r>
      <w:r w:rsidR="00C1697D" w:rsidRPr="00C1697D">
        <w:t xml:space="preserve">ncrease in </w:t>
      </w:r>
      <w:r w:rsidR="007B2E1A">
        <w:t>violations with 148</w:t>
      </w:r>
      <w:r w:rsidR="00977E33">
        <w:t xml:space="preserve"> total</w:t>
      </w:r>
      <w:r w:rsidR="007B2E1A">
        <w:t xml:space="preserve"> HPD violations and </w:t>
      </w:r>
      <w:r w:rsidR="00C1697D" w:rsidRPr="00C1697D">
        <w:t>117</w:t>
      </w:r>
      <w:r w:rsidR="007B2E1A">
        <w:t xml:space="preserve"> class B or C violations. Another development</w:t>
      </w:r>
      <w:r w:rsidR="00977E33">
        <w:t>,</w:t>
      </w:r>
      <w:r w:rsidR="007B2E1A">
        <w:t xml:space="preserve"> of a different size</w:t>
      </w:r>
      <w:r w:rsidR="00977E33">
        <w:t>,</w:t>
      </w:r>
      <w:r w:rsidR="007B2E1A">
        <w:t xml:space="preserve"> </w:t>
      </w:r>
      <w:r w:rsidR="00977E33">
        <w:t>with a significant</w:t>
      </w:r>
      <w:r w:rsidR="007B2E1A">
        <w:t xml:space="preserve"> number of HPD violations is </w:t>
      </w:r>
      <w:r w:rsidR="00C1697D" w:rsidRPr="00C1697D">
        <w:t>Washington Heights Rehab Phase III (Harlem River)</w:t>
      </w:r>
      <w:r w:rsidR="007B2E1A">
        <w:t>.</w:t>
      </w:r>
      <w:r w:rsidR="005D48A9">
        <w:rPr>
          <w:rStyle w:val="FootnoteReference"/>
        </w:rPr>
        <w:footnoteReference w:id="70"/>
      </w:r>
      <w:r w:rsidR="007B2E1A">
        <w:t xml:space="preserve"> Since 2021 there have been </w:t>
      </w:r>
      <w:r w:rsidR="00C1697D" w:rsidRPr="00C1697D">
        <w:t xml:space="preserve">83 </w:t>
      </w:r>
      <w:r w:rsidR="007B2E1A">
        <w:t xml:space="preserve">total </w:t>
      </w:r>
      <w:r w:rsidR="00C1697D" w:rsidRPr="00C1697D">
        <w:t>HPD violations</w:t>
      </w:r>
      <w:r w:rsidR="007B2E1A">
        <w:t xml:space="preserve"> and 51 Class B or C violations.</w:t>
      </w:r>
      <w:r w:rsidR="005D48A9">
        <w:rPr>
          <w:rStyle w:val="FootnoteReference"/>
        </w:rPr>
        <w:footnoteReference w:id="71"/>
      </w:r>
      <w:r w:rsidR="007B2E1A">
        <w:t xml:space="preserve"> This is </w:t>
      </w:r>
      <w:r w:rsidR="00977E33">
        <w:t>troubling significantly larger number since</w:t>
      </w:r>
      <w:r w:rsidR="007B2E1A">
        <w:t xml:space="preserve"> there are only 14 units</w:t>
      </w:r>
      <w:r w:rsidR="00977E33">
        <w:t>,</w:t>
      </w:r>
      <w:r w:rsidR="007B2E1A">
        <w:t xml:space="preserve"> which equa</w:t>
      </w:r>
      <w:r w:rsidR="00977E33">
        <w:t>te</w:t>
      </w:r>
      <w:r w:rsidR="007B2E1A">
        <w:t>s</w:t>
      </w:r>
      <w:r w:rsidR="00977E33">
        <w:t xml:space="preserve"> to</w:t>
      </w:r>
      <w:r w:rsidR="007B2E1A">
        <w:t xml:space="preserve"> more than </w:t>
      </w:r>
      <w:r w:rsidR="00301C3F">
        <w:t>26</w:t>
      </w:r>
      <w:r w:rsidR="007B2E1A" w:rsidRPr="00C1697D">
        <w:t xml:space="preserve"> vi</w:t>
      </w:r>
      <w:r w:rsidR="007B2E1A">
        <w:t xml:space="preserve">olations per 10 units each year. Finally in </w:t>
      </w:r>
      <w:r w:rsidR="00C1697D" w:rsidRPr="00C1697D">
        <w:t>Ocean Bay Apartments (Bayside)</w:t>
      </w:r>
      <w:r w:rsidR="00977E33">
        <w:t>,</w:t>
      </w:r>
      <w:r w:rsidR="00AB7381">
        <w:t xml:space="preserve"> </w:t>
      </w:r>
      <w:r w:rsidR="007B2E1A">
        <w:t xml:space="preserve">where there are </w:t>
      </w:r>
      <w:r w:rsidR="00C1697D" w:rsidRPr="00C1697D">
        <w:t>1,395 units</w:t>
      </w:r>
      <w:r w:rsidR="007B2E1A">
        <w:t xml:space="preserve">, there has been </w:t>
      </w:r>
      <w:r w:rsidR="00C1697D" w:rsidRPr="00C1697D">
        <w:t>1,117 HPD violations since 2018</w:t>
      </w:r>
      <w:r w:rsidR="00DF0DD0">
        <w:t>, or</w:t>
      </w:r>
      <w:r w:rsidR="00C1697D" w:rsidRPr="00C1697D">
        <w:t xml:space="preserve"> </w:t>
      </w:r>
      <w:r w:rsidR="00AB7381">
        <w:t xml:space="preserve">roughly </w:t>
      </w:r>
      <w:r w:rsidR="00C1697D" w:rsidRPr="00C1697D">
        <w:t>1.3 vi</w:t>
      </w:r>
      <w:r w:rsidR="00AB7381">
        <w:t>olations per 10 units each year.</w:t>
      </w:r>
      <w:r w:rsidR="005D48A9">
        <w:rPr>
          <w:rStyle w:val="FootnoteReference"/>
        </w:rPr>
        <w:footnoteReference w:id="72"/>
      </w:r>
      <w:r w:rsidR="00AB7381">
        <w:t xml:space="preserve"> This has included </w:t>
      </w:r>
      <w:r w:rsidR="00C1697D" w:rsidRPr="00C1697D">
        <w:t>859 Class B or C violations since 2018</w:t>
      </w:r>
      <w:r w:rsidR="00AB7381">
        <w:t xml:space="preserve"> and a spike of </w:t>
      </w:r>
      <w:r w:rsidR="00C1697D" w:rsidRPr="00C1697D">
        <w:t>46 class C violations in July 2022</w:t>
      </w:r>
      <w:r w:rsidR="00AB7381">
        <w:t>.</w:t>
      </w:r>
      <w:r w:rsidR="005D48A9">
        <w:rPr>
          <w:rStyle w:val="FootnoteReference"/>
        </w:rPr>
        <w:footnoteReference w:id="73"/>
      </w:r>
      <w:r w:rsidR="00AB7381">
        <w:t xml:space="preserve"> While these are only some of the PACT developments, these are </w:t>
      </w:r>
      <w:r w:rsidR="00DF0DD0">
        <w:t xml:space="preserve">concerning </w:t>
      </w:r>
      <w:r w:rsidR="00AB7381">
        <w:t xml:space="preserve">numbers considering the reliance on the PACT program and partners to address the physical needs of the developments. </w:t>
      </w:r>
    </w:p>
    <w:p w14:paraId="1069840F" w14:textId="2F0C9986" w:rsidR="00C1697D" w:rsidRDefault="00E5703E" w:rsidP="00910C58">
      <w:pPr>
        <w:pStyle w:val="paragraph"/>
        <w:spacing w:before="0" w:beforeAutospacing="0" w:after="0" w:afterAutospacing="0" w:line="480" w:lineRule="auto"/>
        <w:ind w:firstLine="720"/>
        <w:jc w:val="both"/>
        <w:textAlignment w:val="baseline"/>
        <w:rPr>
          <w:rStyle w:val="eop"/>
        </w:rPr>
      </w:pPr>
      <w:r w:rsidRPr="00C1697D">
        <w:rPr>
          <w:rStyle w:val="eop"/>
        </w:rPr>
        <w:t>Outside of the work to bring the buildings to a state of good repair, the other major change for residents is the shift from NYCHA management to private management. One of the central concerns for residents is an increase in displacements due to the change in management, either through evictions or other causes.</w:t>
      </w:r>
      <w:r w:rsidRPr="00C1697D">
        <w:rPr>
          <w:rStyle w:val="FootnoteReference"/>
        </w:rPr>
        <w:footnoteReference w:id="74"/>
      </w:r>
      <w:r w:rsidRPr="00C1697D">
        <w:rPr>
          <w:rStyle w:val="eop"/>
        </w:rPr>
        <w:t xml:space="preserve"> Ge</w:t>
      </w:r>
      <w:r w:rsidR="006F72A4" w:rsidRPr="00C1697D">
        <w:rPr>
          <w:rStyle w:val="eop"/>
        </w:rPr>
        <w:t xml:space="preserve">nerally speaking </w:t>
      </w:r>
      <w:r w:rsidRPr="00C1697D">
        <w:rPr>
          <w:rStyle w:val="eop"/>
        </w:rPr>
        <w:t>NYCHA has a low eviction rate compare</w:t>
      </w:r>
      <w:r w:rsidR="006F72A4" w:rsidRPr="00C1697D">
        <w:rPr>
          <w:rStyle w:val="eop"/>
        </w:rPr>
        <w:t>d to private housing, but there is at least some indication of an uptick in evictions in development</w:t>
      </w:r>
      <w:r w:rsidR="00DF0DD0">
        <w:rPr>
          <w:rStyle w:val="eop"/>
        </w:rPr>
        <w:t>s</w:t>
      </w:r>
      <w:r w:rsidR="006F72A4" w:rsidRPr="00C1697D">
        <w:rPr>
          <w:rStyle w:val="eop"/>
        </w:rPr>
        <w:t xml:space="preserve"> converted to the PACT program.</w:t>
      </w:r>
      <w:r w:rsidR="006F72A4" w:rsidRPr="00C1697D">
        <w:rPr>
          <w:rStyle w:val="FootnoteReference"/>
        </w:rPr>
        <w:footnoteReference w:id="75"/>
      </w:r>
      <w:r w:rsidR="00C1697D">
        <w:rPr>
          <w:rStyle w:val="eop"/>
        </w:rPr>
        <w:t xml:space="preserve"> </w:t>
      </w:r>
    </w:p>
    <w:p w14:paraId="0BF88C1C" w14:textId="3430EC85" w:rsidR="00EA5EE6" w:rsidRPr="00C1697D" w:rsidRDefault="00C1697D" w:rsidP="00EA5EE6">
      <w:pPr>
        <w:pStyle w:val="paragraph"/>
        <w:spacing w:before="0" w:beforeAutospacing="0" w:after="0" w:afterAutospacing="0" w:line="480" w:lineRule="auto"/>
        <w:ind w:firstLine="720"/>
        <w:jc w:val="both"/>
        <w:textAlignment w:val="baseline"/>
      </w:pPr>
      <w:r>
        <w:rPr>
          <w:rStyle w:val="eop"/>
        </w:rPr>
        <w:t>One PACT development where the eviction rate</w:t>
      </w:r>
      <w:r w:rsidR="00A9563F">
        <w:rPr>
          <w:rStyle w:val="eop"/>
        </w:rPr>
        <w:t>s</w:t>
      </w:r>
      <w:r>
        <w:rPr>
          <w:rStyle w:val="eop"/>
        </w:rPr>
        <w:t xml:space="preserve"> post</w:t>
      </w:r>
      <w:r w:rsidR="00DF0DD0">
        <w:rPr>
          <w:rStyle w:val="eop"/>
        </w:rPr>
        <w:t>-</w:t>
      </w:r>
      <w:r>
        <w:rPr>
          <w:rStyle w:val="eop"/>
        </w:rPr>
        <w:t>conversion has been examined is Ocean</w:t>
      </w:r>
      <w:r>
        <w:t xml:space="preserve"> Bay Apartments. </w:t>
      </w:r>
      <w:r w:rsidR="00DF0DD0">
        <w:t xml:space="preserve">A City </w:t>
      </w:r>
      <w:r w:rsidR="00C86DED">
        <w:t xml:space="preserve">Council </w:t>
      </w:r>
      <w:r w:rsidR="00DF0DD0">
        <w:t xml:space="preserve">staff </w:t>
      </w:r>
      <w:r w:rsidR="00C86DED">
        <w:t>examination of marshal eviction rates showed higher eviction rate</w:t>
      </w:r>
      <w:r w:rsidR="00DF0DD0">
        <w:t>s</w:t>
      </w:r>
      <w:r w:rsidR="00C86DED">
        <w:t xml:space="preserve"> at the development since conversion compared to NYCHA as a whole.</w:t>
      </w:r>
      <w:r w:rsidRPr="00C1697D">
        <w:t xml:space="preserve"> </w:t>
      </w:r>
      <w:r w:rsidR="00A9563F">
        <w:t>While this number would not truly capture the entirety of the situation as this is simply the scheduled and enacted ev</w:t>
      </w:r>
      <w:r w:rsidR="005D48A9">
        <w:t>ictions, it provides a data point on a possible point of displacement in the PACT conversion program.</w:t>
      </w:r>
      <w:r w:rsidR="00A9563F">
        <w:t xml:space="preserve"> </w:t>
      </w:r>
      <w:r w:rsidR="00EA5EE6">
        <w:t>Council examination of marshal eviction rates showed higher eviction rate</w:t>
      </w:r>
      <w:r w:rsidR="00EE1258">
        <w:t>s</w:t>
      </w:r>
      <w:r w:rsidR="00EA5EE6">
        <w:t xml:space="preserve"> at the development since conversion</w:t>
      </w:r>
      <w:r w:rsidR="00EE1258">
        <w:t>, as</w:t>
      </w:r>
      <w:r w:rsidR="00EA5EE6">
        <w:t xml:space="preserve"> compared to NYCHA as a whole.</w:t>
      </w:r>
      <w:r w:rsidR="00EA5EE6" w:rsidRPr="00C1697D">
        <w:t xml:space="preserve"> 112 evictions since Jan 2017</w:t>
      </w:r>
      <w:r w:rsidR="00EA5EE6">
        <w:t xml:space="preserve"> which is a rate of </w:t>
      </w:r>
      <w:r w:rsidR="00EA5EE6" w:rsidRPr="00C1697D">
        <w:t>0.08 evictions per unit since Jan 2017</w:t>
      </w:r>
      <w:r w:rsidR="00EA5EE6">
        <w:t>.</w:t>
      </w:r>
      <w:r w:rsidR="00EA5EE6">
        <w:rPr>
          <w:rStyle w:val="FootnoteReference"/>
        </w:rPr>
        <w:footnoteReference w:id="76"/>
      </w:r>
      <w:r w:rsidR="00EA5EE6">
        <w:t xml:space="preserve"> This is five times the rate of NYCHA as a whole which had </w:t>
      </w:r>
      <w:r w:rsidR="00EA5EE6" w:rsidRPr="00C1697D">
        <w:t>0.014 evictions per unit in NYCHA since Jan 2017</w:t>
      </w:r>
      <w:r w:rsidR="00EA5EE6">
        <w:t>.</w:t>
      </w:r>
      <w:r w:rsidR="00EA5EE6">
        <w:rPr>
          <w:rStyle w:val="FootnoteReference"/>
        </w:rPr>
        <w:footnoteReference w:id="77"/>
      </w:r>
      <w:r w:rsidR="00EA5EE6">
        <w:t xml:space="preserve"> Enterprise Community Partners examined evictions at PACT developments and contend that there is not enough data to support the contention </w:t>
      </w:r>
      <w:r w:rsidR="0061101C">
        <w:t>that there is a conclusive relationship between PACT conversions and eviction rates</w:t>
      </w:r>
      <w:r w:rsidR="00EA5EE6">
        <w:t>.</w:t>
      </w:r>
      <w:r w:rsidR="00EA5EE6">
        <w:rPr>
          <w:rStyle w:val="FootnoteReference"/>
        </w:rPr>
        <w:footnoteReference w:id="78"/>
      </w:r>
      <w:r w:rsidR="0061101C">
        <w:t xml:space="preserve"> This finding is based on the lack of evictions on PACT sites after the lifting of the evictions moratorium during the COVID-19 pandemic.</w:t>
      </w:r>
      <w:r w:rsidR="0061101C">
        <w:rPr>
          <w:rStyle w:val="FootnoteReference"/>
        </w:rPr>
        <w:footnoteReference w:id="79"/>
      </w:r>
      <w:r w:rsidR="0061101C">
        <w:t xml:space="preserve"> They also pointed to the fact that holdover evictions, or evictions for reasons other than nonpayment of rent account for the majority of the evictions post conversion.</w:t>
      </w:r>
      <w:r w:rsidR="0061101C">
        <w:rPr>
          <w:rStyle w:val="FootnoteReference"/>
        </w:rPr>
        <w:footnoteReference w:id="80"/>
      </w:r>
    </w:p>
    <w:p w14:paraId="4C956D74" w14:textId="4EDD5583" w:rsidR="006F72A4" w:rsidRPr="00C1697D" w:rsidRDefault="00DF0DD0" w:rsidP="00EA5EE6">
      <w:pPr>
        <w:pStyle w:val="paragraph"/>
        <w:spacing w:before="0" w:beforeAutospacing="0" w:after="0" w:afterAutospacing="0" w:line="480" w:lineRule="auto"/>
        <w:ind w:firstLine="720"/>
        <w:jc w:val="both"/>
        <w:textAlignment w:val="baseline"/>
        <w:rPr>
          <w:rStyle w:val="normaltextrun"/>
        </w:rPr>
      </w:pPr>
      <w:r>
        <w:rPr>
          <w:rStyle w:val="normaltextrun"/>
        </w:rPr>
        <w:t>I</w:t>
      </w:r>
      <w:r w:rsidR="006F72A4" w:rsidRPr="00C1697D">
        <w:rPr>
          <w:rStyle w:val="normaltextrun"/>
        </w:rPr>
        <w:t>n the summer of 2023, the developer teams picked to oversee the Fulton Elliot Chelsea PACT conversion and NYCHA announced a plan to fully demolish the buildings in all three developments and replace them with new construction of a mixed income and mixed use development on the respective NYCHA properties.</w:t>
      </w:r>
      <w:r w:rsidR="00E665AA" w:rsidRPr="00C1697D">
        <w:rPr>
          <w:rStyle w:val="FootnoteReference"/>
        </w:rPr>
        <w:footnoteReference w:id="81"/>
      </w:r>
      <w:r w:rsidR="00E665AA" w:rsidRPr="00C1697D">
        <w:rPr>
          <w:rStyle w:val="normaltextrun"/>
        </w:rPr>
        <w:t xml:space="preserve"> This decision was announced after </w:t>
      </w:r>
      <w:r w:rsidR="00E851FD" w:rsidRPr="00C1697D">
        <w:rPr>
          <w:rStyle w:val="normaltextrun"/>
        </w:rPr>
        <w:t>a working</w:t>
      </w:r>
      <w:r w:rsidR="009245B2" w:rsidRPr="00C1697D">
        <w:rPr>
          <w:rStyle w:val="normaltextrun"/>
        </w:rPr>
        <w:t xml:space="preserve"> group process </w:t>
      </w:r>
      <w:r w:rsidR="00E851FD">
        <w:rPr>
          <w:rStyle w:val="normaltextrun"/>
        </w:rPr>
        <w:t xml:space="preserve">that took place over a number of years </w:t>
      </w:r>
      <w:r w:rsidR="009245B2" w:rsidRPr="00C1697D">
        <w:rPr>
          <w:rStyle w:val="normaltextrun"/>
        </w:rPr>
        <w:t>and a survey conducted of the residents of all three developments.</w:t>
      </w:r>
      <w:r w:rsidR="009245B2" w:rsidRPr="00C1697D">
        <w:rPr>
          <w:rStyle w:val="FootnoteReference"/>
        </w:rPr>
        <w:footnoteReference w:id="82"/>
      </w:r>
      <w:r w:rsidR="009245B2" w:rsidRPr="00C1697D">
        <w:rPr>
          <w:rStyle w:val="normaltextrun"/>
        </w:rPr>
        <w:t xml:space="preserve"> According to news reports</w:t>
      </w:r>
      <w:r w:rsidR="007824C4" w:rsidRPr="00C1697D">
        <w:rPr>
          <w:rStyle w:val="normaltextrun"/>
        </w:rPr>
        <w:t>,</w:t>
      </w:r>
      <w:r w:rsidR="009245B2" w:rsidRPr="00C1697D">
        <w:rPr>
          <w:rStyle w:val="normaltextrun"/>
        </w:rPr>
        <w:t xml:space="preserve"> 30 percent of eligible residents </w:t>
      </w:r>
      <w:r w:rsidR="007824C4" w:rsidRPr="00C1697D">
        <w:rPr>
          <w:rStyle w:val="normaltextrun"/>
        </w:rPr>
        <w:t xml:space="preserve">voted in the survey and 60 </w:t>
      </w:r>
      <w:r w:rsidR="0061101C">
        <w:rPr>
          <w:rStyle w:val="normaltextrun"/>
        </w:rPr>
        <w:t xml:space="preserve">percent of the persons who voted </w:t>
      </w:r>
      <w:r w:rsidR="007824C4" w:rsidRPr="00C1697D">
        <w:rPr>
          <w:rStyle w:val="normaltextrun"/>
        </w:rPr>
        <w:t>opted for demolition.</w:t>
      </w:r>
      <w:r w:rsidR="007824C4" w:rsidRPr="00C1697D">
        <w:rPr>
          <w:rStyle w:val="FootnoteReference"/>
        </w:rPr>
        <w:footnoteReference w:id="83"/>
      </w:r>
      <w:r w:rsidR="007824C4" w:rsidRPr="00C1697D">
        <w:rPr>
          <w:rStyle w:val="normaltextrun"/>
        </w:rPr>
        <w:t xml:space="preserve"> The wording </w:t>
      </w:r>
      <w:r w:rsidR="004844C6">
        <w:rPr>
          <w:rStyle w:val="normaltextrun"/>
        </w:rPr>
        <w:t xml:space="preserve">of the survey </w:t>
      </w:r>
      <w:r w:rsidR="007824C4" w:rsidRPr="00C1697D">
        <w:rPr>
          <w:rStyle w:val="normaltextrun"/>
        </w:rPr>
        <w:t xml:space="preserve">and </w:t>
      </w:r>
      <w:r w:rsidR="00AF1E7C" w:rsidRPr="00C1697D">
        <w:rPr>
          <w:rStyle w:val="normaltextrun"/>
        </w:rPr>
        <w:t xml:space="preserve">resident </w:t>
      </w:r>
      <w:r w:rsidR="007824C4" w:rsidRPr="00C1697D">
        <w:rPr>
          <w:rStyle w:val="normaltextrun"/>
        </w:rPr>
        <w:t>buy-in claimed by NYCHA has been disputed by residents of the</w:t>
      </w:r>
      <w:r w:rsidR="00AF1E7C" w:rsidRPr="00C1697D">
        <w:rPr>
          <w:rStyle w:val="normaltextrun"/>
        </w:rPr>
        <w:t xml:space="preserve"> developments as well as advocates who work closely with residents.</w:t>
      </w:r>
      <w:r w:rsidR="00AF1E7C" w:rsidRPr="00C1697D">
        <w:rPr>
          <w:rStyle w:val="FootnoteReference"/>
        </w:rPr>
        <w:footnoteReference w:id="84"/>
      </w:r>
      <w:r w:rsidR="007824C4" w:rsidRPr="00C1697D">
        <w:rPr>
          <w:rStyle w:val="normaltextrun"/>
        </w:rPr>
        <w:t xml:space="preserve"> </w:t>
      </w:r>
      <w:r w:rsidR="00AF1E7C" w:rsidRPr="00C1697D">
        <w:rPr>
          <w:rStyle w:val="normaltextrun"/>
        </w:rPr>
        <w:t xml:space="preserve">This plan would be the first PACT conversion which would </w:t>
      </w:r>
      <w:r>
        <w:rPr>
          <w:rStyle w:val="normaltextrun"/>
        </w:rPr>
        <w:t xml:space="preserve">be </w:t>
      </w:r>
      <w:r w:rsidR="00AF1E7C" w:rsidRPr="00C1697D">
        <w:rPr>
          <w:rStyle w:val="normaltextrun"/>
        </w:rPr>
        <w:t xml:space="preserve">completed </w:t>
      </w:r>
      <w:r>
        <w:rPr>
          <w:rStyle w:val="normaltextrun"/>
        </w:rPr>
        <w:t xml:space="preserve">to </w:t>
      </w:r>
      <w:r w:rsidR="00AF1E7C" w:rsidRPr="00C1697D">
        <w:rPr>
          <w:rStyle w:val="normaltextrun"/>
        </w:rPr>
        <w:t>replace existing NYCHA buildings</w:t>
      </w:r>
      <w:r>
        <w:rPr>
          <w:rStyle w:val="normaltextrun"/>
        </w:rPr>
        <w:t>,</w:t>
      </w:r>
      <w:r w:rsidR="00AF1E7C" w:rsidRPr="00C1697D">
        <w:rPr>
          <w:rStyle w:val="normaltextrun"/>
        </w:rPr>
        <w:t xml:space="preserve"> as well as the </w:t>
      </w:r>
      <w:r>
        <w:rPr>
          <w:rStyle w:val="normaltextrun"/>
        </w:rPr>
        <w:t xml:space="preserve">first </w:t>
      </w:r>
      <w:r w:rsidR="00AF1E7C" w:rsidRPr="00C1697D">
        <w:rPr>
          <w:rStyle w:val="normaltextrun"/>
        </w:rPr>
        <w:t>time a PACT developer would be allowed to build mixed income housing on NYCHA owned land.</w:t>
      </w:r>
      <w:r w:rsidR="00AF1E7C" w:rsidRPr="00C1697D">
        <w:rPr>
          <w:rStyle w:val="FootnoteReference"/>
        </w:rPr>
        <w:footnoteReference w:id="85"/>
      </w:r>
      <w:r w:rsidR="00AF1E7C" w:rsidRPr="00C1697D">
        <w:rPr>
          <w:rStyle w:val="normaltextrun"/>
        </w:rPr>
        <w:t xml:space="preserve"> According to the developer’s plan, the</w:t>
      </w:r>
      <w:r w:rsidR="00F449DD" w:rsidRPr="00C1697D">
        <w:rPr>
          <w:rStyle w:val="normaltextrun"/>
        </w:rPr>
        <w:t>re would be roughly 3,500 units</w:t>
      </w:r>
      <w:r w:rsidR="00AF1E7C" w:rsidRPr="00C1697D">
        <w:rPr>
          <w:rStyle w:val="normaltextrun"/>
        </w:rPr>
        <w:t xml:space="preserve"> built with roughly 1,000 affordable units.</w:t>
      </w:r>
      <w:r w:rsidR="00AF1E7C" w:rsidRPr="00C1697D">
        <w:rPr>
          <w:rStyle w:val="FootnoteReference"/>
        </w:rPr>
        <w:footnoteReference w:id="86"/>
      </w:r>
      <w:r w:rsidR="00E40AF2" w:rsidRPr="00C1697D">
        <w:rPr>
          <w:rStyle w:val="normaltextrun"/>
        </w:rPr>
        <w:t xml:space="preserve"> This plan would require the developer to get a zoning change to allow the new buildings</w:t>
      </w:r>
      <w:r>
        <w:rPr>
          <w:rStyle w:val="normaltextrun"/>
        </w:rPr>
        <w:t xml:space="preserve"> at the planned-for sizes</w:t>
      </w:r>
      <w:r w:rsidR="00E40AF2" w:rsidRPr="00C1697D">
        <w:rPr>
          <w:rStyle w:val="normaltextrun"/>
        </w:rPr>
        <w:t>, but</w:t>
      </w:r>
      <w:r>
        <w:rPr>
          <w:rStyle w:val="normaltextrun"/>
        </w:rPr>
        <w:t>,</w:t>
      </w:r>
      <w:r w:rsidR="00E40AF2" w:rsidRPr="00C1697D">
        <w:rPr>
          <w:rStyle w:val="normaltextrun"/>
        </w:rPr>
        <w:t xml:space="preserve"> importantly</w:t>
      </w:r>
      <w:r>
        <w:rPr>
          <w:rStyle w:val="normaltextrun"/>
        </w:rPr>
        <w:t>,</w:t>
      </w:r>
      <w:r w:rsidR="00E40AF2" w:rsidRPr="00C1697D">
        <w:rPr>
          <w:rStyle w:val="normaltextrun"/>
        </w:rPr>
        <w:t xml:space="preserve"> according to the developers</w:t>
      </w:r>
      <w:r>
        <w:rPr>
          <w:rStyle w:val="normaltextrun"/>
        </w:rPr>
        <w:t>,</w:t>
      </w:r>
      <w:r w:rsidR="00E40AF2" w:rsidRPr="00C1697D">
        <w:rPr>
          <w:rStyle w:val="normaltextrun"/>
        </w:rPr>
        <w:t xml:space="preserve"> the rezoning would </w:t>
      </w:r>
      <w:r>
        <w:rPr>
          <w:rStyle w:val="normaltextrun"/>
        </w:rPr>
        <w:t xml:space="preserve">only </w:t>
      </w:r>
      <w:r w:rsidR="00E40AF2" w:rsidRPr="00C1697D">
        <w:rPr>
          <w:rStyle w:val="normaltextrun"/>
        </w:rPr>
        <w:t>be applied for after the initial demolition of some of the NYCHA buildings.</w:t>
      </w:r>
      <w:r w:rsidR="00E40AF2" w:rsidRPr="00C1697D">
        <w:rPr>
          <w:rStyle w:val="FootnoteReference"/>
        </w:rPr>
        <w:footnoteReference w:id="87"/>
      </w:r>
      <w:r w:rsidR="00E40AF2" w:rsidRPr="00C1697D">
        <w:rPr>
          <w:rStyle w:val="normaltextrun"/>
        </w:rPr>
        <w:t xml:space="preserve"> NYCHA and the developers have stated that the Environmental Impact Statement w</w:t>
      </w:r>
      <w:r>
        <w:rPr>
          <w:rStyle w:val="normaltextrun"/>
        </w:rPr>
        <w:t>ill</w:t>
      </w:r>
      <w:r w:rsidR="00E40AF2" w:rsidRPr="00C1697D">
        <w:rPr>
          <w:rStyle w:val="normaltextrun"/>
        </w:rPr>
        <w:t xml:space="preserve"> be drafted by November 2023</w:t>
      </w:r>
      <w:r w:rsidR="003E7336" w:rsidRPr="00C1697D">
        <w:rPr>
          <w:rStyle w:val="normaltextrun"/>
        </w:rPr>
        <w:t>.</w:t>
      </w:r>
    </w:p>
    <w:p w14:paraId="1E4B6FF5" w14:textId="17C0332A" w:rsidR="00F64684" w:rsidRPr="00C1697D" w:rsidRDefault="00910C58" w:rsidP="00910C58">
      <w:pPr>
        <w:pStyle w:val="paragraph"/>
        <w:spacing w:before="0" w:beforeAutospacing="0" w:after="0" w:afterAutospacing="0" w:line="480" w:lineRule="auto"/>
        <w:jc w:val="both"/>
        <w:textAlignment w:val="baseline"/>
        <w:rPr>
          <w:rStyle w:val="normaltextrun"/>
          <w:i/>
        </w:rPr>
      </w:pPr>
      <w:r>
        <w:rPr>
          <w:rStyle w:val="normaltextrun"/>
          <w:b/>
          <w:i/>
        </w:rPr>
        <w:t>The NYCHA</w:t>
      </w:r>
      <w:r w:rsidRPr="00C1697D">
        <w:rPr>
          <w:rStyle w:val="normaltextrun"/>
          <w:b/>
          <w:i/>
        </w:rPr>
        <w:t xml:space="preserve"> Public Housing Preservation Trust</w:t>
      </w:r>
    </w:p>
    <w:p w14:paraId="4F12BC94" w14:textId="092B5911" w:rsidR="000D0F29" w:rsidRPr="00C1697D" w:rsidRDefault="000D0F29" w:rsidP="00910C58">
      <w:pPr>
        <w:spacing w:line="480" w:lineRule="auto"/>
        <w:jc w:val="both"/>
        <w:rPr>
          <w:rFonts w:ascii="Times New Roman" w:hAnsi="Times New Roman" w:cs="Times New Roman"/>
          <w:sz w:val="24"/>
          <w:szCs w:val="24"/>
        </w:rPr>
      </w:pPr>
      <w:r w:rsidRPr="00C1697D">
        <w:rPr>
          <w:rFonts w:ascii="Times New Roman" w:hAnsi="Times New Roman" w:cs="Times New Roman"/>
          <w:sz w:val="24"/>
          <w:szCs w:val="24"/>
        </w:rPr>
        <w:tab/>
        <w:t>The NYCHA Public Housing Preservation Trust (“the Trust”) is a government organization authorized by New York State legislation</w:t>
      </w:r>
      <w:r w:rsidR="00DA7F5C">
        <w:rPr>
          <w:rFonts w:ascii="Times New Roman" w:hAnsi="Times New Roman" w:cs="Times New Roman"/>
          <w:sz w:val="24"/>
          <w:szCs w:val="24"/>
        </w:rPr>
        <w:t>,</w:t>
      </w:r>
      <w:r w:rsidRPr="00C1697D">
        <w:rPr>
          <w:rFonts w:ascii="Times New Roman" w:hAnsi="Times New Roman" w:cs="Times New Roman"/>
          <w:sz w:val="24"/>
          <w:szCs w:val="24"/>
        </w:rPr>
        <w:t xml:space="preserve"> </w:t>
      </w:r>
      <w:r w:rsidR="00DA7F5C">
        <w:rPr>
          <w:rFonts w:ascii="Times New Roman" w:hAnsi="Times New Roman" w:cs="Times New Roman"/>
          <w:sz w:val="24"/>
          <w:szCs w:val="24"/>
        </w:rPr>
        <w:t>which</w:t>
      </w:r>
      <w:r w:rsidR="00DA7F5C" w:rsidRPr="00C1697D">
        <w:rPr>
          <w:rFonts w:ascii="Times New Roman" w:hAnsi="Times New Roman" w:cs="Times New Roman"/>
          <w:sz w:val="24"/>
          <w:szCs w:val="24"/>
        </w:rPr>
        <w:t xml:space="preserve"> </w:t>
      </w:r>
      <w:r w:rsidRPr="00C1697D">
        <w:rPr>
          <w:rFonts w:ascii="Times New Roman" w:hAnsi="Times New Roman" w:cs="Times New Roman"/>
          <w:sz w:val="24"/>
          <w:szCs w:val="24"/>
        </w:rPr>
        <w:t>was signed into law on June 16, 2022.</w:t>
      </w:r>
      <w:r w:rsidRPr="00C1697D">
        <w:rPr>
          <w:rFonts w:ascii="Times New Roman" w:hAnsi="Times New Roman" w:cs="Times New Roman"/>
          <w:sz w:val="24"/>
          <w:szCs w:val="24"/>
          <w:vertAlign w:val="superscript"/>
        </w:rPr>
        <w:footnoteReference w:id="88"/>
      </w:r>
      <w:r w:rsidRPr="00C1697D">
        <w:rPr>
          <w:rFonts w:ascii="Times New Roman" w:hAnsi="Times New Roman" w:cs="Times New Roman"/>
          <w:sz w:val="24"/>
          <w:szCs w:val="24"/>
        </w:rPr>
        <w:t xml:space="preserve"> The Trust </w:t>
      </w:r>
      <w:r w:rsidR="0055015A" w:rsidRPr="00C1697D">
        <w:rPr>
          <w:rFonts w:ascii="Times New Roman" w:hAnsi="Times New Roman" w:cs="Times New Roman"/>
          <w:sz w:val="24"/>
          <w:szCs w:val="24"/>
        </w:rPr>
        <w:t>is</w:t>
      </w:r>
      <w:r w:rsidRPr="00C1697D">
        <w:rPr>
          <w:rFonts w:ascii="Times New Roman" w:hAnsi="Times New Roman" w:cs="Times New Roman"/>
          <w:sz w:val="24"/>
          <w:szCs w:val="24"/>
        </w:rPr>
        <w:t xml:space="preserve"> a public bene</w:t>
      </w:r>
      <w:r w:rsidR="0046252A" w:rsidRPr="00C1697D">
        <w:rPr>
          <w:rFonts w:ascii="Times New Roman" w:hAnsi="Times New Roman" w:cs="Times New Roman"/>
          <w:sz w:val="24"/>
          <w:szCs w:val="24"/>
        </w:rPr>
        <w:t>fit corporation</w:t>
      </w:r>
      <w:r w:rsidRPr="00C1697D">
        <w:rPr>
          <w:rFonts w:ascii="Times New Roman" w:hAnsi="Times New Roman" w:cs="Times New Roman"/>
          <w:sz w:val="24"/>
          <w:szCs w:val="24"/>
        </w:rPr>
        <w:t xml:space="preserve"> designed to help NYCHA secure billions of dollars of funding for repairs and improvements by unlocking alternative revenue streams pr</w:t>
      </w:r>
      <w:r w:rsidR="0046252A" w:rsidRPr="00C1697D">
        <w:rPr>
          <w:rFonts w:ascii="Times New Roman" w:hAnsi="Times New Roman" w:cs="Times New Roman"/>
          <w:sz w:val="24"/>
          <w:szCs w:val="24"/>
        </w:rPr>
        <w:t>eviously inaccessible by NYCHA.</w:t>
      </w:r>
      <w:r w:rsidR="0046252A" w:rsidRPr="00C1697D">
        <w:rPr>
          <w:rStyle w:val="FootnoteReference"/>
          <w:rFonts w:ascii="Times New Roman" w:hAnsi="Times New Roman" w:cs="Times New Roman"/>
          <w:sz w:val="24"/>
          <w:szCs w:val="24"/>
        </w:rPr>
        <w:footnoteReference w:id="89"/>
      </w:r>
      <w:r w:rsidR="0046252A" w:rsidRPr="00C1697D">
        <w:rPr>
          <w:rFonts w:ascii="Times New Roman" w:hAnsi="Times New Roman" w:cs="Times New Roman"/>
          <w:sz w:val="24"/>
          <w:szCs w:val="24"/>
        </w:rPr>
        <w:t xml:space="preserve"> The Trust would be eligible for project-based Section 8</w:t>
      </w:r>
      <w:r w:rsidRPr="00C1697D">
        <w:rPr>
          <w:rFonts w:ascii="Times New Roman" w:hAnsi="Times New Roman" w:cs="Times New Roman"/>
          <w:sz w:val="24"/>
          <w:szCs w:val="24"/>
        </w:rPr>
        <w:t xml:space="preserve"> Tenant Protection Vouchers </w:t>
      </w:r>
      <w:r w:rsidR="0046252A" w:rsidRPr="00C1697D">
        <w:rPr>
          <w:rFonts w:ascii="Times New Roman" w:hAnsi="Times New Roman" w:cs="Times New Roman"/>
          <w:sz w:val="24"/>
          <w:szCs w:val="24"/>
        </w:rPr>
        <w:t>and would be able to issue bonds based on the additional subsidy</w:t>
      </w:r>
      <w:r w:rsidRPr="00C1697D">
        <w:rPr>
          <w:rFonts w:ascii="Times New Roman" w:hAnsi="Times New Roman" w:cs="Times New Roman"/>
          <w:sz w:val="24"/>
          <w:szCs w:val="24"/>
        </w:rPr>
        <w:t>.</w:t>
      </w:r>
      <w:r w:rsidRPr="00C1697D">
        <w:rPr>
          <w:rFonts w:ascii="Times New Roman" w:hAnsi="Times New Roman" w:cs="Times New Roman"/>
          <w:sz w:val="24"/>
          <w:szCs w:val="24"/>
          <w:vertAlign w:val="superscript"/>
        </w:rPr>
        <w:footnoteReference w:id="90"/>
      </w:r>
      <w:r w:rsidRPr="00C1697D">
        <w:rPr>
          <w:rFonts w:ascii="Times New Roman" w:hAnsi="Times New Roman" w:cs="Times New Roman"/>
          <w:sz w:val="24"/>
          <w:szCs w:val="24"/>
        </w:rPr>
        <w:t xml:space="preserve"> Federal laws and regulations stipulate that NYCHA is not eligible to get federal project-based Section 8 subsidies by itself, and must enter into ground leases with another entity, </w:t>
      </w:r>
      <w:r w:rsidR="0046252A" w:rsidRPr="00C1697D">
        <w:rPr>
          <w:rFonts w:ascii="Times New Roman" w:hAnsi="Times New Roman" w:cs="Times New Roman"/>
          <w:sz w:val="24"/>
          <w:szCs w:val="24"/>
        </w:rPr>
        <w:t>in this case the Trust</w:t>
      </w:r>
      <w:r w:rsidRPr="00C1697D">
        <w:rPr>
          <w:rFonts w:ascii="Times New Roman" w:hAnsi="Times New Roman" w:cs="Times New Roman"/>
          <w:sz w:val="24"/>
          <w:szCs w:val="24"/>
        </w:rPr>
        <w:t>.</w:t>
      </w:r>
      <w:r w:rsidRPr="00C1697D">
        <w:rPr>
          <w:rFonts w:ascii="Times New Roman" w:hAnsi="Times New Roman" w:cs="Times New Roman"/>
          <w:sz w:val="24"/>
          <w:szCs w:val="24"/>
          <w:vertAlign w:val="superscript"/>
        </w:rPr>
        <w:footnoteReference w:id="91"/>
      </w:r>
      <w:r w:rsidRPr="00C1697D">
        <w:rPr>
          <w:rFonts w:ascii="Times New Roman" w:hAnsi="Times New Roman" w:cs="Times New Roman"/>
          <w:sz w:val="24"/>
          <w:szCs w:val="24"/>
        </w:rPr>
        <w:t xml:space="preserve"> The </w:t>
      </w:r>
      <w:r w:rsidR="0046252A" w:rsidRPr="00C1697D">
        <w:rPr>
          <w:rFonts w:ascii="Times New Roman" w:hAnsi="Times New Roman" w:cs="Times New Roman"/>
          <w:sz w:val="24"/>
          <w:szCs w:val="24"/>
        </w:rPr>
        <w:t xml:space="preserve">status of the </w:t>
      </w:r>
      <w:r w:rsidRPr="00C1697D">
        <w:rPr>
          <w:rFonts w:ascii="Times New Roman" w:hAnsi="Times New Roman" w:cs="Times New Roman"/>
          <w:sz w:val="24"/>
          <w:szCs w:val="24"/>
        </w:rPr>
        <w:t xml:space="preserve">Trust </w:t>
      </w:r>
      <w:r w:rsidR="0046252A" w:rsidRPr="00C1697D">
        <w:rPr>
          <w:rFonts w:ascii="Times New Roman" w:hAnsi="Times New Roman" w:cs="Times New Roman"/>
          <w:sz w:val="24"/>
          <w:szCs w:val="24"/>
        </w:rPr>
        <w:t xml:space="preserve">as </w:t>
      </w:r>
      <w:r w:rsidRPr="00C1697D">
        <w:rPr>
          <w:rFonts w:ascii="Times New Roman" w:hAnsi="Times New Roman" w:cs="Times New Roman"/>
          <w:sz w:val="24"/>
          <w:szCs w:val="24"/>
        </w:rPr>
        <w:t>a public benefit corporation means that NYCHA will</w:t>
      </w:r>
      <w:r w:rsidR="0046252A" w:rsidRPr="00C1697D">
        <w:rPr>
          <w:rFonts w:ascii="Times New Roman" w:hAnsi="Times New Roman" w:cs="Times New Roman"/>
          <w:sz w:val="24"/>
          <w:szCs w:val="24"/>
        </w:rPr>
        <w:t xml:space="preserve"> remain permanent owner of </w:t>
      </w:r>
      <w:r w:rsidR="00DA7F5C">
        <w:rPr>
          <w:rFonts w:ascii="Times New Roman" w:hAnsi="Times New Roman" w:cs="Times New Roman"/>
          <w:sz w:val="24"/>
          <w:szCs w:val="24"/>
        </w:rPr>
        <w:t xml:space="preserve">the </w:t>
      </w:r>
      <w:r w:rsidR="0046252A" w:rsidRPr="00C1697D">
        <w:rPr>
          <w:rFonts w:ascii="Times New Roman" w:hAnsi="Times New Roman" w:cs="Times New Roman"/>
          <w:sz w:val="24"/>
          <w:szCs w:val="24"/>
        </w:rPr>
        <w:t xml:space="preserve">land and </w:t>
      </w:r>
      <w:r w:rsidRPr="00C1697D">
        <w:rPr>
          <w:rFonts w:ascii="Times New Roman" w:hAnsi="Times New Roman" w:cs="Times New Roman"/>
          <w:sz w:val="24"/>
          <w:szCs w:val="24"/>
        </w:rPr>
        <w:t>buildings</w:t>
      </w:r>
      <w:r w:rsidR="00DA7F5C">
        <w:rPr>
          <w:rFonts w:ascii="Times New Roman" w:hAnsi="Times New Roman" w:cs="Times New Roman"/>
          <w:sz w:val="24"/>
          <w:szCs w:val="24"/>
        </w:rPr>
        <w:t>,</w:t>
      </w:r>
      <w:r w:rsidRPr="00C1697D">
        <w:rPr>
          <w:rFonts w:ascii="Times New Roman" w:hAnsi="Times New Roman" w:cs="Times New Roman"/>
          <w:sz w:val="24"/>
          <w:szCs w:val="24"/>
        </w:rPr>
        <w:t xml:space="preserve"> </w:t>
      </w:r>
      <w:r w:rsidR="0046252A" w:rsidRPr="00C1697D">
        <w:rPr>
          <w:rFonts w:ascii="Times New Roman" w:hAnsi="Times New Roman" w:cs="Times New Roman"/>
          <w:sz w:val="24"/>
          <w:szCs w:val="24"/>
        </w:rPr>
        <w:t xml:space="preserve">and under the </w:t>
      </w:r>
      <w:r w:rsidR="00DA7F5C">
        <w:rPr>
          <w:rFonts w:ascii="Times New Roman" w:hAnsi="Times New Roman" w:cs="Times New Roman"/>
          <w:sz w:val="24"/>
          <w:szCs w:val="24"/>
        </w:rPr>
        <w:t xml:space="preserve">authorizing </w:t>
      </w:r>
      <w:r w:rsidR="0046252A" w:rsidRPr="00C1697D">
        <w:rPr>
          <w:rFonts w:ascii="Times New Roman" w:hAnsi="Times New Roman" w:cs="Times New Roman"/>
          <w:sz w:val="24"/>
          <w:szCs w:val="24"/>
        </w:rPr>
        <w:t xml:space="preserve">state legislation </w:t>
      </w:r>
      <w:r w:rsidRPr="00C1697D">
        <w:rPr>
          <w:rFonts w:ascii="Times New Roman" w:hAnsi="Times New Roman" w:cs="Times New Roman"/>
          <w:sz w:val="24"/>
          <w:szCs w:val="24"/>
        </w:rPr>
        <w:t>all resident rights and protections</w:t>
      </w:r>
      <w:r w:rsidR="0046252A" w:rsidRPr="00C1697D">
        <w:rPr>
          <w:rFonts w:ascii="Times New Roman" w:hAnsi="Times New Roman" w:cs="Times New Roman"/>
          <w:sz w:val="24"/>
          <w:szCs w:val="24"/>
        </w:rPr>
        <w:t xml:space="preserve"> would continue</w:t>
      </w:r>
      <w:r w:rsidRPr="00C1697D">
        <w:rPr>
          <w:rFonts w:ascii="Times New Roman" w:hAnsi="Times New Roman" w:cs="Times New Roman"/>
          <w:sz w:val="24"/>
          <w:szCs w:val="24"/>
        </w:rPr>
        <w:t xml:space="preserve"> </w:t>
      </w:r>
      <w:r w:rsidR="0046252A" w:rsidRPr="00C1697D">
        <w:rPr>
          <w:rFonts w:ascii="Times New Roman" w:hAnsi="Times New Roman" w:cs="Times New Roman"/>
          <w:sz w:val="24"/>
          <w:szCs w:val="24"/>
        </w:rPr>
        <w:t xml:space="preserve">under the </w:t>
      </w:r>
      <w:r w:rsidRPr="00C1697D">
        <w:rPr>
          <w:rFonts w:ascii="Times New Roman" w:hAnsi="Times New Roman" w:cs="Times New Roman"/>
          <w:sz w:val="24"/>
          <w:szCs w:val="24"/>
        </w:rPr>
        <w:t>lease agreements</w:t>
      </w:r>
      <w:r w:rsidR="0046252A" w:rsidRPr="00C1697D">
        <w:rPr>
          <w:rFonts w:ascii="Times New Roman" w:hAnsi="Times New Roman" w:cs="Times New Roman"/>
          <w:sz w:val="24"/>
          <w:szCs w:val="24"/>
        </w:rPr>
        <w:t xml:space="preserve"> NYCHA enters</w:t>
      </w:r>
      <w:r w:rsidRPr="00C1697D">
        <w:rPr>
          <w:rFonts w:ascii="Times New Roman" w:hAnsi="Times New Roman" w:cs="Times New Roman"/>
          <w:sz w:val="24"/>
          <w:szCs w:val="24"/>
        </w:rPr>
        <w:t xml:space="preserve"> with the Trust.</w:t>
      </w:r>
      <w:r w:rsidRPr="00C1697D">
        <w:rPr>
          <w:rFonts w:ascii="Times New Roman" w:hAnsi="Times New Roman" w:cs="Times New Roman"/>
          <w:sz w:val="24"/>
          <w:szCs w:val="24"/>
          <w:vertAlign w:val="superscript"/>
        </w:rPr>
        <w:footnoteReference w:id="92"/>
      </w:r>
      <w:r w:rsidRPr="00C1697D">
        <w:rPr>
          <w:rFonts w:ascii="Times New Roman" w:hAnsi="Times New Roman" w:cs="Times New Roman"/>
          <w:sz w:val="24"/>
          <w:szCs w:val="24"/>
        </w:rPr>
        <w:t xml:space="preserve"> According to NYCHA, the Trust will have a long-term ground lease with NYCHA that will be renewed every 99 years</w:t>
      </w:r>
      <w:r w:rsidR="00D26476" w:rsidRPr="00C1697D">
        <w:rPr>
          <w:rFonts w:ascii="Times New Roman" w:hAnsi="Times New Roman" w:cs="Times New Roman"/>
          <w:sz w:val="24"/>
          <w:szCs w:val="24"/>
        </w:rPr>
        <w:t xml:space="preserve"> for every development that votes to transfer to the Trust.</w:t>
      </w:r>
      <w:r w:rsidR="00D26476" w:rsidRPr="00C1697D">
        <w:rPr>
          <w:rStyle w:val="FootnoteReference"/>
          <w:rFonts w:ascii="Times New Roman" w:hAnsi="Times New Roman" w:cs="Times New Roman"/>
          <w:sz w:val="24"/>
          <w:szCs w:val="24"/>
        </w:rPr>
        <w:footnoteReference w:id="93"/>
      </w:r>
      <w:r w:rsidR="00D26476" w:rsidRPr="00C1697D">
        <w:rPr>
          <w:rFonts w:ascii="Times New Roman" w:hAnsi="Times New Roman" w:cs="Times New Roman"/>
          <w:sz w:val="24"/>
          <w:szCs w:val="24"/>
        </w:rPr>
        <w:t xml:space="preserve"> NYCHA employees, under a contract between NYCHA and the Trust, </w:t>
      </w:r>
      <w:r w:rsidRPr="00C1697D">
        <w:rPr>
          <w:rFonts w:ascii="Times New Roman" w:hAnsi="Times New Roman" w:cs="Times New Roman"/>
          <w:sz w:val="24"/>
          <w:szCs w:val="24"/>
        </w:rPr>
        <w:t>will contin</w:t>
      </w:r>
      <w:r w:rsidR="00D26476" w:rsidRPr="00C1697D">
        <w:rPr>
          <w:rFonts w:ascii="Times New Roman" w:hAnsi="Times New Roman" w:cs="Times New Roman"/>
          <w:sz w:val="24"/>
          <w:szCs w:val="24"/>
        </w:rPr>
        <w:t xml:space="preserve">ue managing the properties while </w:t>
      </w:r>
      <w:r w:rsidRPr="00C1697D">
        <w:rPr>
          <w:rFonts w:ascii="Times New Roman" w:hAnsi="Times New Roman" w:cs="Times New Roman"/>
          <w:sz w:val="24"/>
          <w:szCs w:val="24"/>
        </w:rPr>
        <w:t>the Trust will be responsible for arranging financing and overseeing renovations in partnership with building residents.</w:t>
      </w:r>
      <w:r w:rsidR="00D26476" w:rsidRPr="00C1697D">
        <w:rPr>
          <w:rStyle w:val="FootnoteReference"/>
          <w:rFonts w:ascii="Times New Roman" w:hAnsi="Times New Roman" w:cs="Times New Roman"/>
          <w:sz w:val="24"/>
          <w:szCs w:val="24"/>
        </w:rPr>
        <w:footnoteReference w:id="94"/>
      </w:r>
      <w:r w:rsidRPr="00C1697D">
        <w:rPr>
          <w:rFonts w:ascii="Times New Roman" w:hAnsi="Times New Roman" w:cs="Times New Roman"/>
          <w:sz w:val="24"/>
          <w:szCs w:val="24"/>
        </w:rPr>
        <w:t xml:space="preserve"> </w:t>
      </w:r>
      <w:r w:rsidR="00D26476" w:rsidRPr="00C1697D">
        <w:rPr>
          <w:rFonts w:ascii="Times New Roman" w:hAnsi="Times New Roman" w:cs="Times New Roman"/>
          <w:sz w:val="24"/>
          <w:szCs w:val="24"/>
        </w:rPr>
        <w:t>NYCHA has placed a</w:t>
      </w:r>
      <w:r w:rsidRPr="00C1697D">
        <w:rPr>
          <w:rFonts w:ascii="Times New Roman" w:hAnsi="Times New Roman" w:cs="Times New Roman"/>
          <w:sz w:val="24"/>
          <w:szCs w:val="24"/>
        </w:rPr>
        <w:t xml:space="preserve"> heavy emphasis </w:t>
      </w:r>
      <w:r w:rsidR="00D26476" w:rsidRPr="00C1697D">
        <w:rPr>
          <w:rFonts w:ascii="Times New Roman" w:hAnsi="Times New Roman" w:cs="Times New Roman"/>
          <w:sz w:val="24"/>
          <w:szCs w:val="24"/>
        </w:rPr>
        <w:t xml:space="preserve">on the continued public ownership of management of any Trust developments throughout </w:t>
      </w:r>
      <w:r w:rsidR="00007B8F">
        <w:rPr>
          <w:rFonts w:ascii="Times New Roman" w:hAnsi="Times New Roman" w:cs="Times New Roman"/>
          <w:sz w:val="24"/>
          <w:szCs w:val="24"/>
        </w:rPr>
        <w:t>its</w:t>
      </w:r>
      <w:r w:rsidR="00007B8F" w:rsidRPr="00C1697D">
        <w:rPr>
          <w:rFonts w:ascii="Times New Roman" w:hAnsi="Times New Roman" w:cs="Times New Roman"/>
          <w:sz w:val="24"/>
          <w:szCs w:val="24"/>
        </w:rPr>
        <w:t xml:space="preserve"> </w:t>
      </w:r>
      <w:r w:rsidRPr="00C1697D">
        <w:rPr>
          <w:rFonts w:ascii="Times New Roman" w:hAnsi="Times New Roman" w:cs="Times New Roman"/>
          <w:sz w:val="24"/>
          <w:szCs w:val="24"/>
        </w:rPr>
        <w:t xml:space="preserve">resident engagement </w:t>
      </w:r>
      <w:r w:rsidR="00007B8F">
        <w:rPr>
          <w:rFonts w:ascii="Times New Roman" w:hAnsi="Times New Roman" w:cs="Times New Roman"/>
          <w:sz w:val="24"/>
          <w:szCs w:val="24"/>
        </w:rPr>
        <w:t>during discussions</w:t>
      </w:r>
      <w:r w:rsidR="00D26476" w:rsidRPr="00C1697D">
        <w:rPr>
          <w:rFonts w:ascii="Times New Roman" w:hAnsi="Times New Roman" w:cs="Times New Roman"/>
          <w:sz w:val="24"/>
          <w:szCs w:val="24"/>
        </w:rPr>
        <w:t xml:space="preserve"> of </w:t>
      </w:r>
      <w:r w:rsidRPr="00C1697D">
        <w:rPr>
          <w:rFonts w:ascii="Times New Roman" w:hAnsi="Times New Roman" w:cs="Times New Roman"/>
          <w:sz w:val="24"/>
          <w:szCs w:val="24"/>
        </w:rPr>
        <w:t>the legislation creating the Trust</w:t>
      </w:r>
      <w:r w:rsidR="00D26476" w:rsidRPr="00C1697D">
        <w:rPr>
          <w:rFonts w:ascii="Times New Roman" w:hAnsi="Times New Roman" w:cs="Times New Roman"/>
          <w:sz w:val="24"/>
          <w:szCs w:val="24"/>
        </w:rPr>
        <w:t>.</w:t>
      </w:r>
      <w:r w:rsidRPr="00C1697D">
        <w:rPr>
          <w:rFonts w:ascii="Times New Roman" w:hAnsi="Times New Roman" w:cs="Times New Roman"/>
          <w:sz w:val="24"/>
          <w:szCs w:val="24"/>
        </w:rPr>
        <w:t xml:space="preserve"> </w:t>
      </w:r>
      <w:r w:rsidR="00D26476" w:rsidRPr="00C1697D">
        <w:rPr>
          <w:rFonts w:ascii="Times New Roman" w:hAnsi="Times New Roman" w:cs="Times New Roman"/>
          <w:sz w:val="24"/>
          <w:szCs w:val="24"/>
        </w:rPr>
        <w:t>Chiefly among NYCHA’s points to resident was that no developments would be transferred</w:t>
      </w:r>
      <w:r w:rsidRPr="00C1697D">
        <w:rPr>
          <w:rFonts w:ascii="Times New Roman" w:hAnsi="Times New Roman" w:cs="Times New Roman"/>
          <w:sz w:val="24"/>
          <w:szCs w:val="24"/>
        </w:rPr>
        <w:t xml:space="preserve"> to the Trust </w:t>
      </w:r>
      <w:r w:rsidR="00D26476" w:rsidRPr="00C1697D">
        <w:rPr>
          <w:rFonts w:ascii="Times New Roman" w:hAnsi="Times New Roman" w:cs="Times New Roman"/>
          <w:sz w:val="24"/>
          <w:szCs w:val="24"/>
        </w:rPr>
        <w:t>unless</w:t>
      </w:r>
      <w:r w:rsidRPr="00C1697D">
        <w:rPr>
          <w:rFonts w:ascii="Times New Roman" w:hAnsi="Times New Roman" w:cs="Times New Roman"/>
          <w:sz w:val="24"/>
          <w:szCs w:val="24"/>
        </w:rPr>
        <w:t xml:space="preserve"> residents </w:t>
      </w:r>
      <w:r w:rsidR="00D26476" w:rsidRPr="00C1697D">
        <w:rPr>
          <w:rFonts w:ascii="Times New Roman" w:hAnsi="Times New Roman" w:cs="Times New Roman"/>
          <w:sz w:val="24"/>
          <w:szCs w:val="24"/>
        </w:rPr>
        <w:t xml:space="preserve">affirmatively </w:t>
      </w:r>
      <w:r w:rsidR="00FE0830" w:rsidRPr="00C1697D">
        <w:rPr>
          <w:rFonts w:ascii="Times New Roman" w:hAnsi="Times New Roman" w:cs="Times New Roman"/>
          <w:sz w:val="24"/>
          <w:szCs w:val="24"/>
        </w:rPr>
        <w:t>vote to join the Trust</w:t>
      </w:r>
      <w:r w:rsidR="00007B8F">
        <w:rPr>
          <w:rFonts w:ascii="Times New Roman" w:hAnsi="Times New Roman" w:cs="Times New Roman"/>
          <w:sz w:val="24"/>
          <w:szCs w:val="24"/>
        </w:rPr>
        <w:t>,</w:t>
      </w:r>
      <w:r w:rsidR="00FE0830" w:rsidRPr="00C1697D">
        <w:rPr>
          <w:rFonts w:ascii="Times New Roman" w:hAnsi="Times New Roman" w:cs="Times New Roman"/>
          <w:sz w:val="24"/>
          <w:szCs w:val="24"/>
        </w:rPr>
        <w:t xml:space="preserve"> along</w:t>
      </w:r>
      <w:r w:rsidRPr="00C1697D">
        <w:rPr>
          <w:rFonts w:ascii="Times New Roman" w:hAnsi="Times New Roman" w:cs="Times New Roman"/>
          <w:sz w:val="24"/>
          <w:szCs w:val="24"/>
        </w:rPr>
        <w:t xml:space="preserve"> with additional resident involvement in the selection</w:t>
      </w:r>
      <w:r w:rsidR="00007B8F">
        <w:rPr>
          <w:rFonts w:ascii="Times New Roman" w:hAnsi="Times New Roman" w:cs="Times New Roman"/>
          <w:sz w:val="24"/>
          <w:szCs w:val="24"/>
        </w:rPr>
        <w:t>,</w:t>
      </w:r>
      <w:r w:rsidRPr="00C1697D">
        <w:rPr>
          <w:rFonts w:ascii="Times New Roman" w:hAnsi="Times New Roman" w:cs="Times New Roman"/>
          <w:sz w:val="24"/>
          <w:szCs w:val="24"/>
        </w:rPr>
        <w:t xml:space="preserve"> and oversight of vendors chosen to work on their developments.</w:t>
      </w:r>
      <w:r w:rsidRPr="00C1697D">
        <w:rPr>
          <w:rFonts w:ascii="Times New Roman" w:hAnsi="Times New Roman" w:cs="Times New Roman"/>
          <w:sz w:val="24"/>
          <w:szCs w:val="24"/>
          <w:vertAlign w:val="superscript"/>
        </w:rPr>
        <w:footnoteReference w:id="95"/>
      </w:r>
      <w:r w:rsidRPr="00C1697D">
        <w:rPr>
          <w:rFonts w:ascii="Times New Roman" w:hAnsi="Times New Roman" w:cs="Times New Roman"/>
          <w:sz w:val="24"/>
          <w:szCs w:val="24"/>
        </w:rPr>
        <w:t xml:space="preserve"> </w:t>
      </w:r>
    </w:p>
    <w:p w14:paraId="287BE3F3" w14:textId="77777777" w:rsidR="00AB680E" w:rsidRPr="00910C58" w:rsidRDefault="00AB680E" w:rsidP="00910C58">
      <w:pPr>
        <w:spacing w:line="480" w:lineRule="auto"/>
        <w:jc w:val="both"/>
        <w:rPr>
          <w:rFonts w:ascii="Times New Roman" w:hAnsi="Times New Roman" w:cs="Times New Roman"/>
          <w:b/>
          <w:i/>
          <w:sz w:val="24"/>
          <w:szCs w:val="24"/>
        </w:rPr>
      </w:pPr>
      <w:r w:rsidRPr="00910C58">
        <w:rPr>
          <w:rFonts w:ascii="Times New Roman" w:hAnsi="Times New Roman" w:cs="Times New Roman"/>
          <w:b/>
          <w:i/>
          <w:sz w:val="24"/>
          <w:szCs w:val="24"/>
        </w:rPr>
        <w:t>Announcement of Trust Leadership</w:t>
      </w:r>
    </w:p>
    <w:p w14:paraId="396BB92F" w14:textId="08062FCB" w:rsidR="00AB680E" w:rsidRPr="00C1697D" w:rsidRDefault="00AB680E" w:rsidP="00910C58">
      <w:pPr>
        <w:spacing w:line="480" w:lineRule="auto"/>
        <w:jc w:val="both"/>
        <w:rPr>
          <w:rFonts w:ascii="Times New Roman" w:hAnsi="Times New Roman" w:cs="Times New Roman"/>
          <w:sz w:val="24"/>
          <w:szCs w:val="24"/>
        </w:rPr>
      </w:pPr>
      <w:r w:rsidRPr="00C1697D">
        <w:rPr>
          <w:rFonts w:ascii="Times New Roman" w:hAnsi="Times New Roman" w:cs="Times New Roman"/>
          <w:sz w:val="24"/>
          <w:szCs w:val="24"/>
        </w:rPr>
        <w:tab/>
        <w:t>On May 5, 2023, six members were announced to the Trust’s board, with additional members announced on July 6, 2023, finally establishing the Trust close to a full year after the Trust’s initial authorization.</w:t>
      </w:r>
      <w:r w:rsidRPr="00C1697D">
        <w:rPr>
          <w:rFonts w:ascii="Times New Roman" w:hAnsi="Times New Roman" w:cs="Times New Roman"/>
          <w:sz w:val="24"/>
          <w:szCs w:val="24"/>
          <w:vertAlign w:val="superscript"/>
        </w:rPr>
        <w:footnoteReference w:id="96"/>
      </w:r>
      <w:r w:rsidRPr="00C1697D">
        <w:rPr>
          <w:rFonts w:ascii="Times New Roman" w:hAnsi="Times New Roman" w:cs="Times New Roman"/>
          <w:sz w:val="24"/>
          <w:szCs w:val="24"/>
        </w:rPr>
        <w:t xml:space="preserve"> As of October 19, 2023, the seven member of the Board of Trustees are; Lisa Bova-Hiatt, NYCHA CEO and Trust Board Chair; Karen Blondel, the president of the Red Hook West Houses Tenant Association; Pamela Campbell, a retired assistant superintendent at NYCHA; Baaba Halm, Vice President and New York Market Leader from Enterprise Community Partners; Annika Lescott-Martinez the Chief Financial Officer of NYCHA; Barbara McFadden the president of Nostrand Houses Tenant Association and a</w:t>
      </w:r>
      <w:r w:rsidR="00007B8F">
        <w:rPr>
          <w:rFonts w:ascii="Times New Roman" w:hAnsi="Times New Roman" w:cs="Times New Roman"/>
          <w:sz w:val="24"/>
          <w:szCs w:val="24"/>
        </w:rPr>
        <w:t xml:space="preserve"> </w:t>
      </w:r>
      <w:r w:rsidRPr="00C1697D">
        <w:rPr>
          <w:rFonts w:ascii="Times New Roman" w:hAnsi="Times New Roman" w:cs="Times New Roman"/>
          <w:sz w:val="24"/>
          <w:szCs w:val="24"/>
        </w:rPr>
        <w:t>Vice Chair</w:t>
      </w:r>
      <w:r w:rsidR="00007B8F">
        <w:rPr>
          <w:rFonts w:ascii="Times New Roman" w:hAnsi="Times New Roman" w:cs="Times New Roman"/>
          <w:sz w:val="24"/>
          <w:szCs w:val="24"/>
        </w:rPr>
        <w:t xml:space="preserve"> of</w:t>
      </w:r>
      <w:r w:rsidRPr="00C1697D">
        <w:rPr>
          <w:rFonts w:ascii="Times New Roman" w:hAnsi="Times New Roman" w:cs="Times New Roman"/>
          <w:sz w:val="24"/>
          <w:szCs w:val="24"/>
        </w:rPr>
        <w:t xml:space="preserve"> NYCHA</w:t>
      </w:r>
      <w:r w:rsidR="00007B8F">
        <w:rPr>
          <w:rFonts w:ascii="Times New Roman" w:hAnsi="Times New Roman" w:cs="Times New Roman"/>
          <w:sz w:val="24"/>
          <w:szCs w:val="24"/>
        </w:rPr>
        <w:t>’s</w:t>
      </w:r>
      <w:r w:rsidRPr="00C1697D">
        <w:rPr>
          <w:rFonts w:ascii="Times New Roman" w:hAnsi="Times New Roman" w:cs="Times New Roman"/>
          <w:sz w:val="24"/>
          <w:szCs w:val="24"/>
        </w:rPr>
        <w:t xml:space="preserve"> Citywide Council of Presidents; and Maria Torres-Springer Deputy Mayor for Housing, Economic Development, and Workforce.</w:t>
      </w:r>
      <w:r w:rsidR="00C368DD">
        <w:rPr>
          <w:rStyle w:val="FootnoteReference"/>
          <w:rFonts w:ascii="Times New Roman" w:hAnsi="Times New Roman" w:cs="Times New Roman"/>
          <w:sz w:val="24"/>
          <w:szCs w:val="24"/>
        </w:rPr>
        <w:footnoteReference w:id="97"/>
      </w:r>
      <w:r w:rsidRPr="00C1697D">
        <w:rPr>
          <w:rFonts w:ascii="Times New Roman" w:hAnsi="Times New Roman" w:cs="Times New Roman"/>
          <w:sz w:val="24"/>
          <w:szCs w:val="24"/>
        </w:rPr>
        <w:t xml:space="preserve"> </w:t>
      </w:r>
    </w:p>
    <w:p w14:paraId="03D8F257" w14:textId="1EFA1CCC" w:rsidR="00AB680E" w:rsidRPr="00C1697D" w:rsidRDefault="00AB680E" w:rsidP="00910C58">
      <w:pPr>
        <w:spacing w:line="480" w:lineRule="auto"/>
        <w:jc w:val="both"/>
        <w:rPr>
          <w:rFonts w:ascii="Times New Roman" w:hAnsi="Times New Roman" w:cs="Times New Roman"/>
          <w:sz w:val="24"/>
          <w:szCs w:val="24"/>
        </w:rPr>
      </w:pPr>
      <w:r w:rsidRPr="00C1697D">
        <w:rPr>
          <w:rFonts w:ascii="Times New Roman" w:hAnsi="Times New Roman" w:cs="Times New Roman"/>
          <w:sz w:val="24"/>
          <w:szCs w:val="24"/>
        </w:rPr>
        <w:tab/>
        <w:t xml:space="preserve">There have been three members of the Trust leadership and staff announced as of October 19, 2023, Vlada Kenniff as President; Lisa Lim as General Counsel and Jillian McLaughlin, Chief Operating Officer. </w:t>
      </w:r>
      <w:r w:rsidR="00007B8F">
        <w:rPr>
          <w:rFonts w:ascii="Times New Roman" w:hAnsi="Times New Roman" w:cs="Times New Roman"/>
          <w:sz w:val="24"/>
          <w:szCs w:val="24"/>
        </w:rPr>
        <w:t>I</w:t>
      </w:r>
      <w:r w:rsidRPr="00C1697D">
        <w:rPr>
          <w:rFonts w:ascii="Times New Roman" w:hAnsi="Times New Roman" w:cs="Times New Roman"/>
          <w:sz w:val="24"/>
          <w:szCs w:val="24"/>
        </w:rPr>
        <w:t xml:space="preserve">mmediately prior to </w:t>
      </w:r>
      <w:r w:rsidR="00007B8F">
        <w:rPr>
          <w:rFonts w:ascii="Times New Roman" w:hAnsi="Times New Roman" w:cs="Times New Roman"/>
          <w:sz w:val="24"/>
          <w:szCs w:val="24"/>
        </w:rPr>
        <w:t>Ms. Kenniff’s</w:t>
      </w:r>
      <w:r w:rsidRPr="00C1697D">
        <w:rPr>
          <w:rFonts w:ascii="Times New Roman" w:hAnsi="Times New Roman" w:cs="Times New Roman"/>
          <w:sz w:val="24"/>
          <w:szCs w:val="24"/>
        </w:rPr>
        <w:t xml:space="preserve"> appointment</w:t>
      </w:r>
      <w:r w:rsidR="00007B8F">
        <w:rPr>
          <w:rFonts w:ascii="Times New Roman" w:hAnsi="Times New Roman" w:cs="Times New Roman"/>
          <w:sz w:val="24"/>
          <w:szCs w:val="24"/>
        </w:rPr>
        <w:t>, she</w:t>
      </w:r>
      <w:r w:rsidRPr="00C1697D">
        <w:rPr>
          <w:rFonts w:ascii="Times New Roman" w:hAnsi="Times New Roman" w:cs="Times New Roman"/>
          <w:sz w:val="24"/>
          <w:szCs w:val="24"/>
        </w:rPr>
        <w:t xml:space="preserve"> was the Senior Vice President for Sustainability in NYCHA’s Asset and Capital Management Division.</w:t>
      </w:r>
      <w:r w:rsidRPr="00C1697D">
        <w:rPr>
          <w:rStyle w:val="FootnoteReference"/>
          <w:rFonts w:ascii="Times New Roman" w:hAnsi="Times New Roman" w:cs="Times New Roman"/>
          <w:sz w:val="24"/>
          <w:szCs w:val="24"/>
        </w:rPr>
        <w:footnoteReference w:id="98"/>
      </w:r>
      <w:r w:rsidRPr="00C1697D">
        <w:rPr>
          <w:rFonts w:ascii="Times New Roman" w:hAnsi="Times New Roman" w:cs="Times New Roman"/>
          <w:sz w:val="24"/>
          <w:szCs w:val="24"/>
        </w:rPr>
        <w:t xml:space="preserve"> </w:t>
      </w:r>
    </w:p>
    <w:p w14:paraId="4E897767" w14:textId="77777777" w:rsidR="000D0F29" w:rsidRPr="00910C58" w:rsidRDefault="00E40AF2" w:rsidP="00910C58">
      <w:pPr>
        <w:spacing w:line="480" w:lineRule="auto"/>
        <w:jc w:val="both"/>
        <w:rPr>
          <w:rFonts w:ascii="Times New Roman" w:hAnsi="Times New Roman" w:cs="Times New Roman"/>
          <w:b/>
          <w:sz w:val="24"/>
          <w:szCs w:val="24"/>
        </w:rPr>
      </w:pPr>
      <w:r w:rsidRPr="00910C58">
        <w:rPr>
          <w:rFonts w:ascii="Times New Roman" w:hAnsi="Times New Roman" w:cs="Times New Roman"/>
          <w:b/>
          <w:i/>
          <w:sz w:val="24"/>
          <w:szCs w:val="24"/>
        </w:rPr>
        <w:t xml:space="preserve">Overview on </w:t>
      </w:r>
      <w:r w:rsidR="000D0F29" w:rsidRPr="00910C58">
        <w:rPr>
          <w:rFonts w:ascii="Times New Roman" w:hAnsi="Times New Roman" w:cs="Times New Roman"/>
          <w:b/>
          <w:i/>
          <w:sz w:val="24"/>
          <w:szCs w:val="24"/>
        </w:rPr>
        <w:t>Trust Voting</w:t>
      </w:r>
    </w:p>
    <w:p w14:paraId="6D3A82EE" w14:textId="64A771B1" w:rsidR="00052806" w:rsidRPr="00C1697D" w:rsidRDefault="000D0F29" w:rsidP="00910C58">
      <w:pPr>
        <w:spacing w:line="480" w:lineRule="auto"/>
        <w:jc w:val="both"/>
        <w:rPr>
          <w:rFonts w:ascii="Times New Roman" w:hAnsi="Times New Roman" w:cs="Times New Roman"/>
          <w:sz w:val="24"/>
          <w:szCs w:val="24"/>
        </w:rPr>
      </w:pPr>
      <w:r w:rsidRPr="00C1697D">
        <w:rPr>
          <w:rFonts w:ascii="Times New Roman" w:hAnsi="Times New Roman" w:cs="Times New Roman"/>
          <w:sz w:val="24"/>
          <w:szCs w:val="24"/>
        </w:rPr>
        <w:tab/>
        <w:t xml:space="preserve">The Trust Act required NYCHA to create final </w:t>
      </w:r>
      <w:r w:rsidR="00E40AF2" w:rsidRPr="00C1697D">
        <w:rPr>
          <w:rFonts w:ascii="Times New Roman" w:eastAsia="Times New Roman" w:hAnsi="Times New Roman" w:cs="Times New Roman"/>
          <w:sz w:val="24"/>
          <w:szCs w:val="24"/>
        </w:rPr>
        <w:t>voting</w:t>
      </w:r>
      <w:r w:rsidRPr="00C1697D">
        <w:rPr>
          <w:rFonts w:ascii="Times New Roman" w:hAnsi="Times New Roman" w:cs="Times New Roman"/>
          <w:sz w:val="24"/>
          <w:szCs w:val="24"/>
        </w:rPr>
        <w:t xml:space="preserve"> procedures for developments, and on December 12, 2022</w:t>
      </w:r>
      <w:r w:rsidR="00007B8F">
        <w:rPr>
          <w:rFonts w:ascii="Times New Roman" w:hAnsi="Times New Roman" w:cs="Times New Roman"/>
          <w:sz w:val="24"/>
          <w:szCs w:val="24"/>
        </w:rPr>
        <w:t>,</w:t>
      </w:r>
      <w:r w:rsidRPr="00C1697D">
        <w:rPr>
          <w:rFonts w:ascii="Times New Roman" w:hAnsi="Times New Roman" w:cs="Times New Roman"/>
          <w:sz w:val="24"/>
          <w:szCs w:val="24"/>
        </w:rPr>
        <w:t xml:space="preserve"> NYCHA published their final voting procedures for </w:t>
      </w:r>
      <w:r w:rsidR="00007B8F">
        <w:rPr>
          <w:rFonts w:ascii="Times New Roman" w:hAnsi="Times New Roman" w:cs="Times New Roman"/>
          <w:sz w:val="24"/>
          <w:szCs w:val="24"/>
        </w:rPr>
        <w:t xml:space="preserve">opting into </w:t>
      </w:r>
      <w:r w:rsidRPr="00C1697D">
        <w:rPr>
          <w:rFonts w:ascii="Times New Roman" w:hAnsi="Times New Roman" w:cs="Times New Roman"/>
          <w:sz w:val="24"/>
          <w:szCs w:val="24"/>
        </w:rPr>
        <w:t>the Trust.</w:t>
      </w:r>
      <w:r w:rsidRPr="00C1697D">
        <w:rPr>
          <w:rFonts w:ascii="Times New Roman" w:hAnsi="Times New Roman" w:cs="Times New Roman"/>
          <w:sz w:val="24"/>
          <w:szCs w:val="24"/>
          <w:vertAlign w:val="superscript"/>
        </w:rPr>
        <w:footnoteReference w:id="99"/>
      </w:r>
      <w:r w:rsidRPr="00C1697D">
        <w:rPr>
          <w:rFonts w:ascii="Times New Roman" w:hAnsi="Times New Roman" w:cs="Times New Roman"/>
          <w:sz w:val="24"/>
          <w:szCs w:val="24"/>
        </w:rPr>
        <w:t xml:space="preserve"> According to NYCHA, the voting procedures were finalized after being informed by residents and an advisory committee, a four-month engagement process, and over 300 public comments.</w:t>
      </w:r>
      <w:r w:rsidRPr="00C1697D">
        <w:rPr>
          <w:rFonts w:ascii="Times New Roman" w:hAnsi="Times New Roman" w:cs="Times New Roman"/>
          <w:sz w:val="24"/>
          <w:szCs w:val="24"/>
          <w:vertAlign w:val="superscript"/>
        </w:rPr>
        <w:footnoteReference w:id="100"/>
      </w:r>
      <w:r w:rsidRPr="00C1697D">
        <w:rPr>
          <w:rFonts w:ascii="Times New Roman" w:hAnsi="Times New Roman" w:cs="Times New Roman"/>
          <w:sz w:val="24"/>
          <w:szCs w:val="24"/>
        </w:rPr>
        <w:t xml:space="preserve"> </w:t>
      </w:r>
      <w:r w:rsidR="00052806" w:rsidRPr="00C1697D">
        <w:rPr>
          <w:rFonts w:ascii="Times New Roman" w:hAnsi="Times New Roman" w:cs="Times New Roman"/>
          <w:sz w:val="24"/>
          <w:szCs w:val="24"/>
        </w:rPr>
        <w:t>The voting procedure begins with a formal notice of vote which starts the clock on a minimum 100-day engagement period per site</w:t>
      </w:r>
      <w:r w:rsidR="00007B8F">
        <w:rPr>
          <w:rFonts w:ascii="Times New Roman" w:hAnsi="Times New Roman" w:cs="Times New Roman"/>
          <w:sz w:val="24"/>
          <w:szCs w:val="24"/>
        </w:rPr>
        <w:t>,</w:t>
      </w:r>
      <w:r w:rsidR="00052806" w:rsidRPr="00C1697D">
        <w:rPr>
          <w:rFonts w:ascii="Times New Roman" w:hAnsi="Times New Roman" w:cs="Times New Roman"/>
          <w:sz w:val="24"/>
          <w:szCs w:val="24"/>
        </w:rPr>
        <w:t xml:space="preserve"> during which NYCHA uses a tailored engagement plan created in consultation with Tenant Association leadership.</w:t>
      </w:r>
      <w:r w:rsidRPr="00C1697D">
        <w:rPr>
          <w:rFonts w:ascii="Times New Roman" w:hAnsi="Times New Roman" w:cs="Times New Roman"/>
          <w:sz w:val="24"/>
          <w:szCs w:val="24"/>
          <w:vertAlign w:val="superscript"/>
        </w:rPr>
        <w:footnoteReference w:id="101"/>
      </w:r>
      <w:r w:rsidR="00052806" w:rsidRPr="00C1697D">
        <w:rPr>
          <w:rFonts w:ascii="Times New Roman" w:hAnsi="Times New Roman" w:cs="Times New Roman"/>
          <w:sz w:val="24"/>
          <w:szCs w:val="24"/>
        </w:rPr>
        <w:t xml:space="preserve"> During the 100 day engagement period NYCHA will provide information to residents through pamphlets delivered to each household, emails, posted printed materials, on-site tabling, and at least four meetings open to all residents at the development.</w:t>
      </w:r>
      <w:r w:rsidR="00C368DD">
        <w:rPr>
          <w:rStyle w:val="FootnoteReference"/>
          <w:rFonts w:ascii="Times New Roman" w:hAnsi="Times New Roman" w:cs="Times New Roman"/>
          <w:sz w:val="24"/>
          <w:szCs w:val="24"/>
        </w:rPr>
        <w:footnoteReference w:id="102"/>
      </w:r>
      <w:r w:rsidR="00052806" w:rsidRPr="00C1697D">
        <w:rPr>
          <w:rFonts w:ascii="Times New Roman" w:hAnsi="Times New Roman" w:cs="Times New Roman"/>
          <w:sz w:val="24"/>
          <w:szCs w:val="24"/>
        </w:rPr>
        <w:t xml:space="preserve"> This information will include </w:t>
      </w:r>
      <w:r w:rsidR="00007B8F">
        <w:rPr>
          <w:rFonts w:ascii="Times New Roman" w:hAnsi="Times New Roman" w:cs="Times New Roman"/>
          <w:sz w:val="24"/>
          <w:szCs w:val="24"/>
        </w:rPr>
        <w:t xml:space="preserve">the </w:t>
      </w:r>
      <w:r w:rsidR="00052806" w:rsidRPr="00C1697D">
        <w:rPr>
          <w:rFonts w:ascii="Times New Roman" w:hAnsi="Times New Roman" w:cs="Times New Roman"/>
          <w:sz w:val="24"/>
          <w:szCs w:val="24"/>
        </w:rPr>
        <w:t>purpose of vote, a description of options on</w:t>
      </w:r>
      <w:r w:rsidR="00007B8F">
        <w:rPr>
          <w:rFonts w:ascii="Times New Roman" w:hAnsi="Times New Roman" w:cs="Times New Roman"/>
          <w:sz w:val="24"/>
          <w:szCs w:val="24"/>
        </w:rPr>
        <w:t xml:space="preserve"> the</w:t>
      </w:r>
      <w:r w:rsidR="00052806" w:rsidRPr="00C1697D">
        <w:rPr>
          <w:rFonts w:ascii="Times New Roman" w:hAnsi="Times New Roman" w:cs="Times New Roman"/>
          <w:sz w:val="24"/>
          <w:szCs w:val="24"/>
        </w:rPr>
        <w:t xml:space="preserve"> ballot, dates and times of public meetings, contact information, and details on voting mechanics.</w:t>
      </w:r>
      <w:r w:rsidR="00561461">
        <w:rPr>
          <w:rStyle w:val="FootnoteReference"/>
          <w:rFonts w:ascii="Times New Roman" w:hAnsi="Times New Roman" w:cs="Times New Roman"/>
          <w:sz w:val="24"/>
          <w:szCs w:val="24"/>
        </w:rPr>
        <w:footnoteReference w:id="103"/>
      </w:r>
      <w:r w:rsidR="00052806" w:rsidRPr="00C1697D">
        <w:rPr>
          <w:rFonts w:ascii="Times New Roman" w:hAnsi="Times New Roman" w:cs="Times New Roman"/>
          <w:sz w:val="24"/>
          <w:szCs w:val="24"/>
        </w:rPr>
        <w:t xml:space="preserve"> NYCHA has pledged that their outreach materials would dispassionately detail each option, including resident rights, construction standards and timelines, and future management structures.</w:t>
      </w:r>
      <w:r w:rsidR="00C368DD">
        <w:rPr>
          <w:rStyle w:val="FootnoteReference"/>
          <w:rFonts w:ascii="Times New Roman" w:hAnsi="Times New Roman" w:cs="Times New Roman"/>
          <w:sz w:val="24"/>
          <w:szCs w:val="24"/>
        </w:rPr>
        <w:footnoteReference w:id="104"/>
      </w:r>
      <w:r w:rsidR="00052806" w:rsidRPr="00C1697D">
        <w:rPr>
          <w:rFonts w:ascii="Times New Roman" w:hAnsi="Times New Roman" w:cs="Times New Roman"/>
          <w:sz w:val="24"/>
          <w:szCs w:val="24"/>
        </w:rPr>
        <w:t xml:space="preserve"> </w:t>
      </w:r>
    </w:p>
    <w:p w14:paraId="2BF24B00" w14:textId="141F93CA" w:rsidR="000D0F29" w:rsidRPr="00C1697D" w:rsidRDefault="00052806" w:rsidP="00AC563D">
      <w:pPr>
        <w:spacing w:line="480" w:lineRule="auto"/>
        <w:ind w:firstLine="720"/>
        <w:jc w:val="both"/>
        <w:rPr>
          <w:rFonts w:ascii="Times New Roman" w:hAnsi="Times New Roman" w:cs="Times New Roman"/>
          <w:sz w:val="24"/>
          <w:szCs w:val="24"/>
        </w:rPr>
      </w:pPr>
      <w:r w:rsidRPr="00C1697D">
        <w:rPr>
          <w:rFonts w:ascii="Times New Roman" w:hAnsi="Times New Roman" w:cs="Times New Roman"/>
          <w:sz w:val="24"/>
          <w:szCs w:val="24"/>
        </w:rPr>
        <w:t>At the end of the 100 day engagement period, NYCHA will then engage with a third party vendor to hold the vote</w:t>
      </w:r>
      <w:r w:rsidR="00007B8F">
        <w:rPr>
          <w:rFonts w:ascii="Times New Roman" w:hAnsi="Times New Roman" w:cs="Times New Roman"/>
          <w:sz w:val="24"/>
          <w:szCs w:val="24"/>
        </w:rPr>
        <w:t>,</w:t>
      </w:r>
      <w:r w:rsidRPr="00C1697D">
        <w:rPr>
          <w:rFonts w:ascii="Times New Roman" w:hAnsi="Times New Roman" w:cs="Times New Roman"/>
          <w:sz w:val="24"/>
          <w:szCs w:val="24"/>
        </w:rPr>
        <w:t xml:space="preserve"> which is required to be offered in person, by mail and online. There is a 30 day voting period with residents being able to vote online and by mail for all thirty days and in person for the final ten days of the voting period. Resident</w:t>
      </w:r>
      <w:r w:rsidR="00007B8F">
        <w:rPr>
          <w:rFonts w:ascii="Times New Roman" w:hAnsi="Times New Roman" w:cs="Times New Roman"/>
          <w:sz w:val="24"/>
          <w:szCs w:val="24"/>
        </w:rPr>
        <w:t>s</w:t>
      </w:r>
      <w:r w:rsidRPr="00C1697D">
        <w:rPr>
          <w:rFonts w:ascii="Times New Roman" w:hAnsi="Times New Roman" w:cs="Times New Roman"/>
          <w:sz w:val="24"/>
          <w:szCs w:val="24"/>
        </w:rPr>
        <w:t xml:space="preserve"> will be able to vote to transfer their development to the Trust, enter the PACT program, or remain in traditional Section 9 public housing. To be eligible to vote, voters must be a Head of Household that signed the lease for their NYCHA apartment, including co-Heads of Household, and </w:t>
      </w:r>
      <w:r w:rsidR="003058FA">
        <w:rPr>
          <w:rFonts w:ascii="Times New Roman" w:hAnsi="Times New Roman" w:cs="Times New Roman"/>
          <w:sz w:val="24"/>
          <w:szCs w:val="24"/>
        </w:rPr>
        <w:t>be</w:t>
      </w:r>
      <w:r w:rsidRPr="00C1697D">
        <w:rPr>
          <w:rFonts w:ascii="Times New Roman" w:hAnsi="Times New Roman" w:cs="Times New Roman"/>
          <w:sz w:val="24"/>
          <w:szCs w:val="24"/>
        </w:rPr>
        <w:t xml:space="preserve"> 18</w:t>
      </w:r>
      <w:r w:rsidR="003058FA">
        <w:rPr>
          <w:rFonts w:ascii="Times New Roman" w:hAnsi="Times New Roman" w:cs="Times New Roman"/>
          <w:sz w:val="24"/>
          <w:szCs w:val="24"/>
        </w:rPr>
        <w:t xml:space="preserve"> years or</w:t>
      </w:r>
      <w:r w:rsidRPr="00C1697D">
        <w:rPr>
          <w:rFonts w:ascii="Times New Roman" w:hAnsi="Times New Roman" w:cs="Times New Roman"/>
          <w:sz w:val="24"/>
          <w:szCs w:val="24"/>
        </w:rPr>
        <w:t xml:space="preserve"> older, or be any resident 18 years or older with permanent written permission from NYCHA for residence in the apartment. Additionally, otherwise-eligible residents relocated to a different development through NYCHA relocation plans are still eligible to vote for their original development.</w:t>
      </w:r>
      <w:r w:rsidRPr="00C1697D">
        <w:rPr>
          <w:rFonts w:ascii="Times New Roman" w:hAnsi="Times New Roman" w:cs="Times New Roman"/>
          <w:sz w:val="24"/>
          <w:szCs w:val="24"/>
          <w:vertAlign w:val="superscript"/>
        </w:rPr>
        <w:footnoteReference w:id="105"/>
      </w:r>
      <w:r w:rsidRPr="00C1697D">
        <w:rPr>
          <w:rFonts w:ascii="Times New Roman" w:hAnsi="Times New Roman" w:cs="Times New Roman"/>
          <w:sz w:val="24"/>
          <w:szCs w:val="24"/>
        </w:rPr>
        <w:t xml:space="preserve"> Finally a minimum of 20 percent of the heads of households in the development</w:t>
      </w:r>
      <w:r w:rsidR="00AB680E" w:rsidRPr="00C1697D">
        <w:rPr>
          <w:rFonts w:ascii="Times New Roman" w:hAnsi="Times New Roman" w:cs="Times New Roman"/>
          <w:sz w:val="24"/>
          <w:szCs w:val="24"/>
        </w:rPr>
        <w:t xml:space="preserve"> must cast a vote for the election to be certified.</w:t>
      </w:r>
      <w:r w:rsidR="00C368DD">
        <w:rPr>
          <w:rStyle w:val="FootnoteReference"/>
          <w:rFonts w:ascii="Times New Roman" w:hAnsi="Times New Roman" w:cs="Times New Roman"/>
          <w:sz w:val="24"/>
          <w:szCs w:val="24"/>
        </w:rPr>
        <w:footnoteReference w:id="106"/>
      </w:r>
    </w:p>
    <w:p w14:paraId="38DC3C8A" w14:textId="54AECDE5" w:rsidR="000D0F29" w:rsidRPr="00910C58" w:rsidRDefault="000D0F29" w:rsidP="00910C58">
      <w:pPr>
        <w:spacing w:line="480" w:lineRule="auto"/>
        <w:jc w:val="both"/>
        <w:rPr>
          <w:rFonts w:ascii="Times New Roman" w:hAnsi="Times New Roman" w:cs="Times New Roman"/>
          <w:b/>
          <w:sz w:val="24"/>
          <w:szCs w:val="24"/>
        </w:rPr>
      </w:pPr>
      <w:r w:rsidRPr="00910C58">
        <w:rPr>
          <w:rFonts w:ascii="Times New Roman" w:hAnsi="Times New Roman" w:cs="Times New Roman"/>
          <w:b/>
          <w:i/>
          <w:sz w:val="24"/>
          <w:szCs w:val="24"/>
        </w:rPr>
        <w:t xml:space="preserve">Nostrand Houses </w:t>
      </w:r>
      <w:r w:rsidR="00007B8F">
        <w:rPr>
          <w:rFonts w:ascii="Times New Roman" w:hAnsi="Times New Roman" w:cs="Times New Roman"/>
          <w:b/>
          <w:i/>
          <w:sz w:val="24"/>
          <w:szCs w:val="24"/>
        </w:rPr>
        <w:t>a</w:t>
      </w:r>
      <w:r w:rsidR="00E03F6D" w:rsidRPr="00910C58">
        <w:rPr>
          <w:rFonts w:ascii="Times New Roman" w:hAnsi="Times New Roman" w:cs="Times New Roman"/>
          <w:b/>
          <w:i/>
          <w:sz w:val="24"/>
          <w:szCs w:val="24"/>
        </w:rPr>
        <w:t>nd the First Trust Vote</w:t>
      </w:r>
    </w:p>
    <w:p w14:paraId="740B5132" w14:textId="0953704F" w:rsidR="000D0F29" w:rsidRPr="00C1697D" w:rsidRDefault="000D0F29" w:rsidP="00910C58">
      <w:pPr>
        <w:spacing w:line="480" w:lineRule="auto"/>
        <w:jc w:val="both"/>
        <w:rPr>
          <w:rFonts w:ascii="Times New Roman" w:hAnsi="Times New Roman" w:cs="Times New Roman"/>
          <w:sz w:val="24"/>
          <w:szCs w:val="24"/>
        </w:rPr>
      </w:pPr>
      <w:r w:rsidRPr="00C1697D">
        <w:rPr>
          <w:rFonts w:ascii="Times New Roman" w:hAnsi="Times New Roman" w:cs="Times New Roman"/>
          <w:sz w:val="24"/>
          <w:szCs w:val="24"/>
        </w:rPr>
        <w:tab/>
        <w:t>Nostrand Houses, a NYCHA development located</w:t>
      </w:r>
      <w:r w:rsidR="00E03F6D" w:rsidRPr="00C1697D">
        <w:rPr>
          <w:rFonts w:ascii="Times New Roman" w:hAnsi="Times New Roman" w:cs="Times New Roman"/>
          <w:sz w:val="24"/>
          <w:szCs w:val="24"/>
        </w:rPr>
        <w:t xml:space="preserve"> in Sheepshead Bay, Brooklyn, was</w:t>
      </w:r>
      <w:r w:rsidRPr="00C1697D">
        <w:rPr>
          <w:rFonts w:ascii="Times New Roman" w:hAnsi="Times New Roman" w:cs="Times New Roman"/>
          <w:sz w:val="24"/>
          <w:szCs w:val="24"/>
        </w:rPr>
        <w:t xml:space="preserve"> th</w:t>
      </w:r>
      <w:r w:rsidR="00E03F6D" w:rsidRPr="00C1697D">
        <w:rPr>
          <w:rFonts w:ascii="Times New Roman" w:hAnsi="Times New Roman" w:cs="Times New Roman"/>
          <w:sz w:val="24"/>
          <w:szCs w:val="24"/>
        </w:rPr>
        <w:t>e first development selected to vote</w:t>
      </w:r>
      <w:r w:rsidRPr="00C1697D">
        <w:rPr>
          <w:rFonts w:ascii="Times New Roman" w:hAnsi="Times New Roman" w:cs="Times New Roman"/>
          <w:sz w:val="24"/>
          <w:szCs w:val="24"/>
        </w:rPr>
        <w:t xml:space="preserve"> whether to join the NYCHA Public Housing Preservation Trust, in part due to having more than $600 million in 20-year capital needs as well as having immediate needs worse than about 80% of NYCHA’s portfolio.</w:t>
      </w:r>
      <w:r w:rsidRPr="00C1697D">
        <w:rPr>
          <w:rFonts w:ascii="Times New Roman" w:hAnsi="Times New Roman" w:cs="Times New Roman"/>
          <w:sz w:val="24"/>
          <w:szCs w:val="24"/>
          <w:vertAlign w:val="superscript"/>
        </w:rPr>
        <w:footnoteReference w:id="107"/>
      </w:r>
      <w:r w:rsidRPr="00C1697D">
        <w:rPr>
          <w:rFonts w:ascii="Times New Roman" w:hAnsi="Times New Roman" w:cs="Times New Roman"/>
          <w:sz w:val="24"/>
          <w:szCs w:val="24"/>
        </w:rPr>
        <w:t xml:space="preserve"> Notices to Nostrand Houses residents were issued on July 27, 2023, with the 30-day voting period set to begin on November 8, 2023</w:t>
      </w:r>
      <w:r w:rsidR="00DB0A4A" w:rsidRPr="00C1697D">
        <w:rPr>
          <w:rFonts w:ascii="Times New Roman" w:hAnsi="Times New Roman" w:cs="Times New Roman"/>
          <w:sz w:val="24"/>
          <w:szCs w:val="24"/>
        </w:rPr>
        <w:t>, and NYCHA reportedly selected third-party vendor MK Services to watch over the election process</w:t>
      </w:r>
      <w:r w:rsidRPr="00C1697D">
        <w:rPr>
          <w:rFonts w:ascii="Times New Roman" w:hAnsi="Times New Roman" w:cs="Times New Roman"/>
          <w:sz w:val="24"/>
          <w:szCs w:val="24"/>
        </w:rPr>
        <w:t>.</w:t>
      </w:r>
      <w:r w:rsidRPr="00C1697D">
        <w:rPr>
          <w:rFonts w:ascii="Times New Roman" w:hAnsi="Times New Roman" w:cs="Times New Roman"/>
          <w:sz w:val="24"/>
          <w:szCs w:val="24"/>
          <w:vertAlign w:val="superscript"/>
        </w:rPr>
        <w:footnoteReference w:id="108"/>
      </w:r>
      <w:r w:rsidR="00E03F6D" w:rsidRPr="00C1697D">
        <w:rPr>
          <w:rFonts w:ascii="Times New Roman" w:hAnsi="Times New Roman" w:cs="Times New Roman"/>
          <w:sz w:val="24"/>
          <w:szCs w:val="24"/>
        </w:rPr>
        <w:t xml:space="preserve"> </w:t>
      </w:r>
    </w:p>
    <w:p w14:paraId="7136EDE9" w14:textId="77777777" w:rsidR="000D0F29" w:rsidRPr="00910C58" w:rsidRDefault="000D0F29" w:rsidP="00910C58">
      <w:pPr>
        <w:spacing w:line="480" w:lineRule="auto"/>
        <w:jc w:val="both"/>
        <w:rPr>
          <w:rFonts w:ascii="Times New Roman" w:hAnsi="Times New Roman" w:cs="Times New Roman"/>
          <w:b/>
          <w:sz w:val="24"/>
          <w:szCs w:val="24"/>
        </w:rPr>
      </w:pPr>
      <w:r w:rsidRPr="00910C58">
        <w:rPr>
          <w:rFonts w:ascii="Times New Roman" w:hAnsi="Times New Roman" w:cs="Times New Roman"/>
          <w:b/>
          <w:i/>
          <w:sz w:val="24"/>
          <w:szCs w:val="24"/>
        </w:rPr>
        <w:t>Trust Concerns</w:t>
      </w:r>
      <w:r w:rsidRPr="00910C58">
        <w:rPr>
          <w:rFonts w:ascii="Times New Roman" w:hAnsi="Times New Roman" w:cs="Times New Roman"/>
          <w:b/>
          <w:sz w:val="24"/>
          <w:szCs w:val="24"/>
        </w:rPr>
        <w:t xml:space="preserve"> </w:t>
      </w:r>
    </w:p>
    <w:p w14:paraId="7E48FFBE" w14:textId="1819AC8D" w:rsidR="00E40AF2" w:rsidRDefault="00E03F6D" w:rsidP="00910C58">
      <w:pPr>
        <w:spacing w:after="0" w:line="480" w:lineRule="auto"/>
        <w:ind w:firstLine="720"/>
        <w:jc w:val="both"/>
        <w:textAlignment w:val="baseline"/>
        <w:rPr>
          <w:rFonts w:ascii="Times New Roman" w:hAnsi="Times New Roman" w:cs="Times New Roman"/>
          <w:sz w:val="24"/>
          <w:szCs w:val="24"/>
        </w:rPr>
      </w:pPr>
      <w:r w:rsidRPr="00C1697D">
        <w:rPr>
          <w:rFonts w:ascii="Times New Roman" w:hAnsi="Times New Roman" w:cs="Times New Roman"/>
          <w:sz w:val="24"/>
          <w:szCs w:val="24"/>
        </w:rPr>
        <w:t>Since the creation of the Trust</w:t>
      </w:r>
      <w:r w:rsidR="003058FA">
        <w:rPr>
          <w:rFonts w:ascii="Times New Roman" w:hAnsi="Times New Roman" w:cs="Times New Roman"/>
          <w:sz w:val="24"/>
          <w:szCs w:val="24"/>
        </w:rPr>
        <w:t>,</w:t>
      </w:r>
      <w:r w:rsidRPr="00C1697D">
        <w:rPr>
          <w:rFonts w:ascii="Times New Roman" w:hAnsi="Times New Roman" w:cs="Times New Roman"/>
          <w:sz w:val="24"/>
          <w:szCs w:val="24"/>
        </w:rPr>
        <w:t xml:space="preserve"> </w:t>
      </w:r>
      <w:r w:rsidR="000D0F29" w:rsidRPr="00C1697D">
        <w:rPr>
          <w:rFonts w:ascii="Times New Roman" w:hAnsi="Times New Roman" w:cs="Times New Roman"/>
          <w:sz w:val="24"/>
          <w:szCs w:val="24"/>
        </w:rPr>
        <w:t xml:space="preserve">concerns have been raised </w:t>
      </w:r>
      <w:r w:rsidRPr="00C1697D">
        <w:rPr>
          <w:rFonts w:ascii="Times New Roman" w:hAnsi="Times New Roman" w:cs="Times New Roman"/>
          <w:sz w:val="24"/>
          <w:szCs w:val="24"/>
        </w:rPr>
        <w:t xml:space="preserve">by lawmakers, advocates, and experts </w:t>
      </w:r>
      <w:r w:rsidR="000D0F29" w:rsidRPr="00C1697D">
        <w:rPr>
          <w:rFonts w:ascii="Times New Roman" w:hAnsi="Times New Roman" w:cs="Times New Roman"/>
          <w:sz w:val="24"/>
          <w:szCs w:val="24"/>
        </w:rPr>
        <w:t>around the</w:t>
      </w:r>
      <w:r w:rsidR="003058FA">
        <w:rPr>
          <w:rFonts w:ascii="Times New Roman" w:hAnsi="Times New Roman" w:cs="Times New Roman"/>
          <w:sz w:val="24"/>
          <w:szCs w:val="24"/>
        </w:rPr>
        <w:t xml:space="preserve"> viability of the</w:t>
      </w:r>
      <w:r w:rsidR="000D0F29" w:rsidRPr="00C1697D">
        <w:rPr>
          <w:rFonts w:ascii="Times New Roman" w:hAnsi="Times New Roman" w:cs="Times New Roman"/>
          <w:sz w:val="24"/>
          <w:szCs w:val="24"/>
        </w:rPr>
        <w:t xml:space="preserve"> Trust.</w:t>
      </w:r>
      <w:r w:rsidR="000D0F29" w:rsidRPr="00C1697D">
        <w:rPr>
          <w:rFonts w:ascii="Times New Roman" w:hAnsi="Times New Roman" w:cs="Times New Roman"/>
          <w:sz w:val="24"/>
          <w:szCs w:val="24"/>
          <w:vertAlign w:val="superscript"/>
        </w:rPr>
        <w:footnoteReference w:id="109"/>
      </w:r>
      <w:r w:rsidRPr="00C1697D">
        <w:rPr>
          <w:rFonts w:ascii="Times New Roman" w:hAnsi="Times New Roman" w:cs="Times New Roman"/>
          <w:sz w:val="24"/>
          <w:szCs w:val="24"/>
        </w:rPr>
        <w:t xml:space="preserve"> There has been </w:t>
      </w:r>
      <w:r w:rsidR="000D0F29" w:rsidRPr="00C1697D">
        <w:rPr>
          <w:rFonts w:ascii="Times New Roman" w:hAnsi="Times New Roman" w:cs="Times New Roman"/>
          <w:sz w:val="24"/>
          <w:szCs w:val="24"/>
        </w:rPr>
        <w:t>doubt</w:t>
      </w:r>
      <w:r w:rsidRPr="00C1697D">
        <w:rPr>
          <w:rFonts w:ascii="Times New Roman" w:hAnsi="Times New Roman" w:cs="Times New Roman"/>
          <w:sz w:val="24"/>
          <w:szCs w:val="24"/>
        </w:rPr>
        <w:t xml:space="preserve"> from resident</w:t>
      </w:r>
      <w:r w:rsidR="00581409" w:rsidRPr="00C1697D">
        <w:rPr>
          <w:rFonts w:ascii="Times New Roman" w:hAnsi="Times New Roman" w:cs="Times New Roman"/>
          <w:sz w:val="24"/>
          <w:szCs w:val="24"/>
        </w:rPr>
        <w:t>s concerning the engagement prior to the creation of the Trust as well as the voting procedures.</w:t>
      </w:r>
      <w:r w:rsidR="00581409" w:rsidRPr="00C1697D">
        <w:rPr>
          <w:rStyle w:val="FootnoteReference"/>
          <w:rFonts w:ascii="Times New Roman" w:hAnsi="Times New Roman" w:cs="Times New Roman"/>
          <w:sz w:val="24"/>
          <w:szCs w:val="24"/>
        </w:rPr>
        <w:footnoteReference w:id="110"/>
      </w:r>
      <w:r w:rsidR="00581409" w:rsidRPr="00C1697D">
        <w:rPr>
          <w:rFonts w:ascii="Times New Roman" w:hAnsi="Times New Roman" w:cs="Times New Roman"/>
          <w:sz w:val="24"/>
          <w:szCs w:val="24"/>
        </w:rPr>
        <w:t xml:space="preserve"> They also questioned whether the transfer and borrowing strategy was the appropriate solution in lieu of increasing traditional funding streams. Tenants have stated their worries over potential defaults and foreclosures that would then see NYCHA losing ownership of developments to private companies, where fully funding NYCHA repairs with public funds would not risk future defaults.</w:t>
      </w:r>
      <w:r w:rsidR="00581409" w:rsidRPr="00C1697D">
        <w:rPr>
          <w:rFonts w:ascii="Times New Roman" w:hAnsi="Times New Roman" w:cs="Times New Roman"/>
          <w:sz w:val="24"/>
          <w:szCs w:val="24"/>
          <w:vertAlign w:val="superscript"/>
        </w:rPr>
        <w:footnoteReference w:id="111"/>
      </w:r>
      <w:r w:rsidR="00581409" w:rsidRPr="00C1697D">
        <w:rPr>
          <w:rFonts w:ascii="Times New Roman" w:hAnsi="Times New Roman" w:cs="Times New Roman"/>
          <w:sz w:val="24"/>
          <w:szCs w:val="24"/>
        </w:rPr>
        <w:t xml:space="preserve"> At the same time the New York City Independent Budget Office (“IBO”), raised questions concerning</w:t>
      </w:r>
      <w:r w:rsidRPr="00C1697D">
        <w:rPr>
          <w:rFonts w:ascii="Times New Roman" w:hAnsi="Times New Roman" w:cs="Times New Roman"/>
          <w:sz w:val="24"/>
          <w:szCs w:val="24"/>
        </w:rPr>
        <w:t xml:space="preserve"> t</w:t>
      </w:r>
      <w:r w:rsidR="000D0F29" w:rsidRPr="00C1697D">
        <w:rPr>
          <w:rFonts w:ascii="Times New Roman" w:hAnsi="Times New Roman" w:cs="Times New Roman"/>
          <w:sz w:val="24"/>
          <w:szCs w:val="24"/>
        </w:rPr>
        <w:t xml:space="preserve">he Trust’s borrowing strategy </w:t>
      </w:r>
      <w:r w:rsidR="00581409" w:rsidRPr="00C1697D">
        <w:rPr>
          <w:rFonts w:ascii="Times New Roman" w:hAnsi="Times New Roman" w:cs="Times New Roman"/>
          <w:sz w:val="24"/>
          <w:szCs w:val="24"/>
        </w:rPr>
        <w:t xml:space="preserve">and reliance on the Tenant Protection Vouchers as the basis for their borrowing. </w:t>
      </w:r>
      <w:r w:rsidR="00C1697D" w:rsidRPr="00C1697D">
        <w:rPr>
          <w:rFonts w:ascii="Times New Roman" w:hAnsi="Times New Roman" w:cs="Times New Roman"/>
          <w:sz w:val="24"/>
          <w:szCs w:val="24"/>
        </w:rPr>
        <w:t>The IBO</w:t>
      </w:r>
      <w:r w:rsidR="000D0F29" w:rsidRPr="00C1697D">
        <w:rPr>
          <w:rFonts w:ascii="Times New Roman" w:hAnsi="Times New Roman" w:cs="Times New Roman"/>
          <w:sz w:val="24"/>
          <w:szCs w:val="24"/>
        </w:rPr>
        <w:t xml:space="preserve"> noted that Tenant Protection Vouchers, being a Section 8 program, relies annually on fluctuating Congressional support, meaning that NYCHA would be unable to secure a funding stream big enough to back bonds needed for repairs when increases to the voucher program are not approved. The IBO expects that Congress would have to “vastly increase” funding for Tenant Protection Vouchers, which typically hovers around $100 million per fiscal year, to cover the IBO-estimated $500 million needed to support the repairs to all 25,000 apartments the City hopes to place under the Trust.</w:t>
      </w:r>
      <w:r w:rsidR="000D0F29" w:rsidRPr="00C1697D">
        <w:rPr>
          <w:rFonts w:ascii="Times New Roman" w:hAnsi="Times New Roman" w:cs="Times New Roman"/>
          <w:sz w:val="24"/>
          <w:szCs w:val="24"/>
          <w:vertAlign w:val="superscript"/>
        </w:rPr>
        <w:footnoteReference w:id="112"/>
      </w:r>
      <w:r w:rsidR="000D0F29" w:rsidRPr="00C1697D">
        <w:rPr>
          <w:rFonts w:ascii="Times New Roman" w:hAnsi="Times New Roman" w:cs="Times New Roman"/>
          <w:sz w:val="24"/>
          <w:szCs w:val="24"/>
        </w:rPr>
        <w:t xml:space="preserve"> In addition, the IBO noted how the Trust would require a regular flow of rent payments from tenants, whereas trends following the COVID-19 pandemic have seen </w:t>
      </w:r>
      <w:r w:rsidR="003058FA">
        <w:rPr>
          <w:rFonts w:ascii="Times New Roman" w:hAnsi="Times New Roman" w:cs="Times New Roman"/>
          <w:sz w:val="24"/>
          <w:szCs w:val="24"/>
        </w:rPr>
        <w:t>many</w:t>
      </w:r>
      <w:r w:rsidR="000D0F29" w:rsidRPr="00C1697D">
        <w:rPr>
          <w:rFonts w:ascii="Times New Roman" w:hAnsi="Times New Roman" w:cs="Times New Roman"/>
          <w:sz w:val="24"/>
          <w:szCs w:val="24"/>
        </w:rPr>
        <w:t xml:space="preserve"> households behind on their rent payments</w:t>
      </w:r>
      <w:r w:rsidR="003058FA">
        <w:rPr>
          <w:rFonts w:ascii="Times New Roman" w:hAnsi="Times New Roman" w:cs="Times New Roman"/>
          <w:sz w:val="24"/>
          <w:szCs w:val="24"/>
        </w:rPr>
        <w:t>, as discussed above</w:t>
      </w:r>
      <w:r w:rsidR="000D0F29" w:rsidRPr="00C1697D">
        <w:rPr>
          <w:rFonts w:ascii="Times New Roman" w:hAnsi="Times New Roman" w:cs="Times New Roman"/>
          <w:sz w:val="24"/>
          <w:szCs w:val="24"/>
        </w:rPr>
        <w:t>.</w:t>
      </w:r>
      <w:r w:rsidR="000D0F29" w:rsidRPr="00C1697D">
        <w:rPr>
          <w:rFonts w:ascii="Times New Roman" w:hAnsi="Times New Roman" w:cs="Times New Roman"/>
          <w:sz w:val="24"/>
          <w:szCs w:val="24"/>
          <w:vertAlign w:val="superscript"/>
        </w:rPr>
        <w:footnoteReference w:id="113"/>
      </w:r>
      <w:r w:rsidR="000D0F29" w:rsidRPr="00C1697D">
        <w:rPr>
          <w:rFonts w:ascii="Times New Roman" w:hAnsi="Times New Roman" w:cs="Times New Roman"/>
          <w:sz w:val="24"/>
          <w:szCs w:val="24"/>
        </w:rPr>
        <w:t xml:space="preserve"> </w:t>
      </w:r>
      <w:r w:rsidR="00C1697D" w:rsidRPr="00C1697D">
        <w:rPr>
          <w:rFonts w:ascii="Times New Roman" w:hAnsi="Times New Roman" w:cs="Times New Roman"/>
          <w:sz w:val="24"/>
          <w:szCs w:val="24"/>
        </w:rPr>
        <w:t>The IBO also raised t</w:t>
      </w:r>
      <w:r w:rsidR="000D0F29" w:rsidRPr="00C1697D">
        <w:rPr>
          <w:rFonts w:ascii="Times New Roman" w:hAnsi="Times New Roman" w:cs="Times New Roman"/>
          <w:sz w:val="24"/>
          <w:szCs w:val="24"/>
        </w:rPr>
        <w:t xml:space="preserve">enant participation </w:t>
      </w:r>
      <w:r w:rsidR="00C1697D" w:rsidRPr="00C1697D">
        <w:rPr>
          <w:rFonts w:ascii="Times New Roman" w:hAnsi="Times New Roman" w:cs="Times New Roman"/>
          <w:sz w:val="24"/>
          <w:szCs w:val="24"/>
        </w:rPr>
        <w:t>as</w:t>
      </w:r>
      <w:r w:rsidR="000D0F29" w:rsidRPr="00C1697D">
        <w:rPr>
          <w:rFonts w:ascii="Times New Roman" w:hAnsi="Times New Roman" w:cs="Times New Roman"/>
          <w:sz w:val="24"/>
          <w:szCs w:val="24"/>
        </w:rPr>
        <w:t xml:space="preserve"> a concern, as outlets reported on resident and tenant advocate opposition to the Trust before and after it was signed into law, with concerns like vague language and lack of detail around resident engagement and financial mechanisms and timelines undergirding building repairs.</w:t>
      </w:r>
      <w:r w:rsidR="000D0F29" w:rsidRPr="00C1697D">
        <w:rPr>
          <w:rFonts w:ascii="Times New Roman" w:hAnsi="Times New Roman" w:cs="Times New Roman"/>
          <w:sz w:val="24"/>
          <w:szCs w:val="24"/>
          <w:vertAlign w:val="superscript"/>
        </w:rPr>
        <w:footnoteReference w:id="114"/>
      </w:r>
      <w:r w:rsidR="000D0F29" w:rsidRPr="00C1697D">
        <w:rPr>
          <w:rFonts w:ascii="Times New Roman" w:hAnsi="Times New Roman" w:cs="Times New Roman"/>
          <w:sz w:val="24"/>
          <w:szCs w:val="24"/>
        </w:rPr>
        <w:t xml:space="preserve"> The IBO also noted that while the entire Trust plan requires at least 20% of households at a development to take part in the vote rejecting or accepting the Trust option, with both in-person and online voting available, typical tenant turnout at in-person NYCHA meetings ranges from 3% to 10%.</w:t>
      </w:r>
      <w:r w:rsidR="000D0F29" w:rsidRPr="00C1697D">
        <w:rPr>
          <w:rFonts w:ascii="Times New Roman" w:hAnsi="Times New Roman" w:cs="Times New Roman"/>
          <w:sz w:val="24"/>
          <w:szCs w:val="24"/>
          <w:vertAlign w:val="superscript"/>
        </w:rPr>
        <w:footnoteReference w:id="115"/>
      </w:r>
      <w:r w:rsidR="000D0F29" w:rsidRPr="00C1697D">
        <w:rPr>
          <w:rFonts w:ascii="Times New Roman" w:hAnsi="Times New Roman" w:cs="Times New Roman"/>
          <w:sz w:val="24"/>
          <w:szCs w:val="24"/>
        </w:rPr>
        <w:t xml:space="preserve"> </w:t>
      </w:r>
      <w:r w:rsidR="00CE70C1" w:rsidRPr="00C1697D">
        <w:rPr>
          <w:rFonts w:ascii="Times New Roman" w:hAnsi="Times New Roman" w:cs="Times New Roman"/>
          <w:sz w:val="24"/>
          <w:szCs w:val="24"/>
        </w:rPr>
        <w:t>Additionally, advocates and residents cited the 20% participation requirement as too low a figure, and were discomforted that such a low number of residents could end up deciding the fate of an entire development.</w:t>
      </w:r>
      <w:r w:rsidR="00CE70C1" w:rsidRPr="00C1697D">
        <w:rPr>
          <w:rFonts w:ascii="Times New Roman" w:hAnsi="Times New Roman" w:cs="Times New Roman"/>
          <w:sz w:val="24"/>
          <w:szCs w:val="24"/>
          <w:vertAlign w:val="superscript"/>
        </w:rPr>
        <w:footnoteReference w:id="116"/>
      </w:r>
      <w:r w:rsidR="00CE70C1" w:rsidRPr="00C1697D">
        <w:rPr>
          <w:rFonts w:ascii="Times New Roman" w:hAnsi="Times New Roman" w:cs="Times New Roman"/>
          <w:sz w:val="24"/>
          <w:szCs w:val="24"/>
        </w:rPr>
        <w:t xml:space="preserve"> </w:t>
      </w:r>
      <w:r w:rsidR="000D0F29" w:rsidRPr="00C1697D">
        <w:rPr>
          <w:rFonts w:ascii="Times New Roman" w:hAnsi="Times New Roman" w:cs="Times New Roman"/>
          <w:sz w:val="24"/>
          <w:szCs w:val="24"/>
        </w:rPr>
        <w:t>Reportedly, a group calling itself “Rogue” Riis Tenants urged residents at Riis Houses to boycott any Trust votes going forward, although no Trust vote has been scheduled at Riis Houses.</w:t>
      </w:r>
      <w:r w:rsidR="000D0F29" w:rsidRPr="00C1697D">
        <w:rPr>
          <w:rFonts w:ascii="Times New Roman" w:hAnsi="Times New Roman" w:cs="Times New Roman"/>
          <w:sz w:val="24"/>
          <w:szCs w:val="24"/>
          <w:vertAlign w:val="superscript"/>
        </w:rPr>
        <w:footnoteReference w:id="117"/>
      </w:r>
    </w:p>
    <w:p w14:paraId="77BDEF14" w14:textId="616D18E2" w:rsidR="00910C58" w:rsidRPr="00910C58" w:rsidRDefault="00910C58" w:rsidP="00910C58">
      <w:pPr>
        <w:spacing w:after="0" w:line="480" w:lineRule="auto"/>
        <w:jc w:val="both"/>
        <w:textAlignment w:val="baseline"/>
        <w:rPr>
          <w:rFonts w:ascii="Times New Roman" w:hAnsi="Times New Roman" w:cs="Times New Roman"/>
          <w:b/>
          <w:sz w:val="24"/>
          <w:szCs w:val="24"/>
          <w:u w:val="single"/>
        </w:rPr>
      </w:pPr>
      <w:r w:rsidRPr="00910C58">
        <w:rPr>
          <w:rFonts w:ascii="Times New Roman" w:hAnsi="Times New Roman" w:cs="Times New Roman"/>
          <w:b/>
          <w:sz w:val="24"/>
          <w:szCs w:val="24"/>
          <w:u w:val="single"/>
        </w:rPr>
        <w:t xml:space="preserve">Conclusion </w:t>
      </w:r>
    </w:p>
    <w:p w14:paraId="53B351F5" w14:textId="0938D9BC" w:rsidR="003B2EE1" w:rsidRPr="00C1697D" w:rsidRDefault="00910C58" w:rsidP="00910C58">
      <w:pPr>
        <w:spacing w:after="0" w:line="48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t>NYCHA ha</w:t>
      </w:r>
      <w:r w:rsidR="003058F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faced decades of disinvestment </w:t>
      </w:r>
      <w:r w:rsidR="003B2EE1">
        <w:rPr>
          <w:rFonts w:ascii="Times New Roman" w:eastAsia="Times New Roman" w:hAnsi="Times New Roman" w:cs="Times New Roman"/>
          <w:sz w:val="24"/>
          <w:szCs w:val="24"/>
        </w:rPr>
        <w:t>and mismanagement that ha</w:t>
      </w:r>
      <w:r w:rsidR="003058FA">
        <w:rPr>
          <w:rFonts w:ascii="Times New Roman" w:eastAsia="Times New Roman" w:hAnsi="Times New Roman" w:cs="Times New Roman"/>
          <w:sz w:val="24"/>
          <w:szCs w:val="24"/>
        </w:rPr>
        <w:t>s</w:t>
      </w:r>
      <w:r w:rsidR="003B2EE1">
        <w:rPr>
          <w:rFonts w:ascii="Times New Roman" w:eastAsia="Times New Roman" w:hAnsi="Times New Roman" w:cs="Times New Roman"/>
          <w:sz w:val="24"/>
          <w:szCs w:val="24"/>
        </w:rPr>
        <w:t xml:space="preserve"> led to poor conditions and services for NYCHA tenants. This damage to the physical conditions of the buildings and the trust of the residents cannot be undone overnight. With the implementation of the PACT program over the last 7 years and the creation of the Trust, NYCHA has put forward two disparate plans to address a large percentage of these needs. The Committee aims to understand how NYCHA plans to continue to address the</w:t>
      </w:r>
      <w:r w:rsidR="003058FA">
        <w:rPr>
          <w:rFonts w:ascii="Times New Roman" w:eastAsia="Times New Roman" w:hAnsi="Times New Roman" w:cs="Times New Roman"/>
          <w:sz w:val="24"/>
          <w:szCs w:val="24"/>
        </w:rPr>
        <w:t>se</w:t>
      </w:r>
      <w:r w:rsidR="003B2EE1">
        <w:rPr>
          <w:rFonts w:ascii="Times New Roman" w:eastAsia="Times New Roman" w:hAnsi="Times New Roman" w:cs="Times New Roman"/>
          <w:sz w:val="24"/>
          <w:szCs w:val="24"/>
        </w:rPr>
        <w:t xml:space="preserve"> needs through PACT and the Trust, but also what tenants who remain in traditional public housing should expect for their future.</w:t>
      </w:r>
    </w:p>
    <w:p w14:paraId="6B17AC9D" w14:textId="7A3F82A0" w:rsidR="00862519" w:rsidRPr="00C1697D" w:rsidRDefault="00862519" w:rsidP="0055015A">
      <w:pPr>
        <w:spacing w:after="0" w:line="240" w:lineRule="auto"/>
        <w:jc w:val="both"/>
        <w:rPr>
          <w:rFonts w:ascii="Times New Roman" w:eastAsia="Times New Roman" w:hAnsi="Times New Roman" w:cs="Times New Roman"/>
          <w:b/>
          <w:bCs/>
          <w:sz w:val="24"/>
          <w:szCs w:val="24"/>
        </w:rPr>
      </w:pPr>
    </w:p>
    <w:p w14:paraId="0645FBAC" w14:textId="77777777" w:rsidR="0054548C" w:rsidRPr="00587E2B" w:rsidRDefault="00E40AF2" w:rsidP="0055015A">
      <w:pPr>
        <w:jc w:val="both"/>
        <w:rPr>
          <w:rFonts w:ascii="Times New Roman" w:hAnsi="Times New Roman" w:cs="Times New Roman"/>
          <w:b/>
          <w:sz w:val="24"/>
          <w:szCs w:val="24"/>
          <w:u w:val="single"/>
        </w:rPr>
      </w:pPr>
      <w:r w:rsidRPr="00587E2B">
        <w:rPr>
          <w:rFonts w:ascii="Times New Roman" w:hAnsi="Times New Roman" w:cs="Times New Roman"/>
          <w:b/>
          <w:sz w:val="24"/>
          <w:szCs w:val="24"/>
          <w:u w:val="single"/>
        </w:rPr>
        <w:t>Legislation</w:t>
      </w:r>
    </w:p>
    <w:p w14:paraId="45D4BA0B" w14:textId="58E41DD4" w:rsidR="00E40AF2" w:rsidRPr="00C1697D" w:rsidRDefault="00E40AF2" w:rsidP="0055015A">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Below is a brief summary of the legislati</w:t>
      </w:r>
      <w:r w:rsidR="00587E2B">
        <w:rPr>
          <w:rFonts w:ascii="Times New Roman" w:eastAsia="Times New Roman" w:hAnsi="Times New Roman" w:cs="Times New Roman"/>
          <w:sz w:val="24"/>
          <w:szCs w:val="24"/>
        </w:rPr>
        <w:t>on being heard by the Committee</w:t>
      </w:r>
      <w:r w:rsidRPr="00C1697D">
        <w:rPr>
          <w:rFonts w:ascii="Times New Roman" w:eastAsia="Times New Roman" w:hAnsi="Times New Roman" w:cs="Times New Roman"/>
          <w:sz w:val="24"/>
          <w:szCs w:val="24"/>
        </w:rPr>
        <w:t xml:space="preserve"> at this hearing. This summary is intended for informational purposes only and does not substitute for legal counsel. For more detailed information, you should review the full text of the bills, which are attached below.</w:t>
      </w:r>
    </w:p>
    <w:p w14:paraId="0CF2198E" w14:textId="77777777" w:rsidR="00E40AF2" w:rsidRPr="00C1697D" w:rsidRDefault="00E40AF2" w:rsidP="0055015A">
      <w:pPr>
        <w:pStyle w:val="NoSpacing"/>
        <w:spacing w:before="80"/>
        <w:jc w:val="both"/>
        <w:rPr>
          <w:rFonts w:cs="Times New Roman"/>
          <w:b/>
          <w:szCs w:val="24"/>
        </w:rPr>
      </w:pPr>
      <w:r w:rsidRPr="00C1697D">
        <w:rPr>
          <w:rFonts w:cs="Times New Roman"/>
          <w:b/>
          <w:szCs w:val="24"/>
        </w:rPr>
        <w:t>Int. No. 646 - A Local Law in relation to a report on the permanent affordability commitment together program</w:t>
      </w:r>
    </w:p>
    <w:p w14:paraId="3ECB2318" w14:textId="77777777" w:rsidR="00E40AF2" w:rsidRPr="00C1697D" w:rsidRDefault="00E40AF2" w:rsidP="0055015A">
      <w:pPr>
        <w:pStyle w:val="NoSpacing"/>
        <w:spacing w:line="480" w:lineRule="auto"/>
        <w:jc w:val="both"/>
        <w:rPr>
          <w:rFonts w:cs="Times New Roman"/>
          <w:szCs w:val="24"/>
        </w:rPr>
      </w:pPr>
    </w:p>
    <w:p w14:paraId="120E26A4" w14:textId="4C6C6F99" w:rsidR="00612C8E" w:rsidRPr="00C1697D" w:rsidRDefault="00E40AF2" w:rsidP="0055015A">
      <w:pPr>
        <w:pStyle w:val="NoSpacing"/>
        <w:spacing w:before="120" w:line="480" w:lineRule="auto"/>
        <w:ind w:firstLine="720"/>
        <w:jc w:val="both"/>
        <w:rPr>
          <w:rFonts w:cs="Times New Roman"/>
          <w:szCs w:val="24"/>
        </w:rPr>
      </w:pPr>
      <w:r w:rsidRPr="00C1697D">
        <w:rPr>
          <w:rFonts w:cs="Times New Roman"/>
          <w:szCs w:val="24"/>
        </w:rPr>
        <w:t>This bill would require the mayor or an agency designated by the mayor to submit a report to the City Council on the impact of the New York City Housing Authority’s Permanent Affordability Commitment Together program.</w:t>
      </w:r>
      <w:r w:rsidR="009970A6">
        <w:rPr>
          <w:rFonts w:cs="Times New Roman"/>
          <w:szCs w:val="24"/>
        </w:rPr>
        <w:t xml:space="preserve"> This report would provide the dates each development was selected and converted, </w:t>
      </w:r>
      <w:r w:rsidR="00D53C1D">
        <w:rPr>
          <w:rFonts w:cs="Times New Roman"/>
          <w:szCs w:val="24"/>
        </w:rPr>
        <w:t xml:space="preserve">the amount of evictions initiated prior and post conversion and other relevant data points needed to understand the impact of the PACT program on residents. </w:t>
      </w:r>
    </w:p>
    <w:p w14:paraId="43ED09AA" w14:textId="77777777" w:rsidR="00E40AF2" w:rsidRPr="00C1697D" w:rsidRDefault="00E40AF2" w:rsidP="0055015A">
      <w:pPr>
        <w:pStyle w:val="NoSpacing"/>
        <w:spacing w:before="120" w:line="480" w:lineRule="auto"/>
        <w:ind w:firstLine="720"/>
        <w:jc w:val="both"/>
        <w:rPr>
          <w:rFonts w:cs="Times New Roman"/>
          <w:szCs w:val="24"/>
        </w:rPr>
      </w:pPr>
      <w:r w:rsidRPr="00C1697D">
        <w:rPr>
          <w:rFonts w:cs="Times New Roman"/>
          <w:szCs w:val="24"/>
        </w:rPr>
        <w:t xml:space="preserve">This bill would take effect immediately. </w:t>
      </w:r>
    </w:p>
    <w:p w14:paraId="77989F6A" w14:textId="77777777" w:rsidR="00E40AF2" w:rsidRPr="00C1697D" w:rsidRDefault="00E40AF2" w:rsidP="0055015A">
      <w:pPr>
        <w:pStyle w:val="NoSpacing"/>
        <w:spacing w:line="480" w:lineRule="auto"/>
        <w:jc w:val="both"/>
        <w:rPr>
          <w:rFonts w:cs="Times New Roman"/>
          <w:szCs w:val="24"/>
        </w:rPr>
      </w:pPr>
    </w:p>
    <w:p w14:paraId="35288B7C" w14:textId="77777777" w:rsidR="00E40AF2" w:rsidRPr="00C1697D" w:rsidRDefault="00E40AF2" w:rsidP="0055015A">
      <w:pPr>
        <w:pStyle w:val="NoSpacing"/>
        <w:jc w:val="both"/>
        <w:rPr>
          <w:rFonts w:cs="Times New Roman"/>
          <w:b/>
          <w:szCs w:val="24"/>
        </w:rPr>
      </w:pPr>
      <w:r w:rsidRPr="00C1697D">
        <w:rPr>
          <w:rFonts w:cs="Times New Roman"/>
          <w:b/>
          <w:szCs w:val="24"/>
        </w:rPr>
        <w:t>Int. No.  648 - A Local Law to amend the administrative code of the city of New York, in relation to reporting on vacant public housing dwelling units</w:t>
      </w:r>
    </w:p>
    <w:p w14:paraId="6F7BF620" w14:textId="77777777" w:rsidR="00E40AF2" w:rsidRPr="00C1697D" w:rsidRDefault="00E40AF2" w:rsidP="0055015A">
      <w:pPr>
        <w:pStyle w:val="NoSpacing"/>
        <w:spacing w:line="480" w:lineRule="auto"/>
        <w:jc w:val="both"/>
        <w:rPr>
          <w:rFonts w:cs="Times New Roman"/>
          <w:szCs w:val="24"/>
        </w:rPr>
      </w:pPr>
    </w:p>
    <w:p w14:paraId="019E20EA" w14:textId="103D13AA" w:rsidR="00E40AF2" w:rsidRPr="00C1697D" w:rsidRDefault="00E40AF2" w:rsidP="00AC563D">
      <w:pPr>
        <w:pStyle w:val="BodyText"/>
      </w:pPr>
      <w:r w:rsidRPr="00C1697D">
        <w:t xml:space="preserve">This bill would require the New York City Housing Authority to make publicly available online and submit to the Council an annual report on public housing dwelling units that have been vacant for more than 30 continuous days. </w:t>
      </w:r>
      <w:r w:rsidR="0087021A">
        <w:t xml:space="preserve">This report would detail the amount of time the unit has been vacant more than 30 days, the reasons the unit was vacant and whether the unit was habitable and being offered to prospective occupants. </w:t>
      </w:r>
    </w:p>
    <w:p w14:paraId="2A616B14" w14:textId="77777777" w:rsidR="00E40AF2" w:rsidRPr="00C1697D" w:rsidRDefault="00E40AF2" w:rsidP="0055015A">
      <w:pPr>
        <w:pStyle w:val="NoSpacing"/>
        <w:spacing w:line="480" w:lineRule="auto"/>
        <w:ind w:firstLine="720"/>
        <w:jc w:val="both"/>
        <w:rPr>
          <w:rFonts w:cs="Times New Roman"/>
          <w:szCs w:val="24"/>
        </w:rPr>
      </w:pPr>
      <w:r w:rsidRPr="00C1697D">
        <w:rPr>
          <w:rFonts w:cs="Times New Roman"/>
          <w:szCs w:val="24"/>
        </w:rPr>
        <w:t xml:space="preserve">This bill would take effect immediately. </w:t>
      </w:r>
    </w:p>
    <w:p w14:paraId="7655AF56" w14:textId="77777777" w:rsidR="005907DF" w:rsidRPr="00C1697D" w:rsidRDefault="005907DF" w:rsidP="0055015A">
      <w:pPr>
        <w:jc w:val="both"/>
        <w:rPr>
          <w:rFonts w:ascii="Times New Roman" w:hAnsi="Times New Roman" w:cs="Times New Roman"/>
          <w:sz w:val="24"/>
          <w:szCs w:val="24"/>
        </w:rPr>
      </w:pPr>
    </w:p>
    <w:p w14:paraId="5034701D" w14:textId="77777777" w:rsidR="0054548C" w:rsidRPr="00C1697D" w:rsidRDefault="0054548C" w:rsidP="0055015A">
      <w:pPr>
        <w:jc w:val="both"/>
        <w:rPr>
          <w:rFonts w:ascii="Times New Roman" w:hAnsi="Times New Roman" w:cs="Times New Roman"/>
          <w:sz w:val="24"/>
          <w:szCs w:val="24"/>
        </w:rPr>
      </w:pPr>
    </w:p>
    <w:p w14:paraId="06BDE021" w14:textId="77777777" w:rsidR="0054548C" w:rsidRPr="00C1697D" w:rsidRDefault="0054548C" w:rsidP="0055015A">
      <w:pPr>
        <w:jc w:val="both"/>
        <w:rPr>
          <w:rFonts w:ascii="Times New Roman" w:hAnsi="Times New Roman" w:cs="Times New Roman"/>
          <w:sz w:val="24"/>
          <w:szCs w:val="24"/>
        </w:rPr>
      </w:pPr>
    </w:p>
    <w:p w14:paraId="3D4C126D" w14:textId="77777777" w:rsidR="00172B84" w:rsidRPr="00C1697D" w:rsidRDefault="00172B84" w:rsidP="0055015A">
      <w:pPr>
        <w:jc w:val="both"/>
        <w:rPr>
          <w:rFonts w:ascii="Times New Roman" w:hAnsi="Times New Roman" w:cs="Times New Roman"/>
          <w:sz w:val="24"/>
          <w:szCs w:val="24"/>
        </w:rPr>
      </w:pPr>
      <w:r w:rsidRPr="00C1697D">
        <w:rPr>
          <w:rFonts w:ascii="Times New Roman" w:hAnsi="Times New Roman" w:cs="Times New Roman"/>
          <w:sz w:val="24"/>
          <w:szCs w:val="24"/>
        </w:rPr>
        <w:br w:type="page"/>
      </w:r>
    </w:p>
    <w:p w14:paraId="2A6BC188" w14:textId="77777777" w:rsidR="00172B84" w:rsidRPr="00C1697D" w:rsidRDefault="00172B84" w:rsidP="00AC563D">
      <w:pPr>
        <w:spacing w:after="0" w:line="240" w:lineRule="auto"/>
        <w:jc w:val="center"/>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Int. No. 646</w:t>
      </w:r>
    </w:p>
    <w:p w14:paraId="02EC4165" w14:textId="77777777" w:rsidR="00172B84" w:rsidRPr="00C1697D" w:rsidRDefault="00172B84" w:rsidP="0055015A">
      <w:pPr>
        <w:spacing w:after="0" w:line="240" w:lineRule="auto"/>
        <w:jc w:val="both"/>
        <w:rPr>
          <w:rFonts w:ascii="Times New Roman" w:eastAsia="Times New Roman" w:hAnsi="Times New Roman" w:cs="Times New Roman"/>
          <w:sz w:val="24"/>
          <w:szCs w:val="24"/>
        </w:rPr>
      </w:pPr>
    </w:p>
    <w:p w14:paraId="3C958201" w14:textId="77777777" w:rsidR="00172B84" w:rsidRPr="00C1697D" w:rsidRDefault="00172B84" w:rsidP="0055015A">
      <w:pPr>
        <w:autoSpaceDE w:val="0"/>
        <w:autoSpaceDN w:val="0"/>
        <w:adjustRightInd w:val="0"/>
        <w:spacing w:after="0" w:line="240" w:lineRule="auto"/>
        <w:jc w:val="both"/>
        <w:rPr>
          <w:rFonts w:ascii="Times New Roman" w:eastAsia="Calibri" w:hAnsi="Times New Roman" w:cs="Times New Roman"/>
          <w:sz w:val="24"/>
          <w:szCs w:val="24"/>
        </w:rPr>
      </w:pPr>
      <w:r w:rsidRPr="00C1697D">
        <w:rPr>
          <w:rFonts w:ascii="Times New Roman" w:eastAsia="Calibri" w:hAnsi="Times New Roman" w:cs="Times New Roman"/>
          <w:sz w:val="24"/>
          <w:szCs w:val="24"/>
        </w:rPr>
        <w:t>By Council Members Avilés, Louis, Cabán, Velázquez, Restler, Won, Hanif, Ossé, Ayala, Nurse, De La Rosa, Farías, Hudson, Krishnan, Gutiérrez and Narcisse</w:t>
      </w:r>
    </w:p>
    <w:p w14:paraId="4EA930B0" w14:textId="77777777" w:rsidR="00172B84" w:rsidRPr="00C1697D" w:rsidRDefault="00172B84" w:rsidP="0055015A">
      <w:pPr>
        <w:spacing w:after="0" w:line="240" w:lineRule="auto"/>
        <w:jc w:val="both"/>
        <w:rPr>
          <w:rFonts w:ascii="Times New Roman" w:eastAsia="Times New Roman" w:hAnsi="Times New Roman" w:cs="Times New Roman"/>
          <w:sz w:val="24"/>
          <w:szCs w:val="24"/>
        </w:rPr>
      </w:pPr>
    </w:p>
    <w:p w14:paraId="4BBDB5FD" w14:textId="77777777" w:rsidR="00172B84" w:rsidRPr="00C1697D" w:rsidRDefault="00172B84" w:rsidP="0055015A">
      <w:pPr>
        <w:spacing w:after="0" w:line="240" w:lineRule="auto"/>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A Local Law in relation to a report on the permanent affordability commitment together program</w:t>
      </w:r>
    </w:p>
    <w:p w14:paraId="47FB93E2" w14:textId="77777777" w:rsidR="00172B84" w:rsidRPr="00C1697D" w:rsidRDefault="00172B84" w:rsidP="0055015A">
      <w:pPr>
        <w:spacing w:after="0" w:line="240" w:lineRule="auto"/>
        <w:jc w:val="both"/>
        <w:rPr>
          <w:rFonts w:ascii="Times New Roman" w:eastAsia="Times New Roman" w:hAnsi="Times New Roman" w:cs="Times New Roman"/>
          <w:sz w:val="24"/>
          <w:szCs w:val="24"/>
          <w:u w:val="single"/>
        </w:rPr>
      </w:pPr>
    </w:p>
    <w:p w14:paraId="1965314D" w14:textId="77777777" w:rsidR="00172B84" w:rsidRPr="00C1697D" w:rsidRDefault="00172B84" w:rsidP="0055015A">
      <w:pPr>
        <w:spacing w:after="0" w:line="240" w:lineRule="auto"/>
        <w:jc w:val="both"/>
        <w:rPr>
          <w:rFonts w:ascii="Times New Roman" w:eastAsia="Times New Roman" w:hAnsi="Times New Roman" w:cs="Times New Roman"/>
          <w:sz w:val="24"/>
          <w:szCs w:val="24"/>
          <w:u w:val="single"/>
        </w:rPr>
      </w:pPr>
      <w:r w:rsidRPr="00C1697D">
        <w:rPr>
          <w:rFonts w:ascii="Times New Roman" w:eastAsia="Times New Roman" w:hAnsi="Times New Roman" w:cs="Times New Roman"/>
          <w:sz w:val="24"/>
          <w:szCs w:val="24"/>
          <w:u w:val="single"/>
        </w:rPr>
        <w:t>Be it enacted by the Council as follows:</w:t>
      </w:r>
    </w:p>
    <w:p w14:paraId="5A211589" w14:textId="77777777" w:rsidR="0054548C" w:rsidRPr="00C1697D" w:rsidRDefault="0054548C" w:rsidP="0055015A">
      <w:pPr>
        <w:spacing w:after="0" w:line="240" w:lineRule="auto"/>
        <w:jc w:val="both"/>
        <w:rPr>
          <w:rFonts w:ascii="Times New Roman" w:eastAsia="Times New Roman" w:hAnsi="Times New Roman" w:cs="Times New Roman"/>
          <w:sz w:val="24"/>
          <w:szCs w:val="24"/>
        </w:rPr>
      </w:pPr>
    </w:p>
    <w:p w14:paraId="42441C4F" w14:textId="77777777" w:rsidR="0054548C" w:rsidRPr="00C1697D" w:rsidRDefault="0054548C" w:rsidP="0055015A">
      <w:pPr>
        <w:spacing w:after="0" w:line="240" w:lineRule="auto"/>
        <w:jc w:val="both"/>
        <w:rPr>
          <w:rFonts w:ascii="Times New Roman" w:eastAsia="Times New Roman" w:hAnsi="Times New Roman" w:cs="Times New Roman"/>
          <w:sz w:val="24"/>
          <w:szCs w:val="24"/>
        </w:rPr>
        <w:sectPr w:rsidR="0054548C" w:rsidRPr="00C1697D">
          <w:footerReference w:type="default" r:id="rId9"/>
          <w:footerReference w:type="first" r:id="rId10"/>
          <w:pgSz w:w="12240" w:h="15840"/>
          <w:pgMar w:top="1440" w:right="1440" w:bottom="1440" w:left="1440" w:header="720" w:footer="720" w:gutter="0"/>
          <w:cols w:space="720"/>
          <w:docGrid w:linePitch="360"/>
        </w:sectPr>
      </w:pPr>
    </w:p>
    <w:p w14:paraId="49FEDFFC" w14:textId="77777777" w:rsidR="00172B84" w:rsidRPr="00C1697D" w:rsidRDefault="00172B84" w:rsidP="0055015A">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Section 1. Not later than one year after the effective date of the local law that added this section, the mayor, or an agency designated by the mayor, shall make publicly available online and submit to the council a report relating to outcomes of the New York city housing authority’s implementation of the federal rental assistance demonstration program, as authorized by public law 112-55, or successor program. In developing this report, the mayor, or such designated agency, shall seek cooperation and assistance from the New York city housing authority. Such report shall not include the personally identifiable information of any public housing resident. Such report shall include, at a minimum, the following information for each public housing development, or bundle of public housing developments including the name of each development in such bundle, selected for conversion through such program:</w:t>
      </w:r>
    </w:p>
    <w:p w14:paraId="51E3A5DB" w14:textId="77777777" w:rsidR="00172B84" w:rsidRPr="00C1697D" w:rsidRDefault="00172B84" w:rsidP="0055015A">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1. The date such development or bundle of developments was selected for conversion under such program;</w:t>
      </w:r>
    </w:p>
    <w:p w14:paraId="255E9E33" w14:textId="77777777" w:rsidR="00172B84" w:rsidRPr="00C1697D" w:rsidRDefault="00172B84" w:rsidP="0055015A">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2. The date such development or bundle of developments was converted under such program;</w:t>
      </w:r>
    </w:p>
    <w:p w14:paraId="39E7C3A0" w14:textId="77777777" w:rsidR="00172B84" w:rsidRPr="00C1697D" w:rsidRDefault="00172B84" w:rsidP="0055015A">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3. The name of the development partner selected to serve as the property manager for such development or bundle of developments;</w:t>
      </w:r>
    </w:p>
    <w:p w14:paraId="0B489457" w14:textId="77777777" w:rsidR="00172B84" w:rsidRPr="00C1697D" w:rsidRDefault="00172B84" w:rsidP="0055015A">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4. A description of how the New York city housing authority conducted outreach and resident engagement prior to and throughout the conversion process;</w:t>
      </w:r>
    </w:p>
    <w:p w14:paraId="7A6F7E75" w14:textId="77777777" w:rsidR="00172B84" w:rsidRPr="00C1697D" w:rsidRDefault="00172B84" w:rsidP="0055015A">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5. A description of how the New York city housing authority conducts oversight over the development partner or property manager described in paragraph 3;</w:t>
      </w:r>
    </w:p>
    <w:p w14:paraId="225338D4" w14:textId="77777777" w:rsidR="00172B84" w:rsidRPr="00C1697D" w:rsidRDefault="00172B84" w:rsidP="0055015A">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6. A description of the rights retained by residents of such development or bundle of developments and a description of how those rights differ from those held by such tenants prior to conversion;</w:t>
      </w:r>
    </w:p>
    <w:p w14:paraId="6DB7ED43" w14:textId="77777777" w:rsidR="00172B84" w:rsidRPr="00C1697D" w:rsidRDefault="00172B84" w:rsidP="0055015A">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7. A description of major repairs and upgrades made in such development or bundle of developments following conversion including the cost of each such repair and upgrade;</w:t>
      </w:r>
    </w:p>
    <w:p w14:paraId="441611C9" w14:textId="77777777" w:rsidR="00172B84" w:rsidRPr="00C1697D" w:rsidRDefault="00172B84" w:rsidP="0055015A">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8. Annually for each of the three calendar years prior to conversion, the number of eviction proceedings initiated against tenants of such development and the number of evictions executed prior to conversion;</w:t>
      </w:r>
    </w:p>
    <w:p w14:paraId="1DB51BF8" w14:textId="77777777" w:rsidR="00172B84" w:rsidRPr="00C1697D" w:rsidRDefault="00172B84" w:rsidP="0055015A">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9. The number of eviction proceedings initiated against tenants of such development and the number of evictions executed following conversion; and</w:t>
      </w:r>
    </w:p>
    <w:p w14:paraId="47FECBAA" w14:textId="77777777" w:rsidR="00172B84" w:rsidRPr="00C1697D" w:rsidRDefault="00172B84" w:rsidP="0055015A">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10. The amount of private financing received by such development following conversion, including all financing available under section 8 of the housing act of 1937.</w:t>
      </w:r>
    </w:p>
    <w:p w14:paraId="14D8190B" w14:textId="77777777" w:rsidR="0054548C" w:rsidRPr="00C1697D" w:rsidRDefault="00172B84" w:rsidP="0055015A">
      <w:pPr>
        <w:spacing w:after="0" w:line="480" w:lineRule="auto"/>
        <w:ind w:firstLine="720"/>
        <w:jc w:val="both"/>
        <w:rPr>
          <w:rFonts w:ascii="Times New Roman" w:eastAsia="Times New Roman" w:hAnsi="Times New Roman" w:cs="Times New Roman"/>
          <w:sz w:val="24"/>
          <w:szCs w:val="24"/>
        </w:rPr>
        <w:sectPr w:rsidR="0054548C" w:rsidRPr="00C1697D" w:rsidSect="0054548C">
          <w:type w:val="continuous"/>
          <w:pgSz w:w="12240" w:h="15840"/>
          <w:pgMar w:top="1440" w:right="1440" w:bottom="1440" w:left="1440" w:header="720" w:footer="720" w:gutter="0"/>
          <w:lnNumType w:countBy="1" w:restart="continuous"/>
          <w:cols w:space="720"/>
          <w:docGrid w:linePitch="360"/>
        </w:sectPr>
      </w:pPr>
      <w:r w:rsidRPr="00C1697D">
        <w:rPr>
          <w:rFonts w:ascii="Times New Roman" w:eastAsia="Times New Roman" w:hAnsi="Times New Roman" w:cs="Times New Roman"/>
          <w:sz w:val="24"/>
          <w:szCs w:val="24"/>
        </w:rPr>
        <w:t>§ 2. This local law takes effect immediately and expires and is deemed repealed upon the issuance of the re</w:t>
      </w:r>
      <w:r w:rsidR="0054548C" w:rsidRPr="00C1697D">
        <w:rPr>
          <w:rFonts w:ascii="Times New Roman" w:eastAsia="Times New Roman" w:hAnsi="Times New Roman" w:cs="Times New Roman"/>
          <w:sz w:val="24"/>
          <w:szCs w:val="24"/>
        </w:rPr>
        <w:t>port required by this local law</w:t>
      </w:r>
    </w:p>
    <w:p w14:paraId="41457E22" w14:textId="77777777" w:rsidR="00172B84" w:rsidRPr="00C1697D" w:rsidRDefault="00172B84" w:rsidP="0055015A">
      <w:pPr>
        <w:spacing w:after="0" w:line="480" w:lineRule="auto"/>
        <w:jc w:val="both"/>
        <w:rPr>
          <w:rFonts w:ascii="Times New Roman" w:eastAsia="Times New Roman" w:hAnsi="Times New Roman" w:cs="Times New Roman"/>
          <w:sz w:val="24"/>
          <w:szCs w:val="24"/>
        </w:rPr>
      </w:pPr>
    </w:p>
    <w:p w14:paraId="2204AE9A" w14:textId="77777777" w:rsidR="00172B84" w:rsidRPr="00C1697D" w:rsidRDefault="00172B84" w:rsidP="0055015A">
      <w:pPr>
        <w:spacing w:after="0" w:line="240" w:lineRule="auto"/>
        <w:jc w:val="both"/>
        <w:rPr>
          <w:rFonts w:ascii="Times New Roman" w:eastAsia="Times New Roman" w:hAnsi="Times New Roman" w:cs="Times New Roman"/>
          <w:sz w:val="24"/>
          <w:szCs w:val="24"/>
        </w:rPr>
      </w:pPr>
    </w:p>
    <w:p w14:paraId="28AB1207" w14:textId="77777777" w:rsidR="00172B84" w:rsidRPr="00C1697D" w:rsidRDefault="00172B84" w:rsidP="0055015A">
      <w:pPr>
        <w:spacing w:after="0" w:line="240" w:lineRule="auto"/>
        <w:jc w:val="both"/>
        <w:rPr>
          <w:rFonts w:ascii="Times New Roman" w:eastAsia="Times New Roman" w:hAnsi="Times New Roman" w:cs="Times New Roman"/>
          <w:sz w:val="24"/>
          <w:szCs w:val="24"/>
        </w:rPr>
      </w:pPr>
    </w:p>
    <w:p w14:paraId="45DF6657" w14:textId="77777777" w:rsidR="00172B84" w:rsidRPr="00C1697D" w:rsidRDefault="00172B84" w:rsidP="0055015A">
      <w:pPr>
        <w:spacing w:after="0" w:line="240" w:lineRule="auto"/>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AS</w:t>
      </w:r>
    </w:p>
    <w:p w14:paraId="2666029B" w14:textId="77777777" w:rsidR="00172B84" w:rsidRPr="00C1697D" w:rsidRDefault="00172B84" w:rsidP="0055015A">
      <w:pPr>
        <w:spacing w:after="0" w:line="240" w:lineRule="auto"/>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LS #7402</w:t>
      </w:r>
    </w:p>
    <w:p w14:paraId="327EB679" w14:textId="77777777" w:rsidR="00172B84" w:rsidRPr="00C1697D" w:rsidRDefault="00172B84" w:rsidP="0055015A">
      <w:pPr>
        <w:spacing w:after="0" w:line="240" w:lineRule="auto"/>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9/7/2022</w:t>
      </w:r>
    </w:p>
    <w:p w14:paraId="422B0258" w14:textId="77777777" w:rsidR="00B23E58" w:rsidRPr="00C1697D" w:rsidRDefault="00B23E58" w:rsidP="0055015A">
      <w:pPr>
        <w:jc w:val="both"/>
        <w:rPr>
          <w:rFonts w:ascii="Times New Roman" w:hAnsi="Times New Roman" w:cs="Times New Roman"/>
          <w:sz w:val="24"/>
          <w:szCs w:val="24"/>
        </w:rPr>
      </w:pPr>
      <w:r w:rsidRPr="00C1697D">
        <w:rPr>
          <w:rFonts w:ascii="Times New Roman" w:hAnsi="Times New Roman" w:cs="Times New Roman"/>
          <w:sz w:val="24"/>
          <w:szCs w:val="24"/>
        </w:rPr>
        <w:br w:type="page"/>
      </w:r>
    </w:p>
    <w:p w14:paraId="0705C144" w14:textId="77777777" w:rsidR="00B23E58" w:rsidRPr="00C1697D" w:rsidRDefault="00B23E58" w:rsidP="00AC563D">
      <w:pPr>
        <w:shd w:val="clear" w:color="auto" w:fill="FFFFFF"/>
        <w:spacing w:after="0" w:line="240" w:lineRule="auto"/>
        <w:jc w:val="center"/>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Int. No. 648</w:t>
      </w:r>
    </w:p>
    <w:p w14:paraId="02D3F246"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 </w:t>
      </w:r>
    </w:p>
    <w:p w14:paraId="18020D1F" w14:textId="77777777" w:rsidR="00B23E58" w:rsidRPr="00C1697D" w:rsidRDefault="00B23E58" w:rsidP="0055015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1697D">
        <w:rPr>
          <w:rFonts w:ascii="Times New Roman" w:hAnsi="Times New Roman" w:cs="Times New Roman"/>
          <w:sz w:val="24"/>
          <w:szCs w:val="24"/>
        </w:rPr>
        <w:t>By Council Members Avilés, Feliz, Louis, Velázquez, Restler, Won, Hanif, Hudson, Brewer, Ossé, Farías, Ayala, Nurse, De La Rosa, Sanchez, Powers, Narcisse, Schulman, Bottcher, Krishnan, Gutiérrez, Cabán, Menin, Ung, Marte, Rivera, Riley, Abreu, Brannan and Gennaro</w:t>
      </w:r>
    </w:p>
    <w:p w14:paraId="21BE1FC1"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 </w:t>
      </w:r>
    </w:p>
    <w:p w14:paraId="15D4F027"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A Local Law to amend the administrative code of the city of New York, in relation to reporting on vacant public housing dwelling units</w:t>
      </w:r>
    </w:p>
    <w:p w14:paraId="250DD51F"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 </w:t>
      </w:r>
    </w:p>
    <w:p w14:paraId="1EB5CEA5"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Be it enacted by the Council as follows:</w:t>
      </w:r>
    </w:p>
    <w:p w14:paraId="3FC55540" w14:textId="77777777" w:rsidR="00B23E58" w:rsidRPr="00C1697D" w:rsidRDefault="00B23E58" w:rsidP="0055015A">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 </w:t>
      </w:r>
    </w:p>
    <w:p w14:paraId="106452C4"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Section 1. Chapter 1 of title 3 of the administrative code of the city of New York is amended by adding a new subchapter 9 to read as follows:</w:t>
      </w:r>
    </w:p>
    <w:p w14:paraId="73C7ECDC" w14:textId="77777777" w:rsidR="00B23E58" w:rsidRPr="00C1697D" w:rsidRDefault="00B23E58" w:rsidP="00AC563D">
      <w:pPr>
        <w:shd w:val="clear" w:color="auto" w:fill="FFFFFF"/>
        <w:spacing w:after="0" w:line="240" w:lineRule="auto"/>
        <w:ind w:firstLine="720"/>
        <w:jc w:val="center"/>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SUBCHAPTER 9</w:t>
      </w:r>
    </w:p>
    <w:p w14:paraId="57D6B4F3" w14:textId="77777777" w:rsidR="00B23E58" w:rsidRPr="00C1697D" w:rsidRDefault="00B23E58" w:rsidP="00AC563D">
      <w:pPr>
        <w:shd w:val="clear" w:color="auto" w:fill="FFFFFF"/>
        <w:spacing w:after="0" w:line="480" w:lineRule="auto"/>
        <w:ind w:firstLine="720"/>
        <w:jc w:val="center"/>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REPORTS RELATED TO PUBLIC HOUSING</w:t>
      </w:r>
    </w:p>
    <w:p w14:paraId="62E8A006" w14:textId="77777777" w:rsidR="00B23E58" w:rsidRPr="00C1697D" w:rsidRDefault="00B23E58" w:rsidP="0055015A">
      <w:pPr>
        <w:shd w:val="clear" w:color="auto" w:fill="FFFFFF"/>
        <w:spacing w:after="0" w:line="240" w:lineRule="auto"/>
        <w:ind w:firstLine="720"/>
        <w:jc w:val="both"/>
        <w:rPr>
          <w:rFonts w:ascii="Times New Roman" w:eastAsia="Times New Roman" w:hAnsi="Times New Roman" w:cs="Times New Roman"/>
          <w:color w:val="000000"/>
          <w:sz w:val="24"/>
          <w:szCs w:val="24"/>
          <w:u w:val="single"/>
        </w:rPr>
      </w:pPr>
      <w:r w:rsidRPr="00C1697D">
        <w:rPr>
          <w:rFonts w:ascii="Times New Roman" w:eastAsia="Times New Roman" w:hAnsi="Times New Roman" w:cs="Times New Roman"/>
          <w:color w:val="000000"/>
          <w:sz w:val="24"/>
          <w:szCs w:val="24"/>
          <w:u w:val="single"/>
        </w:rPr>
        <w:t>§ 3-190 General.</w:t>
      </w:r>
    </w:p>
    <w:p w14:paraId="114FE68A" w14:textId="77777777" w:rsidR="00B23E58" w:rsidRPr="00C1697D" w:rsidRDefault="00B23E58" w:rsidP="0055015A">
      <w:pPr>
        <w:shd w:val="clear" w:color="auto" w:fill="FFFFFF"/>
        <w:spacing w:after="0" w:line="240" w:lineRule="auto"/>
        <w:ind w:firstLine="720"/>
        <w:jc w:val="both"/>
        <w:rPr>
          <w:rFonts w:ascii="Times New Roman" w:eastAsia="Times New Roman" w:hAnsi="Times New Roman" w:cs="Times New Roman"/>
          <w:color w:val="000000"/>
          <w:sz w:val="24"/>
          <w:szCs w:val="24"/>
        </w:rPr>
      </w:pPr>
    </w:p>
    <w:p w14:paraId="414C063D" w14:textId="77777777" w:rsidR="00B23E58" w:rsidRPr="00C1697D" w:rsidRDefault="00B23E58" w:rsidP="0055015A">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 3-191 Report on vacant public housing dwelling units.</w:t>
      </w:r>
    </w:p>
    <w:p w14:paraId="1C981E4A" w14:textId="77777777" w:rsidR="00B23E58" w:rsidRPr="00C1697D" w:rsidRDefault="00B23E58" w:rsidP="0055015A">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 </w:t>
      </w:r>
    </w:p>
    <w:p w14:paraId="12CEC557"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 3-190 General. As used in this subchapter:</w:t>
      </w:r>
    </w:p>
    <w:p w14:paraId="217566E2"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Dwelling unit. The term “dwelling unit” has the meaning ascribed to such term in the housing maintenance code.</w:t>
      </w:r>
    </w:p>
    <w:p w14:paraId="2FF8C27F"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Public housing. The term “public housing” has the meaning ascribed to such term in section 1437a of title 42 of the United States code.</w:t>
      </w:r>
    </w:p>
    <w:p w14:paraId="754A462B"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Vacant. The term “vacant” means, with respect to a dwelling unit, that such dwelling unit is not occupied for use as a residence.</w:t>
      </w:r>
    </w:p>
    <w:p w14:paraId="3D72DD20"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 3-191 Report on vacant public housing dwelling units. a. No later than 60 days after the end of each calendar year, beginning with the first calendar year that commences after the effective date of the local law that added this section, the New York City housing authority shall make publicly available online and submit to the council a report on public housing dwelling units that were vacant for more than 30 continuous days during such year. Such report shall include, at a minimum, the following information, disaggregated by public housing development, borough and council district:</w:t>
      </w:r>
    </w:p>
    <w:p w14:paraId="7A99F80D"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1. The number of public housing dwelling units that have been vacant for more than 30 continuous days during such year;</w:t>
      </w:r>
    </w:p>
    <w:p w14:paraId="7FCE0C58"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2. For each such unit:</w:t>
      </w:r>
    </w:p>
    <w:p w14:paraId="1EBC9577"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(a) The reason such unit was vacant for more than 30 continuous days during such year;</w:t>
      </w:r>
    </w:p>
    <w:p w14:paraId="43BEB5B2"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(b) Whether, during such vacancy, such unit was habitable, available for use as a residence and being offered to prospective occupants for such use; and</w:t>
      </w:r>
    </w:p>
    <w:p w14:paraId="064D41BD"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(c) The number of days such unit was vacant during such year and, if such unit was vacant for the whole year, the number of days since such unit was last occupied.</w:t>
      </w:r>
    </w:p>
    <w:p w14:paraId="5CDF9B7E"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b. Such information shall be posted on the city’s website in a non-proprietary format that permits automated processing.</w:t>
      </w:r>
    </w:p>
    <w:p w14:paraId="095D1495" w14:textId="77777777" w:rsidR="00B23E58" w:rsidRPr="00C1697D" w:rsidRDefault="00B23E58" w:rsidP="0055015A">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 2. This local law takes effect immediately.</w:t>
      </w:r>
    </w:p>
    <w:p w14:paraId="52EB4981"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 </w:t>
      </w:r>
    </w:p>
    <w:p w14:paraId="276FCE9A"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u w:val="single"/>
        </w:rPr>
      </w:pPr>
    </w:p>
    <w:p w14:paraId="0755C3A3"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u w:val="single"/>
        </w:rPr>
      </w:pPr>
    </w:p>
    <w:p w14:paraId="003F07F4"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u w:val="single"/>
        </w:rPr>
      </w:pPr>
    </w:p>
    <w:p w14:paraId="0D20D6EA"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u w:val="single"/>
        </w:rPr>
        <w:t>Session 12</w:t>
      </w:r>
    </w:p>
    <w:p w14:paraId="3FE1761F"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AV</w:t>
      </w:r>
    </w:p>
    <w:p w14:paraId="477D646F"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LS 8749</w:t>
      </w:r>
    </w:p>
    <w:p w14:paraId="3082D76F"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Int. 577-2018</w:t>
      </w:r>
    </w:p>
    <w:p w14:paraId="268F8063"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p>
    <w:p w14:paraId="6A3D1F3E"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u w:val="single"/>
        </w:rPr>
      </w:pPr>
      <w:r w:rsidRPr="00C1697D">
        <w:rPr>
          <w:rFonts w:ascii="Times New Roman" w:eastAsia="Times New Roman" w:hAnsi="Times New Roman" w:cs="Times New Roman"/>
          <w:color w:val="000000"/>
          <w:sz w:val="24"/>
          <w:szCs w:val="24"/>
          <w:u w:val="single"/>
        </w:rPr>
        <w:t>Session 11</w:t>
      </w:r>
    </w:p>
    <w:p w14:paraId="45E48017"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FM/MD</w:t>
      </w:r>
    </w:p>
    <w:p w14:paraId="6A12C1C7"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LS #802.1 and 4418.1/Int. 1134</w:t>
      </w:r>
    </w:p>
    <w:p w14:paraId="6CA0DDCF" w14:textId="77777777" w:rsidR="00B23E58" w:rsidRPr="00C1697D" w:rsidRDefault="00B23E58" w:rsidP="0055015A">
      <w:pPr>
        <w:shd w:val="clear" w:color="auto" w:fill="FFFFFF"/>
        <w:spacing w:after="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LS 528</w:t>
      </w:r>
    </w:p>
    <w:p w14:paraId="726A4B54" w14:textId="77777777" w:rsidR="00B23E58" w:rsidRPr="00C1697D" w:rsidRDefault="00B23E58" w:rsidP="0055015A">
      <w:pPr>
        <w:shd w:val="clear" w:color="auto" w:fill="FFFFFF"/>
        <w:spacing w:after="150" w:line="240" w:lineRule="auto"/>
        <w:jc w:val="both"/>
        <w:rPr>
          <w:rFonts w:ascii="Times New Roman" w:eastAsia="Times New Roman" w:hAnsi="Times New Roman" w:cs="Times New Roman"/>
          <w:color w:val="000000"/>
          <w:sz w:val="24"/>
          <w:szCs w:val="24"/>
        </w:rPr>
      </w:pPr>
      <w:r w:rsidRPr="00C1697D">
        <w:rPr>
          <w:rFonts w:ascii="Times New Roman" w:eastAsia="Times New Roman" w:hAnsi="Times New Roman" w:cs="Times New Roman"/>
          <w:color w:val="000000"/>
          <w:sz w:val="24"/>
          <w:szCs w:val="24"/>
        </w:rPr>
        <w:t> </w:t>
      </w:r>
    </w:p>
    <w:p w14:paraId="72D8BC8A" w14:textId="77777777" w:rsidR="00814C1C" w:rsidRPr="00C1697D" w:rsidRDefault="00814C1C" w:rsidP="0055015A">
      <w:pPr>
        <w:jc w:val="both"/>
        <w:rPr>
          <w:rFonts w:ascii="Times New Roman" w:hAnsi="Times New Roman" w:cs="Times New Roman"/>
          <w:sz w:val="24"/>
          <w:szCs w:val="24"/>
        </w:rPr>
      </w:pPr>
    </w:p>
    <w:sectPr w:rsidR="00814C1C" w:rsidRPr="00C1697D" w:rsidSect="0054548C">
      <w:type w:val="continuous"/>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1BF5DCE" w16cex:dateUtc="2023-10-23T06:24:00Z"/>
  <w16cex:commentExtensible w16cex:durableId="010456E7" w16cex:dateUtc="2023-10-23T06:26:00Z"/>
  <w16cex:commentExtensible w16cex:durableId="1CCF1A6B" w16cex:dateUtc="2023-10-23T06: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DD05B8" w16cid:durableId="44725A4F"/>
  <w16cid:commentId w16cid:paraId="0C31591C" w16cid:durableId="23B1086A"/>
  <w16cid:commentId w16cid:paraId="5F354C34" w16cid:durableId="33F4810D"/>
  <w16cid:commentId w16cid:paraId="429F1614" w16cid:durableId="4B0B7E5B"/>
  <w16cid:commentId w16cid:paraId="5C77BE6D" w16cid:durableId="6022DB64"/>
  <w16cid:commentId w16cid:paraId="49643D0B" w16cid:durableId="462C9F5F"/>
  <w16cid:commentId w16cid:paraId="04AAADF4" w16cid:durableId="11BF5DCE"/>
  <w16cid:commentId w16cid:paraId="54D5E0B8" w16cid:durableId="720D9CE0"/>
  <w16cid:commentId w16cid:paraId="6EF523FC" w16cid:durableId="68A9FACE"/>
  <w16cid:commentId w16cid:paraId="4D38FC7A" w16cid:durableId="010456E7"/>
  <w16cid:commentId w16cid:paraId="21F8B6FE" w16cid:durableId="2CB583DB"/>
  <w16cid:commentId w16cid:paraId="59002C08" w16cid:durableId="79F28BC7"/>
  <w16cid:commentId w16cid:paraId="36973760" w16cid:durableId="0A5A440E"/>
  <w16cid:commentId w16cid:paraId="7C562868" w16cid:durableId="2D31E4C0"/>
  <w16cid:commentId w16cid:paraId="10591B84" w16cid:durableId="4FA1C2C5"/>
  <w16cid:commentId w16cid:paraId="7D16A2AF" w16cid:durableId="59B19C84"/>
  <w16cid:commentId w16cid:paraId="75A6A927" w16cid:durableId="3E202F5C"/>
  <w16cid:commentId w16cid:paraId="0AE63D16" w16cid:durableId="7C9D6FBE"/>
  <w16cid:commentId w16cid:paraId="073CD621" w16cid:durableId="667F0EA2"/>
  <w16cid:commentId w16cid:paraId="406320AE" w16cid:durableId="3EA48B2C"/>
  <w16cid:commentId w16cid:paraId="545FEAF1" w16cid:durableId="6A645BB4"/>
  <w16cid:commentId w16cid:paraId="71C7B3C1" w16cid:durableId="25C01FD8"/>
  <w16cid:commentId w16cid:paraId="58F608BD" w16cid:durableId="7CA1480F"/>
  <w16cid:commentId w16cid:paraId="210AB437" w16cid:durableId="6F070B88"/>
  <w16cid:commentId w16cid:paraId="7D605970" w16cid:durableId="0AFC20A7"/>
  <w16cid:commentId w16cid:paraId="47E6DB61" w16cid:durableId="209F6EDF"/>
  <w16cid:commentId w16cid:paraId="10925363" w16cid:durableId="548917E7"/>
  <w16cid:commentId w16cid:paraId="7B717AE5" w16cid:durableId="33A8C2DB"/>
  <w16cid:commentId w16cid:paraId="4D9027CD" w16cid:durableId="5E2582B4"/>
  <w16cid:commentId w16cid:paraId="346D7EF2" w16cid:durableId="1CCF1A6B"/>
  <w16cid:commentId w16cid:paraId="1EB94FEE" w16cid:durableId="09AFA3AC"/>
  <w16cid:commentId w16cid:paraId="0C1479D3" w16cid:durableId="56D3F84F"/>
  <w16cid:commentId w16cid:paraId="0C4A5403" w16cid:durableId="6FEBAD85"/>
  <w16cid:commentId w16cid:paraId="6CCB7A8F" w16cid:durableId="5A7D7AE5"/>
  <w16cid:commentId w16cid:paraId="7C63B128" w16cid:durableId="211798DB"/>
  <w16cid:commentId w16cid:paraId="09FBBAA5" w16cid:durableId="146FB73E"/>
  <w16cid:commentId w16cid:paraId="7D79ABF4" w16cid:durableId="79E1FCBC"/>
  <w16cid:commentId w16cid:paraId="3312D1B7" w16cid:durableId="1EF3D1EA"/>
  <w16cid:commentId w16cid:paraId="19C0CBFB" w16cid:durableId="7BA26718"/>
  <w16cid:commentId w16cid:paraId="7C84CBB4" w16cid:durableId="1FAA377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E975C" w14:textId="77777777" w:rsidR="00CB373E" w:rsidRDefault="00CB373E" w:rsidP="00D431CE">
      <w:pPr>
        <w:spacing w:after="0" w:line="240" w:lineRule="auto"/>
      </w:pPr>
      <w:r>
        <w:separator/>
      </w:r>
    </w:p>
  </w:endnote>
  <w:endnote w:type="continuationSeparator" w:id="0">
    <w:p w14:paraId="74C5F4C7" w14:textId="77777777" w:rsidR="00CB373E" w:rsidRDefault="00CB373E" w:rsidP="00D431CE">
      <w:pPr>
        <w:spacing w:after="0" w:line="240" w:lineRule="auto"/>
      </w:pPr>
      <w:r>
        <w:continuationSeparator/>
      </w:r>
    </w:p>
  </w:endnote>
  <w:endnote w:type="continuationNotice" w:id="1">
    <w:p w14:paraId="33E98937" w14:textId="77777777" w:rsidR="00CB373E" w:rsidRDefault="00CB37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67110244"/>
      <w:docPartObj>
        <w:docPartGallery w:val="Page Numbers (Bottom of Page)"/>
        <w:docPartUnique/>
      </w:docPartObj>
    </w:sdtPr>
    <w:sdtEndPr/>
    <w:sdtContent>
      <w:p w14:paraId="5AE041F8" w14:textId="4ADEA469" w:rsidR="005061D4" w:rsidRPr="00E50B5A" w:rsidRDefault="005061D4">
        <w:pPr>
          <w:pStyle w:val="Footer"/>
          <w:jc w:val="center"/>
          <w:rPr>
            <w:rFonts w:ascii="Times New Roman" w:hAnsi="Times New Roman" w:cs="Times New Roman"/>
            <w:sz w:val="24"/>
            <w:szCs w:val="24"/>
          </w:rPr>
        </w:pPr>
        <w:r w:rsidRPr="00E50B5A">
          <w:rPr>
            <w:rFonts w:ascii="Times New Roman" w:hAnsi="Times New Roman" w:cs="Times New Roman"/>
            <w:sz w:val="24"/>
            <w:szCs w:val="24"/>
          </w:rPr>
          <w:fldChar w:fldCharType="begin"/>
        </w:r>
        <w:r w:rsidRPr="00E50B5A">
          <w:rPr>
            <w:rFonts w:ascii="Times New Roman" w:hAnsi="Times New Roman" w:cs="Times New Roman"/>
            <w:sz w:val="24"/>
            <w:szCs w:val="24"/>
          </w:rPr>
          <w:instrText xml:space="preserve"> PAGE   \* MERGEFORMAT </w:instrText>
        </w:r>
        <w:r w:rsidRPr="00E50B5A">
          <w:rPr>
            <w:rFonts w:ascii="Times New Roman" w:hAnsi="Times New Roman" w:cs="Times New Roman"/>
            <w:sz w:val="24"/>
            <w:szCs w:val="24"/>
          </w:rPr>
          <w:fldChar w:fldCharType="separate"/>
        </w:r>
        <w:r w:rsidR="00CB7080">
          <w:rPr>
            <w:rFonts w:ascii="Times New Roman" w:hAnsi="Times New Roman" w:cs="Times New Roman"/>
            <w:noProof/>
            <w:sz w:val="24"/>
            <w:szCs w:val="24"/>
          </w:rPr>
          <w:t>1</w:t>
        </w:r>
        <w:r w:rsidRPr="00E50B5A">
          <w:rPr>
            <w:rFonts w:ascii="Times New Roman" w:hAnsi="Times New Roman" w:cs="Times New Roman"/>
            <w:sz w:val="24"/>
            <w:szCs w:val="24"/>
          </w:rPr>
          <w:fldChar w:fldCharType="end"/>
        </w:r>
      </w:p>
    </w:sdtContent>
  </w:sdt>
  <w:p w14:paraId="684FA9EC" w14:textId="77777777" w:rsidR="005061D4" w:rsidRPr="00E50B5A" w:rsidRDefault="005061D4">
    <w:pP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6BDBCF19" w14:textId="77777777" w:rsidR="005061D4" w:rsidRDefault="005061D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AA4D31D" w14:textId="77777777" w:rsidR="005061D4" w:rsidRDefault="005061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E0838" w14:textId="77777777" w:rsidR="00CB373E" w:rsidRDefault="00CB373E" w:rsidP="00D431CE">
      <w:pPr>
        <w:spacing w:after="0" w:line="240" w:lineRule="auto"/>
      </w:pPr>
      <w:r>
        <w:separator/>
      </w:r>
    </w:p>
  </w:footnote>
  <w:footnote w:type="continuationSeparator" w:id="0">
    <w:p w14:paraId="4266613C" w14:textId="77777777" w:rsidR="00CB373E" w:rsidRDefault="00CB373E" w:rsidP="00D431CE">
      <w:pPr>
        <w:spacing w:after="0" w:line="240" w:lineRule="auto"/>
      </w:pPr>
      <w:r>
        <w:continuationSeparator/>
      </w:r>
    </w:p>
  </w:footnote>
  <w:footnote w:type="continuationNotice" w:id="1">
    <w:p w14:paraId="4426439B" w14:textId="77777777" w:rsidR="00CB373E" w:rsidRDefault="00CB373E">
      <w:pPr>
        <w:spacing w:after="0" w:line="240" w:lineRule="auto"/>
      </w:pPr>
    </w:p>
  </w:footnote>
  <w:footnote w:id="2">
    <w:p w14:paraId="7FC5F10A" w14:textId="77777777" w:rsidR="005061D4" w:rsidRPr="004A1B60" w:rsidRDefault="005061D4" w:rsidP="00D431CE">
      <w:pPr>
        <w:pStyle w:val="FootnoteText"/>
      </w:pPr>
      <w:r w:rsidRPr="004A1B60">
        <w:rPr>
          <w:rStyle w:val="FootnoteReference"/>
        </w:rPr>
        <w:footnoteRef/>
      </w:r>
      <w:r w:rsidRPr="004A1B60">
        <w:t xml:space="preserve"> Luis Ferre-Sadurni, </w:t>
      </w:r>
      <w:r w:rsidRPr="004A1B60">
        <w:rPr>
          <w:i/>
        </w:rPr>
        <w:t>The Rise and Fall of New York Public Housing: An Oral History</w:t>
      </w:r>
      <w:r w:rsidRPr="004A1B60">
        <w:t xml:space="preserve">, </w:t>
      </w:r>
      <w:r w:rsidRPr="004A1B60">
        <w:rPr>
          <w:smallCaps/>
        </w:rPr>
        <w:t>The New York Times</w:t>
      </w:r>
      <w:r w:rsidRPr="004A1B60">
        <w:t xml:space="preserve">, Jun. 25, 2018, </w:t>
      </w:r>
      <w:r w:rsidRPr="004A1B60">
        <w:rPr>
          <w:i/>
        </w:rPr>
        <w:t xml:space="preserve">available at </w:t>
      </w:r>
      <w:r w:rsidRPr="004A1B60">
        <w:rPr>
          <w:u w:val="single"/>
        </w:rPr>
        <w:t>https://www.nytimes.com/interactive/2018/06/25/nyregion/new-york-city-public-housing-history.html.</w:t>
      </w:r>
    </w:p>
  </w:footnote>
  <w:footnote w:id="3">
    <w:p w14:paraId="67BD1706" w14:textId="77777777" w:rsidR="005061D4" w:rsidRPr="004A1B60" w:rsidRDefault="005061D4" w:rsidP="00D431CE">
      <w:pPr>
        <w:pStyle w:val="FootnoteText"/>
      </w:pPr>
      <w:r w:rsidRPr="004A1B60">
        <w:rPr>
          <w:rStyle w:val="FootnoteCharacters"/>
        </w:rPr>
        <w:footnoteRef/>
      </w:r>
      <w:r w:rsidRPr="004A1B60">
        <w:t xml:space="preserve"> Housing Act of 1937, last accessed on Jan. 25, 2023, </w:t>
      </w:r>
      <w:r w:rsidRPr="004A1B60">
        <w:rPr>
          <w:i/>
        </w:rPr>
        <w:t>available at</w:t>
      </w:r>
      <w:r w:rsidRPr="004A1B60">
        <w:t xml:space="preserve"> </w:t>
      </w:r>
      <w:hyperlink r:id="rId1" w:history="1">
        <w:r w:rsidRPr="004A1B60">
          <w:rPr>
            <w:rStyle w:val="Hyperlink"/>
            <w:color w:val="auto"/>
          </w:rPr>
          <w:t>https://www.gpo.gov/fdsys/pkg/USCODE-2009-title42/pdf/USCODE-2009-title42-chap8.pdf</w:t>
        </w:r>
      </w:hyperlink>
      <w:r w:rsidRPr="004A1B60">
        <w:t xml:space="preserve">. </w:t>
      </w:r>
    </w:p>
  </w:footnote>
  <w:footnote w:id="4">
    <w:p w14:paraId="5C292DE6" w14:textId="77777777" w:rsidR="005061D4" w:rsidRPr="004A1B60" w:rsidRDefault="005061D4" w:rsidP="00D431CE">
      <w:pPr>
        <w:pStyle w:val="FootnoteText"/>
      </w:pPr>
      <w:r w:rsidRPr="004A1B60">
        <w:rPr>
          <w:rStyle w:val="FootnoteCharacters"/>
        </w:rPr>
        <w:footnoteRef/>
      </w:r>
      <w:r w:rsidRPr="004A1B60">
        <w:rPr>
          <w:rFonts w:eastAsia="Times New Roman"/>
        </w:rPr>
        <w:t xml:space="preserve"> </w:t>
      </w:r>
      <w:r w:rsidRPr="004A1B60">
        <w:t xml:space="preserve">Peter Marcuse, </w:t>
      </w:r>
      <w:r w:rsidRPr="004A1B60">
        <w:rPr>
          <w:i/>
        </w:rPr>
        <w:t>The Beginnings of Public Housing in New York</w:t>
      </w:r>
      <w:r w:rsidRPr="004A1B60">
        <w:t xml:space="preserve">, Journal of Urban History 12(4) at 353-54 (1986); J.A. Stoloff, </w:t>
      </w:r>
      <w:r w:rsidRPr="004A1B60">
        <w:rPr>
          <w:i/>
        </w:rPr>
        <w:t>A Brief History of Public Housing, Paper presented at August 14 meeting of the American Sociological Association</w:t>
      </w:r>
      <w:r w:rsidRPr="004A1B60">
        <w:t>, at 3 (2004).</w:t>
      </w:r>
    </w:p>
  </w:footnote>
  <w:footnote w:id="5">
    <w:p w14:paraId="32D2BFE6" w14:textId="77777777" w:rsidR="005061D4" w:rsidRPr="004A1B60" w:rsidRDefault="005061D4" w:rsidP="00D431CE">
      <w:pPr>
        <w:pStyle w:val="FootnoteText"/>
      </w:pPr>
      <w:r w:rsidRPr="004A1B60">
        <w:rPr>
          <w:rStyle w:val="FootnoteCharacters"/>
        </w:rPr>
        <w:footnoteRef/>
      </w:r>
      <w:r w:rsidRPr="004A1B60">
        <w:rPr>
          <w:rFonts w:eastAsia="Times New Roman"/>
        </w:rPr>
        <w:t xml:space="preserve"> </w:t>
      </w:r>
      <w:r w:rsidRPr="004A1B60">
        <w:t xml:space="preserve">Marcuse, 354; Stoloff, 1; </w:t>
      </w:r>
      <w:r w:rsidRPr="004A1B60">
        <w:rPr>
          <w:i/>
        </w:rPr>
        <w:t>see also</w:t>
      </w:r>
      <w:r w:rsidRPr="004A1B60">
        <w:t xml:space="preserve"> Judith D. Feins, et al., </w:t>
      </w:r>
      <w:r w:rsidRPr="004A1B60">
        <w:rPr>
          <w:i/>
        </w:rPr>
        <w:t>Revised Methods of Providing Federal Funds for Public Housing Agencies</w:t>
      </w:r>
      <w:r w:rsidRPr="004A1B60">
        <w:t xml:space="preserve">, </w:t>
      </w:r>
      <w:r w:rsidRPr="004A1B60">
        <w:rPr>
          <w:smallCaps/>
        </w:rPr>
        <w:t>United States Department of Housing and Urban Development</w:t>
      </w:r>
      <w:r w:rsidRPr="004A1B60">
        <w:t>, at 9 (1994).</w:t>
      </w:r>
    </w:p>
  </w:footnote>
  <w:footnote w:id="6">
    <w:p w14:paraId="5A18B13F" w14:textId="77777777" w:rsidR="005061D4" w:rsidRPr="004A1B60" w:rsidRDefault="005061D4" w:rsidP="00D431CE">
      <w:pPr>
        <w:pStyle w:val="FootnoteText"/>
      </w:pPr>
      <w:r w:rsidRPr="004A1B60">
        <w:rPr>
          <w:rStyle w:val="FootnoteCharacters"/>
        </w:rPr>
        <w:footnoteRef/>
      </w:r>
      <w:r w:rsidRPr="004A1B60">
        <w:rPr>
          <w:rFonts w:eastAsia="Times New Roman"/>
        </w:rPr>
        <w:t xml:space="preserve"> </w:t>
      </w:r>
      <w:r w:rsidRPr="004A1B60">
        <w:rPr>
          <w:i/>
        </w:rPr>
        <w:t>See</w:t>
      </w:r>
      <w:r w:rsidRPr="004A1B60">
        <w:t xml:space="preserve"> NYCHA Fact Sheet, last accessed on Jun. 7, 2023, </w:t>
      </w:r>
      <w:r w:rsidRPr="004A1B60">
        <w:rPr>
          <w:i/>
        </w:rPr>
        <w:t>available at https://www.nyc.gov/assets/nycha/downloads/pdf/NYCHA-Fact-Sheet-2023.pdf.</w:t>
      </w:r>
    </w:p>
  </w:footnote>
  <w:footnote w:id="7">
    <w:p w14:paraId="00549DCD" w14:textId="77777777" w:rsidR="005061D4" w:rsidRPr="004A1B60" w:rsidRDefault="005061D4" w:rsidP="00D431CE">
      <w:pPr>
        <w:pStyle w:val="FootnoteText"/>
      </w:pPr>
      <w:r w:rsidRPr="004A1B60">
        <w:rPr>
          <w:rStyle w:val="FootnoteReference"/>
        </w:rPr>
        <w:footnoteRef/>
      </w:r>
      <w:r w:rsidRPr="004A1B60">
        <w:t xml:space="preserve"> </w:t>
      </w:r>
      <w:r w:rsidRPr="004A1B60">
        <w:rPr>
          <w:i/>
        </w:rPr>
        <w:t>Id.</w:t>
      </w:r>
    </w:p>
  </w:footnote>
  <w:footnote w:id="8">
    <w:p w14:paraId="493661C4" w14:textId="77777777" w:rsidR="005061D4" w:rsidRPr="004A1B60" w:rsidRDefault="005061D4" w:rsidP="00D431CE">
      <w:pPr>
        <w:pStyle w:val="FootnoteText"/>
      </w:pPr>
      <w:r w:rsidRPr="004A1B60">
        <w:rPr>
          <w:rStyle w:val="FootnoteReference"/>
        </w:rPr>
        <w:footnoteRef/>
      </w:r>
      <w:r w:rsidRPr="004A1B60">
        <w:t xml:space="preserve"> NYCHA, </w:t>
      </w:r>
      <w:r w:rsidRPr="004A1B60">
        <w:rPr>
          <w:i/>
        </w:rPr>
        <w:t>Public Housing Preservation Trust</w:t>
      </w:r>
      <w:r w:rsidRPr="004A1B60">
        <w:t xml:space="preserve">, </w:t>
      </w:r>
      <w:r w:rsidRPr="004A1B60">
        <w:rPr>
          <w:smallCaps/>
        </w:rPr>
        <w:t>New York City Housing Authority</w:t>
      </w:r>
      <w:r w:rsidRPr="004A1B60">
        <w:t xml:space="preserve">, </w:t>
      </w:r>
      <w:r w:rsidRPr="004A1B60">
        <w:rPr>
          <w:i/>
        </w:rPr>
        <w:t>available at</w:t>
      </w:r>
      <w:r w:rsidRPr="004A1B60">
        <w:t xml:space="preserve"> </w:t>
      </w:r>
      <w:hyperlink r:id="rId2" w:history="1">
        <w:r w:rsidRPr="004A1B60">
          <w:rPr>
            <w:rStyle w:val="Hyperlink"/>
            <w:color w:val="auto"/>
          </w:rPr>
          <w:t>https://www.nyc.gov/site/nycha/about/public-housing-preservation-trust.page</w:t>
        </w:r>
      </w:hyperlink>
      <w:r w:rsidRPr="004A1B60">
        <w:t xml:space="preserve">. </w:t>
      </w:r>
    </w:p>
  </w:footnote>
  <w:footnote w:id="9">
    <w:p w14:paraId="4651810F" w14:textId="77777777" w:rsidR="005061D4" w:rsidRPr="004A1B60" w:rsidRDefault="005061D4" w:rsidP="00D431CE">
      <w:pPr>
        <w:pStyle w:val="FootnoteText"/>
      </w:pPr>
      <w:r w:rsidRPr="004A1B60">
        <w:rPr>
          <w:rStyle w:val="FootnoteReference"/>
        </w:rPr>
        <w:footnoteRef/>
      </w:r>
      <w:r w:rsidRPr="004A1B60">
        <w:t xml:space="preserve"> Agreement between United States Department of Housing and Urban Development, the New York City Housing Authority, and New York City, Jan. 31, 2019, </w:t>
      </w:r>
      <w:r w:rsidRPr="004A1B60">
        <w:rPr>
          <w:i/>
        </w:rPr>
        <w:t>available at</w:t>
      </w:r>
      <w:r w:rsidRPr="004A1B60">
        <w:t xml:space="preserve"> </w:t>
      </w:r>
      <w:hyperlink r:id="rId3" w:history="1">
        <w:r w:rsidRPr="004A1B60">
          <w:rPr>
            <w:rStyle w:val="Hyperlink"/>
            <w:color w:val="auto"/>
          </w:rPr>
          <w:t>https://nychamonitor.com/wp-content/uploads/2019/03/Final-Executed-NYCHA-Agreement.pdf</w:t>
        </w:r>
      </w:hyperlink>
      <w:r w:rsidRPr="004A1B60">
        <w:t xml:space="preserve">. </w:t>
      </w:r>
    </w:p>
  </w:footnote>
  <w:footnote w:id="10">
    <w:p w14:paraId="3FD0F10B" w14:textId="77777777" w:rsidR="005061D4" w:rsidRPr="004A1B60" w:rsidRDefault="005061D4" w:rsidP="00D431CE">
      <w:pPr>
        <w:pStyle w:val="FootnoteText"/>
      </w:pPr>
      <w:r w:rsidRPr="004A1B60">
        <w:rPr>
          <w:rStyle w:val="FootnoteReference"/>
        </w:rPr>
        <w:footnoteRef/>
      </w:r>
      <w:r w:rsidRPr="004A1B60">
        <w:t xml:space="preserve"> </w:t>
      </w:r>
      <w:r w:rsidRPr="004A1B60">
        <w:rPr>
          <w:i/>
        </w:rPr>
        <w:t>Id</w:t>
      </w:r>
      <w:r w:rsidRPr="004A1B60">
        <w:t>.</w:t>
      </w:r>
    </w:p>
  </w:footnote>
  <w:footnote w:id="11">
    <w:p w14:paraId="4DBC0F9B" w14:textId="04D94A4B" w:rsidR="005061D4" w:rsidRPr="004A1B60" w:rsidRDefault="005061D4" w:rsidP="00303678">
      <w:pPr>
        <w:pStyle w:val="FootnoteText"/>
        <w:rPr>
          <w:i/>
        </w:rPr>
      </w:pPr>
      <w:r w:rsidRPr="004A1B60">
        <w:rPr>
          <w:rStyle w:val="FootnoteReference"/>
        </w:rPr>
        <w:footnoteRef/>
      </w:r>
      <w:r w:rsidRPr="004A1B60">
        <w:t xml:space="preserve"> Since 2018, Shola Olayoye, Stanley Brezenoff, Kathryn Garcia, and Gregory Russ have all served as Chair &amp; CEO or Interim CEO and Chair. Today Lisa Bova Hiatt is the CEO and Jamie Rubin is the Board Chair. </w:t>
      </w:r>
      <w:r w:rsidRPr="004A1B60">
        <w:rPr>
          <w:i/>
        </w:rPr>
        <w:t>See</w:t>
      </w:r>
      <w:r w:rsidRPr="004A1B60">
        <w:t xml:space="preserve"> Mayor Adams Appoints new NYCHA leadership, July 6, 2023, </w:t>
      </w:r>
      <w:r w:rsidRPr="004A1B60">
        <w:rPr>
          <w:i/>
        </w:rPr>
        <w:t>available at</w:t>
      </w:r>
      <w:r w:rsidRPr="004A1B60">
        <w:t xml:space="preserve"> </w:t>
      </w:r>
      <w:hyperlink r:id="rId4" w:history="1">
        <w:r w:rsidRPr="004A1B60">
          <w:rPr>
            <w:rStyle w:val="Hyperlink"/>
            <w:color w:val="auto"/>
          </w:rPr>
          <w:t>https://www.nyc.gov/office-of-the-mayor/news/489-23/mayor-adams-appoints-new-nycha-leadership</w:t>
        </w:r>
      </w:hyperlink>
      <w:r w:rsidRPr="004A1B60">
        <w:t xml:space="preserve">. </w:t>
      </w:r>
    </w:p>
  </w:footnote>
  <w:footnote w:id="12">
    <w:p w14:paraId="42AF9AA1" w14:textId="1F03DC17" w:rsidR="005061D4" w:rsidRPr="004A1B60" w:rsidRDefault="005061D4">
      <w:pPr>
        <w:pStyle w:val="FootnoteText"/>
      </w:pPr>
      <w:r w:rsidRPr="004A1B60">
        <w:rPr>
          <w:rStyle w:val="FootnoteReference"/>
        </w:rPr>
        <w:footnoteRef/>
      </w:r>
      <w:r w:rsidRPr="004A1B60">
        <w:t xml:space="preserve"> Mayor de Blasio &amp; U.S. Department of Housing and Urban Development Secretary Carson Announce Appointment of Gregory Russ as Chair of the New York City Housing Authority, June 18, 2019, </w:t>
      </w:r>
      <w:r w:rsidRPr="004A1B60">
        <w:rPr>
          <w:i/>
        </w:rPr>
        <w:t xml:space="preserve">available at </w:t>
      </w:r>
      <w:hyperlink r:id="rId5" w:history="1">
        <w:r w:rsidRPr="004A1B60">
          <w:rPr>
            <w:rStyle w:val="Hyperlink"/>
            <w:color w:val="auto"/>
          </w:rPr>
          <w:t>https://www.nyc.gov/office-of-the-mayor/news/312-19/mayor-de-blasio-u-s-department-housing-urban-development-secretary-carson-announce</w:t>
        </w:r>
      </w:hyperlink>
      <w:r w:rsidRPr="004A1B60">
        <w:t xml:space="preserve">. </w:t>
      </w:r>
    </w:p>
  </w:footnote>
  <w:footnote w:id="13">
    <w:p w14:paraId="65CBECDA" w14:textId="721F3315" w:rsidR="005061D4" w:rsidRPr="004A1B60" w:rsidRDefault="005061D4" w:rsidP="00303678">
      <w:pPr>
        <w:pStyle w:val="FootnoteText"/>
      </w:pPr>
      <w:r w:rsidRPr="004A1B60">
        <w:rPr>
          <w:rStyle w:val="FootnoteReference"/>
        </w:rPr>
        <w:footnoteRef/>
      </w:r>
      <w:r w:rsidRPr="004A1B60">
        <w:t xml:space="preserve"> Smith, Greg, </w:t>
      </w:r>
      <w:r w:rsidRPr="004A1B60">
        <w:rPr>
          <w:i/>
        </w:rPr>
        <w:t>High-Flying NYCHA Chair Greg Russ to Announce Departure</w:t>
      </w:r>
      <w:r w:rsidRPr="004A1B60">
        <w:t xml:space="preserve">, </w:t>
      </w:r>
      <w:r w:rsidRPr="004A1B60">
        <w:rPr>
          <w:smallCaps/>
        </w:rPr>
        <w:t>The City</w:t>
      </w:r>
      <w:r w:rsidRPr="004A1B60">
        <w:t xml:space="preserve">, 1/25/2023 available at: </w:t>
      </w:r>
      <w:hyperlink r:id="rId6" w:history="1">
        <w:r w:rsidRPr="004A1B60">
          <w:rPr>
            <w:rStyle w:val="Hyperlink"/>
            <w:color w:val="auto"/>
          </w:rPr>
          <w:t>https://www.thecity.nyc/2023/1/25/23570300/nycha-chair-greg-russ-to-depart</w:t>
        </w:r>
      </w:hyperlink>
      <w:r w:rsidRPr="004A1B60">
        <w:t xml:space="preserve">. </w:t>
      </w:r>
    </w:p>
  </w:footnote>
  <w:footnote w:id="14">
    <w:p w14:paraId="5B4A4348" w14:textId="04C113D6"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15">
    <w:p w14:paraId="4B040410" w14:textId="13EAC9DF"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16">
    <w:p w14:paraId="741CAAA8" w14:textId="4558F557" w:rsidR="005061D4" w:rsidRPr="004A1B60" w:rsidRDefault="005061D4" w:rsidP="00303678">
      <w:pPr>
        <w:pStyle w:val="FootnoteText"/>
      </w:pPr>
      <w:r w:rsidRPr="004A1B60">
        <w:rPr>
          <w:rStyle w:val="FootnoteReference"/>
        </w:rPr>
        <w:footnoteRef/>
      </w:r>
      <w:r w:rsidRPr="004A1B60">
        <w:t xml:space="preserve"> Tenants at Jacob Riis Houses were initially informed of test showing the presence of arsenic in the water but told eight days later that the tests were flawed and no arsenic was detected. </w:t>
      </w:r>
      <w:r w:rsidRPr="004A1B60">
        <w:rPr>
          <w:i/>
        </w:rPr>
        <w:t>See</w:t>
      </w:r>
      <w:r w:rsidRPr="004A1B60">
        <w:t xml:space="preserve"> Smith, Greg, Amid Arsenic Scandal, NYCHA Chief Downshifts Role but Keeps Hefty Pay, </w:t>
      </w:r>
      <w:r w:rsidRPr="004A1B60">
        <w:rPr>
          <w:smallCaps/>
        </w:rPr>
        <w:t>The City</w:t>
      </w:r>
      <w:r w:rsidRPr="004A1B60">
        <w:t xml:space="preserve">, 9/15/2022, </w:t>
      </w:r>
      <w:r w:rsidRPr="004A1B60">
        <w:rPr>
          <w:i/>
        </w:rPr>
        <w:t>available at:</w:t>
      </w:r>
      <w:r w:rsidRPr="004A1B60">
        <w:t xml:space="preserve"> </w:t>
      </w:r>
      <w:hyperlink r:id="rId7" w:history="1">
        <w:r w:rsidRPr="004A1B60">
          <w:rPr>
            <w:rStyle w:val="Hyperlink"/>
            <w:color w:val="auto"/>
          </w:rPr>
          <w:t>https://www.thecity.nyc/2022/9/15/23355404/gregory-russ-nycha-arsenic</w:t>
        </w:r>
      </w:hyperlink>
      <w:r w:rsidRPr="004A1B60">
        <w:t xml:space="preserve">. </w:t>
      </w:r>
    </w:p>
  </w:footnote>
  <w:footnote w:id="17">
    <w:p w14:paraId="0ACBEEDD" w14:textId="34754C28" w:rsidR="005061D4" w:rsidRPr="004A1B60" w:rsidRDefault="005061D4" w:rsidP="00303678">
      <w:pPr>
        <w:pStyle w:val="FootnoteText"/>
      </w:pPr>
      <w:r w:rsidRPr="004A1B60">
        <w:rPr>
          <w:rStyle w:val="FootnoteReference"/>
        </w:rPr>
        <w:footnoteRef/>
      </w:r>
      <w:r w:rsidRPr="004A1B60">
        <w:t xml:space="preserve"> See </w:t>
      </w:r>
      <w:r w:rsidRPr="004A1B60">
        <w:rPr>
          <w:i/>
        </w:rPr>
        <w:t>NYCHA’s Blueprint for Change: Transformation Plan</w:t>
      </w:r>
      <w:r w:rsidRPr="004A1B60">
        <w:t xml:space="preserve">, 3/2/2021, </w:t>
      </w:r>
      <w:r w:rsidRPr="004A1B60">
        <w:rPr>
          <w:i/>
        </w:rPr>
        <w:t>available at:</w:t>
      </w:r>
      <w:r w:rsidRPr="004A1B60">
        <w:t xml:space="preserve"> </w:t>
      </w:r>
      <w:hyperlink r:id="rId8" w:history="1">
        <w:r w:rsidRPr="004A1B60">
          <w:rPr>
            <w:rStyle w:val="Hyperlink"/>
            <w:color w:val="auto"/>
          </w:rPr>
          <w:t>https://www.nyc.gov/assets/nycha/downloads/pdf/NYCHA_Transformation_Plan_Final.pdf</w:t>
        </w:r>
      </w:hyperlink>
      <w:r w:rsidRPr="004A1B60">
        <w:t xml:space="preserve">. </w:t>
      </w:r>
    </w:p>
  </w:footnote>
  <w:footnote w:id="18">
    <w:p w14:paraId="4C974344" w14:textId="12F77AD1"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19">
    <w:p w14:paraId="61FC5D45" w14:textId="264ADD36"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20">
    <w:p w14:paraId="29930A8B" w14:textId="43D86A0D"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21">
    <w:p w14:paraId="09082E3F" w14:textId="606946FE" w:rsidR="005061D4" w:rsidRPr="004A1B60" w:rsidRDefault="005061D4" w:rsidP="00303678">
      <w:pPr>
        <w:pStyle w:val="FootnoteText"/>
      </w:pPr>
      <w:r w:rsidRPr="004A1B60">
        <w:rPr>
          <w:rStyle w:val="FootnoteReference"/>
        </w:rPr>
        <w:footnoteRef/>
      </w:r>
      <w:r w:rsidRPr="004A1B60">
        <w:t xml:space="preserve"> Smith, Greg, </w:t>
      </w:r>
      <w:r w:rsidRPr="004A1B60">
        <w:rPr>
          <w:i/>
        </w:rPr>
        <w:t>High-Flying NYCHA Chair Greg Russ to Announce Departure</w:t>
      </w:r>
      <w:r w:rsidRPr="004A1B60">
        <w:t xml:space="preserve">, </w:t>
      </w:r>
      <w:r w:rsidRPr="004A1B60">
        <w:rPr>
          <w:smallCaps/>
        </w:rPr>
        <w:t>The City</w:t>
      </w:r>
      <w:r w:rsidRPr="004A1B60">
        <w:t xml:space="preserve">, 1/25/2023 available at: </w:t>
      </w:r>
      <w:hyperlink r:id="rId9" w:history="1">
        <w:r w:rsidRPr="004A1B60">
          <w:rPr>
            <w:rStyle w:val="Hyperlink"/>
            <w:color w:val="auto"/>
          </w:rPr>
          <w:t>https://www.thecity.nyc/2023/1/25/23570300/nycha-chair-greg-russ-to-depart</w:t>
        </w:r>
      </w:hyperlink>
      <w:r w:rsidRPr="004A1B60">
        <w:t>.</w:t>
      </w:r>
    </w:p>
  </w:footnote>
  <w:footnote w:id="22">
    <w:p w14:paraId="19E2DFC3" w14:textId="332BC4FB" w:rsidR="005061D4" w:rsidRPr="004A1B60" w:rsidRDefault="005061D4" w:rsidP="00303678">
      <w:pPr>
        <w:pStyle w:val="FootnoteText"/>
      </w:pPr>
      <w:r w:rsidRPr="004A1B60">
        <w:rPr>
          <w:rStyle w:val="FootnoteReference"/>
        </w:rPr>
        <w:footnoteRef/>
      </w:r>
      <w:r w:rsidRPr="004A1B60">
        <w:t xml:space="preserve"> See Item 6 on NYCHA Board Meeting Agenda 06/15/22, available at: </w:t>
      </w:r>
      <w:hyperlink r:id="rId10" w:history="1">
        <w:r w:rsidRPr="004A1B60">
          <w:rPr>
            <w:rStyle w:val="Hyperlink"/>
            <w:color w:val="auto"/>
          </w:rPr>
          <w:t>https://www.nyc.gov/assets/nycha/downloads/pdf/board-minutes-061522.pdf</w:t>
        </w:r>
      </w:hyperlink>
      <w:r w:rsidRPr="004A1B60">
        <w:t>.</w:t>
      </w:r>
    </w:p>
  </w:footnote>
  <w:footnote w:id="23">
    <w:p w14:paraId="2FAEEA26" w14:textId="5A130AC4" w:rsidR="005061D4" w:rsidRPr="004A1B60" w:rsidRDefault="005061D4" w:rsidP="00303678">
      <w:pPr>
        <w:pStyle w:val="FootnoteText"/>
      </w:pPr>
      <w:r w:rsidRPr="004A1B60">
        <w:rPr>
          <w:rStyle w:val="FootnoteReference"/>
        </w:rPr>
        <w:footnoteRef/>
      </w:r>
      <w:r w:rsidRPr="004A1B60">
        <w:t xml:space="preserve">Mayor Adams Appoints new NYCHA leadership, July 6, 2023, </w:t>
      </w:r>
      <w:r w:rsidRPr="004A1B60">
        <w:rPr>
          <w:i/>
        </w:rPr>
        <w:t>available at</w:t>
      </w:r>
      <w:r w:rsidRPr="004A1B60">
        <w:t xml:space="preserve"> </w:t>
      </w:r>
      <w:hyperlink r:id="rId11" w:history="1">
        <w:r w:rsidRPr="004A1B60">
          <w:rPr>
            <w:rStyle w:val="Hyperlink"/>
            <w:color w:val="auto"/>
          </w:rPr>
          <w:t>https://www.nyc.gov/office-of-the-mayor/news/489-23/mayor-adams-appoints-new-nycha-leadership</w:t>
        </w:r>
      </w:hyperlink>
      <w:r w:rsidRPr="004A1B60">
        <w:t>.</w:t>
      </w:r>
    </w:p>
  </w:footnote>
  <w:footnote w:id="24">
    <w:p w14:paraId="64597105" w14:textId="7CA2D5FB"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25">
    <w:p w14:paraId="5651B604" w14:textId="7BAAD604" w:rsidR="005061D4" w:rsidRPr="004A1B60" w:rsidRDefault="005061D4" w:rsidP="00303678">
      <w:pPr>
        <w:pStyle w:val="FootnoteText"/>
      </w:pPr>
      <w:r w:rsidRPr="004A1B60">
        <w:rPr>
          <w:rStyle w:val="FootnoteReference"/>
        </w:rPr>
        <w:footnoteRef/>
      </w:r>
      <w:r w:rsidRPr="004A1B60">
        <w:t xml:space="preserve"> Agreement between United States Department of Housing and Urban Development, the New York City Housing Authority and New York City, 01/31/2019, </w:t>
      </w:r>
      <w:r w:rsidRPr="004A1B60">
        <w:rPr>
          <w:i/>
        </w:rPr>
        <w:t>available at</w:t>
      </w:r>
      <w:r w:rsidRPr="004A1B60">
        <w:t xml:space="preserve"> </w:t>
      </w:r>
      <w:hyperlink r:id="rId12" w:history="1">
        <w:r w:rsidRPr="004A1B60">
          <w:rPr>
            <w:rStyle w:val="Hyperlink"/>
            <w:color w:val="auto"/>
          </w:rPr>
          <w:t>https://www.hud.gov/sites/dfiles/PA/documents/HUD-NYCHA-Agreement013119.pdf</w:t>
        </w:r>
      </w:hyperlink>
      <w:r w:rsidRPr="004A1B60">
        <w:t>.</w:t>
      </w:r>
    </w:p>
  </w:footnote>
  <w:footnote w:id="26">
    <w:p w14:paraId="17C09232" w14:textId="77777777"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27">
    <w:p w14:paraId="51B53A5E" w14:textId="63E15D0C" w:rsidR="005061D4" w:rsidRPr="004A1B60" w:rsidRDefault="005061D4" w:rsidP="00303678">
      <w:pPr>
        <w:pStyle w:val="FootnoteText"/>
      </w:pPr>
      <w:r w:rsidRPr="004A1B60">
        <w:rPr>
          <w:rStyle w:val="FootnoteReference"/>
        </w:rPr>
        <w:footnoteRef/>
      </w:r>
      <w:r w:rsidRPr="004A1B60">
        <w:t xml:space="preserve"> Smith, Greg, </w:t>
      </w:r>
      <w:r w:rsidRPr="004A1B60">
        <w:rPr>
          <w:i/>
        </w:rPr>
        <w:t>Feds Keep NYCHA Under Monitor Watchdog for Five More Years</w:t>
      </w:r>
      <w:r w:rsidRPr="004A1B60">
        <w:t xml:space="preserve">, </w:t>
      </w:r>
      <w:r w:rsidRPr="004A1B60">
        <w:rPr>
          <w:smallCaps/>
        </w:rPr>
        <w:t>The City</w:t>
      </w:r>
      <w:r w:rsidRPr="004A1B60">
        <w:t xml:space="preserve">, 5/24/2023, available at: </w:t>
      </w:r>
      <w:hyperlink r:id="rId13" w:history="1">
        <w:r w:rsidRPr="004A1B60">
          <w:rPr>
            <w:rStyle w:val="Hyperlink"/>
            <w:color w:val="auto"/>
          </w:rPr>
          <w:t>https://www.thecity.nyc/2023/05/24/nycha-monitor-extended/</w:t>
        </w:r>
      </w:hyperlink>
      <w:r w:rsidRPr="004A1B60">
        <w:t xml:space="preserve">. </w:t>
      </w:r>
    </w:p>
  </w:footnote>
  <w:footnote w:id="28">
    <w:p w14:paraId="4E00F6AF" w14:textId="6A9A6958" w:rsidR="009002A3" w:rsidRPr="004A1B60" w:rsidRDefault="009002A3">
      <w:pPr>
        <w:pStyle w:val="FootnoteText"/>
      </w:pPr>
      <w:r w:rsidRPr="004A1B60">
        <w:rPr>
          <w:rStyle w:val="FootnoteReference"/>
        </w:rPr>
        <w:footnoteRef/>
      </w:r>
      <w:r w:rsidRPr="004A1B60">
        <w:t xml:space="preserve"> One piece of evidence is the exponential growth in the 2023 Physical Needs Assessment which put the number in need across NYCHA at 78 billion dollars. Peter O’Hanlon and Stirling Edward Moore, </w:t>
      </w:r>
      <w:r w:rsidRPr="004A1B60">
        <w:rPr>
          <w:i/>
        </w:rPr>
        <w:t>PNA Technical Report: Physical Needs Assessment</w:t>
      </w:r>
      <w:r w:rsidRPr="004A1B60">
        <w:t xml:space="preserve">, </w:t>
      </w:r>
      <w:r w:rsidRPr="004A1B60">
        <w:rPr>
          <w:smallCaps/>
        </w:rPr>
        <w:t>New York City Housing Authority Physical Needs assessment 2023 Joint Venture</w:t>
      </w:r>
      <w:r w:rsidRPr="004A1B60">
        <w:t xml:space="preserve">, 2023, </w:t>
      </w:r>
      <w:r w:rsidRPr="004A1B60">
        <w:rPr>
          <w:i/>
        </w:rPr>
        <w:t>available at</w:t>
      </w:r>
      <w:r w:rsidRPr="004A1B60">
        <w:t xml:space="preserve"> </w:t>
      </w:r>
      <w:hyperlink r:id="rId14" w:history="1">
        <w:r w:rsidRPr="004A1B60">
          <w:rPr>
            <w:rStyle w:val="Hyperlink"/>
            <w:color w:val="auto"/>
          </w:rPr>
          <w:t>https://www.nyc.gov/assets/nycha/downloads/pdf/2023-PNA-Report-Physical-Needs-Assessment-NYCHA.pdf</w:t>
        </w:r>
      </w:hyperlink>
      <w:r w:rsidRPr="004A1B60">
        <w:t>.</w:t>
      </w:r>
    </w:p>
  </w:footnote>
  <w:footnote w:id="29">
    <w:p w14:paraId="132EA2D7" w14:textId="77777777" w:rsidR="009002A3" w:rsidRPr="004A1B60" w:rsidRDefault="009002A3" w:rsidP="009002A3">
      <w:pPr>
        <w:pStyle w:val="FootnoteText"/>
      </w:pPr>
      <w:r w:rsidRPr="004A1B60">
        <w:rPr>
          <w:rStyle w:val="FootnoteReference"/>
        </w:rPr>
        <w:footnoteRef/>
      </w:r>
      <w:r w:rsidRPr="004A1B60">
        <w:t xml:space="preserve"> Smith, Greg, </w:t>
      </w:r>
      <w:r w:rsidRPr="004A1B60">
        <w:rPr>
          <w:i/>
        </w:rPr>
        <w:t>High-Flying NYCHA Chair Greg Russ to Announce Departure</w:t>
      </w:r>
      <w:r w:rsidRPr="004A1B60">
        <w:t xml:space="preserve">, </w:t>
      </w:r>
      <w:r w:rsidRPr="004A1B60">
        <w:rPr>
          <w:smallCaps/>
        </w:rPr>
        <w:t>The City</w:t>
      </w:r>
      <w:r w:rsidRPr="004A1B60">
        <w:t xml:space="preserve">, 1/25/2023 available at: </w:t>
      </w:r>
      <w:hyperlink r:id="rId15" w:history="1">
        <w:r w:rsidRPr="004A1B60">
          <w:rPr>
            <w:rStyle w:val="Hyperlink"/>
            <w:color w:val="auto"/>
          </w:rPr>
          <w:t>https://www.thecity.nyc/2023/1/25/23570300/nycha-chair-greg-russ-to-depart</w:t>
        </w:r>
      </w:hyperlink>
      <w:r w:rsidRPr="004A1B60">
        <w:t>.</w:t>
      </w:r>
    </w:p>
  </w:footnote>
  <w:footnote w:id="30">
    <w:p w14:paraId="7F29C31B" w14:textId="77777777" w:rsidR="009002A3" w:rsidRPr="004A1B60" w:rsidRDefault="009002A3" w:rsidP="009002A3">
      <w:pPr>
        <w:pStyle w:val="FootnoteText"/>
      </w:pPr>
      <w:r w:rsidRPr="004A1B60">
        <w:rPr>
          <w:rStyle w:val="FootnoteReference"/>
        </w:rPr>
        <w:footnoteRef/>
      </w:r>
      <w:r w:rsidRPr="004A1B60">
        <w:t xml:space="preserve"> Tyrner, Tatyana, </w:t>
      </w:r>
      <w:r w:rsidRPr="004A1B60">
        <w:rPr>
          <w:i/>
        </w:rPr>
        <w:t>Vacant NYCHA Units Continue to Increase, With Transfers Complicated by PACT</w:t>
      </w:r>
      <w:r w:rsidRPr="004A1B60">
        <w:t xml:space="preserve">, </w:t>
      </w:r>
      <w:r w:rsidRPr="004A1B60">
        <w:rPr>
          <w:smallCaps/>
        </w:rPr>
        <w:t>City Limits</w:t>
      </w:r>
      <w:r w:rsidRPr="004A1B60">
        <w:t xml:space="preserve"> 5/31/2023, available at: </w:t>
      </w:r>
      <w:hyperlink r:id="rId16" w:history="1">
        <w:r w:rsidRPr="004A1B60">
          <w:rPr>
            <w:rStyle w:val="Hyperlink"/>
            <w:color w:val="auto"/>
          </w:rPr>
          <w:t>https://citylimits.org/2023/05/31/vacant-nycha-units-continue-to-increase-with-transfers-complicated-by-pact/</w:t>
        </w:r>
      </w:hyperlink>
      <w:r w:rsidRPr="004A1B60">
        <w:t xml:space="preserve">. </w:t>
      </w:r>
    </w:p>
  </w:footnote>
  <w:footnote w:id="31">
    <w:p w14:paraId="256A325C" w14:textId="70ED242A"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32">
    <w:p w14:paraId="761AAE50" w14:textId="68F698F4"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33">
    <w:p w14:paraId="789E2A6C" w14:textId="5756B330" w:rsidR="005061D4" w:rsidRPr="004A1B60" w:rsidRDefault="005061D4" w:rsidP="00303678">
      <w:pPr>
        <w:pStyle w:val="FootnoteText"/>
      </w:pPr>
      <w:r w:rsidRPr="004A1B60">
        <w:rPr>
          <w:rStyle w:val="FootnoteReference"/>
        </w:rPr>
        <w:footnoteRef/>
      </w:r>
      <w:r w:rsidRPr="004A1B60">
        <w:t xml:space="preserve"> Tyrner, Tatyana, </w:t>
      </w:r>
      <w:r w:rsidRPr="004A1B60">
        <w:rPr>
          <w:i/>
        </w:rPr>
        <w:t>Vacant NYCHA Units Continue to Increase, With Transfers Complicated by PACT</w:t>
      </w:r>
      <w:r w:rsidRPr="004A1B60">
        <w:t xml:space="preserve">, </w:t>
      </w:r>
      <w:r w:rsidRPr="004A1B60">
        <w:rPr>
          <w:smallCaps/>
        </w:rPr>
        <w:t>City Limits</w:t>
      </w:r>
      <w:r w:rsidRPr="004A1B60">
        <w:t xml:space="preserve"> 5/31/2023, available at: </w:t>
      </w:r>
      <w:hyperlink r:id="rId17" w:history="1">
        <w:r w:rsidRPr="004A1B60">
          <w:rPr>
            <w:rStyle w:val="Hyperlink"/>
            <w:color w:val="auto"/>
          </w:rPr>
          <w:t>https://citylimits.org/2023/05/31/vacant-nycha-units-continue-to-increase-with-transfers-complicated-by-pact/</w:t>
        </w:r>
      </w:hyperlink>
      <w:r w:rsidRPr="004A1B60">
        <w:t>.</w:t>
      </w:r>
    </w:p>
  </w:footnote>
  <w:footnote w:id="34">
    <w:p w14:paraId="66CE58B5" w14:textId="34251D84" w:rsidR="005061D4" w:rsidRPr="004A1B60" w:rsidRDefault="005061D4" w:rsidP="00303678">
      <w:pPr>
        <w:pStyle w:val="FootnoteText"/>
      </w:pPr>
      <w:r w:rsidRPr="004A1B60">
        <w:rPr>
          <w:rStyle w:val="FootnoteReference"/>
        </w:rPr>
        <w:footnoteRef/>
      </w:r>
      <w:r w:rsidRPr="004A1B60">
        <w:t xml:space="preserve"> </w:t>
      </w:r>
      <w:bookmarkStart w:id="1" w:name="_Hlk148513604"/>
      <w:r w:rsidRPr="004A1B60">
        <w:t xml:space="preserve">Executive Budget Hearing, New York City Council - Committee on Public Housing, 5/19/2023, </w:t>
      </w:r>
      <w:r w:rsidRPr="004A1B60">
        <w:rPr>
          <w:i/>
        </w:rPr>
        <w:t>available at</w:t>
      </w:r>
      <w:r w:rsidRPr="004A1B60">
        <w:t xml:space="preserve"> </w:t>
      </w:r>
      <w:hyperlink r:id="rId18" w:history="1">
        <w:r w:rsidRPr="004A1B60">
          <w:rPr>
            <w:rStyle w:val="Hyperlink"/>
            <w:color w:val="auto"/>
          </w:rPr>
          <w:t>https://legistar.council.nyc.gov</w:t>
        </w:r>
      </w:hyperlink>
      <w:bookmarkEnd w:id="1"/>
      <w:r w:rsidRPr="004A1B60">
        <w:t xml:space="preserve">. </w:t>
      </w:r>
    </w:p>
  </w:footnote>
  <w:footnote w:id="35">
    <w:p w14:paraId="152E121D" w14:textId="036F55E2"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36">
    <w:p w14:paraId="2379ADC4" w14:textId="613E7247" w:rsidR="005061D4" w:rsidRPr="004A1B60" w:rsidRDefault="005061D4" w:rsidP="00303678">
      <w:pPr>
        <w:pStyle w:val="FootnoteText"/>
      </w:pPr>
      <w:r w:rsidRPr="004A1B60">
        <w:rPr>
          <w:rStyle w:val="FootnoteReference"/>
        </w:rPr>
        <w:footnoteRef/>
      </w:r>
      <w:r w:rsidRPr="004A1B60">
        <w:t xml:space="preserve"> </w:t>
      </w:r>
      <w:r w:rsidRPr="004A1B60">
        <w:rPr>
          <w:i/>
        </w:rPr>
        <w:t>Id.</w:t>
      </w:r>
      <w:r w:rsidRPr="004A1B60">
        <w:t xml:space="preserve"> </w:t>
      </w:r>
    </w:p>
  </w:footnote>
  <w:footnote w:id="37">
    <w:p w14:paraId="0E0BF9C5" w14:textId="71C61F83"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38">
    <w:p w14:paraId="69BA6EA8" w14:textId="4F2660AB" w:rsidR="005D03EA" w:rsidRPr="004A1B60" w:rsidRDefault="005D03EA">
      <w:pPr>
        <w:pStyle w:val="FootnoteText"/>
      </w:pPr>
      <w:r w:rsidRPr="004A1B60">
        <w:rPr>
          <w:rStyle w:val="FootnoteReference"/>
        </w:rPr>
        <w:footnoteRef/>
      </w:r>
      <w:r w:rsidRPr="004A1B60">
        <w:t xml:space="preserve"> Feldman, Ari Ephraim, NYCHA’s unpaid rent at $338M and growing despite state funding, NY!, 5/18/2023, available at </w:t>
      </w:r>
      <w:hyperlink r:id="rId19" w:history="1">
        <w:r w:rsidR="00905D76" w:rsidRPr="004A1B60">
          <w:rPr>
            <w:rStyle w:val="Hyperlink"/>
            <w:color w:val="auto"/>
          </w:rPr>
          <w:t>https://ny1.com/nyc/all-boroughs/politics/2023/05/18/nycha-s-rental-arrears-at--338m-and-growing-despite-state-funding</w:t>
        </w:r>
      </w:hyperlink>
      <w:r w:rsidR="00905D76" w:rsidRPr="004A1B60">
        <w:t xml:space="preserve">. </w:t>
      </w:r>
    </w:p>
  </w:footnote>
  <w:footnote w:id="39">
    <w:p w14:paraId="7C79AB91" w14:textId="58B3D7AE" w:rsidR="005061D4" w:rsidRPr="004A1B60" w:rsidRDefault="005061D4" w:rsidP="00303678">
      <w:pPr>
        <w:pStyle w:val="FootnoteText"/>
      </w:pPr>
      <w:r w:rsidRPr="004A1B60">
        <w:rPr>
          <w:rStyle w:val="FootnoteReference"/>
        </w:rPr>
        <w:footnoteRef/>
      </w:r>
      <w:r w:rsidRPr="004A1B60">
        <w:t xml:space="preserve"> Adopted Budget for FY 2023 And The Four-Year Financial Plan FY 2024-2027, New York City Housing Authority, </w:t>
      </w:r>
      <w:r w:rsidRPr="004A1B60">
        <w:rPr>
          <w:i/>
        </w:rPr>
        <w:t>available at</w:t>
      </w:r>
      <w:r w:rsidRPr="004A1B60">
        <w:t xml:space="preserve"> </w:t>
      </w:r>
      <w:hyperlink r:id="rId20" w:history="1">
        <w:r w:rsidRPr="004A1B60">
          <w:rPr>
            <w:rStyle w:val="Hyperlink"/>
            <w:color w:val="auto"/>
          </w:rPr>
          <w:t>https://www.nyc.gov/assets/nycha/downloads/pdf/2023-NYCHA-Budget-Book.pdf</w:t>
        </w:r>
      </w:hyperlink>
      <w:r w:rsidRPr="004A1B60">
        <w:t xml:space="preserve">. </w:t>
      </w:r>
    </w:p>
  </w:footnote>
  <w:footnote w:id="40">
    <w:p w14:paraId="62B7D1EF" w14:textId="6B2C8BDA"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41">
    <w:p w14:paraId="40FDAC32" w14:textId="66914383" w:rsidR="005061D4" w:rsidRPr="004A1B60" w:rsidRDefault="005061D4" w:rsidP="00A358F9">
      <w:pPr>
        <w:pStyle w:val="FootnoteText"/>
      </w:pPr>
      <w:r w:rsidRPr="004A1B60">
        <w:rPr>
          <w:rStyle w:val="FootnoteReference"/>
        </w:rPr>
        <w:footnoteRef/>
      </w:r>
      <w:r w:rsidRPr="004A1B60">
        <w:t xml:space="preserve"> </w:t>
      </w:r>
      <w:r w:rsidRPr="004A1B60">
        <w:rPr>
          <w:i/>
        </w:rPr>
        <w:t>Id.</w:t>
      </w:r>
    </w:p>
  </w:footnote>
  <w:footnote w:id="42">
    <w:p w14:paraId="5EC3C2FE" w14:textId="0FAEF5B2" w:rsidR="005061D4" w:rsidRPr="004A1B60" w:rsidRDefault="005061D4" w:rsidP="00A358F9">
      <w:pPr>
        <w:pStyle w:val="FootnoteText"/>
      </w:pPr>
      <w:r w:rsidRPr="004A1B60">
        <w:rPr>
          <w:rStyle w:val="FootnoteReference"/>
        </w:rPr>
        <w:footnoteRef/>
      </w:r>
      <w:r w:rsidRPr="004A1B60">
        <w:t xml:space="preserve"> </w:t>
      </w:r>
      <w:r w:rsidRPr="004A1B60">
        <w:rPr>
          <w:i/>
        </w:rPr>
        <w:t xml:space="preserve">Id.; </w:t>
      </w:r>
      <w:r w:rsidRPr="004A1B60">
        <w:t>Inflation-adjusted amount given in 2021 dollars</w:t>
      </w:r>
      <w:r w:rsidR="00AA1F4C" w:rsidRPr="004A1B60">
        <w:t>.</w:t>
      </w:r>
    </w:p>
  </w:footnote>
  <w:footnote w:id="43">
    <w:p w14:paraId="171C7965" w14:textId="2A9B0115" w:rsidR="005061D4" w:rsidRPr="004A1B60" w:rsidRDefault="005061D4" w:rsidP="00303678">
      <w:pPr>
        <w:pStyle w:val="FootnoteText"/>
      </w:pPr>
      <w:r w:rsidRPr="004A1B60">
        <w:rPr>
          <w:rStyle w:val="FootnoteReference"/>
        </w:rPr>
        <w:footnoteRef/>
      </w:r>
      <w:r w:rsidRPr="004A1B60">
        <w:t xml:space="preserve"> Back, Victor and Tom Waters, </w:t>
      </w:r>
      <w:r w:rsidRPr="004A1B60">
        <w:rPr>
          <w:i/>
        </w:rPr>
        <w:t>Strengthening New York City’s Public Housing: Directions For Change</w:t>
      </w:r>
      <w:r w:rsidRPr="004A1B60">
        <w:t xml:space="preserve">, </w:t>
      </w:r>
      <w:r w:rsidRPr="004A1B60">
        <w:rPr>
          <w:smallCaps/>
        </w:rPr>
        <w:t>Community Service Society</w:t>
      </w:r>
      <w:r w:rsidRPr="004A1B60">
        <w:t xml:space="preserve">, </w:t>
      </w:r>
      <w:r w:rsidRPr="004A1B60">
        <w:rPr>
          <w:i/>
        </w:rPr>
        <w:t>available at</w:t>
      </w:r>
      <w:r w:rsidRPr="004A1B60">
        <w:t xml:space="preserve"> </w:t>
      </w:r>
      <w:hyperlink r:id="rId21" w:history="1">
        <w:r w:rsidRPr="004A1B60">
          <w:rPr>
            <w:rStyle w:val="Hyperlink"/>
            <w:color w:val="auto"/>
          </w:rPr>
          <w:t>https://smhttp-ssl-58547.nexcesscdn.net/nycss/images/uploads/pubs/CSS_NYCHA_FinalWeb.pdf</w:t>
        </w:r>
      </w:hyperlink>
      <w:r w:rsidRPr="004A1B60">
        <w:t xml:space="preserve">.   </w:t>
      </w:r>
    </w:p>
  </w:footnote>
  <w:footnote w:id="44">
    <w:p w14:paraId="3A69D97B" w14:textId="17853FD9" w:rsidR="005061D4" w:rsidRPr="004A1B60" w:rsidRDefault="005061D4" w:rsidP="00303678">
      <w:pPr>
        <w:pStyle w:val="FootnoteText"/>
      </w:pPr>
      <w:r w:rsidRPr="004A1B60">
        <w:rPr>
          <w:rStyle w:val="FootnoteReference"/>
        </w:rPr>
        <w:footnoteRef/>
      </w:r>
      <w:r w:rsidRPr="004A1B60">
        <w:t xml:space="preserve"> 2024 Draft Annual Plan, New York City Housing Authority, </w:t>
      </w:r>
      <w:r w:rsidRPr="004A1B60">
        <w:rPr>
          <w:i/>
        </w:rPr>
        <w:t>available at</w:t>
      </w:r>
      <w:r w:rsidRPr="004A1B60">
        <w:t xml:space="preserve"> </w:t>
      </w:r>
      <w:hyperlink r:id="rId22" w:history="1">
        <w:r w:rsidRPr="004A1B60">
          <w:rPr>
            <w:rStyle w:val="Hyperlink"/>
            <w:color w:val="auto"/>
          </w:rPr>
          <w:t>https://www.nyc.gov/assets/nycha/downloads/pdf/FY_2024_Draft_Annual_Plan_English.pdf</w:t>
        </w:r>
      </w:hyperlink>
      <w:r w:rsidRPr="004A1B60">
        <w:t xml:space="preserve">. </w:t>
      </w:r>
    </w:p>
  </w:footnote>
  <w:footnote w:id="45">
    <w:p w14:paraId="09C90998" w14:textId="0B44BCDD"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46">
    <w:p w14:paraId="0081D1C2" w14:textId="670E1C8F" w:rsidR="005061D4" w:rsidRPr="004A1B60" w:rsidRDefault="005061D4" w:rsidP="00303678">
      <w:pPr>
        <w:pStyle w:val="FootnoteText"/>
      </w:pPr>
      <w:r w:rsidRPr="004A1B60">
        <w:rPr>
          <w:rStyle w:val="FootnoteReference"/>
        </w:rPr>
        <w:footnoteRef/>
      </w:r>
      <w:r w:rsidRPr="004A1B60">
        <w:t xml:space="preserve"> 2024 Draft Annual Plan, New York City Housing Authority, available at: </w:t>
      </w:r>
      <w:hyperlink r:id="rId23" w:history="1">
        <w:r w:rsidRPr="004A1B60">
          <w:rPr>
            <w:rStyle w:val="Hyperlink"/>
            <w:color w:val="auto"/>
          </w:rPr>
          <w:t>https://www.nyc.gov/assets/nycha/downloads/pdf/FY_2024_Draft_Annual_Plan_English.pdf</w:t>
        </w:r>
      </w:hyperlink>
      <w:r w:rsidRPr="004A1B60">
        <w:t xml:space="preserve">. </w:t>
      </w:r>
    </w:p>
  </w:footnote>
  <w:footnote w:id="47">
    <w:p w14:paraId="0F58A22C" w14:textId="236A9595" w:rsidR="005061D4" w:rsidRPr="004A1B60" w:rsidRDefault="005061D4" w:rsidP="00303678">
      <w:pPr>
        <w:pStyle w:val="FootnoteText"/>
      </w:pPr>
      <w:r w:rsidRPr="004A1B60">
        <w:rPr>
          <w:rStyle w:val="FootnoteReference"/>
        </w:rPr>
        <w:footnoteRef/>
      </w:r>
      <w:r w:rsidRPr="004A1B60">
        <w:t xml:space="preserve"> 2023 Annual Plan, New York City Housing Authority, available at: </w:t>
      </w:r>
      <w:hyperlink r:id="rId24" w:history="1">
        <w:r w:rsidRPr="004A1B60">
          <w:rPr>
            <w:rStyle w:val="Hyperlink"/>
            <w:color w:val="auto"/>
          </w:rPr>
          <w:t>https://www.nyc.gov/assets/nycha/downloads/pdf/NYCHA-Final%20Annual-PlanFY23-10.14.22.pdf</w:t>
        </w:r>
      </w:hyperlink>
      <w:r w:rsidRPr="004A1B60">
        <w:t xml:space="preserve">. </w:t>
      </w:r>
    </w:p>
  </w:footnote>
  <w:footnote w:id="48">
    <w:p w14:paraId="56522948" w14:textId="57A8252A" w:rsidR="005061D4" w:rsidRPr="004A1B60" w:rsidRDefault="005061D4" w:rsidP="00303678">
      <w:pPr>
        <w:pStyle w:val="FootnoteText"/>
      </w:pPr>
      <w:r w:rsidRPr="004A1B60">
        <w:rPr>
          <w:rStyle w:val="FootnoteReference"/>
        </w:rPr>
        <w:footnoteRef/>
      </w:r>
      <w:r w:rsidRPr="004A1B60">
        <w:t xml:space="preserve"> Khurshid, Samar, </w:t>
      </w:r>
      <w:r w:rsidRPr="004A1B60">
        <w:rPr>
          <w:i/>
        </w:rPr>
        <w:t>Despite Tens of Billions Proposed NYCHA again Left Out of Major Federal Funding Packages</w:t>
      </w:r>
      <w:r w:rsidRPr="004A1B60">
        <w:t xml:space="preserve">, </w:t>
      </w:r>
      <w:r w:rsidRPr="004A1B60">
        <w:rPr>
          <w:smallCaps/>
        </w:rPr>
        <w:t>Gotham Gazette</w:t>
      </w:r>
      <w:r w:rsidRPr="004A1B60">
        <w:t xml:space="preserve">, 08/09/2022, available at: </w:t>
      </w:r>
      <w:hyperlink r:id="rId25" w:history="1">
        <w:r w:rsidRPr="004A1B60">
          <w:rPr>
            <w:rStyle w:val="Hyperlink"/>
            <w:color w:val="auto"/>
          </w:rPr>
          <w:t>https://www.gothamgazette.com/city/11511-despite-tens-of-billions-proposed-nycha-again-left-out-of-major-federal-funding-packages</w:t>
        </w:r>
      </w:hyperlink>
      <w:r w:rsidRPr="004A1B60">
        <w:t xml:space="preserve">. </w:t>
      </w:r>
    </w:p>
  </w:footnote>
  <w:footnote w:id="49">
    <w:p w14:paraId="29069672" w14:textId="14CCFCA3" w:rsidR="005061D4" w:rsidRPr="004A1B60" w:rsidRDefault="005061D4" w:rsidP="00303678">
      <w:pPr>
        <w:pStyle w:val="FootnoteText"/>
      </w:pPr>
      <w:r w:rsidRPr="004A1B60">
        <w:rPr>
          <w:rStyle w:val="FootnoteReference"/>
        </w:rPr>
        <w:footnoteRef/>
      </w:r>
      <w:r w:rsidRPr="004A1B60">
        <w:t xml:space="preserve"> </w:t>
      </w:r>
      <w:r w:rsidRPr="004A1B60">
        <w:rPr>
          <w:i/>
        </w:rPr>
        <w:t>Id.</w:t>
      </w:r>
      <w:r w:rsidRPr="004A1B60">
        <w:t xml:space="preserve"> </w:t>
      </w:r>
    </w:p>
  </w:footnote>
  <w:footnote w:id="50">
    <w:p w14:paraId="7CC66921" w14:textId="249B5476"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51">
    <w:p w14:paraId="649825E4" w14:textId="444C97D7" w:rsidR="005D48A9" w:rsidRPr="004A1B60" w:rsidRDefault="005D48A9">
      <w:pPr>
        <w:pStyle w:val="FootnoteText"/>
      </w:pPr>
      <w:r w:rsidRPr="004A1B60">
        <w:rPr>
          <w:rStyle w:val="FootnoteReference"/>
        </w:rPr>
        <w:footnoteRef/>
      </w:r>
      <w:r w:rsidRPr="004A1B60">
        <w:t xml:space="preserve"> </w:t>
      </w:r>
      <w:r w:rsidRPr="004A1B60">
        <w:rPr>
          <w:i/>
        </w:rPr>
        <w:t>Id.</w:t>
      </w:r>
    </w:p>
  </w:footnote>
  <w:footnote w:id="52">
    <w:p w14:paraId="62BC0F65" w14:textId="5DB6AA8F" w:rsidR="005061D4" w:rsidRPr="004A1B60" w:rsidRDefault="005061D4" w:rsidP="00303678">
      <w:pPr>
        <w:pStyle w:val="FootnoteText"/>
      </w:pPr>
      <w:r w:rsidRPr="004A1B60">
        <w:rPr>
          <w:rStyle w:val="FootnoteReference"/>
        </w:rPr>
        <w:footnoteRef/>
      </w:r>
      <w:r w:rsidRPr="004A1B60">
        <w:t xml:space="preserve"> </w:t>
      </w:r>
      <w:bookmarkStart w:id="2" w:name="_Hlk148514036"/>
      <w:r w:rsidRPr="004A1B60">
        <w:t xml:space="preserve">Human Rights Watch, </w:t>
      </w:r>
      <w:r w:rsidRPr="004A1B60">
        <w:rPr>
          <w:i/>
        </w:rPr>
        <w:t>The Tenant Never Wins</w:t>
      </w:r>
      <w:r w:rsidRPr="004A1B60">
        <w:t xml:space="preserve">, 01/27/2022 available at: </w:t>
      </w:r>
      <w:hyperlink r:id="rId26" w:history="1">
        <w:r w:rsidRPr="004A1B60">
          <w:rPr>
            <w:rStyle w:val="Hyperlink"/>
            <w:color w:val="auto"/>
          </w:rPr>
          <w:t>https://www.hrw.org/report/2022/01/27/tenant-never-wins/private-takeover-public-housing-puts-rights-risk-new-york-city</w:t>
        </w:r>
      </w:hyperlink>
      <w:bookmarkEnd w:id="2"/>
      <w:r w:rsidRPr="004A1B60">
        <w:t xml:space="preserve">.  </w:t>
      </w:r>
    </w:p>
  </w:footnote>
  <w:footnote w:id="53">
    <w:p w14:paraId="63A791FF" w14:textId="28905F98"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54">
    <w:p w14:paraId="2E98CA97" w14:textId="45B01FB6"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55">
    <w:p w14:paraId="36A0CC5C" w14:textId="4DFCF1FE" w:rsidR="005061D4" w:rsidRPr="004A1B60" w:rsidRDefault="005061D4" w:rsidP="00303678">
      <w:pPr>
        <w:pStyle w:val="FootnoteText"/>
      </w:pPr>
      <w:r w:rsidRPr="004A1B60">
        <w:rPr>
          <w:rStyle w:val="FootnoteReference"/>
        </w:rPr>
        <w:footnoteRef/>
      </w:r>
      <w:r w:rsidRPr="004A1B60">
        <w:t xml:space="preserve"> Dumke, Mick, </w:t>
      </w:r>
      <w:r w:rsidRPr="004A1B60">
        <w:rPr>
          <w:i/>
        </w:rPr>
        <w:t>Chicago Claims Its 22 Year Transformation Plan Revitalized 25,000 homes. The Math Doesn’t Add Up</w:t>
      </w:r>
      <w:r w:rsidRPr="004A1B60">
        <w:t xml:space="preserve">, </w:t>
      </w:r>
      <w:r w:rsidRPr="004A1B60">
        <w:rPr>
          <w:smallCaps/>
        </w:rPr>
        <w:t xml:space="preserve">ProPublica, </w:t>
      </w:r>
      <w:r w:rsidRPr="004A1B60">
        <w:t xml:space="preserve">12/16/2022, </w:t>
      </w:r>
      <w:r w:rsidRPr="004A1B60">
        <w:rPr>
          <w:i/>
        </w:rPr>
        <w:t>available at</w:t>
      </w:r>
      <w:r w:rsidRPr="004A1B60">
        <w:t xml:space="preserve"> https://www.propublica.org/article/chicago-housing-authority-hud-transformation-plan</w:t>
      </w:r>
    </w:p>
  </w:footnote>
  <w:footnote w:id="56">
    <w:p w14:paraId="51CCC687" w14:textId="5492FC8B"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57">
    <w:p w14:paraId="37E91278" w14:textId="646D149F"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58">
    <w:p w14:paraId="03764EE1" w14:textId="38B559CA"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59">
    <w:p w14:paraId="6CBCB393" w14:textId="2CC86A8A"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60">
    <w:p w14:paraId="1E420431" w14:textId="3E25DDF1"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61">
    <w:p w14:paraId="65A793F4" w14:textId="4DC03646" w:rsidR="005061D4" w:rsidRPr="004A1B60" w:rsidRDefault="005061D4" w:rsidP="00303678">
      <w:pPr>
        <w:pStyle w:val="FootnoteText"/>
      </w:pPr>
      <w:r w:rsidRPr="004A1B60">
        <w:rPr>
          <w:rStyle w:val="FootnoteReference"/>
        </w:rPr>
        <w:footnoteRef/>
      </w:r>
      <w:r w:rsidRPr="004A1B60">
        <w:t xml:space="preserve"> Jersey City Housing Authority, The Future of Holland Gardens, </w:t>
      </w:r>
      <w:r w:rsidRPr="004A1B60">
        <w:rPr>
          <w:i/>
        </w:rPr>
        <w:t>available at</w:t>
      </w:r>
      <w:r w:rsidRPr="004A1B60">
        <w:t xml:space="preserve"> </w:t>
      </w:r>
      <w:hyperlink r:id="rId27" w:history="1">
        <w:r w:rsidRPr="004A1B60">
          <w:rPr>
            <w:rStyle w:val="Hyperlink"/>
            <w:color w:val="auto"/>
          </w:rPr>
          <w:t>https://www.hollandgardensvision.org/</w:t>
        </w:r>
      </w:hyperlink>
      <w:r w:rsidRPr="004A1B60">
        <w:t xml:space="preserve">. </w:t>
      </w:r>
    </w:p>
  </w:footnote>
  <w:footnote w:id="62">
    <w:p w14:paraId="68E3F4C5" w14:textId="61EEFF75" w:rsidR="005061D4" w:rsidRPr="004A1B60" w:rsidRDefault="005061D4" w:rsidP="00303678">
      <w:pPr>
        <w:pStyle w:val="FootnoteText"/>
      </w:pPr>
      <w:r w:rsidRPr="004A1B60">
        <w:rPr>
          <w:rStyle w:val="FootnoteReference"/>
        </w:rPr>
        <w:footnoteRef/>
      </w:r>
      <w:r w:rsidRPr="004A1B60">
        <w:t xml:space="preserve"> </w:t>
      </w:r>
      <w:r w:rsidRPr="004A1B60">
        <w:rPr>
          <w:i/>
        </w:rPr>
        <w:t>Id.</w:t>
      </w:r>
    </w:p>
  </w:footnote>
  <w:footnote w:id="63">
    <w:p w14:paraId="0C321072" w14:textId="28CB1827" w:rsidR="005061D4" w:rsidRPr="004A1B60" w:rsidRDefault="005061D4">
      <w:pPr>
        <w:pStyle w:val="FootnoteText"/>
      </w:pPr>
      <w:r w:rsidRPr="004A1B60">
        <w:rPr>
          <w:rStyle w:val="FootnoteReference"/>
        </w:rPr>
        <w:footnoteRef/>
      </w:r>
      <w:r w:rsidRPr="004A1B60">
        <w:t xml:space="preserve"> NYCHA releases request for Rental Assistance Demonstration (RAD) proposals in Far Rockaway, Queens, 2/19/2019, </w:t>
      </w:r>
      <w:r w:rsidRPr="004A1B60">
        <w:rPr>
          <w:i/>
        </w:rPr>
        <w:t xml:space="preserve">available at </w:t>
      </w:r>
      <w:hyperlink r:id="rId28" w:history="1">
        <w:r w:rsidRPr="004A1B60">
          <w:rPr>
            <w:rStyle w:val="Hyperlink"/>
            <w:color w:val="auto"/>
          </w:rPr>
          <w:t>https://www.nyc.gov/site/nycha/about/press/pr-2016/nycha-releases-request-for-rental-assistance-demonstration.page</w:t>
        </w:r>
      </w:hyperlink>
      <w:r w:rsidRPr="004A1B60">
        <w:t xml:space="preserve"> </w:t>
      </w:r>
    </w:p>
  </w:footnote>
  <w:footnote w:id="64">
    <w:p w14:paraId="77ADA7F3" w14:textId="126A522F" w:rsidR="005061D4" w:rsidRPr="004A1B60" w:rsidRDefault="005061D4">
      <w:pPr>
        <w:pStyle w:val="FootnoteText"/>
      </w:pPr>
      <w:r w:rsidRPr="004A1B60">
        <w:rPr>
          <w:rStyle w:val="FootnoteReference"/>
        </w:rPr>
        <w:footnoteRef/>
      </w:r>
      <w:r w:rsidRPr="004A1B60">
        <w:t xml:space="preserve"> NYCHA PACT Projects, last updated September 2023, </w:t>
      </w:r>
      <w:r w:rsidRPr="004A1B60">
        <w:rPr>
          <w:i/>
        </w:rPr>
        <w:t xml:space="preserve">available at </w:t>
      </w:r>
      <w:hyperlink r:id="rId29" w:history="1">
        <w:r w:rsidRPr="004A1B60">
          <w:rPr>
            <w:rStyle w:val="Hyperlink"/>
            <w:color w:val="auto"/>
          </w:rPr>
          <w:t>https://www.nyc.gov/assets/nycha/downloads/pdf/PACT_Dataset.pdf</w:t>
        </w:r>
      </w:hyperlink>
      <w:r w:rsidRPr="004A1B60">
        <w:t xml:space="preserve"> </w:t>
      </w:r>
    </w:p>
  </w:footnote>
  <w:footnote w:id="65">
    <w:p w14:paraId="5C10FA81" w14:textId="77777777" w:rsidR="005061D4" w:rsidRPr="004A1B60" w:rsidRDefault="005061D4">
      <w:pPr>
        <w:pStyle w:val="FootnoteText"/>
      </w:pPr>
      <w:r w:rsidRPr="004A1B60">
        <w:rPr>
          <w:rStyle w:val="FootnoteReference"/>
        </w:rPr>
        <w:footnoteRef/>
      </w:r>
      <w:r w:rsidRPr="004A1B60">
        <w:t xml:space="preserve"> </w:t>
      </w:r>
      <w:r w:rsidRPr="004A1B60">
        <w:rPr>
          <w:i/>
        </w:rPr>
        <w:t>Id.</w:t>
      </w:r>
    </w:p>
  </w:footnote>
  <w:footnote w:id="66">
    <w:p w14:paraId="12670FFE" w14:textId="77777777" w:rsidR="005061D4" w:rsidRPr="004A1B60" w:rsidRDefault="005061D4">
      <w:pPr>
        <w:pStyle w:val="FootnoteText"/>
      </w:pPr>
      <w:r w:rsidRPr="004A1B60">
        <w:rPr>
          <w:rStyle w:val="FootnoteReference"/>
        </w:rPr>
        <w:footnoteRef/>
      </w:r>
      <w:r w:rsidRPr="004A1B60">
        <w:t xml:space="preserve"> </w:t>
      </w:r>
      <w:r w:rsidRPr="004A1B60">
        <w:rPr>
          <w:i/>
        </w:rPr>
        <w:t>Id.</w:t>
      </w:r>
    </w:p>
  </w:footnote>
  <w:footnote w:id="67">
    <w:p w14:paraId="16DD30AF" w14:textId="13DF8987" w:rsidR="005061D4" w:rsidRPr="004A1B60" w:rsidRDefault="005061D4">
      <w:pPr>
        <w:pStyle w:val="FootnoteText"/>
      </w:pPr>
      <w:r w:rsidRPr="004A1B60">
        <w:rPr>
          <w:rStyle w:val="FootnoteReference"/>
        </w:rPr>
        <w:footnoteRef/>
      </w:r>
      <w:r w:rsidRPr="004A1B60">
        <w:t xml:space="preserve"> Permanent Affordability Commitment Together overview, last accessed on 10/19/2023, available at </w:t>
      </w:r>
      <w:hyperlink r:id="rId30" w:history="1">
        <w:r w:rsidRPr="004A1B60">
          <w:rPr>
            <w:rStyle w:val="Hyperlink"/>
            <w:color w:val="auto"/>
          </w:rPr>
          <w:t>https://www.nyc.gov/site/nycha/about/pact.page</w:t>
        </w:r>
      </w:hyperlink>
      <w:r w:rsidRPr="004A1B60">
        <w:t xml:space="preserve">.  </w:t>
      </w:r>
    </w:p>
  </w:footnote>
  <w:footnote w:id="68">
    <w:p w14:paraId="3EA15FE6" w14:textId="01ABB938" w:rsidR="005061D4" w:rsidRPr="004A1B60" w:rsidRDefault="005061D4">
      <w:pPr>
        <w:pStyle w:val="FootnoteText"/>
      </w:pPr>
      <w:r w:rsidRPr="004A1B60">
        <w:rPr>
          <w:rStyle w:val="FootnoteReference"/>
        </w:rPr>
        <w:footnoteRef/>
      </w:r>
      <w:r w:rsidRPr="004A1B60">
        <w:t xml:space="preserve"> Smith, Greg, </w:t>
      </w:r>
      <w:r w:rsidRPr="004A1B60">
        <w:rPr>
          <w:i/>
        </w:rPr>
        <w:t xml:space="preserve">NYCHA Housing Fix Clouded by Tenant Complaints About Private Managers, </w:t>
      </w:r>
      <w:r w:rsidRPr="004A1B60">
        <w:rPr>
          <w:smallCaps/>
        </w:rPr>
        <w:t>The City</w:t>
      </w:r>
      <w:r w:rsidRPr="004A1B60">
        <w:t xml:space="preserve">, 10/5/2023, available at </w:t>
      </w:r>
      <w:hyperlink r:id="rId31" w:history="1">
        <w:r w:rsidRPr="004A1B60">
          <w:rPr>
            <w:rStyle w:val="Hyperlink"/>
            <w:color w:val="auto"/>
          </w:rPr>
          <w:t>https://www.thecity.nyc/2021/10/05/nycha-public-housing-to-private-managers-tenant-rad-complaints/</w:t>
        </w:r>
      </w:hyperlink>
      <w:r w:rsidRPr="004A1B60">
        <w:t xml:space="preserve"> </w:t>
      </w:r>
    </w:p>
  </w:footnote>
  <w:footnote w:id="69">
    <w:p w14:paraId="1FFA51C7" w14:textId="305EE75E" w:rsidR="005D48A9" w:rsidRPr="004A1B60" w:rsidRDefault="005D48A9">
      <w:pPr>
        <w:pStyle w:val="FootnoteText"/>
      </w:pPr>
      <w:r w:rsidRPr="004A1B60">
        <w:rPr>
          <w:rStyle w:val="FootnoteReference"/>
        </w:rPr>
        <w:footnoteRef/>
      </w:r>
      <w:r w:rsidRPr="004A1B60">
        <w:t xml:space="preserve"> Council analysis using data from NYC Open Data, available at </w:t>
      </w:r>
      <w:hyperlink r:id="rId32" w:history="1">
        <w:r w:rsidRPr="004A1B60">
          <w:rPr>
            <w:rStyle w:val="Hyperlink"/>
            <w:color w:val="auto"/>
          </w:rPr>
          <w:t>https://data.cityofnewyork.us/City-Government/Evictions/6z8x-wfk4</w:t>
        </w:r>
      </w:hyperlink>
      <w:r w:rsidRPr="004A1B60">
        <w:t xml:space="preserve"> and </w:t>
      </w:r>
      <w:hyperlink r:id="rId33" w:history="1">
        <w:r w:rsidRPr="004A1B60">
          <w:rPr>
            <w:rStyle w:val="Hyperlink"/>
            <w:color w:val="auto"/>
          </w:rPr>
          <w:t>https://data.cityofnewyork.us/Housing-Development/Housing-Maintenance-Code-Violations/wvxf-dwi5</w:t>
        </w:r>
      </w:hyperlink>
      <w:r w:rsidRPr="004A1B60">
        <w:t>. Last accessed on 10/18/2023.</w:t>
      </w:r>
    </w:p>
  </w:footnote>
  <w:footnote w:id="70">
    <w:p w14:paraId="0CF01BE4" w14:textId="44BC5BB8" w:rsidR="005D48A9" w:rsidRPr="004A1B60" w:rsidRDefault="005D48A9">
      <w:pPr>
        <w:pStyle w:val="FootnoteText"/>
      </w:pPr>
      <w:r w:rsidRPr="004A1B60">
        <w:rPr>
          <w:rStyle w:val="FootnoteReference"/>
        </w:rPr>
        <w:footnoteRef/>
      </w:r>
      <w:r w:rsidRPr="004A1B60">
        <w:t xml:space="preserve"> </w:t>
      </w:r>
      <w:r w:rsidRPr="004A1B60">
        <w:rPr>
          <w:i/>
        </w:rPr>
        <w:t>Id.</w:t>
      </w:r>
    </w:p>
  </w:footnote>
  <w:footnote w:id="71">
    <w:p w14:paraId="0F678151" w14:textId="7DC06BA0" w:rsidR="005D48A9" w:rsidRPr="004A1B60" w:rsidRDefault="005D48A9">
      <w:pPr>
        <w:pStyle w:val="FootnoteText"/>
      </w:pPr>
      <w:r w:rsidRPr="004A1B60">
        <w:rPr>
          <w:rStyle w:val="FootnoteReference"/>
        </w:rPr>
        <w:footnoteRef/>
      </w:r>
      <w:r w:rsidRPr="004A1B60">
        <w:t xml:space="preserve"> </w:t>
      </w:r>
      <w:r w:rsidRPr="004A1B60">
        <w:rPr>
          <w:i/>
        </w:rPr>
        <w:t>Id.</w:t>
      </w:r>
    </w:p>
  </w:footnote>
  <w:footnote w:id="72">
    <w:p w14:paraId="761E78AA" w14:textId="0D43BC36" w:rsidR="005D48A9" w:rsidRPr="004A1B60" w:rsidRDefault="005D48A9">
      <w:pPr>
        <w:pStyle w:val="FootnoteText"/>
      </w:pPr>
      <w:r w:rsidRPr="004A1B60">
        <w:rPr>
          <w:rStyle w:val="FootnoteReference"/>
        </w:rPr>
        <w:footnoteRef/>
      </w:r>
      <w:r w:rsidRPr="004A1B60">
        <w:t xml:space="preserve"> </w:t>
      </w:r>
      <w:r w:rsidRPr="004A1B60">
        <w:rPr>
          <w:i/>
        </w:rPr>
        <w:t>Id.</w:t>
      </w:r>
    </w:p>
  </w:footnote>
  <w:footnote w:id="73">
    <w:p w14:paraId="6E920EDF" w14:textId="3E02A20E" w:rsidR="005D48A9" w:rsidRPr="004A1B60" w:rsidRDefault="005D48A9">
      <w:pPr>
        <w:pStyle w:val="FootnoteText"/>
      </w:pPr>
      <w:r w:rsidRPr="004A1B60">
        <w:rPr>
          <w:rStyle w:val="FootnoteReference"/>
        </w:rPr>
        <w:footnoteRef/>
      </w:r>
      <w:r w:rsidRPr="004A1B60">
        <w:t xml:space="preserve"> </w:t>
      </w:r>
      <w:r w:rsidRPr="004A1B60">
        <w:rPr>
          <w:i/>
        </w:rPr>
        <w:t>Id.</w:t>
      </w:r>
    </w:p>
  </w:footnote>
  <w:footnote w:id="74">
    <w:p w14:paraId="4FE8C87B" w14:textId="33ED3D29" w:rsidR="005061D4" w:rsidRPr="004A1B60" w:rsidRDefault="005061D4">
      <w:pPr>
        <w:pStyle w:val="FootnoteText"/>
      </w:pPr>
      <w:r w:rsidRPr="004A1B60">
        <w:rPr>
          <w:rStyle w:val="FootnoteReference"/>
        </w:rPr>
        <w:footnoteRef/>
      </w:r>
      <w:r w:rsidRPr="004A1B60">
        <w:t xml:space="preserve"> Harry DiPrinzio, </w:t>
      </w:r>
      <w:r w:rsidRPr="004A1B60">
        <w:rPr>
          <w:i/>
        </w:rPr>
        <w:t>Hundreds of NYCHA Evictions Raise Questions About Process</w:t>
      </w:r>
      <w:r w:rsidRPr="004A1B60">
        <w:t xml:space="preserve">, City Limits, 09/14/2019, available at </w:t>
      </w:r>
      <w:hyperlink r:id="rId34" w:history="1">
        <w:r w:rsidRPr="004A1B60">
          <w:rPr>
            <w:rStyle w:val="Hyperlink"/>
            <w:color w:val="auto"/>
          </w:rPr>
          <w:t>https://citylimits.org/2019/08/14/nycha-evicitons-rad-oceanbay/</w:t>
        </w:r>
      </w:hyperlink>
      <w:r w:rsidRPr="004A1B60">
        <w:t xml:space="preserve">. </w:t>
      </w:r>
    </w:p>
  </w:footnote>
  <w:footnote w:id="75">
    <w:p w14:paraId="305FECED" w14:textId="2F5020FE" w:rsidR="005061D4" w:rsidRPr="004A1B60" w:rsidRDefault="005061D4">
      <w:pPr>
        <w:pStyle w:val="FootnoteText"/>
      </w:pPr>
      <w:r w:rsidRPr="004A1B60">
        <w:rPr>
          <w:rStyle w:val="FootnoteReference"/>
        </w:rPr>
        <w:footnoteRef/>
      </w:r>
      <w:r w:rsidRPr="004A1B60">
        <w:t xml:space="preserve"> </w:t>
      </w:r>
      <w:r w:rsidRPr="004A1B60">
        <w:rPr>
          <w:i/>
        </w:rPr>
        <w:t>Id.</w:t>
      </w:r>
    </w:p>
  </w:footnote>
  <w:footnote w:id="76">
    <w:p w14:paraId="5923BBA7" w14:textId="77777777" w:rsidR="00EA5EE6" w:rsidRPr="004A1B60" w:rsidRDefault="00EA5EE6" w:rsidP="00EA5EE6">
      <w:pPr>
        <w:pStyle w:val="FootnoteText"/>
      </w:pPr>
      <w:r w:rsidRPr="004A1B60">
        <w:rPr>
          <w:rStyle w:val="FootnoteReference"/>
        </w:rPr>
        <w:footnoteRef/>
      </w:r>
      <w:r w:rsidRPr="004A1B60">
        <w:t xml:space="preserve"> Council analysis using data from NYC Open Data, available at </w:t>
      </w:r>
      <w:hyperlink r:id="rId35" w:history="1">
        <w:r w:rsidRPr="004A1B60">
          <w:rPr>
            <w:rStyle w:val="Hyperlink"/>
            <w:color w:val="auto"/>
          </w:rPr>
          <w:t>https://data.cityofnewyork.us/City-Government/Evictions/6z8x-wfk4</w:t>
        </w:r>
      </w:hyperlink>
      <w:r w:rsidRPr="004A1B60">
        <w:t xml:space="preserve"> and </w:t>
      </w:r>
      <w:hyperlink r:id="rId36" w:history="1">
        <w:r w:rsidRPr="004A1B60">
          <w:rPr>
            <w:rStyle w:val="Hyperlink"/>
            <w:color w:val="auto"/>
          </w:rPr>
          <w:t>https://data.cityofnewyork.us/Housing-Development/Housing-Maintenance-Code-Violations/wvxf-dwi5</w:t>
        </w:r>
      </w:hyperlink>
      <w:r w:rsidRPr="004A1B60">
        <w:t>. Last accessed on 10/18/2023.</w:t>
      </w:r>
    </w:p>
  </w:footnote>
  <w:footnote w:id="77">
    <w:p w14:paraId="4AE2D952" w14:textId="77777777" w:rsidR="00EA5EE6" w:rsidRPr="004A1B60" w:rsidRDefault="00EA5EE6" w:rsidP="00EA5EE6">
      <w:pPr>
        <w:pStyle w:val="FootnoteText"/>
      </w:pPr>
      <w:r w:rsidRPr="004A1B60">
        <w:rPr>
          <w:rStyle w:val="FootnoteReference"/>
        </w:rPr>
        <w:footnoteRef/>
      </w:r>
      <w:r w:rsidRPr="004A1B60">
        <w:t xml:space="preserve"> </w:t>
      </w:r>
      <w:r w:rsidRPr="004A1B60">
        <w:rPr>
          <w:i/>
        </w:rPr>
        <w:t>Id.</w:t>
      </w:r>
    </w:p>
  </w:footnote>
  <w:footnote w:id="78">
    <w:p w14:paraId="7BB80EF4" w14:textId="77777777" w:rsidR="00EA5EE6" w:rsidRPr="004A1B60" w:rsidRDefault="00EA5EE6" w:rsidP="00EA5EE6">
      <w:pPr>
        <w:pStyle w:val="FootnoteText"/>
      </w:pPr>
      <w:r w:rsidRPr="004A1B60">
        <w:rPr>
          <w:rStyle w:val="FootnoteReference"/>
        </w:rPr>
        <w:footnoteRef/>
      </w:r>
      <w:r w:rsidRPr="004A1B60">
        <w:t xml:space="preserve"> Enterprise Community Partners, </w:t>
      </w:r>
      <w:r w:rsidRPr="004A1B60">
        <w:rPr>
          <w:i/>
        </w:rPr>
        <w:t>Stability in NYC Public Housing Conversions: A Closer Look at NYCHA's Permanent Affordability Commitment Together (PACT) Program</w:t>
      </w:r>
      <w:r w:rsidRPr="004A1B60">
        <w:t xml:space="preserve">, 11/15/22, available at </w:t>
      </w:r>
      <w:hyperlink r:id="rId37" w:history="1">
        <w:r w:rsidRPr="004A1B60">
          <w:rPr>
            <w:rStyle w:val="Hyperlink"/>
            <w:color w:val="auto"/>
          </w:rPr>
          <w:t>https://www.enterprisecommunity.org/sites/default/files/2022-11/eviction-report.pdf</w:t>
        </w:r>
      </w:hyperlink>
      <w:r w:rsidRPr="004A1B60">
        <w:t xml:space="preserve">. </w:t>
      </w:r>
    </w:p>
  </w:footnote>
  <w:footnote w:id="79">
    <w:p w14:paraId="1D0DAC97" w14:textId="36D107B6" w:rsidR="0061101C" w:rsidRPr="004A1B60" w:rsidRDefault="0061101C">
      <w:pPr>
        <w:pStyle w:val="FootnoteText"/>
      </w:pPr>
      <w:r w:rsidRPr="004A1B60">
        <w:rPr>
          <w:rStyle w:val="FootnoteReference"/>
        </w:rPr>
        <w:footnoteRef/>
      </w:r>
      <w:r w:rsidRPr="004A1B60">
        <w:t xml:space="preserve"> </w:t>
      </w:r>
      <w:r w:rsidRPr="004A1B60">
        <w:rPr>
          <w:i/>
        </w:rPr>
        <w:t>Id.</w:t>
      </w:r>
    </w:p>
  </w:footnote>
  <w:footnote w:id="80">
    <w:p w14:paraId="5A0FEBB8" w14:textId="3182DF22" w:rsidR="0061101C" w:rsidRPr="004A1B60" w:rsidRDefault="0061101C">
      <w:pPr>
        <w:pStyle w:val="FootnoteText"/>
      </w:pPr>
      <w:r w:rsidRPr="004A1B60">
        <w:rPr>
          <w:rStyle w:val="FootnoteReference"/>
        </w:rPr>
        <w:footnoteRef/>
      </w:r>
      <w:r w:rsidRPr="004A1B60">
        <w:t xml:space="preserve"> </w:t>
      </w:r>
      <w:r w:rsidRPr="004A1B60">
        <w:rPr>
          <w:i/>
        </w:rPr>
        <w:t>Id.</w:t>
      </w:r>
    </w:p>
  </w:footnote>
  <w:footnote w:id="81">
    <w:p w14:paraId="6B111C8F" w14:textId="300E8B9D" w:rsidR="005061D4" w:rsidRPr="004A1B60" w:rsidRDefault="005061D4">
      <w:pPr>
        <w:pStyle w:val="FootnoteText"/>
      </w:pPr>
      <w:r w:rsidRPr="004A1B60">
        <w:rPr>
          <w:rStyle w:val="FootnoteReference"/>
        </w:rPr>
        <w:footnoteRef/>
      </w:r>
      <w:r w:rsidRPr="004A1B60">
        <w:t xml:space="preserve"> Zaveri, Mihir, </w:t>
      </w:r>
      <w:r w:rsidRPr="004A1B60">
        <w:rPr>
          <w:i/>
        </w:rPr>
        <w:t>To Improve Public Housing, New York City Moves to Tear It Down</w:t>
      </w:r>
      <w:r w:rsidRPr="004A1B60">
        <w:t xml:space="preserve">, </w:t>
      </w:r>
      <w:r w:rsidRPr="004A1B60">
        <w:rPr>
          <w:smallCaps/>
        </w:rPr>
        <w:t>N.Y. Times</w:t>
      </w:r>
      <w:r w:rsidRPr="004A1B60">
        <w:t xml:space="preserve">, 06/20/2023,  available at </w:t>
      </w:r>
      <w:hyperlink r:id="rId38" w:history="1">
        <w:r w:rsidRPr="004A1B60">
          <w:rPr>
            <w:rStyle w:val="Hyperlink"/>
            <w:color w:val="auto"/>
          </w:rPr>
          <w:t>https://www.nytimes.com/2023/06/20/nyregion/public-housing-demolish.html</w:t>
        </w:r>
      </w:hyperlink>
      <w:r w:rsidRPr="004A1B60">
        <w:t xml:space="preserve"> </w:t>
      </w:r>
    </w:p>
  </w:footnote>
  <w:footnote w:id="82">
    <w:p w14:paraId="0A817956" w14:textId="77777777" w:rsidR="005061D4" w:rsidRPr="004A1B60" w:rsidRDefault="005061D4">
      <w:pPr>
        <w:pStyle w:val="FootnoteText"/>
      </w:pPr>
      <w:r w:rsidRPr="004A1B60">
        <w:rPr>
          <w:rStyle w:val="FootnoteReference"/>
        </w:rPr>
        <w:footnoteRef/>
      </w:r>
      <w:r w:rsidRPr="004A1B60">
        <w:t xml:space="preserve"> </w:t>
      </w:r>
      <w:r w:rsidRPr="004A1B60">
        <w:rPr>
          <w:i/>
        </w:rPr>
        <w:t>Id.</w:t>
      </w:r>
      <w:r w:rsidRPr="004A1B60">
        <w:t xml:space="preserve"> </w:t>
      </w:r>
    </w:p>
  </w:footnote>
  <w:footnote w:id="83">
    <w:p w14:paraId="24189490" w14:textId="77777777" w:rsidR="005061D4" w:rsidRPr="004A1B60" w:rsidRDefault="005061D4">
      <w:pPr>
        <w:pStyle w:val="FootnoteText"/>
      </w:pPr>
      <w:r w:rsidRPr="004A1B60">
        <w:rPr>
          <w:rStyle w:val="FootnoteReference"/>
        </w:rPr>
        <w:footnoteRef/>
      </w:r>
      <w:r w:rsidRPr="004A1B60">
        <w:t xml:space="preserve"> </w:t>
      </w:r>
      <w:r w:rsidRPr="004A1B60">
        <w:rPr>
          <w:i/>
        </w:rPr>
        <w:t>Id.</w:t>
      </w:r>
      <w:r w:rsidRPr="004A1B60">
        <w:t xml:space="preserve"> </w:t>
      </w:r>
    </w:p>
  </w:footnote>
  <w:footnote w:id="84">
    <w:p w14:paraId="5E081441" w14:textId="390EC99F" w:rsidR="005061D4" w:rsidRPr="004A1B60" w:rsidRDefault="005061D4">
      <w:pPr>
        <w:pStyle w:val="FootnoteText"/>
      </w:pPr>
      <w:r w:rsidRPr="004A1B60">
        <w:rPr>
          <w:rStyle w:val="FootnoteReference"/>
        </w:rPr>
        <w:footnoteRef/>
      </w:r>
      <w:r w:rsidRPr="004A1B60">
        <w:t xml:space="preserve"> Girardin, Alessia, </w:t>
      </w:r>
      <w:r w:rsidRPr="004A1B60">
        <w:rPr>
          <w:i/>
        </w:rPr>
        <w:t>Legal Aid Society Demands NYCHA Halt $1.5B Plan to Demolish/Rebuild Chelsea-Elliot Houses</w:t>
      </w:r>
      <w:r w:rsidRPr="004A1B60">
        <w:t xml:space="preserve">, </w:t>
      </w:r>
      <w:r w:rsidRPr="004A1B60">
        <w:rPr>
          <w:smallCaps/>
        </w:rPr>
        <w:t>WestSideSpirit.com</w:t>
      </w:r>
      <w:r w:rsidRPr="004A1B60">
        <w:t xml:space="preserve">, 07/14/2023, </w:t>
      </w:r>
      <w:r w:rsidRPr="004A1B60">
        <w:rPr>
          <w:i/>
        </w:rPr>
        <w:t>available at</w:t>
      </w:r>
      <w:r w:rsidRPr="004A1B60">
        <w:t xml:space="preserve"> </w:t>
      </w:r>
      <w:hyperlink r:id="rId39" w:history="1">
        <w:r w:rsidRPr="004A1B60">
          <w:rPr>
            <w:rStyle w:val="Hyperlink"/>
            <w:color w:val="auto"/>
          </w:rPr>
          <w:t>https://www.westsidespirit.com/news/legal-aid-society-demands-nycha-halt-15b-plan-to-demolish-rebuild-chelsea-elliot-houses-YY2625010</w:t>
        </w:r>
      </w:hyperlink>
      <w:r w:rsidRPr="004A1B60">
        <w:t xml:space="preserve"> </w:t>
      </w:r>
    </w:p>
  </w:footnote>
  <w:footnote w:id="85">
    <w:p w14:paraId="76FDE770" w14:textId="0759AC76" w:rsidR="005061D4" w:rsidRPr="004A1B60" w:rsidRDefault="005061D4">
      <w:pPr>
        <w:pStyle w:val="FootnoteText"/>
      </w:pPr>
      <w:r w:rsidRPr="004A1B60">
        <w:rPr>
          <w:rStyle w:val="FootnoteReference"/>
        </w:rPr>
        <w:footnoteRef/>
      </w:r>
      <w:r w:rsidRPr="004A1B60">
        <w:t xml:space="preserve"> Related Companies, Residents and NYCHA announce plans for complete rebuilding of Fulton and Elliott-Chelsea Houses, 06/21/2023, available at </w:t>
      </w:r>
      <w:hyperlink r:id="rId40" w:history="1">
        <w:r w:rsidRPr="004A1B60">
          <w:rPr>
            <w:rStyle w:val="Hyperlink"/>
            <w:color w:val="auto"/>
          </w:rPr>
          <w:t>https://www.related.com/press-releases/2023-06-21/residents-and-nycha-announce-plans-complete-rebuilding-fulton-and-elliott</w:t>
        </w:r>
      </w:hyperlink>
      <w:r w:rsidRPr="004A1B60">
        <w:t xml:space="preserve">. </w:t>
      </w:r>
    </w:p>
  </w:footnote>
  <w:footnote w:id="86">
    <w:p w14:paraId="05A4AE20" w14:textId="1639DA3A" w:rsidR="005061D4" w:rsidRPr="004A1B60" w:rsidRDefault="005061D4">
      <w:pPr>
        <w:pStyle w:val="FootnoteText"/>
      </w:pPr>
      <w:r w:rsidRPr="004A1B60">
        <w:rPr>
          <w:rStyle w:val="FootnoteReference"/>
        </w:rPr>
        <w:footnoteRef/>
      </w:r>
      <w:r w:rsidRPr="004A1B60">
        <w:t xml:space="preserve"> Powerpoint presentation by NYCHA and Related Companies provided to Council on 07/12/2023. </w:t>
      </w:r>
    </w:p>
  </w:footnote>
  <w:footnote w:id="87">
    <w:p w14:paraId="19B8AD9C" w14:textId="77777777" w:rsidR="005061D4" w:rsidRPr="004A1B60" w:rsidRDefault="005061D4">
      <w:pPr>
        <w:pStyle w:val="FootnoteText"/>
      </w:pPr>
      <w:r w:rsidRPr="004A1B60">
        <w:rPr>
          <w:rStyle w:val="FootnoteReference"/>
        </w:rPr>
        <w:footnoteRef/>
      </w:r>
      <w:r w:rsidRPr="004A1B60">
        <w:t xml:space="preserve"> </w:t>
      </w:r>
      <w:r w:rsidRPr="004A1B60">
        <w:rPr>
          <w:i/>
        </w:rPr>
        <w:t>Id.</w:t>
      </w:r>
    </w:p>
  </w:footnote>
  <w:footnote w:id="88">
    <w:p w14:paraId="1CD96AE9" w14:textId="3C43B9F6" w:rsidR="005061D4" w:rsidRPr="004A1B60" w:rsidRDefault="005061D4" w:rsidP="000D0F29">
      <w:pPr>
        <w:pStyle w:val="FootnoteText"/>
      </w:pPr>
      <w:r w:rsidRPr="004A1B60">
        <w:rPr>
          <w:rStyle w:val="FootnoteReference"/>
        </w:rPr>
        <w:footnoteRef/>
      </w:r>
      <w:r w:rsidRPr="004A1B60">
        <w:t xml:space="preserve"> Chapter 225 of the laws of 2022 (S.9409-A/A.7805-D); New York City Public Housing Preservation Trust website, last accessed on 10/19/2023, available at </w:t>
      </w:r>
      <w:hyperlink r:id="rId41" w:history="1">
        <w:r w:rsidRPr="004A1B60">
          <w:rPr>
            <w:rStyle w:val="Hyperlink"/>
            <w:color w:val="auto"/>
          </w:rPr>
          <w:t>https://www.preservationtrust.org/</w:t>
        </w:r>
      </w:hyperlink>
      <w:r w:rsidRPr="004A1B60">
        <w:t>.</w:t>
      </w:r>
    </w:p>
  </w:footnote>
  <w:footnote w:id="89">
    <w:p w14:paraId="4A2E9680" w14:textId="1930271E" w:rsidR="005061D4" w:rsidRPr="004A1B60" w:rsidRDefault="005061D4">
      <w:pPr>
        <w:pStyle w:val="FootnoteText"/>
      </w:pPr>
      <w:r w:rsidRPr="004A1B60">
        <w:rPr>
          <w:rStyle w:val="FootnoteReference"/>
        </w:rPr>
        <w:footnoteRef/>
      </w:r>
      <w:r w:rsidRPr="004A1B60">
        <w:t xml:space="preserve"> New York City Public Housing Preservation Trust FAQ, last accessed on 10/19/2023, available at </w:t>
      </w:r>
      <w:hyperlink r:id="rId42" w:history="1">
        <w:r w:rsidRPr="004A1B60">
          <w:rPr>
            <w:rStyle w:val="Hyperlink"/>
            <w:color w:val="auto"/>
          </w:rPr>
          <w:t>https://www.nyc.gov/site/nycha/about/preservation-trust-faqs.page</w:t>
        </w:r>
      </w:hyperlink>
      <w:r w:rsidRPr="004A1B60">
        <w:t xml:space="preserve">.  </w:t>
      </w:r>
    </w:p>
  </w:footnote>
  <w:footnote w:id="90">
    <w:p w14:paraId="5BE72AC2" w14:textId="4BF1E491" w:rsidR="005061D4" w:rsidRPr="004A1B60" w:rsidRDefault="005061D4" w:rsidP="000D0F29">
      <w:pPr>
        <w:pStyle w:val="FootnoteText"/>
      </w:pPr>
      <w:r w:rsidRPr="004A1B60">
        <w:rPr>
          <w:rStyle w:val="FootnoteReference"/>
        </w:rPr>
        <w:footnoteRef/>
      </w:r>
      <w:r w:rsidRPr="004A1B60">
        <w:t xml:space="preserve"> </w:t>
      </w:r>
      <w:r w:rsidRPr="004A1B60">
        <w:rPr>
          <w:i/>
        </w:rPr>
        <w:t>Id.</w:t>
      </w:r>
    </w:p>
  </w:footnote>
  <w:footnote w:id="91">
    <w:p w14:paraId="4E604492" w14:textId="55212907" w:rsidR="005061D4" w:rsidRPr="004A1B60" w:rsidRDefault="005061D4" w:rsidP="000D0F29">
      <w:pPr>
        <w:pStyle w:val="FootnoteText"/>
        <w:rPr>
          <w:i/>
        </w:rPr>
      </w:pPr>
      <w:r w:rsidRPr="004A1B60">
        <w:rPr>
          <w:rStyle w:val="FootnoteReference"/>
        </w:rPr>
        <w:footnoteRef/>
      </w:r>
      <w:r w:rsidRPr="004A1B60">
        <w:t xml:space="preserve"> </w:t>
      </w:r>
      <w:r w:rsidRPr="004A1B60">
        <w:rPr>
          <w:i/>
        </w:rPr>
        <w:t>Id.</w:t>
      </w:r>
      <w:r w:rsidRPr="004A1B60">
        <w:t xml:space="preserve"> </w:t>
      </w:r>
    </w:p>
  </w:footnote>
  <w:footnote w:id="92">
    <w:p w14:paraId="5E3364B0" w14:textId="7299966C" w:rsidR="005061D4" w:rsidRPr="004A1B60" w:rsidRDefault="005061D4" w:rsidP="000D0F29">
      <w:pPr>
        <w:pStyle w:val="FootnoteText"/>
      </w:pPr>
      <w:r w:rsidRPr="004A1B60">
        <w:rPr>
          <w:rStyle w:val="FootnoteReference"/>
        </w:rPr>
        <w:footnoteRef/>
      </w:r>
      <w:r w:rsidRPr="004A1B60">
        <w:t xml:space="preserve"> </w:t>
      </w:r>
      <w:r w:rsidRPr="004A1B60">
        <w:rPr>
          <w:i/>
        </w:rPr>
        <w:t>Id.</w:t>
      </w:r>
    </w:p>
  </w:footnote>
  <w:footnote w:id="93">
    <w:p w14:paraId="1C9CE594" w14:textId="1C1DA98F" w:rsidR="005061D4" w:rsidRPr="004A1B60" w:rsidRDefault="005061D4">
      <w:pPr>
        <w:pStyle w:val="FootnoteText"/>
      </w:pPr>
      <w:r w:rsidRPr="004A1B60">
        <w:rPr>
          <w:rStyle w:val="FootnoteReference"/>
        </w:rPr>
        <w:footnoteRef/>
      </w:r>
      <w:r w:rsidRPr="004A1B60">
        <w:t xml:space="preserve"> </w:t>
      </w:r>
      <w:r w:rsidRPr="004A1B60">
        <w:rPr>
          <w:i/>
        </w:rPr>
        <w:t>Id.</w:t>
      </w:r>
      <w:r w:rsidRPr="004A1B60">
        <w:t xml:space="preserve"> </w:t>
      </w:r>
    </w:p>
  </w:footnote>
  <w:footnote w:id="94">
    <w:p w14:paraId="1E3C513C" w14:textId="20387C27" w:rsidR="005061D4" w:rsidRPr="004A1B60" w:rsidRDefault="005061D4">
      <w:pPr>
        <w:pStyle w:val="FootnoteText"/>
      </w:pPr>
      <w:r w:rsidRPr="004A1B60">
        <w:rPr>
          <w:rStyle w:val="FootnoteReference"/>
        </w:rPr>
        <w:footnoteRef/>
      </w:r>
      <w:r w:rsidRPr="004A1B60">
        <w:t xml:space="preserve"> </w:t>
      </w:r>
      <w:r w:rsidRPr="004A1B60">
        <w:rPr>
          <w:i/>
        </w:rPr>
        <w:t>Id.</w:t>
      </w:r>
    </w:p>
  </w:footnote>
  <w:footnote w:id="95">
    <w:p w14:paraId="74AA90FF" w14:textId="7B08D096" w:rsidR="005061D4" w:rsidRPr="004A1B60" w:rsidRDefault="005061D4" w:rsidP="000D0F29">
      <w:pPr>
        <w:pStyle w:val="FootnoteText"/>
      </w:pPr>
      <w:r w:rsidRPr="004A1B60">
        <w:rPr>
          <w:rStyle w:val="FootnoteReference"/>
        </w:rPr>
        <w:footnoteRef/>
      </w:r>
      <w:r w:rsidRPr="004A1B60">
        <w:t xml:space="preserve"> </w:t>
      </w:r>
      <w:r w:rsidR="00C368DD" w:rsidRPr="004A1B60">
        <w:t xml:space="preserve">Preservation Trust Final Voting Procedures, last accessed on 10/21, available at </w:t>
      </w:r>
      <w:hyperlink r:id="rId43" w:history="1">
        <w:r w:rsidRPr="004A1B60">
          <w:rPr>
            <w:rStyle w:val="Hyperlink"/>
            <w:color w:val="auto"/>
          </w:rPr>
          <w:t>https://www.nyc.gov/site/nycha/about/preservation-trust-final-voting-procedures.page</w:t>
        </w:r>
      </w:hyperlink>
      <w:r w:rsidRPr="004A1B60">
        <w:t xml:space="preserve">. </w:t>
      </w:r>
    </w:p>
  </w:footnote>
  <w:footnote w:id="96">
    <w:p w14:paraId="4A993A7D" w14:textId="24D0E987" w:rsidR="005061D4" w:rsidRPr="004A1B60" w:rsidRDefault="005061D4" w:rsidP="00AB680E">
      <w:pPr>
        <w:pStyle w:val="FootnoteText"/>
      </w:pPr>
      <w:r w:rsidRPr="004A1B60">
        <w:rPr>
          <w:rStyle w:val="FootnoteReference"/>
        </w:rPr>
        <w:footnoteRef/>
      </w:r>
      <w:r w:rsidRPr="004A1B60">
        <w:t xml:space="preserve"> </w:t>
      </w:r>
      <w:r w:rsidR="00C368DD" w:rsidRPr="004A1B60">
        <w:t xml:space="preserve">Mayor Adams, NYCHA Establish Public Housing Preservation Trust Board, Appoint Six Members, 05/05/2023, available at </w:t>
      </w:r>
      <w:hyperlink r:id="rId44" w:history="1">
        <w:r w:rsidRPr="004A1B60">
          <w:rPr>
            <w:rStyle w:val="Hyperlink"/>
            <w:color w:val="auto"/>
          </w:rPr>
          <w:t>https://www.nyc.gov/office-of-the-mayor/news/320-23/mayor-adams-nycha-establish-public-housing-preservation-trust-board-appoint-six-members</w:t>
        </w:r>
      </w:hyperlink>
      <w:r w:rsidR="00C368DD" w:rsidRPr="004A1B60">
        <w:t>.</w:t>
      </w:r>
      <w:r w:rsidRPr="004A1B60">
        <w:t xml:space="preserve"> </w:t>
      </w:r>
    </w:p>
  </w:footnote>
  <w:footnote w:id="97">
    <w:p w14:paraId="7064336B" w14:textId="0BB5647E" w:rsidR="00C368DD" w:rsidRPr="004A1B60" w:rsidRDefault="00C368DD">
      <w:pPr>
        <w:pStyle w:val="FootnoteText"/>
      </w:pPr>
      <w:r w:rsidRPr="004A1B60">
        <w:rPr>
          <w:rStyle w:val="FootnoteReference"/>
        </w:rPr>
        <w:footnoteRef/>
      </w:r>
      <w:r w:rsidRPr="004A1B60">
        <w:t xml:space="preserve"> </w:t>
      </w:r>
      <w:r w:rsidRPr="004A1B60">
        <w:rPr>
          <w:i/>
        </w:rPr>
        <w:t>Id.</w:t>
      </w:r>
    </w:p>
  </w:footnote>
  <w:footnote w:id="98">
    <w:p w14:paraId="4F4138F3" w14:textId="7D9BA460" w:rsidR="005061D4" w:rsidRPr="004A1B60" w:rsidRDefault="005061D4">
      <w:pPr>
        <w:pStyle w:val="FootnoteText"/>
      </w:pPr>
      <w:r w:rsidRPr="004A1B60">
        <w:rPr>
          <w:rStyle w:val="FootnoteReference"/>
        </w:rPr>
        <w:footnoteRef/>
      </w:r>
      <w:r w:rsidRPr="004A1B60">
        <w:t xml:space="preserve"> </w:t>
      </w:r>
      <w:r w:rsidR="00C368DD" w:rsidRPr="004A1B60">
        <w:t xml:space="preserve">NYCHA Journal, New York City Public Housing Preservation Trust Names Vlada Kenniff as First President, 09/08/2023, available at </w:t>
      </w:r>
      <w:hyperlink r:id="rId45" w:history="1">
        <w:r w:rsidRPr="004A1B60">
          <w:rPr>
            <w:rStyle w:val="Hyperlink"/>
            <w:color w:val="auto"/>
          </w:rPr>
          <w:t>https://nychajournal.nyc/public-housing-preservation-trust-first-president/</w:t>
        </w:r>
      </w:hyperlink>
      <w:r w:rsidR="00C368DD" w:rsidRPr="004A1B60">
        <w:rPr>
          <w:rStyle w:val="Hyperlink"/>
          <w:color w:val="auto"/>
        </w:rPr>
        <w:t>.</w:t>
      </w:r>
      <w:r w:rsidRPr="004A1B60">
        <w:t xml:space="preserve"> </w:t>
      </w:r>
    </w:p>
  </w:footnote>
  <w:footnote w:id="99">
    <w:p w14:paraId="4E47B5EB" w14:textId="60698FB1" w:rsidR="005061D4" w:rsidRPr="004A1B60" w:rsidRDefault="005061D4" w:rsidP="000D0F29">
      <w:pPr>
        <w:pStyle w:val="FootnoteText"/>
      </w:pPr>
      <w:r w:rsidRPr="004A1B60">
        <w:rPr>
          <w:rStyle w:val="FootnoteReference"/>
        </w:rPr>
        <w:footnoteRef/>
      </w:r>
      <w:r w:rsidRPr="004A1B60">
        <w:t xml:space="preserve"> </w:t>
      </w:r>
      <w:r w:rsidR="00C368DD" w:rsidRPr="004A1B60">
        <w:t xml:space="preserve">NYCHA Publishes Final Voting Procedures for Public Housing Preservation Trust, 12/12/2022, available at </w:t>
      </w:r>
      <w:hyperlink r:id="rId46" w:history="1">
        <w:r w:rsidRPr="004A1B60">
          <w:rPr>
            <w:rStyle w:val="Hyperlink"/>
            <w:color w:val="auto"/>
          </w:rPr>
          <w:t>https://www.nyc.gov/site/nycha/about/press/pr-2022/pr-20221212.page</w:t>
        </w:r>
      </w:hyperlink>
      <w:r w:rsidRPr="004A1B60">
        <w:t xml:space="preserve">. </w:t>
      </w:r>
    </w:p>
  </w:footnote>
  <w:footnote w:id="100">
    <w:p w14:paraId="301AE76B" w14:textId="2D6550D8" w:rsidR="005061D4" w:rsidRPr="004A1B60" w:rsidRDefault="005061D4" w:rsidP="000D0F29">
      <w:pPr>
        <w:pStyle w:val="FootnoteText"/>
      </w:pPr>
      <w:r w:rsidRPr="004A1B60">
        <w:rPr>
          <w:rStyle w:val="FootnoteReference"/>
        </w:rPr>
        <w:footnoteRef/>
      </w:r>
      <w:r w:rsidRPr="004A1B60">
        <w:t xml:space="preserve"> </w:t>
      </w:r>
      <w:r w:rsidR="00C368DD" w:rsidRPr="004A1B60">
        <w:rPr>
          <w:i/>
        </w:rPr>
        <w:t>Id</w:t>
      </w:r>
      <w:hyperlink w:history="1"/>
      <w:r w:rsidRPr="004A1B60">
        <w:rPr>
          <w:i/>
        </w:rPr>
        <w:t>.</w:t>
      </w:r>
      <w:r w:rsidRPr="004A1B60">
        <w:t xml:space="preserve"> </w:t>
      </w:r>
    </w:p>
  </w:footnote>
  <w:footnote w:id="101">
    <w:p w14:paraId="132CAEB1" w14:textId="583EA5DA" w:rsidR="005061D4" w:rsidRPr="004A1B60" w:rsidRDefault="005061D4" w:rsidP="000D0F29">
      <w:pPr>
        <w:pStyle w:val="FootnoteText"/>
      </w:pPr>
      <w:r w:rsidRPr="004A1B60">
        <w:rPr>
          <w:rStyle w:val="FootnoteReference"/>
        </w:rPr>
        <w:footnoteRef/>
      </w:r>
      <w:r w:rsidR="00C368DD" w:rsidRPr="004A1B60">
        <w:t xml:space="preserve"> New York City Housing Preservation Trust Final Voting Procedures, Winter 2023, available at </w:t>
      </w:r>
      <w:hyperlink r:id="rId47" w:history="1">
        <w:r w:rsidRPr="004A1B60">
          <w:rPr>
            <w:rStyle w:val="Hyperlink"/>
            <w:color w:val="auto"/>
          </w:rPr>
          <w:t>https://www.nyc.gov/assets/manhattancb3/downloads/calendar/2023/NYCHA_Trust_Final_Voting_Procedures_Winter_2023.pdf</w:t>
        </w:r>
      </w:hyperlink>
      <w:r w:rsidRPr="004A1B60">
        <w:t xml:space="preserve">. </w:t>
      </w:r>
    </w:p>
  </w:footnote>
  <w:footnote w:id="102">
    <w:p w14:paraId="516AAD77" w14:textId="2CD40A70" w:rsidR="00C368DD" w:rsidRPr="004A1B60" w:rsidRDefault="00C368DD">
      <w:pPr>
        <w:pStyle w:val="FootnoteText"/>
      </w:pPr>
      <w:r w:rsidRPr="004A1B60">
        <w:rPr>
          <w:rStyle w:val="FootnoteReference"/>
        </w:rPr>
        <w:footnoteRef/>
      </w:r>
      <w:r w:rsidRPr="004A1B60">
        <w:t xml:space="preserve"> </w:t>
      </w:r>
      <w:r w:rsidR="00561461" w:rsidRPr="004A1B60">
        <w:rPr>
          <w:i/>
        </w:rPr>
        <w:t>Id</w:t>
      </w:r>
      <w:hyperlink w:history="1"/>
      <w:r w:rsidR="00561461" w:rsidRPr="004A1B60">
        <w:rPr>
          <w:i/>
        </w:rPr>
        <w:t>.</w:t>
      </w:r>
      <w:r w:rsidR="00561461" w:rsidRPr="004A1B60">
        <w:t xml:space="preserve"> </w:t>
      </w:r>
      <w:hyperlink w:history="1"/>
    </w:p>
  </w:footnote>
  <w:footnote w:id="103">
    <w:p w14:paraId="06C185DF" w14:textId="7ED483BB" w:rsidR="00561461" w:rsidRPr="004A1B60" w:rsidRDefault="00561461">
      <w:pPr>
        <w:pStyle w:val="FootnoteText"/>
      </w:pPr>
      <w:r w:rsidRPr="004A1B60">
        <w:rPr>
          <w:rStyle w:val="FootnoteReference"/>
        </w:rPr>
        <w:footnoteRef/>
      </w:r>
      <w:r w:rsidRPr="004A1B60">
        <w:t xml:space="preserve"> </w:t>
      </w:r>
      <w:r w:rsidRPr="004A1B60">
        <w:rPr>
          <w:i/>
        </w:rPr>
        <w:t>Id</w:t>
      </w:r>
      <w:hyperlink w:history="1"/>
      <w:r w:rsidRPr="004A1B60">
        <w:rPr>
          <w:i/>
        </w:rPr>
        <w:t>.</w:t>
      </w:r>
    </w:p>
  </w:footnote>
  <w:footnote w:id="104">
    <w:p w14:paraId="0C0D484D" w14:textId="16157110" w:rsidR="00C368DD" w:rsidRPr="004A1B60" w:rsidRDefault="00C368DD">
      <w:pPr>
        <w:pStyle w:val="FootnoteText"/>
      </w:pPr>
      <w:r w:rsidRPr="004A1B60">
        <w:rPr>
          <w:rStyle w:val="FootnoteReference"/>
        </w:rPr>
        <w:footnoteRef/>
      </w:r>
      <w:r w:rsidRPr="004A1B60">
        <w:t xml:space="preserve"> </w:t>
      </w:r>
      <w:r w:rsidRPr="004A1B60">
        <w:rPr>
          <w:i/>
        </w:rPr>
        <w:t>Id.</w:t>
      </w:r>
    </w:p>
  </w:footnote>
  <w:footnote w:id="105">
    <w:p w14:paraId="7A2C0473" w14:textId="1878C42E" w:rsidR="005061D4" w:rsidRPr="004A1B60" w:rsidRDefault="005061D4" w:rsidP="00052806">
      <w:pPr>
        <w:pStyle w:val="FootnoteText"/>
      </w:pPr>
      <w:r w:rsidRPr="004A1B60">
        <w:rPr>
          <w:rStyle w:val="FootnoteReference"/>
        </w:rPr>
        <w:footnoteRef/>
      </w:r>
      <w:r w:rsidRPr="004A1B60">
        <w:t xml:space="preserve"> </w:t>
      </w:r>
      <w:r w:rsidR="00C368DD" w:rsidRPr="004A1B60">
        <w:rPr>
          <w:i/>
        </w:rPr>
        <w:t>Id</w:t>
      </w:r>
      <w:r w:rsidRPr="004A1B60">
        <w:rPr>
          <w:i/>
        </w:rPr>
        <w:t>.</w:t>
      </w:r>
      <w:r w:rsidRPr="004A1B60">
        <w:t xml:space="preserve"> </w:t>
      </w:r>
    </w:p>
  </w:footnote>
  <w:footnote w:id="106">
    <w:p w14:paraId="1A7566D4" w14:textId="63450921" w:rsidR="00C368DD" w:rsidRPr="004A1B60" w:rsidRDefault="00C368DD">
      <w:pPr>
        <w:pStyle w:val="FootnoteText"/>
      </w:pPr>
      <w:r w:rsidRPr="004A1B60">
        <w:rPr>
          <w:rStyle w:val="FootnoteReference"/>
        </w:rPr>
        <w:footnoteRef/>
      </w:r>
      <w:r w:rsidRPr="004A1B60">
        <w:t xml:space="preserve"> New York City Housing Preservation Trust Final Voting Procedures, Winter 2023, available at </w:t>
      </w:r>
      <w:hyperlink r:id="rId48" w:history="1">
        <w:r w:rsidRPr="004A1B60">
          <w:rPr>
            <w:rStyle w:val="Hyperlink"/>
            <w:color w:val="auto"/>
          </w:rPr>
          <w:t>https://www.nyc.gov/assets/manhattancb3/downloads/calendar/2023/NYCHA_Trust_Final_Voting_Procedures_Winter_2023.pdf</w:t>
        </w:r>
      </w:hyperlink>
      <w:r w:rsidRPr="004A1B60">
        <w:t>.</w:t>
      </w:r>
    </w:p>
  </w:footnote>
  <w:footnote w:id="107">
    <w:p w14:paraId="648C9D14" w14:textId="32FC9E22" w:rsidR="005061D4" w:rsidRPr="004A1B60" w:rsidRDefault="005061D4" w:rsidP="000D0F29">
      <w:pPr>
        <w:pStyle w:val="FootnoteText"/>
      </w:pPr>
      <w:r w:rsidRPr="004A1B60">
        <w:rPr>
          <w:rStyle w:val="FootnoteReference"/>
        </w:rPr>
        <w:footnoteRef/>
      </w:r>
      <w:r w:rsidRPr="004A1B60">
        <w:t xml:space="preserve"> </w:t>
      </w:r>
      <w:r w:rsidR="007810D3" w:rsidRPr="004A1B60">
        <w:t xml:space="preserve">Mayor Adams, NYCHA Kick Off Process to Unlock Billions for NYCHA Repairs with Groundbreaking First Resident Vote for Public Housing Preservation Trust at Nostrand Houses, 08/01/2023, available at </w:t>
      </w:r>
      <w:hyperlink r:id="rId49" w:anchor="/0" w:history="1">
        <w:r w:rsidRPr="004A1B60">
          <w:rPr>
            <w:rStyle w:val="Hyperlink"/>
            <w:color w:val="auto"/>
          </w:rPr>
          <w:t>https://www.nyc.gov/office-of-the-mayor/news/559-23/mayor-adams-nycha-kick-off-process-unlock-billions-nycha-repairs-groundbreaking-first#/0</w:t>
        </w:r>
      </w:hyperlink>
      <w:r w:rsidR="007810D3" w:rsidRPr="004A1B60">
        <w:t>.</w:t>
      </w:r>
    </w:p>
  </w:footnote>
  <w:footnote w:id="108">
    <w:p w14:paraId="0172ED6C" w14:textId="77777777" w:rsidR="005061D4" w:rsidRPr="004A1B60" w:rsidRDefault="005061D4" w:rsidP="000D0F29">
      <w:pPr>
        <w:pStyle w:val="FootnoteText"/>
      </w:pPr>
      <w:r w:rsidRPr="004A1B60">
        <w:rPr>
          <w:rStyle w:val="FootnoteReference"/>
        </w:rPr>
        <w:footnoteRef/>
      </w:r>
      <w:r w:rsidRPr="004A1B60">
        <w:t xml:space="preserve"> </w:t>
      </w:r>
      <w:r w:rsidRPr="004A1B60">
        <w:rPr>
          <w:i/>
        </w:rPr>
        <w:t>Id.</w:t>
      </w:r>
    </w:p>
  </w:footnote>
  <w:footnote w:id="109">
    <w:p w14:paraId="310B03F4" w14:textId="427B2FF3" w:rsidR="005061D4" w:rsidRPr="004A1B60" w:rsidRDefault="005061D4" w:rsidP="000D0F29">
      <w:pPr>
        <w:pStyle w:val="FootnoteText"/>
      </w:pPr>
      <w:r w:rsidRPr="004A1B60">
        <w:rPr>
          <w:rStyle w:val="FootnoteReference"/>
        </w:rPr>
        <w:footnoteRef/>
      </w:r>
      <w:r w:rsidRPr="004A1B60">
        <w:t xml:space="preserve"> </w:t>
      </w:r>
      <w:r w:rsidR="007810D3" w:rsidRPr="004A1B60">
        <w:t xml:space="preserve">Smith, Greg, Promised NYCHA Turnaround Trust Has No Board and Late Start, The City, 03/07/2023, available at </w:t>
      </w:r>
      <w:hyperlink r:id="rId50" w:history="1">
        <w:r w:rsidRPr="004A1B60">
          <w:rPr>
            <w:rStyle w:val="Hyperlink"/>
            <w:color w:val="auto"/>
          </w:rPr>
          <w:t>https://www.thecity.nyc/2023/03/07/nycha-preservation-trust-vote-schedule-board/</w:t>
        </w:r>
      </w:hyperlink>
      <w:r w:rsidRPr="004A1B60">
        <w:t xml:space="preserve"> </w:t>
      </w:r>
      <w:r w:rsidR="007810D3" w:rsidRPr="004A1B60">
        <w:t xml:space="preserve">and Balk, Tim, NYCHA opens comment period on voting plan for funding stream, New York Daily News, 10/14/2022, available at </w:t>
      </w:r>
      <w:hyperlink r:id="rId51" w:history="1">
        <w:r w:rsidRPr="004A1B60">
          <w:rPr>
            <w:rStyle w:val="Hyperlink"/>
            <w:color w:val="auto"/>
          </w:rPr>
          <w:t>https://www.nydailynews.com/2022/10/14/nycha-opens-comment-period-on-voting-plan-for-funding-stream/</w:t>
        </w:r>
      </w:hyperlink>
      <w:r w:rsidRPr="004A1B60">
        <w:t xml:space="preserve">. </w:t>
      </w:r>
    </w:p>
  </w:footnote>
  <w:footnote w:id="110">
    <w:p w14:paraId="1EEAFC5E" w14:textId="204B5BF0" w:rsidR="005061D4" w:rsidRPr="004A1B60" w:rsidRDefault="005061D4">
      <w:pPr>
        <w:pStyle w:val="FootnoteText"/>
      </w:pPr>
      <w:r w:rsidRPr="004A1B60">
        <w:rPr>
          <w:rStyle w:val="FootnoteReference"/>
        </w:rPr>
        <w:footnoteRef/>
      </w:r>
      <w:r w:rsidRPr="004A1B60">
        <w:t xml:space="preserve"> </w:t>
      </w:r>
      <w:r w:rsidR="007810D3" w:rsidRPr="004A1B60">
        <w:t xml:space="preserve">Marquis Jenkins, James Rodriguez &amp; Aixa Torres, Opinion: NYCHA’s ‘Public Housing Preservation Trust’ Is A Farce of Resident Engagement, CityLimits, 06/22/2022, available at </w:t>
      </w:r>
      <w:hyperlink r:id="rId52" w:history="1">
        <w:r w:rsidRPr="004A1B60">
          <w:rPr>
            <w:rStyle w:val="Hyperlink"/>
            <w:color w:val="auto"/>
          </w:rPr>
          <w:t>https://citylimits.org/2022/06/22/opinion-nychas-public-housing-preservation-trust-is-a-farce-of-resident-engagement/</w:t>
        </w:r>
      </w:hyperlink>
      <w:r w:rsidR="007810D3" w:rsidRPr="004A1B60">
        <w:rPr>
          <w:rStyle w:val="Hyperlink"/>
          <w:color w:val="auto"/>
        </w:rPr>
        <w:t>.</w:t>
      </w:r>
    </w:p>
  </w:footnote>
  <w:footnote w:id="111">
    <w:p w14:paraId="7C8312E5" w14:textId="0612DB03" w:rsidR="005061D4" w:rsidRPr="004A1B60" w:rsidRDefault="005061D4" w:rsidP="00581409">
      <w:pPr>
        <w:pStyle w:val="FootnoteText"/>
      </w:pPr>
      <w:r w:rsidRPr="004A1B60">
        <w:rPr>
          <w:rStyle w:val="FootnoteReference"/>
        </w:rPr>
        <w:footnoteRef/>
      </w:r>
      <w:r w:rsidRPr="004A1B60">
        <w:t xml:space="preserve"> </w:t>
      </w:r>
      <w:r w:rsidR="007810D3" w:rsidRPr="004A1B60">
        <w:t xml:space="preserve">Marquis Jenkins, James Rodriguez &amp; Aixa Torres, Opinion: NYCHA’s ‘Public Housing Preservation Trust’ Is A Farce of Resident Engagement, CityLimits, 06/22/2022, available at </w:t>
      </w:r>
      <w:hyperlink r:id="rId53" w:history="1">
        <w:r w:rsidR="007810D3" w:rsidRPr="004A1B60">
          <w:rPr>
            <w:rStyle w:val="Hyperlink"/>
            <w:color w:val="auto"/>
          </w:rPr>
          <w:t>https://citylimits.org/2022/06/22/opinion-nychas-public-housing-preservation-trust-is-a-farce-of-resident-engagement/</w:t>
        </w:r>
      </w:hyperlink>
      <w:r w:rsidR="007810D3" w:rsidRPr="004A1B60">
        <w:rPr>
          <w:rStyle w:val="Hyperlink"/>
          <w:color w:val="auto"/>
        </w:rPr>
        <w:t>.</w:t>
      </w:r>
    </w:p>
  </w:footnote>
  <w:footnote w:id="112">
    <w:p w14:paraId="3055183F" w14:textId="155B7B2B" w:rsidR="005061D4" w:rsidRPr="004A1B60" w:rsidRDefault="005061D4" w:rsidP="000D0F29">
      <w:pPr>
        <w:pStyle w:val="FootnoteText"/>
      </w:pPr>
      <w:r w:rsidRPr="004A1B60">
        <w:rPr>
          <w:rStyle w:val="FootnoteReference"/>
        </w:rPr>
        <w:footnoteRef/>
      </w:r>
      <w:r w:rsidRPr="004A1B60">
        <w:t xml:space="preserve"> </w:t>
      </w:r>
      <w:r w:rsidR="007810D3" w:rsidRPr="004A1B60">
        <w:t xml:space="preserve">New York City Independent Budget Office, Money for NYCHA? Examining the Public Housing Preservation Trust &amp; Other Strategies in NYCHA’s Blueprint for Change, February 2023, available at </w:t>
      </w:r>
      <w:hyperlink r:id="rId54" w:history="1">
        <w:r w:rsidRPr="004A1B60">
          <w:rPr>
            <w:rStyle w:val="Hyperlink"/>
            <w:color w:val="auto"/>
          </w:rPr>
          <w:t>https://www.ibo.nyc.ny.us/iboreports/money-for-nycha-examining-the-public-housing-preservation-trust-and-other-strategies-in-nychas-blueprint-for-change-february-2023.pdf</w:t>
        </w:r>
      </w:hyperlink>
      <w:r w:rsidRPr="004A1B60">
        <w:rPr>
          <w:i/>
        </w:rPr>
        <w:t xml:space="preserve">. </w:t>
      </w:r>
      <w:r w:rsidRPr="004A1B60">
        <w:t xml:space="preserve"> </w:t>
      </w:r>
    </w:p>
  </w:footnote>
  <w:footnote w:id="113">
    <w:p w14:paraId="4B90089B" w14:textId="77777777" w:rsidR="005061D4" w:rsidRPr="004A1B60" w:rsidRDefault="005061D4" w:rsidP="000D0F29">
      <w:pPr>
        <w:pStyle w:val="FootnoteText"/>
      </w:pPr>
      <w:r w:rsidRPr="004A1B60">
        <w:rPr>
          <w:rStyle w:val="FootnoteReference"/>
        </w:rPr>
        <w:footnoteRef/>
      </w:r>
      <w:r w:rsidRPr="004A1B60">
        <w:t xml:space="preserve"> </w:t>
      </w:r>
      <w:r w:rsidRPr="004A1B60">
        <w:rPr>
          <w:i/>
        </w:rPr>
        <w:t>Id.</w:t>
      </w:r>
    </w:p>
  </w:footnote>
  <w:footnote w:id="114">
    <w:p w14:paraId="6FA71116" w14:textId="77777777" w:rsidR="005061D4" w:rsidRPr="004A1B60" w:rsidRDefault="005061D4" w:rsidP="000D0F29">
      <w:pPr>
        <w:pStyle w:val="FootnoteText"/>
      </w:pPr>
      <w:r w:rsidRPr="004A1B60">
        <w:rPr>
          <w:rStyle w:val="FootnoteReference"/>
        </w:rPr>
        <w:footnoteRef/>
      </w:r>
      <w:r w:rsidRPr="004A1B60">
        <w:t xml:space="preserve"> </w:t>
      </w:r>
      <w:r w:rsidRPr="004A1B60">
        <w:rPr>
          <w:i/>
        </w:rPr>
        <w:t>Id.</w:t>
      </w:r>
    </w:p>
  </w:footnote>
  <w:footnote w:id="115">
    <w:p w14:paraId="77477B5D" w14:textId="77777777" w:rsidR="005061D4" w:rsidRPr="004A1B60" w:rsidRDefault="005061D4" w:rsidP="000D0F29">
      <w:pPr>
        <w:pStyle w:val="FootnoteText"/>
      </w:pPr>
      <w:r w:rsidRPr="004A1B60">
        <w:rPr>
          <w:rStyle w:val="FootnoteReference"/>
        </w:rPr>
        <w:footnoteRef/>
      </w:r>
      <w:r w:rsidRPr="004A1B60">
        <w:t xml:space="preserve"> </w:t>
      </w:r>
      <w:r w:rsidRPr="004A1B60">
        <w:rPr>
          <w:i/>
        </w:rPr>
        <w:t>Id.</w:t>
      </w:r>
    </w:p>
  </w:footnote>
  <w:footnote w:id="116">
    <w:p w14:paraId="0C54A117" w14:textId="5F5DAB96" w:rsidR="005061D4" w:rsidRPr="004A1B60" w:rsidRDefault="005061D4" w:rsidP="00CE70C1">
      <w:pPr>
        <w:pStyle w:val="FootnoteText"/>
      </w:pPr>
      <w:r w:rsidRPr="004A1B60">
        <w:rPr>
          <w:rStyle w:val="FootnoteReference"/>
        </w:rPr>
        <w:footnoteRef/>
      </w:r>
      <w:r w:rsidRPr="004A1B60">
        <w:t xml:space="preserve"> </w:t>
      </w:r>
      <w:r w:rsidR="007810D3" w:rsidRPr="004A1B60">
        <w:t xml:space="preserve">Brand, David, Under New Election Rules, 20% of Households Could Determine Fate of NYCHA Developments, 12/12/2022, available at </w:t>
      </w:r>
      <w:hyperlink r:id="rId55" w:history="1">
        <w:r w:rsidRPr="004A1B60">
          <w:rPr>
            <w:rStyle w:val="Hyperlink"/>
            <w:color w:val="auto"/>
          </w:rPr>
          <w:t>https://citylimits.org/2022/12/12/under-new-election-rules-20-of-residents-could-determine-fate-of-nycha-developments/</w:t>
        </w:r>
      </w:hyperlink>
      <w:r w:rsidRPr="004A1B60">
        <w:t xml:space="preserve">. </w:t>
      </w:r>
    </w:p>
  </w:footnote>
  <w:footnote w:id="117">
    <w:p w14:paraId="25B49E0A" w14:textId="1C68A6E2" w:rsidR="005061D4" w:rsidRPr="004A1B60" w:rsidRDefault="005061D4" w:rsidP="000D0F29">
      <w:pPr>
        <w:pStyle w:val="FootnoteText"/>
      </w:pPr>
      <w:r w:rsidRPr="004A1B60">
        <w:rPr>
          <w:rStyle w:val="FootnoteReference"/>
        </w:rPr>
        <w:footnoteRef/>
      </w:r>
      <w:r w:rsidRPr="004A1B60">
        <w:t xml:space="preserve"> </w:t>
      </w:r>
      <w:r w:rsidR="007810D3" w:rsidRPr="004A1B60">
        <w:t xml:space="preserve">Smith, Greg, Promised NYCHA Turnaround Trust Has No Board and Late Start, The City, 03/07/2023, available at </w:t>
      </w:r>
      <w:hyperlink r:id="rId56" w:history="1">
        <w:r w:rsidR="007810D3" w:rsidRPr="004A1B60">
          <w:rPr>
            <w:rStyle w:val="Hyperlink"/>
            <w:color w:val="auto"/>
          </w:rPr>
          <w:t>https://www.thecity.nyc/2023/03/07/nycha-preservation-trust-vote-schedule-board/</w:t>
        </w:r>
      </w:hyperlink>
      <w:r w:rsidR="007810D3" w:rsidRPr="004A1B60">
        <w:rPr>
          <w:rStyle w:val="Hyperlink"/>
          <w:color w:val="aut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724A9"/>
    <w:multiLevelType w:val="multilevel"/>
    <w:tmpl w:val="41B29F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22437"/>
    <w:multiLevelType w:val="multilevel"/>
    <w:tmpl w:val="F34A10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B024214"/>
    <w:multiLevelType w:val="hybridMultilevel"/>
    <w:tmpl w:val="F91A1E3C"/>
    <w:lvl w:ilvl="0" w:tplc="98E8A07A">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85086"/>
    <w:multiLevelType w:val="multilevel"/>
    <w:tmpl w:val="E23814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8028D3"/>
    <w:multiLevelType w:val="multilevel"/>
    <w:tmpl w:val="BEFC4D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F8604A0"/>
    <w:multiLevelType w:val="multilevel"/>
    <w:tmpl w:val="2A963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E27E1"/>
    <w:multiLevelType w:val="multilevel"/>
    <w:tmpl w:val="1D5CB2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AD0CBF"/>
    <w:multiLevelType w:val="multilevel"/>
    <w:tmpl w:val="6674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0B28BB"/>
    <w:multiLevelType w:val="multilevel"/>
    <w:tmpl w:val="A6D000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53A2607"/>
    <w:multiLevelType w:val="multilevel"/>
    <w:tmpl w:val="22383B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7E67788"/>
    <w:multiLevelType w:val="multilevel"/>
    <w:tmpl w:val="FA902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9B0170"/>
    <w:multiLevelType w:val="multilevel"/>
    <w:tmpl w:val="871E0C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D77A5"/>
    <w:multiLevelType w:val="hybridMultilevel"/>
    <w:tmpl w:val="7898BE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4AB710A"/>
    <w:multiLevelType w:val="multilevel"/>
    <w:tmpl w:val="D49CF5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A3D2905"/>
    <w:multiLevelType w:val="multilevel"/>
    <w:tmpl w:val="9BACB0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EC27E3"/>
    <w:multiLevelType w:val="multilevel"/>
    <w:tmpl w:val="F5A6A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C4A57C7"/>
    <w:multiLevelType w:val="multilevel"/>
    <w:tmpl w:val="6D54CE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8C3AA4"/>
    <w:multiLevelType w:val="hybridMultilevel"/>
    <w:tmpl w:val="280EF95A"/>
    <w:lvl w:ilvl="0" w:tplc="D6006186">
      <w:start w:val="19"/>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864A2C"/>
    <w:multiLevelType w:val="multilevel"/>
    <w:tmpl w:val="56E8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36300A"/>
    <w:multiLevelType w:val="multilevel"/>
    <w:tmpl w:val="79D2D9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E686BEA"/>
    <w:multiLevelType w:val="multilevel"/>
    <w:tmpl w:val="7A7094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0315F1"/>
    <w:multiLevelType w:val="multilevel"/>
    <w:tmpl w:val="E12C01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2"/>
  </w:num>
  <w:num w:numId="2">
    <w:abstractNumId w:val="2"/>
  </w:num>
  <w:num w:numId="3">
    <w:abstractNumId w:val="9"/>
  </w:num>
  <w:num w:numId="4">
    <w:abstractNumId w:val="15"/>
  </w:num>
  <w:num w:numId="5">
    <w:abstractNumId w:val="3"/>
  </w:num>
  <w:num w:numId="6">
    <w:abstractNumId w:val="19"/>
  </w:num>
  <w:num w:numId="7">
    <w:abstractNumId w:val="6"/>
  </w:num>
  <w:num w:numId="8">
    <w:abstractNumId w:val="7"/>
  </w:num>
  <w:num w:numId="9">
    <w:abstractNumId w:val="8"/>
  </w:num>
  <w:num w:numId="10">
    <w:abstractNumId w:val="18"/>
  </w:num>
  <w:num w:numId="11">
    <w:abstractNumId w:val="1"/>
  </w:num>
  <w:num w:numId="12">
    <w:abstractNumId w:val="11"/>
  </w:num>
  <w:num w:numId="13">
    <w:abstractNumId w:val="14"/>
  </w:num>
  <w:num w:numId="14">
    <w:abstractNumId w:val="21"/>
  </w:num>
  <w:num w:numId="15">
    <w:abstractNumId w:val="16"/>
  </w:num>
  <w:num w:numId="16">
    <w:abstractNumId w:val="13"/>
  </w:num>
  <w:num w:numId="17">
    <w:abstractNumId w:val="0"/>
  </w:num>
  <w:num w:numId="18">
    <w:abstractNumId w:val="4"/>
  </w:num>
  <w:num w:numId="19">
    <w:abstractNumId w:val="20"/>
  </w:num>
  <w:num w:numId="20">
    <w:abstractNumId w:val="17"/>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1C"/>
    <w:rsid w:val="00007B8F"/>
    <w:rsid w:val="00042109"/>
    <w:rsid w:val="00052806"/>
    <w:rsid w:val="000624F4"/>
    <w:rsid w:val="00070169"/>
    <w:rsid w:val="00073A6A"/>
    <w:rsid w:val="000900E4"/>
    <w:rsid w:val="000D0F29"/>
    <w:rsid w:val="000D70BB"/>
    <w:rsid w:val="00157F9C"/>
    <w:rsid w:val="00167968"/>
    <w:rsid w:val="00172B84"/>
    <w:rsid w:val="00175663"/>
    <w:rsid w:val="00184B59"/>
    <w:rsid w:val="001B6F79"/>
    <w:rsid w:val="001C175A"/>
    <w:rsid w:val="00212E35"/>
    <w:rsid w:val="00233173"/>
    <w:rsid w:val="002739A8"/>
    <w:rsid w:val="002764ED"/>
    <w:rsid w:val="002869AA"/>
    <w:rsid w:val="002C5F65"/>
    <w:rsid w:val="00301C3F"/>
    <w:rsid w:val="00303297"/>
    <w:rsid w:val="00303678"/>
    <w:rsid w:val="003058FA"/>
    <w:rsid w:val="003459CE"/>
    <w:rsid w:val="0037620B"/>
    <w:rsid w:val="003B2EE1"/>
    <w:rsid w:val="003B63A5"/>
    <w:rsid w:val="003E7336"/>
    <w:rsid w:val="00417A87"/>
    <w:rsid w:val="004579FE"/>
    <w:rsid w:val="0046252A"/>
    <w:rsid w:val="004844C6"/>
    <w:rsid w:val="004A1B60"/>
    <w:rsid w:val="004A744F"/>
    <w:rsid w:val="004B4166"/>
    <w:rsid w:val="004C7920"/>
    <w:rsid w:val="004E10A0"/>
    <w:rsid w:val="004E25AD"/>
    <w:rsid w:val="004F5906"/>
    <w:rsid w:val="005061D4"/>
    <w:rsid w:val="005427D0"/>
    <w:rsid w:val="0054548C"/>
    <w:rsid w:val="0055015A"/>
    <w:rsid w:val="00561461"/>
    <w:rsid w:val="00566B3D"/>
    <w:rsid w:val="00574B97"/>
    <w:rsid w:val="00581409"/>
    <w:rsid w:val="00587E2B"/>
    <w:rsid w:val="005907DF"/>
    <w:rsid w:val="005D03EA"/>
    <w:rsid w:val="005D48A9"/>
    <w:rsid w:val="005F4527"/>
    <w:rsid w:val="00610290"/>
    <w:rsid w:val="0061101C"/>
    <w:rsid w:val="00612C8E"/>
    <w:rsid w:val="0063161E"/>
    <w:rsid w:val="00645757"/>
    <w:rsid w:val="00661A0E"/>
    <w:rsid w:val="00696681"/>
    <w:rsid w:val="006A119D"/>
    <w:rsid w:val="006A2F2C"/>
    <w:rsid w:val="006F72A4"/>
    <w:rsid w:val="00706ADA"/>
    <w:rsid w:val="00713F16"/>
    <w:rsid w:val="00763AC3"/>
    <w:rsid w:val="00771695"/>
    <w:rsid w:val="007810D3"/>
    <w:rsid w:val="007824C4"/>
    <w:rsid w:val="00783C31"/>
    <w:rsid w:val="007B221F"/>
    <w:rsid w:val="007B2E1A"/>
    <w:rsid w:val="0080718E"/>
    <w:rsid w:val="00814C1C"/>
    <w:rsid w:val="008576B6"/>
    <w:rsid w:val="00862519"/>
    <w:rsid w:val="0087021A"/>
    <w:rsid w:val="00887FBB"/>
    <w:rsid w:val="008A760A"/>
    <w:rsid w:val="008C701C"/>
    <w:rsid w:val="008D7887"/>
    <w:rsid w:val="008E2B01"/>
    <w:rsid w:val="009002A3"/>
    <w:rsid w:val="00905D76"/>
    <w:rsid w:val="00910C58"/>
    <w:rsid w:val="009245B2"/>
    <w:rsid w:val="0093241D"/>
    <w:rsid w:val="00957ECB"/>
    <w:rsid w:val="009763CF"/>
    <w:rsid w:val="00977E33"/>
    <w:rsid w:val="009970A6"/>
    <w:rsid w:val="009A5A57"/>
    <w:rsid w:val="009F3819"/>
    <w:rsid w:val="00A11616"/>
    <w:rsid w:val="00A11776"/>
    <w:rsid w:val="00A147D1"/>
    <w:rsid w:val="00A353A0"/>
    <w:rsid w:val="00A358F9"/>
    <w:rsid w:val="00A8432D"/>
    <w:rsid w:val="00A9563F"/>
    <w:rsid w:val="00AA1F4C"/>
    <w:rsid w:val="00AB680E"/>
    <w:rsid w:val="00AB7381"/>
    <w:rsid w:val="00AC5470"/>
    <w:rsid w:val="00AC563D"/>
    <w:rsid w:val="00AE4E7D"/>
    <w:rsid w:val="00AE69FC"/>
    <w:rsid w:val="00AF1E7C"/>
    <w:rsid w:val="00B055C3"/>
    <w:rsid w:val="00B23E58"/>
    <w:rsid w:val="00B41A33"/>
    <w:rsid w:val="00BA13AD"/>
    <w:rsid w:val="00BC12A5"/>
    <w:rsid w:val="00C1697D"/>
    <w:rsid w:val="00C368DD"/>
    <w:rsid w:val="00C36931"/>
    <w:rsid w:val="00C76A5A"/>
    <w:rsid w:val="00C86DED"/>
    <w:rsid w:val="00CA02A2"/>
    <w:rsid w:val="00CA5B5D"/>
    <w:rsid w:val="00CB373E"/>
    <w:rsid w:val="00CB7080"/>
    <w:rsid w:val="00CE5943"/>
    <w:rsid w:val="00CE70C1"/>
    <w:rsid w:val="00CF1CB5"/>
    <w:rsid w:val="00D01657"/>
    <w:rsid w:val="00D04522"/>
    <w:rsid w:val="00D26476"/>
    <w:rsid w:val="00D431CE"/>
    <w:rsid w:val="00D47FFC"/>
    <w:rsid w:val="00D53C1D"/>
    <w:rsid w:val="00D7502E"/>
    <w:rsid w:val="00D9305B"/>
    <w:rsid w:val="00DA7F5C"/>
    <w:rsid w:val="00DB0A4A"/>
    <w:rsid w:val="00DB327F"/>
    <w:rsid w:val="00DF0DD0"/>
    <w:rsid w:val="00E00B52"/>
    <w:rsid w:val="00E020A4"/>
    <w:rsid w:val="00E03F6D"/>
    <w:rsid w:val="00E10DA7"/>
    <w:rsid w:val="00E40AF2"/>
    <w:rsid w:val="00E50B5A"/>
    <w:rsid w:val="00E5703E"/>
    <w:rsid w:val="00E665AA"/>
    <w:rsid w:val="00E851FD"/>
    <w:rsid w:val="00EA5EE6"/>
    <w:rsid w:val="00EE1258"/>
    <w:rsid w:val="00EE6538"/>
    <w:rsid w:val="00F449DD"/>
    <w:rsid w:val="00F5464F"/>
    <w:rsid w:val="00F64684"/>
    <w:rsid w:val="00FE0830"/>
    <w:rsid w:val="00FE5EC7"/>
    <w:rsid w:val="00FF5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A686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14C1C"/>
    <w:pPr>
      <w:keepNext/>
      <w:spacing w:after="0" w:line="480" w:lineRule="auto"/>
      <w:jc w:val="both"/>
      <w:outlineLvl w:val="0"/>
    </w:pPr>
    <w:rPr>
      <w:rFonts w:ascii="Times New Roman" w:eastAsia="Times New Roman" w:hAnsi="Times New Roman" w:cs="Times New Roman"/>
      <w:i/>
      <w:iCs/>
      <w:sz w:val="24"/>
      <w:szCs w:val="24"/>
    </w:rPr>
  </w:style>
  <w:style w:type="paragraph" w:styleId="Heading2">
    <w:name w:val="heading 2"/>
    <w:basedOn w:val="Normal"/>
    <w:next w:val="Normal"/>
    <w:link w:val="Heading2Char"/>
    <w:uiPriority w:val="9"/>
    <w:semiHidden/>
    <w:unhideWhenUsed/>
    <w:qFormat/>
    <w:rsid w:val="00F449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C1C"/>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771695"/>
    <w:pPr>
      <w:suppressAutoHyphens/>
      <w:spacing w:after="0" w:line="240" w:lineRule="auto"/>
    </w:pPr>
    <w:rPr>
      <w:rFonts w:ascii="Times New Roman" w:eastAsia="Calibri" w:hAnsi="Times New Roman" w:cs="Times New Roman"/>
      <w:sz w:val="20"/>
      <w:szCs w:val="20"/>
      <w:lang w:eastAsia="zh-CN"/>
    </w:rPr>
  </w:style>
  <w:style w:type="character" w:customStyle="1" w:styleId="FootnoteTextChar">
    <w:name w:val="Footnote Text Char"/>
    <w:aliases w:val="FT Char"/>
    <w:basedOn w:val="DefaultParagraphFont"/>
    <w:link w:val="FootnoteText"/>
    <w:uiPriority w:val="99"/>
    <w:rsid w:val="00771695"/>
    <w:rPr>
      <w:rFonts w:ascii="Times New Roman" w:eastAsia="Calibri" w:hAnsi="Times New Roman" w:cs="Times New Roman"/>
      <w:sz w:val="20"/>
      <w:szCs w:val="20"/>
      <w:lang w:eastAsia="zh-CN"/>
    </w:rPr>
  </w:style>
  <w:style w:type="paragraph" w:styleId="Footer">
    <w:name w:val="footer"/>
    <w:basedOn w:val="Normal"/>
    <w:link w:val="FooterChar"/>
    <w:uiPriority w:val="99"/>
    <w:unhideWhenUsed/>
    <w:rsid w:val="00172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B84"/>
  </w:style>
  <w:style w:type="character" w:styleId="LineNumber">
    <w:name w:val="line number"/>
    <w:basedOn w:val="DefaultParagraphFont"/>
    <w:uiPriority w:val="99"/>
    <w:semiHidden/>
    <w:unhideWhenUsed/>
    <w:rsid w:val="00172B84"/>
  </w:style>
  <w:style w:type="character" w:styleId="FootnoteReference">
    <w:name w:val="footnote reference"/>
    <w:uiPriority w:val="99"/>
    <w:unhideWhenUsed/>
    <w:rsid w:val="00D431CE"/>
    <w:rPr>
      <w:vertAlign w:val="superscript"/>
    </w:rPr>
  </w:style>
  <w:style w:type="character" w:customStyle="1" w:styleId="FootnoteCharacters">
    <w:name w:val="Footnote Characters"/>
    <w:rsid w:val="00D431CE"/>
    <w:rPr>
      <w:vertAlign w:val="superscript"/>
    </w:rPr>
  </w:style>
  <w:style w:type="character" w:styleId="Hyperlink">
    <w:name w:val="Hyperlink"/>
    <w:uiPriority w:val="99"/>
    <w:unhideWhenUsed/>
    <w:rsid w:val="00D431CE"/>
    <w:rPr>
      <w:color w:val="0000FF"/>
      <w:u w:val="single"/>
    </w:rPr>
  </w:style>
  <w:style w:type="paragraph" w:styleId="ListParagraph">
    <w:name w:val="List Paragraph"/>
    <w:basedOn w:val="Normal"/>
    <w:uiPriority w:val="34"/>
    <w:qFormat/>
    <w:rsid w:val="00D431CE"/>
    <w:pPr>
      <w:ind w:left="720"/>
      <w:contextualSpacing/>
    </w:pPr>
  </w:style>
  <w:style w:type="paragraph" w:customStyle="1" w:styleId="paragraph">
    <w:name w:val="paragraph"/>
    <w:basedOn w:val="Normal"/>
    <w:rsid w:val="003036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03678"/>
  </w:style>
  <w:style w:type="character" w:customStyle="1" w:styleId="normaltextrun">
    <w:name w:val="normaltextrun"/>
    <w:basedOn w:val="DefaultParagraphFont"/>
    <w:rsid w:val="005907DF"/>
  </w:style>
  <w:style w:type="paragraph" w:styleId="Header">
    <w:name w:val="header"/>
    <w:basedOn w:val="Normal"/>
    <w:link w:val="HeaderChar"/>
    <w:uiPriority w:val="99"/>
    <w:unhideWhenUsed/>
    <w:rsid w:val="00073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A6A"/>
  </w:style>
  <w:style w:type="paragraph" w:styleId="NoSpacing">
    <w:name w:val="No Spacing"/>
    <w:uiPriority w:val="1"/>
    <w:qFormat/>
    <w:rsid w:val="00E40AF2"/>
    <w:pPr>
      <w:spacing w:after="0" w:line="240" w:lineRule="auto"/>
    </w:pPr>
    <w:rPr>
      <w:rFonts w:ascii="Times New Roman" w:hAnsi="Times New Roman"/>
      <w:sz w:val="24"/>
    </w:rPr>
  </w:style>
  <w:style w:type="paragraph" w:styleId="BodyText">
    <w:name w:val="Body Text"/>
    <w:basedOn w:val="Normal"/>
    <w:link w:val="BodyTextChar"/>
    <w:uiPriority w:val="99"/>
    <w:rsid w:val="00E40AF2"/>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40AF2"/>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020A4"/>
    <w:rPr>
      <w:color w:val="954F72" w:themeColor="followedHyperlink"/>
      <w:u w:val="single"/>
    </w:rPr>
  </w:style>
  <w:style w:type="character" w:customStyle="1" w:styleId="Heading2Char">
    <w:name w:val="Heading 2 Char"/>
    <w:basedOn w:val="DefaultParagraphFont"/>
    <w:link w:val="Heading2"/>
    <w:uiPriority w:val="9"/>
    <w:semiHidden/>
    <w:rsid w:val="00F449D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83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C31"/>
    <w:rPr>
      <w:rFonts w:ascii="Segoe UI" w:hAnsi="Segoe UI" w:cs="Segoe UI"/>
      <w:sz w:val="18"/>
      <w:szCs w:val="18"/>
    </w:rPr>
  </w:style>
  <w:style w:type="character" w:styleId="CommentReference">
    <w:name w:val="annotation reference"/>
    <w:basedOn w:val="DefaultParagraphFont"/>
    <w:uiPriority w:val="99"/>
    <w:semiHidden/>
    <w:unhideWhenUsed/>
    <w:rsid w:val="00C86DED"/>
    <w:rPr>
      <w:sz w:val="16"/>
      <w:szCs w:val="16"/>
    </w:rPr>
  </w:style>
  <w:style w:type="paragraph" w:styleId="CommentText">
    <w:name w:val="annotation text"/>
    <w:basedOn w:val="Normal"/>
    <w:link w:val="CommentTextChar"/>
    <w:uiPriority w:val="99"/>
    <w:semiHidden/>
    <w:unhideWhenUsed/>
    <w:rsid w:val="00C86DED"/>
    <w:pPr>
      <w:spacing w:line="240" w:lineRule="auto"/>
    </w:pPr>
    <w:rPr>
      <w:sz w:val="20"/>
      <w:szCs w:val="20"/>
    </w:rPr>
  </w:style>
  <w:style w:type="character" w:customStyle="1" w:styleId="CommentTextChar">
    <w:name w:val="Comment Text Char"/>
    <w:basedOn w:val="DefaultParagraphFont"/>
    <w:link w:val="CommentText"/>
    <w:uiPriority w:val="99"/>
    <w:semiHidden/>
    <w:rsid w:val="00C86DED"/>
    <w:rPr>
      <w:sz w:val="20"/>
      <w:szCs w:val="20"/>
    </w:rPr>
  </w:style>
  <w:style w:type="paragraph" w:styleId="CommentSubject">
    <w:name w:val="annotation subject"/>
    <w:basedOn w:val="CommentText"/>
    <w:next w:val="CommentText"/>
    <w:link w:val="CommentSubjectChar"/>
    <w:uiPriority w:val="99"/>
    <w:semiHidden/>
    <w:unhideWhenUsed/>
    <w:rsid w:val="00C86DED"/>
    <w:rPr>
      <w:b/>
      <w:bCs/>
    </w:rPr>
  </w:style>
  <w:style w:type="character" w:customStyle="1" w:styleId="CommentSubjectChar">
    <w:name w:val="Comment Subject Char"/>
    <w:basedOn w:val="CommentTextChar"/>
    <w:link w:val="CommentSubject"/>
    <w:uiPriority w:val="99"/>
    <w:semiHidden/>
    <w:rsid w:val="00C86DED"/>
    <w:rPr>
      <w:b/>
      <w:bCs/>
      <w:sz w:val="20"/>
      <w:szCs w:val="20"/>
    </w:rPr>
  </w:style>
  <w:style w:type="paragraph" w:styleId="Revision">
    <w:name w:val="Revision"/>
    <w:hidden/>
    <w:uiPriority w:val="99"/>
    <w:semiHidden/>
    <w:rsid w:val="00417A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07885">
      <w:bodyDiv w:val="1"/>
      <w:marLeft w:val="0"/>
      <w:marRight w:val="0"/>
      <w:marTop w:val="0"/>
      <w:marBottom w:val="0"/>
      <w:divBdr>
        <w:top w:val="none" w:sz="0" w:space="0" w:color="auto"/>
        <w:left w:val="none" w:sz="0" w:space="0" w:color="auto"/>
        <w:bottom w:val="none" w:sz="0" w:space="0" w:color="auto"/>
        <w:right w:val="none" w:sz="0" w:space="0" w:color="auto"/>
      </w:divBdr>
    </w:div>
    <w:div w:id="253050222">
      <w:bodyDiv w:val="1"/>
      <w:marLeft w:val="0"/>
      <w:marRight w:val="0"/>
      <w:marTop w:val="0"/>
      <w:marBottom w:val="0"/>
      <w:divBdr>
        <w:top w:val="none" w:sz="0" w:space="0" w:color="auto"/>
        <w:left w:val="none" w:sz="0" w:space="0" w:color="auto"/>
        <w:bottom w:val="none" w:sz="0" w:space="0" w:color="auto"/>
        <w:right w:val="none" w:sz="0" w:space="0" w:color="auto"/>
      </w:divBdr>
      <w:divsChild>
        <w:div w:id="830095277">
          <w:marLeft w:val="0"/>
          <w:marRight w:val="0"/>
          <w:marTop w:val="0"/>
          <w:marBottom w:val="0"/>
          <w:divBdr>
            <w:top w:val="none" w:sz="0" w:space="0" w:color="auto"/>
            <w:left w:val="none" w:sz="0" w:space="0" w:color="auto"/>
            <w:bottom w:val="none" w:sz="0" w:space="0" w:color="auto"/>
            <w:right w:val="none" w:sz="0" w:space="0" w:color="auto"/>
          </w:divBdr>
        </w:div>
        <w:div w:id="424232205">
          <w:marLeft w:val="0"/>
          <w:marRight w:val="0"/>
          <w:marTop w:val="0"/>
          <w:marBottom w:val="0"/>
          <w:divBdr>
            <w:top w:val="none" w:sz="0" w:space="0" w:color="auto"/>
            <w:left w:val="none" w:sz="0" w:space="0" w:color="auto"/>
            <w:bottom w:val="none" w:sz="0" w:space="0" w:color="auto"/>
            <w:right w:val="none" w:sz="0" w:space="0" w:color="auto"/>
          </w:divBdr>
        </w:div>
        <w:div w:id="961807723">
          <w:marLeft w:val="0"/>
          <w:marRight w:val="0"/>
          <w:marTop w:val="0"/>
          <w:marBottom w:val="0"/>
          <w:divBdr>
            <w:top w:val="none" w:sz="0" w:space="0" w:color="auto"/>
            <w:left w:val="none" w:sz="0" w:space="0" w:color="auto"/>
            <w:bottom w:val="none" w:sz="0" w:space="0" w:color="auto"/>
            <w:right w:val="none" w:sz="0" w:space="0" w:color="auto"/>
          </w:divBdr>
        </w:div>
        <w:div w:id="253323192">
          <w:marLeft w:val="0"/>
          <w:marRight w:val="0"/>
          <w:marTop w:val="0"/>
          <w:marBottom w:val="0"/>
          <w:divBdr>
            <w:top w:val="none" w:sz="0" w:space="0" w:color="auto"/>
            <w:left w:val="none" w:sz="0" w:space="0" w:color="auto"/>
            <w:bottom w:val="none" w:sz="0" w:space="0" w:color="auto"/>
            <w:right w:val="none" w:sz="0" w:space="0" w:color="auto"/>
          </w:divBdr>
        </w:div>
        <w:div w:id="914047202">
          <w:marLeft w:val="0"/>
          <w:marRight w:val="0"/>
          <w:marTop w:val="0"/>
          <w:marBottom w:val="0"/>
          <w:divBdr>
            <w:top w:val="none" w:sz="0" w:space="0" w:color="auto"/>
            <w:left w:val="none" w:sz="0" w:space="0" w:color="auto"/>
            <w:bottom w:val="none" w:sz="0" w:space="0" w:color="auto"/>
            <w:right w:val="none" w:sz="0" w:space="0" w:color="auto"/>
          </w:divBdr>
        </w:div>
        <w:div w:id="35084422">
          <w:marLeft w:val="0"/>
          <w:marRight w:val="0"/>
          <w:marTop w:val="0"/>
          <w:marBottom w:val="0"/>
          <w:divBdr>
            <w:top w:val="none" w:sz="0" w:space="0" w:color="auto"/>
            <w:left w:val="none" w:sz="0" w:space="0" w:color="auto"/>
            <w:bottom w:val="none" w:sz="0" w:space="0" w:color="auto"/>
            <w:right w:val="none" w:sz="0" w:space="0" w:color="auto"/>
          </w:divBdr>
        </w:div>
        <w:div w:id="1199930714">
          <w:marLeft w:val="0"/>
          <w:marRight w:val="0"/>
          <w:marTop w:val="0"/>
          <w:marBottom w:val="0"/>
          <w:divBdr>
            <w:top w:val="none" w:sz="0" w:space="0" w:color="auto"/>
            <w:left w:val="none" w:sz="0" w:space="0" w:color="auto"/>
            <w:bottom w:val="none" w:sz="0" w:space="0" w:color="auto"/>
            <w:right w:val="none" w:sz="0" w:space="0" w:color="auto"/>
          </w:divBdr>
        </w:div>
      </w:divsChild>
    </w:div>
    <w:div w:id="289750667">
      <w:bodyDiv w:val="1"/>
      <w:marLeft w:val="0"/>
      <w:marRight w:val="0"/>
      <w:marTop w:val="0"/>
      <w:marBottom w:val="0"/>
      <w:divBdr>
        <w:top w:val="none" w:sz="0" w:space="0" w:color="auto"/>
        <w:left w:val="none" w:sz="0" w:space="0" w:color="auto"/>
        <w:bottom w:val="none" w:sz="0" w:space="0" w:color="auto"/>
        <w:right w:val="none" w:sz="0" w:space="0" w:color="auto"/>
      </w:divBdr>
    </w:div>
    <w:div w:id="405417026">
      <w:bodyDiv w:val="1"/>
      <w:marLeft w:val="0"/>
      <w:marRight w:val="0"/>
      <w:marTop w:val="0"/>
      <w:marBottom w:val="0"/>
      <w:divBdr>
        <w:top w:val="none" w:sz="0" w:space="0" w:color="auto"/>
        <w:left w:val="none" w:sz="0" w:space="0" w:color="auto"/>
        <w:bottom w:val="none" w:sz="0" w:space="0" w:color="auto"/>
        <w:right w:val="none" w:sz="0" w:space="0" w:color="auto"/>
      </w:divBdr>
      <w:divsChild>
        <w:div w:id="1572305212">
          <w:marLeft w:val="0"/>
          <w:marRight w:val="0"/>
          <w:marTop w:val="0"/>
          <w:marBottom w:val="0"/>
          <w:divBdr>
            <w:top w:val="none" w:sz="0" w:space="0" w:color="auto"/>
            <w:left w:val="none" w:sz="0" w:space="0" w:color="auto"/>
            <w:bottom w:val="none" w:sz="0" w:space="0" w:color="auto"/>
            <w:right w:val="none" w:sz="0" w:space="0" w:color="auto"/>
          </w:divBdr>
        </w:div>
        <w:div w:id="778260087">
          <w:marLeft w:val="0"/>
          <w:marRight w:val="0"/>
          <w:marTop w:val="0"/>
          <w:marBottom w:val="0"/>
          <w:divBdr>
            <w:top w:val="none" w:sz="0" w:space="0" w:color="auto"/>
            <w:left w:val="none" w:sz="0" w:space="0" w:color="auto"/>
            <w:bottom w:val="none" w:sz="0" w:space="0" w:color="auto"/>
            <w:right w:val="none" w:sz="0" w:space="0" w:color="auto"/>
          </w:divBdr>
        </w:div>
        <w:div w:id="1927496724">
          <w:marLeft w:val="0"/>
          <w:marRight w:val="0"/>
          <w:marTop w:val="0"/>
          <w:marBottom w:val="0"/>
          <w:divBdr>
            <w:top w:val="none" w:sz="0" w:space="0" w:color="auto"/>
            <w:left w:val="none" w:sz="0" w:space="0" w:color="auto"/>
            <w:bottom w:val="none" w:sz="0" w:space="0" w:color="auto"/>
            <w:right w:val="none" w:sz="0" w:space="0" w:color="auto"/>
          </w:divBdr>
        </w:div>
        <w:div w:id="30690446">
          <w:marLeft w:val="0"/>
          <w:marRight w:val="0"/>
          <w:marTop w:val="0"/>
          <w:marBottom w:val="0"/>
          <w:divBdr>
            <w:top w:val="none" w:sz="0" w:space="0" w:color="auto"/>
            <w:left w:val="none" w:sz="0" w:space="0" w:color="auto"/>
            <w:bottom w:val="none" w:sz="0" w:space="0" w:color="auto"/>
            <w:right w:val="none" w:sz="0" w:space="0" w:color="auto"/>
          </w:divBdr>
        </w:div>
        <w:div w:id="894852608">
          <w:marLeft w:val="0"/>
          <w:marRight w:val="0"/>
          <w:marTop w:val="0"/>
          <w:marBottom w:val="0"/>
          <w:divBdr>
            <w:top w:val="none" w:sz="0" w:space="0" w:color="auto"/>
            <w:left w:val="none" w:sz="0" w:space="0" w:color="auto"/>
            <w:bottom w:val="none" w:sz="0" w:space="0" w:color="auto"/>
            <w:right w:val="none" w:sz="0" w:space="0" w:color="auto"/>
          </w:divBdr>
        </w:div>
        <w:div w:id="1085958407">
          <w:marLeft w:val="0"/>
          <w:marRight w:val="0"/>
          <w:marTop w:val="0"/>
          <w:marBottom w:val="0"/>
          <w:divBdr>
            <w:top w:val="none" w:sz="0" w:space="0" w:color="auto"/>
            <w:left w:val="none" w:sz="0" w:space="0" w:color="auto"/>
            <w:bottom w:val="none" w:sz="0" w:space="0" w:color="auto"/>
            <w:right w:val="none" w:sz="0" w:space="0" w:color="auto"/>
          </w:divBdr>
        </w:div>
        <w:div w:id="714962299">
          <w:marLeft w:val="0"/>
          <w:marRight w:val="0"/>
          <w:marTop w:val="0"/>
          <w:marBottom w:val="0"/>
          <w:divBdr>
            <w:top w:val="none" w:sz="0" w:space="0" w:color="auto"/>
            <w:left w:val="none" w:sz="0" w:space="0" w:color="auto"/>
            <w:bottom w:val="none" w:sz="0" w:space="0" w:color="auto"/>
            <w:right w:val="none" w:sz="0" w:space="0" w:color="auto"/>
          </w:divBdr>
        </w:div>
        <w:div w:id="1587574323">
          <w:marLeft w:val="0"/>
          <w:marRight w:val="0"/>
          <w:marTop w:val="0"/>
          <w:marBottom w:val="0"/>
          <w:divBdr>
            <w:top w:val="none" w:sz="0" w:space="0" w:color="auto"/>
            <w:left w:val="none" w:sz="0" w:space="0" w:color="auto"/>
            <w:bottom w:val="none" w:sz="0" w:space="0" w:color="auto"/>
            <w:right w:val="none" w:sz="0" w:space="0" w:color="auto"/>
          </w:divBdr>
        </w:div>
        <w:div w:id="680938898">
          <w:marLeft w:val="0"/>
          <w:marRight w:val="0"/>
          <w:marTop w:val="0"/>
          <w:marBottom w:val="0"/>
          <w:divBdr>
            <w:top w:val="none" w:sz="0" w:space="0" w:color="auto"/>
            <w:left w:val="none" w:sz="0" w:space="0" w:color="auto"/>
            <w:bottom w:val="none" w:sz="0" w:space="0" w:color="auto"/>
            <w:right w:val="none" w:sz="0" w:space="0" w:color="auto"/>
          </w:divBdr>
        </w:div>
        <w:div w:id="472673845">
          <w:marLeft w:val="0"/>
          <w:marRight w:val="0"/>
          <w:marTop w:val="0"/>
          <w:marBottom w:val="0"/>
          <w:divBdr>
            <w:top w:val="none" w:sz="0" w:space="0" w:color="auto"/>
            <w:left w:val="none" w:sz="0" w:space="0" w:color="auto"/>
            <w:bottom w:val="none" w:sz="0" w:space="0" w:color="auto"/>
            <w:right w:val="none" w:sz="0" w:space="0" w:color="auto"/>
          </w:divBdr>
        </w:div>
      </w:divsChild>
    </w:div>
    <w:div w:id="585310090">
      <w:bodyDiv w:val="1"/>
      <w:marLeft w:val="0"/>
      <w:marRight w:val="0"/>
      <w:marTop w:val="0"/>
      <w:marBottom w:val="0"/>
      <w:divBdr>
        <w:top w:val="none" w:sz="0" w:space="0" w:color="auto"/>
        <w:left w:val="none" w:sz="0" w:space="0" w:color="auto"/>
        <w:bottom w:val="none" w:sz="0" w:space="0" w:color="auto"/>
        <w:right w:val="none" w:sz="0" w:space="0" w:color="auto"/>
      </w:divBdr>
    </w:div>
    <w:div w:id="711460214">
      <w:bodyDiv w:val="1"/>
      <w:marLeft w:val="0"/>
      <w:marRight w:val="0"/>
      <w:marTop w:val="0"/>
      <w:marBottom w:val="0"/>
      <w:divBdr>
        <w:top w:val="none" w:sz="0" w:space="0" w:color="auto"/>
        <w:left w:val="none" w:sz="0" w:space="0" w:color="auto"/>
        <w:bottom w:val="none" w:sz="0" w:space="0" w:color="auto"/>
        <w:right w:val="none" w:sz="0" w:space="0" w:color="auto"/>
      </w:divBdr>
    </w:div>
    <w:div w:id="793980460">
      <w:bodyDiv w:val="1"/>
      <w:marLeft w:val="0"/>
      <w:marRight w:val="0"/>
      <w:marTop w:val="0"/>
      <w:marBottom w:val="0"/>
      <w:divBdr>
        <w:top w:val="none" w:sz="0" w:space="0" w:color="auto"/>
        <w:left w:val="none" w:sz="0" w:space="0" w:color="auto"/>
        <w:bottom w:val="none" w:sz="0" w:space="0" w:color="auto"/>
        <w:right w:val="none" w:sz="0" w:space="0" w:color="auto"/>
      </w:divBdr>
    </w:div>
    <w:div w:id="815610600">
      <w:bodyDiv w:val="1"/>
      <w:marLeft w:val="0"/>
      <w:marRight w:val="0"/>
      <w:marTop w:val="0"/>
      <w:marBottom w:val="0"/>
      <w:divBdr>
        <w:top w:val="none" w:sz="0" w:space="0" w:color="auto"/>
        <w:left w:val="none" w:sz="0" w:space="0" w:color="auto"/>
        <w:bottom w:val="none" w:sz="0" w:space="0" w:color="auto"/>
        <w:right w:val="none" w:sz="0" w:space="0" w:color="auto"/>
      </w:divBdr>
    </w:div>
    <w:div w:id="929237383">
      <w:bodyDiv w:val="1"/>
      <w:marLeft w:val="0"/>
      <w:marRight w:val="0"/>
      <w:marTop w:val="0"/>
      <w:marBottom w:val="0"/>
      <w:divBdr>
        <w:top w:val="none" w:sz="0" w:space="0" w:color="auto"/>
        <w:left w:val="none" w:sz="0" w:space="0" w:color="auto"/>
        <w:bottom w:val="none" w:sz="0" w:space="0" w:color="auto"/>
        <w:right w:val="none" w:sz="0" w:space="0" w:color="auto"/>
      </w:divBdr>
    </w:div>
    <w:div w:id="1132096599">
      <w:bodyDiv w:val="1"/>
      <w:marLeft w:val="0"/>
      <w:marRight w:val="0"/>
      <w:marTop w:val="0"/>
      <w:marBottom w:val="0"/>
      <w:divBdr>
        <w:top w:val="none" w:sz="0" w:space="0" w:color="auto"/>
        <w:left w:val="none" w:sz="0" w:space="0" w:color="auto"/>
        <w:bottom w:val="none" w:sz="0" w:space="0" w:color="auto"/>
        <w:right w:val="none" w:sz="0" w:space="0" w:color="auto"/>
      </w:divBdr>
    </w:div>
    <w:div w:id="1246920216">
      <w:bodyDiv w:val="1"/>
      <w:marLeft w:val="0"/>
      <w:marRight w:val="0"/>
      <w:marTop w:val="0"/>
      <w:marBottom w:val="0"/>
      <w:divBdr>
        <w:top w:val="none" w:sz="0" w:space="0" w:color="auto"/>
        <w:left w:val="none" w:sz="0" w:space="0" w:color="auto"/>
        <w:bottom w:val="none" w:sz="0" w:space="0" w:color="auto"/>
        <w:right w:val="none" w:sz="0" w:space="0" w:color="auto"/>
      </w:divBdr>
    </w:div>
    <w:div w:id="1333676036">
      <w:bodyDiv w:val="1"/>
      <w:marLeft w:val="0"/>
      <w:marRight w:val="0"/>
      <w:marTop w:val="0"/>
      <w:marBottom w:val="0"/>
      <w:divBdr>
        <w:top w:val="none" w:sz="0" w:space="0" w:color="auto"/>
        <w:left w:val="none" w:sz="0" w:space="0" w:color="auto"/>
        <w:bottom w:val="none" w:sz="0" w:space="0" w:color="auto"/>
        <w:right w:val="none" w:sz="0" w:space="0" w:color="auto"/>
      </w:divBdr>
    </w:div>
    <w:div w:id="1444881376">
      <w:bodyDiv w:val="1"/>
      <w:marLeft w:val="0"/>
      <w:marRight w:val="0"/>
      <w:marTop w:val="0"/>
      <w:marBottom w:val="0"/>
      <w:divBdr>
        <w:top w:val="none" w:sz="0" w:space="0" w:color="auto"/>
        <w:left w:val="none" w:sz="0" w:space="0" w:color="auto"/>
        <w:bottom w:val="none" w:sz="0" w:space="0" w:color="auto"/>
        <w:right w:val="none" w:sz="0" w:space="0" w:color="auto"/>
      </w:divBdr>
    </w:div>
    <w:div w:id="1597981423">
      <w:bodyDiv w:val="1"/>
      <w:marLeft w:val="0"/>
      <w:marRight w:val="0"/>
      <w:marTop w:val="0"/>
      <w:marBottom w:val="0"/>
      <w:divBdr>
        <w:top w:val="none" w:sz="0" w:space="0" w:color="auto"/>
        <w:left w:val="none" w:sz="0" w:space="0" w:color="auto"/>
        <w:bottom w:val="none" w:sz="0" w:space="0" w:color="auto"/>
        <w:right w:val="none" w:sz="0" w:space="0" w:color="auto"/>
      </w:divBdr>
    </w:div>
    <w:div w:id="1689864090">
      <w:bodyDiv w:val="1"/>
      <w:marLeft w:val="0"/>
      <w:marRight w:val="0"/>
      <w:marTop w:val="0"/>
      <w:marBottom w:val="0"/>
      <w:divBdr>
        <w:top w:val="none" w:sz="0" w:space="0" w:color="auto"/>
        <w:left w:val="none" w:sz="0" w:space="0" w:color="auto"/>
        <w:bottom w:val="none" w:sz="0" w:space="0" w:color="auto"/>
        <w:right w:val="none" w:sz="0" w:space="0" w:color="auto"/>
      </w:divBdr>
    </w:div>
    <w:div w:id="1738936142">
      <w:bodyDiv w:val="1"/>
      <w:marLeft w:val="0"/>
      <w:marRight w:val="0"/>
      <w:marTop w:val="0"/>
      <w:marBottom w:val="0"/>
      <w:divBdr>
        <w:top w:val="none" w:sz="0" w:space="0" w:color="auto"/>
        <w:left w:val="none" w:sz="0" w:space="0" w:color="auto"/>
        <w:bottom w:val="none" w:sz="0" w:space="0" w:color="auto"/>
        <w:right w:val="none" w:sz="0" w:space="0" w:color="auto"/>
      </w:divBdr>
    </w:div>
    <w:div w:id="1811359399">
      <w:bodyDiv w:val="1"/>
      <w:marLeft w:val="0"/>
      <w:marRight w:val="0"/>
      <w:marTop w:val="0"/>
      <w:marBottom w:val="0"/>
      <w:divBdr>
        <w:top w:val="none" w:sz="0" w:space="0" w:color="auto"/>
        <w:left w:val="none" w:sz="0" w:space="0" w:color="auto"/>
        <w:bottom w:val="none" w:sz="0" w:space="0" w:color="auto"/>
        <w:right w:val="none" w:sz="0" w:space="0" w:color="auto"/>
      </w:divBdr>
    </w:div>
    <w:div w:id="1944222171">
      <w:bodyDiv w:val="1"/>
      <w:marLeft w:val="0"/>
      <w:marRight w:val="0"/>
      <w:marTop w:val="0"/>
      <w:marBottom w:val="0"/>
      <w:divBdr>
        <w:top w:val="none" w:sz="0" w:space="0" w:color="auto"/>
        <w:left w:val="none" w:sz="0" w:space="0" w:color="auto"/>
        <w:bottom w:val="none" w:sz="0" w:space="0" w:color="auto"/>
        <w:right w:val="none" w:sz="0" w:space="0" w:color="auto"/>
      </w:divBdr>
    </w:div>
    <w:div w:id="1986548881">
      <w:bodyDiv w:val="1"/>
      <w:marLeft w:val="0"/>
      <w:marRight w:val="0"/>
      <w:marTop w:val="0"/>
      <w:marBottom w:val="0"/>
      <w:divBdr>
        <w:top w:val="none" w:sz="0" w:space="0" w:color="auto"/>
        <w:left w:val="none" w:sz="0" w:space="0" w:color="auto"/>
        <w:bottom w:val="none" w:sz="0" w:space="0" w:color="auto"/>
        <w:right w:val="none" w:sz="0" w:space="0" w:color="auto"/>
      </w:divBdr>
      <w:divsChild>
        <w:div w:id="1219828788">
          <w:marLeft w:val="0"/>
          <w:marRight w:val="0"/>
          <w:marTop w:val="0"/>
          <w:marBottom w:val="0"/>
          <w:divBdr>
            <w:top w:val="none" w:sz="0" w:space="0" w:color="auto"/>
            <w:left w:val="none" w:sz="0" w:space="0" w:color="auto"/>
            <w:bottom w:val="none" w:sz="0" w:space="0" w:color="auto"/>
            <w:right w:val="none" w:sz="0" w:space="0" w:color="auto"/>
          </w:divBdr>
        </w:div>
        <w:div w:id="27684415">
          <w:marLeft w:val="0"/>
          <w:marRight w:val="0"/>
          <w:marTop w:val="0"/>
          <w:marBottom w:val="0"/>
          <w:divBdr>
            <w:top w:val="none" w:sz="0" w:space="0" w:color="auto"/>
            <w:left w:val="none" w:sz="0" w:space="0" w:color="auto"/>
            <w:bottom w:val="none" w:sz="0" w:space="0" w:color="auto"/>
            <w:right w:val="none" w:sz="0" w:space="0" w:color="auto"/>
          </w:divBdr>
        </w:div>
        <w:div w:id="276714920">
          <w:marLeft w:val="0"/>
          <w:marRight w:val="0"/>
          <w:marTop w:val="0"/>
          <w:marBottom w:val="0"/>
          <w:divBdr>
            <w:top w:val="none" w:sz="0" w:space="0" w:color="auto"/>
            <w:left w:val="none" w:sz="0" w:space="0" w:color="auto"/>
            <w:bottom w:val="none" w:sz="0" w:space="0" w:color="auto"/>
            <w:right w:val="none" w:sz="0" w:space="0" w:color="auto"/>
          </w:divBdr>
        </w:div>
        <w:div w:id="1060522766">
          <w:marLeft w:val="0"/>
          <w:marRight w:val="0"/>
          <w:marTop w:val="0"/>
          <w:marBottom w:val="0"/>
          <w:divBdr>
            <w:top w:val="none" w:sz="0" w:space="0" w:color="auto"/>
            <w:left w:val="none" w:sz="0" w:space="0" w:color="auto"/>
            <w:bottom w:val="none" w:sz="0" w:space="0" w:color="auto"/>
            <w:right w:val="none" w:sz="0" w:space="0" w:color="auto"/>
          </w:divBdr>
        </w:div>
        <w:div w:id="2139108508">
          <w:marLeft w:val="0"/>
          <w:marRight w:val="0"/>
          <w:marTop w:val="0"/>
          <w:marBottom w:val="0"/>
          <w:divBdr>
            <w:top w:val="none" w:sz="0" w:space="0" w:color="auto"/>
            <w:left w:val="none" w:sz="0" w:space="0" w:color="auto"/>
            <w:bottom w:val="none" w:sz="0" w:space="0" w:color="auto"/>
            <w:right w:val="none" w:sz="0" w:space="0" w:color="auto"/>
          </w:divBdr>
        </w:div>
        <w:div w:id="1747921270">
          <w:marLeft w:val="0"/>
          <w:marRight w:val="0"/>
          <w:marTop w:val="0"/>
          <w:marBottom w:val="0"/>
          <w:divBdr>
            <w:top w:val="none" w:sz="0" w:space="0" w:color="auto"/>
            <w:left w:val="none" w:sz="0" w:space="0" w:color="auto"/>
            <w:bottom w:val="none" w:sz="0" w:space="0" w:color="auto"/>
            <w:right w:val="none" w:sz="0" w:space="0" w:color="auto"/>
          </w:divBdr>
        </w:div>
        <w:div w:id="585966999">
          <w:marLeft w:val="0"/>
          <w:marRight w:val="0"/>
          <w:marTop w:val="0"/>
          <w:marBottom w:val="0"/>
          <w:divBdr>
            <w:top w:val="none" w:sz="0" w:space="0" w:color="auto"/>
            <w:left w:val="none" w:sz="0" w:space="0" w:color="auto"/>
            <w:bottom w:val="none" w:sz="0" w:space="0" w:color="auto"/>
            <w:right w:val="none" w:sz="0" w:space="0" w:color="auto"/>
          </w:divBdr>
        </w:div>
        <w:div w:id="379519876">
          <w:marLeft w:val="0"/>
          <w:marRight w:val="0"/>
          <w:marTop w:val="0"/>
          <w:marBottom w:val="0"/>
          <w:divBdr>
            <w:top w:val="none" w:sz="0" w:space="0" w:color="auto"/>
            <w:left w:val="none" w:sz="0" w:space="0" w:color="auto"/>
            <w:bottom w:val="none" w:sz="0" w:space="0" w:color="auto"/>
            <w:right w:val="none" w:sz="0" w:space="0" w:color="auto"/>
          </w:divBdr>
        </w:div>
        <w:div w:id="1496454086">
          <w:marLeft w:val="0"/>
          <w:marRight w:val="0"/>
          <w:marTop w:val="0"/>
          <w:marBottom w:val="0"/>
          <w:divBdr>
            <w:top w:val="none" w:sz="0" w:space="0" w:color="auto"/>
            <w:left w:val="none" w:sz="0" w:space="0" w:color="auto"/>
            <w:bottom w:val="none" w:sz="0" w:space="0" w:color="auto"/>
            <w:right w:val="none" w:sz="0" w:space="0" w:color="auto"/>
          </w:divBdr>
        </w:div>
        <w:div w:id="808521889">
          <w:marLeft w:val="0"/>
          <w:marRight w:val="0"/>
          <w:marTop w:val="0"/>
          <w:marBottom w:val="0"/>
          <w:divBdr>
            <w:top w:val="none" w:sz="0" w:space="0" w:color="auto"/>
            <w:left w:val="none" w:sz="0" w:space="0" w:color="auto"/>
            <w:bottom w:val="none" w:sz="0" w:space="0" w:color="auto"/>
            <w:right w:val="none" w:sz="0" w:space="0" w:color="auto"/>
          </w:divBdr>
        </w:div>
        <w:div w:id="122774992">
          <w:marLeft w:val="0"/>
          <w:marRight w:val="0"/>
          <w:marTop w:val="0"/>
          <w:marBottom w:val="0"/>
          <w:divBdr>
            <w:top w:val="none" w:sz="0" w:space="0" w:color="auto"/>
            <w:left w:val="none" w:sz="0" w:space="0" w:color="auto"/>
            <w:bottom w:val="none" w:sz="0" w:space="0" w:color="auto"/>
            <w:right w:val="none" w:sz="0" w:space="0" w:color="auto"/>
          </w:divBdr>
        </w:div>
        <w:div w:id="2096127154">
          <w:marLeft w:val="0"/>
          <w:marRight w:val="0"/>
          <w:marTop w:val="0"/>
          <w:marBottom w:val="0"/>
          <w:divBdr>
            <w:top w:val="none" w:sz="0" w:space="0" w:color="auto"/>
            <w:left w:val="none" w:sz="0" w:space="0" w:color="auto"/>
            <w:bottom w:val="none" w:sz="0" w:space="0" w:color="auto"/>
            <w:right w:val="none" w:sz="0" w:space="0" w:color="auto"/>
          </w:divBdr>
        </w:div>
        <w:div w:id="881287403">
          <w:marLeft w:val="0"/>
          <w:marRight w:val="0"/>
          <w:marTop w:val="0"/>
          <w:marBottom w:val="0"/>
          <w:divBdr>
            <w:top w:val="none" w:sz="0" w:space="0" w:color="auto"/>
            <w:left w:val="none" w:sz="0" w:space="0" w:color="auto"/>
            <w:bottom w:val="none" w:sz="0" w:space="0" w:color="auto"/>
            <w:right w:val="none" w:sz="0" w:space="0" w:color="auto"/>
          </w:divBdr>
        </w:div>
        <w:div w:id="1076980353">
          <w:marLeft w:val="0"/>
          <w:marRight w:val="0"/>
          <w:marTop w:val="0"/>
          <w:marBottom w:val="0"/>
          <w:divBdr>
            <w:top w:val="none" w:sz="0" w:space="0" w:color="auto"/>
            <w:left w:val="none" w:sz="0" w:space="0" w:color="auto"/>
            <w:bottom w:val="none" w:sz="0" w:space="0" w:color="auto"/>
            <w:right w:val="none" w:sz="0" w:space="0" w:color="auto"/>
          </w:divBdr>
        </w:div>
        <w:div w:id="2056200632">
          <w:marLeft w:val="0"/>
          <w:marRight w:val="0"/>
          <w:marTop w:val="0"/>
          <w:marBottom w:val="0"/>
          <w:divBdr>
            <w:top w:val="none" w:sz="0" w:space="0" w:color="auto"/>
            <w:left w:val="none" w:sz="0" w:space="0" w:color="auto"/>
            <w:bottom w:val="none" w:sz="0" w:space="0" w:color="auto"/>
            <w:right w:val="none" w:sz="0" w:space="0" w:color="auto"/>
          </w:divBdr>
        </w:div>
        <w:div w:id="593174924">
          <w:marLeft w:val="0"/>
          <w:marRight w:val="0"/>
          <w:marTop w:val="0"/>
          <w:marBottom w:val="0"/>
          <w:divBdr>
            <w:top w:val="none" w:sz="0" w:space="0" w:color="auto"/>
            <w:left w:val="none" w:sz="0" w:space="0" w:color="auto"/>
            <w:bottom w:val="none" w:sz="0" w:space="0" w:color="auto"/>
            <w:right w:val="none" w:sz="0" w:space="0" w:color="auto"/>
          </w:divBdr>
        </w:div>
        <w:div w:id="2004308878">
          <w:marLeft w:val="0"/>
          <w:marRight w:val="0"/>
          <w:marTop w:val="0"/>
          <w:marBottom w:val="0"/>
          <w:divBdr>
            <w:top w:val="none" w:sz="0" w:space="0" w:color="auto"/>
            <w:left w:val="none" w:sz="0" w:space="0" w:color="auto"/>
            <w:bottom w:val="none" w:sz="0" w:space="0" w:color="auto"/>
            <w:right w:val="none" w:sz="0" w:space="0" w:color="auto"/>
          </w:divBdr>
        </w:div>
        <w:div w:id="93480543">
          <w:marLeft w:val="0"/>
          <w:marRight w:val="0"/>
          <w:marTop w:val="0"/>
          <w:marBottom w:val="0"/>
          <w:divBdr>
            <w:top w:val="none" w:sz="0" w:space="0" w:color="auto"/>
            <w:left w:val="none" w:sz="0" w:space="0" w:color="auto"/>
            <w:bottom w:val="none" w:sz="0" w:space="0" w:color="auto"/>
            <w:right w:val="none" w:sz="0" w:space="0" w:color="auto"/>
          </w:divBdr>
        </w:div>
        <w:div w:id="1856111994">
          <w:marLeft w:val="0"/>
          <w:marRight w:val="0"/>
          <w:marTop w:val="0"/>
          <w:marBottom w:val="0"/>
          <w:divBdr>
            <w:top w:val="none" w:sz="0" w:space="0" w:color="auto"/>
            <w:left w:val="none" w:sz="0" w:space="0" w:color="auto"/>
            <w:bottom w:val="none" w:sz="0" w:space="0" w:color="auto"/>
            <w:right w:val="none" w:sz="0" w:space="0" w:color="auto"/>
          </w:divBdr>
        </w:div>
        <w:div w:id="589892863">
          <w:marLeft w:val="0"/>
          <w:marRight w:val="0"/>
          <w:marTop w:val="0"/>
          <w:marBottom w:val="0"/>
          <w:divBdr>
            <w:top w:val="none" w:sz="0" w:space="0" w:color="auto"/>
            <w:left w:val="none" w:sz="0" w:space="0" w:color="auto"/>
            <w:bottom w:val="none" w:sz="0" w:space="0" w:color="auto"/>
            <w:right w:val="none" w:sz="0" w:space="0" w:color="auto"/>
          </w:divBdr>
        </w:div>
        <w:div w:id="67391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ww.thecity.nyc/2023/05/24/nycha-monitor-extended/" TargetMode="External"/><Relationship Id="rId18" Type="http://schemas.openxmlformats.org/officeDocument/2006/relationships/hyperlink" Target="https://legistar.council.nyc.gov" TargetMode="External"/><Relationship Id="rId26" Type="http://schemas.openxmlformats.org/officeDocument/2006/relationships/hyperlink" Target="https://www.hrw.org/report/2022/01/27/tenant-never-wins/private-takeover-public-housing-puts-rights-risk-new-york-city" TargetMode="External"/><Relationship Id="rId39" Type="http://schemas.openxmlformats.org/officeDocument/2006/relationships/hyperlink" Target="https://www.westsidespirit.com/news/legal-aid-society-demands-nycha-halt-15b-plan-to-demolish-rebuild-chelsea-elliot-houses-YY2625010" TargetMode="External"/><Relationship Id="rId21" Type="http://schemas.openxmlformats.org/officeDocument/2006/relationships/hyperlink" Target="https://smhttp-ssl-58547.nexcesscdn.net/nycss/images/uploads/pubs/CSS_NYCHA_FinalWeb.pdf" TargetMode="External"/><Relationship Id="rId34" Type="http://schemas.openxmlformats.org/officeDocument/2006/relationships/hyperlink" Target="https://citylimits.org/2019/08/14/nycha-evicitons-rad-oceanbay/" TargetMode="External"/><Relationship Id="rId42" Type="http://schemas.openxmlformats.org/officeDocument/2006/relationships/hyperlink" Target="https://www.nyc.gov/site/nycha/about/preservation-trust-faqs.page" TargetMode="External"/><Relationship Id="rId47" Type="http://schemas.openxmlformats.org/officeDocument/2006/relationships/hyperlink" Target="https://www.nyc.gov/assets/manhattancb3/downloads/calendar/2023/NYCHA_Trust_Final_Voting_Procedures_Winter_2023.pdf" TargetMode="External"/><Relationship Id="rId50" Type="http://schemas.openxmlformats.org/officeDocument/2006/relationships/hyperlink" Target="https://www.thecity.nyc/2023/03/07/nycha-preservation-trust-vote-schedule-board/" TargetMode="External"/><Relationship Id="rId55" Type="http://schemas.openxmlformats.org/officeDocument/2006/relationships/hyperlink" Target="https://citylimits.org/2022/12/12/under-new-election-rules-20-of-residents-could-determine-fate-of-nycha-developments/" TargetMode="External"/><Relationship Id="rId7" Type="http://schemas.openxmlformats.org/officeDocument/2006/relationships/hyperlink" Target="https://www.thecity.nyc/2022/9/15/23355404/gregory-russ-nycha-arsenic" TargetMode="External"/><Relationship Id="rId2" Type="http://schemas.openxmlformats.org/officeDocument/2006/relationships/hyperlink" Target="https://www.nyc.gov/site/nycha/about/public-housing-preservation-trust.page" TargetMode="External"/><Relationship Id="rId16" Type="http://schemas.openxmlformats.org/officeDocument/2006/relationships/hyperlink" Target="https://citylimits.org/2023/05/31/vacant-nycha-units-continue-to-increase-with-transfers-complicated-by-pact/" TargetMode="External"/><Relationship Id="rId29" Type="http://schemas.openxmlformats.org/officeDocument/2006/relationships/hyperlink" Target="https://www.nyc.gov/assets/nycha/downloads/pdf/PACT_Dataset.pdf" TargetMode="External"/><Relationship Id="rId11" Type="http://schemas.openxmlformats.org/officeDocument/2006/relationships/hyperlink" Target="https://www.nyc.gov/office-of-the-mayor/news/489-23/mayor-adams-appoints-new-nycha-leadership" TargetMode="External"/><Relationship Id="rId24" Type="http://schemas.openxmlformats.org/officeDocument/2006/relationships/hyperlink" Target="https://www.nyc.gov/assets/nycha/downloads/pdf/NYCHA-Final%20Annual-PlanFY23-10.14.22.pdf" TargetMode="External"/><Relationship Id="rId32" Type="http://schemas.openxmlformats.org/officeDocument/2006/relationships/hyperlink" Target="https://data.cityofnewyork.us/City-Government/Evictions/6z8x-wfk4" TargetMode="External"/><Relationship Id="rId37" Type="http://schemas.openxmlformats.org/officeDocument/2006/relationships/hyperlink" Target="https://www.enterprisecommunity.org/sites/default/files/2022-11/eviction-report.pdf" TargetMode="External"/><Relationship Id="rId40" Type="http://schemas.openxmlformats.org/officeDocument/2006/relationships/hyperlink" Target="https://www.related.com/press-releases/2023-06-21/residents-and-nycha-announce-plans-complete-rebuilding-fulton-and-elliott" TargetMode="External"/><Relationship Id="rId45" Type="http://schemas.openxmlformats.org/officeDocument/2006/relationships/hyperlink" Target="https://nychajournal.nyc/public-housing-preservation-trust-first-president/" TargetMode="External"/><Relationship Id="rId53" Type="http://schemas.openxmlformats.org/officeDocument/2006/relationships/hyperlink" Target="https://citylimits.org/2022/06/22/opinion-nychas-public-housing-preservation-trust-is-a-farce-of-resident-engagement/" TargetMode="External"/><Relationship Id="rId5" Type="http://schemas.openxmlformats.org/officeDocument/2006/relationships/hyperlink" Target="https://www.nyc.gov/office-of-the-mayor/news/312-19/mayor-de-blasio-u-s-department-housing-urban-development-secretary-carson-announce" TargetMode="External"/><Relationship Id="rId10" Type="http://schemas.openxmlformats.org/officeDocument/2006/relationships/hyperlink" Target="https://www.nyc.gov/assets/nycha/downloads/pdf/board-minutes-061522.pdf" TargetMode="External"/><Relationship Id="rId19" Type="http://schemas.openxmlformats.org/officeDocument/2006/relationships/hyperlink" Target="https://ny1.com/nyc/all-boroughs/politics/2023/05/18/nycha-s-rental-arrears-at--338m-and-growing-despite-state-funding" TargetMode="External"/><Relationship Id="rId31" Type="http://schemas.openxmlformats.org/officeDocument/2006/relationships/hyperlink" Target="https://www.thecity.nyc/2021/10/05/nycha-public-housing-to-private-managers-tenant-rad-complaints/" TargetMode="External"/><Relationship Id="rId44" Type="http://schemas.openxmlformats.org/officeDocument/2006/relationships/hyperlink" Target="https://www.nyc.gov/office-of-the-mayor/news/320-23/mayor-adams-nycha-establish-public-housing-preservation-trust-board-appoint-six-members" TargetMode="External"/><Relationship Id="rId52" Type="http://schemas.openxmlformats.org/officeDocument/2006/relationships/hyperlink" Target="https://citylimits.org/2022/06/22/opinion-nychas-public-housing-preservation-trust-is-a-farce-of-resident-engagement/" TargetMode="External"/><Relationship Id="rId4" Type="http://schemas.openxmlformats.org/officeDocument/2006/relationships/hyperlink" Target="https://www.nyc.gov/office-of-the-mayor/news/489-23/mayor-adams-appoints-new-nycha-leadership" TargetMode="External"/><Relationship Id="rId9" Type="http://schemas.openxmlformats.org/officeDocument/2006/relationships/hyperlink" Target="https://www.thecity.nyc/2023/1/25/23570300/nycha-chair-greg-russ-to-depart" TargetMode="External"/><Relationship Id="rId14" Type="http://schemas.openxmlformats.org/officeDocument/2006/relationships/hyperlink" Target="https://www.nyc.gov/assets/nycha/downloads/pdf/2023-PNA-Report-Physical-Needs-Assessment-NYCHA.pdf" TargetMode="External"/><Relationship Id="rId22" Type="http://schemas.openxmlformats.org/officeDocument/2006/relationships/hyperlink" Target="https://www.nyc.gov/assets/nycha/downloads/pdf/FY_2024_Draft_Annual_Plan_English.pdf" TargetMode="External"/><Relationship Id="rId27" Type="http://schemas.openxmlformats.org/officeDocument/2006/relationships/hyperlink" Target="https://www.hollandgardensvision.org/" TargetMode="External"/><Relationship Id="rId30" Type="http://schemas.openxmlformats.org/officeDocument/2006/relationships/hyperlink" Target="https://www.nyc.gov/site/nycha/about/pact.page" TargetMode="External"/><Relationship Id="rId35" Type="http://schemas.openxmlformats.org/officeDocument/2006/relationships/hyperlink" Target="https://data.cityofnewyork.us/City-Government/Evictions/6z8x-wfk4" TargetMode="External"/><Relationship Id="rId43" Type="http://schemas.openxmlformats.org/officeDocument/2006/relationships/hyperlink" Target="https://www.nyc.gov/site/nycha/about/preservation-trust-final-voting-procedures.page" TargetMode="External"/><Relationship Id="rId48" Type="http://schemas.openxmlformats.org/officeDocument/2006/relationships/hyperlink" Target="https://www.nyc.gov/assets/manhattancb3/downloads/calendar/2023/NYCHA_Trust_Final_Voting_Procedures_Winter_2023.pdf" TargetMode="External"/><Relationship Id="rId56" Type="http://schemas.openxmlformats.org/officeDocument/2006/relationships/hyperlink" Target="https://www.thecity.nyc/2023/03/07/nycha-preservation-trust-vote-schedule-board/" TargetMode="External"/><Relationship Id="rId8" Type="http://schemas.openxmlformats.org/officeDocument/2006/relationships/hyperlink" Target="https://www.nyc.gov/assets/nycha/downloads/pdf/NYCHA_Transformation_Plan_Final.pdf" TargetMode="External"/><Relationship Id="rId51" Type="http://schemas.openxmlformats.org/officeDocument/2006/relationships/hyperlink" Target="https://www.nydailynews.com/2022/10/14/nycha-opens-comment-period-on-voting-plan-for-funding-stream/" TargetMode="External"/><Relationship Id="rId3" Type="http://schemas.openxmlformats.org/officeDocument/2006/relationships/hyperlink" Target="https://nychamonitor.com/wp-content/uploads/2019/03/Final-Executed-NYCHA-Agreement.pdf" TargetMode="External"/><Relationship Id="rId12" Type="http://schemas.openxmlformats.org/officeDocument/2006/relationships/hyperlink" Target="https://www.hud.gov/sites/dfiles/PA/documents/HUD-NYCHA-Agreement013119.pdf" TargetMode="External"/><Relationship Id="rId17" Type="http://schemas.openxmlformats.org/officeDocument/2006/relationships/hyperlink" Target="https://citylimits.org/2023/05/31/vacant-nycha-units-continue-to-increase-with-transfers-complicated-by-pact/" TargetMode="External"/><Relationship Id="rId25" Type="http://schemas.openxmlformats.org/officeDocument/2006/relationships/hyperlink" Target="https://www.gothamgazette.com/city/11511-despite-tens-of-billions-proposed-nycha-again-left-out-of-major-federal-funding-packages" TargetMode="External"/><Relationship Id="rId33" Type="http://schemas.openxmlformats.org/officeDocument/2006/relationships/hyperlink" Target="https://data.cityofnewyork.us/Housing-Development/Housing-Maintenance-Code-Violations/wvxf-dwi5" TargetMode="External"/><Relationship Id="rId38" Type="http://schemas.openxmlformats.org/officeDocument/2006/relationships/hyperlink" Target="https://www.nytimes.com/2023/06/20/nyregion/public-housing-demolish.html" TargetMode="External"/><Relationship Id="rId46" Type="http://schemas.openxmlformats.org/officeDocument/2006/relationships/hyperlink" Target="https://www.nyc.gov/site/nycha/about/press/pr-2022/pr-20221212.page" TargetMode="External"/><Relationship Id="rId20" Type="http://schemas.openxmlformats.org/officeDocument/2006/relationships/hyperlink" Target="https://www.nyc.gov/assets/nycha/downloads/pdf/2023-NYCHA-Budget-Book.pdf" TargetMode="External"/><Relationship Id="rId41" Type="http://schemas.openxmlformats.org/officeDocument/2006/relationships/hyperlink" Target="https://www.preservationtrust.org/" TargetMode="External"/><Relationship Id="rId54" Type="http://schemas.openxmlformats.org/officeDocument/2006/relationships/hyperlink" Target="https://www.ibo.nyc.ny.us/iboreports/money-for-nycha-examining-the-public-housing-preservation-trust-and-other-strategies-in-nychas-blueprint-for-change-february-2023.pdf"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www.thecity.nyc/2023/1/25/23570300/nycha-chair-greg-russ-to-depart" TargetMode="External"/><Relationship Id="rId15" Type="http://schemas.openxmlformats.org/officeDocument/2006/relationships/hyperlink" Target="https://www.thecity.nyc/2023/1/25/23570300/nycha-chair-greg-russ-to-depart" TargetMode="External"/><Relationship Id="rId23" Type="http://schemas.openxmlformats.org/officeDocument/2006/relationships/hyperlink" Target="https://www.nyc.gov/assets/nycha/downloads/pdf/FY_2024_Draft_Annual_Plan_English.pdf" TargetMode="External"/><Relationship Id="rId28" Type="http://schemas.openxmlformats.org/officeDocument/2006/relationships/hyperlink" Target="https://www.nyc.gov/site/nycha/about/press/pr-2016/nycha-releases-request-for-rental-assistance-demonstration.page" TargetMode="External"/><Relationship Id="rId36" Type="http://schemas.openxmlformats.org/officeDocument/2006/relationships/hyperlink" Target="https://data.cityofnewyork.us/Housing-Development/Housing-Maintenance-Code-Violations/wvxf-dwi5" TargetMode="External"/><Relationship Id="rId49" Type="http://schemas.openxmlformats.org/officeDocument/2006/relationships/hyperlink" Target="https://www.nyc.gov/office-of-the-mayor/news/559-23/mayor-adams-nycha-kick-off-process-unlock-billions-nycha-repairs-groundbreaking-fir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2725A-40DB-400E-974E-FE62F0D31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5891</Words>
  <Characters>33582</Characters>
  <Application>Microsoft Office Word</Application>
  <DocSecurity>4</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2023-10-24T22:27:00Z</dcterms:created>
  <dcterms:modified xsi:type="dcterms:W3CDTF">2023-10-24T22:27:00Z</dcterms:modified>
</cp:coreProperties>
</file>