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FAC2A" w14:textId="77777777" w:rsidR="00913D2D" w:rsidRPr="00AF6C64" w:rsidRDefault="00913D2D" w:rsidP="00B021A6">
      <w:pPr>
        <w:contextualSpacing/>
        <w:jc w:val="right"/>
        <w:rPr>
          <w:u w:val="single"/>
        </w:rPr>
      </w:pPr>
      <w:bookmarkStart w:id="0" w:name="_GoBack"/>
      <w:bookmarkEnd w:id="0"/>
      <w:r w:rsidRPr="00AF6C64">
        <w:rPr>
          <w:u w:val="single"/>
        </w:rPr>
        <w:t>Public Housing</w:t>
      </w:r>
      <w:r>
        <w:rPr>
          <w:u w:val="single"/>
        </w:rPr>
        <w:t xml:space="preserve"> Committee Staff</w:t>
      </w:r>
    </w:p>
    <w:p w14:paraId="6CAC9362" w14:textId="77777777" w:rsidR="00913D2D" w:rsidRPr="00AF6C64" w:rsidRDefault="00913D2D" w:rsidP="00B021A6">
      <w:pPr>
        <w:contextualSpacing/>
        <w:jc w:val="right"/>
      </w:pPr>
      <w:r>
        <w:t xml:space="preserve">             Audrey Son, </w:t>
      </w:r>
      <w:r w:rsidRPr="4A298E6F">
        <w:rPr>
          <w:i/>
          <w:iCs/>
        </w:rPr>
        <w:t>Senior Counsel</w:t>
      </w:r>
    </w:p>
    <w:p w14:paraId="339F056C" w14:textId="77777777" w:rsidR="00913D2D" w:rsidRPr="00AF6C64" w:rsidRDefault="00913D2D" w:rsidP="00B021A6">
      <w:pPr>
        <w:contextualSpacing/>
        <w:jc w:val="right"/>
      </w:pPr>
      <w:r w:rsidRPr="00AF6C64">
        <w:t xml:space="preserve">                                                   Jose Conde, </w:t>
      </w:r>
      <w:r w:rsidRPr="0050125E">
        <w:rPr>
          <w:i/>
        </w:rPr>
        <w:t>Senior Policy Analyst</w:t>
      </w:r>
    </w:p>
    <w:p w14:paraId="769FCC95" w14:textId="2E9FE3F7" w:rsidR="00913D2D" w:rsidRDefault="00913D2D" w:rsidP="00B021A6">
      <w:pPr>
        <w:contextualSpacing/>
        <w:jc w:val="right"/>
        <w:rPr>
          <w:i/>
          <w:iCs/>
        </w:rPr>
      </w:pPr>
      <w:r>
        <w:t xml:space="preserve">Ricky Chawla, </w:t>
      </w:r>
      <w:r w:rsidR="1074F78E" w:rsidRPr="4A298E6F">
        <w:rPr>
          <w:i/>
          <w:iCs/>
        </w:rPr>
        <w:t xml:space="preserve">Senior </w:t>
      </w:r>
      <w:r w:rsidRPr="4A298E6F">
        <w:rPr>
          <w:i/>
          <w:iCs/>
        </w:rPr>
        <w:t>Policy Analyst</w:t>
      </w:r>
    </w:p>
    <w:p w14:paraId="46F93F4A" w14:textId="418E7C52" w:rsidR="00A8124B" w:rsidRPr="00A8124B" w:rsidRDefault="00A8124B" w:rsidP="00B021A6">
      <w:pPr>
        <w:contextualSpacing/>
        <w:jc w:val="right"/>
      </w:pPr>
      <w:r>
        <w:rPr>
          <w:iCs/>
        </w:rPr>
        <w:t xml:space="preserve">Dan Kroop, </w:t>
      </w:r>
      <w:r>
        <w:rPr>
          <w:i/>
          <w:iCs/>
        </w:rPr>
        <w:t>Senior Financial Analyst</w:t>
      </w:r>
    </w:p>
    <w:p w14:paraId="6B7873DA" w14:textId="77777777" w:rsidR="00913D2D" w:rsidRDefault="00913D2D" w:rsidP="00B021A6">
      <w:pPr>
        <w:tabs>
          <w:tab w:val="left" w:pos="0"/>
        </w:tabs>
        <w:contextualSpacing/>
        <w:rPr>
          <w:u w:val="single"/>
        </w:rPr>
      </w:pPr>
    </w:p>
    <w:p w14:paraId="070158A0" w14:textId="77777777" w:rsidR="00913D2D" w:rsidRDefault="00913D2D" w:rsidP="00B021A6">
      <w:pPr>
        <w:tabs>
          <w:tab w:val="left" w:pos="0"/>
        </w:tabs>
        <w:contextualSpacing/>
        <w:rPr>
          <w:u w:val="single"/>
        </w:rPr>
      </w:pPr>
    </w:p>
    <w:p w14:paraId="1874A73E" w14:textId="77777777" w:rsidR="00583E3D" w:rsidRPr="00D11313" w:rsidRDefault="00583E3D" w:rsidP="00B021A6">
      <w:pPr>
        <w:tabs>
          <w:tab w:val="left" w:pos="0"/>
        </w:tabs>
        <w:contextualSpacing/>
        <w:jc w:val="right"/>
      </w:pPr>
    </w:p>
    <w:p w14:paraId="4E40B4FD" w14:textId="77777777" w:rsidR="005D6C82" w:rsidRPr="00D11313" w:rsidRDefault="005D6C82" w:rsidP="00B021A6">
      <w:pPr>
        <w:tabs>
          <w:tab w:val="left" w:pos="0"/>
        </w:tabs>
        <w:contextualSpacing/>
        <w:rPr>
          <w:i/>
        </w:rPr>
      </w:pPr>
    </w:p>
    <w:p w14:paraId="236C21FB" w14:textId="77777777" w:rsidR="005D6C82" w:rsidRPr="00D11313" w:rsidRDefault="005D6C82" w:rsidP="00B021A6">
      <w:pPr>
        <w:tabs>
          <w:tab w:val="left" w:pos="0"/>
        </w:tabs>
        <w:contextualSpacing/>
        <w:rPr>
          <w:i/>
        </w:rPr>
      </w:pPr>
    </w:p>
    <w:p w14:paraId="06606C62" w14:textId="77777777" w:rsidR="00DD0181" w:rsidRPr="00D11313" w:rsidRDefault="00BB2740" w:rsidP="00B021A6">
      <w:pPr>
        <w:tabs>
          <w:tab w:val="left" w:pos="0"/>
        </w:tabs>
        <w:contextualSpacing/>
      </w:pPr>
      <w:r w:rsidRPr="00D11313">
        <w:rPr>
          <w:b/>
          <w:noProof/>
        </w:rPr>
        <w:drawing>
          <wp:anchor distT="0" distB="0" distL="114300" distR="114300" simplePos="0" relativeHeight="251658240" behindDoc="0" locked="0" layoutInCell="1" allowOverlap="1" wp14:anchorId="54C58133" wp14:editId="37FA5167">
            <wp:simplePos x="0" y="0"/>
            <wp:positionH relativeFrom="margin">
              <wp:align>center</wp:align>
            </wp:positionH>
            <wp:positionV relativeFrom="paragraph">
              <wp:posOffset>10160</wp:posOffset>
            </wp:positionV>
            <wp:extent cx="1168400" cy="1094105"/>
            <wp:effectExtent l="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1094105"/>
                    </a:xfrm>
                    <a:prstGeom prst="rect">
                      <a:avLst/>
                    </a:prstGeom>
                    <a:noFill/>
                    <a:ln>
                      <a:noFill/>
                    </a:ln>
                  </pic:spPr>
                </pic:pic>
              </a:graphicData>
            </a:graphic>
          </wp:anchor>
        </w:drawing>
      </w:r>
    </w:p>
    <w:p w14:paraId="3C2AA90B" w14:textId="77777777" w:rsidR="00BB2740" w:rsidRPr="00D11313" w:rsidRDefault="00BB2740" w:rsidP="00B021A6">
      <w:pPr>
        <w:tabs>
          <w:tab w:val="left" w:pos="7517"/>
        </w:tabs>
        <w:contextualSpacing/>
        <w:jc w:val="center"/>
        <w:rPr>
          <w:b/>
          <w:bCs/>
        </w:rPr>
      </w:pPr>
      <w:r w:rsidRPr="00D11313">
        <w:rPr>
          <w:b/>
        </w:rPr>
        <w:br w:type="textWrapping" w:clear="all"/>
      </w:r>
    </w:p>
    <w:p w14:paraId="4BA3E2BD" w14:textId="614781D2" w:rsidR="00DD0181" w:rsidRPr="00D11313" w:rsidRDefault="00DD0181" w:rsidP="00B021A6">
      <w:pPr>
        <w:tabs>
          <w:tab w:val="left" w:pos="7517"/>
        </w:tabs>
        <w:contextualSpacing/>
        <w:jc w:val="center"/>
        <w:rPr>
          <w:b/>
        </w:rPr>
      </w:pPr>
      <w:r w:rsidRPr="00D11313">
        <w:rPr>
          <w:b/>
          <w:bCs/>
        </w:rPr>
        <w:t xml:space="preserve">THE </w:t>
      </w:r>
      <w:r w:rsidR="00836C48">
        <w:rPr>
          <w:b/>
          <w:bCs/>
        </w:rPr>
        <w:t xml:space="preserve">NEW YORK CITY </w:t>
      </w:r>
      <w:r w:rsidRPr="00D11313">
        <w:rPr>
          <w:b/>
          <w:bCs/>
        </w:rPr>
        <w:t>COUNCIL</w:t>
      </w:r>
    </w:p>
    <w:p w14:paraId="693E3B08" w14:textId="77777777" w:rsidR="005D6C82" w:rsidRPr="00D11313" w:rsidRDefault="005D6C82" w:rsidP="00B021A6">
      <w:pPr>
        <w:contextualSpacing/>
      </w:pPr>
    </w:p>
    <w:p w14:paraId="136BA1F6" w14:textId="77777777" w:rsidR="005D6C82" w:rsidRPr="00D11313" w:rsidRDefault="005D6C82" w:rsidP="00B021A6">
      <w:pPr>
        <w:contextualSpacing/>
      </w:pPr>
    </w:p>
    <w:p w14:paraId="23311E1B" w14:textId="0F8C20CF" w:rsidR="00913D2D" w:rsidRDefault="00266611" w:rsidP="00B021A6">
      <w:pPr>
        <w:pStyle w:val="Heading1"/>
        <w:spacing w:line="240" w:lineRule="auto"/>
        <w:contextualSpacing/>
        <w:jc w:val="center"/>
        <w:rPr>
          <w:b/>
          <w:bCs/>
          <w:i w:val="0"/>
          <w:iCs w:val="0"/>
          <w:caps/>
          <w:u w:val="single"/>
        </w:rPr>
      </w:pPr>
      <w:r>
        <w:rPr>
          <w:b/>
          <w:bCs/>
          <w:i w:val="0"/>
          <w:iCs w:val="0"/>
          <w:caps/>
          <w:u w:val="single"/>
        </w:rPr>
        <w:t>BRIEFING PAPER</w:t>
      </w:r>
      <w:r w:rsidR="00DD0181" w:rsidRPr="00D11313">
        <w:rPr>
          <w:b/>
          <w:bCs/>
          <w:i w:val="0"/>
          <w:iCs w:val="0"/>
          <w:caps/>
          <w:u w:val="single"/>
        </w:rPr>
        <w:t xml:space="preserve"> OF THE </w:t>
      </w:r>
      <w:r w:rsidR="00913D2D">
        <w:rPr>
          <w:b/>
          <w:bCs/>
          <w:i w:val="0"/>
          <w:iCs w:val="0"/>
          <w:caps/>
          <w:u w:val="single"/>
        </w:rPr>
        <w:t>INFRASTRUCTURE DIVISION</w:t>
      </w:r>
    </w:p>
    <w:p w14:paraId="3468A5BE" w14:textId="77777777" w:rsidR="00DD0181" w:rsidRPr="00D11313" w:rsidRDefault="0016314B" w:rsidP="00B021A6">
      <w:pPr>
        <w:contextualSpacing/>
        <w:jc w:val="center"/>
        <w:rPr>
          <w:i/>
        </w:rPr>
      </w:pPr>
      <w:r w:rsidRPr="00D11313">
        <w:t>Andrea Vazquez</w:t>
      </w:r>
      <w:r w:rsidR="00DD0181" w:rsidRPr="00D11313">
        <w:t>,</w:t>
      </w:r>
      <w:r w:rsidR="00DD0181" w:rsidRPr="00D11313">
        <w:rPr>
          <w:i/>
        </w:rPr>
        <w:t xml:space="preserve"> Legislative Director </w:t>
      </w:r>
    </w:p>
    <w:p w14:paraId="2DAB3CD2" w14:textId="77777777" w:rsidR="00913D2D" w:rsidRDefault="00913D2D" w:rsidP="00B021A6">
      <w:pPr>
        <w:contextualSpacing/>
        <w:jc w:val="center"/>
      </w:pPr>
      <w:r w:rsidRPr="00913D2D">
        <w:t xml:space="preserve">Bradley Reid, </w:t>
      </w:r>
      <w:r w:rsidRPr="00B35644">
        <w:rPr>
          <w:i/>
        </w:rPr>
        <w:t>Deputy Director, Infrastructure</w:t>
      </w:r>
    </w:p>
    <w:p w14:paraId="176F1CAC" w14:textId="77777777" w:rsidR="00D11313" w:rsidRPr="00D11313" w:rsidRDefault="00D11313" w:rsidP="00B021A6">
      <w:pPr>
        <w:contextualSpacing/>
        <w:rPr>
          <w:i/>
        </w:rPr>
      </w:pPr>
    </w:p>
    <w:p w14:paraId="1CABC3DC" w14:textId="77777777" w:rsidR="005D6C82" w:rsidRPr="00D11313" w:rsidRDefault="005D6C82" w:rsidP="00B021A6">
      <w:pPr>
        <w:contextualSpacing/>
        <w:rPr>
          <w:b/>
          <w:u w:val="single"/>
        </w:rPr>
      </w:pPr>
    </w:p>
    <w:p w14:paraId="04858C71" w14:textId="77777777" w:rsidR="00913D2D" w:rsidRDefault="00913D2D" w:rsidP="00B021A6">
      <w:pPr>
        <w:contextualSpacing/>
        <w:jc w:val="center"/>
        <w:rPr>
          <w:b/>
          <w:u w:val="single"/>
        </w:rPr>
      </w:pPr>
      <w:r w:rsidRPr="00426FAD">
        <w:rPr>
          <w:b/>
          <w:u w:val="single"/>
        </w:rPr>
        <w:t>COMMITTEE ON</w:t>
      </w:r>
      <w:r>
        <w:rPr>
          <w:b/>
          <w:u w:val="single"/>
        </w:rPr>
        <w:t xml:space="preserve"> PUBLIC HOUSING </w:t>
      </w:r>
    </w:p>
    <w:p w14:paraId="12698366" w14:textId="77777777" w:rsidR="00913D2D" w:rsidRPr="0050125E" w:rsidRDefault="00913D2D" w:rsidP="00B021A6">
      <w:pPr>
        <w:contextualSpacing/>
        <w:jc w:val="center"/>
        <w:rPr>
          <w:i/>
        </w:rPr>
      </w:pPr>
      <w:r w:rsidRPr="00913D2D">
        <w:t xml:space="preserve">Hon. Alexa </w:t>
      </w:r>
      <w:r w:rsidRPr="00913D2D">
        <w:rPr>
          <w:shd w:val="solid" w:color="FFFFFF" w:fill="FFFFFF"/>
        </w:rPr>
        <w:t>Avilés</w:t>
      </w:r>
      <w:r w:rsidRPr="00913D2D">
        <w:t>,</w:t>
      </w:r>
      <w:r w:rsidRPr="0050125E">
        <w:rPr>
          <w:i/>
        </w:rPr>
        <w:t xml:space="preserve"> Chair</w:t>
      </w:r>
    </w:p>
    <w:p w14:paraId="74E2AA4E" w14:textId="77777777" w:rsidR="00913D2D" w:rsidRDefault="00913D2D" w:rsidP="00B021A6">
      <w:pPr>
        <w:pStyle w:val="FootnoteText"/>
        <w:contextualSpacing/>
        <w:jc w:val="center"/>
        <w:rPr>
          <w:b/>
          <w:sz w:val="24"/>
          <w:szCs w:val="24"/>
          <w:u w:val="single"/>
        </w:rPr>
      </w:pPr>
    </w:p>
    <w:p w14:paraId="36AC72C4" w14:textId="77777777" w:rsidR="00913D2D" w:rsidRDefault="00913D2D" w:rsidP="00B021A6">
      <w:pPr>
        <w:pStyle w:val="FootnoteText"/>
        <w:contextualSpacing/>
        <w:jc w:val="center"/>
        <w:rPr>
          <w:b/>
          <w:sz w:val="24"/>
          <w:szCs w:val="24"/>
          <w:u w:val="single"/>
        </w:rPr>
      </w:pPr>
    </w:p>
    <w:p w14:paraId="695FCE38" w14:textId="2409DF08" w:rsidR="00DD0181" w:rsidRPr="00D11313" w:rsidRDefault="00FE7A03" w:rsidP="00B021A6">
      <w:pPr>
        <w:pStyle w:val="Heading4"/>
        <w:spacing w:before="0" w:after="0"/>
        <w:contextualSpacing/>
        <w:jc w:val="center"/>
        <w:rPr>
          <w:sz w:val="24"/>
          <w:szCs w:val="24"/>
        </w:rPr>
      </w:pPr>
      <w:r>
        <w:rPr>
          <w:sz w:val="24"/>
          <w:szCs w:val="24"/>
        </w:rPr>
        <w:t>November 1</w:t>
      </w:r>
      <w:r w:rsidR="00174B1E">
        <w:rPr>
          <w:sz w:val="24"/>
          <w:szCs w:val="24"/>
        </w:rPr>
        <w:t>7</w:t>
      </w:r>
      <w:r w:rsidR="00604413" w:rsidRPr="00D11313">
        <w:rPr>
          <w:sz w:val="24"/>
          <w:szCs w:val="24"/>
        </w:rPr>
        <w:t>,</w:t>
      </w:r>
      <w:r w:rsidR="00E11AFD" w:rsidRPr="00D11313">
        <w:rPr>
          <w:sz w:val="24"/>
          <w:szCs w:val="24"/>
        </w:rPr>
        <w:t xml:space="preserve"> 2022</w:t>
      </w:r>
    </w:p>
    <w:p w14:paraId="1B771E00" w14:textId="77777777" w:rsidR="005D6C82" w:rsidRPr="00D11313" w:rsidRDefault="005D6C82" w:rsidP="00B021A6">
      <w:pPr>
        <w:contextualSpacing/>
      </w:pPr>
    </w:p>
    <w:p w14:paraId="43C6AFCE" w14:textId="77777777" w:rsidR="005D6C82" w:rsidRPr="00D11313" w:rsidRDefault="005D6C82" w:rsidP="00B021A6">
      <w:pPr>
        <w:widowControl w:val="0"/>
        <w:autoSpaceDE w:val="0"/>
        <w:autoSpaceDN w:val="0"/>
        <w:adjustRightInd w:val="0"/>
        <w:contextualSpacing/>
        <w:jc w:val="both"/>
        <w:rPr>
          <w:b/>
          <w:u w:val="single"/>
        </w:rPr>
      </w:pPr>
    </w:p>
    <w:p w14:paraId="38534874" w14:textId="6379EA95" w:rsidR="00D11313" w:rsidRDefault="00913D2D" w:rsidP="00B021A6">
      <w:pPr>
        <w:pStyle w:val="Heading1"/>
        <w:contextualSpacing/>
        <w:jc w:val="center"/>
        <w:rPr>
          <w:b/>
          <w:i w:val="0"/>
          <w:smallCaps/>
          <w:u w:val="single"/>
        </w:rPr>
      </w:pPr>
      <w:r>
        <w:rPr>
          <w:b/>
          <w:i w:val="0"/>
          <w:iCs w:val="0"/>
          <w:u w:val="single"/>
        </w:rPr>
        <w:t xml:space="preserve">Oversight: </w:t>
      </w:r>
      <w:r w:rsidR="0029660E">
        <w:rPr>
          <w:b/>
          <w:i w:val="0"/>
          <w:iCs w:val="0"/>
          <w:u w:val="single"/>
        </w:rPr>
        <w:t>Resident Engagement and Outreach</w:t>
      </w:r>
    </w:p>
    <w:p w14:paraId="20827235" w14:textId="0D18E4AD" w:rsidR="00795256" w:rsidRDefault="00795256" w:rsidP="00B021A6">
      <w:pPr>
        <w:pStyle w:val="NormalWeb"/>
        <w:shd w:val="clear" w:color="auto" w:fill="FFFFFF"/>
        <w:spacing w:before="0" w:beforeAutospacing="0" w:after="0" w:afterAutospacing="0"/>
        <w:ind w:left="5040" w:hanging="5040"/>
        <w:contextualSpacing/>
        <w:jc w:val="both"/>
      </w:pPr>
    </w:p>
    <w:p w14:paraId="0F097E38" w14:textId="20F48363" w:rsidR="009E4620" w:rsidRDefault="009E4620" w:rsidP="00B021A6">
      <w:pPr>
        <w:pStyle w:val="NormalWeb"/>
        <w:shd w:val="clear" w:color="auto" w:fill="FFFFFF"/>
        <w:spacing w:before="0" w:beforeAutospacing="0" w:after="0" w:afterAutospacing="0"/>
        <w:ind w:left="5040" w:hanging="5040"/>
        <w:contextualSpacing/>
        <w:jc w:val="both"/>
      </w:pPr>
    </w:p>
    <w:p w14:paraId="5F6138F1" w14:textId="58709787" w:rsidR="009E4620" w:rsidRDefault="009E4620" w:rsidP="00B021A6">
      <w:pPr>
        <w:pStyle w:val="NormalWeb"/>
        <w:shd w:val="clear" w:color="auto" w:fill="FFFFFF"/>
        <w:spacing w:before="0" w:beforeAutospacing="0" w:after="0" w:afterAutospacing="0"/>
        <w:ind w:left="5040" w:hanging="5040"/>
        <w:contextualSpacing/>
        <w:jc w:val="both"/>
      </w:pPr>
    </w:p>
    <w:p w14:paraId="72720B61" w14:textId="6570B3CC" w:rsidR="009E4620" w:rsidRDefault="009E4620" w:rsidP="00B021A6">
      <w:pPr>
        <w:pStyle w:val="NormalWeb"/>
        <w:shd w:val="clear" w:color="auto" w:fill="FFFFFF"/>
        <w:spacing w:before="0" w:beforeAutospacing="0" w:after="0" w:afterAutospacing="0"/>
        <w:ind w:left="5040" w:hanging="5040"/>
        <w:contextualSpacing/>
        <w:jc w:val="both"/>
      </w:pPr>
    </w:p>
    <w:p w14:paraId="2FAE88C1" w14:textId="5E1E45F2" w:rsidR="009E4620" w:rsidRDefault="009E4620" w:rsidP="00B021A6">
      <w:pPr>
        <w:pStyle w:val="NormalWeb"/>
        <w:shd w:val="clear" w:color="auto" w:fill="FFFFFF"/>
        <w:spacing w:before="0" w:beforeAutospacing="0" w:after="0" w:afterAutospacing="0"/>
        <w:ind w:left="5040" w:hanging="5040"/>
        <w:contextualSpacing/>
        <w:jc w:val="both"/>
      </w:pPr>
    </w:p>
    <w:p w14:paraId="4A6E495A" w14:textId="77777777" w:rsidR="009E4620" w:rsidRDefault="009E4620" w:rsidP="00B021A6">
      <w:pPr>
        <w:pStyle w:val="NormalWeb"/>
        <w:shd w:val="clear" w:color="auto" w:fill="FFFFFF"/>
        <w:spacing w:before="0" w:beforeAutospacing="0" w:after="0" w:afterAutospacing="0"/>
        <w:ind w:left="5040" w:hanging="5040"/>
        <w:contextualSpacing/>
        <w:jc w:val="both"/>
      </w:pPr>
    </w:p>
    <w:p w14:paraId="5F58E768" w14:textId="77777777" w:rsidR="00DD0181" w:rsidRDefault="00DD0181" w:rsidP="00B021A6">
      <w:pPr>
        <w:pStyle w:val="Heading1"/>
        <w:numPr>
          <w:ilvl w:val="0"/>
          <w:numId w:val="8"/>
        </w:numPr>
        <w:contextualSpacing/>
        <w:rPr>
          <w:b/>
          <w:i w:val="0"/>
          <w:smallCaps/>
          <w:u w:val="single"/>
        </w:rPr>
      </w:pPr>
      <w:r w:rsidRPr="00C238EB">
        <w:rPr>
          <w:b/>
          <w:i w:val="0"/>
          <w:smallCaps/>
          <w:u w:val="single"/>
        </w:rPr>
        <w:t>Introduction</w:t>
      </w:r>
    </w:p>
    <w:p w14:paraId="70B26568" w14:textId="2E894BC7" w:rsidR="00DD0181" w:rsidRDefault="00DD0181" w:rsidP="00B021A6">
      <w:pPr>
        <w:spacing w:line="480" w:lineRule="auto"/>
        <w:ind w:firstLine="720"/>
        <w:contextualSpacing/>
        <w:jc w:val="both"/>
      </w:pPr>
      <w:r>
        <w:t xml:space="preserve">On </w:t>
      </w:r>
      <w:r w:rsidR="00FE7A03">
        <w:t>November 1</w:t>
      </w:r>
      <w:r w:rsidR="00174B1E">
        <w:t>7</w:t>
      </w:r>
      <w:r w:rsidR="00604413">
        <w:t>,</w:t>
      </w:r>
      <w:r w:rsidR="00B80097">
        <w:t xml:space="preserve"> 2022</w:t>
      </w:r>
      <w:r>
        <w:t>,</w:t>
      </w:r>
      <w:r w:rsidRPr="00D773DC">
        <w:t xml:space="preserve"> </w:t>
      </w:r>
      <w:r w:rsidR="00913D2D" w:rsidRPr="00913D2D">
        <w:t>the</w:t>
      </w:r>
      <w:r w:rsidR="00104920">
        <w:t xml:space="preserve"> New York City Council (“Council”)</w:t>
      </w:r>
      <w:r w:rsidR="00913D2D" w:rsidRPr="00913D2D">
        <w:t xml:space="preserve"> Committee on Public Housing, chaired by Council Member Alexa Avilés, </w:t>
      </w:r>
      <w:r w:rsidR="002915C1">
        <w:t xml:space="preserve">will hold an oversight hearing </w:t>
      </w:r>
      <w:r w:rsidR="00984FD3">
        <w:t xml:space="preserve">regarding </w:t>
      </w:r>
      <w:r w:rsidR="00AB3A1F">
        <w:lastRenderedPageBreak/>
        <w:t>resident engagement and outreach</w:t>
      </w:r>
      <w:r w:rsidR="00795256">
        <w:t xml:space="preserve">. </w:t>
      </w:r>
      <w:r w:rsidR="002915C1">
        <w:t xml:space="preserve">Those invited to testify include </w:t>
      </w:r>
      <w:r w:rsidR="007C1254">
        <w:t>the New York City Housing Authority (“</w:t>
      </w:r>
      <w:r w:rsidR="002311F5">
        <w:t>NYCHA</w:t>
      </w:r>
      <w:r w:rsidR="007C1254">
        <w:t>”)</w:t>
      </w:r>
      <w:r w:rsidR="002915C1">
        <w:t xml:space="preserve">, </w:t>
      </w:r>
      <w:r w:rsidR="00AB3A1F">
        <w:t xml:space="preserve">NYCHA </w:t>
      </w:r>
      <w:r w:rsidR="00DD28EE">
        <w:t>Residents’</w:t>
      </w:r>
      <w:r w:rsidR="00AB3A1F">
        <w:t xml:space="preserve"> </w:t>
      </w:r>
      <w:r w:rsidR="00DD28EE">
        <w:t>A</w:t>
      </w:r>
      <w:r w:rsidR="00AB3A1F">
        <w:t xml:space="preserve">ssociations, </w:t>
      </w:r>
      <w:r w:rsidR="002915C1">
        <w:t xml:space="preserve">and other </w:t>
      </w:r>
      <w:r w:rsidR="0017329A">
        <w:t xml:space="preserve">interested </w:t>
      </w:r>
      <w:r w:rsidR="002915C1">
        <w:t>members of the public.</w:t>
      </w:r>
    </w:p>
    <w:p w14:paraId="06E944D1" w14:textId="77777777" w:rsidR="002915C1" w:rsidRPr="00795256" w:rsidRDefault="002E4EA1" w:rsidP="00B021A6">
      <w:pPr>
        <w:pStyle w:val="Heading1"/>
        <w:keepNext w:val="0"/>
        <w:numPr>
          <w:ilvl w:val="0"/>
          <w:numId w:val="8"/>
        </w:numPr>
        <w:contextualSpacing/>
        <w:rPr>
          <w:b/>
          <w:smallCaps/>
          <w:u w:val="single"/>
        </w:rPr>
      </w:pPr>
      <w:r>
        <w:rPr>
          <w:b/>
          <w:i w:val="0"/>
          <w:smallCaps/>
          <w:u w:val="single"/>
        </w:rPr>
        <w:t xml:space="preserve">Background </w:t>
      </w:r>
    </w:p>
    <w:p w14:paraId="3E01A71F" w14:textId="77777777" w:rsidR="002915C1" w:rsidRPr="00756CD1" w:rsidRDefault="00984FD3" w:rsidP="00B021A6">
      <w:pPr>
        <w:pStyle w:val="Heading1"/>
        <w:keepNext w:val="0"/>
        <w:numPr>
          <w:ilvl w:val="1"/>
          <w:numId w:val="8"/>
        </w:numPr>
        <w:contextualSpacing/>
        <w:rPr>
          <w:b/>
          <w:bCs/>
        </w:rPr>
      </w:pPr>
      <w:r w:rsidRPr="00B021A6">
        <w:rPr>
          <w:b/>
          <w:bCs/>
          <w:i w:val="0"/>
        </w:rPr>
        <w:t>NYCHA</w:t>
      </w:r>
    </w:p>
    <w:p w14:paraId="06CC3C6D" w14:textId="6FFE735B" w:rsidR="00984FD3" w:rsidRDefault="54FADB7D" w:rsidP="00B021A6">
      <w:pPr>
        <w:spacing w:line="480" w:lineRule="auto"/>
        <w:ind w:firstLine="720"/>
        <w:contextualSpacing/>
        <w:jc w:val="both"/>
      </w:pPr>
      <w:r w:rsidRPr="4A298E6F">
        <w:rPr>
          <w:color w:val="000000" w:themeColor="text1"/>
        </w:rPr>
        <w:t xml:space="preserve">Former New York City </w:t>
      </w:r>
      <w:r w:rsidR="00D34EB9">
        <w:rPr>
          <w:color w:val="000000" w:themeColor="text1"/>
        </w:rPr>
        <w:t>(</w:t>
      </w:r>
      <w:r w:rsidR="00BD50D2">
        <w:rPr>
          <w:color w:val="000000" w:themeColor="text1"/>
        </w:rPr>
        <w:t>“</w:t>
      </w:r>
      <w:r w:rsidR="00D34EB9">
        <w:rPr>
          <w:color w:val="000000" w:themeColor="text1"/>
        </w:rPr>
        <w:t>City</w:t>
      </w:r>
      <w:r w:rsidR="00BD50D2">
        <w:rPr>
          <w:color w:val="000000" w:themeColor="text1"/>
        </w:rPr>
        <w:t>”</w:t>
      </w:r>
      <w:r w:rsidR="00D34EB9">
        <w:rPr>
          <w:color w:val="000000" w:themeColor="text1"/>
        </w:rPr>
        <w:t xml:space="preserve">) </w:t>
      </w:r>
      <w:r w:rsidRPr="4A298E6F">
        <w:rPr>
          <w:color w:val="000000" w:themeColor="text1"/>
        </w:rPr>
        <w:t>Mayor Fiorello La Guardia created NYCHA in 1934 by replacing dilapidated tenements using funds from The New Deal,</w:t>
      </w:r>
      <w:r w:rsidRPr="4A298E6F">
        <w:rPr>
          <w:rStyle w:val="FootnoteReference"/>
          <w:color w:val="000000" w:themeColor="text1"/>
        </w:rPr>
        <w:footnoteReference w:id="1"/>
      </w:r>
      <w:r w:rsidRPr="4A298E6F">
        <w:rPr>
          <w:color w:val="000000" w:themeColor="text1"/>
        </w:rPr>
        <w:t xml:space="preserve"> three years before the </w:t>
      </w:r>
      <w:r w:rsidR="00D75323">
        <w:rPr>
          <w:color w:val="000000" w:themeColor="text1"/>
        </w:rPr>
        <w:t>United States</w:t>
      </w:r>
      <w:r w:rsidR="00D34EB9">
        <w:rPr>
          <w:color w:val="000000" w:themeColor="text1"/>
        </w:rPr>
        <w:t xml:space="preserve"> </w:t>
      </w:r>
      <w:r w:rsidRPr="4A298E6F">
        <w:rPr>
          <w:color w:val="000000" w:themeColor="text1"/>
        </w:rPr>
        <w:t>Housing Act of 1937 established public housing nationwide.</w:t>
      </w:r>
      <w:r w:rsidRPr="4A298E6F">
        <w:rPr>
          <w:rStyle w:val="FootnoteReference"/>
          <w:color w:val="000000" w:themeColor="text1"/>
        </w:rPr>
        <w:footnoteReference w:id="2"/>
      </w:r>
      <w:r w:rsidR="78827F82" w:rsidRPr="4A298E6F">
        <w:rPr>
          <w:color w:val="000000" w:themeColor="text1"/>
        </w:rPr>
        <w:t xml:space="preserve"> </w:t>
      </w:r>
      <w:r w:rsidRPr="4A298E6F">
        <w:rPr>
          <w:color w:val="000000" w:themeColor="text1"/>
        </w:rPr>
        <w:t>NYCHA originally served two purposes: (1) to provide low-cost housing for middle-class, working families temporarily unemployed because of the Great Depression, and (2) to bolster the lagging economy by creating jobs for building trades.</w:t>
      </w:r>
      <w:r w:rsidRPr="4A298E6F">
        <w:rPr>
          <w:rStyle w:val="FootnoteReference"/>
          <w:color w:val="000000" w:themeColor="text1"/>
        </w:rPr>
        <w:footnoteReference w:id="3"/>
      </w:r>
      <w:r w:rsidRPr="4A298E6F">
        <w:rPr>
          <w:color w:val="000000" w:themeColor="text1"/>
        </w:rPr>
        <w:t xml:space="preserve"> Later, NYCHA’s purpose evolved into providing safe, decent housing for families with the lowest incomes.</w:t>
      </w:r>
      <w:r w:rsidRPr="4A298E6F">
        <w:rPr>
          <w:rStyle w:val="FootnoteReference"/>
          <w:color w:val="000000" w:themeColor="text1"/>
        </w:rPr>
        <w:footnoteReference w:id="4"/>
      </w:r>
      <w:r w:rsidRPr="4A298E6F">
        <w:rPr>
          <w:color w:val="000000" w:themeColor="text1"/>
        </w:rPr>
        <w:t xml:space="preserve"> Currently, NYCHA has 335 developments, </w:t>
      </w:r>
      <w:r w:rsidR="003F2260">
        <w:rPr>
          <w:color w:val="000000" w:themeColor="text1"/>
        </w:rPr>
        <w:t>with</w:t>
      </w:r>
      <w:r w:rsidR="003F2260" w:rsidRPr="4A298E6F">
        <w:rPr>
          <w:color w:val="000000" w:themeColor="text1"/>
        </w:rPr>
        <w:t xml:space="preserve"> </w:t>
      </w:r>
      <w:r w:rsidRPr="4A298E6F">
        <w:rPr>
          <w:color w:val="000000" w:themeColor="text1"/>
        </w:rPr>
        <w:t>177,569 units that are home to 525,686 authorized residents through</w:t>
      </w:r>
      <w:r w:rsidR="0051202B">
        <w:rPr>
          <w:color w:val="000000" w:themeColor="text1"/>
        </w:rPr>
        <w:t xml:space="preserve"> traditional Section 9</w:t>
      </w:r>
      <w:r w:rsidRPr="4A298E6F">
        <w:rPr>
          <w:color w:val="000000" w:themeColor="text1"/>
        </w:rPr>
        <w:t xml:space="preserve"> public housing, </w:t>
      </w:r>
      <w:r w:rsidR="003F2260">
        <w:rPr>
          <w:color w:val="000000" w:themeColor="text1"/>
        </w:rPr>
        <w:t>the Housing Choice Voucher program created by the United States Housing and Community Development Act of 1978 (</w:t>
      </w:r>
      <w:r w:rsidRPr="4A298E6F">
        <w:rPr>
          <w:color w:val="000000" w:themeColor="text1"/>
        </w:rPr>
        <w:t>Section 8</w:t>
      </w:r>
      <w:r w:rsidR="003F2260">
        <w:rPr>
          <w:color w:val="000000" w:themeColor="text1"/>
        </w:rPr>
        <w:t>)</w:t>
      </w:r>
      <w:r w:rsidRPr="4A298E6F">
        <w:rPr>
          <w:color w:val="000000" w:themeColor="text1"/>
        </w:rPr>
        <w:t xml:space="preserve">, and NYCHA’s </w:t>
      </w:r>
      <w:r w:rsidR="003F2260" w:rsidRPr="175A4A8D">
        <w:rPr>
          <w:color w:val="000000" w:themeColor="text1"/>
        </w:rPr>
        <w:t xml:space="preserve">implementation of the federal </w:t>
      </w:r>
      <w:r w:rsidR="003F2260">
        <w:rPr>
          <w:color w:val="000000" w:themeColor="text1"/>
        </w:rPr>
        <w:t>R</w:t>
      </w:r>
      <w:r w:rsidR="003F2260" w:rsidRPr="175A4A8D">
        <w:rPr>
          <w:color w:val="000000" w:themeColor="text1"/>
        </w:rPr>
        <w:t xml:space="preserve">ental </w:t>
      </w:r>
      <w:r w:rsidR="003F2260">
        <w:rPr>
          <w:color w:val="000000" w:themeColor="text1"/>
        </w:rPr>
        <w:t>A</w:t>
      </w:r>
      <w:r w:rsidR="003F2260" w:rsidRPr="175A4A8D">
        <w:rPr>
          <w:color w:val="000000" w:themeColor="text1"/>
        </w:rPr>
        <w:t xml:space="preserve">ssistance </w:t>
      </w:r>
      <w:r w:rsidR="003F2260">
        <w:rPr>
          <w:color w:val="000000" w:themeColor="text1"/>
        </w:rPr>
        <w:t>D</w:t>
      </w:r>
      <w:r w:rsidR="003F2260" w:rsidRPr="175A4A8D">
        <w:rPr>
          <w:color w:val="000000" w:themeColor="text1"/>
        </w:rPr>
        <w:t>emonstration (“RAD”) program</w:t>
      </w:r>
      <w:r w:rsidR="003F2260">
        <w:rPr>
          <w:color w:val="000000" w:themeColor="text1"/>
        </w:rPr>
        <w:t>.</w:t>
      </w:r>
      <w:r w:rsidR="006B2C26">
        <w:rPr>
          <w:rStyle w:val="FootnoteReference"/>
          <w:color w:val="000000" w:themeColor="text1"/>
        </w:rPr>
        <w:footnoteReference w:id="5"/>
      </w:r>
    </w:p>
    <w:p w14:paraId="005C6EC5" w14:textId="72825660" w:rsidR="00984FD3" w:rsidRDefault="00B021A6" w:rsidP="00B021A6">
      <w:pPr>
        <w:pStyle w:val="ListParagraph"/>
        <w:numPr>
          <w:ilvl w:val="0"/>
          <w:numId w:val="8"/>
        </w:numPr>
        <w:spacing w:line="480" w:lineRule="auto"/>
        <w:jc w:val="both"/>
        <w:rPr>
          <w:rFonts w:ascii="Times New Roman Bold" w:hAnsi="Times New Roman Bold"/>
          <w:b/>
          <w:smallCaps/>
          <w:u w:val="single"/>
        </w:rPr>
      </w:pPr>
      <w:r>
        <w:rPr>
          <w:rFonts w:ascii="Times New Roman Bold" w:hAnsi="Times New Roman Bold"/>
          <w:b/>
          <w:smallCaps/>
          <w:u w:val="single"/>
        </w:rPr>
        <w:t>Resident Engagement at NYCHA</w:t>
      </w:r>
    </w:p>
    <w:p w14:paraId="01E221AC" w14:textId="45816C63" w:rsidR="00B021A6" w:rsidRPr="00B021A6" w:rsidRDefault="00B021A6" w:rsidP="00B021A6">
      <w:pPr>
        <w:pStyle w:val="Heading1"/>
        <w:keepNext w:val="0"/>
        <w:numPr>
          <w:ilvl w:val="1"/>
          <w:numId w:val="8"/>
        </w:numPr>
        <w:contextualSpacing/>
        <w:rPr>
          <w:b/>
          <w:bCs/>
          <w:i w:val="0"/>
        </w:rPr>
      </w:pPr>
      <w:r>
        <w:rPr>
          <w:b/>
          <w:bCs/>
          <w:i w:val="0"/>
        </w:rPr>
        <w:t>Resident Engagement Department (RED)</w:t>
      </w:r>
    </w:p>
    <w:p w14:paraId="74776906" w14:textId="2AC319DB" w:rsidR="00412AEA" w:rsidRDefault="00DD28EE" w:rsidP="00B021A6">
      <w:pPr>
        <w:spacing w:line="480" w:lineRule="auto"/>
        <w:ind w:firstLine="720"/>
        <w:contextualSpacing/>
        <w:jc w:val="both"/>
      </w:pPr>
      <w:r>
        <w:t>NYCHA has a dedicated Resident Engagement Department (</w:t>
      </w:r>
      <w:r w:rsidR="007C1254">
        <w:t>“</w:t>
      </w:r>
      <w:r>
        <w:t>RED</w:t>
      </w:r>
      <w:r w:rsidR="007C1254">
        <w:t>”</w:t>
      </w:r>
      <w:r>
        <w:t>)</w:t>
      </w:r>
      <w:bookmarkStart w:id="1" w:name="_Ref117509870"/>
      <w:r w:rsidR="00C576E2">
        <w:t>,</w:t>
      </w:r>
      <w:r>
        <w:rPr>
          <w:rStyle w:val="FootnoteReference"/>
        </w:rPr>
        <w:footnoteReference w:id="6"/>
      </w:r>
      <w:bookmarkEnd w:id="1"/>
      <w:r>
        <w:t xml:space="preserve"> tasked with engaging residents through outreach, education, and information sharing.</w:t>
      </w:r>
      <w:r>
        <w:rPr>
          <w:rStyle w:val="FootnoteReference"/>
        </w:rPr>
        <w:footnoteReference w:id="7"/>
      </w:r>
      <w:r>
        <w:t xml:space="preserve"> For fiscal year 2022, </w:t>
      </w:r>
      <w:r w:rsidR="003C4796">
        <w:t>RED had a staff headcount of 75,</w:t>
      </w:r>
      <w:r w:rsidR="003C4796">
        <w:rPr>
          <w:rStyle w:val="FootnoteReference"/>
        </w:rPr>
        <w:footnoteReference w:id="8"/>
      </w:r>
      <w:r>
        <w:t xml:space="preserve"> </w:t>
      </w:r>
      <w:r w:rsidR="003C4796">
        <w:t xml:space="preserve">with an </w:t>
      </w:r>
      <w:r>
        <w:t xml:space="preserve">operating expense budget </w:t>
      </w:r>
      <w:r w:rsidR="003C4796">
        <w:t>of</w:t>
      </w:r>
      <w:r>
        <w:t xml:space="preserve"> $10.29 million</w:t>
      </w:r>
      <w:r w:rsidR="003D51F4">
        <w:t>: $7.34 million for personal services and $2.95 million f</w:t>
      </w:r>
      <w:r w:rsidR="003C4796">
        <w:t>or other than personal services.</w:t>
      </w:r>
      <w:r w:rsidR="003D51F4">
        <w:rPr>
          <w:rStyle w:val="FootnoteReference"/>
        </w:rPr>
        <w:footnoteReference w:id="9"/>
      </w:r>
      <w:r w:rsidR="003C4796">
        <w:t xml:space="preserve"> Between fiscal year 2021 and fiscal year 2022 there was an increase in contract expenditures from $35,000 to $519,000, a difference of approximately $484,000.</w:t>
      </w:r>
      <w:r w:rsidR="00E66BFF">
        <w:rPr>
          <w:rStyle w:val="FootnoteReference"/>
        </w:rPr>
        <w:footnoteReference w:id="10"/>
      </w:r>
      <w:r w:rsidR="003C4796">
        <w:t xml:space="preserve"> </w:t>
      </w:r>
    </w:p>
    <w:p w14:paraId="4A68EEAD" w14:textId="7E1495C9" w:rsidR="00B021A6" w:rsidRDefault="00B021A6" w:rsidP="00B021A6">
      <w:pPr>
        <w:pStyle w:val="Heading1"/>
        <w:keepNext w:val="0"/>
        <w:numPr>
          <w:ilvl w:val="1"/>
          <w:numId w:val="8"/>
        </w:numPr>
        <w:contextualSpacing/>
        <w:rPr>
          <w:b/>
          <w:bCs/>
          <w:i w:val="0"/>
        </w:rPr>
      </w:pPr>
      <w:r>
        <w:rPr>
          <w:b/>
          <w:bCs/>
          <w:i w:val="0"/>
        </w:rPr>
        <w:t>Resident Associations</w:t>
      </w:r>
    </w:p>
    <w:p w14:paraId="76C3367A" w14:textId="732E70EC" w:rsidR="001D2D93" w:rsidRDefault="001D2D93" w:rsidP="000F34A9">
      <w:pPr>
        <w:spacing w:line="480" w:lineRule="auto"/>
        <w:ind w:firstLine="720"/>
        <w:jc w:val="both"/>
      </w:pPr>
      <w:r>
        <w:t>Resident Associations (</w:t>
      </w:r>
      <w:r w:rsidR="00DA1056">
        <w:t>“</w:t>
      </w:r>
      <w:r>
        <w:t>RA</w:t>
      </w:r>
      <w:r w:rsidR="00DA1056">
        <w:t>”</w:t>
      </w:r>
      <w:r>
        <w:t>)</w:t>
      </w:r>
      <w:r w:rsidR="000F34A9">
        <w:rPr>
          <w:rStyle w:val="FootnoteReference"/>
        </w:rPr>
        <w:footnoteReference w:id="11"/>
      </w:r>
      <w:r>
        <w:t xml:space="preserve"> are </w:t>
      </w:r>
      <w:r w:rsidR="000F34A9">
        <w:t>resident membership organizations duly recognized by NYCHA as the representative of the authorized residents of a NYCHA development.</w:t>
      </w:r>
      <w:r w:rsidR="006326DA">
        <w:rPr>
          <w:rStyle w:val="FootnoteReference"/>
        </w:rPr>
        <w:footnoteReference w:id="12"/>
      </w:r>
      <w:r w:rsidR="000F34A9">
        <w:t xml:space="preserve"> </w:t>
      </w:r>
      <w:r w:rsidR="006326DA">
        <w:t xml:space="preserve">RAs are </w:t>
      </w:r>
      <w:r w:rsidR="000F34A9">
        <w:t>comprised of elected board members who represent the residents of a given NYCHA development.</w:t>
      </w:r>
      <w:r w:rsidR="000F34A9">
        <w:rPr>
          <w:rStyle w:val="FootnoteReference"/>
        </w:rPr>
        <w:footnoteReference w:id="13"/>
      </w:r>
      <w:r w:rsidR="000F34A9">
        <w:t xml:space="preserve"> According to NYCHA’s website, RAs “work with NYCHA management at every level, giving residents a real voice in the operation of their developments.”</w:t>
      </w:r>
      <w:r w:rsidR="000F34A9">
        <w:rPr>
          <w:rStyle w:val="FootnoteReference"/>
        </w:rPr>
        <w:footnoteReference w:id="14"/>
      </w:r>
      <w:r w:rsidR="000F34A9">
        <w:t xml:space="preserve"> The establishment and participation of RAs is encouraged by the United States Department of Housing and Urban Development (</w:t>
      </w:r>
      <w:r w:rsidR="00DA1056">
        <w:t>“</w:t>
      </w:r>
      <w:r w:rsidR="000F34A9">
        <w:t>HUD</w:t>
      </w:r>
      <w:r w:rsidR="00DA1056">
        <w:t>”</w:t>
      </w:r>
      <w:r w:rsidR="000F34A9">
        <w:t>),</w:t>
      </w:r>
      <w:r w:rsidR="000F34A9">
        <w:rPr>
          <w:rStyle w:val="FootnoteReference"/>
        </w:rPr>
        <w:footnoteReference w:id="15"/>
      </w:r>
      <w:r w:rsidR="000F34A9">
        <w:t xml:space="preserve"> </w:t>
      </w:r>
      <w:r w:rsidR="009922C0">
        <w:t>which recognizes</w:t>
      </w:r>
      <w:r w:rsidR="000F34A9">
        <w:t xml:space="preserve"> “the importance of resident involvement in creating a positive living environment and in actively participating in the overall mission of public housing.”</w:t>
      </w:r>
      <w:r w:rsidR="000F34A9">
        <w:rPr>
          <w:rStyle w:val="FootnoteReference"/>
        </w:rPr>
        <w:footnoteReference w:id="16"/>
      </w:r>
      <w:r w:rsidR="006326DA">
        <w:t xml:space="preserve"> Federal regulations state that the role of the RA is “to improve the quality of life and resident satisfaction to participate in self-help initiatives to enable residents to create a positive living environment for families living in public housing.”</w:t>
      </w:r>
      <w:r w:rsidR="00F631BF">
        <w:rPr>
          <w:rStyle w:val="FootnoteReference"/>
        </w:rPr>
        <w:footnoteReference w:id="17"/>
      </w:r>
    </w:p>
    <w:p w14:paraId="518A7D6D" w14:textId="015D8CE9" w:rsidR="00EC7E4B" w:rsidRDefault="00EC7E4B" w:rsidP="000F34A9">
      <w:pPr>
        <w:spacing w:line="480" w:lineRule="auto"/>
        <w:ind w:firstLine="720"/>
        <w:jc w:val="both"/>
      </w:pPr>
      <w:r>
        <w:t xml:space="preserve">Among other requirements, an RA </w:t>
      </w:r>
      <w:r w:rsidR="00FE7A03">
        <w:t>must have a governing board that is elected by the voting membership</w:t>
      </w:r>
      <w:r w:rsidR="00F67AA3">
        <w:t>, explained in further detail below</w:t>
      </w:r>
      <w:r w:rsidR="00FE7A03">
        <w:t>.</w:t>
      </w:r>
      <w:r w:rsidR="00D5197E">
        <w:rPr>
          <w:rStyle w:val="FootnoteReference"/>
        </w:rPr>
        <w:footnoteReference w:id="18"/>
      </w:r>
      <w:r w:rsidR="00D5197E">
        <w:t xml:space="preserve"> </w:t>
      </w:r>
      <w:r w:rsidR="00E42871">
        <w:t xml:space="preserve">The governing board of the RA must consist of at least five NYCHA residents, and </w:t>
      </w:r>
      <w:r w:rsidR="009922C0">
        <w:t>is required to</w:t>
      </w:r>
      <w:r w:rsidR="00E42871">
        <w:t xml:space="preserve"> adopt written procedures, such as by-laws or a constitution.</w:t>
      </w:r>
      <w:r w:rsidR="00E42871">
        <w:rPr>
          <w:rStyle w:val="FootnoteReference"/>
        </w:rPr>
        <w:footnoteReference w:id="19"/>
      </w:r>
      <w:r w:rsidR="00E42871">
        <w:t xml:space="preserve"> </w:t>
      </w:r>
      <w:r w:rsidR="005833AE">
        <w:t>These officers serve on a voluntary basis and do not receive a salary, although up to five officers of each RA may receive monthly stipends of up to $200 each.</w:t>
      </w:r>
      <w:r w:rsidR="005833AE">
        <w:rPr>
          <w:rStyle w:val="FootnoteReference"/>
        </w:rPr>
        <w:footnoteReference w:id="20"/>
      </w:r>
      <w:r w:rsidR="005833AE">
        <w:t xml:space="preserve"> </w:t>
      </w:r>
      <w:r w:rsidR="00F4101C">
        <w:t>These stipends are not to be construed as salaries.</w:t>
      </w:r>
      <w:r w:rsidR="00F4101C">
        <w:rPr>
          <w:rStyle w:val="FootnoteReference"/>
        </w:rPr>
        <w:footnoteReference w:id="21"/>
      </w:r>
      <w:r w:rsidR="00F4101C">
        <w:t xml:space="preserve"> </w:t>
      </w:r>
      <w:r w:rsidR="00D5197E">
        <w:t>According to HUD regulations, any funding of resident activities and resident input into decisions concerning public housing operations can only be made by an officially recognized RA.</w:t>
      </w:r>
      <w:r w:rsidR="00D5197E">
        <w:rPr>
          <w:rStyle w:val="FootnoteReference"/>
        </w:rPr>
        <w:footnoteReference w:id="22"/>
      </w:r>
      <w:r w:rsidR="00D5197E">
        <w:t xml:space="preserve"> </w:t>
      </w:r>
      <w:r w:rsidR="0071761B">
        <w:t>If an RA fails to satisfy HUD</w:t>
      </w:r>
      <w:r w:rsidR="00DA1056">
        <w:t>’s</w:t>
      </w:r>
      <w:r w:rsidR="0071761B">
        <w:t xml:space="preserve"> minimum standards for fair and frequent elections, or fails to follow its own election procedures as adopted, </w:t>
      </w:r>
      <w:r w:rsidR="00DA1056">
        <w:t xml:space="preserve">then </w:t>
      </w:r>
      <w:r w:rsidR="0071761B">
        <w:t xml:space="preserve">HUD requires NYCHA to withdraw recognition of the RA and to withhold tenant participation funds meant to support tenant participation activities. RAs must also attend all trainings required by NYCHA in order to be eligible to receive </w:t>
      </w:r>
      <w:r w:rsidR="0006578E">
        <w:t>tenant participation activity (“</w:t>
      </w:r>
      <w:r w:rsidR="0071761B">
        <w:t>TPA</w:t>
      </w:r>
      <w:r w:rsidR="0006578E">
        <w:t>”)</w:t>
      </w:r>
      <w:r w:rsidR="0071761B">
        <w:t xml:space="preserve"> funds.</w:t>
      </w:r>
      <w:r w:rsidR="0071761B">
        <w:rPr>
          <w:rStyle w:val="FootnoteReference"/>
        </w:rPr>
        <w:footnoteReference w:id="23"/>
      </w:r>
    </w:p>
    <w:p w14:paraId="6CED9A5A" w14:textId="77777777" w:rsidR="00B021A6" w:rsidRPr="00B021A6" w:rsidRDefault="00B021A6" w:rsidP="00B021A6">
      <w:pPr>
        <w:pStyle w:val="ListParagraph"/>
        <w:numPr>
          <w:ilvl w:val="2"/>
          <w:numId w:val="8"/>
        </w:numPr>
        <w:spacing w:after="160" w:line="259" w:lineRule="auto"/>
        <w:rPr>
          <w:b/>
        </w:rPr>
      </w:pPr>
      <w:r w:rsidRPr="00B021A6">
        <w:rPr>
          <w:b/>
        </w:rPr>
        <w:t>Elections</w:t>
      </w:r>
    </w:p>
    <w:p w14:paraId="65F72C1A" w14:textId="7CF36D61" w:rsidR="00B021A6" w:rsidRDefault="000037EC" w:rsidP="002616CD">
      <w:pPr>
        <w:spacing w:line="480" w:lineRule="auto"/>
        <w:ind w:firstLine="720"/>
        <w:contextualSpacing/>
        <w:jc w:val="both"/>
      </w:pPr>
      <w:r>
        <w:t xml:space="preserve">The members of the governing board of </w:t>
      </w:r>
      <w:r w:rsidR="0071761B">
        <w:t>RAs are selected through a democratic election</w:t>
      </w:r>
      <w:r w:rsidR="002616CD">
        <w:t xml:space="preserve">, by electors that meet </w:t>
      </w:r>
      <w:r>
        <w:t xml:space="preserve">the </w:t>
      </w:r>
      <w:r w:rsidR="002616CD">
        <w:t>eligibility criteria below</w:t>
      </w:r>
      <w:r w:rsidR="0071761B">
        <w:t>.</w:t>
      </w:r>
      <w:r w:rsidR="0071761B">
        <w:rPr>
          <w:rStyle w:val="FootnoteReference"/>
        </w:rPr>
        <w:footnoteReference w:id="24"/>
      </w:r>
      <w:r w:rsidR="00777B4D">
        <w:t xml:space="preserve"> As </w:t>
      </w:r>
      <w:r w:rsidR="002049F1">
        <w:t>noted above</w:t>
      </w:r>
      <w:r w:rsidR="00777B4D">
        <w:t>, RA boards must c</w:t>
      </w:r>
      <w:r w:rsidR="002616CD">
        <w:t>onsist of</w:t>
      </w:r>
      <w:r w:rsidR="00F67AA3">
        <w:t xml:space="preserve">, at a minimum, </w:t>
      </w:r>
      <w:r w:rsidR="002616CD">
        <w:t xml:space="preserve">five elected members: </w:t>
      </w:r>
      <w:r w:rsidR="00777B4D">
        <w:t>a president, vice president, secretary, treasurer, and sergeant-at-arms.</w:t>
      </w:r>
      <w:r w:rsidR="00777B4D">
        <w:rPr>
          <w:rStyle w:val="FootnoteReference"/>
        </w:rPr>
        <w:footnoteReference w:id="25"/>
      </w:r>
      <w:r w:rsidR="00777B4D">
        <w:t xml:space="preserve"> Since 2015, </w:t>
      </w:r>
      <w:r w:rsidR="002616CD">
        <w:t>NYCHA’s</w:t>
      </w:r>
      <w:r w:rsidR="00777B4D">
        <w:t xml:space="preserve"> RED has facilitated RA elections in an effort to make them uniform across NYCHA developments.</w:t>
      </w:r>
      <w:r w:rsidR="00777B4D">
        <w:rPr>
          <w:rStyle w:val="FootnoteReference"/>
        </w:rPr>
        <w:footnoteReference w:id="26"/>
      </w:r>
      <w:r w:rsidR="00777B4D">
        <w:t xml:space="preserve"> </w:t>
      </w:r>
    </w:p>
    <w:p w14:paraId="1F227D3D" w14:textId="4F71C320" w:rsidR="00AC37EC" w:rsidRDefault="00AC37EC" w:rsidP="002616CD">
      <w:pPr>
        <w:spacing w:line="480" w:lineRule="auto"/>
        <w:ind w:firstLine="720"/>
        <w:contextualSpacing/>
        <w:jc w:val="both"/>
      </w:pPr>
      <w:r>
        <w:t>In order to run for and hold office on</w:t>
      </w:r>
      <w:r w:rsidR="000037EC">
        <w:t xml:space="preserve"> the governing board of</w:t>
      </w:r>
      <w:r>
        <w:t xml:space="preserve"> an RA, a candidate must meet the following criteria</w:t>
      </w:r>
      <w:r w:rsidR="00714FFC">
        <w:t>:</w:t>
      </w:r>
      <w:r>
        <w:rPr>
          <w:rStyle w:val="FootnoteReference"/>
        </w:rPr>
        <w:footnoteReference w:id="27"/>
      </w:r>
    </w:p>
    <w:p w14:paraId="7B197812" w14:textId="25670FE5" w:rsidR="00AC37EC" w:rsidRDefault="00AC37EC" w:rsidP="002616CD">
      <w:pPr>
        <w:pStyle w:val="ListParagraph"/>
        <w:numPr>
          <w:ilvl w:val="0"/>
          <w:numId w:val="18"/>
        </w:numPr>
        <w:spacing w:line="480" w:lineRule="auto"/>
        <w:jc w:val="both"/>
      </w:pPr>
      <w:r>
        <w:t>Be current with rent;</w:t>
      </w:r>
    </w:p>
    <w:p w14:paraId="58CFDF36" w14:textId="1D985CE3" w:rsidR="00AC37EC" w:rsidRDefault="00AC37EC" w:rsidP="002616CD">
      <w:pPr>
        <w:pStyle w:val="ListParagraph"/>
        <w:numPr>
          <w:ilvl w:val="0"/>
          <w:numId w:val="18"/>
        </w:numPr>
        <w:spacing w:line="480" w:lineRule="auto"/>
        <w:jc w:val="both"/>
      </w:pPr>
      <w:r>
        <w:t>Must not have been issued a determination of lease non-compliance by the Office of Impartial Hearings;</w:t>
      </w:r>
    </w:p>
    <w:p w14:paraId="793023B6" w14:textId="14863EA8" w:rsidR="00411F3F" w:rsidRDefault="00411F3F" w:rsidP="002616CD">
      <w:pPr>
        <w:pStyle w:val="ListParagraph"/>
        <w:numPr>
          <w:ilvl w:val="0"/>
          <w:numId w:val="18"/>
        </w:numPr>
        <w:spacing w:line="480" w:lineRule="auto"/>
        <w:jc w:val="both"/>
      </w:pPr>
      <w:r>
        <w:t>Must not have failed to fully comply with the terms and conditions of any determination, recommendation, instruction, directive, settlement, or the equivalent, issued by the NYCHA Department of Equal Opportunity or Law Department, the New York City Law Department, the NYCHA Office of the Inspector General, the New York City Department of Investigation, or a third-party investigator.</w:t>
      </w:r>
    </w:p>
    <w:p w14:paraId="7D1E72D4" w14:textId="5A57739F" w:rsidR="00D51CE0" w:rsidRDefault="00D51CE0" w:rsidP="002616CD">
      <w:pPr>
        <w:pStyle w:val="ListParagraph"/>
        <w:spacing w:line="480" w:lineRule="auto"/>
        <w:ind w:left="0" w:firstLine="720"/>
        <w:jc w:val="both"/>
      </w:pPr>
      <w:r>
        <w:t>In order to</w:t>
      </w:r>
      <w:r w:rsidR="000037EC">
        <w:t xml:space="preserve"> be eligible to</w:t>
      </w:r>
      <w:r>
        <w:t xml:space="preserve"> vote in an RA election, </w:t>
      </w:r>
      <w:r w:rsidR="002616CD">
        <w:t>an individual must meet the</w:t>
      </w:r>
      <w:r>
        <w:t xml:space="preserve"> following criteria</w:t>
      </w:r>
      <w:r w:rsidR="00285EFE">
        <w:t>:</w:t>
      </w:r>
      <w:r w:rsidR="002616CD">
        <w:rPr>
          <w:rStyle w:val="FootnoteReference"/>
        </w:rPr>
        <w:footnoteReference w:id="28"/>
      </w:r>
    </w:p>
    <w:p w14:paraId="62632555" w14:textId="4520863A" w:rsidR="00D51CE0" w:rsidRDefault="00D51CE0" w:rsidP="002616CD">
      <w:pPr>
        <w:pStyle w:val="ListParagraph"/>
        <w:numPr>
          <w:ilvl w:val="0"/>
          <w:numId w:val="19"/>
        </w:numPr>
        <w:spacing w:line="480" w:lineRule="auto"/>
        <w:jc w:val="both"/>
      </w:pPr>
      <w:r>
        <w:t>The individual must be a resident of the specific development holding the election;</w:t>
      </w:r>
    </w:p>
    <w:p w14:paraId="1F4F6CAB" w14:textId="59A97783" w:rsidR="00D51CE0" w:rsidRDefault="00D51CE0" w:rsidP="002616CD">
      <w:pPr>
        <w:pStyle w:val="ListParagraph"/>
        <w:numPr>
          <w:ilvl w:val="0"/>
          <w:numId w:val="19"/>
        </w:numPr>
        <w:spacing w:line="480" w:lineRule="auto"/>
        <w:jc w:val="both"/>
      </w:pPr>
      <w:r>
        <w:t>The individual’s name must appear on the lease or household composition; and</w:t>
      </w:r>
    </w:p>
    <w:p w14:paraId="555ACE54" w14:textId="2F870C57" w:rsidR="00D51CE0" w:rsidRDefault="00D51CE0" w:rsidP="002616CD">
      <w:pPr>
        <w:pStyle w:val="ListParagraph"/>
        <w:numPr>
          <w:ilvl w:val="0"/>
          <w:numId w:val="19"/>
        </w:numPr>
        <w:spacing w:line="480" w:lineRule="auto"/>
        <w:jc w:val="both"/>
      </w:pPr>
      <w:r>
        <w:t xml:space="preserve">The individual must be at least 18 years old, unless </w:t>
      </w:r>
      <w:r w:rsidR="00285EFE">
        <w:t xml:space="preserve">such </w:t>
      </w:r>
      <w:r>
        <w:t>individual is the listed head of household.</w:t>
      </w:r>
    </w:p>
    <w:p w14:paraId="669B5446" w14:textId="77777777" w:rsidR="0071761B" w:rsidRPr="00B021A6" w:rsidRDefault="0071761B" w:rsidP="002616CD">
      <w:pPr>
        <w:contextualSpacing/>
        <w:jc w:val="both"/>
      </w:pPr>
    </w:p>
    <w:p w14:paraId="60C7271C" w14:textId="0581E127" w:rsidR="00B021A6" w:rsidRPr="00AA3F78" w:rsidRDefault="00B021A6" w:rsidP="002616CD">
      <w:pPr>
        <w:pStyle w:val="Heading1"/>
        <w:keepNext w:val="0"/>
        <w:numPr>
          <w:ilvl w:val="1"/>
          <w:numId w:val="8"/>
        </w:numPr>
        <w:contextualSpacing/>
        <w:rPr>
          <w:bCs/>
          <w:i w:val="0"/>
        </w:rPr>
      </w:pPr>
      <w:r w:rsidRPr="00B021A6">
        <w:rPr>
          <w:b/>
          <w:bCs/>
          <w:i w:val="0"/>
        </w:rPr>
        <w:t>Citywide Council of Presidents (CCOP)</w:t>
      </w:r>
    </w:p>
    <w:p w14:paraId="6B875BCF" w14:textId="442A2970" w:rsidR="00AA3F78" w:rsidRDefault="00AA3F78" w:rsidP="002616CD">
      <w:pPr>
        <w:spacing w:line="480" w:lineRule="auto"/>
        <w:ind w:firstLine="720"/>
        <w:jc w:val="both"/>
      </w:pPr>
      <w:r>
        <w:t>Beyond development-specific RAs, NYCHA residents are</w:t>
      </w:r>
      <w:r w:rsidR="000037EC">
        <w:t xml:space="preserve"> also</w:t>
      </w:r>
      <w:r>
        <w:t xml:space="preserve"> represented by the Citywide Council of Presidents (</w:t>
      </w:r>
      <w:r w:rsidR="000037EC">
        <w:t>“</w:t>
      </w:r>
      <w:r>
        <w:t>CCOP</w:t>
      </w:r>
      <w:r w:rsidR="000037EC">
        <w:t>”</w:t>
      </w:r>
      <w:r>
        <w:t xml:space="preserve">), which is comprised of </w:t>
      </w:r>
      <w:r w:rsidR="000037EC">
        <w:t>every RA president</w:t>
      </w:r>
      <w:r w:rsidR="00021416">
        <w:t>,</w:t>
      </w:r>
      <w:r w:rsidR="000037EC">
        <w:t xml:space="preserve"> and an </w:t>
      </w:r>
      <w:r>
        <w:t>executive board</w:t>
      </w:r>
      <w:r w:rsidR="00021416">
        <w:t xml:space="preserve"> elected from among those members</w:t>
      </w:r>
      <w:r>
        <w:t>.</w:t>
      </w:r>
      <w:r>
        <w:rPr>
          <w:rStyle w:val="FootnoteReference"/>
        </w:rPr>
        <w:footnoteReference w:id="29"/>
      </w:r>
      <w:r w:rsidR="00DB0933">
        <w:t xml:space="preserve"> The CCOP is established under what is known as “Part 964” of </w:t>
      </w:r>
      <w:r w:rsidR="000037EC">
        <w:t xml:space="preserve">Title 24 of </w:t>
      </w:r>
      <w:r w:rsidR="00DB0933">
        <w:t>the Code of Federal Regulations, which lays out the rules for tenant participation and tenant opportunities in public housing.</w:t>
      </w:r>
      <w:r w:rsidR="00DB0933">
        <w:rPr>
          <w:rStyle w:val="FootnoteReference"/>
        </w:rPr>
        <w:footnoteReference w:id="30"/>
      </w:r>
      <w:r w:rsidR="00DB0933">
        <w:t xml:space="preserve"> The CCOP has its own set of bylaws (</w:t>
      </w:r>
      <w:r w:rsidR="000037EC">
        <w:t>“</w:t>
      </w:r>
      <w:r w:rsidR="00DB0933">
        <w:t>CCOP Bylaws</w:t>
      </w:r>
      <w:r w:rsidR="000037EC">
        <w:t>”</w:t>
      </w:r>
      <w:r w:rsidR="00DB0933">
        <w:t>),</w:t>
      </w:r>
      <w:bookmarkStart w:id="2" w:name="_Ref117504387"/>
      <w:r w:rsidR="00DB0933">
        <w:rPr>
          <w:rStyle w:val="FootnoteReference"/>
        </w:rPr>
        <w:footnoteReference w:id="31"/>
      </w:r>
      <w:bookmarkEnd w:id="2"/>
      <w:r w:rsidR="00DB0933">
        <w:t xml:space="preserve"> and the stated purpose of “improv[ing] the quality of life for NYCHA residents.”</w:t>
      </w:r>
      <w:r w:rsidR="00DB0933">
        <w:rPr>
          <w:rStyle w:val="FootnoteReference"/>
        </w:rPr>
        <w:footnoteReference w:id="32"/>
      </w:r>
      <w:r w:rsidR="00DB0933">
        <w:t xml:space="preserve"> Pursuant to the CCOP Bylaws, there is a memorandum of understanding (</w:t>
      </w:r>
      <w:r w:rsidR="000037EC">
        <w:t>“</w:t>
      </w:r>
      <w:r w:rsidR="00DB0933">
        <w:t>MOU</w:t>
      </w:r>
      <w:r w:rsidR="000037EC">
        <w:t>”</w:t>
      </w:r>
      <w:r w:rsidR="00DB0933">
        <w:t>) signed by the CCOP and NYCHA that sets forth the cooperative means for achieving the CCOP’s goals.</w:t>
      </w:r>
      <w:r w:rsidR="00DB0933">
        <w:rPr>
          <w:rStyle w:val="FootnoteReference"/>
        </w:rPr>
        <w:footnoteReference w:id="33"/>
      </w:r>
      <w:r w:rsidR="00DB0933">
        <w:t xml:space="preserve"> The MOU is subject to review</w:t>
      </w:r>
      <w:r w:rsidR="00126C6E">
        <w:t xml:space="preserve"> once every three years</w:t>
      </w:r>
      <w:r w:rsidR="00DB0933">
        <w:t>.</w:t>
      </w:r>
      <w:r w:rsidR="00DB0933">
        <w:rPr>
          <w:rStyle w:val="FootnoteReference"/>
        </w:rPr>
        <w:footnoteReference w:id="34"/>
      </w:r>
    </w:p>
    <w:p w14:paraId="32A423EE" w14:textId="0B9D2251" w:rsidR="00187062" w:rsidRDefault="00DB0933" w:rsidP="00187062">
      <w:pPr>
        <w:spacing w:line="480" w:lineRule="auto"/>
        <w:ind w:firstLine="720"/>
        <w:jc w:val="both"/>
      </w:pPr>
      <w:r>
        <w:t xml:space="preserve">The CCOP consists of an Executive Board, which must include a </w:t>
      </w:r>
      <w:r w:rsidR="00021416">
        <w:t>c</w:t>
      </w:r>
      <w:r>
        <w:t xml:space="preserve">hair, </w:t>
      </w:r>
      <w:r w:rsidR="00021416">
        <w:t>f</w:t>
      </w:r>
      <w:r>
        <w:t xml:space="preserve">irst </w:t>
      </w:r>
      <w:r w:rsidR="00021416">
        <w:t>v</w:t>
      </w:r>
      <w:r>
        <w:t xml:space="preserve">ice </w:t>
      </w:r>
      <w:r w:rsidR="00021416">
        <w:t>c</w:t>
      </w:r>
      <w:r>
        <w:t xml:space="preserve">hair, </w:t>
      </w:r>
      <w:r w:rsidR="00021416">
        <w:t>s</w:t>
      </w:r>
      <w:r>
        <w:t xml:space="preserve">econd </w:t>
      </w:r>
      <w:r w:rsidR="00021416">
        <w:t>v</w:t>
      </w:r>
      <w:r>
        <w:t xml:space="preserve">ice </w:t>
      </w:r>
      <w:r w:rsidR="00021416">
        <w:t>c</w:t>
      </w:r>
      <w:r>
        <w:t xml:space="preserve">hair, </w:t>
      </w:r>
      <w:r w:rsidR="00021416">
        <w:t>s</w:t>
      </w:r>
      <w:r>
        <w:t xml:space="preserve">ecretary, </w:t>
      </w:r>
      <w:r w:rsidR="00021416">
        <w:t>c</w:t>
      </w:r>
      <w:r>
        <w:t xml:space="preserve">orresponding </w:t>
      </w:r>
      <w:r w:rsidR="00021416">
        <w:t>s</w:t>
      </w:r>
      <w:r>
        <w:t xml:space="preserve">ecretary, </w:t>
      </w:r>
      <w:r w:rsidR="00021416">
        <w:t>t</w:t>
      </w:r>
      <w:r>
        <w:t xml:space="preserve">reasurer, </w:t>
      </w:r>
      <w:r w:rsidR="00021416">
        <w:t>f</w:t>
      </w:r>
      <w:r>
        <w:t xml:space="preserve">inancial </w:t>
      </w:r>
      <w:r w:rsidR="00021416">
        <w:t>s</w:t>
      </w:r>
      <w:r>
        <w:t xml:space="preserve">ecretary, </w:t>
      </w:r>
      <w:r w:rsidR="00021416">
        <w:t>b</w:t>
      </w:r>
      <w:r>
        <w:t xml:space="preserve">usiness </w:t>
      </w:r>
      <w:r w:rsidR="00021416">
        <w:t>a</w:t>
      </w:r>
      <w:r>
        <w:t xml:space="preserve">gent, </w:t>
      </w:r>
      <w:r w:rsidR="00021416">
        <w:t>f</w:t>
      </w:r>
      <w:r>
        <w:t xml:space="preserve">irst </w:t>
      </w:r>
      <w:r w:rsidR="00021416">
        <w:t>s</w:t>
      </w:r>
      <w:r>
        <w:t xml:space="preserve">ergeant at </w:t>
      </w:r>
      <w:r w:rsidR="00021416">
        <w:t>a</w:t>
      </w:r>
      <w:r>
        <w:t xml:space="preserve">rms, and </w:t>
      </w:r>
      <w:r w:rsidR="00021416">
        <w:t>s</w:t>
      </w:r>
      <w:r>
        <w:t xml:space="preserve">econd </w:t>
      </w:r>
      <w:r w:rsidR="00021416">
        <w:t>s</w:t>
      </w:r>
      <w:r>
        <w:t xml:space="preserve">ergeant at </w:t>
      </w:r>
      <w:r w:rsidR="00021416">
        <w:t>a</w:t>
      </w:r>
      <w:r>
        <w:t>rms.</w:t>
      </w:r>
      <w:r>
        <w:rPr>
          <w:rStyle w:val="FootnoteReference"/>
        </w:rPr>
        <w:footnoteReference w:id="35"/>
      </w:r>
      <w:r>
        <w:t xml:space="preserve"> </w:t>
      </w:r>
      <w:r w:rsidR="00187062">
        <w:t xml:space="preserve">The </w:t>
      </w:r>
      <w:r w:rsidR="00B549A9">
        <w:t>b</w:t>
      </w:r>
      <w:r w:rsidR="00187062">
        <w:t>oard</w:t>
      </w:r>
      <w:r w:rsidR="00B549A9">
        <w:t>’s</w:t>
      </w:r>
      <w:r w:rsidR="00187062">
        <w:t xml:space="preserve"> </w:t>
      </w:r>
      <w:r w:rsidR="00B549A9">
        <w:t>o</w:t>
      </w:r>
      <w:r w:rsidR="00187062">
        <w:t>fficers hold three-year terms, and must be elected by the CCOP membership during the month of October, for installation on or before the first business day of the following November.</w:t>
      </w:r>
      <w:r w:rsidR="00187062">
        <w:rPr>
          <w:rStyle w:val="FootnoteReference"/>
        </w:rPr>
        <w:footnoteReference w:id="36"/>
      </w:r>
      <w:r w:rsidR="00187062">
        <w:t xml:space="preserve"> Additionally, the CCOP must have a District Council of Presidents (DCOP), consisting of the President</w:t>
      </w:r>
      <w:r w:rsidR="00B549A9">
        <w:t>s</w:t>
      </w:r>
      <w:r w:rsidR="00187062">
        <w:t xml:space="preserve"> from each of 10 District Councils: Brooklyn East, Brooklyn West, Brooklyn South, Bronx North, Bronx South, Manhattan North, Manhattan South, Queens North, Queens South, and Staten Island.</w:t>
      </w:r>
      <w:r w:rsidR="00187062">
        <w:rPr>
          <w:rStyle w:val="FootnoteReference"/>
        </w:rPr>
        <w:footnoteReference w:id="37"/>
      </w:r>
      <w:r w:rsidR="006323B2">
        <w:t xml:space="preserve"> </w:t>
      </w:r>
    </w:p>
    <w:p w14:paraId="6D14F8A1" w14:textId="1D66A574" w:rsidR="00CA047D" w:rsidRPr="00CA047D" w:rsidRDefault="00CA047D" w:rsidP="00187062">
      <w:pPr>
        <w:spacing w:line="480" w:lineRule="auto"/>
        <w:ind w:firstLine="720"/>
        <w:jc w:val="both"/>
      </w:pPr>
      <w:r>
        <w:t>In addition to the required regularly scheduled meetings of the CCOP, which occur on the third Thursday of every month, the CCOP holds a number of other meetings, including special meetings, executive board meetings, and annual meetings.</w:t>
      </w:r>
      <w:r>
        <w:rPr>
          <w:rStyle w:val="FootnoteReference"/>
        </w:rPr>
        <w:footnoteReference w:id="38"/>
      </w:r>
      <w:r>
        <w:t xml:space="preserve"> The CCOP Bylaws also establish certain minimum requirements for these meetings, </w:t>
      </w:r>
      <w:r w:rsidR="00584A71">
        <w:t xml:space="preserve">including </w:t>
      </w:r>
      <w:r w:rsidR="00B15369">
        <w:t>rules regarding the need for</w:t>
      </w:r>
      <w:r w:rsidR="00584A71">
        <w:t xml:space="preserve"> quorum and</w:t>
      </w:r>
      <w:r w:rsidR="00B15369">
        <w:t xml:space="preserve"> procedures for</w:t>
      </w:r>
      <w:r w:rsidR="00584A71">
        <w:t xml:space="preserve"> approving motions.</w:t>
      </w:r>
      <w:r>
        <w:t xml:space="preserve"> </w:t>
      </w:r>
    </w:p>
    <w:p w14:paraId="1E4FCD16" w14:textId="7594E301" w:rsidR="004244F4" w:rsidRDefault="00B021A6" w:rsidP="004244F4">
      <w:pPr>
        <w:pStyle w:val="ListParagraph"/>
        <w:numPr>
          <w:ilvl w:val="1"/>
          <w:numId w:val="8"/>
        </w:numPr>
        <w:spacing w:line="259" w:lineRule="auto"/>
        <w:rPr>
          <w:b/>
        </w:rPr>
      </w:pPr>
      <w:r>
        <w:rPr>
          <w:b/>
        </w:rPr>
        <w:t>R</w:t>
      </w:r>
      <w:r w:rsidR="00A354D4">
        <w:rPr>
          <w:b/>
        </w:rPr>
        <w:t>esident Advisory Board</w:t>
      </w:r>
      <w:r w:rsidR="001D2D93">
        <w:rPr>
          <w:b/>
        </w:rPr>
        <w:t xml:space="preserve"> (RAB)</w:t>
      </w:r>
    </w:p>
    <w:p w14:paraId="600E2E38" w14:textId="77777777" w:rsidR="004244F4" w:rsidRDefault="004244F4" w:rsidP="004244F4">
      <w:pPr>
        <w:spacing w:line="259" w:lineRule="auto"/>
      </w:pPr>
    </w:p>
    <w:p w14:paraId="7BFAB67B" w14:textId="263A3D7E" w:rsidR="00B021A6" w:rsidRPr="004244F4" w:rsidRDefault="00A354D4" w:rsidP="004244F4">
      <w:pPr>
        <w:spacing w:line="480" w:lineRule="auto"/>
        <w:ind w:firstLine="720"/>
        <w:jc w:val="both"/>
        <w:rPr>
          <w:b/>
        </w:rPr>
      </w:pPr>
      <w:r>
        <w:t xml:space="preserve">In </w:t>
      </w:r>
      <w:r w:rsidR="00E3274D">
        <w:t xml:space="preserve">addition to </w:t>
      </w:r>
      <w:r w:rsidR="004244F4">
        <w:t>Resident Associations</w:t>
      </w:r>
      <w:r>
        <w:t xml:space="preserve"> and </w:t>
      </w:r>
      <w:r w:rsidR="004244F4">
        <w:t xml:space="preserve">the </w:t>
      </w:r>
      <w:r>
        <w:t>CCOP, there is a Resident Advisory Board (</w:t>
      </w:r>
      <w:r w:rsidR="00B549A9">
        <w:t>“</w:t>
      </w:r>
      <w:r>
        <w:t>RAB</w:t>
      </w:r>
      <w:r w:rsidR="00B549A9">
        <w:t>”</w:t>
      </w:r>
      <w:r>
        <w:t>) made up of Section 9 and Section 8 residents.</w:t>
      </w:r>
      <w:r>
        <w:rPr>
          <w:rStyle w:val="FootnoteReference"/>
        </w:rPr>
        <w:footnoteReference w:id="39"/>
      </w:r>
      <w:r>
        <w:t xml:space="preserve"> The RAB is primarily responsible for </w:t>
      </w:r>
      <w:r w:rsidR="0051202B">
        <w:t xml:space="preserve">providing input on </w:t>
      </w:r>
      <w:r>
        <w:t>NYCHA’s Annual Plan and Five-Year Agency Plan.</w:t>
      </w:r>
      <w:r>
        <w:rPr>
          <w:rStyle w:val="FootnoteReference"/>
        </w:rPr>
        <w:footnoteReference w:id="40"/>
      </w:r>
      <w:r w:rsidR="00B02F48">
        <w:t xml:space="preserve"> The RAB </w:t>
      </w:r>
      <w:r w:rsidR="0051202B">
        <w:t xml:space="preserve">holds meetings with NYCHA and </w:t>
      </w:r>
      <w:r w:rsidR="00B02F48">
        <w:t>submits recommendations for the Plan, which are to be incorporated when the Plan is submitted to HUD.</w:t>
      </w:r>
    </w:p>
    <w:p w14:paraId="00B3143A" w14:textId="0D67FE51" w:rsidR="00B021A6" w:rsidRPr="00B021A6" w:rsidRDefault="00B021A6" w:rsidP="00B021A6">
      <w:pPr>
        <w:pStyle w:val="ListParagraph"/>
        <w:numPr>
          <w:ilvl w:val="1"/>
          <w:numId w:val="8"/>
        </w:numPr>
        <w:spacing w:after="160" w:line="259" w:lineRule="auto"/>
        <w:rPr>
          <w:b/>
        </w:rPr>
      </w:pPr>
      <w:r>
        <w:rPr>
          <w:b/>
        </w:rPr>
        <w:t>Roundtables</w:t>
      </w:r>
    </w:p>
    <w:p w14:paraId="50F15BC4" w14:textId="7E1F6CFD" w:rsidR="00B021A6" w:rsidRPr="00B021A6" w:rsidRDefault="000418A7" w:rsidP="003976B3">
      <w:pPr>
        <w:spacing w:line="480" w:lineRule="auto"/>
        <w:ind w:firstLine="720"/>
        <w:contextualSpacing/>
        <w:jc w:val="both"/>
      </w:pPr>
      <w:r>
        <w:t>In June of 2021, NYCHA launched what is known as the “Resident Roundtable,”</w:t>
      </w:r>
      <w:r>
        <w:rPr>
          <w:rStyle w:val="FootnoteReference"/>
        </w:rPr>
        <w:footnoteReference w:id="41"/>
      </w:r>
      <w:r w:rsidR="003976B3">
        <w:t xml:space="preserve"> designed to </w:t>
      </w:r>
      <w:r w:rsidR="00CD1A07">
        <w:t>serve</w:t>
      </w:r>
      <w:r w:rsidR="003976B3">
        <w:t xml:space="preserve"> as a forum for NYCHA residents to provide input on NYCHA’s Transformation Plan. </w:t>
      </w:r>
      <w:r w:rsidR="00C32659">
        <w:t>Currently, there are 32 members of the Roundtable, five of whom were appointed by CCOP, and 27 of whom were selected through the Roundtable’</w:t>
      </w:r>
      <w:r w:rsidR="005075E1">
        <w:t>s open application process.</w:t>
      </w:r>
      <w:r w:rsidR="00C32659">
        <w:rPr>
          <w:rStyle w:val="FootnoteReference"/>
        </w:rPr>
        <w:footnoteReference w:id="42"/>
      </w:r>
      <w:r w:rsidR="005075E1">
        <w:t xml:space="preserve"> Residents in both Section 9 and Section 8 developments can submit an application to serve on the Roundtable.</w:t>
      </w:r>
    </w:p>
    <w:p w14:paraId="53DB4BE5" w14:textId="1147FFD6" w:rsidR="00B021A6" w:rsidRDefault="005075E1" w:rsidP="00B021A6">
      <w:pPr>
        <w:pStyle w:val="ListParagraph"/>
        <w:numPr>
          <w:ilvl w:val="0"/>
          <w:numId w:val="8"/>
        </w:numPr>
        <w:spacing w:line="480" w:lineRule="auto"/>
        <w:jc w:val="both"/>
        <w:rPr>
          <w:rFonts w:ascii="Times New Roman Bold" w:hAnsi="Times New Roman Bold"/>
          <w:b/>
          <w:smallCaps/>
          <w:u w:val="single"/>
        </w:rPr>
      </w:pPr>
      <w:r>
        <w:rPr>
          <w:rFonts w:ascii="Times New Roman Bold" w:hAnsi="Times New Roman Bold"/>
          <w:b/>
          <w:smallCaps/>
          <w:u w:val="single"/>
        </w:rPr>
        <w:t>Tenant Participation Activity (TPA) Funds</w:t>
      </w:r>
    </w:p>
    <w:p w14:paraId="5AEA0083" w14:textId="2355C9DD" w:rsidR="005075E1" w:rsidRDefault="005075E1" w:rsidP="005075E1">
      <w:pPr>
        <w:spacing w:line="480" w:lineRule="auto"/>
        <w:ind w:firstLine="720"/>
        <w:jc w:val="both"/>
        <w:rPr>
          <w:rFonts w:cs="Calibri"/>
          <w:color w:val="000000"/>
          <w:u w:color="000000"/>
          <w:bdr w:val="nil"/>
        </w:rPr>
      </w:pPr>
      <w:r>
        <w:t>Tenant Participation Activity (</w:t>
      </w:r>
      <w:r w:rsidR="005C3CC6">
        <w:t>“</w:t>
      </w:r>
      <w:r>
        <w:t>TPA</w:t>
      </w:r>
      <w:r w:rsidR="005C3CC6">
        <w:t>”</w:t>
      </w:r>
      <w:r>
        <w:t xml:space="preserve">) funds are funds provided by the United States Department of Housing and Urban Development to support “tenant participation activities,” pursuant to 24 </w:t>
      </w:r>
      <w:r w:rsidRPr="0034397F">
        <w:rPr>
          <w:rFonts w:cs="Calibri"/>
          <w:color w:val="000000"/>
          <w:u w:color="000000"/>
          <w:bdr w:val="nil"/>
        </w:rPr>
        <w:t>C.F.R. § 964.150.</w:t>
      </w:r>
      <w:r w:rsidRPr="0034397F">
        <w:rPr>
          <w:color w:val="000000"/>
          <w:u w:color="000000"/>
          <w:bdr w:val="nil"/>
          <w:vertAlign w:val="superscript"/>
        </w:rPr>
        <w:footnoteReference w:id="43"/>
      </w:r>
      <w:r>
        <w:rPr>
          <w:rFonts w:cs="Calibri"/>
          <w:color w:val="000000"/>
          <w:u w:color="000000"/>
          <w:bdr w:val="nil"/>
        </w:rPr>
        <w:t xml:space="preserve"> These activities are intended to support specific resident engagement and self-sufficiency activities.</w:t>
      </w:r>
      <w:r w:rsidRPr="0034397F">
        <w:rPr>
          <w:color w:val="000000"/>
          <w:u w:color="000000"/>
          <w:bdr w:val="nil"/>
          <w:vertAlign w:val="superscript"/>
        </w:rPr>
        <w:footnoteReference w:id="44"/>
      </w:r>
      <w:r w:rsidRPr="0034397F">
        <w:rPr>
          <w:rFonts w:cs="Calibri"/>
          <w:color w:val="000000"/>
          <w:u w:color="000000"/>
          <w:bdr w:val="nil"/>
        </w:rPr>
        <w:t xml:space="preserve"> </w:t>
      </w:r>
      <w:r>
        <w:rPr>
          <w:rFonts w:cs="Calibri"/>
          <w:color w:val="000000"/>
          <w:u w:color="000000"/>
          <w:bdr w:val="nil"/>
        </w:rPr>
        <w:t>NYCHA’s TPA program is administered by its Department of Community Engagement and Partnerships.</w:t>
      </w:r>
      <w:r>
        <w:rPr>
          <w:rStyle w:val="FootnoteReference"/>
          <w:rFonts w:cs="Calibri"/>
          <w:color w:val="000000"/>
          <w:u w:color="000000"/>
          <w:bdr w:val="nil"/>
        </w:rPr>
        <w:footnoteReference w:id="45"/>
      </w:r>
      <w:r>
        <w:rPr>
          <w:rFonts w:cs="Calibri"/>
          <w:color w:val="000000"/>
          <w:u w:color="000000"/>
          <w:bdr w:val="nil"/>
        </w:rPr>
        <w:t xml:space="preserve"> </w:t>
      </w:r>
      <w:r w:rsidRPr="0034397F">
        <w:rPr>
          <w:rFonts w:cs="Calibri"/>
          <w:color w:val="000000"/>
          <w:u w:color="000000"/>
          <w:bdr w:val="nil"/>
        </w:rPr>
        <w:t>In order to determine what is eligible as a Tenant Participation Activity, NYCHA relies on HUD P</w:t>
      </w:r>
      <w:r>
        <w:rPr>
          <w:rFonts w:cs="Calibri"/>
          <w:color w:val="000000"/>
          <w:u w:color="000000"/>
          <w:bdr w:val="nil"/>
        </w:rPr>
        <w:t>ublic and Indian Housing (</w:t>
      </w:r>
      <w:r w:rsidR="005C3CC6">
        <w:rPr>
          <w:rFonts w:cs="Calibri"/>
          <w:color w:val="000000"/>
          <w:u w:color="000000"/>
          <w:bdr w:val="nil"/>
        </w:rPr>
        <w:t>“</w:t>
      </w:r>
      <w:r>
        <w:rPr>
          <w:rFonts w:cs="Calibri"/>
          <w:color w:val="000000"/>
          <w:u w:color="000000"/>
          <w:bdr w:val="nil"/>
        </w:rPr>
        <w:t>PIH</w:t>
      </w:r>
      <w:r w:rsidR="005C3CC6">
        <w:rPr>
          <w:rFonts w:cs="Calibri"/>
          <w:color w:val="000000"/>
          <w:u w:color="000000"/>
          <w:bdr w:val="nil"/>
        </w:rPr>
        <w:t>”</w:t>
      </w:r>
      <w:r>
        <w:rPr>
          <w:rFonts w:cs="Calibri"/>
          <w:color w:val="000000"/>
          <w:u w:color="000000"/>
          <w:bdr w:val="nil"/>
        </w:rPr>
        <w:t xml:space="preserve">) </w:t>
      </w:r>
      <w:r w:rsidRPr="0034397F">
        <w:rPr>
          <w:rFonts w:cs="Calibri"/>
          <w:color w:val="000000"/>
          <w:u w:color="000000"/>
          <w:bdr w:val="nil"/>
        </w:rPr>
        <w:t>Notice 2013-21,</w:t>
      </w:r>
      <w:r>
        <w:rPr>
          <w:rStyle w:val="FootnoteReference"/>
          <w:rFonts w:cs="Calibri"/>
          <w:color w:val="000000"/>
          <w:u w:color="000000"/>
          <w:bdr w:val="nil"/>
        </w:rPr>
        <w:footnoteReference w:id="46"/>
      </w:r>
      <w:r w:rsidRPr="0034397F">
        <w:rPr>
          <w:rFonts w:cs="Calibri"/>
          <w:color w:val="000000"/>
          <w:u w:color="000000"/>
          <w:bdr w:val="nil"/>
        </w:rPr>
        <w:t xml:space="preserve"> which provides </w:t>
      </w:r>
      <w:r>
        <w:rPr>
          <w:rFonts w:cs="Calibri"/>
          <w:color w:val="000000"/>
          <w:u w:color="000000"/>
          <w:bdr w:val="nil"/>
        </w:rPr>
        <w:t xml:space="preserve">non-comprehensive </w:t>
      </w:r>
      <w:r w:rsidRPr="0034397F">
        <w:rPr>
          <w:rFonts w:cs="Calibri"/>
          <w:color w:val="000000"/>
          <w:u w:color="000000"/>
          <w:bdr w:val="nil"/>
        </w:rPr>
        <w:t xml:space="preserve">sample lists of allowable and unallowable activities. TPA </w:t>
      </w:r>
      <w:r>
        <w:rPr>
          <w:rFonts w:cs="Calibri"/>
          <w:color w:val="000000"/>
          <w:u w:color="000000"/>
          <w:bdr w:val="nil"/>
        </w:rPr>
        <w:t>f</w:t>
      </w:r>
      <w:r w:rsidRPr="0034397F">
        <w:rPr>
          <w:rFonts w:cs="Calibri"/>
          <w:color w:val="000000"/>
          <w:u w:color="000000"/>
          <w:bdr w:val="nil"/>
        </w:rPr>
        <w:t xml:space="preserve">unds help </w:t>
      </w:r>
      <w:r>
        <w:rPr>
          <w:rFonts w:cs="Calibri"/>
          <w:color w:val="000000"/>
          <w:u w:color="000000"/>
          <w:bdr w:val="nil"/>
        </w:rPr>
        <w:t xml:space="preserve">to </w:t>
      </w:r>
      <w:r w:rsidRPr="0034397F">
        <w:rPr>
          <w:rFonts w:cs="Calibri"/>
          <w:color w:val="000000"/>
          <w:u w:color="000000"/>
          <w:bdr w:val="nil"/>
        </w:rPr>
        <w:t xml:space="preserve">facilitate the social and community services </w:t>
      </w:r>
      <w:r>
        <w:rPr>
          <w:rFonts w:cs="Calibri"/>
          <w:color w:val="000000"/>
          <w:u w:color="000000"/>
          <w:bdr w:val="nil"/>
        </w:rPr>
        <w:t xml:space="preserve">that </w:t>
      </w:r>
      <w:r w:rsidRPr="0034397F">
        <w:rPr>
          <w:rFonts w:cs="Calibri"/>
          <w:color w:val="000000"/>
          <w:u w:color="000000"/>
          <w:bdr w:val="nil"/>
        </w:rPr>
        <w:t>NYCHA provides.</w:t>
      </w:r>
      <w:r w:rsidRPr="0034397F">
        <w:rPr>
          <w:color w:val="000000"/>
          <w:u w:color="000000"/>
          <w:bdr w:val="nil"/>
          <w:vertAlign w:val="superscript"/>
        </w:rPr>
        <w:footnoteReference w:id="47"/>
      </w:r>
    </w:p>
    <w:p w14:paraId="01DA21FE" w14:textId="77777777" w:rsidR="0046770B" w:rsidRPr="0034397F" w:rsidRDefault="0046770B" w:rsidP="0046770B">
      <w:pPr>
        <w:pBdr>
          <w:top w:val="nil"/>
          <w:left w:val="nil"/>
          <w:bottom w:val="nil"/>
          <w:right w:val="nil"/>
          <w:between w:val="nil"/>
          <w:bar w:val="nil"/>
        </w:pBdr>
        <w:spacing w:line="480" w:lineRule="auto"/>
        <w:ind w:firstLine="720"/>
        <w:jc w:val="both"/>
        <w:rPr>
          <w:color w:val="000000"/>
          <w:u w:color="000000"/>
          <w:bdr w:val="nil"/>
        </w:rPr>
      </w:pPr>
      <w:r>
        <w:rPr>
          <w:rFonts w:cs="Calibri"/>
          <w:color w:val="000000"/>
          <w:u w:color="000000"/>
          <w:bdr w:val="nil"/>
        </w:rPr>
        <w:t>HUD allocates annual TPA f</w:t>
      </w:r>
      <w:r w:rsidRPr="0034397F">
        <w:rPr>
          <w:rFonts w:cs="Calibri"/>
          <w:color w:val="000000"/>
          <w:u w:color="000000"/>
          <w:bdr w:val="nil"/>
        </w:rPr>
        <w:t xml:space="preserve">unds to NYCHA based on a formula of $25 per unit of occupied public housing. The actual per unit amount provided by HUD to NYCHA may vary </w:t>
      </w:r>
      <w:r>
        <w:rPr>
          <w:rFonts w:cs="Calibri"/>
          <w:color w:val="000000"/>
          <w:u w:color="000000"/>
          <w:bdr w:val="nil"/>
        </w:rPr>
        <w:t xml:space="preserve">due </w:t>
      </w:r>
      <w:r w:rsidRPr="0034397F">
        <w:rPr>
          <w:rFonts w:cs="Calibri"/>
          <w:color w:val="000000"/>
          <w:u w:color="000000"/>
          <w:bdr w:val="nil"/>
        </w:rPr>
        <w:t xml:space="preserve">to the availability of appropriations. For example, </w:t>
      </w:r>
      <w:r>
        <w:rPr>
          <w:rFonts w:cs="Calibri"/>
          <w:color w:val="000000"/>
          <w:u w:color="000000"/>
          <w:bdr w:val="nil"/>
        </w:rPr>
        <w:t xml:space="preserve">although </w:t>
      </w:r>
      <w:r w:rsidRPr="0034397F">
        <w:rPr>
          <w:rFonts w:cs="Calibri"/>
          <w:color w:val="000000"/>
          <w:u w:color="000000"/>
          <w:bdr w:val="nil"/>
        </w:rPr>
        <w:t xml:space="preserve">NYCHA </w:t>
      </w:r>
      <w:r>
        <w:rPr>
          <w:rFonts w:cs="Calibri"/>
          <w:color w:val="000000"/>
          <w:u w:color="000000"/>
          <w:bdr w:val="nil"/>
        </w:rPr>
        <w:t>could</w:t>
      </w:r>
      <w:r w:rsidRPr="0034397F">
        <w:rPr>
          <w:rFonts w:cs="Calibri"/>
          <w:color w:val="000000"/>
          <w:u w:color="000000"/>
          <w:bdr w:val="nil"/>
        </w:rPr>
        <w:t xml:space="preserve"> receive $25 per unit if HUD provides the full appropriation, it would receive $22.50 per unit if HUD provides</w:t>
      </w:r>
      <w:r>
        <w:rPr>
          <w:rFonts w:cs="Calibri"/>
          <w:color w:val="000000"/>
          <w:u w:color="000000"/>
          <w:bdr w:val="nil"/>
        </w:rPr>
        <w:t xml:space="preserve"> only</w:t>
      </w:r>
      <w:r w:rsidRPr="0034397F">
        <w:rPr>
          <w:rFonts w:cs="Calibri"/>
          <w:color w:val="000000"/>
          <w:u w:color="000000"/>
          <w:bdr w:val="nil"/>
        </w:rPr>
        <w:t xml:space="preserve"> 90% of the appropriation.</w:t>
      </w:r>
      <w:r w:rsidRPr="0034397F">
        <w:rPr>
          <w:color w:val="000000"/>
          <w:u w:color="000000"/>
          <w:bdr w:val="nil"/>
          <w:vertAlign w:val="superscript"/>
        </w:rPr>
        <w:footnoteReference w:id="48"/>
      </w:r>
    </w:p>
    <w:p w14:paraId="5F322D81" w14:textId="01C4515E" w:rsidR="0046770B" w:rsidRDefault="0046770B" w:rsidP="0046770B">
      <w:pPr>
        <w:spacing w:line="480" w:lineRule="auto"/>
        <w:ind w:firstLine="720"/>
        <w:jc w:val="both"/>
        <w:rPr>
          <w:rFonts w:cs="Calibri"/>
          <w:color w:val="000000"/>
          <w:u w:color="000000"/>
          <w:bdr w:val="nil"/>
        </w:rPr>
      </w:pPr>
      <w:r w:rsidRPr="0034397F">
        <w:rPr>
          <w:rFonts w:cs="Calibri"/>
          <w:color w:val="000000"/>
          <w:u w:color="000000"/>
          <w:bdr w:val="nil"/>
        </w:rPr>
        <w:t xml:space="preserve">Each </w:t>
      </w:r>
      <w:r w:rsidR="00783915">
        <w:rPr>
          <w:rFonts w:cs="Calibri"/>
          <w:color w:val="000000"/>
          <w:u w:color="000000"/>
          <w:bdr w:val="nil"/>
        </w:rPr>
        <w:t>RA</w:t>
      </w:r>
      <w:r>
        <w:rPr>
          <w:rFonts w:cs="Calibri"/>
          <w:color w:val="000000"/>
          <w:u w:color="000000"/>
          <w:bdr w:val="nil"/>
        </w:rPr>
        <w:t xml:space="preserve"> can determine for itself</w:t>
      </w:r>
      <w:r w:rsidRPr="0034397F">
        <w:rPr>
          <w:rFonts w:cs="Calibri"/>
          <w:color w:val="000000"/>
          <w:u w:color="000000"/>
          <w:bdr w:val="nil"/>
        </w:rPr>
        <w:t xml:space="preserve"> which tenant participation activities it will pursue, </w:t>
      </w:r>
      <w:r>
        <w:rPr>
          <w:rFonts w:cs="Calibri"/>
          <w:color w:val="000000"/>
          <w:u w:color="000000"/>
          <w:bdr w:val="nil"/>
        </w:rPr>
        <w:t>as</w:t>
      </w:r>
      <w:r w:rsidRPr="0034397F">
        <w:rPr>
          <w:rFonts w:cs="Calibri"/>
          <w:color w:val="000000"/>
          <w:u w:color="000000"/>
          <w:bdr w:val="nil"/>
        </w:rPr>
        <w:t xml:space="preserve"> long as the proposed activities fulfill the following criteria: </w:t>
      </w:r>
    </w:p>
    <w:p w14:paraId="230899D6" w14:textId="1BEB65E5" w:rsidR="0046770B" w:rsidRDefault="0046770B" w:rsidP="0046770B">
      <w:pPr>
        <w:spacing w:line="480" w:lineRule="auto"/>
        <w:ind w:firstLine="720"/>
        <w:jc w:val="both"/>
        <w:rPr>
          <w:rFonts w:cs="Calibri"/>
          <w:color w:val="000000"/>
          <w:u w:color="000000"/>
          <w:bdr w:val="nil"/>
        </w:rPr>
      </w:pPr>
      <w:r w:rsidRPr="0034397F">
        <w:rPr>
          <w:rFonts w:cs="Calibri"/>
          <w:color w:val="000000"/>
          <w:u w:color="000000"/>
          <w:bdr w:val="nil"/>
        </w:rPr>
        <w:t>1) Meet the intent of HUD’s regulations</w:t>
      </w:r>
      <w:r w:rsidR="00714FFC">
        <w:rPr>
          <w:rFonts w:cs="Calibri"/>
          <w:color w:val="000000"/>
          <w:u w:color="000000"/>
          <w:bdr w:val="nil"/>
        </w:rPr>
        <w:t>;</w:t>
      </w:r>
      <w:r>
        <w:rPr>
          <w:rStyle w:val="FootnoteReference"/>
          <w:rFonts w:cs="Calibri"/>
          <w:color w:val="000000"/>
          <w:u w:color="000000"/>
          <w:bdr w:val="nil"/>
        </w:rPr>
        <w:footnoteReference w:id="49"/>
      </w:r>
      <w:r w:rsidRPr="0034397F">
        <w:rPr>
          <w:rFonts w:cs="Calibri"/>
          <w:color w:val="000000"/>
          <w:u w:color="000000"/>
          <w:bdr w:val="nil"/>
        </w:rPr>
        <w:t xml:space="preserve"> </w:t>
      </w:r>
    </w:p>
    <w:p w14:paraId="1C0276C5" w14:textId="67FB8229" w:rsidR="0046770B" w:rsidRDefault="0046770B" w:rsidP="0046770B">
      <w:pPr>
        <w:spacing w:line="480" w:lineRule="auto"/>
        <w:ind w:left="720"/>
        <w:jc w:val="both"/>
        <w:rPr>
          <w:rFonts w:cs="Calibri"/>
          <w:color w:val="000000"/>
          <w:u w:color="000000"/>
          <w:bdr w:val="nil"/>
        </w:rPr>
      </w:pPr>
      <w:r w:rsidRPr="0034397F">
        <w:rPr>
          <w:rFonts w:cs="Calibri"/>
          <w:color w:val="000000"/>
          <w:u w:color="000000"/>
          <w:bdr w:val="nil"/>
        </w:rPr>
        <w:t xml:space="preserve">2) Comply with NYCHA’s Tenant Participation Funding guidelines and </w:t>
      </w:r>
      <w:r>
        <w:rPr>
          <w:rFonts w:cs="Calibri"/>
          <w:color w:val="000000"/>
          <w:u w:color="000000"/>
          <w:bdr w:val="nil"/>
        </w:rPr>
        <w:t>p</w:t>
      </w:r>
      <w:r w:rsidRPr="0034397F">
        <w:rPr>
          <w:rFonts w:cs="Calibri"/>
          <w:color w:val="000000"/>
          <w:u w:color="000000"/>
          <w:bdr w:val="nil"/>
        </w:rPr>
        <w:t>rocurement policies</w:t>
      </w:r>
      <w:r w:rsidR="00714FFC">
        <w:rPr>
          <w:rFonts w:cs="Calibri"/>
          <w:color w:val="000000"/>
          <w:u w:color="000000"/>
          <w:bdr w:val="nil"/>
        </w:rPr>
        <w:t>;</w:t>
      </w:r>
      <w:r>
        <w:rPr>
          <w:rStyle w:val="FootnoteReference"/>
          <w:rFonts w:cs="Calibri"/>
          <w:color w:val="000000"/>
          <w:u w:color="000000"/>
          <w:bdr w:val="nil"/>
        </w:rPr>
        <w:footnoteReference w:id="50"/>
      </w:r>
      <w:r w:rsidR="00714FFC">
        <w:rPr>
          <w:rFonts w:cs="Calibri"/>
          <w:color w:val="000000"/>
          <w:u w:color="000000"/>
          <w:bdr w:val="nil"/>
        </w:rPr>
        <w:t xml:space="preserve"> and</w:t>
      </w:r>
    </w:p>
    <w:p w14:paraId="259316BF" w14:textId="03889D02" w:rsidR="0046770B" w:rsidRDefault="0046770B" w:rsidP="0046770B">
      <w:pPr>
        <w:spacing w:line="480" w:lineRule="auto"/>
        <w:ind w:left="720"/>
        <w:jc w:val="both"/>
        <w:rPr>
          <w:rFonts w:cs="Calibri"/>
          <w:color w:val="000000"/>
          <w:u w:color="000000"/>
          <w:bdr w:val="nil"/>
        </w:rPr>
      </w:pPr>
      <w:r w:rsidRPr="0034397F">
        <w:rPr>
          <w:rFonts w:cs="Calibri"/>
          <w:color w:val="000000"/>
          <w:u w:color="000000"/>
          <w:bdr w:val="nil"/>
        </w:rPr>
        <w:t xml:space="preserve">3) Are conducted in accordance with the </w:t>
      </w:r>
      <w:r w:rsidR="00783915">
        <w:rPr>
          <w:rFonts w:cs="Calibri"/>
          <w:color w:val="000000"/>
          <w:u w:color="000000"/>
          <w:bdr w:val="nil"/>
        </w:rPr>
        <w:t>RA’s</w:t>
      </w:r>
      <w:r w:rsidRPr="0034397F">
        <w:rPr>
          <w:rFonts w:cs="Calibri"/>
          <w:color w:val="000000"/>
          <w:u w:color="000000"/>
          <w:bdr w:val="nil"/>
        </w:rPr>
        <w:t xml:space="preserve"> written agreement with NYCHA.</w:t>
      </w:r>
      <w:r>
        <w:rPr>
          <w:rStyle w:val="FootnoteReference"/>
          <w:rFonts w:cs="Calibri"/>
          <w:color w:val="000000"/>
          <w:u w:color="000000"/>
          <w:bdr w:val="nil"/>
        </w:rPr>
        <w:footnoteReference w:id="51"/>
      </w:r>
      <w:r w:rsidRPr="0034397F">
        <w:rPr>
          <w:rFonts w:cs="Calibri"/>
          <w:color w:val="000000"/>
          <w:u w:color="000000"/>
          <w:bdr w:val="nil"/>
        </w:rPr>
        <w:t xml:space="preserve"> </w:t>
      </w:r>
    </w:p>
    <w:p w14:paraId="16DC5330" w14:textId="74E0FADE" w:rsidR="0046770B" w:rsidRDefault="0046770B" w:rsidP="0046770B">
      <w:pPr>
        <w:spacing w:line="480" w:lineRule="auto"/>
        <w:ind w:firstLine="720"/>
        <w:jc w:val="both"/>
        <w:rPr>
          <w:rFonts w:cs="Calibri"/>
          <w:color w:val="000000"/>
          <w:u w:color="000000"/>
          <w:bdr w:val="nil"/>
        </w:rPr>
      </w:pPr>
      <w:r w:rsidRPr="0034397F">
        <w:rPr>
          <w:rFonts w:cs="Calibri"/>
          <w:color w:val="000000"/>
          <w:u w:color="000000"/>
          <w:bdr w:val="nil"/>
        </w:rPr>
        <w:t xml:space="preserve">Moreover, </w:t>
      </w:r>
      <w:r w:rsidR="00783915">
        <w:rPr>
          <w:rFonts w:cs="Calibri"/>
          <w:color w:val="000000"/>
          <w:u w:color="000000"/>
          <w:bdr w:val="nil"/>
        </w:rPr>
        <w:t>RAs</w:t>
      </w:r>
      <w:r w:rsidRPr="0034397F">
        <w:rPr>
          <w:rFonts w:cs="Calibri"/>
          <w:color w:val="000000"/>
          <w:u w:color="000000"/>
          <w:bdr w:val="nil"/>
        </w:rPr>
        <w:t xml:space="preserve"> </w:t>
      </w:r>
      <w:r w:rsidR="00783915">
        <w:rPr>
          <w:rFonts w:cs="Calibri"/>
          <w:color w:val="000000"/>
          <w:u w:color="000000"/>
          <w:bdr w:val="nil"/>
        </w:rPr>
        <w:t xml:space="preserve">may utilize </w:t>
      </w:r>
      <w:r w:rsidRPr="0034397F">
        <w:rPr>
          <w:rFonts w:cs="Calibri"/>
          <w:color w:val="000000"/>
          <w:u w:color="000000"/>
          <w:bdr w:val="nil"/>
        </w:rPr>
        <w:t>TPA Funds for eligible activities to benefit authorized residents of NYCHA public housing developments and maximize resident participation. Residents must be listed on the official Family Composition</w:t>
      </w:r>
      <w:r>
        <w:rPr>
          <w:rStyle w:val="FootnoteReference"/>
          <w:rFonts w:cs="Calibri"/>
          <w:color w:val="000000"/>
          <w:u w:color="000000"/>
          <w:bdr w:val="nil"/>
        </w:rPr>
        <w:footnoteReference w:id="52"/>
      </w:r>
      <w:r w:rsidRPr="0034397F">
        <w:rPr>
          <w:rFonts w:cs="Calibri"/>
          <w:color w:val="000000"/>
          <w:u w:color="000000"/>
          <w:bdr w:val="nil"/>
        </w:rPr>
        <w:t xml:space="preserve"> for a public housing unit in order to participate in tenant participation activities funded by TPA Funds.</w:t>
      </w:r>
      <w:r>
        <w:rPr>
          <w:rStyle w:val="FootnoteReference"/>
          <w:rFonts w:cs="Calibri"/>
          <w:color w:val="000000"/>
          <w:u w:color="000000"/>
          <w:bdr w:val="nil"/>
        </w:rPr>
        <w:footnoteReference w:id="53"/>
      </w:r>
      <w:r w:rsidRPr="0034397F">
        <w:rPr>
          <w:rFonts w:cs="Calibri"/>
          <w:color w:val="000000"/>
          <w:u w:color="000000"/>
          <w:bdr w:val="nil"/>
        </w:rPr>
        <w:t xml:space="preserve"> </w:t>
      </w:r>
    </w:p>
    <w:p w14:paraId="7CD701BE" w14:textId="710A8870" w:rsidR="0046770B" w:rsidRPr="0046770B" w:rsidRDefault="0046770B" w:rsidP="0046770B">
      <w:pPr>
        <w:spacing w:line="480" w:lineRule="auto"/>
        <w:ind w:firstLine="720"/>
        <w:jc w:val="both"/>
        <w:rPr>
          <w:rFonts w:cs="Calibri"/>
          <w:color w:val="000000"/>
          <w:u w:color="000000"/>
          <w:bdr w:val="nil"/>
        </w:rPr>
      </w:pPr>
      <w:r w:rsidRPr="0034397F">
        <w:rPr>
          <w:rFonts w:cs="Calibri"/>
          <w:color w:val="000000"/>
          <w:u w:color="000000"/>
          <w:bdr w:val="nil"/>
        </w:rPr>
        <w:t xml:space="preserve">Examples of common tenant participation activities as stated in the TPA Guidebook include stipends for </w:t>
      </w:r>
      <w:r w:rsidR="00783915">
        <w:rPr>
          <w:rFonts w:cs="Calibri"/>
          <w:color w:val="000000"/>
          <w:u w:color="000000"/>
          <w:bdr w:val="nil"/>
        </w:rPr>
        <w:t>RA</w:t>
      </w:r>
      <w:r w:rsidRPr="0034397F">
        <w:rPr>
          <w:rFonts w:cs="Calibri"/>
          <w:color w:val="000000"/>
          <w:u w:color="000000"/>
          <w:bdr w:val="nil"/>
        </w:rPr>
        <w:t xml:space="preserve"> officers; consulting services; Family Day events if structured to offer certain self-sufficiency activities</w:t>
      </w:r>
      <w:r>
        <w:rPr>
          <w:rFonts w:cs="Calibri"/>
          <w:color w:val="000000"/>
          <w:u w:color="000000"/>
          <w:bdr w:val="nil"/>
        </w:rPr>
        <w:t xml:space="preserve"> like potential employment and training opportunities, or information on community-based organizations</w:t>
      </w:r>
      <w:r w:rsidRPr="0034397F">
        <w:rPr>
          <w:rFonts w:cs="Calibri"/>
          <w:color w:val="000000"/>
          <w:u w:color="000000"/>
          <w:bdr w:val="nil"/>
        </w:rPr>
        <w:t>; and conferences, retreats, travel</w:t>
      </w:r>
      <w:r w:rsidR="001F1B76">
        <w:rPr>
          <w:rFonts w:cs="Calibri"/>
          <w:color w:val="000000"/>
          <w:u w:color="000000"/>
          <w:bdr w:val="nil"/>
        </w:rPr>
        <w:t>,</w:t>
      </w:r>
      <w:r w:rsidRPr="0034397F">
        <w:rPr>
          <w:rFonts w:cs="Calibri"/>
          <w:color w:val="000000"/>
          <w:u w:color="000000"/>
          <w:bdr w:val="nil"/>
        </w:rPr>
        <w:t xml:space="preserve"> and lodging.</w:t>
      </w:r>
      <w:r w:rsidRPr="0034397F">
        <w:rPr>
          <w:color w:val="000000"/>
          <w:u w:color="000000"/>
          <w:bdr w:val="nil"/>
          <w:vertAlign w:val="superscript"/>
        </w:rPr>
        <w:footnoteReference w:id="54"/>
      </w:r>
    </w:p>
    <w:p w14:paraId="31BC57C8" w14:textId="389D7AE4" w:rsidR="00B021A6" w:rsidRDefault="00B021A6" w:rsidP="00B021A6">
      <w:pPr>
        <w:pStyle w:val="ListParagraph"/>
        <w:numPr>
          <w:ilvl w:val="0"/>
          <w:numId w:val="8"/>
        </w:numPr>
        <w:spacing w:line="480" w:lineRule="auto"/>
        <w:jc w:val="both"/>
        <w:rPr>
          <w:rFonts w:ascii="Times New Roman Bold" w:hAnsi="Times New Roman Bold"/>
          <w:b/>
          <w:smallCaps/>
          <w:u w:val="single"/>
        </w:rPr>
      </w:pPr>
      <w:r>
        <w:rPr>
          <w:rFonts w:ascii="Times New Roman Bold" w:hAnsi="Times New Roman Bold"/>
          <w:b/>
          <w:smallCaps/>
          <w:u w:val="single"/>
        </w:rPr>
        <w:t>Issues Engaging with Residents</w:t>
      </w:r>
    </w:p>
    <w:p w14:paraId="15AB895E" w14:textId="5AF4B941" w:rsidR="00783915" w:rsidRDefault="00783915" w:rsidP="00783915">
      <w:pPr>
        <w:spacing w:line="480" w:lineRule="auto"/>
        <w:ind w:firstLine="720"/>
        <w:jc w:val="both"/>
      </w:pPr>
      <w:r>
        <w:t>NYCHA residents have raised a number of issues regarding outreach and engagement over the years.</w:t>
      </w:r>
      <w:r w:rsidR="00707DFC">
        <w:t xml:space="preserve"> For instance, notwithstanding the CCOP election procedures outlined above, and the rules and requirements provided for in the CCOP Bylaws, residents have noted a lack of transparency in these elections. During the COVID-19 pandemic, when the state of emergency required many public functions to shift to online platforms, some residents noted that they did not receive proper information about how to vote</w:t>
      </w:r>
      <w:r w:rsidR="00364DB3">
        <w:t xml:space="preserve"> in RA elections</w:t>
      </w:r>
      <w:r w:rsidR="00707DFC">
        <w:t>.</w:t>
      </w:r>
      <w:r w:rsidR="00C4460A">
        <w:t xml:space="preserve"> Additionally, </w:t>
      </w:r>
      <w:r w:rsidR="00896451">
        <w:t xml:space="preserve">NYCHA has reported </w:t>
      </w:r>
      <w:r w:rsidR="001F1B76">
        <w:t>a turnout rate of just</w:t>
      </w:r>
      <w:r w:rsidR="00AE38F9">
        <w:t xml:space="preserve"> </w:t>
      </w:r>
      <w:r w:rsidR="00896451">
        <w:t xml:space="preserve">7.7% </w:t>
      </w:r>
      <w:r w:rsidR="00AE38F9">
        <w:t xml:space="preserve">of eligible voters </w:t>
      </w:r>
      <w:r w:rsidR="001F1B76">
        <w:t>at</w:t>
      </w:r>
      <w:r w:rsidR="00896451">
        <w:t xml:space="preserve"> RA elections.</w:t>
      </w:r>
      <w:r w:rsidR="00896451">
        <w:rPr>
          <w:rStyle w:val="FootnoteReference"/>
        </w:rPr>
        <w:footnoteReference w:id="55"/>
      </w:r>
    </w:p>
    <w:p w14:paraId="3ACBBC8C" w14:textId="1807AA00" w:rsidR="009B3A6A" w:rsidRDefault="00FC3F61" w:rsidP="00783915">
      <w:pPr>
        <w:spacing w:line="480" w:lineRule="auto"/>
        <w:ind w:firstLine="720"/>
        <w:jc w:val="both"/>
      </w:pPr>
      <w:r>
        <w:t xml:space="preserve">Residents have also noted </w:t>
      </w:r>
      <w:r w:rsidR="00437CED">
        <w:t>deficiencies in resident engagement with respect to NYCHA’s plans to establish a Public Housing Preservation Trust.</w:t>
      </w:r>
      <w:bookmarkStart w:id="3" w:name="_Ref117517281"/>
      <w:r w:rsidR="00437CED">
        <w:rPr>
          <w:rStyle w:val="FootnoteReference"/>
        </w:rPr>
        <w:footnoteReference w:id="56"/>
      </w:r>
      <w:bookmarkEnd w:id="3"/>
      <w:r w:rsidR="00707DFC">
        <w:t xml:space="preserve"> The plan</w:t>
      </w:r>
      <w:r w:rsidR="00AE38F9">
        <w:t xml:space="preserve"> seeks to convert </w:t>
      </w:r>
      <w:r w:rsidR="00E320AF">
        <w:t>up to 25,000</w:t>
      </w:r>
      <w:r w:rsidR="00AE38F9">
        <w:t xml:space="preserve"> NYCHA apartments from Section 9 to Section 8 to open up additional funding sources, primar</w:t>
      </w:r>
      <w:r w:rsidR="00E320AF">
        <w:t xml:space="preserve">ily in the form of debt service. The plan was </w:t>
      </w:r>
      <w:r w:rsidR="00707DFC">
        <w:t>initially announced by NYCHA in July 2020,</w:t>
      </w:r>
      <w:r w:rsidR="00F20C4D">
        <w:rPr>
          <w:rStyle w:val="FootnoteReference"/>
        </w:rPr>
        <w:footnoteReference w:id="57"/>
      </w:r>
      <w:r w:rsidR="00707DFC">
        <w:t xml:space="preserve"> in the midst of the COVID-19 pandemic</w:t>
      </w:r>
      <w:r w:rsidR="00F20C4D">
        <w:t>, with little to no notice to residents</w:t>
      </w:r>
      <w:r w:rsidR="00E320AF">
        <w:t>, many of whom were among the City’s hardest hit by the pandemic</w:t>
      </w:r>
      <w:r w:rsidR="00F20C4D">
        <w:t>.</w:t>
      </w:r>
      <w:r w:rsidR="00707DFC">
        <w:t xml:space="preserve"> </w:t>
      </w:r>
      <w:r w:rsidR="00AE38F9">
        <w:t xml:space="preserve">After </w:t>
      </w:r>
      <w:r w:rsidR="001F1B76">
        <w:t>a</w:t>
      </w:r>
      <w:r w:rsidR="00E320AF">
        <w:t>n</w:t>
      </w:r>
      <w:r w:rsidR="00AE38F9">
        <w:t xml:space="preserve"> initial wave of criticism for announcing the plan without </w:t>
      </w:r>
      <w:r w:rsidR="00494638">
        <w:t>advance notice to</w:t>
      </w:r>
      <w:r w:rsidR="00AE38F9">
        <w:t xml:space="preserve"> residents, and dur</w:t>
      </w:r>
      <w:r w:rsidR="00E320AF">
        <w:t xml:space="preserve">ing a time when NYCHA residents </w:t>
      </w:r>
      <w:r w:rsidR="00AE38F9">
        <w:t>were simply trying to survive, the trust plan went t</w:t>
      </w:r>
      <w:r w:rsidR="00494638">
        <w:t>hrough several revisions, and the</w:t>
      </w:r>
      <w:r w:rsidR="00AE38F9">
        <w:t xml:space="preserve"> third iteration </w:t>
      </w:r>
      <w:r w:rsidR="00494638">
        <w:t>of the</w:t>
      </w:r>
      <w:r w:rsidR="009B3A6A">
        <w:t xml:space="preserve"> enabling</w:t>
      </w:r>
      <w:r w:rsidR="00494638">
        <w:t xml:space="preserve"> legislation was</w:t>
      </w:r>
      <w:r w:rsidR="00AE38F9">
        <w:t xml:space="preserve"> passed and enacted into law by the New York State </w:t>
      </w:r>
      <w:r w:rsidR="00714FFC">
        <w:t>L</w:t>
      </w:r>
      <w:r w:rsidR="00AE38F9">
        <w:t xml:space="preserve">egislature and </w:t>
      </w:r>
      <w:r w:rsidR="00714FFC">
        <w:t>G</w:t>
      </w:r>
      <w:r w:rsidR="00AE38F9">
        <w:t>overnor in June 2022.</w:t>
      </w:r>
      <w:r w:rsidR="00AE38F9">
        <w:rPr>
          <w:rStyle w:val="FootnoteReference"/>
        </w:rPr>
        <w:footnoteReference w:id="58"/>
      </w:r>
      <w:r w:rsidR="00AE38F9">
        <w:t xml:space="preserve"> </w:t>
      </w:r>
    </w:p>
    <w:p w14:paraId="0BFA9835" w14:textId="6442C724" w:rsidR="00FC3F61" w:rsidRPr="00783915" w:rsidRDefault="00FE1C11" w:rsidP="00783915">
      <w:pPr>
        <w:spacing w:line="480" w:lineRule="auto"/>
        <w:ind w:firstLine="720"/>
        <w:jc w:val="both"/>
      </w:pPr>
      <w:r>
        <w:t xml:space="preserve">NYCHA has touted a number of updates in the version of the plan that was ultimately enacted as the result of responding to resident feedback since the initial announcement. Perhaps most notably, the enacted legislation includes a so-called “opt-in” provision, which would enable the residents of a given NYCHA development to vote on whether to </w:t>
      </w:r>
      <w:r w:rsidR="00730378">
        <w:t>enter</w:t>
      </w:r>
      <w:r>
        <w:t xml:space="preserve"> the Trust. </w:t>
      </w:r>
      <w:r w:rsidR="001105F2">
        <w:t xml:space="preserve">However, residents have pointed out that the opt-in provision does little to ensure meaningful resident engagement in the Trust process, particularly given that resident participation in other resident </w:t>
      </w:r>
      <w:r w:rsidR="00DA0F1E">
        <w:t xml:space="preserve">elections </w:t>
      </w:r>
      <w:r w:rsidR="001105F2">
        <w:t>has historically topped off at the 10% range.</w:t>
      </w:r>
      <w:r w:rsidR="001105F2">
        <w:rPr>
          <w:rStyle w:val="FootnoteReference"/>
        </w:rPr>
        <w:footnoteReference w:id="59"/>
      </w:r>
      <w:r w:rsidR="001105F2">
        <w:t xml:space="preserve"> </w:t>
      </w:r>
      <w:r w:rsidR="00730378">
        <w:t>Recently, NYCHA published proposed rules for the mechanics of the opt-in voting process.</w:t>
      </w:r>
      <w:r w:rsidR="00730378">
        <w:rPr>
          <w:rStyle w:val="FootnoteReference"/>
        </w:rPr>
        <w:footnoteReference w:id="60"/>
      </w:r>
      <w:r w:rsidR="00730378">
        <w:t xml:space="preserve"> </w:t>
      </w:r>
    </w:p>
    <w:p w14:paraId="6F993E01" w14:textId="3D166EAB" w:rsidR="00795256" w:rsidRDefault="00795256" w:rsidP="00B021A6">
      <w:pPr>
        <w:pStyle w:val="ListParagraph"/>
        <w:numPr>
          <w:ilvl w:val="0"/>
          <w:numId w:val="8"/>
        </w:numPr>
        <w:spacing w:line="480" w:lineRule="auto"/>
        <w:jc w:val="both"/>
        <w:rPr>
          <w:rFonts w:ascii="Times New Roman Bold" w:hAnsi="Times New Roman Bold"/>
          <w:b/>
          <w:smallCaps/>
          <w:u w:val="single"/>
        </w:rPr>
      </w:pPr>
      <w:r>
        <w:rPr>
          <w:rFonts w:ascii="Times New Roman Bold" w:hAnsi="Times New Roman Bold"/>
          <w:b/>
          <w:smallCaps/>
          <w:u w:val="single"/>
        </w:rPr>
        <w:t>Conclusion</w:t>
      </w:r>
    </w:p>
    <w:p w14:paraId="20A05883" w14:textId="77193D7E" w:rsidR="00F152EA" w:rsidRPr="00F152EA" w:rsidRDefault="00F152EA" w:rsidP="00F152EA">
      <w:pPr>
        <w:spacing w:line="480" w:lineRule="auto"/>
        <w:ind w:firstLine="720"/>
        <w:jc w:val="both"/>
      </w:pPr>
      <w:r>
        <w:t>It is essential for NYCHA to keep its residents appropriately informed, engaged, and involved in its provision of services to them. This hearing would provide the Committee an opportunity to learn more about how NYCHA is doing so, how TPA funds are managed, the extent to which resident input is incorporated into high-level decision-making,</w:t>
      </w:r>
      <w:r w:rsidR="00035C0E">
        <w:t xml:space="preserve"> NYCHA’s proposed rules for resident engagement and participation in the trust process,</w:t>
      </w:r>
      <w:r>
        <w:t xml:space="preserve"> and to identify areas for improvement. </w:t>
      </w:r>
    </w:p>
    <w:sectPr w:rsidR="00F152EA" w:rsidRPr="00F152EA" w:rsidSect="00873DA2">
      <w:headerReference w:type="even" r:id="rId12"/>
      <w:headerReference w:type="default" r:id="rId13"/>
      <w:footerReference w:type="default" r:id="rId14"/>
      <w:head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687A3" w14:textId="77777777" w:rsidR="005667A1" w:rsidRDefault="005667A1" w:rsidP="00F64A28">
      <w:r>
        <w:separator/>
      </w:r>
    </w:p>
  </w:endnote>
  <w:endnote w:type="continuationSeparator" w:id="0">
    <w:p w14:paraId="6A20C13A" w14:textId="77777777" w:rsidR="005667A1" w:rsidRDefault="005667A1" w:rsidP="00F64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094047"/>
      <w:docPartObj>
        <w:docPartGallery w:val="Page Numbers (Bottom of Page)"/>
        <w:docPartUnique/>
      </w:docPartObj>
    </w:sdtPr>
    <w:sdtEndPr>
      <w:rPr>
        <w:noProof/>
      </w:rPr>
    </w:sdtEndPr>
    <w:sdtContent>
      <w:p w14:paraId="0AE0A807" w14:textId="77777777" w:rsidR="00730378" w:rsidRDefault="00730378" w:rsidP="005D6C82">
        <w:pPr>
          <w:pStyle w:val="Footer"/>
          <w:jc w:val="center"/>
        </w:pPr>
      </w:p>
      <w:p w14:paraId="679AD833" w14:textId="7E5F0AF0" w:rsidR="00730378" w:rsidRDefault="00730378" w:rsidP="005D6C82">
        <w:pPr>
          <w:pStyle w:val="Footer"/>
          <w:jc w:val="center"/>
        </w:pPr>
        <w:r>
          <w:fldChar w:fldCharType="begin"/>
        </w:r>
        <w:r>
          <w:instrText xml:space="preserve"> PAGE   \* MERGEFORMAT </w:instrText>
        </w:r>
        <w:r>
          <w:fldChar w:fldCharType="separate"/>
        </w:r>
        <w:r w:rsidR="00CA667F">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B0337" w14:textId="77777777" w:rsidR="005667A1" w:rsidRDefault="005667A1" w:rsidP="00F64A28">
      <w:r>
        <w:separator/>
      </w:r>
    </w:p>
  </w:footnote>
  <w:footnote w:type="continuationSeparator" w:id="0">
    <w:p w14:paraId="29186180" w14:textId="77777777" w:rsidR="005667A1" w:rsidRDefault="005667A1" w:rsidP="00F64A28">
      <w:r>
        <w:continuationSeparator/>
      </w:r>
    </w:p>
  </w:footnote>
  <w:footnote w:id="1">
    <w:p w14:paraId="4C8FC219" w14:textId="2A7FEF01" w:rsidR="00730378" w:rsidRPr="00B168AF" w:rsidRDefault="00730378" w:rsidP="26227D0C">
      <w:pPr>
        <w:spacing w:line="257" w:lineRule="auto"/>
        <w:rPr>
          <w:sz w:val="20"/>
          <w:szCs w:val="20"/>
        </w:rPr>
      </w:pPr>
      <w:r w:rsidRPr="00B168AF">
        <w:rPr>
          <w:rStyle w:val="FootnoteReference"/>
          <w:sz w:val="20"/>
          <w:szCs w:val="20"/>
        </w:rPr>
        <w:footnoteRef/>
      </w:r>
      <w:r w:rsidRPr="00B168AF">
        <w:rPr>
          <w:sz w:val="20"/>
          <w:szCs w:val="20"/>
        </w:rPr>
        <w:t xml:space="preserve"> </w:t>
      </w:r>
      <w:r w:rsidRPr="00B168AF">
        <w:rPr>
          <w:color w:val="000000" w:themeColor="text1"/>
          <w:sz w:val="20"/>
          <w:szCs w:val="20"/>
        </w:rPr>
        <w:t xml:space="preserve">Ferre-Sadurni, Luis, “The Rise and Fall of New York Public Housing: An Oral History,” The New York Times, </w:t>
      </w:r>
      <w:r w:rsidRPr="00B168AF">
        <w:rPr>
          <w:i/>
          <w:iCs/>
          <w:color w:val="000000" w:themeColor="text1"/>
          <w:sz w:val="20"/>
          <w:szCs w:val="20"/>
        </w:rPr>
        <w:t xml:space="preserve">available at </w:t>
      </w:r>
      <w:hyperlink r:id="rId1">
        <w:r w:rsidRPr="00B168AF">
          <w:rPr>
            <w:rStyle w:val="Hyperlink"/>
            <w:sz w:val="20"/>
            <w:szCs w:val="20"/>
          </w:rPr>
          <w:t>https://www.nytimes.com/interactive/2018/06/25/nyregion/new-york-city-public-housing-history.html</w:t>
        </w:r>
      </w:hyperlink>
      <w:r w:rsidRPr="00B168AF">
        <w:rPr>
          <w:color w:val="0000FF"/>
          <w:sz w:val="20"/>
          <w:szCs w:val="20"/>
          <w:u w:val="single"/>
        </w:rPr>
        <w:t>.</w:t>
      </w:r>
    </w:p>
  </w:footnote>
  <w:footnote w:id="2">
    <w:p w14:paraId="42160835" w14:textId="1ACE5A6B" w:rsidR="00730378" w:rsidRPr="00B168AF" w:rsidRDefault="00730378" w:rsidP="00B168AF">
      <w:pPr>
        <w:spacing w:line="257" w:lineRule="auto"/>
        <w:rPr>
          <w:sz w:val="20"/>
          <w:szCs w:val="20"/>
        </w:rPr>
      </w:pPr>
      <w:r w:rsidRPr="00B168AF">
        <w:rPr>
          <w:rStyle w:val="FootnoteReference"/>
          <w:sz w:val="20"/>
          <w:szCs w:val="20"/>
        </w:rPr>
        <w:footnoteRef/>
      </w:r>
      <w:r w:rsidRPr="00B168AF">
        <w:rPr>
          <w:sz w:val="20"/>
          <w:szCs w:val="20"/>
        </w:rPr>
        <w:t xml:space="preserve"> H</w:t>
      </w:r>
      <w:r w:rsidRPr="00B168AF">
        <w:rPr>
          <w:color w:val="000000" w:themeColor="text1"/>
          <w:sz w:val="20"/>
          <w:szCs w:val="20"/>
        </w:rPr>
        <w:t xml:space="preserve">ousing Act of 1937, </w:t>
      </w:r>
      <w:r w:rsidRPr="00B168AF">
        <w:rPr>
          <w:i/>
          <w:iCs/>
          <w:color w:val="000000" w:themeColor="text1"/>
          <w:sz w:val="20"/>
          <w:szCs w:val="20"/>
        </w:rPr>
        <w:t>available at</w:t>
      </w:r>
      <w:r w:rsidRPr="00B168AF">
        <w:rPr>
          <w:color w:val="000000" w:themeColor="text1"/>
          <w:sz w:val="20"/>
          <w:szCs w:val="20"/>
        </w:rPr>
        <w:t xml:space="preserve"> </w:t>
      </w:r>
      <w:hyperlink r:id="rId2">
        <w:r w:rsidRPr="00B168AF">
          <w:rPr>
            <w:rStyle w:val="Hyperlink"/>
            <w:sz w:val="20"/>
            <w:szCs w:val="20"/>
          </w:rPr>
          <w:t>https</w:t>
        </w:r>
      </w:hyperlink>
      <w:hyperlink r:id="rId3">
        <w:r w:rsidRPr="00B168AF">
          <w:rPr>
            <w:rStyle w:val="Hyperlink"/>
            <w:sz w:val="20"/>
            <w:szCs w:val="20"/>
          </w:rPr>
          <w:t>://</w:t>
        </w:r>
      </w:hyperlink>
      <w:hyperlink r:id="rId4">
        <w:r w:rsidRPr="00B168AF">
          <w:rPr>
            <w:rStyle w:val="Hyperlink"/>
            <w:sz w:val="20"/>
            <w:szCs w:val="20"/>
          </w:rPr>
          <w:t>www</w:t>
        </w:r>
      </w:hyperlink>
      <w:hyperlink r:id="rId5">
        <w:r w:rsidRPr="00B168AF">
          <w:rPr>
            <w:rStyle w:val="Hyperlink"/>
            <w:sz w:val="20"/>
            <w:szCs w:val="20"/>
          </w:rPr>
          <w:t>.</w:t>
        </w:r>
      </w:hyperlink>
      <w:hyperlink r:id="rId6">
        <w:r w:rsidRPr="00B168AF">
          <w:rPr>
            <w:rStyle w:val="Hyperlink"/>
            <w:sz w:val="20"/>
            <w:szCs w:val="20"/>
          </w:rPr>
          <w:t>gpo</w:t>
        </w:r>
      </w:hyperlink>
      <w:hyperlink r:id="rId7">
        <w:r w:rsidRPr="00B168AF">
          <w:rPr>
            <w:rStyle w:val="Hyperlink"/>
            <w:sz w:val="20"/>
            <w:szCs w:val="20"/>
          </w:rPr>
          <w:t>.</w:t>
        </w:r>
      </w:hyperlink>
      <w:hyperlink r:id="rId8">
        <w:r w:rsidRPr="00B168AF">
          <w:rPr>
            <w:rStyle w:val="Hyperlink"/>
            <w:sz w:val="20"/>
            <w:szCs w:val="20"/>
          </w:rPr>
          <w:t>gov</w:t>
        </w:r>
      </w:hyperlink>
      <w:hyperlink r:id="rId9">
        <w:r w:rsidRPr="00B168AF">
          <w:rPr>
            <w:rStyle w:val="Hyperlink"/>
            <w:sz w:val="20"/>
            <w:szCs w:val="20"/>
          </w:rPr>
          <w:t>/</w:t>
        </w:r>
      </w:hyperlink>
      <w:hyperlink r:id="rId10">
        <w:r w:rsidRPr="00B168AF">
          <w:rPr>
            <w:rStyle w:val="Hyperlink"/>
            <w:sz w:val="20"/>
            <w:szCs w:val="20"/>
          </w:rPr>
          <w:t>fdsys</w:t>
        </w:r>
      </w:hyperlink>
      <w:hyperlink r:id="rId11">
        <w:r w:rsidRPr="00B168AF">
          <w:rPr>
            <w:rStyle w:val="Hyperlink"/>
            <w:sz w:val="20"/>
            <w:szCs w:val="20"/>
          </w:rPr>
          <w:t>/</w:t>
        </w:r>
      </w:hyperlink>
      <w:hyperlink r:id="rId12">
        <w:r w:rsidRPr="00B168AF">
          <w:rPr>
            <w:rStyle w:val="Hyperlink"/>
            <w:sz w:val="20"/>
            <w:szCs w:val="20"/>
          </w:rPr>
          <w:t>pkg</w:t>
        </w:r>
      </w:hyperlink>
      <w:hyperlink r:id="rId13">
        <w:r w:rsidRPr="00B168AF">
          <w:rPr>
            <w:rStyle w:val="Hyperlink"/>
            <w:sz w:val="20"/>
            <w:szCs w:val="20"/>
          </w:rPr>
          <w:t>/</w:t>
        </w:r>
      </w:hyperlink>
      <w:hyperlink r:id="rId14">
        <w:r w:rsidRPr="00B168AF">
          <w:rPr>
            <w:rStyle w:val="Hyperlink"/>
            <w:sz w:val="20"/>
            <w:szCs w:val="20"/>
          </w:rPr>
          <w:t>USCODE</w:t>
        </w:r>
      </w:hyperlink>
      <w:hyperlink r:id="rId15">
        <w:r w:rsidRPr="00B168AF">
          <w:rPr>
            <w:rStyle w:val="Hyperlink"/>
            <w:sz w:val="20"/>
            <w:szCs w:val="20"/>
          </w:rPr>
          <w:t>-2009-</w:t>
        </w:r>
      </w:hyperlink>
      <w:hyperlink r:id="rId16">
        <w:r w:rsidRPr="00B168AF">
          <w:rPr>
            <w:rStyle w:val="Hyperlink"/>
            <w:sz w:val="20"/>
            <w:szCs w:val="20"/>
          </w:rPr>
          <w:t>title</w:t>
        </w:r>
      </w:hyperlink>
      <w:hyperlink r:id="rId17">
        <w:r w:rsidRPr="00B168AF">
          <w:rPr>
            <w:rStyle w:val="Hyperlink"/>
            <w:sz w:val="20"/>
            <w:szCs w:val="20"/>
          </w:rPr>
          <w:t>42/</w:t>
        </w:r>
      </w:hyperlink>
      <w:hyperlink r:id="rId18">
        <w:r w:rsidRPr="00B168AF">
          <w:rPr>
            <w:rStyle w:val="Hyperlink"/>
            <w:sz w:val="20"/>
            <w:szCs w:val="20"/>
          </w:rPr>
          <w:t>pdf</w:t>
        </w:r>
      </w:hyperlink>
      <w:hyperlink r:id="rId19">
        <w:r w:rsidRPr="00B168AF">
          <w:rPr>
            <w:rStyle w:val="Hyperlink"/>
            <w:sz w:val="20"/>
            <w:szCs w:val="20"/>
          </w:rPr>
          <w:t>/</w:t>
        </w:r>
      </w:hyperlink>
      <w:hyperlink r:id="rId20">
        <w:r w:rsidRPr="00B168AF">
          <w:rPr>
            <w:rStyle w:val="Hyperlink"/>
            <w:sz w:val="20"/>
            <w:szCs w:val="20"/>
          </w:rPr>
          <w:t>USCODE</w:t>
        </w:r>
      </w:hyperlink>
      <w:hyperlink r:id="rId21">
        <w:r w:rsidRPr="00B168AF">
          <w:rPr>
            <w:rStyle w:val="Hyperlink"/>
            <w:sz w:val="20"/>
            <w:szCs w:val="20"/>
          </w:rPr>
          <w:t>-2009-</w:t>
        </w:r>
      </w:hyperlink>
      <w:hyperlink r:id="rId22">
        <w:r w:rsidRPr="00B168AF">
          <w:rPr>
            <w:rStyle w:val="Hyperlink"/>
            <w:sz w:val="20"/>
            <w:szCs w:val="20"/>
          </w:rPr>
          <w:t>title</w:t>
        </w:r>
      </w:hyperlink>
      <w:hyperlink r:id="rId23">
        <w:r w:rsidRPr="00B168AF">
          <w:rPr>
            <w:rStyle w:val="Hyperlink"/>
            <w:sz w:val="20"/>
            <w:szCs w:val="20"/>
          </w:rPr>
          <w:t>42-</w:t>
        </w:r>
      </w:hyperlink>
      <w:hyperlink r:id="rId24">
        <w:r w:rsidRPr="00B168AF">
          <w:rPr>
            <w:rStyle w:val="Hyperlink"/>
            <w:sz w:val="20"/>
            <w:szCs w:val="20"/>
          </w:rPr>
          <w:t>chap</w:t>
        </w:r>
      </w:hyperlink>
      <w:hyperlink r:id="rId25">
        <w:r w:rsidRPr="00B168AF">
          <w:rPr>
            <w:rStyle w:val="Hyperlink"/>
            <w:sz w:val="20"/>
            <w:szCs w:val="20"/>
          </w:rPr>
          <w:t>8.</w:t>
        </w:r>
      </w:hyperlink>
      <w:hyperlink r:id="rId26">
        <w:r w:rsidRPr="00B168AF">
          <w:rPr>
            <w:rStyle w:val="Hyperlink"/>
            <w:sz w:val="20"/>
            <w:szCs w:val="20"/>
          </w:rPr>
          <w:t>pdf</w:t>
        </w:r>
      </w:hyperlink>
      <w:r w:rsidRPr="00B168AF">
        <w:rPr>
          <w:color w:val="000000" w:themeColor="text1"/>
          <w:sz w:val="20"/>
          <w:szCs w:val="20"/>
        </w:rPr>
        <w:t>.</w:t>
      </w:r>
    </w:p>
  </w:footnote>
  <w:footnote w:id="3">
    <w:p w14:paraId="6245ABE6" w14:textId="77777777" w:rsidR="00730378" w:rsidRPr="00B168AF" w:rsidRDefault="00730378" w:rsidP="26227D0C">
      <w:pPr>
        <w:rPr>
          <w:color w:val="000000" w:themeColor="text1"/>
          <w:sz w:val="20"/>
          <w:szCs w:val="20"/>
        </w:rPr>
      </w:pPr>
      <w:r w:rsidRPr="00B168AF">
        <w:rPr>
          <w:rStyle w:val="FootnoteReference"/>
          <w:sz w:val="20"/>
          <w:szCs w:val="20"/>
        </w:rPr>
        <w:footnoteRef/>
      </w:r>
      <w:r w:rsidRPr="00B168AF">
        <w:rPr>
          <w:sz w:val="20"/>
          <w:szCs w:val="20"/>
        </w:rPr>
        <w:t xml:space="preserve"> </w:t>
      </w:r>
      <w:r w:rsidRPr="00B168AF">
        <w:rPr>
          <w:color w:val="000000" w:themeColor="text1"/>
          <w:sz w:val="20"/>
          <w:szCs w:val="20"/>
        </w:rPr>
        <w:t>Marcuse, 353-54; J.A. Stoloff, A Brief History of Public Housing, Paper presented at August 14 meeting of the American Sociological Association, at 3 (2004).</w:t>
      </w:r>
    </w:p>
  </w:footnote>
  <w:footnote w:id="4">
    <w:p w14:paraId="25E07DCF" w14:textId="77777777" w:rsidR="00730378" w:rsidRPr="00B168AF" w:rsidRDefault="00730378" w:rsidP="26227D0C">
      <w:pPr>
        <w:rPr>
          <w:color w:val="000000" w:themeColor="text1"/>
          <w:sz w:val="20"/>
          <w:szCs w:val="20"/>
        </w:rPr>
      </w:pPr>
      <w:r w:rsidRPr="00B168AF">
        <w:rPr>
          <w:rStyle w:val="FootnoteReference"/>
          <w:sz w:val="20"/>
          <w:szCs w:val="20"/>
        </w:rPr>
        <w:footnoteRef/>
      </w:r>
      <w:r w:rsidRPr="00B168AF">
        <w:rPr>
          <w:sz w:val="20"/>
          <w:szCs w:val="20"/>
        </w:rPr>
        <w:t xml:space="preserve"> </w:t>
      </w:r>
      <w:r w:rsidRPr="00B168AF">
        <w:rPr>
          <w:color w:val="000000" w:themeColor="text1"/>
          <w:sz w:val="20"/>
          <w:szCs w:val="20"/>
        </w:rPr>
        <w:t xml:space="preserve">Marcuse, 354; Stoloff, 1; </w:t>
      </w:r>
      <w:r w:rsidRPr="00B168AF">
        <w:rPr>
          <w:i/>
          <w:iCs/>
          <w:color w:val="000000" w:themeColor="text1"/>
          <w:sz w:val="20"/>
          <w:szCs w:val="20"/>
        </w:rPr>
        <w:t>see also</w:t>
      </w:r>
      <w:r w:rsidRPr="00B168AF">
        <w:rPr>
          <w:color w:val="000000" w:themeColor="text1"/>
          <w:sz w:val="20"/>
          <w:szCs w:val="20"/>
        </w:rPr>
        <w:t xml:space="preserve"> Judith D. Feins, et al., Revised Methods of Providing Federal Funds for Public Housing Agencies, US Department of Housing and Urban Development, at 9 (1994).</w:t>
      </w:r>
    </w:p>
  </w:footnote>
  <w:footnote w:id="5">
    <w:p w14:paraId="4B871ADD" w14:textId="796F8665" w:rsidR="00730378" w:rsidRDefault="00730378">
      <w:pPr>
        <w:pStyle w:val="FootnoteText"/>
      </w:pPr>
      <w:r>
        <w:rPr>
          <w:rStyle w:val="FootnoteReference"/>
        </w:rPr>
        <w:footnoteRef/>
      </w:r>
      <w:r>
        <w:t xml:space="preserve"> </w:t>
      </w:r>
      <w:r w:rsidRPr="00581A21">
        <w:rPr>
          <w:i/>
          <w:iCs/>
        </w:rPr>
        <w:t>See</w:t>
      </w:r>
      <w:r w:rsidRPr="00581A21">
        <w:t xml:space="preserve"> NYCHA 2022 Fact Sheet, </w:t>
      </w:r>
      <w:r w:rsidRPr="00581A21">
        <w:rPr>
          <w:i/>
          <w:iCs/>
        </w:rPr>
        <w:t xml:space="preserve">available at </w:t>
      </w:r>
      <w:hyperlink r:id="rId27">
        <w:r w:rsidRPr="006B2C26">
          <w:rPr>
            <w:rStyle w:val="Hyperlink"/>
            <w:iCs/>
          </w:rPr>
          <w:t>https://www1.nyc.gov/assets/nycha/downloads/pdf/NYCHA_Fact_Sheet_2022.pdf</w:t>
        </w:r>
      </w:hyperlink>
      <w:r>
        <w:rPr>
          <w:rStyle w:val="Hyperlink"/>
          <w:iCs/>
        </w:rPr>
        <w:t>.</w:t>
      </w:r>
    </w:p>
  </w:footnote>
  <w:footnote w:id="6">
    <w:p w14:paraId="6FA0FADA" w14:textId="4683D47D" w:rsidR="00730378" w:rsidRPr="00DD28EE" w:rsidRDefault="00730378">
      <w:pPr>
        <w:pStyle w:val="FootnoteText"/>
      </w:pPr>
      <w:r>
        <w:rPr>
          <w:rStyle w:val="FootnoteReference"/>
        </w:rPr>
        <w:footnoteRef/>
      </w:r>
      <w:r>
        <w:t xml:space="preserve"> New York City Housing Authority, </w:t>
      </w:r>
      <w:r>
        <w:rPr>
          <w:i/>
        </w:rPr>
        <w:t>Resident Engagement Department</w:t>
      </w:r>
      <w:r>
        <w:t xml:space="preserve">, </w:t>
      </w:r>
      <w:r w:rsidRPr="00DD28EE">
        <w:rPr>
          <w:i/>
        </w:rPr>
        <w:t xml:space="preserve">available at </w:t>
      </w:r>
      <w:hyperlink r:id="rId28" w:history="1">
        <w:r w:rsidRPr="000C7668">
          <w:rPr>
            <w:rStyle w:val="Hyperlink"/>
          </w:rPr>
          <w:t>https://www1.nyc.gov/site/nycha/residents/getting-involved-as-a-resident.page</w:t>
        </w:r>
      </w:hyperlink>
      <w:r>
        <w:t xml:space="preserve"> (last accessed Oct. 13, 2022).</w:t>
      </w:r>
    </w:p>
  </w:footnote>
  <w:footnote w:id="7">
    <w:p w14:paraId="643F1FC3" w14:textId="4A7BACBB" w:rsidR="00730378" w:rsidRPr="00DD28EE" w:rsidRDefault="00730378">
      <w:pPr>
        <w:pStyle w:val="FootnoteText"/>
      </w:pPr>
      <w:r>
        <w:rPr>
          <w:rStyle w:val="FootnoteReference"/>
        </w:rPr>
        <w:footnoteRef/>
      </w:r>
      <w:r>
        <w:t xml:space="preserve"> New York City Housing Authority, </w:t>
      </w:r>
      <w:r>
        <w:rPr>
          <w:i/>
        </w:rPr>
        <w:t>Adopted Budget for FY 2022 and The Four-Year Financial Plan FY 2023-2026</w:t>
      </w:r>
      <w:r>
        <w:t xml:space="preserve">, p. 158, </w:t>
      </w:r>
      <w:r>
        <w:rPr>
          <w:i/>
        </w:rPr>
        <w:t>available at</w:t>
      </w:r>
      <w:r>
        <w:t xml:space="preserve"> </w:t>
      </w:r>
      <w:hyperlink r:id="rId29" w:history="1">
        <w:r w:rsidRPr="000C7668">
          <w:rPr>
            <w:rStyle w:val="Hyperlink"/>
          </w:rPr>
          <w:t>https://www1.nyc.gov/assets/nycha/downloads/pdf/nycha-2022-budget-book.pdf</w:t>
        </w:r>
      </w:hyperlink>
      <w:r>
        <w:t xml:space="preserve">. </w:t>
      </w:r>
    </w:p>
  </w:footnote>
  <w:footnote w:id="8">
    <w:p w14:paraId="145F313C" w14:textId="77777777" w:rsidR="00730378" w:rsidRPr="002373BB" w:rsidRDefault="00730378" w:rsidP="003C4796">
      <w:pPr>
        <w:pStyle w:val="FootnoteText"/>
      </w:pPr>
      <w:r>
        <w:rPr>
          <w:rStyle w:val="FootnoteReference"/>
        </w:rPr>
        <w:footnoteRef/>
      </w:r>
      <w:r>
        <w:t xml:space="preserve"> </w:t>
      </w:r>
      <w:r>
        <w:rPr>
          <w:i/>
        </w:rPr>
        <w:t>Id.</w:t>
      </w:r>
      <w:r>
        <w:t xml:space="preserve"> at 60.</w:t>
      </w:r>
    </w:p>
  </w:footnote>
  <w:footnote w:id="9">
    <w:p w14:paraId="1B32A81F" w14:textId="12B59074" w:rsidR="00730378" w:rsidRPr="00E66BFF" w:rsidRDefault="00730378">
      <w:pPr>
        <w:pStyle w:val="FootnoteText"/>
      </w:pPr>
      <w:r>
        <w:rPr>
          <w:rStyle w:val="FootnoteReference"/>
        </w:rPr>
        <w:footnoteRef/>
      </w:r>
      <w:r>
        <w:t xml:space="preserve"> </w:t>
      </w:r>
      <w:r>
        <w:rPr>
          <w:i/>
        </w:rPr>
        <w:t>Id.</w:t>
      </w:r>
      <w:r>
        <w:t xml:space="preserve"> at 158.</w:t>
      </w:r>
    </w:p>
  </w:footnote>
  <w:footnote w:id="10">
    <w:p w14:paraId="3E1BD7E9" w14:textId="25FFCA15" w:rsidR="00730378" w:rsidRPr="00E66BFF" w:rsidRDefault="00730378">
      <w:pPr>
        <w:pStyle w:val="FootnoteText"/>
      </w:pPr>
      <w:r>
        <w:rPr>
          <w:rStyle w:val="FootnoteReference"/>
        </w:rPr>
        <w:footnoteRef/>
      </w:r>
      <w:r>
        <w:t xml:space="preserve"> </w:t>
      </w:r>
      <w:r>
        <w:rPr>
          <w:i/>
        </w:rPr>
        <w:t>Id.</w:t>
      </w:r>
    </w:p>
  </w:footnote>
  <w:footnote w:id="11">
    <w:p w14:paraId="38FAEB84" w14:textId="1A09EFC0" w:rsidR="00730378" w:rsidRDefault="00730378">
      <w:pPr>
        <w:pStyle w:val="FootnoteText"/>
      </w:pPr>
      <w:r>
        <w:rPr>
          <w:rStyle w:val="FootnoteReference"/>
        </w:rPr>
        <w:footnoteRef/>
      </w:r>
      <w:r>
        <w:t xml:space="preserve"> These are interchangeably referred to as Resident Councils, Tenant Councils, or Tenant Associations, but will be referred to as “resident associations” for purposes of this briefing paper.</w:t>
      </w:r>
    </w:p>
  </w:footnote>
  <w:footnote w:id="12">
    <w:p w14:paraId="6C707443" w14:textId="059E5C4D" w:rsidR="00730378" w:rsidRPr="006326DA" w:rsidRDefault="00730378">
      <w:pPr>
        <w:pStyle w:val="FootnoteText"/>
      </w:pPr>
      <w:r>
        <w:rPr>
          <w:rStyle w:val="FootnoteReference"/>
        </w:rPr>
        <w:footnoteRef/>
      </w:r>
      <w:r>
        <w:t xml:space="preserve"> New York City Housing Authority, </w:t>
      </w:r>
      <w:r w:rsidRPr="006326DA">
        <w:rPr>
          <w:i/>
        </w:rPr>
        <w:t>Tenant Participation Fund – Resident Council Guidebook</w:t>
      </w:r>
      <w:r>
        <w:t xml:space="preserve"> (updated Feb. 2018), </w:t>
      </w:r>
      <w:r>
        <w:rPr>
          <w:i/>
        </w:rPr>
        <w:t>available at</w:t>
      </w:r>
      <w:r>
        <w:t xml:space="preserve"> </w:t>
      </w:r>
      <w:hyperlink r:id="rId30" w:history="1">
        <w:r w:rsidRPr="000C7668">
          <w:rPr>
            <w:rStyle w:val="Hyperlink"/>
          </w:rPr>
          <w:t>https://www1.nyc.gov/assets/nycha/downloads/pdf/tpa-guide-book-20180314.pdf</w:t>
        </w:r>
      </w:hyperlink>
      <w:r>
        <w:t xml:space="preserve">. </w:t>
      </w:r>
    </w:p>
  </w:footnote>
  <w:footnote w:id="13">
    <w:p w14:paraId="337C063B" w14:textId="2747ABB3" w:rsidR="00730378" w:rsidRPr="000F34A9" w:rsidRDefault="00730378">
      <w:pPr>
        <w:pStyle w:val="FootnoteText"/>
      </w:pPr>
      <w:r>
        <w:rPr>
          <w:rStyle w:val="FootnoteReference"/>
        </w:rPr>
        <w:footnoteRef/>
      </w:r>
      <w:r>
        <w:t xml:space="preserve"> New York City Housing Authority, </w:t>
      </w:r>
      <w:r>
        <w:rPr>
          <w:i/>
        </w:rPr>
        <w:t>Resident Councils</w:t>
      </w:r>
      <w:r>
        <w:t xml:space="preserve">, </w:t>
      </w:r>
      <w:r>
        <w:rPr>
          <w:i/>
        </w:rPr>
        <w:t>available at</w:t>
      </w:r>
      <w:r>
        <w:t xml:space="preserve"> </w:t>
      </w:r>
      <w:hyperlink r:id="rId31" w:history="1">
        <w:r w:rsidRPr="000C7668">
          <w:rPr>
            <w:rStyle w:val="Hyperlink"/>
          </w:rPr>
          <w:t>https://www1.nyc.gov/site/nycha/residents/resident-councils.page</w:t>
        </w:r>
      </w:hyperlink>
      <w:r>
        <w:t xml:space="preserve"> (last accessed Oct. 13, 2022).</w:t>
      </w:r>
    </w:p>
  </w:footnote>
  <w:footnote w:id="14">
    <w:p w14:paraId="443ED1A6" w14:textId="14159C4F" w:rsidR="00730378" w:rsidRPr="000F34A9" w:rsidRDefault="00730378">
      <w:pPr>
        <w:pStyle w:val="FootnoteText"/>
      </w:pPr>
      <w:r>
        <w:rPr>
          <w:rStyle w:val="FootnoteReference"/>
        </w:rPr>
        <w:footnoteRef/>
      </w:r>
      <w:r>
        <w:t xml:space="preserve"> </w:t>
      </w:r>
      <w:r>
        <w:rPr>
          <w:i/>
        </w:rPr>
        <w:t>Id.</w:t>
      </w:r>
    </w:p>
  </w:footnote>
  <w:footnote w:id="15">
    <w:p w14:paraId="328EF98A" w14:textId="05A4DECB" w:rsidR="00730378" w:rsidRDefault="00730378">
      <w:pPr>
        <w:pStyle w:val="FootnoteText"/>
      </w:pPr>
      <w:r>
        <w:rPr>
          <w:rStyle w:val="FootnoteReference"/>
        </w:rPr>
        <w:footnoteRef/>
      </w:r>
      <w:r>
        <w:t xml:space="preserve"> 24 C.F.R. § 964 </w:t>
      </w:r>
      <w:r w:rsidRPr="000F34A9">
        <w:rPr>
          <w:i/>
        </w:rPr>
        <w:t>et seq</w:t>
      </w:r>
      <w:r>
        <w:t>.</w:t>
      </w:r>
    </w:p>
  </w:footnote>
  <w:footnote w:id="16">
    <w:p w14:paraId="5F935DAD" w14:textId="5BADE06B" w:rsidR="00730378" w:rsidRDefault="00730378">
      <w:pPr>
        <w:pStyle w:val="FootnoteText"/>
      </w:pPr>
      <w:r>
        <w:rPr>
          <w:rStyle w:val="FootnoteReference"/>
        </w:rPr>
        <w:footnoteRef/>
      </w:r>
      <w:r>
        <w:t xml:space="preserve"> 24 C.F.R. § 964.1.</w:t>
      </w:r>
    </w:p>
  </w:footnote>
  <w:footnote w:id="17">
    <w:p w14:paraId="57AF108F" w14:textId="0392AE93" w:rsidR="00F631BF" w:rsidRDefault="00F631BF">
      <w:pPr>
        <w:pStyle w:val="FootnoteText"/>
      </w:pPr>
      <w:r>
        <w:rPr>
          <w:rStyle w:val="FootnoteReference"/>
        </w:rPr>
        <w:footnoteRef/>
      </w:r>
      <w:r>
        <w:t xml:space="preserve"> C.F.R. 964.100 </w:t>
      </w:r>
      <w:r>
        <w:rPr>
          <w:i/>
        </w:rPr>
        <w:t>available at</w:t>
      </w:r>
      <w:r>
        <w:t xml:space="preserve"> </w:t>
      </w:r>
      <w:hyperlink r:id="rId32" w:history="1">
        <w:r w:rsidRPr="00110113">
          <w:rPr>
            <w:rStyle w:val="Hyperlink"/>
          </w:rPr>
          <w:t>https://www.ecfr.gov/current/title-24/subtitle-B/chapter-IX/part-964</w:t>
        </w:r>
      </w:hyperlink>
      <w:r>
        <w:t>.</w:t>
      </w:r>
    </w:p>
  </w:footnote>
  <w:footnote w:id="18">
    <w:p w14:paraId="0E193C59" w14:textId="2D3FE7E3" w:rsidR="00730378" w:rsidRPr="00D5197E" w:rsidRDefault="00730378">
      <w:pPr>
        <w:pStyle w:val="FootnoteText"/>
      </w:pPr>
      <w:r>
        <w:rPr>
          <w:rStyle w:val="FootnoteReference"/>
        </w:rPr>
        <w:footnoteRef/>
      </w:r>
      <w:r>
        <w:t xml:space="preserve"> </w:t>
      </w:r>
      <w:r w:rsidRPr="0060686D">
        <w:t xml:space="preserve">The right to vote for resident council board </w:t>
      </w:r>
      <w:r>
        <w:t>is</w:t>
      </w:r>
      <w:r w:rsidRPr="0060686D">
        <w:t xml:space="preserve"> limited to d</w:t>
      </w:r>
      <w:r>
        <w:t>esignated heads of households, of any age,</w:t>
      </w:r>
      <w:r w:rsidRPr="0060686D">
        <w:t xml:space="preserve"> and other members of the household who are 18 years or older whose name appears on the lease of a unit in the public housing development represented by the resident council.</w:t>
      </w:r>
      <w:r>
        <w:t xml:space="preserve"> </w:t>
      </w:r>
      <w:r>
        <w:rPr>
          <w:i/>
        </w:rPr>
        <w:t>See</w:t>
      </w:r>
      <w:r>
        <w:t xml:space="preserve"> </w:t>
      </w:r>
      <w:hyperlink r:id="rId33" w:history="1">
        <w:r w:rsidRPr="00110113">
          <w:rPr>
            <w:rStyle w:val="Hyperlink"/>
          </w:rPr>
          <w:t>https://www.ecfr.gov/current/title-24/subtitle-B/chapter-IX/part-964</w:t>
        </w:r>
      </w:hyperlink>
      <w:r>
        <w:t xml:space="preserve">. </w:t>
      </w:r>
    </w:p>
  </w:footnote>
  <w:footnote w:id="19">
    <w:p w14:paraId="55C9CFE6" w14:textId="77777777" w:rsidR="00730378" w:rsidRPr="002910AE" w:rsidRDefault="00730378" w:rsidP="00E42871">
      <w:pPr>
        <w:pStyle w:val="FootnoteText"/>
        <w:rPr>
          <w:i/>
        </w:rPr>
      </w:pPr>
      <w:r>
        <w:rPr>
          <w:rStyle w:val="FootnoteReference"/>
        </w:rPr>
        <w:footnoteRef/>
      </w:r>
      <w:r>
        <w:t xml:space="preserve"> </w:t>
      </w:r>
      <w:r>
        <w:rPr>
          <w:i/>
        </w:rPr>
        <w:t>Id.</w:t>
      </w:r>
    </w:p>
  </w:footnote>
  <w:footnote w:id="20">
    <w:p w14:paraId="41043D4A" w14:textId="07AFC8EF" w:rsidR="005833AE" w:rsidRDefault="005833AE">
      <w:pPr>
        <w:pStyle w:val="FootnoteText"/>
      </w:pPr>
      <w:r>
        <w:rPr>
          <w:rStyle w:val="FootnoteReference"/>
        </w:rPr>
        <w:footnoteRef/>
      </w:r>
      <w:r>
        <w:t xml:space="preserve"> C.F.R. 964.150(b)</w:t>
      </w:r>
      <w:r w:rsidR="005841FD">
        <w:t>(1)</w:t>
      </w:r>
      <w:r>
        <w:t xml:space="preserve"> </w:t>
      </w:r>
      <w:r>
        <w:rPr>
          <w:i/>
        </w:rPr>
        <w:t>available at</w:t>
      </w:r>
      <w:r>
        <w:t xml:space="preserve"> </w:t>
      </w:r>
      <w:hyperlink r:id="rId34" w:history="1">
        <w:r w:rsidRPr="00110113">
          <w:rPr>
            <w:rStyle w:val="Hyperlink"/>
          </w:rPr>
          <w:t>https://www.ecfr.gov/current/title-24/subtitle-B/chapter-IX/part-964</w:t>
        </w:r>
      </w:hyperlink>
      <w:r>
        <w:t>.</w:t>
      </w:r>
    </w:p>
  </w:footnote>
  <w:footnote w:id="21">
    <w:p w14:paraId="0B132543" w14:textId="7DBC27A7" w:rsidR="00F4101C" w:rsidRPr="00F4101C" w:rsidRDefault="00F4101C">
      <w:pPr>
        <w:pStyle w:val="FootnoteText"/>
      </w:pPr>
      <w:r>
        <w:rPr>
          <w:rStyle w:val="FootnoteReference"/>
        </w:rPr>
        <w:footnoteRef/>
      </w:r>
      <w:r>
        <w:t xml:space="preserve"> </w:t>
      </w:r>
      <w:r w:rsidR="005841FD">
        <w:t xml:space="preserve">C.F.R. 964.150(b)(2) </w:t>
      </w:r>
      <w:r w:rsidR="005841FD">
        <w:rPr>
          <w:i/>
        </w:rPr>
        <w:t>available at</w:t>
      </w:r>
      <w:r w:rsidR="005841FD">
        <w:t xml:space="preserve"> </w:t>
      </w:r>
      <w:hyperlink r:id="rId35" w:history="1">
        <w:r w:rsidR="005841FD" w:rsidRPr="00110113">
          <w:rPr>
            <w:rStyle w:val="Hyperlink"/>
          </w:rPr>
          <w:t>https://www.ecfr.gov/current/title-24/subtitle-B/chapter-IX/part-964</w:t>
        </w:r>
      </w:hyperlink>
      <w:r w:rsidR="005841FD">
        <w:t>.</w:t>
      </w:r>
    </w:p>
  </w:footnote>
  <w:footnote w:id="22">
    <w:p w14:paraId="1BED8919" w14:textId="364A1FAA" w:rsidR="00730378" w:rsidRPr="00D5197E" w:rsidRDefault="00730378">
      <w:pPr>
        <w:pStyle w:val="FootnoteText"/>
      </w:pPr>
      <w:r>
        <w:rPr>
          <w:rStyle w:val="FootnoteReference"/>
        </w:rPr>
        <w:footnoteRef/>
      </w:r>
      <w:r>
        <w:t xml:space="preserve"> C.F.R. 964.18 </w:t>
      </w:r>
      <w:r>
        <w:rPr>
          <w:i/>
        </w:rPr>
        <w:t>available at</w:t>
      </w:r>
      <w:r>
        <w:t xml:space="preserve"> </w:t>
      </w:r>
      <w:hyperlink r:id="rId36" w:history="1">
        <w:r w:rsidRPr="00110113">
          <w:rPr>
            <w:rStyle w:val="Hyperlink"/>
          </w:rPr>
          <w:t>https://www.ecfr.gov/current/title-24/subtitle-B/chapter-IX/part-964</w:t>
        </w:r>
      </w:hyperlink>
      <w:r>
        <w:t xml:space="preserve">. </w:t>
      </w:r>
    </w:p>
  </w:footnote>
  <w:footnote w:id="23">
    <w:p w14:paraId="7EA0894D" w14:textId="54AD891C" w:rsidR="00730378" w:rsidRDefault="00730378">
      <w:pPr>
        <w:pStyle w:val="FootnoteText"/>
      </w:pPr>
      <w:r>
        <w:rPr>
          <w:rStyle w:val="FootnoteReference"/>
        </w:rPr>
        <w:footnoteRef/>
      </w:r>
      <w:r>
        <w:t xml:space="preserve"> New York City Housing Authority, </w:t>
      </w:r>
      <w:r w:rsidRPr="006326DA">
        <w:rPr>
          <w:i/>
        </w:rPr>
        <w:t>Tenant Participation Fund – Resident Council Guidebook</w:t>
      </w:r>
      <w:r>
        <w:t xml:space="preserve"> (updated Feb. 2018), </w:t>
      </w:r>
      <w:r>
        <w:rPr>
          <w:i/>
        </w:rPr>
        <w:t>available at</w:t>
      </w:r>
      <w:r>
        <w:t xml:space="preserve"> </w:t>
      </w:r>
      <w:hyperlink r:id="rId37" w:history="1">
        <w:r w:rsidRPr="000C7668">
          <w:rPr>
            <w:rStyle w:val="Hyperlink"/>
          </w:rPr>
          <w:t>https://www1.nyc.gov/assets/nycha/downloads/pdf/tpa-guide-book-20180314.pdf</w:t>
        </w:r>
      </w:hyperlink>
      <w:r>
        <w:t>.</w:t>
      </w:r>
    </w:p>
  </w:footnote>
  <w:footnote w:id="24">
    <w:p w14:paraId="310A35A9" w14:textId="2071D489" w:rsidR="00730378" w:rsidRPr="0071761B" w:rsidRDefault="00730378">
      <w:pPr>
        <w:pStyle w:val="FootnoteText"/>
      </w:pPr>
      <w:r>
        <w:rPr>
          <w:rStyle w:val="FootnoteReference"/>
        </w:rPr>
        <w:footnoteRef/>
      </w:r>
      <w:r>
        <w:t xml:space="preserve"> New York City Housing Authority, </w:t>
      </w:r>
      <w:r>
        <w:rPr>
          <w:i/>
        </w:rPr>
        <w:t>Resident Council Elections</w:t>
      </w:r>
      <w:r>
        <w:t xml:space="preserve">, </w:t>
      </w:r>
      <w:r>
        <w:rPr>
          <w:i/>
        </w:rPr>
        <w:t>available at</w:t>
      </w:r>
      <w:r>
        <w:t xml:space="preserve"> </w:t>
      </w:r>
      <w:hyperlink r:id="rId38" w:history="1">
        <w:r w:rsidRPr="00110113">
          <w:rPr>
            <w:rStyle w:val="Hyperlink"/>
          </w:rPr>
          <w:t>https://www1.nyc.gov/site/nycha/residents/resident-council-elections.page</w:t>
        </w:r>
      </w:hyperlink>
      <w:r>
        <w:t xml:space="preserve"> (last accessed Oct. 17, 2022).</w:t>
      </w:r>
    </w:p>
  </w:footnote>
  <w:footnote w:id="25">
    <w:p w14:paraId="6DD9D3D2" w14:textId="53EABA6C" w:rsidR="00730378" w:rsidRPr="00777B4D" w:rsidRDefault="00730378">
      <w:pPr>
        <w:pStyle w:val="FootnoteText"/>
      </w:pPr>
      <w:r>
        <w:rPr>
          <w:rStyle w:val="FootnoteReference"/>
        </w:rPr>
        <w:footnoteRef/>
      </w:r>
      <w:r>
        <w:t xml:space="preserve"> </w:t>
      </w:r>
      <w:r>
        <w:rPr>
          <w:i/>
        </w:rPr>
        <w:t>Id.</w:t>
      </w:r>
    </w:p>
  </w:footnote>
  <w:footnote w:id="26">
    <w:p w14:paraId="056CDDFF" w14:textId="701730C6" w:rsidR="00730378" w:rsidRPr="00777B4D" w:rsidRDefault="00730378">
      <w:pPr>
        <w:pStyle w:val="FootnoteText"/>
        <w:rPr>
          <w:i/>
        </w:rPr>
      </w:pPr>
      <w:r>
        <w:rPr>
          <w:rStyle w:val="FootnoteReference"/>
        </w:rPr>
        <w:footnoteRef/>
      </w:r>
      <w:r>
        <w:t xml:space="preserve"> </w:t>
      </w:r>
      <w:r>
        <w:rPr>
          <w:i/>
        </w:rPr>
        <w:t>Id.</w:t>
      </w:r>
    </w:p>
  </w:footnote>
  <w:footnote w:id="27">
    <w:p w14:paraId="5C050AE0" w14:textId="15AB5018" w:rsidR="00730378" w:rsidRPr="003167AC" w:rsidRDefault="00730378">
      <w:pPr>
        <w:pStyle w:val="FootnoteText"/>
      </w:pPr>
      <w:r>
        <w:rPr>
          <w:rStyle w:val="FootnoteReference"/>
        </w:rPr>
        <w:footnoteRef/>
      </w:r>
      <w:r>
        <w:t xml:space="preserve"> New York City Housing Authority, </w:t>
      </w:r>
      <w:r>
        <w:rPr>
          <w:i/>
        </w:rPr>
        <w:t>Resident Council Election Eligibility Criteria</w:t>
      </w:r>
      <w:r>
        <w:t xml:space="preserve">, </w:t>
      </w:r>
      <w:r>
        <w:rPr>
          <w:i/>
        </w:rPr>
        <w:t>available at</w:t>
      </w:r>
      <w:r>
        <w:t xml:space="preserve"> </w:t>
      </w:r>
      <w:hyperlink r:id="rId39" w:history="1">
        <w:r w:rsidRPr="00110113">
          <w:rPr>
            <w:rStyle w:val="Hyperlink"/>
          </w:rPr>
          <w:t>https://www1.nyc.gov/site/nycha/residents/resident-council-elections/ra-eligibility-criteria.page</w:t>
        </w:r>
      </w:hyperlink>
      <w:r w:rsidR="003167AC">
        <w:t xml:space="preserve"> (last accessed Oct. 17, 2022); </w:t>
      </w:r>
      <w:r w:rsidR="003167AC">
        <w:rPr>
          <w:i/>
        </w:rPr>
        <w:t xml:space="preserve">see also </w:t>
      </w:r>
      <w:r w:rsidR="003167AC">
        <w:t xml:space="preserve">C.F.R. 964.125(a) </w:t>
      </w:r>
      <w:r w:rsidR="003167AC">
        <w:rPr>
          <w:i/>
        </w:rPr>
        <w:t>available at</w:t>
      </w:r>
      <w:r w:rsidR="003167AC">
        <w:t xml:space="preserve"> </w:t>
      </w:r>
      <w:hyperlink r:id="rId40" w:history="1">
        <w:r w:rsidR="003167AC" w:rsidRPr="00110113">
          <w:rPr>
            <w:rStyle w:val="Hyperlink"/>
          </w:rPr>
          <w:t>https://www.ecfr.gov/current/title-24/subtitle-B/chapter-IX/part-964</w:t>
        </w:r>
      </w:hyperlink>
      <w:r w:rsidR="003167AC">
        <w:t>.</w:t>
      </w:r>
    </w:p>
  </w:footnote>
  <w:footnote w:id="28">
    <w:p w14:paraId="2B53DB60" w14:textId="682C6230" w:rsidR="002616CD" w:rsidRDefault="002616CD">
      <w:pPr>
        <w:pStyle w:val="FootnoteText"/>
      </w:pPr>
      <w:r>
        <w:rPr>
          <w:rStyle w:val="FootnoteReference"/>
        </w:rPr>
        <w:footnoteRef/>
      </w:r>
      <w:r>
        <w:t xml:space="preserve"> C.F.R. 964.125(b) </w:t>
      </w:r>
      <w:r>
        <w:rPr>
          <w:i/>
        </w:rPr>
        <w:t>available at</w:t>
      </w:r>
      <w:r>
        <w:t xml:space="preserve"> </w:t>
      </w:r>
      <w:hyperlink r:id="rId41" w:history="1">
        <w:r w:rsidRPr="00110113">
          <w:rPr>
            <w:rStyle w:val="Hyperlink"/>
          </w:rPr>
          <w:t>https://www.ecfr.gov/current/title-24/subtitle-B/chapter-IX/part-964</w:t>
        </w:r>
      </w:hyperlink>
      <w:r>
        <w:t>.</w:t>
      </w:r>
    </w:p>
  </w:footnote>
  <w:footnote w:id="29">
    <w:p w14:paraId="07FF718C" w14:textId="09BFB17E" w:rsidR="00730378" w:rsidRPr="00AA3F78" w:rsidRDefault="00730378">
      <w:pPr>
        <w:pStyle w:val="FootnoteText"/>
      </w:pPr>
      <w:r>
        <w:rPr>
          <w:rStyle w:val="FootnoteReference"/>
        </w:rPr>
        <w:footnoteRef/>
      </w:r>
      <w:r>
        <w:t xml:space="preserve"> New York City Housing Authority, </w:t>
      </w:r>
      <w:r>
        <w:rPr>
          <w:i/>
        </w:rPr>
        <w:t>Citywide Council of Presidents</w:t>
      </w:r>
      <w:r>
        <w:t xml:space="preserve">, </w:t>
      </w:r>
      <w:r>
        <w:rPr>
          <w:i/>
        </w:rPr>
        <w:t xml:space="preserve">available at </w:t>
      </w:r>
      <w:hyperlink r:id="rId42" w:history="1">
        <w:r w:rsidRPr="00110113">
          <w:rPr>
            <w:rStyle w:val="Hyperlink"/>
          </w:rPr>
          <w:t>https://www1.nyc.gov/site/nycha/residents/citywide-council-of-presidents.page</w:t>
        </w:r>
      </w:hyperlink>
      <w:r>
        <w:t xml:space="preserve"> (last accessed Oct. 20, 2022).</w:t>
      </w:r>
    </w:p>
  </w:footnote>
  <w:footnote w:id="30">
    <w:p w14:paraId="63FEB3BA" w14:textId="3522E682" w:rsidR="00730378" w:rsidRPr="00DB0933" w:rsidRDefault="00730378">
      <w:pPr>
        <w:pStyle w:val="FootnoteText"/>
      </w:pPr>
      <w:r>
        <w:rPr>
          <w:rStyle w:val="FootnoteReference"/>
        </w:rPr>
        <w:footnoteRef/>
      </w:r>
      <w:r>
        <w:t xml:space="preserve"> </w:t>
      </w:r>
      <w:r>
        <w:rPr>
          <w:i/>
        </w:rPr>
        <w:t>See generally</w:t>
      </w:r>
      <w:r>
        <w:t xml:space="preserve"> 24 C.F.R. § 964.</w:t>
      </w:r>
    </w:p>
  </w:footnote>
  <w:footnote w:id="31">
    <w:p w14:paraId="458AE5E4" w14:textId="1A08F163" w:rsidR="00730378" w:rsidRPr="00DB0933" w:rsidRDefault="00730378">
      <w:pPr>
        <w:pStyle w:val="FootnoteText"/>
      </w:pPr>
      <w:r>
        <w:rPr>
          <w:rStyle w:val="FootnoteReference"/>
        </w:rPr>
        <w:footnoteRef/>
      </w:r>
      <w:r>
        <w:t xml:space="preserve"> City-Wide Public Housing Resident Council, </w:t>
      </w:r>
      <w:r>
        <w:rPr>
          <w:i/>
        </w:rPr>
        <w:t>BYLAWS FOR THE JURISDICTIONAL WIDE RESIDENT COUNCIL FOR THE PUBLIC HOUSING RESIDENTS OF THE NEW YORK CITY HOUSING AUTHORITY</w:t>
      </w:r>
      <w:r>
        <w:t xml:space="preserve">, </w:t>
      </w:r>
      <w:r>
        <w:rPr>
          <w:i/>
        </w:rPr>
        <w:t>available at</w:t>
      </w:r>
      <w:r>
        <w:t xml:space="preserve"> </w:t>
      </w:r>
      <w:hyperlink r:id="rId43" w:history="1">
        <w:r w:rsidRPr="00110113">
          <w:rPr>
            <w:rStyle w:val="Hyperlink"/>
          </w:rPr>
          <w:t>https://www1.nyc.gov/assets/nycha/downloads/pdf/CCOPY-Bylaws-V10.pdf</w:t>
        </w:r>
      </w:hyperlink>
      <w:r>
        <w:t xml:space="preserve">. </w:t>
      </w:r>
    </w:p>
  </w:footnote>
  <w:footnote w:id="32">
    <w:p w14:paraId="5BF2F495" w14:textId="71B3563B" w:rsidR="00730378" w:rsidRPr="00DB0933" w:rsidRDefault="00730378">
      <w:pPr>
        <w:pStyle w:val="FootnoteText"/>
      </w:pPr>
      <w:r>
        <w:rPr>
          <w:rStyle w:val="FootnoteReference"/>
        </w:rPr>
        <w:footnoteRef/>
      </w:r>
      <w:r>
        <w:t xml:space="preserve"> </w:t>
      </w:r>
      <w:r>
        <w:rPr>
          <w:i/>
        </w:rPr>
        <w:t>Id.</w:t>
      </w:r>
      <w:r>
        <w:t xml:space="preserve"> at 2.</w:t>
      </w:r>
    </w:p>
  </w:footnote>
  <w:footnote w:id="33">
    <w:p w14:paraId="1A85DD2E" w14:textId="32BB3D63" w:rsidR="00730378" w:rsidRPr="00DB0933" w:rsidRDefault="00730378">
      <w:pPr>
        <w:pStyle w:val="FootnoteText"/>
        <w:rPr>
          <w:i/>
        </w:rPr>
      </w:pPr>
      <w:r>
        <w:rPr>
          <w:rStyle w:val="FootnoteReference"/>
        </w:rPr>
        <w:footnoteRef/>
      </w:r>
      <w:r>
        <w:t xml:space="preserve"> </w:t>
      </w:r>
      <w:r>
        <w:rPr>
          <w:i/>
        </w:rPr>
        <w:t>Id.</w:t>
      </w:r>
    </w:p>
  </w:footnote>
  <w:footnote w:id="34">
    <w:p w14:paraId="3159E99A" w14:textId="2BFA670E" w:rsidR="00730378" w:rsidRDefault="00730378">
      <w:pPr>
        <w:pStyle w:val="FootnoteText"/>
      </w:pPr>
      <w:r>
        <w:rPr>
          <w:rStyle w:val="FootnoteReference"/>
        </w:rPr>
        <w:footnoteRef/>
      </w:r>
      <w:r>
        <w:t xml:space="preserve"> 24 C.F.R. 964.18(a)(10).</w:t>
      </w:r>
    </w:p>
  </w:footnote>
  <w:footnote w:id="35">
    <w:p w14:paraId="592F2C94" w14:textId="4851E296" w:rsidR="00730378" w:rsidRPr="00DB0933" w:rsidRDefault="00730378">
      <w:pPr>
        <w:pStyle w:val="FootnoteText"/>
      </w:pPr>
      <w:r>
        <w:rPr>
          <w:rStyle w:val="FootnoteReference"/>
        </w:rPr>
        <w:footnoteRef/>
      </w:r>
      <w:r>
        <w:t xml:space="preserve"> </w:t>
      </w:r>
      <w:r>
        <w:rPr>
          <w:i/>
        </w:rPr>
        <w:t>CCOP Bylaws</w:t>
      </w:r>
      <w:r>
        <w:t xml:space="preserve">, </w:t>
      </w:r>
      <w:r>
        <w:rPr>
          <w:i/>
        </w:rPr>
        <w:t>supra</w:t>
      </w:r>
      <w:r>
        <w:t xml:space="preserve"> note </w:t>
      </w:r>
      <w:r>
        <w:fldChar w:fldCharType="begin"/>
      </w:r>
      <w:r>
        <w:instrText xml:space="preserve"> NOTEREF _Ref117504387 \h </w:instrText>
      </w:r>
      <w:r>
        <w:fldChar w:fldCharType="separate"/>
      </w:r>
      <w:r w:rsidR="004B741F">
        <w:t>31</w:t>
      </w:r>
      <w:r>
        <w:fldChar w:fldCharType="end"/>
      </w:r>
      <w:r>
        <w:t xml:space="preserve"> at 3.</w:t>
      </w:r>
    </w:p>
  </w:footnote>
  <w:footnote w:id="36">
    <w:p w14:paraId="2335A3C8" w14:textId="4EA8D76E" w:rsidR="00730378" w:rsidRPr="00E1701E" w:rsidRDefault="00730378">
      <w:pPr>
        <w:pStyle w:val="FootnoteText"/>
      </w:pPr>
      <w:r>
        <w:rPr>
          <w:rStyle w:val="FootnoteReference"/>
        </w:rPr>
        <w:footnoteRef/>
      </w:r>
      <w:r>
        <w:t xml:space="preserve"> </w:t>
      </w:r>
      <w:r>
        <w:rPr>
          <w:i/>
        </w:rPr>
        <w:t>Id.</w:t>
      </w:r>
    </w:p>
  </w:footnote>
  <w:footnote w:id="37">
    <w:p w14:paraId="2F2C34A8" w14:textId="1B01E801" w:rsidR="00730378" w:rsidRPr="00187062" w:rsidRDefault="00730378">
      <w:pPr>
        <w:pStyle w:val="FootnoteText"/>
      </w:pPr>
      <w:r>
        <w:rPr>
          <w:rStyle w:val="FootnoteReference"/>
        </w:rPr>
        <w:footnoteRef/>
      </w:r>
      <w:r>
        <w:t xml:space="preserve"> </w:t>
      </w:r>
      <w:r>
        <w:rPr>
          <w:i/>
        </w:rPr>
        <w:t>Id.</w:t>
      </w:r>
    </w:p>
  </w:footnote>
  <w:footnote w:id="38">
    <w:p w14:paraId="1A73DAF9" w14:textId="4C7F355E" w:rsidR="00730378" w:rsidRPr="00CA047D" w:rsidRDefault="00730378">
      <w:pPr>
        <w:pStyle w:val="FootnoteText"/>
      </w:pPr>
      <w:r>
        <w:rPr>
          <w:rStyle w:val="FootnoteReference"/>
        </w:rPr>
        <w:footnoteRef/>
      </w:r>
      <w:r>
        <w:t xml:space="preserve"> </w:t>
      </w:r>
      <w:r>
        <w:rPr>
          <w:i/>
        </w:rPr>
        <w:t>Id.</w:t>
      </w:r>
      <w:r>
        <w:t xml:space="preserve"> at 10.</w:t>
      </w:r>
    </w:p>
  </w:footnote>
  <w:footnote w:id="39">
    <w:p w14:paraId="0A24467A" w14:textId="0F3DE80C" w:rsidR="00730378" w:rsidRPr="00A354D4" w:rsidRDefault="00730378">
      <w:pPr>
        <w:pStyle w:val="FootnoteText"/>
      </w:pPr>
      <w:r>
        <w:rPr>
          <w:rStyle w:val="FootnoteReference"/>
        </w:rPr>
        <w:footnoteRef/>
      </w:r>
      <w:r>
        <w:t xml:space="preserve"> </w:t>
      </w:r>
      <w:r>
        <w:rPr>
          <w:i/>
        </w:rPr>
        <w:t>Supra</w:t>
      </w:r>
      <w:r>
        <w:t xml:space="preserve"> note </w:t>
      </w:r>
      <w:r>
        <w:fldChar w:fldCharType="begin"/>
      </w:r>
      <w:r>
        <w:instrText xml:space="preserve"> NOTEREF _Ref117509870 \h </w:instrText>
      </w:r>
      <w:r>
        <w:fldChar w:fldCharType="separate"/>
      </w:r>
      <w:r w:rsidR="004B741F">
        <w:t>6</w:t>
      </w:r>
      <w:r>
        <w:fldChar w:fldCharType="end"/>
      </w:r>
      <w:r>
        <w:t>.</w:t>
      </w:r>
    </w:p>
  </w:footnote>
  <w:footnote w:id="40">
    <w:p w14:paraId="20B25873" w14:textId="1786B57D" w:rsidR="00730378" w:rsidRPr="00A354D4" w:rsidRDefault="00730378">
      <w:pPr>
        <w:pStyle w:val="FootnoteText"/>
      </w:pPr>
      <w:r>
        <w:rPr>
          <w:rStyle w:val="FootnoteReference"/>
        </w:rPr>
        <w:footnoteRef/>
      </w:r>
      <w:r>
        <w:t xml:space="preserve"> U.S. Department of Housing and Urban Development Office of Public and Indian Housing, </w:t>
      </w:r>
      <w:r>
        <w:rPr>
          <w:i/>
        </w:rPr>
        <w:t>Final PHA Agency Plan: Annual Agency Plan for Fiscal Year 2023, New York City Housing Authority</w:t>
      </w:r>
      <w:r>
        <w:t xml:space="preserve"> (Oct. 18, 2022), </w:t>
      </w:r>
      <w:r>
        <w:rPr>
          <w:i/>
        </w:rPr>
        <w:t>available at</w:t>
      </w:r>
      <w:r>
        <w:t xml:space="preserve"> </w:t>
      </w:r>
      <w:hyperlink r:id="rId44" w:history="1">
        <w:r w:rsidRPr="00110113">
          <w:rPr>
            <w:rStyle w:val="Hyperlink"/>
          </w:rPr>
          <w:t>https://www1.nyc.gov/assets/nycha/downloads/pdf/NYCHA-Final%20Annual-PlanFY23-10.14.22.pdf</w:t>
        </w:r>
      </w:hyperlink>
      <w:r>
        <w:t xml:space="preserve">. </w:t>
      </w:r>
    </w:p>
  </w:footnote>
  <w:footnote w:id="41">
    <w:p w14:paraId="14A88647" w14:textId="25ED355C" w:rsidR="00730378" w:rsidRPr="000418A7" w:rsidRDefault="00730378">
      <w:pPr>
        <w:pStyle w:val="FootnoteText"/>
      </w:pPr>
      <w:r>
        <w:rPr>
          <w:rStyle w:val="FootnoteReference"/>
        </w:rPr>
        <w:footnoteRef/>
      </w:r>
      <w:r>
        <w:t xml:space="preserve"> New York City Housing Authority, </w:t>
      </w:r>
      <w:r>
        <w:rPr>
          <w:i/>
        </w:rPr>
        <w:t>NYCHA ESTABLISHES RESIDENT ROUNDTABLE AS PART OF TRANSFORMATIONI PLAN IMPLEMENTATION PROCESS</w:t>
      </w:r>
      <w:r>
        <w:t xml:space="preserve">, (Apr. 19, 2021), </w:t>
      </w:r>
      <w:r>
        <w:rPr>
          <w:i/>
        </w:rPr>
        <w:t>available at</w:t>
      </w:r>
      <w:r>
        <w:t xml:space="preserve"> </w:t>
      </w:r>
      <w:hyperlink r:id="rId45" w:history="1">
        <w:r w:rsidRPr="00110113">
          <w:rPr>
            <w:rStyle w:val="Hyperlink"/>
          </w:rPr>
          <w:t>https://www1.nyc.gov/site/nycha/about/press/pr-2021/pr-20210419.page</w:t>
        </w:r>
      </w:hyperlink>
      <w:r>
        <w:t xml:space="preserve">. </w:t>
      </w:r>
    </w:p>
  </w:footnote>
  <w:footnote w:id="42">
    <w:p w14:paraId="4C0D9A0B" w14:textId="1824BFB3" w:rsidR="00730378" w:rsidRPr="00C32659" w:rsidRDefault="00730378">
      <w:pPr>
        <w:pStyle w:val="FootnoteText"/>
      </w:pPr>
      <w:r>
        <w:rPr>
          <w:rStyle w:val="FootnoteReference"/>
        </w:rPr>
        <w:footnoteRef/>
      </w:r>
      <w:r>
        <w:t xml:space="preserve"> New York City Housing Authority, </w:t>
      </w:r>
      <w:r>
        <w:rPr>
          <w:i/>
        </w:rPr>
        <w:t>NYCHA Resident Roundtable Committee</w:t>
      </w:r>
      <w:r>
        <w:t xml:space="preserve">, </w:t>
      </w:r>
      <w:r>
        <w:rPr>
          <w:i/>
        </w:rPr>
        <w:t>available at</w:t>
      </w:r>
      <w:r>
        <w:t xml:space="preserve"> </w:t>
      </w:r>
      <w:hyperlink r:id="rId46" w:anchor=":~:text=In%20June%202021%2C%20NYCHA%20launched,the%20Authority's%20%E2%80%9CNeighborhood%E2%80%9D%20portfolios" w:history="1">
        <w:r w:rsidRPr="00110113">
          <w:rPr>
            <w:rStyle w:val="Hyperlink"/>
          </w:rPr>
          <w:t>https://www1.nyc.gov/site/nycha/residents/resident-roundtable.page#:~:text=In%20June%202021%2C%20NYCHA%20launched,the%20Authority's%20%E2%80%9CNeighborhood%E2%80%9D%20portfolios</w:t>
        </w:r>
      </w:hyperlink>
      <w:r w:rsidRPr="00C32659">
        <w:t>.</w:t>
      </w:r>
      <w:r>
        <w:t xml:space="preserve"> (last accessed Oct. 20, 2022).</w:t>
      </w:r>
    </w:p>
  </w:footnote>
  <w:footnote w:id="43">
    <w:p w14:paraId="171726DC" w14:textId="54DAEF1F" w:rsidR="00730378" w:rsidRDefault="00730378" w:rsidP="005075E1">
      <w:pPr>
        <w:pStyle w:val="FootnoteText"/>
      </w:pPr>
      <w:r>
        <w:rPr>
          <w:sz w:val="24"/>
          <w:szCs w:val="24"/>
          <w:vertAlign w:val="superscript"/>
        </w:rPr>
        <w:footnoteRef/>
      </w:r>
      <w:r>
        <w:t xml:space="preserve"> New York City Housing Authority, </w:t>
      </w:r>
      <w:r w:rsidRPr="006326DA">
        <w:rPr>
          <w:i/>
        </w:rPr>
        <w:t>Tenant Participation Fund – Resident Council Guidebook</w:t>
      </w:r>
      <w:r>
        <w:t xml:space="preserve"> (updated Feb. 2018), </w:t>
      </w:r>
      <w:r>
        <w:rPr>
          <w:i/>
        </w:rPr>
        <w:t>available at</w:t>
      </w:r>
      <w:r>
        <w:t xml:space="preserve"> </w:t>
      </w:r>
      <w:hyperlink r:id="rId47" w:history="1">
        <w:r w:rsidRPr="000C7668">
          <w:rPr>
            <w:rStyle w:val="Hyperlink"/>
          </w:rPr>
          <w:t>https://www1.nyc.gov/assets/nycha/downloads/pdf/tpa-guide-book-20180314.pdf</w:t>
        </w:r>
      </w:hyperlink>
      <w:r>
        <w:t>.</w:t>
      </w:r>
    </w:p>
  </w:footnote>
  <w:footnote w:id="44">
    <w:p w14:paraId="6E3A70DA" w14:textId="6E1461D5" w:rsidR="00730378" w:rsidRDefault="00730378" w:rsidP="005075E1">
      <w:pPr>
        <w:pStyle w:val="FootnoteText"/>
      </w:pPr>
      <w:r>
        <w:rPr>
          <w:sz w:val="24"/>
          <w:szCs w:val="24"/>
          <w:vertAlign w:val="superscript"/>
        </w:rPr>
        <w:footnoteRef/>
      </w:r>
      <w:r>
        <w:t xml:space="preserve"> Getting Involved as a Resident, available at </w:t>
      </w:r>
      <w:hyperlink r:id="rId48" w:history="1">
        <w:r w:rsidRPr="00110113">
          <w:rPr>
            <w:rStyle w:val="Hyperlink"/>
          </w:rPr>
          <w:t>http://www1.nyc.gov/site/nycha/residents/getting-involved-as-a-resident.page</w:t>
        </w:r>
      </w:hyperlink>
      <w:r>
        <w:t xml:space="preserve"> </w:t>
      </w:r>
    </w:p>
  </w:footnote>
  <w:footnote w:id="45">
    <w:p w14:paraId="53085E78" w14:textId="1EFA25F6" w:rsidR="00730378" w:rsidRDefault="00730378" w:rsidP="005075E1">
      <w:pPr>
        <w:pStyle w:val="FootnoteText"/>
      </w:pPr>
      <w:r w:rsidRPr="00492326">
        <w:rPr>
          <w:rStyle w:val="FootnoteReference"/>
        </w:rPr>
        <w:footnoteRef/>
      </w:r>
      <w:r w:rsidRPr="00492326">
        <w:t xml:space="preserve"> </w:t>
      </w:r>
      <w:r>
        <w:t xml:space="preserve">New York City Housing Authority, </w:t>
      </w:r>
      <w:r w:rsidRPr="006326DA">
        <w:rPr>
          <w:i/>
        </w:rPr>
        <w:t>Tenant Participation Fund – Resident Council Guidebook</w:t>
      </w:r>
      <w:r>
        <w:t xml:space="preserve"> (updated Feb. 2018), </w:t>
      </w:r>
      <w:r>
        <w:rPr>
          <w:i/>
        </w:rPr>
        <w:t>available at</w:t>
      </w:r>
      <w:r>
        <w:t xml:space="preserve"> </w:t>
      </w:r>
      <w:hyperlink r:id="rId49" w:history="1">
        <w:r w:rsidRPr="000C7668">
          <w:rPr>
            <w:rStyle w:val="Hyperlink"/>
          </w:rPr>
          <w:t>https://www1.nyc.gov/assets/nycha/downloads/pdf/tpa-guide-book-20180314.pdf</w:t>
        </w:r>
      </w:hyperlink>
      <w:r>
        <w:t>.</w:t>
      </w:r>
    </w:p>
  </w:footnote>
  <w:footnote w:id="46">
    <w:p w14:paraId="5C7BC96A" w14:textId="7D8F1253" w:rsidR="00730378" w:rsidRPr="0038445A" w:rsidRDefault="00730378">
      <w:pPr>
        <w:pStyle w:val="FootnoteText"/>
      </w:pPr>
      <w:r>
        <w:rPr>
          <w:rStyle w:val="FootnoteReference"/>
        </w:rPr>
        <w:footnoteRef/>
      </w:r>
      <w:r>
        <w:t xml:space="preserve"> U.S. Department of Housing and Urban Development Office of Public and Indian Housing, </w:t>
      </w:r>
      <w:r>
        <w:rPr>
          <w:i/>
        </w:rPr>
        <w:t>Notice PIH 2013-21: Guidance on the use of Tenant Participation Funds</w:t>
      </w:r>
      <w:r>
        <w:t xml:space="preserve"> (Aug. 23, 2013), </w:t>
      </w:r>
      <w:r>
        <w:rPr>
          <w:i/>
        </w:rPr>
        <w:t>available at</w:t>
      </w:r>
      <w:r>
        <w:t xml:space="preserve"> </w:t>
      </w:r>
      <w:hyperlink r:id="rId50" w:history="1">
        <w:r w:rsidRPr="00110113">
          <w:rPr>
            <w:rStyle w:val="Hyperlink"/>
          </w:rPr>
          <w:t>https://www.hud.gov/sites/documents/PIH2013-21.PDF</w:t>
        </w:r>
      </w:hyperlink>
      <w:r>
        <w:t xml:space="preserve">. </w:t>
      </w:r>
    </w:p>
  </w:footnote>
  <w:footnote w:id="47">
    <w:p w14:paraId="031D046E" w14:textId="74BEF0B0" w:rsidR="00730378" w:rsidRDefault="00730378" w:rsidP="005075E1">
      <w:pPr>
        <w:pStyle w:val="FootnoteText"/>
      </w:pPr>
      <w:r>
        <w:rPr>
          <w:sz w:val="24"/>
          <w:szCs w:val="24"/>
          <w:vertAlign w:val="superscript"/>
        </w:rPr>
        <w:footnoteRef/>
      </w:r>
      <w:r>
        <w:t xml:space="preserve"> NextGeneration NYCHA, available at </w:t>
      </w:r>
      <w:hyperlink r:id="rId51" w:history="1">
        <w:r w:rsidRPr="00110113">
          <w:rPr>
            <w:rStyle w:val="Hyperlink"/>
          </w:rPr>
          <w:t>http://www1.nyc.gov/assets/nycha/downloads/pdf/nextgen-nycha-web.pdf</w:t>
        </w:r>
      </w:hyperlink>
      <w:r>
        <w:t xml:space="preserve"> </w:t>
      </w:r>
    </w:p>
  </w:footnote>
  <w:footnote w:id="48">
    <w:p w14:paraId="2856C399" w14:textId="77777777" w:rsidR="00730378" w:rsidRPr="00392A38" w:rsidRDefault="00730378" w:rsidP="0046770B">
      <w:pPr>
        <w:pStyle w:val="FootnoteText"/>
        <w:rPr>
          <w:i/>
        </w:rPr>
      </w:pPr>
      <w:r w:rsidRPr="00392A38">
        <w:rPr>
          <w:vertAlign w:val="superscript"/>
        </w:rPr>
        <w:footnoteRef/>
      </w:r>
      <w:r w:rsidRPr="00392A38">
        <w:t xml:space="preserve"> </w:t>
      </w:r>
      <w:r w:rsidRPr="00392A38">
        <w:rPr>
          <w:i/>
        </w:rPr>
        <w:t>Id.</w:t>
      </w:r>
    </w:p>
  </w:footnote>
  <w:footnote w:id="49">
    <w:p w14:paraId="70ED0600" w14:textId="77777777" w:rsidR="00730378" w:rsidRPr="00392A38" w:rsidRDefault="00730378" w:rsidP="0046770B">
      <w:pPr>
        <w:pStyle w:val="FootnoteText"/>
      </w:pPr>
      <w:r w:rsidRPr="00392A38">
        <w:rPr>
          <w:rStyle w:val="FootnoteReference"/>
        </w:rPr>
        <w:footnoteRef/>
      </w:r>
      <w:r w:rsidRPr="00392A38">
        <w:t xml:space="preserve"> </w:t>
      </w:r>
      <w:r w:rsidRPr="00392A38">
        <w:rPr>
          <w:i/>
        </w:rPr>
        <w:t>Id.</w:t>
      </w:r>
    </w:p>
  </w:footnote>
  <w:footnote w:id="50">
    <w:p w14:paraId="500C2E34" w14:textId="77777777" w:rsidR="00730378" w:rsidRPr="00392A38" w:rsidRDefault="00730378" w:rsidP="0046770B">
      <w:pPr>
        <w:pStyle w:val="FootnoteText"/>
      </w:pPr>
      <w:r w:rsidRPr="00392A38">
        <w:rPr>
          <w:rStyle w:val="FootnoteReference"/>
        </w:rPr>
        <w:footnoteRef/>
      </w:r>
      <w:r w:rsidRPr="00392A38">
        <w:t xml:space="preserve"> </w:t>
      </w:r>
      <w:r w:rsidRPr="00392A38">
        <w:rPr>
          <w:i/>
        </w:rPr>
        <w:t>Id.</w:t>
      </w:r>
    </w:p>
  </w:footnote>
  <w:footnote w:id="51">
    <w:p w14:paraId="7E5552A2" w14:textId="77777777" w:rsidR="00730378" w:rsidRDefault="00730378" w:rsidP="0046770B">
      <w:pPr>
        <w:pStyle w:val="FootnoteText"/>
      </w:pPr>
      <w:r w:rsidRPr="00392A38">
        <w:rPr>
          <w:rStyle w:val="FootnoteReference"/>
        </w:rPr>
        <w:footnoteRef/>
      </w:r>
      <w:r>
        <w:t xml:space="preserve"> </w:t>
      </w:r>
      <w:r w:rsidRPr="00392A38">
        <w:rPr>
          <w:i/>
        </w:rPr>
        <w:t>Id.</w:t>
      </w:r>
    </w:p>
  </w:footnote>
  <w:footnote w:id="52">
    <w:p w14:paraId="2A501793" w14:textId="5C247790" w:rsidR="00730378" w:rsidRPr="0060686D" w:rsidRDefault="00730378" w:rsidP="0046770B">
      <w:pPr>
        <w:pStyle w:val="FootnoteText"/>
      </w:pPr>
      <w:r w:rsidRPr="0060686D">
        <w:rPr>
          <w:rStyle w:val="FootnoteReference"/>
        </w:rPr>
        <w:footnoteRef/>
      </w:r>
      <w:r w:rsidRPr="0060686D">
        <w:t xml:space="preserve"> NYCHA is required by HUD to reexamine every tenant’s family composition – or the number of household members – every twelve months. </w:t>
      </w:r>
      <w:r w:rsidRPr="00F3676F">
        <w:rPr>
          <w:i/>
        </w:rPr>
        <w:t>See</w:t>
      </w:r>
      <w:r w:rsidRPr="0060686D">
        <w:t xml:space="preserve"> </w:t>
      </w:r>
      <w:r>
        <w:t xml:space="preserve">New York City Housing Authority, </w:t>
      </w:r>
      <w:r w:rsidRPr="006326DA">
        <w:rPr>
          <w:i/>
        </w:rPr>
        <w:t>Tenant Participation Fund – Resident Council Guidebook</w:t>
      </w:r>
      <w:r>
        <w:t xml:space="preserve"> (updated Feb. 2018), </w:t>
      </w:r>
      <w:r>
        <w:rPr>
          <w:i/>
        </w:rPr>
        <w:t>available at</w:t>
      </w:r>
      <w:r>
        <w:t xml:space="preserve"> </w:t>
      </w:r>
      <w:hyperlink r:id="rId52" w:history="1">
        <w:r w:rsidRPr="000C7668">
          <w:rPr>
            <w:rStyle w:val="Hyperlink"/>
          </w:rPr>
          <w:t>https://www1.nyc.gov/assets/nycha/downloads/pdf/tpa-guide-book-20180314.pdf</w:t>
        </w:r>
      </w:hyperlink>
      <w:r>
        <w:t>.</w:t>
      </w:r>
    </w:p>
  </w:footnote>
  <w:footnote w:id="53">
    <w:p w14:paraId="5DA52CA8" w14:textId="77777777" w:rsidR="00730378" w:rsidRDefault="00730378" w:rsidP="0046770B">
      <w:pPr>
        <w:pStyle w:val="FootnoteText"/>
      </w:pPr>
      <w:r w:rsidRPr="00392A38">
        <w:rPr>
          <w:rStyle w:val="FootnoteReference"/>
        </w:rPr>
        <w:footnoteRef/>
      </w:r>
      <w:r w:rsidRPr="00392A38">
        <w:t xml:space="preserve"> </w:t>
      </w:r>
      <w:r w:rsidRPr="00392A38">
        <w:rPr>
          <w:i/>
        </w:rPr>
        <w:t>Id.</w:t>
      </w:r>
    </w:p>
  </w:footnote>
  <w:footnote w:id="54">
    <w:p w14:paraId="24AF0319" w14:textId="77777777" w:rsidR="00730378" w:rsidRPr="0097052C" w:rsidRDefault="00730378" w:rsidP="0046770B">
      <w:pPr>
        <w:pStyle w:val="FootnoteText"/>
      </w:pPr>
      <w:r w:rsidRPr="00392A38">
        <w:rPr>
          <w:vertAlign w:val="superscript"/>
        </w:rPr>
        <w:footnoteRef/>
      </w:r>
      <w:r w:rsidRPr="00392A38">
        <w:t xml:space="preserve"> </w:t>
      </w:r>
      <w:r w:rsidRPr="00392A38">
        <w:rPr>
          <w:i/>
        </w:rPr>
        <w:t>Id.</w:t>
      </w:r>
    </w:p>
  </w:footnote>
  <w:footnote w:id="55">
    <w:p w14:paraId="63EE7EF8" w14:textId="7E0BB13E" w:rsidR="00730378" w:rsidRPr="00896451" w:rsidRDefault="00730378">
      <w:pPr>
        <w:pStyle w:val="FootnoteText"/>
      </w:pPr>
      <w:r>
        <w:rPr>
          <w:rStyle w:val="FootnoteReference"/>
        </w:rPr>
        <w:footnoteRef/>
      </w:r>
      <w:r>
        <w:t xml:space="preserve"> New York City Housing Authority, </w:t>
      </w:r>
      <w:r>
        <w:rPr>
          <w:i/>
        </w:rPr>
        <w:t>NOTICE OF MEETING AND OPPORTUNITY TO COMMENT ON PUBLIC HOUSING PRESERVATION TRUST DRAFT VOTING PROCEDURE</w:t>
      </w:r>
      <w:r>
        <w:t xml:space="preserve">, </w:t>
      </w:r>
      <w:hyperlink r:id="rId53" w:history="1">
        <w:r w:rsidRPr="00110113">
          <w:rPr>
            <w:rStyle w:val="Hyperlink"/>
          </w:rPr>
          <w:t>https://www1.nyc.gov/assets/nycha/downloads/pdf/042807-en.pdf</w:t>
        </w:r>
      </w:hyperlink>
      <w:r>
        <w:t xml:space="preserve">. </w:t>
      </w:r>
    </w:p>
  </w:footnote>
  <w:footnote w:id="56">
    <w:p w14:paraId="10D39D90" w14:textId="219B80E0" w:rsidR="00730378" w:rsidRPr="00437CED" w:rsidRDefault="00730378">
      <w:pPr>
        <w:pStyle w:val="FootnoteText"/>
      </w:pPr>
      <w:r>
        <w:rPr>
          <w:rStyle w:val="FootnoteReference"/>
        </w:rPr>
        <w:footnoteRef/>
      </w:r>
      <w:r>
        <w:t xml:space="preserve"> Marquis Jenkins, James Rodriguez, Aixa Torres, </w:t>
      </w:r>
      <w:r>
        <w:rPr>
          <w:i/>
        </w:rPr>
        <w:t>Opinion: NYCHA’s ‘Public Housing Preservation Trust’ Is A Farce of Resident Engagement</w:t>
      </w:r>
      <w:r>
        <w:t xml:space="preserve">, City Limits (June 22, 2022), </w:t>
      </w:r>
      <w:hyperlink r:id="rId54" w:history="1">
        <w:r w:rsidRPr="00110113">
          <w:rPr>
            <w:rStyle w:val="Hyperlink"/>
          </w:rPr>
          <w:t>https://citylimits.org/2022/06/22/opinion-nychas-public-housing-preservation-trust-is-a-farce-of-resident-engagement/</w:t>
        </w:r>
      </w:hyperlink>
      <w:r>
        <w:t xml:space="preserve">. </w:t>
      </w:r>
    </w:p>
  </w:footnote>
  <w:footnote w:id="57">
    <w:p w14:paraId="2F04B91C" w14:textId="65ABD3D6" w:rsidR="00730378" w:rsidRPr="00F20C4D" w:rsidRDefault="00730378">
      <w:pPr>
        <w:pStyle w:val="FootnoteText"/>
      </w:pPr>
      <w:r>
        <w:rPr>
          <w:rStyle w:val="FootnoteReference"/>
        </w:rPr>
        <w:footnoteRef/>
      </w:r>
      <w:r>
        <w:t xml:space="preserve"> New York City Housing Authority, </w:t>
      </w:r>
      <w:r>
        <w:rPr>
          <w:i/>
        </w:rPr>
        <w:t>NYCHA PRESENTS A BLUEPRINT FOR CHANGE AT NEW YORK HOUSING CONFERENCE’S 2020 SUMMER SERIES</w:t>
      </w:r>
      <w:r>
        <w:t xml:space="preserve">, (July 28, 2020) </w:t>
      </w:r>
      <w:hyperlink r:id="rId55" w:history="1">
        <w:r w:rsidRPr="00110113">
          <w:rPr>
            <w:rStyle w:val="Hyperlink"/>
          </w:rPr>
          <w:t>https://www1.nyc.gov/site/nycha/about/press/pr-2020/pr-20200728.page</w:t>
        </w:r>
      </w:hyperlink>
      <w:r>
        <w:t xml:space="preserve">. </w:t>
      </w:r>
    </w:p>
  </w:footnote>
  <w:footnote w:id="58">
    <w:p w14:paraId="61ACDA74" w14:textId="0BEA9701" w:rsidR="00730378" w:rsidRDefault="00730378">
      <w:pPr>
        <w:pStyle w:val="FootnoteText"/>
      </w:pPr>
      <w:r>
        <w:rPr>
          <w:rStyle w:val="FootnoteReference"/>
        </w:rPr>
        <w:footnoteRef/>
      </w:r>
      <w:r>
        <w:t xml:space="preserve"> S.B. 9409/A.B. 7805 </w:t>
      </w:r>
      <w:hyperlink r:id="rId56" w:history="1">
        <w:r w:rsidRPr="00110113">
          <w:rPr>
            <w:rStyle w:val="Hyperlink"/>
          </w:rPr>
          <w:t>https://www.nysenate.gov/legislation/bills/2021/s9409/amendment/original</w:t>
        </w:r>
      </w:hyperlink>
      <w:r>
        <w:t xml:space="preserve"> </w:t>
      </w:r>
    </w:p>
  </w:footnote>
  <w:footnote w:id="59">
    <w:p w14:paraId="5D64DDB2" w14:textId="598A55C9" w:rsidR="001105F2" w:rsidRPr="001105F2" w:rsidRDefault="001105F2">
      <w:pPr>
        <w:pStyle w:val="FootnoteText"/>
      </w:pPr>
      <w:r>
        <w:rPr>
          <w:rStyle w:val="FootnoteReference"/>
        </w:rPr>
        <w:footnoteRef/>
      </w:r>
      <w:r>
        <w:t xml:space="preserve"> </w:t>
      </w:r>
      <w:r>
        <w:rPr>
          <w:i/>
        </w:rPr>
        <w:t>Supra</w:t>
      </w:r>
      <w:r>
        <w:t xml:space="preserve"> note </w:t>
      </w:r>
      <w:r>
        <w:fldChar w:fldCharType="begin"/>
      </w:r>
      <w:r>
        <w:instrText xml:space="preserve"> NOTEREF _Ref117517281 \h </w:instrText>
      </w:r>
      <w:r>
        <w:fldChar w:fldCharType="separate"/>
      </w:r>
      <w:r w:rsidR="004B741F">
        <w:t>56</w:t>
      </w:r>
      <w:r>
        <w:fldChar w:fldCharType="end"/>
      </w:r>
      <w:r>
        <w:t>.</w:t>
      </w:r>
    </w:p>
  </w:footnote>
  <w:footnote w:id="60">
    <w:p w14:paraId="7E42A592" w14:textId="0F9F0C6A" w:rsidR="00730378" w:rsidRPr="00730378" w:rsidRDefault="00730378">
      <w:pPr>
        <w:pStyle w:val="FootnoteText"/>
      </w:pPr>
      <w:r>
        <w:rPr>
          <w:rStyle w:val="FootnoteReference"/>
        </w:rPr>
        <w:footnoteRef/>
      </w:r>
      <w:r>
        <w:t xml:space="preserve"> New York City Housing Authority, </w:t>
      </w:r>
      <w:r>
        <w:rPr>
          <w:i/>
        </w:rPr>
        <w:t>Notice of Meeting and Opportunity to Comment on Public Housing Preservation Trust Draft Voting Procedures</w:t>
      </w:r>
      <w:r>
        <w:t xml:space="preserve">, </w:t>
      </w:r>
      <w:hyperlink r:id="rId57" w:history="1">
        <w:r w:rsidRPr="00110113">
          <w:rPr>
            <w:rStyle w:val="Hyperlink"/>
          </w:rPr>
          <w:t>https://www1.nyc.gov/site/nycha/about/preservation-trust-draft-voting-procedures.page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C3E41" w14:textId="1FB34DD5" w:rsidR="00730378" w:rsidRDefault="00730378">
    <w:pPr>
      <w:pStyle w:val="Header"/>
    </w:pPr>
    <w:r>
      <w:rPr>
        <w:noProof/>
      </w:rPr>
      <mc:AlternateContent>
        <mc:Choice Requires="wps">
          <w:drawing>
            <wp:anchor distT="0" distB="0" distL="114300" distR="114300" simplePos="0" relativeHeight="251657216" behindDoc="1" locked="0" layoutInCell="0" allowOverlap="1" wp14:anchorId="28F9B77F" wp14:editId="0F01557C">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B7BB75" w14:textId="77777777" w:rsidR="00730378" w:rsidRDefault="00730378" w:rsidP="00C209A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8F9B77F" id="_x0000_t202" coordsize="21600,21600" o:spt="202" path="m,l,21600r21600,l21600,xe">
              <v:stroke joinstyle="miter"/>
              <v:path gradientshapeok="t" o:connecttype="rect"/>
            </v:shapetype>
            <v:shape id="Text Box 3" o:spid="_x0000_s1026" type="#_x0000_t202" style="position:absolute;margin-left:0;margin-top:0;width:471.3pt;height:18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" o:allowincell="f" filled="f" stroked="f">
              <v:stroke joinstyle="round"/>
              <o:lock v:ext="edit" shapetype="t"/>
              <v:textbox style="mso-fit-shape-to-text:t">
                <w:txbxContent>
                  <w:p w14:paraId="5EB7BB75" w14:textId="77777777" w:rsidR="00730378" w:rsidRDefault="00730378" w:rsidP="00C209A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5A3D2C83" w14:textId="77777777" w:rsidR="00730378" w:rsidRDefault="00730378"/>
  <w:p w14:paraId="77E182D1" w14:textId="77777777" w:rsidR="00730378" w:rsidRDefault="00730378"/>
  <w:p w14:paraId="216474FA" w14:textId="77777777" w:rsidR="00730378" w:rsidRDefault="0073037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1DF4F" w14:textId="3CBDB5C0" w:rsidR="00730378" w:rsidRDefault="007303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DC830" w14:textId="6505845A" w:rsidR="00407394" w:rsidRDefault="004073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72403"/>
    <w:multiLevelType w:val="hybridMultilevel"/>
    <w:tmpl w:val="71F6659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420D53"/>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3017F"/>
    <w:multiLevelType w:val="hybridMultilevel"/>
    <w:tmpl w:val="39E0A82C"/>
    <w:lvl w:ilvl="0" w:tplc="0409000F">
      <w:start w:val="1"/>
      <w:numFmt w:val="decimal"/>
      <w:lvlText w:val="%1."/>
      <w:lvlJc w:val="left"/>
      <w:pPr>
        <w:ind w:left="1080" w:hanging="72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D17602"/>
    <w:multiLevelType w:val="hybridMultilevel"/>
    <w:tmpl w:val="E2FEC44A"/>
    <w:lvl w:ilvl="0" w:tplc="6068D756">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D4317"/>
    <w:multiLevelType w:val="hybridMultilevel"/>
    <w:tmpl w:val="2D989BD2"/>
    <w:lvl w:ilvl="0" w:tplc="6068D756">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5A434C"/>
    <w:multiLevelType w:val="hybridMultilevel"/>
    <w:tmpl w:val="F59E5086"/>
    <w:lvl w:ilvl="0" w:tplc="6068D756">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146350"/>
    <w:multiLevelType w:val="hybridMultilevel"/>
    <w:tmpl w:val="922AF7F8"/>
    <w:lvl w:ilvl="0" w:tplc="EA185FFA">
      <w:start w:val="1"/>
      <w:numFmt w:val="lowerLetter"/>
      <w:lvlText w:val="%1."/>
      <w:lvlJc w:val="left"/>
      <w:pPr>
        <w:ind w:left="14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4112E0"/>
    <w:multiLevelType w:val="hybridMultilevel"/>
    <w:tmpl w:val="7F80BA3A"/>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A0F9D"/>
    <w:multiLevelType w:val="hybridMultilevel"/>
    <w:tmpl w:val="18689BAC"/>
    <w:lvl w:ilvl="0" w:tplc="72D25B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773447"/>
    <w:multiLevelType w:val="hybridMultilevel"/>
    <w:tmpl w:val="B302FC12"/>
    <w:lvl w:ilvl="0" w:tplc="6256DAF0">
      <w:start w:val="1"/>
      <w:numFmt w:val="upperRoman"/>
      <w:lvlText w:val="%1."/>
      <w:lvlJc w:val="left"/>
      <w:pPr>
        <w:ind w:left="1080" w:hanging="720"/>
      </w:pPr>
      <w:rPr>
        <w:rFonts w:hint="default"/>
        <w:b/>
      </w:rPr>
    </w:lvl>
    <w:lvl w:ilvl="1" w:tplc="EA185FFA">
      <w:start w:val="1"/>
      <w:numFmt w:val="lowerLetter"/>
      <w:lvlText w:val="%2."/>
      <w:lvlJc w:val="left"/>
      <w:pPr>
        <w:ind w:left="1440" w:hanging="360"/>
      </w:pPr>
      <w:rPr>
        <w:i w:val="0"/>
      </w:rPr>
    </w:lvl>
    <w:lvl w:ilvl="2" w:tplc="819E2FF8">
      <w:start w:val="1"/>
      <w:numFmt w:val="lowerRoman"/>
      <w:lvlText w:val="%3."/>
      <w:lvlJc w:val="right"/>
      <w:pPr>
        <w:ind w:left="2160" w:hanging="180"/>
      </w:pPr>
      <w:rPr>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4C2F58"/>
    <w:multiLevelType w:val="hybridMultilevel"/>
    <w:tmpl w:val="297CCAD8"/>
    <w:lvl w:ilvl="0" w:tplc="963623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2891D5E"/>
    <w:multiLevelType w:val="hybridMultilevel"/>
    <w:tmpl w:val="3C305FCA"/>
    <w:lvl w:ilvl="0" w:tplc="02CED1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F494602"/>
    <w:multiLevelType w:val="hybridMultilevel"/>
    <w:tmpl w:val="13E44FB6"/>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92493A"/>
    <w:multiLevelType w:val="hybridMultilevel"/>
    <w:tmpl w:val="DDB4B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811E34"/>
    <w:multiLevelType w:val="hybridMultilevel"/>
    <w:tmpl w:val="8174A070"/>
    <w:lvl w:ilvl="0" w:tplc="1A7697C8">
      <w:start w:val="10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3B0FBE"/>
    <w:multiLevelType w:val="hybridMultilevel"/>
    <w:tmpl w:val="B9849B6E"/>
    <w:lvl w:ilvl="0" w:tplc="DCD682CE">
      <w:start w:val="1"/>
      <w:numFmt w:val="upperRoman"/>
      <w:lvlText w:val="%1."/>
      <w:lvlJc w:val="left"/>
      <w:pPr>
        <w:ind w:left="1080" w:hanging="720"/>
      </w:pPr>
      <w:rPr>
        <w:rFonts w:hint="default"/>
        <w:b/>
        <w:i w:val="0"/>
      </w:rPr>
    </w:lvl>
    <w:lvl w:ilvl="1" w:tplc="6068D756">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4C621E"/>
    <w:multiLevelType w:val="hybridMultilevel"/>
    <w:tmpl w:val="428687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683C9F"/>
    <w:multiLevelType w:val="hybridMultilevel"/>
    <w:tmpl w:val="BC7A3B66"/>
    <w:lvl w:ilvl="0" w:tplc="7DD8374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8A1B83"/>
    <w:multiLevelType w:val="hybridMultilevel"/>
    <w:tmpl w:val="2A069A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6"/>
  </w:num>
  <w:num w:numId="3">
    <w:abstractNumId w:val="11"/>
  </w:num>
  <w:num w:numId="4">
    <w:abstractNumId w:val="2"/>
  </w:num>
  <w:num w:numId="5">
    <w:abstractNumId w:val="7"/>
  </w:num>
  <w:num w:numId="6">
    <w:abstractNumId w:val="13"/>
  </w:num>
  <w:num w:numId="7">
    <w:abstractNumId w:val="18"/>
  </w:num>
  <w:num w:numId="8">
    <w:abstractNumId w:val="15"/>
  </w:num>
  <w:num w:numId="9">
    <w:abstractNumId w:val="1"/>
  </w:num>
  <w:num w:numId="10">
    <w:abstractNumId w:val="6"/>
  </w:num>
  <w:num w:numId="11">
    <w:abstractNumId w:val="12"/>
  </w:num>
  <w:num w:numId="12">
    <w:abstractNumId w:val="4"/>
  </w:num>
  <w:num w:numId="13">
    <w:abstractNumId w:val="0"/>
  </w:num>
  <w:num w:numId="14">
    <w:abstractNumId w:val="5"/>
  </w:num>
  <w:num w:numId="15">
    <w:abstractNumId w:val="14"/>
  </w:num>
  <w:num w:numId="16">
    <w:abstractNumId w:val="3"/>
  </w:num>
  <w:num w:numId="17">
    <w:abstractNumId w:val="17"/>
  </w:num>
  <w:num w:numId="18">
    <w:abstractNumId w:val="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BC"/>
    <w:rsid w:val="0000004D"/>
    <w:rsid w:val="000037EC"/>
    <w:rsid w:val="0000480A"/>
    <w:rsid w:val="000133DB"/>
    <w:rsid w:val="000169E4"/>
    <w:rsid w:val="00017CE8"/>
    <w:rsid w:val="0002119F"/>
    <w:rsid w:val="00021416"/>
    <w:rsid w:val="00022F34"/>
    <w:rsid w:val="000231B4"/>
    <w:rsid w:val="00024AAF"/>
    <w:rsid w:val="0002681A"/>
    <w:rsid w:val="00026C3F"/>
    <w:rsid w:val="000277BC"/>
    <w:rsid w:val="000309B5"/>
    <w:rsid w:val="00035C0E"/>
    <w:rsid w:val="00036EBC"/>
    <w:rsid w:val="000418A7"/>
    <w:rsid w:val="00044399"/>
    <w:rsid w:val="0004538C"/>
    <w:rsid w:val="00046CAD"/>
    <w:rsid w:val="000539F1"/>
    <w:rsid w:val="000610A8"/>
    <w:rsid w:val="0006176B"/>
    <w:rsid w:val="0006206A"/>
    <w:rsid w:val="00063773"/>
    <w:rsid w:val="00063EA5"/>
    <w:rsid w:val="0006578E"/>
    <w:rsid w:val="00065C46"/>
    <w:rsid w:val="0006626F"/>
    <w:rsid w:val="000668DD"/>
    <w:rsid w:val="00066C41"/>
    <w:rsid w:val="000708A3"/>
    <w:rsid w:val="00071129"/>
    <w:rsid w:val="000730B0"/>
    <w:rsid w:val="00073DD0"/>
    <w:rsid w:val="00075344"/>
    <w:rsid w:val="00075663"/>
    <w:rsid w:val="00082CD1"/>
    <w:rsid w:val="00082D68"/>
    <w:rsid w:val="00085468"/>
    <w:rsid w:val="000854E4"/>
    <w:rsid w:val="00086D71"/>
    <w:rsid w:val="00090427"/>
    <w:rsid w:val="000923BE"/>
    <w:rsid w:val="000926C1"/>
    <w:rsid w:val="00092A14"/>
    <w:rsid w:val="00096137"/>
    <w:rsid w:val="000A0331"/>
    <w:rsid w:val="000A08E0"/>
    <w:rsid w:val="000A2085"/>
    <w:rsid w:val="000A2A05"/>
    <w:rsid w:val="000A2B6B"/>
    <w:rsid w:val="000A2C30"/>
    <w:rsid w:val="000A2CB1"/>
    <w:rsid w:val="000A3AFF"/>
    <w:rsid w:val="000A5D8E"/>
    <w:rsid w:val="000A66D6"/>
    <w:rsid w:val="000B0034"/>
    <w:rsid w:val="000B061F"/>
    <w:rsid w:val="000B0F66"/>
    <w:rsid w:val="000C17F8"/>
    <w:rsid w:val="000C185B"/>
    <w:rsid w:val="000C57E2"/>
    <w:rsid w:val="000E1969"/>
    <w:rsid w:val="000E3DD3"/>
    <w:rsid w:val="000E4347"/>
    <w:rsid w:val="000E7F2A"/>
    <w:rsid w:val="000F0943"/>
    <w:rsid w:val="000F11E7"/>
    <w:rsid w:val="000F2036"/>
    <w:rsid w:val="000F34A9"/>
    <w:rsid w:val="000F5CC0"/>
    <w:rsid w:val="000F6123"/>
    <w:rsid w:val="00100490"/>
    <w:rsid w:val="00104920"/>
    <w:rsid w:val="00106006"/>
    <w:rsid w:val="00106E03"/>
    <w:rsid w:val="001070FE"/>
    <w:rsid w:val="001105F2"/>
    <w:rsid w:val="0011220E"/>
    <w:rsid w:val="001139C5"/>
    <w:rsid w:val="00116F89"/>
    <w:rsid w:val="00122B9F"/>
    <w:rsid w:val="0012516A"/>
    <w:rsid w:val="00126C6E"/>
    <w:rsid w:val="00127FD9"/>
    <w:rsid w:val="0013200D"/>
    <w:rsid w:val="001320CB"/>
    <w:rsid w:val="0013273B"/>
    <w:rsid w:val="00132E9B"/>
    <w:rsid w:val="00133365"/>
    <w:rsid w:val="00133C80"/>
    <w:rsid w:val="00135315"/>
    <w:rsid w:val="001356F7"/>
    <w:rsid w:val="001413CD"/>
    <w:rsid w:val="00142617"/>
    <w:rsid w:val="0014270E"/>
    <w:rsid w:val="00146A62"/>
    <w:rsid w:val="00146D58"/>
    <w:rsid w:val="00152211"/>
    <w:rsid w:val="00152894"/>
    <w:rsid w:val="0016314B"/>
    <w:rsid w:val="00165011"/>
    <w:rsid w:val="001711EB"/>
    <w:rsid w:val="0017329A"/>
    <w:rsid w:val="001742C9"/>
    <w:rsid w:val="00174B1E"/>
    <w:rsid w:val="001755C2"/>
    <w:rsid w:val="00176725"/>
    <w:rsid w:val="00187062"/>
    <w:rsid w:val="00187D59"/>
    <w:rsid w:val="00192683"/>
    <w:rsid w:val="001940D1"/>
    <w:rsid w:val="00195473"/>
    <w:rsid w:val="00196E85"/>
    <w:rsid w:val="00197680"/>
    <w:rsid w:val="001A26DF"/>
    <w:rsid w:val="001A29CC"/>
    <w:rsid w:val="001A2A0D"/>
    <w:rsid w:val="001A7C85"/>
    <w:rsid w:val="001B1075"/>
    <w:rsid w:val="001B2797"/>
    <w:rsid w:val="001B7E1A"/>
    <w:rsid w:val="001C2A94"/>
    <w:rsid w:val="001C4986"/>
    <w:rsid w:val="001C529E"/>
    <w:rsid w:val="001C7200"/>
    <w:rsid w:val="001D2D93"/>
    <w:rsid w:val="001D36A0"/>
    <w:rsid w:val="001D4C90"/>
    <w:rsid w:val="001D5B94"/>
    <w:rsid w:val="001D79CC"/>
    <w:rsid w:val="001E52F2"/>
    <w:rsid w:val="001E6AF2"/>
    <w:rsid w:val="001E7EFD"/>
    <w:rsid w:val="001F1B76"/>
    <w:rsid w:val="001F555E"/>
    <w:rsid w:val="001F6577"/>
    <w:rsid w:val="001F7519"/>
    <w:rsid w:val="0020042D"/>
    <w:rsid w:val="002012DF"/>
    <w:rsid w:val="00201693"/>
    <w:rsid w:val="002018C9"/>
    <w:rsid w:val="0020213F"/>
    <w:rsid w:val="002049F1"/>
    <w:rsid w:val="002068F1"/>
    <w:rsid w:val="00207228"/>
    <w:rsid w:val="00212144"/>
    <w:rsid w:val="002126F8"/>
    <w:rsid w:val="0021580A"/>
    <w:rsid w:val="002179C1"/>
    <w:rsid w:val="00217B8A"/>
    <w:rsid w:val="00221FEA"/>
    <w:rsid w:val="00225138"/>
    <w:rsid w:val="002254CD"/>
    <w:rsid w:val="0022795D"/>
    <w:rsid w:val="0023025B"/>
    <w:rsid w:val="002305CD"/>
    <w:rsid w:val="002311F5"/>
    <w:rsid w:val="00232905"/>
    <w:rsid w:val="00232ED3"/>
    <w:rsid w:val="00233E58"/>
    <w:rsid w:val="00236B07"/>
    <w:rsid w:val="002373BB"/>
    <w:rsid w:val="0024160D"/>
    <w:rsid w:val="0024447E"/>
    <w:rsid w:val="00244C0B"/>
    <w:rsid w:val="00245322"/>
    <w:rsid w:val="00246CB5"/>
    <w:rsid w:val="00247576"/>
    <w:rsid w:val="00251D27"/>
    <w:rsid w:val="00252246"/>
    <w:rsid w:val="00252FF1"/>
    <w:rsid w:val="002551E6"/>
    <w:rsid w:val="00257143"/>
    <w:rsid w:val="002571F7"/>
    <w:rsid w:val="002616CD"/>
    <w:rsid w:val="002637C3"/>
    <w:rsid w:val="00264304"/>
    <w:rsid w:val="002649BA"/>
    <w:rsid w:val="00266611"/>
    <w:rsid w:val="00266EE2"/>
    <w:rsid w:val="00267DEC"/>
    <w:rsid w:val="00275515"/>
    <w:rsid w:val="00275584"/>
    <w:rsid w:val="00276901"/>
    <w:rsid w:val="002827A5"/>
    <w:rsid w:val="002828E2"/>
    <w:rsid w:val="00285EFE"/>
    <w:rsid w:val="00287100"/>
    <w:rsid w:val="002901C2"/>
    <w:rsid w:val="002915C1"/>
    <w:rsid w:val="00293B29"/>
    <w:rsid w:val="0029660E"/>
    <w:rsid w:val="00296C58"/>
    <w:rsid w:val="002A3EFC"/>
    <w:rsid w:val="002A5FF3"/>
    <w:rsid w:val="002A7A67"/>
    <w:rsid w:val="002A7C2E"/>
    <w:rsid w:val="002A7F70"/>
    <w:rsid w:val="002B05E5"/>
    <w:rsid w:val="002B207D"/>
    <w:rsid w:val="002B41D5"/>
    <w:rsid w:val="002B6061"/>
    <w:rsid w:val="002B621F"/>
    <w:rsid w:val="002C4EBF"/>
    <w:rsid w:val="002C5D37"/>
    <w:rsid w:val="002C76CA"/>
    <w:rsid w:val="002D2639"/>
    <w:rsid w:val="002D364B"/>
    <w:rsid w:val="002D60BB"/>
    <w:rsid w:val="002D6F9E"/>
    <w:rsid w:val="002E0E3D"/>
    <w:rsid w:val="002E37CB"/>
    <w:rsid w:val="002E4EA1"/>
    <w:rsid w:val="002E50F5"/>
    <w:rsid w:val="002F6A4D"/>
    <w:rsid w:val="00300769"/>
    <w:rsid w:val="003009BA"/>
    <w:rsid w:val="00300EFB"/>
    <w:rsid w:val="003051E7"/>
    <w:rsid w:val="003060DE"/>
    <w:rsid w:val="003066B6"/>
    <w:rsid w:val="00311A09"/>
    <w:rsid w:val="00313C3F"/>
    <w:rsid w:val="00316723"/>
    <w:rsid w:val="003167AC"/>
    <w:rsid w:val="00317CB2"/>
    <w:rsid w:val="00320EA2"/>
    <w:rsid w:val="00321656"/>
    <w:rsid w:val="00331386"/>
    <w:rsid w:val="00331617"/>
    <w:rsid w:val="00332424"/>
    <w:rsid w:val="003374C9"/>
    <w:rsid w:val="00337896"/>
    <w:rsid w:val="0034631B"/>
    <w:rsid w:val="00347609"/>
    <w:rsid w:val="00347F7C"/>
    <w:rsid w:val="003533C0"/>
    <w:rsid w:val="00354E67"/>
    <w:rsid w:val="00356F3C"/>
    <w:rsid w:val="003610DE"/>
    <w:rsid w:val="00362E3C"/>
    <w:rsid w:val="00364483"/>
    <w:rsid w:val="003649E2"/>
    <w:rsid w:val="00364DB3"/>
    <w:rsid w:val="00370A48"/>
    <w:rsid w:val="00376221"/>
    <w:rsid w:val="003819FD"/>
    <w:rsid w:val="00383027"/>
    <w:rsid w:val="00383AB6"/>
    <w:rsid w:val="0038445A"/>
    <w:rsid w:val="003848AE"/>
    <w:rsid w:val="00386EDB"/>
    <w:rsid w:val="003913F8"/>
    <w:rsid w:val="003976B3"/>
    <w:rsid w:val="003A0D01"/>
    <w:rsid w:val="003A1222"/>
    <w:rsid w:val="003A2190"/>
    <w:rsid w:val="003A287B"/>
    <w:rsid w:val="003A2D78"/>
    <w:rsid w:val="003A5E75"/>
    <w:rsid w:val="003A6AE1"/>
    <w:rsid w:val="003A6CAC"/>
    <w:rsid w:val="003B4B8C"/>
    <w:rsid w:val="003B4FBE"/>
    <w:rsid w:val="003B536C"/>
    <w:rsid w:val="003B5C31"/>
    <w:rsid w:val="003B5FC7"/>
    <w:rsid w:val="003C1E45"/>
    <w:rsid w:val="003C4796"/>
    <w:rsid w:val="003C5AD0"/>
    <w:rsid w:val="003C670E"/>
    <w:rsid w:val="003C7D4F"/>
    <w:rsid w:val="003D0760"/>
    <w:rsid w:val="003D2473"/>
    <w:rsid w:val="003D366E"/>
    <w:rsid w:val="003D3999"/>
    <w:rsid w:val="003D3A89"/>
    <w:rsid w:val="003D51F4"/>
    <w:rsid w:val="003D5AA9"/>
    <w:rsid w:val="003D7CFE"/>
    <w:rsid w:val="003E192F"/>
    <w:rsid w:val="003E21E7"/>
    <w:rsid w:val="003E3B3C"/>
    <w:rsid w:val="003E4F98"/>
    <w:rsid w:val="003E570A"/>
    <w:rsid w:val="003E5C34"/>
    <w:rsid w:val="003E68C6"/>
    <w:rsid w:val="003F12CB"/>
    <w:rsid w:val="003F2260"/>
    <w:rsid w:val="003F583B"/>
    <w:rsid w:val="003F6366"/>
    <w:rsid w:val="003F66FC"/>
    <w:rsid w:val="003F703A"/>
    <w:rsid w:val="003F757F"/>
    <w:rsid w:val="00401D5B"/>
    <w:rsid w:val="00405FEC"/>
    <w:rsid w:val="004060A4"/>
    <w:rsid w:val="00407394"/>
    <w:rsid w:val="0041006C"/>
    <w:rsid w:val="00411F3F"/>
    <w:rsid w:val="004128BE"/>
    <w:rsid w:val="00412AEA"/>
    <w:rsid w:val="00415A57"/>
    <w:rsid w:val="00416947"/>
    <w:rsid w:val="00420407"/>
    <w:rsid w:val="00421B43"/>
    <w:rsid w:val="004244F4"/>
    <w:rsid w:val="004314AC"/>
    <w:rsid w:val="0043340D"/>
    <w:rsid w:val="00436A98"/>
    <w:rsid w:val="00437CED"/>
    <w:rsid w:val="00441476"/>
    <w:rsid w:val="0044501A"/>
    <w:rsid w:val="004459B2"/>
    <w:rsid w:val="00445B93"/>
    <w:rsid w:val="00452168"/>
    <w:rsid w:val="00452C14"/>
    <w:rsid w:val="00453C5D"/>
    <w:rsid w:val="004603BD"/>
    <w:rsid w:val="00461424"/>
    <w:rsid w:val="004627D4"/>
    <w:rsid w:val="00462896"/>
    <w:rsid w:val="004640EB"/>
    <w:rsid w:val="00466712"/>
    <w:rsid w:val="00466A2F"/>
    <w:rsid w:val="0046770B"/>
    <w:rsid w:val="00471803"/>
    <w:rsid w:val="004728C4"/>
    <w:rsid w:val="00472CB2"/>
    <w:rsid w:val="00475D98"/>
    <w:rsid w:val="00480222"/>
    <w:rsid w:val="00483F11"/>
    <w:rsid w:val="004856CF"/>
    <w:rsid w:val="00490176"/>
    <w:rsid w:val="00494638"/>
    <w:rsid w:val="00497CBA"/>
    <w:rsid w:val="004A21BE"/>
    <w:rsid w:val="004A3472"/>
    <w:rsid w:val="004A6AA1"/>
    <w:rsid w:val="004B1FC1"/>
    <w:rsid w:val="004B3099"/>
    <w:rsid w:val="004B38F3"/>
    <w:rsid w:val="004B5081"/>
    <w:rsid w:val="004B7033"/>
    <w:rsid w:val="004B741F"/>
    <w:rsid w:val="004C051E"/>
    <w:rsid w:val="004C13B6"/>
    <w:rsid w:val="004D0887"/>
    <w:rsid w:val="004D2E58"/>
    <w:rsid w:val="004D300D"/>
    <w:rsid w:val="004D3DB7"/>
    <w:rsid w:val="004E01A6"/>
    <w:rsid w:val="004E0FA6"/>
    <w:rsid w:val="004E1A2E"/>
    <w:rsid w:val="004E3DCC"/>
    <w:rsid w:val="004E5924"/>
    <w:rsid w:val="004E6871"/>
    <w:rsid w:val="004E6B3A"/>
    <w:rsid w:val="004F00F4"/>
    <w:rsid w:val="004F19B0"/>
    <w:rsid w:val="004F412E"/>
    <w:rsid w:val="004F47BE"/>
    <w:rsid w:val="004F6162"/>
    <w:rsid w:val="00500C51"/>
    <w:rsid w:val="005015DF"/>
    <w:rsid w:val="0050323A"/>
    <w:rsid w:val="00503880"/>
    <w:rsid w:val="005075E1"/>
    <w:rsid w:val="00510FCB"/>
    <w:rsid w:val="00511553"/>
    <w:rsid w:val="0051202B"/>
    <w:rsid w:val="0051634B"/>
    <w:rsid w:val="00516833"/>
    <w:rsid w:val="00520F8E"/>
    <w:rsid w:val="0052273F"/>
    <w:rsid w:val="00523471"/>
    <w:rsid w:val="005243F1"/>
    <w:rsid w:val="005253EC"/>
    <w:rsid w:val="00526341"/>
    <w:rsid w:val="005271FA"/>
    <w:rsid w:val="005273CC"/>
    <w:rsid w:val="00536247"/>
    <w:rsid w:val="0054549C"/>
    <w:rsid w:val="00546CE1"/>
    <w:rsid w:val="0054798C"/>
    <w:rsid w:val="0055581D"/>
    <w:rsid w:val="00566175"/>
    <w:rsid w:val="00566187"/>
    <w:rsid w:val="005667A1"/>
    <w:rsid w:val="0057106A"/>
    <w:rsid w:val="00571E3B"/>
    <w:rsid w:val="00573A36"/>
    <w:rsid w:val="0057742D"/>
    <w:rsid w:val="0058061B"/>
    <w:rsid w:val="005825DC"/>
    <w:rsid w:val="005833AE"/>
    <w:rsid w:val="00583E3D"/>
    <w:rsid w:val="005841FD"/>
    <w:rsid w:val="00584A71"/>
    <w:rsid w:val="00586E67"/>
    <w:rsid w:val="00587305"/>
    <w:rsid w:val="005917FA"/>
    <w:rsid w:val="005A24DC"/>
    <w:rsid w:val="005A3AE8"/>
    <w:rsid w:val="005A3D06"/>
    <w:rsid w:val="005A49D1"/>
    <w:rsid w:val="005A5036"/>
    <w:rsid w:val="005A713A"/>
    <w:rsid w:val="005B02A5"/>
    <w:rsid w:val="005B179F"/>
    <w:rsid w:val="005B24F4"/>
    <w:rsid w:val="005B3100"/>
    <w:rsid w:val="005B4F4A"/>
    <w:rsid w:val="005B5415"/>
    <w:rsid w:val="005C02F8"/>
    <w:rsid w:val="005C0B4B"/>
    <w:rsid w:val="005C2167"/>
    <w:rsid w:val="005C2C68"/>
    <w:rsid w:val="005C3CC6"/>
    <w:rsid w:val="005C43CE"/>
    <w:rsid w:val="005C6240"/>
    <w:rsid w:val="005C6413"/>
    <w:rsid w:val="005C651F"/>
    <w:rsid w:val="005D0404"/>
    <w:rsid w:val="005D0FDB"/>
    <w:rsid w:val="005D5C24"/>
    <w:rsid w:val="005D6C07"/>
    <w:rsid w:val="005D6C82"/>
    <w:rsid w:val="005E4ECD"/>
    <w:rsid w:val="005E68F4"/>
    <w:rsid w:val="005E78A5"/>
    <w:rsid w:val="005F1C68"/>
    <w:rsid w:val="005F3DE7"/>
    <w:rsid w:val="005F4B9A"/>
    <w:rsid w:val="005F4C3F"/>
    <w:rsid w:val="005F505C"/>
    <w:rsid w:val="005F5F1C"/>
    <w:rsid w:val="005F6E7C"/>
    <w:rsid w:val="0060000E"/>
    <w:rsid w:val="00601046"/>
    <w:rsid w:val="00601774"/>
    <w:rsid w:val="006028DD"/>
    <w:rsid w:val="00602BBF"/>
    <w:rsid w:val="00603012"/>
    <w:rsid w:val="006035A6"/>
    <w:rsid w:val="00604413"/>
    <w:rsid w:val="00604507"/>
    <w:rsid w:val="0060700E"/>
    <w:rsid w:val="006074EC"/>
    <w:rsid w:val="00612CAB"/>
    <w:rsid w:val="00613EB5"/>
    <w:rsid w:val="00615714"/>
    <w:rsid w:val="00621EEB"/>
    <w:rsid w:val="006267D4"/>
    <w:rsid w:val="006302FD"/>
    <w:rsid w:val="006315B2"/>
    <w:rsid w:val="006323B2"/>
    <w:rsid w:val="006326DA"/>
    <w:rsid w:val="00632B24"/>
    <w:rsid w:val="00632D37"/>
    <w:rsid w:val="00636C0A"/>
    <w:rsid w:val="00637162"/>
    <w:rsid w:val="00640560"/>
    <w:rsid w:val="00644FAB"/>
    <w:rsid w:val="006450D1"/>
    <w:rsid w:val="00650590"/>
    <w:rsid w:val="006515B1"/>
    <w:rsid w:val="00652C82"/>
    <w:rsid w:val="00653CA7"/>
    <w:rsid w:val="006553E8"/>
    <w:rsid w:val="00660947"/>
    <w:rsid w:val="00661878"/>
    <w:rsid w:val="00662A65"/>
    <w:rsid w:val="0066608B"/>
    <w:rsid w:val="0067117C"/>
    <w:rsid w:val="00672123"/>
    <w:rsid w:val="00672D4D"/>
    <w:rsid w:val="0067530B"/>
    <w:rsid w:val="00675CF1"/>
    <w:rsid w:val="006769F4"/>
    <w:rsid w:val="00676DD8"/>
    <w:rsid w:val="00680BA2"/>
    <w:rsid w:val="00680D5C"/>
    <w:rsid w:val="00681FBF"/>
    <w:rsid w:val="006822C4"/>
    <w:rsid w:val="00684143"/>
    <w:rsid w:val="00684183"/>
    <w:rsid w:val="006876C4"/>
    <w:rsid w:val="006930D3"/>
    <w:rsid w:val="0069392F"/>
    <w:rsid w:val="00694FA0"/>
    <w:rsid w:val="00697CDC"/>
    <w:rsid w:val="00697D92"/>
    <w:rsid w:val="006A08E7"/>
    <w:rsid w:val="006A36CA"/>
    <w:rsid w:val="006A3A3F"/>
    <w:rsid w:val="006A5D7B"/>
    <w:rsid w:val="006B172D"/>
    <w:rsid w:val="006B1B5D"/>
    <w:rsid w:val="006B2C26"/>
    <w:rsid w:val="006B3D26"/>
    <w:rsid w:val="006B6022"/>
    <w:rsid w:val="006B6362"/>
    <w:rsid w:val="006B64F7"/>
    <w:rsid w:val="006B6CCD"/>
    <w:rsid w:val="006C26DA"/>
    <w:rsid w:val="006C364C"/>
    <w:rsid w:val="006C42EF"/>
    <w:rsid w:val="006C49A4"/>
    <w:rsid w:val="006C62A8"/>
    <w:rsid w:val="006D14AB"/>
    <w:rsid w:val="006D3992"/>
    <w:rsid w:val="006D4ED1"/>
    <w:rsid w:val="006E2535"/>
    <w:rsid w:val="006E2C2A"/>
    <w:rsid w:val="006F25E0"/>
    <w:rsid w:val="006F50B5"/>
    <w:rsid w:val="006F5FA3"/>
    <w:rsid w:val="006F70DF"/>
    <w:rsid w:val="006F771E"/>
    <w:rsid w:val="006F7B05"/>
    <w:rsid w:val="0070165E"/>
    <w:rsid w:val="00701F78"/>
    <w:rsid w:val="00704444"/>
    <w:rsid w:val="007068C2"/>
    <w:rsid w:val="00707294"/>
    <w:rsid w:val="00707DFC"/>
    <w:rsid w:val="007123F5"/>
    <w:rsid w:val="00713DEF"/>
    <w:rsid w:val="00714FFC"/>
    <w:rsid w:val="0071761B"/>
    <w:rsid w:val="0072560F"/>
    <w:rsid w:val="00727DC3"/>
    <w:rsid w:val="00730378"/>
    <w:rsid w:val="0073148D"/>
    <w:rsid w:val="00732AA8"/>
    <w:rsid w:val="00732C85"/>
    <w:rsid w:val="00733B70"/>
    <w:rsid w:val="00735E9E"/>
    <w:rsid w:val="00741C78"/>
    <w:rsid w:val="00744F3A"/>
    <w:rsid w:val="0075136D"/>
    <w:rsid w:val="00751A2B"/>
    <w:rsid w:val="00755333"/>
    <w:rsid w:val="00755863"/>
    <w:rsid w:val="0075628F"/>
    <w:rsid w:val="00756CD1"/>
    <w:rsid w:val="007578BC"/>
    <w:rsid w:val="00762993"/>
    <w:rsid w:val="007651E3"/>
    <w:rsid w:val="00766DAF"/>
    <w:rsid w:val="0077221D"/>
    <w:rsid w:val="00774659"/>
    <w:rsid w:val="00775100"/>
    <w:rsid w:val="00777B4D"/>
    <w:rsid w:val="00780EA6"/>
    <w:rsid w:val="00783915"/>
    <w:rsid w:val="00783C12"/>
    <w:rsid w:val="00784A5F"/>
    <w:rsid w:val="00784B4D"/>
    <w:rsid w:val="00785268"/>
    <w:rsid w:val="00791995"/>
    <w:rsid w:val="0079504C"/>
    <w:rsid w:val="00795256"/>
    <w:rsid w:val="00795FD4"/>
    <w:rsid w:val="007A1B62"/>
    <w:rsid w:val="007B0401"/>
    <w:rsid w:val="007B7E0B"/>
    <w:rsid w:val="007C078B"/>
    <w:rsid w:val="007C1254"/>
    <w:rsid w:val="007C51D0"/>
    <w:rsid w:val="007D22DE"/>
    <w:rsid w:val="007D4D2F"/>
    <w:rsid w:val="007D4E86"/>
    <w:rsid w:val="007D5D7F"/>
    <w:rsid w:val="007E00D6"/>
    <w:rsid w:val="007E0EF6"/>
    <w:rsid w:val="007E3B8A"/>
    <w:rsid w:val="007F7BDB"/>
    <w:rsid w:val="007F7DC5"/>
    <w:rsid w:val="00803533"/>
    <w:rsid w:val="0080465E"/>
    <w:rsid w:val="00806FF3"/>
    <w:rsid w:val="0080777E"/>
    <w:rsid w:val="00813F34"/>
    <w:rsid w:val="00815538"/>
    <w:rsid w:val="00816CB1"/>
    <w:rsid w:val="00821872"/>
    <w:rsid w:val="00822DCD"/>
    <w:rsid w:val="00823126"/>
    <w:rsid w:val="008253F7"/>
    <w:rsid w:val="008265DA"/>
    <w:rsid w:val="00833674"/>
    <w:rsid w:val="00834558"/>
    <w:rsid w:val="00836C48"/>
    <w:rsid w:val="00836CC7"/>
    <w:rsid w:val="00836E99"/>
    <w:rsid w:val="00837395"/>
    <w:rsid w:val="00837EF8"/>
    <w:rsid w:val="00840583"/>
    <w:rsid w:val="008467F2"/>
    <w:rsid w:val="00846A4C"/>
    <w:rsid w:val="008471AF"/>
    <w:rsid w:val="00850BA0"/>
    <w:rsid w:val="008529FD"/>
    <w:rsid w:val="0085435A"/>
    <w:rsid w:val="00854368"/>
    <w:rsid w:val="008613C6"/>
    <w:rsid w:val="00864A07"/>
    <w:rsid w:val="00865617"/>
    <w:rsid w:val="00865FCE"/>
    <w:rsid w:val="00866B21"/>
    <w:rsid w:val="00870056"/>
    <w:rsid w:val="00870853"/>
    <w:rsid w:val="008708A8"/>
    <w:rsid w:val="008714CA"/>
    <w:rsid w:val="00872802"/>
    <w:rsid w:val="00873DA2"/>
    <w:rsid w:val="00875D60"/>
    <w:rsid w:val="00880939"/>
    <w:rsid w:val="008839FE"/>
    <w:rsid w:val="00885ADA"/>
    <w:rsid w:val="00886224"/>
    <w:rsid w:val="00886D16"/>
    <w:rsid w:val="00890F6F"/>
    <w:rsid w:val="00894308"/>
    <w:rsid w:val="00895688"/>
    <w:rsid w:val="00896451"/>
    <w:rsid w:val="008A198B"/>
    <w:rsid w:val="008A1BBC"/>
    <w:rsid w:val="008A2432"/>
    <w:rsid w:val="008A5E06"/>
    <w:rsid w:val="008B4E79"/>
    <w:rsid w:val="008B5164"/>
    <w:rsid w:val="008B5656"/>
    <w:rsid w:val="008B5ABB"/>
    <w:rsid w:val="008C13A4"/>
    <w:rsid w:val="008C46E6"/>
    <w:rsid w:val="008C6CFC"/>
    <w:rsid w:val="008D32B3"/>
    <w:rsid w:val="008D471A"/>
    <w:rsid w:val="008D5567"/>
    <w:rsid w:val="008D62F7"/>
    <w:rsid w:val="008D64DC"/>
    <w:rsid w:val="008D66A4"/>
    <w:rsid w:val="008D6DBC"/>
    <w:rsid w:val="008D7A79"/>
    <w:rsid w:val="008E3F7C"/>
    <w:rsid w:val="008E6DDB"/>
    <w:rsid w:val="008F1D19"/>
    <w:rsid w:val="008F5048"/>
    <w:rsid w:val="008F62B7"/>
    <w:rsid w:val="008F7496"/>
    <w:rsid w:val="00900537"/>
    <w:rsid w:val="009015B4"/>
    <w:rsid w:val="009027A8"/>
    <w:rsid w:val="00902D12"/>
    <w:rsid w:val="00902F6A"/>
    <w:rsid w:val="00907203"/>
    <w:rsid w:val="00910E11"/>
    <w:rsid w:val="00912A37"/>
    <w:rsid w:val="00913D2D"/>
    <w:rsid w:val="00914391"/>
    <w:rsid w:val="009170FE"/>
    <w:rsid w:val="0092603E"/>
    <w:rsid w:val="009266E5"/>
    <w:rsid w:val="00926E4F"/>
    <w:rsid w:val="00926EEC"/>
    <w:rsid w:val="00926FFC"/>
    <w:rsid w:val="00931089"/>
    <w:rsid w:val="00934395"/>
    <w:rsid w:val="00940A44"/>
    <w:rsid w:val="00943CD5"/>
    <w:rsid w:val="00944FF0"/>
    <w:rsid w:val="00946CBA"/>
    <w:rsid w:val="00947885"/>
    <w:rsid w:val="00950980"/>
    <w:rsid w:val="009529E4"/>
    <w:rsid w:val="00956D43"/>
    <w:rsid w:val="009600B7"/>
    <w:rsid w:val="00960C16"/>
    <w:rsid w:val="00960D72"/>
    <w:rsid w:val="00962F64"/>
    <w:rsid w:val="00965A1B"/>
    <w:rsid w:val="00966860"/>
    <w:rsid w:val="00966FCA"/>
    <w:rsid w:val="009700B1"/>
    <w:rsid w:val="00970CE0"/>
    <w:rsid w:val="00971758"/>
    <w:rsid w:val="00977A9F"/>
    <w:rsid w:val="00982362"/>
    <w:rsid w:val="00984EAD"/>
    <w:rsid w:val="00984FD3"/>
    <w:rsid w:val="0098699E"/>
    <w:rsid w:val="00986FC8"/>
    <w:rsid w:val="009908FF"/>
    <w:rsid w:val="009922C0"/>
    <w:rsid w:val="00992B3C"/>
    <w:rsid w:val="00995ADC"/>
    <w:rsid w:val="00997A1B"/>
    <w:rsid w:val="009A2D53"/>
    <w:rsid w:val="009A3C7F"/>
    <w:rsid w:val="009A4A7F"/>
    <w:rsid w:val="009A5CF1"/>
    <w:rsid w:val="009A5DEC"/>
    <w:rsid w:val="009A794A"/>
    <w:rsid w:val="009B216F"/>
    <w:rsid w:val="009B3A6A"/>
    <w:rsid w:val="009B42CD"/>
    <w:rsid w:val="009C073F"/>
    <w:rsid w:val="009C213F"/>
    <w:rsid w:val="009C2488"/>
    <w:rsid w:val="009C4F34"/>
    <w:rsid w:val="009C5870"/>
    <w:rsid w:val="009C5CFF"/>
    <w:rsid w:val="009D0CF0"/>
    <w:rsid w:val="009D1783"/>
    <w:rsid w:val="009D47D5"/>
    <w:rsid w:val="009D535A"/>
    <w:rsid w:val="009E194C"/>
    <w:rsid w:val="009E199D"/>
    <w:rsid w:val="009E262A"/>
    <w:rsid w:val="009E2C0C"/>
    <w:rsid w:val="009E4620"/>
    <w:rsid w:val="009E57B3"/>
    <w:rsid w:val="009E5DC9"/>
    <w:rsid w:val="009E643C"/>
    <w:rsid w:val="009E7215"/>
    <w:rsid w:val="009E72E3"/>
    <w:rsid w:val="009E777B"/>
    <w:rsid w:val="009E796B"/>
    <w:rsid w:val="009F04BC"/>
    <w:rsid w:val="00A01280"/>
    <w:rsid w:val="00A06C43"/>
    <w:rsid w:val="00A07779"/>
    <w:rsid w:val="00A105B0"/>
    <w:rsid w:val="00A119A0"/>
    <w:rsid w:val="00A1213A"/>
    <w:rsid w:val="00A12724"/>
    <w:rsid w:val="00A12CA0"/>
    <w:rsid w:val="00A13175"/>
    <w:rsid w:val="00A1412E"/>
    <w:rsid w:val="00A15427"/>
    <w:rsid w:val="00A157A7"/>
    <w:rsid w:val="00A21388"/>
    <w:rsid w:val="00A21C06"/>
    <w:rsid w:val="00A2379D"/>
    <w:rsid w:val="00A266E4"/>
    <w:rsid w:val="00A27471"/>
    <w:rsid w:val="00A31B90"/>
    <w:rsid w:val="00A34B9D"/>
    <w:rsid w:val="00A354D4"/>
    <w:rsid w:val="00A36BCF"/>
    <w:rsid w:val="00A371D4"/>
    <w:rsid w:val="00A37FE8"/>
    <w:rsid w:val="00A40605"/>
    <w:rsid w:val="00A43725"/>
    <w:rsid w:val="00A457BC"/>
    <w:rsid w:val="00A50281"/>
    <w:rsid w:val="00A50E6E"/>
    <w:rsid w:val="00A518E3"/>
    <w:rsid w:val="00A5281F"/>
    <w:rsid w:val="00A52FAA"/>
    <w:rsid w:val="00A54461"/>
    <w:rsid w:val="00A54E83"/>
    <w:rsid w:val="00A551FD"/>
    <w:rsid w:val="00A56E1A"/>
    <w:rsid w:val="00A61E61"/>
    <w:rsid w:val="00A65AAB"/>
    <w:rsid w:val="00A67AF8"/>
    <w:rsid w:val="00A700D7"/>
    <w:rsid w:val="00A720A1"/>
    <w:rsid w:val="00A751CA"/>
    <w:rsid w:val="00A8124B"/>
    <w:rsid w:val="00A81480"/>
    <w:rsid w:val="00A8213B"/>
    <w:rsid w:val="00A82550"/>
    <w:rsid w:val="00A8256D"/>
    <w:rsid w:val="00A9023C"/>
    <w:rsid w:val="00A90F3B"/>
    <w:rsid w:val="00A912F4"/>
    <w:rsid w:val="00AA1D55"/>
    <w:rsid w:val="00AA30D5"/>
    <w:rsid w:val="00AA3F78"/>
    <w:rsid w:val="00AB3364"/>
    <w:rsid w:val="00AB3A1F"/>
    <w:rsid w:val="00AB3B7A"/>
    <w:rsid w:val="00AB5BE5"/>
    <w:rsid w:val="00AB64BB"/>
    <w:rsid w:val="00AB78E8"/>
    <w:rsid w:val="00AC1364"/>
    <w:rsid w:val="00AC1748"/>
    <w:rsid w:val="00AC2E95"/>
    <w:rsid w:val="00AC37EC"/>
    <w:rsid w:val="00AC6A4D"/>
    <w:rsid w:val="00AD08F2"/>
    <w:rsid w:val="00AD2674"/>
    <w:rsid w:val="00AD5186"/>
    <w:rsid w:val="00AE21A0"/>
    <w:rsid w:val="00AE329A"/>
    <w:rsid w:val="00AE3325"/>
    <w:rsid w:val="00AE38F9"/>
    <w:rsid w:val="00AE485D"/>
    <w:rsid w:val="00AE5389"/>
    <w:rsid w:val="00AE73FA"/>
    <w:rsid w:val="00AE7465"/>
    <w:rsid w:val="00AE757A"/>
    <w:rsid w:val="00AF013D"/>
    <w:rsid w:val="00AF060F"/>
    <w:rsid w:val="00AF3F4F"/>
    <w:rsid w:val="00AF6694"/>
    <w:rsid w:val="00AF672C"/>
    <w:rsid w:val="00B021A6"/>
    <w:rsid w:val="00B02F48"/>
    <w:rsid w:val="00B03244"/>
    <w:rsid w:val="00B062DC"/>
    <w:rsid w:val="00B112CB"/>
    <w:rsid w:val="00B144E1"/>
    <w:rsid w:val="00B15369"/>
    <w:rsid w:val="00B15794"/>
    <w:rsid w:val="00B168AF"/>
    <w:rsid w:val="00B24D7B"/>
    <w:rsid w:val="00B25C94"/>
    <w:rsid w:val="00B25F9B"/>
    <w:rsid w:val="00B26071"/>
    <w:rsid w:val="00B35644"/>
    <w:rsid w:val="00B36670"/>
    <w:rsid w:val="00B425A5"/>
    <w:rsid w:val="00B46008"/>
    <w:rsid w:val="00B46AD2"/>
    <w:rsid w:val="00B50B01"/>
    <w:rsid w:val="00B52E73"/>
    <w:rsid w:val="00B549A9"/>
    <w:rsid w:val="00B60648"/>
    <w:rsid w:val="00B62575"/>
    <w:rsid w:val="00B64F87"/>
    <w:rsid w:val="00B80097"/>
    <w:rsid w:val="00B805FD"/>
    <w:rsid w:val="00B80B3B"/>
    <w:rsid w:val="00B80B7C"/>
    <w:rsid w:val="00B81A80"/>
    <w:rsid w:val="00B83FB3"/>
    <w:rsid w:val="00B864BD"/>
    <w:rsid w:val="00B91777"/>
    <w:rsid w:val="00B920C6"/>
    <w:rsid w:val="00B94B2E"/>
    <w:rsid w:val="00BA0769"/>
    <w:rsid w:val="00BA4F4D"/>
    <w:rsid w:val="00BA7F45"/>
    <w:rsid w:val="00BB0707"/>
    <w:rsid w:val="00BB0EA2"/>
    <w:rsid w:val="00BB2740"/>
    <w:rsid w:val="00BB3546"/>
    <w:rsid w:val="00BB3B8F"/>
    <w:rsid w:val="00BB61CA"/>
    <w:rsid w:val="00BB6752"/>
    <w:rsid w:val="00BC1DC8"/>
    <w:rsid w:val="00BC2623"/>
    <w:rsid w:val="00BC593E"/>
    <w:rsid w:val="00BC69EE"/>
    <w:rsid w:val="00BD4833"/>
    <w:rsid w:val="00BD50D2"/>
    <w:rsid w:val="00BD5424"/>
    <w:rsid w:val="00BE02F6"/>
    <w:rsid w:val="00BE4FAB"/>
    <w:rsid w:val="00BE7420"/>
    <w:rsid w:val="00BF2FD8"/>
    <w:rsid w:val="00BF45EC"/>
    <w:rsid w:val="00BF56F7"/>
    <w:rsid w:val="00BF5C40"/>
    <w:rsid w:val="00C002CC"/>
    <w:rsid w:val="00C01777"/>
    <w:rsid w:val="00C05B7A"/>
    <w:rsid w:val="00C10659"/>
    <w:rsid w:val="00C14553"/>
    <w:rsid w:val="00C15471"/>
    <w:rsid w:val="00C160C0"/>
    <w:rsid w:val="00C209A4"/>
    <w:rsid w:val="00C254C6"/>
    <w:rsid w:val="00C274B3"/>
    <w:rsid w:val="00C3051D"/>
    <w:rsid w:val="00C310F6"/>
    <w:rsid w:val="00C31E91"/>
    <w:rsid w:val="00C32076"/>
    <w:rsid w:val="00C32659"/>
    <w:rsid w:val="00C4025E"/>
    <w:rsid w:val="00C41C65"/>
    <w:rsid w:val="00C435B9"/>
    <w:rsid w:val="00C4460A"/>
    <w:rsid w:val="00C46214"/>
    <w:rsid w:val="00C56C21"/>
    <w:rsid w:val="00C57689"/>
    <w:rsid w:val="00C57696"/>
    <w:rsid w:val="00C576E2"/>
    <w:rsid w:val="00C60F14"/>
    <w:rsid w:val="00C62CF0"/>
    <w:rsid w:val="00C669D5"/>
    <w:rsid w:val="00C7045C"/>
    <w:rsid w:val="00C7052E"/>
    <w:rsid w:val="00C73521"/>
    <w:rsid w:val="00C74313"/>
    <w:rsid w:val="00C80E04"/>
    <w:rsid w:val="00C836AF"/>
    <w:rsid w:val="00C8478C"/>
    <w:rsid w:val="00C8673A"/>
    <w:rsid w:val="00C90520"/>
    <w:rsid w:val="00C907E4"/>
    <w:rsid w:val="00CA047D"/>
    <w:rsid w:val="00CA667F"/>
    <w:rsid w:val="00CB0CA7"/>
    <w:rsid w:val="00CB3F62"/>
    <w:rsid w:val="00CB4169"/>
    <w:rsid w:val="00CB51E9"/>
    <w:rsid w:val="00CB530D"/>
    <w:rsid w:val="00CB5BF9"/>
    <w:rsid w:val="00CC221B"/>
    <w:rsid w:val="00CC3A58"/>
    <w:rsid w:val="00CC3E00"/>
    <w:rsid w:val="00CC43E6"/>
    <w:rsid w:val="00CC4675"/>
    <w:rsid w:val="00CC72EF"/>
    <w:rsid w:val="00CD1A07"/>
    <w:rsid w:val="00CD2247"/>
    <w:rsid w:val="00CD4819"/>
    <w:rsid w:val="00CD4EF1"/>
    <w:rsid w:val="00CE09A9"/>
    <w:rsid w:val="00CE1D89"/>
    <w:rsid w:val="00CE2411"/>
    <w:rsid w:val="00CE248E"/>
    <w:rsid w:val="00CE4279"/>
    <w:rsid w:val="00CF0D17"/>
    <w:rsid w:val="00CF35AF"/>
    <w:rsid w:val="00CF4FCE"/>
    <w:rsid w:val="00CF7F1A"/>
    <w:rsid w:val="00D00AA4"/>
    <w:rsid w:val="00D062E3"/>
    <w:rsid w:val="00D10091"/>
    <w:rsid w:val="00D11313"/>
    <w:rsid w:val="00D17506"/>
    <w:rsid w:val="00D25441"/>
    <w:rsid w:val="00D25F4B"/>
    <w:rsid w:val="00D27176"/>
    <w:rsid w:val="00D27A3C"/>
    <w:rsid w:val="00D3029F"/>
    <w:rsid w:val="00D30795"/>
    <w:rsid w:val="00D34EB9"/>
    <w:rsid w:val="00D359BD"/>
    <w:rsid w:val="00D368C5"/>
    <w:rsid w:val="00D41DFA"/>
    <w:rsid w:val="00D50960"/>
    <w:rsid w:val="00D5197E"/>
    <w:rsid w:val="00D51CE0"/>
    <w:rsid w:val="00D52DDC"/>
    <w:rsid w:val="00D538FA"/>
    <w:rsid w:val="00D53B6A"/>
    <w:rsid w:val="00D540A8"/>
    <w:rsid w:val="00D54100"/>
    <w:rsid w:val="00D54F4F"/>
    <w:rsid w:val="00D551D9"/>
    <w:rsid w:val="00D5765E"/>
    <w:rsid w:val="00D60B5B"/>
    <w:rsid w:val="00D60BC3"/>
    <w:rsid w:val="00D61D55"/>
    <w:rsid w:val="00D61F7C"/>
    <w:rsid w:val="00D65BCC"/>
    <w:rsid w:val="00D719AC"/>
    <w:rsid w:val="00D730A0"/>
    <w:rsid w:val="00D75323"/>
    <w:rsid w:val="00D75C03"/>
    <w:rsid w:val="00D75C8B"/>
    <w:rsid w:val="00D777BD"/>
    <w:rsid w:val="00D805F0"/>
    <w:rsid w:val="00D82623"/>
    <w:rsid w:val="00D84BAF"/>
    <w:rsid w:val="00D85B0B"/>
    <w:rsid w:val="00D86D36"/>
    <w:rsid w:val="00D9022E"/>
    <w:rsid w:val="00D90F69"/>
    <w:rsid w:val="00D9191B"/>
    <w:rsid w:val="00D92036"/>
    <w:rsid w:val="00D954A3"/>
    <w:rsid w:val="00D960AA"/>
    <w:rsid w:val="00D978EE"/>
    <w:rsid w:val="00DA0804"/>
    <w:rsid w:val="00DA0BAC"/>
    <w:rsid w:val="00DA0F1E"/>
    <w:rsid w:val="00DA1056"/>
    <w:rsid w:val="00DA5ED3"/>
    <w:rsid w:val="00DA629F"/>
    <w:rsid w:val="00DA64B2"/>
    <w:rsid w:val="00DA7745"/>
    <w:rsid w:val="00DB0933"/>
    <w:rsid w:val="00DB0A4D"/>
    <w:rsid w:val="00DB1E88"/>
    <w:rsid w:val="00DB1F35"/>
    <w:rsid w:val="00DB2533"/>
    <w:rsid w:val="00DB352F"/>
    <w:rsid w:val="00DB356F"/>
    <w:rsid w:val="00DB389A"/>
    <w:rsid w:val="00DB48D7"/>
    <w:rsid w:val="00DB49D3"/>
    <w:rsid w:val="00DB4A17"/>
    <w:rsid w:val="00DC17D2"/>
    <w:rsid w:val="00DC4554"/>
    <w:rsid w:val="00DC50C6"/>
    <w:rsid w:val="00DD0181"/>
    <w:rsid w:val="00DD281C"/>
    <w:rsid w:val="00DD28EE"/>
    <w:rsid w:val="00DD4DD1"/>
    <w:rsid w:val="00DD5272"/>
    <w:rsid w:val="00DD6E8B"/>
    <w:rsid w:val="00DE0CDD"/>
    <w:rsid w:val="00DE0DF8"/>
    <w:rsid w:val="00DE1560"/>
    <w:rsid w:val="00DE2745"/>
    <w:rsid w:val="00DE4154"/>
    <w:rsid w:val="00DE55A4"/>
    <w:rsid w:val="00DF5287"/>
    <w:rsid w:val="00DF7154"/>
    <w:rsid w:val="00DF7F99"/>
    <w:rsid w:val="00E000FE"/>
    <w:rsid w:val="00E02B43"/>
    <w:rsid w:val="00E035DB"/>
    <w:rsid w:val="00E0795A"/>
    <w:rsid w:val="00E10C10"/>
    <w:rsid w:val="00E10E39"/>
    <w:rsid w:val="00E11AFD"/>
    <w:rsid w:val="00E12480"/>
    <w:rsid w:val="00E1318F"/>
    <w:rsid w:val="00E1701E"/>
    <w:rsid w:val="00E187AC"/>
    <w:rsid w:val="00E20A72"/>
    <w:rsid w:val="00E23425"/>
    <w:rsid w:val="00E238DD"/>
    <w:rsid w:val="00E2408F"/>
    <w:rsid w:val="00E265F4"/>
    <w:rsid w:val="00E31960"/>
    <w:rsid w:val="00E320AF"/>
    <w:rsid w:val="00E3274D"/>
    <w:rsid w:val="00E36928"/>
    <w:rsid w:val="00E42871"/>
    <w:rsid w:val="00E45F50"/>
    <w:rsid w:val="00E51347"/>
    <w:rsid w:val="00E51503"/>
    <w:rsid w:val="00E527BD"/>
    <w:rsid w:val="00E53FB3"/>
    <w:rsid w:val="00E540ED"/>
    <w:rsid w:val="00E61118"/>
    <w:rsid w:val="00E62916"/>
    <w:rsid w:val="00E62A4B"/>
    <w:rsid w:val="00E62CDD"/>
    <w:rsid w:val="00E638B7"/>
    <w:rsid w:val="00E66BFF"/>
    <w:rsid w:val="00E6759A"/>
    <w:rsid w:val="00E67AF2"/>
    <w:rsid w:val="00E7444B"/>
    <w:rsid w:val="00E770AB"/>
    <w:rsid w:val="00E80DDB"/>
    <w:rsid w:val="00E829BE"/>
    <w:rsid w:val="00E84224"/>
    <w:rsid w:val="00E8610F"/>
    <w:rsid w:val="00E86116"/>
    <w:rsid w:val="00E874DD"/>
    <w:rsid w:val="00E9261A"/>
    <w:rsid w:val="00E95BFA"/>
    <w:rsid w:val="00E95F36"/>
    <w:rsid w:val="00E97C4C"/>
    <w:rsid w:val="00E97FE6"/>
    <w:rsid w:val="00EA0B33"/>
    <w:rsid w:val="00EA37BC"/>
    <w:rsid w:val="00EA6284"/>
    <w:rsid w:val="00EB44DA"/>
    <w:rsid w:val="00EB4B9D"/>
    <w:rsid w:val="00EC02D2"/>
    <w:rsid w:val="00EC1398"/>
    <w:rsid w:val="00EC1EC9"/>
    <w:rsid w:val="00EC2653"/>
    <w:rsid w:val="00EC3433"/>
    <w:rsid w:val="00EC7326"/>
    <w:rsid w:val="00EC7E4B"/>
    <w:rsid w:val="00ED27EB"/>
    <w:rsid w:val="00ED2839"/>
    <w:rsid w:val="00ED28CB"/>
    <w:rsid w:val="00ED3DF6"/>
    <w:rsid w:val="00ED5B0B"/>
    <w:rsid w:val="00EE2BCE"/>
    <w:rsid w:val="00EE3001"/>
    <w:rsid w:val="00EE3687"/>
    <w:rsid w:val="00EE4D05"/>
    <w:rsid w:val="00EE7F4D"/>
    <w:rsid w:val="00EF2531"/>
    <w:rsid w:val="00EF2A07"/>
    <w:rsid w:val="00EF347C"/>
    <w:rsid w:val="00F0027A"/>
    <w:rsid w:val="00F010F9"/>
    <w:rsid w:val="00F019BE"/>
    <w:rsid w:val="00F01C3E"/>
    <w:rsid w:val="00F047D4"/>
    <w:rsid w:val="00F04B5E"/>
    <w:rsid w:val="00F122AF"/>
    <w:rsid w:val="00F14EC0"/>
    <w:rsid w:val="00F152EA"/>
    <w:rsid w:val="00F17302"/>
    <w:rsid w:val="00F206DF"/>
    <w:rsid w:val="00F20C4D"/>
    <w:rsid w:val="00F24BBF"/>
    <w:rsid w:val="00F25A82"/>
    <w:rsid w:val="00F32F79"/>
    <w:rsid w:val="00F3488F"/>
    <w:rsid w:val="00F34AF3"/>
    <w:rsid w:val="00F3676F"/>
    <w:rsid w:val="00F37CD7"/>
    <w:rsid w:val="00F4016A"/>
    <w:rsid w:val="00F4101C"/>
    <w:rsid w:val="00F46BCE"/>
    <w:rsid w:val="00F47218"/>
    <w:rsid w:val="00F5171F"/>
    <w:rsid w:val="00F53D98"/>
    <w:rsid w:val="00F60090"/>
    <w:rsid w:val="00F6065F"/>
    <w:rsid w:val="00F60667"/>
    <w:rsid w:val="00F631BF"/>
    <w:rsid w:val="00F64A28"/>
    <w:rsid w:val="00F65E0F"/>
    <w:rsid w:val="00F66720"/>
    <w:rsid w:val="00F67AA3"/>
    <w:rsid w:val="00F73007"/>
    <w:rsid w:val="00F80012"/>
    <w:rsid w:val="00F8019F"/>
    <w:rsid w:val="00F801DF"/>
    <w:rsid w:val="00F82B3E"/>
    <w:rsid w:val="00F83697"/>
    <w:rsid w:val="00F838E5"/>
    <w:rsid w:val="00F8581B"/>
    <w:rsid w:val="00F865B0"/>
    <w:rsid w:val="00F921D5"/>
    <w:rsid w:val="00F92CC0"/>
    <w:rsid w:val="00F9472B"/>
    <w:rsid w:val="00F963D1"/>
    <w:rsid w:val="00FA2372"/>
    <w:rsid w:val="00FA38A8"/>
    <w:rsid w:val="00FA40E7"/>
    <w:rsid w:val="00FA4313"/>
    <w:rsid w:val="00FA4F7E"/>
    <w:rsid w:val="00FA7CD9"/>
    <w:rsid w:val="00FA7DCA"/>
    <w:rsid w:val="00FB2039"/>
    <w:rsid w:val="00FB33A3"/>
    <w:rsid w:val="00FC3F61"/>
    <w:rsid w:val="00FD2ABC"/>
    <w:rsid w:val="00FD2B37"/>
    <w:rsid w:val="00FD356B"/>
    <w:rsid w:val="00FD3A65"/>
    <w:rsid w:val="00FD732F"/>
    <w:rsid w:val="00FD75A9"/>
    <w:rsid w:val="00FD7F43"/>
    <w:rsid w:val="00FE0088"/>
    <w:rsid w:val="00FE0670"/>
    <w:rsid w:val="00FE1706"/>
    <w:rsid w:val="00FE1C11"/>
    <w:rsid w:val="00FE7189"/>
    <w:rsid w:val="00FE7A03"/>
    <w:rsid w:val="00FF02D6"/>
    <w:rsid w:val="00FF0897"/>
    <w:rsid w:val="00FF2F2C"/>
    <w:rsid w:val="00FF3B0E"/>
    <w:rsid w:val="00FF5CAB"/>
    <w:rsid w:val="00FF6F99"/>
    <w:rsid w:val="0275BCD9"/>
    <w:rsid w:val="02B0D86D"/>
    <w:rsid w:val="049E5DF3"/>
    <w:rsid w:val="0731F9E2"/>
    <w:rsid w:val="07E6095B"/>
    <w:rsid w:val="0A699AA4"/>
    <w:rsid w:val="0E8F314A"/>
    <w:rsid w:val="0ECF1365"/>
    <w:rsid w:val="0EE6FEE1"/>
    <w:rsid w:val="0FD2CC14"/>
    <w:rsid w:val="1074F78E"/>
    <w:rsid w:val="11055A78"/>
    <w:rsid w:val="1109F25F"/>
    <w:rsid w:val="11719E06"/>
    <w:rsid w:val="135726B4"/>
    <w:rsid w:val="143B1C8C"/>
    <w:rsid w:val="15349405"/>
    <w:rsid w:val="15FDB756"/>
    <w:rsid w:val="162623AF"/>
    <w:rsid w:val="1A3140D0"/>
    <w:rsid w:val="1AAA5E10"/>
    <w:rsid w:val="1C5B8F61"/>
    <w:rsid w:val="1C7C3CD6"/>
    <w:rsid w:val="1D4E2F36"/>
    <w:rsid w:val="1DCF4D0A"/>
    <w:rsid w:val="1E91F9C6"/>
    <w:rsid w:val="224CD8EB"/>
    <w:rsid w:val="23234A40"/>
    <w:rsid w:val="24242F60"/>
    <w:rsid w:val="2486ACAB"/>
    <w:rsid w:val="24AB2E64"/>
    <w:rsid w:val="25325181"/>
    <w:rsid w:val="26227D0C"/>
    <w:rsid w:val="262F1349"/>
    <w:rsid w:val="2646FEC5"/>
    <w:rsid w:val="269D0BAB"/>
    <w:rsid w:val="2716E20F"/>
    <w:rsid w:val="2846F72B"/>
    <w:rsid w:val="2966B40B"/>
    <w:rsid w:val="29D4AC6D"/>
    <w:rsid w:val="2A348ABA"/>
    <w:rsid w:val="2B02846C"/>
    <w:rsid w:val="2B1E895C"/>
    <w:rsid w:val="2BEA5332"/>
    <w:rsid w:val="2CC3F99D"/>
    <w:rsid w:val="2DB856AC"/>
    <w:rsid w:val="2EBF9E01"/>
    <w:rsid w:val="2F65BBF3"/>
    <w:rsid w:val="2FA3B7C2"/>
    <w:rsid w:val="2FDDFD03"/>
    <w:rsid w:val="31D63911"/>
    <w:rsid w:val="31F24A84"/>
    <w:rsid w:val="34505C3A"/>
    <w:rsid w:val="360B2207"/>
    <w:rsid w:val="36A28664"/>
    <w:rsid w:val="37774A42"/>
    <w:rsid w:val="380BC05D"/>
    <w:rsid w:val="39F5544F"/>
    <w:rsid w:val="3A41F3E6"/>
    <w:rsid w:val="3DC5BA2C"/>
    <w:rsid w:val="3FF2F920"/>
    <w:rsid w:val="4165C288"/>
    <w:rsid w:val="419E8566"/>
    <w:rsid w:val="437C862F"/>
    <w:rsid w:val="4498CB63"/>
    <w:rsid w:val="4A298E6F"/>
    <w:rsid w:val="4EA686A7"/>
    <w:rsid w:val="4F4360F8"/>
    <w:rsid w:val="4FB2FBC9"/>
    <w:rsid w:val="50FCB0BB"/>
    <w:rsid w:val="514931EC"/>
    <w:rsid w:val="5340AE34"/>
    <w:rsid w:val="54BB749A"/>
    <w:rsid w:val="54FADB7D"/>
    <w:rsid w:val="573ADF65"/>
    <w:rsid w:val="5B2713D8"/>
    <w:rsid w:val="5B366BE7"/>
    <w:rsid w:val="5D2EFC47"/>
    <w:rsid w:val="5DA4EF4F"/>
    <w:rsid w:val="5E18184C"/>
    <w:rsid w:val="61A12319"/>
    <w:rsid w:val="6239E78E"/>
    <w:rsid w:val="6462E178"/>
    <w:rsid w:val="67B1A9C2"/>
    <w:rsid w:val="67B848BF"/>
    <w:rsid w:val="6923830F"/>
    <w:rsid w:val="69C36E8D"/>
    <w:rsid w:val="69EEB190"/>
    <w:rsid w:val="6AED4012"/>
    <w:rsid w:val="6B3BF117"/>
    <w:rsid w:val="6B5AA5B4"/>
    <w:rsid w:val="6D3AB8C2"/>
    <w:rsid w:val="6E4D1BA3"/>
    <w:rsid w:val="6E8C1DF9"/>
    <w:rsid w:val="6F08D6AC"/>
    <w:rsid w:val="7305A948"/>
    <w:rsid w:val="7334D702"/>
    <w:rsid w:val="7446DA37"/>
    <w:rsid w:val="753B2B6D"/>
    <w:rsid w:val="76B0A58E"/>
    <w:rsid w:val="78827F82"/>
    <w:rsid w:val="790122FD"/>
    <w:rsid w:val="7B8E8308"/>
    <w:rsid w:val="7BF726CF"/>
    <w:rsid w:val="7D2E1A49"/>
    <w:rsid w:val="7D832A15"/>
    <w:rsid w:val="7D92F730"/>
    <w:rsid w:val="7DD49420"/>
    <w:rsid w:val="7E28014E"/>
    <w:rsid w:val="7F2EC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6CD8C"/>
  <w15:chartTrackingRefBased/>
  <w15:docId w15:val="{7214D1E0-8667-492E-9DED-73C9E31C0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18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D0181"/>
    <w:pPr>
      <w:keepNext/>
      <w:spacing w:line="480" w:lineRule="auto"/>
      <w:jc w:val="both"/>
      <w:outlineLvl w:val="0"/>
    </w:pPr>
    <w:rPr>
      <w:i/>
      <w:iCs/>
    </w:rPr>
  </w:style>
  <w:style w:type="paragraph" w:styleId="Heading2">
    <w:name w:val="heading 2"/>
    <w:basedOn w:val="Normal"/>
    <w:next w:val="Normal"/>
    <w:link w:val="Heading2Char"/>
    <w:uiPriority w:val="99"/>
    <w:qFormat/>
    <w:rsid w:val="00DD018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0F203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qFormat/>
    <w:rsid w:val="00DD0181"/>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0181"/>
    <w:rPr>
      <w:rFonts w:ascii="Times New Roman" w:eastAsia="Times New Roman" w:hAnsi="Times New Roman" w:cs="Times New Roman"/>
      <w:i/>
      <w:iCs/>
      <w:sz w:val="24"/>
      <w:szCs w:val="24"/>
    </w:rPr>
  </w:style>
  <w:style w:type="character" w:customStyle="1" w:styleId="Heading2Char">
    <w:name w:val="Heading 2 Char"/>
    <w:basedOn w:val="DefaultParagraphFont"/>
    <w:link w:val="Heading2"/>
    <w:uiPriority w:val="99"/>
    <w:rsid w:val="00DD0181"/>
    <w:rPr>
      <w:rFonts w:ascii="Arial" w:eastAsia="Times New Roman" w:hAnsi="Arial" w:cs="Arial"/>
      <w:b/>
      <w:bCs/>
      <w:i/>
      <w:iCs/>
      <w:sz w:val="28"/>
      <w:szCs w:val="28"/>
    </w:rPr>
  </w:style>
  <w:style w:type="character" w:customStyle="1" w:styleId="Heading4Char">
    <w:name w:val="Heading 4 Char"/>
    <w:basedOn w:val="DefaultParagraphFont"/>
    <w:link w:val="Heading4"/>
    <w:rsid w:val="00DD0181"/>
    <w:rPr>
      <w:rFonts w:ascii="Times New Roman" w:eastAsia="Times New Roman" w:hAnsi="Times New Roman" w:cs="Times New Roman"/>
      <w:b/>
      <w:bCs/>
      <w:sz w:val="28"/>
      <w:szCs w:val="28"/>
    </w:rPr>
  </w:style>
  <w:style w:type="paragraph" w:styleId="FootnoteText">
    <w:name w:val="footnote text"/>
    <w:aliases w:val="FT"/>
    <w:basedOn w:val="Normal"/>
    <w:link w:val="FootnoteTextChar"/>
    <w:uiPriority w:val="99"/>
    <w:qFormat/>
    <w:rsid w:val="00DD0181"/>
    <w:rPr>
      <w:sz w:val="20"/>
      <w:szCs w:val="20"/>
    </w:rPr>
  </w:style>
  <w:style w:type="character" w:customStyle="1" w:styleId="FootnoteTextChar">
    <w:name w:val="Footnote Text Char"/>
    <w:aliases w:val="FT Char"/>
    <w:basedOn w:val="DefaultParagraphFont"/>
    <w:link w:val="FootnoteText"/>
    <w:uiPriority w:val="99"/>
    <w:rsid w:val="00DD0181"/>
    <w:rPr>
      <w:rFonts w:ascii="Times New Roman" w:eastAsia="Times New Roman" w:hAnsi="Times New Roman" w:cs="Times New Roman"/>
      <w:sz w:val="20"/>
      <w:szCs w:val="20"/>
    </w:rPr>
  </w:style>
  <w:style w:type="character" w:styleId="CommentReference">
    <w:name w:val="annotation reference"/>
    <w:uiPriority w:val="99"/>
    <w:semiHidden/>
    <w:unhideWhenUsed/>
    <w:rsid w:val="00DD0181"/>
    <w:rPr>
      <w:sz w:val="16"/>
      <w:szCs w:val="16"/>
    </w:rPr>
  </w:style>
  <w:style w:type="paragraph" w:styleId="CommentText">
    <w:name w:val="annotation text"/>
    <w:basedOn w:val="Normal"/>
    <w:link w:val="CommentTextChar"/>
    <w:uiPriority w:val="99"/>
    <w:semiHidden/>
    <w:unhideWhenUsed/>
    <w:rsid w:val="00DD0181"/>
    <w:rPr>
      <w:sz w:val="20"/>
      <w:szCs w:val="20"/>
    </w:rPr>
  </w:style>
  <w:style w:type="character" w:customStyle="1" w:styleId="CommentTextChar">
    <w:name w:val="Comment Text Char"/>
    <w:basedOn w:val="DefaultParagraphFont"/>
    <w:link w:val="CommentText"/>
    <w:uiPriority w:val="99"/>
    <w:semiHidden/>
    <w:rsid w:val="00DD0181"/>
    <w:rPr>
      <w:rFonts w:ascii="Times New Roman" w:eastAsia="Times New Roman" w:hAnsi="Times New Roman" w:cs="Times New Roman"/>
      <w:sz w:val="20"/>
      <w:szCs w:val="20"/>
    </w:rPr>
  </w:style>
  <w:style w:type="paragraph" w:styleId="ListParagraph">
    <w:name w:val="List Paragraph"/>
    <w:basedOn w:val="Normal"/>
    <w:uiPriority w:val="34"/>
    <w:qFormat/>
    <w:rsid w:val="006035A6"/>
    <w:pPr>
      <w:ind w:left="720"/>
      <w:contextualSpacing/>
    </w:pPr>
  </w:style>
  <w:style w:type="paragraph" w:styleId="Header">
    <w:name w:val="header"/>
    <w:basedOn w:val="Normal"/>
    <w:link w:val="HeaderChar"/>
    <w:uiPriority w:val="99"/>
    <w:unhideWhenUsed/>
    <w:rsid w:val="00F64A28"/>
    <w:pPr>
      <w:tabs>
        <w:tab w:val="center" w:pos="4680"/>
        <w:tab w:val="right" w:pos="9360"/>
      </w:tabs>
    </w:pPr>
  </w:style>
  <w:style w:type="character" w:customStyle="1" w:styleId="HeaderChar">
    <w:name w:val="Header Char"/>
    <w:basedOn w:val="DefaultParagraphFont"/>
    <w:link w:val="Header"/>
    <w:uiPriority w:val="99"/>
    <w:rsid w:val="00F64A2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64A28"/>
    <w:pPr>
      <w:tabs>
        <w:tab w:val="center" w:pos="4680"/>
        <w:tab w:val="right" w:pos="9360"/>
      </w:tabs>
    </w:pPr>
  </w:style>
  <w:style w:type="character" w:customStyle="1" w:styleId="FooterChar">
    <w:name w:val="Footer Char"/>
    <w:basedOn w:val="DefaultParagraphFont"/>
    <w:link w:val="Footer"/>
    <w:uiPriority w:val="99"/>
    <w:rsid w:val="00F64A28"/>
    <w:rPr>
      <w:rFonts w:ascii="Times New Roman" w:eastAsia="Times New Roman" w:hAnsi="Times New Roman" w:cs="Times New Roman"/>
      <w:sz w:val="24"/>
      <w:szCs w:val="24"/>
    </w:rPr>
  </w:style>
  <w:style w:type="paragraph" w:styleId="BodyText">
    <w:name w:val="Body Text"/>
    <w:basedOn w:val="Normal"/>
    <w:link w:val="BodyTextChar"/>
    <w:rsid w:val="00EA0B33"/>
    <w:pPr>
      <w:spacing w:line="480" w:lineRule="auto"/>
      <w:jc w:val="both"/>
    </w:pPr>
  </w:style>
  <w:style w:type="character" w:customStyle="1" w:styleId="BodyTextChar">
    <w:name w:val="Body Text Char"/>
    <w:basedOn w:val="DefaultParagraphFont"/>
    <w:link w:val="BodyText"/>
    <w:rsid w:val="00EA0B33"/>
    <w:rPr>
      <w:rFonts w:ascii="Times New Roman" w:eastAsia="Times New Roman" w:hAnsi="Times New Roman" w:cs="Times New Roman"/>
      <w:sz w:val="24"/>
      <w:szCs w:val="24"/>
    </w:rPr>
  </w:style>
  <w:style w:type="paragraph" w:styleId="NormalWeb">
    <w:name w:val="Normal (Web)"/>
    <w:basedOn w:val="Normal"/>
    <w:uiPriority w:val="99"/>
    <w:unhideWhenUsed/>
    <w:rsid w:val="00EA0B33"/>
    <w:pPr>
      <w:spacing w:before="100" w:beforeAutospacing="1" w:after="100" w:afterAutospacing="1"/>
    </w:pPr>
  </w:style>
  <w:style w:type="paragraph" w:styleId="NoSpacing">
    <w:name w:val="No Spacing"/>
    <w:uiPriority w:val="1"/>
    <w:qFormat/>
    <w:rsid w:val="00EA0B33"/>
    <w:pPr>
      <w:spacing w:after="0" w:line="240" w:lineRule="auto"/>
    </w:pPr>
    <w:rPr>
      <w:rFonts w:ascii="Calibri" w:eastAsia="Times New Roman" w:hAnsi="Calibri" w:cs="Times New Roman"/>
    </w:rPr>
  </w:style>
  <w:style w:type="paragraph" w:styleId="CommentSubject">
    <w:name w:val="annotation subject"/>
    <w:basedOn w:val="CommentText"/>
    <w:next w:val="CommentText"/>
    <w:link w:val="CommentSubjectChar"/>
    <w:uiPriority w:val="99"/>
    <w:semiHidden/>
    <w:unhideWhenUsed/>
    <w:rsid w:val="0085435A"/>
    <w:rPr>
      <w:b/>
      <w:bCs/>
    </w:rPr>
  </w:style>
  <w:style w:type="character" w:customStyle="1" w:styleId="CommentSubjectChar">
    <w:name w:val="Comment Subject Char"/>
    <w:basedOn w:val="CommentTextChar"/>
    <w:link w:val="CommentSubject"/>
    <w:uiPriority w:val="99"/>
    <w:semiHidden/>
    <w:rsid w:val="0085435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54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35A"/>
    <w:rPr>
      <w:rFonts w:ascii="Segoe UI" w:eastAsia="Times New Roman" w:hAnsi="Segoe UI" w:cs="Segoe UI"/>
      <w:sz w:val="18"/>
      <w:szCs w:val="18"/>
    </w:rPr>
  </w:style>
  <w:style w:type="paragraph" w:styleId="Revision">
    <w:name w:val="Revision"/>
    <w:hidden/>
    <w:uiPriority w:val="99"/>
    <w:semiHidden/>
    <w:rsid w:val="000F6123"/>
    <w:pPr>
      <w:spacing w:after="0"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unhideWhenUsed/>
    <w:rsid w:val="008B4E79"/>
    <w:rPr>
      <w:vertAlign w:val="superscript"/>
    </w:rPr>
  </w:style>
  <w:style w:type="character" w:styleId="Hyperlink">
    <w:name w:val="Hyperlink"/>
    <w:basedOn w:val="DefaultParagraphFont"/>
    <w:uiPriority w:val="99"/>
    <w:unhideWhenUsed/>
    <w:rsid w:val="00520F8E"/>
    <w:rPr>
      <w:color w:val="0563C1" w:themeColor="hyperlink"/>
      <w:u w:val="single"/>
    </w:rPr>
  </w:style>
  <w:style w:type="character" w:styleId="FollowedHyperlink">
    <w:name w:val="FollowedHyperlink"/>
    <w:basedOn w:val="DefaultParagraphFont"/>
    <w:uiPriority w:val="99"/>
    <w:semiHidden/>
    <w:unhideWhenUsed/>
    <w:rsid w:val="00966FCA"/>
    <w:rPr>
      <w:color w:val="954F72" w:themeColor="followedHyperlink"/>
      <w:u w:val="single"/>
    </w:rPr>
  </w:style>
  <w:style w:type="character" w:styleId="LineNumber">
    <w:name w:val="line number"/>
    <w:basedOn w:val="DefaultParagraphFont"/>
    <w:uiPriority w:val="99"/>
    <w:semiHidden/>
    <w:unhideWhenUsed/>
    <w:rsid w:val="00CB530D"/>
  </w:style>
  <w:style w:type="table" w:styleId="TableGrid">
    <w:name w:val="Table Grid"/>
    <w:basedOn w:val="TableNormal"/>
    <w:uiPriority w:val="39"/>
    <w:rsid w:val="00D86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F2036"/>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semiHidden/>
    <w:unhideWhenUsed/>
    <w:qFormat/>
    <w:rsid w:val="00246CB5"/>
    <w:pPr>
      <w:spacing w:after="200"/>
    </w:pPr>
    <w:rPr>
      <w:i/>
      <w:iCs/>
      <w:color w:val="44546A" w:themeColor="text2"/>
      <w:sz w:val="18"/>
      <w:szCs w:val="18"/>
    </w:rPr>
  </w:style>
  <w:style w:type="character" w:styleId="Emphasis">
    <w:name w:val="Emphasis"/>
    <w:basedOn w:val="DefaultParagraphFont"/>
    <w:uiPriority w:val="20"/>
    <w:qFormat/>
    <w:rsid w:val="00F65E0F"/>
    <w:rPr>
      <w:i/>
      <w:iCs/>
    </w:rPr>
  </w:style>
  <w:style w:type="paragraph" w:customStyle="1" w:styleId="Default">
    <w:name w:val="Default"/>
    <w:rsid w:val="003476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795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5405">
      <w:bodyDiv w:val="1"/>
      <w:marLeft w:val="0"/>
      <w:marRight w:val="0"/>
      <w:marTop w:val="0"/>
      <w:marBottom w:val="0"/>
      <w:divBdr>
        <w:top w:val="none" w:sz="0" w:space="0" w:color="auto"/>
        <w:left w:val="none" w:sz="0" w:space="0" w:color="auto"/>
        <w:bottom w:val="none" w:sz="0" w:space="0" w:color="auto"/>
        <w:right w:val="none" w:sz="0" w:space="0" w:color="auto"/>
      </w:divBdr>
    </w:div>
    <w:div w:id="51537928">
      <w:bodyDiv w:val="1"/>
      <w:marLeft w:val="0"/>
      <w:marRight w:val="0"/>
      <w:marTop w:val="0"/>
      <w:marBottom w:val="0"/>
      <w:divBdr>
        <w:top w:val="none" w:sz="0" w:space="0" w:color="auto"/>
        <w:left w:val="none" w:sz="0" w:space="0" w:color="auto"/>
        <w:bottom w:val="none" w:sz="0" w:space="0" w:color="auto"/>
        <w:right w:val="none" w:sz="0" w:space="0" w:color="auto"/>
      </w:divBdr>
    </w:div>
    <w:div w:id="103237452">
      <w:bodyDiv w:val="1"/>
      <w:marLeft w:val="0"/>
      <w:marRight w:val="0"/>
      <w:marTop w:val="0"/>
      <w:marBottom w:val="0"/>
      <w:divBdr>
        <w:top w:val="none" w:sz="0" w:space="0" w:color="auto"/>
        <w:left w:val="none" w:sz="0" w:space="0" w:color="auto"/>
        <w:bottom w:val="none" w:sz="0" w:space="0" w:color="auto"/>
        <w:right w:val="none" w:sz="0" w:space="0" w:color="auto"/>
      </w:divBdr>
    </w:div>
    <w:div w:id="157618445">
      <w:bodyDiv w:val="1"/>
      <w:marLeft w:val="0"/>
      <w:marRight w:val="0"/>
      <w:marTop w:val="0"/>
      <w:marBottom w:val="0"/>
      <w:divBdr>
        <w:top w:val="none" w:sz="0" w:space="0" w:color="auto"/>
        <w:left w:val="none" w:sz="0" w:space="0" w:color="auto"/>
        <w:bottom w:val="none" w:sz="0" w:space="0" w:color="auto"/>
        <w:right w:val="none" w:sz="0" w:space="0" w:color="auto"/>
      </w:divBdr>
    </w:div>
    <w:div w:id="169376139">
      <w:bodyDiv w:val="1"/>
      <w:marLeft w:val="0"/>
      <w:marRight w:val="0"/>
      <w:marTop w:val="0"/>
      <w:marBottom w:val="0"/>
      <w:divBdr>
        <w:top w:val="none" w:sz="0" w:space="0" w:color="auto"/>
        <w:left w:val="none" w:sz="0" w:space="0" w:color="auto"/>
        <w:bottom w:val="none" w:sz="0" w:space="0" w:color="auto"/>
        <w:right w:val="none" w:sz="0" w:space="0" w:color="auto"/>
      </w:divBdr>
    </w:div>
    <w:div w:id="190732619">
      <w:bodyDiv w:val="1"/>
      <w:marLeft w:val="0"/>
      <w:marRight w:val="0"/>
      <w:marTop w:val="0"/>
      <w:marBottom w:val="0"/>
      <w:divBdr>
        <w:top w:val="none" w:sz="0" w:space="0" w:color="auto"/>
        <w:left w:val="none" w:sz="0" w:space="0" w:color="auto"/>
        <w:bottom w:val="none" w:sz="0" w:space="0" w:color="auto"/>
        <w:right w:val="none" w:sz="0" w:space="0" w:color="auto"/>
      </w:divBdr>
    </w:div>
    <w:div w:id="203300387">
      <w:bodyDiv w:val="1"/>
      <w:marLeft w:val="0"/>
      <w:marRight w:val="0"/>
      <w:marTop w:val="0"/>
      <w:marBottom w:val="0"/>
      <w:divBdr>
        <w:top w:val="none" w:sz="0" w:space="0" w:color="auto"/>
        <w:left w:val="none" w:sz="0" w:space="0" w:color="auto"/>
        <w:bottom w:val="none" w:sz="0" w:space="0" w:color="auto"/>
        <w:right w:val="none" w:sz="0" w:space="0" w:color="auto"/>
      </w:divBdr>
    </w:div>
    <w:div w:id="295718335">
      <w:bodyDiv w:val="1"/>
      <w:marLeft w:val="0"/>
      <w:marRight w:val="0"/>
      <w:marTop w:val="0"/>
      <w:marBottom w:val="0"/>
      <w:divBdr>
        <w:top w:val="none" w:sz="0" w:space="0" w:color="auto"/>
        <w:left w:val="none" w:sz="0" w:space="0" w:color="auto"/>
        <w:bottom w:val="none" w:sz="0" w:space="0" w:color="auto"/>
        <w:right w:val="none" w:sz="0" w:space="0" w:color="auto"/>
      </w:divBdr>
    </w:div>
    <w:div w:id="330723211">
      <w:bodyDiv w:val="1"/>
      <w:marLeft w:val="0"/>
      <w:marRight w:val="0"/>
      <w:marTop w:val="0"/>
      <w:marBottom w:val="0"/>
      <w:divBdr>
        <w:top w:val="none" w:sz="0" w:space="0" w:color="auto"/>
        <w:left w:val="none" w:sz="0" w:space="0" w:color="auto"/>
        <w:bottom w:val="none" w:sz="0" w:space="0" w:color="auto"/>
        <w:right w:val="none" w:sz="0" w:space="0" w:color="auto"/>
      </w:divBdr>
    </w:div>
    <w:div w:id="444617694">
      <w:bodyDiv w:val="1"/>
      <w:marLeft w:val="0"/>
      <w:marRight w:val="0"/>
      <w:marTop w:val="0"/>
      <w:marBottom w:val="0"/>
      <w:divBdr>
        <w:top w:val="none" w:sz="0" w:space="0" w:color="auto"/>
        <w:left w:val="none" w:sz="0" w:space="0" w:color="auto"/>
        <w:bottom w:val="none" w:sz="0" w:space="0" w:color="auto"/>
        <w:right w:val="none" w:sz="0" w:space="0" w:color="auto"/>
      </w:divBdr>
    </w:div>
    <w:div w:id="471407258">
      <w:bodyDiv w:val="1"/>
      <w:marLeft w:val="0"/>
      <w:marRight w:val="0"/>
      <w:marTop w:val="0"/>
      <w:marBottom w:val="0"/>
      <w:divBdr>
        <w:top w:val="none" w:sz="0" w:space="0" w:color="auto"/>
        <w:left w:val="none" w:sz="0" w:space="0" w:color="auto"/>
        <w:bottom w:val="none" w:sz="0" w:space="0" w:color="auto"/>
        <w:right w:val="none" w:sz="0" w:space="0" w:color="auto"/>
      </w:divBdr>
    </w:div>
    <w:div w:id="473640505">
      <w:bodyDiv w:val="1"/>
      <w:marLeft w:val="0"/>
      <w:marRight w:val="0"/>
      <w:marTop w:val="0"/>
      <w:marBottom w:val="0"/>
      <w:divBdr>
        <w:top w:val="none" w:sz="0" w:space="0" w:color="auto"/>
        <w:left w:val="none" w:sz="0" w:space="0" w:color="auto"/>
        <w:bottom w:val="none" w:sz="0" w:space="0" w:color="auto"/>
        <w:right w:val="none" w:sz="0" w:space="0" w:color="auto"/>
      </w:divBdr>
    </w:div>
    <w:div w:id="539175295">
      <w:bodyDiv w:val="1"/>
      <w:marLeft w:val="0"/>
      <w:marRight w:val="0"/>
      <w:marTop w:val="0"/>
      <w:marBottom w:val="0"/>
      <w:divBdr>
        <w:top w:val="none" w:sz="0" w:space="0" w:color="auto"/>
        <w:left w:val="none" w:sz="0" w:space="0" w:color="auto"/>
        <w:bottom w:val="none" w:sz="0" w:space="0" w:color="auto"/>
        <w:right w:val="none" w:sz="0" w:space="0" w:color="auto"/>
      </w:divBdr>
    </w:div>
    <w:div w:id="580144012">
      <w:bodyDiv w:val="1"/>
      <w:marLeft w:val="0"/>
      <w:marRight w:val="0"/>
      <w:marTop w:val="0"/>
      <w:marBottom w:val="0"/>
      <w:divBdr>
        <w:top w:val="none" w:sz="0" w:space="0" w:color="auto"/>
        <w:left w:val="none" w:sz="0" w:space="0" w:color="auto"/>
        <w:bottom w:val="none" w:sz="0" w:space="0" w:color="auto"/>
        <w:right w:val="none" w:sz="0" w:space="0" w:color="auto"/>
      </w:divBdr>
      <w:divsChild>
        <w:div w:id="9985329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612857421">
      <w:bodyDiv w:val="1"/>
      <w:marLeft w:val="0"/>
      <w:marRight w:val="0"/>
      <w:marTop w:val="0"/>
      <w:marBottom w:val="0"/>
      <w:divBdr>
        <w:top w:val="none" w:sz="0" w:space="0" w:color="auto"/>
        <w:left w:val="none" w:sz="0" w:space="0" w:color="auto"/>
        <w:bottom w:val="none" w:sz="0" w:space="0" w:color="auto"/>
        <w:right w:val="none" w:sz="0" w:space="0" w:color="auto"/>
      </w:divBdr>
    </w:div>
    <w:div w:id="667440276">
      <w:bodyDiv w:val="1"/>
      <w:marLeft w:val="0"/>
      <w:marRight w:val="0"/>
      <w:marTop w:val="0"/>
      <w:marBottom w:val="0"/>
      <w:divBdr>
        <w:top w:val="none" w:sz="0" w:space="0" w:color="auto"/>
        <w:left w:val="none" w:sz="0" w:space="0" w:color="auto"/>
        <w:bottom w:val="none" w:sz="0" w:space="0" w:color="auto"/>
        <w:right w:val="none" w:sz="0" w:space="0" w:color="auto"/>
      </w:divBdr>
    </w:div>
    <w:div w:id="734546915">
      <w:bodyDiv w:val="1"/>
      <w:marLeft w:val="0"/>
      <w:marRight w:val="0"/>
      <w:marTop w:val="0"/>
      <w:marBottom w:val="0"/>
      <w:divBdr>
        <w:top w:val="none" w:sz="0" w:space="0" w:color="auto"/>
        <w:left w:val="none" w:sz="0" w:space="0" w:color="auto"/>
        <w:bottom w:val="none" w:sz="0" w:space="0" w:color="auto"/>
        <w:right w:val="none" w:sz="0" w:space="0" w:color="auto"/>
      </w:divBdr>
      <w:divsChild>
        <w:div w:id="863204518">
          <w:marLeft w:val="0"/>
          <w:marRight w:val="0"/>
          <w:marTop w:val="0"/>
          <w:marBottom w:val="0"/>
          <w:divBdr>
            <w:top w:val="none" w:sz="0" w:space="0" w:color="auto"/>
            <w:left w:val="none" w:sz="0" w:space="0" w:color="auto"/>
            <w:bottom w:val="none" w:sz="0" w:space="0" w:color="auto"/>
            <w:right w:val="none" w:sz="0" w:space="0" w:color="auto"/>
          </w:divBdr>
        </w:div>
      </w:divsChild>
    </w:div>
    <w:div w:id="804928733">
      <w:bodyDiv w:val="1"/>
      <w:marLeft w:val="0"/>
      <w:marRight w:val="0"/>
      <w:marTop w:val="0"/>
      <w:marBottom w:val="0"/>
      <w:divBdr>
        <w:top w:val="none" w:sz="0" w:space="0" w:color="auto"/>
        <w:left w:val="none" w:sz="0" w:space="0" w:color="auto"/>
        <w:bottom w:val="none" w:sz="0" w:space="0" w:color="auto"/>
        <w:right w:val="none" w:sz="0" w:space="0" w:color="auto"/>
      </w:divBdr>
    </w:div>
    <w:div w:id="808746676">
      <w:bodyDiv w:val="1"/>
      <w:marLeft w:val="0"/>
      <w:marRight w:val="0"/>
      <w:marTop w:val="0"/>
      <w:marBottom w:val="0"/>
      <w:divBdr>
        <w:top w:val="none" w:sz="0" w:space="0" w:color="auto"/>
        <w:left w:val="none" w:sz="0" w:space="0" w:color="auto"/>
        <w:bottom w:val="none" w:sz="0" w:space="0" w:color="auto"/>
        <w:right w:val="none" w:sz="0" w:space="0" w:color="auto"/>
      </w:divBdr>
    </w:div>
    <w:div w:id="829292855">
      <w:bodyDiv w:val="1"/>
      <w:marLeft w:val="0"/>
      <w:marRight w:val="0"/>
      <w:marTop w:val="0"/>
      <w:marBottom w:val="0"/>
      <w:divBdr>
        <w:top w:val="none" w:sz="0" w:space="0" w:color="auto"/>
        <w:left w:val="none" w:sz="0" w:space="0" w:color="auto"/>
        <w:bottom w:val="none" w:sz="0" w:space="0" w:color="auto"/>
        <w:right w:val="none" w:sz="0" w:space="0" w:color="auto"/>
      </w:divBdr>
    </w:div>
    <w:div w:id="873687422">
      <w:bodyDiv w:val="1"/>
      <w:marLeft w:val="0"/>
      <w:marRight w:val="0"/>
      <w:marTop w:val="0"/>
      <w:marBottom w:val="0"/>
      <w:divBdr>
        <w:top w:val="none" w:sz="0" w:space="0" w:color="auto"/>
        <w:left w:val="none" w:sz="0" w:space="0" w:color="auto"/>
        <w:bottom w:val="none" w:sz="0" w:space="0" w:color="auto"/>
        <w:right w:val="none" w:sz="0" w:space="0" w:color="auto"/>
      </w:divBdr>
    </w:div>
    <w:div w:id="1143540915">
      <w:bodyDiv w:val="1"/>
      <w:marLeft w:val="0"/>
      <w:marRight w:val="0"/>
      <w:marTop w:val="0"/>
      <w:marBottom w:val="0"/>
      <w:divBdr>
        <w:top w:val="none" w:sz="0" w:space="0" w:color="auto"/>
        <w:left w:val="none" w:sz="0" w:space="0" w:color="auto"/>
        <w:bottom w:val="none" w:sz="0" w:space="0" w:color="auto"/>
        <w:right w:val="none" w:sz="0" w:space="0" w:color="auto"/>
      </w:divBdr>
    </w:div>
    <w:div w:id="1170680437">
      <w:bodyDiv w:val="1"/>
      <w:marLeft w:val="0"/>
      <w:marRight w:val="0"/>
      <w:marTop w:val="0"/>
      <w:marBottom w:val="0"/>
      <w:divBdr>
        <w:top w:val="none" w:sz="0" w:space="0" w:color="auto"/>
        <w:left w:val="none" w:sz="0" w:space="0" w:color="auto"/>
        <w:bottom w:val="none" w:sz="0" w:space="0" w:color="auto"/>
        <w:right w:val="none" w:sz="0" w:space="0" w:color="auto"/>
      </w:divBdr>
    </w:div>
    <w:div w:id="1207982334">
      <w:bodyDiv w:val="1"/>
      <w:marLeft w:val="0"/>
      <w:marRight w:val="0"/>
      <w:marTop w:val="0"/>
      <w:marBottom w:val="0"/>
      <w:divBdr>
        <w:top w:val="none" w:sz="0" w:space="0" w:color="auto"/>
        <w:left w:val="none" w:sz="0" w:space="0" w:color="auto"/>
        <w:bottom w:val="none" w:sz="0" w:space="0" w:color="auto"/>
        <w:right w:val="none" w:sz="0" w:space="0" w:color="auto"/>
      </w:divBdr>
    </w:div>
    <w:div w:id="1233077692">
      <w:bodyDiv w:val="1"/>
      <w:marLeft w:val="0"/>
      <w:marRight w:val="0"/>
      <w:marTop w:val="0"/>
      <w:marBottom w:val="0"/>
      <w:divBdr>
        <w:top w:val="none" w:sz="0" w:space="0" w:color="auto"/>
        <w:left w:val="none" w:sz="0" w:space="0" w:color="auto"/>
        <w:bottom w:val="none" w:sz="0" w:space="0" w:color="auto"/>
        <w:right w:val="none" w:sz="0" w:space="0" w:color="auto"/>
      </w:divBdr>
    </w:div>
    <w:div w:id="1461461064">
      <w:bodyDiv w:val="1"/>
      <w:marLeft w:val="0"/>
      <w:marRight w:val="0"/>
      <w:marTop w:val="0"/>
      <w:marBottom w:val="0"/>
      <w:divBdr>
        <w:top w:val="none" w:sz="0" w:space="0" w:color="auto"/>
        <w:left w:val="none" w:sz="0" w:space="0" w:color="auto"/>
        <w:bottom w:val="none" w:sz="0" w:space="0" w:color="auto"/>
        <w:right w:val="none" w:sz="0" w:space="0" w:color="auto"/>
      </w:divBdr>
    </w:div>
    <w:div w:id="1491867931">
      <w:bodyDiv w:val="1"/>
      <w:marLeft w:val="0"/>
      <w:marRight w:val="0"/>
      <w:marTop w:val="0"/>
      <w:marBottom w:val="0"/>
      <w:divBdr>
        <w:top w:val="none" w:sz="0" w:space="0" w:color="auto"/>
        <w:left w:val="none" w:sz="0" w:space="0" w:color="auto"/>
        <w:bottom w:val="none" w:sz="0" w:space="0" w:color="auto"/>
        <w:right w:val="none" w:sz="0" w:space="0" w:color="auto"/>
      </w:divBdr>
    </w:div>
    <w:div w:id="1555315782">
      <w:bodyDiv w:val="1"/>
      <w:marLeft w:val="0"/>
      <w:marRight w:val="0"/>
      <w:marTop w:val="0"/>
      <w:marBottom w:val="0"/>
      <w:divBdr>
        <w:top w:val="none" w:sz="0" w:space="0" w:color="auto"/>
        <w:left w:val="none" w:sz="0" w:space="0" w:color="auto"/>
        <w:bottom w:val="none" w:sz="0" w:space="0" w:color="auto"/>
        <w:right w:val="none" w:sz="0" w:space="0" w:color="auto"/>
      </w:divBdr>
    </w:div>
    <w:div w:id="1775248687">
      <w:bodyDiv w:val="1"/>
      <w:marLeft w:val="0"/>
      <w:marRight w:val="0"/>
      <w:marTop w:val="0"/>
      <w:marBottom w:val="0"/>
      <w:divBdr>
        <w:top w:val="none" w:sz="0" w:space="0" w:color="auto"/>
        <w:left w:val="none" w:sz="0" w:space="0" w:color="auto"/>
        <w:bottom w:val="none" w:sz="0" w:space="0" w:color="auto"/>
        <w:right w:val="none" w:sz="0" w:space="0" w:color="auto"/>
      </w:divBdr>
    </w:div>
    <w:div w:id="1849783030">
      <w:bodyDiv w:val="1"/>
      <w:marLeft w:val="0"/>
      <w:marRight w:val="0"/>
      <w:marTop w:val="0"/>
      <w:marBottom w:val="0"/>
      <w:divBdr>
        <w:top w:val="none" w:sz="0" w:space="0" w:color="auto"/>
        <w:left w:val="none" w:sz="0" w:space="0" w:color="auto"/>
        <w:bottom w:val="none" w:sz="0" w:space="0" w:color="auto"/>
        <w:right w:val="none" w:sz="0" w:space="0" w:color="auto"/>
      </w:divBdr>
    </w:div>
    <w:div w:id="1859927944">
      <w:bodyDiv w:val="1"/>
      <w:marLeft w:val="0"/>
      <w:marRight w:val="0"/>
      <w:marTop w:val="0"/>
      <w:marBottom w:val="0"/>
      <w:divBdr>
        <w:top w:val="none" w:sz="0" w:space="0" w:color="auto"/>
        <w:left w:val="none" w:sz="0" w:space="0" w:color="auto"/>
        <w:bottom w:val="none" w:sz="0" w:space="0" w:color="auto"/>
        <w:right w:val="none" w:sz="0" w:space="0" w:color="auto"/>
      </w:divBdr>
    </w:div>
    <w:div w:id="1895310980">
      <w:bodyDiv w:val="1"/>
      <w:marLeft w:val="0"/>
      <w:marRight w:val="0"/>
      <w:marTop w:val="0"/>
      <w:marBottom w:val="0"/>
      <w:divBdr>
        <w:top w:val="none" w:sz="0" w:space="0" w:color="auto"/>
        <w:left w:val="none" w:sz="0" w:space="0" w:color="auto"/>
        <w:bottom w:val="none" w:sz="0" w:space="0" w:color="auto"/>
        <w:right w:val="none" w:sz="0" w:space="0" w:color="auto"/>
      </w:divBdr>
    </w:div>
    <w:div w:id="2027828177">
      <w:bodyDiv w:val="1"/>
      <w:marLeft w:val="0"/>
      <w:marRight w:val="0"/>
      <w:marTop w:val="0"/>
      <w:marBottom w:val="0"/>
      <w:divBdr>
        <w:top w:val="none" w:sz="0" w:space="0" w:color="auto"/>
        <w:left w:val="none" w:sz="0" w:space="0" w:color="auto"/>
        <w:bottom w:val="none" w:sz="0" w:space="0" w:color="auto"/>
        <w:right w:val="none" w:sz="0" w:space="0" w:color="auto"/>
      </w:divBdr>
    </w:div>
    <w:div w:id="2062173477">
      <w:bodyDiv w:val="1"/>
      <w:marLeft w:val="0"/>
      <w:marRight w:val="0"/>
      <w:marTop w:val="0"/>
      <w:marBottom w:val="0"/>
      <w:divBdr>
        <w:top w:val="none" w:sz="0" w:space="0" w:color="auto"/>
        <w:left w:val="none" w:sz="0" w:space="0" w:color="auto"/>
        <w:bottom w:val="none" w:sz="0" w:space="0" w:color="auto"/>
        <w:right w:val="none" w:sz="0" w:space="0" w:color="auto"/>
      </w:divBdr>
    </w:div>
    <w:div w:id="2082173546">
      <w:bodyDiv w:val="1"/>
      <w:marLeft w:val="0"/>
      <w:marRight w:val="0"/>
      <w:marTop w:val="0"/>
      <w:marBottom w:val="0"/>
      <w:divBdr>
        <w:top w:val="none" w:sz="0" w:space="0" w:color="auto"/>
        <w:left w:val="none" w:sz="0" w:space="0" w:color="auto"/>
        <w:bottom w:val="none" w:sz="0" w:space="0" w:color="auto"/>
        <w:right w:val="none" w:sz="0" w:space="0" w:color="auto"/>
      </w:divBdr>
    </w:div>
    <w:div w:id="2089694255">
      <w:bodyDiv w:val="1"/>
      <w:marLeft w:val="0"/>
      <w:marRight w:val="0"/>
      <w:marTop w:val="0"/>
      <w:marBottom w:val="0"/>
      <w:divBdr>
        <w:top w:val="none" w:sz="0" w:space="0" w:color="auto"/>
        <w:left w:val="none" w:sz="0" w:space="0" w:color="auto"/>
        <w:bottom w:val="none" w:sz="0" w:space="0" w:color="auto"/>
        <w:right w:val="none" w:sz="0" w:space="0" w:color="auto"/>
      </w:divBdr>
    </w:div>
    <w:div w:id="2092116803">
      <w:bodyDiv w:val="1"/>
      <w:marLeft w:val="0"/>
      <w:marRight w:val="0"/>
      <w:marTop w:val="0"/>
      <w:marBottom w:val="0"/>
      <w:divBdr>
        <w:top w:val="none" w:sz="0" w:space="0" w:color="auto"/>
        <w:left w:val="none" w:sz="0" w:space="0" w:color="auto"/>
        <w:bottom w:val="none" w:sz="0" w:space="0" w:color="auto"/>
        <w:right w:val="none" w:sz="0" w:space="0" w:color="auto"/>
      </w:divBdr>
    </w:div>
    <w:div w:id="2126271069">
      <w:bodyDiv w:val="1"/>
      <w:marLeft w:val="0"/>
      <w:marRight w:val="0"/>
      <w:marTop w:val="0"/>
      <w:marBottom w:val="0"/>
      <w:divBdr>
        <w:top w:val="none" w:sz="0" w:space="0" w:color="auto"/>
        <w:left w:val="none" w:sz="0" w:space="0" w:color="auto"/>
        <w:bottom w:val="none" w:sz="0" w:space="0" w:color="auto"/>
        <w:right w:val="none" w:sz="0" w:space="0" w:color="auto"/>
      </w:divBdr>
    </w:div>
    <w:div w:id="214094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ww.gpo.gov/fdsys/pkg/USCODE-2009-title42/pdf/USCODE-2009-title42-chap8.pdf" TargetMode="External"/><Relationship Id="rId18" Type="http://schemas.openxmlformats.org/officeDocument/2006/relationships/hyperlink" Target="https://www.gpo.gov/fdsys/pkg/USCODE-2009-title42/pdf/USCODE-2009-title42-chap8.pdf" TargetMode="External"/><Relationship Id="rId26" Type="http://schemas.openxmlformats.org/officeDocument/2006/relationships/hyperlink" Target="https://www.gpo.gov/fdsys/pkg/USCODE-2009-title42/pdf/USCODE-2009-title42-chap8.pdf" TargetMode="External"/><Relationship Id="rId39" Type="http://schemas.openxmlformats.org/officeDocument/2006/relationships/hyperlink" Target="https://www1.nyc.gov/site/nycha/residents/resident-council-elections/ra-eligibility-criteria.page" TargetMode="External"/><Relationship Id="rId21" Type="http://schemas.openxmlformats.org/officeDocument/2006/relationships/hyperlink" Target="https://www.gpo.gov/fdsys/pkg/USCODE-2009-title42/pdf/USCODE-2009-title42-chap8.pdf" TargetMode="External"/><Relationship Id="rId34" Type="http://schemas.openxmlformats.org/officeDocument/2006/relationships/hyperlink" Target="https://www.ecfr.gov/current/title-24/subtitle-B/chapter-IX/part-964" TargetMode="External"/><Relationship Id="rId42" Type="http://schemas.openxmlformats.org/officeDocument/2006/relationships/hyperlink" Target="https://www1.nyc.gov/site/nycha/residents/citywide-council-of-presidents.page" TargetMode="External"/><Relationship Id="rId47" Type="http://schemas.openxmlformats.org/officeDocument/2006/relationships/hyperlink" Target="https://www1.nyc.gov/assets/nycha/downloads/pdf/tpa-guide-book-20180314.pdf" TargetMode="External"/><Relationship Id="rId50" Type="http://schemas.openxmlformats.org/officeDocument/2006/relationships/hyperlink" Target="https://www.hud.gov/sites/documents/PIH2013-21.PDF" TargetMode="External"/><Relationship Id="rId55" Type="http://schemas.openxmlformats.org/officeDocument/2006/relationships/hyperlink" Target="https://www1.nyc.gov/site/nycha/about/press/pr-2020/pr-20200728.page" TargetMode="External"/><Relationship Id="rId7" Type="http://schemas.openxmlformats.org/officeDocument/2006/relationships/hyperlink" Target="https://www.gpo.gov/fdsys/pkg/USCODE-2009-title42/pdf/USCODE-2009-title42-chap8.pdf" TargetMode="External"/><Relationship Id="rId2" Type="http://schemas.openxmlformats.org/officeDocument/2006/relationships/hyperlink" Target="https://www.gpo.gov/fdsys/pkg/USCODE-2009-title42/pdf/USCODE-2009-title42-chap8.pdf" TargetMode="External"/><Relationship Id="rId16" Type="http://schemas.openxmlformats.org/officeDocument/2006/relationships/hyperlink" Target="https://www.gpo.gov/fdsys/pkg/USCODE-2009-title42/pdf/USCODE-2009-title42-chap8.pdf" TargetMode="External"/><Relationship Id="rId29" Type="http://schemas.openxmlformats.org/officeDocument/2006/relationships/hyperlink" Target="https://www1.nyc.gov/assets/nycha/downloads/pdf/nycha-2022-budget-book.pdf" TargetMode="External"/><Relationship Id="rId11" Type="http://schemas.openxmlformats.org/officeDocument/2006/relationships/hyperlink" Target="https://www.gpo.gov/fdsys/pkg/USCODE-2009-title42/pdf/USCODE-2009-title42-chap8.pdf" TargetMode="External"/><Relationship Id="rId24" Type="http://schemas.openxmlformats.org/officeDocument/2006/relationships/hyperlink" Target="https://www.gpo.gov/fdsys/pkg/USCODE-2009-title42/pdf/USCODE-2009-title42-chap8.pdf" TargetMode="External"/><Relationship Id="rId32" Type="http://schemas.openxmlformats.org/officeDocument/2006/relationships/hyperlink" Target="https://www.ecfr.gov/current/title-24/subtitle-B/chapter-IX/part-964" TargetMode="External"/><Relationship Id="rId37" Type="http://schemas.openxmlformats.org/officeDocument/2006/relationships/hyperlink" Target="https://www1.nyc.gov/assets/nycha/downloads/pdf/tpa-guide-book-20180314.pdf" TargetMode="External"/><Relationship Id="rId40" Type="http://schemas.openxmlformats.org/officeDocument/2006/relationships/hyperlink" Target="https://www.ecfr.gov/current/title-24/subtitle-B/chapter-IX/part-964" TargetMode="External"/><Relationship Id="rId45" Type="http://schemas.openxmlformats.org/officeDocument/2006/relationships/hyperlink" Target="https://www1.nyc.gov/site/nycha/about/press/pr-2021/pr-20210419.page" TargetMode="External"/><Relationship Id="rId53" Type="http://schemas.openxmlformats.org/officeDocument/2006/relationships/hyperlink" Target="https://www1.nyc.gov/assets/nycha/downloads/pdf/042807-en.pdf" TargetMode="External"/><Relationship Id="rId5" Type="http://schemas.openxmlformats.org/officeDocument/2006/relationships/hyperlink" Target="https://www.gpo.gov/fdsys/pkg/USCODE-2009-title42/pdf/USCODE-2009-title42-chap8.pdf" TargetMode="External"/><Relationship Id="rId19" Type="http://schemas.openxmlformats.org/officeDocument/2006/relationships/hyperlink" Target="https://www.gpo.gov/fdsys/pkg/USCODE-2009-title42/pdf/USCODE-2009-title42-chap8.pdf" TargetMode="External"/><Relationship Id="rId4" Type="http://schemas.openxmlformats.org/officeDocument/2006/relationships/hyperlink" Target="https://www.gpo.gov/fdsys/pkg/USCODE-2009-title42/pdf/USCODE-2009-title42-chap8.pdf" TargetMode="External"/><Relationship Id="rId9" Type="http://schemas.openxmlformats.org/officeDocument/2006/relationships/hyperlink" Target="https://www.gpo.gov/fdsys/pkg/USCODE-2009-title42/pdf/USCODE-2009-title42-chap8.pdf" TargetMode="External"/><Relationship Id="rId14" Type="http://schemas.openxmlformats.org/officeDocument/2006/relationships/hyperlink" Target="https://www.gpo.gov/fdsys/pkg/USCODE-2009-title42/pdf/USCODE-2009-title42-chap8.pdf" TargetMode="External"/><Relationship Id="rId22" Type="http://schemas.openxmlformats.org/officeDocument/2006/relationships/hyperlink" Target="https://www.gpo.gov/fdsys/pkg/USCODE-2009-title42/pdf/USCODE-2009-title42-chap8.pdf" TargetMode="External"/><Relationship Id="rId27" Type="http://schemas.openxmlformats.org/officeDocument/2006/relationships/hyperlink" Target="https://www1.nyc.gov/assets/nycha/downloads/pdf/NYCHA_Fact_Sheet_2022.pdf" TargetMode="External"/><Relationship Id="rId30" Type="http://schemas.openxmlformats.org/officeDocument/2006/relationships/hyperlink" Target="https://www1.nyc.gov/assets/nycha/downloads/pdf/tpa-guide-book-20180314.pdf" TargetMode="External"/><Relationship Id="rId35" Type="http://schemas.openxmlformats.org/officeDocument/2006/relationships/hyperlink" Target="https://www.ecfr.gov/current/title-24/subtitle-B/chapter-IX/part-964" TargetMode="External"/><Relationship Id="rId43" Type="http://schemas.openxmlformats.org/officeDocument/2006/relationships/hyperlink" Target="https://www1.nyc.gov/assets/nycha/downloads/pdf/CCOPY-Bylaws-V10.pdf" TargetMode="External"/><Relationship Id="rId48" Type="http://schemas.openxmlformats.org/officeDocument/2006/relationships/hyperlink" Target="http://www1.nyc.gov/site/nycha/residents/getting-involved-as-a-resident.page" TargetMode="External"/><Relationship Id="rId56" Type="http://schemas.openxmlformats.org/officeDocument/2006/relationships/hyperlink" Target="https://www.nysenate.gov/legislation/bills/2021/s9409/amendment/original" TargetMode="External"/><Relationship Id="rId8" Type="http://schemas.openxmlformats.org/officeDocument/2006/relationships/hyperlink" Target="https://www.gpo.gov/fdsys/pkg/USCODE-2009-title42/pdf/USCODE-2009-title42-chap8.pdf" TargetMode="External"/><Relationship Id="rId51" Type="http://schemas.openxmlformats.org/officeDocument/2006/relationships/hyperlink" Target="http://www1.nyc.gov/assets/nycha/downloads/pdf/nextgen-nycha-web.pdf" TargetMode="External"/><Relationship Id="rId3" Type="http://schemas.openxmlformats.org/officeDocument/2006/relationships/hyperlink" Target="https://www.gpo.gov/fdsys/pkg/USCODE-2009-title42/pdf/USCODE-2009-title42-chap8.pdf" TargetMode="External"/><Relationship Id="rId12" Type="http://schemas.openxmlformats.org/officeDocument/2006/relationships/hyperlink" Target="https://www.gpo.gov/fdsys/pkg/USCODE-2009-title42/pdf/USCODE-2009-title42-chap8.pdf" TargetMode="External"/><Relationship Id="rId17" Type="http://schemas.openxmlformats.org/officeDocument/2006/relationships/hyperlink" Target="https://www.gpo.gov/fdsys/pkg/USCODE-2009-title42/pdf/USCODE-2009-title42-chap8.pdf" TargetMode="External"/><Relationship Id="rId25" Type="http://schemas.openxmlformats.org/officeDocument/2006/relationships/hyperlink" Target="https://www.gpo.gov/fdsys/pkg/USCODE-2009-title42/pdf/USCODE-2009-title42-chap8.pdf" TargetMode="External"/><Relationship Id="rId33" Type="http://schemas.openxmlformats.org/officeDocument/2006/relationships/hyperlink" Target="https://www.ecfr.gov/current/title-24/subtitle-B/chapter-IX/part-964" TargetMode="External"/><Relationship Id="rId38" Type="http://schemas.openxmlformats.org/officeDocument/2006/relationships/hyperlink" Target="https://www1.nyc.gov/site/nycha/residents/resident-council-elections.page" TargetMode="External"/><Relationship Id="rId46" Type="http://schemas.openxmlformats.org/officeDocument/2006/relationships/hyperlink" Target="https://www1.nyc.gov/site/nycha/residents/resident-roundtable.page" TargetMode="External"/><Relationship Id="rId20" Type="http://schemas.openxmlformats.org/officeDocument/2006/relationships/hyperlink" Target="https://www.gpo.gov/fdsys/pkg/USCODE-2009-title42/pdf/USCODE-2009-title42-chap8.pdf" TargetMode="External"/><Relationship Id="rId41" Type="http://schemas.openxmlformats.org/officeDocument/2006/relationships/hyperlink" Target="https://www.ecfr.gov/current/title-24/subtitle-B/chapter-IX/part-964" TargetMode="External"/><Relationship Id="rId54" Type="http://schemas.openxmlformats.org/officeDocument/2006/relationships/hyperlink" Target="https://citylimits.org/2022/06/22/opinion-nychas-public-housing-preservation-trust-is-a-farce-of-resident-engagement/"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www.gpo.gov/fdsys/pkg/USCODE-2009-title42/pdf/USCODE-2009-title42-chap8.pdf" TargetMode="External"/><Relationship Id="rId15" Type="http://schemas.openxmlformats.org/officeDocument/2006/relationships/hyperlink" Target="https://www.gpo.gov/fdsys/pkg/USCODE-2009-title42/pdf/USCODE-2009-title42-chap8.pdf" TargetMode="External"/><Relationship Id="rId23" Type="http://schemas.openxmlformats.org/officeDocument/2006/relationships/hyperlink" Target="https://www.gpo.gov/fdsys/pkg/USCODE-2009-title42/pdf/USCODE-2009-title42-chap8.pdf" TargetMode="External"/><Relationship Id="rId28" Type="http://schemas.openxmlformats.org/officeDocument/2006/relationships/hyperlink" Target="https://www1.nyc.gov/site/nycha/residents/getting-involved-as-a-resident.page" TargetMode="External"/><Relationship Id="rId36" Type="http://schemas.openxmlformats.org/officeDocument/2006/relationships/hyperlink" Target="https://www.ecfr.gov/current/title-24/subtitle-B/chapter-IX/part-964" TargetMode="External"/><Relationship Id="rId49" Type="http://schemas.openxmlformats.org/officeDocument/2006/relationships/hyperlink" Target="https://www1.nyc.gov/assets/nycha/downloads/pdf/tpa-guide-book-20180314.pdf" TargetMode="External"/><Relationship Id="rId57" Type="http://schemas.openxmlformats.org/officeDocument/2006/relationships/hyperlink" Target="https://www1.nyc.gov/site/nycha/about/preservation-trust-draft-voting-procedures.page" TargetMode="External"/><Relationship Id="rId10" Type="http://schemas.openxmlformats.org/officeDocument/2006/relationships/hyperlink" Target="https://www.gpo.gov/fdsys/pkg/USCODE-2009-title42/pdf/USCODE-2009-title42-chap8.pdf" TargetMode="External"/><Relationship Id="rId31" Type="http://schemas.openxmlformats.org/officeDocument/2006/relationships/hyperlink" Target="https://www1.nyc.gov/site/nycha/residents/resident-councils.page" TargetMode="External"/><Relationship Id="rId44" Type="http://schemas.openxmlformats.org/officeDocument/2006/relationships/hyperlink" Target="https://www1.nyc.gov/assets/nycha/downloads/pdf/NYCHA-Final%20Annual-PlanFY23-10.14.22.pdf" TargetMode="External"/><Relationship Id="rId52" Type="http://schemas.openxmlformats.org/officeDocument/2006/relationships/hyperlink" Target="https://www1.nyc.gov/assets/nycha/downloads/pdf/tpa-guide-book-201803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576D1-3D3D-4D2E-A7EF-76CAAAF275D9}">
  <ds:schemaRefs>
    <ds:schemaRef ds:uri="http://schemas.microsoft.com/sharepoint/v3/contenttype/forms"/>
  </ds:schemaRefs>
</ds:datastoreItem>
</file>

<file path=customXml/itemProps2.xml><?xml version="1.0" encoding="utf-8"?>
<ds:datastoreItem xmlns:ds="http://schemas.openxmlformats.org/officeDocument/2006/customXml" ds:itemID="{0F306B07-A4A2-471B-89F6-4FD2A137AA26}">
  <ds:schemaRefs>
    <ds:schemaRef ds:uri="http://purl.org/dc/elements/1.1/"/>
    <ds:schemaRef ds:uri="http://schemas.openxmlformats.org/package/2006/metadata/core-propertie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c66f7040-da4e-4e4b-b586-62eb2c5c6722"/>
    <ds:schemaRef ds:uri="4a40a8ad-34f3-44c1-b402-bec622f40e54"/>
    <ds:schemaRef ds:uri="http://schemas.microsoft.com/office/2006/metadata/properties"/>
  </ds:schemaRefs>
</ds:datastoreItem>
</file>

<file path=customXml/itemProps3.xml><?xml version="1.0" encoding="utf-8"?>
<ds:datastoreItem xmlns:ds="http://schemas.openxmlformats.org/officeDocument/2006/customXml" ds:itemID="{D34C4294-9C84-495C-A258-844BAC437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6FB89-DB25-47E0-BAC5-8D02A2733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2050</Words>
  <Characters>11688</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Kronk</dc:creator>
  <cp:keywords/>
  <dc:description/>
  <cp:lastModifiedBy>DelFranco, Ruthie</cp:lastModifiedBy>
  <cp:revision>2</cp:revision>
  <cp:lastPrinted>2022-11-17T15:19:00Z</cp:lastPrinted>
  <dcterms:created xsi:type="dcterms:W3CDTF">2022-11-18T00:21:00Z</dcterms:created>
  <dcterms:modified xsi:type="dcterms:W3CDTF">2022-11-18T00:21:00Z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