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697" w:rsidRPr="00097566" w:rsidRDefault="00AE1697" w:rsidP="00AE1697">
      <w:pPr>
        <w:spacing w:after="0" w:line="240" w:lineRule="auto"/>
        <w:jc w:val="right"/>
        <w:rPr>
          <w:rFonts w:ascii="Times New Roman" w:hAnsi="Times New Roman" w:cs="Times New Roman"/>
          <w:u w:val="single"/>
        </w:rPr>
      </w:pPr>
      <w:bookmarkStart w:id="0" w:name="_GoBack"/>
      <w:bookmarkEnd w:id="0"/>
      <w:r w:rsidRPr="00097566">
        <w:rPr>
          <w:rFonts w:ascii="Times New Roman" w:hAnsi="Times New Roman" w:cs="Times New Roman"/>
          <w:u w:val="single"/>
        </w:rPr>
        <w:t>Public Housing Committee Staff</w:t>
      </w:r>
    </w:p>
    <w:p w:rsidR="00AE1697" w:rsidRPr="00097566" w:rsidRDefault="00AE1697" w:rsidP="00AE1697">
      <w:pPr>
        <w:spacing w:after="0" w:line="240" w:lineRule="auto"/>
        <w:jc w:val="right"/>
        <w:rPr>
          <w:rFonts w:ascii="Times New Roman" w:hAnsi="Times New Roman" w:cs="Times New Roman"/>
        </w:rPr>
      </w:pPr>
      <w:r w:rsidRPr="00097566">
        <w:rPr>
          <w:rFonts w:ascii="Times New Roman" w:hAnsi="Times New Roman" w:cs="Times New Roman"/>
        </w:rPr>
        <w:t xml:space="preserve">             Audrey Son, </w:t>
      </w:r>
      <w:r w:rsidRPr="00097566">
        <w:rPr>
          <w:rFonts w:ascii="Times New Roman" w:hAnsi="Times New Roman" w:cs="Times New Roman"/>
          <w:i/>
          <w:iCs/>
        </w:rPr>
        <w:t>Senior Counsel</w:t>
      </w:r>
    </w:p>
    <w:p w:rsidR="00AE1697" w:rsidRPr="00097566" w:rsidRDefault="00AE1697" w:rsidP="00AE1697">
      <w:pPr>
        <w:spacing w:after="0" w:line="240" w:lineRule="auto"/>
        <w:jc w:val="right"/>
        <w:rPr>
          <w:rFonts w:ascii="Times New Roman" w:hAnsi="Times New Roman" w:cs="Times New Roman"/>
        </w:rPr>
      </w:pPr>
      <w:r w:rsidRPr="00097566">
        <w:rPr>
          <w:rFonts w:ascii="Times New Roman" w:hAnsi="Times New Roman" w:cs="Times New Roman"/>
        </w:rPr>
        <w:t xml:space="preserve">                                                   Jose Conde, </w:t>
      </w:r>
      <w:r w:rsidRPr="00097566">
        <w:rPr>
          <w:rFonts w:ascii="Times New Roman" w:hAnsi="Times New Roman" w:cs="Times New Roman"/>
          <w:i/>
        </w:rPr>
        <w:t>Senior Policy Analyst</w:t>
      </w:r>
    </w:p>
    <w:p w:rsidR="00AE1697" w:rsidRPr="00097566" w:rsidRDefault="00AE1697" w:rsidP="00AE1697">
      <w:pPr>
        <w:spacing w:after="0" w:line="240" w:lineRule="auto"/>
        <w:jc w:val="right"/>
        <w:rPr>
          <w:rFonts w:ascii="Times New Roman" w:hAnsi="Times New Roman" w:cs="Times New Roman"/>
          <w:i/>
          <w:iCs/>
        </w:rPr>
      </w:pPr>
      <w:r w:rsidRPr="00097566">
        <w:rPr>
          <w:rFonts w:ascii="Times New Roman" w:hAnsi="Times New Roman" w:cs="Times New Roman"/>
        </w:rPr>
        <w:t xml:space="preserve">Ricky Chawla, </w:t>
      </w:r>
      <w:r w:rsidRPr="00097566">
        <w:rPr>
          <w:rFonts w:ascii="Times New Roman" w:hAnsi="Times New Roman" w:cs="Times New Roman"/>
          <w:i/>
          <w:iCs/>
        </w:rPr>
        <w:t>Senior Policy Analyst</w:t>
      </w:r>
    </w:p>
    <w:p w:rsidR="00AE1697" w:rsidRDefault="00AE1697" w:rsidP="00AE1697">
      <w:pPr>
        <w:spacing w:after="0" w:line="240" w:lineRule="auto"/>
        <w:jc w:val="right"/>
        <w:rPr>
          <w:rFonts w:ascii="Times New Roman" w:hAnsi="Times New Roman" w:cs="Times New Roman"/>
          <w:i/>
          <w:iCs/>
        </w:rPr>
      </w:pPr>
      <w:r w:rsidRPr="00097566">
        <w:rPr>
          <w:rFonts w:ascii="Times New Roman" w:hAnsi="Times New Roman" w:cs="Times New Roman"/>
          <w:iCs/>
        </w:rPr>
        <w:t xml:space="preserve">Dan Kroop, </w:t>
      </w:r>
      <w:r w:rsidRPr="00097566">
        <w:rPr>
          <w:rFonts w:ascii="Times New Roman" w:hAnsi="Times New Roman" w:cs="Times New Roman"/>
          <w:i/>
          <w:iCs/>
        </w:rPr>
        <w:t>Senior Financial Analyst</w:t>
      </w:r>
    </w:p>
    <w:p w:rsidR="00AE1697" w:rsidRPr="00A33C73" w:rsidRDefault="00AE1697" w:rsidP="00AE1697">
      <w:pPr>
        <w:spacing w:after="0" w:line="240" w:lineRule="auto"/>
        <w:jc w:val="right"/>
        <w:rPr>
          <w:rFonts w:ascii="Times New Roman" w:hAnsi="Times New Roman" w:cs="Times New Roman"/>
          <w:i/>
        </w:rPr>
      </w:pPr>
      <w:r w:rsidRPr="00B36194">
        <w:rPr>
          <w:rFonts w:ascii="Times New Roman" w:hAnsi="Times New Roman" w:cs="Times New Roman"/>
        </w:rPr>
        <w:t>Rose Martinez</w:t>
      </w:r>
      <w:r>
        <w:rPr>
          <w:rFonts w:ascii="Times New Roman" w:hAnsi="Times New Roman" w:cs="Times New Roman"/>
        </w:rPr>
        <w:t xml:space="preserve">, </w:t>
      </w:r>
      <w:r>
        <w:rPr>
          <w:rFonts w:ascii="Times New Roman" w:hAnsi="Times New Roman" w:cs="Times New Roman"/>
          <w:i/>
        </w:rPr>
        <w:t>Assistant Deputy Director &amp; Data Scientist</w:t>
      </w:r>
    </w:p>
    <w:p w:rsidR="00AE1697" w:rsidRPr="00A33C73" w:rsidRDefault="00AE1697" w:rsidP="00AE1697">
      <w:pPr>
        <w:spacing w:after="0" w:line="240" w:lineRule="auto"/>
        <w:jc w:val="right"/>
        <w:rPr>
          <w:rFonts w:ascii="Times New Roman" w:hAnsi="Times New Roman" w:cs="Times New Roman"/>
          <w:i/>
        </w:rPr>
      </w:pPr>
      <w:r>
        <w:rPr>
          <w:rFonts w:ascii="Times New Roman" w:hAnsi="Times New Roman" w:cs="Times New Roman"/>
        </w:rPr>
        <w:t xml:space="preserve">James Wu, </w:t>
      </w:r>
      <w:r>
        <w:rPr>
          <w:rFonts w:ascii="Times New Roman" w:hAnsi="Times New Roman" w:cs="Times New Roman"/>
          <w:i/>
        </w:rPr>
        <w:t>Data Analyst</w:t>
      </w:r>
    </w:p>
    <w:p w:rsidR="00AE1697" w:rsidRPr="00097566" w:rsidRDefault="00AE1697" w:rsidP="00AE1697">
      <w:pPr>
        <w:tabs>
          <w:tab w:val="left" w:pos="0"/>
        </w:tabs>
        <w:rPr>
          <w:rFonts w:ascii="Times New Roman" w:hAnsi="Times New Roman" w:cs="Times New Roman"/>
          <w:u w:val="single"/>
        </w:rPr>
      </w:pPr>
    </w:p>
    <w:p w:rsidR="00AE1697" w:rsidRPr="00097566" w:rsidRDefault="00AE1697" w:rsidP="00AE1697">
      <w:pPr>
        <w:tabs>
          <w:tab w:val="left" w:pos="0"/>
        </w:tabs>
        <w:rPr>
          <w:rFonts w:ascii="Times New Roman" w:hAnsi="Times New Roman" w:cs="Times New Roman"/>
          <w:u w:val="single"/>
        </w:rPr>
      </w:pPr>
    </w:p>
    <w:p w:rsidR="00AE1697" w:rsidRPr="00097566" w:rsidRDefault="00AE1697" w:rsidP="00AE1697">
      <w:pPr>
        <w:tabs>
          <w:tab w:val="left" w:pos="0"/>
        </w:tabs>
        <w:rPr>
          <w:rFonts w:ascii="Times New Roman" w:hAnsi="Times New Roman" w:cs="Times New Roman"/>
          <w:i/>
        </w:rPr>
      </w:pPr>
    </w:p>
    <w:p w:rsidR="00AE1697" w:rsidRPr="00097566" w:rsidRDefault="00AE1697" w:rsidP="00AE1697">
      <w:pPr>
        <w:tabs>
          <w:tab w:val="left" w:pos="0"/>
        </w:tabs>
        <w:rPr>
          <w:rFonts w:ascii="Times New Roman" w:hAnsi="Times New Roman" w:cs="Times New Roman"/>
        </w:rPr>
      </w:pPr>
      <w:r w:rsidRPr="00097566">
        <w:rPr>
          <w:rFonts w:ascii="Times New Roman" w:hAnsi="Times New Roman" w:cs="Times New Roman"/>
          <w:noProof/>
        </w:rPr>
        <w:drawing>
          <wp:anchor distT="0" distB="0" distL="114300" distR="114300" simplePos="0" relativeHeight="251659264" behindDoc="0" locked="0" layoutInCell="1" allowOverlap="1" wp14:anchorId="601502B8" wp14:editId="211625C9">
            <wp:simplePos x="0" y="0"/>
            <wp:positionH relativeFrom="margin">
              <wp:align>center</wp:align>
            </wp:positionH>
            <wp:positionV relativeFrom="paragraph">
              <wp:posOffset>10160</wp:posOffset>
            </wp:positionV>
            <wp:extent cx="1168400" cy="10941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pic:spPr>
                </pic:pic>
              </a:graphicData>
            </a:graphic>
            <wp14:sizeRelH relativeFrom="page">
              <wp14:pctWidth>0</wp14:pctWidth>
            </wp14:sizeRelH>
            <wp14:sizeRelV relativeFrom="page">
              <wp14:pctHeight>0</wp14:pctHeight>
            </wp14:sizeRelV>
          </wp:anchor>
        </w:drawing>
      </w:r>
    </w:p>
    <w:p w:rsidR="00AE1697" w:rsidRPr="00097566" w:rsidRDefault="00AE1697" w:rsidP="00AE1697">
      <w:pPr>
        <w:tabs>
          <w:tab w:val="left" w:pos="7517"/>
        </w:tabs>
        <w:spacing w:after="0"/>
        <w:jc w:val="center"/>
        <w:rPr>
          <w:rFonts w:ascii="Times New Roman" w:hAnsi="Times New Roman" w:cs="Times New Roman"/>
          <w:b/>
          <w:bCs/>
        </w:rPr>
      </w:pPr>
      <w:r w:rsidRPr="00097566">
        <w:rPr>
          <w:rFonts w:ascii="Times New Roman" w:hAnsi="Times New Roman" w:cs="Times New Roman"/>
          <w:b/>
        </w:rPr>
        <w:br w:type="textWrapping" w:clear="all"/>
      </w:r>
    </w:p>
    <w:p w:rsidR="00AE1697" w:rsidRPr="00097566" w:rsidRDefault="00AE1697" w:rsidP="00AE1697">
      <w:pPr>
        <w:tabs>
          <w:tab w:val="left" w:pos="7517"/>
        </w:tabs>
        <w:spacing w:after="0"/>
        <w:jc w:val="center"/>
        <w:rPr>
          <w:rFonts w:ascii="Times New Roman" w:hAnsi="Times New Roman" w:cs="Times New Roman"/>
          <w:b/>
        </w:rPr>
      </w:pPr>
      <w:r w:rsidRPr="00097566">
        <w:rPr>
          <w:rFonts w:ascii="Times New Roman" w:hAnsi="Times New Roman" w:cs="Times New Roman"/>
          <w:b/>
          <w:bCs/>
        </w:rPr>
        <w:t>THE NEW YORK CITY COUNCIL</w:t>
      </w:r>
    </w:p>
    <w:p w:rsidR="00AE1697" w:rsidRPr="00097566" w:rsidRDefault="00AE1697" w:rsidP="00AE1697">
      <w:pPr>
        <w:spacing w:after="0"/>
        <w:rPr>
          <w:rFonts w:ascii="Times New Roman" w:hAnsi="Times New Roman" w:cs="Times New Roman"/>
        </w:rPr>
      </w:pPr>
    </w:p>
    <w:p w:rsidR="00AE1697" w:rsidRPr="00097566" w:rsidRDefault="00AE1697" w:rsidP="00AE1697">
      <w:pPr>
        <w:pStyle w:val="Heading1"/>
        <w:spacing w:line="240" w:lineRule="auto"/>
        <w:jc w:val="center"/>
        <w:rPr>
          <w:b/>
          <w:bCs/>
          <w:i w:val="0"/>
          <w:iCs w:val="0"/>
          <w:caps/>
          <w:u w:val="single"/>
        </w:rPr>
      </w:pPr>
      <w:r w:rsidRPr="00097566">
        <w:rPr>
          <w:b/>
          <w:bCs/>
          <w:i w:val="0"/>
          <w:iCs w:val="0"/>
          <w:caps/>
          <w:u w:val="single"/>
        </w:rPr>
        <w:t>BRIEFING PAPER OF THE INFRASTRUCTURE DIVISION</w:t>
      </w:r>
    </w:p>
    <w:p w:rsidR="00AE1697" w:rsidRPr="00097566" w:rsidRDefault="00AE1697" w:rsidP="00AE1697">
      <w:pPr>
        <w:spacing w:after="0"/>
        <w:jc w:val="center"/>
        <w:rPr>
          <w:rFonts w:ascii="Times New Roman" w:hAnsi="Times New Roman" w:cs="Times New Roman"/>
          <w:i/>
        </w:rPr>
      </w:pPr>
      <w:r w:rsidRPr="00097566">
        <w:rPr>
          <w:rFonts w:ascii="Times New Roman" w:hAnsi="Times New Roman" w:cs="Times New Roman"/>
        </w:rPr>
        <w:t>Andrea Vazquez,</w:t>
      </w:r>
      <w:r w:rsidRPr="00097566">
        <w:rPr>
          <w:rFonts w:ascii="Times New Roman" w:hAnsi="Times New Roman" w:cs="Times New Roman"/>
          <w:i/>
        </w:rPr>
        <w:t xml:space="preserve"> Legislative Director </w:t>
      </w:r>
    </w:p>
    <w:p w:rsidR="00AE1697" w:rsidRPr="00097566" w:rsidRDefault="00AE1697" w:rsidP="00AE1697">
      <w:pPr>
        <w:spacing w:after="0"/>
        <w:jc w:val="center"/>
        <w:rPr>
          <w:rFonts w:ascii="Times New Roman" w:hAnsi="Times New Roman" w:cs="Times New Roman"/>
        </w:rPr>
      </w:pPr>
      <w:r w:rsidRPr="00097566">
        <w:rPr>
          <w:rFonts w:ascii="Times New Roman" w:hAnsi="Times New Roman" w:cs="Times New Roman"/>
        </w:rPr>
        <w:t xml:space="preserve">Bradley Reid, </w:t>
      </w:r>
      <w:r w:rsidRPr="00097566">
        <w:rPr>
          <w:rFonts w:ascii="Times New Roman" w:hAnsi="Times New Roman" w:cs="Times New Roman"/>
          <w:i/>
        </w:rPr>
        <w:t>Deputy Director, Infrastructure</w:t>
      </w:r>
    </w:p>
    <w:p w:rsidR="00AE1697" w:rsidRPr="00097566" w:rsidRDefault="00AE1697" w:rsidP="00AE1697">
      <w:pPr>
        <w:spacing w:after="0"/>
        <w:rPr>
          <w:rFonts w:ascii="Times New Roman" w:hAnsi="Times New Roman" w:cs="Times New Roman"/>
          <w:b/>
          <w:u w:val="single"/>
        </w:rPr>
      </w:pPr>
    </w:p>
    <w:p w:rsidR="00AE1697" w:rsidRPr="00097566" w:rsidRDefault="00AE1697" w:rsidP="00AE1697">
      <w:pPr>
        <w:spacing w:after="0"/>
        <w:jc w:val="center"/>
        <w:rPr>
          <w:rFonts w:ascii="Times New Roman" w:hAnsi="Times New Roman" w:cs="Times New Roman"/>
          <w:b/>
          <w:u w:val="single"/>
        </w:rPr>
      </w:pPr>
      <w:r w:rsidRPr="00097566">
        <w:rPr>
          <w:rFonts w:ascii="Times New Roman" w:hAnsi="Times New Roman" w:cs="Times New Roman"/>
          <w:b/>
          <w:u w:val="single"/>
        </w:rPr>
        <w:t xml:space="preserve">COMMITTEE ON PUBLIC HOUSING </w:t>
      </w:r>
    </w:p>
    <w:p w:rsidR="00AE1697" w:rsidRPr="00097566" w:rsidRDefault="00AE1697" w:rsidP="00AE1697">
      <w:pPr>
        <w:spacing w:after="0"/>
        <w:jc w:val="center"/>
        <w:rPr>
          <w:rFonts w:ascii="Times New Roman" w:hAnsi="Times New Roman" w:cs="Times New Roman"/>
          <w:i/>
        </w:rPr>
      </w:pPr>
      <w:r w:rsidRPr="00097566">
        <w:rPr>
          <w:rFonts w:ascii="Times New Roman" w:hAnsi="Times New Roman" w:cs="Times New Roman"/>
        </w:rPr>
        <w:t xml:space="preserve">Hon. Alexa </w:t>
      </w:r>
      <w:r w:rsidRPr="00097566">
        <w:rPr>
          <w:rFonts w:ascii="Times New Roman" w:hAnsi="Times New Roman" w:cs="Times New Roman"/>
          <w:shd w:val="solid" w:color="FFFFFF" w:fill="FFFFFF"/>
        </w:rPr>
        <w:t>Avilés</w:t>
      </w:r>
      <w:r w:rsidRPr="00097566">
        <w:rPr>
          <w:rFonts w:ascii="Times New Roman" w:hAnsi="Times New Roman" w:cs="Times New Roman"/>
        </w:rPr>
        <w:t>,</w:t>
      </w:r>
      <w:r w:rsidRPr="00097566">
        <w:rPr>
          <w:rFonts w:ascii="Times New Roman" w:hAnsi="Times New Roman" w:cs="Times New Roman"/>
          <w:i/>
        </w:rPr>
        <w:t xml:space="preserve"> Chair</w:t>
      </w:r>
    </w:p>
    <w:p w:rsidR="00AE1697" w:rsidRPr="00097566" w:rsidRDefault="00AE1697" w:rsidP="00AE1697">
      <w:pPr>
        <w:pStyle w:val="FootnoteText"/>
        <w:jc w:val="center"/>
        <w:rPr>
          <w:rFonts w:ascii="Times New Roman" w:hAnsi="Times New Roman"/>
          <w:b/>
          <w:sz w:val="24"/>
          <w:szCs w:val="24"/>
          <w:u w:val="single"/>
        </w:rPr>
      </w:pPr>
    </w:p>
    <w:p w:rsidR="00AE1697" w:rsidRPr="00097566" w:rsidRDefault="00AE1697" w:rsidP="00AE1697">
      <w:pPr>
        <w:pStyle w:val="FootnoteText"/>
        <w:jc w:val="center"/>
        <w:rPr>
          <w:rFonts w:ascii="Times New Roman" w:hAnsi="Times New Roman"/>
          <w:b/>
          <w:sz w:val="24"/>
          <w:szCs w:val="24"/>
          <w:u w:val="single"/>
        </w:rPr>
      </w:pPr>
    </w:p>
    <w:p w:rsidR="00AE1697" w:rsidRPr="00097566" w:rsidRDefault="00AE1697" w:rsidP="00AE1697">
      <w:pPr>
        <w:spacing w:after="0"/>
        <w:jc w:val="center"/>
        <w:rPr>
          <w:rFonts w:ascii="Times New Roman" w:hAnsi="Times New Roman" w:cs="Times New Roman"/>
          <w:sz w:val="24"/>
          <w:szCs w:val="24"/>
        </w:rPr>
      </w:pPr>
      <w:r w:rsidRPr="00097566">
        <w:rPr>
          <w:rFonts w:ascii="Times New Roman" w:eastAsia="Times New Roman" w:hAnsi="Times New Roman" w:cs="Times New Roman"/>
          <w:b/>
          <w:bCs/>
          <w:sz w:val="24"/>
          <w:szCs w:val="24"/>
        </w:rPr>
        <w:t>December 14, 2022</w:t>
      </w:r>
    </w:p>
    <w:p w:rsidR="00AE1697" w:rsidRPr="00097566" w:rsidRDefault="00AE1697" w:rsidP="00AE1697">
      <w:pPr>
        <w:widowControl w:val="0"/>
        <w:autoSpaceDE w:val="0"/>
        <w:autoSpaceDN w:val="0"/>
        <w:adjustRightInd w:val="0"/>
        <w:spacing w:after="0"/>
        <w:jc w:val="both"/>
        <w:rPr>
          <w:rFonts w:ascii="Times New Roman" w:hAnsi="Times New Roman" w:cs="Times New Roman"/>
          <w:b/>
          <w:u w:val="single"/>
        </w:rPr>
      </w:pPr>
    </w:p>
    <w:p w:rsidR="00AE1697" w:rsidRPr="00097566" w:rsidRDefault="00AE1697" w:rsidP="00AE1697">
      <w:pPr>
        <w:pStyle w:val="Heading1"/>
        <w:jc w:val="center"/>
        <w:rPr>
          <w:b/>
          <w:i w:val="0"/>
          <w:smallCaps/>
          <w:u w:val="single"/>
        </w:rPr>
      </w:pPr>
      <w:r w:rsidRPr="00097566">
        <w:rPr>
          <w:b/>
          <w:i w:val="0"/>
          <w:iCs w:val="0"/>
          <w:u w:val="single"/>
        </w:rPr>
        <w:t>Oversight: Winter Preparedness Across NYCHA Developments</w:t>
      </w:r>
    </w:p>
    <w:p w:rsidR="00AE1697" w:rsidRPr="00097566" w:rsidRDefault="00AE1697" w:rsidP="00AE1697">
      <w:pPr>
        <w:pStyle w:val="NormalWeb"/>
        <w:shd w:val="clear" w:color="auto" w:fill="FFFFFF"/>
        <w:spacing w:before="0" w:beforeAutospacing="0" w:after="0" w:afterAutospacing="0"/>
        <w:ind w:left="5040" w:hanging="5040"/>
        <w:contextualSpacing/>
        <w:jc w:val="both"/>
      </w:pPr>
    </w:p>
    <w:p w:rsidR="00AE1697" w:rsidRDefault="00AE1697" w:rsidP="00AE1697">
      <w:pPr>
        <w:suppressAutoHyphens/>
        <w:spacing w:after="0" w:line="480" w:lineRule="auto"/>
        <w:jc w:val="both"/>
        <w:rPr>
          <w:rFonts w:ascii="Times New Roman" w:eastAsia="Calibri" w:hAnsi="Times New Roman" w:cs="Times New Roman"/>
          <w:b/>
          <w:i/>
          <w:iCs/>
          <w:color w:val="000000"/>
          <w:sz w:val="24"/>
          <w:szCs w:val="24"/>
          <w:u w:val="single"/>
          <w:lang w:eastAsia="zh-CN"/>
        </w:rPr>
      </w:pPr>
    </w:p>
    <w:p w:rsidR="00AE1697" w:rsidRPr="00097566" w:rsidRDefault="00AE1697" w:rsidP="00AE1697">
      <w:pPr>
        <w:suppressAutoHyphens/>
        <w:spacing w:after="0" w:line="480" w:lineRule="auto"/>
        <w:jc w:val="both"/>
        <w:rPr>
          <w:rFonts w:ascii="Times New Roman" w:eastAsia="Calibri" w:hAnsi="Times New Roman" w:cs="Times New Roman"/>
          <w:b/>
          <w:bCs/>
          <w:i/>
          <w:iCs/>
          <w:u w:val="single"/>
          <w:lang w:eastAsia="zh-CN"/>
        </w:rPr>
      </w:pPr>
      <w:r w:rsidRPr="00097566">
        <w:rPr>
          <w:rFonts w:ascii="Times New Roman" w:eastAsia="Calibri" w:hAnsi="Times New Roman" w:cs="Times New Roman"/>
          <w:b/>
          <w:bCs/>
          <w:i/>
          <w:iCs/>
          <w:color w:val="000000"/>
          <w:sz w:val="24"/>
          <w:szCs w:val="24"/>
          <w:u w:val="single"/>
          <w:lang w:eastAsia="zh-CN"/>
        </w:rPr>
        <w:t>Introduction</w:t>
      </w:r>
    </w:p>
    <w:p w:rsidR="00AE1697" w:rsidRPr="00097566" w:rsidRDefault="00AE1697" w:rsidP="00AE1697">
      <w:pPr>
        <w:suppressAutoHyphens/>
        <w:spacing w:after="200" w:line="480" w:lineRule="auto"/>
        <w:ind w:firstLine="720"/>
        <w:jc w:val="both"/>
        <w:rPr>
          <w:rFonts w:ascii="Times New Roman" w:eastAsia="Calibri" w:hAnsi="Times New Roman" w:cs="Times New Roman"/>
          <w:color w:val="000000"/>
          <w:sz w:val="24"/>
          <w:szCs w:val="24"/>
          <w:lang w:eastAsia="zh-CN"/>
        </w:rPr>
      </w:pPr>
      <w:r w:rsidRPr="00097566">
        <w:rPr>
          <w:rFonts w:ascii="Times New Roman" w:eastAsia="Calibri" w:hAnsi="Times New Roman" w:cs="Times New Roman"/>
          <w:color w:val="000000"/>
          <w:sz w:val="24"/>
          <w:szCs w:val="24"/>
          <w:lang w:eastAsia="zh-CN"/>
        </w:rPr>
        <w:t>On December 14, 2022, the Committee on Public Housing, chaired by Council Member Alexa Avilés, will hold an oversight hearing entitled “</w:t>
      </w:r>
      <w:bookmarkStart w:id="1" w:name="_Hlk121559645"/>
      <w:r w:rsidRPr="00097566">
        <w:rPr>
          <w:rFonts w:ascii="Times New Roman" w:eastAsia="Calibri" w:hAnsi="Times New Roman" w:cs="Times New Roman"/>
          <w:color w:val="000000"/>
          <w:sz w:val="24"/>
          <w:szCs w:val="24"/>
          <w:lang w:eastAsia="zh-CN"/>
        </w:rPr>
        <w:t>Winter Preparedness Across NYCHA Developments</w:t>
      </w:r>
      <w:bookmarkEnd w:id="1"/>
      <w:r w:rsidRPr="00097566">
        <w:rPr>
          <w:rFonts w:ascii="Times New Roman" w:eastAsia="Calibri" w:hAnsi="Times New Roman" w:cs="Times New Roman"/>
          <w:color w:val="000000"/>
          <w:sz w:val="24"/>
          <w:szCs w:val="24"/>
          <w:lang w:eastAsia="zh-CN"/>
        </w:rPr>
        <w:t>.” The Committee expects to hear testimony from officials of the New York City Housing Authority (</w:t>
      </w:r>
      <w:r>
        <w:rPr>
          <w:rFonts w:ascii="Times New Roman" w:eastAsia="Calibri" w:hAnsi="Times New Roman" w:cs="Times New Roman"/>
          <w:color w:val="000000"/>
          <w:sz w:val="24"/>
          <w:szCs w:val="24"/>
          <w:lang w:eastAsia="zh-CN"/>
        </w:rPr>
        <w:t>“</w:t>
      </w:r>
      <w:r w:rsidRPr="00097566">
        <w:rPr>
          <w:rFonts w:ascii="Times New Roman" w:eastAsia="Calibri" w:hAnsi="Times New Roman" w:cs="Times New Roman"/>
          <w:color w:val="000000"/>
          <w:sz w:val="24"/>
          <w:szCs w:val="24"/>
          <w:lang w:eastAsia="zh-CN"/>
        </w:rPr>
        <w:t>NYCHA</w:t>
      </w:r>
      <w:r>
        <w:rPr>
          <w:rFonts w:ascii="Times New Roman" w:eastAsia="Calibri" w:hAnsi="Times New Roman" w:cs="Times New Roman"/>
          <w:color w:val="000000"/>
          <w:sz w:val="24"/>
          <w:szCs w:val="24"/>
          <w:lang w:eastAsia="zh-CN"/>
        </w:rPr>
        <w:t>”</w:t>
      </w:r>
      <w:r w:rsidRPr="00097566">
        <w:rPr>
          <w:rFonts w:ascii="Times New Roman" w:eastAsia="Calibri" w:hAnsi="Times New Roman" w:cs="Times New Roman"/>
          <w:color w:val="000000"/>
          <w:sz w:val="24"/>
          <w:szCs w:val="24"/>
          <w:lang w:eastAsia="zh-CN"/>
        </w:rPr>
        <w:t xml:space="preserve">) regarding what steps it has taken to maintain its boilers, prevent heating and utility outages, and respond to </w:t>
      </w:r>
      <w:r>
        <w:rPr>
          <w:rFonts w:ascii="Times New Roman" w:eastAsia="Calibri" w:hAnsi="Times New Roman" w:cs="Times New Roman"/>
          <w:color w:val="000000"/>
          <w:sz w:val="24"/>
          <w:szCs w:val="24"/>
          <w:lang w:eastAsia="zh-CN"/>
        </w:rPr>
        <w:t xml:space="preserve">heat and hot water </w:t>
      </w:r>
      <w:r w:rsidRPr="00097566">
        <w:rPr>
          <w:rFonts w:ascii="Times New Roman" w:eastAsia="Calibri" w:hAnsi="Times New Roman" w:cs="Times New Roman"/>
          <w:color w:val="000000"/>
          <w:sz w:val="24"/>
          <w:szCs w:val="24"/>
          <w:lang w:eastAsia="zh-CN"/>
        </w:rPr>
        <w:t xml:space="preserve">service disruptions when they occur. </w:t>
      </w:r>
      <w:r w:rsidRPr="00097566">
        <w:rPr>
          <w:rFonts w:ascii="Times New Roman" w:eastAsia="Calibri" w:hAnsi="Times New Roman" w:cs="Times New Roman"/>
          <w:color w:val="000000"/>
          <w:sz w:val="24"/>
          <w:szCs w:val="24"/>
          <w:lang w:eastAsia="zh-CN"/>
        </w:rPr>
        <w:lastRenderedPageBreak/>
        <w:t>The Committee has also i</w:t>
      </w:r>
      <w:r>
        <w:rPr>
          <w:rFonts w:ascii="Times New Roman" w:eastAsia="Calibri" w:hAnsi="Times New Roman" w:cs="Times New Roman"/>
          <w:color w:val="000000"/>
          <w:sz w:val="24"/>
          <w:szCs w:val="24"/>
          <w:lang w:eastAsia="zh-CN"/>
        </w:rPr>
        <w:t>nvited to testify NYCHA tenants,</w:t>
      </w:r>
      <w:r w:rsidRPr="00097566">
        <w:rPr>
          <w:rFonts w:ascii="Times New Roman" w:eastAsia="Calibri" w:hAnsi="Times New Roman" w:cs="Times New Roman"/>
          <w:color w:val="000000"/>
          <w:sz w:val="24"/>
          <w:szCs w:val="24"/>
          <w:lang w:eastAsia="zh-CN"/>
        </w:rPr>
        <w:t xml:space="preserve"> resident associations</w:t>
      </w:r>
      <w:r>
        <w:rPr>
          <w:rFonts w:ascii="Times New Roman" w:eastAsia="Calibri" w:hAnsi="Times New Roman" w:cs="Times New Roman"/>
          <w:color w:val="000000"/>
          <w:sz w:val="24"/>
          <w:szCs w:val="24"/>
          <w:lang w:eastAsia="zh-CN"/>
        </w:rPr>
        <w:t>,</w:t>
      </w:r>
      <w:r w:rsidRPr="00097566">
        <w:rPr>
          <w:rFonts w:ascii="Times New Roman" w:eastAsia="Calibri" w:hAnsi="Times New Roman" w:cs="Times New Roman"/>
          <w:color w:val="000000"/>
          <w:sz w:val="24"/>
          <w:szCs w:val="24"/>
          <w:lang w:eastAsia="zh-CN"/>
        </w:rPr>
        <w:t xml:space="preserve"> and advocacy groups, regarding the impact of NYCHA’s heat and utility policies and management on residents.</w:t>
      </w:r>
    </w:p>
    <w:p w:rsidR="00AE1697" w:rsidRPr="00097566" w:rsidRDefault="00AE1697" w:rsidP="00AE1697">
      <w:pPr>
        <w:suppressAutoHyphens/>
        <w:spacing w:after="0" w:line="480" w:lineRule="auto"/>
        <w:jc w:val="both"/>
        <w:rPr>
          <w:rFonts w:ascii="Times New Roman" w:eastAsia="Calibri" w:hAnsi="Times New Roman" w:cs="Times New Roman"/>
          <w:b/>
          <w:i/>
          <w:iCs/>
          <w:sz w:val="24"/>
          <w:szCs w:val="24"/>
          <w:u w:val="single"/>
          <w:lang w:eastAsia="zh-CN"/>
        </w:rPr>
      </w:pPr>
      <w:r w:rsidRPr="00097566">
        <w:rPr>
          <w:rFonts w:ascii="Times New Roman" w:eastAsia="Calibri" w:hAnsi="Times New Roman" w:cs="Times New Roman"/>
          <w:b/>
          <w:i/>
          <w:iCs/>
          <w:color w:val="000000"/>
          <w:sz w:val="24"/>
          <w:szCs w:val="24"/>
          <w:u w:val="single"/>
          <w:lang w:eastAsia="zh-CN"/>
        </w:rPr>
        <w:t>Background on NYCHA and Public Housing</w:t>
      </w:r>
    </w:p>
    <w:p w:rsidR="00AE1697" w:rsidRPr="00097566" w:rsidRDefault="00AE1697" w:rsidP="00AE1697">
      <w:pPr>
        <w:suppressAutoHyphens/>
        <w:spacing w:after="0" w:line="480" w:lineRule="auto"/>
        <w:ind w:firstLine="720"/>
        <w:jc w:val="both"/>
        <w:rPr>
          <w:rFonts w:ascii="Times New Roman" w:eastAsia="Calibri" w:hAnsi="Times New Roman" w:cs="Times New Roman"/>
          <w:sz w:val="24"/>
          <w:szCs w:val="24"/>
          <w:lang w:eastAsia="zh-CN"/>
        </w:rPr>
      </w:pPr>
      <w:r w:rsidRPr="00097566">
        <w:rPr>
          <w:rFonts w:ascii="Times New Roman" w:eastAsia="Calibri" w:hAnsi="Times New Roman" w:cs="Times New Roman"/>
          <w:sz w:val="24"/>
          <w:szCs w:val="24"/>
          <w:lang w:eastAsia="zh-CN"/>
        </w:rPr>
        <w:t xml:space="preserve">Former New York City Mayor Fiorello La Guardia created NYCHA in 1934 </w:t>
      </w:r>
      <w:r w:rsidRPr="00097566">
        <w:rPr>
          <w:rFonts w:ascii="Times New Roman" w:eastAsia="Times New Roman" w:hAnsi="Times New Roman" w:cs="Times New Roman"/>
          <w:sz w:val="24"/>
          <w:szCs w:val="24"/>
          <w:lang w:eastAsia="zh-CN"/>
        </w:rPr>
        <w:t>to replace dilapidated tenements using funds from The New Deal,</w:t>
      </w:r>
      <w:r w:rsidRPr="00097566">
        <w:rPr>
          <w:rFonts w:ascii="Times New Roman" w:eastAsia="Times New Roman" w:hAnsi="Times New Roman" w:cs="Times New Roman"/>
          <w:sz w:val="24"/>
          <w:szCs w:val="24"/>
          <w:vertAlign w:val="superscript"/>
          <w:lang w:eastAsia="zh-CN"/>
        </w:rPr>
        <w:footnoteReference w:id="1"/>
      </w:r>
      <w:r w:rsidRPr="00097566">
        <w:rPr>
          <w:rFonts w:ascii="Times New Roman" w:eastAsia="Times New Roman" w:hAnsi="Times New Roman" w:cs="Times New Roman"/>
          <w:sz w:val="24"/>
          <w:szCs w:val="24"/>
          <w:lang w:eastAsia="zh-CN"/>
        </w:rPr>
        <w:t xml:space="preserve"> three years before the Housing Act of 1937 established public housing nationwide.</w:t>
      </w:r>
      <w:r w:rsidRPr="00097566">
        <w:rPr>
          <w:rFonts w:ascii="Times New Roman" w:eastAsia="Times New Roman" w:hAnsi="Times New Roman" w:cs="Times New Roman"/>
          <w:sz w:val="24"/>
          <w:szCs w:val="24"/>
          <w:vertAlign w:val="superscript"/>
          <w:lang w:eastAsia="zh-CN"/>
        </w:rPr>
        <w:footnoteReference w:id="2"/>
      </w:r>
      <w:r w:rsidRPr="00097566">
        <w:rPr>
          <w:rFonts w:ascii="Times New Roman" w:eastAsia="Times New Roman" w:hAnsi="Times New Roman" w:cs="Times New Roman"/>
          <w:sz w:val="24"/>
          <w:szCs w:val="24"/>
          <w:lang w:eastAsia="zh-CN"/>
        </w:rPr>
        <w:t xml:space="preserve"> </w:t>
      </w:r>
      <w:r w:rsidRPr="00097566">
        <w:rPr>
          <w:rFonts w:ascii="Times New Roman" w:eastAsia="Calibri" w:hAnsi="Times New Roman" w:cs="Times New Roman"/>
          <w:sz w:val="24"/>
          <w:szCs w:val="24"/>
          <w:lang w:eastAsia="zh-CN"/>
        </w:rPr>
        <w:t>NYCHA originally served two purposes: (1) to provide low-cost housing for middle-class, working families temporarily unemployed because of the Great Depression and (2) to bolster the lagging economy by creating jobs for the building trades.</w:t>
      </w:r>
      <w:r w:rsidRPr="00097566">
        <w:rPr>
          <w:rFonts w:ascii="Times New Roman" w:eastAsia="Calibri" w:hAnsi="Times New Roman" w:cs="Times New Roman"/>
          <w:sz w:val="24"/>
          <w:szCs w:val="24"/>
          <w:vertAlign w:val="superscript"/>
          <w:lang w:eastAsia="zh-CN"/>
        </w:rPr>
        <w:footnoteReference w:id="3"/>
      </w:r>
      <w:r w:rsidRPr="00097566">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00097566">
        <w:rPr>
          <w:rFonts w:ascii="Times New Roman" w:eastAsia="Calibri" w:hAnsi="Times New Roman" w:cs="Times New Roman"/>
          <w:sz w:val="24"/>
          <w:szCs w:val="24"/>
          <w:vertAlign w:val="superscript"/>
          <w:lang w:eastAsia="zh-CN"/>
        </w:rPr>
        <w:footnoteReference w:id="4"/>
      </w:r>
      <w:r w:rsidRPr="00097566">
        <w:rPr>
          <w:rFonts w:ascii="Times New Roman" w:eastAsia="Calibri" w:hAnsi="Times New Roman" w:cs="Times New Roman"/>
          <w:sz w:val="24"/>
          <w:szCs w:val="24"/>
          <w:lang w:eastAsia="zh-CN"/>
        </w:rPr>
        <w:t xml:space="preserve"> </w:t>
      </w:r>
    </w:p>
    <w:p w:rsidR="00AE1697" w:rsidRPr="00097566" w:rsidRDefault="00AE1697" w:rsidP="00AE1697">
      <w:pPr>
        <w:suppressAutoHyphens/>
        <w:spacing w:after="0" w:line="480" w:lineRule="auto"/>
        <w:ind w:firstLine="720"/>
        <w:jc w:val="both"/>
        <w:rPr>
          <w:rFonts w:ascii="Times New Roman" w:eastAsia="Calibri" w:hAnsi="Times New Roman" w:cs="Times New Roman"/>
          <w:sz w:val="24"/>
          <w:szCs w:val="24"/>
          <w:lang w:eastAsia="zh-CN"/>
        </w:rPr>
      </w:pPr>
      <w:r w:rsidRPr="00097566">
        <w:rPr>
          <w:rFonts w:ascii="Times New Roman" w:eastAsia="Calibri" w:hAnsi="Times New Roman" w:cs="Times New Roman"/>
          <w:sz w:val="24"/>
          <w:szCs w:val="24"/>
          <w:lang w:eastAsia="zh-CN"/>
        </w:rPr>
        <w:t xml:space="preserve">Today, NYCHA has </w:t>
      </w:r>
      <w:r>
        <w:rPr>
          <w:rFonts w:ascii="Times New Roman" w:eastAsia="Calibri" w:hAnsi="Times New Roman" w:cs="Times New Roman"/>
          <w:sz w:val="24"/>
          <w:szCs w:val="24"/>
          <w:lang w:eastAsia="zh-CN"/>
        </w:rPr>
        <w:t>335</w:t>
      </w:r>
      <w:r w:rsidRPr="00097566">
        <w:rPr>
          <w:rFonts w:ascii="Times New Roman" w:eastAsia="Calibri" w:hAnsi="Times New Roman" w:cs="Times New Roman"/>
          <w:sz w:val="24"/>
          <w:szCs w:val="24"/>
          <w:lang w:eastAsia="zh-CN"/>
        </w:rPr>
        <w:t xml:space="preserve"> developments, and </w:t>
      </w:r>
      <w:r>
        <w:rPr>
          <w:rFonts w:ascii="Times New Roman" w:eastAsia="Calibri" w:hAnsi="Times New Roman" w:cs="Times New Roman"/>
          <w:sz w:val="24"/>
          <w:szCs w:val="24"/>
          <w:lang w:eastAsia="zh-CN"/>
        </w:rPr>
        <w:t>177,569</w:t>
      </w:r>
      <w:r w:rsidRPr="00097566">
        <w:rPr>
          <w:rFonts w:ascii="Times New Roman" w:eastAsia="Calibri" w:hAnsi="Times New Roman" w:cs="Times New Roman"/>
          <w:sz w:val="24"/>
          <w:szCs w:val="24"/>
          <w:lang w:eastAsia="zh-CN"/>
        </w:rPr>
        <w:t xml:space="preserve"> units home to </w:t>
      </w:r>
      <w:r>
        <w:rPr>
          <w:rFonts w:ascii="Times New Roman" w:eastAsia="Calibri" w:hAnsi="Times New Roman" w:cs="Times New Roman"/>
          <w:sz w:val="24"/>
          <w:szCs w:val="24"/>
          <w:lang w:eastAsia="zh-CN"/>
        </w:rPr>
        <w:t>525,686</w:t>
      </w:r>
      <w:r w:rsidRPr="00097566">
        <w:rPr>
          <w:rFonts w:ascii="Times New Roman" w:eastAsia="Calibri" w:hAnsi="Times New Roman" w:cs="Times New Roman"/>
          <w:sz w:val="24"/>
          <w:szCs w:val="24"/>
          <w:lang w:eastAsia="zh-CN"/>
        </w:rPr>
        <w:t xml:space="preserve"> authorized residents, </w:t>
      </w:r>
      <w:r>
        <w:rPr>
          <w:rFonts w:ascii="Times New Roman" w:eastAsia="Calibri" w:hAnsi="Times New Roman" w:cs="Times New Roman"/>
          <w:sz w:val="24"/>
          <w:szCs w:val="24"/>
          <w:lang w:eastAsia="zh-CN"/>
        </w:rPr>
        <w:t>through the conventional public housing program, the Housing Choice Voucher program created by the United States Housing and Community Development Act of 1978 (“Section 8”), and through the Permanent Affordability Commitment Together Program (“PACT”), which is NYCHA’s implementation of the federal Rental Assistance Demonstration (“RAD”) program</w:t>
      </w:r>
      <w:r w:rsidRPr="00097566">
        <w:rPr>
          <w:rFonts w:ascii="Times New Roman" w:eastAsia="Calibri" w:hAnsi="Times New Roman" w:cs="Times New Roman"/>
          <w:sz w:val="24"/>
          <w:szCs w:val="24"/>
          <w:lang w:eastAsia="zh-CN"/>
        </w:rPr>
        <w:t>.</w:t>
      </w:r>
      <w:r w:rsidRPr="00097566">
        <w:rPr>
          <w:rFonts w:ascii="Times New Roman" w:eastAsia="Calibri" w:hAnsi="Times New Roman" w:cs="Times New Roman"/>
          <w:sz w:val="24"/>
          <w:szCs w:val="24"/>
          <w:vertAlign w:val="superscript"/>
          <w:lang w:eastAsia="zh-CN"/>
        </w:rPr>
        <w:footnoteReference w:id="5"/>
      </w:r>
    </w:p>
    <w:p w:rsidR="00AE1697" w:rsidRPr="00097566" w:rsidRDefault="00AE1697" w:rsidP="00AE1697">
      <w:pPr>
        <w:suppressAutoHyphens/>
        <w:spacing w:after="0" w:line="480" w:lineRule="auto"/>
        <w:contextualSpacing/>
        <w:jc w:val="both"/>
        <w:rPr>
          <w:rFonts w:ascii="Times New Roman" w:eastAsia="Calibri" w:hAnsi="Times New Roman" w:cs="Times New Roman"/>
          <w:bCs/>
          <w:i/>
          <w:iCs/>
          <w:sz w:val="24"/>
          <w:szCs w:val="24"/>
          <w:lang w:eastAsia="zh-CN"/>
        </w:rPr>
      </w:pPr>
      <w:r w:rsidRPr="00097566">
        <w:rPr>
          <w:rFonts w:ascii="Times New Roman" w:hAnsi="Times New Roman" w:cs="Times New Roman"/>
          <w:bCs/>
          <w:i/>
          <w:iCs/>
          <w:sz w:val="24"/>
          <w:szCs w:val="24"/>
        </w:rPr>
        <w:t>Heat Season in New York City</w:t>
      </w:r>
    </w:p>
    <w:p w:rsidR="00AE1697" w:rsidRPr="00097566" w:rsidRDefault="00AE1697" w:rsidP="00AE1697">
      <w:pPr>
        <w:spacing w:after="0" w:line="480" w:lineRule="auto"/>
        <w:ind w:firstLine="720"/>
        <w:jc w:val="both"/>
        <w:rPr>
          <w:rFonts w:ascii="Times New Roman" w:hAnsi="Times New Roman" w:cs="Times New Roman"/>
          <w:sz w:val="24"/>
          <w:szCs w:val="24"/>
        </w:rPr>
      </w:pPr>
      <w:r w:rsidRPr="00097566">
        <w:rPr>
          <w:rFonts w:ascii="Times New Roman" w:hAnsi="Times New Roman" w:cs="Times New Roman"/>
          <w:sz w:val="24"/>
          <w:szCs w:val="24"/>
        </w:rPr>
        <w:t>Building owners in New York City are legally required to provide heat and hot water to tenants. Hot water must be provided 365 days per year at a consistent minimum temperature of 120 degrees Fahrenheit.</w:t>
      </w:r>
      <w:r w:rsidRPr="00097566">
        <w:rPr>
          <w:rStyle w:val="FootnoteReference"/>
          <w:rFonts w:ascii="Times New Roman" w:hAnsi="Times New Roman"/>
          <w:sz w:val="24"/>
          <w:szCs w:val="24"/>
        </w:rPr>
        <w:footnoteReference w:id="6"/>
      </w:r>
      <w:r w:rsidRPr="00097566">
        <w:rPr>
          <w:rFonts w:ascii="Times New Roman" w:hAnsi="Times New Roman" w:cs="Times New Roman"/>
          <w:sz w:val="24"/>
          <w:szCs w:val="24"/>
        </w:rPr>
        <w:t xml:space="preserve"> From October 1 through May 31 (</w:t>
      </w:r>
      <w:r w:rsidRPr="003E3E9E">
        <w:rPr>
          <w:rFonts w:ascii="Times New Roman" w:hAnsi="Times New Roman" w:cs="Times New Roman"/>
          <w:i/>
          <w:sz w:val="24"/>
          <w:szCs w:val="24"/>
        </w:rPr>
        <w:t>i.e.</w:t>
      </w:r>
      <w:r w:rsidRPr="00097566">
        <w:rPr>
          <w:rFonts w:ascii="Times New Roman" w:hAnsi="Times New Roman" w:cs="Times New Roman"/>
          <w:sz w:val="24"/>
          <w:szCs w:val="24"/>
        </w:rPr>
        <w:t xml:space="preserve"> “heat season”), </w:t>
      </w:r>
      <w:r>
        <w:rPr>
          <w:rFonts w:ascii="Times New Roman" w:hAnsi="Times New Roman" w:cs="Times New Roman"/>
          <w:sz w:val="24"/>
          <w:szCs w:val="24"/>
        </w:rPr>
        <w:t>between the hours of</w:t>
      </w:r>
      <w:r w:rsidRPr="00097566">
        <w:rPr>
          <w:rFonts w:ascii="Times New Roman" w:hAnsi="Times New Roman" w:cs="Times New Roman"/>
          <w:sz w:val="24"/>
          <w:szCs w:val="24"/>
        </w:rPr>
        <w:t xml:space="preserve"> 6:00 AM and 10:00 PM</w:t>
      </w:r>
      <w:r>
        <w:rPr>
          <w:rFonts w:ascii="Times New Roman" w:hAnsi="Times New Roman" w:cs="Times New Roman"/>
          <w:sz w:val="24"/>
          <w:szCs w:val="24"/>
        </w:rPr>
        <w:t xml:space="preserve">, </w:t>
      </w:r>
      <w:r w:rsidRPr="00097566">
        <w:rPr>
          <w:rFonts w:ascii="Times New Roman" w:hAnsi="Times New Roman" w:cs="Times New Roman"/>
          <w:sz w:val="24"/>
          <w:szCs w:val="24"/>
        </w:rPr>
        <w:t xml:space="preserve">if the </w:t>
      </w:r>
      <w:r>
        <w:rPr>
          <w:rFonts w:ascii="Times New Roman" w:hAnsi="Times New Roman" w:cs="Times New Roman"/>
          <w:sz w:val="24"/>
          <w:szCs w:val="24"/>
        </w:rPr>
        <w:t>outdoor</w:t>
      </w:r>
      <w:r w:rsidRPr="00097566">
        <w:rPr>
          <w:rFonts w:ascii="Times New Roman" w:hAnsi="Times New Roman" w:cs="Times New Roman"/>
          <w:sz w:val="24"/>
          <w:szCs w:val="24"/>
        </w:rPr>
        <w:t xml:space="preserve"> temperature falls below 55 degrees</w:t>
      </w:r>
      <w:r>
        <w:rPr>
          <w:rFonts w:ascii="Times New Roman" w:hAnsi="Times New Roman" w:cs="Times New Roman"/>
          <w:sz w:val="24"/>
          <w:szCs w:val="24"/>
        </w:rPr>
        <w:t xml:space="preserve"> Fahrenheit</w:t>
      </w:r>
      <w:r w:rsidRPr="00097566">
        <w:rPr>
          <w:rFonts w:ascii="Times New Roman" w:hAnsi="Times New Roman" w:cs="Times New Roman"/>
          <w:sz w:val="24"/>
          <w:szCs w:val="24"/>
        </w:rPr>
        <w:t>,</w:t>
      </w:r>
      <w:r>
        <w:rPr>
          <w:rFonts w:ascii="Times New Roman" w:hAnsi="Times New Roman" w:cs="Times New Roman"/>
          <w:sz w:val="24"/>
          <w:szCs w:val="24"/>
        </w:rPr>
        <w:t xml:space="preserve"> a</w:t>
      </w:r>
      <w:r w:rsidRPr="00097566">
        <w:rPr>
          <w:rFonts w:ascii="Times New Roman" w:hAnsi="Times New Roman" w:cs="Times New Roman"/>
          <w:sz w:val="24"/>
          <w:szCs w:val="24"/>
        </w:rPr>
        <w:t>ll residential building owners must provide tenants with heat so</w:t>
      </w:r>
      <w:r>
        <w:rPr>
          <w:rFonts w:ascii="Times New Roman" w:hAnsi="Times New Roman" w:cs="Times New Roman"/>
          <w:sz w:val="24"/>
          <w:szCs w:val="24"/>
        </w:rPr>
        <w:t xml:space="preserve"> that</w:t>
      </w:r>
      <w:r w:rsidRPr="00097566">
        <w:rPr>
          <w:rFonts w:ascii="Times New Roman" w:hAnsi="Times New Roman" w:cs="Times New Roman"/>
          <w:sz w:val="24"/>
          <w:szCs w:val="24"/>
        </w:rPr>
        <w:t xml:space="preserve"> the </w:t>
      </w:r>
      <w:r>
        <w:rPr>
          <w:rFonts w:ascii="Times New Roman" w:hAnsi="Times New Roman" w:cs="Times New Roman"/>
          <w:sz w:val="24"/>
          <w:szCs w:val="24"/>
        </w:rPr>
        <w:t>indoor</w:t>
      </w:r>
      <w:r w:rsidRPr="00097566">
        <w:rPr>
          <w:rFonts w:ascii="Times New Roman" w:hAnsi="Times New Roman" w:cs="Times New Roman"/>
          <w:sz w:val="24"/>
          <w:szCs w:val="24"/>
        </w:rPr>
        <w:t xml:space="preserve"> temperature is at least 68 degrees</w:t>
      </w:r>
      <w:r>
        <w:rPr>
          <w:rFonts w:ascii="Times New Roman" w:hAnsi="Times New Roman" w:cs="Times New Roman"/>
          <w:sz w:val="24"/>
          <w:szCs w:val="24"/>
        </w:rPr>
        <w:t xml:space="preserve"> Fahrenheit</w:t>
      </w:r>
      <w:r w:rsidRPr="00097566">
        <w:rPr>
          <w:rFonts w:ascii="Times New Roman" w:hAnsi="Times New Roman" w:cs="Times New Roman"/>
          <w:sz w:val="24"/>
          <w:szCs w:val="24"/>
        </w:rPr>
        <w:t>.</w:t>
      </w:r>
      <w:r w:rsidRPr="00097566">
        <w:rPr>
          <w:rStyle w:val="FootnoteReference"/>
          <w:rFonts w:ascii="Times New Roman" w:hAnsi="Times New Roman"/>
          <w:sz w:val="24"/>
          <w:szCs w:val="24"/>
        </w:rPr>
        <w:footnoteReference w:id="7"/>
      </w:r>
      <w:r w:rsidRPr="00097566">
        <w:rPr>
          <w:rFonts w:ascii="Times New Roman" w:hAnsi="Times New Roman" w:cs="Times New Roman"/>
          <w:sz w:val="24"/>
          <w:szCs w:val="24"/>
        </w:rPr>
        <w:t xml:space="preserve"> Between 10:00 PM and 6:00AM, the </w:t>
      </w:r>
      <w:r>
        <w:rPr>
          <w:rFonts w:ascii="Times New Roman" w:hAnsi="Times New Roman" w:cs="Times New Roman"/>
          <w:sz w:val="24"/>
          <w:szCs w:val="24"/>
        </w:rPr>
        <w:t>indoor</w:t>
      </w:r>
      <w:r w:rsidRPr="00097566">
        <w:rPr>
          <w:rFonts w:ascii="Times New Roman" w:hAnsi="Times New Roman" w:cs="Times New Roman"/>
          <w:sz w:val="24"/>
          <w:szCs w:val="24"/>
        </w:rPr>
        <w:t xml:space="preserve"> temperature must be at least 62 degrees</w:t>
      </w:r>
      <w:r>
        <w:rPr>
          <w:rFonts w:ascii="Times New Roman" w:hAnsi="Times New Roman" w:cs="Times New Roman"/>
          <w:sz w:val="24"/>
          <w:szCs w:val="24"/>
        </w:rPr>
        <w:t xml:space="preserve"> Fahrenheit</w:t>
      </w:r>
      <w:r w:rsidRPr="00097566">
        <w:rPr>
          <w:rFonts w:ascii="Times New Roman" w:hAnsi="Times New Roman" w:cs="Times New Roman"/>
          <w:sz w:val="24"/>
          <w:szCs w:val="24"/>
        </w:rPr>
        <w:t xml:space="preserve">, </w:t>
      </w:r>
      <w:r>
        <w:rPr>
          <w:rFonts w:ascii="Times New Roman" w:hAnsi="Times New Roman" w:cs="Times New Roman"/>
          <w:sz w:val="24"/>
          <w:szCs w:val="24"/>
        </w:rPr>
        <w:t>regardless of</w:t>
      </w:r>
      <w:r w:rsidRPr="00097566">
        <w:rPr>
          <w:rFonts w:ascii="Times New Roman" w:hAnsi="Times New Roman" w:cs="Times New Roman"/>
          <w:sz w:val="24"/>
          <w:szCs w:val="24"/>
        </w:rPr>
        <w:t xml:space="preserve"> the </w:t>
      </w:r>
      <w:r>
        <w:rPr>
          <w:rFonts w:ascii="Times New Roman" w:hAnsi="Times New Roman" w:cs="Times New Roman"/>
          <w:sz w:val="24"/>
          <w:szCs w:val="24"/>
        </w:rPr>
        <w:t>outdoor</w:t>
      </w:r>
      <w:r w:rsidRPr="00097566">
        <w:rPr>
          <w:rFonts w:ascii="Times New Roman" w:hAnsi="Times New Roman" w:cs="Times New Roman"/>
          <w:sz w:val="24"/>
          <w:szCs w:val="24"/>
        </w:rPr>
        <w:t xml:space="preserve"> temperature.</w:t>
      </w:r>
      <w:r w:rsidRPr="00097566">
        <w:rPr>
          <w:rStyle w:val="FootnoteReference"/>
          <w:rFonts w:ascii="Times New Roman" w:hAnsi="Times New Roman"/>
          <w:sz w:val="24"/>
          <w:szCs w:val="24"/>
        </w:rPr>
        <w:footnoteReference w:id="8"/>
      </w:r>
    </w:p>
    <w:p w:rsidR="00AE1697" w:rsidRPr="00097566" w:rsidRDefault="00AE1697" w:rsidP="00AE1697">
      <w:pPr>
        <w:spacing w:after="0" w:line="480" w:lineRule="auto"/>
        <w:jc w:val="both"/>
        <w:rPr>
          <w:rFonts w:ascii="Times New Roman" w:eastAsia="Times New Roman" w:hAnsi="Times New Roman" w:cs="Times New Roman"/>
          <w:i/>
          <w:iCs/>
          <w:color w:val="000000"/>
          <w:sz w:val="24"/>
          <w:szCs w:val="24"/>
          <w:bdr w:val="none" w:sz="0" w:space="0" w:color="auto" w:frame="1"/>
        </w:rPr>
      </w:pPr>
      <w:r w:rsidRPr="00097566">
        <w:rPr>
          <w:rFonts w:ascii="Times New Roman" w:hAnsi="Times New Roman" w:cs="Times New Roman"/>
          <w:i/>
          <w:iCs/>
          <w:color w:val="000000"/>
          <w:sz w:val="24"/>
          <w:szCs w:val="24"/>
          <w:bdr w:val="none" w:sz="0" w:space="0" w:color="auto" w:frame="1"/>
        </w:rPr>
        <w:t>Background on NYCHA’s Heating Systems and the Heating Management Service Department</w:t>
      </w:r>
    </w:p>
    <w:p w:rsidR="00AE1697" w:rsidRPr="00097566" w:rsidRDefault="00AE1697" w:rsidP="00AE1697">
      <w:pPr>
        <w:spacing w:after="0" w:line="480" w:lineRule="auto"/>
        <w:ind w:firstLine="720"/>
        <w:jc w:val="both"/>
        <w:rPr>
          <w:rFonts w:ascii="Times New Roman" w:hAnsi="Times New Roman" w:cs="Times New Roman"/>
          <w:sz w:val="24"/>
          <w:szCs w:val="24"/>
          <w:bdr w:val="none" w:sz="0" w:space="0" w:color="auto" w:frame="1"/>
        </w:rPr>
      </w:pPr>
      <w:r w:rsidRPr="00097566">
        <w:rPr>
          <w:rFonts w:ascii="Times New Roman" w:hAnsi="Times New Roman" w:cs="Times New Roman"/>
          <w:sz w:val="24"/>
          <w:szCs w:val="24"/>
          <w:bdr w:val="none" w:sz="0" w:space="0" w:color="auto" w:frame="1"/>
        </w:rPr>
        <w:t>Heating for NYCHA housing is provided through a “heating plant” in each building or development. Each plant typically includes at least one boiler and a system of pipes and radiators.</w:t>
      </w:r>
      <w:bookmarkStart w:id="2" w:name="_Ref121729600"/>
      <w:r w:rsidRPr="00097566">
        <w:rPr>
          <w:rStyle w:val="FootnoteReference"/>
          <w:rFonts w:ascii="Times New Roman" w:hAnsi="Times New Roman"/>
          <w:sz w:val="24"/>
          <w:szCs w:val="24"/>
          <w:bdr w:val="none" w:sz="0" w:space="0" w:color="auto" w:frame="1"/>
        </w:rPr>
        <w:footnoteReference w:id="9"/>
      </w:r>
      <w:bookmarkEnd w:id="2"/>
      <w:r w:rsidRPr="00097566">
        <w:rPr>
          <w:rFonts w:ascii="Times New Roman" w:hAnsi="Times New Roman" w:cs="Times New Roman"/>
          <w:sz w:val="24"/>
          <w:szCs w:val="24"/>
          <w:bdr w:val="none" w:sz="0" w:space="0" w:color="auto" w:frame="1"/>
        </w:rPr>
        <w:t xml:space="preserve"> Heating plants are maintained by NYCHA staff, vendors, and private management. NYCHA’s systemwide heating operation uses 1,713 boilers, 1,492 vacuum tanks, and 847 instantaneous water heaters.</w:t>
      </w:r>
      <w:r w:rsidRPr="00097566">
        <w:rPr>
          <w:rStyle w:val="FootnoteReference"/>
          <w:rFonts w:ascii="Times New Roman" w:hAnsi="Times New Roman"/>
          <w:sz w:val="24"/>
          <w:szCs w:val="24"/>
          <w:bdr w:val="none" w:sz="0" w:space="0" w:color="auto" w:frame="1"/>
        </w:rPr>
        <w:footnoteReference w:id="10"/>
      </w:r>
      <w:r w:rsidRPr="00097566">
        <w:rPr>
          <w:rFonts w:ascii="Times New Roman" w:hAnsi="Times New Roman" w:cs="Times New Roman"/>
          <w:sz w:val="24"/>
          <w:szCs w:val="24"/>
          <w:bdr w:val="none" w:sz="0" w:space="0" w:color="auto" w:frame="1"/>
        </w:rPr>
        <w:t xml:space="preserve"> </w:t>
      </w:r>
    </w:p>
    <w:p w:rsidR="00AE1697" w:rsidRPr="00097566" w:rsidRDefault="00AE1697" w:rsidP="00AE1697">
      <w:pPr>
        <w:spacing w:after="0" w:line="480" w:lineRule="auto"/>
        <w:ind w:firstLine="720"/>
        <w:jc w:val="both"/>
        <w:rPr>
          <w:rFonts w:ascii="Times New Roman" w:hAnsi="Times New Roman" w:cs="Times New Roman"/>
          <w:sz w:val="24"/>
          <w:szCs w:val="24"/>
          <w:bdr w:val="none" w:sz="0" w:space="0" w:color="auto" w:frame="1"/>
        </w:rPr>
      </w:pPr>
      <w:r w:rsidRPr="00097566">
        <w:rPr>
          <w:rFonts w:ascii="Times New Roman" w:hAnsi="Times New Roman" w:cs="Times New Roman"/>
          <w:sz w:val="24"/>
          <w:szCs w:val="24"/>
          <w:bdr w:val="none" w:sz="0" w:space="0" w:color="auto" w:frame="1"/>
        </w:rPr>
        <w:t>NYCHA’s heating operation is managed by the Heating Management Service Department (</w:t>
      </w:r>
      <w:r>
        <w:rPr>
          <w:rFonts w:ascii="Times New Roman" w:hAnsi="Times New Roman" w:cs="Times New Roman"/>
          <w:sz w:val="24"/>
          <w:szCs w:val="24"/>
          <w:bdr w:val="none" w:sz="0" w:space="0" w:color="auto" w:frame="1"/>
        </w:rPr>
        <w:t>“</w:t>
      </w:r>
      <w:r w:rsidRPr="00097566">
        <w:rPr>
          <w:rFonts w:ascii="Times New Roman" w:hAnsi="Times New Roman" w:cs="Times New Roman"/>
          <w:sz w:val="24"/>
          <w:szCs w:val="24"/>
          <w:bdr w:val="none" w:sz="0" w:space="0" w:color="auto" w:frame="1"/>
        </w:rPr>
        <w:t>HMSD</w:t>
      </w:r>
      <w:r>
        <w:rPr>
          <w:rFonts w:ascii="Times New Roman" w:hAnsi="Times New Roman" w:cs="Times New Roman"/>
          <w:sz w:val="24"/>
          <w:szCs w:val="24"/>
          <w:bdr w:val="none" w:sz="0" w:space="0" w:color="auto" w:frame="1"/>
        </w:rPr>
        <w:t>”</w:t>
      </w:r>
      <w:r w:rsidRPr="00097566">
        <w:rPr>
          <w:rFonts w:ascii="Times New Roman" w:hAnsi="Times New Roman" w:cs="Times New Roman"/>
          <w:sz w:val="24"/>
          <w:szCs w:val="24"/>
          <w:bdr w:val="none" w:sz="0" w:space="0" w:color="auto" w:frame="1"/>
        </w:rPr>
        <w:t>). HMSD uses federal operating dollars and City funding to manage and repair boiler plants, tank rooms, and ancillary equipment. The department’s total FY22 operating expense budget is $85.13 million.</w:t>
      </w:r>
      <w:r w:rsidRPr="00097566">
        <w:rPr>
          <w:rStyle w:val="FootnoteReference"/>
          <w:rFonts w:ascii="Times New Roman" w:hAnsi="Times New Roman"/>
          <w:sz w:val="24"/>
          <w:szCs w:val="24"/>
          <w:bdr w:val="none" w:sz="0" w:space="0" w:color="auto" w:frame="1"/>
        </w:rPr>
        <w:footnoteReference w:id="11"/>
      </w:r>
      <w:r w:rsidRPr="00097566">
        <w:rPr>
          <w:rFonts w:ascii="Times New Roman" w:hAnsi="Times New Roman" w:cs="Times New Roman"/>
          <w:sz w:val="24"/>
          <w:szCs w:val="24"/>
          <w:bdr w:val="none" w:sz="0" w:space="0" w:color="auto" w:frame="1"/>
        </w:rPr>
        <w:t xml:space="preserve"> HMSD employed 549 full time staff as of October 31, 2019.</w:t>
      </w:r>
      <w:r w:rsidRPr="00097566">
        <w:rPr>
          <w:rFonts w:ascii="Times New Roman" w:hAnsi="Times New Roman" w:cs="Times New Roman"/>
          <w:sz w:val="24"/>
          <w:szCs w:val="24"/>
          <w:bdr w:val="none" w:sz="0" w:space="0" w:color="auto" w:frame="1"/>
          <w:vertAlign w:val="superscript"/>
        </w:rPr>
        <w:footnoteReference w:id="12"/>
      </w:r>
      <w:r w:rsidRPr="00097566">
        <w:rPr>
          <w:rFonts w:ascii="Times New Roman" w:hAnsi="Times New Roman" w:cs="Times New Roman"/>
          <w:sz w:val="24"/>
          <w:szCs w:val="24"/>
          <w:bdr w:val="none" w:sz="0" w:space="0" w:color="auto" w:frame="1"/>
        </w:rPr>
        <w:t xml:space="preserve"> The majority of HMSD’s frontline staff are organized into thirteen geographic clusters: three in the Bronx, four in Brooklyn, three in Manhattan, two in Queens, and one in Staten Island.</w:t>
      </w:r>
      <w:r w:rsidRPr="00097566">
        <w:rPr>
          <w:rStyle w:val="FootnoteReference"/>
          <w:rFonts w:ascii="Times New Roman" w:hAnsi="Times New Roman"/>
          <w:sz w:val="24"/>
          <w:szCs w:val="24"/>
          <w:bdr w:val="none" w:sz="0" w:space="0" w:color="auto" w:frame="1"/>
        </w:rPr>
        <w:footnoteReference w:id="13"/>
      </w:r>
      <w:r w:rsidRPr="00097566">
        <w:rPr>
          <w:rFonts w:ascii="Times New Roman" w:hAnsi="Times New Roman" w:cs="Times New Roman"/>
          <w:sz w:val="24"/>
          <w:szCs w:val="24"/>
          <w:bdr w:val="none" w:sz="0" w:space="0" w:color="auto" w:frame="1"/>
        </w:rPr>
        <w:t xml:space="preserve"> </w:t>
      </w:r>
    </w:p>
    <w:p w:rsidR="00AE1697" w:rsidRPr="00097566" w:rsidRDefault="00AE1697" w:rsidP="00AE1697">
      <w:pPr>
        <w:spacing w:after="0" w:line="480" w:lineRule="auto"/>
        <w:jc w:val="both"/>
        <w:rPr>
          <w:rFonts w:ascii="Times New Roman" w:hAnsi="Times New Roman" w:cs="Times New Roman"/>
          <w:i/>
          <w:sz w:val="24"/>
          <w:szCs w:val="24"/>
          <w:lang w:eastAsia="zh-CN"/>
        </w:rPr>
      </w:pPr>
      <w:r w:rsidRPr="00097566">
        <w:rPr>
          <w:rFonts w:ascii="Times New Roman" w:hAnsi="Times New Roman" w:cs="Times New Roman"/>
          <w:i/>
          <w:sz w:val="24"/>
          <w:szCs w:val="24"/>
          <w:lang w:eastAsia="zh-CN"/>
        </w:rPr>
        <w:t>HUD/NYCHA Agreement</w:t>
      </w:r>
    </w:p>
    <w:p w:rsidR="00AE1697" w:rsidRPr="00097566" w:rsidRDefault="00AE1697" w:rsidP="00AE1697">
      <w:pPr>
        <w:suppressAutoHyphens/>
        <w:spacing w:after="0" w:line="480" w:lineRule="auto"/>
        <w:ind w:firstLine="720"/>
        <w:contextualSpacing/>
        <w:jc w:val="both"/>
        <w:rPr>
          <w:rFonts w:ascii="Times New Roman" w:eastAsia="Calibri" w:hAnsi="Times New Roman" w:cs="Times New Roman"/>
          <w:i/>
          <w:sz w:val="24"/>
          <w:szCs w:val="24"/>
          <w:lang w:eastAsia="zh-CN"/>
        </w:rPr>
      </w:pPr>
      <w:r w:rsidRPr="00097566">
        <w:rPr>
          <w:rFonts w:ascii="Times New Roman" w:eastAsia="Calibri" w:hAnsi="Times New Roman" w:cs="Times New Roman"/>
          <w:bCs/>
          <w:sz w:val="24"/>
          <w:szCs w:val="24"/>
          <w:lang w:eastAsia="zh-CN"/>
        </w:rPr>
        <w:t xml:space="preserve">Chronic heat and hot water outages were among the many catalysts that </w:t>
      </w:r>
      <w:r>
        <w:rPr>
          <w:rFonts w:ascii="Times New Roman" w:eastAsia="Calibri" w:hAnsi="Times New Roman" w:cs="Times New Roman"/>
          <w:bCs/>
          <w:sz w:val="24"/>
          <w:szCs w:val="24"/>
          <w:lang w:eastAsia="zh-CN"/>
        </w:rPr>
        <w:t>led</w:t>
      </w:r>
      <w:r w:rsidRPr="00097566">
        <w:rPr>
          <w:rFonts w:ascii="Times New Roman" w:eastAsia="Calibri" w:hAnsi="Times New Roman" w:cs="Times New Roman"/>
          <w:bCs/>
          <w:sz w:val="24"/>
          <w:szCs w:val="24"/>
          <w:lang w:eastAsia="zh-CN"/>
        </w:rPr>
        <w:t xml:space="preserve"> to the HUD/NYCHA Agreement</w:t>
      </w:r>
      <w:r>
        <w:rPr>
          <w:rFonts w:ascii="Times New Roman" w:eastAsia="Calibri" w:hAnsi="Times New Roman" w:cs="Times New Roman"/>
          <w:bCs/>
          <w:sz w:val="24"/>
          <w:szCs w:val="24"/>
          <w:lang w:eastAsia="zh-CN"/>
        </w:rPr>
        <w:t xml:space="preserve"> (“Agreement” or “HUD Agreement”)</w:t>
      </w:r>
      <w:r w:rsidRPr="00097566">
        <w:rPr>
          <w:rFonts w:ascii="Times New Roman" w:eastAsia="Calibri" w:hAnsi="Times New Roman" w:cs="Times New Roman"/>
          <w:bCs/>
          <w:sz w:val="24"/>
          <w:szCs w:val="24"/>
          <w:lang w:eastAsia="zh-CN"/>
        </w:rPr>
        <w:t xml:space="preserve"> and the appointment of the Federal Monitor. </w:t>
      </w:r>
      <w:r w:rsidRPr="00097566">
        <w:rPr>
          <w:rFonts w:ascii="Times New Roman" w:eastAsia="Times New Roman" w:hAnsi="Times New Roman" w:cs="Times New Roman"/>
          <w:sz w:val="24"/>
          <w:szCs w:val="24"/>
          <w:lang w:eastAsia="zh-CN"/>
        </w:rPr>
        <w:t xml:space="preserve">In recent years, NYCHA has been </w:t>
      </w:r>
      <w:r w:rsidRPr="00097566">
        <w:rPr>
          <w:rFonts w:ascii="Times New Roman" w:eastAsia="Times New Roman" w:hAnsi="Times New Roman" w:cs="Times New Roman"/>
          <w:sz w:val="24"/>
          <w:szCs w:val="24"/>
        </w:rPr>
        <w:t>subjected to oversight and investigations</w:t>
      </w:r>
      <w:r w:rsidRPr="00097566">
        <w:rPr>
          <w:rFonts w:ascii="Times New Roman" w:eastAsia="Times New Roman" w:hAnsi="Times New Roman" w:cs="Times New Roman"/>
          <w:sz w:val="24"/>
          <w:szCs w:val="24"/>
          <w:lang w:eastAsia="zh-CN"/>
        </w:rPr>
        <w:t xml:space="preserve"> by the United States Department of Housing and Urban Development (</w:t>
      </w:r>
      <w:r>
        <w:rPr>
          <w:rFonts w:ascii="Times New Roman" w:eastAsia="Times New Roman" w:hAnsi="Times New Roman" w:cs="Times New Roman"/>
          <w:sz w:val="24"/>
          <w:szCs w:val="24"/>
          <w:lang w:eastAsia="zh-CN"/>
        </w:rPr>
        <w:t>“</w:t>
      </w:r>
      <w:r w:rsidRPr="00097566">
        <w:rPr>
          <w:rFonts w:ascii="Times New Roman" w:eastAsia="Times New Roman" w:hAnsi="Times New Roman" w:cs="Times New Roman"/>
          <w:sz w:val="24"/>
          <w:szCs w:val="24"/>
          <w:lang w:eastAsia="zh-CN"/>
        </w:rPr>
        <w:t>HUD</w:t>
      </w:r>
      <w:r>
        <w:rPr>
          <w:rFonts w:ascii="Times New Roman" w:eastAsia="Times New Roman" w:hAnsi="Times New Roman" w:cs="Times New Roman"/>
          <w:sz w:val="24"/>
          <w:szCs w:val="24"/>
          <w:lang w:eastAsia="zh-CN"/>
        </w:rPr>
        <w:t>”</w:t>
      </w:r>
      <w:r w:rsidRPr="00097566">
        <w:rPr>
          <w:rFonts w:ascii="Times New Roman" w:eastAsia="Times New Roman" w:hAnsi="Times New Roman" w:cs="Times New Roman"/>
          <w:sz w:val="24"/>
          <w:szCs w:val="24"/>
          <w:lang w:eastAsia="zh-CN"/>
        </w:rPr>
        <w:t xml:space="preserve">), federal prosecutors, state lawmakers, the City Council, and others about alleged mismanagement. </w:t>
      </w:r>
      <w:r w:rsidRPr="00097566">
        <w:rPr>
          <w:rFonts w:ascii="Times New Roman" w:eastAsia="Calibri" w:hAnsi="Times New Roman" w:cs="Times New Roman"/>
          <w:sz w:val="24"/>
          <w:szCs w:val="24"/>
          <w:lang w:eastAsia="zh-CN"/>
        </w:rPr>
        <w:t>On Janua</w:t>
      </w:r>
      <w:r>
        <w:rPr>
          <w:rFonts w:ascii="Times New Roman" w:eastAsia="Calibri" w:hAnsi="Times New Roman" w:cs="Times New Roman"/>
          <w:sz w:val="24"/>
          <w:szCs w:val="24"/>
          <w:lang w:eastAsia="zh-CN"/>
        </w:rPr>
        <w:t xml:space="preserve">ry 31, 2019, HUD entered into an </w:t>
      </w:r>
      <w:r w:rsidRPr="00097566">
        <w:rPr>
          <w:rFonts w:ascii="Times New Roman" w:eastAsia="Calibri" w:hAnsi="Times New Roman" w:cs="Times New Roman"/>
          <w:sz w:val="24"/>
          <w:szCs w:val="24"/>
          <w:lang w:eastAsia="zh-CN"/>
        </w:rPr>
        <w:t>agreement with NYCHA and the City</w:t>
      </w:r>
      <w:r>
        <w:rPr>
          <w:rFonts w:ascii="Times New Roman" w:eastAsia="Calibri" w:hAnsi="Times New Roman" w:cs="Times New Roman"/>
          <w:sz w:val="24"/>
          <w:szCs w:val="24"/>
          <w:lang w:eastAsia="zh-CN"/>
        </w:rPr>
        <w:t xml:space="preserve"> of New York</w:t>
      </w:r>
      <w:r w:rsidRPr="00097566">
        <w:rPr>
          <w:rFonts w:ascii="Times New Roman" w:eastAsia="Calibri" w:hAnsi="Times New Roman" w:cs="Times New Roman"/>
          <w:sz w:val="24"/>
          <w:szCs w:val="24"/>
          <w:lang w:eastAsia="zh-CN"/>
        </w:rPr>
        <w:t>.</w:t>
      </w:r>
      <w:bookmarkStart w:id="3" w:name="_Ref121731320"/>
      <w:r w:rsidRPr="00097566">
        <w:rPr>
          <w:rFonts w:ascii="Times New Roman" w:eastAsia="Calibri" w:hAnsi="Times New Roman" w:cs="Times New Roman"/>
          <w:sz w:val="24"/>
          <w:szCs w:val="24"/>
          <w:vertAlign w:val="superscript"/>
          <w:lang w:eastAsia="zh-CN"/>
        </w:rPr>
        <w:footnoteReference w:id="14"/>
      </w:r>
      <w:bookmarkEnd w:id="3"/>
      <w:r w:rsidRPr="00097566">
        <w:rPr>
          <w:rFonts w:ascii="Times New Roman" w:eastAsia="Calibri" w:hAnsi="Times New Roman" w:cs="Times New Roman"/>
          <w:sz w:val="24"/>
          <w:szCs w:val="24"/>
          <w:lang w:eastAsia="zh-CN"/>
        </w:rPr>
        <w:t xml:space="preserve"> The purpose of the Agreement was to remedy NYCHA’s physical conditions, make sure NYCHA complies with its obligations</w:t>
      </w:r>
      <w:r>
        <w:rPr>
          <w:rFonts w:ascii="Times New Roman" w:eastAsia="Calibri" w:hAnsi="Times New Roman" w:cs="Times New Roman"/>
          <w:sz w:val="24"/>
          <w:szCs w:val="24"/>
          <w:lang w:eastAsia="zh-CN"/>
        </w:rPr>
        <w:t>,</w:t>
      </w:r>
      <w:r w:rsidRPr="00097566">
        <w:rPr>
          <w:rFonts w:ascii="Times New Roman" w:eastAsia="Calibri" w:hAnsi="Times New Roman" w:cs="Times New Roman"/>
          <w:sz w:val="24"/>
          <w:szCs w:val="24"/>
          <w:lang w:eastAsia="zh-CN"/>
        </w:rPr>
        <w:t xml:space="preserve"> reform NYCHA’s management structure, and help with cooperation and coordination between HUD, NYCHA, and the City</w:t>
      </w:r>
      <w:r>
        <w:rPr>
          <w:rFonts w:ascii="Times New Roman" w:eastAsia="Calibri" w:hAnsi="Times New Roman" w:cs="Times New Roman"/>
          <w:sz w:val="24"/>
          <w:szCs w:val="24"/>
          <w:lang w:eastAsia="zh-CN"/>
        </w:rPr>
        <w:t>.</w:t>
      </w:r>
      <w:r w:rsidRPr="00097566">
        <w:rPr>
          <w:rFonts w:ascii="Times New Roman" w:eastAsia="Calibri" w:hAnsi="Times New Roman" w:cs="Times New Roman"/>
          <w:sz w:val="24"/>
          <w:szCs w:val="24"/>
          <w:vertAlign w:val="superscript"/>
          <w:lang w:eastAsia="zh-CN"/>
        </w:rPr>
        <w:footnoteReference w:id="15"/>
      </w:r>
      <w:r w:rsidRPr="00097566">
        <w:rPr>
          <w:rFonts w:ascii="Times New Roman" w:eastAsia="Calibri" w:hAnsi="Times New Roman" w:cs="Times New Roman"/>
          <w:sz w:val="24"/>
          <w:szCs w:val="24"/>
          <w:lang w:eastAsia="zh-CN"/>
        </w:rPr>
        <w:t xml:space="preserve"> The Agreement was made under HUD’s authority and, unlike the consent decree</w:t>
      </w:r>
      <w:r>
        <w:rPr>
          <w:rFonts w:ascii="Times New Roman" w:eastAsia="Calibri" w:hAnsi="Times New Roman" w:cs="Times New Roman"/>
          <w:sz w:val="24"/>
          <w:szCs w:val="24"/>
          <w:lang w:eastAsia="zh-CN"/>
        </w:rPr>
        <w:t xml:space="preserve"> that preceded it</w:t>
      </w:r>
      <w:r w:rsidRPr="00097566">
        <w:rPr>
          <w:rFonts w:ascii="Times New Roman" w:eastAsia="Calibri" w:hAnsi="Times New Roman" w:cs="Times New Roman"/>
          <w:sz w:val="24"/>
          <w:szCs w:val="24"/>
          <w:lang w:eastAsia="zh-CN"/>
        </w:rPr>
        <w:t xml:space="preserve">, was not subject to court approval. </w:t>
      </w:r>
      <w:r>
        <w:rPr>
          <w:rFonts w:ascii="Times New Roman" w:eastAsia="Calibri" w:hAnsi="Times New Roman" w:cs="Times New Roman"/>
          <w:sz w:val="24"/>
          <w:szCs w:val="24"/>
          <w:lang w:eastAsia="zh-CN"/>
        </w:rPr>
        <w:t>The Agreement</w:t>
      </w:r>
      <w:r w:rsidRPr="00097566">
        <w:rPr>
          <w:rFonts w:ascii="Times New Roman" w:eastAsia="Calibri" w:hAnsi="Times New Roman" w:cs="Times New Roman"/>
          <w:sz w:val="24"/>
          <w:szCs w:val="24"/>
          <w:lang w:eastAsia="zh-CN"/>
        </w:rPr>
        <w:t xml:space="preserve"> recognized the existence of a “substantial default”</w:t>
      </w:r>
      <w:r w:rsidRPr="00097566">
        <w:rPr>
          <w:rFonts w:ascii="Times New Roman" w:eastAsia="Calibri" w:hAnsi="Times New Roman" w:cs="Times New Roman"/>
          <w:sz w:val="24"/>
          <w:szCs w:val="24"/>
          <w:vertAlign w:val="superscript"/>
          <w:lang w:eastAsia="zh-CN"/>
        </w:rPr>
        <w:footnoteReference w:id="16"/>
      </w:r>
      <w:r w:rsidRPr="00097566">
        <w:rPr>
          <w:rFonts w:ascii="Times New Roman" w:eastAsia="Calibri" w:hAnsi="Times New Roman" w:cs="Times New Roman"/>
          <w:sz w:val="24"/>
          <w:szCs w:val="24"/>
          <w:lang w:eastAsia="zh-CN"/>
        </w:rPr>
        <w:t xml:space="preserve"> but did not impose a receiver</w:t>
      </w:r>
      <w:r>
        <w:rPr>
          <w:rFonts w:ascii="Times New Roman" w:eastAsia="Calibri" w:hAnsi="Times New Roman" w:cs="Times New Roman"/>
          <w:sz w:val="24"/>
          <w:szCs w:val="24"/>
          <w:lang w:eastAsia="zh-CN"/>
        </w:rPr>
        <w:t>ship</w:t>
      </w:r>
      <w:r w:rsidRPr="00097566">
        <w:rPr>
          <w:rFonts w:ascii="Times New Roman" w:eastAsia="Calibri" w:hAnsi="Times New Roman" w:cs="Times New Roman"/>
          <w:sz w:val="24"/>
          <w:szCs w:val="24"/>
          <w:lang w:eastAsia="zh-CN"/>
        </w:rPr>
        <w:t xml:space="preserve"> or take possession of NYCHA.</w:t>
      </w:r>
      <w:r w:rsidRPr="00097566">
        <w:rPr>
          <w:rFonts w:ascii="Times New Roman" w:eastAsia="Calibri" w:hAnsi="Times New Roman" w:cs="Times New Roman"/>
          <w:sz w:val="24"/>
          <w:szCs w:val="24"/>
          <w:vertAlign w:val="superscript"/>
          <w:lang w:eastAsia="zh-CN"/>
        </w:rPr>
        <w:footnoteReference w:id="17"/>
      </w:r>
      <w:r w:rsidRPr="00097566">
        <w:rPr>
          <w:rFonts w:ascii="Times New Roman" w:eastAsia="Calibri" w:hAnsi="Times New Roman" w:cs="Times New Roman"/>
          <w:sz w:val="24"/>
          <w:szCs w:val="24"/>
          <w:lang w:eastAsia="zh-CN"/>
        </w:rPr>
        <w:t xml:space="preserve"> </w:t>
      </w:r>
      <w:r>
        <w:rPr>
          <w:rFonts w:ascii="Times New Roman" w:eastAsia="Calibri" w:hAnsi="Times New Roman" w:cs="Times New Roman"/>
          <w:sz w:val="24"/>
          <w:szCs w:val="24"/>
          <w:lang w:eastAsia="zh-CN"/>
        </w:rPr>
        <w:t>It required NYCHA to prepare “</w:t>
      </w:r>
      <w:r w:rsidRPr="00097566">
        <w:rPr>
          <w:rFonts w:ascii="Times New Roman" w:eastAsia="Calibri" w:hAnsi="Times New Roman" w:cs="Times New Roman"/>
          <w:sz w:val="24"/>
          <w:szCs w:val="24"/>
          <w:lang w:eastAsia="zh-CN"/>
        </w:rPr>
        <w:t>A</w:t>
      </w:r>
      <w:r>
        <w:rPr>
          <w:rFonts w:ascii="Times New Roman" w:eastAsia="Calibri" w:hAnsi="Times New Roman" w:cs="Times New Roman"/>
          <w:sz w:val="24"/>
          <w:szCs w:val="24"/>
          <w:lang w:eastAsia="zh-CN"/>
        </w:rPr>
        <w:t xml:space="preserve">ction Plans” </w:t>
      </w:r>
      <w:r w:rsidRPr="00097566">
        <w:rPr>
          <w:rFonts w:ascii="Times New Roman" w:eastAsia="Calibri" w:hAnsi="Times New Roman" w:cs="Times New Roman"/>
          <w:sz w:val="24"/>
          <w:szCs w:val="24"/>
          <w:lang w:eastAsia="zh-CN"/>
        </w:rPr>
        <w:t>setting forth polici</w:t>
      </w:r>
      <w:r>
        <w:rPr>
          <w:rFonts w:ascii="Times New Roman" w:eastAsia="Calibri" w:hAnsi="Times New Roman" w:cs="Times New Roman"/>
          <w:sz w:val="24"/>
          <w:szCs w:val="24"/>
          <w:lang w:eastAsia="zh-CN"/>
        </w:rPr>
        <w:t>es in several “pillar areas”: elevators, mold, pests and waste management, lead, and heating. The Agreement also scheduled milestones</w:t>
      </w:r>
      <w:r w:rsidRPr="00097566">
        <w:rPr>
          <w:rFonts w:ascii="Times New Roman" w:eastAsia="Calibri" w:hAnsi="Times New Roman" w:cs="Times New Roman"/>
          <w:sz w:val="24"/>
          <w:szCs w:val="24"/>
          <w:lang w:eastAsia="zh-CN"/>
        </w:rPr>
        <w:t xml:space="preserve"> and established other requirements to identify and respond to </w:t>
      </w:r>
      <w:r>
        <w:rPr>
          <w:rFonts w:ascii="Times New Roman" w:eastAsia="Calibri" w:hAnsi="Times New Roman" w:cs="Times New Roman"/>
          <w:sz w:val="24"/>
          <w:szCs w:val="24"/>
          <w:lang w:eastAsia="zh-CN"/>
        </w:rPr>
        <w:t>NYCHA’s</w:t>
      </w:r>
      <w:r w:rsidRPr="00097566">
        <w:rPr>
          <w:rFonts w:ascii="Times New Roman" w:eastAsia="Calibri" w:hAnsi="Times New Roman" w:cs="Times New Roman"/>
          <w:sz w:val="24"/>
          <w:szCs w:val="24"/>
          <w:lang w:eastAsia="zh-CN"/>
        </w:rPr>
        <w:t xml:space="preserve"> physical deficiencies. To help NYCHA in its compliance with the Agreement, the City will provide $1 billion in financial support for capital expenses provided in the </w:t>
      </w:r>
      <w:r>
        <w:rPr>
          <w:rFonts w:ascii="Times New Roman" w:eastAsia="Calibri" w:hAnsi="Times New Roman" w:cs="Times New Roman"/>
          <w:sz w:val="24"/>
          <w:szCs w:val="24"/>
          <w:lang w:eastAsia="zh-CN"/>
        </w:rPr>
        <w:t>Action Plan</w:t>
      </w:r>
      <w:r w:rsidRPr="00097566">
        <w:rPr>
          <w:rFonts w:ascii="Times New Roman" w:eastAsia="Calibri" w:hAnsi="Times New Roman" w:cs="Times New Roman"/>
          <w:sz w:val="24"/>
          <w:szCs w:val="24"/>
          <w:lang w:eastAsia="zh-CN"/>
        </w:rPr>
        <w:t>, including the replacement of about 500 boilers by 2026 and the replacement of at least 425 elevators by 2024.</w:t>
      </w:r>
      <w:r w:rsidRPr="00097566">
        <w:rPr>
          <w:rFonts w:ascii="Times New Roman" w:eastAsia="Calibri" w:hAnsi="Times New Roman" w:cs="Times New Roman"/>
          <w:sz w:val="24"/>
          <w:szCs w:val="24"/>
          <w:vertAlign w:val="superscript"/>
          <w:lang w:eastAsia="zh-CN"/>
        </w:rPr>
        <w:footnoteReference w:id="18"/>
      </w:r>
    </w:p>
    <w:p w:rsidR="00AE1697" w:rsidRPr="00097566" w:rsidRDefault="00AE1697" w:rsidP="00AE1697">
      <w:pPr>
        <w:suppressAutoHyphens/>
        <w:spacing w:after="0" w:line="480" w:lineRule="auto"/>
        <w:ind w:firstLine="720"/>
        <w:contextualSpacing/>
        <w:jc w:val="both"/>
        <w:rPr>
          <w:rFonts w:ascii="Times New Roman" w:eastAsia="Calibri" w:hAnsi="Times New Roman" w:cs="Times New Roman"/>
          <w:sz w:val="24"/>
          <w:szCs w:val="24"/>
          <w:lang w:eastAsia="zh-CN"/>
        </w:rPr>
      </w:pPr>
      <w:r w:rsidRPr="00097566">
        <w:rPr>
          <w:rFonts w:ascii="Times New Roman" w:eastAsia="Calibri" w:hAnsi="Times New Roman" w:cs="Times New Roman"/>
          <w:sz w:val="24"/>
          <w:szCs w:val="24"/>
          <w:lang w:eastAsia="zh-CN"/>
        </w:rPr>
        <w:t xml:space="preserve">The Agreement prescribed that by March 31, 2019, NYCHA would create a 24/7 Heat Desk which would monitor heating metrics and dispatch staff to correct deficiencies during heat season. Under the Agreement, NYCHA is also required to: </w:t>
      </w:r>
    </w:p>
    <w:p w:rsidR="00AE1697" w:rsidRPr="00097566" w:rsidRDefault="00AE1697" w:rsidP="00AE1697">
      <w:pPr>
        <w:pStyle w:val="ListParagraph"/>
        <w:numPr>
          <w:ilvl w:val="0"/>
          <w:numId w:val="1"/>
        </w:numPr>
        <w:suppressAutoHyphens/>
        <w:spacing w:after="0" w:line="480" w:lineRule="auto"/>
        <w:jc w:val="both"/>
        <w:rPr>
          <w:rFonts w:ascii="Times New Roman" w:eastAsia="Calibri" w:hAnsi="Times New Roman" w:cs="Times New Roman"/>
          <w:sz w:val="24"/>
          <w:szCs w:val="24"/>
          <w:lang w:eastAsia="zh-CN"/>
        </w:rPr>
      </w:pPr>
      <w:r w:rsidRPr="00097566">
        <w:rPr>
          <w:rFonts w:ascii="Times New Roman" w:eastAsia="Calibri" w:hAnsi="Times New Roman" w:cs="Times New Roman"/>
          <w:sz w:val="24"/>
          <w:szCs w:val="24"/>
          <w:lang w:eastAsia="zh-CN"/>
        </w:rPr>
        <w:t>Restore heat to units affected by a heating shortage within an average 12 hours</w:t>
      </w:r>
      <w:r w:rsidRPr="00097566">
        <w:rPr>
          <w:rStyle w:val="FootnoteReference"/>
          <w:rFonts w:ascii="Times New Roman" w:hAnsi="Times New Roman"/>
          <w:sz w:val="24"/>
          <w:szCs w:val="24"/>
        </w:rPr>
        <w:footnoteReference w:id="19"/>
      </w:r>
      <w:r w:rsidRPr="00097566">
        <w:rPr>
          <w:rFonts w:ascii="Times New Roman" w:eastAsia="Calibri" w:hAnsi="Times New Roman" w:cs="Times New Roman"/>
          <w:sz w:val="24"/>
          <w:szCs w:val="24"/>
          <w:lang w:eastAsia="zh-CN"/>
        </w:rPr>
        <w:t xml:space="preserve"> </w:t>
      </w:r>
    </w:p>
    <w:p w:rsidR="00AE1697" w:rsidRPr="00097566" w:rsidRDefault="00AE1697" w:rsidP="00AE1697">
      <w:pPr>
        <w:pStyle w:val="ListParagraph"/>
        <w:numPr>
          <w:ilvl w:val="0"/>
          <w:numId w:val="1"/>
        </w:numPr>
        <w:suppressAutoHyphens/>
        <w:spacing w:after="0" w:line="480" w:lineRule="auto"/>
        <w:jc w:val="both"/>
        <w:rPr>
          <w:rFonts w:ascii="Times New Roman" w:eastAsia="Calibri" w:hAnsi="Times New Roman" w:cs="Times New Roman"/>
          <w:sz w:val="24"/>
          <w:szCs w:val="24"/>
          <w:lang w:eastAsia="zh-CN"/>
        </w:rPr>
      </w:pPr>
      <w:r w:rsidRPr="00097566">
        <w:rPr>
          <w:rFonts w:ascii="Times New Roman" w:eastAsia="Calibri" w:hAnsi="Times New Roman" w:cs="Times New Roman"/>
          <w:sz w:val="24"/>
          <w:szCs w:val="24"/>
          <w:lang w:eastAsia="zh-CN"/>
        </w:rPr>
        <w:t>Restore heat to 85% of affected units within 24 hours</w:t>
      </w:r>
      <w:r w:rsidRPr="00097566">
        <w:rPr>
          <w:rStyle w:val="FootnoteReference"/>
          <w:rFonts w:ascii="Times New Roman" w:hAnsi="Times New Roman"/>
          <w:sz w:val="24"/>
          <w:szCs w:val="24"/>
        </w:rPr>
        <w:footnoteReference w:id="20"/>
      </w:r>
      <w:r w:rsidRPr="00097566">
        <w:rPr>
          <w:rFonts w:ascii="Times New Roman" w:eastAsia="Calibri" w:hAnsi="Times New Roman" w:cs="Times New Roman"/>
          <w:sz w:val="24"/>
          <w:szCs w:val="24"/>
          <w:lang w:eastAsia="zh-CN"/>
        </w:rPr>
        <w:t xml:space="preserve"> </w:t>
      </w:r>
    </w:p>
    <w:p w:rsidR="00AE1697" w:rsidRPr="00097566" w:rsidRDefault="00AE1697" w:rsidP="00AE1697">
      <w:pPr>
        <w:pStyle w:val="ListParagraph"/>
        <w:numPr>
          <w:ilvl w:val="0"/>
          <w:numId w:val="1"/>
        </w:numPr>
        <w:suppressAutoHyphens/>
        <w:spacing w:after="0" w:line="480" w:lineRule="auto"/>
        <w:jc w:val="both"/>
        <w:rPr>
          <w:rFonts w:ascii="Times New Roman" w:eastAsia="Calibri" w:hAnsi="Times New Roman" w:cs="Times New Roman"/>
          <w:sz w:val="24"/>
          <w:szCs w:val="24"/>
          <w:lang w:eastAsia="zh-CN"/>
        </w:rPr>
      </w:pPr>
      <w:r w:rsidRPr="00097566">
        <w:rPr>
          <w:rFonts w:ascii="Times New Roman" w:eastAsia="Calibri" w:hAnsi="Times New Roman" w:cs="Times New Roman"/>
          <w:sz w:val="24"/>
          <w:szCs w:val="24"/>
          <w:lang w:eastAsia="zh-CN"/>
        </w:rPr>
        <w:t>Investigate the root cause of heat outages that exceeded 12 hours</w:t>
      </w:r>
      <w:r w:rsidRPr="00097566">
        <w:rPr>
          <w:rStyle w:val="FootnoteReference"/>
          <w:rFonts w:ascii="Times New Roman" w:hAnsi="Times New Roman"/>
          <w:sz w:val="24"/>
          <w:szCs w:val="24"/>
        </w:rPr>
        <w:footnoteReference w:id="21"/>
      </w:r>
      <w:r w:rsidRPr="00097566">
        <w:rPr>
          <w:rFonts w:ascii="Times New Roman" w:eastAsia="Calibri" w:hAnsi="Times New Roman" w:cs="Times New Roman"/>
          <w:sz w:val="24"/>
          <w:szCs w:val="24"/>
          <w:lang w:eastAsia="zh-CN"/>
        </w:rPr>
        <w:t xml:space="preserve"> </w:t>
      </w:r>
    </w:p>
    <w:p w:rsidR="00AE1697" w:rsidRPr="00097566" w:rsidRDefault="00AE1697" w:rsidP="00AE1697">
      <w:pPr>
        <w:suppressAutoHyphens/>
        <w:spacing w:after="0" w:line="480" w:lineRule="auto"/>
        <w:jc w:val="both"/>
        <w:rPr>
          <w:rFonts w:ascii="Times New Roman" w:eastAsia="Calibri" w:hAnsi="Times New Roman" w:cs="Times New Roman"/>
          <w:i/>
          <w:sz w:val="24"/>
          <w:szCs w:val="24"/>
          <w:lang w:eastAsia="zh-CN"/>
        </w:rPr>
      </w:pPr>
      <w:r w:rsidRPr="00097566">
        <w:rPr>
          <w:rFonts w:ascii="Times New Roman" w:eastAsia="Calibri" w:hAnsi="Times New Roman" w:cs="Times New Roman"/>
          <w:i/>
          <w:sz w:val="24"/>
          <w:szCs w:val="24"/>
          <w:lang w:eastAsia="zh-CN"/>
        </w:rPr>
        <w:t>Independent Monitor</w:t>
      </w:r>
    </w:p>
    <w:p w:rsidR="00AE1697" w:rsidRPr="00097566" w:rsidRDefault="00AE1697" w:rsidP="00AE1697">
      <w:pPr>
        <w:suppressAutoHyphens/>
        <w:spacing w:after="0" w:line="480" w:lineRule="auto"/>
        <w:ind w:firstLine="720"/>
        <w:contextualSpacing/>
        <w:jc w:val="both"/>
        <w:rPr>
          <w:rFonts w:ascii="Times New Roman" w:eastAsia="Calibri" w:hAnsi="Times New Roman" w:cs="Times New Roman"/>
          <w:sz w:val="24"/>
          <w:szCs w:val="24"/>
          <w:lang w:eastAsia="zh-CN"/>
        </w:rPr>
      </w:pPr>
      <w:r w:rsidRPr="00097566">
        <w:rPr>
          <w:rFonts w:ascii="Times New Roman" w:eastAsia="Calibri" w:hAnsi="Times New Roman" w:cs="Times New Roman"/>
          <w:sz w:val="24"/>
          <w:szCs w:val="24"/>
          <w:lang w:eastAsia="zh-CN"/>
        </w:rPr>
        <w:t>On February 21, 2019, HUD selected Bart Schwartz to be NYCHA’s new Federal Monitor</w:t>
      </w:r>
      <w:r>
        <w:rPr>
          <w:rFonts w:ascii="Times New Roman" w:eastAsia="Calibri" w:hAnsi="Times New Roman" w:cs="Times New Roman"/>
          <w:sz w:val="24"/>
          <w:szCs w:val="24"/>
          <w:lang w:eastAsia="zh-CN"/>
        </w:rPr>
        <w:t xml:space="preserve"> (“Monitor”) under the HUD Agreement</w:t>
      </w:r>
      <w:r w:rsidRPr="00097566">
        <w:rPr>
          <w:rFonts w:ascii="Times New Roman" w:eastAsia="Calibri" w:hAnsi="Times New Roman" w:cs="Times New Roman"/>
          <w:sz w:val="24"/>
          <w:szCs w:val="24"/>
          <w:lang w:eastAsia="zh-CN"/>
        </w:rPr>
        <w:t>.</w:t>
      </w:r>
      <w:r w:rsidRPr="00097566">
        <w:rPr>
          <w:rFonts w:ascii="Times New Roman" w:eastAsia="Calibri" w:hAnsi="Times New Roman" w:cs="Times New Roman"/>
          <w:sz w:val="24"/>
          <w:szCs w:val="24"/>
          <w:vertAlign w:val="superscript"/>
          <w:lang w:eastAsia="zh-CN"/>
        </w:rPr>
        <w:footnoteReference w:id="22"/>
      </w:r>
      <w:r w:rsidRPr="00097566">
        <w:rPr>
          <w:rFonts w:ascii="Times New Roman" w:eastAsia="Calibri" w:hAnsi="Times New Roman" w:cs="Times New Roman"/>
          <w:sz w:val="24"/>
          <w:szCs w:val="24"/>
          <w:lang w:eastAsia="zh-CN"/>
        </w:rPr>
        <w:t xml:space="preserve">  According to the HUD</w:t>
      </w:r>
      <w:r>
        <w:rPr>
          <w:rFonts w:ascii="Times New Roman" w:eastAsia="Calibri" w:hAnsi="Times New Roman" w:cs="Times New Roman"/>
          <w:sz w:val="24"/>
          <w:szCs w:val="24"/>
          <w:lang w:eastAsia="zh-CN"/>
        </w:rPr>
        <w:t>/NYCHA</w:t>
      </w:r>
      <w:r w:rsidRPr="00097566">
        <w:rPr>
          <w:rFonts w:ascii="Times New Roman" w:eastAsia="Calibri" w:hAnsi="Times New Roman" w:cs="Times New Roman"/>
          <w:sz w:val="24"/>
          <w:szCs w:val="24"/>
          <w:lang w:eastAsia="zh-CN"/>
        </w:rPr>
        <w:t xml:space="preserve"> Agreement, the Monitor is not responsible for the day-to-day operations of NYCHA but will have full access to all information in NYCHA’s possession and all programs, services, facilities, and premises under NYCHA’s control.</w:t>
      </w:r>
      <w:r w:rsidRPr="00097566">
        <w:rPr>
          <w:rFonts w:ascii="Times New Roman" w:eastAsia="Calibri" w:hAnsi="Times New Roman" w:cs="Times New Roman"/>
          <w:sz w:val="24"/>
          <w:szCs w:val="24"/>
          <w:vertAlign w:val="superscript"/>
          <w:lang w:eastAsia="zh-CN"/>
        </w:rPr>
        <w:footnoteReference w:id="23"/>
      </w:r>
      <w:r w:rsidRPr="00097566">
        <w:rPr>
          <w:rFonts w:ascii="Times New Roman" w:eastAsia="Calibri" w:hAnsi="Times New Roman" w:cs="Times New Roman"/>
          <w:sz w:val="24"/>
          <w:szCs w:val="24"/>
          <w:lang w:eastAsia="zh-CN"/>
        </w:rPr>
        <w:t xml:space="preserve"> HUD, The United States Attorney for the Southern District of New York (</w:t>
      </w:r>
      <w:r>
        <w:rPr>
          <w:rFonts w:ascii="Times New Roman" w:eastAsia="Calibri" w:hAnsi="Times New Roman" w:cs="Times New Roman"/>
          <w:sz w:val="24"/>
          <w:szCs w:val="24"/>
          <w:lang w:eastAsia="zh-CN"/>
        </w:rPr>
        <w:t>“</w:t>
      </w:r>
      <w:r w:rsidRPr="00097566">
        <w:rPr>
          <w:rFonts w:ascii="Times New Roman" w:eastAsia="Calibri" w:hAnsi="Times New Roman" w:cs="Times New Roman"/>
          <w:sz w:val="24"/>
          <w:szCs w:val="24"/>
          <w:lang w:eastAsia="zh-CN"/>
        </w:rPr>
        <w:t>SDNY</w:t>
      </w:r>
      <w:r>
        <w:rPr>
          <w:rFonts w:ascii="Times New Roman" w:eastAsia="Calibri" w:hAnsi="Times New Roman" w:cs="Times New Roman"/>
          <w:sz w:val="24"/>
          <w:szCs w:val="24"/>
          <w:lang w:eastAsia="zh-CN"/>
        </w:rPr>
        <w:t>”</w:t>
      </w:r>
      <w:r w:rsidRPr="00097566">
        <w:rPr>
          <w:rFonts w:ascii="Times New Roman" w:eastAsia="Calibri" w:hAnsi="Times New Roman" w:cs="Times New Roman"/>
          <w:sz w:val="24"/>
          <w:szCs w:val="24"/>
          <w:lang w:eastAsia="zh-CN"/>
        </w:rPr>
        <w:t>), and the United States Environmental Protection Agency</w:t>
      </w:r>
      <w:r>
        <w:rPr>
          <w:rFonts w:ascii="Times New Roman" w:eastAsia="Calibri" w:hAnsi="Times New Roman" w:cs="Times New Roman"/>
          <w:sz w:val="24"/>
          <w:szCs w:val="24"/>
          <w:lang w:eastAsia="zh-CN"/>
        </w:rPr>
        <w:t xml:space="preserve"> (“EPA”)</w:t>
      </w:r>
      <w:r w:rsidRPr="00097566">
        <w:rPr>
          <w:rFonts w:ascii="Times New Roman" w:eastAsia="Calibri" w:hAnsi="Times New Roman" w:cs="Times New Roman"/>
          <w:sz w:val="24"/>
          <w:szCs w:val="24"/>
          <w:lang w:eastAsia="zh-CN"/>
        </w:rPr>
        <w:t xml:space="preserve"> are required to receive quarterly reports from the Monitor on the work performed, data showing NYCHA’s progress, and any other information the </w:t>
      </w:r>
      <w:r>
        <w:rPr>
          <w:rFonts w:ascii="Times New Roman" w:eastAsia="Calibri" w:hAnsi="Times New Roman" w:cs="Times New Roman"/>
          <w:sz w:val="24"/>
          <w:szCs w:val="24"/>
          <w:lang w:eastAsia="zh-CN"/>
        </w:rPr>
        <w:t>M</w:t>
      </w:r>
      <w:r w:rsidRPr="00097566">
        <w:rPr>
          <w:rFonts w:ascii="Times New Roman" w:eastAsia="Calibri" w:hAnsi="Times New Roman" w:cs="Times New Roman"/>
          <w:sz w:val="24"/>
          <w:szCs w:val="24"/>
          <w:lang w:eastAsia="zh-CN"/>
        </w:rPr>
        <w:t>onitor considers appropriate. These reports are publicly available on NYCHA’s website.</w:t>
      </w:r>
      <w:r w:rsidRPr="00097566">
        <w:rPr>
          <w:rFonts w:ascii="Times New Roman" w:eastAsia="Calibri" w:hAnsi="Times New Roman" w:cs="Times New Roman"/>
          <w:sz w:val="24"/>
          <w:szCs w:val="24"/>
          <w:vertAlign w:val="superscript"/>
          <w:lang w:eastAsia="zh-CN"/>
        </w:rPr>
        <w:footnoteReference w:id="24"/>
      </w:r>
      <w:r w:rsidRPr="00097566">
        <w:rPr>
          <w:rFonts w:ascii="Times New Roman" w:eastAsia="Calibri" w:hAnsi="Times New Roman" w:cs="Times New Roman"/>
          <w:sz w:val="24"/>
          <w:szCs w:val="24"/>
          <w:lang w:eastAsia="zh-CN"/>
        </w:rPr>
        <w:t xml:space="preserve"> </w:t>
      </w:r>
    </w:p>
    <w:p w:rsidR="00AE1697" w:rsidRPr="00097566" w:rsidRDefault="00AE1697" w:rsidP="00AE1697">
      <w:pPr>
        <w:suppressAutoHyphens/>
        <w:spacing w:after="0" w:line="480" w:lineRule="auto"/>
        <w:ind w:firstLine="720"/>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The Action Plans required by the Agreement are subject to Monitor approval</w:t>
      </w:r>
      <w:r w:rsidRPr="00097566">
        <w:rPr>
          <w:rFonts w:ascii="Times New Roman" w:eastAsia="Calibri" w:hAnsi="Times New Roman" w:cs="Times New Roman"/>
          <w:sz w:val="24"/>
          <w:szCs w:val="24"/>
          <w:lang w:eastAsia="zh-CN"/>
        </w:rPr>
        <w:t>. If the Monitor finds that an Action Plan is unacceptable, and NYCHA cannot revise it in an acceptable way, then the Monitor has the authority to submit a revised Action Plan to NYCHA, HUD, and SDNY.</w:t>
      </w:r>
      <w:r w:rsidRPr="00097566">
        <w:rPr>
          <w:rFonts w:ascii="Times New Roman" w:eastAsia="Calibri" w:hAnsi="Times New Roman" w:cs="Times New Roman"/>
          <w:sz w:val="24"/>
          <w:szCs w:val="24"/>
          <w:vertAlign w:val="superscript"/>
          <w:lang w:eastAsia="zh-CN"/>
        </w:rPr>
        <w:footnoteReference w:id="25"/>
      </w:r>
      <w:r w:rsidRPr="00097566">
        <w:rPr>
          <w:rFonts w:ascii="Times New Roman" w:eastAsia="Calibri" w:hAnsi="Times New Roman" w:cs="Times New Roman"/>
          <w:sz w:val="24"/>
          <w:szCs w:val="24"/>
          <w:lang w:eastAsia="zh-CN"/>
        </w:rPr>
        <w:t xml:space="preserve"> Each approved Action Plan will be posted on NYCHA’s website. The Monitor may direct NYCHA to select an independent contractor to perform work called for by an Action Plan or revisions made by the </w:t>
      </w:r>
      <w:r>
        <w:rPr>
          <w:rFonts w:ascii="Times New Roman" w:eastAsia="Calibri" w:hAnsi="Times New Roman" w:cs="Times New Roman"/>
          <w:sz w:val="24"/>
          <w:szCs w:val="24"/>
          <w:lang w:eastAsia="zh-CN"/>
        </w:rPr>
        <w:t>M</w:t>
      </w:r>
      <w:r w:rsidRPr="00097566">
        <w:rPr>
          <w:rFonts w:ascii="Times New Roman" w:eastAsia="Calibri" w:hAnsi="Times New Roman" w:cs="Times New Roman"/>
          <w:sz w:val="24"/>
          <w:szCs w:val="24"/>
          <w:lang w:eastAsia="zh-CN"/>
        </w:rPr>
        <w:t>onitor. NYCHA’s Heating Action Plan has been approved by the Monitor and is available online.</w:t>
      </w:r>
      <w:r w:rsidRPr="00097566">
        <w:rPr>
          <w:rStyle w:val="FootnoteReference"/>
          <w:rFonts w:ascii="Times New Roman" w:hAnsi="Times New Roman"/>
          <w:sz w:val="24"/>
          <w:szCs w:val="24"/>
        </w:rPr>
        <w:footnoteReference w:id="26"/>
      </w:r>
    </w:p>
    <w:p w:rsidR="00AE1697" w:rsidRPr="00097566" w:rsidRDefault="00AE1697" w:rsidP="00AE1697">
      <w:pPr>
        <w:suppressAutoHyphens/>
        <w:spacing w:after="0" w:line="480" w:lineRule="auto"/>
        <w:contextualSpacing/>
        <w:jc w:val="both"/>
        <w:rPr>
          <w:rFonts w:ascii="Times New Roman" w:eastAsia="Calibri" w:hAnsi="Times New Roman" w:cs="Times New Roman"/>
          <w:b/>
          <w:bCs/>
          <w:sz w:val="24"/>
          <w:szCs w:val="24"/>
          <w:u w:val="single"/>
          <w:lang w:eastAsia="zh-CN"/>
        </w:rPr>
      </w:pPr>
      <w:r w:rsidRPr="00097566">
        <w:rPr>
          <w:rFonts w:ascii="Times New Roman" w:eastAsia="Calibri" w:hAnsi="Times New Roman" w:cs="Times New Roman"/>
          <w:b/>
          <w:bCs/>
          <w:sz w:val="24"/>
          <w:szCs w:val="24"/>
          <w:u w:val="single"/>
          <w:lang w:eastAsia="zh-CN"/>
        </w:rPr>
        <w:t>Heat Outages</w:t>
      </w:r>
    </w:p>
    <w:p w:rsidR="00AE1697" w:rsidRDefault="00AE1697" w:rsidP="00AE1697">
      <w:pPr>
        <w:spacing w:after="0" w:line="480" w:lineRule="auto"/>
        <w:ind w:firstLine="720"/>
        <w:jc w:val="both"/>
        <w:rPr>
          <w:rFonts w:ascii="Times New Roman" w:hAnsi="Times New Roman" w:cs="Times New Roman"/>
          <w:sz w:val="24"/>
          <w:szCs w:val="24"/>
        </w:rPr>
      </w:pPr>
      <w:r w:rsidRPr="00097566">
        <w:rPr>
          <w:rFonts w:ascii="Times New Roman" w:hAnsi="Times New Roman" w:cs="Times New Roman"/>
          <w:sz w:val="24"/>
          <w:szCs w:val="24"/>
        </w:rPr>
        <w:t xml:space="preserve">To understand the impact of heat outages, </w:t>
      </w:r>
      <w:r>
        <w:rPr>
          <w:rFonts w:ascii="Times New Roman" w:hAnsi="Times New Roman" w:cs="Times New Roman"/>
          <w:sz w:val="24"/>
          <w:szCs w:val="24"/>
        </w:rPr>
        <w:t>this section uses</w:t>
      </w:r>
      <w:r w:rsidRPr="00097566">
        <w:rPr>
          <w:rFonts w:ascii="Times New Roman" w:hAnsi="Times New Roman" w:cs="Times New Roman"/>
          <w:sz w:val="24"/>
          <w:szCs w:val="24"/>
        </w:rPr>
        <w:t xml:space="preserve"> data from NYCHA’s outage website for analysis. </w:t>
      </w:r>
      <w:r>
        <w:rPr>
          <w:rFonts w:ascii="Times New Roman" w:hAnsi="Times New Roman" w:cs="Times New Roman"/>
          <w:sz w:val="24"/>
          <w:szCs w:val="24"/>
        </w:rPr>
        <w:t>T</w:t>
      </w:r>
      <w:r w:rsidRPr="00097566">
        <w:rPr>
          <w:rFonts w:ascii="Times New Roman" w:hAnsi="Times New Roman" w:cs="Times New Roman"/>
          <w:sz w:val="24"/>
          <w:szCs w:val="24"/>
        </w:rPr>
        <w:t xml:space="preserve">he dataset </w:t>
      </w:r>
      <w:r>
        <w:rPr>
          <w:rFonts w:ascii="Times New Roman" w:hAnsi="Times New Roman" w:cs="Times New Roman"/>
          <w:sz w:val="24"/>
          <w:szCs w:val="24"/>
        </w:rPr>
        <w:t xml:space="preserve">was limited </w:t>
      </w:r>
      <w:r w:rsidRPr="00097566">
        <w:rPr>
          <w:rFonts w:ascii="Times New Roman" w:hAnsi="Times New Roman" w:cs="Times New Roman"/>
          <w:sz w:val="24"/>
          <w:szCs w:val="24"/>
        </w:rPr>
        <w:t>to Heating Season</w:t>
      </w:r>
      <w:r>
        <w:rPr>
          <w:rFonts w:ascii="Times New Roman" w:hAnsi="Times New Roman" w:cs="Times New Roman"/>
          <w:sz w:val="24"/>
          <w:szCs w:val="24"/>
        </w:rPr>
        <w:t>s</w:t>
      </w:r>
      <w:r w:rsidRPr="00097566">
        <w:rPr>
          <w:rFonts w:ascii="Times New Roman" w:hAnsi="Times New Roman" w:cs="Times New Roman"/>
          <w:sz w:val="24"/>
          <w:szCs w:val="24"/>
        </w:rPr>
        <w:t xml:space="preserve"> starting from </w:t>
      </w:r>
      <w:r>
        <w:rPr>
          <w:rFonts w:ascii="Times New Roman" w:hAnsi="Times New Roman" w:cs="Times New Roman"/>
          <w:sz w:val="24"/>
          <w:szCs w:val="24"/>
        </w:rPr>
        <w:t xml:space="preserve">October 1, </w:t>
      </w:r>
      <w:r w:rsidRPr="00097566">
        <w:rPr>
          <w:rFonts w:ascii="Times New Roman" w:hAnsi="Times New Roman" w:cs="Times New Roman"/>
          <w:sz w:val="24"/>
          <w:szCs w:val="24"/>
        </w:rPr>
        <w:t xml:space="preserve">2019 to the time </w:t>
      </w:r>
      <w:r>
        <w:rPr>
          <w:rFonts w:ascii="Times New Roman" w:hAnsi="Times New Roman" w:cs="Times New Roman"/>
          <w:sz w:val="24"/>
          <w:szCs w:val="24"/>
        </w:rPr>
        <w:t>the data was</w:t>
      </w:r>
      <w:r w:rsidRPr="00097566">
        <w:rPr>
          <w:rFonts w:ascii="Times New Roman" w:hAnsi="Times New Roman" w:cs="Times New Roman"/>
          <w:sz w:val="24"/>
          <w:szCs w:val="24"/>
        </w:rPr>
        <w:t xml:space="preserve"> pulled, </w:t>
      </w:r>
      <w:r>
        <w:rPr>
          <w:rFonts w:ascii="Times New Roman" w:hAnsi="Times New Roman" w:cs="Times New Roman"/>
          <w:sz w:val="24"/>
          <w:szCs w:val="24"/>
        </w:rPr>
        <w:t xml:space="preserve">November 22, </w:t>
      </w:r>
      <w:r w:rsidRPr="00097566">
        <w:rPr>
          <w:rFonts w:ascii="Times New Roman" w:hAnsi="Times New Roman" w:cs="Times New Roman"/>
          <w:sz w:val="24"/>
          <w:szCs w:val="24"/>
        </w:rPr>
        <w:t>2022.</w:t>
      </w:r>
      <w:r w:rsidRPr="00097566">
        <w:rPr>
          <w:rStyle w:val="FootnoteReference"/>
          <w:rFonts w:ascii="Times New Roman" w:hAnsi="Times New Roman"/>
          <w:sz w:val="24"/>
          <w:szCs w:val="24"/>
        </w:rPr>
        <w:footnoteReference w:id="27"/>
      </w:r>
      <w:r w:rsidRPr="00097566">
        <w:rPr>
          <w:rFonts w:ascii="Times New Roman" w:hAnsi="Times New Roman" w:cs="Times New Roman"/>
          <w:sz w:val="24"/>
          <w:szCs w:val="24"/>
        </w:rPr>
        <w:t xml:space="preserve"> For this analysis,</w:t>
      </w:r>
      <w:r>
        <w:rPr>
          <w:rFonts w:ascii="Times New Roman" w:hAnsi="Times New Roman" w:cs="Times New Roman"/>
          <w:sz w:val="24"/>
          <w:szCs w:val="24"/>
        </w:rPr>
        <w:t xml:space="preserve"> “sectional outages” (which impact</w:t>
      </w:r>
      <w:r w:rsidRPr="00097566">
        <w:rPr>
          <w:rFonts w:ascii="Times New Roman" w:hAnsi="Times New Roman" w:cs="Times New Roman"/>
          <w:sz w:val="24"/>
          <w:szCs w:val="24"/>
        </w:rPr>
        <w:t xml:space="preserve"> only a c</w:t>
      </w:r>
      <w:r>
        <w:rPr>
          <w:rFonts w:ascii="Times New Roman" w:hAnsi="Times New Roman" w:cs="Times New Roman"/>
          <w:sz w:val="24"/>
          <w:szCs w:val="24"/>
        </w:rPr>
        <w:t xml:space="preserve">ertain section of a development) </w:t>
      </w:r>
      <w:r w:rsidRPr="00097566">
        <w:rPr>
          <w:rFonts w:ascii="Times New Roman" w:hAnsi="Times New Roman" w:cs="Times New Roman"/>
          <w:sz w:val="24"/>
          <w:szCs w:val="24"/>
        </w:rPr>
        <w:t>and</w:t>
      </w:r>
      <w:r>
        <w:rPr>
          <w:rFonts w:ascii="Times New Roman" w:hAnsi="Times New Roman" w:cs="Times New Roman"/>
          <w:sz w:val="24"/>
          <w:szCs w:val="24"/>
        </w:rPr>
        <w:t xml:space="preserve"> “</w:t>
      </w:r>
      <w:r w:rsidRPr="00097566">
        <w:rPr>
          <w:rFonts w:ascii="Times New Roman" w:hAnsi="Times New Roman" w:cs="Times New Roman"/>
          <w:sz w:val="24"/>
          <w:szCs w:val="24"/>
        </w:rPr>
        <w:t xml:space="preserve">entire development </w:t>
      </w:r>
      <w:r>
        <w:rPr>
          <w:rFonts w:ascii="Times New Roman" w:hAnsi="Times New Roman" w:cs="Times New Roman"/>
          <w:sz w:val="24"/>
          <w:szCs w:val="24"/>
        </w:rPr>
        <w:t xml:space="preserve">outages” </w:t>
      </w:r>
      <w:r w:rsidRPr="00097566">
        <w:rPr>
          <w:rFonts w:ascii="Times New Roman" w:hAnsi="Times New Roman" w:cs="Times New Roman"/>
          <w:sz w:val="24"/>
          <w:szCs w:val="24"/>
        </w:rPr>
        <w:t xml:space="preserve">were all counted </w:t>
      </w:r>
      <w:r>
        <w:rPr>
          <w:rFonts w:ascii="Times New Roman" w:hAnsi="Times New Roman" w:cs="Times New Roman"/>
          <w:sz w:val="24"/>
          <w:szCs w:val="24"/>
        </w:rPr>
        <w:t xml:space="preserve">as </w:t>
      </w:r>
      <w:r w:rsidRPr="00097566">
        <w:rPr>
          <w:rFonts w:ascii="Times New Roman" w:hAnsi="Times New Roman" w:cs="Times New Roman"/>
          <w:sz w:val="24"/>
          <w:szCs w:val="24"/>
        </w:rPr>
        <w:t xml:space="preserve">a singular instance of an outage.  </w:t>
      </w:r>
      <w:r>
        <w:rPr>
          <w:rFonts w:ascii="Times New Roman" w:hAnsi="Times New Roman" w:cs="Times New Roman"/>
          <w:sz w:val="24"/>
          <w:szCs w:val="24"/>
        </w:rPr>
        <w:t>Under that analysis</w:t>
      </w:r>
      <w:r w:rsidRPr="00097566">
        <w:rPr>
          <w:rFonts w:ascii="Times New Roman" w:hAnsi="Times New Roman" w:cs="Times New Roman"/>
          <w:sz w:val="24"/>
          <w:szCs w:val="24"/>
        </w:rPr>
        <w:t xml:space="preserve">, the total count of heating outages </w:t>
      </w:r>
      <w:r>
        <w:rPr>
          <w:rFonts w:ascii="Times New Roman" w:hAnsi="Times New Roman" w:cs="Times New Roman"/>
          <w:sz w:val="24"/>
          <w:szCs w:val="24"/>
        </w:rPr>
        <w:t xml:space="preserve">for that period </w:t>
      </w:r>
      <w:r w:rsidRPr="00097566">
        <w:rPr>
          <w:rFonts w:ascii="Times New Roman" w:hAnsi="Times New Roman" w:cs="Times New Roman"/>
          <w:sz w:val="24"/>
          <w:szCs w:val="24"/>
        </w:rPr>
        <w:t>was 2,253.</w:t>
      </w:r>
      <w:r w:rsidRPr="00097566">
        <w:rPr>
          <w:rStyle w:val="FootnoteReference"/>
          <w:rFonts w:ascii="Times New Roman" w:hAnsi="Times New Roman"/>
          <w:sz w:val="24"/>
          <w:szCs w:val="24"/>
        </w:rPr>
        <w:footnoteReference w:id="28"/>
      </w:r>
    </w:p>
    <w:p w:rsidR="00AE1697" w:rsidRPr="008E6A4E" w:rsidRDefault="00AE1697" w:rsidP="00AE1697">
      <w:pPr>
        <w:spacing w:after="0" w:line="240" w:lineRule="auto"/>
        <w:jc w:val="center"/>
        <w:rPr>
          <w:rFonts w:ascii="Times New Roman" w:hAnsi="Times New Roman" w:cs="Times New Roman"/>
          <w:b/>
          <w:sz w:val="24"/>
          <w:szCs w:val="24"/>
          <w:u w:val="single"/>
        </w:rPr>
      </w:pPr>
      <w:r w:rsidRPr="008E6A4E">
        <w:rPr>
          <w:rFonts w:ascii="Times New Roman" w:hAnsi="Times New Roman" w:cs="Times New Roman"/>
          <w:b/>
          <w:sz w:val="24"/>
          <w:szCs w:val="24"/>
          <w:u w:val="single"/>
        </w:rPr>
        <w:t>Table A</w:t>
      </w:r>
      <w:r w:rsidRPr="00097566">
        <w:rPr>
          <w:rStyle w:val="FootnoteReference"/>
          <w:rFonts w:ascii="Times New Roman" w:hAnsi="Times New Roman"/>
          <w:sz w:val="24"/>
          <w:szCs w:val="24"/>
        </w:rPr>
        <w:footnoteReference w:id="29"/>
      </w:r>
    </w:p>
    <w:p w:rsidR="00AE1697" w:rsidRDefault="00AE1697" w:rsidP="00AE1697">
      <w:pPr>
        <w:suppressAutoHyphens/>
        <w:spacing w:after="0" w:line="240" w:lineRule="auto"/>
        <w:contextualSpacing/>
        <w:jc w:val="center"/>
        <w:rPr>
          <w:rFonts w:ascii="Times New Roman" w:eastAsia="Calibri" w:hAnsi="Times New Roman" w:cs="Times New Roman"/>
          <w:sz w:val="24"/>
          <w:szCs w:val="24"/>
          <w:lang w:eastAsia="zh-CN"/>
        </w:rPr>
      </w:pPr>
      <w:r w:rsidRPr="00097566">
        <w:rPr>
          <w:rFonts w:ascii="Times New Roman" w:hAnsi="Times New Roman" w:cs="Times New Roman"/>
          <w:noProof/>
          <w:color w:val="000000"/>
          <w:bdr w:val="none" w:sz="0" w:space="0" w:color="auto" w:frame="1"/>
        </w:rPr>
        <w:drawing>
          <wp:inline distT="0" distB="0" distL="0" distR="0" wp14:anchorId="69B45ACC" wp14:editId="470C2897">
            <wp:extent cx="3667125" cy="1962150"/>
            <wp:effectExtent l="19050" t="19050" r="2857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7125" cy="1962150"/>
                    </a:xfrm>
                    <a:prstGeom prst="rect">
                      <a:avLst/>
                    </a:prstGeom>
                    <a:noFill/>
                    <a:ln>
                      <a:solidFill>
                        <a:schemeClr val="accent1"/>
                      </a:solidFill>
                    </a:ln>
                  </pic:spPr>
                </pic:pic>
              </a:graphicData>
            </a:graphic>
          </wp:inline>
        </w:drawing>
      </w:r>
    </w:p>
    <w:p w:rsidR="00AE1697" w:rsidRPr="008E6A4E" w:rsidRDefault="00AE1697" w:rsidP="00AE1697">
      <w:pPr>
        <w:suppressAutoHyphens/>
        <w:spacing w:after="0" w:line="240" w:lineRule="auto"/>
        <w:contextualSpacing/>
        <w:jc w:val="both"/>
        <w:rPr>
          <w:rFonts w:ascii="Times New Roman" w:eastAsia="Calibri" w:hAnsi="Times New Roman" w:cs="Times New Roman"/>
          <w:sz w:val="20"/>
          <w:szCs w:val="20"/>
          <w:lang w:eastAsia="zh-CN"/>
        </w:rPr>
      </w:pPr>
      <w:r w:rsidRPr="008E6A4E">
        <w:rPr>
          <w:rFonts w:ascii="Times New Roman" w:eastAsia="Calibri" w:hAnsi="Times New Roman" w:cs="Times New Roman"/>
          <w:sz w:val="20"/>
          <w:szCs w:val="20"/>
          <w:lang w:eastAsia="zh-CN"/>
        </w:rPr>
        <w:t>Table A shows the hours it took to resolve a heating outage, broken down by planned and unplanned outages.</w:t>
      </w:r>
    </w:p>
    <w:p w:rsidR="00AE1697" w:rsidRDefault="00AE1697" w:rsidP="00AE1697">
      <w:pPr>
        <w:suppressAutoHyphens/>
        <w:spacing w:after="0" w:line="480" w:lineRule="auto"/>
        <w:ind w:firstLine="720"/>
        <w:contextualSpacing/>
        <w:jc w:val="both"/>
        <w:rPr>
          <w:rFonts w:ascii="Times New Roman" w:eastAsia="Calibri" w:hAnsi="Times New Roman" w:cs="Times New Roman"/>
          <w:sz w:val="24"/>
          <w:szCs w:val="24"/>
          <w:lang w:eastAsia="zh-CN"/>
        </w:rPr>
      </w:pPr>
    </w:p>
    <w:p w:rsidR="00AE1697" w:rsidRDefault="00AE1697" w:rsidP="00AE1697">
      <w:pPr>
        <w:suppressAutoHyphens/>
        <w:spacing w:after="0" w:line="480" w:lineRule="auto"/>
        <w:ind w:firstLine="720"/>
        <w:contextualSpacing/>
        <w:jc w:val="both"/>
        <w:rPr>
          <w:rFonts w:ascii="Times New Roman" w:eastAsia="Calibri" w:hAnsi="Times New Roman" w:cs="Times New Roman"/>
          <w:sz w:val="24"/>
          <w:szCs w:val="24"/>
          <w:lang w:eastAsia="zh-CN"/>
        </w:rPr>
      </w:pPr>
      <w:r w:rsidRPr="00097566">
        <w:rPr>
          <w:rFonts w:ascii="Times New Roman" w:eastAsia="Calibri" w:hAnsi="Times New Roman" w:cs="Times New Roman"/>
          <w:sz w:val="24"/>
          <w:szCs w:val="24"/>
          <w:lang w:eastAsia="zh-CN"/>
        </w:rPr>
        <w:t xml:space="preserve">Of the 2,253 heating outage incidents from </w:t>
      </w:r>
      <w:r>
        <w:rPr>
          <w:rFonts w:ascii="Times New Roman" w:eastAsia="Calibri" w:hAnsi="Times New Roman" w:cs="Times New Roman"/>
          <w:sz w:val="24"/>
          <w:szCs w:val="24"/>
          <w:lang w:eastAsia="zh-CN"/>
        </w:rPr>
        <w:t>October 1, 2019 to November 22, 2022</w:t>
      </w:r>
      <w:r w:rsidRPr="00097566">
        <w:rPr>
          <w:rFonts w:ascii="Times New Roman" w:eastAsia="Calibri" w:hAnsi="Times New Roman" w:cs="Times New Roman"/>
          <w:sz w:val="24"/>
          <w:szCs w:val="24"/>
          <w:lang w:eastAsia="zh-CN"/>
        </w:rPr>
        <w:t xml:space="preserve">, </w:t>
      </w:r>
      <w:r>
        <w:rPr>
          <w:rFonts w:ascii="Times New Roman" w:eastAsia="Calibri" w:hAnsi="Times New Roman" w:cs="Times New Roman"/>
          <w:sz w:val="24"/>
          <w:szCs w:val="24"/>
          <w:lang w:eastAsia="zh-CN"/>
        </w:rPr>
        <w:t>691 incidents were planned</w:t>
      </w:r>
      <w:r w:rsidRPr="00097566">
        <w:rPr>
          <w:rFonts w:ascii="Times New Roman" w:eastAsia="Calibri" w:hAnsi="Times New Roman" w:cs="Times New Roman"/>
          <w:sz w:val="24"/>
          <w:szCs w:val="24"/>
          <w:lang w:eastAsia="zh-CN"/>
        </w:rPr>
        <w:t xml:space="preserve"> and </w:t>
      </w:r>
      <w:r>
        <w:rPr>
          <w:rFonts w:ascii="Times New Roman" w:eastAsia="Calibri" w:hAnsi="Times New Roman" w:cs="Times New Roman"/>
          <w:sz w:val="24"/>
          <w:szCs w:val="24"/>
          <w:lang w:eastAsia="zh-CN"/>
        </w:rPr>
        <w:t>1562 incidents</w:t>
      </w:r>
      <w:r w:rsidRPr="00097566">
        <w:rPr>
          <w:rFonts w:ascii="Times New Roman" w:eastAsia="Calibri" w:hAnsi="Times New Roman" w:cs="Times New Roman"/>
          <w:sz w:val="24"/>
          <w:szCs w:val="24"/>
          <w:lang w:eastAsia="zh-CN"/>
        </w:rPr>
        <w:t xml:space="preserve"> were unplanned.</w:t>
      </w:r>
      <w:r w:rsidRPr="00097566">
        <w:rPr>
          <w:rStyle w:val="FootnoteReference"/>
          <w:rFonts w:ascii="Times New Roman" w:hAnsi="Times New Roman"/>
          <w:sz w:val="24"/>
          <w:szCs w:val="24"/>
        </w:rPr>
        <w:footnoteReference w:id="30"/>
      </w:r>
      <w:r w:rsidRPr="00097566">
        <w:rPr>
          <w:rFonts w:ascii="Times New Roman" w:eastAsia="Calibri" w:hAnsi="Times New Roman" w:cs="Times New Roman"/>
          <w:sz w:val="24"/>
          <w:szCs w:val="24"/>
          <w:lang w:eastAsia="zh-CN"/>
        </w:rPr>
        <w:t xml:space="preserve"> These outages usually took 7.8 hours to resolve</w:t>
      </w:r>
      <w:r>
        <w:rPr>
          <w:rFonts w:ascii="Times New Roman" w:eastAsia="Calibri" w:hAnsi="Times New Roman" w:cs="Times New Roman"/>
          <w:sz w:val="24"/>
          <w:szCs w:val="24"/>
          <w:lang w:eastAsia="zh-CN"/>
        </w:rPr>
        <w:t>,</w:t>
      </w:r>
      <w:r w:rsidRPr="00097566">
        <w:rPr>
          <w:rFonts w:ascii="Times New Roman" w:eastAsia="Calibri" w:hAnsi="Times New Roman" w:cs="Times New Roman"/>
          <w:sz w:val="24"/>
          <w:szCs w:val="24"/>
          <w:lang w:eastAsia="zh-CN"/>
        </w:rPr>
        <w:t xml:space="preserve"> with </w:t>
      </w:r>
      <w:r>
        <w:rPr>
          <w:rFonts w:ascii="Times New Roman" w:eastAsia="Calibri" w:hAnsi="Times New Roman" w:cs="Times New Roman"/>
          <w:sz w:val="24"/>
          <w:szCs w:val="24"/>
          <w:lang w:eastAsia="zh-CN"/>
        </w:rPr>
        <w:t>certain</w:t>
      </w:r>
      <w:r w:rsidRPr="00097566">
        <w:rPr>
          <w:rFonts w:ascii="Times New Roman" w:eastAsia="Calibri" w:hAnsi="Times New Roman" w:cs="Times New Roman"/>
          <w:sz w:val="24"/>
          <w:szCs w:val="24"/>
          <w:lang w:eastAsia="zh-CN"/>
        </w:rPr>
        <w:t xml:space="preserve"> catastrophic incidents skewing the average to 8.66 hours.</w:t>
      </w:r>
      <w:r w:rsidRPr="00097566">
        <w:rPr>
          <w:rStyle w:val="FootnoteReference"/>
          <w:rFonts w:ascii="Times New Roman" w:hAnsi="Times New Roman"/>
          <w:sz w:val="24"/>
          <w:szCs w:val="24"/>
        </w:rPr>
        <w:footnoteReference w:id="31"/>
      </w:r>
      <w:r w:rsidRPr="00097566">
        <w:rPr>
          <w:rFonts w:ascii="Times New Roman" w:eastAsia="Calibri" w:hAnsi="Times New Roman" w:cs="Times New Roman"/>
          <w:sz w:val="24"/>
          <w:szCs w:val="24"/>
          <w:lang w:eastAsia="zh-CN"/>
        </w:rPr>
        <w:t xml:space="preserve"> </w:t>
      </w:r>
      <w:r>
        <w:rPr>
          <w:rFonts w:ascii="Times New Roman" w:eastAsia="Calibri" w:hAnsi="Times New Roman" w:cs="Times New Roman"/>
          <w:sz w:val="24"/>
          <w:szCs w:val="24"/>
          <w:lang w:eastAsia="zh-CN"/>
        </w:rPr>
        <w:t xml:space="preserve">One of the incidents that significantly impacted the data was the unplanned 53 hours-long entire development outage at Fort Independence Street Heath Avenue on November 6, 2021. </w:t>
      </w:r>
      <w:r w:rsidRPr="00097566">
        <w:rPr>
          <w:rFonts w:ascii="Times New Roman" w:eastAsia="Calibri" w:hAnsi="Times New Roman" w:cs="Times New Roman"/>
          <w:sz w:val="24"/>
          <w:szCs w:val="24"/>
          <w:lang w:eastAsia="zh-CN"/>
        </w:rPr>
        <w:t>Planned outages generally took less time to resolve than unplanned outages.</w:t>
      </w:r>
    </w:p>
    <w:p w:rsidR="00AE1697" w:rsidRPr="008E6A4E" w:rsidRDefault="00AE1697" w:rsidP="00AE1697">
      <w:pPr>
        <w:suppressAutoHyphens/>
        <w:spacing w:after="0" w:line="480" w:lineRule="auto"/>
        <w:contextualSpacing/>
        <w:jc w:val="center"/>
        <w:rPr>
          <w:rFonts w:ascii="Times New Roman" w:eastAsia="Calibri" w:hAnsi="Times New Roman" w:cs="Times New Roman"/>
          <w:b/>
          <w:sz w:val="24"/>
          <w:szCs w:val="24"/>
          <w:u w:val="single"/>
          <w:lang w:eastAsia="zh-CN"/>
        </w:rPr>
      </w:pPr>
      <w:r>
        <w:rPr>
          <w:rFonts w:ascii="Times New Roman" w:eastAsia="Calibri" w:hAnsi="Times New Roman" w:cs="Times New Roman"/>
          <w:b/>
          <w:sz w:val="24"/>
          <w:szCs w:val="24"/>
          <w:u w:val="single"/>
          <w:lang w:eastAsia="zh-CN"/>
        </w:rPr>
        <w:t>Table B</w:t>
      </w:r>
      <w:r w:rsidRPr="00097566">
        <w:rPr>
          <w:rStyle w:val="FootnoteReference"/>
          <w:rFonts w:ascii="Times New Roman" w:hAnsi="Times New Roman"/>
          <w:sz w:val="24"/>
          <w:szCs w:val="24"/>
        </w:rPr>
        <w:footnoteReference w:id="32"/>
      </w:r>
    </w:p>
    <w:p w:rsidR="00AE1697" w:rsidRDefault="00AE1697" w:rsidP="00AE1697">
      <w:pPr>
        <w:suppressAutoHyphens/>
        <w:spacing w:after="0" w:line="240" w:lineRule="auto"/>
        <w:contextualSpacing/>
        <w:jc w:val="right"/>
        <w:rPr>
          <w:rFonts w:ascii="Times New Roman" w:eastAsia="Calibri" w:hAnsi="Times New Roman" w:cs="Times New Roman"/>
          <w:sz w:val="24"/>
          <w:szCs w:val="24"/>
          <w:lang w:eastAsia="zh-CN"/>
        </w:rPr>
      </w:pPr>
      <w:r w:rsidRPr="00097566">
        <w:rPr>
          <w:rFonts w:ascii="Times New Roman" w:eastAsia="Calibri" w:hAnsi="Times New Roman" w:cs="Times New Roman"/>
          <w:noProof/>
          <w:sz w:val="24"/>
          <w:szCs w:val="24"/>
        </w:rPr>
        <w:drawing>
          <wp:inline distT="0" distB="0" distL="0" distR="0" wp14:anchorId="387DF296" wp14:editId="52D03424">
            <wp:extent cx="5949950" cy="1957070"/>
            <wp:effectExtent l="19050" t="19050" r="12700" b="2413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950" cy="1957070"/>
                    </a:xfrm>
                    <a:prstGeom prst="rect">
                      <a:avLst/>
                    </a:prstGeom>
                    <a:noFill/>
                    <a:ln>
                      <a:solidFill>
                        <a:schemeClr val="accent1"/>
                      </a:solidFill>
                    </a:ln>
                  </pic:spPr>
                </pic:pic>
              </a:graphicData>
            </a:graphic>
          </wp:inline>
        </w:drawing>
      </w:r>
    </w:p>
    <w:p w:rsidR="00AE1697" w:rsidRPr="008E6A4E" w:rsidRDefault="00AE1697" w:rsidP="00AE1697">
      <w:pPr>
        <w:suppressAutoHyphens/>
        <w:spacing w:after="0" w:line="240" w:lineRule="auto"/>
        <w:contextualSpacing/>
        <w:jc w:val="both"/>
        <w:rPr>
          <w:rFonts w:ascii="Times New Roman" w:eastAsia="Calibri" w:hAnsi="Times New Roman" w:cs="Times New Roman"/>
          <w:sz w:val="20"/>
          <w:szCs w:val="20"/>
          <w:lang w:eastAsia="zh-CN"/>
        </w:rPr>
      </w:pPr>
      <w:r>
        <w:rPr>
          <w:rFonts w:ascii="Times New Roman" w:eastAsia="Calibri" w:hAnsi="Times New Roman" w:cs="Times New Roman"/>
          <w:sz w:val="20"/>
          <w:szCs w:val="20"/>
          <w:lang w:eastAsia="zh-CN"/>
        </w:rPr>
        <w:t>Table B</w:t>
      </w:r>
      <w:r w:rsidRPr="008E6A4E">
        <w:rPr>
          <w:rFonts w:ascii="Times New Roman" w:eastAsia="Calibri" w:hAnsi="Times New Roman" w:cs="Times New Roman"/>
          <w:sz w:val="20"/>
          <w:szCs w:val="20"/>
          <w:lang w:eastAsia="zh-CN"/>
        </w:rPr>
        <w:t xml:space="preserve"> shows the hours it took to resolve a heating outage, broken down by </w:t>
      </w:r>
      <w:r>
        <w:rPr>
          <w:rFonts w:ascii="Times New Roman" w:eastAsia="Calibri" w:hAnsi="Times New Roman" w:cs="Times New Roman"/>
          <w:sz w:val="20"/>
          <w:szCs w:val="20"/>
          <w:lang w:eastAsia="zh-CN"/>
        </w:rPr>
        <w:t>heat season from 2019-2020 through present.</w:t>
      </w:r>
    </w:p>
    <w:p w:rsidR="00AE1697" w:rsidRPr="00097566" w:rsidRDefault="00AE1697" w:rsidP="00AE1697">
      <w:pPr>
        <w:suppressAutoHyphens/>
        <w:spacing w:after="0" w:line="240" w:lineRule="auto"/>
        <w:contextualSpacing/>
        <w:jc w:val="right"/>
        <w:rPr>
          <w:rFonts w:ascii="Times New Roman" w:eastAsia="Calibri" w:hAnsi="Times New Roman" w:cs="Times New Roman"/>
          <w:sz w:val="24"/>
          <w:szCs w:val="24"/>
          <w:lang w:eastAsia="zh-CN"/>
        </w:rPr>
      </w:pPr>
    </w:p>
    <w:p w:rsidR="00AE1697" w:rsidRPr="00097566" w:rsidRDefault="00AE1697" w:rsidP="00AE1697">
      <w:pPr>
        <w:suppressAutoHyphens/>
        <w:spacing w:after="0" w:line="480" w:lineRule="auto"/>
        <w:ind w:firstLine="720"/>
        <w:contextualSpacing/>
        <w:jc w:val="both"/>
        <w:rPr>
          <w:rFonts w:ascii="Times New Roman" w:eastAsia="Calibri" w:hAnsi="Times New Roman" w:cs="Times New Roman"/>
          <w:sz w:val="24"/>
          <w:szCs w:val="24"/>
          <w:lang w:eastAsia="zh-CN"/>
        </w:rPr>
      </w:pPr>
      <w:r>
        <w:rPr>
          <w:rFonts w:ascii="Times New Roman" w:hAnsi="Times New Roman" w:cs="Times New Roman"/>
          <w:color w:val="000000"/>
          <w:sz w:val="24"/>
          <w:szCs w:val="24"/>
        </w:rPr>
        <w:t xml:space="preserve">As noted, the data </w:t>
      </w:r>
      <w:r w:rsidRPr="00097566">
        <w:rPr>
          <w:rFonts w:ascii="Times New Roman" w:hAnsi="Times New Roman" w:cs="Times New Roman"/>
          <w:color w:val="000000"/>
          <w:sz w:val="24"/>
          <w:szCs w:val="24"/>
        </w:rPr>
        <w:t xml:space="preserve">for </w:t>
      </w:r>
      <w:r>
        <w:rPr>
          <w:rFonts w:ascii="Times New Roman" w:hAnsi="Times New Roman" w:cs="Times New Roman"/>
          <w:color w:val="000000"/>
          <w:sz w:val="24"/>
          <w:szCs w:val="24"/>
        </w:rPr>
        <w:t xml:space="preserve">the </w:t>
      </w:r>
      <w:r w:rsidRPr="00097566">
        <w:rPr>
          <w:rFonts w:ascii="Times New Roman" w:hAnsi="Times New Roman" w:cs="Times New Roman"/>
          <w:color w:val="000000"/>
          <w:sz w:val="24"/>
          <w:szCs w:val="24"/>
        </w:rPr>
        <w:t xml:space="preserve">2022-2023 </w:t>
      </w:r>
      <w:r>
        <w:rPr>
          <w:rFonts w:ascii="Times New Roman" w:hAnsi="Times New Roman" w:cs="Times New Roman"/>
          <w:color w:val="000000"/>
          <w:sz w:val="24"/>
          <w:szCs w:val="24"/>
        </w:rPr>
        <w:t xml:space="preserve">heat season </w:t>
      </w:r>
      <w:r w:rsidRPr="00097566">
        <w:rPr>
          <w:rFonts w:ascii="Times New Roman" w:hAnsi="Times New Roman" w:cs="Times New Roman"/>
          <w:color w:val="000000"/>
          <w:sz w:val="24"/>
          <w:szCs w:val="24"/>
        </w:rPr>
        <w:t xml:space="preserve">is </w:t>
      </w:r>
      <w:r>
        <w:rPr>
          <w:rFonts w:ascii="Times New Roman" w:hAnsi="Times New Roman" w:cs="Times New Roman"/>
          <w:color w:val="000000"/>
          <w:sz w:val="24"/>
          <w:szCs w:val="24"/>
        </w:rPr>
        <w:t>only for 53 days</w:t>
      </w:r>
      <w:r w:rsidRPr="00097566">
        <w:rPr>
          <w:rFonts w:ascii="Times New Roman" w:hAnsi="Times New Roman" w:cs="Times New Roman"/>
          <w:color w:val="000000"/>
          <w:sz w:val="24"/>
          <w:szCs w:val="24"/>
        </w:rPr>
        <w:t>.</w:t>
      </w:r>
      <w:r>
        <w:rPr>
          <w:rFonts w:ascii="Times New Roman" w:hAnsi="Times New Roman" w:cs="Times New Roman"/>
          <w:color w:val="000000"/>
          <w:sz w:val="24"/>
          <w:szCs w:val="24"/>
        </w:rPr>
        <w:t xml:space="preserve"> If</w:t>
      </w:r>
      <w:r w:rsidRPr="00097566">
        <w:rPr>
          <w:rFonts w:ascii="Times New Roman" w:hAnsi="Times New Roman" w:cs="Times New Roman"/>
          <w:color w:val="000000"/>
          <w:sz w:val="24"/>
          <w:szCs w:val="24"/>
        </w:rPr>
        <w:t xml:space="preserve"> that data</w:t>
      </w:r>
      <w:r>
        <w:rPr>
          <w:rFonts w:ascii="Times New Roman" w:hAnsi="Times New Roman" w:cs="Times New Roman"/>
          <w:color w:val="000000"/>
          <w:sz w:val="24"/>
          <w:szCs w:val="24"/>
        </w:rPr>
        <w:t xml:space="preserve"> is omitted</w:t>
      </w:r>
      <w:r w:rsidRPr="00097566">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then for the three heat seasons from 2019 to 2022, there is</w:t>
      </w:r>
      <w:r w:rsidRPr="00097566">
        <w:rPr>
          <w:rFonts w:ascii="Times New Roman" w:hAnsi="Times New Roman" w:cs="Times New Roman"/>
          <w:color w:val="000000"/>
          <w:sz w:val="24"/>
          <w:szCs w:val="24"/>
        </w:rPr>
        <w:t xml:space="preserve"> a slight increasing trend for the median hours it </w:t>
      </w:r>
      <w:r>
        <w:rPr>
          <w:rFonts w:ascii="Times New Roman" w:hAnsi="Times New Roman" w:cs="Times New Roman"/>
          <w:color w:val="000000"/>
          <w:sz w:val="24"/>
          <w:szCs w:val="24"/>
        </w:rPr>
        <w:t>took</w:t>
      </w:r>
      <w:r w:rsidRPr="00097566">
        <w:rPr>
          <w:rFonts w:ascii="Times New Roman" w:hAnsi="Times New Roman" w:cs="Times New Roman"/>
          <w:color w:val="000000"/>
          <w:sz w:val="24"/>
          <w:szCs w:val="24"/>
        </w:rPr>
        <w:t xml:space="preserve"> per heat season to resolve an unplanned outage</w:t>
      </w:r>
      <w:r>
        <w:rPr>
          <w:rFonts w:ascii="Times New Roman" w:hAnsi="Times New Roman" w:cs="Times New Roman"/>
          <w:color w:val="000000"/>
          <w:sz w:val="24"/>
          <w:szCs w:val="24"/>
        </w:rPr>
        <w:t>, and</w:t>
      </w:r>
      <w:r w:rsidRPr="00097566">
        <w:rPr>
          <w:rFonts w:ascii="Times New Roman" w:hAnsi="Times New Roman" w:cs="Times New Roman"/>
          <w:color w:val="000000"/>
          <w:sz w:val="24"/>
          <w:szCs w:val="24"/>
        </w:rPr>
        <w:t xml:space="preserve"> a slight decreasing trend for the time to resolve a planned outage.</w:t>
      </w:r>
      <w:r w:rsidRPr="00097566">
        <w:rPr>
          <w:rStyle w:val="FootnoteReference"/>
          <w:rFonts w:ascii="Times New Roman" w:hAnsi="Times New Roman"/>
          <w:color w:val="000000"/>
          <w:sz w:val="24"/>
          <w:szCs w:val="24"/>
        </w:rPr>
        <w:footnoteReference w:id="33"/>
      </w:r>
    </w:p>
    <w:p w:rsidR="00AE1697" w:rsidRPr="00097566" w:rsidRDefault="00AE1697" w:rsidP="00AE1697">
      <w:pPr>
        <w:spacing w:after="0" w:line="240" w:lineRule="auto"/>
        <w:jc w:val="both"/>
        <w:rPr>
          <w:rFonts w:ascii="Times New Roman" w:eastAsia="Times New Roman" w:hAnsi="Times New Roman" w:cs="Times New Roman"/>
          <w:i/>
          <w:iCs/>
          <w:sz w:val="24"/>
          <w:szCs w:val="24"/>
        </w:rPr>
      </w:pPr>
      <w:r w:rsidRPr="00097566">
        <w:rPr>
          <w:rFonts w:ascii="Times New Roman" w:eastAsia="Times New Roman" w:hAnsi="Times New Roman" w:cs="Times New Roman"/>
          <w:i/>
          <w:iCs/>
          <w:sz w:val="24"/>
          <w:szCs w:val="24"/>
        </w:rPr>
        <w:t>Heat Outages</w:t>
      </w:r>
      <w:r>
        <w:rPr>
          <w:rFonts w:ascii="Times New Roman" w:eastAsia="Times New Roman" w:hAnsi="Times New Roman" w:cs="Times New Roman"/>
          <w:i/>
          <w:iCs/>
          <w:sz w:val="24"/>
          <w:szCs w:val="24"/>
        </w:rPr>
        <w:t xml:space="preserve"> Lasting Over Twelve Hours</w:t>
      </w:r>
    </w:p>
    <w:p w:rsidR="00AE1697" w:rsidRPr="00097566" w:rsidRDefault="00AE1697" w:rsidP="00AE1697">
      <w:pPr>
        <w:spacing w:after="0" w:line="240" w:lineRule="auto"/>
        <w:jc w:val="both"/>
        <w:rPr>
          <w:rFonts w:ascii="Times New Roman" w:eastAsia="Times New Roman" w:hAnsi="Times New Roman" w:cs="Times New Roman"/>
          <w:i/>
          <w:iCs/>
          <w:sz w:val="24"/>
          <w:szCs w:val="24"/>
        </w:rPr>
      </w:pPr>
    </w:p>
    <w:p w:rsidR="00AE1697" w:rsidRDefault="00AE1697" w:rsidP="00AE1697">
      <w:pPr>
        <w:spacing w:after="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C</w:t>
      </w:r>
      <w:r w:rsidRPr="00097566">
        <w:rPr>
          <w:rFonts w:ascii="Times New Roman" w:eastAsia="Times New Roman" w:hAnsi="Times New Roman" w:cs="Times New Roman"/>
          <w:color w:val="000000"/>
          <w:sz w:val="24"/>
          <w:szCs w:val="24"/>
        </w:rPr>
        <w:t xml:space="preserve"> below shows the top 15 developments with the highest number of outages that took 12 or more hours to resolve. Bay View had the most frequent number of 12-hour or more outages, but many were planned. </w:t>
      </w:r>
      <w:r>
        <w:rPr>
          <w:rFonts w:ascii="Times New Roman" w:eastAsia="Times New Roman" w:hAnsi="Times New Roman" w:cs="Times New Roman"/>
          <w:color w:val="000000"/>
          <w:sz w:val="24"/>
          <w:szCs w:val="24"/>
        </w:rPr>
        <w:t>In contrast, many, if not all, of the 12-hour or more outages at</w:t>
      </w:r>
      <w:r w:rsidRPr="0009756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WSUR</w:t>
      </w:r>
      <w:r w:rsidRPr="00097566">
        <w:rPr>
          <w:rFonts w:ascii="Times New Roman" w:eastAsia="Times New Roman" w:hAnsi="Times New Roman" w:cs="Times New Roman"/>
          <w:color w:val="000000"/>
          <w:sz w:val="24"/>
          <w:szCs w:val="24"/>
        </w:rPr>
        <w:t xml:space="preserve">, Williamsburg, </w:t>
      </w:r>
      <w:r>
        <w:rPr>
          <w:rFonts w:ascii="Times New Roman" w:eastAsia="Times New Roman" w:hAnsi="Times New Roman" w:cs="Times New Roman"/>
          <w:color w:val="000000"/>
          <w:sz w:val="24"/>
          <w:szCs w:val="24"/>
        </w:rPr>
        <w:t>Wagner and other NYCHA developments were</w:t>
      </w:r>
      <w:r w:rsidRPr="00097566">
        <w:rPr>
          <w:rFonts w:ascii="Times New Roman" w:eastAsia="Times New Roman" w:hAnsi="Times New Roman" w:cs="Times New Roman"/>
          <w:color w:val="000000"/>
          <w:sz w:val="24"/>
          <w:szCs w:val="24"/>
        </w:rPr>
        <w:t xml:space="preserve"> unplanned.</w:t>
      </w:r>
      <w:r>
        <w:rPr>
          <w:rStyle w:val="FootnoteReference"/>
          <w:rFonts w:ascii="Times New Roman" w:eastAsia="Times New Roman" w:hAnsi="Times New Roman"/>
          <w:color w:val="000000"/>
          <w:sz w:val="24"/>
          <w:szCs w:val="24"/>
        </w:rPr>
        <w:footnoteReference w:id="34"/>
      </w:r>
    </w:p>
    <w:p w:rsidR="00AE1697" w:rsidRPr="00F70CBE" w:rsidRDefault="00AE1697" w:rsidP="00AE1697">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color w:val="000000"/>
          <w:sz w:val="24"/>
          <w:szCs w:val="24"/>
          <w:u w:val="single"/>
        </w:rPr>
        <w:t>Table C</w:t>
      </w:r>
      <w:r w:rsidRPr="00097566">
        <w:rPr>
          <w:rStyle w:val="FootnoteReference"/>
          <w:rFonts w:ascii="Times New Roman" w:eastAsia="Times New Roman" w:hAnsi="Times New Roman"/>
          <w:sz w:val="24"/>
          <w:szCs w:val="24"/>
        </w:rPr>
        <w:footnoteReference w:id="35"/>
      </w:r>
    </w:p>
    <w:p w:rsidR="00AE1697" w:rsidRPr="00097566" w:rsidRDefault="00AE1697" w:rsidP="00AE1697">
      <w:pPr>
        <w:spacing w:after="0" w:line="240" w:lineRule="auto"/>
        <w:rPr>
          <w:rFonts w:ascii="Times New Roman" w:eastAsia="Times New Roman" w:hAnsi="Times New Roman" w:cs="Times New Roman"/>
          <w:sz w:val="24"/>
          <w:szCs w:val="24"/>
        </w:rPr>
      </w:pPr>
    </w:p>
    <w:p w:rsidR="00AE1697" w:rsidRDefault="00AE1697" w:rsidP="00AE1697">
      <w:pPr>
        <w:spacing w:after="0" w:line="240" w:lineRule="auto"/>
        <w:jc w:val="right"/>
        <w:rPr>
          <w:rFonts w:ascii="Times New Roman" w:eastAsia="Times New Roman" w:hAnsi="Times New Roman" w:cs="Times New Roman"/>
          <w:sz w:val="24"/>
          <w:szCs w:val="24"/>
        </w:rPr>
      </w:pPr>
      <w:r w:rsidRPr="00097566">
        <w:rPr>
          <w:rFonts w:ascii="Times New Roman" w:eastAsia="Times New Roman" w:hAnsi="Times New Roman" w:cs="Times New Roman"/>
          <w:noProof/>
          <w:color w:val="000000"/>
          <w:bdr w:val="none" w:sz="0" w:space="0" w:color="auto" w:frame="1"/>
        </w:rPr>
        <w:drawing>
          <wp:inline distT="0" distB="0" distL="0" distR="0" wp14:anchorId="186D2624" wp14:editId="2E5CFD7C">
            <wp:extent cx="5943600" cy="4086225"/>
            <wp:effectExtent l="19050" t="19050" r="1905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086225"/>
                    </a:xfrm>
                    <a:prstGeom prst="rect">
                      <a:avLst/>
                    </a:prstGeom>
                    <a:noFill/>
                    <a:ln>
                      <a:solidFill>
                        <a:schemeClr val="accent1"/>
                      </a:solidFill>
                    </a:ln>
                  </pic:spPr>
                </pic:pic>
              </a:graphicData>
            </a:graphic>
          </wp:inline>
        </w:drawing>
      </w:r>
    </w:p>
    <w:p w:rsidR="00AE1697" w:rsidRPr="008E6A4E" w:rsidRDefault="00AE1697" w:rsidP="00AE1697">
      <w:pPr>
        <w:suppressAutoHyphens/>
        <w:spacing w:after="0" w:line="240" w:lineRule="auto"/>
        <w:contextualSpacing/>
        <w:jc w:val="both"/>
        <w:rPr>
          <w:rFonts w:ascii="Times New Roman" w:eastAsia="Calibri" w:hAnsi="Times New Roman" w:cs="Times New Roman"/>
          <w:sz w:val="20"/>
          <w:szCs w:val="20"/>
          <w:lang w:eastAsia="zh-CN"/>
        </w:rPr>
      </w:pPr>
      <w:r w:rsidRPr="008E6A4E">
        <w:rPr>
          <w:rFonts w:ascii="Times New Roman" w:eastAsia="Calibri" w:hAnsi="Times New Roman" w:cs="Times New Roman"/>
          <w:sz w:val="20"/>
          <w:szCs w:val="20"/>
          <w:lang w:eastAsia="zh-CN"/>
        </w:rPr>
        <w:t xml:space="preserve">Table </w:t>
      </w:r>
      <w:r>
        <w:rPr>
          <w:rFonts w:ascii="Times New Roman" w:eastAsia="Calibri" w:hAnsi="Times New Roman" w:cs="Times New Roman"/>
          <w:sz w:val="20"/>
          <w:szCs w:val="20"/>
          <w:lang w:eastAsia="zh-CN"/>
        </w:rPr>
        <w:t>C</w:t>
      </w:r>
      <w:r w:rsidRPr="008E6A4E">
        <w:rPr>
          <w:rFonts w:ascii="Times New Roman" w:eastAsia="Calibri" w:hAnsi="Times New Roman" w:cs="Times New Roman"/>
          <w:sz w:val="20"/>
          <w:szCs w:val="20"/>
          <w:lang w:eastAsia="zh-CN"/>
        </w:rPr>
        <w:t xml:space="preserve"> shows the</w:t>
      </w:r>
      <w:r>
        <w:rPr>
          <w:rFonts w:ascii="Times New Roman" w:eastAsia="Calibri" w:hAnsi="Times New Roman" w:cs="Times New Roman"/>
          <w:sz w:val="20"/>
          <w:szCs w:val="20"/>
          <w:lang w:eastAsia="zh-CN"/>
        </w:rPr>
        <w:t xml:space="preserve"> 15 NYCHA developments with the highest number of 12+ hours-long heating outages during heat season from October 1, 2019, through present.</w:t>
      </w:r>
    </w:p>
    <w:p w:rsidR="00AE1697" w:rsidRPr="00097566" w:rsidRDefault="00AE1697" w:rsidP="00AE1697">
      <w:pPr>
        <w:spacing w:after="0" w:line="240" w:lineRule="auto"/>
        <w:rPr>
          <w:rFonts w:ascii="Times New Roman" w:eastAsia="Times New Roman" w:hAnsi="Times New Roman" w:cs="Times New Roman"/>
          <w:sz w:val="24"/>
          <w:szCs w:val="24"/>
        </w:rPr>
      </w:pPr>
    </w:p>
    <w:p w:rsidR="00AE1697" w:rsidRDefault="00AE1697" w:rsidP="00AE1697">
      <w:pPr>
        <w:spacing w:after="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most of the developments listed in Table C, the</w:t>
      </w:r>
      <w:r w:rsidRPr="00097566">
        <w:rPr>
          <w:rFonts w:ascii="Times New Roman" w:eastAsia="Times New Roman" w:hAnsi="Times New Roman" w:cs="Times New Roman"/>
          <w:color w:val="000000"/>
          <w:sz w:val="24"/>
          <w:szCs w:val="24"/>
        </w:rPr>
        <w:t xml:space="preserve"> outages happened in one </w:t>
      </w:r>
      <w:r>
        <w:rPr>
          <w:rFonts w:ascii="Times New Roman" w:eastAsia="Times New Roman" w:hAnsi="Times New Roman" w:cs="Times New Roman"/>
          <w:color w:val="000000"/>
          <w:sz w:val="24"/>
          <w:szCs w:val="24"/>
        </w:rPr>
        <w:t>given heat season</w:t>
      </w:r>
      <w:r w:rsidRPr="00097566">
        <w:rPr>
          <w:rFonts w:ascii="Times New Roman" w:eastAsia="Times New Roman" w:hAnsi="Times New Roman" w:cs="Times New Roman"/>
          <w:color w:val="000000"/>
          <w:sz w:val="24"/>
          <w:szCs w:val="24"/>
        </w:rPr>
        <w:t>. For example, Bay View is not in the top 20 for 2022</w:t>
      </w:r>
      <w:r>
        <w:rPr>
          <w:rFonts w:ascii="Times New Roman" w:eastAsia="Times New Roman" w:hAnsi="Times New Roman" w:cs="Times New Roman"/>
          <w:color w:val="000000"/>
          <w:sz w:val="24"/>
          <w:szCs w:val="24"/>
        </w:rPr>
        <w:t>,</w:t>
      </w:r>
      <w:r w:rsidRPr="0009756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since it </w:t>
      </w:r>
      <w:r w:rsidRPr="00097566">
        <w:rPr>
          <w:rFonts w:ascii="Times New Roman" w:eastAsia="Times New Roman" w:hAnsi="Times New Roman" w:cs="Times New Roman"/>
          <w:color w:val="000000"/>
          <w:sz w:val="24"/>
          <w:szCs w:val="24"/>
        </w:rPr>
        <w:t xml:space="preserve">had most of </w:t>
      </w:r>
      <w:r>
        <w:rPr>
          <w:rFonts w:ascii="Times New Roman" w:eastAsia="Times New Roman" w:hAnsi="Times New Roman" w:cs="Times New Roman"/>
          <w:color w:val="000000"/>
          <w:sz w:val="24"/>
          <w:szCs w:val="24"/>
        </w:rPr>
        <w:t>its</w:t>
      </w:r>
      <w:r w:rsidRPr="00097566">
        <w:rPr>
          <w:rFonts w:ascii="Times New Roman" w:eastAsia="Times New Roman" w:hAnsi="Times New Roman" w:cs="Times New Roman"/>
          <w:color w:val="000000"/>
          <w:sz w:val="24"/>
          <w:szCs w:val="24"/>
        </w:rPr>
        <w:t xml:space="preserve"> 12+ hour outages in Heating Season </w:t>
      </w:r>
      <w:r>
        <w:rPr>
          <w:rFonts w:ascii="Times New Roman" w:eastAsia="Times New Roman" w:hAnsi="Times New Roman" w:cs="Times New Roman"/>
          <w:color w:val="000000"/>
          <w:sz w:val="24"/>
          <w:szCs w:val="24"/>
        </w:rPr>
        <w:t>2019-2020</w:t>
      </w:r>
      <w:r w:rsidRPr="00097566">
        <w:rPr>
          <w:rFonts w:ascii="Times New Roman" w:eastAsia="Times New Roman" w:hAnsi="Times New Roman" w:cs="Times New Roman"/>
          <w:color w:val="000000"/>
          <w:sz w:val="24"/>
          <w:szCs w:val="24"/>
        </w:rPr>
        <w:t>.</w:t>
      </w:r>
      <w:r w:rsidRPr="00097566">
        <w:rPr>
          <w:rStyle w:val="FootnoteReference"/>
          <w:rFonts w:ascii="Times New Roman" w:eastAsia="Times New Roman" w:hAnsi="Times New Roman"/>
          <w:color w:val="000000"/>
          <w:sz w:val="24"/>
          <w:szCs w:val="24"/>
        </w:rPr>
        <w:footnoteReference w:id="36"/>
      </w:r>
      <w:r w:rsidRPr="00097566">
        <w:rPr>
          <w:rFonts w:ascii="Times New Roman" w:eastAsia="Times New Roman" w:hAnsi="Times New Roman" w:cs="Times New Roman"/>
          <w:color w:val="000000"/>
          <w:sz w:val="24"/>
          <w:szCs w:val="24"/>
        </w:rPr>
        <w:t xml:space="preserve"> Williamsburg </w:t>
      </w:r>
      <w:r>
        <w:rPr>
          <w:rFonts w:ascii="Times New Roman" w:eastAsia="Times New Roman" w:hAnsi="Times New Roman" w:cs="Times New Roman"/>
          <w:color w:val="000000"/>
          <w:sz w:val="24"/>
          <w:szCs w:val="24"/>
        </w:rPr>
        <w:t xml:space="preserve">had </w:t>
      </w:r>
      <w:r w:rsidRPr="00097566">
        <w:rPr>
          <w:rFonts w:ascii="Times New Roman" w:eastAsia="Times New Roman" w:hAnsi="Times New Roman" w:cs="Times New Roman"/>
          <w:color w:val="000000"/>
          <w:sz w:val="24"/>
          <w:szCs w:val="24"/>
        </w:rPr>
        <w:t>some of the highest number</w:t>
      </w:r>
      <w:r>
        <w:rPr>
          <w:rFonts w:ascii="Times New Roman" w:eastAsia="Times New Roman" w:hAnsi="Times New Roman" w:cs="Times New Roman"/>
          <w:color w:val="000000"/>
          <w:sz w:val="24"/>
          <w:szCs w:val="24"/>
        </w:rPr>
        <w:t>s</w:t>
      </w:r>
      <w:r w:rsidRPr="00097566">
        <w:rPr>
          <w:rFonts w:ascii="Times New Roman" w:eastAsia="Times New Roman" w:hAnsi="Times New Roman" w:cs="Times New Roman"/>
          <w:color w:val="000000"/>
          <w:sz w:val="24"/>
          <w:szCs w:val="24"/>
        </w:rPr>
        <w:t xml:space="preserve"> of 12+ hour outages in both Heating Season </w:t>
      </w:r>
      <w:r>
        <w:rPr>
          <w:rFonts w:ascii="Times New Roman" w:eastAsia="Times New Roman" w:hAnsi="Times New Roman" w:cs="Times New Roman"/>
          <w:color w:val="000000"/>
          <w:sz w:val="24"/>
          <w:szCs w:val="24"/>
        </w:rPr>
        <w:t>20</w:t>
      </w:r>
      <w:r w:rsidRPr="00097566">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-2020</w:t>
      </w:r>
      <w:r w:rsidRPr="00097566">
        <w:rPr>
          <w:rFonts w:ascii="Times New Roman" w:eastAsia="Times New Roman" w:hAnsi="Times New Roman" w:cs="Times New Roman"/>
          <w:color w:val="000000"/>
          <w:sz w:val="24"/>
          <w:szCs w:val="24"/>
        </w:rPr>
        <w:t xml:space="preserve"> and Heating Season </w:t>
      </w:r>
      <w:r>
        <w:rPr>
          <w:rFonts w:ascii="Times New Roman" w:eastAsia="Times New Roman" w:hAnsi="Times New Roman" w:cs="Times New Roman"/>
          <w:color w:val="000000"/>
          <w:sz w:val="24"/>
          <w:szCs w:val="24"/>
        </w:rPr>
        <w:t>20</w:t>
      </w:r>
      <w:r w:rsidRPr="00097566">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-2021</w:t>
      </w:r>
      <w:r w:rsidRPr="00097566">
        <w:rPr>
          <w:rFonts w:ascii="Times New Roman" w:eastAsia="Times New Roman" w:hAnsi="Times New Roman" w:cs="Times New Roman"/>
          <w:color w:val="000000"/>
          <w:sz w:val="24"/>
          <w:szCs w:val="24"/>
        </w:rPr>
        <w:t xml:space="preserve">, but </w:t>
      </w:r>
      <w:r>
        <w:rPr>
          <w:rFonts w:ascii="Times New Roman" w:eastAsia="Times New Roman" w:hAnsi="Times New Roman" w:cs="Times New Roman"/>
          <w:color w:val="000000"/>
          <w:sz w:val="24"/>
          <w:szCs w:val="24"/>
        </w:rPr>
        <w:t>has</w:t>
      </w:r>
      <w:r w:rsidRPr="00097566">
        <w:rPr>
          <w:rFonts w:ascii="Times New Roman" w:eastAsia="Times New Roman" w:hAnsi="Times New Roman" w:cs="Times New Roman"/>
          <w:color w:val="000000"/>
          <w:sz w:val="24"/>
          <w:szCs w:val="24"/>
        </w:rPr>
        <w:t xml:space="preserve"> not had a heating outage in Heating Season </w:t>
      </w:r>
      <w:r>
        <w:rPr>
          <w:rFonts w:ascii="Times New Roman" w:eastAsia="Times New Roman" w:hAnsi="Times New Roman" w:cs="Times New Roman"/>
          <w:color w:val="000000"/>
          <w:sz w:val="24"/>
          <w:szCs w:val="24"/>
        </w:rPr>
        <w:t>20</w:t>
      </w:r>
      <w:r w:rsidRPr="00097566">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rPr>
        <w:t>-2022 and</w:t>
      </w:r>
      <w:r w:rsidRPr="00097566">
        <w:rPr>
          <w:rFonts w:ascii="Times New Roman" w:eastAsia="Times New Roman" w:hAnsi="Times New Roman" w:cs="Times New Roman"/>
          <w:color w:val="000000"/>
          <w:sz w:val="24"/>
          <w:szCs w:val="24"/>
        </w:rPr>
        <w:t xml:space="preserve"> onwards.</w:t>
      </w:r>
      <w:r w:rsidRPr="00097566">
        <w:rPr>
          <w:rStyle w:val="FootnoteReference"/>
          <w:rFonts w:ascii="Times New Roman" w:eastAsia="Times New Roman" w:hAnsi="Times New Roman"/>
          <w:color w:val="000000"/>
          <w:sz w:val="24"/>
          <w:szCs w:val="24"/>
        </w:rPr>
        <w:footnoteReference w:id="37"/>
      </w:r>
    </w:p>
    <w:p w:rsidR="00AE1697" w:rsidRPr="00C1764B" w:rsidRDefault="00AE1697" w:rsidP="00AE1697">
      <w:pPr>
        <w:spacing w:after="0" w:line="240" w:lineRule="auto"/>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Table D</w:t>
      </w:r>
      <w:r w:rsidRPr="00097566">
        <w:rPr>
          <w:rStyle w:val="FootnoteReference"/>
          <w:rFonts w:ascii="Times New Roman" w:eastAsia="Times New Roman" w:hAnsi="Times New Roman"/>
          <w:sz w:val="24"/>
          <w:szCs w:val="24"/>
        </w:rPr>
        <w:footnoteReference w:id="38"/>
      </w:r>
    </w:p>
    <w:p w:rsidR="00AE1697" w:rsidRDefault="00AE1697" w:rsidP="00AE1697">
      <w:pPr>
        <w:spacing w:after="0" w:line="240" w:lineRule="auto"/>
        <w:jc w:val="right"/>
        <w:rPr>
          <w:rFonts w:ascii="Times New Roman" w:eastAsia="Times New Roman" w:hAnsi="Times New Roman" w:cs="Times New Roman"/>
          <w:sz w:val="24"/>
          <w:szCs w:val="24"/>
        </w:rPr>
      </w:pPr>
      <w:r w:rsidRPr="00097566">
        <w:rPr>
          <w:rFonts w:ascii="Times New Roman" w:eastAsia="Times New Roman" w:hAnsi="Times New Roman" w:cs="Times New Roman"/>
          <w:noProof/>
          <w:sz w:val="24"/>
          <w:szCs w:val="24"/>
        </w:rPr>
        <w:drawing>
          <wp:inline distT="0" distB="0" distL="0" distR="0" wp14:anchorId="40753FAF" wp14:editId="6D18FAE8">
            <wp:extent cx="5916930" cy="2091055"/>
            <wp:effectExtent l="19050" t="19050" r="26670" b="2349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6930" cy="2091055"/>
                    </a:xfrm>
                    <a:prstGeom prst="rect">
                      <a:avLst/>
                    </a:prstGeom>
                    <a:noFill/>
                    <a:ln>
                      <a:solidFill>
                        <a:schemeClr val="accent1"/>
                      </a:solidFill>
                    </a:ln>
                  </pic:spPr>
                </pic:pic>
              </a:graphicData>
            </a:graphic>
          </wp:inline>
        </w:drawing>
      </w:r>
    </w:p>
    <w:p w:rsidR="00AE1697" w:rsidRPr="008E6A4E" w:rsidRDefault="00AE1697" w:rsidP="00AE1697">
      <w:pPr>
        <w:suppressAutoHyphens/>
        <w:spacing w:after="0" w:line="240" w:lineRule="auto"/>
        <w:contextualSpacing/>
        <w:jc w:val="both"/>
        <w:rPr>
          <w:rFonts w:ascii="Times New Roman" w:eastAsia="Calibri" w:hAnsi="Times New Roman" w:cs="Times New Roman"/>
          <w:sz w:val="20"/>
          <w:szCs w:val="20"/>
          <w:lang w:eastAsia="zh-CN"/>
        </w:rPr>
      </w:pPr>
      <w:r>
        <w:rPr>
          <w:rFonts w:ascii="Times New Roman" w:eastAsia="Calibri" w:hAnsi="Times New Roman" w:cs="Times New Roman"/>
          <w:sz w:val="20"/>
          <w:szCs w:val="20"/>
          <w:lang w:eastAsia="zh-CN"/>
        </w:rPr>
        <w:t>Table D</w:t>
      </w:r>
      <w:r w:rsidRPr="008E6A4E">
        <w:rPr>
          <w:rFonts w:ascii="Times New Roman" w:eastAsia="Calibri" w:hAnsi="Times New Roman" w:cs="Times New Roman"/>
          <w:sz w:val="20"/>
          <w:szCs w:val="20"/>
          <w:lang w:eastAsia="zh-CN"/>
        </w:rPr>
        <w:t xml:space="preserve"> shows the </w:t>
      </w:r>
      <w:r>
        <w:rPr>
          <w:rFonts w:ascii="Times New Roman" w:eastAsia="Calibri" w:hAnsi="Times New Roman" w:cs="Times New Roman"/>
          <w:sz w:val="20"/>
          <w:szCs w:val="20"/>
          <w:lang w:eastAsia="zh-CN"/>
        </w:rPr>
        <w:t>top five developments with the highest number of 12+ hours-long outages for the 2019-2020 heat season: Bay View, Williamsburg, WSUR, Astoria, and Independence.</w:t>
      </w:r>
    </w:p>
    <w:p w:rsidR="00AE1697" w:rsidRDefault="00AE1697" w:rsidP="00AE1697">
      <w:pPr>
        <w:spacing w:after="0" w:line="240" w:lineRule="auto"/>
        <w:jc w:val="both"/>
        <w:rPr>
          <w:rFonts w:ascii="Times New Roman" w:eastAsia="Times New Roman" w:hAnsi="Times New Roman" w:cs="Times New Roman"/>
          <w:sz w:val="24"/>
          <w:szCs w:val="24"/>
        </w:rPr>
      </w:pPr>
    </w:p>
    <w:p w:rsidR="00AE1697" w:rsidRPr="00C1764B" w:rsidRDefault="00AE1697" w:rsidP="00AE1697">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Table E</w:t>
      </w:r>
      <w:r w:rsidRPr="00097566">
        <w:rPr>
          <w:rStyle w:val="FootnoteReference"/>
          <w:rFonts w:ascii="Times New Roman" w:hAnsi="Times New Roman"/>
          <w:sz w:val="24"/>
          <w:szCs w:val="24"/>
        </w:rPr>
        <w:footnoteReference w:id="39"/>
      </w:r>
    </w:p>
    <w:p w:rsidR="00AE1697" w:rsidRDefault="00AE1697" w:rsidP="00AE1697">
      <w:pPr>
        <w:spacing w:after="0" w:line="240" w:lineRule="auto"/>
        <w:jc w:val="right"/>
        <w:rPr>
          <w:rFonts w:ascii="Times New Roman" w:hAnsi="Times New Roman" w:cs="Times New Roman"/>
          <w:sz w:val="24"/>
          <w:szCs w:val="24"/>
        </w:rPr>
      </w:pPr>
      <w:r w:rsidRPr="00097566">
        <w:rPr>
          <w:rFonts w:ascii="Times New Roman" w:hAnsi="Times New Roman" w:cs="Times New Roman"/>
          <w:noProof/>
          <w:sz w:val="24"/>
          <w:szCs w:val="24"/>
        </w:rPr>
        <w:drawing>
          <wp:inline distT="0" distB="0" distL="0" distR="0" wp14:anchorId="725E8A6B" wp14:editId="2FF119B1">
            <wp:extent cx="5944235" cy="1950720"/>
            <wp:effectExtent l="19050" t="19050" r="18415" b="1143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4235" cy="1950720"/>
                    </a:xfrm>
                    <a:prstGeom prst="rect">
                      <a:avLst/>
                    </a:prstGeom>
                    <a:noFill/>
                    <a:ln>
                      <a:solidFill>
                        <a:schemeClr val="accent1"/>
                      </a:solidFill>
                    </a:ln>
                  </pic:spPr>
                </pic:pic>
              </a:graphicData>
            </a:graphic>
          </wp:inline>
        </w:drawing>
      </w:r>
    </w:p>
    <w:p w:rsidR="00AE1697" w:rsidRDefault="00AE1697" w:rsidP="00AE1697">
      <w:pPr>
        <w:suppressAutoHyphens/>
        <w:spacing w:after="0" w:line="240" w:lineRule="auto"/>
        <w:contextualSpacing/>
        <w:jc w:val="both"/>
        <w:rPr>
          <w:rFonts w:ascii="Times New Roman" w:eastAsia="Calibri" w:hAnsi="Times New Roman" w:cs="Times New Roman"/>
          <w:sz w:val="20"/>
          <w:szCs w:val="20"/>
          <w:lang w:eastAsia="zh-CN"/>
        </w:rPr>
      </w:pPr>
      <w:r w:rsidRPr="008E6A4E">
        <w:rPr>
          <w:rFonts w:ascii="Times New Roman" w:eastAsia="Calibri" w:hAnsi="Times New Roman" w:cs="Times New Roman"/>
          <w:sz w:val="20"/>
          <w:szCs w:val="20"/>
          <w:lang w:eastAsia="zh-CN"/>
        </w:rPr>
        <w:t xml:space="preserve">Table </w:t>
      </w:r>
      <w:r>
        <w:rPr>
          <w:rFonts w:ascii="Times New Roman" w:eastAsia="Calibri" w:hAnsi="Times New Roman" w:cs="Times New Roman"/>
          <w:sz w:val="20"/>
          <w:szCs w:val="20"/>
          <w:lang w:eastAsia="zh-CN"/>
        </w:rPr>
        <w:t>E</w:t>
      </w:r>
      <w:r w:rsidRPr="008E6A4E">
        <w:rPr>
          <w:rFonts w:ascii="Times New Roman" w:eastAsia="Calibri" w:hAnsi="Times New Roman" w:cs="Times New Roman"/>
          <w:sz w:val="20"/>
          <w:szCs w:val="20"/>
          <w:lang w:eastAsia="zh-CN"/>
        </w:rPr>
        <w:t xml:space="preserve"> shows the </w:t>
      </w:r>
      <w:r>
        <w:rPr>
          <w:rFonts w:ascii="Times New Roman" w:eastAsia="Calibri" w:hAnsi="Times New Roman" w:cs="Times New Roman"/>
          <w:sz w:val="20"/>
          <w:szCs w:val="20"/>
          <w:lang w:eastAsia="zh-CN"/>
        </w:rPr>
        <w:t>top five developments with the highest number of 12+ hours-long outages for the 2020-2021 heat season: Claremont-Parkway, Williamsburg, Adams, Breukelen, and Clinton.</w:t>
      </w:r>
    </w:p>
    <w:p w:rsidR="00AE1697" w:rsidRDefault="00AE1697" w:rsidP="00AE1697">
      <w:pPr>
        <w:suppressAutoHyphens/>
        <w:spacing w:after="0" w:line="240" w:lineRule="auto"/>
        <w:contextualSpacing/>
        <w:jc w:val="center"/>
        <w:rPr>
          <w:rFonts w:ascii="Times New Roman" w:eastAsia="Calibri" w:hAnsi="Times New Roman" w:cs="Times New Roman"/>
          <w:b/>
          <w:sz w:val="24"/>
          <w:szCs w:val="24"/>
          <w:u w:val="single"/>
          <w:lang w:eastAsia="zh-CN"/>
        </w:rPr>
      </w:pPr>
    </w:p>
    <w:p w:rsidR="00AE1697" w:rsidRDefault="00AE1697" w:rsidP="00AE1697">
      <w:pPr>
        <w:suppressAutoHyphens/>
        <w:spacing w:after="0" w:line="480" w:lineRule="auto"/>
        <w:contextualSpacing/>
        <w:jc w:val="center"/>
        <w:rPr>
          <w:rFonts w:ascii="Times New Roman" w:eastAsia="Calibri" w:hAnsi="Times New Roman" w:cs="Times New Roman"/>
          <w:b/>
          <w:sz w:val="24"/>
          <w:szCs w:val="24"/>
          <w:u w:val="single"/>
          <w:lang w:eastAsia="zh-CN"/>
        </w:rPr>
      </w:pPr>
    </w:p>
    <w:p w:rsidR="00AE1697" w:rsidRDefault="00AE1697" w:rsidP="00AE1697">
      <w:pPr>
        <w:suppressAutoHyphens/>
        <w:spacing w:after="0" w:line="480" w:lineRule="auto"/>
        <w:contextualSpacing/>
        <w:jc w:val="center"/>
        <w:rPr>
          <w:rFonts w:ascii="Times New Roman" w:eastAsia="Calibri" w:hAnsi="Times New Roman" w:cs="Times New Roman"/>
          <w:b/>
          <w:sz w:val="24"/>
          <w:szCs w:val="24"/>
          <w:u w:val="single"/>
          <w:lang w:eastAsia="zh-CN"/>
        </w:rPr>
      </w:pPr>
    </w:p>
    <w:p w:rsidR="00AE1697" w:rsidRDefault="00AE1697" w:rsidP="00AE1697">
      <w:pPr>
        <w:suppressAutoHyphens/>
        <w:spacing w:after="0" w:line="480" w:lineRule="auto"/>
        <w:contextualSpacing/>
        <w:jc w:val="center"/>
        <w:rPr>
          <w:rFonts w:ascii="Times New Roman" w:eastAsia="Calibri" w:hAnsi="Times New Roman" w:cs="Times New Roman"/>
          <w:b/>
          <w:sz w:val="24"/>
          <w:szCs w:val="24"/>
          <w:u w:val="single"/>
          <w:lang w:eastAsia="zh-CN"/>
        </w:rPr>
      </w:pPr>
    </w:p>
    <w:p w:rsidR="00AE1697" w:rsidRDefault="00AE1697" w:rsidP="00AE1697">
      <w:pPr>
        <w:suppressAutoHyphens/>
        <w:spacing w:after="0" w:line="480" w:lineRule="auto"/>
        <w:contextualSpacing/>
        <w:jc w:val="center"/>
        <w:rPr>
          <w:rFonts w:ascii="Times New Roman" w:eastAsia="Calibri" w:hAnsi="Times New Roman" w:cs="Times New Roman"/>
          <w:b/>
          <w:sz w:val="24"/>
          <w:szCs w:val="24"/>
          <w:u w:val="single"/>
          <w:lang w:eastAsia="zh-CN"/>
        </w:rPr>
      </w:pPr>
    </w:p>
    <w:p w:rsidR="00AE1697" w:rsidRDefault="00AE1697" w:rsidP="00AE1697">
      <w:pPr>
        <w:suppressAutoHyphens/>
        <w:spacing w:after="0" w:line="480" w:lineRule="auto"/>
        <w:contextualSpacing/>
        <w:jc w:val="center"/>
        <w:rPr>
          <w:rFonts w:ascii="Times New Roman" w:eastAsia="Calibri" w:hAnsi="Times New Roman" w:cs="Times New Roman"/>
          <w:b/>
          <w:sz w:val="24"/>
          <w:szCs w:val="24"/>
          <w:u w:val="single"/>
          <w:lang w:eastAsia="zh-CN"/>
        </w:rPr>
      </w:pPr>
    </w:p>
    <w:p w:rsidR="00AE1697" w:rsidRDefault="00AE1697" w:rsidP="00AE1697">
      <w:pPr>
        <w:suppressAutoHyphens/>
        <w:spacing w:after="0" w:line="480" w:lineRule="auto"/>
        <w:contextualSpacing/>
        <w:jc w:val="center"/>
        <w:rPr>
          <w:rFonts w:ascii="Times New Roman" w:eastAsia="Calibri" w:hAnsi="Times New Roman" w:cs="Times New Roman"/>
          <w:b/>
          <w:sz w:val="24"/>
          <w:szCs w:val="24"/>
          <w:u w:val="single"/>
          <w:lang w:eastAsia="zh-CN"/>
        </w:rPr>
      </w:pPr>
    </w:p>
    <w:p w:rsidR="00AE1697" w:rsidRPr="00C1764B" w:rsidRDefault="00AE1697" w:rsidP="00AE1697">
      <w:pPr>
        <w:suppressAutoHyphens/>
        <w:spacing w:after="0" w:line="240" w:lineRule="auto"/>
        <w:contextualSpacing/>
        <w:jc w:val="center"/>
        <w:rPr>
          <w:rFonts w:ascii="Times New Roman" w:hAnsi="Times New Roman" w:cs="Times New Roman"/>
          <w:b/>
          <w:sz w:val="24"/>
          <w:szCs w:val="24"/>
          <w:u w:val="single"/>
        </w:rPr>
      </w:pPr>
      <w:r>
        <w:rPr>
          <w:rFonts w:ascii="Times New Roman" w:eastAsia="Calibri" w:hAnsi="Times New Roman" w:cs="Times New Roman"/>
          <w:b/>
          <w:sz w:val="24"/>
          <w:szCs w:val="24"/>
          <w:u w:val="single"/>
          <w:lang w:eastAsia="zh-CN"/>
        </w:rPr>
        <w:t>Table F</w:t>
      </w:r>
      <w:r w:rsidRPr="00C1764B">
        <w:rPr>
          <w:rStyle w:val="FootnoteReference"/>
          <w:rFonts w:ascii="Times New Roman" w:hAnsi="Times New Roman"/>
          <w:sz w:val="24"/>
          <w:szCs w:val="24"/>
        </w:rPr>
        <w:footnoteReference w:id="40"/>
      </w:r>
    </w:p>
    <w:p w:rsidR="00AE1697" w:rsidRDefault="00AE1697" w:rsidP="00AE1697">
      <w:pPr>
        <w:spacing w:after="0" w:line="240" w:lineRule="auto"/>
        <w:jc w:val="both"/>
        <w:rPr>
          <w:rFonts w:ascii="Times New Roman" w:hAnsi="Times New Roman" w:cs="Times New Roman"/>
          <w:sz w:val="24"/>
          <w:szCs w:val="24"/>
        </w:rPr>
      </w:pPr>
      <w:r w:rsidRPr="00097566">
        <w:rPr>
          <w:rFonts w:ascii="Times New Roman" w:hAnsi="Times New Roman" w:cs="Times New Roman"/>
          <w:noProof/>
          <w:sz w:val="24"/>
          <w:szCs w:val="24"/>
        </w:rPr>
        <w:drawing>
          <wp:inline distT="0" distB="0" distL="0" distR="0" wp14:anchorId="4F7367A7" wp14:editId="195C4F08">
            <wp:extent cx="5944235" cy="1828800"/>
            <wp:effectExtent l="19050" t="19050" r="18415"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235" cy="1828800"/>
                    </a:xfrm>
                    <a:prstGeom prst="rect">
                      <a:avLst/>
                    </a:prstGeom>
                    <a:noFill/>
                    <a:ln>
                      <a:solidFill>
                        <a:schemeClr val="accent1"/>
                      </a:solidFill>
                    </a:ln>
                  </pic:spPr>
                </pic:pic>
              </a:graphicData>
            </a:graphic>
          </wp:inline>
        </w:drawing>
      </w:r>
    </w:p>
    <w:p w:rsidR="00AE1697" w:rsidRDefault="00AE1697" w:rsidP="00AE1697">
      <w:pPr>
        <w:suppressAutoHyphens/>
        <w:spacing w:after="0" w:line="240" w:lineRule="auto"/>
        <w:contextualSpacing/>
        <w:jc w:val="both"/>
        <w:rPr>
          <w:rFonts w:ascii="Times New Roman" w:eastAsia="Calibri" w:hAnsi="Times New Roman" w:cs="Times New Roman"/>
          <w:sz w:val="20"/>
          <w:szCs w:val="20"/>
          <w:lang w:eastAsia="zh-CN"/>
        </w:rPr>
      </w:pPr>
      <w:r w:rsidRPr="008E6A4E">
        <w:rPr>
          <w:rFonts w:ascii="Times New Roman" w:eastAsia="Calibri" w:hAnsi="Times New Roman" w:cs="Times New Roman"/>
          <w:sz w:val="20"/>
          <w:szCs w:val="20"/>
          <w:lang w:eastAsia="zh-CN"/>
        </w:rPr>
        <w:t xml:space="preserve">Table </w:t>
      </w:r>
      <w:r>
        <w:rPr>
          <w:rFonts w:ascii="Times New Roman" w:eastAsia="Calibri" w:hAnsi="Times New Roman" w:cs="Times New Roman"/>
          <w:sz w:val="20"/>
          <w:szCs w:val="20"/>
          <w:lang w:eastAsia="zh-CN"/>
        </w:rPr>
        <w:t>F</w:t>
      </w:r>
      <w:r w:rsidRPr="008E6A4E">
        <w:rPr>
          <w:rFonts w:ascii="Times New Roman" w:eastAsia="Calibri" w:hAnsi="Times New Roman" w:cs="Times New Roman"/>
          <w:sz w:val="20"/>
          <w:szCs w:val="20"/>
          <w:lang w:eastAsia="zh-CN"/>
        </w:rPr>
        <w:t xml:space="preserve"> shows the </w:t>
      </w:r>
      <w:r>
        <w:rPr>
          <w:rFonts w:ascii="Times New Roman" w:eastAsia="Calibri" w:hAnsi="Times New Roman" w:cs="Times New Roman"/>
          <w:sz w:val="20"/>
          <w:szCs w:val="20"/>
          <w:lang w:eastAsia="zh-CN"/>
        </w:rPr>
        <w:t>top five developments with the highest number of 12+ hours-long outages for the 2020-2021 heat season: Wagner, Lincoln, Fort Independence Street, Harlem River II, and West Tremont Avenue.</w:t>
      </w:r>
    </w:p>
    <w:p w:rsidR="00AE1697" w:rsidRDefault="00AE1697" w:rsidP="00AE1697">
      <w:pPr>
        <w:spacing w:line="240" w:lineRule="auto"/>
        <w:jc w:val="center"/>
        <w:rPr>
          <w:rFonts w:ascii="Times New Roman" w:hAnsi="Times New Roman" w:cs="Times New Roman"/>
          <w:b/>
          <w:sz w:val="24"/>
          <w:szCs w:val="24"/>
          <w:u w:val="single"/>
        </w:rPr>
      </w:pPr>
    </w:p>
    <w:p w:rsidR="00AE1697" w:rsidRPr="00C1764B" w:rsidRDefault="00AE1697" w:rsidP="00AE1697">
      <w:pPr>
        <w:spacing w:after="0" w:line="240" w:lineRule="auto"/>
        <w:jc w:val="center"/>
        <w:rPr>
          <w:rFonts w:ascii="Times New Roman" w:hAnsi="Times New Roman" w:cs="Times New Roman"/>
          <w:sz w:val="24"/>
          <w:szCs w:val="24"/>
        </w:rPr>
      </w:pPr>
      <w:r>
        <w:rPr>
          <w:rFonts w:ascii="Times New Roman" w:hAnsi="Times New Roman" w:cs="Times New Roman"/>
          <w:b/>
          <w:sz w:val="24"/>
          <w:szCs w:val="24"/>
          <w:u w:val="single"/>
        </w:rPr>
        <w:t>Table G</w:t>
      </w:r>
      <w:r w:rsidRPr="00C1764B">
        <w:rPr>
          <w:rStyle w:val="FootnoteReference"/>
          <w:rFonts w:ascii="Times New Roman" w:hAnsi="Times New Roman"/>
          <w:sz w:val="24"/>
          <w:szCs w:val="24"/>
        </w:rPr>
        <w:footnoteReference w:id="41"/>
      </w:r>
    </w:p>
    <w:p w:rsidR="00AE1697" w:rsidRDefault="00AE1697" w:rsidP="00AE1697">
      <w:pPr>
        <w:spacing w:after="0" w:line="240" w:lineRule="auto"/>
        <w:jc w:val="right"/>
        <w:rPr>
          <w:rFonts w:ascii="Times New Roman" w:hAnsi="Times New Roman" w:cs="Times New Roman"/>
          <w:sz w:val="24"/>
          <w:szCs w:val="24"/>
        </w:rPr>
      </w:pPr>
      <w:r w:rsidRPr="00097566">
        <w:rPr>
          <w:rFonts w:ascii="Times New Roman" w:hAnsi="Times New Roman" w:cs="Times New Roman"/>
          <w:noProof/>
          <w:sz w:val="24"/>
          <w:szCs w:val="24"/>
        </w:rPr>
        <w:drawing>
          <wp:inline distT="0" distB="0" distL="0" distR="0" wp14:anchorId="0550A5D3" wp14:editId="01F640CF">
            <wp:extent cx="5956300" cy="1779905"/>
            <wp:effectExtent l="19050" t="19050" r="25400" b="1079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56300" cy="1779905"/>
                    </a:xfrm>
                    <a:prstGeom prst="rect">
                      <a:avLst/>
                    </a:prstGeom>
                    <a:noFill/>
                    <a:ln>
                      <a:solidFill>
                        <a:schemeClr val="accent1"/>
                      </a:solidFill>
                    </a:ln>
                  </pic:spPr>
                </pic:pic>
              </a:graphicData>
            </a:graphic>
          </wp:inline>
        </w:drawing>
      </w:r>
    </w:p>
    <w:p w:rsidR="00AE1697" w:rsidRDefault="00AE1697" w:rsidP="00AE1697">
      <w:pPr>
        <w:suppressAutoHyphens/>
        <w:spacing w:after="0" w:line="240" w:lineRule="auto"/>
        <w:contextualSpacing/>
        <w:jc w:val="both"/>
        <w:rPr>
          <w:rFonts w:ascii="Times New Roman" w:eastAsia="Calibri" w:hAnsi="Times New Roman" w:cs="Times New Roman"/>
          <w:sz w:val="20"/>
          <w:szCs w:val="20"/>
          <w:lang w:eastAsia="zh-CN"/>
        </w:rPr>
      </w:pPr>
      <w:r w:rsidRPr="008E6A4E">
        <w:rPr>
          <w:rFonts w:ascii="Times New Roman" w:eastAsia="Calibri" w:hAnsi="Times New Roman" w:cs="Times New Roman"/>
          <w:sz w:val="20"/>
          <w:szCs w:val="20"/>
          <w:lang w:eastAsia="zh-CN"/>
        </w:rPr>
        <w:t xml:space="preserve">Table </w:t>
      </w:r>
      <w:r>
        <w:rPr>
          <w:rFonts w:ascii="Times New Roman" w:eastAsia="Calibri" w:hAnsi="Times New Roman" w:cs="Times New Roman"/>
          <w:sz w:val="20"/>
          <w:szCs w:val="20"/>
          <w:lang w:eastAsia="zh-CN"/>
        </w:rPr>
        <w:t>G</w:t>
      </w:r>
      <w:r w:rsidRPr="008E6A4E">
        <w:rPr>
          <w:rFonts w:ascii="Times New Roman" w:eastAsia="Calibri" w:hAnsi="Times New Roman" w:cs="Times New Roman"/>
          <w:sz w:val="20"/>
          <w:szCs w:val="20"/>
          <w:lang w:eastAsia="zh-CN"/>
        </w:rPr>
        <w:t xml:space="preserve"> shows the </w:t>
      </w:r>
      <w:r>
        <w:rPr>
          <w:rFonts w:ascii="Times New Roman" w:eastAsia="Calibri" w:hAnsi="Times New Roman" w:cs="Times New Roman"/>
          <w:sz w:val="20"/>
          <w:szCs w:val="20"/>
          <w:lang w:eastAsia="zh-CN"/>
        </w:rPr>
        <w:t>top five developments with the highest number of 12+ hours-long outages for the 2022-2023 heat season: 1162-1176 Washington Ave, Baruch, Coney Island Site 8, De Hostos Apartments, and Dyckman. Because the 2022-2023 heat season is ongoing, the data depicted is limited to outages from October 1, 2022 through November 22, 2022.</w:t>
      </w:r>
    </w:p>
    <w:p w:rsidR="00AE1697" w:rsidRDefault="00AE1697" w:rsidP="00AE1697">
      <w:pPr>
        <w:spacing w:line="240" w:lineRule="auto"/>
        <w:jc w:val="both"/>
        <w:rPr>
          <w:rFonts w:ascii="Times New Roman" w:hAnsi="Times New Roman" w:cs="Times New Roman"/>
          <w:sz w:val="24"/>
          <w:szCs w:val="24"/>
        </w:rPr>
      </w:pPr>
    </w:p>
    <w:p w:rsidR="00AE1697" w:rsidRPr="00097566" w:rsidRDefault="00AE1697" w:rsidP="00AE1697">
      <w:pPr>
        <w:spacing w:after="0" w:line="480" w:lineRule="auto"/>
        <w:jc w:val="both"/>
        <w:rPr>
          <w:rFonts w:ascii="Times New Roman" w:hAnsi="Times New Roman" w:cs="Times New Roman"/>
          <w:b/>
          <w:bCs/>
          <w:sz w:val="24"/>
          <w:szCs w:val="24"/>
          <w:u w:val="single"/>
        </w:rPr>
      </w:pPr>
      <w:r w:rsidRPr="00097566">
        <w:rPr>
          <w:rFonts w:ascii="Times New Roman" w:hAnsi="Times New Roman" w:cs="Times New Roman"/>
          <w:b/>
          <w:bCs/>
          <w:sz w:val="24"/>
          <w:szCs w:val="24"/>
          <w:u w:val="single"/>
        </w:rPr>
        <w:t>Compliance with HUD</w:t>
      </w:r>
      <w:r>
        <w:rPr>
          <w:rFonts w:ascii="Times New Roman" w:hAnsi="Times New Roman" w:cs="Times New Roman"/>
          <w:b/>
          <w:bCs/>
          <w:sz w:val="24"/>
          <w:szCs w:val="24"/>
          <w:u w:val="single"/>
        </w:rPr>
        <w:t>/NYCHA</w:t>
      </w:r>
      <w:r w:rsidRPr="00097566">
        <w:rPr>
          <w:rFonts w:ascii="Times New Roman" w:hAnsi="Times New Roman" w:cs="Times New Roman"/>
          <w:b/>
          <w:bCs/>
          <w:sz w:val="24"/>
          <w:szCs w:val="24"/>
          <w:u w:val="single"/>
        </w:rPr>
        <w:t xml:space="preserve"> Agreement</w:t>
      </w:r>
    </w:p>
    <w:p w:rsidR="00AE1697" w:rsidRDefault="00AE1697" w:rsidP="00AE1697">
      <w:pPr>
        <w:spacing w:after="0" w:line="480" w:lineRule="auto"/>
        <w:ind w:firstLine="720"/>
        <w:jc w:val="both"/>
        <w:rPr>
          <w:rFonts w:ascii="Times New Roman" w:hAnsi="Times New Roman" w:cs="Times New Roman"/>
          <w:sz w:val="24"/>
          <w:szCs w:val="24"/>
        </w:rPr>
      </w:pPr>
      <w:r w:rsidRPr="00097566">
        <w:rPr>
          <w:rFonts w:ascii="Times New Roman" w:hAnsi="Times New Roman" w:cs="Times New Roman"/>
          <w:sz w:val="24"/>
          <w:szCs w:val="24"/>
        </w:rPr>
        <w:t xml:space="preserve">During 2021-2022 heat season, (October 1, 2021 through May 31, 2022) the </w:t>
      </w:r>
      <w:r>
        <w:rPr>
          <w:rFonts w:ascii="Times New Roman" w:hAnsi="Times New Roman" w:cs="Times New Roman"/>
          <w:sz w:val="24"/>
          <w:szCs w:val="24"/>
        </w:rPr>
        <w:t>M</w:t>
      </w:r>
      <w:r w:rsidRPr="00097566">
        <w:rPr>
          <w:rFonts w:ascii="Times New Roman" w:hAnsi="Times New Roman" w:cs="Times New Roman"/>
          <w:sz w:val="24"/>
          <w:szCs w:val="24"/>
        </w:rPr>
        <w:t>onitor evalua</w:t>
      </w:r>
      <w:r>
        <w:rPr>
          <w:rFonts w:ascii="Times New Roman" w:hAnsi="Times New Roman" w:cs="Times New Roman"/>
          <w:sz w:val="24"/>
          <w:szCs w:val="24"/>
        </w:rPr>
        <w:t>ted the performance of NYCHA’s HMSD</w:t>
      </w:r>
      <w:r w:rsidRPr="00097566">
        <w:rPr>
          <w:rFonts w:ascii="Times New Roman" w:hAnsi="Times New Roman" w:cs="Times New Roman"/>
          <w:sz w:val="24"/>
          <w:szCs w:val="24"/>
        </w:rPr>
        <w:t xml:space="preserve"> and NYCHA’s compliance with the HUD Agreement.</w:t>
      </w:r>
      <w:bookmarkStart w:id="5" w:name="_Ref121734407"/>
      <w:r w:rsidRPr="00097566">
        <w:rPr>
          <w:rStyle w:val="FootnoteReference"/>
          <w:rFonts w:ascii="Times New Roman" w:hAnsi="Times New Roman"/>
          <w:sz w:val="24"/>
          <w:szCs w:val="24"/>
        </w:rPr>
        <w:footnoteReference w:id="42"/>
      </w:r>
      <w:bookmarkEnd w:id="5"/>
      <w:r>
        <w:rPr>
          <w:rFonts w:ascii="Times New Roman" w:hAnsi="Times New Roman" w:cs="Times New Roman"/>
          <w:sz w:val="24"/>
          <w:szCs w:val="24"/>
        </w:rPr>
        <w:t xml:space="preserve"> The M</w:t>
      </w:r>
      <w:r w:rsidRPr="00097566">
        <w:rPr>
          <w:rFonts w:ascii="Times New Roman" w:hAnsi="Times New Roman" w:cs="Times New Roman"/>
          <w:sz w:val="24"/>
          <w:szCs w:val="24"/>
        </w:rPr>
        <w:t>onitor analyzed NYCHA’s work orders</w:t>
      </w:r>
      <w:r>
        <w:rPr>
          <w:rFonts w:ascii="Times New Roman" w:hAnsi="Times New Roman" w:cs="Times New Roman"/>
          <w:sz w:val="24"/>
          <w:szCs w:val="24"/>
        </w:rPr>
        <w:t xml:space="preserve"> utilizing data from Maximo (NYCHA’s work order database)</w:t>
      </w:r>
      <w:r w:rsidRPr="00097566">
        <w:rPr>
          <w:rFonts w:ascii="Times New Roman" w:hAnsi="Times New Roman" w:cs="Times New Roman"/>
          <w:sz w:val="24"/>
          <w:szCs w:val="24"/>
        </w:rPr>
        <w:t>, inspected NYCHA’s boiler rooms</w:t>
      </w:r>
      <w:r>
        <w:rPr>
          <w:rFonts w:ascii="Times New Roman" w:hAnsi="Times New Roman" w:cs="Times New Roman"/>
          <w:sz w:val="24"/>
          <w:szCs w:val="24"/>
        </w:rPr>
        <w:t>,</w:t>
      </w:r>
      <w:r w:rsidRPr="00097566">
        <w:rPr>
          <w:rFonts w:ascii="Times New Roman" w:hAnsi="Times New Roman" w:cs="Times New Roman"/>
          <w:sz w:val="24"/>
          <w:szCs w:val="24"/>
        </w:rPr>
        <w:t xml:space="preserve"> and interviewed NYCHA’s heating staff. NYCHA’s Environmental Health &amp; Safety Heat Oversight Team (</w:t>
      </w:r>
      <w:r>
        <w:rPr>
          <w:rFonts w:ascii="Times New Roman" w:hAnsi="Times New Roman" w:cs="Times New Roman"/>
          <w:sz w:val="24"/>
          <w:szCs w:val="24"/>
        </w:rPr>
        <w:t>“</w:t>
      </w:r>
      <w:r w:rsidRPr="00097566">
        <w:rPr>
          <w:rFonts w:ascii="Times New Roman" w:hAnsi="Times New Roman" w:cs="Times New Roman"/>
          <w:sz w:val="24"/>
          <w:szCs w:val="24"/>
        </w:rPr>
        <w:t>EHS</w:t>
      </w:r>
      <w:r>
        <w:rPr>
          <w:rFonts w:ascii="Times New Roman" w:hAnsi="Times New Roman" w:cs="Times New Roman"/>
          <w:sz w:val="24"/>
          <w:szCs w:val="24"/>
        </w:rPr>
        <w:t>”</w:t>
      </w:r>
      <w:r w:rsidRPr="00097566">
        <w:rPr>
          <w:rFonts w:ascii="Times New Roman" w:hAnsi="Times New Roman" w:cs="Times New Roman"/>
          <w:sz w:val="24"/>
          <w:szCs w:val="24"/>
        </w:rPr>
        <w:t xml:space="preserve">) also conducted analysis for heat outages greater than 12 hours for the past </w:t>
      </w:r>
      <w:r>
        <w:rPr>
          <w:rFonts w:ascii="Times New Roman" w:hAnsi="Times New Roman" w:cs="Times New Roman"/>
          <w:sz w:val="24"/>
          <w:szCs w:val="24"/>
        </w:rPr>
        <w:t>three heat seasons. In 2021-2022,</w:t>
      </w:r>
      <w:r w:rsidRPr="00097566">
        <w:rPr>
          <w:rFonts w:ascii="Times New Roman" w:hAnsi="Times New Roman" w:cs="Times New Roman"/>
          <w:sz w:val="24"/>
          <w:szCs w:val="24"/>
        </w:rPr>
        <w:t xml:space="preserve"> there were 352 </w:t>
      </w:r>
      <w:r>
        <w:rPr>
          <w:rFonts w:ascii="Times New Roman" w:hAnsi="Times New Roman" w:cs="Times New Roman"/>
          <w:sz w:val="24"/>
          <w:szCs w:val="24"/>
        </w:rPr>
        <w:t>boiler outages, 204 for the 2020-</w:t>
      </w:r>
      <w:r w:rsidRPr="00097566">
        <w:rPr>
          <w:rFonts w:ascii="Times New Roman" w:hAnsi="Times New Roman" w:cs="Times New Roman"/>
          <w:sz w:val="24"/>
          <w:szCs w:val="24"/>
        </w:rPr>
        <w:t>2021 season</w:t>
      </w:r>
      <w:r>
        <w:rPr>
          <w:rFonts w:ascii="Times New Roman" w:hAnsi="Times New Roman" w:cs="Times New Roman"/>
          <w:sz w:val="24"/>
          <w:szCs w:val="24"/>
        </w:rPr>
        <w:t>,</w:t>
      </w:r>
      <w:r w:rsidRPr="00097566">
        <w:rPr>
          <w:rFonts w:ascii="Times New Roman" w:hAnsi="Times New Roman" w:cs="Times New Roman"/>
          <w:sz w:val="24"/>
          <w:szCs w:val="24"/>
        </w:rPr>
        <w:t xml:space="preserve"> and 153 </w:t>
      </w:r>
      <w:r>
        <w:rPr>
          <w:rFonts w:ascii="Times New Roman" w:hAnsi="Times New Roman" w:cs="Times New Roman"/>
          <w:sz w:val="24"/>
          <w:szCs w:val="24"/>
        </w:rPr>
        <w:t>for the 2019-</w:t>
      </w:r>
      <w:r w:rsidRPr="00097566">
        <w:rPr>
          <w:rFonts w:ascii="Times New Roman" w:hAnsi="Times New Roman" w:cs="Times New Roman"/>
          <w:sz w:val="24"/>
          <w:szCs w:val="24"/>
        </w:rPr>
        <w:t>2020 season.</w:t>
      </w:r>
      <w:r w:rsidRPr="00097566">
        <w:rPr>
          <w:rStyle w:val="FootnoteReference"/>
          <w:rFonts w:ascii="Times New Roman" w:hAnsi="Times New Roman"/>
          <w:sz w:val="24"/>
          <w:szCs w:val="24"/>
        </w:rPr>
        <w:footnoteReference w:id="43"/>
      </w:r>
      <w:r w:rsidRPr="00097566">
        <w:rPr>
          <w:rFonts w:ascii="Times New Roman" w:hAnsi="Times New Roman" w:cs="Times New Roman"/>
          <w:sz w:val="24"/>
          <w:szCs w:val="24"/>
        </w:rPr>
        <w:t xml:space="preserve"> </w:t>
      </w:r>
      <w:r>
        <w:rPr>
          <w:rFonts w:ascii="Times New Roman" w:hAnsi="Times New Roman" w:cs="Times New Roman"/>
          <w:sz w:val="24"/>
          <w:szCs w:val="24"/>
        </w:rPr>
        <w:t xml:space="preserve">Boiler mechanical failures accounted for </w:t>
      </w:r>
      <w:r w:rsidRPr="00097566">
        <w:rPr>
          <w:rFonts w:ascii="Times New Roman" w:hAnsi="Times New Roman" w:cs="Times New Roman"/>
          <w:sz w:val="24"/>
          <w:szCs w:val="24"/>
        </w:rPr>
        <w:t>62.4 percent of NYCHA’s heat outages</w:t>
      </w:r>
      <w:r>
        <w:rPr>
          <w:rFonts w:ascii="Times New Roman" w:hAnsi="Times New Roman" w:cs="Times New Roman"/>
          <w:sz w:val="24"/>
          <w:szCs w:val="24"/>
        </w:rPr>
        <w:t xml:space="preserve"> in the 2021-2022 heating season</w:t>
      </w:r>
      <w:r w:rsidRPr="00097566">
        <w:rPr>
          <w:rFonts w:ascii="Times New Roman" w:hAnsi="Times New Roman" w:cs="Times New Roman"/>
          <w:sz w:val="24"/>
          <w:szCs w:val="24"/>
        </w:rPr>
        <w:t>.</w:t>
      </w:r>
      <w:r w:rsidRPr="00097566">
        <w:rPr>
          <w:rStyle w:val="FootnoteReference"/>
          <w:rFonts w:ascii="Times New Roman" w:hAnsi="Times New Roman"/>
          <w:sz w:val="24"/>
          <w:szCs w:val="24"/>
        </w:rPr>
        <w:footnoteReference w:id="44"/>
      </w:r>
      <w:r w:rsidRPr="00097566">
        <w:rPr>
          <w:rFonts w:ascii="Times New Roman" w:hAnsi="Times New Roman" w:cs="Times New Roman"/>
          <w:sz w:val="24"/>
          <w:szCs w:val="24"/>
        </w:rPr>
        <w:t xml:space="preserve"> The leading cause of boiler related outages was boiler controls and burners. Boiler control outages have</w:t>
      </w:r>
      <w:r>
        <w:rPr>
          <w:rFonts w:ascii="Times New Roman" w:hAnsi="Times New Roman" w:cs="Times New Roman"/>
          <w:sz w:val="24"/>
          <w:szCs w:val="24"/>
        </w:rPr>
        <w:t xml:space="preserve"> gone up by 300% since the 2019-</w:t>
      </w:r>
      <w:r w:rsidRPr="00097566">
        <w:rPr>
          <w:rFonts w:ascii="Times New Roman" w:hAnsi="Times New Roman" w:cs="Times New Roman"/>
          <w:sz w:val="24"/>
          <w:szCs w:val="24"/>
        </w:rPr>
        <w:t xml:space="preserve">2020 heating </w:t>
      </w:r>
      <w:r>
        <w:rPr>
          <w:rFonts w:ascii="Times New Roman" w:hAnsi="Times New Roman" w:cs="Times New Roman"/>
          <w:sz w:val="24"/>
          <w:szCs w:val="24"/>
        </w:rPr>
        <w:t>season,</w:t>
      </w:r>
      <w:r w:rsidRPr="00097566">
        <w:rPr>
          <w:rFonts w:ascii="Times New Roman" w:hAnsi="Times New Roman" w:cs="Times New Roman"/>
          <w:sz w:val="24"/>
          <w:szCs w:val="24"/>
        </w:rPr>
        <w:t xml:space="preserve"> while burner outages have gone up by 312% since the </w:t>
      </w:r>
      <w:r>
        <w:rPr>
          <w:rFonts w:ascii="Times New Roman" w:hAnsi="Times New Roman" w:cs="Times New Roman"/>
          <w:sz w:val="24"/>
          <w:szCs w:val="24"/>
        </w:rPr>
        <w:t>2019-2020 heating season</w:t>
      </w:r>
      <w:r w:rsidRPr="00097566">
        <w:rPr>
          <w:rFonts w:ascii="Times New Roman" w:hAnsi="Times New Roman" w:cs="Times New Roman"/>
          <w:sz w:val="24"/>
          <w:szCs w:val="24"/>
        </w:rPr>
        <w:t>.</w:t>
      </w:r>
      <w:r w:rsidRPr="00097566">
        <w:rPr>
          <w:rStyle w:val="FootnoteReference"/>
          <w:rFonts w:ascii="Times New Roman" w:hAnsi="Times New Roman"/>
          <w:sz w:val="24"/>
          <w:szCs w:val="24"/>
        </w:rPr>
        <w:footnoteReference w:id="45"/>
      </w:r>
      <w:r>
        <w:rPr>
          <w:rFonts w:ascii="Times New Roman" w:hAnsi="Times New Roman" w:cs="Times New Roman"/>
          <w:sz w:val="24"/>
          <w:szCs w:val="24"/>
        </w:rPr>
        <w:t xml:space="preserve"> However, the M</w:t>
      </w:r>
      <w:r w:rsidRPr="00097566">
        <w:rPr>
          <w:rFonts w:ascii="Times New Roman" w:hAnsi="Times New Roman" w:cs="Times New Roman"/>
          <w:sz w:val="24"/>
          <w:szCs w:val="24"/>
        </w:rPr>
        <w:t>onitor raised concerns that the Maximo database</w:t>
      </w:r>
      <w:r>
        <w:rPr>
          <w:rFonts w:ascii="Times New Roman" w:hAnsi="Times New Roman" w:cs="Times New Roman"/>
          <w:sz w:val="24"/>
          <w:szCs w:val="24"/>
        </w:rPr>
        <w:t>, which is important for determining the root cause of heating outages,</w:t>
      </w:r>
      <w:r w:rsidRPr="00097566">
        <w:rPr>
          <w:rFonts w:ascii="Times New Roman" w:hAnsi="Times New Roman" w:cs="Times New Roman"/>
          <w:sz w:val="24"/>
          <w:szCs w:val="24"/>
        </w:rPr>
        <w:t xml:space="preserve"> did not have quality data when a significant problem i</w:t>
      </w:r>
      <w:r>
        <w:rPr>
          <w:rFonts w:ascii="Times New Roman" w:hAnsi="Times New Roman" w:cs="Times New Roman"/>
          <w:sz w:val="24"/>
          <w:szCs w:val="24"/>
        </w:rPr>
        <w:t>mpacts NYCHA’s heating services,</w:t>
      </w:r>
      <w:r>
        <w:rPr>
          <w:rStyle w:val="FootnoteReference"/>
          <w:rFonts w:ascii="Times New Roman" w:hAnsi="Times New Roman"/>
          <w:sz w:val="24"/>
          <w:szCs w:val="24"/>
        </w:rPr>
        <w:footnoteReference w:id="46"/>
      </w:r>
      <w:r w:rsidRPr="00097566">
        <w:rPr>
          <w:rFonts w:ascii="Times New Roman" w:hAnsi="Times New Roman" w:cs="Times New Roman"/>
          <w:sz w:val="24"/>
          <w:szCs w:val="24"/>
        </w:rPr>
        <w:t xml:space="preserve"> </w:t>
      </w:r>
      <w:r>
        <w:rPr>
          <w:rFonts w:ascii="Times New Roman" w:hAnsi="Times New Roman" w:cs="Times New Roman"/>
          <w:sz w:val="24"/>
          <w:szCs w:val="24"/>
        </w:rPr>
        <w:t>particularly given the importance of Maximo</w:t>
      </w:r>
      <w:r w:rsidRPr="00097566">
        <w:rPr>
          <w:rFonts w:ascii="Times New Roman" w:hAnsi="Times New Roman" w:cs="Times New Roman"/>
          <w:sz w:val="24"/>
          <w:szCs w:val="24"/>
        </w:rPr>
        <w:t xml:space="preserve"> data </w:t>
      </w:r>
      <w:r>
        <w:rPr>
          <w:rFonts w:ascii="Times New Roman" w:hAnsi="Times New Roman" w:cs="Times New Roman"/>
          <w:sz w:val="24"/>
          <w:szCs w:val="24"/>
        </w:rPr>
        <w:t>in determining</w:t>
      </w:r>
      <w:r w:rsidRPr="00097566">
        <w:rPr>
          <w:rFonts w:ascii="Times New Roman" w:hAnsi="Times New Roman" w:cs="Times New Roman"/>
          <w:sz w:val="24"/>
          <w:szCs w:val="24"/>
        </w:rPr>
        <w:t xml:space="preserve"> the root causes for the outages, identifying problematic assets, developing mitigation strategies, and analyzing the annual maintenance program.</w:t>
      </w:r>
      <w:r w:rsidRPr="00097566">
        <w:rPr>
          <w:rStyle w:val="FootnoteReference"/>
          <w:rFonts w:ascii="Times New Roman" w:hAnsi="Times New Roman"/>
          <w:sz w:val="24"/>
          <w:szCs w:val="24"/>
        </w:rPr>
        <w:footnoteReference w:id="47"/>
      </w:r>
      <w:r w:rsidRPr="00097566">
        <w:rPr>
          <w:rFonts w:ascii="Times New Roman" w:hAnsi="Times New Roman" w:cs="Times New Roman"/>
          <w:sz w:val="24"/>
          <w:szCs w:val="24"/>
        </w:rPr>
        <w:t xml:space="preserve"> </w:t>
      </w:r>
    </w:p>
    <w:p w:rsidR="00AE1697" w:rsidRPr="00097566" w:rsidRDefault="00AE1697" w:rsidP="00AE1697">
      <w:pPr>
        <w:spacing w:line="480" w:lineRule="auto"/>
        <w:ind w:firstLine="720"/>
        <w:jc w:val="both"/>
        <w:rPr>
          <w:rFonts w:ascii="Times New Roman" w:hAnsi="Times New Roman" w:cs="Times New Roman"/>
          <w:sz w:val="24"/>
          <w:szCs w:val="24"/>
        </w:rPr>
      </w:pPr>
      <w:r w:rsidRPr="00097566">
        <w:rPr>
          <w:rFonts w:ascii="Times New Roman" w:hAnsi="Times New Roman" w:cs="Times New Roman"/>
          <w:sz w:val="24"/>
          <w:szCs w:val="24"/>
        </w:rPr>
        <w:t xml:space="preserve">The </w:t>
      </w:r>
      <w:r>
        <w:rPr>
          <w:rFonts w:ascii="Times New Roman" w:hAnsi="Times New Roman" w:cs="Times New Roman"/>
          <w:sz w:val="24"/>
          <w:szCs w:val="24"/>
        </w:rPr>
        <w:t>M</w:t>
      </w:r>
      <w:r w:rsidRPr="00097566">
        <w:rPr>
          <w:rFonts w:ascii="Times New Roman" w:hAnsi="Times New Roman" w:cs="Times New Roman"/>
          <w:sz w:val="24"/>
          <w:szCs w:val="24"/>
        </w:rPr>
        <w:t xml:space="preserve">onitor </w:t>
      </w:r>
      <w:r>
        <w:rPr>
          <w:rFonts w:ascii="Times New Roman" w:hAnsi="Times New Roman" w:cs="Times New Roman"/>
          <w:sz w:val="24"/>
          <w:szCs w:val="24"/>
        </w:rPr>
        <w:t>noted that</w:t>
      </w:r>
      <w:r w:rsidRPr="00097566">
        <w:rPr>
          <w:rFonts w:ascii="Times New Roman" w:hAnsi="Times New Roman" w:cs="Times New Roman"/>
          <w:sz w:val="24"/>
          <w:szCs w:val="24"/>
        </w:rPr>
        <w:t xml:space="preserve"> NYCHA’s failure to properly execute and complete </w:t>
      </w:r>
      <w:r>
        <w:rPr>
          <w:rFonts w:ascii="Times New Roman" w:hAnsi="Times New Roman" w:cs="Times New Roman"/>
          <w:sz w:val="24"/>
          <w:szCs w:val="24"/>
        </w:rPr>
        <w:t>its</w:t>
      </w:r>
      <w:r w:rsidRPr="00097566">
        <w:rPr>
          <w:rFonts w:ascii="Times New Roman" w:hAnsi="Times New Roman" w:cs="Times New Roman"/>
          <w:sz w:val="24"/>
          <w:szCs w:val="24"/>
        </w:rPr>
        <w:t xml:space="preserve"> summer</w:t>
      </w:r>
      <w:r>
        <w:rPr>
          <w:rFonts w:ascii="Times New Roman" w:hAnsi="Times New Roman" w:cs="Times New Roman"/>
          <w:sz w:val="24"/>
          <w:szCs w:val="24"/>
        </w:rPr>
        <w:t xml:space="preserve"> 2021</w:t>
      </w:r>
      <w:r w:rsidRPr="00097566">
        <w:rPr>
          <w:rFonts w:ascii="Times New Roman" w:hAnsi="Times New Roman" w:cs="Times New Roman"/>
          <w:sz w:val="24"/>
          <w:szCs w:val="24"/>
        </w:rPr>
        <w:t xml:space="preserve"> preventive maintenance program </w:t>
      </w:r>
      <w:r>
        <w:rPr>
          <w:rFonts w:ascii="Times New Roman" w:hAnsi="Times New Roman" w:cs="Times New Roman"/>
          <w:sz w:val="24"/>
          <w:szCs w:val="24"/>
        </w:rPr>
        <w:t xml:space="preserve">(“PM”) contributed in part to the </w:t>
      </w:r>
      <w:r w:rsidRPr="00097566">
        <w:rPr>
          <w:rFonts w:ascii="Times New Roman" w:hAnsi="Times New Roman" w:cs="Times New Roman"/>
          <w:sz w:val="24"/>
          <w:szCs w:val="24"/>
        </w:rPr>
        <w:t>increase in heating failures</w:t>
      </w:r>
      <w:r>
        <w:rPr>
          <w:rFonts w:ascii="Times New Roman" w:hAnsi="Times New Roman" w:cs="Times New Roman"/>
          <w:sz w:val="24"/>
          <w:szCs w:val="24"/>
        </w:rPr>
        <w:t xml:space="preserve"> during the 2021-2022 heat season</w:t>
      </w:r>
      <w:r w:rsidRPr="00097566">
        <w:rPr>
          <w:rFonts w:ascii="Times New Roman" w:hAnsi="Times New Roman" w:cs="Times New Roman"/>
          <w:sz w:val="24"/>
          <w:szCs w:val="24"/>
        </w:rPr>
        <w:t>.</w:t>
      </w:r>
      <w:r>
        <w:rPr>
          <w:rStyle w:val="FootnoteReference"/>
          <w:rFonts w:ascii="Times New Roman" w:hAnsi="Times New Roman"/>
          <w:sz w:val="24"/>
          <w:szCs w:val="24"/>
        </w:rPr>
        <w:footnoteReference w:id="48"/>
      </w:r>
      <w:r w:rsidRPr="00097566">
        <w:rPr>
          <w:rFonts w:ascii="Times New Roman" w:hAnsi="Times New Roman" w:cs="Times New Roman"/>
          <w:sz w:val="24"/>
          <w:szCs w:val="24"/>
        </w:rPr>
        <w:t xml:space="preserve"> </w:t>
      </w:r>
      <w:r w:rsidRPr="00097566">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M</w:t>
      </w:r>
      <w:r w:rsidRPr="00097566">
        <w:rPr>
          <w:rFonts w:ascii="Times New Roman" w:eastAsia="Times New Roman" w:hAnsi="Times New Roman" w:cs="Times New Roman"/>
          <w:sz w:val="24"/>
          <w:szCs w:val="24"/>
        </w:rPr>
        <w:t>onitor concluded there were several reasons HMSD did not complete the</w:t>
      </w:r>
      <w:r>
        <w:rPr>
          <w:rFonts w:ascii="Times New Roman" w:eastAsia="Times New Roman" w:hAnsi="Times New Roman" w:cs="Times New Roman"/>
          <w:sz w:val="24"/>
          <w:szCs w:val="24"/>
        </w:rPr>
        <w:t xml:space="preserve"> PM. First, the HMSD is understaffed, including insufficient line workers, or </w:t>
      </w:r>
      <w:r w:rsidRPr="00097566">
        <w:rPr>
          <w:rFonts w:ascii="Times New Roman" w:eastAsia="Times New Roman" w:hAnsi="Times New Roman" w:cs="Times New Roman"/>
          <w:sz w:val="24"/>
          <w:szCs w:val="24"/>
        </w:rPr>
        <w:t>Heating Plant Technicians (</w:t>
      </w:r>
      <w:r>
        <w:rPr>
          <w:rFonts w:ascii="Times New Roman" w:eastAsia="Times New Roman" w:hAnsi="Times New Roman" w:cs="Times New Roman"/>
          <w:sz w:val="24"/>
          <w:szCs w:val="24"/>
        </w:rPr>
        <w:t>“</w:t>
      </w:r>
      <w:r w:rsidRPr="00097566">
        <w:rPr>
          <w:rFonts w:ascii="Times New Roman" w:eastAsia="Times New Roman" w:hAnsi="Times New Roman" w:cs="Times New Roman"/>
          <w:sz w:val="24"/>
          <w:szCs w:val="24"/>
        </w:rPr>
        <w:t>HPT</w:t>
      </w:r>
      <w:r>
        <w:rPr>
          <w:rFonts w:ascii="Times New Roman" w:eastAsia="Times New Roman" w:hAnsi="Times New Roman" w:cs="Times New Roman"/>
          <w:sz w:val="24"/>
          <w:szCs w:val="24"/>
        </w:rPr>
        <w:t>”</w:t>
      </w:r>
      <w:r w:rsidRPr="00097566">
        <w:rPr>
          <w:rFonts w:ascii="Times New Roman" w:eastAsia="Times New Roman" w:hAnsi="Times New Roman" w:cs="Times New Roman"/>
          <w:sz w:val="24"/>
          <w:szCs w:val="24"/>
        </w:rPr>
        <w:t xml:space="preserve">), supervisors, and staff to properly maintain and </w:t>
      </w:r>
      <w:r>
        <w:rPr>
          <w:rFonts w:ascii="Times New Roman" w:eastAsia="Times New Roman" w:hAnsi="Times New Roman" w:cs="Times New Roman"/>
          <w:sz w:val="24"/>
          <w:szCs w:val="24"/>
        </w:rPr>
        <w:t xml:space="preserve">repair </w:t>
      </w:r>
      <w:r w:rsidRPr="00097566">
        <w:rPr>
          <w:rFonts w:ascii="Times New Roman" w:eastAsia="Times New Roman" w:hAnsi="Times New Roman" w:cs="Times New Roman"/>
          <w:sz w:val="24"/>
          <w:szCs w:val="24"/>
        </w:rPr>
        <w:t>boilers</w:t>
      </w:r>
      <w:r>
        <w:rPr>
          <w:rFonts w:ascii="Times New Roman" w:eastAsia="Times New Roman" w:hAnsi="Times New Roman" w:cs="Times New Roman"/>
          <w:sz w:val="24"/>
          <w:szCs w:val="24"/>
        </w:rPr>
        <w:t xml:space="preserve"> and to supervise this work.</w:t>
      </w:r>
      <w:r w:rsidRPr="00097566">
        <w:rPr>
          <w:rStyle w:val="FootnoteReference"/>
          <w:rFonts w:ascii="Times New Roman" w:eastAsia="Times New Roman" w:hAnsi="Times New Roman"/>
          <w:sz w:val="24"/>
          <w:szCs w:val="24"/>
        </w:rPr>
        <w:footnoteReference w:id="49"/>
      </w:r>
      <w:r w:rsidRPr="000975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Second,</w:t>
      </w:r>
      <w:r w:rsidRPr="00097566">
        <w:rPr>
          <w:rFonts w:ascii="Times New Roman" w:eastAsia="Times New Roman" w:hAnsi="Times New Roman" w:cs="Times New Roman"/>
          <w:sz w:val="24"/>
          <w:szCs w:val="24"/>
        </w:rPr>
        <w:t xml:space="preserve"> NYCHA has not replaced </w:t>
      </w:r>
      <w:r>
        <w:rPr>
          <w:rFonts w:ascii="Times New Roman" w:eastAsia="Times New Roman" w:hAnsi="Times New Roman" w:cs="Times New Roman"/>
          <w:sz w:val="24"/>
          <w:szCs w:val="24"/>
        </w:rPr>
        <w:t xml:space="preserve">the </w:t>
      </w:r>
      <w:r w:rsidRPr="00097566">
        <w:rPr>
          <w:rFonts w:ascii="Times New Roman" w:eastAsia="Times New Roman" w:hAnsi="Times New Roman" w:cs="Times New Roman"/>
          <w:sz w:val="24"/>
          <w:szCs w:val="24"/>
        </w:rPr>
        <w:t>worst performing boilers, which could alleviate staff burden in keeping the boilers operational.</w:t>
      </w:r>
      <w:r w:rsidRPr="00097566">
        <w:rPr>
          <w:rStyle w:val="FootnoteReference"/>
          <w:rFonts w:ascii="Times New Roman" w:eastAsia="Times New Roman" w:hAnsi="Times New Roman"/>
          <w:sz w:val="24"/>
          <w:szCs w:val="24"/>
        </w:rPr>
        <w:footnoteReference w:id="50"/>
      </w:r>
      <w:r w:rsidRPr="000975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Third,</w:t>
      </w:r>
      <w:r w:rsidRPr="00097566">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Monitor noted that the</w:t>
      </w:r>
      <w:r w:rsidRPr="00097566">
        <w:rPr>
          <w:rFonts w:ascii="Times New Roman" w:eastAsia="Times New Roman" w:hAnsi="Times New Roman" w:cs="Times New Roman"/>
          <w:sz w:val="24"/>
          <w:szCs w:val="24"/>
        </w:rPr>
        <w:t xml:space="preserve"> HMSD unit </w:t>
      </w:r>
      <w:r>
        <w:rPr>
          <w:rFonts w:ascii="Times New Roman" w:eastAsia="Times New Roman" w:hAnsi="Times New Roman" w:cs="Times New Roman"/>
          <w:sz w:val="24"/>
          <w:szCs w:val="24"/>
        </w:rPr>
        <w:t>was</w:t>
      </w:r>
      <w:r w:rsidRPr="00097566">
        <w:rPr>
          <w:rFonts w:ascii="Times New Roman" w:eastAsia="Times New Roman" w:hAnsi="Times New Roman" w:cs="Times New Roman"/>
          <w:sz w:val="24"/>
          <w:szCs w:val="24"/>
        </w:rPr>
        <w:t xml:space="preserve"> not effectively </w:t>
      </w:r>
      <w:r>
        <w:rPr>
          <w:rFonts w:ascii="Times New Roman" w:eastAsia="Times New Roman" w:hAnsi="Times New Roman" w:cs="Times New Roman"/>
          <w:sz w:val="24"/>
          <w:szCs w:val="24"/>
        </w:rPr>
        <w:t>using</w:t>
      </w:r>
      <w:r w:rsidRPr="00097566">
        <w:rPr>
          <w:rFonts w:ascii="Times New Roman" w:eastAsia="Times New Roman" w:hAnsi="Times New Roman" w:cs="Times New Roman"/>
          <w:sz w:val="24"/>
          <w:szCs w:val="24"/>
        </w:rPr>
        <w:t xml:space="preserve"> its staff</w:t>
      </w:r>
      <w:r>
        <w:rPr>
          <w:rFonts w:ascii="Times New Roman" w:eastAsia="Times New Roman" w:hAnsi="Times New Roman" w:cs="Times New Roman"/>
          <w:sz w:val="24"/>
          <w:szCs w:val="24"/>
        </w:rPr>
        <w:t>. For instance, staff routinely failed to comply with established</w:t>
      </w:r>
      <w:r w:rsidRPr="00097566">
        <w:rPr>
          <w:rFonts w:ascii="Times New Roman" w:eastAsia="Times New Roman" w:hAnsi="Times New Roman" w:cs="Times New Roman"/>
          <w:sz w:val="24"/>
          <w:szCs w:val="24"/>
        </w:rPr>
        <w:t xml:space="preserve"> procedures for </w:t>
      </w:r>
      <w:r>
        <w:rPr>
          <w:rFonts w:ascii="Times New Roman" w:eastAsia="Times New Roman" w:hAnsi="Times New Roman" w:cs="Times New Roman"/>
          <w:sz w:val="24"/>
          <w:szCs w:val="24"/>
        </w:rPr>
        <w:t>scheduling</w:t>
      </w:r>
      <w:r w:rsidRPr="00097566">
        <w:rPr>
          <w:rFonts w:ascii="Times New Roman" w:eastAsia="Times New Roman" w:hAnsi="Times New Roman" w:cs="Times New Roman"/>
          <w:sz w:val="24"/>
          <w:szCs w:val="24"/>
        </w:rPr>
        <w:t xml:space="preserve"> and completing daily, weekly, monthly, an</w:t>
      </w:r>
      <w:r>
        <w:rPr>
          <w:rFonts w:ascii="Times New Roman" w:eastAsia="Times New Roman" w:hAnsi="Times New Roman" w:cs="Times New Roman"/>
          <w:sz w:val="24"/>
          <w:szCs w:val="24"/>
        </w:rPr>
        <w:t>d annual maintenance work orders, while managers failed to perform regular, comprehensive inspections of such work</w:t>
      </w:r>
      <w:r w:rsidRPr="00097566">
        <w:rPr>
          <w:rFonts w:ascii="Times New Roman" w:eastAsia="Times New Roman" w:hAnsi="Times New Roman" w:cs="Times New Roman"/>
          <w:sz w:val="24"/>
          <w:szCs w:val="24"/>
        </w:rPr>
        <w:t>.</w:t>
      </w:r>
      <w:r w:rsidRPr="00097566">
        <w:rPr>
          <w:rStyle w:val="FootnoteReference"/>
          <w:rFonts w:ascii="Times New Roman" w:eastAsia="Times New Roman" w:hAnsi="Times New Roman"/>
          <w:sz w:val="24"/>
          <w:szCs w:val="24"/>
        </w:rPr>
        <w:footnoteReference w:id="51"/>
      </w:r>
      <w:r w:rsidRPr="000975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Staff also failed to properly record their maintenance, repair, and inspection work.</w:t>
      </w:r>
      <w:r>
        <w:rPr>
          <w:rStyle w:val="FootnoteReference"/>
          <w:rFonts w:ascii="Times New Roman" w:eastAsia="Times New Roman" w:hAnsi="Times New Roman"/>
          <w:sz w:val="24"/>
          <w:szCs w:val="24"/>
        </w:rPr>
        <w:footnoteReference w:id="52"/>
      </w:r>
      <w:r>
        <w:rPr>
          <w:rFonts w:ascii="Times New Roman" w:eastAsia="Times New Roman" w:hAnsi="Times New Roman" w:cs="Times New Roman"/>
          <w:sz w:val="24"/>
          <w:szCs w:val="24"/>
        </w:rPr>
        <w:t xml:space="preserve"> </w:t>
      </w:r>
      <w:r w:rsidRPr="00097566">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Monitor further noted a need to overhaul HMSD training</w:t>
      </w:r>
      <w:r w:rsidRPr="00097566">
        <w:rPr>
          <w:rFonts w:ascii="Times New Roman" w:eastAsia="Times New Roman" w:hAnsi="Times New Roman" w:cs="Times New Roman"/>
          <w:sz w:val="24"/>
          <w:szCs w:val="24"/>
        </w:rPr>
        <w:t>.</w:t>
      </w:r>
      <w:r w:rsidRPr="00097566">
        <w:rPr>
          <w:rStyle w:val="FootnoteReference"/>
          <w:rFonts w:ascii="Times New Roman" w:eastAsia="Times New Roman" w:hAnsi="Times New Roman"/>
          <w:sz w:val="24"/>
          <w:szCs w:val="24"/>
        </w:rPr>
        <w:footnoteReference w:id="53"/>
      </w:r>
      <w:r w:rsidRPr="000975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 instance, HPTs currently wait</w:t>
      </w:r>
      <w:r w:rsidRPr="000975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 average of </w:t>
      </w:r>
      <w:r w:rsidRPr="00097566">
        <w:rPr>
          <w:rFonts w:ascii="Times New Roman" w:eastAsia="Times New Roman" w:hAnsi="Times New Roman" w:cs="Times New Roman"/>
          <w:sz w:val="24"/>
          <w:szCs w:val="24"/>
        </w:rPr>
        <w:t>over a year before there is space and training staff to take a class</w:t>
      </w:r>
      <w:r>
        <w:rPr>
          <w:rFonts w:ascii="Times New Roman" w:eastAsia="Times New Roman" w:hAnsi="Times New Roman" w:cs="Times New Roman"/>
          <w:sz w:val="24"/>
          <w:szCs w:val="24"/>
        </w:rPr>
        <w:t>, and there is no effective structure to provide field training</w:t>
      </w:r>
      <w:r w:rsidRPr="00097566">
        <w:rPr>
          <w:rFonts w:ascii="Times New Roman" w:eastAsia="Times New Roman" w:hAnsi="Times New Roman" w:cs="Times New Roman"/>
          <w:sz w:val="24"/>
          <w:szCs w:val="24"/>
        </w:rPr>
        <w:t>.</w:t>
      </w:r>
      <w:r>
        <w:rPr>
          <w:rStyle w:val="FootnoteReference"/>
          <w:rFonts w:ascii="Times New Roman" w:eastAsia="Times New Roman" w:hAnsi="Times New Roman"/>
          <w:sz w:val="24"/>
          <w:szCs w:val="24"/>
        </w:rPr>
        <w:footnoteReference w:id="54"/>
      </w:r>
      <w:r w:rsidRPr="000975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M</w:t>
      </w:r>
      <w:r w:rsidRPr="00097566">
        <w:rPr>
          <w:rFonts w:ascii="Times New Roman" w:eastAsia="Times New Roman" w:hAnsi="Times New Roman" w:cs="Times New Roman"/>
          <w:sz w:val="24"/>
          <w:szCs w:val="24"/>
        </w:rPr>
        <w:t xml:space="preserve">onitor </w:t>
      </w:r>
      <w:r>
        <w:rPr>
          <w:rFonts w:ascii="Times New Roman" w:eastAsia="Times New Roman" w:hAnsi="Times New Roman" w:cs="Times New Roman"/>
          <w:sz w:val="24"/>
          <w:szCs w:val="24"/>
        </w:rPr>
        <w:t>additionally identified a failure to</w:t>
      </w:r>
      <w:r w:rsidRPr="000975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manage</w:t>
      </w:r>
      <w:r w:rsidRPr="00097566">
        <w:rPr>
          <w:rFonts w:ascii="Times New Roman" w:eastAsia="Times New Roman" w:hAnsi="Times New Roman" w:cs="Times New Roman"/>
          <w:sz w:val="24"/>
          <w:szCs w:val="24"/>
        </w:rPr>
        <w:t xml:space="preserve"> parts and equipment </w:t>
      </w:r>
      <w:r>
        <w:rPr>
          <w:rFonts w:ascii="Times New Roman" w:eastAsia="Times New Roman" w:hAnsi="Times New Roman" w:cs="Times New Roman"/>
          <w:sz w:val="24"/>
          <w:szCs w:val="24"/>
        </w:rPr>
        <w:t>store</w:t>
      </w:r>
      <w:r w:rsidRPr="00097566">
        <w:rPr>
          <w:rFonts w:ascii="Times New Roman" w:eastAsia="Times New Roman" w:hAnsi="Times New Roman" w:cs="Times New Roman"/>
          <w:sz w:val="24"/>
          <w:szCs w:val="24"/>
        </w:rPr>
        <w:t>rooms, affect</w:t>
      </w:r>
      <w:r>
        <w:rPr>
          <w:rFonts w:ascii="Times New Roman" w:eastAsia="Times New Roman" w:hAnsi="Times New Roman" w:cs="Times New Roman"/>
          <w:sz w:val="24"/>
          <w:szCs w:val="24"/>
        </w:rPr>
        <w:t>ing</w:t>
      </w:r>
      <w:r w:rsidRPr="00097566">
        <w:rPr>
          <w:rFonts w:ascii="Times New Roman" w:eastAsia="Times New Roman" w:hAnsi="Times New Roman" w:cs="Times New Roman"/>
          <w:sz w:val="24"/>
          <w:szCs w:val="24"/>
        </w:rPr>
        <w:t xml:space="preserve"> NYCHA’s ability to respond to emergencies.</w:t>
      </w:r>
      <w:r w:rsidRPr="00097566">
        <w:rPr>
          <w:rStyle w:val="FootnoteReference"/>
          <w:rFonts w:ascii="Times New Roman" w:eastAsia="Times New Roman" w:hAnsi="Times New Roman"/>
          <w:sz w:val="24"/>
          <w:szCs w:val="24"/>
        </w:rPr>
        <w:footnoteReference w:id="55"/>
      </w:r>
      <w:r w:rsidRPr="00097566">
        <w:rPr>
          <w:rFonts w:ascii="Times New Roman" w:eastAsia="Times New Roman" w:hAnsi="Times New Roman" w:cs="Times New Roman"/>
          <w:sz w:val="24"/>
          <w:szCs w:val="24"/>
        </w:rPr>
        <w:t xml:space="preserve">  </w:t>
      </w:r>
    </w:p>
    <w:p w:rsidR="00AE1697" w:rsidRPr="00097566" w:rsidRDefault="00AE1697" w:rsidP="00AE1697">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January 2022, the M</w:t>
      </w:r>
      <w:r w:rsidRPr="00097566">
        <w:rPr>
          <w:rFonts w:ascii="Times New Roman" w:hAnsi="Times New Roman" w:cs="Times New Roman"/>
          <w:sz w:val="24"/>
          <w:szCs w:val="24"/>
        </w:rPr>
        <w:t xml:space="preserve">onitor issued a comprehensive report to NYCHA that made these recommendations to </w:t>
      </w:r>
      <w:r>
        <w:rPr>
          <w:rFonts w:ascii="Times New Roman" w:hAnsi="Times New Roman" w:cs="Times New Roman"/>
          <w:sz w:val="24"/>
          <w:szCs w:val="24"/>
        </w:rPr>
        <w:t xml:space="preserve">improve </w:t>
      </w:r>
      <w:r w:rsidRPr="00097566">
        <w:rPr>
          <w:rFonts w:ascii="Times New Roman" w:hAnsi="Times New Roman" w:cs="Times New Roman"/>
          <w:sz w:val="24"/>
          <w:szCs w:val="24"/>
        </w:rPr>
        <w:t>their heating services</w:t>
      </w:r>
      <w:r w:rsidRPr="00097566">
        <w:rPr>
          <w:rStyle w:val="FootnoteReference"/>
          <w:rFonts w:ascii="Times New Roman" w:hAnsi="Times New Roman"/>
          <w:sz w:val="24"/>
          <w:szCs w:val="24"/>
        </w:rPr>
        <w:footnoteReference w:id="56"/>
      </w:r>
      <w:r w:rsidRPr="00097566">
        <w:rPr>
          <w:rFonts w:ascii="Times New Roman" w:hAnsi="Times New Roman" w:cs="Times New Roman"/>
          <w:sz w:val="24"/>
          <w:szCs w:val="24"/>
        </w:rPr>
        <w:t xml:space="preserve">: </w:t>
      </w:r>
    </w:p>
    <w:p w:rsidR="00AE1697" w:rsidRPr="00097566" w:rsidRDefault="00AE1697" w:rsidP="00AE1697">
      <w:pPr>
        <w:spacing w:line="480" w:lineRule="auto"/>
        <w:ind w:firstLine="720"/>
        <w:rPr>
          <w:rFonts w:ascii="Times New Roman" w:hAnsi="Times New Roman" w:cs="Times New Roman"/>
          <w:sz w:val="24"/>
          <w:szCs w:val="24"/>
        </w:rPr>
      </w:pPr>
      <w:r>
        <w:rPr>
          <w:rFonts w:ascii="Times New Roman" w:hAnsi="Times New Roman" w:cs="Times New Roman"/>
          <w:sz w:val="24"/>
          <w:szCs w:val="24"/>
        </w:rPr>
        <w:t>1.</w:t>
      </w:r>
      <w:r w:rsidRPr="00097566">
        <w:rPr>
          <w:rFonts w:ascii="Times New Roman" w:hAnsi="Times New Roman" w:cs="Times New Roman"/>
          <w:sz w:val="24"/>
          <w:szCs w:val="24"/>
        </w:rPr>
        <w:t xml:space="preserve"> adding staff to HMSD</w:t>
      </w:r>
      <w:r>
        <w:rPr>
          <w:rFonts w:ascii="Times New Roman" w:hAnsi="Times New Roman" w:cs="Times New Roman"/>
          <w:sz w:val="24"/>
          <w:szCs w:val="24"/>
        </w:rPr>
        <w:t>;</w:t>
      </w:r>
      <w:r w:rsidRPr="00097566">
        <w:rPr>
          <w:rFonts w:ascii="Times New Roman" w:hAnsi="Times New Roman" w:cs="Times New Roman"/>
          <w:sz w:val="24"/>
          <w:szCs w:val="24"/>
        </w:rPr>
        <w:t xml:space="preserve"> </w:t>
      </w:r>
    </w:p>
    <w:p w:rsidR="00AE1697" w:rsidRPr="00097566" w:rsidRDefault="00AE1697" w:rsidP="00AE1697">
      <w:pPr>
        <w:spacing w:line="480" w:lineRule="auto"/>
        <w:ind w:firstLine="720"/>
        <w:rPr>
          <w:rFonts w:ascii="Times New Roman" w:hAnsi="Times New Roman" w:cs="Times New Roman"/>
          <w:sz w:val="24"/>
          <w:szCs w:val="24"/>
        </w:rPr>
      </w:pPr>
      <w:r>
        <w:rPr>
          <w:rFonts w:ascii="Times New Roman" w:hAnsi="Times New Roman" w:cs="Times New Roman"/>
          <w:sz w:val="24"/>
          <w:szCs w:val="24"/>
        </w:rPr>
        <w:t>2.</w:t>
      </w:r>
      <w:r w:rsidRPr="00097566">
        <w:rPr>
          <w:rFonts w:ascii="Times New Roman" w:hAnsi="Times New Roman" w:cs="Times New Roman"/>
          <w:sz w:val="24"/>
          <w:szCs w:val="24"/>
        </w:rPr>
        <w:t xml:space="preserve"> improving staff training at HMSD</w:t>
      </w:r>
      <w:r>
        <w:rPr>
          <w:rFonts w:ascii="Times New Roman" w:hAnsi="Times New Roman" w:cs="Times New Roman"/>
          <w:sz w:val="24"/>
          <w:szCs w:val="24"/>
        </w:rPr>
        <w:t>;</w:t>
      </w:r>
    </w:p>
    <w:p w:rsidR="00AE1697" w:rsidRPr="00097566" w:rsidRDefault="00AE1697" w:rsidP="00AE1697">
      <w:pPr>
        <w:spacing w:line="480" w:lineRule="auto"/>
        <w:ind w:firstLine="720"/>
        <w:rPr>
          <w:rFonts w:ascii="Times New Roman" w:hAnsi="Times New Roman" w:cs="Times New Roman"/>
          <w:sz w:val="24"/>
          <w:szCs w:val="24"/>
        </w:rPr>
      </w:pPr>
      <w:r>
        <w:rPr>
          <w:rFonts w:ascii="Times New Roman" w:hAnsi="Times New Roman" w:cs="Times New Roman"/>
          <w:sz w:val="24"/>
          <w:szCs w:val="24"/>
        </w:rPr>
        <w:t>3. updating</w:t>
      </w:r>
      <w:r w:rsidRPr="00097566">
        <w:rPr>
          <w:rFonts w:ascii="Times New Roman" w:hAnsi="Times New Roman" w:cs="Times New Roman"/>
          <w:sz w:val="24"/>
          <w:szCs w:val="24"/>
        </w:rPr>
        <w:t xml:space="preserve"> the heating operation procedures</w:t>
      </w:r>
      <w:r>
        <w:rPr>
          <w:rFonts w:ascii="Times New Roman" w:hAnsi="Times New Roman" w:cs="Times New Roman"/>
          <w:sz w:val="24"/>
          <w:szCs w:val="24"/>
        </w:rPr>
        <w:t>;</w:t>
      </w:r>
    </w:p>
    <w:p w:rsidR="00AE1697" w:rsidRPr="00097566" w:rsidRDefault="00AE1697" w:rsidP="00AE1697">
      <w:pPr>
        <w:spacing w:line="480" w:lineRule="auto"/>
        <w:ind w:firstLine="720"/>
        <w:rPr>
          <w:rFonts w:ascii="Times New Roman" w:hAnsi="Times New Roman" w:cs="Times New Roman"/>
          <w:sz w:val="24"/>
          <w:szCs w:val="24"/>
        </w:rPr>
      </w:pPr>
      <w:r>
        <w:rPr>
          <w:rFonts w:ascii="Times New Roman" w:hAnsi="Times New Roman" w:cs="Times New Roman"/>
          <w:sz w:val="24"/>
          <w:szCs w:val="24"/>
        </w:rPr>
        <w:t>4.</w:t>
      </w:r>
      <w:r w:rsidRPr="00097566">
        <w:rPr>
          <w:rFonts w:ascii="Times New Roman" w:hAnsi="Times New Roman" w:cs="Times New Roman"/>
          <w:sz w:val="24"/>
          <w:szCs w:val="24"/>
        </w:rPr>
        <w:t xml:space="preserve"> </w:t>
      </w:r>
      <w:r>
        <w:rPr>
          <w:rFonts w:ascii="Times New Roman" w:hAnsi="Times New Roman" w:cs="Times New Roman"/>
          <w:sz w:val="24"/>
          <w:szCs w:val="24"/>
        </w:rPr>
        <w:t xml:space="preserve">making </w:t>
      </w:r>
      <w:r w:rsidRPr="00097566">
        <w:rPr>
          <w:rFonts w:ascii="Times New Roman" w:hAnsi="Times New Roman" w:cs="Times New Roman"/>
          <w:sz w:val="24"/>
          <w:szCs w:val="24"/>
        </w:rPr>
        <w:t xml:space="preserve">sure staff </w:t>
      </w:r>
      <w:r>
        <w:rPr>
          <w:rFonts w:ascii="Times New Roman" w:hAnsi="Times New Roman" w:cs="Times New Roman"/>
          <w:sz w:val="24"/>
          <w:szCs w:val="24"/>
        </w:rPr>
        <w:t>are</w:t>
      </w:r>
      <w:r w:rsidRPr="00097566">
        <w:rPr>
          <w:rFonts w:ascii="Times New Roman" w:hAnsi="Times New Roman" w:cs="Times New Roman"/>
          <w:sz w:val="24"/>
          <w:szCs w:val="24"/>
        </w:rPr>
        <w:t xml:space="preserve"> capturing key data in Maximo</w:t>
      </w:r>
      <w:r>
        <w:rPr>
          <w:rFonts w:ascii="Times New Roman" w:hAnsi="Times New Roman" w:cs="Times New Roman"/>
          <w:sz w:val="24"/>
          <w:szCs w:val="24"/>
        </w:rPr>
        <w:t>; and</w:t>
      </w:r>
    </w:p>
    <w:p w:rsidR="00AE1697" w:rsidRPr="00097566" w:rsidRDefault="00AE1697" w:rsidP="00AE1697">
      <w:pPr>
        <w:spacing w:line="480" w:lineRule="auto"/>
        <w:ind w:firstLine="720"/>
        <w:rPr>
          <w:rFonts w:ascii="Times New Roman" w:hAnsi="Times New Roman" w:cs="Times New Roman"/>
          <w:sz w:val="24"/>
          <w:szCs w:val="24"/>
        </w:rPr>
      </w:pPr>
      <w:r>
        <w:rPr>
          <w:rFonts w:ascii="Times New Roman" w:hAnsi="Times New Roman" w:cs="Times New Roman"/>
          <w:sz w:val="24"/>
          <w:szCs w:val="24"/>
        </w:rPr>
        <w:t>5. improving</w:t>
      </w:r>
      <w:r w:rsidRPr="00097566">
        <w:rPr>
          <w:rFonts w:ascii="Times New Roman" w:hAnsi="Times New Roman" w:cs="Times New Roman"/>
          <w:sz w:val="24"/>
          <w:szCs w:val="24"/>
        </w:rPr>
        <w:t xml:space="preserve"> management and supervision at HMSD to ensure staff </w:t>
      </w:r>
      <w:r>
        <w:rPr>
          <w:rFonts w:ascii="Times New Roman" w:hAnsi="Times New Roman" w:cs="Times New Roman"/>
          <w:sz w:val="24"/>
          <w:szCs w:val="24"/>
        </w:rPr>
        <w:t>are</w:t>
      </w:r>
      <w:r w:rsidRPr="00097566">
        <w:rPr>
          <w:rFonts w:ascii="Times New Roman" w:hAnsi="Times New Roman" w:cs="Times New Roman"/>
          <w:sz w:val="24"/>
          <w:szCs w:val="24"/>
        </w:rPr>
        <w:t xml:space="preserve"> following procedures and completing the master plan.</w:t>
      </w:r>
    </w:p>
    <w:p w:rsidR="00AE1697" w:rsidRPr="00097566" w:rsidRDefault="00AE1697" w:rsidP="00AE1697">
      <w:pPr>
        <w:spacing w:after="0" w:line="480" w:lineRule="auto"/>
        <w:ind w:firstLine="720"/>
        <w:jc w:val="both"/>
        <w:rPr>
          <w:rFonts w:ascii="Times New Roman" w:hAnsi="Times New Roman" w:cs="Times New Roman"/>
          <w:sz w:val="24"/>
          <w:szCs w:val="24"/>
        </w:rPr>
      </w:pPr>
      <w:r w:rsidRPr="00097566">
        <w:rPr>
          <w:rFonts w:ascii="Times New Roman" w:hAnsi="Times New Roman" w:cs="Times New Roman"/>
          <w:sz w:val="24"/>
          <w:szCs w:val="24"/>
        </w:rPr>
        <w:t xml:space="preserve">Since the </w:t>
      </w:r>
      <w:r>
        <w:rPr>
          <w:rFonts w:ascii="Times New Roman" w:hAnsi="Times New Roman" w:cs="Times New Roman"/>
          <w:sz w:val="24"/>
          <w:szCs w:val="24"/>
        </w:rPr>
        <w:t xml:space="preserve">Monitor’s comprehensive </w:t>
      </w:r>
      <w:r w:rsidRPr="00097566">
        <w:rPr>
          <w:rFonts w:ascii="Times New Roman" w:hAnsi="Times New Roman" w:cs="Times New Roman"/>
          <w:sz w:val="24"/>
          <w:szCs w:val="24"/>
        </w:rPr>
        <w:t>Janu</w:t>
      </w:r>
      <w:r>
        <w:rPr>
          <w:rFonts w:ascii="Times New Roman" w:hAnsi="Times New Roman" w:cs="Times New Roman"/>
          <w:sz w:val="24"/>
          <w:szCs w:val="24"/>
        </w:rPr>
        <w:t xml:space="preserve">ary 2022 report, </w:t>
      </w:r>
      <w:r w:rsidRPr="00097566">
        <w:rPr>
          <w:rFonts w:ascii="Times New Roman" w:hAnsi="Times New Roman" w:cs="Times New Roman"/>
          <w:sz w:val="24"/>
          <w:szCs w:val="24"/>
        </w:rPr>
        <w:t xml:space="preserve">NYCHA has </w:t>
      </w:r>
      <w:r>
        <w:rPr>
          <w:rFonts w:ascii="Times New Roman" w:hAnsi="Times New Roman" w:cs="Times New Roman"/>
          <w:sz w:val="24"/>
          <w:szCs w:val="24"/>
        </w:rPr>
        <w:t>purportedly taken the following steps to improve its PM performance and to improve HMSD more generally</w:t>
      </w:r>
      <w:r w:rsidRPr="00097566">
        <w:rPr>
          <w:rStyle w:val="FootnoteReference"/>
          <w:rFonts w:ascii="Times New Roman" w:hAnsi="Times New Roman"/>
          <w:sz w:val="24"/>
          <w:szCs w:val="24"/>
        </w:rPr>
        <w:footnoteReference w:id="57"/>
      </w:r>
      <w:r w:rsidRPr="00097566">
        <w:rPr>
          <w:rFonts w:ascii="Times New Roman" w:hAnsi="Times New Roman" w:cs="Times New Roman"/>
          <w:sz w:val="24"/>
          <w:szCs w:val="24"/>
        </w:rPr>
        <w:t>:</w:t>
      </w:r>
    </w:p>
    <w:p w:rsidR="00AE1697" w:rsidRPr="00097566" w:rsidRDefault="00AE1697" w:rsidP="00AE1697">
      <w:pPr>
        <w:pStyle w:val="ListParagraph"/>
        <w:numPr>
          <w:ilvl w:val="0"/>
          <w:numId w:val="2"/>
        </w:numPr>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Providing</w:t>
      </w:r>
      <w:r w:rsidRPr="00097566">
        <w:rPr>
          <w:rFonts w:ascii="Times New Roman" w:hAnsi="Times New Roman" w:cs="Times New Roman"/>
          <w:sz w:val="24"/>
          <w:szCs w:val="24"/>
        </w:rPr>
        <w:t xml:space="preserve"> better oversight and support of HMSD by having a new Chief Operating Officer and Senior Vice President</w:t>
      </w:r>
      <w:r>
        <w:rPr>
          <w:rFonts w:ascii="Times New Roman" w:hAnsi="Times New Roman" w:cs="Times New Roman"/>
          <w:sz w:val="24"/>
          <w:szCs w:val="24"/>
        </w:rPr>
        <w:t>;</w:t>
      </w:r>
      <w:r w:rsidRPr="00097566">
        <w:rPr>
          <w:rFonts w:ascii="Times New Roman" w:hAnsi="Times New Roman" w:cs="Times New Roman"/>
          <w:sz w:val="24"/>
          <w:szCs w:val="24"/>
        </w:rPr>
        <w:t xml:space="preserve"> </w:t>
      </w:r>
    </w:p>
    <w:p w:rsidR="00AE1697" w:rsidRPr="00097566" w:rsidRDefault="00AE1697" w:rsidP="00AE1697">
      <w:pPr>
        <w:pStyle w:val="ListParagraph"/>
        <w:numPr>
          <w:ilvl w:val="0"/>
          <w:numId w:val="2"/>
        </w:numPr>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Increasing</w:t>
      </w:r>
      <w:r w:rsidRPr="00097566">
        <w:rPr>
          <w:rFonts w:ascii="Times New Roman" w:hAnsi="Times New Roman" w:cs="Times New Roman"/>
          <w:sz w:val="24"/>
          <w:szCs w:val="24"/>
        </w:rPr>
        <w:t xml:space="preserve"> the use of vendors to help with </w:t>
      </w:r>
      <w:r>
        <w:rPr>
          <w:rFonts w:ascii="Times New Roman" w:hAnsi="Times New Roman" w:cs="Times New Roman"/>
          <w:sz w:val="24"/>
          <w:szCs w:val="24"/>
        </w:rPr>
        <w:t>PM work to ensure completion;</w:t>
      </w:r>
    </w:p>
    <w:p w:rsidR="00AE1697" w:rsidRPr="00AE60AA" w:rsidRDefault="00AE1697" w:rsidP="00AE1697">
      <w:pPr>
        <w:pStyle w:val="ListParagraph"/>
        <w:numPr>
          <w:ilvl w:val="0"/>
          <w:numId w:val="2"/>
        </w:numPr>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Improving</w:t>
      </w:r>
      <w:r w:rsidRPr="00097566">
        <w:rPr>
          <w:rFonts w:ascii="Times New Roman" w:hAnsi="Times New Roman" w:cs="Times New Roman"/>
          <w:sz w:val="24"/>
          <w:szCs w:val="24"/>
        </w:rPr>
        <w:t xml:space="preserve"> coordination and collaboration between HMSD, EHS, HUD and the Monitor to </w:t>
      </w:r>
      <w:r w:rsidRPr="00AE60AA">
        <w:rPr>
          <w:rFonts w:ascii="Times New Roman" w:hAnsi="Times New Roman" w:cs="Times New Roman"/>
          <w:sz w:val="24"/>
          <w:szCs w:val="24"/>
        </w:rPr>
        <w:t>oversee and assess both vendors and HMSD staff as work is done during the summer preventive maintenance program</w:t>
      </w:r>
      <w:r>
        <w:rPr>
          <w:rFonts w:ascii="Times New Roman" w:hAnsi="Times New Roman" w:cs="Times New Roman"/>
          <w:sz w:val="24"/>
          <w:szCs w:val="24"/>
        </w:rPr>
        <w:t>;</w:t>
      </w:r>
    </w:p>
    <w:p w:rsidR="00AE1697" w:rsidRPr="00AE60AA" w:rsidRDefault="00AE1697" w:rsidP="00AE1697">
      <w:pPr>
        <w:pStyle w:val="ListParagraph"/>
        <w:numPr>
          <w:ilvl w:val="0"/>
          <w:numId w:val="2"/>
        </w:numPr>
        <w:spacing w:after="0" w:line="480" w:lineRule="auto"/>
        <w:ind w:left="0" w:firstLine="720"/>
        <w:jc w:val="both"/>
        <w:rPr>
          <w:rFonts w:ascii="Times New Roman" w:hAnsi="Times New Roman" w:cs="Times New Roman"/>
          <w:sz w:val="24"/>
          <w:szCs w:val="24"/>
        </w:rPr>
      </w:pPr>
      <w:r w:rsidRPr="00AE60AA">
        <w:rPr>
          <w:rFonts w:ascii="Times New Roman" w:hAnsi="Times New Roman" w:cs="Times New Roman"/>
          <w:sz w:val="24"/>
          <w:szCs w:val="24"/>
        </w:rPr>
        <w:t xml:space="preserve">Beginning comprehensive staff trainings </w:t>
      </w:r>
      <w:r>
        <w:rPr>
          <w:rFonts w:ascii="Times New Roman" w:hAnsi="Times New Roman" w:cs="Times New Roman"/>
          <w:sz w:val="24"/>
          <w:szCs w:val="24"/>
        </w:rPr>
        <w:t xml:space="preserve">including </w:t>
      </w:r>
      <w:r w:rsidRPr="00AE60AA">
        <w:rPr>
          <w:rFonts w:ascii="Times New Roman" w:hAnsi="Times New Roman" w:cs="Times New Roman"/>
          <w:sz w:val="24"/>
          <w:szCs w:val="24"/>
        </w:rPr>
        <w:t xml:space="preserve">both in-class and field </w:t>
      </w:r>
      <w:r>
        <w:rPr>
          <w:rFonts w:ascii="Times New Roman" w:hAnsi="Times New Roman" w:cs="Times New Roman"/>
          <w:sz w:val="24"/>
          <w:szCs w:val="24"/>
        </w:rPr>
        <w:t>training, and setting</w:t>
      </w:r>
      <w:r w:rsidRPr="00AE60AA">
        <w:rPr>
          <w:rFonts w:ascii="Times New Roman" w:hAnsi="Times New Roman" w:cs="Times New Roman"/>
          <w:sz w:val="24"/>
          <w:szCs w:val="24"/>
        </w:rPr>
        <w:t xml:space="preserve"> up a new NYCHA heating lab</w:t>
      </w:r>
      <w:r>
        <w:rPr>
          <w:rFonts w:ascii="Times New Roman" w:hAnsi="Times New Roman" w:cs="Times New Roman"/>
          <w:sz w:val="24"/>
          <w:szCs w:val="24"/>
        </w:rPr>
        <w:t>;</w:t>
      </w:r>
    </w:p>
    <w:p w:rsidR="00AE1697" w:rsidRPr="00097566" w:rsidRDefault="00AE1697" w:rsidP="00AE1697">
      <w:pPr>
        <w:pStyle w:val="ListParagraph"/>
        <w:numPr>
          <w:ilvl w:val="0"/>
          <w:numId w:val="2"/>
        </w:numPr>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Establishing</w:t>
      </w:r>
      <w:r w:rsidRPr="00097566">
        <w:rPr>
          <w:rFonts w:ascii="Times New Roman" w:hAnsi="Times New Roman" w:cs="Times New Roman"/>
          <w:sz w:val="24"/>
          <w:szCs w:val="24"/>
        </w:rPr>
        <w:t xml:space="preserve"> a working group to update its heating standard operating procedures</w:t>
      </w:r>
      <w:r>
        <w:rPr>
          <w:rFonts w:ascii="Times New Roman" w:hAnsi="Times New Roman" w:cs="Times New Roman"/>
          <w:sz w:val="24"/>
          <w:szCs w:val="24"/>
        </w:rPr>
        <w:t>;</w:t>
      </w:r>
    </w:p>
    <w:p w:rsidR="00AE1697" w:rsidRPr="00386CD4" w:rsidRDefault="00AE1697" w:rsidP="00AE1697">
      <w:pPr>
        <w:pStyle w:val="ListParagraph"/>
        <w:numPr>
          <w:ilvl w:val="0"/>
          <w:numId w:val="2"/>
        </w:numPr>
        <w:spacing w:after="0" w:line="480" w:lineRule="auto"/>
        <w:ind w:left="0" w:firstLine="720"/>
        <w:jc w:val="both"/>
        <w:rPr>
          <w:rFonts w:ascii="Times New Roman" w:hAnsi="Times New Roman" w:cs="Times New Roman"/>
          <w:sz w:val="24"/>
          <w:szCs w:val="24"/>
        </w:rPr>
      </w:pPr>
      <w:r w:rsidRPr="00097566">
        <w:rPr>
          <w:rFonts w:ascii="Times New Roman" w:hAnsi="Times New Roman" w:cs="Times New Roman"/>
          <w:sz w:val="24"/>
          <w:szCs w:val="24"/>
        </w:rPr>
        <w:t xml:space="preserve">Increasing HMSD staffing levels for more front-line and management </w:t>
      </w:r>
      <w:r>
        <w:rPr>
          <w:rFonts w:ascii="Times New Roman" w:hAnsi="Times New Roman" w:cs="Times New Roman"/>
          <w:sz w:val="24"/>
          <w:szCs w:val="24"/>
        </w:rPr>
        <w:t>p</w:t>
      </w:r>
      <w:r w:rsidRPr="00386CD4">
        <w:rPr>
          <w:rFonts w:ascii="Times New Roman" w:hAnsi="Times New Roman" w:cs="Times New Roman"/>
          <w:sz w:val="24"/>
          <w:szCs w:val="24"/>
        </w:rPr>
        <w:t>ersonnel;</w:t>
      </w:r>
      <w:r>
        <w:rPr>
          <w:rFonts w:ascii="Times New Roman" w:hAnsi="Times New Roman" w:cs="Times New Roman"/>
          <w:sz w:val="24"/>
          <w:szCs w:val="24"/>
        </w:rPr>
        <w:t xml:space="preserve"> and</w:t>
      </w:r>
    </w:p>
    <w:p w:rsidR="00AE1697" w:rsidRPr="00097566" w:rsidRDefault="00AE1697" w:rsidP="00AE1697">
      <w:pPr>
        <w:pStyle w:val="ListParagraph"/>
        <w:numPr>
          <w:ilvl w:val="0"/>
          <w:numId w:val="2"/>
        </w:numPr>
        <w:spacing w:after="0" w:line="480" w:lineRule="auto"/>
        <w:ind w:left="0" w:firstLine="720"/>
        <w:jc w:val="both"/>
        <w:rPr>
          <w:rFonts w:ascii="Times New Roman" w:hAnsi="Times New Roman" w:cs="Times New Roman"/>
          <w:sz w:val="24"/>
          <w:szCs w:val="24"/>
        </w:rPr>
      </w:pPr>
      <w:r w:rsidRPr="00097566">
        <w:rPr>
          <w:rFonts w:ascii="Times New Roman" w:hAnsi="Times New Roman" w:cs="Times New Roman"/>
          <w:sz w:val="24"/>
          <w:szCs w:val="24"/>
        </w:rPr>
        <w:t>Restructur</w:t>
      </w:r>
      <w:r>
        <w:rPr>
          <w:rFonts w:ascii="Times New Roman" w:hAnsi="Times New Roman" w:cs="Times New Roman"/>
          <w:sz w:val="24"/>
          <w:szCs w:val="24"/>
        </w:rPr>
        <w:t>ing</w:t>
      </w:r>
      <w:r w:rsidRPr="00097566">
        <w:rPr>
          <w:rFonts w:ascii="Times New Roman" w:hAnsi="Times New Roman" w:cs="Times New Roman"/>
          <w:sz w:val="24"/>
          <w:szCs w:val="24"/>
        </w:rPr>
        <w:t xml:space="preserve"> HMSD in coordination with NYCHA’s new organizational plan known as the Neighborhood Model.</w:t>
      </w:r>
    </w:p>
    <w:p w:rsidR="00AE1697" w:rsidRPr="00097566" w:rsidRDefault="00AE1697" w:rsidP="00AE169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Monitor noted NYCHA’s ongoing struggles to complete capital projects in a timely manner, with</w:t>
      </w:r>
      <w:r w:rsidRPr="00097566">
        <w:rPr>
          <w:rFonts w:ascii="Times New Roman" w:hAnsi="Times New Roman" w:cs="Times New Roman"/>
          <w:sz w:val="24"/>
          <w:szCs w:val="24"/>
        </w:rPr>
        <w:t xml:space="preserve"> schedules for new heating </w:t>
      </w:r>
      <w:r>
        <w:rPr>
          <w:rFonts w:ascii="Times New Roman" w:hAnsi="Times New Roman" w:cs="Times New Roman"/>
          <w:sz w:val="24"/>
          <w:szCs w:val="24"/>
        </w:rPr>
        <w:t xml:space="preserve">systems </w:t>
      </w:r>
      <w:r w:rsidRPr="00097566">
        <w:rPr>
          <w:rFonts w:ascii="Times New Roman" w:hAnsi="Times New Roman" w:cs="Times New Roman"/>
          <w:sz w:val="24"/>
          <w:szCs w:val="24"/>
        </w:rPr>
        <w:t>approximately 10 months behind schedule.</w:t>
      </w:r>
      <w:r w:rsidRPr="00097566">
        <w:rPr>
          <w:rStyle w:val="FootnoteReference"/>
          <w:rFonts w:ascii="Times New Roman" w:hAnsi="Times New Roman"/>
          <w:sz w:val="24"/>
          <w:szCs w:val="24"/>
        </w:rPr>
        <w:footnoteReference w:id="58"/>
      </w:r>
      <w:r w:rsidRPr="00097566">
        <w:rPr>
          <w:rFonts w:ascii="Times New Roman" w:hAnsi="Times New Roman" w:cs="Times New Roman"/>
          <w:sz w:val="24"/>
          <w:szCs w:val="24"/>
        </w:rPr>
        <w:t xml:space="preserve"> However, progress is being made in replacing boilers.  Under the </w:t>
      </w:r>
      <w:r>
        <w:rPr>
          <w:rFonts w:ascii="Times New Roman" w:hAnsi="Times New Roman" w:cs="Times New Roman"/>
          <w:sz w:val="24"/>
          <w:szCs w:val="24"/>
        </w:rPr>
        <w:t>HUD Agreement</w:t>
      </w:r>
      <w:r w:rsidRPr="00097566">
        <w:rPr>
          <w:rFonts w:ascii="Times New Roman" w:hAnsi="Times New Roman" w:cs="Times New Roman"/>
          <w:sz w:val="24"/>
          <w:szCs w:val="24"/>
        </w:rPr>
        <w:t>, NYCHA must replace 297 building heating systems (mainly boilers) within the next few years.</w:t>
      </w:r>
      <w:r w:rsidRPr="00097566">
        <w:rPr>
          <w:rStyle w:val="FootnoteReference"/>
          <w:rFonts w:ascii="Times New Roman" w:hAnsi="Times New Roman"/>
          <w:sz w:val="24"/>
          <w:szCs w:val="24"/>
        </w:rPr>
        <w:footnoteReference w:id="59"/>
      </w:r>
      <w:r w:rsidRPr="00097566">
        <w:rPr>
          <w:rFonts w:ascii="Times New Roman" w:hAnsi="Times New Roman" w:cs="Times New Roman"/>
          <w:sz w:val="24"/>
          <w:szCs w:val="24"/>
        </w:rPr>
        <w:t xml:space="preserve"> NYCHA has already me</w:t>
      </w:r>
      <w:r>
        <w:rPr>
          <w:rFonts w:ascii="Times New Roman" w:hAnsi="Times New Roman" w:cs="Times New Roman"/>
          <w:sz w:val="24"/>
          <w:szCs w:val="24"/>
        </w:rPr>
        <w:t>t its A</w:t>
      </w:r>
      <w:r w:rsidRPr="00097566">
        <w:rPr>
          <w:rFonts w:ascii="Times New Roman" w:hAnsi="Times New Roman" w:cs="Times New Roman"/>
          <w:sz w:val="24"/>
          <w:szCs w:val="24"/>
        </w:rPr>
        <w:t>greement obligation to replace at least 70 heating systems by the end of 2022</w:t>
      </w:r>
      <w:r>
        <w:rPr>
          <w:rFonts w:ascii="Times New Roman" w:hAnsi="Times New Roman" w:cs="Times New Roman"/>
          <w:sz w:val="24"/>
          <w:szCs w:val="24"/>
        </w:rPr>
        <w:t>,</w:t>
      </w:r>
      <w:r w:rsidRPr="00097566">
        <w:rPr>
          <w:rFonts w:ascii="Times New Roman" w:hAnsi="Times New Roman" w:cs="Times New Roman"/>
          <w:sz w:val="24"/>
          <w:szCs w:val="24"/>
        </w:rPr>
        <w:t xml:space="preserve"> and is on track to complete as many as 90 by the end of the year.</w:t>
      </w:r>
      <w:r w:rsidRPr="00097566">
        <w:rPr>
          <w:rStyle w:val="FootnoteReference"/>
          <w:rFonts w:ascii="Times New Roman" w:hAnsi="Times New Roman"/>
          <w:sz w:val="24"/>
          <w:szCs w:val="24"/>
        </w:rPr>
        <w:footnoteReference w:id="60"/>
      </w:r>
      <w:r w:rsidRPr="00097566">
        <w:rPr>
          <w:rFonts w:ascii="Times New Roman" w:hAnsi="Times New Roman" w:cs="Times New Roman"/>
          <w:sz w:val="24"/>
          <w:szCs w:val="24"/>
        </w:rPr>
        <w:t xml:space="preserve"> </w:t>
      </w:r>
    </w:p>
    <w:p w:rsidR="00AE1697" w:rsidRPr="00097566" w:rsidRDefault="00AE1697" w:rsidP="00AE169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Looking forward, there is a risk that NYCHA will experience setbacks in its efforts to meet its </w:t>
      </w:r>
      <w:r w:rsidRPr="00097566">
        <w:rPr>
          <w:rFonts w:ascii="Times New Roman" w:hAnsi="Times New Roman" w:cs="Times New Roman"/>
          <w:sz w:val="24"/>
          <w:szCs w:val="24"/>
        </w:rPr>
        <w:t xml:space="preserve">obligations </w:t>
      </w:r>
      <w:r>
        <w:rPr>
          <w:rFonts w:ascii="Times New Roman" w:hAnsi="Times New Roman" w:cs="Times New Roman"/>
          <w:sz w:val="24"/>
          <w:szCs w:val="24"/>
        </w:rPr>
        <w:t>under</w:t>
      </w:r>
      <w:r w:rsidRPr="00097566">
        <w:rPr>
          <w:rFonts w:ascii="Times New Roman" w:hAnsi="Times New Roman" w:cs="Times New Roman"/>
          <w:sz w:val="24"/>
          <w:szCs w:val="24"/>
        </w:rPr>
        <w:t xml:space="preserve"> </w:t>
      </w:r>
      <w:r>
        <w:rPr>
          <w:rFonts w:ascii="Times New Roman" w:hAnsi="Times New Roman" w:cs="Times New Roman"/>
          <w:sz w:val="24"/>
          <w:szCs w:val="24"/>
        </w:rPr>
        <w:t>the HUD Agreement</w:t>
      </w:r>
      <w:r w:rsidRPr="00097566">
        <w:rPr>
          <w:rFonts w:ascii="Times New Roman" w:hAnsi="Times New Roman" w:cs="Times New Roman"/>
          <w:sz w:val="24"/>
          <w:szCs w:val="24"/>
        </w:rPr>
        <w:t xml:space="preserve">. </w:t>
      </w:r>
      <w:r>
        <w:rPr>
          <w:rFonts w:ascii="Times New Roman" w:hAnsi="Times New Roman" w:cs="Times New Roman"/>
          <w:sz w:val="24"/>
          <w:szCs w:val="24"/>
        </w:rPr>
        <w:t>NYCHA has reportedly informed the Monitor, HUD, and the U.S. A</w:t>
      </w:r>
      <w:r w:rsidRPr="00097566">
        <w:rPr>
          <w:rFonts w:ascii="Times New Roman" w:hAnsi="Times New Roman" w:cs="Times New Roman"/>
          <w:sz w:val="24"/>
          <w:szCs w:val="24"/>
        </w:rPr>
        <w:t xml:space="preserve">ttorney that it will be difficult to meet some of the </w:t>
      </w:r>
      <w:r>
        <w:rPr>
          <w:rFonts w:ascii="Times New Roman" w:hAnsi="Times New Roman" w:cs="Times New Roman"/>
          <w:sz w:val="24"/>
          <w:szCs w:val="24"/>
        </w:rPr>
        <w:t>Agreement</w:t>
      </w:r>
      <w:r w:rsidRPr="00097566">
        <w:rPr>
          <w:rFonts w:ascii="Times New Roman" w:hAnsi="Times New Roman" w:cs="Times New Roman"/>
          <w:sz w:val="24"/>
          <w:szCs w:val="24"/>
        </w:rPr>
        <w:t xml:space="preserve"> deadlines due to a drop in rental revenue.</w:t>
      </w:r>
      <w:r w:rsidRPr="00097566">
        <w:rPr>
          <w:rStyle w:val="FootnoteReference"/>
          <w:rFonts w:ascii="Times New Roman" w:hAnsi="Times New Roman"/>
          <w:sz w:val="24"/>
          <w:szCs w:val="24"/>
        </w:rPr>
        <w:footnoteReference w:id="61"/>
      </w:r>
      <w:r w:rsidRPr="00097566">
        <w:rPr>
          <w:rFonts w:ascii="Times New Roman" w:hAnsi="Times New Roman" w:cs="Times New Roman"/>
          <w:sz w:val="24"/>
          <w:szCs w:val="24"/>
        </w:rPr>
        <w:t xml:space="preserve"> NYCHA’s rental income pays for about one-thir</w:t>
      </w:r>
      <w:r>
        <w:rPr>
          <w:rFonts w:ascii="Times New Roman" w:hAnsi="Times New Roman" w:cs="Times New Roman"/>
          <w:sz w:val="24"/>
          <w:szCs w:val="24"/>
        </w:rPr>
        <w:t xml:space="preserve">d of NYCHA’s operating budget. </w:t>
      </w:r>
      <w:r w:rsidRPr="00097566">
        <w:rPr>
          <w:rFonts w:ascii="Times New Roman" w:hAnsi="Times New Roman" w:cs="Times New Roman"/>
          <w:sz w:val="24"/>
          <w:szCs w:val="24"/>
        </w:rPr>
        <w:t>NYCHA’s Interim CEO Lisa Bova-Hia</w:t>
      </w:r>
      <w:r>
        <w:rPr>
          <w:rFonts w:ascii="Times New Roman" w:hAnsi="Times New Roman" w:cs="Times New Roman"/>
          <w:sz w:val="24"/>
          <w:szCs w:val="24"/>
        </w:rPr>
        <w:t>t</w:t>
      </w:r>
      <w:r w:rsidRPr="00097566">
        <w:rPr>
          <w:rFonts w:ascii="Times New Roman" w:hAnsi="Times New Roman" w:cs="Times New Roman"/>
          <w:sz w:val="24"/>
          <w:szCs w:val="24"/>
        </w:rPr>
        <w:t>t has stated in an interview that “the annual operating costs, have increased steadily over the last three years and without additional revenue, we are going to be unable to continue the pace of investment to address these requirements.</w:t>
      </w:r>
      <w:r>
        <w:rPr>
          <w:rFonts w:ascii="Times New Roman" w:hAnsi="Times New Roman" w:cs="Times New Roman"/>
          <w:sz w:val="24"/>
          <w:szCs w:val="24"/>
        </w:rPr>
        <w:t>”</w:t>
      </w:r>
      <w:r w:rsidRPr="00097566">
        <w:rPr>
          <w:rStyle w:val="FootnoteReference"/>
          <w:rFonts w:ascii="Times New Roman" w:hAnsi="Times New Roman"/>
          <w:sz w:val="24"/>
          <w:szCs w:val="24"/>
        </w:rPr>
        <w:footnoteReference w:id="62"/>
      </w:r>
      <w:r w:rsidRPr="00097566">
        <w:rPr>
          <w:rFonts w:ascii="Times New Roman" w:hAnsi="Times New Roman" w:cs="Times New Roman"/>
          <w:sz w:val="24"/>
          <w:szCs w:val="24"/>
        </w:rPr>
        <w:t xml:space="preserve"> Many NYCHA tenants have submitted applications to the Emergency Rental Assistance Program</w:t>
      </w:r>
      <w:r w:rsidRPr="00097566">
        <w:rPr>
          <w:rStyle w:val="FootnoteReference"/>
          <w:rFonts w:ascii="Times New Roman" w:hAnsi="Times New Roman"/>
          <w:sz w:val="24"/>
          <w:szCs w:val="24"/>
        </w:rPr>
        <w:footnoteReference w:id="63"/>
      </w:r>
      <w:r w:rsidRPr="00097566">
        <w:rPr>
          <w:rFonts w:ascii="Times New Roman" w:hAnsi="Times New Roman" w:cs="Times New Roman"/>
          <w:sz w:val="24"/>
          <w:szCs w:val="24"/>
        </w:rPr>
        <w:t xml:space="preserve"> (</w:t>
      </w:r>
      <w:r>
        <w:rPr>
          <w:rFonts w:ascii="Times New Roman" w:hAnsi="Times New Roman" w:cs="Times New Roman"/>
          <w:sz w:val="24"/>
          <w:szCs w:val="24"/>
        </w:rPr>
        <w:t>“</w:t>
      </w:r>
      <w:r w:rsidRPr="00097566">
        <w:rPr>
          <w:rFonts w:ascii="Times New Roman" w:hAnsi="Times New Roman" w:cs="Times New Roman"/>
          <w:sz w:val="24"/>
          <w:szCs w:val="24"/>
        </w:rPr>
        <w:t>ERAP</w:t>
      </w:r>
      <w:r>
        <w:rPr>
          <w:rFonts w:ascii="Times New Roman" w:hAnsi="Times New Roman" w:cs="Times New Roman"/>
          <w:sz w:val="24"/>
          <w:szCs w:val="24"/>
        </w:rPr>
        <w:t>”</w:t>
      </w:r>
      <w:r w:rsidRPr="00097566">
        <w:rPr>
          <w:rFonts w:ascii="Times New Roman" w:hAnsi="Times New Roman" w:cs="Times New Roman"/>
          <w:sz w:val="24"/>
          <w:szCs w:val="24"/>
        </w:rPr>
        <w:t>)</w:t>
      </w:r>
      <w:r>
        <w:rPr>
          <w:rFonts w:ascii="Times New Roman" w:hAnsi="Times New Roman" w:cs="Times New Roman"/>
          <w:sz w:val="24"/>
          <w:szCs w:val="24"/>
        </w:rPr>
        <w:t>,</w:t>
      </w:r>
      <w:r w:rsidRPr="00097566">
        <w:rPr>
          <w:rFonts w:ascii="Times New Roman" w:hAnsi="Times New Roman" w:cs="Times New Roman"/>
          <w:sz w:val="24"/>
          <w:szCs w:val="24"/>
        </w:rPr>
        <w:t xml:space="preserve"> but no money</w:t>
      </w:r>
      <w:r>
        <w:rPr>
          <w:rFonts w:ascii="Times New Roman" w:hAnsi="Times New Roman" w:cs="Times New Roman"/>
          <w:sz w:val="24"/>
          <w:szCs w:val="24"/>
        </w:rPr>
        <w:t xml:space="preserve"> has been spent on NYCHA tenant</w:t>
      </w:r>
      <w:r w:rsidRPr="00097566">
        <w:rPr>
          <w:rFonts w:ascii="Times New Roman" w:hAnsi="Times New Roman" w:cs="Times New Roman"/>
          <w:sz w:val="24"/>
          <w:szCs w:val="24"/>
        </w:rPr>
        <w:t>s</w:t>
      </w:r>
      <w:r>
        <w:rPr>
          <w:rFonts w:ascii="Times New Roman" w:hAnsi="Times New Roman" w:cs="Times New Roman"/>
          <w:sz w:val="24"/>
          <w:szCs w:val="24"/>
        </w:rPr>
        <w:t>’</w:t>
      </w:r>
      <w:r w:rsidRPr="00097566">
        <w:rPr>
          <w:rFonts w:ascii="Times New Roman" w:hAnsi="Times New Roman" w:cs="Times New Roman"/>
          <w:sz w:val="24"/>
          <w:szCs w:val="24"/>
        </w:rPr>
        <w:t xml:space="preserve"> rent arrears.</w:t>
      </w:r>
      <w:r w:rsidRPr="00097566">
        <w:rPr>
          <w:rStyle w:val="FootnoteReference"/>
          <w:rFonts w:ascii="Times New Roman" w:hAnsi="Times New Roman"/>
          <w:sz w:val="24"/>
          <w:szCs w:val="24"/>
        </w:rPr>
        <w:footnoteReference w:id="64"/>
      </w:r>
      <w:r w:rsidRPr="00097566">
        <w:rPr>
          <w:rFonts w:ascii="Times New Roman" w:hAnsi="Times New Roman" w:cs="Times New Roman"/>
          <w:sz w:val="24"/>
          <w:szCs w:val="24"/>
        </w:rPr>
        <w:t xml:space="preserve"> According to the New York State Office of Temporary and Disability Assistance, </w:t>
      </w:r>
      <w:r>
        <w:rPr>
          <w:rFonts w:ascii="Times New Roman" w:hAnsi="Times New Roman" w:cs="Times New Roman"/>
          <w:sz w:val="24"/>
          <w:szCs w:val="24"/>
        </w:rPr>
        <w:t>public housing, S</w:t>
      </w:r>
      <w:r w:rsidRPr="00097566">
        <w:rPr>
          <w:rFonts w:ascii="Times New Roman" w:hAnsi="Times New Roman" w:cs="Times New Roman"/>
          <w:sz w:val="24"/>
          <w:szCs w:val="24"/>
        </w:rPr>
        <w:t xml:space="preserve">ection 8 and FHEPS </w:t>
      </w:r>
      <w:r>
        <w:rPr>
          <w:rFonts w:ascii="Times New Roman" w:hAnsi="Times New Roman" w:cs="Times New Roman"/>
          <w:sz w:val="24"/>
          <w:szCs w:val="24"/>
        </w:rPr>
        <w:t>currently cannot be paid ERAP benefits because State law requires such subsidized housing tenants to be paid only</w:t>
      </w:r>
      <w:r w:rsidRPr="00097566">
        <w:rPr>
          <w:rFonts w:ascii="Times New Roman" w:hAnsi="Times New Roman" w:cs="Times New Roman"/>
          <w:sz w:val="24"/>
          <w:szCs w:val="24"/>
        </w:rPr>
        <w:t xml:space="preserve"> after all other eligible applicants have been reviewed and paid.</w:t>
      </w:r>
      <w:r w:rsidRPr="00097566">
        <w:rPr>
          <w:rStyle w:val="FootnoteReference"/>
          <w:rFonts w:ascii="Times New Roman" w:hAnsi="Times New Roman"/>
          <w:sz w:val="24"/>
          <w:szCs w:val="24"/>
        </w:rPr>
        <w:footnoteReference w:id="65"/>
      </w:r>
      <w:r w:rsidRPr="00097566">
        <w:rPr>
          <w:rFonts w:ascii="Times New Roman" w:hAnsi="Times New Roman" w:cs="Times New Roman"/>
          <w:sz w:val="24"/>
          <w:szCs w:val="24"/>
        </w:rPr>
        <w:t xml:space="preserve"> </w:t>
      </w:r>
    </w:p>
    <w:p w:rsidR="00AE1697" w:rsidRPr="00097566" w:rsidRDefault="00AE1697" w:rsidP="00AE1697">
      <w:pPr>
        <w:suppressAutoHyphens/>
        <w:spacing w:after="0" w:line="480" w:lineRule="auto"/>
        <w:jc w:val="both"/>
        <w:rPr>
          <w:rFonts w:ascii="Times New Roman" w:hAnsi="Times New Roman" w:cs="Times New Roman"/>
          <w:b/>
          <w:i/>
          <w:iCs/>
          <w:u w:val="single"/>
        </w:rPr>
      </w:pPr>
      <w:r w:rsidRPr="00097566">
        <w:rPr>
          <w:rFonts w:ascii="Times New Roman" w:hAnsi="Times New Roman" w:cs="Times New Roman"/>
          <w:b/>
          <w:i/>
          <w:iCs/>
          <w:color w:val="000000"/>
          <w:sz w:val="24"/>
          <w:szCs w:val="24"/>
          <w:u w:val="single"/>
        </w:rPr>
        <w:t>Conclusion</w:t>
      </w:r>
    </w:p>
    <w:p w:rsidR="00AE1697" w:rsidRPr="00097566" w:rsidRDefault="00AE1697" w:rsidP="00AE1697">
      <w:pPr>
        <w:spacing w:after="0" w:line="480" w:lineRule="auto"/>
        <w:ind w:firstLine="720"/>
        <w:jc w:val="both"/>
        <w:rPr>
          <w:rFonts w:ascii="Times New Roman" w:hAnsi="Times New Roman" w:cs="Times New Roman"/>
          <w:sz w:val="24"/>
        </w:rPr>
      </w:pPr>
      <w:r w:rsidRPr="00097566">
        <w:rPr>
          <w:rFonts w:ascii="Times New Roman" w:hAnsi="Times New Roman" w:cs="Times New Roman"/>
          <w:sz w:val="24"/>
        </w:rPr>
        <w:t xml:space="preserve"> New York City public housing residents have </w:t>
      </w:r>
      <w:r>
        <w:rPr>
          <w:rFonts w:ascii="Times New Roman" w:hAnsi="Times New Roman" w:cs="Times New Roman"/>
          <w:sz w:val="24"/>
        </w:rPr>
        <w:t>experienced significant gaps in the provision of</w:t>
      </w:r>
      <w:r w:rsidRPr="00097566">
        <w:rPr>
          <w:rFonts w:ascii="Times New Roman" w:hAnsi="Times New Roman" w:cs="Times New Roman"/>
          <w:sz w:val="24"/>
        </w:rPr>
        <w:t xml:space="preserve"> heat</w:t>
      </w:r>
      <w:r>
        <w:rPr>
          <w:rFonts w:ascii="Times New Roman" w:hAnsi="Times New Roman" w:cs="Times New Roman"/>
          <w:sz w:val="24"/>
        </w:rPr>
        <w:t xml:space="preserve"> and hot water services, endangering </w:t>
      </w:r>
      <w:r w:rsidRPr="00097566">
        <w:rPr>
          <w:rFonts w:ascii="Times New Roman" w:hAnsi="Times New Roman" w:cs="Times New Roman"/>
          <w:sz w:val="24"/>
        </w:rPr>
        <w:t>their health and wellbeing.</w:t>
      </w:r>
      <w:r w:rsidRPr="00097566">
        <w:rPr>
          <w:rStyle w:val="FootnoteReference"/>
          <w:rFonts w:ascii="Times New Roman" w:hAnsi="Times New Roman"/>
          <w:sz w:val="24"/>
        </w:rPr>
        <w:footnoteReference w:id="66"/>
      </w:r>
      <w:r w:rsidRPr="00097566">
        <w:rPr>
          <w:rFonts w:ascii="Times New Roman" w:hAnsi="Times New Roman" w:cs="Times New Roman"/>
          <w:sz w:val="24"/>
        </w:rPr>
        <w:t xml:space="preserve"> NYCHA has an obligation to provide tenants with homes where they can live safely and with dignity. This hearing is to conduct oversight and hold NYCHA accountable, and will provide NYCHA a forum through which to provide the Committee with an update on its ability to provide services to its residents as required by law.</w:t>
      </w:r>
    </w:p>
    <w:p w:rsidR="00AE1697" w:rsidRPr="00097566" w:rsidRDefault="00AE1697" w:rsidP="00AE1697">
      <w:pPr>
        <w:spacing w:after="0" w:line="480" w:lineRule="auto"/>
        <w:ind w:firstLine="720"/>
        <w:rPr>
          <w:rFonts w:ascii="Times New Roman" w:hAnsi="Times New Roman" w:cs="Times New Roman"/>
          <w:sz w:val="24"/>
          <w:szCs w:val="24"/>
        </w:rPr>
      </w:pPr>
    </w:p>
    <w:p w:rsidR="00AE1697" w:rsidRPr="00097566" w:rsidRDefault="00AE1697" w:rsidP="00AE1697">
      <w:pPr>
        <w:spacing w:after="0" w:line="480" w:lineRule="auto"/>
        <w:rPr>
          <w:rFonts w:ascii="Times New Roman" w:hAnsi="Times New Roman" w:cs="Times New Roman"/>
          <w:sz w:val="24"/>
          <w:szCs w:val="24"/>
        </w:rPr>
      </w:pPr>
    </w:p>
    <w:p w:rsidR="00AE1697" w:rsidRPr="00097566" w:rsidRDefault="00AE1697" w:rsidP="00AE1697">
      <w:pPr>
        <w:spacing w:after="0"/>
        <w:rPr>
          <w:rFonts w:ascii="Times New Roman" w:hAnsi="Times New Roman" w:cs="Times New Roman"/>
        </w:rPr>
      </w:pPr>
    </w:p>
    <w:p w:rsidR="00AD1BDE" w:rsidRDefault="00AD1BDE"/>
    <w:sectPr w:rsidR="00AD1BDE">
      <w:headerReference w:type="even" r:id="rId15"/>
      <w:headerReference w:type="default" r:id="rId16"/>
      <w:footerReference w:type="default" r:id="rId17"/>
      <w:head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697" w:rsidRDefault="00AE1697" w:rsidP="00AE1697">
      <w:pPr>
        <w:spacing w:after="0" w:line="240" w:lineRule="auto"/>
      </w:pPr>
      <w:r>
        <w:separator/>
      </w:r>
    </w:p>
  </w:endnote>
  <w:endnote w:type="continuationSeparator" w:id="0">
    <w:p w:rsidR="00AE1697" w:rsidRDefault="00AE1697" w:rsidP="00AE1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225363259"/>
      <w:docPartObj>
        <w:docPartGallery w:val="Page Numbers (Bottom of Page)"/>
        <w:docPartUnique/>
      </w:docPartObj>
    </w:sdtPr>
    <w:sdtEndPr>
      <w:rPr>
        <w:noProof/>
      </w:rPr>
    </w:sdtEndPr>
    <w:sdtContent>
      <w:p w:rsidR="00097566" w:rsidRPr="00C1764B" w:rsidRDefault="00AE1697">
        <w:pPr>
          <w:pStyle w:val="Footer"/>
          <w:jc w:val="center"/>
          <w:rPr>
            <w:rFonts w:ascii="Times New Roman" w:hAnsi="Times New Roman" w:cs="Times New Roman"/>
            <w:sz w:val="24"/>
            <w:szCs w:val="24"/>
          </w:rPr>
        </w:pPr>
        <w:r w:rsidRPr="00C1764B">
          <w:rPr>
            <w:rFonts w:ascii="Times New Roman" w:hAnsi="Times New Roman" w:cs="Times New Roman"/>
            <w:sz w:val="24"/>
            <w:szCs w:val="24"/>
          </w:rPr>
          <w:fldChar w:fldCharType="begin"/>
        </w:r>
        <w:r w:rsidRPr="00C1764B">
          <w:rPr>
            <w:rFonts w:ascii="Times New Roman" w:hAnsi="Times New Roman" w:cs="Times New Roman"/>
            <w:sz w:val="24"/>
            <w:szCs w:val="24"/>
          </w:rPr>
          <w:instrText xml:space="preserve"> PAGE   \* MERGEFORMAT </w:instrText>
        </w:r>
        <w:r w:rsidRPr="00C1764B">
          <w:rPr>
            <w:rFonts w:ascii="Times New Roman" w:hAnsi="Times New Roman" w:cs="Times New Roman"/>
            <w:sz w:val="24"/>
            <w:szCs w:val="24"/>
          </w:rPr>
          <w:fldChar w:fldCharType="separate"/>
        </w:r>
        <w:r w:rsidR="00B14FCC">
          <w:rPr>
            <w:rFonts w:ascii="Times New Roman" w:hAnsi="Times New Roman" w:cs="Times New Roman"/>
            <w:noProof/>
            <w:sz w:val="24"/>
            <w:szCs w:val="24"/>
          </w:rPr>
          <w:t>1</w:t>
        </w:r>
        <w:r w:rsidRPr="00C1764B">
          <w:rPr>
            <w:rFonts w:ascii="Times New Roman" w:hAnsi="Times New Roman" w:cs="Times New Roman"/>
            <w:noProof/>
            <w:sz w:val="24"/>
            <w:szCs w:val="24"/>
          </w:rPr>
          <w:fldChar w:fldCharType="end"/>
        </w:r>
      </w:p>
    </w:sdtContent>
  </w:sdt>
  <w:p w:rsidR="00097566" w:rsidRPr="00C1764B" w:rsidRDefault="00B14FCC">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697" w:rsidRDefault="00AE1697" w:rsidP="00AE1697">
      <w:pPr>
        <w:spacing w:after="0" w:line="240" w:lineRule="auto"/>
      </w:pPr>
      <w:r>
        <w:separator/>
      </w:r>
    </w:p>
  </w:footnote>
  <w:footnote w:type="continuationSeparator" w:id="0">
    <w:p w:rsidR="00AE1697" w:rsidRDefault="00AE1697" w:rsidP="00AE1697">
      <w:pPr>
        <w:spacing w:after="0" w:line="240" w:lineRule="auto"/>
      </w:pPr>
      <w:r>
        <w:continuationSeparator/>
      </w:r>
    </w:p>
  </w:footnote>
  <w:footnote w:id="1">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Ferre-Sadurni, Luis, “The Rise and Fall of New York Public Housing: An Oral History,” The New York Times, </w:t>
      </w:r>
      <w:r w:rsidRPr="00432D2B">
        <w:rPr>
          <w:rFonts w:ascii="Times New Roman" w:hAnsi="Times New Roman"/>
          <w:i/>
        </w:rPr>
        <w:t xml:space="preserve">available at </w:t>
      </w:r>
      <w:r w:rsidRPr="00432D2B">
        <w:rPr>
          <w:rFonts w:ascii="Times New Roman" w:hAnsi="Times New Roman"/>
          <w:color w:val="0000FF"/>
          <w:u w:val="single"/>
        </w:rPr>
        <w:t>https://www.nytimes.com/interactive/2018/06/25/nyregion/new-york-city-public-housing-history.html.</w:t>
      </w:r>
    </w:p>
  </w:footnote>
  <w:footnote w:id="2">
    <w:p w:rsidR="00AE1697" w:rsidRPr="00432D2B" w:rsidRDefault="00AE1697" w:rsidP="00AE1697">
      <w:pPr>
        <w:pStyle w:val="FootnoteText"/>
        <w:rPr>
          <w:rFonts w:ascii="Times New Roman" w:hAnsi="Times New Roman"/>
        </w:rPr>
      </w:pPr>
      <w:r w:rsidRPr="00432D2B">
        <w:rPr>
          <w:rStyle w:val="FootnoteCharacters"/>
          <w:rFonts w:ascii="Times New Roman" w:hAnsi="Times New Roman"/>
        </w:rPr>
        <w:footnoteRef/>
      </w:r>
      <w:r w:rsidRPr="00432D2B">
        <w:rPr>
          <w:rFonts w:ascii="Times New Roman" w:hAnsi="Times New Roman"/>
        </w:rPr>
        <w:t xml:space="preserve"> Housing Act of 1937, </w:t>
      </w:r>
      <w:r w:rsidRPr="00432D2B">
        <w:rPr>
          <w:rFonts w:ascii="Times New Roman" w:hAnsi="Times New Roman"/>
          <w:i/>
        </w:rPr>
        <w:t>available at</w:t>
      </w:r>
      <w:r w:rsidRPr="00432D2B">
        <w:rPr>
          <w:rFonts w:ascii="Times New Roman" w:hAnsi="Times New Roman"/>
        </w:rPr>
        <w:t xml:space="preserve"> </w:t>
      </w:r>
      <w:hyperlink r:id="rId1" w:history="1">
        <w:r w:rsidRPr="00432D2B">
          <w:rPr>
            <w:rStyle w:val="Hyperlink"/>
            <w:rFonts w:ascii="Times New Roman" w:hAnsi="Times New Roman"/>
          </w:rPr>
          <w:t>https://www.gpo.gov/fdsys/pkg/USCODE-2009-title42/pdf/USCODE-2009-title42-chap8.pdf</w:t>
        </w:r>
      </w:hyperlink>
      <w:r w:rsidRPr="00432D2B">
        <w:rPr>
          <w:rFonts w:ascii="Times New Roman" w:hAnsi="Times New Roman"/>
        </w:rPr>
        <w:t xml:space="preserve">. </w:t>
      </w:r>
    </w:p>
  </w:footnote>
  <w:footnote w:id="3">
    <w:p w:rsidR="00AE1697" w:rsidRPr="00432D2B" w:rsidRDefault="00AE1697" w:rsidP="00AE1697">
      <w:pPr>
        <w:pStyle w:val="FootnoteText"/>
        <w:rPr>
          <w:rFonts w:ascii="Times New Roman" w:hAnsi="Times New Roman"/>
        </w:rPr>
      </w:pPr>
      <w:r w:rsidRPr="00432D2B">
        <w:rPr>
          <w:rStyle w:val="FootnoteCharacters"/>
          <w:rFonts w:ascii="Times New Roman" w:hAnsi="Times New Roman"/>
        </w:rPr>
        <w:footnoteRef/>
      </w:r>
      <w:r w:rsidRPr="00432D2B">
        <w:rPr>
          <w:rFonts w:ascii="Times New Roman" w:eastAsia="Times New Roman" w:hAnsi="Times New Roman"/>
        </w:rPr>
        <w:t xml:space="preserve"> </w:t>
      </w:r>
      <w:r w:rsidRPr="00432D2B">
        <w:rPr>
          <w:rFonts w:ascii="Times New Roman" w:hAnsi="Times New Roman"/>
        </w:rPr>
        <w:t>Marcuse, 353-54; J.A. Stoloff, A Brief History of Public Housing, Paper presented at August 14 meeting of the American Sociological Association, at 3 (2004).</w:t>
      </w:r>
    </w:p>
  </w:footnote>
  <w:footnote w:id="4">
    <w:p w:rsidR="00AE1697" w:rsidRPr="00432D2B" w:rsidRDefault="00AE1697" w:rsidP="00AE1697">
      <w:pPr>
        <w:pStyle w:val="FootnoteText"/>
        <w:rPr>
          <w:rFonts w:ascii="Times New Roman" w:hAnsi="Times New Roman"/>
        </w:rPr>
      </w:pPr>
      <w:r w:rsidRPr="00432D2B">
        <w:rPr>
          <w:rStyle w:val="FootnoteCharacters"/>
          <w:rFonts w:ascii="Times New Roman" w:hAnsi="Times New Roman"/>
        </w:rPr>
        <w:footnoteRef/>
      </w:r>
      <w:r w:rsidRPr="00432D2B">
        <w:rPr>
          <w:rFonts w:ascii="Times New Roman" w:eastAsia="Times New Roman" w:hAnsi="Times New Roman"/>
        </w:rPr>
        <w:t xml:space="preserve"> </w:t>
      </w:r>
      <w:r w:rsidRPr="00432D2B">
        <w:rPr>
          <w:rFonts w:ascii="Times New Roman" w:hAnsi="Times New Roman"/>
        </w:rPr>
        <w:t xml:space="preserve">Marcuse, 354; Stoloff, 1; </w:t>
      </w:r>
      <w:r w:rsidRPr="00432D2B">
        <w:rPr>
          <w:rFonts w:ascii="Times New Roman" w:hAnsi="Times New Roman"/>
          <w:i/>
        </w:rPr>
        <w:t>see also</w:t>
      </w:r>
      <w:r w:rsidRPr="00432D2B">
        <w:rPr>
          <w:rFonts w:ascii="Times New Roman" w:hAnsi="Times New Roman"/>
        </w:rPr>
        <w:t xml:space="preserve"> Judith D. Feins, et al., Revised Methods of Providing Federal Funds for Public Housing Agencies, US Department of Housing and Urban Development, at 9 (1994).</w:t>
      </w:r>
    </w:p>
  </w:footnote>
  <w:footnote w:id="5">
    <w:p w:rsidR="00AE1697" w:rsidRPr="00432D2B" w:rsidRDefault="00AE1697" w:rsidP="00AE1697">
      <w:pPr>
        <w:pStyle w:val="FootnoteText"/>
        <w:rPr>
          <w:rFonts w:ascii="Times New Roman" w:hAnsi="Times New Roman"/>
        </w:rPr>
      </w:pPr>
      <w:r w:rsidRPr="00432D2B">
        <w:rPr>
          <w:rStyle w:val="FootnoteCharacters"/>
          <w:rFonts w:ascii="Times New Roman" w:hAnsi="Times New Roman"/>
        </w:rPr>
        <w:footnoteRef/>
      </w:r>
      <w:r w:rsidRPr="00432D2B">
        <w:rPr>
          <w:rFonts w:ascii="Times New Roman" w:eastAsia="Times New Roman" w:hAnsi="Times New Roman"/>
        </w:rPr>
        <w:t xml:space="preserve"> </w:t>
      </w:r>
      <w:r w:rsidRPr="00432D2B">
        <w:rPr>
          <w:rFonts w:ascii="Times New Roman" w:hAnsi="Times New Roman"/>
          <w:i/>
        </w:rPr>
        <w:t>See</w:t>
      </w:r>
      <w:r w:rsidRPr="00432D2B">
        <w:rPr>
          <w:rFonts w:ascii="Times New Roman" w:hAnsi="Times New Roman"/>
        </w:rPr>
        <w:t xml:space="preserve"> NYCHA Fact Sheet, </w:t>
      </w:r>
      <w:r w:rsidRPr="00432D2B">
        <w:rPr>
          <w:rFonts w:ascii="Times New Roman" w:hAnsi="Times New Roman"/>
          <w:i/>
        </w:rPr>
        <w:t>available at</w:t>
      </w:r>
      <w:r w:rsidRPr="00432D2B">
        <w:rPr>
          <w:rFonts w:ascii="Times New Roman" w:hAnsi="Times New Roman"/>
        </w:rPr>
        <w:t xml:space="preserve"> </w:t>
      </w:r>
      <w:hyperlink r:id="rId2" w:history="1">
        <w:r w:rsidRPr="00432D2B">
          <w:rPr>
            <w:rStyle w:val="Hyperlink"/>
            <w:rFonts w:ascii="Times New Roman" w:hAnsi="Times New Roman"/>
          </w:rPr>
          <w:t>https://www1.nyc.gov/assets/nycha/downloads/pdf/NYCHA_Fact_Sheet_2022.pdf</w:t>
        </w:r>
      </w:hyperlink>
      <w:r w:rsidRPr="00432D2B">
        <w:rPr>
          <w:rFonts w:ascii="Times New Roman" w:hAnsi="Times New Roman"/>
        </w:rPr>
        <w:t xml:space="preserve">. </w:t>
      </w:r>
    </w:p>
  </w:footnote>
  <w:footnote w:id="6">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New York City Department of Housing and Preservation, Conditions: Heat and Hot Water, </w:t>
      </w:r>
      <w:hyperlink r:id="rId3" w:history="1">
        <w:r w:rsidRPr="00432D2B">
          <w:rPr>
            <w:rStyle w:val="Hyperlink"/>
            <w:rFonts w:ascii="Times New Roman" w:hAnsi="Times New Roman"/>
          </w:rPr>
          <w:t>https://www1.nyc.gov/site/hpd/services-and-information/heat-and-hot-water-information.page</w:t>
        </w:r>
      </w:hyperlink>
      <w:r w:rsidRPr="00432D2B">
        <w:rPr>
          <w:rFonts w:ascii="Times New Roman" w:hAnsi="Times New Roman"/>
        </w:rPr>
        <w:t xml:space="preserve"> (</w:t>
      </w:r>
      <w:r w:rsidRPr="00432D2B">
        <w:rPr>
          <w:rFonts w:ascii="Times New Roman" w:hAnsi="Times New Roman"/>
          <w:i/>
        </w:rPr>
        <w:t xml:space="preserve">last accessed </w:t>
      </w:r>
      <w:r w:rsidRPr="00432D2B">
        <w:rPr>
          <w:rFonts w:ascii="Times New Roman" w:hAnsi="Times New Roman"/>
        </w:rPr>
        <w:t>Dec. 9, 2022).</w:t>
      </w:r>
    </w:p>
  </w:footnote>
  <w:footnote w:id="7">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8">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9">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Heat Action Plan, NYCHA Monitor, available at </w:t>
      </w:r>
      <w:hyperlink r:id="rId4" w:history="1">
        <w:r w:rsidRPr="00432D2B">
          <w:rPr>
            <w:rStyle w:val="Hyperlink"/>
            <w:rFonts w:ascii="Times New Roman" w:hAnsi="Times New Roman"/>
          </w:rPr>
          <w:t>https://nychamonitor.com/</w:t>
        </w:r>
      </w:hyperlink>
      <w:r w:rsidRPr="00432D2B">
        <w:rPr>
          <w:rFonts w:ascii="Times New Roman" w:hAnsi="Times New Roman"/>
        </w:rPr>
        <w:t xml:space="preserve">. </w:t>
      </w:r>
    </w:p>
  </w:footnote>
  <w:footnote w:id="10">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r w:rsidRPr="00432D2B">
        <w:rPr>
          <w:rFonts w:ascii="Times New Roman" w:hAnsi="Times New Roman"/>
        </w:rPr>
        <w:t xml:space="preserve"> Instantaneous water heaters, also known as demand-type or tankless water heaters, provide hot water only as needed and do not produce the standby energy losses associated with storage water heaters.</w:t>
      </w:r>
    </w:p>
  </w:footnote>
  <w:footnote w:id="11">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NYCHA Adopted Budget for FY 2022, available at </w:t>
      </w:r>
      <w:hyperlink r:id="rId5" w:history="1">
        <w:r w:rsidRPr="00432D2B">
          <w:rPr>
            <w:rStyle w:val="Hyperlink"/>
            <w:rFonts w:ascii="Times New Roman" w:hAnsi="Times New Roman"/>
          </w:rPr>
          <w:t>https://www.nyc.gov/assets/nycha/downloads/pdf/nycha-2022-budget-book.pdf</w:t>
        </w:r>
      </w:hyperlink>
      <w:r w:rsidRPr="00432D2B">
        <w:rPr>
          <w:rFonts w:ascii="Times New Roman" w:hAnsi="Times New Roman"/>
        </w:rPr>
        <w:t xml:space="preserve">. </w:t>
      </w:r>
    </w:p>
  </w:footnote>
  <w:footnote w:id="12">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Supra</w:t>
      </w:r>
      <w:r w:rsidRPr="00432D2B">
        <w:rPr>
          <w:rFonts w:ascii="Times New Roman" w:hAnsi="Times New Roman"/>
        </w:rPr>
        <w:t xml:space="preserve"> note </w:t>
      </w:r>
      <w:r w:rsidRPr="00432D2B">
        <w:rPr>
          <w:rFonts w:ascii="Times New Roman" w:hAnsi="Times New Roman"/>
        </w:rPr>
        <w:fldChar w:fldCharType="begin"/>
      </w:r>
      <w:r w:rsidRPr="00432D2B">
        <w:rPr>
          <w:rFonts w:ascii="Times New Roman" w:hAnsi="Times New Roman"/>
        </w:rPr>
        <w:instrText xml:space="preserve"> NOTEREF _Ref121729600 \h  \* MERGEFORMAT </w:instrText>
      </w:r>
      <w:r w:rsidRPr="00432D2B">
        <w:rPr>
          <w:rFonts w:ascii="Times New Roman" w:hAnsi="Times New Roman"/>
        </w:rPr>
      </w:r>
      <w:r w:rsidRPr="00432D2B">
        <w:rPr>
          <w:rFonts w:ascii="Times New Roman" w:hAnsi="Times New Roman"/>
        </w:rPr>
        <w:fldChar w:fldCharType="separate"/>
      </w:r>
      <w:r>
        <w:rPr>
          <w:rFonts w:ascii="Times New Roman" w:hAnsi="Times New Roman"/>
        </w:rPr>
        <w:t>9</w:t>
      </w:r>
      <w:r w:rsidRPr="00432D2B">
        <w:rPr>
          <w:rFonts w:ascii="Times New Roman" w:hAnsi="Times New Roman"/>
        </w:rPr>
        <w:fldChar w:fldCharType="end"/>
      </w:r>
      <w:r w:rsidRPr="00432D2B">
        <w:rPr>
          <w:rFonts w:ascii="Times New Roman" w:hAnsi="Times New Roman"/>
        </w:rPr>
        <w:t>.</w:t>
      </w:r>
    </w:p>
  </w:footnote>
  <w:footnote w:id="13">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14">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United States Department of Housing and Urban Development, Agreement, p.1, filed 1/31/19, available at </w:t>
      </w:r>
      <w:hyperlink r:id="rId6" w:history="1">
        <w:r w:rsidRPr="00432D2B">
          <w:rPr>
            <w:rStyle w:val="Hyperlink"/>
            <w:rFonts w:ascii="Times New Roman" w:hAnsi="Times New Roman"/>
          </w:rPr>
          <w:t>https://www.hud.gov/sites/dfiles/PA/documents/HUD-NYCHA-Agreement013119.pdf</w:t>
        </w:r>
      </w:hyperlink>
      <w:r w:rsidRPr="00432D2B">
        <w:rPr>
          <w:rFonts w:ascii="Times New Roman" w:hAnsi="Times New Roman"/>
        </w:rPr>
        <w:t xml:space="preserve"> </w:t>
      </w:r>
    </w:p>
  </w:footnote>
  <w:footnote w:id="15">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r w:rsidRPr="00432D2B">
        <w:rPr>
          <w:rFonts w:ascii="Times New Roman" w:hAnsi="Times New Roman"/>
        </w:rPr>
        <w:t xml:space="preserve"> at 2–3.</w:t>
      </w:r>
    </w:p>
  </w:footnote>
  <w:footnote w:id="16">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17">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r w:rsidRPr="00432D2B">
        <w:rPr>
          <w:rFonts w:ascii="Times New Roman" w:hAnsi="Times New Roman"/>
        </w:rPr>
        <w:t xml:space="preserve"> at 4.</w:t>
      </w:r>
    </w:p>
  </w:footnote>
  <w:footnote w:id="18">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r w:rsidRPr="00432D2B">
        <w:rPr>
          <w:rFonts w:ascii="Times New Roman" w:hAnsi="Times New Roman"/>
        </w:rPr>
        <w:t xml:space="preserve"> at 4, 8.</w:t>
      </w:r>
    </w:p>
  </w:footnote>
  <w:footnote w:id="19">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r w:rsidRPr="00432D2B">
        <w:rPr>
          <w:rFonts w:ascii="Times New Roman" w:hAnsi="Times New Roman"/>
        </w:rPr>
        <w:t xml:space="preserve"> at 2.</w:t>
      </w:r>
    </w:p>
  </w:footnote>
  <w:footnote w:id="20">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21">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22">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Amy Plitt, </w:t>
      </w:r>
      <w:r w:rsidRPr="00432D2B">
        <w:rPr>
          <w:rFonts w:ascii="Times New Roman" w:hAnsi="Times New Roman"/>
          <w:i/>
        </w:rPr>
        <w:t>HUD Reportedly Selects Ex-Prosecutor As NYCHA’s New Federal Monitor</w:t>
      </w:r>
      <w:r w:rsidRPr="00432D2B">
        <w:rPr>
          <w:rFonts w:ascii="Times New Roman" w:hAnsi="Times New Roman"/>
        </w:rPr>
        <w:t xml:space="preserve">, Curbed New York, (Feb. 21, 2019 11:45 a.m.) available at </w:t>
      </w:r>
      <w:hyperlink r:id="rId7" w:history="1">
        <w:r w:rsidRPr="00432D2B">
          <w:rPr>
            <w:rStyle w:val="Hyperlink"/>
            <w:rFonts w:ascii="Times New Roman" w:hAnsi="Times New Roman"/>
          </w:rPr>
          <w:t>https://ny.curbed.com/2019/2/21/18234731/nycha-hud-federal-monitor-selection</w:t>
        </w:r>
      </w:hyperlink>
      <w:r w:rsidRPr="00432D2B">
        <w:rPr>
          <w:rFonts w:ascii="Times New Roman" w:hAnsi="Times New Roman"/>
        </w:rPr>
        <w:t xml:space="preserve">. </w:t>
      </w:r>
    </w:p>
  </w:footnote>
  <w:footnote w:id="23">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Supra</w:t>
      </w:r>
      <w:r w:rsidRPr="00432D2B">
        <w:rPr>
          <w:rFonts w:ascii="Times New Roman" w:hAnsi="Times New Roman"/>
        </w:rPr>
        <w:t xml:space="preserve"> note </w:t>
      </w:r>
      <w:r w:rsidRPr="00432D2B">
        <w:rPr>
          <w:rFonts w:ascii="Times New Roman" w:hAnsi="Times New Roman"/>
        </w:rPr>
        <w:fldChar w:fldCharType="begin"/>
      </w:r>
      <w:r w:rsidRPr="00432D2B">
        <w:rPr>
          <w:rFonts w:ascii="Times New Roman" w:hAnsi="Times New Roman"/>
        </w:rPr>
        <w:instrText xml:space="preserve"> NOTEREF _Ref121731320 \h  \* MERGEFORMAT </w:instrText>
      </w:r>
      <w:r w:rsidRPr="00432D2B">
        <w:rPr>
          <w:rFonts w:ascii="Times New Roman" w:hAnsi="Times New Roman"/>
        </w:rPr>
      </w:r>
      <w:r w:rsidRPr="00432D2B">
        <w:rPr>
          <w:rFonts w:ascii="Times New Roman" w:hAnsi="Times New Roman"/>
        </w:rPr>
        <w:fldChar w:fldCharType="separate"/>
      </w:r>
      <w:r>
        <w:rPr>
          <w:rFonts w:ascii="Times New Roman" w:hAnsi="Times New Roman"/>
        </w:rPr>
        <w:t>14</w:t>
      </w:r>
      <w:r w:rsidRPr="00432D2B">
        <w:rPr>
          <w:rFonts w:ascii="Times New Roman" w:hAnsi="Times New Roman"/>
        </w:rPr>
        <w:fldChar w:fldCharType="end"/>
      </w:r>
      <w:r w:rsidRPr="00432D2B">
        <w:rPr>
          <w:rFonts w:ascii="Times New Roman" w:hAnsi="Times New Roman"/>
        </w:rPr>
        <w:t xml:space="preserve"> at 6.</w:t>
      </w:r>
    </w:p>
  </w:footnote>
  <w:footnote w:id="24">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See</w:t>
      </w:r>
      <w:r w:rsidRPr="00432D2B">
        <w:rPr>
          <w:rFonts w:ascii="Times New Roman" w:hAnsi="Times New Roman"/>
        </w:rPr>
        <w:t xml:space="preserve"> NYCHA, Transparency and Reports, </w:t>
      </w:r>
      <w:hyperlink r:id="rId8" w:history="1">
        <w:r w:rsidRPr="00432D2B">
          <w:rPr>
            <w:rStyle w:val="Hyperlink"/>
            <w:rFonts w:ascii="Times New Roman" w:hAnsi="Times New Roman"/>
          </w:rPr>
          <w:t>https://www1.nyc.gov/site/nycha/about/reports.page</w:t>
        </w:r>
      </w:hyperlink>
      <w:r w:rsidRPr="00432D2B">
        <w:rPr>
          <w:rFonts w:ascii="Times New Roman" w:hAnsi="Times New Roman"/>
        </w:rPr>
        <w:t xml:space="preserve"> (last accessed Dec. 12, 2022). </w:t>
      </w:r>
    </w:p>
  </w:footnote>
  <w:footnote w:id="25">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Supra</w:t>
      </w:r>
      <w:r w:rsidRPr="00432D2B">
        <w:rPr>
          <w:rFonts w:ascii="Times New Roman" w:hAnsi="Times New Roman"/>
        </w:rPr>
        <w:t xml:space="preserve"> note </w:t>
      </w:r>
      <w:r w:rsidRPr="00432D2B">
        <w:rPr>
          <w:rFonts w:ascii="Times New Roman" w:hAnsi="Times New Roman"/>
        </w:rPr>
        <w:fldChar w:fldCharType="begin"/>
      </w:r>
      <w:r w:rsidRPr="00432D2B">
        <w:rPr>
          <w:rFonts w:ascii="Times New Roman" w:hAnsi="Times New Roman"/>
        </w:rPr>
        <w:instrText xml:space="preserve"> NOTEREF _Ref121731320 \h  \* MERGEFORMAT </w:instrText>
      </w:r>
      <w:r w:rsidRPr="00432D2B">
        <w:rPr>
          <w:rFonts w:ascii="Times New Roman" w:hAnsi="Times New Roman"/>
        </w:rPr>
      </w:r>
      <w:r w:rsidRPr="00432D2B">
        <w:rPr>
          <w:rFonts w:ascii="Times New Roman" w:hAnsi="Times New Roman"/>
        </w:rPr>
        <w:fldChar w:fldCharType="separate"/>
      </w:r>
      <w:r>
        <w:rPr>
          <w:rFonts w:ascii="Times New Roman" w:hAnsi="Times New Roman"/>
        </w:rPr>
        <w:t>14</w:t>
      </w:r>
      <w:r w:rsidRPr="00432D2B">
        <w:rPr>
          <w:rFonts w:ascii="Times New Roman" w:hAnsi="Times New Roman"/>
        </w:rPr>
        <w:fldChar w:fldCharType="end"/>
      </w:r>
      <w:r w:rsidRPr="00432D2B">
        <w:rPr>
          <w:rFonts w:ascii="Times New Roman" w:hAnsi="Times New Roman"/>
        </w:rPr>
        <w:t xml:space="preserve"> at 7.</w:t>
      </w:r>
    </w:p>
  </w:footnote>
  <w:footnote w:id="26">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New York City Housing Authority, </w:t>
      </w:r>
      <w:r w:rsidRPr="00432D2B">
        <w:rPr>
          <w:rFonts w:ascii="Times New Roman" w:hAnsi="Times New Roman"/>
          <w:i/>
        </w:rPr>
        <w:t>Action Plan – Heating</w:t>
      </w:r>
      <w:r w:rsidRPr="00432D2B">
        <w:rPr>
          <w:rFonts w:ascii="Times New Roman" w:hAnsi="Times New Roman"/>
        </w:rPr>
        <w:t xml:space="preserve">, available at </w:t>
      </w:r>
      <w:hyperlink r:id="rId9" w:history="1">
        <w:r w:rsidRPr="00432D2B">
          <w:rPr>
            <w:rStyle w:val="Hyperlink"/>
            <w:rFonts w:ascii="Times New Roman" w:hAnsi="Times New Roman"/>
          </w:rPr>
          <w:t>https://nychamonitor.com/wp-content/uploads/2019/12/Heating-Action-Plan-12.4.19.pdf</w:t>
        </w:r>
      </w:hyperlink>
      <w:r w:rsidRPr="00432D2B">
        <w:rPr>
          <w:rFonts w:ascii="Times New Roman" w:hAnsi="Times New Roman"/>
        </w:rPr>
        <w:t xml:space="preserve">. </w:t>
      </w:r>
    </w:p>
  </w:footnote>
  <w:footnote w:id="27">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bookmarkStart w:id="4" w:name="_Hlk121522230"/>
      <w:r w:rsidRPr="00432D2B">
        <w:rPr>
          <w:rFonts w:ascii="Times New Roman" w:hAnsi="Times New Roman"/>
        </w:rPr>
        <w:t xml:space="preserve">New York City Housing Authority, </w:t>
      </w:r>
      <w:r w:rsidRPr="00432D2B">
        <w:rPr>
          <w:rFonts w:ascii="Times New Roman" w:hAnsi="Times New Roman"/>
          <w:i/>
        </w:rPr>
        <w:t>Service Interruptions</w:t>
      </w:r>
      <w:r w:rsidRPr="00432D2B">
        <w:rPr>
          <w:rFonts w:ascii="Times New Roman" w:hAnsi="Times New Roman"/>
        </w:rPr>
        <w:t xml:space="preserve">, available at </w:t>
      </w:r>
      <w:hyperlink r:id="rId10" w:history="1">
        <w:r w:rsidRPr="00432D2B">
          <w:rPr>
            <w:rStyle w:val="Hyperlink"/>
            <w:rFonts w:ascii="Times New Roman" w:hAnsi="Times New Roman"/>
          </w:rPr>
          <w:t>https://my.nycha.info/Outages/Outages.aspx</w:t>
        </w:r>
      </w:hyperlink>
      <w:bookmarkEnd w:id="4"/>
      <w:r w:rsidRPr="00432D2B">
        <w:rPr>
          <w:rFonts w:ascii="Times New Roman" w:hAnsi="Times New Roman"/>
        </w:rPr>
        <w:t xml:space="preserve">. </w:t>
      </w:r>
    </w:p>
  </w:footnote>
  <w:footnote w:id="28">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29">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30">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31">
    <w:p w:rsidR="00AE1697" w:rsidRPr="00432D2B" w:rsidRDefault="00AE1697" w:rsidP="00AE1697">
      <w:pPr>
        <w:pStyle w:val="FootnoteText"/>
        <w:rPr>
          <w:rFonts w:ascii="Times New Roman" w:hAnsi="Times New Roman"/>
          <w:i/>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32">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33">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34">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35">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36">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37">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38">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39">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40">
    <w:p w:rsidR="00AE1697" w:rsidRPr="00432D2B" w:rsidRDefault="00AE1697" w:rsidP="00AE1697">
      <w:pPr>
        <w:pStyle w:val="FootnoteText"/>
        <w:rPr>
          <w:rFonts w:ascii="Times New Roman" w:hAnsi="Times New Roman"/>
          <w:i/>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41">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42">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Bart Schwartz, </w:t>
      </w:r>
      <w:r w:rsidRPr="00432D2B">
        <w:rPr>
          <w:rFonts w:ascii="Times New Roman" w:hAnsi="Times New Roman"/>
          <w:i/>
        </w:rPr>
        <w:t>Twelfth Monitor Quarterly Report</w:t>
      </w:r>
      <w:r w:rsidRPr="00432D2B">
        <w:rPr>
          <w:rFonts w:ascii="Times New Roman" w:hAnsi="Times New Roman"/>
        </w:rPr>
        <w:t xml:space="preserve">, available at </w:t>
      </w:r>
      <w:hyperlink r:id="rId11" w:history="1">
        <w:r w:rsidRPr="00432D2B">
          <w:rPr>
            <w:rStyle w:val="Hyperlink"/>
            <w:rFonts w:ascii="Times New Roman" w:hAnsi="Times New Roman"/>
          </w:rPr>
          <w:t>https://nychamonitor.com/wp-content/uploads/2022/09/Twelfth-Monitor-Quarterly-Report-9.7.22.pdf</w:t>
        </w:r>
      </w:hyperlink>
      <w:r w:rsidRPr="00432D2B">
        <w:rPr>
          <w:rFonts w:ascii="Times New Roman" w:hAnsi="Times New Roman"/>
        </w:rPr>
        <w:t xml:space="preserve">. </w:t>
      </w:r>
    </w:p>
  </w:footnote>
  <w:footnote w:id="43">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Supra</w:t>
      </w:r>
      <w:r w:rsidRPr="00432D2B">
        <w:rPr>
          <w:rFonts w:ascii="Times New Roman" w:hAnsi="Times New Roman"/>
        </w:rPr>
        <w:t xml:space="preserve"> note </w:t>
      </w:r>
      <w:r w:rsidRPr="00432D2B">
        <w:rPr>
          <w:rFonts w:ascii="Times New Roman" w:hAnsi="Times New Roman"/>
        </w:rPr>
        <w:fldChar w:fldCharType="begin"/>
      </w:r>
      <w:r w:rsidRPr="00432D2B">
        <w:rPr>
          <w:rFonts w:ascii="Times New Roman" w:hAnsi="Times New Roman"/>
        </w:rPr>
        <w:instrText xml:space="preserve"> NOTEREF _Ref121734407 \h </w:instrText>
      </w:r>
      <w:r>
        <w:rPr>
          <w:rFonts w:ascii="Times New Roman" w:hAnsi="Times New Roman"/>
        </w:rPr>
        <w:instrText xml:space="preserve"> \* MERGEFORMAT </w:instrText>
      </w:r>
      <w:r w:rsidRPr="00432D2B">
        <w:rPr>
          <w:rFonts w:ascii="Times New Roman" w:hAnsi="Times New Roman"/>
        </w:rPr>
      </w:r>
      <w:r w:rsidRPr="00432D2B">
        <w:rPr>
          <w:rFonts w:ascii="Times New Roman" w:hAnsi="Times New Roman"/>
        </w:rPr>
        <w:fldChar w:fldCharType="separate"/>
      </w:r>
      <w:r>
        <w:rPr>
          <w:rFonts w:ascii="Times New Roman" w:hAnsi="Times New Roman"/>
        </w:rPr>
        <w:t>42</w:t>
      </w:r>
      <w:r w:rsidRPr="00432D2B">
        <w:rPr>
          <w:rFonts w:ascii="Times New Roman" w:hAnsi="Times New Roman"/>
        </w:rPr>
        <w:fldChar w:fldCharType="end"/>
      </w:r>
      <w:r w:rsidRPr="00432D2B">
        <w:rPr>
          <w:rFonts w:ascii="Times New Roman" w:hAnsi="Times New Roman"/>
        </w:rPr>
        <w:t xml:space="preserve"> at 7.</w:t>
      </w:r>
    </w:p>
  </w:footnote>
  <w:footnote w:id="44">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r w:rsidRPr="00432D2B">
        <w:rPr>
          <w:rFonts w:ascii="Times New Roman" w:hAnsi="Times New Roman"/>
        </w:rPr>
        <w:t xml:space="preserve"> at 8.</w:t>
      </w:r>
    </w:p>
  </w:footnote>
  <w:footnote w:id="45">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r w:rsidRPr="00432D2B">
        <w:rPr>
          <w:rFonts w:ascii="Times New Roman" w:hAnsi="Times New Roman"/>
        </w:rPr>
        <w:t xml:space="preserve"> at 9.</w:t>
      </w:r>
    </w:p>
  </w:footnote>
  <w:footnote w:id="46">
    <w:p w:rsidR="00AE1697" w:rsidRPr="00432D2B" w:rsidRDefault="00AE1697" w:rsidP="00AE1697">
      <w:pPr>
        <w:pStyle w:val="FootnoteText"/>
      </w:pPr>
      <w:r>
        <w:rPr>
          <w:rStyle w:val="FootnoteReference"/>
        </w:rPr>
        <w:footnoteRef/>
      </w:r>
      <w:r>
        <w:t xml:space="preserve"> </w:t>
      </w:r>
      <w:r>
        <w:rPr>
          <w:i/>
        </w:rPr>
        <w:t>Id.</w:t>
      </w:r>
      <w:r>
        <w:t xml:space="preserve"> at 11.</w:t>
      </w:r>
    </w:p>
  </w:footnote>
  <w:footnote w:id="47">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48">
    <w:p w:rsidR="00AE1697" w:rsidRPr="00902934" w:rsidRDefault="00AE1697" w:rsidP="00AE1697">
      <w:pPr>
        <w:pStyle w:val="FootnoteText"/>
      </w:pPr>
      <w:r>
        <w:rPr>
          <w:rStyle w:val="FootnoteReference"/>
        </w:rPr>
        <w:footnoteRef/>
      </w:r>
      <w:r>
        <w:t xml:space="preserve"> </w:t>
      </w:r>
      <w:r>
        <w:rPr>
          <w:i/>
        </w:rPr>
        <w:t>Id.</w:t>
      </w:r>
      <w:r>
        <w:t xml:space="preserve"> at 2.</w:t>
      </w:r>
    </w:p>
  </w:footnote>
  <w:footnote w:id="49">
    <w:p w:rsidR="00AE1697" w:rsidRPr="00902934"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r>
        <w:rPr>
          <w:rFonts w:ascii="Times New Roman" w:hAnsi="Times New Roman"/>
        </w:rPr>
        <w:t xml:space="preserve"> at 13</w:t>
      </w:r>
    </w:p>
  </w:footnote>
  <w:footnote w:id="50">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sidRPr="00432D2B">
        <w:rPr>
          <w:rFonts w:ascii="Times New Roman" w:hAnsi="Times New Roman"/>
          <w:i/>
        </w:rPr>
        <w:t>Id.</w:t>
      </w:r>
    </w:p>
  </w:footnote>
  <w:footnote w:id="51">
    <w:p w:rsidR="00AE1697" w:rsidRPr="00902934"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Pr>
          <w:rFonts w:ascii="Times New Roman" w:hAnsi="Times New Roman"/>
          <w:i/>
        </w:rPr>
        <w:t>Id.</w:t>
      </w:r>
      <w:r>
        <w:rPr>
          <w:rFonts w:ascii="Times New Roman" w:hAnsi="Times New Roman"/>
        </w:rPr>
        <w:t xml:space="preserve"> at 14.</w:t>
      </w:r>
    </w:p>
  </w:footnote>
  <w:footnote w:id="52">
    <w:p w:rsidR="00AE1697" w:rsidRPr="00A5110D" w:rsidRDefault="00AE1697" w:rsidP="00AE1697">
      <w:pPr>
        <w:pStyle w:val="FootnoteText"/>
      </w:pPr>
      <w:r>
        <w:rPr>
          <w:rStyle w:val="FootnoteReference"/>
        </w:rPr>
        <w:footnoteRef/>
      </w:r>
      <w:r>
        <w:t xml:space="preserve"> </w:t>
      </w:r>
      <w:r>
        <w:rPr>
          <w:i/>
        </w:rPr>
        <w:t>Id.</w:t>
      </w:r>
    </w:p>
  </w:footnote>
  <w:footnote w:id="53">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Pr>
          <w:rFonts w:ascii="Times New Roman" w:hAnsi="Times New Roman"/>
          <w:i/>
        </w:rPr>
        <w:t>Id.</w:t>
      </w:r>
    </w:p>
  </w:footnote>
  <w:footnote w:id="54">
    <w:p w:rsidR="00AE1697" w:rsidRPr="00A5110D" w:rsidRDefault="00AE1697" w:rsidP="00AE1697">
      <w:pPr>
        <w:pStyle w:val="FootnoteText"/>
        <w:rPr>
          <w:i/>
        </w:rPr>
      </w:pPr>
      <w:r>
        <w:rPr>
          <w:rStyle w:val="FootnoteReference"/>
        </w:rPr>
        <w:footnoteRef/>
      </w:r>
      <w:r>
        <w:t xml:space="preserve"> </w:t>
      </w:r>
      <w:r>
        <w:rPr>
          <w:i/>
        </w:rPr>
        <w:t>Id.</w:t>
      </w:r>
    </w:p>
  </w:footnote>
  <w:footnote w:id="55">
    <w:p w:rsidR="00AE1697" w:rsidRPr="00A5110D"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Pr>
          <w:rFonts w:ascii="Times New Roman" w:hAnsi="Times New Roman"/>
          <w:i/>
        </w:rPr>
        <w:t>Id.</w:t>
      </w:r>
      <w:r>
        <w:rPr>
          <w:rFonts w:ascii="Times New Roman" w:hAnsi="Times New Roman"/>
        </w:rPr>
        <w:t xml:space="preserve"> at 15.</w:t>
      </w:r>
    </w:p>
  </w:footnote>
  <w:footnote w:id="56">
    <w:p w:rsidR="00AE1697" w:rsidRPr="00A5110D"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Pr>
          <w:rFonts w:ascii="Times New Roman" w:hAnsi="Times New Roman"/>
          <w:i/>
        </w:rPr>
        <w:t>Id.</w:t>
      </w:r>
      <w:r>
        <w:rPr>
          <w:rFonts w:ascii="Times New Roman" w:hAnsi="Times New Roman"/>
        </w:rPr>
        <w:t xml:space="preserve"> at 4.</w:t>
      </w:r>
    </w:p>
  </w:footnote>
  <w:footnote w:id="57">
    <w:p w:rsidR="00AE1697" w:rsidRPr="00AE60AA"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Pr>
          <w:rFonts w:ascii="Times New Roman" w:hAnsi="Times New Roman"/>
          <w:i/>
        </w:rPr>
        <w:t>Id.</w:t>
      </w:r>
    </w:p>
  </w:footnote>
  <w:footnote w:id="58">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Pr>
          <w:rFonts w:ascii="Times New Roman" w:hAnsi="Times New Roman"/>
          <w:i/>
        </w:rPr>
        <w:t>Id.</w:t>
      </w:r>
    </w:p>
  </w:footnote>
  <w:footnote w:id="59">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Bart Schwartz, </w:t>
      </w:r>
      <w:r w:rsidRPr="00D52C9E">
        <w:rPr>
          <w:rFonts w:ascii="Times New Roman" w:hAnsi="Times New Roman"/>
          <w:i/>
        </w:rPr>
        <w:t>Monitor Report Measuring NYCHA’s Compliance with The HUD Agreement</w:t>
      </w:r>
      <w:r w:rsidRPr="00432D2B">
        <w:rPr>
          <w:rFonts w:ascii="Times New Roman" w:hAnsi="Times New Roman"/>
        </w:rPr>
        <w:t>,</w:t>
      </w:r>
      <w:r>
        <w:rPr>
          <w:rFonts w:ascii="Times New Roman" w:hAnsi="Times New Roman"/>
        </w:rPr>
        <w:t xml:space="preserve"> p. 57,</w:t>
      </w:r>
      <w:r w:rsidRPr="00432D2B">
        <w:rPr>
          <w:rFonts w:ascii="Times New Roman" w:hAnsi="Times New Roman"/>
        </w:rPr>
        <w:t xml:space="preserve"> available at </w:t>
      </w:r>
      <w:hyperlink r:id="rId12" w:history="1">
        <w:r w:rsidRPr="00ED3028">
          <w:rPr>
            <w:rStyle w:val="Hyperlink"/>
            <w:rFonts w:ascii="Times New Roman" w:hAnsi="Times New Roman"/>
          </w:rPr>
          <w:t>https://nychamonitor.com/wp-content/uploads/2022/11/Monitor-Metrics-Report-11.29.22.pdf</w:t>
        </w:r>
      </w:hyperlink>
      <w:r>
        <w:rPr>
          <w:rFonts w:ascii="Times New Roman" w:hAnsi="Times New Roman"/>
        </w:rPr>
        <w:t xml:space="preserve">. </w:t>
      </w:r>
    </w:p>
  </w:footnote>
  <w:footnote w:id="60">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Pr>
          <w:rFonts w:ascii="Times New Roman" w:hAnsi="Times New Roman"/>
          <w:i/>
        </w:rPr>
        <w:t>Id.</w:t>
      </w:r>
    </w:p>
  </w:footnote>
  <w:footnote w:id="61">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Pr>
          <w:rFonts w:ascii="Times New Roman" w:hAnsi="Times New Roman"/>
        </w:rPr>
        <w:t>Greg B. Smith</w:t>
      </w:r>
      <w:r w:rsidRPr="00432D2B">
        <w:rPr>
          <w:rFonts w:ascii="Times New Roman" w:hAnsi="Times New Roman"/>
        </w:rPr>
        <w:t xml:space="preserve">, </w:t>
      </w:r>
      <w:r w:rsidRPr="009B54C7">
        <w:rPr>
          <w:rFonts w:ascii="Times New Roman" w:hAnsi="Times New Roman"/>
          <w:i/>
        </w:rPr>
        <w:t>NYCHA tells Feds Housing Fixes Delayed by Massive Shortfall in Rent Collection</w:t>
      </w:r>
      <w:r w:rsidRPr="00432D2B">
        <w:rPr>
          <w:rFonts w:ascii="Times New Roman" w:hAnsi="Times New Roman"/>
        </w:rPr>
        <w:t>, The City</w:t>
      </w:r>
      <w:r>
        <w:rPr>
          <w:rFonts w:ascii="Times New Roman" w:hAnsi="Times New Roman"/>
        </w:rPr>
        <w:t>, (Nov. 29,, 2022, 9:47 p.m.)</w:t>
      </w:r>
      <w:r w:rsidRPr="00432D2B">
        <w:rPr>
          <w:rFonts w:ascii="Times New Roman" w:hAnsi="Times New Roman"/>
        </w:rPr>
        <w:t xml:space="preserve"> </w:t>
      </w:r>
      <w:hyperlink r:id="rId13" w:anchor=":~:text=The%20New%20York%20City%20Housing,agreement%2C%20THE%20CITY%20has%20learned" w:history="1">
        <w:r w:rsidRPr="00ED3028">
          <w:rPr>
            <w:rStyle w:val="Hyperlink"/>
            <w:rFonts w:ascii="Times New Roman" w:hAnsi="Times New Roman"/>
          </w:rPr>
          <w:t>https://www.thecity.nyc/2022/11/29/23485246/nycha-fix-delayed-rent-collection-shortfall#:~:text=The%20New%20York%20City%20Housing,agreement%2C%20THE%20CITY%20has%20learned</w:t>
        </w:r>
      </w:hyperlink>
      <w:r w:rsidRPr="009B54C7">
        <w:rPr>
          <w:rFonts w:ascii="Times New Roman" w:hAnsi="Times New Roman"/>
        </w:rPr>
        <w:t>.</w:t>
      </w:r>
      <w:r>
        <w:rPr>
          <w:rFonts w:ascii="Times New Roman" w:hAnsi="Times New Roman"/>
        </w:rPr>
        <w:t xml:space="preserve"> </w:t>
      </w:r>
    </w:p>
  </w:footnote>
  <w:footnote w:id="62">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Pr>
          <w:rFonts w:ascii="Times New Roman" w:hAnsi="Times New Roman"/>
          <w:i/>
        </w:rPr>
        <w:t>Id.</w:t>
      </w:r>
    </w:p>
  </w:footnote>
  <w:footnote w:id="63">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Pr>
          <w:rFonts w:ascii="Times New Roman" w:hAnsi="Times New Roman"/>
          <w:i/>
        </w:rPr>
        <w:t>Id.</w:t>
      </w:r>
    </w:p>
  </w:footnote>
  <w:footnote w:id="64">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w:t>
      </w:r>
      <w:r>
        <w:rPr>
          <w:rFonts w:ascii="Times New Roman" w:hAnsi="Times New Roman"/>
          <w:i/>
        </w:rPr>
        <w:t>Id.</w:t>
      </w:r>
    </w:p>
  </w:footnote>
  <w:footnote w:id="65">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Emergency Rental Assistance Program, New York State Office of Temporary and Disability Assistance, </w:t>
      </w:r>
      <w:hyperlink r:id="rId14" w:history="1">
        <w:r w:rsidRPr="00ED3028">
          <w:rPr>
            <w:rStyle w:val="Hyperlink"/>
            <w:rFonts w:ascii="Times New Roman" w:hAnsi="Times New Roman"/>
          </w:rPr>
          <w:t>https://otda.ny.gov/programs/emergency-rental-assistance/</w:t>
        </w:r>
      </w:hyperlink>
      <w:r>
        <w:rPr>
          <w:rFonts w:ascii="Times New Roman" w:hAnsi="Times New Roman"/>
        </w:rPr>
        <w:t xml:space="preserve"> (last accessed Dec. 12, 2022). </w:t>
      </w:r>
    </w:p>
  </w:footnote>
  <w:footnote w:id="66">
    <w:p w:rsidR="00AE1697" w:rsidRPr="00432D2B" w:rsidRDefault="00AE1697" w:rsidP="00AE1697">
      <w:pPr>
        <w:pStyle w:val="FootnoteText"/>
        <w:rPr>
          <w:rFonts w:ascii="Times New Roman" w:hAnsi="Times New Roman"/>
        </w:rPr>
      </w:pPr>
      <w:r w:rsidRPr="00432D2B">
        <w:rPr>
          <w:rStyle w:val="FootnoteReference"/>
          <w:rFonts w:ascii="Times New Roman" w:hAnsi="Times New Roman"/>
        </w:rPr>
        <w:footnoteRef/>
      </w:r>
      <w:r w:rsidRPr="00432D2B">
        <w:rPr>
          <w:rFonts w:ascii="Times New Roman" w:hAnsi="Times New Roman"/>
        </w:rPr>
        <w:t xml:space="preserve"> Kevin Rincon, </w:t>
      </w:r>
      <w:r w:rsidRPr="009B54C7">
        <w:rPr>
          <w:rFonts w:ascii="Times New Roman" w:hAnsi="Times New Roman"/>
          <w:i/>
        </w:rPr>
        <w:t>Lawmakers, NYCHA tenants demand agency do more to improve living conditions</w:t>
      </w:r>
      <w:r w:rsidRPr="00432D2B">
        <w:rPr>
          <w:rFonts w:ascii="Times New Roman" w:hAnsi="Times New Roman"/>
        </w:rPr>
        <w:t xml:space="preserve">, CBS New York, </w:t>
      </w:r>
      <w:r>
        <w:rPr>
          <w:rFonts w:ascii="Times New Roman" w:hAnsi="Times New Roman"/>
        </w:rPr>
        <w:t>(Nov. 22, 2022, 5:51 p.m.)</w:t>
      </w:r>
      <w:r w:rsidRPr="00432D2B">
        <w:rPr>
          <w:rFonts w:ascii="Times New Roman" w:hAnsi="Times New Roman"/>
        </w:rPr>
        <w:t xml:space="preserve"> </w:t>
      </w:r>
      <w:hyperlink r:id="rId15" w:history="1">
        <w:r w:rsidRPr="00432D2B">
          <w:rPr>
            <w:rStyle w:val="Hyperlink"/>
            <w:rFonts w:ascii="Times New Roman" w:hAnsi="Times New Roman"/>
          </w:rPr>
          <w:t>https://www.cbsnews.com/newyork/news/nycha-city-hall-living-conditions-rally/</w:t>
        </w:r>
      </w:hyperlink>
      <w:r>
        <w:rPr>
          <w:rFonts w:ascii="Times New Roman" w:hAnsi="Times New Roman"/>
        </w:rPr>
        <w:t xml:space="preserve">; </w:t>
      </w:r>
      <w:r w:rsidRPr="00432D2B">
        <w:rPr>
          <w:rFonts w:ascii="Times New Roman" w:hAnsi="Times New Roman"/>
        </w:rPr>
        <w:t>Kevin Rincon,</w:t>
      </w:r>
      <w:r>
        <w:rPr>
          <w:rFonts w:ascii="Times New Roman" w:hAnsi="Times New Roman"/>
        </w:rPr>
        <w:t xml:space="preserve"> </w:t>
      </w:r>
      <w:r w:rsidRPr="000256FB">
        <w:rPr>
          <w:rFonts w:ascii="Times New Roman" w:hAnsi="Times New Roman"/>
          <w:i/>
        </w:rPr>
        <w:t>“No heat, no hot water, no rent:: Astoria Houses residents frustrated by recurring heat, hot water outages</w:t>
      </w:r>
      <w:r w:rsidRPr="00432D2B">
        <w:rPr>
          <w:rFonts w:ascii="Times New Roman" w:hAnsi="Times New Roman"/>
        </w:rPr>
        <w:t>, CBS New York,</w:t>
      </w:r>
      <w:r>
        <w:rPr>
          <w:rFonts w:ascii="Times New Roman" w:hAnsi="Times New Roman"/>
        </w:rPr>
        <w:t xml:space="preserve"> (Nov. 21, 2022, 12:13 a.m.)</w:t>
      </w:r>
      <w:r w:rsidRPr="00432D2B">
        <w:rPr>
          <w:rFonts w:ascii="Times New Roman" w:hAnsi="Times New Roman"/>
        </w:rPr>
        <w:t xml:space="preserve"> </w:t>
      </w:r>
      <w:hyperlink r:id="rId16" w:history="1">
        <w:r w:rsidRPr="00ED3028">
          <w:rPr>
            <w:rStyle w:val="Hyperlink"/>
            <w:rFonts w:ascii="Times New Roman" w:hAnsi="Times New Roman"/>
          </w:rPr>
          <w:t>https://www.cbsnews.com/newyork/news/astoria-houses-no-heat-hot-water/</w:t>
        </w:r>
      </w:hyperlink>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F0" w:rsidRDefault="00AE1697">
    <w:pPr>
      <w:pStyle w:val="Header"/>
    </w:pPr>
    <w:r>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985510" cy="2393950"/>
              <wp:effectExtent l="0" t="1524000" r="0" b="13779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E1697" w:rsidRDefault="00AE1697" w:rsidP="00AE1697">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BxCgIw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rsidR="00AE1697" w:rsidRDefault="00AE1697" w:rsidP="00AE1697">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F0" w:rsidRDefault="00AE1697">
    <w:pPr>
      <w:pStyle w:val="Header"/>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985510" cy="2393950"/>
              <wp:effectExtent l="0" t="1524000" r="0" b="13779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E1697" w:rsidRDefault="00AE1697" w:rsidP="00AE1697">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0;width:471.3pt;height:18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" o:allowincell="f" filled="f" stroked="f">
              <v:stroke joinstyle="round"/>
              <o:lock v:ext="edit" shapetype="t"/>
              <v:textbox style="mso-fit-shape-to-text:t">
                <w:txbxContent>
                  <w:p w:rsidR="00AE1697" w:rsidRDefault="00AE1697" w:rsidP="00AE1697">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EF0" w:rsidRDefault="00B14F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5DF8"/>
    <w:multiLevelType w:val="hybridMultilevel"/>
    <w:tmpl w:val="A02E7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D466F3"/>
    <w:multiLevelType w:val="hybridMultilevel"/>
    <w:tmpl w:val="B01C9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697"/>
    <w:rsid w:val="00034330"/>
    <w:rsid w:val="00882009"/>
    <w:rsid w:val="00AD1BDE"/>
    <w:rsid w:val="00AE1697"/>
    <w:rsid w:val="00B14FCC"/>
    <w:rsid w:val="00CB4670"/>
    <w:rsid w:val="00DD7C57"/>
    <w:rsid w:val="00FB6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9ADDE35-3FB6-4B72-98F5-B9461C313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697"/>
  </w:style>
  <w:style w:type="paragraph" w:styleId="Heading1">
    <w:name w:val="heading 1"/>
    <w:basedOn w:val="Normal"/>
    <w:next w:val="Normal"/>
    <w:link w:val="Heading1Char"/>
    <w:qFormat/>
    <w:rsid w:val="00AE1697"/>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1697"/>
    <w:rPr>
      <w:rFonts w:ascii="Times New Roman" w:eastAsia="Times New Roman" w:hAnsi="Times New Roman" w:cs="Times New Roman"/>
      <w:i/>
      <w:iCs/>
      <w:sz w:val="24"/>
      <w:szCs w:val="24"/>
    </w:rPr>
  </w:style>
  <w:style w:type="paragraph" w:styleId="FootnoteText">
    <w:name w:val="footnote text"/>
    <w:aliases w:val="FT"/>
    <w:basedOn w:val="Normal"/>
    <w:link w:val="FootnoteTextChar"/>
    <w:uiPriority w:val="99"/>
    <w:unhideWhenUsed/>
    <w:qFormat/>
    <w:rsid w:val="00AE1697"/>
    <w:pPr>
      <w:suppressAutoHyphens/>
      <w:spacing w:after="0" w:line="240" w:lineRule="auto"/>
    </w:pPr>
    <w:rPr>
      <w:rFonts w:ascii="Calibri" w:eastAsia="Calibri" w:hAnsi="Calibri" w:cs="Times New Roman"/>
      <w:sz w:val="20"/>
      <w:szCs w:val="20"/>
      <w:lang w:eastAsia="zh-CN"/>
    </w:rPr>
  </w:style>
  <w:style w:type="character" w:customStyle="1" w:styleId="FootnoteTextChar">
    <w:name w:val="Footnote Text Char"/>
    <w:aliases w:val="FT Char"/>
    <w:basedOn w:val="DefaultParagraphFont"/>
    <w:link w:val="FootnoteText"/>
    <w:uiPriority w:val="99"/>
    <w:rsid w:val="00AE1697"/>
    <w:rPr>
      <w:rFonts w:ascii="Calibri" w:eastAsia="Calibri" w:hAnsi="Calibri" w:cs="Times New Roman"/>
      <w:sz w:val="20"/>
      <w:szCs w:val="20"/>
      <w:lang w:eastAsia="zh-CN"/>
    </w:rPr>
  </w:style>
  <w:style w:type="character" w:styleId="FootnoteReference">
    <w:name w:val="footnote reference"/>
    <w:uiPriority w:val="99"/>
    <w:unhideWhenUsed/>
    <w:rsid w:val="00AE1697"/>
    <w:rPr>
      <w:vertAlign w:val="superscript"/>
    </w:rPr>
  </w:style>
  <w:style w:type="character" w:customStyle="1" w:styleId="FootnoteCharacters">
    <w:name w:val="Footnote Characters"/>
    <w:rsid w:val="00AE1697"/>
    <w:rPr>
      <w:vertAlign w:val="superscript"/>
    </w:rPr>
  </w:style>
  <w:style w:type="character" w:styleId="Hyperlink">
    <w:name w:val="Hyperlink"/>
    <w:uiPriority w:val="99"/>
    <w:unhideWhenUsed/>
    <w:rsid w:val="00AE1697"/>
    <w:rPr>
      <w:color w:val="0000FF"/>
      <w:u w:val="single"/>
    </w:rPr>
  </w:style>
  <w:style w:type="paragraph" w:styleId="ListParagraph">
    <w:name w:val="List Paragraph"/>
    <w:basedOn w:val="Normal"/>
    <w:uiPriority w:val="34"/>
    <w:qFormat/>
    <w:rsid w:val="00AE1697"/>
    <w:pPr>
      <w:ind w:left="720"/>
      <w:contextualSpacing/>
    </w:pPr>
  </w:style>
  <w:style w:type="paragraph" w:styleId="NormalWeb">
    <w:name w:val="Normal (Web)"/>
    <w:basedOn w:val="Normal"/>
    <w:uiPriority w:val="99"/>
    <w:semiHidden/>
    <w:unhideWhenUsed/>
    <w:rsid w:val="00AE169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E16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1697"/>
  </w:style>
  <w:style w:type="paragraph" w:styleId="Footer">
    <w:name w:val="footer"/>
    <w:basedOn w:val="Normal"/>
    <w:link w:val="FooterChar"/>
    <w:uiPriority w:val="99"/>
    <w:unhideWhenUsed/>
    <w:rsid w:val="00AE16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s://www1.nyc.gov/site/nycha/about/reports.page" TargetMode="External"/><Relationship Id="rId13" Type="http://schemas.openxmlformats.org/officeDocument/2006/relationships/hyperlink" Target="https://www.thecity.nyc/2022/11/29/23485246/nycha-fix-delayed-rent-collection-shortfall" TargetMode="External"/><Relationship Id="rId3" Type="http://schemas.openxmlformats.org/officeDocument/2006/relationships/hyperlink" Target="https://www1.nyc.gov/site/hpd/services-and-information/heat-and-hot-water-information.page" TargetMode="External"/><Relationship Id="rId7" Type="http://schemas.openxmlformats.org/officeDocument/2006/relationships/hyperlink" Target="https://ny.curbed.com/2019/2/21/18234731/nycha-hud-federal-monitor-selection" TargetMode="External"/><Relationship Id="rId12" Type="http://schemas.openxmlformats.org/officeDocument/2006/relationships/hyperlink" Target="https://nychamonitor.com/wp-content/uploads/2022/11/Monitor-Metrics-Report-11.29.22.pdf" TargetMode="External"/><Relationship Id="rId2" Type="http://schemas.openxmlformats.org/officeDocument/2006/relationships/hyperlink" Target="https://www1.nyc.gov/assets/nycha/downloads/pdf/NYCHA_Fact_Sheet_2022.pdf" TargetMode="External"/><Relationship Id="rId16" Type="http://schemas.openxmlformats.org/officeDocument/2006/relationships/hyperlink" Target="https://www.cbsnews.com/newyork/news/astoria-houses-no-heat-hot-water/"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s://www.hud.gov/sites/dfiles/PA/documents/HUD-NYCHA-Agreement013119.pdf" TargetMode="External"/><Relationship Id="rId11" Type="http://schemas.openxmlformats.org/officeDocument/2006/relationships/hyperlink" Target="https://nychamonitor.com/wp-content/uploads/2022/09/Twelfth-Monitor-Quarterly-Report-9.7.22.pdf" TargetMode="External"/><Relationship Id="rId5" Type="http://schemas.openxmlformats.org/officeDocument/2006/relationships/hyperlink" Target="https://www.nyc.gov/assets/nycha/downloads/pdf/nycha-2022-budget-book.pdf" TargetMode="External"/><Relationship Id="rId15" Type="http://schemas.openxmlformats.org/officeDocument/2006/relationships/hyperlink" Target="https://www.cbsnews.com/newyork/news/nycha-city-hall-living-conditions-rally/" TargetMode="External"/><Relationship Id="rId10" Type="http://schemas.openxmlformats.org/officeDocument/2006/relationships/hyperlink" Target="https://my.nycha.info/Outages/Outages.aspx" TargetMode="External"/><Relationship Id="rId4" Type="http://schemas.openxmlformats.org/officeDocument/2006/relationships/hyperlink" Target="https://nychamonitor.com/" TargetMode="External"/><Relationship Id="rId9" Type="http://schemas.openxmlformats.org/officeDocument/2006/relationships/hyperlink" Target="https://nychamonitor.com/wp-content/uploads/2019/12/Heating-Action-Plan-12.4.19.pdf" TargetMode="External"/><Relationship Id="rId14" Type="http://schemas.openxmlformats.org/officeDocument/2006/relationships/hyperlink" Target="https://otda.ny.gov/programs/emergency-rental-assis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2574</Words>
  <Characters>14673</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 Audrey</dc:creator>
  <cp:keywords/>
  <dc:description/>
  <cp:lastModifiedBy>DelFranco, Ruthie</cp:lastModifiedBy>
  <cp:revision>2</cp:revision>
  <dcterms:created xsi:type="dcterms:W3CDTF">2022-12-14T20:42:00Z</dcterms:created>
  <dcterms:modified xsi:type="dcterms:W3CDTF">2022-12-14T20:42:00Z</dcterms:modified>
</cp:coreProperties>
</file>