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1E983" w14:textId="6A5B9578" w:rsidR="00814C1C" w:rsidRPr="00F90087" w:rsidRDefault="00974635" w:rsidP="009A0E19">
      <w:pPr>
        <w:spacing w:after="0" w:line="240" w:lineRule="auto"/>
        <w:ind w:left="720"/>
        <w:jc w:val="right"/>
        <w:rPr>
          <w:rFonts w:ascii="Times New Roman" w:hAnsi="Times New Roman"/>
          <w:u w:val="single"/>
        </w:rPr>
      </w:pPr>
      <w:bookmarkStart w:id="0" w:name="_GoBack"/>
      <w:bookmarkEnd w:id="0"/>
      <w:r w:rsidRPr="00F90087">
        <w:rPr>
          <w:rFonts w:ascii="Times New Roman" w:hAnsi="Times New Roman"/>
          <w:u w:val="single"/>
        </w:rPr>
        <w:t>Committee on Public Housing</w:t>
      </w:r>
      <w:r w:rsidR="00814C1C" w:rsidRPr="00F90087">
        <w:rPr>
          <w:rFonts w:ascii="Times New Roman" w:hAnsi="Times New Roman"/>
          <w:u w:val="single"/>
        </w:rPr>
        <w:t xml:space="preserve"> Staff</w:t>
      </w:r>
    </w:p>
    <w:p w14:paraId="4D881809" w14:textId="77777777" w:rsidR="00814C1C" w:rsidRPr="00F90087" w:rsidRDefault="00814C1C" w:rsidP="009A0E19">
      <w:pPr>
        <w:spacing w:after="0" w:line="240" w:lineRule="auto"/>
        <w:ind w:left="720"/>
        <w:jc w:val="right"/>
        <w:rPr>
          <w:rFonts w:ascii="Times New Roman" w:hAnsi="Times New Roman"/>
        </w:rPr>
      </w:pPr>
      <w:r w:rsidRPr="00F90087">
        <w:rPr>
          <w:rFonts w:ascii="Times New Roman" w:hAnsi="Times New Roman"/>
        </w:rPr>
        <w:t xml:space="preserve">Connor Mealey, </w:t>
      </w:r>
      <w:r w:rsidRPr="00F90087">
        <w:rPr>
          <w:rFonts w:ascii="Times New Roman" w:hAnsi="Times New Roman"/>
          <w:i/>
        </w:rPr>
        <w:t>Counsel</w:t>
      </w:r>
    </w:p>
    <w:p w14:paraId="790EFC1D" w14:textId="77777777" w:rsidR="00814C1C" w:rsidRPr="00F90087" w:rsidRDefault="00814C1C" w:rsidP="009A0E19">
      <w:pPr>
        <w:spacing w:after="0" w:line="240" w:lineRule="auto"/>
        <w:ind w:left="720"/>
        <w:jc w:val="right"/>
        <w:rPr>
          <w:rFonts w:ascii="Times New Roman" w:hAnsi="Times New Roman"/>
        </w:rPr>
      </w:pPr>
      <w:r w:rsidRPr="00F90087">
        <w:rPr>
          <w:rFonts w:ascii="Times New Roman" w:hAnsi="Times New Roman"/>
        </w:rPr>
        <w:t xml:space="preserve">Jose Conde, </w:t>
      </w:r>
      <w:r w:rsidRPr="00F90087">
        <w:rPr>
          <w:rFonts w:ascii="Times New Roman" w:hAnsi="Times New Roman"/>
          <w:i/>
        </w:rPr>
        <w:t>Senior Policy Analyst</w:t>
      </w:r>
    </w:p>
    <w:p w14:paraId="4EEAE57C" w14:textId="77777777" w:rsidR="00814C1C" w:rsidRPr="00F90087" w:rsidRDefault="00814C1C" w:rsidP="009A0E19">
      <w:pPr>
        <w:spacing w:after="0" w:line="240" w:lineRule="auto"/>
        <w:ind w:left="720"/>
        <w:jc w:val="right"/>
        <w:rPr>
          <w:rFonts w:ascii="Times New Roman" w:hAnsi="Times New Roman"/>
          <w:i/>
        </w:rPr>
      </w:pPr>
      <w:r w:rsidRPr="00F90087">
        <w:rPr>
          <w:rFonts w:ascii="Times New Roman" w:hAnsi="Times New Roman"/>
        </w:rPr>
        <w:t xml:space="preserve">Charles Kim, </w:t>
      </w:r>
      <w:r w:rsidRPr="00F90087">
        <w:rPr>
          <w:rFonts w:ascii="Times New Roman" w:hAnsi="Times New Roman"/>
          <w:i/>
        </w:rPr>
        <w:t>Policy Analyst</w:t>
      </w:r>
    </w:p>
    <w:p w14:paraId="2472B71E" w14:textId="77777777" w:rsidR="00814C1C" w:rsidRPr="00F90087" w:rsidRDefault="00814C1C" w:rsidP="009A0E19">
      <w:pPr>
        <w:spacing w:after="0" w:line="240" w:lineRule="auto"/>
        <w:ind w:left="720"/>
        <w:jc w:val="right"/>
        <w:rPr>
          <w:rFonts w:ascii="Times New Roman" w:hAnsi="Times New Roman"/>
          <w:i/>
        </w:rPr>
      </w:pPr>
      <w:r w:rsidRPr="00F90087">
        <w:rPr>
          <w:rFonts w:ascii="Times New Roman" w:hAnsi="Times New Roman"/>
        </w:rPr>
        <w:t xml:space="preserve">Dan Kroop, </w:t>
      </w:r>
      <w:r w:rsidRPr="00F90087">
        <w:rPr>
          <w:rFonts w:ascii="Times New Roman" w:hAnsi="Times New Roman"/>
          <w:i/>
        </w:rPr>
        <w:t>Senior Financial Analyst</w:t>
      </w:r>
    </w:p>
    <w:p w14:paraId="5FE7B10B" w14:textId="77777777" w:rsidR="00814C1C" w:rsidRPr="00F90087" w:rsidRDefault="00814C1C" w:rsidP="009A0E19">
      <w:pPr>
        <w:spacing w:after="0" w:line="240" w:lineRule="auto"/>
        <w:ind w:left="720"/>
        <w:jc w:val="right"/>
        <w:rPr>
          <w:rFonts w:ascii="Times New Roman" w:hAnsi="Times New Roman"/>
          <w:i/>
        </w:rPr>
      </w:pPr>
      <w:r w:rsidRPr="00F90087">
        <w:rPr>
          <w:rFonts w:ascii="Times New Roman" w:hAnsi="Times New Roman"/>
        </w:rPr>
        <w:t xml:space="preserve">Nicholas Montalbano, </w:t>
      </w:r>
      <w:r w:rsidRPr="00F90087">
        <w:rPr>
          <w:rFonts w:ascii="Times New Roman" w:hAnsi="Times New Roman"/>
          <w:i/>
        </w:rPr>
        <w:t>Senior Data Scientist</w:t>
      </w:r>
    </w:p>
    <w:p w14:paraId="567FE735" w14:textId="64CBC881" w:rsidR="00814C1C" w:rsidRPr="00F90087" w:rsidRDefault="00814C1C" w:rsidP="009A0E19">
      <w:pPr>
        <w:spacing w:after="0" w:line="240" w:lineRule="auto"/>
        <w:ind w:left="720"/>
        <w:jc w:val="right"/>
        <w:rPr>
          <w:rFonts w:ascii="Times New Roman" w:hAnsi="Times New Roman"/>
          <w:i/>
        </w:rPr>
      </w:pPr>
      <w:r w:rsidRPr="00F90087">
        <w:rPr>
          <w:rFonts w:ascii="Times New Roman" w:hAnsi="Times New Roman"/>
        </w:rPr>
        <w:t xml:space="preserve">Christopher Zawora, </w:t>
      </w:r>
      <w:r w:rsidRPr="00F90087">
        <w:rPr>
          <w:rFonts w:ascii="Times New Roman" w:hAnsi="Times New Roman"/>
          <w:i/>
        </w:rPr>
        <w:t>Data Scientist</w:t>
      </w:r>
    </w:p>
    <w:p w14:paraId="78D7F0D9" w14:textId="7626A45B" w:rsidR="00974635" w:rsidRPr="00F90087" w:rsidRDefault="00974635" w:rsidP="009A0E19">
      <w:pPr>
        <w:spacing w:after="0" w:line="240" w:lineRule="auto"/>
        <w:ind w:left="720"/>
        <w:jc w:val="right"/>
        <w:rPr>
          <w:rFonts w:ascii="Times New Roman" w:hAnsi="Times New Roman"/>
          <w:i/>
        </w:rPr>
      </w:pPr>
    </w:p>
    <w:p w14:paraId="6FEA2DBB" w14:textId="5680F506" w:rsidR="00974635" w:rsidRPr="00F90087" w:rsidRDefault="00974635" w:rsidP="009A0E19">
      <w:pPr>
        <w:spacing w:after="0" w:line="240" w:lineRule="auto"/>
        <w:ind w:left="720"/>
        <w:jc w:val="right"/>
        <w:rPr>
          <w:rFonts w:ascii="Times New Roman" w:hAnsi="Times New Roman"/>
          <w:u w:val="single"/>
        </w:rPr>
      </w:pPr>
      <w:r w:rsidRPr="00F90087">
        <w:rPr>
          <w:rFonts w:ascii="Times New Roman" w:hAnsi="Times New Roman"/>
          <w:u w:val="single"/>
        </w:rPr>
        <w:t>Committee on Aging Staff</w:t>
      </w:r>
    </w:p>
    <w:p w14:paraId="5F6DD37E" w14:textId="5C48CCEB" w:rsidR="00974635" w:rsidRPr="00F90087" w:rsidRDefault="00974635" w:rsidP="009A0E19">
      <w:pPr>
        <w:spacing w:after="0" w:line="240" w:lineRule="auto"/>
        <w:ind w:left="720"/>
        <w:jc w:val="right"/>
        <w:rPr>
          <w:rFonts w:ascii="Times New Roman" w:hAnsi="Times New Roman"/>
        </w:rPr>
      </w:pPr>
      <w:r w:rsidRPr="00F90087">
        <w:rPr>
          <w:rFonts w:ascii="Times New Roman" w:hAnsi="Times New Roman"/>
        </w:rPr>
        <w:t xml:space="preserve">Christopher Pepe, </w:t>
      </w:r>
      <w:r w:rsidRPr="00F90087">
        <w:rPr>
          <w:rFonts w:ascii="Times New Roman" w:hAnsi="Times New Roman"/>
          <w:i/>
        </w:rPr>
        <w:t>Senior Counsel</w:t>
      </w:r>
    </w:p>
    <w:p w14:paraId="135762EA" w14:textId="77777777" w:rsidR="00974635" w:rsidRPr="00F90087" w:rsidRDefault="00974635" w:rsidP="009A0E19">
      <w:pPr>
        <w:spacing w:after="0" w:line="240" w:lineRule="auto"/>
        <w:ind w:left="720"/>
        <w:jc w:val="right"/>
        <w:rPr>
          <w:rFonts w:ascii="Times New Roman" w:hAnsi="Times New Roman"/>
        </w:rPr>
      </w:pPr>
      <w:r w:rsidRPr="00F90087">
        <w:rPr>
          <w:rFonts w:ascii="Times New Roman" w:hAnsi="Times New Roman"/>
        </w:rPr>
        <w:t xml:space="preserve">Chloë Rivera, </w:t>
      </w:r>
      <w:r w:rsidRPr="00F90087">
        <w:rPr>
          <w:rFonts w:ascii="Times New Roman" w:hAnsi="Times New Roman"/>
          <w:i/>
        </w:rPr>
        <w:t>Senior Policy Analyst</w:t>
      </w:r>
    </w:p>
    <w:p w14:paraId="1A7A7231" w14:textId="4289A54E" w:rsidR="00974635" w:rsidRPr="00F90087" w:rsidRDefault="00FC7B5E" w:rsidP="009A0E19">
      <w:pPr>
        <w:spacing w:after="0" w:line="240" w:lineRule="auto"/>
        <w:ind w:left="720"/>
        <w:jc w:val="right"/>
        <w:rPr>
          <w:rFonts w:ascii="Times New Roman" w:hAnsi="Times New Roman"/>
          <w:i/>
        </w:rPr>
      </w:pPr>
      <w:r w:rsidRPr="00F90087">
        <w:rPr>
          <w:rFonts w:ascii="Times New Roman" w:hAnsi="Times New Roman"/>
        </w:rPr>
        <w:t>Saiyemul Hamid</w:t>
      </w:r>
      <w:r w:rsidR="00974635" w:rsidRPr="00F90087">
        <w:rPr>
          <w:rFonts w:ascii="Times New Roman" w:hAnsi="Times New Roman"/>
        </w:rPr>
        <w:t xml:space="preserve">, </w:t>
      </w:r>
      <w:r w:rsidR="00974635" w:rsidRPr="00F90087">
        <w:rPr>
          <w:rFonts w:ascii="Times New Roman" w:hAnsi="Times New Roman"/>
          <w:i/>
        </w:rPr>
        <w:t>Financial Analyst</w:t>
      </w:r>
    </w:p>
    <w:p w14:paraId="60F37DF4" w14:textId="77777777" w:rsidR="00FC7B5E" w:rsidRPr="00F90087" w:rsidRDefault="00FC7B5E" w:rsidP="00FC7B5E">
      <w:pPr>
        <w:spacing w:after="0" w:line="240" w:lineRule="auto"/>
        <w:ind w:left="720"/>
        <w:jc w:val="right"/>
        <w:rPr>
          <w:rFonts w:ascii="Times New Roman" w:hAnsi="Times New Roman"/>
          <w:i/>
        </w:rPr>
      </w:pPr>
      <w:r w:rsidRPr="00F90087">
        <w:rPr>
          <w:rFonts w:ascii="Times New Roman" w:hAnsi="Times New Roman"/>
        </w:rPr>
        <w:t xml:space="preserve">Nicholas Montalbano, </w:t>
      </w:r>
      <w:r w:rsidRPr="00F90087">
        <w:rPr>
          <w:rFonts w:ascii="Times New Roman" w:hAnsi="Times New Roman"/>
          <w:i/>
        </w:rPr>
        <w:t>Senior Data Scientist</w:t>
      </w:r>
    </w:p>
    <w:p w14:paraId="5076806A" w14:textId="7833E502" w:rsidR="00FC7B5E" w:rsidRPr="00F90087" w:rsidRDefault="00FC7B5E" w:rsidP="00FC7B5E">
      <w:pPr>
        <w:spacing w:after="0" w:line="240" w:lineRule="auto"/>
        <w:ind w:left="720"/>
        <w:jc w:val="right"/>
        <w:rPr>
          <w:rFonts w:ascii="Times New Roman" w:hAnsi="Times New Roman"/>
          <w:i/>
        </w:rPr>
      </w:pPr>
      <w:r w:rsidRPr="00F90087">
        <w:rPr>
          <w:rFonts w:ascii="Times New Roman" w:hAnsi="Times New Roman"/>
        </w:rPr>
        <w:t xml:space="preserve">Christopher Zawora, </w:t>
      </w:r>
      <w:r w:rsidRPr="00F90087">
        <w:rPr>
          <w:rFonts w:ascii="Times New Roman" w:hAnsi="Times New Roman"/>
          <w:i/>
        </w:rPr>
        <w:t>Data Scientist</w:t>
      </w:r>
    </w:p>
    <w:p w14:paraId="28EF67DD" w14:textId="7EE9E0DD" w:rsidR="00CC416A" w:rsidRPr="00CC416A" w:rsidRDefault="00CC416A" w:rsidP="00FC7B5E">
      <w:pPr>
        <w:spacing w:after="0" w:line="240" w:lineRule="auto"/>
        <w:ind w:left="720"/>
        <w:jc w:val="right"/>
        <w:rPr>
          <w:rFonts w:ascii="Times New Roman" w:hAnsi="Times New Roman" w:cs="Times New Roman"/>
          <w:iCs/>
        </w:rPr>
      </w:pPr>
    </w:p>
    <w:p w14:paraId="6829BE30" w14:textId="7952B134" w:rsidR="00814C1C" w:rsidRPr="009A0E19" w:rsidRDefault="001C4221" w:rsidP="00F90087">
      <w:pPr>
        <w:tabs>
          <w:tab w:val="left" w:pos="0"/>
        </w:tabs>
        <w:jc w:val="center"/>
        <w:rPr>
          <w:rFonts w:ascii="Times New Roman" w:hAnsi="Times New Roman" w:cs="Times New Roman"/>
          <w:sz w:val="24"/>
          <w:szCs w:val="24"/>
        </w:rPr>
      </w:pPr>
      <w:r>
        <w:fldChar w:fldCharType="begin"/>
      </w:r>
      <w:r>
        <w:instrText xml:space="preserve"> INCLUDEPICTURE "https://upload.wikimedia.org/wikipedia/commons/thumb/2/2a/Seal_of_New_York_City_%28BW%29.svg/1920px-Seal_of_New_York_City_%28BW%29.svg.png" \* MERGEFORMATINET </w:instrText>
      </w:r>
      <w:r>
        <w:fldChar w:fldCharType="separate"/>
      </w:r>
      <w:r>
        <w:rPr>
          <w:noProof/>
        </w:rPr>
        <w:drawing>
          <wp:inline distT="0" distB="0" distL="0" distR="0" wp14:anchorId="3157D31D" wp14:editId="6B236647">
            <wp:extent cx="1468619" cy="1576568"/>
            <wp:effectExtent l="0" t="0" r="5080" b="0"/>
            <wp:docPr id="2114679664" name="Picture 211467966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5777" cy="1605722"/>
                    </a:xfrm>
                    <a:prstGeom prst="rect">
                      <a:avLst/>
                    </a:prstGeom>
                    <a:noFill/>
                    <a:ln>
                      <a:noFill/>
                    </a:ln>
                  </pic:spPr>
                </pic:pic>
              </a:graphicData>
            </a:graphic>
          </wp:inline>
        </w:drawing>
      </w:r>
      <w:r>
        <w:fldChar w:fldCharType="end"/>
      </w:r>
    </w:p>
    <w:p w14:paraId="4B59303C" w14:textId="77777777" w:rsidR="004218F9" w:rsidRDefault="00814C1C" w:rsidP="00F90087">
      <w:pPr>
        <w:tabs>
          <w:tab w:val="left" w:pos="7517"/>
        </w:tabs>
        <w:spacing w:after="0"/>
        <w:jc w:val="center"/>
        <w:rPr>
          <w:rFonts w:ascii="Times New Roman" w:hAnsi="Times New Roman" w:cs="Times New Roman"/>
          <w:b/>
          <w:bCs/>
          <w:sz w:val="24"/>
          <w:szCs w:val="24"/>
        </w:rPr>
      </w:pPr>
      <w:r w:rsidRPr="004218F9">
        <w:rPr>
          <w:rFonts w:ascii="Times New Roman" w:hAnsi="Times New Roman" w:cs="Times New Roman"/>
          <w:b/>
          <w:bCs/>
          <w:sz w:val="24"/>
          <w:szCs w:val="24"/>
        </w:rPr>
        <w:t>THE NEW YORK CITY COUNCIL</w:t>
      </w:r>
    </w:p>
    <w:p w14:paraId="348E5DF8" w14:textId="77777777" w:rsidR="004218F9" w:rsidRPr="00F90087" w:rsidRDefault="004218F9" w:rsidP="00F90087">
      <w:pPr>
        <w:tabs>
          <w:tab w:val="left" w:pos="7517"/>
        </w:tabs>
        <w:spacing w:after="0"/>
        <w:jc w:val="center"/>
        <w:rPr>
          <w:rFonts w:ascii="Times New Roman" w:hAnsi="Times New Roman"/>
          <w:b/>
          <w:sz w:val="24"/>
        </w:rPr>
      </w:pPr>
    </w:p>
    <w:p w14:paraId="60524041" w14:textId="77777777" w:rsidR="004218F9" w:rsidRPr="00F90087" w:rsidRDefault="00814C1C" w:rsidP="00F90087">
      <w:pPr>
        <w:tabs>
          <w:tab w:val="left" w:pos="7517"/>
        </w:tabs>
        <w:spacing w:after="0"/>
        <w:jc w:val="center"/>
        <w:rPr>
          <w:rFonts w:ascii="Times New Roman" w:hAnsi="Times New Roman"/>
          <w:b/>
          <w:sz w:val="24"/>
        </w:rPr>
      </w:pPr>
      <w:r w:rsidRPr="00F90087">
        <w:rPr>
          <w:rFonts w:ascii="Times New Roman" w:hAnsi="Times New Roman"/>
          <w:b/>
          <w:caps/>
          <w:sz w:val="24"/>
          <w:u w:val="single"/>
        </w:rPr>
        <w:t xml:space="preserve">BRIEFING PAPER OF THE </w:t>
      </w:r>
      <w:r w:rsidR="0095153F" w:rsidRPr="00F90087">
        <w:rPr>
          <w:rFonts w:ascii="Times New Roman" w:hAnsi="Times New Roman"/>
          <w:b/>
          <w:caps/>
          <w:sz w:val="24"/>
          <w:u w:val="single"/>
        </w:rPr>
        <w:t>LEGISLATIVE DIVISION</w:t>
      </w:r>
    </w:p>
    <w:p w14:paraId="4F5A3A38" w14:textId="77777777" w:rsidR="004218F9" w:rsidRPr="00F90087" w:rsidRDefault="00814C1C" w:rsidP="00F90087">
      <w:pPr>
        <w:tabs>
          <w:tab w:val="left" w:pos="7517"/>
        </w:tabs>
        <w:spacing w:after="0"/>
        <w:jc w:val="center"/>
        <w:rPr>
          <w:rFonts w:ascii="Times New Roman" w:hAnsi="Times New Roman"/>
          <w:b/>
          <w:sz w:val="24"/>
        </w:rPr>
      </w:pPr>
      <w:r w:rsidRPr="004218F9">
        <w:rPr>
          <w:rFonts w:ascii="Times New Roman" w:hAnsi="Times New Roman" w:cs="Times New Roman"/>
          <w:sz w:val="24"/>
          <w:szCs w:val="24"/>
        </w:rPr>
        <w:t>Andrea Vazquez,</w:t>
      </w:r>
      <w:r w:rsidRPr="004218F9">
        <w:rPr>
          <w:rFonts w:ascii="Times New Roman" w:hAnsi="Times New Roman" w:cs="Times New Roman"/>
          <w:i/>
          <w:sz w:val="24"/>
          <w:szCs w:val="24"/>
        </w:rPr>
        <w:t xml:space="preserve"> Legislative Director</w:t>
      </w:r>
    </w:p>
    <w:p w14:paraId="42C6C97B" w14:textId="77777777" w:rsidR="004218F9" w:rsidRPr="00F90087" w:rsidRDefault="00814C1C" w:rsidP="00F90087">
      <w:pPr>
        <w:tabs>
          <w:tab w:val="left" w:pos="7517"/>
        </w:tabs>
        <w:spacing w:after="0"/>
        <w:jc w:val="center"/>
        <w:rPr>
          <w:rFonts w:ascii="Times New Roman" w:hAnsi="Times New Roman"/>
          <w:b/>
          <w:sz w:val="24"/>
        </w:rPr>
      </w:pPr>
      <w:r w:rsidRPr="004218F9">
        <w:rPr>
          <w:rFonts w:ascii="Times New Roman" w:hAnsi="Times New Roman" w:cs="Times New Roman"/>
          <w:sz w:val="24"/>
          <w:szCs w:val="24"/>
        </w:rPr>
        <w:t xml:space="preserve">Bradley Reid, </w:t>
      </w:r>
      <w:r w:rsidRPr="004218F9">
        <w:rPr>
          <w:rFonts w:ascii="Times New Roman" w:hAnsi="Times New Roman" w:cs="Times New Roman"/>
          <w:i/>
          <w:sz w:val="24"/>
          <w:szCs w:val="24"/>
        </w:rPr>
        <w:t>Deputy Director, Infrastructure</w:t>
      </w:r>
    </w:p>
    <w:p w14:paraId="2091E257" w14:textId="77777777" w:rsidR="006C0CA9" w:rsidRPr="00F90087" w:rsidRDefault="008D6692" w:rsidP="00F90087">
      <w:pPr>
        <w:tabs>
          <w:tab w:val="left" w:pos="7517"/>
        </w:tabs>
        <w:spacing w:after="0"/>
        <w:jc w:val="center"/>
        <w:rPr>
          <w:rFonts w:ascii="Times New Roman" w:hAnsi="Times New Roman"/>
          <w:b/>
          <w:sz w:val="24"/>
        </w:rPr>
      </w:pPr>
      <w:r w:rsidRPr="004218F9">
        <w:rPr>
          <w:rFonts w:ascii="Times New Roman" w:hAnsi="Times New Roman" w:cs="Times New Roman"/>
          <w:sz w:val="24"/>
          <w:szCs w:val="24"/>
        </w:rPr>
        <w:t xml:space="preserve">Smita Deshmukh, </w:t>
      </w:r>
      <w:r w:rsidRPr="004218F9">
        <w:rPr>
          <w:rFonts w:ascii="Times New Roman" w:hAnsi="Times New Roman" w:cs="Times New Roman"/>
          <w:i/>
          <w:sz w:val="24"/>
          <w:szCs w:val="24"/>
        </w:rPr>
        <w:t>Deputy Director, Human Services</w:t>
      </w:r>
    </w:p>
    <w:p w14:paraId="572706A8" w14:textId="77777777" w:rsidR="006C0CA9" w:rsidRPr="00F90087" w:rsidRDefault="006C0CA9" w:rsidP="00F90087">
      <w:pPr>
        <w:tabs>
          <w:tab w:val="left" w:pos="7517"/>
        </w:tabs>
        <w:spacing w:after="0"/>
        <w:jc w:val="center"/>
        <w:rPr>
          <w:rFonts w:ascii="Times New Roman" w:hAnsi="Times New Roman"/>
          <w:b/>
          <w:sz w:val="24"/>
        </w:rPr>
      </w:pPr>
    </w:p>
    <w:p w14:paraId="6836F260" w14:textId="77777777" w:rsidR="006C0CA9" w:rsidRPr="00F90087" w:rsidRDefault="00814C1C" w:rsidP="00F90087">
      <w:pPr>
        <w:tabs>
          <w:tab w:val="left" w:pos="7517"/>
        </w:tabs>
        <w:spacing w:after="0"/>
        <w:jc w:val="center"/>
        <w:rPr>
          <w:rFonts w:ascii="Times New Roman" w:hAnsi="Times New Roman"/>
          <w:b/>
          <w:sz w:val="24"/>
        </w:rPr>
      </w:pPr>
      <w:r w:rsidRPr="004218F9">
        <w:rPr>
          <w:rFonts w:ascii="Times New Roman" w:hAnsi="Times New Roman" w:cs="Times New Roman"/>
          <w:b/>
          <w:sz w:val="24"/>
          <w:szCs w:val="24"/>
          <w:u w:val="single"/>
        </w:rPr>
        <w:t>COMMITTEE ON PUBLIC HOUSING</w:t>
      </w:r>
    </w:p>
    <w:p w14:paraId="47B4F862" w14:textId="77777777" w:rsidR="006C0CA9" w:rsidRPr="00F90087" w:rsidRDefault="00814C1C" w:rsidP="00F90087">
      <w:pPr>
        <w:tabs>
          <w:tab w:val="left" w:pos="7517"/>
        </w:tabs>
        <w:spacing w:after="0"/>
        <w:jc w:val="center"/>
        <w:rPr>
          <w:rFonts w:ascii="Times New Roman" w:hAnsi="Times New Roman"/>
          <w:b/>
          <w:sz w:val="24"/>
        </w:rPr>
      </w:pPr>
      <w:r w:rsidRPr="004218F9">
        <w:rPr>
          <w:rFonts w:ascii="Times New Roman" w:hAnsi="Times New Roman" w:cs="Times New Roman"/>
          <w:sz w:val="24"/>
          <w:szCs w:val="24"/>
        </w:rPr>
        <w:t xml:space="preserve">Hon. Alexa </w:t>
      </w:r>
      <w:r w:rsidRPr="004218F9">
        <w:rPr>
          <w:rFonts w:ascii="Times New Roman" w:hAnsi="Times New Roman" w:cs="Times New Roman"/>
          <w:sz w:val="24"/>
          <w:szCs w:val="24"/>
          <w:shd w:val="solid" w:color="FFFFFF" w:fill="FFFFFF"/>
        </w:rPr>
        <w:t>Avilés</w:t>
      </w:r>
      <w:r w:rsidRPr="004218F9">
        <w:rPr>
          <w:rFonts w:ascii="Times New Roman" w:hAnsi="Times New Roman" w:cs="Times New Roman"/>
          <w:sz w:val="24"/>
          <w:szCs w:val="24"/>
        </w:rPr>
        <w:t>,</w:t>
      </w:r>
      <w:r w:rsidRPr="004218F9">
        <w:rPr>
          <w:rFonts w:ascii="Times New Roman" w:hAnsi="Times New Roman" w:cs="Times New Roman"/>
          <w:i/>
          <w:sz w:val="24"/>
          <w:szCs w:val="24"/>
        </w:rPr>
        <w:t xml:space="preserve"> Chair</w:t>
      </w:r>
    </w:p>
    <w:p w14:paraId="7E19931D" w14:textId="77777777" w:rsidR="006C0CA9" w:rsidRPr="00F90087" w:rsidRDefault="006C0CA9" w:rsidP="00F90087">
      <w:pPr>
        <w:tabs>
          <w:tab w:val="left" w:pos="7517"/>
        </w:tabs>
        <w:spacing w:after="0"/>
        <w:jc w:val="center"/>
        <w:rPr>
          <w:rFonts w:ascii="Times New Roman" w:hAnsi="Times New Roman"/>
          <w:b/>
          <w:sz w:val="24"/>
        </w:rPr>
      </w:pPr>
    </w:p>
    <w:p w14:paraId="209F188C" w14:textId="77777777" w:rsidR="006C0CA9" w:rsidRPr="00F90087" w:rsidRDefault="00974635" w:rsidP="00F90087">
      <w:pPr>
        <w:tabs>
          <w:tab w:val="left" w:pos="7517"/>
        </w:tabs>
        <w:spacing w:after="0"/>
        <w:jc w:val="center"/>
        <w:rPr>
          <w:rFonts w:ascii="Times New Roman" w:hAnsi="Times New Roman"/>
          <w:b/>
          <w:sz w:val="24"/>
        </w:rPr>
      </w:pPr>
      <w:r w:rsidRPr="004218F9">
        <w:rPr>
          <w:rFonts w:ascii="Times New Roman" w:hAnsi="Times New Roman" w:cs="Times New Roman"/>
          <w:b/>
          <w:sz w:val="24"/>
          <w:szCs w:val="24"/>
          <w:u w:val="single"/>
        </w:rPr>
        <w:t>COMMITTEE ON AGING</w:t>
      </w:r>
    </w:p>
    <w:p w14:paraId="325CD3F3" w14:textId="77777777" w:rsidR="006C0CA9" w:rsidRPr="00F90087" w:rsidRDefault="00974635" w:rsidP="00F90087">
      <w:pPr>
        <w:tabs>
          <w:tab w:val="left" w:pos="7517"/>
        </w:tabs>
        <w:spacing w:after="0"/>
        <w:jc w:val="center"/>
        <w:rPr>
          <w:rFonts w:ascii="Times New Roman" w:hAnsi="Times New Roman"/>
          <w:b/>
          <w:sz w:val="24"/>
        </w:rPr>
      </w:pPr>
      <w:r w:rsidRPr="004218F9">
        <w:rPr>
          <w:rFonts w:ascii="Times New Roman" w:hAnsi="Times New Roman" w:cs="Times New Roman"/>
          <w:sz w:val="24"/>
          <w:szCs w:val="24"/>
        </w:rPr>
        <w:t>Hon. Crystal Hudson,</w:t>
      </w:r>
      <w:r w:rsidRPr="004218F9">
        <w:rPr>
          <w:rFonts w:ascii="Times New Roman" w:hAnsi="Times New Roman" w:cs="Times New Roman"/>
          <w:i/>
          <w:sz w:val="24"/>
          <w:szCs w:val="24"/>
        </w:rPr>
        <w:t xml:space="preserve"> Chair</w:t>
      </w:r>
    </w:p>
    <w:p w14:paraId="70CF3EC8" w14:textId="77777777" w:rsidR="006C0CA9" w:rsidRPr="00F90087" w:rsidRDefault="006C0CA9" w:rsidP="00F90087">
      <w:pPr>
        <w:tabs>
          <w:tab w:val="left" w:pos="7517"/>
        </w:tabs>
        <w:spacing w:after="0"/>
        <w:jc w:val="center"/>
        <w:rPr>
          <w:rFonts w:ascii="Times New Roman" w:hAnsi="Times New Roman"/>
          <w:b/>
          <w:sz w:val="24"/>
        </w:rPr>
      </w:pPr>
    </w:p>
    <w:p w14:paraId="77DD960C" w14:textId="77777777" w:rsidR="006C0CA9" w:rsidRPr="00F90087" w:rsidRDefault="00974635" w:rsidP="00F90087">
      <w:pPr>
        <w:tabs>
          <w:tab w:val="left" w:pos="7517"/>
        </w:tabs>
        <w:spacing w:after="0"/>
        <w:jc w:val="center"/>
        <w:rPr>
          <w:rFonts w:ascii="Times New Roman" w:hAnsi="Times New Roman"/>
          <w:b/>
          <w:sz w:val="24"/>
        </w:rPr>
      </w:pPr>
      <w:r w:rsidRPr="004218F9">
        <w:rPr>
          <w:rFonts w:ascii="Times New Roman" w:eastAsia="Times New Roman" w:hAnsi="Times New Roman" w:cs="Times New Roman"/>
          <w:b/>
          <w:bCs/>
          <w:sz w:val="24"/>
          <w:szCs w:val="24"/>
        </w:rPr>
        <w:t>November 30,</w:t>
      </w:r>
      <w:r w:rsidR="00814C1C" w:rsidRPr="004218F9">
        <w:rPr>
          <w:rFonts w:ascii="Times New Roman" w:eastAsia="Times New Roman" w:hAnsi="Times New Roman" w:cs="Times New Roman"/>
          <w:b/>
          <w:bCs/>
          <w:sz w:val="24"/>
          <w:szCs w:val="24"/>
        </w:rPr>
        <w:t xml:space="preserve"> 2023</w:t>
      </w:r>
    </w:p>
    <w:p w14:paraId="4D8FA8AB" w14:textId="77777777" w:rsidR="006C0CA9" w:rsidRPr="00F90087" w:rsidRDefault="006C0CA9" w:rsidP="00F90087">
      <w:pPr>
        <w:tabs>
          <w:tab w:val="left" w:pos="7517"/>
        </w:tabs>
        <w:spacing w:after="0"/>
        <w:jc w:val="center"/>
        <w:rPr>
          <w:rFonts w:ascii="Times New Roman" w:hAnsi="Times New Roman"/>
          <w:b/>
          <w:sz w:val="24"/>
        </w:rPr>
      </w:pPr>
    </w:p>
    <w:p w14:paraId="54492C7E" w14:textId="32BF5925" w:rsidR="006C0CA9" w:rsidRDefault="006C0CA9" w:rsidP="00F90087">
      <w:pPr>
        <w:tabs>
          <w:tab w:val="left" w:pos="7517"/>
        </w:tabs>
        <w:spacing w:after="0"/>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Overs</w:t>
      </w:r>
      <w:r w:rsidR="008308F8">
        <w:rPr>
          <w:rFonts w:ascii="Times New Roman" w:eastAsia="Times New Roman" w:hAnsi="Times New Roman" w:cs="Times New Roman"/>
          <w:b/>
          <w:sz w:val="24"/>
          <w:szCs w:val="24"/>
          <w:u w:val="single"/>
        </w:rPr>
        <w:t xml:space="preserve">ight: </w:t>
      </w:r>
      <w:r w:rsidR="006D63E2" w:rsidRPr="004218F9">
        <w:rPr>
          <w:rFonts w:ascii="Times New Roman" w:eastAsia="Times New Roman" w:hAnsi="Times New Roman" w:cs="Times New Roman"/>
          <w:b/>
          <w:sz w:val="24"/>
          <w:szCs w:val="24"/>
          <w:u w:val="single"/>
        </w:rPr>
        <w:t>DOORS, LOCKS AND LIGHTS:</w:t>
      </w:r>
    </w:p>
    <w:p w14:paraId="510743C0" w14:textId="146726D3" w:rsidR="00D04522" w:rsidRPr="004218F9" w:rsidRDefault="006D63E2" w:rsidP="00F90087">
      <w:pPr>
        <w:tabs>
          <w:tab w:val="left" w:pos="7517"/>
        </w:tabs>
        <w:spacing w:after="0"/>
        <w:jc w:val="center"/>
        <w:rPr>
          <w:rFonts w:ascii="Times New Roman" w:eastAsia="Calibri" w:hAnsi="Times New Roman" w:cs="Times New Roman"/>
          <w:b/>
          <w:i/>
          <w:iCs/>
          <w:sz w:val="24"/>
          <w:szCs w:val="24"/>
          <w:u w:val="single"/>
          <w:lang w:eastAsia="zh-CN"/>
        </w:rPr>
      </w:pPr>
      <w:r w:rsidRPr="004218F9">
        <w:rPr>
          <w:rFonts w:ascii="Times New Roman" w:eastAsia="Times New Roman" w:hAnsi="Times New Roman" w:cs="Times New Roman"/>
          <w:b/>
          <w:sz w:val="24"/>
          <w:szCs w:val="24"/>
          <w:u w:val="single"/>
        </w:rPr>
        <w:t>THE INFRASTRUCTURE OF RESIDENT SAFETY AT NYCHA</w:t>
      </w:r>
    </w:p>
    <w:p w14:paraId="489AF88C" w14:textId="22BFE3BE" w:rsidR="006D63E2" w:rsidRPr="004218F9" w:rsidRDefault="006D63E2" w:rsidP="00F90087">
      <w:pPr>
        <w:suppressAutoHyphens/>
        <w:spacing w:after="0" w:line="480" w:lineRule="auto"/>
        <w:ind w:left="720"/>
        <w:jc w:val="center"/>
        <w:rPr>
          <w:rFonts w:ascii="Times New Roman" w:eastAsia="Calibri" w:hAnsi="Times New Roman" w:cs="Times New Roman"/>
          <w:b/>
          <w:bCs/>
          <w:iCs/>
          <w:sz w:val="24"/>
          <w:szCs w:val="24"/>
          <w:u w:val="single"/>
          <w:lang w:eastAsia="zh-CN"/>
        </w:rPr>
      </w:pPr>
    </w:p>
    <w:p w14:paraId="3690A4C7" w14:textId="0289B4F8" w:rsidR="0073005C" w:rsidRDefault="0073005C">
      <w:pPr>
        <w:rPr>
          <w:rFonts w:ascii="Times New Roman" w:eastAsia="Calibri" w:hAnsi="Times New Roman" w:cs="Times New Roman"/>
          <w:b/>
          <w:bCs/>
          <w:iCs/>
          <w:sz w:val="24"/>
          <w:szCs w:val="24"/>
          <w:u w:val="single"/>
          <w:lang w:eastAsia="zh-CN"/>
        </w:rPr>
      </w:pPr>
      <w:r>
        <w:rPr>
          <w:rFonts w:ascii="Times New Roman" w:eastAsia="Calibri" w:hAnsi="Times New Roman" w:cs="Times New Roman"/>
          <w:b/>
          <w:bCs/>
          <w:iCs/>
          <w:sz w:val="24"/>
          <w:szCs w:val="24"/>
          <w:u w:val="single"/>
          <w:lang w:eastAsia="zh-CN"/>
        </w:rPr>
        <w:br w:type="page"/>
      </w:r>
    </w:p>
    <w:p w14:paraId="200813A0" w14:textId="09D5B99A" w:rsidR="00814C1C" w:rsidRPr="009A0E19" w:rsidRDefault="00814C1C" w:rsidP="00E36E40">
      <w:pPr>
        <w:suppressAutoHyphens/>
        <w:spacing w:after="0" w:line="480" w:lineRule="auto"/>
        <w:jc w:val="both"/>
        <w:rPr>
          <w:rFonts w:ascii="Times New Roman" w:eastAsia="Calibri" w:hAnsi="Times New Roman" w:cs="Times New Roman"/>
          <w:b/>
          <w:bCs/>
          <w:iCs/>
          <w:sz w:val="24"/>
          <w:szCs w:val="24"/>
          <w:u w:val="single"/>
          <w:lang w:eastAsia="zh-CN"/>
        </w:rPr>
      </w:pPr>
      <w:r w:rsidRPr="009A0E19">
        <w:rPr>
          <w:rFonts w:ascii="Times New Roman" w:eastAsia="Calibri" w:hAnsi="Times New Roman" w:cs="Times New Roman"/>
          <w:b/>
          <w:bCs/>
          <w:iCs/>
          <w:sz w:val="24"/>
          <w:szCs w:val="24"/>
          <w:u w:val="single"/>
          <w:lang w:eastAsia="zh-CN"/>
        </w:rPr>
        <w:lastRenderedPageBreak/>
        <w:t>INTRODUCTION</w:t>
      </w:r>
    </w:p>
    <w:p w14:paraId="70E5A382" w14:textId="059ABE2A" w:rsidR="00814C1C" w:rsidRPr="009A0E19" w:rsidRDefault="00814C1C" w:rsidP="00E36E40">
      <w:pPr>
        <w:spacing w:after="0" w:line="480" w:lineRule="auto"/>
        <w:ind w:firstLine="720"/>
        <w:contextualSpacing/>
        <w:jc w:val="both"/>
        <w:rPr>
          <w:rFonts w:ascii="Times New Roman" w:eastAsia="Times New Roman" w:hAnsi="Times New Roman" w:cs="Times New Roman"/>
          <w:sz w:val="24"/>
          <w:szCs w:val="24"/>
        </w:rPr>
      </w:pPr>
      <w:r w:rsidRPr="009A0E19">
        <w:rPr>
          <w:rFonts w:ascii="Times New Roman" w:eastAsia="Times New Roman" w:hAnsi="Times New Roman" w:cs="Times New Roman"/>
          <w:sz w:val="24"/>
          <w:szCs w:val="24"/>
        </w:rPr>
        <w:t xml:space="preserve">On </w:t>
      </w:r>
      <w:r w:rsidR="008D6692" w:rsidRPr="009A0E19">
        <w:rPr>
          <w:rFonts w:ascii="Times New Roman" w:eastAsia="Times New Roman" w:hAnsi="Times New Roman" w:cs="Times New Roman"/>
          <w:sz w:val="24"/>
          <w:szCs w:val="24"/>
        </w:rPr>
        <w:t>November</w:t>
      </w:r>
      <w:r w:rsidR="009A0E19">
        <w:rPr>
          <w:rFonts w:ascii="Times New Roman" w:eastAsia="Times New Roman" w:hAnsi="Times New Roman" w:cs="Times New Roman"/>
          <w:sz w:val="24"/>
          <w:szCs w:val="24"/>
        </w:rPr>
        <w:t xml:space="preserve"> 30</w:t>
      </w:r>
      <w:r w:rsidRPr="009A0E19">
        <w:rPr>
          <w:rFonts w:ascii="Times New Roman" w:eastAsia="Times New Roman" w:hAnsi="Times New Roman" w:cs="Times New Roman"/>
          <w:sz w:val="24"/>
          <w:szCs w:val="24"/>
        </w:rPr>
        <w:t>, 2023, the Committee on Public Housing, chaired by Council Member Alexa Avilés,</w:t>
      </w:r>
      <w:r w:rsidR="008D6692" w:rsidRPr="009A0E19">
        <w:rPr>
          <w:rFonts w:ascii="Times New Roman" w:eastAsia="Times New Roman" w:hAnsi="Times New Roman" w:cs="Times New Roman"/>
          <w:sz w:val="24"/>
          <w:szCs w:val="24"/>
        </w:rPr>
        <w:t xml:space="preserve"> and the Committee on Aging</w:t>
      </w:r>
      <w:r w:rsidR="004F3A92">
        <w:rPr>
          <w:rFonts w:ascii="Times New Roman" w:eastAsia="Times New Roman" w:hAnsi="Times New Roman" w:cs="Times New Roman"/>
          <w:sz w:val="24"/>
          <w:szCs w:val="24"/>
        </w:rPr>
        <w:t>,</w:t>
      </w:r>
      <w:r w:rsidR="009A0E19">
        <w:rPr>
          <w:rFonts w:ascii="Times New Roman" w:eastAsia="Times New Roman" w:hAnsi="Times New Roman" w:cs="Times New Roman"/>
          <w:sz w:val="24"/>
          <w:szCs w:val="24"/>
        </w:rPr>
        <w:t xml:space="preserve"> chaired by Council </w:t>
      </w:r>
      <w:r w:rsidR="00F92368">
        <w:rPr>
          <w:rFonts w:ascii="Times New Roman" w:eastAsia="Times New Roman" w:hAnsi="Times New Roman" w:cs="Times New Roman"/>
          <w:sz w:val="24"/>
          <w:szCs w:val="24"/>
        </w:rPr>
        <w:t xml:space="preserve">Member </w:t>
      </w:r>
      <w:r w:rsidR="009A0E19">
        <w:rPr>
          <w:rFonts w:ascii="Times New Roman" w:eastAsia="Times New Roman" w:hAnsi="Times New Roman" w:cs="Times New Roman"/>
          <w:sz w:val="24"/>
          <w:szCs w:val="24"/>
        </w:rPr>
        <w:t>Crystal Hudson</w:t>
      </w:r>
      <w:r w:rsidR="004F3A92">
        <w:rPr>
          <w:rFonts w:ascii="Times New Roman" w:eastAsia="Times New Roman" w:hAnsi="Times New Roman" w:cs="Times New Roman"/>
          <w:sz w:val="24"/>
          <w:szCs w:val="24"/>
        </w:rPr>
        <w:t>,</w:t>
      </w:r>
      <w:r w:rsidR="009A0E19">
        <w:rPr>
          <w:rFonts w:ascii="Times New Roman" w:eastAsia="Times New Roman" w:hAnsi="Times New Roman" w:cs="Times New Roman"/>
          <w:sz w:val="24"/>
          <w:szCs w:val="24"/>
        </w:rPr>
        <w:t xml:space="preserve"> will hold a joint </w:t>
      </w:r>
      <w:r w:rsidRPr="009A0E19">
        <w:rPr>
          <w:rFonts w:ascii="Times New Roman" w:eastAsia="Times New Roman" w:hAnsi="Times New Roman" w:cs="Times New Roman"/>
          <w:sz w:val="24"/>
          <w:szCs w:val="24"/>
        </w:rPr>
        <w:t xml:space="preserve">oversight hearing titled </w:t>
      </w:r>
      <w:r w:rsidR="00AE69FC" w:rsidRPr="009A0E19">
        <w:rPr>
          <w:rFonts w:ascii="Times New Roman" w:eastAsia="Times New Roman" w:hAnsi="Times New Roman" w:cs="Times New Roman"/>
          <w:sz w:val="24"/>
          <w:szCs w:val="24"/>
        </w:rPr>
        <w:t>“</w:t>
      </w:r>
      <w:r w:rsidR="008D6692" w:rsidRPr="009A0E19">
        <w:rPr>
          <w:rFonts w:ascii="Times New Roman" w:eastAsia="Times New Roman" w:hAnsi="Times New Roman" w:cs="Times New Roman"/>
          <w:sz w:val="24"/>
          <w:szCs w:val="24"/>
        </w:rPr>
        <w:t>Doors, Locks and Lights: The Infrastructure of Resident Safety at NYCHA</w:t>
      </w:r>
      <w:r w:rsidR="00AE69FC" w:rsidRPr="009A0E19">
        <w:rPr>
          <w:rFonts w:ascii="Times New Roman" w:eastAsia="Times New Roman" w:hAnsi="Times New Roman" w:cs="Times New Roman"/>
          <w:sz w:val="24"/>
          <w:szCs w:val="24"/>
        </w:rPr>
        <w:t>.</w:t>
      </w:r>
      <w:r w:rsidRPr="009A0E19">
        <w:rPr>
          <w:rFonts w:ascii="Times New Roman" w:eastAsia="Times New Roman" w:hAnsi="Times New Roman" w:cs="Times New Roman"/>
          <w:sz w:val="24"/>
          <w:szCs w:val="24"/>
        </w:rPr>
        <w:t>” At the hearing, the Committee</w:t>
      </w:r>
      <w:r w:rsidR="0015334D">
        <w:rPr>
          <w:rFonts w:ascii="Times New Roman" w:eastAsia="Times New Roman" w:hAnsi="Times New Roman" w:cs="Times New Roman"/>
          <w:sz w:val="24"/>
          <w:szCs w:val="24"/>
        </w:rPr>
        <w:t>s</w:t>
      </w:r>
      <w:r w:rsidRPr="009A0E19">
        <w:rPr>
          <w:rFonts w:ascii="Times New Roman" w:eastAsia="Times New Roman" w:hAnsi="Times New Roman" w:cs="Times New Roman"/>
          <w:sz w:val="24"/>
          <w:szCs w:val="24"/>
        </w:rPr>
        <w:t xml:space="preserve"> expect to hear testimony from the New York City Housing Authority (“NYCHA”) </w:t>
      </w:r>
      <w:r w:rsidR="005907DF" w:rsidRPr="009A0E19">
        <w:rPr>
          <w:rFonts w:ascii="Times New Roman" w:eastAsia="Times New Roman" w:hAnsi="Times New Roman" w:cs="Times New Roman"/>
          <w:sz w:val="24"/>
          <w:szCs w:val="24"/>
        </w:rPr>
        <w:t>about</w:t>
      </w:r>
      <w:r w:rsidR="008D6692" w:rsidRPr="009A0E19">
        <w:rPr>
          <w:rFonts w:ascii="Times New Roman" w:eastAsia="Times New Roman" w:hAnsi="Times New Roman" w:cs="Times New Roman"/>
          <w:sz w:val="24"/>
          <w:szCs w:val="24"/>
        </w:rPr>
        <w:t xml:space="preserve"> </w:t>
      </w:r>
      <w:r w:rsidR="009A0E19">
        <w:rPr>
          <w:rFonts w:ascii="Times New Roman" w:eastAsia="Times New Roman" w:hAnsi="Times New Roman" w:cs="Times New Roman"/>
          <w:sz w:val="24"/>
          <w:szCs w:val="24"/>
        </w:rPr>
        <w:t>the safety and security measures under NYCHA’s control</w:t>
      </w:r>
      <w:r w:rsidR="00250309">
        <w:rPr>
          <w:rFonts w:ascii="Times New Roman" w:eastAsia="Times New Roman" w:hAnsi="Times New Roman" w:cs="Times New Roman"/>
          <w:sz w:val="24"/>
          <w:szCs w:val="24"/>
        </w:rPr>
        <w:t>,</w:t>
      </w:r>
      <w:r w:rsidR="009A0E19">
        <w:rPr>
          <w:rFonts w:ascii="Times New Roman" w:eastAsia="Times New Roman" w:hAnsi="Times New Roman" w:cs="Times New Roman"/>
          <w:sz w:val="24"/>
          <w:szCs w:val="24"/>
        </w:rPr>
        <w:t xml:space="preserve"> </w:t>
      </w:r>
      <w:r w:rsidR="0015334D">
        <w:rPr>
          <w:rFonts w:ascii="Times New Roman" w:eastAsia="Times New Roman" w:hAnsi="Times New Roman" w:cs="Times New Roman"/>
          <w:sz w:val="24"/>
          <w:szCs w:val="24"/>
        </w:rPr>
        <w:t>and more particularly about</w:t>
      </w:r>
      <w:r w:rsidR="00250309">
        <w:rPr>
          <w:rFonts w:ascii="Times New Roman" w:eastAsia="Times New Roman" w:hAnsi="Times New Roman" w:cs="Times New Roman"/>
          <w:sz w:val="24"/>
          <w:szCs w:val="24"/>
        </w:rPr>
        <w:t xml:space="preserve"> </w:t>
      </w:r>
      <w:r w:rsidR="009A0E19">
        <w:rPr>
          <w:rFonts w:ascii="Times New Roman" w:eastAsia="Times New Roman" w:hAnsi="Times New Roman" w:cs="Times New Roman"/>
          <w:sz w:val="24"/>
          <w:szCs w:val="24"/>
        </w:rPr>
        <w:t xml:space="preserve">efforts focused on the safety of </w:t>
      </w:r>
      <w:r w:rsidR="00FC7B5E">
        <w:rPr>
          <w:rFonts w:ascii="Times New Roman" w:eastAsia="Times New Roman" w:hAnsi="Times New Roman" w:cs="Times New Roman"/>
          <w:sz w:val="24"/>
          <w:szCs w:val="24"/>
        </w:rPr>
        <w:t xml:space="preserve">older adult </w:t>
      </w:r>
      <w:r w:rsidR="009A0E19">
        <w:rPr>
          <w:rFonts w:ascii="Times New Roman" w:eastAsia="Times New Roman" w:hAnsi="Times New Roman" w:cs="Times New Roman"/>
          <w:sz w:val="24"/>
          <w:szCs w:val="24"/>
        </w:rPr>
        <w:t>NYCHA</w:t>
      </w:r>
      <w:r w:rsidR="002D2A00">
        <w:rPr>
          <w:rFonts w:ascii="Times New Roman" w:eastAsia="Times New Roman" w:hAnsi="Times New Roman" w:cs="Times New Roman"/>
          <w:sz w:val="24"/>
          <w:szCs w:val="24"/>
        </w:rPr>
        <w:t xml:space="preserve"> residents</w:t>
      </w:r>
      <w:r w:rsidR="002C5F65" w:rsidRPr="009A0E19">
        <w:rPr>
          <w:rFonts w:ascii="Times New Roman" w:eastAsia="Times New Roman" w:hAnsi="Times New Roman" w:cs="Times New Roman"/>
          <w:sz w:val="24"/>
          <w:szCs w:val="24"/>
        </w:rPr>
        <w:t xml:space="preserve">. </w:t>
      </w:r>
      <w:r w:rsidRPr="009A0E19">
        <w:rPr>
          <w:rFonts w:ascii="Times New Roman" w:eastAsia="Times New Roman" w:hAnsi="Times New Roman" w:cs="Times New Roman"/>
          <w:sz w:val="24"/>
          <w:szCs w:val="24"/>
        </w:rPr>
        <w:t xml:space="preserve">Witnesses invited to testify include </w:t>
      </w:r>
      <w:r w:rsidR="000E6FD3">
        <w:rPr>
          <w:rFonts w:ascii="Times New Roman" w:eastAsia="Times New Roman" w:hAnsi="Times New Roman" w:cs="Times New Roman"/>
          <w:sz w:val="24"/>
          <w:szCs w:val="24"/>
        </w:rPr>
        <w:t xml:space="preserve">the New York City </w:t>
      </w:r>
      <w:r w:rsidR="00BB1B25">
        <w:rPr>
          <w:rFonts w:ascii="Times New Roman" w:eastAsia="Times New Roman" w:hAnsi="Times New Roman" w:cs="Times New Roman"/>
          <w:sz w:val="24"/>
          <w:szCs w:val="24"/>
        </w:rPr>
        <w:t xml:space="preserve">(“NYC” or “City”) </w:t>
      </w:r>
      <w:r w:rsidR="000E6FD3">
        <w:rPr>
          <w:rFonts w:ascii="Times New Roman" w:eastAsia="Times New Roman" w:hAnsi="Times New Roman" w:cs="Times New Roman"/>
          <w:sz w:val="24"/>
          <w:szCs w:val="24"/>
        </w:rPr>
        <w:t>Department for the Aging (</w:t>
      </w:r>
      <w:r w:rsidR="00137C95">
        <w:rPr>
          <w:rFonts w:ascii="Times New Roman" w:eastAsia="Times New Roman" w:hAnsi="Times New Roman" w:cs="Times New Roman"/>
          <w:sz w:val="24"/>
          <w:szCs w:val="24"/>
        </w:rPr>
        <w:t>“</w:t>
      </w:r>
      <w:r w:rsidR="000E6FD3">
        <w:rPr>
          <w:rFonts w:ascii="Times New Roman" w:eastAsia="Times New Roman" w:hAnsi="Times New Roman" w:cs="Times New Roman"/>
          <w:sz w:val="24"/>
          <w:szCs w:val="24"/>
        </w:rPr>
        <w:t>DFTA</w:t>
      </w:r>
      <w:r w:rsidR="00137C95">
        <w:rPr>
          <w:rFonts w:ascii="Times New Roman" w:eastAsia="Times New Roman" w:hAnsi="Times New Roman" w:cs="Times New Roman"/>
          <w:sz w:val="24"/>
          <w:szCs w:val="24"/>
        </w:rPr>
        <w:t>”</w:t>
      </w:r>
      <w:r w:rsidR="000E6FD3">
        <w:rPr>
          <w:rFonts w:ascii="Times New Roman" w:eastAsia="Times New Roman" w:hAnsi="Times New Roman" w:cs="Times New Roman"/>
          <w:sz w:val="24"/>
          <w:szCs w:val="24"/>
        </w:rPr>
        <w:t xml:space="preserve">), </w:t>
      </w:r>
      <w:r w:rsidRPr="009A0E19">
        <w:rPr>
          <w:rFonts w:ascii="Times New Roman" w:eastAsia="Times New Roman" w:hAnsi="Times New Roman" w:cs="Times New Roman"/>
          <w:sz w:val="24"/>
          <w:szCs w:val="24"/>
        </w:rPr>
        <w:t xml:space="preserve">NYCHA residents, </w:t>
      </w:r>
      <w:r w:rsidR="002C5F65" w:rsidRPr="009A0E19">
        <w:rPr>
          <w:rFonts w:ascii="Times New Roman" w:eastAsia="Times New Roman" w:hAnsi="Times New Roman" w:cs="Times New Roman"/>
          <w:sz w:val="24"/>
          <w:szCs w:val="24"/>
        </w:rPr>
        <w:t>advocates</w:t>
      </w:r>
      <w:r w:rsidRPr="009A0E19">
        <w:rPr>
          <w:rFonts w:ascii="Times New Roman" w:eastAsia="Times New Roman" w:hAnsi="Times New Roman" w:cs="Times New Roman"/>
          <w:sz w:val="24"/>
          <w:szCs w:val="24"/>
        </w:rPr>
        <w:t>, and other interested parties.</w:t>
      </w:r>
    </w:p>
    <w:p w14:paraId="34BEAFE2" w14:textId="77777777" w:rsidR="00D431CE" w:rsidRPr="009A0E19" w:rsidRDefault="00D431CE" w:rsidP="00E36E40">
      <w:pPr>
        <w:suppressAutoHyphens/>
        <w:spacing w:after="0" w:line="480" w:lineRule="auto"/>
        <w:contextualSpacing/>
        <w:jc w:val="both"/>
        <w:rPr>
          <w:rFonts w:ascii="Times New Roman" w:eastAsia="Calibri" w:hAnsi="Times New Roman" w:cs="Times New Roman"/>
          <w:b/>
          <w:i/>
          <w:iCs/>
          <w:sz w:val="24"/>
          <w:szCs w:val="24"/>
          <w:lang w:eastAsia="zh-CN"/>
        </w:rPr>
      </w:pPr>
      <w:r w:rsidRPr="009A0E19">
        <w:rPr>
          <w:rFonts w:ascii="Times New Roman" w:eastAsia="Calibri" w:hAnsi="Times New Roman" w:cs="Times New Roman"/>
          <w:b/>
          <w:i/>
          <w:iCs/>
          <w:sz w:val="24"/>
          <w:szCs w:val="24"/>
          <w:lang w:eastAsia="zh-CN"/>
        </w:rPr>
        <w:t>BACKGROUND ON NYCHA AND PUBLIC HOUSING</w:t>
      </w:r>
    </w:p>
    <w:p w14:paraId="126E3C1C" w14:textId="54456C5B" w:rsidR="00D431CE" w:rsidRPr="009A0E19" w:rsidRDefault="00D431CE" w:rsidP="00E36E40">
      <w:pPr>
        <w:suppressAutoHyphens/>
        <w:spacing w:after="0" w:line="480" w:lineRule="auto"/>
        <w:ind w:firstLine="720"/>
        <w:contextualSpacing/>
        <w:jc w:val="both"/>
        <w:rPr>
          <w:rFonts w:ascii="Times New Roman" w:eastAsia="Calibri" w:hAnsi="Times New Roman" w:cs="Times New Roman"/>
          <w:sz w:val="24"/>
          <w:szCs w:val="24"/>
          <w:lang w:eastAsia="zh-CN"/>
        </w:rPr>
      </w:pPr>
      <w:r w:rsidRPr="009A0E19">
        <w:rPr>
          <w:rFonts w:ascii="Times New Roman" w:eastAsia="Calibri" w:hAnsi="Times New Roman" w:cs="Times New Roman"/>
          <w:sz w:val="24"/>
          <w:szCs w:val="24"/>
          <w:lang w:eastAsia="zh-CN"/>
        </w:rPr>
        <w:t xml:space="preserve">Former </w:t>
      </w:r>
      <w:r w:rsidR="00137C95">
        <w:rPr>
          <w:rFonts w:ascii="Times New Roman" w:eastAsia="Calibri" w:hAnsi="Times New Roman" w:cs="Times New Roman"/>
          <w:sz w:val="24"/>
          <w:szCs w:val="24"/>
          <w:lang w:eastAsia="zh-CN"/>
        </w:rPr>
        <w:t>NYC</w:t>
      </w:r>
      <w:r w:rsidRPr="009A0E19">
        <w:rPr>
          <w:rFonts w:ascii="Times New Roman" w:eastAsia="Calibri" w:hAnsi="Times New Roman" w:cs="Times New Roman"/>
          <w:sz w:val="24"/>
          <w:szCs w:val="24"/>
          <w:lang w:eastAsia="zh-CN"/>
        </w:rPr>
        <w:t xml:space="preserve"> Mayor Fiorello La Guardia created NYCHA in 1934 </w:t>
      </w:r>
      <w:r w:rsidRPr="009A0E19">
        <w:rPr>
          <w:rFonts w:ascii="Times New Roman" w:eastAsia="Times New Roman" w:hAnsi="Times New Roman" w:cs="Times New Roman"/>
          <w:sz w:val="24"/>
          <w:szCs w:val="24"/>
          <w:lang w:eastAsia="zh-CN"/>
        </w:rPr>
        <w:t>to replace dilapidated tenements using funds from The New Deal,</w:t>
      </w:r>
      <w:r w:rsidRPr="009A0E19">
        <w:rPr>
          <w:rFonts w:ascii="Times New Roman" w:eastAsia="Times New Roman" w:hAnsi="Times New Roman" w:cs="Times New Roman"/>
          <w:sz w:val="24"/>
          <w:szCs w:val="24"/>
          <w:vertAlign w:val="superscript"/>
          <w:lang w:eastAsia="zh-CN"/>
        </w:rPr>
        <w:footnoteReference w:id="2"/>
      </w:r>
      <w:r w:rsidRPr="009A0E19">
        <w:rPr>
          <w:rFonts w:ascii="Times New Roman" w:eastAsia="Times New Roman" w:hAnsi="Times New Roman" w:cs="Times New Roman"/>
          <w:sz w:val="24"/>
          <w:szCs w:val="24"/>
          <w:lang w:eastAsia="zh-CN"/>
        </w:rPr>
        <w:t xml:space="preserve"> three years before the Housing Act of 1937 established public housing nationwide.</w:t>
      </w:r>
      <w:r w:rsidRPr="009A0E19">
        <w:rPr>
          <w:rFonts w:ascii="Times New Roman" w:eastAsia="Times New Roman" w:hAnsi="Times New Roman" w:cs="Times New Roman"/>
          <w:sz w:val="24"/>
          <w:szCs w:val="24"/>
          <w:vertAlign w:val="superscript"/>
          <w:lang w:eastAsia="zh-CN"/>
        </w:rPr>
        <w:footnoteReference w:id="3"/>
      </w:r>
      <w:r w:rsidRPr="009A0E19">
        <w:rPr>
          <w:rFonts w:ascii="Times New Roman" w:eastAsia="Times New Roman" w:hAnsi="Times New Roman" w:cs="Times New Roman"/>
          <w:sz w:val="24"/>
          <w:szCs w:val="24"/>
          <w:lang w:eastAsia="zh-CN"/>
        </w:rPr>
        <w:t xml:space="preserve"> </w:t>
      </w:r>
      <w:r w:rsidRPr="009A0E19">
        <w:rPr>
          <w:rFonts w:ascii="Times New Roman" w:eastAsia="Calibri" w:hAnsi="Times New Roman" w:cs="Times New Roman"/>
          <w:sz w:val="24"/>
          <w:szCs w:val="24"/>
          <w:lang w:eastAsia="zh-CN"/>
        </w:rPr>
        <w:t xml:space="preserve">NYCHA originally served two purposes: (1) to provide low-cost housing for middle-class, working families temporarily unemployed </w:t>
      </w:r>
      <w:r w:rsidR="00F17F18">
        <w:rPr>
          <w:rFonts w:ascii="Times New Roman" w:eastAsia="Calibri" w:hAnsi="Times New Roman" w:cs="Times New Roman"/>
          <w:sz w:val="24"/>
          <w:szCs w:val="24"/>
          <w:lang w:eastAsia="zh-CN"/>
        </w:rPr>
        <w:t>due to</w:t>
      </w:r>
      <w:r w:rsidRPr="009A0E19">
        <w:rPr>
          <w:rFonts w:ascii="Times New Roman" w:eastAsia="Calibri" w:hAnsi="Times New Roman" w:cs="Times New Roman"/>
          <w:sz w:val="24"/>
          <w:szCs w:val="24"/>
          <w:lang w:eastAsia="zh-CN"/>
        </w:rPr>
        <w:t xml:space="preserve"> the Great Depression</w:t>
      </w:r>
      <w:r w:rsidR="00F17F18">
        <w:rPr>
          <w:rFonts w:ascii="Times New Roman" w:eastAsia="Calibri" w:hAnsi="Times New Roman" w:cs="Times New Roman"/>
          <w:sz w:val="24"/>
          <w:szCs w:val="24"/>
          <w:lang w:eastAsia="zh-CN"/>
        </w:rPr>
        <w:t>;</w:t>
      </w:r>
      <w:r w:rsidRPr="009A0E19">
        <w:rPr>
          <w:rFonts w:ascii="Times New Roman" w:eastAsia="Calibri" w:hAnsi="Times New Roman" w:cs="Times New Roman"/>
          <w:sz w:val="24"/>
          <w:szCs w:val="24"/>
          <w:lang w:eastAsia="zh-CN"/>
        </w:rPr>
        <w:t xml:space="preserve"> and (2) to bolster the lagging economy by creating jobs for the building trades.</w:t>
      </w:r>
      <w:r w:rsidRPr="009A0E19">
        <w:rPr>
          <w:rFonts w:ascii="Times New Roman" w:eastAsia="Calibri" w:hAnsi="Times New Roman" w:cs="Times New Roman"/>
          <w:sz w:val="24"/>
          <w:szCs w:val="24"/>
          <w:vertAlign w:val="superscript"/>
          <w:lang w:eastAsia="zh-CN"/>
        </w:rPr>
        <w:footnoteReference w:id="4"/>
      </w:r>
      <w:r w:rsidRPr="009A0E19">
        <w:rPr>
          <w:rFonts w:ascii="Times New Roman" w:eastAsia="Calibri" w:hAnsi="Times New Roman" w:cs="Times New Roman"/>
          <w:sz w:val="24"/>
          <w:szCs w:val="24"/>
          <w:lang w:eastAsia="zh-CN"/>
        </w:rPr>
        <w:t xml:space="preserve"> Later, NYCHA’s purpose evolved into providing safe, decent housing for families with the lowest incomes.</w:t>
      </w:r>
      <w:r w:rsidRPr="009A0E19">
        <w:rPr>
          <w:rFonts w:ascii="Times New Roman" w:eastAsia="Calibri" w:hAnsi="Times New Roman" w:cs="Times New Roman"/>
          <w:sz w:val="24"/>
          <w:szCs w:val="24"/>
          <w:vertAlign w:val="superscript"/>
          <w:lang w:eastAsia="zh-CN"/>
        </w:rPr>
        <w:footnoteReference w:id="5"/>
      </w:r>
      <w:r w:rsidRPr="009A0E19">
        <w:rPr>
          <w:rFonts w:ascii="Times New Roman" w:eastAsia="Calibri" w:hAnsi="Times New Roman" w:cs="Times New Roman"/>
          <w:sz w:val="24"/>
          <w:szCs w:val="24"/>
          <w:lang w:eastAsia="zh-CN"/>
        </w:rPr>
        <w:t xml:space="preserve"> </w:t>
      </w:r>
    </w:p>
    <w:p w14:paraId="5ED3E280" w14:textId="630A4255" w:rsidR="008D7887" w:rsidRPr="009A0E19" w:rsidRDefault="00D431CE" w:rsidP="00E36E40">
      <w:pPr>
        <w:suppressAutoHyphens/>
        <w:spacing w:after="0" w:line="480" w:lineRule="auto"/>
        <w:ind w:firstLine="720"/>
        <w:contextualSpacing/>
        <w:jc w:val="both"/>
        <w:rPr>
          <w:rFonts w:ascii="Times New Roman" w:eastAsia="Calibri" w:hAnsi="Times New Roman" w:cs="Times New Roman"/>
          <w:sz w:val="24"/>
          <w:szCs w:val="24"/>
          <w:lang w:eastAsia="zh-CN"/>
        </w:rPr>
      </w:pPr>
      <w:r w:rsidRPr="009A0E19">
        <w:rPr>
          <w:rFonts w:ascii="Times New Roman" w:eastAsia="Calibri" w:hAnsi="Times New Roman" w:cs="Times New Roman"/>
          <w:sz w:val="24"/>
          <w:szCs w:val="24"/>
          <w:lang w:eastAsia="zh-CN"/>
        </w:rPr>
        <w:t>As of April 2023, NYCHA has 335 developments, and 177,569 units home to 3</w:t>
      </w:r>
      <w:r w:rsidRPr="009A0E19">
        <w:rPr>
          <w:rFonts w:ascii="Times New Roman" w:eastAsia="Times New Roman" w:hAnsi="Times New Roman" w:cs="Times New Roman"/>
          <w:sz w:val="24"/>
          <w:szCs w:val="24"/>
        </w:rPr>
        <w:t xml:space="preserve">60,970 </w:t>
      </w:r>
      <w:r w:rsidRPr="009A0E19">
        <w:rPr>
          <w:rFonts w:ascii="Times New Roman" w:eastAsia="Calibri" w:hAnsi="Times New Roman" w:cs="Times New Roman"/>
          <w:sz w:val="24"/>
          <w:szCs w:val="24"/>
          <w:lang w:eastAsia="zh-CN"/>
        </w:rPr>
        <w:t xml:space="preserve">authorized residents in their the conventional public housing program (“Section 9”) and the </w:t>
      </w:r>
      <w:r w:rsidR="00820535" w:rsidRPr="00820535">
        <w:rPr>
          <w:rFonts w:ascii="Times New Roman" w:eastAsia="Calibri" w:hAnsi="Times New Roman" w:cs="Times New Roman"/>
          <w:sz w:val="24"/>
          <w:szCs w:val="24"/>
          <w:lang w:eastAsia="zh-CN"/>
        </w:rPr>
        <w:t>Permanent Affordability Commitment Together</w:t>
      </w:r>
      <w:r w:rsidR="00E95ED7">
        <w:rPr>
          <w:rFonts w:ascii="Times New Roman" w:eastAsia="Calibri" w:hAnsi="Times New Roman" w:cs="Times New Roman"/>
          <w:sz w:val="24"/>
          <w:szCs w:val="24"/>
          <w:lang w:eastAsia="zh-CN"/>
        </w:rPr>
        <w:t xml:space="preserve"> (“</w:t>
      </w:r>
      <w:r w:rsidR="002C5F65" w:rsidRPr="009A0E19">
        <w:rPr>
          <w:rFonts w:ascii="Times New Roman" w:eastAsia="Calibri" w:hAnsi="Times New Roman" w:cs="Times New Roman"/>
          <w:sz w:val="24"/>
          <w:szCs w:val="24"/>
          <w:lang w:eastAsia="zh-CN"/>
        </w:rPr>
        <w:t>PACT</w:t>
      </w:r>
      <w:r w:rsidR="00E95ED7">
        <w:rPr>
          <w:rFonts w:ascii="Times New Roman" w:eastAsia="Calibri" w:hAnsi="Times New Roman" w:cs="Times New Roman"/>
          <w:sz w:val="24"/>
          <w:szCs w:val="24"/>
          <w:lang w:eastAsia="zh-CN"/>
        </w:rPr>
        <w:t>”)</w:t>
      </w:r>
      <w:r w:rsidR="002C5F65" w:rsidRPr="009A0E19">
        <w:rPr>
          <w:rFonts w:ascii="Times New Roman" w:eastAsia="Calibri" w:hAnsi="Times New Roman" w:cs="Times New Roman"/>
          <w:sz w:val="24"/>
          <w:szCs w:val="24"/>
          <w:lang w:eastAsia="zh-CN"/>
        </w:rPr>
        <w:t xml:space="preserve"> program</w:t>
      </w:r>
      <w:r w:rsidRPr="009A0E19">
        <w:rPr>
          <w:rFonts w:ascii="Times New Roman" w:eastAsia="Calibri" w:hAnsi="Times New Roman" w:cs="Times New Roman"/>
          <w:sz w:val="24"/>
          <w:szCs w:val="24"/>
          <w:lang w:eastAsia="zh-CN"/>
        </w:rPr>
        <w:t>, which is NYCHA’s implementation of the Rental Assistance Demonstration (“RAD”) program.</w:t>
      </w:r>
      <w:r w:rsidRPr="009A0E19">
        <w:rPr>
          <w:rFonts w:ascii="Times New Roman" w:eastAsia="Calibri" w:hAnsi="Times New Roman" w:cs="Times New Roman"/>
          <w:sz w:val="24"/>
          <w:szCs w:val="24"/>
          <w:vertAlign w:val="superscript"/>
          <w:lang w:eastAsia="zh-CN"/>
        </w:rPr>
        <w:footnoteReference w:id="6"/>
      </w:r>
      <w:r w:rsidRPr="009A0E19">
        <w:rPr>
          <w:rFonts w:ascii="Times New Roman" w:eastAsia="Calibri" w:hAnsi="Times New Roman" w:cs="Times New Roman"/>
          <w:sz w:val="24"/>
          <w:szCs w:val="24"/>
          <w:lang w:eastAsia="zh-CN"/>
        </w:rPr>
        <w:t xml:space="preserve"> NYCHA provides housing to </w:t>
      </w:r>
      <w:r w:rsidR="0015334D">
        <w:rPr>
          <w:rFonts w:ascii="Times New Roman" w:eastAsia="Calibri" w:hAnsi="Times New Roman" w:cs="Times New Roman"/>
          <w:sz w:val="24"/>
          <w:szCs w:val="24"/>
          <w:lang w:eastAsia="zh-CN"/>
        </w:rPr>
        <w:t xml:space="preserve">an additional </w:t>
      </w:r>
      <w:r w:rsidRPr="009A0E19">
        <w:rPr>
          <w:rFonts w:ascii="Times New Roman" w:eastAsia="Calibri" w:hAnsi="Times New Roman" w:cs="Times New Roman"/>
          <w:sz w:val="24"/>
          <w:szCs w:val="24"/>
          <w:lang w:eastAsia="zh-CN"/>
        </w:rPr>
        <w:t xml:space="preserve">167,135 residents through the Housing Choice Voucher program created by the United States </w:t>
      </w:r>
      <w:r w:rsidR="00F503E9">
        <w:rPr>
          <w:rFonts w:ascii="Times New Roman" w:eastAsia="Calibri" w:hAnsi="Times New Roman" w:cs="Times New Roman"/>
          <w:sz w:val="24"/>
          <w:szCs w:val="24"/>
          <w:lang w:eastAsia="zh-CN"/>
        </w:rPr>
        <w:t xml:space="preserve">(U.S.) </w:t>
      </w:r>
      <w:r w:rsidRPr="009A0E19">
        <w:rPr>
          <w:rFonts w:ascii="Times New Roman" w:eastAsia="Calibri" w:hAnsi="Times New Roman" w:cs="Times New Roman"/>
          <w:sz w:val="24"/>
          <w:szCs w:val="24"/>
          <w:lang w:eastAsia="zh-CN"/>
        </w:rPr>
        <w:t>Housing and Community Development Act of 1978 (“Section 8”).</w:t>
      </w:r>
      <w:r w:rsidRPr="009A0E19">
        <w:rPr>
          <w:rStyle w:val="FootnoteReference"/>
          <w:rFonts w:ascii="Times New Roman" w:eastAsia="Calibri" w:hAnsi="Times New Roman" w:cs="Times New Roman"/>
          <w:sz w:val="24"/>
          <w:szCs w:val="24"/>
          <w:lang w:eastAsia="zh-CN"/>
        </w:rPr>
        <w:footnoteReference w:id="7"/>
      </w:r>
      <w:r w:rsidRPr="009A0E19">
        <w:rPr>
          <w:rFonts w:ascii="Times New Roman" w:eastAsia="Calibri" w:hAnsi="Times New Roman" w:cs="Times New Roman"/>
          <w:sz w:val="24"/>
          <w:szCs w:val="24"/>
          <w:lang w:eastAsia="zh-CN"/>
        </w:rPr>
        <w:t xml:space="preserve"> </w:t>
      </w:r>
    </w:p>
    <w:p w14:paraId="7FF198C5" w14:textId="7412B738" w:rsidR="00554CA5" w:rsidRDefault="000B4D05" w:rsidP="00E36E40">
      <w:pPr>
        <w:suppressAutoHyphens/>
        <w:spacing w:after="0" w:line="480" w:lineRule="auto"/>
        <w:ind w:firstLine="720"/>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In late 2023, starting</w:t>
      </w:r>
      <w:r w:rsidR="00D431CE" w:rsidRPr="009A0E19">
        <w:rPr>
          <w:rFonts w:ascii="Times New Roman" w:eastAsia="Calibri" w:hAnsi="Times New Roman" w:cs="Times New Roman"/>
          <w:sz w:val="24"/>
          <w:szCs w:val="24"/>
          <w:lang w:eastAsia="zh-CN"/>
        </w:rPr>
        <w:t xml:space="preserve"> with Nostrand Houses</w:t>
      </w:r>
      <w:r w:rsidR="0015334D">
        <w:rPr>
          <w:rFonts w:ascii="Times New Roman" w:eastAsia="Calibri" w:hAnsi="Times New Roman" w:cs="Times New Roman"/>
          <w:sz w:val="24"/>
          <w:szCs w:val="24"/>
          <w:lang w:eastAsia="zh-CN"/>
        </w:rPr>
        <w:t xml:space="preserve"> in the borough of Brooklyn</w:t>
      </w:r>
      <w:r w:rsidR="00D431CE" w:rsidRPr="009A0E19">
        <w:rPr>
          <w:rFonts w:ascii="Times New Roman" w:eastAsia="Calibri" w:hAnsi="Times New Roman" w:cs="Times New Roman"/>
          <w:sz w:val="24"/>
          <w:szCs w:val="24"/>
          <w:lang w:eastAsia="zh-CN"/>
        </w:rPr>
        <w:t xml:space="preserve">, NYCHA developments </w:t>
      </w:r>
      <w:r w:rsidR="006E628B">
        <w:rPr>
          <w:rFonts w:ascii="Times New Roman" w:eastAsia="Calibri" w:hAnsi="Times New Roman" w:cs="Times New Roman"/>
          <w:sz w:val="24"/>
          <w:szCs w:val="24"/>
          <w:lang w:eastAsia="zh-CN"/>
        </w:rPr>
        <w:t xml:space="preserve">have </w:t>
      </w:r>
      <w:r w:rsidR="001D3764">
        <w:rPr>
          <w:rFonts w:ascii="Times New Roman" w:eastAsia="Calibri" w:hAnsi="Times New Roman" w:cs="Times New Roman"/>
          <w:sz w:val="24"/>
          <w:szCs w:val="24"/>
          <w:lang w:eastAsia="zh-CN"/>
        </w:rPr>
        <w:t>started voting</w:t>
      </w:r>
      <w:r w:rsidR="00D431CE" w:rsidRPr="009A0E19">
        <w:rPr>
          <w:rFonts w:ascii="Times New Roman" w:eastAsia="Calibri" w:hAnsi="Times New Roman" w:cs="Times New Roman"/>
          <w:sz w:val="24"/>
          <w:szCs w:val="24"/>
          <w:lang w:eastAsia="zh-CN"/>
        </w:rPr>
        <w:t xml:space="preserve"> on whether to remain in conventional public housing, move to the PACT program, or join the newly created</w:t>
      </w:r>
      <w:r w:rsidR="002C5F65" w:rsidRPr="009A0E19">
        <w:rPr>
          <w:rFonts w:ascii="Times New Roman" w:eastAsia="Calibri" w:hAnsi="Times New Roman" w:cs="Times New Roman"/>
          <w:sz w:val="24"/>
          <w:szCs w:val="24"/>
          <w:lang w:eastAsia="zh-CN"/>
        </w:rPr>
        <w:t xml:space="preserve"> </w:t>
      </w:r>
      <w:r w:rsidR="006E628B">
        <w:rPr>
          <w:rFonts w:ascii="Times New Roman" w:eastAsia="Calibri" w:hAnsi="Times New Roman" w:cs="Times New Roman"/>
          <w:sz w:val="24"/>
          <w:szCs w:val="24"/>
          <w:lang w:eastAsia="zh-CN"/>
        </w:rPr>
        <w:t xml:space="preserve">Public Housing Preservation </w:t>
      </w:r>
      <w:r w:rsidR="002C5F65" w:rsidRPr="009A0E19">
        <w:rPr>
          <w:rFonts w:ascii="Times New Roman" w:eastAsia="Calibri" w:hAnsi="Times New Roman" w:cs="Times New Roman"/>
          <w:sz w:val="24"/>
          <w:szCs w:val="24"/>
          <w:lang w:eastAsia="zh-CN"/>
        </w:rPr>
        <w:t>Trust</w:t>
      </w:r>
      <w:r w:rsidR="006E628B">
        <w:rPr>
          <w:rFonts w:ascii="Times New Roman" w:eastAsia="Calibri" w:hAnsi="Times New Roman" w:cs="Times New Roman"/>
          <w:sz w:val="24"/>
          <w:szCs w:val="24"/>
          <w:lang w:eastAsia="zh-CN"/>
        </w:rPr>
        <w:t xml:space="preserve"> (“Trust”)</w:t>
      </w:r>
      <w:r w:rsidR="00D431CE" w:rsidRPr="009A0E19">
        <w:rPr>
          <w:rFonts w:ascii="Times New Roman" w:eastAsia="Calibri" w:hAnsi="Times New Roman" w:cs="Times New Roman"/>
          <w:sz w:val="24"/>
          <w:szCs w:val="24"/>
          <w:lang w:eastAsia="zh-CN"/>
        </w:rPr>
        <w:t>.</w:t>
      </w:r>
      <w:r w:rsidR="006E628B">
        <w:rPr>
          <w:rStyle w:val="FootnoteReference"/>
          <w:rFonts w:ascii="Times New Roman" w:eastAsia="Calibri" w:hAnsi="Times New Roman" w:cs="Times New Roman"/>
          <w:sz w:val="24"/>
          <w:szCs w:val="24"/>
          <w:lang w:eastAsia="zh-CN"/>
        </w:rPr>
        <w:footnoteReference w:id="8"/>
      </w:r>
      <w:r w:rsidR="00D431CE" w:rsidRPr="009A0E19">
        <w:rPr>
          <w:rFonts w:ascii="Times New Roman" w:eastAsia="Calibri" w:hAnsi="Times New Roman" w:cs="Times New Roman"/>
          <w:sz w:val="24"/>
          <w:szCs w:val="24"/>
          <w:lang w:eastAsia="zh-CN"/>
        </w:rPr>
        <w:t xml:space="preserve"> Joining the Trust would keep the developments under NYCHA management while moving the developments to Project Based Section 8 funding.</w:t>
      </w:r>
      <w:r w:rsidR="00D431CE" w:rsidRPr="009A0E19">
        <w:rPr>
          <w:rStyle w:val="FootnoteReference"/>
          <w:rFonts w:ascii="Times New Roman" w:eastAsia="Calibri" w:hAnsi="Times New Roman" w:cs="Times New Roman"/>
          <w:sz w:val="24"/>
          <w:szCs w:val="24"/>
          <w:lang w:eastAsia="zh-CN"/>
        </w:rPr>
        <w:footnoteReference w:id="9"/>
      </w:r>
      <w:r w:rsidR="00D431CE" w:rsidRPr="009A0E19">
        <w:rPr>
          <w:rFonts w:ascii="Times New Roman" w:eastAsia="Calibri" w:hAnsi="Times New Roman" w:cs="Times New Roman"/>
          <w:sz w:val="24"/>
          <w:szCs w:val="24"/>
          <w:lang w:eastAsia="zh-CN"/>
        </w:rPr>
        <w:t xml:space="preserve"> </w:t>
      </w:r>
    </w:p>
    <w:p w14:paraId="3C7D25A7" w14:textId="7D029B5B" w:rsidR="0013411F" w:rsidRDefault="00D431CE" w:rsidP="00422B56">
      <w:pPr>
        <w:pStyle w:val="NormalWeb"/>
        <w:spacing w:before="0" w:beforeAutospacing="0" w:after="0" w:afterAutospacing="0" w:line="480" w:lineRule="auto"/>
        <w:ind w:firstLine="720"/>
        <w:jc w:val="both"/>
        <w:rPr>
          <w:i/>
          <w:iCs/>
        </w:rPr>
      </w:pPr>
      <w:r w:rsidRPr="009A0E19">
        <w:rPr>
          <w:rFonts w:eastAsia="Calibri"/>
          <w:lang w:eastAsia="zh-CN"/>
        </w:rPr>
        <w:t>All these changes are taking place while NYCHA is under a federal monitor</w:t>
      </w:r>
      <w:r w:rsidR="00FC7B5E">
        <w:rPr>
          <w:rFonts w:eastAsia="Calibri"/>
          <w:lang w:eastAsia="zh-CN"/>
        </w:rPr>
        <w:t>,</w:t>
      </w:r>
      <w:r w:rsidRPr="009A0E19">
        <w:rPr>
          <w:rFonts w:eastAsia="Calibri"/>
          <w:lang w:eastAsia="zh-CN"/>
        </w:rPr>
        <w:t xml:space="preserve"> </w:t>
      </w:r>
      <w:r w:rsidR="0015334D">
        <w:rPr>
          <w:rFonts w:eastAsia="Calibri"/>
          <w:lang w:eastAsia="zh-CN"/>
        </w:rPr>
        <w:t>who</w:t>
      </w:r>
      <w:r w:rsidR="0015334D" w:rsidRPr="009A0E19">
        <w:rPr>
          <w:rFonts w:eastAsia="Calibri"/>
          <w:lang w:eastAsia="zh-CN"/>
        </w:rPr>
        <w:t xml:space="preserve"> </w:t>
      </w:r>
      <w:r w:rsidRPr="009A0E19">
        <w:rPr>
          <w:rFonts w:eastAsia="Calibri"/>
          <w:lang w:eastAsia="zh-CN"/>
        </w:rPr>
        <w:t>was</w:t>
      </w:r>
      <w:r w:rsidR="00B37613">
        <w:rPr>
          <w:rFonts w:eastAsia="Calibri"/>
          <w:lang w:eastAsia="zh-CN"/>
        </w:rPr>
        <w:t xml:space="preserve"> put in place under an agreement between NYCHA, the United States Attorney for the Southern District of New York</w:t>
      </w:r>
      <w:r w:rsidR="009B4D99">
        <w:rPr>
          <w:rFonts w:eastAsia="Calibri"/>
          <w:lang w:eastAsia="zh-CN"/>
        </w:rPr>
        <w:t xml:space="preserve"> (“SDNY”)</w:t>
      </w:r>
      <w:r w:rsidR="00B37613">
        <w:rPr>
          <w:rFonts w:eastAsia="Calibri"/>
          <w:lang w:eastAsia="zh-CN"/>
        </w:rPr>
        <w:t>, the United States Department of Housing and Urban Development</w:t>
      </w:r>
      <w:r w:rsidR="009B4D99">
        <w:rPr>
          <w:rFonts w:eastAsia="Calibri"/>
          <w:lang w:eastAsia="zh-CN"/>
        </w:rPr>
        <w:t xml:space="preserve"> (“HUD”)</w:t>
      </w:r>
      <w:r w:rsidR="00B37613">
        <w:rPr>
          <w:rFonts w:eastAsia="Calibri"/>
          <w:lang w:eastAsia="zh-CN"/>
        </w:rPr>
        <w:t>, and the United States Environmental Protection Agency</w:t>
      </w:r>
      <w:r w:rsidR="009B4D99">
        <w:rPr>
          <w:rFonts w:eastAsia="Calibri"/>
          <w:lang w:eastAsia="zh-CN"/>
        </w:rPr>
        <w:t xml:space="preserve"> (“EPA”)</w:t>
      </w:r>
      <w:r w:rsidR="00B37613">
        <w:rPr>
          <w:rFonts w:eastAsia="Calibri"/>
          <w:lang w:eastAsia="zh-CN"/>
        </w:rPr>
        <w:t>, af</w:t>
      </w:r>
      <w:r w:rsidRPr="009A0E19">
        <w:rPr>
          <w:rFonts w:eastAsia="Calibri"/>
          <w:lang w:eastAsia="zh-CN"/>
        </w:rPr>
        <w:t xml:space="preserve">ter several federal court cases, including one brought by the </w:t>
      </w:r>
      <w:r w:rsidR="00263C1B">
        <w:rPr>
          <w:rFonts w:eastAsia="Calibri"/>
          <w:lang w:eastAsia="zh-CN"/>
        </w:rPr>
        <w:t>U.S.</w:t>
      </w:r>
      <w:r w:rsidRPr="009A0E19">
        <w:rPr>
          <w:rFonts w:eastAsia="Calibri"/>
          <w:lang w:eastAsia="zh-CN"/>
        </w:rPr>
        <w:t xml:space="preserve"> Department of Justice alleging “that NYCHA has routinely failed to comply with lead-based paint safety regulations</w:t>
      </w:r>
      <w:r w:rsidR="00FC7B5E">
        <w:rPr>
          <w:rFonts w:eastAsia="Calibri"/>
          <w:lang w:eastAsia="zh-CN"/>
        </w:rPr>
        <w:t>;</w:t>
      </w:r>
      <w:r w:rsidRPr="009A0E19">
        <w:rPr>
          <w:rFonts w:eastAsia="Calibri"/>
          <w:lang w:eastAsia="zh-CN"/>
        </w:rPr>
        <w:t xml:space="preserve"> had failed to provide decent, safe, and sanitary housing, including with respect to the provision of heat and elevators and the control and treatment of mold and pests; and had repeatedly misled the </w:t>
      </w:r>
      <w:r w:rsidR="009B4D99">
        <w:rPr>
          <w:rFonts w:eastAsia="Calibri"/>
          <w:lang w:eastAsia="zh-CN"/>
        </w:rPr>
        <w:t>[</w:t>
      </w:r>
      <w:r w:rsidRPr="009A0E19">
        <w:rPr>
          <w:rFonts w:eastAsia="Calibri"/>
          <w:lang w:eastAsia="zh-CN"/>
        </w:rPr>
        <w:t>HUD</w:t>
      </w:r>
      <w:r w:rsidR="009B4D99">
        <w:rPr>
          <w:rFonts w:eastAsia="Calibri"/>
          <w:lang w:eastAsia="zh-CN"/>
        </w:rPr>
        <w:t>]</w:t>
      </w:r>
      <w:r w:rsidRPr="009A0E19">
        <w:rPr>
          <w:rFonts w:eastAsia="Calibri"/>
          <w:lang w:eastAsia="zh-CN"/>
        </w:rPr>
        <w:t xml:space="preserve"> through false statements and deceptive practices.”</w:t>
      </w:r>
      <w:r w:rsidRPr="009A0E19">
        <w:rPr>
          <w:rStyle w:val="FootnoteReference"/>
          <w:rFonts w:eastAsia="Calibri"/>
          <w:lang w:eastAsia="zh-CN"/>
        </w:rPr>
        <w:footnoteReference w:id="10"/>
      </w:r>
      <w:r w:rsidRPr="009A0E19">
        <w:rPr>
          <w:rFonts w:eastAsia="Calibri"/>
          <w:lang w:eastAsia="zh-CN"/>
        </w:rPr>
        <w:t xml:space="preserve"> The </w:t>
      </w:r>
      <w:r w:rsidR="00676337">
        <w:rPr>
          <w:rFonts w:eastAsia="Calibri"/>
          <w:lang w:eastAsia="zh-CN"/>
        </w:rPr>
        <w:t>a</w:t>
      </w:r>
      <w:r w:rsidRPr="009A0E19">
        <w:rPr>
          <w:rFonts w:eastAsia="Calibri"/>
          <w:lang w:eastAsia="zh-CN"/>
        </w:rPr>
        <w:t xml:space="preserve">greement </w:t>
      </w:r>
      <w:r w:rsidR="00F90087">
        <w:rPr>
          <w:rFonts w:eastAsia="Calibri"/>
          <w:lang w:eastAsia="zh-CN"/>
        </w:rPr>
        <w:t>(“</w:t>
      </w:r>
      <w:r w:rsidR="00676337">
        <w:rPr>
          <w:rFonts w:eastAsia="Calibri"/>
          <w:lang w:eastAsia="zh-CN"/>
        </w:rPr>
        <w:t xml:space="preserve">HUD </w:t>
      </w:r>
      <w:r w:rsidRPr="009A0E19">
        <w:rPr>
          <w:rFonts w:eastAsia="Calibri"/>
          <w:lang w:eastAsia="zh-CN"/>
        </w:rPr>
        <w:t>Agreement</w:t>
      </w:r>
      <w:r w:rsidR="00676337">
        <w:rPr>
          <w:rFonts w:eastAsia="Calibri"/>
          <w:lang w:eastAsia="zh-CN"/>
        </w:rPr>
        <w:t>”)</w:t>
      </w:r>
      <w:r w:rsidRPr="009A0E19">
        <w:rPr>
          <w:rFonts w:eastAsia="Calibri"/>
          <w:lang w:eastAsia="zh-CN"/>
        </w:rPr>
        <w:t xml:space="preserve"> resulting from the lawsuit has led to substantial management changes as well as increased funding from the City.</w:t>
      </w:r>
      <w:r w:rsidRPr="009A0E19">
        <w:rPr>
          <w:rStyle w:val="FootnoteReference"/>
          <w:rFonts w:eastAsia="Calibri"/>
          <w:lang w:eastAsia="zh-CN"/>
        </w:rPr>
        <w:footnoteReference w:id="11"/>
      </w:r>
    </w:p>
    <w:p w14:paraId="015CD8E7" w14:textId="091804C6" w:rsidR="009E5D0C" w:rsidRDefault="00294F2F" w:rsidP="009E5D0C">
      <w:pPr>
        <w:pStyle w:val="NormalWeb"/>
        <w:spacing w:before="0" w:beforeAutospacing="0" w:after="0" w:afterAutospacing="0" w:line="480" w:lineRule="auto"/>
        <w:jc w:val="both"/>
        <w:rPr>
          <w:i/>
          <w:iCs/>
        </w:rPr>
      </w:pPr>
      <w:r>
        <w:rPr>
          <w:b/>
          <w:u w:val="single"/>
        </w:rPr>
        <w:t xml:space="preserve">PHYSICAL </w:t>
      </w:r>
      <w:r w:rsidR="009E5D0C" w:rsidRPr="009A0E19">
        <w:rPr>
          <w:b/>
          <w:u w:val="single"/>
        </w:rPr>
        <w:t>INFRASTRUCTURE</w:t>
      </w:r>
      <w:r>
        <w:rPr>
          <w:b/>
          <w:u w:val="single"/>
        </w:rPr>
        <w:t xml:space="preserve"> DEFICIENCIES &amp; LACKING RESIDENT SAFETY</w:t>
      </w:r>
    </w:p>
    <w:p w14:paraId="3E4D393F" w14:textId="198DE3B3" w:rsidR="00C92724" w:rsidRDefault="009E5D0C" w:rsidP="009E5D0C">
      <w:pPr>
        <w:pStyle w:val="NormalWeb"/>
        <w:spacing w:before="0" w:beforeAutospacing="0" w:after="0" w:afterAutospacing="0" w:line="480" w:lineRule="auto"/>
        <w:ind w:firstLine="720"/>
        <w:jc w:val="both"/>
      </w:pPr>
      <w:r>
        <w:t>Safety and security have long been a concern at NYCHA for residents and the</w:t>
      </w:r>
      <w:r w:rsidR="00294F2F">
        <w:t xml:space="preserve"> Council</w:t>
      </w:r>
      <w:r>
        <w:t xml:space="preserve"> alike. </w:t>
      </w:r>
      <w:r w:rsidR="00B41C75">
        <w:t xml:space="preserve">Although </w:t>
      </w:r>
      <w:r>
        <w:t xml:space="preserve">crime and policing </w:t>
      </w:r>
      <w:r w:rsidR="00B41C75">
        <w:t>are ongoing concerns</w:t>
      </w:r>
      <w:r w:rsidR="00B41C75" w:rsidRPr="00B41C75">
        <w:t xml:space="preserve"> </w:t>
      </w:r>
      <w:r w:rsidR="00B41C75">
        <w:t>on NYCHA campuses</w:t>
      </w:r>
      <w:r w:rsidR="00172952">
        <w:t xml:space="preserve">, many of the policy tools or strategies </w:t>
      </w:r>
      <w:r w:rsidR="00B41C75">
        <w:t>that can be used</w:t>
      </w:r>
      <w:r w:rsidR="00172952">
        <w:t xml:space="preserve"> to combat these issues are partially o</w:t>
      </w:r>
      <w:r w:rsidR="00676337">
        <w:t>r</w:t>
      </w:r>
      <w:r w:rsidR="00172952">
        <w:t xml:space="preserve"> fully outside of NYCHA’s control. One aspect of these concerns that is fully within NYCHA’s controls</w:t>
      </w:r>
      <w:r w:rsidR="00B41C75">
        <w:t>, however,</w:t>
      </w:r>
      <w:r w:rsidR="00172952">
        <w:t xml:space="preserve"> is the physical security</w:t>
      </w:r>
      <w:r w:rsidR="00F92368">
        <w:t xml:space="preserve"> and safety systems</w:t>
      </w:r>
      <w:r w:rsidR="00172952">
        <w:t xml:space="preserve"> of NYCHA’s buildings</w:t>
      </w:r>
      <w:r w:rsidR="00F92368">
        <w:t>,</w:t>
      </w:r>
      <w:r w:rsidR="00172952">
        <w:t xml:space="preserve"> including but not limited to the doors and locks, security cameras and lights, and fire safety systems</w:t>
      </w:r>
      <w:r w:rsidR="00AB6FAA">
        <w:t>. H</w:t>
      </w:r>
      <w:r w:rsidR="009A0E19" w:rsidRPr="009A0E19">
        <w:t>istoric disinvestment in NYCHA has resulted in</w:t>
      </w:r>
      <w:r w:rsidR="00F92368">
        <w:t xml:space="preserve"> </w:t>
      </w:r>
      <w:r w:rsidR="009A0E19" w:rsidRPr="009A0E19">
        <w:t>deteriorating infrastructure</w:t>
      </w:r>
      <w:r w:rsidR="00E57130">
        <w:t>,</w:t>
      </w:r>
      <w:r w:rsidR="009A0E19" w:rsidRPr="009A0E19">
        <w:t xml:space="preserve"> which not only compromise</w:t>
      </w:r>
      <w:r w:rsidR="00D05F6D">
        <w:t>s</w:t>
      </w:r>
      <w:r w:rsidR="009A0E19" w:rsidRPr="009A0E19">
        <w:t xml:space="preserve"> the quality of life for residents but also pose</w:t>
      </w:r>
      <w:r w:rsidR="00B41C75">
        <w:t>s</w:t>
      </w:r>
      <w:r w:rsidR="009A0E19" w:rsidRPr="009A0E19">
        <w:t xml:space="preserve"> potential risks to </w:t>
      </w:r>
      <w:r w:rsidR="00E57130">
        <w:t>residents'</w:t>
      </w:r>
      <w:r w:rsidR="00E57130" w:rsidRPr="009A0E19">
        <w:t xml:space="preserve"> </w:t>
      </w:r>
      <w:r w:rsidR="009A0E19" w:rsidRPr="009A0E19">
        <w:t xml:space="preserve">safety. According to </w:t>
      </w:r>
      <w:r w:rsidR="00C475FD">
        <w:t>NYCHA’s</w:t>
      </w:r>
      <w:r w:rsidR="00C475FD" w:rsidRPr="009A0E19">
        <w:t xml:space="preserve"> </w:t>
      </w:r>
      <w:r w:rsidR="009A0E19" w:rsidRPr="009A0E19">
        <w:t xml:space="preserve">2023 </w:t>
      </w:r>
      <w:r w:rsidR="00C475FD">
        <w:t>Physical Needs Assessment (</w:t>
      </w:r>
      <w:r w:rsidR="00B41C75">
        <w:t>“</w:t>
      </w:r>
      <w:r w:rsidR="009A0E19" w:rsidRPr="009A0E19">
        <w:t>PNA</w:t>
      </w:r>
      <w:r w:rsidR="00B41C75">
        <w:t>”</w:t>
      </w:r>
      <w:r w:rsidR="00C475FD">
        <w:t>)</w:t>
      </w:r>
      <w:r w:rsidR="009A0E19" w:rsidRPr="009A0E19">
        <w:t xml:space="preserve"> report, the estimated total capital need for NYCHA</w:t>
      </w:r>
      <w:r w:rsidR="00C475FD">
        <w:t>’</w:t>
      </w:r>
      <w:r w:rsidR="009A0E19" w:rsidRPr="009A0E19">
        <w:t>s en</w:t>
      </w:r>
      <w:r w:rsidR="0013411F">
        <w:t>tire portfolio is $78.3 billion</w:t>
      </w:r>
      <w:r w:rsidR="00C475FD">
        <w:t>,</w:t>
      </w:r>
      <w:r w:rsidR="009A0E19" w:rsidRPr="009A0E19">
        <w:t xml:space="preserve"> </w:t>
      </w:r>
      <w:r w:rsidR="00C81B06">
        <w:t xml:space="preserve">which includes </w:t>
      </w:r>
      <w:r w:rsidR="0013411F">
        <w:t>more than $200 million in needs related to entrances, exits and fire escapes, over $116 million in fire protection systems, over $800 million in site fencing and lighting</w:t>
      </w:r>
      <w:r w:rsidR="00C81B06">
        <w:t>,</w:t>
      </w:r>
      <w:r w:rsidR="0013411F">
        <w:t xml:space="preserve"> and over $1.6 billion in security apparatus.</w:t>
      </w:r>
      <w:r w:rsidR="00AB6FAA" w:rsidRPr="009A0E19">
        <w:rPr>
          <w:rStyle w:val="FootnoteReference"/>
        </w:rPr>
        <w:footnoteReference w:id="12"/>
      </w:r>
    </w:p>
    <w:p w14:paraId="37080D63" w14:textId="243E70D4" w:rsidR="00554CA5" w:rsidRPr="009A0E19" w:rsidRDefault="009A0E19" w:rsidP="006F0F3E">
      <w:pPr>
        <w:pStyle w:val="NormalWeb"/>
        <w:spacing w:before="0" w:beforeAutospacing="0" w:after="0" w:afterAutospacing="0" w:line="480" w:lineRule="auto"/>
        <w:ind w:firstLine="720"/>
        <w:jc w:val="both"/>
      </w:pPr>
      <w:r w:rsidRPr="009A0E19">
        <w:t>According to the</w:t>
      </w:r>
      <w:r w:rsidR="00294F2F">
        <w:t xml:space="preserve"> civil legal service organization the</w:t>
      </w:r>
      <w:r w:rsidRPr="009A0E19">
        <w:t xml:space="preserve"> New York Legal Assistance Group, the deterioration of NYCHA’s housing stock is the direct result of NYCHA’s present failure to complete regular and preventable maintenance</w:t>
      </w:r>
      <w:r w:rsidR="00DA6076">
        <w:t>,</w:t>
      </w:r>
      <w:r w:rsidRPr="009A0E19">
        <w:t xml:space="preserve"> along with decades of systemic disinvestment </w:t>
      </w:r>
      <w:r w:rsidR="009B4D99">
        <w:t>from</w:t>
      </w:r>
      <w:r w:rsidR="009B4D99" w:rsidRPr="009A0E19">
        <w:t xml:space="preserve"> </w:t>
      </w:r>
      <w:r w:rsidRPr="009A0E19">
        <w:t xml:space="preserve">public housing </w:t>
      </w:r>
      <w:r w:rsidR="00290A2F">
        <w:t>from</w:t>
      </w:r>
      <w:r w:rsidR="00294F2F">
        <w:t xml:space="preserve"> every level of government</w:t>
      </w:r>
      <w:r w:rsidRPr="009A0E19">
        <w:t>.</w:t>
      </w:r>
      <w:r w:rsidRPr="009A0E19">
        <w:rPr>
          <w:rStyle w:val="FootnoteReference"/>
        </w:rPr>
        <w:footnoteReference w:id="13"/>
      </w:r>
      <w:r w:rsidRPr="009A0E19">
        <w:t xml:space="preserve"> </w:t>
      </w:r>
      <w:r w:rsidR="00DA6076">
        <w:t xml:space="preserve">Although this </w:t>
      </w:r>
      <w:r w:rsidR="00AB6FAA">
        <w:t xml:space="preserve">deterioration </w:t>
      </w:r>
      <w:r w:rsidR="00DA6076">
        <w:t>requires more</w:t>
      </w:r>
      <w:r w:rsidR="00AB6FAA">
        <w:t xml:space="preserve"> repairs and funding</w:t>
      </w:r>
      <w:r w:rsidR="00DA6076">
        <w:t xml:space="preserve"> to be thoroughly addressed</w:t>
      </w:r>
      <w:r w:rsidR="00AB6FAA">
        <w:t xml:space="preserve">, NYCHA must do all it can with what resources are available </w:t>
      </w:r>
      <w:r w:rsidR="00DA6076">
        <w:t xml:space="preserve">to it </w:t>
      </w:r>
      <w:r w:rsidR="00AB6FAA">
        <w:t>to ensure NYCHA residents are safe and secure in their homes.</w:t>
      </w:r>
    </w:p>
    <w:p w14:paraId="4AF6649C" w14:textId="2BD33BBA" w:rsidR="00554CA5" w:rsidRPr="009A0E19" w:rsidRDefault="00554CA5" w:rsidP="009939AB">
      <w:pPr>
        <w:spacing w:after="0" w:line="480" w:lineRule="auto"/>
        <w:ind w:firstLine="720"/>
        <w:jc w:val="both"/>
        <w:rPr>
          <w:rFonts w:ascii="Times New Roman" w:hAnsi="Times New Roman" w:cs="Times New Roman"/>
          <w:sz w:val="24"/>
          <w:szCs w:val="24"/>
        </w:rPr>
      </w:pPr>
      <w:r>
        <w:rPr>
          <w:rFonts w:ascii="Times New Roman" w:eastAsia="Calibri" w:hAnsi="Times New Roman" w:cs="Times New Roman"/>
          <w:iCs/>
          <w:sz w:val="24"/>
          <w:szCs w:val="24"/>
        </w:rPr>
        <w:t xml:space="preserve">As stated above, NYCHA is under a federal monitor </w:t>
      </w:r>
      <w:r w:rsidR="00DA6076">
        <w:rPr>
          <w:rFonts w:ascii="Times New Roman" w:eastAsia="Calibri" w:hAnsi="Times New Roman" w:cs="Times New Roman"/>
          <w:iCs/>
          <w:sz w:val="24"/>
          <w:szCs w:val="24"/>
        </w:rPr>
        <w:t xml:space="preserve">appointed pursuant to </w:t>
      </w:r>
      <w:r>
        <w:rPr>
          <w:rFonts w:ascii="Times New Roman" w:eastAsia="Calibri" w:hAnsi="Times New Roman" w:cs="Times New Roman"/>
          <w:sz w:val="24"/>
          <w:szCs w:val="24"/>
        </w:rPr>
        <w:t>the HUD Agreement</w:t>
      </w:r>
      <w:r w:rsidR="00DA6076">
        <w:rPr>
          <w:rFonts w:ascii="Times New Roman" w:eastAsia="Calibri" w:hAnsi="Times New Roman" w:cs="Times New Roman"/>
          <w:sz w:val="24"/>
          <w:szCs w:val="24"/>
        </w:rPr>
        <w:t>, which has the primary purposes of</w:t>
      </w:r>
      <w:r w:rsidRPr="009A0E19">
        <w:rPr>
          <w:rFonts w:ascii="Times New Roman" w:eastAsia="Calibri" w:hAnsi="Times New Roman" w:cs="Times New Roman"/>
          <w:sz w:val="24"/>
          <w:szCs w:val="24"/>
        </w:rPr>
        <w:t xml:space="preserve"> remedy</w:t>
      </w:r>
      <w:r w:rsidR="00DA6076">
        <w:rPr>
          <w:rFonts w:ascii="Times New Roman" w:eastAsia="Calibri" w:hAnsi="Times New Roman" w:cs="Times New Roman"/>
          <w:sz w:val="24"/>
          <w:szCs w:val="24"/>
        </w:rPr>
        <w:t>ing</w:t>
      </w:r>
      <w:r w:rsidRPr="009A0E19">
        <w:rPr>
          <w:rFonts w:ascii="Times New Roman" w:eastAsia="Calibri" w:hAnsi="Times New Roman" w:cs="Times New Roman"/>
          <w:sz w:val="24"/>
          <w:szCs w:val="24"/>
        </w:rPr>
        <w:t xml:space="preserve"> NYCHA’s physical conditions, </w:t>
      </w:r>
      <w:r w:rsidR="00DA6076">
        <w:rPr>
          <w:rFonts w:ascii="Times New Roman" w:eastAsia="Calibri" w:hAnsi="Times New Roman" w:cs="Times New Roman"/>
          <w:sz w:val="24"/>
          <w:szCs w:val="24"/>
        </w:rPr>
        <w:t>ensuring</w:t>
      </w:r>
      <w:r w:rsidRPr="009A0E19">
        <w:rPr>
          <w:rFonts w:ascii="Times New Roman" w:eastAsia="Calibri" w:hAnsi="Times New Roman" w:cs="Times New Roman"/>
          <w:sz w:val="24"/>
          <w:szCs w:val="24"/>
        </w:rPr>
        <w:t xml:space="preserve"> NYCHA meets its obligations under federal law, reform</w:t>
      </w:r>
      <w:r w:rsidR="00DA6076">
        <w:rPr>
          <w:rFonts w:ascii="Times New Roman" w:eastAsia="Calibri" w:hAnsi="Times New Roman" w:cs="Times New Roman"/>
          <w:sz w:val="24"/>
          <w:szCs w:val="24"/>
        </w:rPr>
        <w:t>ing</w:t>
      </w:r>
      <w:r w:rsidRPr="009A0E19">
        <w:rPr>
          <w:rFonts w:ascii="Times New Roman" w:eastAsia="Calibri" w:hAnsi="Times New Roman" w:cs="Times New Roman"/>
          <w:sz w:val="24"/>
          <w:szCs w:val="24"/>
        </w:rPr>
        <w:t xml:space="preserve"> NYCHA’s management structure, and help</w:t>
      </w:r>
      <w:r w:rsidR="00DA6076">
        <w:rPr>
          <w:rFonts w:ascii="Times New Roman" w:eastAsia="Calibri" w:hAnsi="Times New Roman" w:cs="Times New Roman"/>
          <w:sz w:val="24"/>
          <w:szCs w:val="24"/>
        </w:rPr>
        <w:t>ing</w:t>
      </w:r>
      <w:r w:rsidRPr="009A0E19">
        <w:rPr>
          <w:rFonts w:ascii="Times New Roman" w:eastAsia="Calibri" w:hAnsi="Times New Roman" w:cs="Times New Roman"/>
          <w:sz w:val="24"/>
          <w:szCs w:val="24"/>
        </w:rPr>
        <w:t xml:space="preserve"> with cooperation and coordination among HUD, NYCHA, and the City.</w:t>
      </w:r>
      <w:r w:rsidRPr="009A0E19">
        <w:rPr>
          <w:rFonts w:ascii="Times New Roman" w:eastAsia="Calibri" w:hAnsi="Times New Roman" w:cs="Times New Roman"/>
          <w:sz w:val="24"/>
          <w:szCs w:val="24"/>
          <w:vertAlign w:val="superscript"/>
        </w:rPr>
        <w:footnoteReference w:id="14"/>
      </w:r>
      <w:r w:rsidR="000F100C">
        <w:rPr>
          <w:rFonts w:ascii="Times New Roman" w:hAnsi="Times New Roman" w:cs="Times New Roman"/>
          <w:sz w:val="24"/>
          <w:szCs w:val="24"/>
        </w:rPr>
        <w:t xml:space="preserve"> </w:t>
      </w:r>
      <w:r w:rsidRPr="009A0E19">
        <w:rPr>
          <w:rFonts w:ascii="Times New Roman" w:hAnsi="Times New Roman" w:cs="Times New Roman"/>
          <w:sz w:val="24"/>
          <w:szCs w:val="24"/>
        </w:rPr>
        <w:t>The specific aim</w:t>
      </w:r>
      <w:r w:rsidR="000F100C">
        <w:rPr>
          <w:rFonts w:ascii="Times New Roman" w:hAnsi="Times New Roman" w:cs="Times New Roman"/>
          <w:sz w:val="24"/>
          <w:szCs w:val="24"/>
        </w:rPr>
        <w:t>s</w:t>
      </w:r>
      <w:r w:rsidRPr="009A0E19">
        <w:rPr>
          <w:rFonts w:ascii="Times New Roman" w:hAnsi="Times New Roman" w:cs="Times New Roman"/>
          <w:sz w:val="24"/>
          <w:szCs w:val="24"/>
        </w:rPr>
        <w:t xml:space="preserve"> of the </w:t>
      </w:r>
      <w:r w:rsidR="00676337">
        <w:rPr>
          <w:rFonts w:ascii="Times New Roman" w:hAnsi="Times New Roman" w:cs="Times New Roman"/>
          <w:sz w:val="24"/>
          <w:szCs w:val="24"/>
        </w:rPr>
        <w:t xml:space="preserve">HUD </w:t>
      </w:r>
      <w:r w:rsidR="005D0A2C">
        <w:rPr>
          <w:rFonts w:ascii="Times New Roman" w:hAnsi="Times New Roman" w:cs="Times New Roman"/>
          <w:sz w:val="24"/>
          <w:szCs w:val="24"/>
        </w:rPr>
        <w:t>A</w:t>
      </w:r>
      <w:r w:rsidR="005D0A2C" w:rsidRPr="009A0E19">
        <w:rPr>
          <w:rFonts w:ascii="Times New Roman" w:hAnsi="Times New Roman" w:cs="Times New Roman"/>
          <w:sz w:val="24"/>
          <w:szCs w:val="24"/>
        </w:rPr>
        <w:t xml:space="preserve">greement </w:t>
      </w:r>
      <w:r w:rsidR="000F100C">
        <w:rPr>
          <w:rFonts w:ascii="Times New Roman" w:hAnsi="Times New Roman" w:cs="Times New Roman"/>
          <w:sz w:val="24"/>
          <w:szCs w:val="24"/>
        </w:rPr>
        <w:t xml:space="preserve">are focused </w:t>
      </w:r>
      <w:r w:rsidRPr="009A0E19">
        <w:rPr>
          <w:rFonts w:ascii="Times New Roman" w:hAnsi="Times New Roman" w:cs="Times New Roman"/>
          <w:sz w:val="24"/>
          <w:szCs w:val="24"/>
        </w:rPr>
        <w:t>in six specific areas: building and apartment inspections, lead, mold, pests</w:t>
      </w:r>
      <w:r w:rsidR="00DA6076">
        <w:rPr>
          <w:rFonts w:ascii="Times New Roman" w:hAnsi="Times New Roman" w:cs="Times New Roman"/>
          <w:sz w:val="24"/>
          <w:szCs w:val="24"/>
        </w:rPr>
        <w:t xml:space="preserve"> and </w:t>
      </w:r>
      <w:r w:rsidRPr="009A0E19">
        <w:rPr>
          <w:rFonts w:ascii="Times New Roman" w:hAnsi="Times New Roman" w:cs="Times New Roman"/>
          <w:sz w:val="24"/>
          <w:szCs w:val="24"/>
        </w:rPr>
        <w:t>waste, heating, and elevators. While these are not directly related to the physical security apparatus described above, there is enough of an overlap that the monitor issued a report on May 25, 2023 focused on “the persistent safety and security concerns that continue to significantly diminish living conditions at many developments.”</w:t>
      </w:r>
      <w:r w:rsidRPr="009A0E19">
        <w:rPr>
          <w:rStyle w:val="FootnoteReference"/>
          <w:rFonts w:ascii="Times New Roman" w:hAnsi="Times New Roman" w:cs="Times New Roman"/>
          <w:sz w:val="24"/>
          <w:szCs w:val="24"/>
        </w:rPr>
        <w:footnoteReference w:id="15"/>
      </w:r>
      <w:r w:rsidRPr="009A0E19">
        <w:rPr>
          <w:rFonts w:ascii="Times New Roman" w:hAnsi="Times New Roman" w:cs="Times New Roman"/>
          <w:sz w:val="24"/>
          <w:szCs w:val="24"/>
        </w:rPr>
        <w:t xml:space="preserve"> Of note, the </w:t>
      </w:r>
      <w:r w:rsidR="00676337">
        <w:rPr>
          <w:rFonts w:ascii="Times New Roman" w:hAnsi="Times New Roman" w:cs="Times New Roman"/>
          <w:sz w:val="24"/>
          <w:szCs w:val="24"/>
        </w:rPr>
        <w:t>m</w:t>
      </w:r>
      <w:r w:rsidRPr="009A0E19">
        <w:rPr>
          <w:rFonts w:ascii="Times New Roman" w:hAnsi="Times New Roman" w:cs="Times New Roman"/>
          <w:sz w:val="24"/>
          <w:szCs w:val="24"/>
        </w:rPr>
        <w:t xml:space="preserve">onitor began his description of NYCHA’s current safety and security issues by stating: </w:t>
      </w:r>
    </w:p>
    <w:p w14:paraId="466745E2" w14:textId="05F3DD87" w:rsidR="00554CA5" w:rsidRPr="009939AB" w:rsidRDefault="00554CA5" w:rsidP="00F10C53">
      <w:pPr>
        <w:spacing w:after="240" w:line="240" w:lineRule="auto"/>
        <w:ind w:left="720"/>
        <w:jc w:val="both"/>
        <w:rPr>
          <w:rFonts w:ascii="Times New Roman" w:hAnsi="Times New Roman"/>
          <w:sz w:val="24"/>
        </w:rPr>
      </w:pPr>
      <w:r w:rsidRPr="009939AB">
        <w:rPr>
          <w:rFonts w:ascii="Times New Roman" w:hAnsi="Times New Roman"/>
          <w:sz w:val="24"/>
        </w:rPr>
        <w:t>Many of NYCHA’s main security problems stem from infrastructure deficiencies in and around NYCHA buildings. These infrastructure failings give unauthorized non-residents easy access to many NYCHA buildings, exposing residents to vulnerable situations, and leading to increased criminal activity and other circumstances that diminish living conditions. Infrastructure deficiencies include chronically broken building entry doors, inadequate lighting and security cameras, and miles of sidewalk bridges around most developments that obscure lighting and create areas where residents are particularly vulnerable to criminal activity.</w:t>
      </w:r>
      <w:r w:rsidR="00891D44">
        <w:rPr>
          <w:rStyle w:val="FootnoteReference"/>
          <w:rFonts w:ascii="Times New Roman" w:hAnsi="Times New Roman" w:cs="Times New Roman"/>
          <w:szCs w:val="24"/>
        </w:rPr>
        <w:footnoteReference w:id="16"/>
      </w:r>
      <w:r w:rsidR="000F100C">
        <w:rPr>
          <w:rFonts w:ascii="Times New Roman" w:hAnsi="Times New Roman" w:cs="Times New Roman"/>
          <w:sz w:val="24"/>
          <w:szCs w:val="28"/>
        </w:rPr>
        <w:t xml:space="preserve"> </w:t>
      </w:r>
    </w:p>
    <w:p w14:paraId="3A1C6649" w14:textId="18B10674" w:rsidR="00554CA5" w:rsidRPr="009A0E19" w:rsidRDefault="00DB17E9" w:rsidP="00087CFD">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The </w:t>
      </w:r>
      <w:r w:rsidR="009939AB">
        <w:rPr>
          <w:rFonts w:ascii="Times New Roman" w:hAnsi="Times New Roman" w:cs="Times New Roman"/>
          <w:sz w:val="24"/>
          <w:szCs w:val="24"/>
        </w:rPr>
        <w:t>m</w:t>
      </w:r>
      <w:r w:rsidR="00554CA5" w:rsidRPr="009A0E19">
        <w:rPr>
          <w:rFonts w:ascii="Times New Roman" w:hAnsi="Times New Roman" w:cs="Times New Roman"/>
          <w:sz w:val="24"/>
          <w:szCs w:val="24"/>
        </w:rPr>
        <w:t>onitor’s</w:t>
      </w:r>
      <w:r w:rsidR="00DD7D85">
        <w:rPr>
          <w:rFonts w:ascii="Times New Roman" w:hAnsi="Times New Roman" w:cs="Times New Roman"/>
          <w:sz w:val="24"/>
          <w:szCs w:val="24"/>
        </w:rPr>
        <w:t xml:space="preserve"> May 2023</w:t>
      </w:r>
      <w:r w:rsidR="00554CA5" w:rsidRPr="009A0E19">
        <w:rPr>
          <w:rFonts w:ascii="Times New Roman" w:hAnsi="Times New Roman" w:cs="Times New Roman"/>
          <w:sz w:val="24"/>
          <w:szCs w:val="24"/>
        </w:rPr>
        <w:t xml:space="preserve"> report cited that, alongside the physical deficiencies stated above, there </w:t>
      </w:r>
      <w:r w:rsidR="00DD7D85">
        <w:rPr>
          <w:rFonts w:ascii="Times New Roman" w:hAnsi="Times New Roman" w:cs="Times New Roman"/>
          <w:sz w:val="24"/>
          <w:szCs w:val="24"/>
        </w:rPr>
        <w:t>are</w:t>
      </w:r>
      <w:r w:rsidR="00DD7D85" w:rsidRPr="009A0E19">
        <w:rPr>
          <w:rFonts w:ascii="Times New Roman" w:hAnsi="Times New Roman" w:cs="Times New Roman"/>
          <w:sz w:val="24"/>
          <w:szCs w:val="24"/>
        </w:rPr>
        <w:t xml:space="preserve"> </w:t>
      </w:r>
      <w:r w:rsidR="00554CA5" w:rsidRPr="009A0E19">
        <w:rPr>
          <w:rFonts w:ascii="Times New Roman" w:hAnsi="Times New Roman" w:cs="Times New Roman"/>
          <w:sz w:val="24"/>
          <w:szCs w:val="24"/>
        </w:rPr>
        <w:t>also organizational gaps prevent</w:t>
      </w:r>
      <w:r w:rsidR="00DD7D85">
        <w:rPr>
          <w:rFonts w:ascii="Times New Roman" w:hAnsi="Times New Roman" w:cs="Times New Roman"/>
          <w:sz w:val="24"/>
          <w:szCs w:val="24"/>
        </w:rPr>
        <w:t>ing</w:t>
      </w:r>
      <w:r w:rsidR="00554CA5" w:rsidRPr="009A0E19">
        <w:rPr>
          <w:rFonts w:ascii="Times New Roman" w:hAnsi="Times New Roman" w:cs="Times New Roman"/>
          <w:sz w:val="24"/>
          <w:szCs w:val="24"/>
        </w:rPr>
        <w:t xml:space="preserve"> collaboration between the </w:t>
      </w:r>
      <w:r w:rsidR="00B3200D">
        <w:rPr>
          <w:rFonts w:ascii="Times New Roman" w:hAnsi="Times New Roman" w:cs="Times New Roman"/>
          <w:sz w:val="24"/>
          <w:szCs w:val="24"/>
        </w:rPr>
        <w:t>NYC Police Department (</w:t>
      </w:r>
      <w:r w:rsidR="00DD7D85">
        <w:rPr>
          <w:rFonts w:ascii="Times New Roman" w:hAnsi="Times New Roman" w:cs="Times New Roman"/>
          <w:sz w:val="24"/>
          <w:szCs w:val="24"/>
        </w:rPr>
        <w:t>“</w:t>
      </w:r>
      <w:r w:rsidR="00554CA5" w:rsidRPr="009A0E19">
        <w:rPr>
          <w:rFonts w:ascii="Times New Roman" w:hAnsi="Times New Roman" w:cs="Times New Roman"/>
          <w:sz w:val="24"/>
          <w:szCs w:val="24"/>
        </w:rPr>
        <w:t>NYPD</w:t>
      </w:r>
      <w:r w:rsidR="00DD7D85">
        <w:rPr>
          <w:rFonts w:ascii="Times New Roman" w:hAnsi="Times New Roman" w:cs="Times New Roman"/>
          <w:sz w:val="24"/>
          <w:szCs w:val="24"/>
        </w:rPr>
        <w:t>”</w:t>
      </w:r>
      <w:r w:rsidR="00B3200D">
        <w:rPr>
          <w:rFonts w:ascii="Times New Roman" w:hAnsi="Times New Roman" w:cs="Times New Roman"/>
          <w:sz w:val="24"/>
          <w:szCs w:val="24"/>
        </w:rPr>
        <w:t>)</w:t>
      </w:r>
      <w:r w:rsidR="00554CA5" w:rsidRPr="009A0E19">
        <w:rPr>
          <w:rFonts w:ascii="Times New Roman" w:hAnsi="Times New Roman" w:cs="Times New Roman"/>
          <w:sz w:val="24"/>
          <w:szCs w:val="24"/>
        </w:rPr>
        <w:t xml:space="preserve">, </w:t>
      </w:r>
      <w:r w:rsidR="00602679">
        <w:rPr>
          <w:rFonts w:ascii="Times New Roman" w:hAnsi="Times New Roman" w:cs="Times New Roman"/>
          <w:sz w:val="24"/>
          <w:szCs w:val="24"/>
        </w:rPr>
        <w:t xml:space="preserve">the </w:t>
      </w:r>
      <w:r w:rsidR="002D7B46">
        <w:rPr>
          <w:rFonts w:ascii="Times New Roman" w:hAnsi="Times New Roman" w:cs="Times New Roman"/>
          <w:sz w:val="24"/>
          <w:szCs w:val="24"/>
        </w:rPr>
        <w:t>NYC Fire Department (</w:t>
      </w:r>
      <w:r w:rsidR="00DD7D85">
        <w:rPr>
          <w:rFonts w:ascii="Times New Roman" w:hAnsi="Times New Roman" w:cs="Times New Roman"/>
          <w:sz w:val="24"/>
          <w:szCs w:val="24"/>
        </w:rPr>
        <w:t>“</w:t>
      </w:r>
      <w:r w:rsidR="00554CA5" w:rsidRPr="009A0E19">
        <w:rPr>
          <w:rFonts w:ascii="Times New Roman" w:hAnsi="Times New Roman" w:cs="Times New Roman"/>
          <w:sz w:val="24"/>
          <w:szCs w:val="24"/>
        </w:rPr>
        <w:t>FDNY</w:t>
      </w:r>
      <w:r w:rsidR="00DD7D85">
        <w:rPr>
          <w:rFonts w:ascii="Times New Roman" w:hAnsi="Times New Roman" w:cs="Times New Roman"/>
          <w:sz w:val="24"/>
          <w:szCs w:val="24"/>
        </w:rPr>
        <w:t>”</w:t>
      </w:r>
      <w:r w:rsidR="002D7B46">
        <w:rPr>
          <w:rFonts w:ascii="Times New Roman" w:hAnsi="Times New Roman" w:cs="Times New Roman"/>
          <w:sz w:val="24"/>
          <w:szCs w:val="24"/>
        </w:rPr>
        <w:t>),</w:t>
      </w:r>
      <w:r w:rsidR="00554CA5" w:rsidRPr="009A0E19">
        <w:rPr>
          <w:rFonts w:ascii="Times New Roman" w:hAnsi="Times New Roman" w:cs="Times New Roman"/>
          <w:sz w:val="24"/>
          <w:szCs w:val="24"/>
        </w:rPr>
        <w:t xml:space="preserve"> and other </w:t>
      </w:r>
      <w:r w:rsidR="002D7B46">
        <w:rPr>
          <w:rFonts w:ascii="Times New Roman" w:hAnsi="Times New Roman" w:cs="Times New Roman"/>
          <w:sz w:val="24"/>
          <w:szCs w:val="24"/>
        </w:rPr>
        <w:t>C</w:t>
      </w:r>
      <w:r w:rsidR="002D7B46" w:rsidRPr="009A0E19">
        <w:rPr>
          <w:rFonts w:ascii="Times New Roman" w:hAnsi="Times New Roman" w:cs="Times New Roman"/>
          <w:sz w:val="24"/>
          <w:szCs w:val="24"/>
        </w:rPr>
        <w:t xml:space="preserve">ity </w:t>
      </w:r>
      <w:r w:rsidR="00554CA5" w:rsidRPr="009A0E19">
        <w:rPr>
          <w:rFonts w:ascii="Times New Roman" w:hAnsi="Times New Roman" w:cs="Times New Roman"/>
          <w:sz w:val="24"/>
          <w:szCs w:val="24"/>
        </w:rPr>
        <w:t>agencies.</w:t>
      </w:r>
      <w:r w:rsidR="00F10C53">
        <w:rPr>
          <w:rStyle w:val="FootnoteReference"/>
          <w:rFonts w:ascii="Times New Roman" w:hAnsi="Times New Roman" w:cs="Times New Roman"/>
          <w:sz w:val="24"/>
          <w:szCs w:val="24"/>
        </w:rPr>
        <w:footnoteReference w:id="17"/>
      </w:r>
      <w:r w:rsidR="00554CA5" w:rsidRPr="009A0E19">
        <w:rPr>
          <w:rFonts w:ascii="Times New Roman" w:hAnsi="Times New Roman" w:cs="Times New Roman"/>
          <w:sz w:val="24"/>
          <w:szCs w:val="24"/>
        </w:rPr>
        <w:t xml:space="preserve"> The </w:t>
      </w:r>
      <w:r w:rsidR="009939AB">
        <w:rPr>
          <w:rFonts w:ascii="Times New Roman" w:hAnsi="Times New Roman" w:cs="Times New Roman"/>
          <w:sz w:val="24"/>
          <w:szCs w:val="24"/>
        </w:rPr>
        <w:t>m</w:t>
      </w:r>
      <w:r w:rsidR="002D7B46" w:rsidRPr="009A0E19">
        <w:rPr>
          <w:rFonts w:ascii="Times New Roman" w:hAnsi="Times New Roman" w:cs="Times New Roman"/>
          <w:sz w:val="24"/>
          <w:szCs w:val="24"/>
        </w:rPr>
        <w:t xml:space="preserve">onitor’s </w:t>
      </w:r>
      <w:r w:rsidR="00554CA5" w:rsidRPr="009A0E19">
        <w:rPr>
          <w:rFonts w:ascii="Times New Roman" w:hAnsi="Times New Roman" w:cs="Times New Roman"/>
          <w:sz w:val="24"/>
          <w:szCs w:val="24"/>
        </w:rPr>
        <w:t>Community Advisory Committee</w:t>
      </w:r>
      <w:r w:rsidR="00D05F6D">
        <w:rPr>
          <w:rFonts w:ascii="Times New Roman" w:hAnsi="Times New Roman" w:cs="Times New Roman"/>
          <w:sz w:val="24"/>
          <w:szCs w:val="24"/>
        </w:rPr>
        <w:t xml:space="preserve"> </w:t>
      </w:r>
      <w:r w:rsidR="00554CA5" w:rsidRPr="009A0E19">
        <w:rPr>
          <w:rFonts w:ascii="Times New Roman" w:hAnsi="Times New Roman" w:cs="Times New Roman"/>
          <w:sz w:val="24"/>
          <w:szCs w:val="24"/>
        </w:rPr>
        <w:t>(“CAC”)</w:t>
      </w:r>
      <w:r w:rsidR="00F10C53">
        <w:rPr>
          <w:rFonts w:ascii="Times New Roman" w:hAnsi="Times New Roman" w:cs="Times New Roman"/>
          <w:sz w:val="24"/>
          <w:szCs w:val="24"/>
        </w:rPr>
        <w:t xml:space="preserve"> </w:t>
      </w:r>
      <w:r w:rsidR="00F10C53" w:rsidRPr="009A0E19">
        <w:rPr>
          <w:rFonts w:ascii="Times New Roman" w:hAnsi="Times New Roman" w:cs="Times New Roman"/>
          <w:sz w:val="24"/>
          <w:szCs w:val="24"/>
        </w:rPr>
        <w:t>has resulted in a temporary forum for such communication</w:t>
      </w:r>
      <w:r w:rsidR="00290A2F" w:rsidRPr="00290A2F">
        <w:rPr>
          <w:rFonts w:ascii="Times New Roman" w:hAnsi="Times New Roman" w:cs="Times New Roman"/>
          <w:sz w:val="24"/>
          <w:szCs w:val="24"/>
        </w:rPr>
        <w:t xml:space="preserve"> </w:t>
      </w:r>
      <w:r w:rsidR="00290A2F" w:rsidRPr="009A0E19">
        <w:rPr>
          <w:rFonts w:ascii="Times New Roman" w:hAnsi="Times New Roman" w:cs="Times New Roman"/>
          <w:sz w:val="24"/>
          <w:szCs w:val="24"/>
        </w:rPr>
        <w:t>but the monitor</w:t>
      </w:r>
      <w:r w:rsidR="00290A2F">
        <w:rPr>
          <w:rFonts w:ascii="Times New Roman" w:hAnsi="Times New Roman" w:cs="Times New Roman"/>
          <w:sz w:val="24"/>
          <w:szCs w:val="24"/>
        </w:rPr>
        <w:t xml:space="preserve"> </w:t>
      </w:r>
      <w:r w:rsidR="00290A2F" w:rsidRPr="009A0E19">
        <w:rPr>
          <w:rFonts w:ascii="Times New Roman" w:hAnsi="Times New Roman" w:cs="Times New Roman"/>
          <w:sz w:val="24"/>
          <w:szCs w:val="24"/>
        </w:rPr>
        <w:t>believe</w:t>
      </w:r>
      <w:r w:rsidR="00290A2F">
        <w:rPr>
          <w:rFonts w:ascii="Times New Roman" w:hAnsi="Times New Roman" w:cs="Times New Roman"/>
          <w:sz w:val="24"/>
          <w:szCs w:val="24"/>
        </w:rPr>
        <w:t>s there is a need for</w:t>
      </w:r>
      <w:r w:rsidR="00290A2F" w:rsidRPr="009A0E19">
        <w:rPr>
          <w:rFonts w:ascii="Times New Roman" w:hAnsi="Times New Roman" w:cs="Times New Roman"/>
          <w:sz w:val="24"/>
          <w:szCs w:val="24"/>
        </w:rPr>
        <w:t xml:space="preserve"> structure within NYCHA to effectively deal with the safety and security concerns.</w:t>
      </w:r>
      <w:r w:rsidR="00290A2F">
        <w:rPr>
          <w:rStyle w:val="FootnoteReference"/>
          <w:rFonts w:ascii="Times New Roman" w:hAnsi="Times New Roman" w:cs="Times New Roman"/>
          <w:sz w:val="24"/>
          <w:szCs w:val="24"/>
        </w:rPr>
        <w:footnoteReference w:id="18"/>
      </w:r>
      <w:r w:rsidR="00554CA5" w:rsidRPr="009A0E19">
        <w:rPr>
          <w:rFonts w:ascii="Times New Roman" w:hAnsi="Times New Roman" w:cs="Times New Roman"/>
          <w:sz w:val="24"/>
          <w:szCs w:val="24"/>
        </w:rPr>
        <w:t xml:space="preserve"> </w:t>
      </w:r>
      <w:r w:rsidR="00F10C53">
        <w:rPr>
          <w:rFonts w:ascii="Times New Roman" w:hAnsi="Times New Roman" w:cs="Times New Roman"/>
          <w:sz w:val="24"/>
          <w:szCs w:val="24"/>
        </w:rPr>
        <w:t xml:space="preserve">The CAC </w:t>
      </w:r>
      <w:r w:rsidR="00554CA5" w:rsidRPr="009A0E19">
        <w:rPr>
          <w:rFonts w:ascii="Times New Roman" w:hAnsi="Times New Roman" w:cs="Times New Roman"/>
          <w:sz w:val="24"/>
          <w:szCs w:val="24"/>
        </w:rPr>
        <w:t xml:space="preserve">was established under the terms of the </w:t>
      </w:r>
      <w:r w:rsidR="002D7B46">
        <w:rPr>
          <w:rFonts w:ascii="Times New Roman" w:hAnsi="Times New Roman" w:cs="Times New Roman"/>
          <w:sz w:val="24"/>
          <w:szCs w:val="24"/>
        </w:rPr>
        <w:t>A</w:t>
      </w:r>
      <w:r w:rsidR="002D7B46" w:rsidRPr="009A0E19">
        <w:rPr>
          <w:rFonts w:ascii="Times New Roman" w:hAnsi="Times New Roman" w:cs="Times New Roman"/>
          <w:sz w:val="24"/>
          <w:szCs w:val="24"/>
        </w:rPr>
        <w:t xml:space="preserve">greement </w:t>
      </w:r>
      <w:r w:rsidR="00554CA5" w:rsidRPr="009A0E19">
        <w:rPr>
          <w:rFonts w:ascii="Times New Roman" w:hAnsi="Times New Roman" w:cs="Times New Roman"/>
          <w:sz w:val="24"/>
          <w:szCs w:val="24"/>
        </w:rPr>
        <w:t>and includes resident leaders, NYCHA, HUD</w:t>
      </w:r>
      <w:r w:rsidR="00AA39EB">
        <w:rPr>
          <w:rFonts w:ascii="Times New Roman" w:hAnsi="Times New Roman" w:cs="Times New Roman"/>
          <w:sz w:val="24"/>
          <w:szCs w:val="24"/>
        </w:rPr>
        <w:t>,</w:t>
      </w:r>
      <w:r w:rsidR="00554CA5" w:rsidRPr="009A0E19">
        <w:rPr>
          <w:rFonts w:ascii="Times New Roman" w:hAnsi="Times New Roman" w:cs="Times New Roman"/>
          <w:sz w:val="24"/>
          <w:szCs w:val="24"/>
        </w:rPr>
        <w:t xml:space="preserve"> and officials from </w:t>
      </w:r>
      <w:r w:rsidR="002D7B46">
        <w:rPr>
          <w:rFonts w:ascii="Times New Roman" w:hAnsi="Times New Roman" w:cs="Times New Roman"/>
          <w:sz w:val="24"/>
          <w:szCs w:val="24"/>
        </w:rPr>
        <w:t>C</w:t>
      </w:r>
      <w:r w:rsidR="002D7B46" w:rsidRPr="009A0E19">
        <w:rPr>
          <w:rFonts w:ascii="Times New Roman" w:hAnsi="Times New Roman" w:cs="Times New Roman"/>
          <w:sz w:val="24"/>
          <w:szCs w:val="24"/>
        </w:rPr>
        <w:t xml:space="preserve">ity </w:t>
      </w:r>
      <w:r w:rsidR="00554CA5" w:rsidRPr="009A0E19">
        <w:rPr>
          <w:rFonts w:ascii="Times New Roman" w:hAnsi="Times New Roman" w:cs="Times New Roman"/>
          <w:sz w:val="24"/>
          <w:szCs w:val="24"/>
        </w:rPr>
        <w:t xml:space="preserve">agencies </w:t>
      </w:r>
      <w:r w:rsidR="00DD7D85">
        <w:rPr>
          <w:rFonts w:ascii="Times New Roman" w:hAnsi="Times New Roman" w:cs="Times New Roman"/>
          <w:sz w:val="24"/>
          <w:szCs w:val="24"/>
        </w:rPr>
        <w:t>that</w:t>
      </w:r>
      <w:r w:rsidR="00DD7D85" w:rsidRPr="009A0E19">
        <w:rPr>
          <w:rFonts w:ascii="Times New Roman" w:hAnsi="Times New Roman" w:cs="Times New Roman"/>
          <w:sz w:val="24"/>
          <w:szCs w:val="24"/>
        </w:rPr>
        <w:t xml:space="preserve"> </w:t>
      </w:r>
      <w:r w:rsidR="00554CA5" w:rsidRPr="009A0E19">
        <w:rPr>
          <w:rFonts w:ascii="Times New Roman" w:hAnsi="Times New Roman" w:cs="Times New Roman"/>
          <w:sz w:val="24"/>
          <w:szCs w:val="24"/>
        </w:rPr>
        <w:t>provide services to NYCHA residents.</w:t>
      </w:r>
      <w:r w:rsidR="00F10C53">
        <w:rPr>
          <w:rStyle w:val="FootnoteReference"/>
          <w:rFonts w:ascii="Times New Roman" w:hAnsi="Times New Roman" w:cs="Times New Roman"/>
          <w:sz w:val="24"/>
          <w:szCs w:val="24"/>
        </w:rPr>
        <w:footnoteReference w:id="19"/>
      </w:r>
      <w:r w:rsidR="00554CA5" w:rsidRPr="009A0E19">
        <w:rPr>
          <w:rFonts w:ascii="Times New Roman" w:hAnsi="Times New Roman" w:cs="Times New Roman"/>
          <w:sz w:val="24"/>
          <w:szCs w:val="24"/>
        </w:rPr>
        <w:t xml:space="preserve"> The CAC</w:t>
      </w:r>
      <w:r w:rsidR="00290A2F">
        <w:rPr>
          <w:rFonts w:ascii="Times New Roman" w:hAnsi="Times New Roman" w:cs="Times New Roman"/>
          <w:sz w:val="24"/>
          <w:szCs w:val="24"/>
        </w:rPr>
        <w:t>, through a subcommittee focused on safety,</w:t>
      </w:r>
      <w:r w:rsidR="00554CA5" w:rsidRPr="009A0E19">
        <w:rPr>
          <w:rFonts w:ascii="Times New Roman" w:hAnsi="Times New Roman" w:cs="Times New Roman"/>
          <w:sz w:val="24"/>
          <w:szCs w:val="24"/>
        </w:rPr>
        <w:t xml:space="preserve"> </w:t>
      </w:r>
      <w:r w:rsidR="00E47CE9">
        <w:rPr>
          <w:rFonts w:ascii="Times New Roman" w:hAnsi="Times New Roman" w:cs="Times New Roman"/>
          <w:sz w:val="24"/>
          <w:szCs w:val="24"/>
        </w:rPr>
        <w:t>made</w:t>
      </w:r>
      <w:r w:rsidR="00E47CE9" w:rsidRPr="009A0E19">
        <w:rPr>
          <w:rFonts w:ascii="Times New Roman" w:hAnsi="Times New Roman" w:cs="Times New Roman"/>
          <w:sz w:val="24"/>
          <w:szCs w:val="24"/>
        </w:rPr>
        <w:t xml:space="preserve"> </w:t>
      </w:r>
      <w:r w:rsidR="00554CA5" w:rsidRPr="009A0E19">
        <w:rPr>
          <w:rFonts w:ascii="Times New Roman" w:hAnsi="Times New Roman" w:cs="Times New Roman"/>
          <w:sz w:val="24"/>
          <w:szCs w:val="24"/>
        </w:rPr>
        <w:t>a number of suggestions</w:t>
      </w:r>
      <w:r w:rsidR="00290A2F">
        <w:rPr>
          <w:rFonts w:ascii="Times New Roman" w:hAnsi="Times New Roman" w:cs="Times New Roman"/>
          <w:sz w:val="24"/>
          <w:szCs w:val="24"/>
        </w:rPr>
        <w:t xml:space="preserve"> to address safety concerns.</w:t>
      </w:r>
      <w:r w:rsidR="00290A2F">
        <w:rPr>
          <w:rStyle w:val="FootnoteReference"/>
          <w:rFonts w:ascii="Times New Roman" w:hAnsi="Times New Roman" w:cs="Times New Roman"/>
          <w:sz w:val="24"/>
          <w:szCs w:val="24"/>
        </w:rPr>
        <w:footnoteReference w:id="20"/>
      </w:r>
      <w:r w:rsidR="00290A2F" w:rsidRPr="009A0E19">
        <w:rPr>
          <w:rFonts w:ascii="Times New Roman" w:hAnsi="Times New Roman" w:cs="Times New Roman"/>
          <w:sz w:val="24"/>
          <w:szCs w:val="24"/>
        </w:rPr>
        <w:t xml:space="preserve"> </w:t>
      </w:r>
      <w:r w:rsidR="00554CA5" w:rsidRPr="009A0E19">
        <w:rPr>
          <w:rFonts w:ascii="Times New Roman" w:hAnsi="Times New Roman" w:cs="Times New Roman"/>
          <w:sz w:val="24"/>
          <w:szCs w:val="24"/>
        </w:rPr>
        <w:t>To that end</w:t>
      </w:r>
      <w:r w:rsidR="00205D7F">
        <w:rPr>
          <w:rFonts w:ascii="Times New Roman" w:hAnsi="Times New Roman" w:cs="Times New Roman"/>
          <w:sz w:val="24"/>
          <w:szCs w:val="24"/>
        </w:rPr>
        <w:t>,</w:t>
      </w:r>
      <w:r w:rsidR="00554CA5" w:rsidRPr="009A0E19">
        <w:rPr>
          <w:rFonts w:ascii="Times New Roman" w:hAnsi="Times New Roman" w:cs="Times New Roman"/>
          <w:sz w:val="24"/>
          <w:szCs w:val="24"/>
        </w:rPr>
        <w:t xml:space="preserve"> the Monitor suggested the creation of a new position of Safety and Security Technician which would “supplement and coordinate existing safety and security efforts within each NYCHA neighborhood.”</w:t>
      </w:r>
      <w:r w:rsidR="00891D44">
        <w:rPr>
          <w:rStyle w:val="FootnoteReference"/>
          <w:rFonts w:ascii="Times New Roman" w:hAnsi="Times New Roman" w:cs="Times New Roman"/>
          <w:sz w:val="24"/>
          <w:szCs w:val="24"/>
        </w:rPr>
        <w:footnoteReference w:id="21"/>
      </w:r>
      <w:r w:rsidR="00554CA5" w:rsidRPr="009A0E19">
        <w:rPr>
          <w:rFonts w:ascii="Times New Roman" w:hAnsi="Times New Roman" w:cs="Times New Roman"/>
          <w:sz w:val="24"/>
          <w:szCs w:val="24"/>
        </w:rPr>
        <w:t xml:space="preserve"> Th</w:t>
      </w:r>
      <w:r w:rsidR="00676337">
        <w:rPr>
          <w:rFonts w:ascii="Times New Roman" w:hAnsi="Times New Roman" w:cs="Times New Roman"/>
          <w:sz w:val="24"/>
          <w:szCs w:val="24"/>
        </w:rPr>
        <w:t>e individual in this</w:t>
      </w:r>
      <w:r w:rsidR="00554CA5" w:rsidRPr="009A0E19">
        <w:rPr>
          <w:rFonts w:ascii="Times New Roman" w:hAnsi="Times New Roman" w:cs="Times New Roman"/>
          <w:sz w:val="24"/>
          <w:szCs w:val="24"/>
        </w:rPr>
        <w:t xml:space="preserve"> role would conduct inspections and walkthroughs in NYCHA complexes aimed at looking for safety and security issues</w:t>
      </w:r>
      <w:r w:rsidR="00850344">
        <w:rPr>
          <w:rFonts w:ascii="Times New Roman" w:hAnsi="Times New Roman" w:cs="Times New Roman"/>
          <w:sz w:val="24"/>
          <w:szCs w:val="24"/>
        </w:rPr>
        <w:t>, and would also</w:t>
      </w:r>
      <w:r w:rsidR="00554CA5" w:rsidRPr="009A0E19">
        <w:rPr>
          <w:rFonts w:ascii="Times New Roman" w:hAnsi="Times New Roman" w:cs="Times New Roman"/>
          <w:sz w:val="24"/>
          <w:szCs w:val="24"/>
        </w:rPr>
        <w:t xml:space="preserve"> be responsible for addressing “unruly residents who do not abide by NYCHA rules and </w:t>
      </w:r>
      <w:r w:rsidR="000F100C">
        <w:rPr>
          <w:rFonts w:ascii="Times New Roman" w:hAnsi="Times New Roman" w:cs="Times New Roman"/>
          <w:sz w:val="24"/>
          <w:szCs w:val="24"/>
        </w:rPr>
        <w:t xml:space="preserve">New York City </w:t>
      </w:r>
      <w:r w:rsidR="00554CA5" w:rsidRPr="009A0E19">
        <w:rPr>
          <w:rFonts w:ascii="Times New Roman" w:hAnsi="Times New Roman" w:cs="Times New Roman"/>
          <w:sz w:val="24"/>
          <w:szCs w:val="24"/>
        </w:rPr>
        <w:t>laws, and trespasser issues within the neighborhoods, and squatting issues on NYCHA property.”</w:t>
      </w:r>
      <w:r w:rsidR="00891D44">
        <w:rPr>
          <w:rStyle w:val="FootnoteReference"/>
          <w:rFonts w:ascii="Times New Roman" w:hAnsi="Times New Roman" w:cs="Times New Roman"/>
          <w:sz w:val="24"/>
          <w:szCs w:val="24"/>
        </w:rPr>
        <w:footnoteReference w:id="22"/>
      </w:r>
      <w:r w:rsidR="000F100C">
        <w:rPr>
          <w:rFonts w:ascii="Times New Roman" w:hAnsi="Times New Roman" w:cs="Times New Roman"/>
          <w:sz w:val="24"/>
          <w:szCs w:val="24"/>
        </w:rPr>
        <w:t xml:space="preserve"> The</w:t>
      </w:r>
      <w:r w:rsidR="00554CA5" w:rsidRPr="009A0E19">
        <w:rPr>
          <w:rFonts w:ascii="Times New Roman" w:hAnsi="Times New Roman" w:cs="Times New Roman"/>
          <w:sz w:val="24"/>
          <w:szCs w:val="24"/>
        </w:rPr>
        <w:t xml:space="preserve"> individual </w:t>
      </w:r>
      <w:r w:rsidR="0073005C">
        <w:rPr>
          <w:rFonts w:ascii="Times New Roman" w:hAnsi="Times New Roman" w:cs="Times New Roman"/>
          <w:sz w:val="24"/>
          <w:szCs w:val="24"/>
        </w:rPr>
        <w:t xml:space="preserve">in the Technician role </w:t>
      </w:r>
      <w:r w:rsidR="00554CA5" w:rsidRPr="009A0E19">
        <w:rPr>
          <w:rFonts w:ascii="Times New Roman" w:hAnsi="Times New Roman" w:cs="Times New Roman"/>
          <w:sz w:val="24"/>
          <w:szCs w:val="24"/>
        </w:rPr>
        <w:t>would also oversee any security guards hired by developments as well as act as a liaison between NYCHA and the NYPD, FDNY</w:t>
      </w:r>
      <w:r w:rsidR="00C45034">
        <w:rPr>
          <w:rFonts w:ascii="Times New Roman" w:hAnsi="Times New Roman" w:cs="Times New Roman"/>
          <w:sz w:val="24"/>
          <w:szCs w:val="24"/>
        </w:rPr>
        <w:t>,</w:t>
      </w:r>
      <w:r w:rsidR="00554CA5" w:rsidRPr="009A0E19">
        <w:rPr>
          <w:rFonts w:ascii="Times New Roman" w:hAnsi="Times New Roman" w:cs="Times New Roman"/>
          <w:sz w:val="24"/>
          <w:szCs w:val="24"/>
        </w:rPr>
        <w:t xml:space="preserve"> and other government agencies to resolve safety and security issues.</w:t>
      </w:r>
      <w:r w:rsidR="00891D44">
        <w:rPr>
          <w:rStyle w:val="FootnoteReference"/>
          <w:rFonts w:ascii="Times New Roman" w:hAnsi="Times New Roman" w:cs="Times New Roman"/>
          <w:sz w:val="24"/>
          <w:szCs w:val="24"/>
        </w:rPr>
        <w:footnoteReference w:id="23"/>
      </w:r>
      <w:r w:rsidR="00554CA5" w:rsidRPr="009A0E19">
        <w:rPr>
          <w:rFonts w:ascii="Times New Roman" w:hAnsi="Times New Roman" w:cs="Times New Roman"/>
          <w:sz w:val="24"/>
          <w:szCs w:val="24"/>
        </w:rPr>
        <w:t xml:space="preserve"> </w:t>
      </w:r>
      <w:r w:rsidR="00D05F6D">
        <w:rPr>
          <w:rFonts w:ascii="Times New Roman" w:hAnsi="Times New Roman" w:cs="Times New Roman"/>
          <w:sz w:val="24"/>
          <w:szCs w:val="24"/>
        </w:rPr>
        <w:t>It</w:t>
      </w:r>
      <w:r w:rsidR="00554CA5">
        <w:rPr>
          <w:rFonts w:ascii="Times New Roman" w:hAnsi="Times New Roman" w:cs="Times New Roman"/>
          <w:sz w:val="24"/>
          <w:szCs w:val="24"/>
        </w:rPr>
        <w:t xml:space="preserve"> is unclear whether NYCHA plans to implement the </w:t>
      </w:r>
      <w:r w:rsidR="009939AB">
        <w:rPr>
          <w:rFonts w:ascii="Times New Roman" w:hAnsi="Times New Roman" w:cs="Times New Roman"/>
          <w:sz w:val="24"/>
          <w:szCs w:val="24"/>
        </w:rPr>
        <w:t>m</w:t>
      </w:r>
      <w:r w:rsidR="00C45034">
        <w:rPr>
          <w:rFonts w:ascii="Times New Roman" w:hAnsi="Times New Roman" w:cs="Times New Roman"/>
          <w:sz w:val="24"/>
          <w:szCs w:val="24"/>
        </w:rPr>
        <w:t xml:space="preserve">onitor’s </w:t>
      </w:r>
      <w:r w:rsidR="00D05F6D">
        <w:rPr>
          <w:rFonts w:ascii="Times New Roman" w:hAnsi="Times New Roman" w:cs="Times New Roman"/>
          <w:sz w:val="24"/>
          <w:szCs w:val="24"/>
        </w:rPr>
        <w:t>recommendation</w:t>
      </w:r>
      <w:r w:rsidR="00C45034">
        <w:rPr>
          <w:rFonts w:ascii="Times New Roman" w:hAnsi="Times New Roman" w:cs="Times New Roman"/>
          <w:sz w:val="24"/>
          <w:szCs w:val="24"/>
        </w:rPr>
        <w:t>s</w:t>
      </w:r>
      <w:r w:rsidR="00554CA5">
        <w:rPr>
          <w:rFonts w:ascii="Times New Roman" w:hAnsi="Times New Roman" w:cs="Times New Roman"/>
          <w:sz w:val="24"/>
          <w:szCs w:val="24"/>
        </w:rPr>
        <w:t>.</w:t>
      </w:r>
    </w:p>
    <w:p w14:paraId="0083DA44" w14:textId="195DCD03" w:rsidR="00AB6FAA" w:rsidRPr="009A0E19" w:rsidRDefault="009A0E19" w:rsidP="00087CFD">
      <w:pPr>
        <w:pStyle w:val="NormalWeb"/>
        <w:spacing w:before="0" w:beforeAutospacing="0" w:after="0" w:afterAutospacing="0" w:line="480" w:lineRule="auto"/>
        <w:ind w:firstLine="720"/>
        <w:contextualSpacing/>
        <w:jc w:val="both"/>
        <w:rPr>
          <w:i/>
          <w:iCs/>
        </w:rPr>
      </w:pPr>
      <w:r w:rsidRPr="009A0E19">
        <w:rPr>
          <w:i/>
          <w:iCs/>
        </w:rPr>
        <w:t xml:space="preserve">Security Cameras </w:t>
      </w:r>
      <w:r w:rsidR="00AB6FAA">
        <w:rPr>
          <w:i/>
          <w:iCs/>
        </w:rPr>
        <w:t xml:space="preserve">&amp; </w:t>
      </w:r>
      <w:r w:rsidR="00AB6FAA" w:rsidRPr="009A0E19">
        <w:rPr>
          <w:i/>
          <w:iCs/>
        </w:rPr>
        <w:t>Sidewalk Sheds at NYCHA</w:t>
      </w:r>
    </w:p>
    <w:p w14:paraId="4832C86D" w14:textId="06411B6C" w:rsidR="009A0E19" w:rsidRPr="009A0E19" w:rsidRDefault="00D05F6D" w:rsidP="00087CFD">
      <w:pPr>
        <w:pStyle w:val="NormalWeb"/>
        <w:spacing w:before="0" w:beforeAutospacing="0" w:after="0" w:afterAutospacing="0" w:line="480" w:lineRule="auto"/>
        <w:ind w:firstLine="720"/>
        <w:contextualSpacing/>
        <w:jc w:val="both"/>
      </w:pPr>
      <w:r>
        <w:t xml:space="preserve">Security cameras and the </w:t>
      </w:r>
      <w:r w:rsidR="000F100C">
        <w:t>personnel needed for the cameras to be a</w:t>
      </w:r>
      <w:r w:rsidR="00676337">
        <w:t>n</w:t>
      </w:r>
      <w:r>
        <w:t xml:space="preserve"> effective safety measure are a continuing issue at NYCHA developments.</w:t>
      </w:r>
      <w:r w:rsidR="009A0E19" w:rsidRPr="009A0E19">
        <w:t xml:space="preserve"> According to </w:t>
      </w:r>
      <w:r w:rsidR="006A1732">
        <w:t xml:space="preserve">2021 </w:t>
      </w:r>
      <w:r w:rsidR="009A0E19" w:rsidRPr="009A0E19">
        <w:t>news reports</w:t>
      </w:r>
      <w:r w:rsidR="002979B6">
        <w:t>,</w:t>
      </w:r>
      <w:r w:rsidR="009A0E19" w:rsidRPr="009A0E19">
        <w:t xml:space="preserve"> there are as many as 70 NYCHA campuses that lack video surveillance.</w:t>
      </w:r>
      <w:r w:rsidR="009A0E19" w:rsidRPr="009A0E19">
        <w:rPr>
          <w:rStyle w:val="FootnoteReference"/>
        </w:rPr>
        <w:footnoteReference w:id="24"/>
      </w:r>
      <w:r w:rsidR="009A0E19" w:rsidRPr="009A0E19">
        <w:t xml:space="preserve"> </w:t>
      </w:r>
      <w:r w:rsidR="008E6C83">
        <w:t xml:space="preserve">At a </w:t>
      </w:r>
      <w:r w:rsidR="00E835DF">
        <w:t>February 24</w:t>
      </w:r>
      <w:r w:rsidR="008E6C83">
        <w:t>, 2021</w:t>
      </w:r>
      <w:r w:rsidR="008E6C83" w:rsidRPr="009A0E19">
        <w:t xml:space="preserve"> </w:t>
      </w:r>
      <w:r w:rsidR="008E6C83">
        <w:t>City C</w:t>
      </w:r>
      <w:r w:rsidR="009A0E19" w:rsidRPr="009A0E19">
        <w:t xml:space="preserve">ouncil hearing, NYCHA </w:t>
      </w:r>
      <w:r w:rsidR="008E6C83">
        <w:t>testified</w:t>
      </w:r>
      <w:r w:rsidR="008E6C83" w:rsidRPr="009A0E19">
        <w:t xml:space="preserve"> </w:t>
      </w:r>
      <w:r w:rsidR="009A0E19" w:rsidRPr="009A0E19">
        <w:t xml:space="preserve">that they were spending a total of $50,944,209 </w:t>
      </w:r>
      <w:r w:rsidR="00D32CB4">
        <w:t>to provide</w:t>
      </w:r>
      <w:r w:rsidR="009A0E19" w:rsidRPr="009A0E19">
        <w:t xml:space="preserve"> security improvements across 35 developments.</w:t>
      </w:r>
      <w:r w:rsidR="009A0E19" w:rsidRPr="009A0E19">
        <w:rPr>
          <w:rStyle w:val="FootnoteReference"/>
        </w:rPr>
        <w:footnoteReference w:id="25"/>
      </w:r>
      <w:r w:rsidR="009A0E19" w:rsidRPr="009A0E19">
        <w:t xml:space="preserve"> The security enhancements </w:t>
      </w:r>
      <w:r w:rsidR="00AB6FAA">
        <w:t>were to</w:t>
      </w:r>
      <w:r w:rsidR="009A0E19" w:rsidRPr="009A0E19">
        <w:t xml:space="preserve"> involve the installation of 25 </w:t>
      </w:r>
      <w:r w:rsidR="00A062AD">
        <w:t>closed-circuit television (</w:t>
      </w:r>
      <w:r w:rsidR="002979B6">
        <w:t>“</w:t>
      </w:r>
      <w:r w:rsidR="009A0E19" w:rsidRPr="009A0E19">
        <w:t>CCTV</w:t>
      </w:r>
      <w:r w:rsidR="002979B6">
        <w:t>”</w:t>
      </w:r>
      <w:r w:rsidR="00A062AD">
        <w:t>)</w:t>
      </w:r>
      <w:r w:rsidR="009A0E19" w:rsidRPr="009A0E19">
        <w:t xml:space="preserve"> unit projects, 10 layered access control projects, and </w:t>
      </w:r>
      <w:r w:rsidR="00010BDC">
        <w:t>9</w:t>
      </w:r>
      <w:r w:rsidR="00010BDC" w:rsidRPr="009A0E19">
        <w:t xml:space="preserve"> </w:t>
      </w:r>
      <w:r w:rsidR="009A0E19" w:rsidRPr="009A0E19">
        <w:t>lighting enhancements.</w:t>
      </w:r>
      <w:r w:rsidR="009A0E19" w:rsidRPr="009A0E19">
        <w:rPr>
          <w:rStyle w:val="FootnoteReference"/>
        </w:rPr>
        <w:footnoteReference w:id="26"/>
      </w:r>
      <w:r w:rsidR="009A0E19" w:rsidRPr="009A0E19">
        <w:t xml:space="preserve"> However, </w:t>
      </w:r>
      <w:r w:rsidR="000A1A4D">
        <w:t>i</w:t>
      </w:r>
      <w:r w:rsidR="009A0E19" w:rsidRPr="009A0E19">
        <w:t xml:space="preserve">n 2014, residents at Moore Houses </w:t>
      </w:r>
      <w:r w:rsidR="00661273">
        <w:t xml:space="preserve">had </w:t>
      </w:r>
      <w:r w:rsidR="009A0E19" w:rsidRPr="009A0E19">
        <w:t xml:space="preserve">expressed their dissatisfaction with </w:t>
      </w:r>
      <w:r w:rsidR="00183A58">
        <w:t>the</w:t>
      </w:r>
      <w:r w:rsidR="009A0E19" w:rsidRPr="009A0E19">
        <w:t xml:space="preserve"> program implemented by NYCHA to enhance safety with </w:t>
      </w:r>
      <w:r w:rsidR="000D7196">
        <w:t>CCTV</w:t>
      </w:r>
      <w:r w:rsidR="009A0E19" w:rsidRPr="009A0E19">
        <w:t xml:space="preserve"> cameras</w:t>
      </w:r>
      <w:r w:rsidR="0014693C">
        <w:t>,</w:t>
      </w:r>
      <w:r w:rsidR="009A0E19" w:rsidRPr="009A0E19">
        <w:t xml:space="preserve"> claim</w:t>
      </w:r>
      <w:r w:rsidR="0014693C">
        <w:t>ing</w:t>
      </w:r>
      <w:r w:rsidR="009939AB">
        <w:t xml:space="preserve"> that</w:t>
      </w:r>
      <w:r w:rsidR="009A0E19" w:rsidRPr="009A0E19">
        <w:t xml:space="preserve"> </w:t>
      </w:r>
      <w:r w:rsidR="0014693C">
        <w:t xml:space="preserve">it </w:t>
      </w:r>
      <w:r w:rsidR="009A0E19" w:rsidRPr="009A0E19">
        <w:t xml:space="preserve">failed to make them feel safer due to </w:t>
      </w:r>
      <w:r w:rsidR="00AE2DC6">
        <w:t>a</w:t>
      </w:r>
      <w:r w:rsidR="009A0E19" w:rsidRPr="009A0E19">
        <w:t xml:space="preserve"> lack of monitoring.</w:t>
      </w:r>
      <w:r w:rsidR="00891D44">
        <w:rPr>
          <w:rStyle w:val="FootnoteReference"/>
        </w:rPr>
        <w:footnoteReference w:id="27"/>
      </w:r>
      <w:r w:rsidR="009A0E19" w:rsidRPr="009A0E19">
        <w:t xml:space="preserve"> According to reports, NYCHA informed residents that they do not have enough manpower to oversee the cameras effectively</w:t>
      </w:r>
      <w:r w:rsidR="000F100C" w:rsidRPr="009A0E19">
        <w:t xml:space="preserve"> </w:t>
      </w:r>
      <w:r w:rsidR="000F100C">
        <w:t>which</w:t>
      </w:r>
      <w:r w:rsidR="009A0E19" w:rsidRPr="009A0E19">
        <w:t xml:space="preserve"> left residents feeling frustrated and concerned about their security.</w:t>
      </w:r>
      <w:r w:rsidR="009A0E19" w:rsidRPr="009A0E19">
        <w:rPr>
          <w:rStyle w:val="FootnoteReference"/>
        </w:rPr>
        <w:footnoteReference w:id="28"/>
      </w:r>
      <w:r w:rsidR="003B574D">
        <w:t xml:space="preserve"> </w:t>
      </w:r>
    </w:p>
    <w:p w14:paraId="2FCE2EA3" w14:textId="59DCC58A" w:rsidR="009A0E19" w:rsidRPr="009A0E19" w:rsidRDefault="00D3455D" w:rsidP="00E36E40">
      <w:pPr>
        <w:pStyle w:val="NormalWeb"/>
        <w:spacing w:before="0" w:beforeAutospacing="0" w:after="0" w:afterAutospacing="0" w:line="480" w:lineRule="auto"/>
        <w:ind w:firstLine="720"/>
        <w:jc w:val="both"/>
      </w:pPr>
      <w:r>
        <w:t>Another safety concern on NYCHA campuses</w:t>
      </w:r>
      <w:r w:rsidR="009939AB">
        <w:t xml:space="preserve"> </w:t>
      </w:r>
      <w:r w:rsidR="00661273">
        <w:t xml:space="preserve">is </w:t>
      </w:r>
      <w:r w:rsidR="009939AB">
        <w:t>the continued presence of</w:t>
      </w:r>
      <w:r w:rsidR="00AB6FAA">
        <w:t xml:space="preserve"> sidewalk sheds.</w:t>
      </w:r>
      <w:r w:rsidR="009A0E19" w:rsidRPr="009A0E19">
        <w:t xml:space="preserve"> The </w:t>
      </w:r>
      <w:r w:rsidR="00DB6C3E">
        <w:t>NYC</w:t>
      </w:r>
      <w:r w:rsidR="009A0E19" w:rsidRPr="009A0E19">
        <w:t xml:space="preserve"> Department of Buildings </w:t>
      </w:r>
      <w:r w:rsidR="008B6361">
        <w:t>(</w:t>
      </w:r>
      <w:r w:rsidR="00661273">
        <w:t>“</w:t>
      </w:r>
      <w:r w:rsidR="008B6361">
        <w:t>DOB</w:t>
      </w:r>
      <w:r w:rsidR="00661273">
        <w:t>”</w:t>
      </w:r>
      <w:r w:rsidR="008B6361">
        <w:t xml:space="preserve">) </w:t>
      </w:r>
      <w:r w:rsidR="009A0E19" w:rsidRPr="009A0E19">
        <w:t>require</w:t>
      </w:r>
      <w:r w:rsidR="00661273">
        <w:t>s</w:t>
      </w:r>
      <w:r w:rsidR="009A0E19" w:rsidRPr="009A0E19">
        <w:t xml:space="preserve"> property owners to </w:t>
      </w:r>
      <w:r w:rsidR="00661273">
        <w:t>install</w:t>
      </w:r>
      <w:r w:rsidR="00661273" w:rsidRPr="009A0E19">
        <w:t xml:space="preserve"> </w:t>
      </w:r>
      <w:r w:rsidR="009A0E19" w:rsidRPr="009A0E19">
        <w:t xml:space="preserve">sidewalk sheds when there is a danger to pedestrians </w:t>
      </w:r>
      <w:r w:rsidR="00F10C53">
        <w:t xml:space="preserve">due to </w:t>
      </w:r>
      <w:r w:rsidR="009A0E19" w:rsidRPr="009A0E19">
        <w:t>repairs</w:t>
      </w:r>
      <w:r w:rsidR="00F10C53">
        <w:t xml:space="preserve">, </w:t>
      </w:r>
      <w:r w:rsidR="009B4D99">
        <w:t xml:space="preserve">or </w:t>
      </w:r>
      <w:r w:rsidR="00F10C53">
        <w:t>construction or demolition</w:t>
      </w:r>
      <w:r w:rsidR="009A0E19" w:rsidRPr="009A0E19">
        <w:t xml:space="preserve"> </w:t>
      </w:r>
      <w:r w:rsidR="00F10C53">
        <w:t xml:space="preserve">on </w:t>
      </w:r>
      <w:r w:rsidR="009A0E19" w:rsidRPr="009A0E19">
        <w:t>the façade o</w:t>
      </w:r>
      <w:r w:rsidR="00AB6FAA">
        <w:t>r roof of the building.</w:t>
      </w:r>
      <w:r w:rsidR="009939AB">
        <w:rPr>
          <w:rStyle w:val="FootnoteReference"/>
        </w:rPr>
        <w:footnoteReference w:id="29"/>
      </w:r>
      <w:r w:rsidR="00AB6FAA">
        <w:t xml:space="preserve"> However</w:t>
      </w:r>
      <w:r w:rsidR="00917EE3">
        <w:t>,</w:t>
      </w:r>
      <w:r w:rsidR="00AB6FAA">
        <w:t xml:space="preserve"> due to the ongoing capital deficit at NYCHA, many </w:t>
      </w:r>
      <w:r>
        <w:t xml:space="preserve">sidewalk </w:t>
      </w:r>
      <w:r w:rsidR="00AB6FAA">
        <w:t>shed</w:t>
      </w:r>
      <w:r>
        <w:t>s</w:t>
      </w:r>
      <w:r w:rsidR="00AB6FAA">
        <w:t xml:space="preserve"> remain up for months</w:t>
      </w:r>
      <w:r w:rsidR="006E4C5D">
        <w:t>,</w:t>
      </w:r>
      <w:r w:rsidR="00AB6FAA">
        <w:t xml:space="preserve"> if not year</w:t>
      </w:r>
      <w:r w:rsidR="006E4C5D">
        <w:t>s,</w:t>
      </w:r>
      <w:r w:rsidR="00AB6FAA">
        <w:t xml:space="preserve"> on NYCHA campuses</w:t>
      </w:r>
      <w:r w:rsidR="00661273">
        <w:t>,</w:t>
      </w:r>
      <w:r w:rsidR="009A0E19" w:rsidRPr="009A0E19">
        <w:t xml:space="preserve"> obstruct</w:t>
      </w:r>
      <w:r w:rsidR="00AB6FAA">
        <w:t>ing</w:t>
      </w:r>
      <w:r w:rsidR="009A0E19" w:rsidRPr="009A0E19">
        <w:t xml:space="preserve"> visibility</w:t>
      </w:r>
      <w:r w:rsidR="00AB6FAA">
        <w:t>, blocking cameras</w:t>
      </w:r>
      <w:r w:rsidR="000F100C">
        <w:t xml:space="preserve"> or lights</w:t>
      </w:r>
      <w:r w:rsidR="008D7B0B">
        <w:t>,</w:t>
      </w:r>
      <w:r w:rsidR="00AB6FAA">
        <w:t xml:space="preserve"> and creating</w:t>
      </w:r>
      <w:r w:rsidR="009A0E19" w:rsidRPr="009A0E19">
        <w:t xml:space="preserve"> hiding spots for illicit activities.</w:t>
      </w:r>
      <w:r w:rsidR="009A0E19" w:rsidRPr="009A0E19">
        <w:rPr>
          <w:rStyle w:val="FootnoteReference"/>
        </w:rPr>
        <w:footnoteReference w:id="30"/>
      </w:r>
      <w:r w:rsidR="009A0E19" w:rsidRPr="009A0E19">
        <w:t xml:space="preserve"> In 2021</w:t>
      </w:r>
      <w:r w:rsidR="00661273">
        <w:t>,</w:t>
      </w:r>
      <w:r w:rsidR="00891D44">
        <w:t xml:space="preserve"> at</w:t>
      </w:r>
      <w:r w:rsidR="00661273">
        <w:t xml:space="preserve"> a City</w:t>
      </w:r>
      <w:r w:rsidR="00891D44">
        <w:t xml:space="preserve"> Council hearing on Public Safety at NYCHA</w:t>
      </w:r>
      <w:r w:rsidR="009A0E19" w:rsidRPr="009A0E19">
        <w:t>, NYCHA mentioned that one of their ongoing efforts is removing and erecting sidewalk sheds to be in compliance with Local Law 11 of 1998.</w:t>
      </w:r>
      <w:r w:rsidR="00891D44">
        <w:rPr>
          <w:rStyle w:val="FootnoteReference"/>
        </w:rPr>
        <w:footnoteReference w:id="31"/>
      </w:r>
      <w:r w:rsidR="009939AB">
        <w:t xml:space="preserve"> </w:t>
      </w:r>
      <w:r w:rsidR="009A0E19" w:rsidRPr="009A0E19">
        <w:t xml:space="preserve">This law requires the inspection of exterior walls </w:t>
      </w:r>
      <w:r w:rsidR="0022455E">
        <w:t>of</w:t>
      </w:r>
      <w:r w:rsidR="009A0E19" w:rsidRPr="009A0E19">
        <w:t xml:space="preserve"> buildings that are greater than six stories in height every </w:t>
      </w:r>
      <w:r w:rsidR="00661273">
        <w:t>five</w:t>
      </w:r>
      <w:r w:rsidR="009A0E19" w:rsidRPr="009A0E19">
        <w:t xml:space="preserve"> years. At the time of the hearing, NYCHA estimated that they had approximately “213,624 linear sheds” on their campuses.</w:t>
      </w:r>
      <w:r w:rsidR="009A0E19" w:rsidRPr="009A0E19">
        <w:rPr>
          <w:rStyle w:val="FootnoteReference"/>
        </w:rPr>
        <w:footnoteReference w:id="32"/>
      </w:r>
      <w:r w:rsidR="009A0E19" w:rsidRPr="009A0E19">
        <w:t xml:space="preserve"> NYCHA has been actively working with DOB to explore alternative solutions to traditional sidewalk sheds. One such approach has been to utilize more fencing instead of sheds, which promotes transparency and openness while still ensuring safety and compliance with regulations.</w:t>
      </w:r>
      <w:r w:rsidR="009A0E19" w:rsidRPr="009A0E19">
        <w:rPr>
          <w:rStyle w:val="FootnoteReference"/>
        </w:rPr>
        <w:footnoteReference w:id="33"/>
      </w:r>
    </w:p>
    <w:p w14:paraId="13DFE621" w14:textId="77777777" w:rsidR="009A0E19" w:rsidRPr="009A0E19" w:rsidRDefault="009A0E19" w:rsidP="00E36E40">
      <w:pPr>
        <w:spacing w:after="0" w:line="480" w:lineRule="auto"/>
        <w:ind w:firstLine="720"/>
        <w:jc w:val="both"/>
        <w:rPr>
          <w:rFonts w:ascii="Times New Roman" w:eastAsia="Times New Roman" w:hAnsi="Times New Roman" w:cs="Times New Roman"/>
          <w:i/>
          <w:iCs/>
          <w:sz w:val="24"/>
          <w:szCs w:val="24"/>
        </w:rPr>
      </w:pPr>
      <w:r w:rsidRPr="009A0E19">
        <w:rPr>
          <w:rFonts w:ascii="Times New Roman" w:eastAsia="Times New Roman" w:hAnsi="Times New Roman" w:cs="Times New Roman"/>
          <w:i/>
          <w:iCs/>
          <w:sz w:val="24"/>
          <w:szCs w:val="24"/>
        </w:rPr>
        <w:t>Fire Safety at NYCHA</w:t>
      </w:r>
    </w:p>
    <w:p w14:paraId="0F8C3B56" w14:textId="2BC42315" w:rsidR="009A0E19" w:rsidRPr="009A0E19" w:rsidRDefault="009A0E19" w:rsidP="00E36E40">
      <w:pPr>
        <w:pStyle w:val="NormalWeb"/>
        <w:spacing w:before="0" w:beforeAutospacing="0" w:after="0" w:afterAutospacing="0" w:line="480" w:lineRule="auto"/>
        <w:ind w:firstLine="720"/>
        <w:jc w:val="both"/>
      </w:pPr>
      <w:r w:rsidRPr="009A0E19">
        <w:t xml:space="preserve">In </w:t>
      </w:r>
      <w:r w:rsidR="00520B12">
        <w:t>NYC</w:t>
      </w:r>
      <w:r w:rsidRPr="009A0E19">
        <w:t>, property owners are required to provide and install operational smoke detectors and carbon monoxide alarms in each apartment within their buildings</w:t>
      </w:r>
      <w:r w:rsidR="000009B7">
        <w:t>,</w:t>
      </w:r>
      <w:r w:rsidRPr="009A0E19">
        <w:t xml:space="preserve"> and tenants are responsible for ongoing maintenance</w:t>
      </w:r>
      <w:r w:rsidR="002E4667">
        <w:t xml:space="preserve"> of these devices,</w:t>
      </w:r>
      <w:r w:rsidRPr="009A0E19">
        <w:t xml:space="preserve"> such as regularly testing the devices, replacing batteries as needed, and promptly reporting any malfunctions or issues to the property owner or management.</w:t>
      </w:r>
      <w:r w:rsidRPr="009A0E19">
        <w:rPr>
          <w:rStyle w:val="FootnoteReference"/>
        </w:rPr>
        <w:footnoteReference w:id="34"/>
      </w:r>
      <w:r w:rsidRPr="009A0E19">
        <w:t xml:space="preserve"> As part of NYCHA’s inspection process, maintenance staff are required to check critical safety items such as a fire safety procedure sticker, a working </w:t>
      </w:r>
      <w:r w:rsidR="002E4667">
        <w:t>carbon monoxide</w:t>
      </w:r>
      <w:r w:rsidR="002E4667" w:rsidRPr="009A0E19">
        <w:t xml:space="preserve"> </w:t>
      </w:r>
      <w:r w:rsidRPr="009A0E19">
        <w:t>detector, a working smoke detector, window guards, and other features every time they enter a unit.</w:t>
      </w:r>
      <w:r w:rsidRPr="009A0E19">
        <w:rPr>
          <w:rStyle w:val="FootnoteReference"/>
        </w:rPr>
        <w:footnoteReference w:id="35"/>
      </w:r>
      <w:r w:rsidRPr="009A0E19">
        <w:t xml:space="preserve"> </w:t>
      </w:r>
    </w:p>
    <w:p w14:paraId="11CD0054" w14:textId="21240586" w:rsidR="009A0E19" w:rsidRDefault="007D499B" w:rsidP="00E36E40">
      <w:pPr>
        <w:pStyle w:val="NormalWeb"/>
        <w:spacing w:before="0" w:beforeAutospacing="0" w:after="0" w:afterAutospacing="0" w:line="480" w:lineRule="auto"/>
        <w:ind w:firstLine="720"/>
        <w:jc w:val="both"/>
      </w:pPr>
      <w:r>
        <w:t>The</w:t>
      </w:r>
      <w:r w:rsidR="009A0E19" w:rsidRPr="009A0E19">
        <w:t xml:space="preserve"> </w:t>
      </w:r>
      <w:r w:rsidR="003E6D60">
        <w:t>NYC</w:t>
      </w:r>
      <w:r w:rsidR="009A0E19" w:rsidRPr="009A0E19">
        <w:t xml:space="preserve"> Departme</w:t>
      </w:r>
      <w:r>
        <w:t>nt of Investigations (</w:t>
      </w:r>
      <w:r w:rsidR="006A1732">
        <w:t>“</w:t>
      </w:r>
      <w:r>
        <w:t>DOI</w:t>
      </w:r>
      <w:r w:rsidR="006A1732">
        <w:t>”</w:t>
      </w:r>
      <w:r>
        <w:t xml:space="preserve">) has </w:t>
      </w:r>
      <w:r w:rsidR="009A0E19" w:rsidRPr="009A0E19">
        <w:t>critici</w:t>
      </w:r>
      <w:r>
        <w:t>zed NYCHA’s maintenance practices in reports after fires at NYCHA buildings</w:t>
      </w:r>
      <w:r w:rsidR="009A0E19" w:rsidRPr="009A0E19">
        <w:t xml:space="preserve">. On October 4, 2016, DOI released a report that revealed that NYCHA’s maintenance workers frequently </w:t>
      </w:r>
      <w:r w:rsidR="0052622B" w:rsidRPr="009A0E19">
        <w:t>neglect</w:t>
      </w:r>
      <w:r w:rsidR="0052622B">
        <w:t>ed</w:t>
      </w:r>
      <w:r w:rsidR="0052622B" w:rsidRPr="009A0E19">
        <w:t xml:space="preserve"> </w:t>
      </w:r>
      <w:r w:rsidR="009A0E19" w:rsidRPr="009A0E19">
        <w:t>their responsibility to perform safety checks</w:t>
      </w:r>
      <w:r w:rsidR="0052622B">
        <w:t>,</w:t>
      </w:r>
      <w:r w:rsidR="009A0E19" w:rsidRPr="009A0E19">
        <w:t xml:space="preserve"> and even </w:t>
      </w:r>
      <w:r w:rsidR="0052622B" w:rsidRPr="009A0E19">
        <w:t>falsifi</w:t>
      </w:r>
      <w:r w:rsidR="0052622B">
        <w:t>ed</w:t>
      </w:r>
      <w:r w:rsidR="0052622B" w:rsidRPr="009A0E19">
        <w:t xml:space="preserve"> </w:t>
      </w:r>
      <w:r w:rsidR="009A0E19" w:rsidRPr="009A0E19">
        <w:t>documents to hide their negligence.</w:t>
      </w:r>
      <w:r w:rsidR="00891D44">
        <w:rPr>
          <w:rStyle w:val="FootnoteReference"/>
        </w:rPr>
        <w:footnoteReference w:id="36"/>
      </w:r>
      <w:r w:rsidR="009A0E19" w:rsidRPr="009A0E19">
        <w:t xml:space="preserve"> This investigation was prompted by a tragic incident at Butler Houses, where a fire resulted in the loss of two children</w:t>
      </w:r>
      <w:r w:rsidR="00044E16">
        <w:t>’</w:t>
      </w:r>
      <w:r w:rsidR="009A0E19" w:rsidRPr="009A0E19">
        <w:t>s lives.</w:t>
      </w:r>
      <w:r w:rsidR="009A0E19" w:rsidRPr="009A0E19">
        <w:rPr>
          <w:rStyle w:val="FootnoteReference"/>
        </w:rPr>
        <w:footnoteReference w:id="37"/>
      </w:r>
      <w:r w:rsidR="009A0E19" w:rsidRPr="009A0E19">
        <w:t xml:space="preserve"> </w:t>
      </w:r>
      <w:r w:rsidR="00044E16">
        <w:t>FDNY</w:t>
      </w:r>
      <w:r w:rsidR="009A0E19" w:rsidRPr="009A0E19">
        <w:t xml:space="preserve"> concluded that the smoke detectors in the apartment were not operational at the time of the fire.</w:t>
      </w:r>
      <w:r w:rsidR="009A0E19" w:rsidRPr="009A0E19">
        <w:rPr>
          <w:rStyle w:val="FootnoteReference"/>
        </w:rPr>
        <w:footnoteReference w:id="38"/>
      </w:r>
      <w:r>
        <w:t xml:space="preserve"> </w:t>
      </w:r>
      <w:r w:rsidR="00891D44">
        <w:t>DOI</w:t>
      </w:r>
      <w:r>
        <w:t xml:space="preserve"> recommended an audit of fire safety systems and implementation of better processes to repair any faulty systems.</w:t>
      </w:r>
      <w:r w:rsidR="00891D44">
        <w:rPr>
          <w:rStyle w:val="FootnoteReference"/>
        </w:rPr>
        <w:footnoteReference w:id="39"/>
      </w:r>
      <w:r>
        <w:t xml:space="preserve"> NYCHA stated </w:t>
      </w:r>
      <w:r w:rsidR="00891D44">
        <w:t xml:space="preserve">in their response to the investigation </w:t>
      </w:r>
      <w:r w:rsidR="002E4667">
        <w:t xml:space="preserve">that </w:t>
      </w:r>
      <w:r>
        <w:t>they accepted those and other recommendations from the DOI report.</w:t>
      </w:r>
      <w:r w:rsidR="00891D44">
        <w:rPr>
          <w:rStyle w:val="FootnoteReference"/>
        </w:rPr>
        <w:footnoteReference w:id="40"/>
      </w:r>
    </w:p>
    <w:p w14:paraId="31B1A2ED" w14:textId="6B1A6FFF" w:rsidR="00067819" w:rsidRDefault="00554CA5" w:rsidP="00067819">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More recently</w:t>
      </w:r>
      <w:r w:rsidR="00607C9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 early 2023,</w:t>
      </w:r>
      <w:r w:rsidRPr="009A0E19">
        <w:rPr>
          <w:rFonts w:ascii="Times New Roman" w:eastAsia="Times New Roman" w:hAnsi="Times New Roman" w:cs="Times New Roman"/>
          <w:sz w:val="24"/>
          <w:szCs w:val="24"/>
        </w:rPr>
        <w:t xml:space="preserve"> DOI </w:t>
      </w:r>
      <w:r w:rsidR="00E835DF">
        <w:rPr>
          <w:rFonts w:ascii="Times New Roman" w:eastAsia="Times New Roman" w:hAnsi="Times New Roman" w:cs="Times New Roman"/>
          <w:sz w:val="24"/>
          <w:szCs w:val="24"/>
        </w:rPr>
        <w:t>published</w:t>
      </w:r>
      <w:r w:rsidRPr="009A0E19">
        <w:rPr>
          <w:rFonts w:ascii="Times New Roman" w:eastAsia="Times New Roman" w:hAnsi="Times New Roman" w:cs="Times New Roman"/>
          <w:sz w:val="24"/>
          <w:szCs w:val="24"/>
        </w:rPr>
        <w:t xml:space="preserve"> another report that focused on</w:t>
      </w:r>
      <w:r w:rsidRPr="009A0E19">
        <w:rPr>
          <w:rFonts w:ascii="Times New Roman" w:hAnsi="Times New Roman" w:cs="Times New Roman"/>
          <w:sz w:val="24"/>
          <w:szCs w:val="24"/>
        </w:rPr>
        <w:t xml:space="preserve"> a series of destructive fires at NYCHA developments, and noticed that a pattern of maintenance problems may have played a significant role in these incidents.</w:t>
      </w:r>
      <w:r w:rsidR="00891D44">
        <w:rPr>
          <w:rStyle w:val="FootnoteReference"/>
          <w:rFonts w:ascii="Times New Roman" w:hAnsi="Times New Roman" w:cs="Times New Roman"/>
          <w:sz w:val="24"/>
          <w:szCs w:val="24"/>
        </w:rPr>
        <w:footnoteReference w:id="41"/>
      </w:r>
      <w:r w:rsidRPr="009A0E19">
        <w:rPr>
          <w:rFonts w:ascii="Times New Roman" w:hAnsi="Times New Roman" w:cs="Times New Roman"/>
          <w:sz w:val="24"/>
          <w:szCs w:val="24"/>
        </w:rPr>
        <w:t xml:space="preserve"> Between October 2021 and April 2022, there were 27 fires in NYCHA developments.</w:t>
      </w:r>
      <w:r w:rsidRPr="009A0E19">
        <w:rPr>
          <w:rStyle w:val="FootnoteReference"/>
          <w:rFonts w:ascii="Times New Roman" w:hAnsi="Times New Roman" w:cs="Times New Roman"/>
          <w:sz w:val="24"/>
          <w:szCs w:val="24"/>
        </w:rPr>
        <w:footnoteReference w:id="42"/>
      </w:r>
      <w:r w:rsidRPr="009A0E19">
        <w:rPr>
          <w:rFonts w:ascii="Times New Roman" w:hAnsi="Times New Roman" w:cs="Times New Roman"/>
          <w:sz w:val="24"/>
          <w:szCs w:val="24"/>
        </w:rPr>
        <w:t xml:space="preserve"> </w:t>
      </w:r>
      <w:r>
        <w:rPr>
          <w:rFonts w:ascii="Times New Roman" w:hAnsi="Times New Roman" w:cs="Times New Roman"/>
          <w:sz w:val="24"/>
          <w:szCs w:val="24"/>
        </w:rPr>
        <w:t>However</w:t>
      </w:r>
      <w:r w:rsidR="002E4667">
        <w:rPr>
          <w:rFonts w:ascii="Times New Roman" w:hAnsi="Times New Roman" w:cs="Times New Roman"/>
          <w:sz w:val="24"/>
          <w:szCs w:val="24"/>
        </w:rPr>
        <w:t>,</w:t>
      </w:r>
      <w:r>
        <w:rPr>
          <w:rFonts w:ascii="Times New Roman" w:hAnsi="Times New Roman" w:cs="Times New Roman"/>
          <w:sz w:val="24"/>
          <w:szCs w:val="24"/>
        </w:rPr>
        <w:t xml:space="preserve"> the report </w:t>
      </w:r>
      <w:r w:rsidR="00756A5D">
        <w:rPr>
          <w:rFonts w:ascii="Times New Roman" w:hAnsi="Times New Roman" w:cs="Times New Roman"/>
          <w:sz w:val="24"/>
          <w:szCs w:val="24"/>
        </w:rPr>
        <w:t>focused on</w:t>
      </w:r>
      <w:r w:rsidRPr="009A0E19">
        <w:rPr>
          <w:rFonts w:ascii="Times New Roman" w:hAnsi="Times New Roman" w:cs="Times New Roman"/>
          <w:sz w:val="24"/>
          <w:szCs w:val="24"/>
        </w:rPr>
        <w:t xml:space="preserve"> three fires</w:t>
      </w:r>
      <w:r w:rsidR="00067819">
        <w:rPr>
          <w:rFonts w:ascii="Times New Roman" w:hAnsi="Times New Roman" w:cs="Times New Roman"/>
          <w:sz w:val="24"/>
          <w:szCs w:val="24"/>
        </w:rPr>
        <w:t>,</w:t>
      </w:r>
      <w:r w:rsidRPr="009A0E19">
        <w:rPr>
          <w:rFonts w:ascii="Times New Roman" w:hAnsi="Times New Roman" w:cs="Times New Roman"/>
          <w:sz w:val="24"/>
          <w:szCs w:val="24"/>
        </w:rPr>
        <w:t xml:space="preserve"> </w:t>
      </w:r>
      <w:r>
        <w:rPr>
          <w:rFonts w:ascii="Times New Roman" w:hAnsi="Times New Roman" w:cs="Times New Roman"/>
          <w:sz w:val="24"/>
          <w:szCs w:val="24"/>
        </w:rPr>
        <w:t xml:space="preserve">two </w:t>
      </w:r>
      <w:r w:rsidRPr="009A0E19">
        <w:rPr>
          <w:rFonts w:ascii="Times New Roman" w:hAnsi="Times New Roman" w:cs="Times New Roman"/>
          <w:sz w:val="24"/>
          <w:szCs w:val="24"/>
        </w:rPr>
        <w:t xml:space="preserve">that occurred in </w:t>
      </w:r>
      <w:r w:rsidR="00B80C09">
        <w:rPr>
          <w:rFonts w:ascii="Times New Roman" w:hAnsi="Times New Roman" w:cs="Times New Roman"/>
          <w:sz w:val="24"/>
          <w:szCs w:val="24"/>
        </w:rPr>
        <w:t xml:space="preserve">traditional </w:t>
      </w:r>
      <w:r w:rsidRPr="009A0E19">
        <w:rPr>
          <w:rFonts w:ascii="Times New Roman" w:hAnsi="Times New Roman" w:cs="Times New Roman"/>
          <w:sz w:val="24"/>
          <w:szCs w:val="24"/>
        </w:rPr>
        <w:t>NYCHA developments</w:t>
      </w:r>
      <w:r w:rsidR="00F10C53">
        <w:rPr>
          <w:rFonts w:ascii="Times New Roman" w:hAnsi="Times New Roman" w:cs="Times New Roman"/>
          <w:sz w:val="24"/>
          <w:szCs w:val="24"/>
        </w:rPr>
        <w:t xml:space="preserve"> at Michel Houses and Jacob Riis Houses</w:t>
      </w:r>
      <w:r w:rsidRPr="009A0E19">
        <w:rPr>
          <w:rFonts w:ascii="Times New Roman" w:hAnsi="Times New Roman" w:cs="Times New Roman"/>
          <w:sz w:val="24"/>
          <w:szCs w:val="24"/>
        </w:rPr>
        <w:t xml:space="preserve"> </w:t>
      </w:r>
      <w:r w:rsidR="00F10C53">
        <w:rPr>
          <w:rFonts w:ascii="Times New Roman" w:hAnsi="Times New Roman" w:cs="Times New Roman"/>
          <w:sz w:val="24"/>
          <w:szCs w:val="24"/>
        </w:rPr>
        <w:t xml:space="preserve">as well as </w:t>
      </w:r>
      <w:r w:rsidR="00B80C09">
        <w:rPr>
          <w:rFonts w:ascii="Times New Roman" w:hAnsi="Times New Roman" w:cs="Times New Roman"/>
          <w:sz w:val="24"/>
          <w:szCs w:val="24"/>
        </w:rPr>
        <w:t>a fire at Wise Houses, a</w:t>
      </w:r>
      <w:r w:rsidRPr="009A0E19">
        <w:rPr>
          <w:rFonts w:ascii="Times New Roman" w:hAnsi="Times New Roman" w:cs="Times New Roman"/>
          <w:sz w:val="24"/>
          <w:szCs w:val="24"/>
        </w:rPr>
        <w:t xml:space="preserve"> PACT site.</w:t>
      </w:r>
      <w:r w:rsidRPr="009A0E19">
        <w:rPr>
          <w:rStyle w:val="FootnoteReference"/>
          <w:rFonts w:ascii="Times New Roman" w:hAnsi="Times New Roman" w:cs="Times New Roman"/>
          <w:sz w:val="24"/>
          <w:szCs w:val="24"/>
        </w:rPr>
        <w:footnoteReference w:id="43"/>
      </w:r>
      <w:r w:rsidRPr="009A0E19">
        <w:rPr>
          <w:rFonts w:ascii="Times New Roman" w:hAnsi="Times New Roman" w:cs="Times New Roman"/>
          <w:sz w:val="24"/>
          <w:szCs w:val="24"/>
        </w:rPr>
        <w:t xml:space="preserve"> These fires resulted in the deaths of an adult and a six-year-old</w:t>
      </w:r>
      <w:r w:rsidR="00327001">
        <w:rPr>
          <w:rFonts w:ascii="Times New Roman" w:hAnsi="Times New Roman" w:cs="Times New Roman"/>
          <w:sz w:val="24"/>
          <w:szCs w:val="24"/>
        </w:rPr>
        <w:t>,</w:t>
      </w:r>
      <w:r w:rsidRPr="009A0E19">
        <w:rPr>
          <w:rFonts w:ascii="Times New Roman" w:hAnsi="Times New Roman" w:cs="Times New Roman"/>
          <w:sz w:val="24"/>
          <w:szCs w:val="24"/>
        </w:rPr>
        <w:t xml:space="preserve"> as well as injuries to several residents. DOI investigated these fires to determine whether NYCHA and PACT developments could make improvements to their fire safety policies and practices.</w:t>
      </w:r>
      <w:r w:rsidRPr="009A0E19">
        <w:rPr>
          <w:rStyle w:val="FootnoteReference"/>
          <w:rFonts w:ascii="Times New Roman" w:hAnsi="Times New Roman" w:cs="Times New Roman"/>
          <w:sz w:val="24"/>
          <w:szCs w:val="24"/>
        </w:rPr>
        <w:footnoteReference w:id="44"/>
      </w:r>
      <w:r w:rsidRPr="009A0E19">
        <w:rPr>
          <w:rFonts w:ascii="Times New Roman" w:hAnsi="Times New Roman" w:cs="Times New Roman"/>
          <w:sz w:val="24"/>
          <w:szCs w:val="24"/>
        </w:rPr>
        <w:t xml:space="preserve"> </w:t>
      </w:r>
    </w:p>
    <w:p w14:paraId="54E7BCD2" w14:textId="75B989F6" w:rsidR="00067819" w:rsidRDefault="00CF5B77" w:rsidP="00067819">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DOI’s</w:t>
      </w:r>
      <w:r w:rsidRPr="009A0E19">
        <w:rPr>
          <w:rFonts w:ascii="Times New Roman" w:hAnsi="Times New Roman" w:cs="Times New Roman"/>
          <w:sz w:val="24"/>
          <w:szCs w:val="24"/>
        </w:rPr>
        <w:t xml:space="preserve"> </w:t>
      </w:r>
      <w:r w:rsidR="00554CA5" w:rsidRPr="009A0E19">
        <w:rPr>
          <w:rFonts w:ascii="Times New Roman" w:hAnsi="Times New Roman" w:cs="Times New Roman"/>
          <w:sz w:val="24"/>
          <w:szCs w:val="24"/>
        </w:rPr>
        <w:t xml:space="preserve">investigation into the fires at Mitchel Houses and Wise Towers revealed </w:t>
      </w:r>
      <w:r w:rsidRPr="009A0E19">
        <w:rPr>
          <w:rFonts w:ascii="Times New Roman" w:hAnsi="Times New Roman" w:cs="Times New Roman"/>
          <w:sz w:val="24"/>
          <w:szCs w:val="24"/>
        </w:rPr>
        <w:t>the fire</w:t>
      </w:r>
      <w:r>
        <w:rPr>
          <w:rFonts w:ascii="Times New Roman" w:hAnsi="Times New Roman" w:cs="Times New Roman"/>
          <w:sz w:val="24"/>
          <w:szCs w:val="24"/>
        </w:rPr>
        <w:t>s</w:t>
      </w:r>
      <w:r w:rsidRPr="009A0E19" w:rsidDel="002E4667">
        <w:rPr>
          <w:rFonts w:ascii="Times New Roman" w:hAnsi="Times New Roman" w:cs="Times New Roman"/>
          <w:sz w:val="24"/>
          <w:szCs w:val="24"/>
        </w:rPr>
        <w:t xml:space="preserve"> </w:t>
      </w:r>
      <w:r>
        <w:rPr>
          <w:rFonts w:ascii="Times New Roman" w:hAnsi="Times New Roman" w:cs="Times New Roman"/>
          <w:sz w:val="24"/>
          <w:szCs w:val="24"/>
        </w:rPr>
        <w:t xml:space="preserve">originated in </w:t>
      </w:r>
      <w:r w:rsidR="21A9D6E8" w:rsidRPr="009A0E19">
        <w:rPr>
          <w:rFonts w:ascii="Times New Roman" w:hAnsi="Times New Roman" w:cs="Times New Roman"/>
          <w:sz w:val="24"/>
          <w:szCs w:val="24"/>
        </w:rPr>
        <w:t>trash chutes</w:t>
      </w:r>
      <w:r w:rsidR="00554CA5" w:rsidRPr="009A0E19">
        <w:rPr>
          <w:rFonts w:ascii="Times New Roman" w:hAnsi="Times New Roman" w:cs="Times New Roman"/>
          <w:sz w:val="24"/>
          <w:szCs w:val="24"/>
        </w:rPr>
        <w:t>.</w:t>
      </w:r>
      <w:r w:rsidR="00554CA5" w:rsidRPr="009A0E19">
        <w:rPr>
          <w:rStyle w:val="FootnoteReference"/>
          <w:rFonts w:ascii="Times New Roman" w:hAnsi="Times New Roman" w:cs="Times New Roman"/>
          <w:sz w:val="24"/>
          <w:szCs w:val="24"/>
        </w:rPr>
        <w:footnoteReference w:id="45"/>
      </w:r>
      <w:r w:rsidR="00554CA5" w:rsidRPr="009A0E19">
        <w:rPr>
          <w:rFonts w:ascii="Times New Roman" w:hAnsi="Times New Roman" w:cs="Times New Roman"/>
          <w:sz w:val="24"/>
          <w:szCs w:val="24"/>
        </w:rPr>
        <w:t xml:space="preserve"> The smoke quickly spread through the chutes and into the surrounding areas such as the stairways and hallways. The investigation further highlighted that the </w:t>
      </w:r>
      <w:r>
        <w:rPr>
          <w:rFonts w:ascii="Times New Roman" w:hAnsi="Times New Roman" w:cs="Times New Roman"/>
          <w:sz w:val="24"/>
          <w:szCs w:val="24"/>
        </w:rPr>
        <w:t>smoke</w:t>
      </w:r>
      <w:r w:rsidRPr="009A0E19">
        <w:rPr>
          <w:rFonts w:ascii="Times New Roman" w:hAnsi="Times New Roman" w:cs="Times New Roman"/>
          <w:sz w:val="24"/>
          <w:szCs w:val="24"/>
        </w:rPr>
        <w:t xml:space="preserve"> </w:t>
      </w:r>
      <w:r w:rsidR="00554CA5" w:rsidRPr="009A0E19">
        <w:rPr>
          <w:rFonts w:ascii="Times New Roman" w:hAnsi="Times New Roman" w:cs="Times New Roman"/>
          <w:sz w:val="24"/>
          <w:szCs w:val="24"/>
        </w:rPr>
        <w:t xml:space="preserve">most likely </w:t>
      </w:r>
      <w:r>
        <w:rPr>
          <w:rFonts w:ascii="Times New Roman" w:hAnsi="Times New Roman" w:cs="Times New Roman"/>
          <w:sz w:val="24"/>
          <w:szCs w:val="24"/>
        </w:rPr>
        <w:t xml:space="preserve">spread </w:t>
      </w:r>
      <w:r w:rsidR="00554CA5" w:rsidRPr="009A0E19">
        <w:rPr>
          <w:rFonts w:ascii="Times New Roman" w:hAnsi="Times New Roman" w:cs="Times New Roman"/>
          <w:sz w:val="24"/>
          <w:szCs w:val="24"/>
        </w:rPr>
        <w:t>due to NYCHA’s failure to</w:t>
      </w:r>
      <w:r>
        <w:rPr>
          <w:rFonts w:ascii="Times New Roman" w:hAnsi="Times New Roman" w:cs="Times New Roman"/>
          <w:sz w:val="24"/>
          <w:szCs w:val="24"/>
        </w:rPr>
        <w:t>:</w:t>
      </w:r>
      <w:r w:rsidR="00554CA5" w:rsidRPr="009A0E19">
        <w:rPr>
          <w:rFonts w:ascii="Times New Roman" w:hAnsi="Times New Roman" w:cs="Times New Roman"/>
          <w:sz w:val="24"/>
          <w:szCs w:val="24"/>
        </w:rPr>
        <w:t xml:space="preserve"> properly maintain fire safety components, prioritize the repair or reinstallation of trash chute doors, adequate</w:t>
      </w:r>
      <w:r>
        <w:rPr>
          <w:rFonts w:ascii="Times New Roman" w:hAnsi="Times New Roman" w:cs="Times New Roman"/>
          <w:sz w:val="24"/>
          <w:szCs w:val="24"/>
        </w:rPr>
        <w:t>ly</w:t>
      </w:r>
      <w:r w:rsidR="00554CA5" w:rsidRPr="009A0E19">
        <w:rPr>
          <w:rFonts w:ascii="Times New Roman" w:hAnsi="Times New Roman" w:cs="Times New Roman"/>
          <w:sz w:val="24"/>
          <w:szCs w:val="24"/>
        </w:rPr>
        <w:t xml:space="preserve"> train staff</w:t>
      </w:r>
      <w:r>
        <w:rPr>
          <w:rFonts w:ascii="Times New Roman" w:hAnsi="Times New Roman" w:cs="Times New Roman"/>
          <w:sz w:val="24"/>
          <w:szCs w:val="24"/>
        </w:rPr>
        <w:t>,</w:t>
      </w:r>
      <w:r w:rsidR="00554CA5" w:rsidRPr="009A0E19">
        <w:rPr>
          <w:rFonts w:ascii="Times New Roman" w:hAnsi="Times New Roman" w:cs="Times New Roman"/>
          <w:sz w:val="24"/>
          <w:szCs w:val="24"/>
        </w:rPr>
        <w:t xml:space="preserve"> and properly document the inspection of these building components.</w:t>
      </w:r>
      <w:r w:rsidR="00554CA5" w:rsidRPr="009A0E19">
        <w:rPr>
          <w:rStyle w:val="FootnoteReference"/>
          <w:rFonts w:ascii="Times New Roman" w:hAnsi="Times New Roman" w:cs="Times New Roman"/>
          <w:sz w:val="24"/>
          <w:szCs w:val="24"/>
        </w:rPr>
        <w:footnoteReference w:id="46"/>
      </w:r>
      <w:r w:rsidR="00554CA5" w:rsidRPr="009A0E19">
        <w:rPr>
          <w:rFonts w:ascii="Times New Roman" w:hAnsi="Times New Roman" w:cs="Times New Roman"/>
          <w:sz w:val="24"/>
          <w:szCs w:val="24"/>
        </w:rPr>
        <w:t xml:space="preserve"> DOI </w:t>
      </w:r>
      <w:r w:rsidR="2E966D99" w:rsidRPr="009A0E19">
        <w:rPr>
          <w:rFonts w:ascii="Times New Roman" w:hAnsi="Times New Roman" w:cs="Times New Roman"/>
          <w:sz w:val="24"/>
          <w:szCs w:val="24"/>
        </w:rPr>
        <w:t>also found</w:t>
      </w:r>
      <w:r w:rsidR="00554CA5" w:rsidRPr="009A0E19">
        <w:rPr>
          <w:rFonts w:ascii="Times New Roman" w:hAnsi="Times New Roman" w:cs="Times New Roman"/>
          <w:sz w:val="24"/>
          <w:szCs w:val="24"/>
        </w:rPr>
        <w:t xml:space="preserve"> that the management plan for Wise Towers should have included provisions that relate to fire safety and maintenance.</w:t>
      </w:r>
      <w:r w:rsidR="00554CA5" w:rsidRPr="009A0E19">
        <w:rPr>
          <w:rStyle w:val="FootnoteReference"/>
          <w:rFonts w:ascii="Times New Roman" w:hAnsi="Times New Roman" w:cs="Times New Roman"/>
          <w:sz w:val="24"/>
          <w:szCs w:val="24"/>
        </w:rPr>
        <w:footnoteReference w:id="47"/>
      </w:r>
      <w:r w:rsidR="00554CA5" w:rsidRPr="009A0E19">
        <w:rPr>
          <w:rFonts w:ascii="Times New Roman" w:hAnsi="Times New Roman" w:cs="Times New Roman"/>
          <w:sz w:val="24"/>
          <w:szCs w:val="24"/>
        </w:rPr>
        <w:t xml:space="preserve"> </w:t>
      </w:r>
    </w:p>
    <w:p w14:paraId="28F313AB" w14:textId="48B01A01" w:rsidR="00067819" w:rsidRDefault="00554CA5" w:rsidP="00067819">
      <w:pPr>
        <w:spacing w:after="0" w:line="480" w:lineRule="auto"/>
        <w:ind w:firstLine="720"/>
        <w:jc w:val="both"/>
        <w:rPr>
          <w:rFonts w:ascii="Times New Roman" w:hAnsi="Times New Roman" w:cs="Times New Roman"/>
          <w:sz w:val="24"/>
          <w:szCs w:val="24"/>
        </w:rPr>
      </w:pPr>
      <w:r w:rsidRPr="009A0E19">
        <w:rPr>
          <w:rFonts w:ascii="Times New Roman" w:hAnsi="Times New Roman" w:cs="Times New Roman"/>
          <w:sz w:val="24"/>
          <w:szCs w:val="24"/>
        </w:rPr>
        <w:t>The last fire in 2021</w:t>
      </w:r>
      <w:r w:rsidR="00CF5B77">
        <w:rPr>
          <w:rFonts w:ascii="Times New Roman" w:hAnsi="Times New Roman" w:cs="Times New Roman"/>
          <w:sz w:val="24"/>
          <w:szCs w:val="24"/>
        </w:rPr>
        <w:t>,</w:t>
      </w:r>
      <w:r w:rsidRPr="009A0E19">
        <w:rPr>
          <w:rFonts w:ascii="Times New Roman" w:hAnsi="Times New Roman" w:cs="Times New Roman"/>
          <w:sz w:val="24"/>
          <w:szCs w:val="24"/>
        </w:rPr>
        <w:t xml:space="preserve"> at Jacob Riis houses</w:t>
      </w:r>
      <w:r w:rsidR="00CF5B77">
        <w:rPr>
          <w:rFonts w:ascii="Times New Roman" w:hAnsi="Times New Roman" w:cs="Times New Roman"/>
          <w:sz w:val="24"/>
          <w:szCs w:val="24"/>
        </w:rPr>
        <w:t>,</w:t>
      </w:r>
      <w:r w:rsidRPr="009A0E19">
        <w:rPr>
          <w:rFonts w:ascii="Times New Roman" w:hAnsi="Times New Roman" w:cs="Times New Roman"/>
          <w:sz w:val="24"/>
          <w:szCs w:val="24"/>
        </w:rPr>
        <w:t xml:space="preserve"> was caused by an explosion of a</w:t>
      </w:r>
      <w:r w:rsidR="002260C0">
        <w:rPr>
          <w:rFonts w:ascii="Times New Roman" w:hAnsi="Times New Roman" w:cs="Times New Roman"/>
          <w:sz w:val="24"/>
          <w:szCs w:val="24"/>
        </w:rPr>
        <w:t>n electric bike</w:t>
      </w:r>
      <w:r w:rsidRPr="009A0E19">
        <w:rPr>
          <w:rFonts w:ascii="Times New Roman" w:hAnsi="Times New Roman" w:cs="Times New Roman"/>
          <w:sz w:val="24"/>
          <w:szCs w:val="24"/>
        </w:rPr>
        <w:t xml:space="preserve"> </w:t>
      </w:r>
      <w:r w:rsidR="002260C0">
        <w:rPr>
          <w:rFonts w:ascii="Times New Roman" w:hAnsi="Times New Roman" w:cs="Times New Roman"/>
          <w:sz w:val="24"/>
          <w:szCs w:val="24"/>
        </w:rPr>
        <w:t xml:space="preserve">(“e-bike”) </w:t>
      </w:r>
      <w:r w:rsidRPr="009A0E19">
        <w:rPr>
          <w:rFonts w:ascii="Times New Roman" w:hAnsi="Times New Roman" w:cs="Times New Roman"/>
          <w:sz w:val="24"/>
          <w:szCs w:val="24"/>
        </w:rPr>
        <w:t>battery stored in an apartment.</w:t>
      </w:r>
      <w:r w:rsidR="00891D44">
        <w:rPr>
          <w:rStyle w:val="FootnoteReference"/>
          <w:rFonts w:ascii="Times New Roman" w:hAnsi="Times New Roman" w:cs="Times New Roman"/>
          <w:sz w:val="24"/>
          <w:szCs w:val="24"/>
        </w:rPr>
        <w:footnoteReference w:id="48"/>
      </w:r>
      <w:r w:rsidRPr="009A0E19">
        <w:rPr>
          <w:rFonts w:ascii="Times New Roman" w:hAnsi="Times New Roman" w:cs="Times New Roman"/>
          <w:sz w:val="24"/>
          <w:szCs w:val="24"/>
        </w:rPr>
        <w:t xml:space="preserve"> </w:t>
      </w:r>
      <w:r w:rsidR="002260C0">
        <w:rPr>
          <w:rFonts w:ascii="Times New Roman" w:hAnsi="Times New Roman" w:cs="Times New Roman"/>
          <w:sz w:val="24"/>
          <w:szCs w:val="24"/>
        </w:rPr>
        <w:t>According to maintenance records for the apartment where the fire occurred,</w:t>
      </w:r>
      <w:r w:rsidRPr="009A0E19">
        <w:rPr>
          <w:rFonts w:ascii="Times New Roman" w:hAnsi="Times New Roman" w:cs="Times New Roman"/>
          <w:sz w:val="24"/>
          <w:szCs w:val="24"/>
        </w:rPr>
        <w:t xml:space="preserve"> there </w:t>
      </w:r>
      <w:r w:rsidR="002260C0">
        <w:rPr>
          <w:rFonts w:ascii="Times New Roman" w:hAnsi="Times New Roman" w:cs="Times New Roman"/>
          <w:sz w:val="24"/>
          <w:szCs w:val="24"/>
        </w:rPr>
        <w:t>had been</w:t>
      </w:r>
      <w:r w:rsidR="002260C0" w:rsidRPr="009A0E19">
        <w:rPr>
          <w:rFonts w:ascii="Times New Roman" w:hAnsi="Times New Roman" w:cs="Times New Roman"/>
          <w:sz w:val="24"/>
          <w:szCs w:val="24"/>
        </w:rPr>
        <w:t xml:space="preserve"> </w:t>
      </w:r>
      <w:r w:rsidRPr="009A0E19">
        <w:rPr>
          <w:rFonts w:ascii="Times New Roman" w:hAnsi="Times New Roman" w:cs="Times New Roman"/>
          <w:sz w:val="24"/>
          <w:szCs w:val="24"/>
        </w:rPr>
        <w:t>a number of requests to repair the door of the apartment</w:t>
      </w:r>
      <w:r w:rsidR="002260C0">
        <w:rPr>
          <w:rFonts w:ascii="Times New Roman" w:hAnsi="Times New Roman" w:cs="Times New Roman"/>
          <w:sz w:val="24"/>
          <w:szCs w:val="24"/>
        </w:rPr>
        <w:t>.</w:t>
      </w:r>
      <w:r w:rsidR="00290A2F">
        <w:rPr>
          <w:rStyle w:val="FootnoteReference"/>
          <w:rFonts w:ascii="Times New Roman" w:hAnsi="Times New Roman" w:cs="Times New Roman"/>
          <w:sz w:val="24"/>
          <w:szCs w:val="24"/>
        </w:rPr>
        <w:footnoteReference w:id="49"/>
      </w:r>
      <w:r w:rsidR="002260C0">
        <w:rPr>
          <w:rFonts w:ascii="Times New Roman" w:hAnsi="Times New Roman" w:cs="Times New Roman"/>
          <w:sz w:val="24"/>
          <w:szCs w:val="24"/>
        </w:rPr>
        <w:t xml:space="preserve"> Records also showed that </w:t>
      </w:r>
      <w:r w:rsidRPr="009A0E19">
        <w:rPr>
          <w:rFonts w:ascii="Times New Roman" w:hAnsi="Times New Roman" w:cs="Times New Roman"/>
          <w:sz w:val="24"/>
          <w:szCs w:val="24"/>
        </w:rPr>
        <w:t>NYCHA had completed repairs</w:t>
      </w:r>
      <w:r w:rsidR="002260C0">
        <w:rPr>
          <w:rFonts w:ascii="Times New Roman" w:hAnsi="Times New Roman" w:cs="Times New Roman"/>
          <w:sz w:val="24"/>
          <w:szCs w:val="24"/>
        </w:rPr>
        <w:t>, including</w:t>
      </w:r>
      <w:r w:rsidRPr="009A0E19">
        <w:rPr>
          <w:rFonts w:ascii="Times New Roman" w:hAnsi="Times New Roman" w:cs="Times New Roman"/>
          <w:sz w:val="24"/>
          <w:szCs w:val="24"/>
        </w:rPr>
        <w:t xml:space="preserve"> the last complaint before the fire.</w:t>
      </w:r>
      <w:r w:rsidR="00891D44">
        <w:rPr>
          <w:rStyle w:val="FootnoteReference"/>
          <w:rFonts w:ascii="Times New Roman" w:hAnsi="Times New Roman" w:cs="Times New Roman"/>
          <w:sz w:val="24"/>
          <w:szCs w:val="24"/>
        </w:rPr>
        <w:footnoteReference w:id="50"/>
      </w:r>
      <w:r w:rsidRPr="009A0E19">
        <w:rPr>
          <w:rFonts w:ascii="Times New Roman" w:hAnsi="Times New Roman" w:cs="Times New Roman"/>
          <w:sz w:val="24"/>
          <w:szCs w:val="24"/>
        </w:rPr>
        <w:t xml:space="preserve"> DOI noted that they recommended that NYCHA regulate or ban the storage of e</w:t>
      </w:r>
      <w:r w:rsidR="0095153F">
        <w:rPr>
          <w:rFonts w:ascii="Times New Roman" w:hAnsi="Times New Roman" w:cs="Times New Roman"/>
          <w:sz w:val="24"/>
          <w:szCs w:val="24"/>
        </w:rPr>
        <w:t>-</w:t>
      </w:r>
      <w:r w:rsidRPr="009A0E19">
        <w:rPr>
          <w:rFonts w:ascii="Times New Roman" w:hAnsi="Times New Roman" w:cs="Times New Roman"/>
          <w:sz w:val="24"/>
          <w:szCs w:val="24"/>
        </w:rPr>
        <w:t>bikes in apartments in</w:t>
      </w:r>
      <w:r w:rsidR="00067819">
        <w:rPr>
          <w:rFonts w:ascii="Times New Roman" w:hAnsi="Times New Roman" w:cs="Times New Roman"/>
          <w:sz w:val="24"/>
          <w:szCs w:val="24"/>
        </w:rPr>
        <w:t xml:space="preserve"> the past</w:t>
      </w:r>
      <w:r w:rsidR="00AD0746">
        <w:rPr>
          <w:rFonts w:ascii="Times New Roman" w:hAnsi="Times New Roman" w:cs="Times New Roman"/>
          <w:sz w:val="24"/>
          <w:szCs w:val="24"/>
        </w:rPr>
        <w:t>,</w:t>
      </w:r>
      <w:r w:rsidRPr="009A0E19">
        <w:rPr>
          <w:rFonts w:ascii="Times New Roman" w:hAnsi="Times New Roman" w:cs="Times New Roman"/>
          <w:sz w:val="24"/>
          <w:szCs w:val="24"/>
        </w:rPr>
        <w:t xml:space="preserve"> but </w:t>
      </w:r>
      <w:r w:rsidR="00AD0746" w:rsidRPr="009A0E19">
        <w:rPr>
          <w:rFonts w:ascii="Times New Roman" w:hAnsi="Times New Roman" w:cs="Times New Roman"/>
          <w:sz w:val="24"/>
          <w:szCs w:val="24"/>
        </w:rPr>
        <w:t>no such regulations existed</w:t>
      </w:r>
      <w:r w:rsidR="00E835DF" w:rsidRPr="00E835DF">
        <w:rPr>
          <w:rFonts w:ascii="Times New Roman" w:hAnsi="Times New Roman" w:cs="Times New Roman"/>
          <w:sz w:val="24"/>
          <w:szCs w:val="24"/>
        </w:rPr>
        <w:t xml:space="preserve"> </w:t>
      </w:r>
      <w:r w:rsidR="00E835DF" w:rsidRPr="009A0E19">
        <w:rPr>
          <w:rFonts w:ascii="Times New Roman" w:hAnsi="Times New Roman" w:cs="Times New Roman"/>
          <w:sz w:val="24"/>
          <w:szCs w:val="24"/>
        </w:rPr>
        <w:t>a</w:t>
      </w:r>
      <w:r w:rsidR="00E835DF">
        <w:rPr>
          <w:rFonts w:ascii="Times New Roman" w:hAnsi="Times New Roman" w:cs="Times New Roman"/>
          <w:sz w:val="24"/>
          <w:szCs w:val="24"/>
        </w:rPr>
        <w:t>t</w:t>
      </w:r>
      <w:r w:rsidR="00E835DF" w:rsidRPr="009A0E19">
        <w:rPr>
          <w:rFonts w:ascii="Times New Roman" w:hAnsi="Times New Roman" w:cs="Times New Roman"/>
          <w:sz w:val="24"/>
          <w:szCs w:val="24"/>
        </w:rPr>
        <w:t xml:space="preserve"> the time of their report.</w:t>
      </w:r>
      <w:r w:rsidR="00891D44">
        <w:rPr>
          <w:rStyle w:val="FootnoteReference"/>
          <w:rFonts w:ascii="Times New Roman" w:hAnsi="Times New Roman" w:cs="Times New Roman"/>
          <w:sz w:val="24"/>
          <w:szCs w:val="24"/>
        </w:rPr>
        <w:footnoteReference w:id="51"/>
      </w:r>
      <w:r w:rsidR="00AD0746" w:rsidRPr="009A0E19" w:rsidDel="00AD0746">
        <w:rPr>
          <w:rFonts w:ascii="Times New Roman" w:hAnsi="Times New Roman" w:cs="Times New Roman"/>
          <w:sz w:val="24"/>
          <w:szCs w:val="24"/>
        </w:rPr>
        <w:t xml:space="preserve"> </w:t>
      </w:r>
      <w:r w:rsidRPr="009A0E19">
        <w:rPr>
          <w:rFonts w:ascii="Times New Roman" w:hAnsi="Times New Roman" w:cs="Times New Roman"/>
          <w:sz w:val="24"/>
          <w:szCs w:val="24"/>
        </w:rPr>
        <w:t xml:space="preserve">In examining the three </w:t>
      </w:r>
      <w:r w:rsidR="009A37FD">
        <w:rPr>
          <w:rFonts w:ascii="Times New Roman" w:hAnsi="Times New Roman" w:cs="Times New Roman"/>
          <w:sz w:val="24"/>
          <w:szCs w:val="24"/>
        </w:rPr>
        <w:t>fires</w:t>
      </w:r>
      <w:r w:rsidRPr="009A0E19">
        <w:rPr>
          <w:rFonts w:ascii="Times New Roman" w:hAnsi="Times New Roman" w:cs="Times New Roman"/>
          <w:sz w:val="24"/>
          <w:szCs w:val="24"/>
        </w:rPr>
        <w:t>, DOI issued 11 recommendations including revised and improved oversight policy on repairs of garbage chutes, fire suppression systems, and overall property management related to fire safety.</w:t>
      </w:r>
      <w:r w:rsidR="00891D44">
        <w:rPr>
          <w:rStyle w:val="FootnoteReference"/>
          <w:rFonts w:ascii="Times New Roman" w:hAnsi="Times New Roman" w:cs="Times New Roman"/>
          <w:sz w:val="24"/>
          <w:szCs w:val="24"/>
        </w:rPr>
        <w:footnoteReference w:id="52"/>
      </w:r>
      <w:r w:rsidRPr="009A0E19">
        <w:rPr>
          <w:rFonts w:ascii="Times New Roman" w:hAnsi="Times New Roman" w:cs="Times New Roman"/>
          <w:sz w:val="24"/>
          <w:szCs w:val="24"/>
        </w:rPr>
        <w:t xml:space="preserve"> DOI also restated their recommendation that there should be limits on the number </w:t>
      </w:r>
      <w:r w:rsidR="002260C0">
        <w:rPr>
          <w:rFonts w:ascii="Times New Roman" w:hAnsi="Times New Roman" w:cs="Times New Roman"/>
          <w:sz w:val="24"/>
          <w:szCs w:val="24"/>
        </w:rPr>
        <w:t xml:space="preserve">of </w:t>
      </w:r>
      <w:r w:rsidRPr="009A0E19">
        <w:rPr>
          <w:rFonts w:ascii="Times New Roman" w:hAnsi="Times New Roman" w:cs="Times New Roman"/>
          <w:sz w:val="24"/>
          <w:szCs w:val="24"/>
        </w:rPr>
        <w:t>e</w:t>
      </w:r>
      <w:r w:rsidR="0095153F">
        <w:rPr>
          <w:rFonts w:ascii="Times New Roman" w:hAnsi="Times New Roman" w:cs="Times New Roman"/>
          <w:sz w:val="24"/>
          <w:szCs w:val="24"/>
        </w:rPr>
        <w:t>-</w:t>
      </w:r>
      <w:r w:rsidRPr="009A0E19">
        <w:rPr>
          <w:rFonts w:ascii="Times New Roman" w:hAnsi="Times New Roman" w:cs="Times New Roman"/>
          <w:sz w:val="24"/>
          <w:szCs w:val="24"/>
        </w:rPr>
        <w:t>bikes tenants are allowed to store or charge in their apartments</w:t>
      </w:r>
      <w:r w:rsidR="009A37FD">
        <w:rPr>
          <w:rFonts w:ascii="Times New Roman" w:hAnsi="Times New Roman" w:cs="Times New Roman"/>
          <w:sz w:val="24"/>
          <w:szCs w:val="24"/>
        </w:rPr>
        <w:t>,</w:t>
      </w:r>
      <w:r w:rsidRPr="009A0E19">
        <w:rPr>
          <w:rFonts w:ascii="Times New Roman" w:hAnsi="Times New Roman" w:cs="Times New Roman"/>
          <w:sz w:val="24"/>
          <w:szCs w:val="24"/>
        </w:rPr>
        <w:t xml:space="preserve"> as well as recommending that there should be an outright ban on any business related to</w:t>
      </w:r>
      <w:r w:rsidR="002260C0">
        <w:rPr>
          <w:rFonts w:ascii="Times New Roman" w:hAnsi="Times New Roman" w:cs="Times New Roman"/>
          <w:sz w:val="24"/>
          <w:szCs w:val="24"/>
        </w:rPr>
        <w:t xml:space="preserve"> the</w:t>
      </w:r>
      <w:r w:rsidRPr="009A0E19">
        <w:rPr>
          <w:rFonts w:ascii="Times New Roman" w:hAnsi="Times New Roman" w:cs="Times New Roman"/>
          <w:sz w:val="24"/>
          <w:szCs w:val="24"/>
        </w:rPr>
        <w:t xml:space="preserve"> repair</w:t>
      </w:r>
      <w:r w:rsidR="002260C0">
        <w:rPr>
          <w:rFonts w:ascii="Times New Roman" w:hAnsi="Times New Roman" w:cs="Times New Roman"/>
          <w:sz w:val="24"/>
          <w:szCs w:val="24"/>
        </w:rPr>
        <w:t>,</w:t>
      </w:r>
      <w:r w:rsidRPr="009A0E19">
        <w:rPr>
          <w:rFonts w:ascii="Times New Roman" w:hAnsi="Times New Roman" w:cs="Times New Roman"/>
          <w:sz w:val="24"/>
          <w:szCs w:val="24"/>
        </w:rPr>
        <w:t xml:space="preserve"> storage</w:t>
      </w:r>
      <w:r w:rsidR="002260C0">
        <w:rPr>
          <w:rFonts w:ascii="Times New Roman" w:hAnsi="Times New Roman" w:cs="Times New Roman"/>
          <w:sz w:val="24"/>
          <w:szCs w:val="24"/>
        </w:rPr>
        <w:t>,</w:t>
      </w:r>
      <w:r w:rsidRPr="009A0E19">
        <w:rPr>
          <w:rFonts w:ascii="Times New Roman" w:hAnsi="Times New Roman" w:cs="Times New Roman"/>
          <w:sz w:val="24"/>
          <w:szCs w:val="24"/>
        </w:rPr>
        <w:t xml:space="preserve"> or charging</w:t>
      </w:r>
      <w:r w:rsidR="00067819">
        <w:rPr>
          <w:rFonts w:ascii="Times New Roman" w:hAnsi="Times New Roman" w:cs="Times New Roman"/>
          <w:sz w:val="24"/>
          <w:szCs w:val="24"/>
        </w:rPr>
        <w:t xml:space="preserve"> of e-bikes.</w:t>
      </w:r>
      <w:r w:rsidR="00891D44">
        <w:rPr>
          <w:rStyle w:val="FootnoteReference"/>
          <w:rFonts w:ascii="Times New Roman" w:hAnsi="Times New Roman" w:cs="Times New Roman"/>
          <w:sz w:val="24"/>
          <w:szCs w:val="24"/>
        </w:rPr>
        <w:footnoteReference w:id="53"/>
      </w:r>
      <w:r w:rsidR="00067819">
        <w:rPr>
          <w:rFonts w:ascii="Times New Roman" w:hAnsi="Times New Roman" w:cs="Times New Roman"/>
          <w:sz w:val="24"/>
          <w:szCs w:val="24"/>
        </w:rPr>
        <w:t xml:space="preserve"> </w:t>
      </w:r>
    </w:p>
    <w:p w14:paraId="3E1C2606" w14:textId="48A845C3" w:rsidR="00554CA5" w:rsidRPr="009A0E19" w:rsidRDefault="00067819" w:rsidP="00EB0FE0">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On November 1, 2023</w:t>
      </w:r>
      <w:r w:rsidR="004E0495">
        <w:rPr>
          <w:rFonts w:ascii="Times New Roman" w:hAnsi="Times New Roman" w:cs="Times New Roman"/>
          <w:sz w:val="24"/>
          <w:szCs w:val="24"/>
        </w:rPr>
        <w:t>,</w:t>
      </w:r>
      <w:r>
        <w:rPr>
          <w:rFonts w:ascii="Times New Roman" w:hAnsi="Times New Roman" w:cs="Times New Roman"/>
          <w:sz w:val="24"/>
          <w:szCs w:val="24"/>
        </w:rPr>
        <w:t xml:space="preserve"> NYCHA announced proposed policies regarding electric micro-mobility vehicles and devices inside NYCHA buildings.</w:t>
      </w:r>
      <w:r>
        <w:rPr>
          <w:rStyle w:val="FootnoteReference"/>
          <w:rFonts w:ascii="Times New Roman" w:hAnsi="Times New Roman" w:cs="Times New Roman"/>
          <w:sz w:val="24"/>
          <w:szCs w:val="24"/>
        </w:rPr>
        <w:footnoteReference w:id="54"/>
      </w:r>
      <w:r>
        <w:rPr>
          <w:rFonts w:ascii="Times New Roman" w:hAnsi="Times New Roman" w:cs="Times New Roman"/>
          <w:sz w:val="24"/>
          <w:szCs w:val="24"/>
        </w:rPr>
        <w:t xml:space="preserve"> The proposed rule change has two components, first providing clarification concerning which type of vehicles and devices are allowed in NYCHA buildings, and second setting rules regarding charging of electric vehicles inside NYCHA properties.</w:t>
      </w:r>
      <w:r>
        <w:rPr>
          <w:rStyle w:val="FootnoteReference"/>
          <w:rFonts w:ascii="Times New Roman" w:hAnsi="Times New Roman" w:cs="Times New Roman"/>
          <w:sz w:val="24"/>
          <w:szCs w:val="24"/>
        </w:rPr>
        <w:footnoteReference w:id="55"/>
      </w:r>
      <w:r>
        <w:rPr>
          <w:rFonts w:ascii="Times New Roman" w:hAnsi="Times New Roman" w:cs="Times New Roman"/>
          <w:sz w:val="24"/>
          <w:szCs w:val="24"/>
        </w:rPr>
        <w:t xml:space="preserve"> The </w:t>
      </w:r>
      <w:r w:rsidR="007A7CD8">
        <w:rPr>
          <w:rFonts w:ascii="Times New Roman" w:hAnsi="Times New Roman" w:cs="Times New Roman"/>
          <w:sz w:val="24"/>
          <w:szCs w:val="24"/>
        </w:rPr>
        <w:t xml:space="preserve">proposed </w:t>
      </w:r>
      <w:r>
        <w:rPr>
          <w:rFonts w:ascii="Times New Roman" w:hAnsi="Times New Roman" w:cs="Times New Roman"/>
          <w:sz w:val="24"/>
          <w:szCs w:val="24"/>
        </w:rPr>
        <w:t>rule first sets out that it is a lease violation to keep any vehicles and devices, or the batteries of such devices, which are illegal to operate on City streets or in public areas in a NYCHA apartment</w:t>
      </w:r>
      <w:r w:rsidR="00E835DF">
        <w:rPr>
          <w:rFonts w:ascii="Times New Roman" w:hAnsi="Times New Roman" w:cs="Times New Roman"/>
          <w:sz w:val="24"/>
          <w:szCs w:val="24"/>
        </w:rPr>
        <w:t xml:space="preserve"> building.</w:t>
      </w:r>
      <w:r w:rsidR="00BE7BE2">
        <w:rPr>
          <w:rStyle w:val="FootnoteReference"/>
          <w:rFonts w:ascii="Times New Roman" w:hAnsi="Times New Roman" w:cs="Times New Roman"/>
          <w:sz w:val="24"/>
          <w:szCs w:val="24"/>
        </w:rPr>
        <w:footnoteReference w:id="56"/>
      </w:r>
      <w:r>
        <w:rPr>
          <w:rFonts w:ascii="Times New Roman" w:hAnsi="Times New Roman" w:cs="Times New Roman"/>
          <w:sz w:val="24"/>
          <w:szCs w:val="24"/>
        </w:rPr>
        <w:t xml:space="preserve"> NYCHA provides </w:t>
      </w:r>
      <w:r w:rsidR="00A31E29">
        <w:rPr>
          <w:rFonts w:ascii="Times New Roman" w:hAnsi="Times New Roman" w:cs="Times New Roman"/>
          <w:sz w:val="24"/>
          <w:szCs w:val="24"/>
        </w:rPr>
        <w:t xml:space="preserve">NYC </w:t>
      </w:r>
      <w:r>
        <w:rPr>
          <w:rFonts w:ascii="Times New Roman" w:hAnsi="Times New Roman" w:cs="Times New Roman"/>
          <w:sz w:val="24"/>
          <w:szCs w:val="24"/>
        </w:rPr>
        <w:t>Department of Transportation guidance on which vehicles are illegal</w:t>
      </w:r>
      <w:r w:rsidR="00DA6E77">
        <w:rPr>
          <w:rFonts w:ascii="Times New Roman" w:hAnsi="Times New Roman" w:cs="Times New Roman"/>
          <w:sz w:val="24"/>
          <w:szCs w:val="24"/>
        </w:rPr>
        <w:t>,</w:t>
      </w:r>
      <w:r>
        <w:rPr>
          <w:rFonts w:ascii="Times New Roman" w:hAnsi="Times New Roman" w:cs="Times New Roman"/>
          <w:sz w:val="24"/>
          <w:szCs w:val="24"/>
        </w:rPr>
        <w:t xml:space="preserve"> providing a non-</w:t>
      </w:r>
      <w:r w:rsidR="00DA6E77">
        <w:rPr>
          <w:rFonts w:ascii="Times New Roman" w:hAnsi="Times New Roman" w:cs="Times New Roman"/>
          <w:sz w:val="24"/>
          <w:szCs w:val="24"/>
        </w:rPr>
        <w:t xml:space="preserve">exhaustive </w:t>
      </w:r>
      <w:r>
        <w:rPr>
          <w:rFonts w:ascii="Times New Roman" w:hAnsi="Times New Roman" w:cs="Times New Roman"/>
          <w:sz w:val="24"/>
          <w:szCs w:val="24"/>
        </w:rPr>
        <w:t>list including “</w:t>
      </w:r>
      <w:r w:rsidRPr="00C20AA3">
        <w:rPr>
          <w:rFonts w:ascii="Times New Roman" w:hAnsi="Times New Roman" w:cs="Times New Roman"/>
          <w:sz w:val="24"/>
          <w:szCs w:val="24"/>
        </w:rPr>
        <w:t>electric mopeds, large electric scooters weighing 100 pounds or more, electric motorcycles, gas-powered vehicles and devices, unregistered electric mopeds, electric dirt bikes, electric skateboards, Segways, electric hoverboards, electric unicycles, and electric all-terrain vehicles (ATV), and their batteries.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57"/>
      </w:r>
      <w:r>
        <w:rPr>
          <w:rFonts w:ascii="Times New Roman" w:hAnsi="Times New Roman" w:cs="Times New Roman"/>
          <w:sz w:val="24"/>
          <w:szCs w:val="24"/>
        </w:rPr>
        <w:t xml:space="preserve"> The </w:t>
      </w:r>
      <w:r w:rsidR="007A7CD8">
        <w:rPr>
          <w:rFonts w:ascii="Times New Roman" w:hAnsi="Times New Roman" w:cs="Times New Roman"/>
          <w:sz w:val="24"/>
          <w:szCs w:val="24"/>
        </w:rPr>
        <w:t xml:space="preserve">proposed </w:t>
      </w:r>
      <w:r>
        <w:rPr>
          <w:rFonts w:ascii="Times New Roman" w:hAnsi="Times New Roman" w:cs="Times New Roman"/>
          <w:sz w:val="24"/>
          <w:szCs w:val="24"/>
        </w:rPr>
        <w:t>rule also states it is a violation to charge more than one legal vehicle or battery in a NYCHA apartment at one time</w:t>
      </w:r>
      <w:r w:rsidR="00A31E29">
        <w:rPr>
          <w:rFonts w:ascii="Times New Roman" w:hAnsi="Times New Roman" w:cs="Times New Roman"/>
          <w:sz w:val="24"/>
          <w:szCs w:val="24"/>
        </w:rPr>
        <w:t>,</w:t>
      </w:r>
      <w:r>
        <w:rPr>
          <w:rFonts w:ascii="Times New Roman" w:hAnsi="Times New Roman" w:cs="Times New Roman"/>
          <w:sz w:val="24"/>
          <w:szCs w:val="24"/>
        </w:rPr>
        <w:t xml:space="preserve"> and there </w:t>
      </w:r>
      <w:r w:rsidR="007A7CD8">
        <w:rPr>
          <w:rFonts w:ascii="Times New Roman" w:hAnsi="Times New Roman" w:cs="Times New Roman"/>
          <w:sz w:val="24"/>
          <w:szCs w:val="24"/>
        </w:rPr>
        <w:t xml:space="preserve">must </w:t>
      </w:r>
      <w:r>
        <w:rPr>
          <w:rFonts w:ascii="Times New Roman" w:hAnsi="Times New Roman" w:cs="Times New Roman"/>
          <w:sz w:val="24"/>
          <w:szCs w:val="24"/>
        </w:rPr>
        <w:t>be a person 18 years old or older awake and in the apartment while such vehicle or battery is plugged in.</w:t>
      </w:r>
      <w:r w:rsidR="00BE7BE2">
        <w:rPr>
          <w:rStyle w:val="FootnoteReference"/>
          <w:rFonts w:ascii="Times New Roman" w:hAnsi="Times New Roman" w:cs="Times New Roman"/>
          <w:sz w:val="24"/>
          <w:szCs w:val="24"/>
        </w:rPr>
        <w:footnoteReference w:id="58"/>
      </w:r>
      <w:r>
        <w:rPr>
          <w:rFonts w:ascii="Times New Roman" w:hAnsi="Times New Roman" w:cs="Times New Roman"/>
          <w:sz w:val="24"/>
          <w:szCs w:val="24"/>
        </w:rPr>
        <w:t xml:space="preserve"> The</w:t>
      </w:r>
      <w:r w:rsidR="007A7CD8">
        <w:rPr>
          <w:rFonts w:ascii="Times New Roman" w:hAnsi="Times New Roman" w:cs="Times New Roman"/>
          <w:sz w:val="24"/>
          <w:szCs w:val="24"/>
        </w:rPr>
        <w:t xml:space="preserve"> proposed</w:t>
      </w:r>
      <w:r>
        <w:rPr>
          <w:rFonts w:ascii="Times New Roman" w:hAnsi="Times New Roman" w:cs="Times New Roman"/>
          <w:sz w:val="24"/>
          <w:szCs w:val="24"/>
        </w:rPr>
        <w:t xml:space="preserve"> rule further states that </w:t>
      </w:r>
      <w:r w:rsidR="00BE7BE2">
        <w:rPr>
          <w:rFonts w:ascii="Times New Roman" w:hAnsi="Times New Roman" w:cs="Times New Roman"/>
          <w:sz w:val="24"/>
          <w:szCs w:val="24"/>
        </w:rPr>
        <w:t>any</w:t>
      </w:r>
      <w:r>
        <w:rPr>
          <w:rFonts w:ascii="Times New Roman" w:hAnsi="Times New Roman" w:cs="Times New Roman"/>
          <w:sz w:val="24"/>
          <w:szCs w:val="24"/>
        </w:rPr>
        <w:t xml:space="preserve"> such vehicle or battery much be plugged directly into the wall, away from any heat source and not in front of any door, point of egress or in a common area.</w:t>
      </w:r>
      <w:r>
        <w:rPr>
          <w:rStyle w:val="FootnoteReference"/>
          <w:rFonts w:ascii="Times New Roman" w:hAnsi="Times New Roman" w:cs="Times New Roman"/>
          <w:sz w:val="24"/>
          <w:szCs w:val="24"/>
        </w:rPr>
        <w:footnoteReference w:id="59"/>
      </w:r>
      <w:r>
        <w:rPr>
          <w:rFonts w:ascii="Times New Roman" w:hAnsi="Times New Roman" w:cs="Times New Roman"/>
          <w:sz w:val="24"/>
          <w:szCs w:val="24"/>
        </w:rPr>
        <w:t xml:space="preserve"> There is a 60</w:t>
      </w:r>
      <w:r w:rsidR="53A1AC1C">
        <w:rPr>
          <w:rFonts w:ascii="Times New Roman" w:hAnsi="Times New Roman" w:cs="Times New Roman"/>
          <w:sz w:val="24"/>
          <w:szCs w:val="24"/>
        </w:rPr>
        <w:t>-</w:t>
      </w:r>
      <w:r>
        <w:rPr>
          <w:rFonts w:ascii="Times New Roman" w:hAnsi="Times New Roman" w:cs="Times New Roman"/>
          <w:sz w:val="24"/>
          <w:szCs w:val="24"/>
        </w:rPr>
        <w:t xml:space="preserve">day comment period for the rule which began </w:t>
      </w:r>
      <w:r w:rsidR="33A7D20C">
        <w:rPr>
          <w:rFonts w:ascii="Times New Roman" w:hAnsi="Times New Roman" w:cs="Times New Roman"/>
          <w:sz w:val="24"/>
          <w:szCs w:val="24"/>
        </w:rPr>
        <w:t>on the date of</w:t>
      </w:r>
      <w:r>
        <w:rPr>
          <w:rFonts w:ascii="Times New Roman" w:hAnsi="Times New Roman" w:cs="Times New Roman"/>
          <w:sz w:val="24"/>
          <w:szCs w:val="24"/>
        </w:rPr>
        <w:t xml:space="preserve"> publication.</w:t>
      </w:r>
      <w:r>
        <w:rPr>
          <w:rStyle w:val="FootnoteReference"/>
          <w:rFonts w:ascii="Times New Roman" w:hAnsi="Times New Roman" w:cs="Times New Roman"/>
          <w:sz w:val="24"/>
          <w:szCs w:val="24"/>
        </w:rPr>
        <w:footnoteReference w:id="60"/>
      </w:r>
      <w:r>
        <w:rPr>
          <w:rFonts w:ascii="Times New Roman" w:hAnsi="Times New Roman" w:cs="Times New Roman"/>
          <w:sz w:val="24"/>
          <w:szCs w:val="24"/>
        </w:rPr>
        <w:t xml:space="preserve"> It is unclear when the proposed </w:t>
      </w:r>
      <w:r w:rsidR="1828F590">
        <w:rPr>
          <w:rFonts w:ascii="Times New Roman" w:hAnsi="Times New Roman" w:cs="Times New Roman"/>
          <w:sz w:val="24"/>
          <w:szCs w:val="24"/>
        </w:rPr>
        <w:t>rule</w:t>
      </w:r>
      <w:r>
        <w:rPr>
          <w:rFonts w:ascii="Times New Roman" w:hAnsi="Times New Roman" w:cs="Times New Roman"/>
          <w:sz w:val="24"/>
          <w:szCs w:val="24"/>
        </w:rPr>
        <w:t xml:space="preserve"> or any amended version of the rul</w:t>
      </w:r>
      <w:r w:rsidR="0052253E">
        <w:rPr>
          <w:rFonts w:ascii="Times New Roman" w:hAnsi="Times New Roman" w:cs="Times New Roman"/>
          <w:sz w:val="24"/>
          <w:szCs w:val="24"/>
        </w:rPr>
        <w:t xml:space="preserve">e </w:t>
      </w:r>
      <w:r w:rsidR="094A3998">
        <w:rPr>
          <w:rFonts w:ascii="Times New Roman" w:hAnsi="Times New Roman" w:cs="Times New Roman"/>
          <w:sz w:val="24"/>
          <w:szCs w:val="24"/>
        </w:rPr>
        <w:t xml:space="preserve">will take </w:t>
      </w:r>
      <w:r w:rsidR="0052253E">
        <w:rPr>
          <w:rFonts w:ascii="Times New Roman" w:hAnsi="Times New Roman" w:cs="Times New Roman"/>
          <w:sz w:val="24"/>
          <w:szCs w:val="24"/>
        </w:rPr>
        <w:t>effect.</w:t>
      </w:r>
    </w:p>
    <w:p w14:paraId="6E3D756C" w14:textId="2B05A510" w:rsidR="0066377F" w:rsidRPr="009A0E19" w:rsidRDefault="0066377F" w:rsidP="00EB0FE0">
      <w:pPr>
        <w:spacing w:line="480" w:lineRule="auto"/>
        <w:ind w:firstLine="720"/>
        <w:contextualSpacing/>
        <w:jc w:val="both"/>
        <w:rPr>
          <w:rFonts w:ascii="Times New Roman" w:hAnsi="Times New Roman" w:cs="Times New Roman"/>
          <w:sz w:val="24"/>
          <w:szCs w:val="24"/>
        </w:rPr>
      </w:pPr>
      <w:r w:rsidRPr="3E71FB77">
        <w:rPr>
          <w:rFonts w:ascii="Times New Roman" w:hAnsi="Times New Roman" w:cs="Times New Roman"/>
          <w:sz w:val="24"/>
          <w:szCs w:val="24"/>
        </w:rPr>
        <w:t xml:space="preserve">Fires in NYCHA buildings have impacted older NYCHA residents. </w:t>
      </w:r>
      <w:r w:rsidR="00526D3A" w:rsidRPr="3E71FB77">
        <w:rPr>
          <w:rFonts w:ascii="Times New Roman" w:hAnsi="Times New Roman" w:cs="Times New Roman"/>
          <w:sz w:val="24"/>
          <w:szCs w:val="24"/>
        </w:rPr>
        <w:t>For example, i</w:t>
      </w:r>
      <w:r w:rsidR="00E90901" w:rsidRPr="3E71FB77">
        <w:rPr>
          <w:rFonts w:ascii="Times New Roman" w:hAnsi="Times New Roman" w:cs="Times New Roman"/>
          <w:sz w:val="24"/>
          <w:szCs w:val="24"/>
        </w:rPr>
        <w:t>n 2021, a fire at Sumner House in Brooklyn hospitalized an 85-year old man and 86-year old woman.</w:t>
      </w:r>
      <w:r w:rsidR="00526D3A">
        <w:rPr>
          <w:rStyle w:val="FootnoteReference"/>
          <w:rFonts w:ascii="Times New Roman" w:hAnsi="Times New Roman" w:cs="Times New Roman"/>
          <w:sz w:val="24"/>
          <w:szCs w:val="24"/>
        </w:rPr>
        <w:footnoteReference w:id="61"/>
      </w:r>
      <w:r w:rsidR="00526D3A" w:rsidRPr="3E71FB77">
        <w:rPr>
          <w:rFonts w:ascii="Times New Roman" w:hAnsi="Times New Roman" w:cs="Times New Roman"/>
          <w:sz w:val="24"/>
          <w:szCs w:val="24"/>
        </w:rPr>
        <w:t xml:space="preserve"> FDNY officials failed to locate a smoke alarm in the impacted area.</w:t>
      </w:r>
      <w:r w:rsidR="00526D3A">
        <w:rPr>
          <w:rStyle w:val="FootnoteReference"/>
          <w:rFonts w:ascii="Times New Roman" w:hAnsi="Times New Roman" w:cs="Times New Roman"/>
          <w:sz w:val="24"/>
          <w:szCs w:val="24"/>
        </w:rPr>
        <w:footnoteReference w:id="62"/>
      </w:r>
      <w:r w:rsidR="00E90901" w:rsidRPr="3E71FB77">
        <w:rPr>
          <w:rFonts w:ascii="Times New Roman" w:hAnsi="Times New Roman" w:cs="Times New Roman"/>
          <w:sz w:val="24"/>
          <w:szCs w:val="24"/>
        </w:rPr>
        <w:t xml:space="preserve"> </w:t>
      </w:r>
      <w:r w:rsidR="00526D3A" w:rsidRPr="3E71FB77">
        <w:rPr>
          <w:rFonts w:ascii="Times New Roman" w:hAnsi="Times New Roman" w:cs="Times New Roman"/>
          <w:sz w:val="24"/>
          <w:szCs w:val="24"/>
        </w:rPr>
        <w:t>Earlier that year, a 72-year old woman living with disabilities was killed in a fire at Douglass Houses in Manhattan</w:t>
      </w:r>
      <w:r w:rsidR="760DEB2A" w:rsidRPr="3E71FB77">
        <w:rPr>
          <w:rFonts w:ascii="Times New Roman" w:hAnsi="Times New Roman" w:cs="Times New Roman"/>
          <w:sz w:val="24"/>
          <w:szCs w:val="24"/>
        </w:rPr>
        <w:t xml:space="preserve"> after being unable to escape her apartment</w:t>
      </w:r>
      <w:r w:rsidR="00526D3A" w:rsidRPr="3E71FB77">
        <w:rPr>
          <w:rFonts w:ascii="Times New Roman" w:hAnsi="Times New Roman" w:cs="Times New Roman"/>
          <w:sz w:val="24"/>
          <w:szCs w:val="24"/>
        </w:rPr>
        <w:t>.</w:t>
      </w:r>
      <w:r w:rsidR="00526D3A">
        <w:rPr>
          <w:rStyle w:val="FootnoteReference"/>
          <w:rFonts w:ascii="Times New Roman" w:hAnsi="Times New Roman" w:cs="Times New Roman"/>
          <w:sz w:val="24"/>
          <w:szCs w:val="24"/>
        </w:rPr>
        <w:footnoteReference w:id="63"/>
      </w:r>
      <w:r w:rsidR="00526D3A" w:rsidRPr="3E71FB77">
        <w:rPr>
          <w:rFonts w:ascii="Times New Roman" w:hAnsi="Times New Roman" w:cs="Times New Roman"/>
          <w:sz w:val="24"/>
          <w:szCs w:val="24"/>
        </w:rPr>
        <w:t xml:space="preserve"> </w:t>
      </w:r>
      <w:r w:rsidRPr="3E71FB77">
        <w:rPr>
          <w:rFonts w:ascii="Times New Roman" w:hAnsi="Times New Roman" w:cs="Times New Roman"/>
          <w:sz w:val="24"/>
          <w:szCs w:val="24"/>
        </w:rPr>
        <w:t>In 2019, the Reid Apartments in Flatbush, a NYCHA seniors-only building, suffered a fire and significant smoke damage.</w:t>
      </w:r>
      <w:r>
        <w:rPr>
          <w:rStyle w:val="FootnoteReference"/>
          <w:rFonts w:ascii="Times New Roman" w:hAnsi="Times New Roman" w:cs="Times New Roman"/>
          <w:sz w:val="24"/>
          <w:szCs w:val="24"/>
        </w:rPr>
        <w:footnoteReference w:id="64"/>
      </w:r>
      <w:r w:rsidRPr="3E71FB77">
        <w:rPr>
          <w:rFonts w:ascii="Times New Roman" w:hAnsi="Times New Roman" w:cs="Times New Roman"/>
          <w:sz w:val="24"/>
          <w:szCs w:val="24"/>
        </w:rPr>
        <w:t xml:space="preserve"> NYCHA addressed the fire damage seven weeks after the fire occurred</w:t>
      </w:r>
      <w:r w:rsidR="00E90901" w:rsidRPr="3E71FB77">
        <w:rPr>
          <w:rFonts w:ascii="Times New Roman" w:hAnsi="Times New Roman" w:cs="Times New Roman"/>
          <w:sz w:val="24"/>
          <w:szCs w:val="24"/>
        </w:rPr>
        <w:t>,</w:t>
      </w:r>
      <w:r w:rsidR="00526D3A" w:rsidRPr="3E71FB77">
        <w:rPr>
          <w:rFonts w:ascii="Times New Roman" w:hAnsi="Times New Roman" w:cs="Times New Roman"/>
          <w:sz w:val="24"/>
          <w:szCs w:val="24"/>
        </w:rPr>
        <w:t xml:space="preserve"> </w:t>
      </w:r>
      <w:r w:rsidR="00E90901" w:rsidRPr="3E71FB77">
        <w:rPr>
          <w:rFonts w:ascii="Times New Roman" w:hAnsi="Times New Roman" w:cs="Times New Roman"/>
          <w:sz w:val="24"/>
          <w:szCs w:val="24"/>
        </w:rPr>
        <w:t>prompting criticism from elected officials.</w:t>
      </w:r>
      <w:r w:rsidR="00E90901">
        <w:rPr>
          <w:rStyle w:val="FootnoteReference"/>
          <w:rFonts w:ascii="Times New Roman" w:hAnsi="Times New Roman" w:cs="Times New Roman"/>
          <w:sz w:val="24"/>
          <w:szCs w:val="24"/>
        </w:rPr>
        <w:footnoteReference w:id="65"/>
      </w:r>
      <w:r w:rsidR="00E90901" w:rsidRPr="3E71FB77">
        <w:rPr>
          <w:rFonts w:ascii="Times New Roman" w:hAnsi="Times New Roman" w:cs="Times New Roman"/>
          <w:sz w:val="24"/>
          <w:szCs w:val="24"/>
        </w:rPr>
        <w:t xml:space="preserve"> An earlier fire at the Wilson Houses in March of 2019 left a 62-year old man dead and a 93-year old man injured.</w:t>
      </w:r>
      <w:r w:rsidR="00E90901">
        <w:rPr>
          <w:rStyle w:val="FootnoteReference"/>
          <w:rFonts w:ascii="Times New Roman" w:hAnsi="Times New Roman" w:cs="Times New Roman"/>
          <w:sz w:val="24"/>
          <w:szCs w:val="24"/>
        </w:rPr>
        <w:footnoteReference w:id="66"/>
      </w:r>
      <w:r w:rsidR="00E90901" w:rsidRPr="3E71FB77">
        <w:rPr>
          <w:rFonts w:ascii="Times New Roman" w:hAnsi="Times New Roman" w:cs="Times New Roman"/>
          <w:sz w:val="24"/>
          <w:szCs w:val="24"/>
        </w:rPr>
        <w:t xml:space="preserve"> According to reports, </w:t>
      </w:r>
      <w:r w:rsidR="00526D3A" w:rsidRPr="3E71FB77">
        <w:rPr>
          <w:rFonts w:ascii="Times New Roman" w:hAnsi="Times New Roman" w:cs="Times New Roman"/>
          <w:sz w:val="24"/>
          <w:szCs w:val="24"/>
        </w:rPr>
        <w:t xml:space="preserve">building </w:t>
      </w:r>
      <w:r w:rsidR="00E90901" w:rsidRPr="3E71FB77">
        <w:rPr>
          <w:rFonts w:ascii="Times New Roman" w:hAnsi="Times New Roman" w:cs="Times New Roman"/>
          <w:sz w:val="24"/>
          <w:szCs w:val="24"/>
        </w:rPr>
        <w:t>residents were told to shelter in place during the fire.</w:t>
      </w:r>
      <w:r w:rsidR="00E90901">
        <w:rPr>
          <w:rStyle w:val="FootnoteReference"/>
          <w:rFonts w:ascii="Times New Roman" w:hAnsi="Times New Roman" w:cs="Times New Roman"/>
          <w:sz w:val="24"/>
          <w:szCs w:val="24"/>
        </w:rPr>
        <w:footnoteReference w:id="67"/>
      </w:r>
    </w:p>
    <w:p w14:paraId="1BC67AD9" w14:textId="77777777" w:rsidR="009A0E19" w:rsidRPr="009A0E19" w:rsidRDefault="009A0E19" w:rsidP="000E6FD3">
      <w:pPr>
        <w:spacing w:after="0" w:line="480" w:lineRule="auto"/>
        <w:ind w:firstLine="720"/>
        <w:contextualSpacing/>
        <w:jc w:val="both"/>
        <w:rPr>
          <w:rFonts w:ascii="Times New Roman" w:eastAsia="Times New Roman" w:hAnsi="Times New Roman" w:cs="Times New Roman"/>
          <w:i/>
          <w:iCs/>
          <w:sz w:val="24"/>
          <w:szCs w:val="24"/>
        </w:rPr>
      </w:pPr>
      <w:r w:rsidRPr="009A0E19">
        <w:rPr>
          <w:rFonts w:ascii="Times New Roman" w:eastAsia="Times New Roman" w:hAnsi="Times New Roman" w:cs="Times New Roman"/>
          <w:i/>
          <w:iCs/>
          <w:sz w:val="24"/>
          <w:szCs w:val="24"/>
        </w:rPr>
        <w:t>Repairing NYCHA’s Doors and Locks</w:t>
      </w:r>
    </w:p>
    <w:p w14:paraId="28639D44" w14:textId="3E1B4A3C" w:rsidR="009A0E19" w:rsidRPr="009A0E19" w:rsidRDefault="009A0E19" w:rsidP="00EB0FE0">
      <w:pPr>
        <w:pStyle w:val="NormalWeb"/>
        <w:spacing w:before="0" w:beforeAutospacing="0" w:after="0" w:afterAutospacing="0" w:line="480" w:lineRule="auto"/>
        <w:ind w:firstLine="720"/>
        <w:contextualSpacing/>
        <w:jc w:val="both"/>
      </w:pPr>
      <w:r w:rsidRPr="009A0E19">
        <w:t xml:space="preserve">Broken doors and locks have </w:t>
      </w:r>
      <w:r w:rsidR="007D499B">
        <w:t>also long been</w:t>
      </w:r>
      <w:r w:rsidRPr="009A0E19">
        <w:t xml:space="preserve"> an ongoing </w:t>
      </w:r>
      <w:r w:rsidR="00785CF6">
        <w:t xml:space="preserve">security </w:t>
      </w:r>
      <w:r w:rsidRPr="009A0E19">
        <w:t xml:space="preserve">issue at NYCHA for both tenants and guests alike. During a </w:t>
      </w:r>
      <w:r w:rsidR="00785CF6">
        <w:t xml:space="preserve">City </w:t>
      </w:r>
      <w:r w:rsidRPr="009A0E19">
        <w:t>Council Hearing in February 2021, NYCHA highlighted the outdated design standards of their entrance doors, which date back to the 1990s and early 2000s.</w:t>
      </w:r>
      <w:r w:rsidRPr="009A0E19">
        <w:rPr>
          <w:rStyle w:val="FootnoteReference"/>
        </w:rPr>
        <w:footnoteReference w:id="68"/>
      </w:r>
      <w:r w:rsidRPr="009A0E19">
        <w:t xml:space="preserve"> They mentioned that the doors are not only heavy but also expensive to purchase and repair.</w:t>
      </w:r>
      <w:r w:rsidRPr="009A0E19">
        <w:rPr>
          <w:rStyle w:val="FootnoteReference"/>
        </w:rPr>
        <w:footnoteReference w:id="69"/>
      </w:r>
      <w:r w:rsidRPr="009A0E19">
        <w:t xml:space="preserve"> NYCHA stated that they had initiated a pilot program at three developments with the aim of establishing a new door standard.</w:t>
      </w:r>
      <w:r w:rsidRPr="009A0E19">
        <w:rPr>
          <w:rStyle w:val="FootnoteReference"/>
        </w:rPr>
        <w:footnoteReference w:id="70"/>
      </w:r>
      <w:r w:rsidRPr="009A0E19">
        <w:t xml:space="preserve"> The primary objective of this program is to have doors that have accessible parts and are easy to purchase.</w:t>
      </w:r>
      <w:r w:rsidRPr="009A0E19">
        <w:rPr>
          <w:rStyle w:val="FootnoteReference"/>
        </w:rPr>
        <w:footnoteReference w:id="71"/>
      </w:r>
      <w:r w:rsidRPr="009A0E19">
        <w:t xml:space="preserve"> NYCHA currently has difficulties finding vendors who can efficiently handle repairs for those older specific door models.</w:t>
      </w:r>
      <w:r w:rsidRPr="009A0E19">
        <w:rPr>
          <w:rStyle w:val="FootnoteReference"/>
        </w:rPr>
        <w:footnoteReference w:id="72"/>
      </w:r>
    </w:p>
    <w:p w14:paraId="11458D2F" w14:textId="53C13847" w:rsidR="009A0E19" w:rsidRDefault="009A0E19" w:rsidP="00067819">
      <w:pPr>
        <w:pStyle w:val="NormalWeb"/>
        <w:spacing w:before="0" w:beforeAutospacing="0" w:after="0" w:afterAutospacing="0" w:line="480" w:lineRule="auto"/>
        <w:ind w:firstLine="720"/>
        <w:jc w:val="both"/>
      </w:pPr>
      <w:r w:rsidRPr="009A0E19">
        <w:t xml:space="preserve">The </w:t>
      </w:r>
      <w:r w:rsidR="00337CE1">
        <w:t>NYC</w:t>
      </w:r>
      <w:r w:rsidRPr="009A0E19">
        <w:t xml:space="preserve"> Comptroller’s office has audited </w:t>
      </w:r>
      <w:r w:rsidR="00415374">
        <w:t xml:space="preserve">and </w:t>
      </w:r>
      <w:r w:rsidRPr="009A0E19">
        <w:t xml:space="preserve">conducted many observations </w:t>
      </w:r>
      <w:r w:rsidR="712095ED" w:rsidRPr="009A0E19">
        <w:t xml:space="preserve">regarding </w:t>
      </w:r>
      <w:r w:rsidRPr="009A0E19">
        <w:t>NYCHA’s doors. In</w:t>
      </w:r>
      <w:r w:rsidR="00415374">
        <w:t xml:space="preserve"> a</w:t>
      </w:r>
      <w:r w:rsidRPr="009A0E19">
        <w:t xml:space="preserve"> 2018</w:t>
      </w:r>
      <w:r w:rsidR="00415374">
        <w:t xml:space="preserve"> audit</w:t>
      </w:r>
      <w:r w:rsidRPr="009A0E19">
        <w:t>, the Comptroller found numerous unlocked entrance doors and broken door locks, which posed a security risk for residents.</w:t>
      </w:r>
      <w:r w:rsidRPr="009A0E19">
        <w:rPr>
          <w:rStyle w:val="FootnoteReference"/>
        </w:rPr>
        <w:footnoteReference w:id="73"/>
      </w:r>
      <w:r w:rsidRPr="009A0E19">
        <w:t xml:space="preserve"> As a result, the </w:t>
      </w:r>
      <w:r w:rsidR="06BAEF4E" w:rsidRPr="009A0E19">
        <w:t>C</w:t>
      </w:r>
      <w:r w:rsidRPr="009A0E19">
        <w:t>omptroller's office recommended that NYCHA take immediate action to address these problems.</w:t>
      </w:r>
      <w:r w:rsidR="00F71A99">
        <w:rPr>
          <w:rStyle w:val="FootnoteReference"/>
        </w:rPr>
        <w:footnoteReference w:id="74"/>
      </w:r>
      <w:r w:rsidRPr="009A0E19">
        <w:t xml:space="preserve"> To ensure the safety and security of residents, the audit recommended that maintenance staff be promptly made aware of the need to repair or replac</w:t>
      </w:r>
      <w:r w:rsidR="00F87173">
        <w:t>e</w:t>
      </w:r>
      <w:r w:rsidRPr="009A0E19">
        <w:t xml:space="preserve"> damaged exterior doors and </w:t>
      </w:r>
      <w:r w:rsidR="00F87173">
        <w:t xml:space="preserve">to </w:t>
      </w:r>
      <w:r w:rsidRPr="009A0E19">
        <w:t xml:space="preserve">regularly inspect and maintain all exterior doors and locks </w:t>
      </w:r>
      <w:r w:rsidR="00E8307A">
        <w:t xml:space="preserve">so that they remain </w:t>
      </w:r>
      <w:r w:rsidRPr="009A0E19">
        <w:t>in good working order.</w:t>
      </w:r>
      <w:r w:rsidRPr="009A0E19">
        <w:rPr>
          <w:rStyle w:val="FootnoteReference"/>
        </w:rPr>
        <w:footnoteReference w:id="75"/>
      </w:r>
      <w:r w:rsidRPr="009A0E19">
        <w:t xml:space="preserve"> The 2018 audit also recommended that NYCHA ensure that when exterior doors are obstructed or unsecure, appropriate measures are taken to rectify the situation promptly.</w:t>
      </w:r>
      <w:r w:rsidRPr="009A0E19">
        <w:rPr>
          <w:rStyle w:val="FootnoteReference"/>
        </w:rPr>
        <w:footnoteReference w:id="76"/>
      </w:r>
    </w:p>
    <w:p w14:paraId="6D63E518" w14:textId="36AFA458" w:rsidR="00415374" w:rsidRPr="009A0E19" w:rsidRDefault="002F793F" w:rsidP="00415374">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415374" w:rsidRPr="009A0E19">
        <w:rPr>
          <w:rFonts w:ascii="Times New Roman" w:eastAsia="Times New Roman" w:hAnsi="Times New Roman" w:cs="Times New Roman"/>
          <w:sz w:val="24"/>
          <w:szCs w:val="24"/>
        </w:rPr>
        <w:t xml:space="preserve"> 2022</w:t>
      </w:r>
      <w:r w:rsidR="00415374">
        <w:rPr>
          <w:rFonts w:ascii="Times New Roman" w:eastAsia="Times New Roman" w:hAnsi="Times New Roman" w:cs="Times New Roman"/>
          <w:sz w:val="24"/>
          <w:szCs w:val="24"/>
        </w:rPr>
        <w:t xml:space="preserve"> </w:t>
      </w:r>
      <w:r w:rsidR="00E835DF">
        <w:rPr>
          <w:rFonts w:ascii="Times New Roman" w:eastAsia="Times New Roman" w:hAnsi="Times New Roman" w:cs="Times New Roman"/>
          <w:sz w:val="24"/>
          <w:szCs w:val="24"/>
        </w:rPr>
        <w:t>C</w:t>
      </w:r>
      <w:r w:rsidR="00793A93">
        <w:rPr>
          <w:rFonts w:ascii="Times New Roman" w:eastAsia="Times New Roman" w:hAnsi="Times New Roman" w:cs="Times New Roman"/>
          <w:sz w:val="24"/>
          <w:szCs w:val="24"/>
        </w:rPr>
        <w:t>omptroller’s audit</w:t>
      </w:r>
      <w:r w:rsidR="00E8307A">
        <w:rPr>
          <w:rFonts w:ascii="Times New Roman" w:eastAsia="Times New Roman" w:hAnsi="Times New Roman" w:cs="Times New Roman"/>
          <w:sz w:val="24"/>
          <w:szCs w:val="24"/>
        </w:rPr>
        <w:t xml:space="preserve"> revealed </w:t>
      </w:r>
      <w:r w:rsidR="00415374" w:rsidRPr="009A0E19">
        <w:rPr>
          <w:rFonts w:ascii="Times New Roman" w:eastAsia="Times New Roman" w:hAnsi="Times New Roman" w:cs="Times New Roman"/>
          <w:sz w:val="24"/>
          <w:szCs w:val="24"/>
        </w:rPr>
        <w:t xml:space="preserve">that </w:t>
      </w:r>
      <w:r w:rsidR="142337AE" w:rsidRPr="009A0E19">
        <w:rPr>
          <w:rFonts w:ascii="Times New Roman" w:eastAsia="Times New Roman" w:hAnsi="Times New Roman" w:cs="Times New Roman"/>
          <w:sz w:val="24"/>
          <w:szCs w:val="24"/>
        </w:rPr>
        <w:t>NYCHA</w:t>
      </w:r>
      <w:r w:rsidR="00415374" w:rsidRPr="009A0E19">
        <w:rPr>
          <w:rFonts w:ascii="Times New Roman" w:eastAsia="Times New Roman" w:hAnsi="Times New Roman" w:cs="Times New Roman"/>
          <w:sz w:val="24"/>
          <w:szCs w:val="24"/>
        </w:rPr>
        <w:t xml:space="preserve"> had not fully implemented the recommendations </w:t>
      </w:r>
      <w:r w:rsidR="00793A93">
        <w:rPr>
          <w:rFonts w:ascii="Times New Roman" w:eastAsia="Times New Roman" w:hAnsi="Times New Roman" w:cs="Times New Roman"/>
          <w:sz w:val="24"/>
          <w:szCs w:val="24"/>
        </w:rPr>
        <w:t xml:space="preserve">the </w:t>
      </w:r>
      <w:r w:rsidR="00E835DF">
        <w:rPr>
          <w:rFonts w:ascii="Times New Roman" w:eastAsia="Times New Roman" w:hAnsi="Times New Roman" w:cs="Times New Roman"/>
          <w:sz w:val="24"/>
          <w:szCs w:val="24"/>
        </w:rPr>
        <w:t>C</w:t>
      </w:r>
      <w:r w:rsidR="00793A93">
        <w:rPr>
          <w:rFonts w:ascii="Times New Roman" w:eastAsia="Times New Roman" w:hAnsi="Times New Roman" w:cs="Times New Roman"/>
          <w:sz w:val="24"/>
          <w:szCs w:val="24"/>
        </w:rPr>
        <w:t xml:space="preserve">omptroller had </w:t>
      </w:r>
      <w:r w:rsidR="00415374" w:rsidRPr="009A0E19">
        <w:rPr>
          <w:rFonts w:ascii="Times New Roman" w:eastAsia="Times New Roman" w:hAnsi="Times New Roman" w:cs="Times New Roman"/>
          <w:sz w:val="24"/>
          <w:szCs w:val="24"/>
        </w:rPr>
        <w:t>previously provided.</w:t>
      </w:r>
      <w:r w:rsidR="00415374" w:rsidRPr="009A0E19">
        <w:rPr>
          <w:rStyle w:val="FootnoteReference"/>
          <w:rFonts w:ascii="Times New Roman" w:eastAsia="Times New Roman" w:hAnsi="Times New Roman" w:cs="Times New Roman"/>
          <w:sz w:val="24"/>
          <w:szCs w:val="24"/>
        </w:rPr>
        <w:footnoteReference w:id="77"/>
      </w:r>
      <w:r w:rsidR="00415374" w:rsidRPr="009A0E19">
        <w:rPr>
          <w:rFonts w:ascii="Times New Roman" w:eastAsia="Times New Roman" w:hAnsi="Times New Roman" w:cs="Times New Roman"/>
          <w:sz w:val="24"/>
          <w:szCs w:val="24"/>
        </w:rPr>
        <w:t xml:space="preserve"> Between August 30 and September 8, 2022</w:t>
      </w:r>
      <w:r w:rsidR="00793A93">
        <w:rPr>
          <w:rFonts w:ascii="Times New Roman" w:eastAsia="Times New Roman" w:hAnsi="Times New Roman" w:cs="Times New Roman"/>
          <w:sz w:val="24"/>
          <w:szCs w:val="24"/>
        </w:rPr>
        <w:t>,</w:t>
      </w:r>
      <w:r w:rsidR="00415374" w:rsidRPr="009A0E19">
        <w:rPr>
          <w:rFonts w:ascii="Times New Roman" w:eastAsia="Times New Roman" w:hAnsi="Times New Roman" w:cs="Times New Roman"/>
          <w:sz w:val="24"/>
          <w:szCs w:val="24"/>
        </w:rPr>
        <w:t xml:space="preserve"> the </w:t>
      </w:r>
      <w:r w:rsidR="00E835DF">
        <w:rPr>
          <w:rFonts w:ascii="Times New Roman" w:eastAsia="Times New Roman" w:hAnsi="Times New Roman" w:cs="Times New Roman"/>
          <w:sz w:val="24"/>
          <w:szCs w:val="24"/>
        </w:rPr>
        <w:t>C</w:t>
      </w:r>
      <w:r w:rsidR="00415374" w:rsidRPr="009A0E19">
        <w:rPr>
          <w:rFonts w:ascii="Times New Roman" w:eastAsia="Times New Roman" w:hAnsi="Times New Roman" w:cs="Times New Roman"/>
          <w:sz w:val="24"/>
          <w:szCs w:val="24"/>
        </w:rPr>
        <w:t>omptroller’s office visited 262 NYCHA developments and conducted a review of building entry door security.</w:t>
      </w:r>
      <w:r w:rsidR="00415374" w:rsidRPr="009A0E19">
        <w:rPr>
          <w:rStyle w:val="FootnoteReference"/>
          <w:rFonts w:ascii="Times New Roman" w:eastAsia="Times New Roman" w:hAnsi="Times New Roman" w:cs="Times New Roman"/>
          <w:sz w:val="24"/>
          <w:szCs w:val="24"/>
        </w:rPr>
        <w:footnoteReference w:id="78"/>
      </w:r>
      <w:r w:rsidR="00415374" w:rsidRPr="009A0E19">
        <w:rPr>
          <w:rFonts w:ascii="Times New Roman" w:eastAsia="Times New Roman" w:hAnsi="Times New Roman" w:cs="Times New Roman"/>
          <w:sz w:val="24"/>
          <w:szCs w:val="24"/>
        </w:rPr>
        <w:t xml:space="preserve"> One of the key issues identified was that many doors were found to be propped open by bricks or other objects, preventing them from locking properly.</w:t>
      </w:r>
      <w:r w:rsidR="00415374" w:rsidRPr="009A0E19">
        <w:rPr>
          <w:rStyle w:val="FootnoteReference"/>
          <w:rFonts w:ascii="Times New Roman" w:eastAsia="Times New Roman" w:hAnsi="Times New Roman" w:cs="Times New Roman"/>
          <w:sz w:val="24"/>
          <w:szCs w:val="24"/>
        </w:rPr>
        <w:footnoteReference w:id="79"/>
      </w:r>
      <w:r w:rsidR="00415374" w:rsidRPr="009A0E19">
        <w:rPr>
          <w:rFonts w:ascii="Times New Roman" w:eastAsia="Times New Roman" w:hAnsi="Times New Roman" w:cs="Times New Roman"/>
          <w:sz w:val="24"/>
          <w:szCs w:val="24"/>
        </w:rPr>
        <w:t xml:space="preserve"> Additionally, numerous door locks did not latch in a secure manner to the doorframes.</w:t>
      </w:r>
      <w:r w:rsidR="00415374" w:rsidRPr="009A0E19">
        <w:rPr>
          <w:rStyle w:val="FootnoteReference"/>
          <w:rFonts w:ascii="Times New Roman" w:eastAsia="Times New Roman" w:hAnsi="Times New Roman" w:cs="Times New Roman"/>
          <w:sz w:val="24"/>
          <w:szCs w:val="24"/>
        </w:rPr>
        <w:footnoteReference w:id="80"/>
      </w:r>
      <w:r w:rsidR="00415374" w:rsidRPr="009A0E19">
        <w:rPr>
          <w:rFonts w:ascii="Times New Roman" w:eastAsia="Times New Roman" w:hAnsi="Times New Roman" w:cs="Times New Roman"/>
          <w:sz w:val="24"/>
          <w:szCs w:val="24"/>
        </w:rPr>
        <w:t xml:space="preserve"> Furthermore, there were instances where rear or side doors were found to be locked while main entrance doors remained open.</w:t>
      </w:r>
      <w:r w:rsidR="00415374" w:rsidRPr="009A0E19">
        <w:rPr>
          <w:rStyle w:val="FootnoteReference"/>
          <w:rFonts w:ascii="Times New Roman" w:eastAsia="Times New Roman" w:hAnsi="Times New Roman" w:cs="Times New Roman"/>
          <w:sz w:val="24"/>
          <w:szCs w:val="24"/>
        </w:rPr>
        <w:footnoteReference w:id="81"/>
      </w:r>
      <w:r w:rsidR="00415374" w:rsidRPr="009A0E19">
        <w:rPr>
          <w:rFonts w:ascii="Times New Roman" w:eastAsia="Times New Roman" w:hAnsi="Times New Roman" w:cs="Times New Roman"/>
          <w:sz w:val="24"/>
          <w:szCs w:val="24"/>
        </w:rPr>
        <w:t xml:space="preserve"> </w:t>
      </w:r>
    </w:p>
    <w:p w14:paraId="6D550AA2" w14:textId="73AD61D7" w:rsidR="003A1BF8" w:rsidRDefault="00415374" w:rsidP="003A1BF8">
      <w:pPr>
        <w:spacing w:after="0" w:line="480" w:lineRule="auto"/>
        <w:ind w:firstLine="720"/>
        <w:jc w:val="both"/>
        <w:rPr>
          <w:rFonts w:ascii="Times New Roman" w:eastAsia="Times New Roman" w:hAnsi="Times New Roman" w:cs="Times New Roman"/>
          <w:sz w:val="24"/>
          <w:szCs w:val="24"/>
        </w:rPr>
      </w:pPr>
      <w:r w:rsidRPr="009A0E19">
        <w:rPr>
          <w:rFonts w:ascii="Times New Roman" w:eastAsia="Times New Roman" w:hAnsi="Times New Roman" w:cs="Times New Roman"/>
          <w:sz w:val="24"/>
          <w:szCs w:val="24"/>
        </w:rPr>
        <w:t>In a comparative analysis conducted by the Comptroller</w:t>
      </w:r>
      <w:r w:rsidR="00854054">
        <w:rPr>
          <w:rFonts w:ascii="Times New Roman" w:eastAsia="Times New Roman" w:hAnsi="Times New Roman" w:cs="Times New Roman"/>
          <w:sz w:val="24"/>
          <w:szCs w:val="24"/>
        </w:rPr>
        <w:t>’</w:t>
      </w:r>
      <w:r w:rsidRPr="009A0E19">
        <w:rPr>
          <w:rFonts w:ascii="Times New Roman" w:eastAsia="Times New Roman" w:hAnsi="Times New Roman" w:cs="Times New Roman"/>
          <w:sz w:val="24"/>
          <w:szCs w:val="24"/>
        </w:rPr>
        <w:t xml:space="preserve">s office, the percentage of doors that were not secured </w:t>
      </w:r>
      <w:r w:rsidR="00854054">
        <w:rPr>
          <w:rFonts w:ascii="Times New Roman" w:eastAsia="Times New Roman" w:hAnsi="Times New Roman" w:cs="Times New Roman"/>
          <w:sz w:val="24"/>
          <w:szCs w:val="24"/>
        </w:rPr>
        <w:t>across the five</w:t>
      </w:r>
      <w:r w:rsidRPr="009A0E19">
        <w:rPr>
          <w:rFonts w:ascii="Times New Roman" w:eastAsia="Times New Roman" w:hAnsi="Times New Roman" w:cs="Times New Roman"/>
          <w:sz w:val="24"/>
          <w:szCs w:val="24"/>
        </w:rPr>
        <w:t xml:space="preserve"> boroughs was examined for the years 2018 and 2022. The findings revealed significant increases in the percentage of unsecured doors. </w:t>
      </w:r>
    </w:p>
    <w:p w14:paraId="3914E6E9" w14:textId="6AF277E1" w:rsidR="00526D3A" w:rsidRDefault="00526D3A" w:rsidP="003A1BF8">
      <w:pPr>
        <w:spacing w:after="0" w:line="480" w:lineRule="auto"/>
        <w:ind w:firstLine="720"/>
        <w:jc w:val="both"/>
        <w:rPr>
          <w:rFonts w:ascii="Times New Roman" w:eastAsia="Times New Roman" w:hAnsi="Times New Roman" w:cs="Times New Roman"/>
          <w:sz w:val="24"/>
          <w:szCs w:val="24"/>
        </w:rPr>
      </w:pPr>
    </w:p>
    <w:p w14:paraId="72EDDDF5" w14:textId="77777777" w:rsidR="00526D3A" w:rsidRDefault="00526D3A" w:rsidP="003A1BF8">
      <w:pPr>
        <w:spacing w:after="0" w:line="480" w:lineRule="auto"/>
        <w:ind w:firstLine="720"/>
        <w:jc w:val="both"/>
        <w:rPr>
          <w:rFonts w:ascii="Times New Roman" w:eastAsia="Times New Roman" w:hAnsi="Times New Roman" w:cs="Times New Roman"/>
          <w:sz w:val="24"/>
          <w:szCs w:val="24"/>
        </w:rPr>
      </w:pPr>
    </w:p>
    <w:tbl>
      <w:tblPr>
        <w:tblW w:w="9902" w:type="dxa"/>
        <w:jc w:val="center"/>
        <w:tblLook w:val="04A0" w:firstRow="1" w:lastRow="0" w:firstColumn="1" w:lastColumn="0" w:noHBand="0" w:noVBand="1"/>
      </w:tblPr>
      <w:tblGrid>
        <w:gridCol w:w="1620"/>
        <w:gridCol w:w="1181"/>
        <w:gridCol w:w="1601"/>
        <w:gridCol w:w="1538"/>
        <w:gridCol w:w="2182"/>
        <w:gridCol w:w="1780"/>
      </w:tblGrid>
      <w:tr w:rsidR="003A1BF8" w:rsidRPr="003A1BF8" w14:paraId="2A54E9FE" w14:textId="77777777" w:rsidTr="003A1BF8">
        <w:trPr>
          <w:trHeight w:val="300"/>
          <w:jc w:val="center"/>
        </w:trPr>
        <w:tc>
          <w:tcPr>
            <w:tcW w:w="9902" w:type="dxa"/>
            <w:gridSpan w:val="6"/>
            <w:tcBorders>
              <w:top w:val="nil"/>
              <w:left w:val="nil"/>
              <w:bottom w:val="nil"/>
              <w:right w:val="nil"/>
            </w:tcBorders>
            <w:shd w:val="clear" w:color="auto" w:fill="auto"/>
            <w:vAlign w:val="bottom"/>
            <w:hideMark/>
          </w:tcPr>
          <w:p w14:paraId="4C31B761"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 xml:space="preserve">Table A </w:t>
            </w:r>
          </w:p>
        </w:tc>
      </w:tr>
      <w:tr w:rsidR="003A1BF8" w:rsidRPr="003A1BF8" w14:paraId="4D137331" w14:textId="77777777" w:rsidTr="003A1BF8">
        <w:trPr>
          <w:trHeight w:val="885"/>
          <w:jc w:val="center"/>
        </w:trPr>
        <w:tc>
          <w:tcPr>
            <w:tcW w:w="9902" w:type="dxa"/>
            <w:gridSpan w:val="6"/>
            <w:tcBorders>
              <w:top w:val="nil"/>
              <w:left w:val="nil"/>
              <w:bottom w:val="nil"/>
              <w:right w:val="nil"/>
            </w:tcBorders>
            <w:shd w:val="clear" w:color="auto" w:fill="auto"/>
            <w:vAlign w:val="center"/>
            <w:hideMark/>
          </w:tcPr>
          <w:p w14:paraId="16A18261"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 xml:space="preserve">Comparative Analysis of Summary Results of Residential Entrance Door Security Residential Entrance Door Security Reviews Conducted in 2022 and 2018 </w:t>
            </w:r>
          </w:p>
        </w:tc>
      </w:tr>
      <w:tr w:rsidR="003A1BF8" w:rsidRPr="003A1BF8" w14:paraId="1E0C52C6" w14:textId="77777777" w:rsidTr="0067085F">
        <w:trPr>
          <w:trHeight w:val="1862"/>
          <w:jc w:val="center"/>
        </w:trPr>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7023A"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Borough</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14:paraId="1F5D6CB3"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 xml:space="preserve">Percentage </w:t>
            </w:r>
            <w:r w:rsidRPr="003A1BF8">
              <w:rPr>
                <w:rFonts w:ascii="Times New Roman" w:eastAsia="Times New Roman" w:hAnsi="Times New Roman" w:cs="Times New Roman"/>
                <w:color w:val="000000"/>
              </w:rPr>
              <w:br/>
              <w:t xml:space="preserve">Open </w:t>
            </w:r>
            <w:r w:rsidRPr="003A1BF8">
              <w:rPr>
                <w:rFonts w:ascii="Times New Roman" w:eastAsia="Times New Roman" w:hAnsi="Times New Roman" w:cs="Times New Roman"/>
                <w:color w:val="000000"/>
              </w:rPr>
              <w:br/>
              <w:t>2022</w:t>
            </w:r>
          </w:p>
        </w:tc>
        <w:tc>
          <w:tcPr>
            <w:tcW w:w="1601" w:type="dxa"/>
            <w:tcBorders>
              <w:top w:val="single" w:sz="4" w:space="0" w:color="auto"/>
              <w:left w:val="nil"/>
              <w:bottom w:val="single" w:sz="4" w:space="0" w:color="auto"/>
              <w:right w:val="single" w:sz="4" w:space="0" w:color="auto"/>
            </w:tcBorders>
            <w:shd w:val="clear" w:color="auto" w:fill="auto"/>
            <w:vAlign w:val="center"/>
            <w:hideMark/>
          </w:tcPr>
          <w:p w14:paraId="5E1FCBCB"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 xml:space="preserve">Percentage </w:t>
            </w:r>
            <w:r w:rsidRPr="003A1BF8">
              <w:rPr>
                <w:rFonts w:ascii="Times New Roman" w:eastAsia="Times New Roman" w:hAnsi="Times New Roman" w:cs="Times New Roman"/>
                <w:color w:val="000000"/>
              </w:rPr>
              <w:br/>
              <w:t xml:space="preserve">with Broken </w:t>
            </w:r>
            <w:r w:rsidRPr="003A1BF8">
              <w:rPr>
                <w:rFonts w:ascii="Times New Roman" w:eastAsia="Times New Roman" w:hAnsi="Times New Roman" w:cs="Times New Roman"/>
                <w:color w:val="000000"/>
              </w:rPr>
              <w:br/>
              <w:t xml:space="preserve">Locks </w:t>
            </w:r>
            <w:r w:rsidRPr="003A1BF8">
              <w:rPr>
                <w:rFonts w:ascii="Times New Roman" w:eastAsia="Times New Roman" w:hAnsi="Times New Roman" w:cs="Times New Roman"/>
                <w:color w:val="000000"/>
              </w:rPr>
              <w:br/>
              <w:t>2022</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14:paraId="04DA1081"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 xml:space="preserve">Percentage </w:t>
            </w:r>
            <w:r w:rsidRPr="003A1BF8">
              <w:rPr>
                <w:rFonts w:ascii="Times New Roman" w:eastAsia="Times New Roman" w:hAnsi="Times New Roman" w:cs="Times New Roman"/>
                <w:color w:val="000000"/>
              </w:rPr>
              <w:br/>
              <w:t xml:space="preserve">Not </w:t>
            </w:r>
            <w:r w:rsidRPr="003A1BF8">
              <w:rPr>
                <w:rFonts w:ascii="Times New Roman" w:eastAsia="Times New Roman" w:hAnsi="Times New Roman" w:cs="Times New Roman"/>
                <w:color w:val="000000"/>
              </w:rPr>
              <w:br/>
              <w:t xml:space="preserve">Secured </w:t>
            </w:r>
            <w:r w:rsidRPr="003A1BF8">
              <w:rPr>
                <w:rFonts w:ascii="Times New Roman" w:eastAsia="Times New Roman" w:hAnsi="Times New Roman" w:cs="Times New Roman"/>
                <w:color w:val="000000"/>
              </w:rPr>
              <w:br/>
              <w:t>2022</w:t>
            </w:r>
          </w:p>
        </w:tc>
        <w:tc>
          <w:tcPr>
            <w:tcW w:w="2182" w:type="dxa"/>
            <w:tcBorders>
              <w:top w:val="single" w:sz="4" w:space="0" w:color="auto"/>
              <w:left w:val="nil"/>
              <w:bottom w:val="single" w:sz="4" w:space="0" w:color="auto"/>
              <w:right w:val="single" w:sz="4" w:space="0" w:color="auto"/>
            </w:tcBorders>
            <w:shd w:val="clear" w:color="auto" w:fill="auto"/>
            <w:vAlign w:val="center"/>
            <w:hideMark/>
          </w:tcPr>
          <w:p w14:paraId="3CB7CB9A"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 xml:space="preserve">Percentage </w:t>
            </w:r>
            <w:r w:rsidRPr="003A1BF8">
              <w:rPr>
                <w:rFonts w:ascii="Times New Roman" w:eastAsia="Times New Roman" w:hAnsi="Times New Roman" w:cs="Times New Roman"/>
                <w:color w:val="000000"/>
              </w:rPr>
              <w:br/>
              <w:t xml:space="preserve">Not Secured </w:t>
            </w:r>
            <w:r w:rsidRPr="003A1BF8">
              <w:rPr>
                <w:rFonts w:ascii="Times New Roman" w:eastAsia="Times New Roman" w:hAnsi="Times New Roman" w:cs="Times New Roman"/>
                <w:color w:val="000000"/>
              </w:rPr>
              <w:br/>
              <w:t>2018</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14:paraId="720AA943"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 xml:space="preserve">Percentage </w:t>
            </w:r>
            <w:r w:rsidRPr="003A1BF8">
              <w:rPr>
                <w:rFonts w:ascii="Times New Roman" w:eastAsia="Times New Roman" w:hAnsi="Times New Roman" w:cs="Times New Roman"/>
                <w:color w:val="000000"/>
              </w:rPr>
              <w:br/>
              <w:t xml:space="preserve">Increase of </w:t>
            </w:r>
            <w:r w:rsidRPr="003A1BF8">
              <w:rPr>
                <w:rFonts w:ascii="Times New Roman" w:eastAsia="Times New Roman" w:hAnsi="Times New Roman" w:cs="Times New Roman"/>
                <w:color w:val="000000"/>
              </w:rPr>
              <w:br/>
              <w:t xml:space="preserve">Unsecured </w:t>
            </w:r>
            <w:r w:rsidRPr="003A1BF8">
              <w:rPr>
                <w:rFonts w:ascii="Times New Roman" w:eastAsia="Times New Roman" w:hAnsi="Times New Roman" w:cs="Times New Roman"/>
                <w:color w:val="000000"/>
              </w:rPr>
              <w:br/>
              <w:t xml:space="preserve">Entrance </w:t>
            </w:r>
            <w:r w:rsidRPr="003A1BF8">
              <w:rPr>
                <w:rFonts w:ascii="Times New Roman" w:eastAsia="Times New Roman" w:hAnsi="Times New Roman" w:cs="Times New Roman"/>
                <w:color w:val="000000"/>
              </w:rPr>
              <w:br/>
              <w:t xml:space="preserve">Doors </w:t>
            </w:r>
            <w:r w:rsidRPr="003A1BF8">
              <w:rPr>
                <w:rFonts w:ascii="Times New Roman" w:eastAsia="Times New Roman" w:hAnsi="Times New Roman" w:cs="Times New Roman"/>
                <w:color w:val="000000"/>
              </w:rPr>
              <w:br/>
              <w:t xml:space="preserve">From </w:t>
            </w:r>
            <w:r w:rsidRPr="003A1BF8">
              <w:rPr>
                <w:rFonts w:ascii="Times New Roman" w:eastAsia="Times New Roman" w:hAnsi="Times New Roman" w:cs="Times New Roman"/>
                <w:color w:val="000000"/>
              </w:rPr>
              <w:br/>
              <w:t>2018 to 2022</w:t>
            </w:r>
          </w:p>
        </w:tc>
      </w:tr>
      <w:tr w:rsidR="003A1BF8" w:rsidRPr="003A1BF8" w14:paraId="1375765D" w14:textId="77777777" w:rsidTr="0067085F">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59D02AE7" w14:textId="77777777" w:rsidR="003A1BF8" w:rsidRPr="003A1BF8" w:rsidRDefault="003A1BF8" w:rsidP="003A1BF8">
            <w:pPr>
              <w:spacing w:after="0" w:line="240" w:lineRule="auto"/>
              <w:rPr>
                <w:rFonts w:ascii="Times New Roman" w:eastAsia="Times New Roman" w:hAnsi="Times New Roman" w:cs="Times New Roman"/>
                <w:color w:val="000000"/>
              </w:rPr>
            </w:pPr>
            <w:r w:rsidRPr="003A1BF8">
              <w:rPr>
                <w:rFonts w:ascii="Times New Roman" w:eastAsia="Times New Roman" w:hAnsi="Times New Roman" w:cs="Times New Roman"/>
                <w:color w:val="000000"/>
              </w:rPr>
              <w:t>Bronx</w:t>
            </w:r>
          </w:p>
        </w:tc>
        <w:tc>
          <w:tcPr>
            <w:tcW w:w="1181" w:type="dxa"/>
            <w:tcBorders>
              <w:top w:val="nil"/>
              <w:left w:val="nil"/>
              <w:bottom w:val="single" w:sz="4" w:space="0" w:color="auto"/>
              <w:right w:val="single" w:sz="4" w:space="0" w:color="auto"/>
            </w:tcBorders>
            <w:shd w:val="clear" w:color="auto" w:fill="auto"/>
            <w:noWrap/>
            <w:vAlign w:val="bottom"/>
            <w:hideMark/>
          </w:tcPr>
          <w:p w14:paraId="220AC9DE"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42.5</w:t>
            </w:r>
          </w:p>
        </w:tc>
        <w:tc>
          <w:tcPr>
            <w:tcW w:w="1601" w:type="dxa"/>
            <w:tcBorders>
              <w:top w:val="nil"/>
              <w:left w:val="nil"/>
              <w:bottom w:val="single" w:sz="4" w:space="0" w:color="auto"/>
              <w:right w:val="single" w:sz="4" w:space="0" w:color="auto"/>
            </w:tcBorders>
            <w:shd w:val="clear" w:color="auto" w:fill="auto"/>
            <w:noWrap/>
            <w:vAlign w:val="bottom"/>
            <w:hideMark/>
          </w:tcPr>
          <w:p w14:paraId="12EF1D59"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47.6</w:t>
            </w:r>
          </w:p>
        </w:tc>
        <w:tc>
          <w:tcPr>
            <w:tcW w:w="1538" w:type="dxa"/>
            <w:tcBorders>
              <w:top w:val="nil"/>
              <w:left w:val="nil"/>
              <w:bottom w:val="single" w:sz="4" w:space="0" w:color="auto"/>
              <w:right w:val="single" w:sz="4" w:space="0" w:color="auto"/>
            </w:tcBorders>
            <w:shd w:val="clear" w:color="auto" w:fill="auto"/>
            <w:noWrap/>
            <w:vAlign w:val="bottom"/>
            <w:hideMark/>
          </w:tcPr>
          <w:p w14:paraId="7A458EAF"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63.5</w:t>
            </w:r>
          </w:p>
        </w:tc>
        <w:tc>
          <w:tcPr>
            <w:tcW w:w="2182" w:type="dxa"/>
            <w:tcBorders>
              <w:top w:val="nil"/>
              <w:left w:val="nil"/>
              <w:bottom w:val="single" w:sz="4" w:space="0" w:color="auto"/>
              <w:right w:val="single" w:sz="4" w:space="0" w:color="auto"/>
            </w:tcBorders>
            <w:shd w:val="clear" w:color="auto" w:fill="auto"/>
            <w:noWrap/>
            <w:vAlign w:val="bottom"/>
            <w:hideMark/>
          </w:tcPr>
          <w:p w14:paraId="597FC7FC"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24.9</w:t>
            </w:r>
          </w:p>
        </w:tc>
        <w:tc>
          <w:tcPr>
            <w:tcW w:w="1780" w:type="dxa"/>
            <w:tcBorders>
              <w:top w:val="nil"/>
              <w:left w:val="nil"/>
              <w:bottom w:val="single" w:sz="4" w:space="0" w:color="auto"/>
              <w:right w:val="single" w:sz="4" w:space="0" w:color="auto"/>
            </w:tcBorders>
            <w:shd w:val="clear" w:color="auto" w:fill="auto"/>
            <w:noWrap/>
            <w:vAlign w:val="bottom"/>
            <w:hideMark/>
          </w:tcPr>
          <w:p w14:paraId="1627E47E"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38.6</w:t>
            </w:r>
          </w:p>
        </w:tc>
      </w:tr>
      <w:tr w:rsidR="003A1BF8" w:rsidRPr="003A1BF8" w14:paraId="4F567F4B" w14:textId="77777777" w:rsidTr="0067085F">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1C4A974B" w14:textId="77777777" w:rsidR="003A1BF8" w:rsidRPr="003A1BF8" w:rsidRDefault="003A1BF8" w:rsidP="003A1BF8">
            <w:pPr>
              <w:spacing w:after="0" w:line="240" w:lineRule="auto"/>
              <w:rPr>
                <w:rFonts w:ascii="Times New Roman" w:eastAsia="Times New Roman" w:hAnsi="Times New Roman" w:cs="Times New Roman"/>
                <w:color w:val="000000"/>
              </w:rPr>
            </w:pPr>
            <w:r w:rsidRPr="003A1BF8">
              <w:rPr>
                <w:rFonts w:ascii="Times New Roman" w:eastAsia="Times New Roman" w:hAnsi="Times New Roman" w:cs="Times New Roman"/>
                <w:color w:val="000000"/>
              </w:rPr>
              <w:t>Brooklyn</w:t>
            </w:r>
          </w:p>
        </w:tc>
        <w:tc>
          <w:tcPr>
            <w:tcW w:w="1181" w:type="dxa"/>
            <w:tcBorders>
              <w:top w:val="nil"/>
              <w:left w:val="nil"/>
              <w:bottom w:val="single" w:sz="4" w:space="0" w:color="auto"/>
              <w:right w:val="single" w:sz="4" w:space="0" w:color="auto"/>
            </w:tcBorders>
            <w:shd w:val="clear" w:color="auto" w:fill="auto"/>
            <w:noWrap/>
            <w:vAlign w:val="bottom"/>
            <w:hideMark/>
          </w:tcPr>
          <w:p w14:paraId="749AD2FD"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46.1</w:t>
            </w:r>
          </w:p>
        </w:tc>
        <w:tc>
          <w:tcPr>
            <w:tcW w:w="1601" w:type="dxa"/>
            <w:tcBorders>
              <w:top w:val="nil"/>
              <w:left w:val="nil"/>
              <w:bottom w:val="single" w:sz="4" w:space="0" w:color="auto"/>
              <w:right w:val="single" w:sz="4" w:space="0" w:color="auto"/>
            </w:tcBorders>
            <w:shd w:val="clear" w:color="auto" w:fill="auto"/>
            <w:noWrap/>
            <w:vAlign w:val="bottom"/>
            <w:hideMark/>
          </w:tcPr>
          <w:p w14:paraId="729D1D55"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39.7</w:t>
            </w:r>
          </w:p>
        </w:tc>
        <w:tc>
          <w:tcPr>
            <w:tcW w:w="1538" w:type="dxa"/>
            <w:tcBorders>
              <w:top w:val="nil"/>
              <w:left w:val="nil"/>
              <w:bottom w:val="single" w:sz="4" w:space="0" w:color="auto"/>
              <w:right w:val="single" w:sz="4" w:space="0" w:color="auto"/>
            </w:tcBorders>
            <w:shd w:val="clear" w:color="auto" w:fill="auto"/>
            <w:noWrap/>
            <w:vAlign w:val="bottom"/>
            <w:hideMark/>
          </w:tcPr>
          <w:p w14:paraId="107B359A"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66.0</w:t>
            </w:r>
          </w:p>
        </w:tc>
        <w:tc>
          <w:tcPr>
            <w:tcW w:w="2182" w:type="dxa"/>
            <w:tcBorders>
              <w:top w:val="nil"/>
              <w:left w:val="nil"/>
              <w:bottom w:val="single" w:sz="4" w:space="0" w:color="auto"/>
              <w:right w:val="single" w:sz="4" w:space="0" w:color="auto"/>
            </w:tcBorders>
            <w:shd w:val="clear" w:color="auto" w:fill="auto"/>
            <w:noWrap/>
            <w:vAlign w:val="bottom"/>
            <w:hideMark/>
          </w:tcPr>
          <w:p w14:paraId="61C401D3"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17.0</w:t>
            </w:r>
          </w:p>
        </w:tc>
        <w:tc>
          <w:tcPr>
            <w:tcW w:w="1780" w:type="dxa"/>
            <w:tcBorders>
              <w:top w:val="nil"/>
              <w:left w:val="nil"/>
              <w:bottom w:val="single" w:sz="4" w:space="0" w:color="auto"/>
              <w:right w:val="single" w:sz="4" w:space="0" w:color="auto"/>
            </w:tcBorders>
            <w:shd w:val="clear" w:color="auto" w:fill="auto"/>
            <w:noWrap/>
            <w:vAlign w:val="bottom"/>
            <w:hideMark/>
          </w:tcPr>
          <w:p w14:paraId="3786F44A"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49.1</w:t>
            </w:r>
          </w:p>
        </w:tc>
      </w:tr>
      <w:tr w:rsidR="003A1BF8" w:rsidRPr="003A1BF8" w14:paraId="3C84E7FB" w14:textId="77777777" w:rsidTr="0067085F">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445E33DE" w14:textId="77777777" w:rsidR="003A1BF8" w:rsidRPr="003A1BF8" w:rsidRDefault="003A1BF8" w:rsidP="003A1BF8">
            <w:pPr>
              <w:spacing w:after="0" w:line="240" w:lineRule="auto"/>
              <w:rPr>
                <w:rFonts w:ascii="Times New Roman" w:eastAsia="Times New Roman" w:hAnsi="Times New Roman" w:cs="Times New Roman"/>
                <w:color w:val="000000"/>
              </w:rPr>
            </w:pPr>
            <w:r w:rsidRPr="003A1BF8">
              <w:rPr>
                <w:rFonts w:ascii="Times New Roman" w:eastAsia="Times New Roman" w:hAnsi="Times New Roman" w:cs="Times New Roman"/>
                <w:color w:val="000000"/>
              </w:rPr>
              <w:t>Manhattan</w:t>
            </w:r>
          </w:p>
        </w:tc>
        <w:tc>
          <w:tcPr>
            <w:tcW w:w="1181" w:type="dxa"/>
            <w:tcBorders>
              <w:top w:val="nil"/>
              <w:left w:val="nil"/>
              <w:bottom w:val="single" w:sz="4" w:space="0" w:color="auto"/>
              <w:right w:val="single" w:sz="4" w:space="0" w:color="auto"/>
            </w:tcBorders>
            <w:shd w:val="clear" w:color="auto" w:fill="auto"/>
            <w:noWrap/>
            <w:vAlign w:val="bottom"/>
            <w:hideMark/>
          </w:tcPr>
          <w:p w14:paraId="6CF89A65"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24.7</w:t>
            </w:r>
          </w:p>
        </w:tc>
        <w:tc>
          <w:tcPr>
            <w:tcW w:w="1601" w:type="dxa"/>
            <w:tcBorders>
              <w:top w:val="nil"/>
              <w:left w:val="nil"/>
              <w:bottom w:val="single" w:sz="4" w:space="0" w:color="auto"/>
              <w:right w:val="single" w:sz="4" w:space="0" w:color="auto"/>
            </w:tcBorders>
            <w:shd w:val="clear" w:color="auto" w:fill="auto"/>
            <w:noWrap/>
            <w:vAlign w:val="bottom"/>
            <w:hideMark/>
          </w:tcPr>
          <w:p w14:paraId="1848113A"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36.5</w:t>
            </w:r>
          </w:p>
        </w:tc>
        <w:tc>
          <w:tcPr>
            <w:tcW w:w="1538" w:type="dxa"/>
            <w:tcBorders>
              <w:top w:val="nil"/>
              <w:left w:val="nil"/>
              <w:bottom w:val="single" w:sz="4" w:space="0" w:color="auto"/>
              <w:right w:val="single" w:sz="4" w:space="0" w:color="auto"/>
            </w:tcBorders>
            <w:shd w:val="clear" w:color="auto" w:fill="auto"/>
            <w:noWrap/>
            <w:vAlign w:val="bottom"/>
            <w:hideMark/>
          </w:tcPr>
          <w:p w14:paraId="1FC98D5A"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47.3</w:t>
            </w:r>
          </w:p>
        </w:tc>
        <w:tc>
          <w:tcPr>
            <w:tcW w:w="2182" w:type="dxa"/>
            <w:tcBorders>
              <w:top w:val="nil"/>
              <w:left w:val="nil"/>
              <w:bottom w:val="single" w:sz="4" w:space="0" w:color="auto"/>
              <w:right w:val="single" w:sz="4" w:space="0" w:color="auto"/>
            </w:tcBorders>
            <w:shd w:val="clear" w:color="auto" w:fill="auto"/>
            <w:noWrap/>
            <w:vAlign w:val="bottom"/>
            <w:hideMark/>
          </w:tcPr>
          <w:p w14:paraId="124080C7"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38.1</w:t>
            </w:r>
          </w:p>
        </w:tc>
        <w:tc>
          <w:tcPr>
            <w:tcW w:w="1780" w:type="dxa"/>
            <w:tcBorders>
              <w:top w:val="nil"/>
              <w:left w:val="nil"/>
              <w:bottom w:val="single" w:sz="4" w:space="0" w:color="auto"/>
              <w:right w:val="single" w:sz="4" w:space="0" w:color="auto"/>
            </w:tcBorders>
            <w:shd w:val="clear" w:color="auto" w:fill="auto"/>
            <w:noWrap/>
            <w:vAlign w:val="bottom"/>
            <w:hideMark/>
          </w:tcPr>
          <w:p w14:paraId="4F9905EB"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9.2</w:t>
            </w:r>
          </w:p>
        </w:tc>
      </w:tr>
      <w:tr w:rsidR="003A1BF8" w:rsidRPr="003A1BF8" w14:paraId="2AA8B91E" w14:textId="77777777" w:rsidTr="0067085F">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51C45955" w14:textId="77777777" w:rsidR="003A1BF8" w:rsidRPr="003A1BF8" w:rsidRDefault="003A1BF8" w:rsidP="003A1BF8">
            <w:pPr>
              <w:spacing w:after="0" w:line="240" w:lineRule="auto"/>
              <w:rPr>
                <w:rFonts w:ascii="Times New Roman" w:eastAsia="Times New Roman" w:hAnsi="Times New Roman" w:cs="Times New Roman"/>
                <w:color w:val="000000"/>
              </w:rPr>
            </w:pPr>
            <w:r w:rsidRPr="003A1BF8">
              <w:rPr>
                <w:rFonts w:ascii="Times New Roman" w:eastAsia="Times New Roman" w:hAnsi="Times New Roman" w:cs="Times New Roman"/>
                <w:color w:val="000000"/>
              </w:rPr>
              <w:t>Queens</w:t>
            </w:r>
          </w:p>
        </w:tc>
        <w:tc>
          <w:tcPr>
            <w:tcW w:w="1181" w:type="dxa"/>
            <w:tcBorders>
              <w:top w:val="nil"/>
              <w:left w:val="nil"/>
              <w:bottom w:val="single" w:sz="4" w:space="0" w:color="auto"/>
              <w:right w:val="single" w:sz="4" w:space="0" w:color="auto"/>
            </w:tcBorders>
            <w:shd w:val="clear" w:color="auto" w:fill="auto"/>
            <w:noWrap/>
            <w:vAlign w:val="bottom"/>
            <w:hideMark/>
          </w:tcPr>
          <w:p w14:paraId="74A3E0DA"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26.8</w:t>
            </w:r>
          </w:p>
        </w:tc>
        <w:tc>
          <w:tcPr>
            <w:tcW w:w="1601" w:type="dxa"/>
            <w:tcBorders>
              <w:top w:val="nil"/>
              <w:left w:val="nil"/>
              <w:bottom w:val="single" w:sz="4" w:space="0" w:color="auto"/>
              <w:right w:val="single" w:sz="4" w:space="0" w:color="auto"/>
            </w:tcBorders>
            <w:shd w:val="clear" w:color="auto" w:fill="auto"/>
            <w:noWrap/>
            <w:vAlign w:val="bottom"/>
            <w:hideMark/>
          </w:tcPr>
          <w:p w14:paraId="4DF5F644"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35.7</w:t>
            </w:r>
          </w:p>
        </w:tc>
        <w:tc>
          <w:tcPr>
            <w:tcW w:w="1538" w:type="dxa"/>
            <w:tcBorders>
              <w:top w:val="nil"/>
              <w:left w:val="nil"/>
              <w:bottom w:val="single" w:sz="4" w:space="0" w:color="auto"/>
              <w:right w:val="single" w:sz="4" w:space="0" w:color="auto"/>
            </w:tcBorders>
            <w:shd w:val="clear" w:color="auto" w:fill="auto"/>
            <w:noWrap/>
            <w:vAlign w:val="bottom"/>
            <w:hideMark/>
          </w:tcPr>
          <w:p w14:paraId="6FF57E45"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46.6</w:t>
            </w:r>
          </w:p>
        </w:tc>
        <w:tc>
          <w:tcPr>
            <w:tcW w:w="2182" w:type="dxa"/>
            <w:tcBorders>
              <w:top w:val="nil"/>
              <w:left w:val="nil"/>
              <w:bottom w:val="single" w:sz="4" w:space="0" w:color="auto"/>
              <w:right w:val="single" w:sz="4" w:space="0" w:color="auto"/>
            </w:tcBorders>
            <w:shd w:val="clear" w:color="auto" w:fill="auto"/>
            <w:noWrap/>
            <w:vAlign w:val="bottom"/>
            <w:hideMark/>
          </w:tcPr>
          <w:p w14:paraId="37FA08AA"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18.5</w:t>
            </w:r>
          </w:p>
        </w:tc>
        <w:tc>
          <w:tcPr>
            <w:tcW w:w="1780" w:type="dxa"/>
            <w:tcBorders>
              <w:top w:val="nil"/>
              <w:left w:val="nil"/>
              <w:bottom w:val="single" w:sz="4" w:space="0" w:color="auto"/>
              <w:right w:val="single" w:sz="4" w:space="0" w:color="auto"/>
            </w:tcBorders>
            <w:shd w:val="clear" w:color="auto" w:fill="auto"/>
            <w:noWrap/>
            <w:vAlign w:val="bottom"/>
            <w:hideMark/>
          </w:tcPr>
          <w:p w14:paraId="0E2B354E"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28.1</w:t>
            </w:r>
          </w:p>
        </w:tc>
      </w:tr>
      <w:tr w:rsidR="003A1BF8" w:rsidRPr="003A1BF8" w14:paraId="13F1BCD8" w14:textId="77777777" w:rsidTr="0067085F">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25D28E30" w14:textId="77777777" w:rsidR="003A1BF8" w:rsidRPr="003A1BF8" w:rsidRDefault="003A1BF8" w:rsidP="003A1BF8">
            <w:pPr>
              <w:spacing w:after="0" w:line="240" w:lineRule="auto"/>
              <w:rPr>
                <w:rFonts w:ascii="Times New Roman" w:eastAsia="Times New Roman" w:hAnsi="Times New Roman" w:cs="Times New Roman"/>
                <w:color w:val="000000"/>
              </w:rPr>
            </w:pPr>
            <w:r w:rsidRPr="003A1BF8">
              <w:rPr>
                <w:rFonts w:ascii="Times New Roman" w:eastAsia="Times New Roman" w:hAnsi="Times New Roman" w:cs="Times New Roman"/>
                <w:color w:val="000000"/>
              </w:rPr>
              <w:t xml:space="preserve">Staten Island </w:t>
            </w:r>
          </w:p>
        </w:tc>
        <w:tc>
          <w:tcPr>
            <w:tcW w:w="1181" w:type="dxa"/>
            <w:tcBorders>
              <w:top w:val="nil"/>
              <w:left w:val="nil"/>
              <w:bottom w:val="single" w:sz="4" w:space="0" w:color="auto"/>
              <w:right w:val="single" w:sz="4" w:space="0" w:color="auto"/>
            </w:tcBorders>
            <w:shd w:val="clear" w:color="auto" w:fill="auto"/>
            <w:noWrap/>
            <w:vAlign w:val="bottom"/>
            <w:hideMark/>
          </w:tcPr>
          <w:p w14:paraId="19A59C8F"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25.9</w:t>
            </w:r>
          </w:p>
        </w:tc>
        <w:tc>
          <w:tcPr>
            <w:tcW w:w="1601" w:type="dxa"/>
            <w:tcBorders>
              <w:top w:val="nil"/>
              <w:left w:val="nil"/>
              <w:bottom w:val="single" w:sz="4" w:space="0" w:color="auto"/>
              <w:right w:val="single" w:sz="4" w:space="0" w:color="auto"/>
            </w:tcBorders>
            <w:shd w:val="clear" w:color="auto" w:fill="auto"/>
            <w:noWrap/>
            <w:vAlign w:val="bottom"/>
            <w:hideMark/>
          </w:tcPr>
          <w:p w14:paraId="0173DA9E"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37.9</w:t>
            </w:r>
          </w:p>
        </w:tc>
        <w:tc>
          <w:tcPr>
            <w:tcW w:w="1538" w:type="dxa"/>
            <w:tcBorders>
              <w:top w:val="nil"/>
              <w:left w:val="nil"/>
              <w:bottom w:val="single" w:sz="4" w:space="0" w:color="auto"/>
              <w:right w:val="single" w:sz="4" w:space="0" w:color="auto"/>
            </w:tcBorders>
            <w:shd w:val="clear" w:color="auto" w:fill="auto"/>
            <w:noWrap/>
            <w:vAlign w:val="bottom"/>
            <w:hideMark/>
          </w:tcPr>
          <w:p w14:paraId="54968982"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54.3</w:t>
            </w:r>
          </w:p>
        </w:tc>
        <w:tc>
          <w:tcPr>
            <w:tcW w:w="2182" w:type="dxa"/>
            <w:tcBorders>
              <w:top w:val="nil"/>
              <w:left w:val="nil"/>
              <w:bottom w:val="single" w:sz="4" w:space="0" w:color="auto"/>
              <w:right w:val="single" w:sz="4" w:space="0" w:color="auto"/>
            </w:tcBorders>
            <w:shd w:val="clear" w:color="auto" w:fill="auto"/>
            <w:noWrap/>
            <w:vAlign w:val="bottom"/>
            <w:hideMark/>
          </w:tcPr>
          <w:p w14:paraId="2E261D37"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19.4</w:t>
            </w:r>
          </w:p>
        </w:tc>
        <w:tc>
          <w:tcPr>
            <w:tcW w:w="1780" w:type="dxa"/>
            <w:tcBorders>
              <w:top w:val="nil"/>
              <w:left w:val="nil"/>
              <w:bottom w:val="single" w:sz="4" w:space="0" w:color="auto"/>
              <w:right w:val="single" w:sz="4" w:space="0" w:color="auto"/>
            </w:tcBorders>
            <w:shd w:val="clear" w:color="auto" w:fill="auto"/>
            <w:noWrap/>
            <w:vAlign w:val="bottom"/>
            <w:hideMark/>
          </w:tcPr>
          <w:p w14:paraId="073B95E2"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34.9</w:t>
            </w:r>
          </w:p>
        </w:tc>
      </w:tr>
      <w:tr w:rsidR="003A1BF8" w:rsidRPr="003A1BF8" w14:paraId="3C430A03" w14:textId="77777777" w:rsidTr="0067085F">
        <w:trPr>
          <w:trHeight w:val="300"/>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3BE677B8" w14:textId="77777777" w:rsidR="003A1BF8" w:rsidRPr="003A1BF8" w:rsidRDefault="003A1BF8" w:rsidP="003A1BF8">
            <w:pPr>
              <w:spacing w:after="0" w:line="240" w:lineRule="auto"/>
              <w:rPr>
                <w:rFonts w:ascii="Times New Roman" w:eastAsia="Times New Roman" w:hAnsi="Times New Roman" w:cs="Times New Roman"/>
                <w:color w:val="000000"/>
              </w:rPr>
            </w:pPr>
            <w:r w:rsidRPr="003A1BF8">
              <w:rPr>
                <w:rFonts w:ascii="Times New Roman" w:eastAsia="Times New Roman" w:hAnsi="Times New Roman" w:cs="Times New Roman"/>
                <w:color w:val="000000"/>
              </w:rPr>
              <w:t>Citywide</w:t>
            </w:r>
          </w:p>
        </w:tc>
        <w:tc>
          <w:tcPr>
            <w:tcW w:w="1181" w:type="dxa"/>
            <w:tcBorders>
              <w:top w:val="nil"/>
              <w:left w:val="nil"/>
              <w:bottom w:val="single" w:sz="4" w:space="0" w:color="auto"/>
              <w:right w:val="single" w:sz="4" w:space="0" w:color="auto"/>
            </w:tcBorders>
            <w:shd w:val="clear" w:color="auto" w:fill="auto"/>
            <w:noWrap/>
            <w:vAlign w:val="bottom"/>
            <w:hideMark/>
          </w:tcPr>
          <w:p w14:paraId="138BB21A"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36.8</w:t>
            </w:r>
          </w:p>
        </w:tc>
        <w:tc>
          <w:tcPr>
            <w:tcW w:w="1601" w:type="dxa"/>
            <w:tcBorders>
              <w:top w:val="nil"/>
              <w:left w:val="nil"/>
              <w:bottom w:val="single" w:sz="4" w:space="0" w:color="auto"/>
              <w:right w:val="single" w:sz="4" w:space="0" w:color="auto"/>
            </w:tcBorders>
            <w:shd w:val="clear" w:color="auto" w:fill="auto"/>
            <w:noWrap/>
            <w:vAlign w:val="bottom"/>
            <w:hideMark/>
          </w:tcPr>
          <w:p w14:paraId="713C4444"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40.1</w:t>
            </w:r>
          </w:p>
        </w:tc>
        <w:tc>
          <w:tcPr>
            <w:tcW w:w="1538" w:type="dxa"/>
            <w:tcBorders>
              <w:top w:val="nil"/>
              <w:left w:val="nil"/>
              <w:bottom w:val="single" w:sz="4" w:space="0" w:color="auto"/>
              <w:right w:val="single" w:sz="4" w:space="0" w:color="auto"/>
            </w:tcBorders>
            <w:shd w:val="clear" w:color="auto" w:fill="auto"/>
            <w:noWrap/>
            <w:vAlign w:val="bottom"/>
            <w:hideMark/>
          </w:tcPr>
          <w:p w14:paraId="3013E714"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57.9</w:t>
            </w:r>
          </w:p>
        </w:tc>
        <w:tc>
          <w:tcPr>
            <w:tcW w:w="2182" w:type="dxa"/>
            <w:tcBorders>
              <w:top w:val="nil"/>
              <w:left w:val="nil"/>
              <w:bottom w:val="single" w:sz="4" w:space="0" w:color="auto"/>
              <w:right w:val="single" w:sz="4" w:space="0" w:color="auto"/>
            </w:tcBorders>
            <w:shd w:val="clear" w:color="auto" w:fill="auto"/>
            <w:noWrap/>
            <w:vAlign w:val="bottom"/>
            <w:hideMark/>
          </w:tcPr>
          <w:p w14:paraId="0694C635"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23.5</w:t>
            </w:r>
          </w:p>
        </w:tc>
        <w:tc>
          <w:tcPr>
            <w:tcW w:w="1780" w:type="dxa"/>
            <w:tcBorders>
              <w:top w:val="nil"/>
              <w:left w:val="nil"/>
              <w:bottom w:val="single" w:sz="4" w:space="0" w:color="auto"/>
              <w:right w:val="single" w:sz="4" w:space="0" w:color="auto"/>
            </w:tcBorders>
            <w:shd w:val="clear" w:color="auto" w:fill="auto"/>
            <w:noWrap/>
            <w:vAlign w:val="bottom"/>
            <w:hideMark/>
          </w:tcPr>
          <w:p w14:paraId="14848DDD" w14:textId="77777777" w:rsidR="003A1BF8" w:rsidRPr="003A1BF8" w:rsidRDefault="003A1BF8" w:rsidP="003A1BF8">
            <w:pPr>
              <w:spacing w:after="0" w:line="240" w:lineRule="auto"/>
              <w:jc w:val="center"/>
              <w:rPr>
                <w:rFonts w:ascii="Times New Roman" w:eastAsia="Times New Roman" w:hAnsi="Times New Roman" w:cs="Times New Roman"/>
                <w:color w:val="000000"/>
              </w:rPr>
            </w:pPr>
            <w:r w:rsidRPr="003A1BF8">
              <w:rPr>
                <w:rFonts w:ascii="Times New Roman" w:eastAsia="Times New Roman" w:hAnsi="Times New Roman" w:cs="Times New Roman"/>
                <w:color w:val="000000"/>
              </w:rPr>
              <w:t>34.4</w:t>
            </w:r>
          </w:p>
        </w:tc>
      </w:tr>
    </w:tbl>
    <w:p w14:paraId="7D6B7A2F" w14:textId="3E74399A" w:rsidR="00415374" w:rsidRPr="00097225" w:rsidRDefault="003A1BF8" w:rsidP="0067085F">
      <w:pPr>
        <w:spacing w:after="0" w:line="240" w:lineRule="auto"/>
        <w:rPr>
          <w:rFonts w:ascii="Times New Roman" w:eastAsia="Times New Roman" w:hAnsi="Times New Roman" w:cs="Times New Roman"/>
          <w:noProof/>
          <w:sz w:val="20"/>
          <w:szCs w:val="24"/>
        </w:rPr>
      </w:pPr>
      <w:r>
        <w:rPr>
          <w:rFonts w:ascii="Times New Roman" w:eastAsia="Times New Roman" w:hAnsi="Times New Roman" w:cs="Times New Roman"/>
          <w:noProof/>
          <w:sz w:val="20"/>
          <w:szCs w:val="24"/>
        </w:rPr>
        <w:t>S</w:t>
      </w:r>
      <w:r w:rsidR="00415374" w:rsidRPr="00097225">
        <w:rPr>
          <w:rFonts w:ascii="Times New Roman" w:eastAsia="Times New Roman" w:hAnsi="Times New Roman" w:cs="Times New Roman"/>
          <w:noProof/>
          <w:sz w:val="20"/>
          <w:szCs w:val="24"/>
        </w:rPr>
        <w:t>ource: Office of the Comptroller, Observations of Building Doors in NYCHA Developments, September 20,2022</w:t>
      </w:r>
      <w:r w:rsidR="00415374" w:rsidRPr="00097225">
        <w:rPr>
          <w:rStyle w:val="FootnoteReference"/>
          <w:rFonts w:ascii="Times New Roman" w:eastAsia="Times New Roman" w:hAnsi="Times New Roman" w:cs="Times New Roman"/>
          <w:noProof/>
          <w:sz w:val="20"/>
          <w:szCs w:val="24"/>
        </w:rPr>
        <w:footnoteReference w:id="82"/>
      </w:r>
      <w:r w:rsidR="00415374" w:rsidRPr="00097225">
        <w:rPr>
          <w:rFonts w:ascii="Times New Roman" w:eastAsia="Times New Roman" w:hAnsi="Times New Roman" w:cs="Times New Roman"/>
          <w:noProof/>
          <w:sz w:val="20"/>
          <w:szCs w:val="24"/>
        </w:rPr>
        <w:t xml:space="preserve"> </w:t>
      </w:r>
    </w:p>
    <w:p w14:paraId="154A7CD6" w14:textId="77777777" w:rsidR="003A1BF8" w:rsidRDefault="003A1BF8" w:rsidP="00097225">
      <w:pPr>
        <w:spacing w:after="0" w:line="480" w:lineRule="auto"/>
        <w:ind w:firstLine="720"/>
        <w:jc w:val="both"/>
        <w:rPr>
          <w:rFonts w:ascii="Times New Roman" w:eastAsia="Times New Roman" w:hAnsi="Times New Roman" w:cs="Times New Roman"/>
          <w:sz w:val="24"/>
          <w:szCs w:val="24"/>
        </w:rPr>
      </w:pPr>
    </w:p>
    <w:p w14:paraId="41CDD9ED" w14:textId="5FAEF903" w:rsidR="00415374" w:rsidRPr="009A0E19" w:rsidRDefault="00415374" w:rsidP="00097225">
      <w:pPr>
        <w:spacing w:after="0" w:line="480" w:lineRule="auto"/>
        <w:ind w:firstLine="720"/>
        <w:jc w:val="both"/>
        <w:rPr>
          <w:rFonts w:ascii="Times New Roman" w:eastAsia="Times New Roman" w:hAnsi="Times New Roman" w:cs="Times New Roman"/>
          <w:noProof/>
          <w:sz w:val="24"/>
          <w:szCs w:val="24"/>
        </w:rPr>
      </w:pPr>
      <w:r>
        <w:rPr>
          <w:rFonts w:ascii="Times New Roman" w:eastAsia="Times New Roman" w:hAnsi="Times New Roman" w:cs="Times New Roman"/>
          <w:sz w:val="24"/>
          <w:szCs w:val="24"/>
        </w:rPr>
        <w:t>T</w:t>
      </w:r>
      <w:r w:rsidR="00F55734">
        <w:rPr>
          <w:rFonts w:ascii="Times New Roman" w:eastAsia="Times New Roman" w:hAnsi="Times New Roman" w:cs="Times New Roman"/>
          <w:sz w:val="24"/>
          <w:szCs w:val="24"/>
        </w:rPr>
        <w:t xml:space="preserve">able A </w:t>
      </w:r>
      <w:r>
        <w:rPr>
          <w:rFonts w:ascii="Times New Roman" w:eastAsia="Times New Roman" w:hAnsi="Times New Roman" w:cs="Times New Roman"/>
          <w:sz w:val="24"/>
          <w:szCs w:val="24"/>
        </w:rPr>
        <w:t>above</w:t>
      </w:r>
      <w:r w:rsidRPr="009A0E19">
        <w:rPr>
          <w:rFonts w:ascii="Times New Roman" w:eastAsia="Times New Roman" w:hAnsi="Times New Roman" w:cs="Times New Roman"/>
          <w:sz w:val="24"/>
          <w:szCs w:val="24"/>
        </w:rPr>
        <w:t xml:space="preserve"> shows </w:t>
      </w:r>
      <w:r w:rsidR="00F71A99">
        <w:rPr>
          <w:rFonts w:ascii="Times New Roman" w:eastAsia="Times New Roman" w:hAnsi="Times New Roman" w:cs="Times New Roman"/>
          <w:sz w:val="24"/>
          <w:szCs w:val="24"/>
        </w:rPr>
        <w:t>increases in unsecured entrance doors in all five boroughs. I</w:t>
      </w:r>
      <w:r w:rsidRPr="009A0E19">
        <w:rPr>
          <w:rFonts w:ascii="Times New Roman" w:eastAsia="Times New Roman" w:hAnsi="Times New Roman" w:cs="Times New Roman"/>
          <w:sz w:val="24"/>
          <w:szCs w:val="24"/>
        </w:rPr>
        <w:t>n the Bronx, the percentage of unsecured doors increased from 24.9% in 2018 to 63.5% in 2022.</w:t>
      </w:r>
      <w:r w:rsidRPr="009A0E19">
        <w:rPr>
          <w:rStyle w:val="FootnoteReference"/>
          <w:rFonts w:ascii="Times New Roman" w:eastAsia="Times New Roman" w:hAnsi="Times New Roman" w:cs="Times New Roman"/>
          <w:sz w:val="24"/>
          <w:szCs w:val="24"/>
        </w:rPr>
        <w:footnoteReference w:id="83"/>
      </w:r>
      <w:r w:rsidRPr="009A0E19">
        <w:rPr>
          <w:rFonts w:ascii="Times New Roman" w:eastAsia="Times New Roman" w:hAnsi="Times New Roman" w:cs="Times New Roman"/>
          <w:sz w:val="24"/>
          <w:szCs w:val="24"/>
        </w:rPr>
        <w:t xml:space="preserve"> Similarly, Brooklyn witnessed a substantial increase from 17% to 66%.</w:t>
      </w:r>
      <w:r w:rsidRPr="009A0E19">
        <w:rPr>
          <w:rStyle w:val="FootnoteReference"/>
          <w:rFonts w:ascii="Times New Roman" w:eastAsia="Times New Roman" w:hAnsi="Times New Roman" w:cs="Times New Roman"/>
          <w:sz w:val="24"/>
          <w:szCs w:val="24"/>
        </w:rPr>
        <w:footnoteReference w:id="84"/>
      </w:r>
      <w:r w:rsidRPr="009A0E19">
        <w:rPr>
          <w:rFonts w:ascii="Times New Roman" w:eastAsia="Times New Roman" w:hAnsi="Times New Roman" w:cs="Times New Roman"/>
          <w:sz w:val="24"/>
          <w:szCs w:val="24"/>
        </w:rPr>
        <w:t xml:space="preserve"> </w:t>
      </w:r>
      <w:r w:rsidR="00F71A99" w:rsidRPr="009A0E19">
        <w:rPr>
          <w:rFonts w:ascii="Times New Roman" w:eastAsia="Times New Roman" w:hAnsi="Times New Roman" w:cs="Times New Roman"/>
          <w:sz w:val="24"/>
          <w:szCs w:val="24"/>
        </w:rPr>
        <w:t>Queens</w:t>
      </w:r>
      <w:r w:rsidR="00F71A99">
        <w:rPr>
          <w:rFonts w:ascii="Times New Roman" w:eastAsia="Times New Roman" w:hAnsi="Times New Roman" w:cs="Times New Roman"/>
          <w:sz w:val="24"/>
          <w:szCs w:val="24"/>
        </w:rPr>
        <w:t xml:space="preserve"> and Staten Island saw substantial increase</w:t>
      </w:r>
      <w:r w:rsidR="003251E5">
        <w:rPr>
          <w:rFonts w:ascii="Times New Roman" w:eastAsia="Times New Roman" w:hAnsi="Times New Roman" w:cs="Times New Roman"/>
          <w:sz w:val="24"/>
          <w:szCs w:val="24"/>
        </w:rPr>
        <w:t>s</w:t>
      </w:r>
      <w:r w:rsidR="00F71A99">
        <w:rPr>
          <w:rFonts w:ascii="Times New Roman" w:eastAsia="Times New Roman" w:hAnsi="Times New Roman" w:cs="Times New Roman"/>
          <w:sz w:val="24"/>
          <w:szCs w:val="24"/>
        </w:rPr>
        <w:t xml:space="preserve"> as well</w:t>
      </w:r>
      <w:r w:rsidR="003251E5">
        <w:rPr>
          <w:rFonts w:ascii="Times New Roman" w:eastAsia="Times New Roman" w:hAnsi="Times New Roman" w:cs="Times New Roman"/>
          <w:sz w:val="24"/>
          <w:szCs w:val="24"/>
        </w:rPr>
        <w:t>,</w:t>
      </w:r>
      <w:r w:rsidR="00F71A99" w:rsidRPr="009A0E19">
        <w:rPr>
          <w:rFonts w:ascii="Times New Roman" w:eastAsia="Times New Roman" w:hAnsi="Times New Roman" w:cs="Times New Roman"/>
          <w:sz w:val="24"/>
          <w:szCs w:val="24"/>
        </w:rPr>
        <w:t xml:space="preserve"> </w:t>
      </w:r>
      <w:r w:rsidR="00F71A99">
        <w:rPr>
          <w:rFonts w:ascii="Times New Roman" w:eastAsia="Times New Roman" w:hAnsi="Times New Roman" w:cs="Times New Roman"/>
          <w:sz w:val="24"/>
          <w:szCs w:val="24"/>
        </w:rPr>
        <w:t xml:space="preserve">going </w:t>
      </w:r>
      <w:r w:rsidR="00F71A99" w:rsidRPr="009A0E19">
        <w:rPr>
          <w:rFonts w:ascii="Times New Roman" w:eastAsia="Times New Roman" w:hAnsi="Times New Roman" w:cs="Times New Roman"/>
          <w:sz w:val="24"/>
          <w:szCs w:val="24"/>
        </w:rPr>
        <w:t>from 18.5% to 46.6</w:t>
      </w:r>
      <w:r w:rsidR="00F71A99">
        <w:rPr>
          <w:rFonts w:ascii="Times New Roman" w:eastAsia="Times New Roman" w:hAnsi="Times New Roman" w:cs="Times New Roman"/>
          <w:sz w:val="24"/>
          <w:szCs w:val="24"/>
        </w:rPr>
        <w:t xml:space="preserve"> and from</w:t>
      </w:r>
      <w:r w:rsidR="00F71A99" w:rsidRPr="009A0E19">
        <w:rPr>
          <w:rFonts w:ascii="Times New Roman" w:eastAsia="Times New Roman" w:hAnsi="Times New Roman" w:cs="Times New Roman"/>
          <w:sz w:val="24"/>
          <w:szCs w:val="24"/>
        </w:rPr>
        <w:t xml:space="preserve"> 19.4% to 54.3%</w:t>
      </w:r>
      <w:r w:rsidR="00F71A99">
        <w:rPr>
          <w:rFonts w:ascii="Times New Roman" w:eastAsia="Times New Roman" w:hAnsi="Times New Roman" w:cs="Times New Roman"/>
          <w:sz w:val="24"/>
          <w:szCs w:val="24"/>
        </w:rPr>
        <w:t xml:space="preserve">, </w:t>
      </w:r>
      <w:r w:rsidR="003251E5">
        <w:rPr>
          <w:rFonts w:ascii="Times New Roman" w:eastAsia="Times New Roman" w:hAnsi="Times New Roman" w:cs="Times New Roman"/>
          <w:sz w:val="24"/>
          <w:szCs w:val="24"/>
        </w:rPr>
        <w:t>respectively</w:t>
      </w:r>
      <w:r w:rsidR="00F71A99" w:rsidRPr="009A0E19">
        <w:rPr>
          <w:rFonts w:ascii="Times New Roman" w:eastAsia="Times New Roman" w:hAnsi="Times New Roman" w:cs="Times New Roman"/>
          <w:sz w:val="24"/>
          <w:szCs w:val="24"/>
        </w:rPr>
        <w:t xml:space="preserve">. </w:t>
      </w:r>
      <w:r w:rsidRPr="009A0E19">
        <w:rPr>
          <w:rFonts w:ascii="Times New Roman" w:eastAsia="Times New Roman" w:hAnsi="Times New Roman" w:cs="Times New Roman"/>
          <w:sz w:val="24"/>
          <w:szCs w:val="24"/>
        </w:rPr>
        <w:t xml:space="preserve">Manhattan experienced a comparatively smaller increase, rising from 38.1% to 47.3%. </w:t>
      </w:r>
      <w:r w:rsidR="00F71A99">
        <w:rPr>
          <w:rFonts w:ascii="Times New Roman" w:eastAsia="Times New Roman" w:hAnsi="Times New Roman" w:cs="Times New Roman"/>
          <w:sz w:val="24"/>
          <w:szCs w:val="24"/>
        </w:rPr>
        <w:t>Altogether</w:t>
      </w:r>
      <w:r w:rsidR="003251E5">
        <w:rPr>
          <w:rFonts w:ascii="Times New Roman" w:eastAsia="Times New Roman" w:hAnsi="Times New Roman" w:cs="Times New Roman"/>
          <w:sz w:val="24"/>
          <w:szCs w:val="24"/>
        </w:rPr>
        <w:t>,</w:t>
      </w:r>
      <w:r w:rsidRPr="009A0E19">
        <w:rPr>
          <w:rFonts w:ascii="Times New Roman" w:eastAsia="Times New Roman" w:hAnsi="Times New Roman" w:cs="Times New Roman"/>
          <w:sz w:val="24"/>
          <w:szCs w:val="24"/>
        </w:rPr>
        <w:t xml:space="preserve"> there was an overall </w:t>
      </w:r>
      <w:r w:rsidR="007B5B75">
        <w:rPr>
          <w:rFonts w:ascii="Times New Roman" w:eastAsia="Times New Roman" w:hAnsi="Times New Roman" w:cs="Times New Roman"/>
          <w:sz w:val="24"/>
          <w:szCs w:val="24"/>
        </w:rPr>
        <w:t xml:space="preserve">citywide </w:t>
      </w:r>
      <w:r w:rsidRPr="009A0E19">
        <w:rPr>
          <w:rFonts w:ascii="Times New Roman" w:eastAsia="Times New Roman" w:hAnsi="Times New Roman" w:cs="Times New Roman"/>
          <w:sz w:val="24"/>
          <w:szCs w:val="24"/>
        </w:rPr>
        <w:t>increase in the percentage of unsecured doors from 23.5% in 2018 to 57.9% in 2022.</w:t>
      </w:r>
      <w:r w:rsidRPr="009A0E19">
        <w:rPr>
          <w:rStyle w:val="FootnoteReference"/>
          <w:rFonts w:ascii="Times New Roman" w:eastAsia="Times New Roman" w:hAnsi="Times New Roman" w:cs="Times New Roman"/>
          <w:sz w:val="24"/>
          <w:szCs w:val="24"/>
        </w:rPr>
        <w:footnoteReference w:id="85"/>
      </w:r>
      <w:r w:rsidR="00E835DF">
        <w:rPr>
          <w:rFonts w:ascii="Times New Roman" w:eastAsia="Times New Roman" w:hAnsi="Times New Roman" w:cs="Times New Roman"/>
          <w:sz w:val="24"/>
          <w:szCs w:val="24"/>
        </w:rPr>
        <w:t xml:space="preserve"> </w:t>
      </w:r>
      <w:r w:rsidR="00097225" w:rsidRPr="6B0B5D1A">
        <w:rPr>
          <w:rFonts w:ascii="Times New Roman" w:eastAsia="Times New Roman" w:hAnsi="Times New Roman" w:cs="Times New Roman"/>
          <w:sz w:val="24"/>
          <w:szCs w:val="24"/>
        </w:rPr>
        <w:t>Th</w:t>
      </w:r>
      <w:r w:rsidR="72C415C9" w:rsidRPr="6B0B5D1A">
        <w:rPr>
          <w:rFonts w:ascii="Times New Roman" w:eastAsia="Times New Roman" w:hAnsi="Times New Roman" w:cs="Times New Roman"/>
          <w:sz w:val="24"/>
          <w:szCs w:val="24"/>
        </w:rPr>
        <w:t>is</w:t>
      </w:r>
      <w:r w:rsidR="00F90087">
        <w:rPr>
          <w:rFonts w:ascii="Times New Roman" w:eastAsia="Times New Roman" w:hAnsi="Times New Roman" w:cs="Times New Roman"/>
          <w:sz w:val="24"/>
          <w:szCs w:val="24"/>
        </w:rPr>
        <w:t xml:space="preserve"> </w:t>
      </w:r>
      <w:r w:rsidR="00097225">
        <w:rPr>
          <w:rFonts w:ascii="Times New Roman" w:eastAsia="Times New Roman" w:hAnsi="Times New Roman" w:cs="Times New Roman"/>
          <w:sz w:val="24"/>
          <w:szCs w:val="24"/>
        </w:rPr>
        <w:t xml:space="preserve">increase </w:t>
      </w:r>
      <w:r w:rsidR="00097225" w:rsidRPr="2A8BECF6">
        <w:rPr>
          <w:rFonts w:ascii="Times New Roman" w:eastAsia="Times New Roman" w:hAnsi="Times New Roman" w:cs="Times New Roman"/>
          <w:sz w:val="24"/>
          <w:szCs w:val="24"/>
        </w:rPr>
        <w:t>show</w:t>
      </w:r>
      <w:r w:rsidR="43DEAC2B" w:rsidRPr="2A8BECF6">
        <w:rPr>
          <w:rFonts w:ascii="Times New Roman" w:eastAsia="Times New Roman" w:hAnsi="Times New Roman" w:cs="Times New Roman"/>
          <w:sz w:val="24"/>
          <w:szCs w:val="24"/>
        </w:rPr>
        <w:t>s</w:t>
      </w:r>
      <w:r w:rsidR="00097225">
        <w:rPr>
          <w:rFonts w:ascii="Times New Roman" w:eastAsia="Times New Roman" w:hAnsi="Times New Roman" w:cs="Times New Roman"/>
          <w:sz w:val="24"/>
          <w:szCs w:val="24"/>
        </w:rPr>
        <w:t xml:space="preserve"> the continued </w:t>
      </w:r>
      <w:r w:rsidR="00097225" w:rsidRPr="6B0B5D1A">
        <w:rPr>
          <w:rFonts w:ascii="Times New Roman" w:eastAsia="Times New Roman" w:hAnsi="Times New Roman" w:cs="Times New Roman"/>
          <w:sz w:val="24"/>
          <w:szCs w:val="24"/>
        </w:rPr>
        <w:t>issue</w:t>
      </w:r>
      <w:r w:rsidR="46E0FCD3" w:rsidRPr="6B0B5D1A">
        <w:rPr>
          <w:rFonts w:ascii="Times New Roman" w:eastAsia="Times New Roman" w:hAnsi="Times New Roman" w:cs="Times New Roman"/>
          <w:sz w:val="24"/>
          <w:szCs w:val="24"/>
        </w:rPr>
        <w:t>s</w:t>
      </w:r>
      <w:r w:rsidR="00097225">
        <w:rPr>
          <w:rFonts w:ascii="Times New Roman" w:eastAsia="Times New Roman" w:hAnsi="Times New Roman" w:cs="Times New Roman"/>
          <w:sz w:val="24"/>
          <w:szCs w:val="24"/>
        </w:rPr>
        <w:t xml:space="preserve"> with NYCHA </w:t>
      </w:r>
      <w:r w:rsidR="00097225" w:rsidRPr="5D3BA7D0">
        <w:rPr>
          <w:rFonts w:ascii="Times New Roman" w:eastAsia="Times New Roman" w:hAnsi="Times New Roman" w:cs="Times New Roman"/>
          <w:sz w:val="24"/>
          <w:szCs w:val="24"/>
        </w:rPr>
        <w:t>door</w:t>
      </w:r>
      <w:r w:rsidR="1FCBC99B" w:rsidRPr="5D3BA7D0">
        <w:rPr>
          <w:rFonts w:ascii="Times New Roman" w:eastAsia="Times New Roman" w:hAnsi="Times New Roman" w:cs="Times New Roman"/>
          <w:sz w:val="24"/>
          <w:szCs w:val="24"/>
        </w:rPr>
        <w:t>s</w:t>
      </w:r>
      <w:r w:rsidR="00097225">
        <w:rPr>
          <w:rFonts w:ascii="Times New Roman" w:eastAsia="Times New Roman" w:hAnsi="Times New Roman" w:cs="Times New Roman"/>
          <w:sz w:val="24"/>
          <w:szCs w:val="24"/>
        </w:rPr>
        <w:t xml:space="preserve"> and locks has not been </w:t>
      </w:r>
      <w:r w:rsidR="00793A93">
        <w:rPr>
          <w:rFonts w:ascii="Times New Roman" w:eastAsia="Times New Roman" w:hAnsi="Times New Roman" w:cs="Times New Roman"/>
          <w:sz w:val="24"/>
          <w:szCs w:val="24"/>
        </w:rPr>
        <w:t>fully</w:t>
      </w:r>
      <w:r w:rsidR="00097225">
        <w:rPr>
          <w:rFonts w:ascii="Times New Roman" w:eastAsia="Times New Roman" w:hAnsi="Times New Roman" w:cs="Times New Roman"/>
          <w:sz w:val="24"/>
          <w:szCs w:val="24"/>
        </w:rPr>
        <w:t xml:space="preserve"> corrected, </w:t>
      </w:r>
      <w:r w:rsidR="314E29E8" w:rsidRPr="465C14AD">
        <w:rPr>
          <w:rFonts w:ascii="Times New Roman" w:eastAsia="Times New Roman" w:hAnsi="Times New Roman" w:cs="Times New Roman"/>
          <w:sz w:val="24"/>
          <w:szCs w:val="24"/>
        </w:rPr>
        <w:t xml:space="preserve">and </w:t>
      </w:r>
      <w:r w:rsidR="314E29E8" w:rsidRPr="3191CE40">
        <w:rPr>
          <w:rFonts w:ascii="Times New Roman" w:eastAsia="Times New Roman" w:hAnsi="Times New Roman" w:cs="Times New Roman"/>
          <w:sz w:val="24"/>
          <w:szCs w:val="24"/>
        </w:rPr>
        <w:t>instead</w:t>
      </w:r>
      <w:r w:rsidR="00097225">
        <w:rPr>
          <w:rFonts w:ascii="Times New Roman" w:eastAsia="Times New Roman" w:hAnsi="Times New Roman" w:cs="Times New Roman"/>
          <w:sz w:val="24"/>
          <w:szCs w:val="24"/>
        </w:rPr>
        <w:t xml:space="preserve"> has</w:t>
      </w:r>
      <w:r w:rsidR="003251E5">
        <w:rPr>
          <w:rFonts w:ascii="Times New Roman" w:eastAsia="Times New Roman" w:hAnsi="Times New Roman" w:cs="Times New Roman"/>
          <w:sz w:val="24"/>
          <w:szCs w:val="24"/>
        </w:rPr>
        <w:t xml:space="preserve"> seemingly</w:t>
      </w:r>
      <w:r w:rsidR="00097225">
        <w:rPr>
          <w:rFonts w:ascii="Times New Roman" w:eastAsia="Times New Roman" w:hAnsi="Times New Roman" w:cs="Times New Roman"/>
          <w:sz w:val="24"/>
          <w:szCs w:val="24"/>
        </w:rPr>
        <w:t xml:space="preserve"> grown since the imposition of the monitor. </w:t>
      </w:r>
    </w:p>
    <w:p w14:paraId="5E99EA10" w14:textId="77777777" w:rsidR="00526D3A" w:rsidRPr="009A0E19" w:rsidRDefault="00526D3A" w:rsidP="00097225">
      <w:pPr>
        <w:spacing w:after="0" w:line="480" w:lineRule="auto"/>
        <w:ind w:firstLine="720"/>
        <w:jc w:val="both"/>
        <w:rPr>
          <w:rFonts w:ascii="Times New Roman" w:eastAsia="Times New Roman" w:hAnsi="Times New Roman" w:cs="Times New Roman"/>
          <w:noProof/>
          <w:sz w:val="24"/>
          <w:szCs w:val="24"/>
        </w:rPr>
      </w:pPr>
    </w:p>
    <w:p w14:paraId="53E74469" w14:textId="0615D59C" w:rsidR="009A0E19" w:rsidRPr="00067819" w:rsidRDefault="009A0E19" w:rsidP="00EB0FE0">
      <w:pPr>
        <w:spacing w:line="480" w:lineRule="auto"/>
        <w:ind w:firstLine="720"/>
        <w:contextualSpacing/>
        <w:jc w:val="both"/>
        <w:rPr>
          <w:rFonts w:ascii="Times New Roman" w:hAnsi="Times New Roman" w:cs="Times New Roman"/>
          <w:i/>
          <w:sz w:val="24"/>
          <w:szCs w:val="24"/>
        </w:rPr>
      </w:pPr>
      <w:r w:rsidRPr="00067819">
        <w:rPr>
          <w:rFonts w:ascii="Times New Roman" w:hAnsi="Times New Roman" w:cs="Times New Roman"/>
          <w:i/>
          <w:sz w:val="24"/>
          <w:szCs w:val="24"/>
        </w:rPr>
        <w:t>Public Safety in NYCHA Senior Buildings</w:t>
      </w:r>
    </w:p>
    <w:p w14:paraId="6A38403E" w14:textId="10B8E789" w:rsidR="009A0E19" w:rsidRPr="009A0E19" w:rsidRDefault="009A0E19" w:rsidP="00EB0FE0">
      <w:pPr>
        <w:spacing w:line="480" w:lineRule="auto"/>
        <w:ind w:firstLine="720"/>
        <w:contextualSpacing/>
        <w:jc w:val="both"/>
        <w:rPr>
          <w:rFonts w:ascii="Times New Roman" w:hAnsi="Times New Roman" w:cs="Times New Roman"/>
          <w:sz w:val="24"/>
          <w:szCs w:val="24"/>
        </w:rPr>
      </w:pPr>
      <w:r w:rsidRPr="009A0E19">
        <w:rPr>
          <w:rFonts w:ascii="Times New Roman" w:hAnsi="Times New Roman" w:cs="Times New Roman"/>
          <w:sz w:val="24"/>
          <w:szCs w:val="24"/>
        </w:rPr>
        <w:t xml:space="preserve">NYCHA serves a substantial population of </w:t>
      </w:r>
      <w:r w:rsidR="00D2616A">
        <w:rPr>
          <w:rFonts w:ascii="Times New Roman" w:hAnsi="Times New Roman" w:cs="Times New Roman"/>
          <w:sz w:val="24"/>
          <w:szCs w:val="24"/>
        </w:rPr>
        <w:t>older adult</w:t>
      </w:r>
      <w:r w:rsidR="00D2616A" w:rsidRPr="009A0E19">
        <w:rPr>
          <w:rFonts w:ascii="Times New Roman" w:hAnsi="Times New Roman" w:cs="Times New Roman"/>
          <w:sz w:val="24"/>
          <w:szCs w:val="24"/>
        </w:rPr>
        <w:t xml:space="preserve"> </w:t>
      </w:r>
      <w:r w:rsidRPr="009A0E19">
        <w:rPr>
          <w:rFonts w:ascii="Times New Roman" w:hAnsi="Times New Roman" w:cs="Times New Roman"/>
          <w:sz w:val="24"/>
          <w:szCs w:val="24"/>
        </w:rPr>
        <w:t xml:space="preserve">residents, </w:t>
      </w:r>
      <w:r w:rsidR="0029321E">
        <w:rPr>
          <w:rFonts w:ascii="Times New Roman" w:hAnsi="Times New Roman" w:cs="Times New Roman"/>
          <w:sz w:val="24"/>
          <w:szCs w:val="24"/>
        </w:rPr>
        <w:t>who live</w:t>
      </w:r>
      <w:r w:rsidR="0029321E" w:rsidRPr="009A0E19">
        <w:rPr>
          <w:rFonts w:ascii="Times New Roman" w:hAnsi="Times New Roman" w:cs="Times New Roman"/>
          <w:sz w:val="24"/>
          <w:szCs w:val="24"/>
        </w:rPr>
        <w:t xml:space="preserve"> </w:t>
      </w:r>
      <w:r w:rsidRPr="009A0E19">
        <w:rPr>
          <w:rFonts w:ascii="Times New Roman" w:hAnsi="Times New Roman" w:cs="Times New Roman"/>
          <w:sz w:val="24"/>
          <w:szCs w:val="24"/>
        </w:rPr>
        <w:t>across NYCHA’s portfolio in regular developments</w:t>
      </w:r>
      <w:r w:rsidR="0029321E">
        <w:rPr>
          <w:rFonts w:ascii="Times New Roman" w:hAnsi="Times New Roman" w:cs="Times New Roman"/>
          <w:sz w:val="24"/>
          <w:szCs w:val="24"/>
        </w:rPr>
        <w:t>,</w:t>
      </w:r>
      <w:r w:rsidRPr="009A0E19">
        <w:rPr>
          <w:rFonts w:ascii="Times New Roman" w:hAnsi="Times New Roman" w:cs="Times New Roman"/>
          <w:sz w:val="24"/>
          <w:szCs w:val="24"/>
        </w:rPr>
        <w:t xml:space="preserve"> as well as seniors-only developments and buildings that only allow residents aged 62 years and older.</w:t>
      </w:r>
      <w:r w:rsidRPr="009A0E19">
        <w:rPr>
          <w:rStyle w:val="FootnoteReference"/>
          <w:rFonts w:ascii="Times New Roman" w:hAnsi="Times New Roman" w:cs="Times New Roman"/>
          <w:sz w:val="24"/>
          <w:szCs w:val="24"/>
        </w:rPr>
        <w:footnoteReference w:id="86"/>
      </w:r>
      <w:r w:rsidRPr="009A0E19">
        <w:rPr>
          <w:rFonts w:ascii="Times New Roman" w:hAnsi="Times New Roman" w:cs="Times New Roman"/>
          <w:sz w:val="24"/>
          <w:szCs w:val="24"/>
        </w:rPr>
        <w:t xml:space="preserve"> As of </w:t>
      </w:r>
      <w:r w:rsidR="007B5B75">
        <w:rPr>
          <w:rFonts w:ascii="Times New Roman" w:hAnsi="Times New Roman" w:cs="Times New Roman"/>
          <w:sz w:val="24"/>
          <w:szCs w:val="24"/>
        </w:rPr>
        <w:t>April</w:t>
      </w:r>
      <w:r w:rsidRPr="009A0E19">
        <w:rPr>
          <w:rFonts w:ascii="Times New Roman" w:hAnsi="Times New Roman" w:cs="Times New Roman"/>
          <w:sz w:val="24"/>
          <w:szCs w:val="24"/>
        </w:rPr>
        <w:t xml:space="preserve"> 2023, NYCHA lists 36 seniors-only developments (</w:t>
      </w:r>
      <w:r w:rsidR="004243C3">
        <w:rPr>
          <w:rFonts w:ascii="Times New Roman" w:hAnsi="Times New Roman" w:cs="Times New Roman"/>
          <w:sz w:val="24"/>
          <w:szCs w:val="24"/>
        </w:rPr>
        <w:t xml:space="preserve">totaling </w:t>
      </w:r>
      <w:r w:rsidRPr="009A0E19">
        <w:rPr>
          <w:rFonts w:ascii="Times New Roman" w:hAnsi="Times New Roman" w:cs="Times New Roman"/>
          <w:sz w:val="24"/>
          <w:szCs w:val="24"/>
        </w:rPr>
        <w:t>54 buildings) and 11 seniors-only buildings as part of their portfolio, with 23.6</w:t>
      </w:r>
      <w:r w:rsidR="00E835DF">
        <w:rPr>
          <w:rFonts w:ascii="Times New Roman" w:hAnsi="Times New Roman" w:cs="Times New Roman"/>
          <w:sz w:val="24"/>
          <w:szCs w:val="24"/>
        </w:rPr>
        <w:t>%</w:t>
      </w:r>
      <w:r w:rsidRPr="009A0E19">
        <w:rPr>
          <w:rFonts w:ascii="Times New Roman" w:hAnsi="Times New Roman" w:cs="Times New Roman"/>
          <w:sz w:val="24"/>
          <w:szCs w:val="24"/>
        </w:rPr>
        <w:t xml:space="preserve"> of NYCHA’s whole population, or 77,801 authorized residents, aged 62 or older</w:t>
      </w:r>
      <w:r w:rsidR="004243C3">
        <w:rPr>
          <w:rFonts w:ascii="Times New Roman" w:hAnsi="Times New Roman" w:cs="Times New Roman"/>
          <w:sz w:val="24"/>
          <w:szCs w:val="24"/>
        </w:rPr>
        <w:t>,</w:t>
      </w:r>
      <w:r w:rsidRPr="009A0E19">
        <w:rPr>
          <w:rFonts w:ascii="Times New Roman" w:hAnsi="Times New Roman" w:cs="Times New Roman"/>
          <w:sz w:val="24"/>
          <w:szCs w:val="24"/>
        </w:rPr>
        <w:t xml:space="preserve"> as of March 2022.</w:t>
      </w:r>
      <w:r w:rsidRPr="009A0E19">
        <w:rPr>
          <w:rStyle w:val="FootnoteReference"/>
          <w:rFonts w:ascii="Times New Roman" w:hAnsi="Times New Roman" w:cs="Times New Roman"/>
          <w:sz w:val="24"/>
          <w:szCs w:val="24"/>
        </w:rPr>
        <w:footnoteReference w:id="87"/>
      </w:r>
      <w:r w:rsidRPr="009A0E19">
        <w:rPr>
          <w:rFonts w:ascii="Times New Roman" w:hAnsi="Times New Roman" w:cs="Times New Roman"/>
          <w:sz w:val="24"/>
          <w:szCs w:val="24"/>
        </w:rPr>
        <w:t xml:space="preserve"> NYCHA has a number of programs focused on supporting their </w:t>
      </w:r>
      <w:r w:rsidR="00FC7B5E">
        <w:rPr>
          <w:rFonts w:ascii="Times New Roman" w:hAnsi="Times New Roman" w:cs="Times New Roman"/>
          <w:sz w:val="24"/>
          <w:szCs w:val="24"/>
        </w:rPr>
        <w:t>older adult</w:t>
      </w:r>
      <w:r w:rsidR="00FC7B5E" w:rsidRPr="009A0E19">
        <w:rPr>
          <w:rFonts w:ascii="Times New Roman" w:hAnsi="Times New Roman" w:cs="Times New Roman"/>
          <w:sz w:val="24"/>
          <w:szCs w:val="24"/>
        </w:rPr>
        <w:t xml:space="preserve"> </w:t>
      </w:r>
      <w:r w:rsidRPr="009A0E19">
        <w:rPr>
          <w:rFonts w:ascii="Times New Roman" w:hAnsi="Times New Roman" w:cs="Times New Roman"/>
          <w:sz w:val="24"/>
          <w:szCs w:val="24"/>
        </w:rPr>
        <w:t>population in a variety of ways, such as food delivery, social connection, medical assistance, recreational opportunities, and more.</w:t>
      </w:r>
      <w:r w:rsidRPr="009A0E19">
        <w:rPr>
          <w:rStyle w:val="FootnoteReference"/>
          <w:rFonts w:ascii="Times New Roman" w:hAnsi="Times New Roman" w:cs="Times New Roman"/>
          <w:sz w:val="24"/>
          <w:szCs w:val="24"/>
        </w:rPr>
        <w:footnoteReference w:id="88"/>
      </w:r>
      <w:r w:rsidRPr="009A0E19">
        <w:rPr>
          <w:rFonts w:ascii="Times New Roman" w:hAnsi="Times New Roman" w:cs="Times New Roman"/>
          <w:sz w:val="24"/>
          <w:szCs w:val="24"/>
        </w:rPr>
        <w:t xml:space="preserve"> One of these programs is the Elderly Safe at Home program (“ESAH”), which focuses on public safety for </w:t>
      </w:r>
      <w:r w:rsidR="000E6FD3">
        <w:rPr>
          <w:rFonts w:ascii="Times New Roman" w:hAnsi="Times New Roman" w:cs="Times New Roman"/>
          <w:sz w:val="24"/>
          <w:szCs w:val="24"/>
        </w:rPr>
        <w:t>older adults</w:t>
      </w:r>
      <w:r w:rsidR="000E6FD3" w:rsidRPr="009A0E19">
        <w:rPr>
          <w:rFonts w:ascii="Times New Roman" w:hAnsi="Times New Roman" w:cs="Times New Roman"/>
          <w:sz w:val="24"/>
          <w:szCs w:val="24"/>
        </w:rPr>
        <w:t xml:space="preserve"> </w:t>
      </w:r>
      <w:r w:rsidRPr="009A0E19">
        <w:rPr>
          <w:rFonts w:ascii="Times New Roman" w:hAnsi="Times New Roman" w:cs="Times New Roman"/>
          <w:sz w:val="24"/>
          <w:szCs w:val="24"/>
        </w:rPr>
        <w:t>and physically disabled residents, consisting of monthly crime prevention and social service assistance workshops led by law enforcement personnel and victims’ services organizations.</w:t>
      </w:r>
      <w:r w:rsidRPr="009A0E19">
        <w:rPr>
          <w:rStyle w:val="FootnoteReference"/>
          <w:rFonts w:ascii="Times New Roman" w:hAnsi="Times New Roman" w:cs="Times New Roman"/>
          <w:sz w:val="24"/>
          <w:szCs w:val="24"/>
        </w:rPr>
        <w:footnoteReference w:id="89"/>
      </w:r>
      <w:r w:rsidRPr="009A0E19">
        <w:rPr>
          <w:rFonts w:ascii="Times New Roman" w:hAnsi="Times New Roman" w:cs="Times New Roman"/>
          <w:sz w:val="24"/>
          <w:szCs w:val="24"/>
        </w:rPr>
        <w:t xml:space="preserve"> According to NYCHA’s website, the ESAH program provides services at seven developments in the South Bronx.</w:t>
      </w:r>
      <w:r w:rsidRPr="009A0E19">
        <w:rPr>
          <w:rStyle w:val="FootnoteReference"/>
          <w:rFonts w:ascii="Times New Roman" w:hAnsi="Times New Roman" w:cs="Times New Roman"/>
          <w:sz w:val="24"/>
          <w:szCs w:val="24"/>
        </w:rPr>
        <w:footnoteReference w:id="90"/>
      </w:r>
      <w:r w:rsidRPr="009A0E19">
        <w:rPr>
          <w:rFonts w:ascii="Times New Roman" w:hAnsi="Times New Roman" w:cs="Times New Roman"/>
          <w:sz w:val="24"/>
          <w:szCs w:val="24"/>
        </w:rPr>
        <w:t xml:space="preserve"> </w:t>
      </w:r>
      <w:r w:rsidR="004243C3">
        <w:rPr>
          <w:rFonts w:ascii="Times New Roman" w:hAnsi="Times New Roman" w:cs="Times New Roman"/>
          <w:sz w:val="24"/>
          <w:szCs w:val="24"/>
        </w:rPr>
        <w:t>Despite these efforts</w:t>
      </w:r>
      <w:r w:rsidRPr="009A0E19">
        <w:rPr>
          <w:rFonts w:ascii="Times New Roman" w:hAnsi="Times New Roman" w:cs="Times New Roman"/>
          <w:sz w:val="24"/>
          <w:szCs w:val="24"/>
        </w:rPr>
        <w:t xml:space="preserve">, public safety concerns have become prominent for </w:t>
      </w:r>
      <w:r w:rsidR="00FC7B5E">
        <w:rPr>
          <w:rFonts w:ascii="Times New Roman" w:hAnsi="Times New Roman" w:cs="Times New Roman"/>
          <w:sz w:val="24"/>
          <w:szCs w:val="24"/>
        </w:rPr>
        <w:t>older adults</w:t>
      </w:r>
      <w:r w:rsidR="00FC7B5E" w:rsidRPr="009A0E19">
        <w:rPr>
          <w:rFonts w:ascii="Times New Roman" w:hAnsi="Times New Roman" w:cs="Times New Roman"/>
          <w:sz w:val="24"/>
          <w:szCs w:val="24"/>
        </w:rPr>
        <w:t xml:space="preserve"> </w:t>
      </w:r>
      <w:r w:rsidRPr="009A0E19">
        <w:rPr>
          <w:rFonts w:ascii="Times New Roman" w:hAnsi="Times New Roman" w:cs="Times New Roman"/>
          <w:sz w:val="24"/>
          <w:szCs w:val="24"/>
        </w:rPr>
        <w:t>across the five boroughs.</w:t>
      </w:r>
    </w:p>
    <w:p w14:paraId="03C01969" w14:textId="2DC764A3" w:rsidR="00724B80" w:rsidRPr="009A0E19" w:rsidRDefault="009A0E19" w:rsidP="00EB0FE0">
      <w:pPr>
        <w:spacing w:line="480" w:lineRule="auto"/>
        <w:ind w:firstLine="720"/>
        <w:contextualSpacing/>
        <w:jc w:val="both"/>
        <w:rPr>
          <w:rFonts w:ascii="Times New Roman" w:hAnsi="Times New Roman" w:cs="Times New Roman"/>
          <w:sz w:val="24"/>
          <w:szCs w:val="24"/>
        </w:rPr>
      </w:pPr>
      <w:r w:rsidRPr="009A0E19">
        <w:rPr>
          <w:rFonts w:ascii="Times New Roman" w:hAnsi="Times New Roman" w:cs="Times New Roman"/>
          <w:sz w:val="24"/>
          <w:szCs w:val="24"/>
        </w:rPr>
        <w:t>Safety concerns within NYCHA senior buildings have been tied to longstanding issues across NYCHA’s portfolio related to delayed repairs and outdated equipment, such as broken elevators, persistent mold, broken doors and locks, and more.</w:t>
      </w:r>
      <w:r w:rsidRPr="009A0E19">
        <w:rPr>
          <w:rStyle w:val="FootnoteReference"/>
          <w:rFonts w:ascii="Times New Roman" w:hAnsi="Times New Roman" w:cs="Times New Roman"/>
          <w:sz w:val="24"/>
          <w:szCs w:val="24"/>
        </w:rPr>
        <w:footnoteReference w:id="91"/>
      </w:r>
      <w:r w:rsidRPr="009A0E19">
        <w:rPr>
          <w:rFonts w:ascii="Times New Roman" w:hAnsi="Times New Roman" w:cs="Times New Roman"/>
          <w:sz w:val="24"/>
          <w:szCs w:val="24"/>
        </w:rPr>
        <w:t xml:space="preserve"> Such issues pose outsized risk </w:t>
      </w:r>
      <w:r w:rsidR="004243C3">
        <w:rPr>
          <w:rFonts w:ascii="Times New Roman" w:hAnsi="Times New Roman" w:cs="Times New Roman"/>
          <w:sz w:val="24"/>
          <w:szCs w:val="24"/>
        </w:rPr>
        <w:t>among</w:t>
      </w:r>
      <w:r w:rsidR="004243C3" w:rsidRPr="009A0E19">
        <w:rPr>
          <w:rFonts w:ascii="Times New Roman" w:hAnsi="Times New Roman" w:cs="Times New Roman"/>
          <w:sz w:val="24"/>
          <w:szCs w:val="24"/>
        </w:rPr>
        <w:t xml:space="preserve"> </w:t>
      </w:r>
      <w:r w:rsidRPr="009A0E19">
        <w:rPr>
          <w:rFonts w:ascii="Times New Roman" w:hAnsi="Times New Roman" w:cs="Times New Roman"/>
          <w:sz w:val="24"/>
          <w:szCs w:val="24"/>
        </w:rPr>
        <w:t xml:space="preserve">NYCHA’s </w:t>
      </w:r>
      <w:r w:rsidR="00FC7B5E">
        <w:rPr>
          <w:rFonts w:ascii="Times New Roman" w:hAnsi="Times New Roman" w:cs="Times New Roman"/>
          <w:sz w:val="24"/>
          <w:szCs w:val="24"/>
        </w:rPr>
        <w:t>older adult</w:t>
      </w:r>
      <w:r w:rsidR="00FC7B5E" w:rsidRPr="009A0E19">
        <w:rPr>
          <w:rFonts w:ascii="Times New Roman" w:hAnsi="Times New Roman" w:cs="Times New Roman"/>
          <w:sz w:val="24"/>
          <w:szCs w:val="24"/>
        </w:rPr>
        <w:t xml:space="preserve"> </w:t>
      </w:r>
      <w:r w:rsidRPr="009A0E19">
        <w:rPr>
          <w:rFonts w:ascii="Times New Roman" w:hAnsi="Times New Roman" w:cs="Times New Roman"/>
          <w:sz w:val="24"/>
          <w:szCs w:val="24"/>
        </w:rPr>
        <w:t xml:space="preserve">population and </w:t>
      </w:r>
      <w:r w:rsidR="004243C3">
        <w:rPr>
          <w:rFonts w:ascii="Times New Roman" w:hAnsi="Times New Roman" w:cs="Times New Roman"/>
          <w:sz w:val="24"/>
          <w:szCs w:val="24"/>
        </w:rPr>
        <w:t>therefore</w:t>
      </w:r>
      <w:r w:rsidR="004243C3" w:rsidRPr="009A0E19">
        <w:rPr>
          <w:rFonts w:ascii="Times New Roman" w:hAnsi="Times New Roman" w:cs="Times New Roman"/>
          <w:sz w:val="24"/>
          <w:szCs w:val="24"/>
        </w:rPr>
        <w:t xml:space="preserve"> </w:t>
      </w:r>
      <w:r w:rsidRPr="009A0E19">
        <w:rPr>
          <w:rFonts w:ascii="Times New Roman" w:hAnsi="Times New Roman" w:cs="Times New Roman"/>
          <w:sz w:val="24"/>
          <w:szCs w:val="24"/>
        </w:rPr>
        <w:t>its senior buildings, as NYCHA’s older adults are more likely to be mobility-impaired or dealing with respiratory issues and other health concerns compared with NYCHA’s younger residents.</w:t>
      </w:r>
      <w:r w:rsidRPr="009A0E19">
        <w:rPr>
          <w:rStyle w:val="FootnoteReference"/>
          <w:rFonts w:ascii="Times New Roman" w:hAnsi="Times New Roman" w:cs="Times New Roman"/>
          <w:sz w:val="24"/>
          <w:szCs w:val="24"/>
        </w:rPr>
        <w:footnoteReference w:id="92"/>
      </w:r>
      <w:r w:rsidRPr="009A0E19">
        <w:rPr>
          <w:rFonts w:ascii="Times New Roman" w:hAnsi="Times New Roman" w:cs="Times New Roman"/>
          <w:sz w:val="24"/>
          <w:szCs w:val="24"/>
        </w:rPr>
        <w:t xml:space="preserve"> In addition, 2021 NYPD data showed that approximately 20</w:t>
      </w:r>
      <w:r w:rsidR="00AD32CA">
        <w:rPr>
          <w:rFonts w:ascii="Times New Roman" w:hAnsi="Times New Roman" w:cs="Times New Roman"/>
          <w:sz w:val="24"/>
          <w:szCs w:val="24"/>
        </w:rPr>
        <w:t xml:space="preserve">% </w:t>
      </w:r>
      <w:r w:rsidRPr="009A0E19">
        <w:rPr>
          <w:rFonts w:ascii="Times New Roman" w:hAnsi="Times New Roman" w:cs="Times New Roman"/>
          <w:sz w:val="24"/>
          <w:szCs w:val="24"/>
        </w:rPr>
        <w:t>of violent crime occurred inside or within 100 feet of public housing developments, despite NYCHA tenants making up about 4</w:t>
      </w:r>
      <w:r w:rsidR="00AD32CA">
        <w:rPr>
          <w:rFonts w:ascii="Times New Roman" w:hAnsi="Times New Roman" w:cs="Times New Roman"/>
          <w:sz w:val="24"/>
          <w:szCs w:val="24"/>
        </w:rPr>
        <w:t>%</w:t>
      </w:r>
      <w:r w:rsidRPr="009A0E19">
        <w:rPr>
          <w:rFonts w:ascii="Times New Roman" w:hAnsi="Times New Roman" w:cs="Times New Roman"/>
          <w:sz w:val="24"/>
          <w:szCs w:val="24"/>
        </w:rPr>
        <w:t xml:space="preserve"> of the </w:t>
      </w:r>
      <w:r w:rsidR="00C66C19">
        <w:rPr>
          <w:rFonts w:ascii="Times New Roman" w:hAnsi="Times New Roman" w:cs="Times New Roman"/>
          <w:sz w:val="24"/>
          <w:szCs w:val="24"/>
        </w:rPr>
        <w:t>C</w:t>
      </w:r>
      <w:r w:rsidR="00C66C19" w:rsidRPr="009A0E19">
        <w:rPr>
          <w:rFonts w:ascii="Times New Roman" w:hAnsi="Times New Roman" w:cs="Times New Roman"/>
          <w:sz w:val="24"/>
          <w:szCs w:val="24"/>
        </w:rPr>
        <w:t xml:space="preserve">ity’s </w:t>
      </w:r>
      <w:r w:rsidRPr="009A0E19">
        <w:rPr>
          <w:rFonts w:ascii="Times New Roman" w:hAnsi="Times New Roman" w:cs="Times New Roman"/>
          <w:sz w:val="24"/>
          <w:szCs w:val="24"/>
        </w:rPr>
        <w:t>population at the time.</w:t>
      </w:r>
      <w:r w:rsidRPr="009A0E19">
        <w:rPr>
          <w:rStyle w:val="FootnoteReference"/>
          <w:rFonts w:ascii="Times New Roman" w:hAnsi="Times New Roman" w:cs="Times New Roman"/>
          <w:sz w:val="24"/>
          <w:szCs w:val="24"/>
        </w:rPr>
        <w:footnoteReference w:id="93"/>
      </w:r>
      <w:r w:rsidRPr="009A0E19">
        <w:rPr>
          <w:rFonts w:ascii="Times New Roman" w:hAnsi="Times New Roman" w:cs="Times New Roman"/>
          <w:sz w:val="24"/>
          <w:szCs w:val="24"/>
        </w:rPr>
        <w:t xml:space="preserve"> NYCHA’s older adult population </w:t>
      </w:r>
      <w:r w:rsidR="00793A93">
        <w:rPr>
          <w:rFonts w:ascii="Times New Roman" w:hAnsi="Times New Roman" w:cs="Times New Roman"/>
          <w:sz w:val="24"/>
          <w:szCs w:val="24"/>
        </w:rPr>
        <w:t>are</w:t>
      </w:r>
      <w:r w:rsidRPr="009A0E19">
        <w:rPr>
          <w:rFonts w:ascii="Times New Roman" w:hAnsi="Times New Roman" w:cs="Times New Roman"/>
          <w:sz w:val="24"/>
          <w:szCs w:val="24"/>
        </w:rPr>
        <w:t xml:space="preserve"> proximate to this increased crime risk because </w:t>
      </w:r>
      <w:r w:rsidR="000E6FD3">
        <w:rPr>
          <w:rFonts w:ascii="Times New Roman" w:hAnsi="Times New Roman" w:cs="Times New Roman"/>
          <w:sz w:val="24"/>
          <w:szCs w:val="24"/>
        </w:rPr>
        <w:t>older adults</w:t>
      </w:r>
      <w:r w:rsidR="000E6FD3" w:rsidRPr="009A0E19">
        <w:rPr>
          <w:rFonts w:ascii="Times New Roman" w:hAnsi="Times New Roman" w:cs="Times New Roman"/>
          <w:sz w:val="24"/>
          <w:szCs w:val="24"/>
        </w:rPr>
        <w:t xml:space="preserve"> </w:t>
      </w:r>
      <w:r w:rsidRPr="009A0E19">
        <w:rPr>
          <w:rFonts w:ascii="Times New Roman" w:hAnsi="Times New Roman" w:cs="Times New Roman"/>
          <w:sz w:val="24"/>
          <w:szCs w:val="24"/>
        </w:rPr>
        <w:t>live in all of NYCH</w:t>
      </w:r>
      <w:r w:rsidR="007D499B">
        <w:rPr>
          <w:rFonts w:ascii="Times New Roman" w:hAnsi="Times New Roman" w:cs="Times New Roman"/>
          <w:sz w:val="24"/>
          <w:szCs w:val="24"/>
        </w:rPr>
        <w:t>A’s buildings</w:t>
      </w:r>
      <w:r w:rsidRPr="009A0E19">
        <w:rPr>
          <w:rFonts w:ascii="Times New Roman" w:hAnsi="Times New Roman" w:cs="Times New Roman"/>
          <w:sz w:val="24"/>
          <w:szCs w:val="24"/>
        </w:rPr>
        <w:t xml:space="preserve">, but NYCHA’s senior buildings have </w:t>
      </w:r>
      <w:r w:rsidR="00FC7B5E">
        <w:rPr>
          <w:rFonts w:ascii="Times New Roman" w:hAnsi="Times New Roman" w:cs="Times New Roman"/>
          <w:sz w:val="24"/>
          <w:szCs w:val="24"/>
        </w:rPr>
        <w:t xml:space="preserve">been </w:t>
      </w:r>
      <w:r w:rsidRPr="009A0E19">
        <w:rPr>
          <w:rFonts w:ascii="Times New Roman" w:hAnsi="Times New Roman" w:cs="Times New Roman"/>
          <w:sz w:val="24"/>
          <w:szCs w:val="24"/>
        </w:rPr>
        <w:t>directly</w:t>
      </w:r>
      <w:r w:rsidR="00AD32CA">
        <w:rPr>
          <w:rFonts w:ascii="Times New Roman" w:hAnsi="Times New Roman" w:cs="Times New Roman"/>
          <w:sz w:val="24"/>
          <w:szCs w:val="24"/>
        </w:rPr>
        <w:t xml:space="preserve"> </w:t>
      </w:r>
      <w:r w:rsidRPr="009A0E19">
        <w:rPr>
          <w:rFonts w:ascii="Times New Roman" w:hAnsi="Times New Roman" w:cs="Times New Roman"/>
          <w:sz w:val="24"/>
          <w:szCs w:val="24"/>
        </w:rPr>
        <w:t xml:space="preserve">affected by violent crime, with a notable example being Woodson Houses in Brooklyn, which saw three </w:t>
      </w:r>
      <w:r w:rsidR="00FC7B5E">
        <w:rPr>
          <w:rFonts w:ascii="Times New Roman" w:hAnsi="Times New Roman" w:cs="Times New Roman"/>
          <w:sz w:val="24"/>
          <w:szCs w:val="24"/>
        </w:rPr>
        <w:t>older adult</w:t>
      </w:r>
      <w:r w:rsidR="00FC7B5E" w:rsidRPr="009A0E19">
        <w:rPr>
          <w:rFonts w:ascii="Times New Roman" w:hAnsi="Times New Roman" w:cs="Times New Roman"/>
          <w:sz w:val="24"/>
          <w:szCs w:val="24"/>
        </w:rPr>
        <w:t xml:space="preserve">s </w:t>
      </w:r>
      <w:r w:rsidRPr="009A0E19">
        <w:rPr>
          <w:rFonts w:ascii="Times New Roman" w:hAnsi="Times New Roman" w:cs="Times New Roman"/>
          <w:sz w:val="24"/>
          <w:szCs w:val="24"/>
        </w:rPr>
        <w:t>murdered over five years.</w:t>
      </w:r>
      <w:r w:rsidRPr="009A0E19">
        <w:rPr>
          <w:rStyle w:val="FootnoteReference"/>
          <w:rFonts w:ascii="Times New Roman" w:hAnsi="Times New Roman" w:cs="Times New Roman"/>
          <w:sz w:val="24"/>
          <w:szCs w:val="24"/>
        </w:rPr>
        <w:footnoteReference w:id="94"/>
      </w:r>
      <w:r w:rsidRPr="009A0E19">
        <w:rPr>
          <w:rFonts w:ascii="Times New Roman" w:hAnsi="Times New Roman" w:cs="Times New Roman"/>
          <w:sz w:val="24"/>
          <w:szCs w:val="24"/>
        </w:rPr>
        <w:t xml:space="preserve"> More recently, reporting emerged on how broken doors and locks have made </w:t>
      </w:r>
      <w:r w:rsidR="00FC7B5E">
        <w:rPr>
          <w:rFonts w:ascii="Times New Roman" w:hAnsi="Times New Roman" w:cs="Times New Roman"/>
          <w:sz w:val="24"/>
          <w:szCs w:val="24"/>
        </w:rPr>
        <w:t>olde</w:t>
      </w:r>
      <w:r w:rsidRPr="009A0E19">
        <w:rPr>
          <w:rFonts w:ascii="Times New Roman" w:hAnsi="Times New Roman" w:cs="Times New Roman"/>
          <w:sz w:val="24"/>
          <w:szCs w:val="24"/>
        </w:rPr>
        <w:t>r NYCHA residents feel unsafe, with NY1 reporting on March 16, 2022 that residents in Corsi Houses, a NYCHA senior building in East Harlem, had a broken front door lock that allowed homeless individuals to occupy the building’s staircase and hallways.</w:t>
      </w:r>
      <w:r w:rsidRPr="009A0E19">
        <w:rPr>
          <w:rStyle w:val="FootnoteReference"/>
          <w:rFonts w:ascii="Times New Roman" w:hAnsi="Times New Roman" w:cs="Times New Roman"/>
          <w:sz w:val="24"/>
          <w:szCs w:val="24"/>
        </w:rPr>
        <w:footnoteReference w:id="95"/>
      </w:r>
      <w:r w:rsidR="001A0AA0">
        <w:rPr>
          <w:rFonts w:ascii="Times New Roman" w:hAnsi="Times New Roman" w:cs="Times New Roman"/>
          <w:sz w:val="24"/>
          <w:szCs w:val="24"/>
        </w:rPr>
        <w:t xml:space="preserve"> </w:t>
      </w:r>
      <w:r w:rsidR="00793A93">
        <w:rPr>
          <w:rFonts w:ascii="Times New Roman" w:hAnsi="Times New Roman" w:cs="Times New Roman"/>
          <w:sz w:val="24"/>
          <w:szCs w:val="24"/>
        </w:rPr>
        <w:t xml:space="preserve">It is imperative that NYCHA create policies and procedures to ensure older adult residents’ unique safety and security concerns are addressed. </w:t>
      </w:r>
    </w:p>
    <w:p w14:paraId="38AD9B09" w14:textId="5E89B390" w:rsidR="00D11BFA" w:rsidRDefault="00D11BFA" w:rsidP="00EB0FE0">
      <w:pPr>
        <w:spacing w:line="480" w:lineRule="auto"/>
        <w:ind w:firstLine="720"/>
        <w:contextualSpacing/>
        <w:jc w:val="both"/>
        <w:rPr>
          <w:rFonts w:ascii="Times New Roman" w:hAnsi="Times New Roman" w:cs="Times New Roman"/>
          <w:sz w:val="24"/>
          <w:szCs w:val="24"/>
        </w:rPr>
      </w:pPr>
    </w:p>
    <w:p w14:paraId="63BA8EA0" w14:textId="77777777" w:rsidR="00D11BFA" w:rsidRPr="009A0E19" w:rsidRDefault="00D11BFA" w:rsidP="00EB0FE0">
      <w:pPr>
        <w:spacing w:line="480" w:lineRule="auto"/>
        <w:ind w:firstLine="720"/>
        <w:contextualSpacing/>
        <w:jc w:val="both"/>
        <w:rPr>
          <w:rFonts w:ascii="Times New Roman" w:hAnsi="Times New Roman" w:cs="Times New Roman"/>
          <w:sz w:val="24"/>
          <w:szCs w:val="24"/>
        </w:rPr>
      </w:pPr>
    </w:p>
    <w:p w14:paraId="77BDEF14" w14:textId="616D18E2" w:rsidR="00910C58" w:rsidRPr="009A0E19" w:rsidRDefault="00910C58" w:rsidP="00E835DF">
      <w:pPr>
        <w:spacing w:after="0" w:line="480" w:lineRule="auto"/>
        <w:contextualSpacing/>
        <w:jc w:val="both"/>
        <w:textAlignment w:val="baseline"/>
        <w:rPr>
          <w:rFonts w:ascii="Times New Roman" w:hAnsi="Times New Roman" w:cs="Times New Roman"/>
          <w:b/>
          <w:sz w:val="24"/>
          <w:szCs w:val="24"/>
          <w:u w:val="single"/>
        </w:rPr>
      </w:pPr>
      <w:r w:rsidRPr="009A0E19">
        <w:rPr>
          <w:rFonts w:ascii="Times New Roman" w:hAnsi="Times New Roman" w:cs="Times New Roman"/>
          <w:b/>
          <w:sz w:val="24"/>
          <w:szCs w:val="24"/>
          <w:u w:val="single"/>
        </w:rPr>
        <w:t xml:space="preserve">Conclusion </w:t>
      </w:r>
    </w:p>
    <w:p w14:paraId="72D8BC8A" w14:textId="2C55990E" w:rsidR="00814C1C" w:rsidRPr="009A0E19" w:rsidRDefault="00097225" w:rsidP="00EB0FE0">
      <w:pPr>
        <w:spacing w:after="0" w:line="480" w:lineRule="auto"/>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243C3">
        <w:rPr>
          <w:rFonts w:ascii="Times New Roman" w:eastAsia="Times New Roman" w:hAnsi="Times New Roman" w:cs="Times New Roman"/>
          <w:sz w:val="24"/>
          <w:szCs w:val="24"/>
        </w:rPr>
        <w:t>S</w:t>
      </w:r>
      <w:r w:rsidR="007D499B">
        <w:rPr>
          <w:rFonts w:ascii="Times New Roman" w:eastAsia="Times New Roman" w:hAnsi="Times New Roman" w:cs="Times New Roman"/>
          <w:sz w:val="24"/>
          <w:szCs w:val="24"/>
        </w:rPr>
        <w:t>afety and security</w:t>
      </w:r>
      <w:r>
        <w:rPr>
          <w:rFonts w:ascii="Times New Roman" w:eastAsia="Times New Roman" w:hAnsi="Times New Roman" w:cs="Times New Roman"/>
          <w:sz w:val="24"/>
          <w:szCs w:val="24"/>
        </w:rPr>
        <w:t xml:space="preserve"> </w:t>
      </w:r>
      <w:r w:rsidR="27F43A46" w:rsidRPr="564A61F5">
        <w:rPr>
          <w:rFonts w:ascii="Times New Roman" w:eastAsia="Times New Roman" w:hAnsi="Times New Roman" w:cs="Times New Roman"/>
          <w:sz w:val="24"/>
          <w:szCs w:val="24"/>
        </w:rPr>
        <w:t xml:space="preserve">are a </w:t>
      </w:r>
      <w:r w:rsidR="27F43A46" w:rsidRPr="36E83CD5">
        <w:rPr>
          <w:rFonts w:ascii="Times New Roman" w:eastAsia="Times New Roman" w:hAnsi="Times New Roman" w:cs="Times New Roman"/>
          <w:sz w:val="24"/>
          <w:szCs w:val="24"/>
        </w:rPr>
        <w:t>major concern</w:t>
      </w:r>
      <w:r>
        <w:rPr>
          <w:rFonts w:ascii="Times New Roman" w:eastAsia="Times New Roman" w:hAnsi="Times New Roman" w:cs="Times New Roman"/>
          <w:sz w:val="24"/>
          <w:szCs w:val="24"/>
        </w:rPr>
        <w:t xml:space="preserve"> for NYCHA residents. NYCHA has </w:t>
      </w:r>
      <w:r w:rsidR="073184C2">
        <w:rPr>
          <w:rFonts w:ascii="Times New Roman" w:eastAsia="Times New Roman" w:hAnsi="Times New Roman" w:cs="Times New Roman"/>
          <w:sz w:val="24"/>
          <w:szCs w:val="24"/>
        </w:rPr>
        <w:t>received</w:t>
      </w:r>
      <w:r>
        <w:rPr>
          <w:rFonts w:ascii="Times New Roman" w:eastAsia="Times New Roman" w:hAnsi="Times New Roman" w:cs="Times New Roman"/>
          <w:sz w:val="24"/>
          <w:szCs w:val="24"/>
        </w:rPr>
        <w:t xml:space="preserve"> </w:t>
      </w:r>
      <w:r w:rsidR="4B992814">
        <w:rPr>
          <w:rFonts w:ascii="Times New Roman" w:eastAsia="Times New Roman" w:hAnsi="Times New Roman" w:cs="Times New Roman"/>
          <w:sz w:val="24"/>
          <w:szCs w:val="24"/>
        </w:rPr>
        <w:t>multiple</w:t>
      </w:r>
      <w:r>
        <w:rPr>
          <w:rFonts w:ascii="Times New Roman" w:eastAsia="Times New Roman" w:hAnsi="Times New Roman" w:cs="Times New Roman"/>
          <w:sz w:val="24"/>
          <w:szCs w:val="24"/>
        </w:rPr>
        <w:t xml:space="preserve"> reports and recommendations on how to improve conditions</w:t>
      </w:r>
      <w:r w:rsidR="77A64AF4">
        <w:rPr>
          <w:rFonts w:ascii="Times New Roman" w:eastAsia="Times New Roman" w:hAnsi="Times New Roman" w:cs="Times New Roman"/>
          <w:sz w:val="24"/>
          <w:szCs w:val="24"/>
        </w:rPr>
        <w:t xml:space="preserve"> to better protect residents</w:t>
      </w:r>
      <w:r w:rsidR="000E6FD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the </w:t>
      </w:r>
      <w:r w:rsidR="000E6FD3">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ommittees are interested in hearing what steps NYCHA has taken and will continue to take to </w:t>
      </w:r>
      <w:r w:rsidR="444EE753">
        <w:rPr>
          <w:rFonts w:ascii="Times New Roman" w:eastAsia="Times New Roman" w:hAnsi="Times New Roman" w:cs="Times New Roman"/>
          <w:sz w:val="24"/>
          <w:szCs w:val="24"/>
        </w:rPr>
        <w:t>make improvements</w:t>
      </w:r>
      <w:r>
        <w:rPr>
          <w:rFonts w:ascii="Times New Roman" w:eastAsia="Times New Roman" w:hAnsi="Times New Roman" w:cs="Times New Roman"/>
          <w:sz w:val="24"/>
          <w:szCs w:val="24"/>
        </w:rPr>
        <w:t xml:space="preserve">. </w:t>
      </w:r>
      <w:r w:rsidR="007D499B">
        <w:rPr>
          <w:rFonts w:ascii="Times New Roman" w:eastAsia="Times New Roman" w:hAnsi="Times New Roman" w:cs="Times New Roman"/>
          <w:sz w:val="24"/>
          <w:szCs w:val="24"/>
        </w:rPr>
        <w:t>The Committees are also interested to hear how NYCHA is working with partner agencies</w:t>
      </w:r>
      <w:r w:rsidR="000E6FD3">
        <w:rPr>
          <w:rFonts w:ascii="Times New Roman" w:eastAsia="Times New Roman" w:hAnsi="Times New Roman" w:cs="Times New Roman"/>
          <w:sz w:val="24"/>
          <w:szCs w:val="24"/>
        </w:rPr>
        <w:t>,</w:t>
      </w:r>
      <w:r w:rsidR="007D499B">
        <w:rPr>
          <w:rFonts w:ascii="Times New Roman" w:eastAsia="Times New Roman" w:hAnsi="Times New Roman" w:cs="Times New Roman"/>
          <w:sz w:val="24"/>
          <w:szCs w:val="24"/>
        </w:rPr>
        <w:t xml:space="preserve"> particularly</w:t>
      </w:r>
      <w:r w:rsidR="000E6FD3">
        <w:rPr>
          <w:rFonts w:ascii="Times New Roman" w:eastAsia="Times New Roman" w:hAnsi="Times New Roman" w:cs="Times New Roman"/>
          <w:sz w:val="24"/>
          <w:szCs w:val="24"/>
        </w:rPr>
        <w:t xml:space="preserve"> DFTA,</w:t>
      </w:r>
      <w:r w:rsidR="007D499B">
        <w:rPr>
          <w:rFonts w:ascii="Times New Roman" w:eastAsia="Times New Roman" w:hAnsi="Times New Roman" w:cs="Times New Roman"/>
          <w:sz w:val="24"/>
          <w:szCs w:val="24"/>
        </w:rPr>
        <w:t xml:space="preserve"> to ensure </w:t>
      </w:r>
      <w:r w:rsidR="000E6FD3">
        <w:rPr>
          <w:rFonts w:ascii="Times New Roman" w:eastAsia="Times New Roman" w:hAnsi="Times New Roman" w:cs="Times New Roman"/>
          <w:sz w:val="24"/>
          <w:szCs w:val="24"/>
        </w:rPr>
        <w:t xml:space="preserve">older adults </w:t>
      </w:r>
      <w:r w:rsidR="007D499B">
        <w:rPr>
          <w:rFonts w:ascii="Times New Roman" w:eastAsia="Times New Roman" w:hAnsi="Times New Roman" w:cs="Times New Roman"/>
          <w:sz w:val="24"/>
          <w:szCs w:val="24"/>
        </w:rPr>
        <w:t xml:space="preserve">in NYCHA live in safe and secure homes.  </w:t>
      </w:r>
    </w:p>
    <w:sectPr w:rsidR="00814C1C" w:rsidRPr="009A0E19" w:rsidSect="0054548C">
      <w:footerReference w:type="default" r:id="rId9"/>
      <w:footerReference w:type="first" r:id="rId10"/>
      <w:type w:val="continuous"/>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427DD36" w16cid:durableId="0495DD03"/>
  <w16cid:commentId w16cid:paraId="1F1E8A4B" w16cid:durableId="13775EF4"/>
  <w16cid:commentId w16cid:paraId="71F89340" w16cid:durableId="76A034E3"/>
  <w16cid:commentId w16cid:paraId="68B39CAC" w16cid:durableId="7851443F"/>
  <w16cid:commentId w16cid:paraId="3F2CCFB7" w16cid:durableId="1D2C26B6"/>
  <w16cid:commentId w16cid:paraId="7867F065" w16cid:durableId="6F70D22D"/>
  <w16cid:commentId w16cid:paraId="3B707484" w16cid:durableId="03D4107C"/>
  <w16cid:commentId w16cid:paraId="66A6FF59" w16cid:durableId="7EACFF3E"/>
  <w16cid:commentId w16cid:paraId="2E8E5806" w16cid:durableId="3A7C3B6B"/>
  <w16cid:commentId w16cid:paraId="40537BD1" w16cid:durableId="7E424386"/>
  <w16cid:commentId w16cid:paraId="1706820B" w16cid:durableId="1E5BD760"/>
  <w16cid:commentId w16cid:paraId="59D1B354" w16cid:durableId="1BAAAE15"/>
  <w16cid:commentId w16cid:paraId="2F0D52CA" w16cid:durableId="33AC14F4"/>
  <w16cid:commentId w16cid:paraId="229F1C4B" w16cid:durableId="62AF928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6F5A96" w14:textId="77777777" w:rsidR="009C615A" w:rsidRDefault="009C615A" w:rsidP="00D431CE">
      <w:pPr>
        <w:spacing w:after="0" w:line="240" w:lineRule="auto"/>
      </w:pPr>
      <w:r>
        <w:separator/>
      </w:r>
    </w:p>
  </w:endnote>
  <w:endnote w:type="continuationSeparator" w:id="0">
    <w:p w14:paraId="39725D24" w14:textId="77777777" w:rsidR="009C615A" w:rsidRDefault="009C615A" w:rsidP="00D431CE">
      <w:pPr>
        <w:spacing w:after="0" w:line="240" w:lineRule="auto"/>
      </w:pPr>
      <w:r>
        <w:continuationSeparator/>
      </w:r>
    </w:p>
  </w:endnote>
  <w:endnote w:type="continuationNotice" w:id="1">
    <w:p w14:paraId="12CED02B" w14:textId="77777777" w:rsidR="009C615A" w:rsidRDefault="009C61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367110244"/>
      <w:docPartObj>
        <w:docPartGallery w:val="Page Numbers (Bottom of Page)"/>
        <w:docPartUnique/>
      </w:docPartObj>
    </w:sdtPr>
    <w:sdtEndPr/>
    <w:sdtContent>
      <w:sdt>
        <w:sdtPr>
          <w:id w:val="916525423"/>
          <w:docPartObj>
            <w:docPartGallery w:val="Page Numbers (Bottom of Page)"/>
            <w:docPartUnique/>
          </w:docPartObj>
        </w:sdtPr>
        <w:sdtEndPr/>
        <w:sdtContent>
          <w:p w14:paraId="684FA9EC" w14:textId="1F65FE6A" w:rsidR="0073005C" w:rsidRPr="00E835DF" w:rsidRDefault="0073005C" w:rsidP="00E835DF">
            <w:pPr>
              <w:pStyle w:val="Footer"/>
              <w:jc w:val="center"/>
              <w:rPr>
                <w:rFonts w:ascii="Times New Roman" w:hAnsi="Times New Roman"/>
              </w:rPr>
            </w:pPr>
            <w:r w:rsidRPr="00E835DF">
              <w:rPr>
                <w:rFonts w:ascii="Times New Roman" w:hAnsi="Times New Roman"/>
              </w:rPr>
              <w:fldChar w:fldCharType="begin"/>
            </w:r>
            <w:r w:rsidRPr="00970DB3">
              <w:rPr>
                <w:rFonts w:ascii="Times New Roman" w:hAnsi="Times New Roman" w:cs="Times New Roman"/>
              </w:rPr>
              <w:instrText xml:space="preserve"> PAGE   \* MERGEFORMAT </w:instrText>
            </w:r>
            <w:r w:rsidRPr="00E835DF">
              <w:rPr>
                <w:rFonts w:ascii="Times New Roman" w:hAnsi="Times New Roman"/>
              </w:rPr>
              <w:fldChar w:fldCharType="separate"/>
            </w:r>
            <w:r w:rsidR="00BE644A">
              <w:rPr>
                <w:rFonts w:ascii="Times New Roman" w:hAnsi="Times New Roman" w:cs="Times New Roman"/>
                <w:noProof/>
              </w:rPr>
              <w:t>1</w:t>
            </w:r>
            <w:r w:rsidRPr="00E835DF">
              <w:rPr>
                <w:rFonts w:ascii="Times New Roman" w:hAnsi="Times New Roman"/>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6BDBCF19" w14:textId="77777777" w:rsidR="0073005C" w:rsidRDefault="0073005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AA4D31D" w14:textId="77777777" w:rsidR="0073005C" w:rsidRDefault="007300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C625A2" w14:textId="77777777" w:rsidR="009C615A" w:rsidRDefault="009C615A" w:rsidP="00D431CE">
      <w:pPr>
        <w:spacing w:after="0" w:line="240" w:lineRule="auto"/>
      </w:pPr>
      <w:r>
        <w:separator/>
      </w:r>
    </w:p>
  </w:footnote>
  <w:footnote w:type="continuationSeparator" w:id="0">
    <w:p w14:paraId="7468A89C" w14:textId="77777777" w:rsidR="009C615A" w:rsidRDefault="009C615A" w:rsidP="00D431CE">
      <w:pPr>
        <w:spacing w:after="0" w:line="240" w:lineRule="auto"/>
      </w:pPr>
      <w:r>
        <w:continuationSeparator/>
      </w:r>
    </w:p>
  </w:footnote>
  <w:footnote w:type="continuationNotice" w:id="1">
    <w:p w14:paraId="5CCB4E4C" w14:textId="77777777" w:rsidR="009C615A" w:rsidRDefault="009C615A">
      <w:pPr>
        <w:spacing w:after="0" w:line="240" w:lineRule="auto"/>
      </w:pPr>
    </w:p>
  </w:footnote>
  <w:footnote w:id="2">
    <w:p w14:paraId="7FC5F10A" w14:textId="56BBFE3E" w:rsidR="0073005C" w:rsidRPr="00771695" w:rsidRDefault="0073005C" w:rsidP="00D431CE">
      <w:pPr>
        <w:pStyle w:val="FootnoteText"/>
      </w:pPr>
      <w:r w:rsidRPr="00771695">
        <w:rPr>
          <w:rStyle w:val="FootnoteReference"/>
        </w:rPr>
        <w:footnoteRef/>
      </w:r>
      <w:r w:rsidRPr="00771695">
        <w:t xml:space="preserve"> Luis Ferre-Sadurni, </w:t>
      </w:r>
      <w:r w:rsidRPr="00771695">
        <w:rPr>
          <w:i/>
        </w:rPr>
        <w:t>The Rise and Fall of New York Public Housing: An Oral History</w:t>
      </w:r>
      <w:r w:rsidRPr="00771695">
        <w:t xml:space="preserve">, </w:t>
      </w:r>
      <w:r w:rsidRPr="00771695">
        <w:rPr>
          <w:smallCaps/>
        </w:rPr>
        <w:t>The New York Times</w:t>
      </w:r>
      <w:r w:rsidRPr="00771695">
        <w:t xml:space="preserve">, Jun. 25, 2018, </w:t>
      </w:r>
      <w:r w:rsidRPr="00771695">
        <w:rPr>
          <w:i/>
        </w:rPr>
        <w:t xml:space="preserve">available at </w:t>
      </w:r>
      <w:hyperlink r:id="rId1" w:history="1">
        <w:r w:rsidRPr="009D500E">
          <w:rPr>
            <w:rStyle w:val="Hyperlink"/>
          </w:rPr>
          <w:t>https://www.nytimes.com/interactive/2018/06/25/nyregion/new-york-city-public-housing-history.html</w:t>
        </w:r>
      </w:hyperlink>
      <w:r w:rsidRPr="00771695">
        <w:rPr>
          <w:u w:val="single"/>
        </w:rPr>
        <w:t>.</w:t>
      </w:r>
      <w:r>
        <w:rPr>
          <w:u w:val="single"/>
        </w:rPr>
        <w:t xml:space="preserve"> </w:t>
      </w:r>
    </w:p>
  </w:footnote>
  <w:footnote w:id="3">
    <w:p w14:paraId="67BD1706" w14:textId="77777777" w:rsidR="0073005C" w:rsidRPr="00771695" w:rsidRDefault="0073005C" w:rsidP="00D431CE">
      <w:pPr>
        <w:pStyle w:val="FootnoteText"/>
      </w:pPr>
      <w:r w:rsidRPr="00771695">
        <w:rPr>
          <w:rStyle w:val="FootnoteCharacters"/>
        </w:rPr>
        <w:footnoteRef/>
      </w:r>
      <w:r w:rsidRPr="00771695">
        <w:t xml:space="preserve"> Housing Act of 1937, last accessed on Jan. 25, 2023, </w:t>
      </w:r>
      <w:r w:rsidRPr="00771695">
        <w:rPr>
          <w:i/>
        </w:rPr>
        <w:t>available at</w:t>
      </w:r>
      <w:r w:rsidRPr="00771695">
        <w:t xml:space="preserve"> </w:t>
      </w:r>
      <w:hyperlink r:id="rId2" w:history="1">
        <w:r w:rsidRPr="00771695">
          <w:rPr>
            <w:rStyle w:val="Hyperlink"/>
          </w:rPr>
          <w:t>https://www.gpo.gov/fdsys/pkg/USCODE-2009-title42/pdf/USCODE-2009-title42-chap8.pdf</w:t>
        </w:r>
      </w:hyperlink>
      <w:r w:rsidRPr="00771695">
        <w:t xml:space="preserve">. </w:t>
      </w:r>
    </w:p>
  </w:footnote>
  <w:footnote w:id="4">
    <w:p w14:paraId="5C292DE6" w14:textId="77777777" w:rsidR="0073005C" w:rsidRPr="00771695" w:rsidRDefault="0073005C" w:rsidP="00D431CE">
      <w:pPr>
        <w:pStyle w:val="FootnoteText"/>
      </w:pPr>
      <w:r w:rsidRPr="00771695">
        <w:rPr>
          <w:rStyle w:val="FootnoteCharacters"/>
        </w:rPr>
        <w:footnoteRef/>
      </w:r>
      <w:r w:rsidRPr="00771695">
        <w:rPr>
          <w:rFonts w:eastAsia="Times New Roman"/>
        </w:rPr>
        <w:t xml:space="preserve"> </w:t>
      </w:r>
      <w:r w:rsidRPr="00771695">
        <w:t xml:space="preserve">Peter Marcuse, </w:t>
      </w:r>
      <w:r w:rsidRPr="00771695">
        <w:rPr>
          <w:i/>
        </w:rPr>
        <w:t>The Beginnings of Public Housing in New York</w:t>
      </w:r>
      <w:r w:rsidRPr="00771695">
        <w:t xml:space="preserve">, Journal of Urban History 12(4) at 353-54 (1986); J.A. Stoloff, </w:t>
      </w:r>
      <w:r w:rsidRPr="00771695">
        <w:rPr>
          <w:i/>
        </w:rPr>
        <w:t>A Brief History of Public Housing, Paper presented at August 14 meeting of the American Sociological Association</w:t>
      </w:r>
      <w:r w:rsidRPr="00771695">
        <w:t>, at 3 (2004).</w:t>
      </w:r>
    </w:p>
  </w:footnote>
  <w:footnote w:id="5">
    <w:p w14:paraId="32D2BFE6" w14:textId="77777777" w:rsidR="0073005C" w:rsidRPr="00771695" w:rsidRDefault="0073005C" w:rsidP="00D431CE">
      <w:pPr>
        <w:pStyle w:val="FootnoteText"/>
      </w:pPr>
      <w:r w:rsidRPr="00771695">
        <w:rPr>
          <w:rStyle w:val="FootnoteCharacters"/>
        </w:rPr>
        <w:footnoteRef/>
      </w:r>
      <w:r w:rsidRPr="00771695">
        <w:rPr>
          <w:rFonts w:eastAsia="Times New Roman"/>
        </w:rPr>
        <w:t xml:space="preserve"> </w:t>
      </w:r>
      <w:r w:rsidRPr="00771695">
        <w:t xml:space="preserve">Marcuse, 354; Stoloff, 1; </w:t>
      </w:r>
      <w:r w:rsidRPr="00771695">
        <w:rPr>
          <w:i/>
        </w:rPr>
        <w:t>see also</w:t>
      </w:r>
      <w:r w:rsidRPr="00771695">
        <w:t xml:space="preserve"> Judith D. Feins, et al., </w:t>
      </w:r>
      <w:r w:rsidRPr="00771695">
        <w:rPr>
          <w:i/>
        </w:rPr>
        <w:t>Revised Methods of Providing Federal Funds for Public Housing Agencies</w:t>
      </w:r>
      <w:r w:rsidRPr="00771695">
        <w:t xml:space="preserve">, </w:t>
      </w:r>
      <w:r w:rsidRPr="00771695">
        <w:rPr>
          <w:smallCaps/>
        </w:rPr>
        <w:t>United States Department of Housing and Urban Development</w:t>
      </w:r>
      <w:r w:rsidRPr="00771695">
        <w:t>, at 9 (1994).</w:t>
      </w:r>
    </w:p>
  </w:footnote>
  <w:footnote w:id="6">
    <w:p w14:paraId="5A18B13F" w14:textId="1339A559" w:rsidR="0073005C" w:rsidRPr="00771695" w:rsidRDefault="0073005C" w:rsidP="00D431CE">
      <w:pPr>
        <w:pStyle w:val="FootnoteText"/>
      </w:pPr>
      <w:r w:rsidRPr="00771695">
        <w:rPr>
          <w:rStyle w:val="FootnoteCharacters"/>
        </w:rPr>
        <w:footnoteRef/>
      </w:r>
      <w:r w:rsidRPr="00771695">
        <w:rPr>
          <w:rFonts w:eastAsia="Times New Roman"/>
        </w:rPr>
        <w:t xml:space="preserve"> </w:t>
      </w:r>
      <w:r w:rsidRPr="00771695">
        <w:rPr>
          <w:i/>
        </w:rPr>
        <w:t>See</w:t>
      </w:r>
      <w:r w:rsidRPr="00771695">
        <w:t xml:space="preserve"> NYCHA Fact Sheet, last accessed on </w:t>
      </w:r>
      <w:r>
        <w:t>11/21/</w:t>
      </w:r>
      <w:r w:rsidRPr="00771695">
        <w:t xml:space="preserve">2023, </w:t>
      </w:r>
      <w:r w:rsidRPr="00771695">
        <w:rPr>
          <w:i/>
        </w:rPr>
        <w:t xml:space="preserve">available at </w:t>
      </w:r>
      <w:hyperlink r:id="rId3" w:history="1">
        <w:r w:rsidRPr="00EB0FE0">
          <w:rPr>
            <w:rStyle w:val="Hyperlink"/>
            <w:iCs/>
          </w:rPr>
          <w:t>https://www.nyc.gov/assets/nycha/downloads/pdf/NYCHA-Fact-Sheet-2023.pdf</w:t>
        </w:r>
      </w:hyperlink>
      <w:r w:rsidRPr="00771695">
        <w:rPr>
          <w:i/>
        </w:rPr>
        <w:t>.</w:t>
      </w:r>
      <w:r>
        <w:rPr>
          <w:i/>
        </w:rPr>
        <w:t xml:space="preserve"> </w:t>
      </w:r>
    </w:p>
  </w:footnote>
  <w:footnote w:id="7">
    <w:p w14:paraId="00549DCD" w14:textId="77777777" w:rsidR="0073005C" w:rsidRPr="00771695" w:rsidRDefault="0073005C" w:rsidP="00D431CE">
      <w:pPr>
        <w:pStyle w:val="FootnoteText"/>
      </w:pPr>
      <w:r w:rsidRPr="00771695">
        <w:rPr>
          <w:rStyle w:val="FootnoteReference"/>
        </w:rPr>
        <w:footnoteRef/>
      </w:r>
      <w:r w:rsidRPr="00771695">
        <w:t xml:space="preserve"> </w:t>
      </w:r>
      <w:r w:rsidRPr="00771695">
        <w:rPr>
          <w:i/>
        </w:rPr>
        <w:t>Id.</w:t>
      </w:r>
    </w:p>
  </w:footnote>
  <w:footnote w:id="8">
    <w:p w14:paraId="15E2BB83" w14:textId="1478F495" w:rsidR="0073005C" w:rsidRDefault="0073005C">
      <w:pPr>
        <w:pStyle w:val="FootnoteText"/>
      </w:pPr>
      <w:r>
        <w:rPr>
          <w:rStyle w:val="FootnoteReference"/>
        </w:rPr>
        <w:footnoteRef/>
      </w:r>
      <w:r>
        <w:t xml:space="preserve"> </w:t>
      </w:r>
      <w:r w:rsidRPr="00771695">
        <w:t xml:space="preserve">NYCHA, </w:t>
      </w:r>
      <w:r>
        <w:rPr>
          <w:i/>
        </w:rPr>
        <w:t>Voting At Nostrand</w:t>
      </w:r>
      <w:r w:rsidRPr="00771695">
        <w:t xml:space="preserve">, </w:t>
      </w:r>
      <w:r w:rsidRPr="00771695">
        <w:rPr>
          <w:smallCaps/>
        </w:rPr>
        <w:t>New York City Housing Authority</w:t>
      </w:r>
      <w:r w:rsidRPr="00771695">
        <w:t xml:space="preserve">, </w:t>
      </w:r>
      <w:r w:rsidRPr="00E835DF">
        <w:rPr>
          <w:i/>
        </w:rPr>
        <w:t>available at</w:t>
      </w:r>
      <w:r>
        <w:t xml:space="preserve"> </w:t>
      </w:r>
      <w:hyperlink r:id="rId4" w:history="1">
        <w:r w:rsidRPr="009D500E">
          <w:rPr>
            <w:rStyle w:val="Hyperlink"/>
          </w:rPr>
          <w:t>https://www.nyc.gov/site/nycha/residents/voting-nostrand.page</w:t>
        </w:r>
      </w:hyperlink>
      <w:r>
        <w:t xml:space="preserve">. </w:t>
      </w:r>
    </w:p>
  </w:footnote>
  <w:footnote w:id="9">
    <w:p w14:paraId="493661C4" w14:textId="77777777" w:rsidR="0073005C" w:rsidRPr="00771695" w:rsidRDefault="0073005C" w:rsidP="00D431CE">
      <w:pPr>
        <w:pStyle w:val="FootnoteText"/>
      </w:pPr>
      <w:r w:rsidRPr="00771695">
        <w:rPr>
          <w:rStyle w:val="FootnoteReference"/>
        </w:rPr>
        <w:footnoteRef/>
      </w:r>
      <w:r w:rsidRPr="00771695">
        <w:t xml:space="preserve"> NYCHA, </w:t>
      </w:r>
      <w:r w:rsidRPr="00771695">
        <w:rPr>
          <w:i/>
        </w:rPr>
        <w:t>Public Housing Preservation Trust</w:t>
      </w:r>
      <w:r w:rsidRPr="00771695">
        <w:t xml:space="preserve">, </w:t>
      </w:r>
      <w:r w:rsidRPr="00771695">
        <w:rPr>
          <w:smallCaps/>
        </w:rPr>
        <w:t>New York City Housing Authority</w:t>
      </w:r>
      <w:r w:rsidRPr="00771695">
        <w:t xml:space="preserve">, </w:t>
      </w:r>
      <w:r w:rsidRPr="00771695">
        <w:rPr>
          <w:i/>
        </w:rPr>
        <w:t>available at</w:t>
      </w:r>
      <w:r w:rsidRPr="00771695">
        <w:t xml:space="preserve"> </w:t>
      </w:r>
      <w:hyperlink r:id="rId5" w:history="1">
        <w:r w:rsidRPr="00771695">
          <w:rPr>
            <w:rStyle w:val="Hyperlink"/>
          </w:rPr>
          <w:t>https://www.nyc.gov/site/nycha/about/public-housing-preservation-trust.page</w:t>
        </w:r>
      </w:hyperlink>
      <w:r w:rsidRPr="00771695">
        <w:t xml:space="preserve">. </w:t>
      </w:r>
    </w:p>
  </w:footnote>
  <w:footnote w:id="10">
    <w:p w14:paraId="4651810F" w14:textId="77777777" w:rsidR="0073005C" w:rsidRPr="00771695" w:rsidRDefault="0073005C" w:rsidP="00D431CE">
      <w:pPr>
        <w:pStyle w:val="FootnoteText"/>
      </w:pPr>
      <w:r w:rsidRPr="00771695">
        <w:rPr>
          <w:rStyle w:val="FootnoteReference"/>
        </w:rPr>
        <w:footnoteRef/>
      </w:r>
      <w:r w:rsidRPr="00771695">
        <w:t xml:space="preserve"> Agreement between United States Department of Housing and Urban Development, the New York City Housing Authority, and New York City, Jan. 31, 2019, </w:t>
      </w:r>
      <w:r w:rsidRPr="00771695">
        <w:rPr>
          <w:i/>
        </w:rPr>
        <w:t>available at</w:t>
      </w:r>
      <w:r w:rsidRPr="00771695">
        <w:t xml:space="preserve"> </w:t>
      </w:r>
      <w:hyperlink r:id="rId6" w:history="1">
        <w:r w:rsidRPr="00771695">
          <w:rPr>
            <w:rStyle w:val="Hyperlink"/>
          </w:rPr>
          <w:t>https://nychamonitor.com/wp-content/uploads/2019/03/Final-Executed-NYCHA-Agreement.pdf</w:t>
        </w:r>
      </w:hyperlink>
      <w:r w:rsidRPr="00771695">
        <w:t xml:space="preserve">. </w:t>
      </w:r>
    </w:p>
  </w:footnote>
  <w:footnote w:id="11">
    <w:p w14:paraId="3FD0F10B" w14:textId="77777777" w:rsidR="0073005C" w:rsidRPr="00771695" w:rsidRDefault="0073005C" w:rsidP="00D431CE">
      <w:pPr>
        <w:pStyle w:val="FootnoteText"/>
      </w:pPr>
      <w:r w:rsidRPr="00771695">
        <w:rPr>
          <w:rStyle w:val="FootnoteReference"/>
        </w:rPr>
        <w:footnoteRef/>
      </w:r>
      <w:r w:rsidRPr="00771695">
        <w:t xml:space="preserve"> </w:t>
      </w:r>
      <w:r w:rsidRPr="00771695">
        <w:rPr>
          <w:i/>
        </w:rPr>
        <w:t>Id</w:t>
      </w:r>
      <w:r w:rsidRPr="00771695">
        <w:t>.</w:t>
      </w:r>
    </w:p>
  </w:footnote>
  <w:footnote w:id="12">
    <w:p w14:paraId="18CDD16C" w14:textId="6109EB25" w:rsidR="0073005C" w:rsidRDefault="0073005C" w:rsidP="00AB6FAA">
      <w:pPr>
        <w:pStyle w:val="FootnoteText"/>
      </w:pPr>
      <w:r>
        <w:rPr>
          <w:rStyle w:val="FootnoteReference"/>
        </w:rPr>
        <w:footnoteRef/>
      </w:r>
      <w:r>
        <w:t xml:space="preserve"> </w:t>
      </w:r>
      <w:r w:rsidRPr="0023198E">
        <w:t xml:space="preserve">Peter O’Hanlon and Stirling Edward Moore, PNA Technical Report: Physical Needs Assessment, NEW YORK CITY HOUSING AUTHORITY PHYSICAL NEEDS ASSESSMENT 2023 JOINT VENTURE, 2023, </w:t>
      </w:r>
      <w:r w:rsidRPr="00E835DF">
        <w:rPr>
          <w:i/>
        </w:rPr>
        <w:t>available at</w:t>
      </w:r>
      <w:r w:rsidRPr="0023198E">
        <w:t xml:space="preserve"> </w:t>
      </w:r>
      <w:hyperlink r:id="rId7" w:history="1">
        <w:r w:rsidRPr="009D500E">
          <w:rPr>
            <w:rStyle w:val="Hyperlink"/>
          </w:rPr>
          <w:t>https://www.nyc.gov/assets/nycha/downloads/pdf/2023-PNA-Report-Physical-Needs-Assessment-NYCHA.pdf</w:t>
        </w:r>
      </w:hyperlink>
      <w:r w:rsidRPr="0023198E">
        <w:t>.</w:t>
      </w:r>
      <w:r>
        <w:t xml:space="preserve"> </w:t>
      </w:r>
    </w:p>
  </w:footnote>
  <w:footnote w:id="13">
    <w:p w14:paraId="7E60ADE3" w14:textId="63B06C8F" w:rsidR="0073005C" w:rsidRDefault="0073005C" w:rsidP="009A0E19">
      <w:pPr>
        <w:pStyle w:val="FootnoteText"/>
      </w:pPr>
      <w:r>
        <w:rPr>
          <w:rStyle w:val="FootnoteReference"/>
        </w:rPr>
        <w:footnoteRef/>
      </w:r>
      <w:r>
        <w:t xml:space="preserve"> </w:t>
      </w:r>
      <w:r w:rsidR="00930FD4">
        <w:t xml:space="preserve">Testimony submitted to the New York City Council Public Housing Committee, </w:t>
      </w:r>
      <w:r w:rsidR="00930FD4" w:rsidRPr="0023198E">
        <w:t>Oversight - $78.34 Billion: NY</w:t>
      </w:r>
      <w:r w:rsidR="00930FD4">
        <w:t xml:space="preserve">CHA’s Physical Needs Assessment, 9/22/2023, </w:t>
      </w:r>
      <w:r w:rsidR="00930FD4" w:rsidRPr="00965314">
        <w:rPr>
          <w:i/>
        </w:rPr>
        <w:t>available at</w:t>
      </w:r>
      <w:r w:rsidR="00930FD4">
        <w:t xml:space="preserve"> </w:t>
      </w:r>
      <w:hyperlink r:id="rId8" w:history="1">
        <w:r w:rsidR="00930FD4" w:rsidRPr="00EB71D5">
          <w:rPr>
            <w:rStyle w:val="Hyperlink"/>
          </w:rPr>
          <w:t>https://legistar.council.nyc.gov/LegislationDetail.aspx?ID=6327858&amp;GUID=0A94AEAC-603B-46FB-88E5-910016AA6253&amp;Options=&amp;Search</w:t>
        </w:r>
      </w:hyperlink>
      <w:r w:rsidR="00930FD4" w:rsidRPr="00507A0D">
        <w:t>=</w:t>
      </w:r>
      <w:r w:rsidR="00930FD4">
        <w:t>.</w:t>
      </w:r>
    </w:p>
  </w:footnote>
  <w:footnote w:id="14">
    <w:p w14:paraId="553BA436" w14:textId="694865D2" w:rsidR="0073005C" w:rsidRPr="005E3173" w:rsidRDefault="0073005C" w:rsidP="00554CA5">
      <w:pPr>
        <w:pStyle w:val="FootnoteText"/>
      </w:pPr>
      <w:r w:rsidRPr="005E3173">
        <w:rPr>
          <w:rStyle w:val="FootnoteReference"/>
        </w:rPr>
        <w:footnoteRef/>
      </w:r>
      <w:r w:rsidRPr="005E3173">
        <w:t xml:space="preserve"> </w:t>
      </w:r>
      <w:r w:rsidR="00930FD4">
        <w:t xml:space="preserve">Testimony submitted to the New York City Council Public Housing Committee, </w:t>
      </w:r>
      <w:r w:rsidR="00930FD4" w:rsidRPr="0023198E">
        <w:t>Oversight - $78.34 Billion: NY</w:t>
      </w:r>
      <w:r w:rsidR="00930FD4">
        <w:t xml:space="preserve">CHA’s Physical Needs Assessment, 9/22/2023, </w:t>
      </w:r>
      <w:r w:rsidR="00930FD4" w:rsidRPr="00965314">
        <w:rPr>
          <w:i/>
        </w:rPr>
        <w:t>available at</w:t>
      </w:r>
      <w:r w:rsidR="00930FD4">
        <w:t xml:space="preserve"> </w:t>
      </w:r>
      <w:hyperlink r:id="rId9" w:history="1">
        <w:r w:rsidR="00930FD4" w:rsidRPr="00EB71D5">
          <w:rPr>
            <w:rStyle w:val="Hyperlink"/>
          </w:rPr>
          <w:t>https://legistar.council.nyc.gov/LegislationDetail.aspx?ID=6327858&amp;GUID=0A94AEAC-603B-46FB-88E5-910016AA6253&amp;Options=&amp;Search</w:t>
        </w:r>
      </w:hyperlink>
      <w:r w:rsidR="00930FD4" w:rsidRPr="00507A0D">
        <w:t>=</w:t>
      </w:r>
      <w:r w:rsidR="00930FD4">
        <w:t xml:space="preserve">. </w:t>
      </w:r>
      <w:r>
        <w:rPr>
          <w:i/>
        </w:rPr>
        <w:t xml:space="preserve">. </w:t>
      </w:r>
    </w:p>
  </w:footnote>
  <w:footnote w:id="15">
    <w:p w14:paraId="6C17A0F4" w14:textId="44A37D2A" w:rsidR="0073005C" w:rsidRDefault="0073005C" w:rsidP="00554CA5">
      <w:pPr>
        <w:pStyle w:val="FootnoteText"/>
      </w:pPr>
      <w:r>
        <w:rPr>
          <w:rStyle w:val="FootnoteReference"/>
        </w:rPr>
        <w:footnoteRef/>
      </w:r>
      <w:r>
        <w:t xml:space="preserve"> Bart M. Schwartz, Federal Monitor Safety and Security Report, 05/25/2023, </w:t>
      </w:r>
      <w:r>
        <w:rPr>
          <w:i/>
        </w:rPr>
        <w:t>available at</w:t>
      </w:r>
      <w:r>
        <w:t xml:space="preserve"> </w:t>
      </w:r>
      <w:hyperlink r:id="rId10" w:history="1">
        <w:r w:rsidRPr="00EC3D79">
          <w:rPr>
            <w:rStyle w:val="Hyperlink"/>
          </w:rPr>
          <w:t>https://nychamonitor.com/wp-content/uploads/2023/05/Monitor-Safety-and-Security-Report-5.25.pdf</w:t>
        </w:r>
      </w:hyperlink>
      <w:r>
        <w:t xml:space="preserve">. </w:t>
      </w:r>
    </w:p>
  </w:footnote>
  <w:footnote w:id="16">
    <w:p w14:paraId="5DE910A8" w14:textId="4301E309" w:rsidR="0073005C" w:rsidRDefault="0073005C">
      <w:pPr>
        <w:pStyle w:val="FootnoteText"/>
      </w:pPr>
      <w:r>
        <w:rPr>
          <w:rStyle w:val="FootnoteReference"/>
        </w:rPr>
        <w:footnoteRef/>
      </w:r>
      <w:r>
        <w:t xml:space="preserve"> </w:t>
      </w:r>
      <w:r w:rsidRPr="00676337">
        <w:rPr>
          <w:i/>
        </w:rPr>
        <w:t>Id.</w:t>
      </w:r>
    </w:p>
  </w:footnote>
  <w:footnote w:id="17">
    <w:p w14:paraId="7043920C" w14:textId="34F9418F" w:rsidR="00F10C53" w:rsidRDefault="00F10C53">
      <w:pPr>
        <w:pStyle w:val="FootnoteText"/>
      </w:pPr>
      <w:r>
        <w:rPr>
          <w:rStyle w:val="FootnoteReference"/>
        </w:rPr>
        <w:footnoteRef/>
      </w:r>
      <w:r>
        <w:t xml:space="preserve"> Bart M. Schwartz, Federal Monitor Safety and Security Report, 05/25/2023, </w:t>
      </w:r>
      <w:r>
        <w:rPr>
          <w:i/>
        </w:rPr>
        <w:t>available at</w:t>
      </w:r>
      <w:r>
        <w:t xml:space="preserve"> </w:t>
      </w:r>
      <w:hyperlink r:id="rId11" w:history="1">
        <w:r w:rsidRPr="00EC3D79">
          <w:rPr>
            <w:rStyle w:val="Hyperlink"/>
          </w:rPr>
          <w:t>https://nychamonitor.com/wp-content/uploads/2023/05/Monitor-Safety-and-Security-Report-5.25.pdf</w:t>
        </w:r>
      </w:hyperlink>
      <w:r>
        <w:rPr>
          <w:rStyle w:val="Hyperlink"/>
        </w:rPr>
        <w:t>.</w:t>
      </w:r>
    </w:p>
  </w:footnote>
  <w:footnote w:id="18">
    <w:p w14:paraId="6CAC20BD" w14:textId="77777777" w:rsidR="00290A2F" w:rsidRDefault="00290A2F" w:rsidP="00290A2F">
      <w:pPr>
        <w:pStyle w:val="FootnoteText"/>
      </w:pPr>
      <w:r>
        <w:rPr>
          <w:rStyle w:val="FootnoteReference"/>
        </w:rPr>
        <w:footnoteRef/>
      </w:r>
      <w:r>
        <w:t xml:space="preserve"> </w:t>
      </w:r>
      <w:r w:rsidRPr="00676337">
        <w:rPr>
          <w:i/>
        </w:rPr>
        <w:t>Id.</w:t>
      </w:r>
    </w:p>
  </w:footnote>
  <w:footnote w:id="19">
    <w:p w14:paraId="4B98A9A3" w14:textId="56FB9BA2" w:rsidR="00F10C53" w:rsidRDefault="00F10C53">
      <w:pPr>
        <w:pStyle w:val="FootnoteText"/>
      </w:pPr>
      <w:r>
        <w:rPr>
          <w:rStyle w:val="FootnoteReference"/>
        </w:rPr>
        <w:footnoteRef/>
      </w:r>
      <w:r>
        <w:t xml:space="preserve"> </w:t>
      </w:r>
      <w:r w:rsidR="00290A2F" w:rsidRPr="00595B17">
        <w:rPr>
          <w:i/>
        </w:rPr>
        <w:t>Id.</w:t>
      </w:r>
    </w:p>
  </w:footnote>
  <w:footnote w:id="20">
    <w:p w14:paraId="4B61FDCC" w14:textId="53967E33" w:rsidR="00290A2F" w:rsidRDefault="00290A2F" w:rsidP="00290A2F">
      <w:pPr>
        <w:pStyle w:val="FootnoteText"/>
      </w:pPr>
      <w:r>
        <w:rPr>
          <w:rStyle w:val="FootnoteReference"/>
        </w:rPr>
        <w:footnoteRef/>
      </w:r>
      <w:r>
        <w:t xml:space="preserve"> </w:t>
      </w:r>
      <w:r w:rsidRPr="00290A2F">
        <w:rPr>
          <w:i/>
        </w:rPr>
        <w:t>Id.</w:t>
      </w:r>
    </w:p>
  </w:footnote>
  <w:footnote w:id="21">
    <w:p w14:paraId="4DD5C5EC" w14:textId="317C22C1" w:rsidR="0073005C" w:rsidRDefault="0073005C">
      <w:pPr>
        <w:pStyle w:val="FootnoteText"/>
      </w:pPr>
      <w:r>
        <w:rPr>
          <w:rStyle w:val="FootnoteReference"/>
        </w:rPr>
        <w:footnoteRef/>
      </w:r>
      <w:r>
        <w:t xml:space="preserve"> </w:t>
      </w:r>
      <w:r w:rsidR="00F55734" w:rsidRPr="0067085F">
        <w:rPr>
          <w:i/>
        </w:rPr>
        <w:t>Id.</w:t>
      </w:r>
    </w:p>
  </w:footnote>
  <w:footnote w:id="22">
    <w:p w14:paraId="68E58396" w14:textId="0BB5AA5F" w:rsidR="0073005C" w:rsidRDefault="0073005C">
      <w:pPr>
        <w:pStyle w:val="FootnoteText"/>
      </w:pPr>
      <w:r>
        <w:rPr>
          <w:rStyle w:val="FootnoteReference"/>
        </w:rPr>
        <w:footnoteRef/>
      </w:r>
      <w:r>
        <w:t xml:space="preserve"> </w:t>
      </w:r>
      <w:r w:rsidRPr="00793A93">
        <w:rPr>
          <w:i/>
        </w:rPr>
        <w:t>Id.</w:t>
      </w:r>
    </w:p>
  </w:footnote>
  <w:footnote w:id="23">
    <w:p w14:paraId="74E4AC40" w14:textId="18CA98E1" w:rsidR="0073005C" w:rsidRDefault="0073005C">
      <w:pPr>
        <w:pStyle w:val="FootnoteText"/>
      </w:pPr>
      <w:r>
        <w:rPr>
          <w:rStyle w:val="FootnoteReference"/>
        </w:rPr>
        <w:footnoteRef/>
      </w:r>
      <w:r>
        <w:t xml:space="preserve"> </w:t>
      </w:r>
      <w:r w:rsidR="00F55734">
        <w:t xml:space="preserve">Bart M. Schwartz, Federal Monitor Safety and Security Report, 05/25/2023, </w:t>
      </w:r>
      <w:r w:rsidR="00F55734">
        <w:rPr>
          <w:i/>
        </w:rPr>
        <w:t>available at</w:t>
      </w:r>
      <w:r w:rsidR="00F55734">
        <w:t xml:space="preserve"> </w:t>
      </w:r>
      <w:hyperlink r:id="rId12" w:history="1">
        <w:r w:rsidR="00F55734" w:rsidRPr="00EC3D79">
          <w:rPr>
            <w:rStyle w:val="Hyperlink"/>
          </w:rPr>
          <w:t>https://nychamonitor.com/wp-content/uploads/2023/05/Monitor-Safety-and-Security-Report-5.25.pdf</w:t>
        </w:r>
      </w:hyperlink>
      <w:r w:rsidR="00F55734">
        <w:rPr>
          <w:rStyle w:val="Hyperlink"/>
        </w:rPr>
        <w:t>.</w:t>
      </w:r>
    </w:p>
  </w:footnote>
  <w:footnote w:id="24">
    <w:p w14:paraId="5DFBE289" w14:textId="4C314532" w:rsidR="0073005C" w:rsidRDefault="0073005C" w:rsidP="009A0E19">
      <w:pPr>
        <w:pStyle w:val="FootnoteText"/>
      </w:pPr>
      <w:r>
        <w:rPr>
          <w:rStyle w:val="FootnoteReference"/>
        </w:rPr>
        <w:footnoteRef/>
      </w:r>
      <w:r>
        <w:t xml:space="preserve"> ABC News, </w:t>
      </w:r>
      <w:r w:rsidRPr="00010371">
        <w:t>Exclusive: Hundreds of NYC public housing buildings still lack security cameras</w:t>
      </w:r>
      <w:r>
        <w:t xml:space="preserve">, December 8, 2021, </w:t>
      </w:r>
      <w:r w:rsidRPr="00E835DF">
        <w:rPr>
          <w:i/>
        </w:rPr>
        <w:t>available at</w:t>
      </w:r>
      <w:r>
        <w:t xml:space="preserve"> </w:t>
      </w:r>
      <w:r w:rsidRPr="00010371">
        <w:t>https://abc7ny.com/nycha-public-housing-crime-new-york-city/11312419/</w:t>
      </w:r>
      <w:r>
        <w:t>.</w:t>
      </w:r>
      <w:hyperlink r:id="rId13" w:history="1">
        <w:r w:rsidRPr="009D500E">
          <w:rPr>
            <w:rStyle w:val="Hyperlink"/>
          </w:rPr>
          <w:t>https://abc7ny.com/nycha-public-housing-crime-new-york-city/11312419/</w:t>
        </w:r>
      </w:hyperlink>
      <w:r>
        <w:t xml:space="preserve">. </w:t>
      </w:r>
    </w:p>
  </w:footnote>
  <w:footnote w:id="25">
    <w:p w14:paraId="232E9264" w14:textId="7E9EAE51" w:rsidR="0073005C" w:rsidRDefault="0073005C" w:rsidP="009A0E19">
      <w:pPr>
        <w:pStyle w:val="FootnoteText"/>
      </w:pPr>
      <w:bookmarkStart w:id="1" w:name="_Hlk151359671"/>
      <w:r>
        <w:rPr>
          <w:rStyle w:val="FootnoteReference"/>
        </w:rPr>
        <w:footnoteRef/>
      </w:r>
      <w:r>
        <w:t xml:space="preserve"> </w:t>
      </w:r>
      <w:r w:rsidR="00930FD4">
        <w:t xml:space="preserve">Testimony submitted to the New York City Council Public Housing Committee, </w:t>
      </w:r>
      <w:r w:rsidR="00930FD4" w:rsidRPr="00307579">
        <w:t>Oversight - Public Safety at NYCHA</w:t>
      </w:r>
      <w:r w:rsidR="00930FD4">
        <w:t xml:space="preserve">, 2/24/2021, </w:t>
      </w:r>
      <w:r w:rsidR="00930FD4" w:rsidRPr="00E835DF">
        <w:rPr>
          <w:i/>
        </w:rPr>
        <w:t>available at</w:t>
      </w:r>
      <w:r w:rsidR="00930FD4" w:rsidRPr="00307579">
        <w:t xml:space="preserve"> </w:t>
      </w:r>
      <w:hyperlink r:id="rId14" w:history="1">
        <w:r w:rsidR="00930FD4" w:rsidRPr="00EB71D5">
          <w:rPr>
            <w:rStyle w:val="Hyperlink"/>
          </w:rPr>
          <w:t>https://legistar.council.nyc.gov/LegislationDetail.aspx?ID=4773232&amp;GUID=F6FD2DE3-2B02-4165-BF88-9714DDE19C32&amp;Options=&amp;Search</w:t>
        </w:r>
      </w:hyperlink>
      <w:r w:rsidR="00930FD4" w:rsidRPr="005C70DC">
        <w:t>=</w:t>
      </w:r>
      <w:r w:rsidR="00930FD4">
        <w:t>.</w:t>
      </w:r>
      <w:bookmarkEnd w:id="1"/>
    </w:p>
  </w:footnote>
  <w:footnote w:id="26">
    <w:p w14:paraId="4CB2BA07" w14:textId="28FB4E96" w:rsidR="0073005C" w:rsidRDefault="0073005C" w:rsidP="009A0E19">
      <w:pPr>
        <w:pStyle w:val="FootnoteText"/>
      </w:pPr>
      <w:r>
        <w:rPr>
          <w:rStyle w:val="FootnoteReference"/>
        </w:rPr>
        <w:footnoteRef/>
      </w:r>
      <w:r>
        <w:t xml:space="preserve"> </w:t>
      </w:r>
      <w:r w:rsidR="00E835DF" w:rsidRPr="00E835DF">
        <w:rPr>
          <w:i/>
        </w:rPr>
        <w:t>Id</w:t>
      </w:r>
      <w:r w:rsidR="00E835DF">
        <w:t>.</w:t>
      </w:r>
    </w:p>
  </w:footnote>
  <w:footnote w:id="27">
    <w:p w14:paraId="7537F0B8" w14:textId="48C8A7C9" w:rsidR="0073005C" w:rsidRDefault="0073005C">
      <w:pPr>
        <w:pStyle w:val="FootnoteText"/>
      </w:pPr>
      <w:r>
        <w:rPr>
          <w:rStyle w:val="FootnoteReference"/>
        </w:rPr>
        <w:footnoteRef/>
      </w:r>
      <w:r>
        <w:t xml:space="preserve"> </w:t>
      </w:r>
      <w:r w:rsidR="009939AB" w:rsidRPr="00870A2F">
        <w:t>John Hirsch, SAFETY CAMERAS ARE A BUST, SAY NYCHA TENANTS,</w:t>
      </w:r>
      <w:r w:rsidR="009939AB">
        <w:t xml:space="preserve"> </w:t>
      </w:r>
      <w:r w:rsidR="009939AB" w:rsidRPr="00870A2F">
        <w:t xml:space="preserve">Mott Haven Herald, July 8, 2014, </w:t>
      </w:r>
      <w:r w:rsidR="009939AB" w:rsidRPr="00126116">
        <w:rPr>
          <w:i/>
        </w:rPr>
        <w:t>available at</w:t>
      </w:r>
      <w:r w:rsidR="009939AB" w:rsidRPr="00870A2F">
        <w:t xml:space="preserve"> https://motthavenherald.com/2014/07/08/safety-cameras-bust-say-nycha-tenants/</w:t>
      </w:r>
      <w:r w:rsidR="009939AB">
        <w:t>.</w:t>
      </w:r>
    </w:p>
  </w:footnote>
  <w:footnote w:id="28">
    <w:p w14:paraId="72DAC349" w14:textId="4B90F408" w:rsidR="0073005C" w:rsidRDefault="0073005C" w:rsidP="009A0E19">
      <w:pPr>
        <w:pStyle w:val="FootnoteText"/>
      </w:pPr>
      <w:r>
        <w:rPr>
          <w:rStyle w:val="FootnoteReference"/>
        </w:rPr>
        <w:footnoteRef/>
      </w:r>
      <w:r>
        <w:t xml:space="preserve"> </w:t>
      </w:r>
      <w:r w:rsidRPr="00793A93">
        <w:rPr>
          <w:i/>
        </w:rPr>
        <w:t>Id.</w:t>
      </w:r>
      <w:r>
        <w:t xml:space="preserve"> </w:t>
      </w:r>
    </w:p>
  </w:footnote>
  <w:footnote w:id="29">
    <w:p w14:paraId="007C8AEC" w14:textId="68CA5DA1" w:rsidR="009939AB" w:rsidRDefault="009939AB">
      <w:pPr>
        <w:pStyle w:val="FootnoteText"/>
      </w:pPr>
      <w:r>
        <w:rPr>
          <w:rStyle w:val="FootnoteReference"/>
        </w:rPr>
        <w:footnoteRef/>
      </w:r>
      <w:r>
        <w:t xml:space="preserve"> New York City Department of Buildings Sidewalk Sheds Rules, las</w:t>
      </w:r>
      <w:r w:rsidR="00F55734">
        <w:t>t</w:t>
      </w:r>
      <w:r>
        <w:t xml:space="preserve"> accessed on 11/22/2023, </w:t>
      </w:r>
      <w:r w:rsidRPr="00126116">
        <w:rPr>
          <w:i/>
        </w:rPr>
        <w:t>available at</w:t>
      </w:r>
      <w:r>
        <w:t xml:space="preserve"> </w:t>
      </w:r>
      <w:hyperlink r:id="rId15" w:history="1">
        <w:r w:rsidRPr="00956157">
          <w:rPr>
            <w:rStyle w:val="Hyperlink"/>
          </w:rPr>
          <w:t>https://www.nyc.gov/site/buildings/safety/sidewalk-sheds.page</w:t>
        </w:r>
      </w:hyperlink>
      <w:r>
        <w:t xml:space="preserve">. </w:t>
      </w:r>
    </w:p>
  </w:footnote>
  <w:footnote w:id="30">
    <w:p w14:paraId="107EE94F" w14:textId="3930DEB0" w:rsidR="0073005C" w:rsidRDefault="0073005C" w:rsidP="009A0E19">
      <w:pPr>
        <w:pStyle w:val="FootnoteText"/>
      </w:pPr>
      <w:r>
        <w:rPr>
          <w:rStyle w:val="FootnoteReference"/>
        </w:rPr>
        <w:footnoteRef/>
      </w:r>
      <w:r>
        <w:t xml:space="preserve"> </w:t>
      </w:r>
      <w:r w:rsidR="00930FD4">
        <w:t xml:space="preserve">Testimony submitted to the </w:t>
      </w:r>
      <w:r w:rsidR="00930FD4" w:rsidRPr="00307579">
        <w:t xml:space="preserve">New York City Council Public Housing Committee, Oversight - Public Safety at NYCHA, 2/24/2021, </w:t>
      </w:r>
      <w:r w:rsidR="00930FD4" w:rsidRPr="00965314">
        <w:rPr>
          <w:i/>
        </w:rPr>
        <w:t>available at</w:t>
      </w:r>
      <w:r w:rsidR="00930FD4" w:rsidRPr="00307579">
        <w:t xml:space="preserve"> </w:t>
      </w:r>
      <w:hyperlink r:id="rId16" w:history="1">
        <w:r w:rsidR="00930FD4" w:rsidRPr="00EB71D5">
          <w:rPr>
            <w:rStyle w:val="Hyperlink"/>
          </w:rPr>
          <w:t>https://legistar.council.nyc.gov/LegislationDetail.aspx?ID=4773232&amp;GUID=F6FD2DE3-2B02-4165-BF88-9714DDE19C32&amp;Options=&amp;Search</w:t>
        </w:r>
      </w:hyperlink>
      <w:r w:rsidR="00930FD4" w:rsidRPr="005C70DC">
        <w:t>=</w:t>
      </w:r>
      <w:r w:rsidR="00930FD4">
        <w:t>.</w:t>
      </w:r>
    </w:p>
  </w:footnote>
  <w:footnote w:id="31">
    <w:p w14:paraId="22D7AA03" w14:textId="3296750A" w:rsidR="0073005C" w:rsidRDefault="0073005C">
      <w:pPr>
        <w:pStyle w:val="FootnoteText"/>
      </w:pPr>
      <w:r>
        <w:rPr>
          <w:rStyle w:val="FootnoteReference"/>
        </w:rPr>
        <w:footnoteRef/>
      </w:r>
      <w:r>
        <w:t xml:space="preserve"> </w:t>
      </w:r>
      <w:r w:rsidRPr="00793A93">
        <w:rPr>
          <w:i/>
        </w:rPr>
        <w:t>Id.</w:t>
      </w:r>
    </w:p>
  </w:footnote>
  <w:footnote w:id="32">
    <w:p w14:paraId="6FC937B7" w14:textId="054B2E7B" w:rsidR="0073005C" w:rsidRDefault="0073005C" w:rsidP="009A0E19">
      <w:pPr>
        <w:pStyle w:val="FootnoteText"/>
      </w:pPr>
      <w:r>
        <w:rPr>
          <w:rStyle w:val="FootnoteReference"/>
        </w:rPr>
        <w:footnoteRef/>
      </w:r>
      <w:r>
        <w:t xml:space="preserve"> </w:t>
      </w:r>
      <w:r w:rsidR="00F55734" w:rsidRPr="0067085F">
        <w:rPr>
          <w:i/>
        </w:rPr>
        <w:t>Id.</w:t>
      </w:r>
    </w:p>
  </w:footnote>
  <w:footnote w:id="33">
    <w:p w14:paraId="156B5447" w14:textId="76AF1443" w:rsidR="0073005C" w:rsidRDefault="0073005C" w:rsidP="009A0E19">
      <w:pPr>
        <w:pStyle w:val="FootnoteText"/>
      </w:pPr>
      <w:r>
        <w:rPr>
          <w:rStyle w:val="FootnoteReference"/>
        </w:rPr>
        <w:footnoteRef/>
      </w:r>
      <w:r>
        <w:t xml:space="preserve"> </w:t>
      </w:r>
      <w:r w:rsidRPr="00793A93">
        <w:rPr>
          <w:i/>
        </w:rPr>
        <w:t>Id.</w:t>
      </w:r>
    </w:p>
  </w:footnote>
  <w:footnote w:id="34">
    <w:p w14:paraId="518CF7BE" w14:textId="64A7D3F9" w:rsidR="0073005C" w:rsidRDefault="0073005C" w:rsidP="009A0E19">
      <w:pPr>
        <w:pStyle w:val="FootnoteText"/>
      </w:pPr>
      <w:r>
        <w:rPr>
          <w:rStyle w:val="FootnoteReference"/>
        </w:rPr>
        <w:footnoteRef/>
      </w:r>
      <w:r>
        <w:t xml:space="preserve"> New York City Housing Preservation &amp; Development, Smoke and Carbon Monoxide Detectors, available at </w:t>
      </w:r>
      <w:hyperlink r:id="rId17" w:history="1">
        <w:r w:rsidRPr="009C34EA">
          <w:rPr>
            <w:rStyle w:val="Hyperlink"/>
          </w:rPr>
          <w:t>https://www.nyc.gov/site/hpd/services-and-information/smoke-carbon-monoxide-detectors.page</w:t>
        </w:r>
      </w:hyperlink>
      <w:r>
        <w:t xml:space="preserve">. </w:t>
      </w:r>
    </w:p>
  </w:footnote>
  <w:footnote w:id="35">
    <w:p w14:paraId="28090699" w14:textId="6B93656A" w:rsidR="0073005C" w:rsidRDefault="0073005C" w:rsidP="009A0E19">
      <w:pPr>
        <w:pStyle w:val="FootnoteText"/>
      </w:pPr>
      <w:r>
        <w:rPr>
          <w:rStyle w:val="FootnoteReference"/>
        </w:rPr>
        <w:footnoteRef/>
      </w:r>
      <w:r>
        <w:t xml:space="preserve"> Hon. Mark Peters,</w:t>
      </w:r>
      <w:r w:rsidRPr="005058EA">
        <w:t xml:space="preserve"> </w:t>
      </w:r>
      <w:r>
        <w:t xml:space="preserve">DOI INVESTIGATION REVEALS NYCHA STAFF NEGLECT SAFETY CHECKS IN PUBLIC HOUSING APARTMENTS, New York City Department of Investigation, </w:t>
      </w:r>
      <w:r w:rsidRPr="00126116">
        <w:rPr>
          <w:i/>
        </w:rPr>
        <w:t>available at</w:t>
      </w:r>
      <w:r>
        <w:t xml:space="preserve">  </w:t>
      </w:r>
      <w:hyperlink r:id="rId18" w:history="1">
        <w:r w:rsidRPr="009C34EA">
          <w:rPr>
            <w:rStyle w:val="Hyperlink"/>
          </w:rPr>
          <w:t>https://www.nyc.gov/assets/doi/reports/pdf/2016/2016-10-04-31NYCHA_Smoke_Detectors.pdf</w:t>
        </w:r>
      </w:hyperlink>
      <w:r>
        <w:t xml:space="preserve">. </w:t>
      </w:r>
    </w:p>
  </w:footnote>
  <w:footnote w:id="36">
    <w:p w14:paraId="3619C230" w14:textId="274691C5" w:rsidR="0073005C" w:rsidRDefault="0073005C">
      <w:pPr>
        <w:pStyle w:val="FootnoteText"/>
      </w:pPr>
      <w:r>
        <w:rPr>
          <w:rStyle w:val="FootnoteReference"/>
        </w:rPr>
        <w:footnoteRef/>
      </w:r>
      <w:r>
        <w:t xml:space="preserve"> </w:t>
      </w:r>
      <w:r w:rsidRPr="00793A93">
        <w:rPr>
          <w:i/>
        </w:rPr>
        <w:t>Id.</w:t>
      </w:r>
    </w:p>
  </w:footnote>
  <w:footnote w:id="37">
    <w:p w14:paraId="7D4ED580" w14:textId="2D0A56B0" w:rsidR="0073005C" w:rsidRDefault="0073005C" w:rsidP="009A0E19">
      <w:pPr>
        <w:pStyle w:val="FootnoteText"/>
      </w:pPr>
      <w:r>
        <w:rPr>
          <w:rStyle w:val="FootnoteReference"/>
        </w:rPr>
        <w:footnoteRef/>
      </w:r>
      <w:r>
        <w:t xml:space="preserve"> </w:t>
      </w:r>
      <w:r w:rsidR="00F55734" w:rsidRPr="0067085F">
        <w:rPr>
          <w:i/>
        </w:rPr>
        <w:t>Id.</w:t>
      </w:r>
    </w:p>
  </w:footnote>
  <w:footnote w:id="38">
    <w:p w14:paraId="54617900" w14:textId="084F08F1" w:rsidR="0073005C" w:rsidRDefault="0073005C" w:rsidP="009A0E19">
      <w:pPr>
        <w:pStyle w:val="FootnoteText"/>
      </w:pPr>
      <w:r>
        <w:rPr>
          <w:rStyle w:val="FootnoteReference"/>
        </w:rPr>
        <w:footnoteRef/>
      </w:r>
      <w:r>
        <w:t xml:space="preserve"> </w:t>
      </w:r>
      <w:r w:rsidRPr="00793A93">
        <w:rPr>
          <w:i/>
        </w:rPr>
        <w:t>Id.</w:t>
      </w:r>
      <w:r>
        <w:t xml:space="preserve"> </w:t>
      </w:r>
    </w:p>
  </w:footnote>
  <w:footnote w:id="39">
    <w:p w14:paraId="2D581B72" w14:textId="3C8CA5EF" w:rsidR="0073005C" w:rsidRDefault="0073005C">
      <w:pPr>
        <w:pStyle w:val="FootnoteText"/>
      </w:pPr>
      <w:r>
        <w:rPr>
          <w:rStyle w:val="FootnoteReference"/>
        </w:rPr>
        <w:footnoteRef/>
      </w:r>
      <w:r>
        <w:t xml:space="preserve"> </w:t>
      </w:r>
      <w:r w:rsidRPr="00FD7391">
        <w:rPr>
          <w:i/>
        </w:rPr>
        <w:t>Id.</w:t>
      </w:r>
    </w:p>
  </w:footnote>
  <w:footnote w:id="40">
    <w:p w14:paraId="2C435526" w14:textId="34C747D5" w:rsidR="0073005C" w:rsidRDefault="0073005C">
      <w:pPr>
        <w:pStyle w:val="FootnoteText"/>
      </w:pPr>
      <w:r>
        <w:rPr>
          <w:rStyle w:val="FootnoteReference"/>
        </w:rPr>
        <w:footnoteRef/>
      </w:r>
      <w:r>
        <w:t xml:space="preserve"> </w:t>
      </w:r>
      <w:r w:rsidRPr="00FD7391">
        <w:rPr>
          <w:i/>
        </w:rPr>
        <w:t>Id.</w:t>
      </w:r>
    </w:p>
  </w:footnote>
  <w:footnote w:id="41">
    <w:p w14:paraId="0267B55B" w14:textId="0B67B89C" w:rsidR="0073005C" w:rsidRDefault="0073005C">
      <w:pPr>
        <w:pStyle w:val="FootnoteText"/>
      </w:pPr>
      <w:r>
        <w:rPr>
          <w:rStyle w:val="FootnoteReference"/>
        </w:rPr>
        <w:footnoteRef/>
      </w:r>
      <w:r>
        <w:t xml:space="preserve"> Hon. Jocelyn Strauber</w:t>
      </w:r>
      <w:r w:rsidRPr="008F6471">
        <w:t>,</w:t>
      </w:r>
      <w:r>
        <w:t xml:space="preserve"> </w:t>
      </w:r>
      <w:r w:rsidR="00930FD4">
        <w:t>FIRE SAFETY AND PREVENTION IN PUBLIC HOUSING</w:t>
      </w:r>
      <w:r w:rsidRPr="008F6471">
        <w:t xml:space="preserve">, New York City Department of Investigation, </w:t>
      </w:r>
      <w:r w:rsidRPr="00126116">
        <w:rPr>
          <w:i/>
        </w:rPr>
        <w:t>available at</w:t>
      </w:r>
      <w:r w:rsidRPr="008F6471">
        <w:t xml:space="preserve"> </w:t>
      </w:r>
      <w:hyperlink r:id="rId19" w:history="1">
        <w:r w:rsidRPr="00A41DA7">
          <w:rPr>
            <w:rStyle w:val="Hyperlink"/>
          </w:rPr>
          <w:t>https://www.nyc.gov/assets/doi/reports/pdf/2023/12NYCHAfiresafety.Rpt.Release03.30.2023.pdf</w:t>
        </w:r>
      </w:hyperlink>
      <w:r>
        <w:rPr>
          <w:rStyle w:val="Hyperlink"/>
        </w:rPr>
        <w:t xml:space="preserve">. </w:t>
      </w:r>
    </w:p>
  </w:footnote>
  <w:footnote w:id="42">
    <w:p w14:paraId="00DF0EB7" w14:textId="089C37E1" w:rsidR="0073005C" w:rsidRDefault="0073005C" w:rsidP="00554CA5">
      <w:pPr>
        <w:pStyle w:val="FootnoteText"/>
      </w:pPr>
      <w:r>
        <w:rPr>
          <w:rStyle w:val="FootnoteReference"/>
        </w:rPr>
        <w:footnoteRef/>
      </w:r>
      <w:r>
        <w:t xml:space="preserve"> </w:t>
      </w:r>
      <w:r w:rsidR="00F55734">
        <w:t>Hon. Jocelyn Strauber</w:t>
      </w:r>
      <w:r w:rsidR="00F55734" w:rsidRPr="008F6471">
        <w:t>,</w:t>
      </w:r>
      <w:r w:rsidR="00F55734">
        <w:t xml:space="preserve"> FIRE SAFETY AND PREVENTION IN PUBLIC HOUSING</w:t>
      </w:r>
      <w:r w:rsidR="00F55734" w:rsidRPr="008F6471">
        <w:t xml:space="preserve">, New York City Department of Investigation, </w:t>
      </w:r>
      <w:r w:rsidR="00F55734" w:rsidRPr="00965314">
        <w:rPr>
          <w:i/>
        </w:rPr>
        <w:t>available at</w:t>
      </w:r>
      <w:r w:rsidR="00F55734" w:rsidRPr="008F6471">
        <w:t xml:space="preserve"> </w:t>
      </w:r>
      <w:hyperlink r:id="rId20" w:history="1">
        <w:r w:rsidR="00F55734" w:rsidRPr="00A41DA7">
          <w:rPr>
            <w:rStyle w:val="Hyperlink"/>
          </w:rPr>
          <w:t>https://www.nyc.gov/assets/doi/reports/pdf/2023/12NYCHAfiresafety.Rpt.Release03.30.2023.pdf</w:t>
        </w:r>
      </w:hyperlink>
      <w:r w:rsidR="00F55734">
        <w:rPr>
          <w:rStyle w:val="Hyperlink"/>
        </w:rPr>
        <w:t xml:space="preserve">. </w:t>
      </w:r>
    </w:p>
  </w:footnote>
  <w:footnote w:id="43">
    <w:p w14:paraId="08442ED7" w14:textId="4745D6A3" w:rsidR="0073005C" w:rsidRDefault="0073005C" w:rsidP="00554CA5">
      <w:pPr>
        <w:pStyle w:val="FootnoteText"/>
      </w:pPr>
      <w:r>
        <w:rPr>
          <w:rStyle w:val="FootnoteReference"/>
        </w:rPr>
        <w:footnoteRef/>
      </w:r>
      <w:r>
        <w:t xml:space="preserve"> </w:t>
      </w:r>
      <w:r>
        <w:rPr>
          <w:i/>
        </w:rPr>
        <w:t>Id.</w:t>
      </w:r>
    </w:p>
  </w:footnote>
  <w:footnote w:id="44">
    <w:p w14:paraId="3AC5B5F7" w14:textId="5EA8B40E" w:rsidR="0073005C" w:rsidRDefault="0073005C" w:rsidP="00554CA5">
      <w:pPr>
        <w:pStyle w:val="FootnoteText"/>
      </w:pPr>
      <w:r>
        <w:rPr>
          <w:rStyle w:val="FootnoteReference"/>
        </w:rPr>
        <w:footnoteRef/>
      </w:r>
      <w:r>
        <w:t xml:space="preserve"> </w:t>
      </w:r>
      <w:r>
        <w:rPr>
          <w:i/>
        </w:rPr>
        <w:t>Id.</w:t>
      </w:r>
    </w:p>
  </w:footnote>
  <w:footnote w:id="45">
    <w:p w14:paraId="4DE28B20" w14:textId="12E32ACB" w:rsidR="0073005C" w:rsidRDefault="0073005C" w:rsidP="00554CA5">
      <w:pPr>
        <w:pStyle w:val="FootnoteText"/>
      </w:pPr>
      <w:r>
        <w:rPr>
          <w:rStyle w:val="FootnoteReference"/>
        </w:rPr>
        <w:footnoteRef/>
      </w:r>
      <w:r>
        <w:t xml:space="preserve"> </w:t>
      </w:r>
      <w:r>
        <w:rPr>
          <w:i/>
        </w:rPr>
        <w:t>Id.</w:t>
      </w:r>
    </w:p>
  </w:footnote>
  <w:footnote w:id="46">
    <w:p w14:paraId="07002A3D" w14:textId="44FAF202" w:rsidR="0073005C" w:rsidRDefault="0073005C" w:rsidP="00554CA5">
      <w:pPr>
        <w:pStyle w:val="FootnoteText"/>
      </w:pPr>
      <w:r>
        <w:rPr>
          <w:rStyle w:val="FootnoteReference"/>
        </w:rPr>
        <w:footnoteRef/>
      </w:r>
      <w:r>
        <w:t xml:space="preserve"> </w:t>
      </w:r>
      <w:r w:rsidR="00F55734" w:rsidRPr="0067085F">
        <w:rPr>
          <w:i/>
        </w:rPr>
        <w:t>Id.</w:t>
      </w:r>
    </w:p>
  </w:footnote>
  <w:footnote w:id="47">
    <w:p w14:paraId="2C6110F2" w14:textId="6983CE3D" w:rsidR="0073005C" w:rsidRDefault="0073005C" w:rsidP="00554CA5">
      <w:pPr>
        <w:pStyle w:val="FootnoteText"/>
      </w:pPr>
      <w:r>
        <w:rPr>
          <w:rStyle w:val="FootnoteReference"/>
        </w:rPr>
        <w:footnoteRef/>
      </w:r>
      <w:r>
        <w:t xml:space="preserve"> </w:t>
      </w:r>
      <w:r>
        <w:rPr>
          <w:i/>
        </w:rPr>
        <w:t>Id.</w:t>
      </w:r>
    </w:p>
  </w:footnote>
  <w:footnote w:id="48">
    <w:p w14:paraId="47F9190A" w14:textId="4EEC4276" w:rsidR="0073005C" w:rsidRDefault="0073005C">
      <w:pPr>
        <w:pStyle w:val="FootnoteText"/>
      </w:pPr>
      <w:r>
        <w:rPr>
          <w:rStyle w:val="FootnoteReference"/>
        </w:rPr>
        <w:footnoteRef/>
      </w:r>
      <w:r>
        <w:t xml:space="preserve"> </w:t>
      </w:r>
      <w:r w:rsidRPr="00793A93">
        <w:rPr>
          <w:i/>
        </w:rPr>
        <w:t>Id.</w:t>
      </w:r>
    </w:p>
  </w:footnote>
  <w:footnote w:id="49">
    <w:p w14:paraId="26E27055" w14:textId="3F5C45D9" w:rsidR="00290A2F" w:rsidRPr="00290A2F" w:rsidRDefault="00290A2F">
      <w:pPr>
        <w:pStyle w:val="FootnoteText"/>
        <w:rPr>
          <w:i/>
        </w:rPr>
      </w:pPr>
      <w:r>
        <w:rPr>
          <w:rStyle w:val="FootnoteReference"/>
        </w:rPr>
        <w:footnoteRef/>
      </w:r>
      <w:r>
        <w:t xml:space="preserve"> </w:t>
      </w:r>
      <w:r>
        <w:rPr>
          <w:i/>
        </w:rPr>
        <w:t>Id.</w:t>
      </w:r>
    </w:p>
  </w:footnote>
  <w:footnote w:id="50">
    <w:p w14:paraId="3FB2B0AA" w14:textId="09887BFC" w:rsidR="0073005C" w:rsidRDefault="0073005C">
      <w:pPr>
        <w:pStyle w:val="FootnoteText"/>
      </w:pPr>
      <w:r>
        <w:rPr>
          <w:rStyle w:val="FootnoteReference"/>
        </w:rPr>
        <w:footnoteRef/>
      </w:r>
      <w:r>
        <w:t xml:space="preserve"> </w:t>
      </w:r>
      <w:r w:rsidR="00F55734">
        <w:t>Hon. Jocelyn Strauber</w:t>
      </w:r>
      <w:r w:rsidR="00F55734" w:rsidRPr="008F6471">
        <w:t>,</w:t>
      </w:r>
      <w:r w:rsidR="00F55734">
        <w:t xml:space="preserve"> FIRE SAFETY AND PREVENTION IN PUBLIC HOUSING</w:t>
      </w:r>
      <w:r w:rsidR="00F55734" w:rsidRPr="008F6471">
        <w:t xml:space="preserve">, New York City Department of Investigation, </w:t>
      </w:r>
      <w:r w:rsidR="00F55734" w:rsidRPr="00965314">
        <w:rPr>
          <w:i/>
        </w:rPr>
        <w:t>available at</w:t>
      </w:r>
      <w:r w:rsidR="00F55734" w:rsidRPr="008F6471">
        <w:t xml:space="preserve"> </w:t>
      </w:r>
      <w:hyperlink r:id="rId21" w:history="1">
        <w:r w:rsidR="00F55734" w:rsidRPr="00A41DA7">
          <w:rPr>
            <w:rStyle w:val="Hyperlink"/>
          </w:rPr>
          <w:t>https://www.nyc.gov/assets/doi/reports/pdf/2023/12NYCHAfiresafety.Rpt.Release03.30.2023.pdf</w:t>
        </w:r>
      </w:hyperlink>
      <w:r w:rsidR="00F55734">
        <w:rPr>
          <w:rStyle w:val="Hyperlink"/>
        </w:rPr>
        <w:t xml:space="preserve">. </w:t>
      </w:r>
    </w:p>
  </w:footnote>
  <w:footnote w:id="51">
    <w:p w14:paraId="762C9A47" w14:textId="616FB67E" w:rsidR="0073005C" w:rsidRDefault="0073005C">
      <w:pPr>
        <w:pStyle w:val="FootnoteText"/>
      </w:pPr>
      <w:r>
        <w:rPr>
          <w:rStyle w:val="FootnoteReference"/>
        </w:rPr>
        <w:footnoteRef/>
      </w:r>
      <w:r>
        <w:t xml:space="preserve"> </w:t>
      </w:r>
      <w:r w:rsidRPr="00793A93">
        <w:rPr>
          <w:i/>
        </w:rPr>
        <w:t>Id.</w:t>
      </w:r>
    </w:p>
  </w:footnote>
  <w:footnote w:id="52">
    <w:p w14:paraId="67F10A4E" w14:textId="2FA97C5C" w:rsidR="0073005C" w:rsidRDefault="0073005C">
      <w:pPr>
        <w:pStyle w:val="FootnoteText"/>
      </w:pPr>
      <w:r>
        <w:rPr>
          <w:rStyle w:val="FootnoteReference"/>
        </w:rPr>
        <w:footnoteRef/>
      </w:r>
      <w:r>
        <w:t xml:space="preserve"> </w:t>
      </w:r>
      <w:r w:rsidRPr="00793A93">
        <w:rPr>
          <w:i/>
        </w:rPr>
        <w:t>Id.</w:t>
      </w:r>
    </w:p>
  </w:footnote>
  <w:footnote w:id="53">
    <w:p w14:paraId="1687E072" w14:textId="211DE91B" w:rsidR="0073005C" w:rsidRDefault="0073005C">
      <w:pPr>
        <w:pStyle w:val="FootnoteText"/>
      </w:pPr>
      <w:r>
        <w:rPr>
          <w:rStyle w:val="FootnoteReference"/>
        </w:rPr>
        <w:footnoteRef/>
      </w:r>
      <w:r>
        <w:t xml:space="preserve"> </w:t>
      </w:r>
      <w:r w:rsidRPr="00793A93">
        <w:rPr>
          <w:i/>
        </w:rPr>
        <w:t>Id.</w:t>
      </w:r>
    </w:p>
  </w:footnote>
  <w:footnote w:id="54">
    <w:p w14:paraId="08E689B2" w14:textId="14C8B6B1" w:rsidR="0073005C" w:rsidRDefault="0073005C" w:rsidP="00067819">
      <w:pPr>
        <w:pStyle w:val="FootnoteText"/>
      </w:pPr>
      <w:r>
        <w:rPr>
          <w:rStyle w:val="FootnoteReference"/>
        </w:rPr>
        <w:footnoteRef/>
      </w:r>
      <w:r>
        <w:t xml:space="preserve"> New York City Housing Authority, Notice of Proposed Policies for and Prohibition of Certain Electric Micromobility Vehicles and Devices in NYCHA Buildings, 11/01/2023, </w:t>
      </w:r>
      <w:r w:rsidRPr="00126116">
        <w:rPr>
          <w:i/>
        </w:rPr>
        <w:t xml:space="preserve">available at </w:t>
      </w:r>
      <w:hyperlink r:id="rId22" w:history="1">
        <w:r w:rsidRPr="009C34EA">
          <w:rPr>
            <w:rStyle w:val="Hyperlink"/>
          </w:rPr>
          <w:t>https://www.nyc.gov/site/nycha/residents/micromobility.page</w:t>
        </w:r>
      </w:hyperlink>
      <w:r>
        <w:t xml:space="preserve">. </w:t>
      </w:r>
    </w:p>
  </w:footnote>
  <w:footnote w:id="55">
    <w:p w14:paraId="0F3D321B" w14:textId="4550121C" w:rsidR="0073005C" w:rsidRDefault="0073005C" w:rsidP="00067819">
      <w:pPr>
        <w:pStyle w:val="FootnoteText"/>
      </w:pPr>
      <w:r>
        <w:rPr>
          <w:rStyle w:val="FootnoteReference"/>
        </w:rPr>
        <w:footnoteRef/>
      </w:r>
      <w:r>
        <w:t xml:space="preserve"> </w:t>
      </w:r>
      <w:r w:rsidR="00F55734" w:rsidRPr="0067085F">
        <w:rPr>
          <w:i/>
        </w:rPr>
        <w:t>Id</w:t>
      </w:r>
      <w:r w:rsidR="000F100C" w:rsidRPr="0067085F">
        <w:rPr>
          <w:i/>
        </w:rPr>
        <w:t>.</w:t>
      </w:r>
    </w:p>
  </w:footnote>
  <w:footnote w:id="56">
    <w:p w14:paraId="52E9178E" w14:textId="239EE208" w:rsidR="0073005C" w:rsidRDefault="0073005C">
      <w:pPr>
        <w:pStyle w:val="FootnoteText"/>
      </w:pPr>
      <w:r>
        <w:rPr>
          <w:rStyle w:val="FootnoteReference"/>
        </w:rPr>
        <w:footnoteRef/>
      </w:r>
      <w:r>
        <w:t xml:space="preserve"> </w:t>
      </w:r>
      <w:r w:rsidRPr="00FD7391">
        <w:rPr>
          <w:i/>
        </w:rPr>
        <w:t>Id.</w:t>
      </w:r>
    </w:p>
  </w:footnote>
  <w:footnote w:id="57">
    <w:p w14:paraId="39B7F161" w14:textId="4BCC427D" w:rsidR="0073005C" w:rsidRDefault="0073005C" w:rsidP="00067819">
      <w:pPr>
        <w:pStyle w:val="FootnoteText"/>
      </w:pPr>
      <w:r>
        <w:rPr>
          <w:rStyle w:val="FootnoteReference"/>
        </w:rPr>
        <w:footnoteRef/>
      </w:r>
      <w:r>
        <w:t xml:space="preserve"> </w:t>
      </w:r>
      <w:r w:rsidR="00F55734">
        <w:t xml:space="preserve">New York City Housing Authority, Notice of Proposed Policies for and Prohibition of Certain Electric Micromobility Vehicles and Devices in NYCHA Buildings, 11/01/2023, </w:t>
      </w:r>
      <w:r w:rsidR="00F55734" w:rsidRPr="00612B49">
        <w:rPr>
          <w:i/>
        </w:rPr>
        <w:t xml:space="preserve">available at </w:t>
      </w:r>
      <w:hyperlink r:id="rId23" w:history="1">
        <w:r w:rsidR="00F55734" w:rsidRPr="009C34EA">
          <w:rPr>
            <w:rStyle w:val="Hyperlink"/>
          </w:rPr>
          <w:t>https://www.nyc.gov/site/nycha/residents/micromobility.page</w:t>
        </w:r>
      </w:hyperlink>
      <w:r w:rsidR="00F55734">
        <w:t xml:space="preserve">. </w:t>
      </w:r>
    </w:p>
  </w:footnote>
  <w:footnote w:id="58">
    <w:p w14:paraId="7B44A9B4" w14:textId="4AAAE2CD" w:rsidR="0073005C" w:rsidRDefault="0073005C">
      <w:pPr>
        <w:pStyle w:val="FootnoteText"/>
      </w:pPr>
      <w:r>
        <w:rPr>
          <w:rStyle w:val="FootnoteReference"/>
        </w:rPr>
        <w:footnoteRef/>
      </w:r>
      <w:r>
        <w:t xml:space="preserve"> </w:t>
      </w:r>
      <w:r w:rsidRPr="00793A93">
        <w:rPr>
          <w:i/>
        </w:rPr>
        <w:t>Id.</w:t>
      </w:r>
    </w:p>
  </w:footnote>
  <w:footnote w:id="59">
    <w:p w14:paraId="60B3D939" w14:textId="77777777" w:rsidR="0073005C" w:rsidRDefault="0073005C" w:rsidP="00067819">
      <w:pPr>
        <w:pStyle w:val="FootnoteText"/>
      </w:pPr>
      <w:r>
        <w:rPr>
          <w:rStyle w:val="FootnoteReference"/>
        </w:rPr>
        <w:footnoteRef/>
      </w:r>
      <w:r>
        <w:t xml:space="preserve"> </w:t>
      </w:r>
      <w:r w:rsidRPr="00FD7391">
        <w:rPr>
          <w:i/>
        </w:rPr>
        <w:t>Id.</w:t>
      </w:r>
    </w:p>
  </w:footnote>
  <w:footnote w:id="60">
    <w:p w14:paraId="6EA14861" w14:textId="77777777" w:rsidR="0073005C" w:rsidRDefault="0073005C" w:rsidP="00067819">
      <w:pPr>
        <w:pStyle w:val="FootnoteText"/>
      </w:pPr>
      <w:r>
        <w:rPr>
          <w:rStyle w:val="FootnoteReference"/>
        </w:rPr>
        <w:footnoteRef/>
      </w:r>
      <w:r>
        <w:t xml:space="preserve"> </w:t>
      </w:r>
      <w:r w:rsidRPr="00FD7391">
        <w:rPr>
          <w:i/>
        </w:rPr>
        <w:t>Id.</w:t>
      </w:r>
    </w:p>
  </w:footnote>
  <w:footnote w:id="61">
    <w:p w14:paraId="7E10BEF8" w14:textId="550A1272" w:rsidR="00526D3A" w:rsidRPr="00526D3A" w:rsidRDefault="00526D3A">
      <w:pPr>
        <w:pStyle w:val="FootnoteText"/>
      </w:pPr>
      <w:r>
        <w:rPr>
          <w:rStyle w:val="FootnoteReference"/>
        </w:rPr>
        <w:footnoteRef/>
      </w:r>
      <w:r>
        <w:t xml:space="preserve"> Quinn, Anna, </w:t>
      </w:r>
      <w:r>
        <w:rPr>
          <w:i/>
        </w:rPr>
        <w:t>No Smoke Alarm At Bed-Stuy NYCHA Complex Where Fire Hurt 2: FDNY</w:t>
      </w:r>
      <w:r>
        <w:t xml:space="preserve"> (Nov. 22, 2021, 11:28 AM), </w:t>
      </w:r>
      <w:r>
        <w:rPr>
          <w:i/>
        </w:rPr>
        <w:t xml:space="preserve">available at </w:t>
      </w:r>
      <w:r w:rsidRPr="00612B49">
        <w:t>https://patch.com/new-york/bed-stuy/no-smoke-alarm-bed-stuy-nycha-complex-where-fire-hurt-2-fdny</w:t>
      </w:r>
      <w:r>
        <w:t>.</w:t>
      </w:r>
    </w:p>
  </w:footnote>
  <w:footnote w:id="62">
    <w:p w14:paraId="1F00F22F" w14:textId="281B5F94" w:rsidR="00526D3A" w:rsidRPr="00526D3A" w:rsidRDefault="00526D3A">
      <w:pPr>
        <w:pStyle w:val="FootnoteText"/>
      </w:pPr>
      <w:r>
        <w:rPr>
          <w:rStyle w:val="FootnoteReference"/>
        </w:rPr>
        <w:footnoteRef/>
      </w:r>
      <w:r>
        <w:t xml:space="preserve"> </w:t>
      </w:r>
      <w:r>
        <w:rPr>
          <w:i/>
        </w:rPr>
        <w:t>Id.</w:t>
      </w:r>
    </w:p>
  </w:footnote>
  <w:footnote w:id="63">
    <w:p w14:paraId="18E340CB" w14:textId="1B7AFB6B" w:rsidR="00526D3A" w:rsidRPr="00526D3A" w:rsidRDefault="00526D3A">
      <w:pPr>
        <w:pStyle w:val="FootnoteText"/>
      </w:pPr>
      <w:r>
        <w:rPr>
          <w:rStyle w:val="FootnoteReference"/>
        </w:rPr>
        <w:footnoteRef/>
      </w:r>
      <w:r>
        <w:t xml:space="preserve"> Woods, Amanda, </w:t>
      </w:r>
      <w:r>
        <w:rPr>
          <w:i/>
        </w:rPr>
        <w:t xml:space="preserve">72-year-old woman killed in NYCHA apartment fire in Manhattan </w:t>
      </w:r>
      <w:r>
        <w:t xml:space="preserve">(Deb. 18, 2021, 11:59 AM), </w:t>
      </w:r>
      <w:r>
        <w:rPr>
          <w:i/>
        </w:rPr>
        <w:t xml:space="preserve">available at </w:t>
      </w:r>
      <w:r w:rsidRPr="00612B49">
        <w:t>https://nypost.com/2021/02/18/72-year-old-woman-killed-in-nycha-apartment-fire-in-nyc/</w:t>
      </w:r>
      <w:r>
        <w:t>.</w:t>
      </w:r>
    </w:p>
  </w:footnote>
  <w:footnote w:id="64">
    <w:p w14:paraId="04FA8B11" w14:textId="63C8E127" w:rsidR="0066377F" w:rsidRPr="0066377F" w:rsidRDefault="0066377F">
      <w:pPr>
        <w:pStyle w:val="FootnoteText"/>
      </w:pPr>
      <w:r>
        <w:rPr>
          <w:rStyle w:val="FootnoteReference"/>
        </w:rPr>
        <w:footnoteRef/>
      </w:r>
      <w:r>
        <w:t xml:space="preserve"> Offenhartz, Jake, </w:t>
      </w:r>
      <w:r>
        <w:rPr>
          <w:i/>
        </w:rPr>
        <w:t>After Ultimatum, NYCHA Addresses ‘Unconscionable’ Conditions For Brooklyn Seniors</w:t>
      </w:r>
      <w:r>
        <w:t xml:space="preserve"> (Gothamist, Oct. 24, 2019), </w:t>
      </w:r>
      <w:r>
        <w:rPr>
          <w:i/>
        </w:rPr>
        <w:t xml:space="preserve">available at </w:t>
      </w:r>
      <w:r w:rsidRPr="00612B49">
        <w:t>https://gothamist.com/news/after-ultimatum-nycha-addresses-unconscionable-conditions-brooklyn-seniors</w:t>
      </w:r>
      <w:r>
        <w:t>.</w:t>
      </w:r>
    </w:p>
  </w:footnote>
  <w:footnote w:id="65">
    <w:p w14:paraId="4596C57F" w14:textId="592EC9DD" w:rsidR="00E90901" w:rsidRPr="00E90901" w:rsidRDefault="00E90901">
      <w:pPr>
        <w:pStyle w:val="FootnoteText"/>
      </w:pPr>
      <w:r>
        <w:rPr>
          <w:rStyle w:val="FootnoteReference"/>
        </w:rPr>
        <w:footnoteRef/>
      </w:r>
      <w:r>
        <w:t xml:space="preserve"> </w:t>
      </w:r>
      <w:r>
        <w:rPr>
          <w:i/>
        </w:rPr>
        <w:t>Id.</w:t>
      </w:r>
    </w:p>
  </w:footnote>
  <w:footnote w:id="66">
    <w:p w14:paraId="105AED68" w14:textId="2EC6F121" w:rsidR="00E90901" w:rsidRPr="00E90901" w:rsidRDefault="00E90901">
      <w:pPr>
        <w:pStyle w:val="FootnoteText"/>
      </w:pPr>
      <w:r>
        <w:rPr>
          <w:rStyle w:val="FootnoteReference"/>
        </w:rPr>
        <w:footnoteRef/>
      </w:r>
      <w:r>
        <w:t xml:space="preserve"> CBS New York, </w:t>
      </w:r>
      <w:r>
        <w:rPr>
          <w:i/>
        </w:rPr>
        <w:t xml:space="preserve"> NYCHA Apartment Fire Leaves 1 Dead, 93-Year-Old Injured in East Harlem</w:t>
      </w:r>
      <w:r>
        <w:t xml:space="preserve"> (Mar. 1, 2019, 1:58 PM), </w:t>
      </w:r>
      <w:r>
        <w:rPr>
          <w:i/>
        </w:rPr>
        <w:t xml:space="preserve">available at </w:t>
      </w:r>
      <w:r w:rsidRPr="00612B49">
        <w:t>https://www.cbsnews.com/newyork/news/nycha-apartment-fire-2-injured/</w:t>
      </w:r>
      <w:r>
        <w:t>.</w:t>
      </w:r>
    </w:p>
  </w:footnote>
  <w:footnote w:id="67">
    <w:p w14:paraId="79A8A88E" w14:textId="18335392" w:rsidR="00E90901" w:rsidRPr="00E90901" w:rsidRDefault="00E90901">
      <w:pPr>
        <w:pStyle w:val="FootnoteText"/>
      </w:pPr>
      <w:r>
        <w:rPr>
          <w:rStyle w:val="FootnoteReference"/>
        </w:rPr>
        <w:footnoteRef/>
      </w:r>
      <w:r>
        <w:t xml:space="preserve"> </w:t>
      </w:r>
      <w:r>
        <w:rPr>
          <w:i/>
        </w:rPr>
        <w:t>Id.</w:t>
      </w:r>
    </w:p>
  </w:footnote>
  <w:footnote w:id="68">
    <w:p w14:paraId="65A95B84" w14:textId="0F07F4DE" w:rsidR="0073005C" w:rsidRDefault="0073005C" w:rsidP="009A0E19">
      <w:pPr>
        <w:pStyle w:val="FootnoteText"/>
      </w:pPr>
      <w:r>
        <w:rPr>
          <w:rStyle w:val="FootnoteReference"/>
        </w:rPr>
        <w:footnoteRef/>
      </w:r>
      <w:r>
        <w:t xml:space="preserve"> </w:t>
      </w:r>
      <w:r w:rsidR="00930FD4">
        <w:t xml:space="preserve">Testimony submitted to the New York City Council Public Housing Committee, </w:t>
      </w:r>
      <w:r w:rsidR="00930FD4" w:rsidRPr="00307579">
        <w:t>Oversight - Public Safety at NYCHA</w:t>
      </w:r>
      <w:r w:rsidR="00930FD4">
        <w:t xml:space="preserve">, 2/24/2021, </w:t>
      </w:r>
      <w:r w:rsidR="00930FD4" w:rsidRPr="00965314">
        <w:rPr>
          <w:i/>
        </w:rPr>
        <w:t>available at</w:t>
      </w:r>
      <w:r w:rsidR="00930FD4" w:rsidRPr="00307579">
        <w:t xml:space="preserve"> </w:t>
      </w:r>
      <w:hyperlink r:id="rId24" w:history="1">
        <w:r w:rsidR="00930FD4" w:rsidRPr="00EB71D5">
          <w:rPr>
            <w:rStyle w:val="Hyperlink"/>
          </w:rPr>
          <w:t>https://legistar.council.nyc.gov/LegislationDetail.aspx?ID=4773232&amp;GUID=F6FD2DE3-2B02-4165-BF88-9714DDE19C32&amp;Options=&amp;Search</w:t>
        </w:r>
      </w:hyperlink>
      <w:r w:rsidR="00930FD4" w:rsidRPr="00E42F32">
        <w:t>=</w:t>
      </w:r>
      <w:r w:rsidR="00930FD4">
        <w:t xml:space="preserve">.  </w:t>
      </w:r>
    </w:p>
  </w:footnote>
  <w:footnote w:id="69">
    <w:p w14:paraId="2D28BECE" w14:textId="7F7DFA7F" w:rsidR="0073005C" w:rsidRDefault="0073005C" w:rsidP="009A0E19">
      <w:pPr>
        <w:pStyle w:val="FootnoteText"/>
      </w:pPr>
      <w:r>
        <w:rPr>
          <w:rStyle w:val="FootnoteReference"/>
        </w:rPr>
        <w:footnoteRef/>
      </w:r>
      <w:r>
        <w:t xml:space="preserve"> </w:t>
      </w:r>
      <w:r w:rsidRPr="00FD7391">
        <w:rPr>
          <w:i/>
        </w:rPr>
        <w:t>Id.</w:t>
      </w:r>
    </w:p>
  </w:footnote>
  <w:footnote w:id="70">
    <w:p w14:paraId="0F2CB53D" w14:textId="7F47F090" w:rsidR="0073005C" w:rsidRDefault="0073005C" w:rsidP="009A0E19">
      <w:pPr>
        <w:pStyle w:val="FootnoteText"/>
      </w:pPr>
      <w:r>
        <w:rPr>
          <w:rStyle w:val="FootnoteReference"/>
        </w:rPr>
        <w:footnoteRef/>
      </w:r>
      <w:r>
        <w:t xml:space="preserve"> </w:t>
      </w:r>
      <w:r w:rsidRPr="00FD7391">
        <w:rPr>
          <w:i/>
        </w:rPr>
        <w:t>Id.</w:t>
      </w:r>
    </w:p>
  </w:footnote>
  <w:footnote w:id="71">
    <w:p w14:paraId="413194D1" w14:textId="075039C8" w:rsidR="0073005C" w:rsidRDefault="0073005C" w:rsidP="009A0E19">
      <w:pPr>
        <w:pStyle w:val="FootnoteText"/>
      </w:pPr>
      <w:r>
        <w:rPr>
          <w:rStyle w:val="FootnoteReference"/>
        </w:rPr>
        <w:footnoteRef/>
      </w:r>
      <w:r>
        <w:t xml:space="preserve"> </w:t>
      </w:r>
      <w:r w:rsidR="00930FD4">
        <w:t xml:space="preserve">Testimony submitted to the New York City Council Public Housing Committee, </w:t>
      </w:r>
      <w:r w:rsidR="00930FD4" w:rsidRPr="00307579">
        <w:t>Oversight - Public Safety at NYCHA</w:t>
      </w:r>
      <w:r w:rsidR="00930FD4">
        <w:t xml:space="preserve">, 2/24/2021, </w:t>
      </w:r>
      <w:r w:rsidR="00930FD4" w:rsidRPr="00965314">
        <w:rPr>
          <w:i/>
        </w:rPr>
        <w:t>available at</w:t>
      </w:r>
      <w:r w:rsidR="00930FD4" w:rsidRPr="00307579">
        <w:t xml:space="preserve"> </w:t>
      </w:r>
      <w:hyperlink r:id="rId25" w:history="1">
        <w:r w:rsidR="00930FD4" w:rsidRPr="00EB71D5">
          <w:rPr>
            <w:rStyle w:val="Hyperlink"/>
          </w:rPr>
          <w:t>https://legistar.council.nyc.gov/LegislationDetail.aspx?ID=4773232&amp;GUID=F6FD2DE3-2B02-4165-BF88-9714DDE19C32&amp;Options=&amp;Search</w:t>
        </w:r>
      </w:hyperlink>
      <w:r w:rsidR="00930FD4" w:rsidRPr="00E42F32">
        <w:t>=</w:t>
      </w:r>
      <w:r w:rsidR="00930FD4">
        <w:t xml:space="preserve">.  </w:t>
      </w:r>
    </w:p>
  </w:footnote>
  <w:footnote w:id="72">
    <w:p w14:paraId="2626DD7C" w14:textId="0C6F8FA1" w:rsidR="0073005C" w:rsidRDefault="0073005C" w:rsidP="009A0E19">
      <w:pPr>
        <w:pStyle w:val="FootnoteText"/>
      </w:pPr>
      <w:r>
        <w:rPr>
          <w:rStyle w:val="FootnoteReference"/>
        </w:rPr>
        <w:footnoteRef/>
      </w:r>
      <w:r>
        <w:t xml:space="preserve"> </w:t>
      </w:r>
      <w:r w:rsidRPr="00FD7391">
        <w:rPr>
          <w:i/>
        </w:rPr>
        <w:t>Id.</w:t>
      </w:r>
    </w:p>
  </w:footnote>
  <w:footnote w:id="73">
    <w:p w14:paraId="3C0BA36E" w14:textId="766CD167" w:rsidR="0073005C" w:rsidRDefault="0073005C" w:rsidP="009A0E19">
      <w:pPr>
        <w:pStyle w:val="FootnoteText"/>
      </w:pPr>
      <w:r>
        <w:rPr>
          <w:rStyle w:val="FootnoteReference"/>
        </w:rPr>
        <w:footnoteRef/>
      </w:r>
      <w:r>
        <w:t xml:space="preserve"> Hon. Brad Lander, Observations of Building Doors in NYCHA Developments, Office of the Comptroller, September 20,2022, </w:t>
      </w:r>
      <w:r w:rsidRPr="00126116">
        <w:rPr>
          <w:i/>
        </w:rPr>
        <w:t xml:space="preserve">available at </w:t>
      </w:r>
      <w:hyperlink r:id="rId26" w:history="1">
        <w:r w:rsidRPr="00A41DA7">
          <w:rPr>
            <w:rStyle w:val="Hyperlink"/>
          </w:rPr>
          <w:t>https://comptroller.nyc.gov/wp-content/uploads/documents/FK23_069S.pdf</w:t>
        </w:r>
      </w:hyperlink>
      <w:r>
        <w:rPr>
          <w:rStyle w:val="Hyperlink"/>
        </w:rPr>
        <w:t xml:space="preserve">. </w:t>
      </w:r>
      <w:r>
        <w:t xml:space="preserve"> </w:t>
      </w:r>
    </w:p>
  </w:footnote>
  <w:footnote w:id="74">
    <w:p w14:paraId="4DFA4F25" w14:textId="7389B6AC" w:rsidR="0073005C" w:rsidRDefault="0073005C">
      <w:pPr>
        <w:pStyle w:val="FootnoteText"/>
      </w:pPr>
      <w:r>
        <w:rPr>
          <w:rStyle w:val="FootnoteReference"/>
        </w:rPr>
        <w:footnoteRef/>
      </w:r>
      <w:r>
        <w:t xml:space="preserve"> </w:t>
      </w:r>
      <w:r w:rsidR="00612B49">
        <w:t xml:space="preserve">Hon. Brad Lander, Observations of Building Doors in NYCHA Developments, Office of the Comptroller, September 20,2022, </w:t>
      </w:r>
      <w:r w:rsidR="00612B49" w:rsidRPr="0067085F">
        <w:rPr>
          <w:i/>
        </w:rPr>
        <w:t xml:space="preserve">available at </w:t>
      </w:r>
      <w:hyperlink r:id="rId27" w:history="1">
        <w:r w:rsidR="00612B49" w:rsidRPr="00A41DA7">
          <w:rPr>
            <w:rStyle w:val="Hyperlink"/>
          </w:rPr>
          <w:t>https://comptroller.nyc.gov/wp-content/uploads/documents/FK23_069S.pdf</w:t>
        </w:r>
      </w:hyperlink>
      <w:r w:rsidR="00612B49">
        <w:rPr>
          <w:rStyle w:val="Hyperlink"/>
        </w:rPr>
        <w:t xml:space="preserve">. </w:t>
      </w:r>
      <w:r w:rsidR="00612B49">
        <w:t xml:space="preserve"> </w:t>
      </w:r>
    </w:p>
  </w:footnote>
  <w:footnote w:id="75">
    <w:p w14:paraId="25899472" w14:textId="65A1B4B1" w:rsidR="0073005C" w:rsidRDefault="0073005C" w:rsidP="009A0E19">
      <w:pPr>
        <w:pStyle w:val="FootnoteText"/>
      </w:pPr>
      <w:r>
        <w:rPr>
          <w:rStyle w:val="FootnoteReference"/>
        </w:rPr>
        <w:footnoteRef/>
      </w:r>
      <w:r>
        <w:t xml:space="preserve"> </w:t>
      </w:r>
      <w:r w:rsidRPr="00FD7391">
        <w:rPr>
          <w:i/>
        </w:rPr>
        <w:t>Id.</w:t>
      </w:r>
    </w:p>
  </w:footnote>
  <w:footnote w:id="76">
    <w:p w14:paraId="2A1098F4" w14:textId="1C255C79" w:rsidR="0073005C" w:rsidRDefault="0073005C" w:rsidP="009A0E19">
      <w:pPr>
        <w:pStyle w:val="FootnoteText"/>
      </w:pPr>
      <w:r>
        <w:rPr>
          <w:rStyle w:val="FootnoteReference"/>
        </w:rPr>
        <w:footnoteRef/>
      </w:r>
      <w:r>
        <w:t xml:space="preserve"> </w:t>
      </w:r>
      <w:r w:rsidRPr="00FD7391">
        <w:rPr>
          <w:i/>
        </w:rPr>
        <w:t>Id.</w:t>
      </w:r>
    </w:p>
  </w:footnote>
  <w:footnote w:id="77">
    <w:p w14:paraId="32319892" w14:textId="7B4AEB9F" w:rsidR="0073005C" w:rsidRDefault="0073005C" w:rsidP="00415374">
      <w:pPr>
        <w:pStyle w:val="FootnoteText"/>
      </w:pPr>
      <w:r>
        <w:rPr>
          <w:rStyle w:val="FootnoteReference"/>
        </w:rPr>
        <w:footnoteRef/>
      </w:r>
      <w:r>
        <w:t xml:space="preserve"> </w:t>
      </w:r>
      <w:r w:rsidRPr="00FD7391">
        <w:rPr>
          <w:i/>
        </w:rPr>
        <w:t>Id.</w:t>
      </w:r>
    </w:p>
  </w:footnote>
  <w:footnote w:id="78">
    <w:p w14:paraId="33B6E325" w14:textId="6B12A815" w:rsidR="0073005C" w:rsidRDefault="0073005C" w:rsidP="00415374">
      <w:pPr>
        <w:pStyle w:val="FootnoteText"/>
      </w:pPr>
      <w:r>
        <w:rPr>
          <w:rStyle w:val="FootnoteReference"/>
        </w:rPr>
        <w:footnoteRef/>
      </w:r>
      <w:r>
        <w:t xml:space="preserve"> </w:t>
      </w:r>
      <w:r w:rsidR="00F55734" w:rsidRPr="0067085F">
        <w:rPr>
          <w:i/>
        </w:rPr>
        <w:t>Id.</w:t>
      </w:r>
    </w:p>
  </w:footnote>
  <w:footnote w:id="79">
    <w:p w14:paraId="0A34CE92" w14:textId="4CBBBF62" w:rsidR="0073005C" w:rsidRDefault="0073005C" w:rsidP="00415374">
      <w:pPr>
        <w:pStyle w:val="FootnoteText"/>
      </w:pPr>
      <w:r>
        <w:rPr>
          <w:rStyle w:val="FootnoteReference"/>
        </w:rPr>
        <w:footnoteRef/>
      </w:r>
      <w:r>
        <w:t xml:space="preserve"> </w:t>
      </w:r>
      <w:r w:rsidRPr="00FD7391">
        <w:rPr>
          <w:i/>
        </w:rPr>
        <w:t>Id.</w:t>
      </w:r>
    </w:p>
  </w:footnote>
  <w:footnote w:id="80">
    <w:p w14:paraId="26E57F7F" w14:textId="5C568685" w:rsidR="0073005C" w:rsidRDefault="0073005C" w:rsidP="00415374">
      <w:pPr>
        <w:pStyle w:val="FootnoteText"/>
      </w:pPr>
      <w:r>
        <w:rPr>
          <w:rStyle w:val="FootnoteReference"/>
        </w:rPr>
        <w:footnoteRef/>
      </w:r>
      <w:r>
        <w:t xml:space="preserve"> </w:t>
      </w:r>
      <w:r w:rsidR="00612B49" w:rsidRPr="00612B49">
        <w:rPr>
          <w:i/>
        </w:rPr>
        <w:t>Id.</w:t>
      </w:r>
      <w:r w:rsidR="00F55734">
        <w:t xml:space="preserve"> </w:t>
      </w:r>
    </w:p>
  </w:footnote>
  <w:footnote w:id="81">
    <w:p w14:paraId="4D58F76A" w14:textId="3B832598" w:rsidR="0073005C" w:rsidRDefault="0073005C" w:rsidP="00415374">
      <w:pPr>
        <w:pStyle w:val="FootnoteText"/>
      </w:pPr>
      <w:r>
        <w:rPr>
          <w:rStyle w:val="FootnoteReference"/>
        </w:rPr>
        <w:footnoteRef/>
      </w:r>
      <w:r>
        <w:t xml:space="preserve"> </w:t>
      </w:r>
      <w:r w:rsidRPr="00FD7391">
        <w:rPr>
          <w:i/>
        </w:rPr>
        <w:t>Id.</w:t>
      </w:r>
    </w:p>
  </w:footnote>
  <w:footnote w:id="82">
    <w:p w14:paraId="0ED2AFB9" w14:textId="6ADE232E" w:rsidR="0073005C" w:rsidRDefault="0073005C" w:rsidP="00415374">
      <w:pPr>
        <w:pStyle w:val="FootnoteText"/>
      </w:pPr>
      <w:r>
        <w:rPr>
          <w:rStyle w:val="FootnoteReference"/>
        </w:rPr>
        <w:footnoteRef/>
      </w:r>
      <w:r>
        <w:t xml:space="preserve"> </w:t>
      </w:r>
      <w:r w:rsidR="00612B49">
        <w:t xml:space="preserve">Hon. Brad Lander, Observations of Building Doors in NYCHA Developments, Office of the Comptroller, September 20,2022, </w:t>
      </w:r>
      <w:r w:rsidR="00612B49" w:rsidRPr="0067085F">
        <w:rPr>
          <w:i/>
        </w:rPr>
        <w:t xml:space="preserve">available at </w:t>
      </w:r>
      <w:hyperlink r:id="rId28" w:history="1">
        <w:r w:rsidR="00612B49" w:rsidRPr="00A41DA7">
          <w:rPr>
            <w:rStyle w:val="Hyperlink"/>
          </w:rPr>
          <w:t>https://comptroller.nyc.gov/wp-content/uploads/documents/FK23_069S.pdf</w:t>
        </w:r>
      </w:hyperlink>
      <w:r w:rsidR="00612B49">
        <w:rPr>
          <w:rStyle w:val="Hyperlink"/>
        </w:rPr>
        <w:t xml:space="preserve">. </w:t>
      </w:r>
      <w:r w:rsidR="00612B49">
        <w:t xml:space="preserve"> </w:t>
      </w:r>
    </w:p>
  </w:footnote>
  <w:footnote w:id="83">
    <w:p w14:paraId="691873E6" w14:textId="7C7A3C4C" w:rsidR="0073005C" w:rsidRDefault="0073005C" w:rsidP="00415374">
      <w:pPr>
        <w:pStyle w:val="FootnoteText"/>
      </w:pPr>
      <w:r>
        <w:rPr>
          <w:rStyle w:val="FootnoteReference"/>
        </w:rPr>
        <w:footnoteRef/>
      </w:r>
      <w:r>
        <w:t xml:space="preserve"> </w:t>
      </w:r>
      <w:r w:rsidRPr="00FD7391">
        <w:rPr>
          <w:i/>
        </w:rPr>
        <w:t>Id.</w:t>
      </w:r>
    </w:p>
  </w:footnote>
  <w:footnote w:id="84">
    <w:p w14:paraId="6A2328F3" w14:textId="2C3F9B91" w:rsidR="0073005C" w:rsidRDefault="0073005C" w:rsidP="00415374">
      <w:pPr>
        <w:pStyle w:val="FootnoteText"/>
      </w:pPr>
      <w:r>
        <w:rPr>
          <w:rStyle w:val="FootnoteReference"/>
        </w:rPr>
        <w:footnoteRef/>
      </w:r>
      <w:r>
        <w:t xml:space="preserve"> </w:t>
      </w:r>
      <w:r w:rsidR="00F55734" w:rsidRPr="0067085F">
        <w:rPr>
          <w:i/>
        </w:rPr>
        <w:t>Id.</w:t>
      </w:r>
    </w:p>
  </w:footnote>
  <w:footnote w:id="85">
    <w:p w14:paraId="61E6EFC8" w14:textId="23206EF4" w:rsidR="0073005C" w:rsidRPr="008F2700" w:rsidRDefault="0073005C" w:rsidP="00415374">
      <w:pPr>
        <w:pStyle w:val="FootnoteText"/>
        <w:rPr>
          <w:i/>
        </w:rPr>
      </w:pPr>
      <w:r>
        <w:rPr>
          <w:rStyle w:val="FootnoteReference"/>
        </w:rPr>
        <w:footnoteRef/>
      </w:r>
      <w:r>
        <w:t xml:space="preserve"> </w:t>
      </w:r>
      <w:r w:rsidR="00F55734">
        <w:t xml:space="preserve">Hon. Brad Lander, Observations of Building Doors in NYCHA Developments, Office of the Comptroller, September 20,2022, </w:t>
      </w:r>
      <w:r w:rsidR="00F55734" w:rsidRPr="00965314">
        <w:rPr>
          <w:i/>
        </w:rPr>
        <w:t>available at</w:t>
      </w:r>
      <w:r w:rsidR="00F55734">
        <w:t xml:space="preserve"> </w:t>
      </w:r>
      <w:hyperlink r:id="rId29" w:history="1">
        <w:r w:rsidR="00F55734" w:rsidRPr="006F2BC7">
          <w:rPr>
            <w:rStyle w:val="Hyperlink"/>
          </w:rPr>
          <w:t>https://comptroller.nyc.gov/wp-content/uploads/documents/FK23_069S.pdf</w:t>
        </w:r>
      </w:hyperlink>
      <w:r w:rsidR="00F55734">
        <w:t xml:space="preserve">. </w:t>
      </w:r>
    </w:p>
  </w:footnote>
  <w:footnote w:id="86">
    <w:p w14:paraId="69E7E9F2" w14:textId="77777777" w:rsidR="0073005C" w:rsidRDefault="0073005C" w:rsidP="009A0E19">
      <w:pPr>
        <w:pStyle w:val="FootnoteText"/>
      </w:pPr>
      <w:r>
        <w:rPr>
          <w:rStyle w:val="FootnoteReference"/>
        </w:rPr>
        <w:footnoteRef/>
      </w:r>
      <w:r>
        <w:t xml:space="preserve"> New York City Housing Authority, Eligibility, </w:t>
      </w:r>
      <w:r w:rsidRPr="00126116">
        <w:rPr>
          <w:i/>
        </w:rPr>
        <w:t>available at</w:t>
      </w:r>
      <w:r>
        <w:t xml:space="preserve"> </w:t>
      </w:r>
      <w:hyperlink r:id="rId30" w:history="1">
        <w:r w:rsidRPr="008776B8">
          <w:rPr>
            <w:rStyle w:val="Hyperlink"/>
          </w:rPr>
          <w:t>https://www.nyc.gov/site/nycha/eligibility/eligibility.page</w:t>
        </w:r>
      </w:hyperlink>
      <w:r>
        <w:t xml:space="preserve">. </w:t>
      </w:r>
    </w:p>
  </w:footnote>
  <w:footnote w:id="87">
    <w:p w14:paraId="0106D32B" w14:textId="1E804777" w:rsidR="0073005C" w:rsidRDefault="0073005C" w:rsidP="009A0E19">
      <w:pPr>
        <w:pStyle w:val="FootnoteText"/>
      </w:pPr>
      <w:r>
        <w:rPr>
          <w:rStyle w:val="FootnoteReference"/>
        </w:rPr>
        <w:footnoteRef/>
      </w:r>
      <w:r>
        <w:t xml:space="preserve"> </w:t>
      </w:r>
      <w:r w:rsidRPr="00771695">
        <w:rPr>
          <w:i/>
        </w:rPr>
        <w:t>See</w:t>
      </w:r>
      <w:r w:rsidRPr="00771695">
        <w:t xml:space="preserve"> NYCHA Fact Sheet, last accessed on </w:t>
      </w:r>
      <w:r>
        <w:t>11/21/</w:t>
      </w:r>
      <w:r w:rsidRPr="00771695">
        <w:t xml:space="preserve">2023, </w:t>
      </w:r>
      <w:r w:rsidRPr="00771695">
        <w:rPr>
          <w:i/>
        </w:rPr>
        <w:t>available at https://www.nyc.gov/assets/nycha/downloads/pdf/NYCHA-Fact-Sheet-2023.pdf.</w:t>
      </w:r>
    </w:p>
  </w:footnote>
  <w:footnote w:id="88">
    <w:p w14:paraId="7DDFBB76" w14:textId="77777777" w:rsidR="0073005C" w:rsidRDefault="0073005C" w:rsidP="009A0E19">
      <w:pPr>
        <w:pStyle w:val="FootnoteText"/>
      </w:pPr>
      <w:r>
        <w:rPr>
          <w:rStyle w:val="FootnoteReference"/>
        </w:rPr>
        <w:footnoteRef/>
      </w:r>
      <w:r>
        <w:t xml:space="preserve"> New York City Housing Authority, Senior Programs, </w:t>
      </w:r>
      <w:r w:rsidRPr="00126116">
        <w:rPr>
          <w:i/>
        </w:rPr>
        <w:t>available at</w:t>
      </w:r>
      <w:r>
        <w:t xml:space="preserve"> </w:t>
      </w:r>
      <w:hyperlink r:id="rId31" w:history="1">
        <w:r w:rsidRPr="008776B8">
          <w:rPr>
            <w:rStyle w:val="Hyperlink"/>
          </w:rPr>
          <w:t>https://www.nyc.gov/site/nycha/residents/senior-programs.page</w:t>
        </w:r>
      </w:hyperlink>
      <w:r>
        <w:t xml:space="preserve">. </w:t>
      </w:r>
    </w:p>
  </w:footnote>
  <w:footnote w:id="89">
    <w:p w14:paraId="0B278978" w14:textId="450BC525" w:rsidR="0073005C" w:rsidRDefault="0073005C" w:rsidP="009A0E19">
      <w:pPr>
        <w:pStyle w:val="FootnoteText"/>
      </w:pPr>
      <w:r>
        <w:rPr>
          <w:rStyle w:val="FootnoteReference"/>
        </w:rPr>
        <w:footnoteRef/>
      </w:r>
      <w:r>
        <w:t xml:space="preserve"> </w:t>
      </w:r>
      <w:r w:rsidRPr="00793A93">
        <w:rPr>
          <w:i/>
        </w:rPr>
        <w:t>Id.</w:t>
      </w:r>
      <w:r>
        <w:t xml:space="preserve"> </w:t>
      </w:r>
    </w:p>
  </w:footnote>
  <w:footnote w:id="90">
    <w:p w14:paraId="06D17951" w14:textId="273623DC" w:rsidR="0073005C" w:rsidRDefault="0073005C" w:rsidP="009A0E19">
      <w:pPr>
        <w:pStyle w:val="FootnoteText"/>
      </w:pPr>
      <w:r>
        <w:rPr>
          <w:rStyle w:val="FootnoteReference"/>
        </w:rPr>
        <w:footnoteRef/>
      </w:r>
      <w:r>
        <w:t xml:space="preserve"> </w:t>
      </w:r>
      <w:r w:rsidR="008F2700">
        <w:t xml:space="preserve">New York City Housing Authority, Senior Programs, </w:t>
      </w:r>
      <w:r w:rsidR="008F2700" w:rsidRPr="0067085F">
        <w:rPr>
          <w:i/>
        </w:rPr>
        <w:t>available at</w:t>
      </w:r>
      <w:r w:rsidR="008F2700">
        <w:t xml:space="preserve"> </w:t>
      </w:r>
      <w:hyperlink r:id="rId32" w:history="1">
        <w:r w:rsidR="008F2700" w:rsidRPr="008776B8">
          <w:rPr>
            <w:rStyle w:val="Hyperlink"/>
          </w:rPr>
          <w:t>https://www.nyc.gov/site/nycha/residents/senior-programs.page</w:t>
        </w:r>
      </w:hyperlink>
      <w:r w:rsidR="008F2700">
        <w:t>.</w:t>
      </w:r>
    </w:p>
  </w:footnote>
  <w:footnote w:id="91">
    <w:p w14:paraId="2D27DF29" w14:textId="3532DA8A" w:rsidR="0073005C" w:rsidRDefault="0073005C" w:rsidP="009A0E19">
      <w:pPr>
        <w:pStyle w:val="FootnoteText"/>
      </w:pPr>
      <w:r>
        <w:rPr>
          <w:rStyle w:val="FootnoteReference"/>
        </w:rPr>
        <w:footnoteRef/>
      </w:r>
      <w:r>
        <w:t xml:space="preserve"> </w:t>
      </w:r>
      <w:r w:rsidRPr="001A0AA0">
        <w:t xml:space="preserve"> Parton HB, Greene R, Flatley AM, Viswanathan N, Wilensky L, Berman J, Ralph N, Schneider AE, Uribe A, Olson EC, Waddell EN, Thorpe LE. Health of Older Adults in New York City Public Housing: Findings from the New York City Housing Authority Senior Survey. A joint report by the New York City Housing Authority, the New York City Departments of Health and Mental Hygiene and for the Aging, and the City University of New York School of Public Hea</w:t>
      </w:r>
      <w:r>
        <w:t xml:space="preserve">lth at Hunter College, May 2011, </w:t>
      </w:r>
      <w:r w:rsidRPr="0067085F">
        <w:rPr>
          <w:i/>
        </w:rPr>
        <w:t>available at</w:t>
      </w:r>
      <w:r>
        <w:t xml:space="preserve"> </w:t>
      </w:r>
      <w:hyperlink r:id="rId33" w:history="1">
        <w:r w:rsidRPr="009C34EA">
          <w:rPr>
            <w:rStyle w:val="Hyperlink"/>
          </w:rPr>
          <w:t>https://www.nyc.gov/assets/nycha/downloads/pdf/senior-report-nycha.pdf</w:t>
        </w:r>
      </w:hyperlink>
      <w:r>
        <w:t xml:space="preserve">. </w:t>
      </w:r>
    </w:p>
  </w:footnote>
  <w:footnote w:id="92">
    <w:p w14:paraId="6DA8ED5A" w14:textId="3D218302" w:rsidR="0073005C" w:rsidRDefault="0073005C" w:rsidP="0040418B">
      <w:pPr>
        <w:pStyle w:val="FootnoteText"/>
      </w:pPr>
      <w:r>
        <w:rPr>
          <w:rStyle w:val="FootnoteReference"/>
        </w:rPr>
        <w:footnoteRef/>
      </w:r>
      <w:r>
        <w:t xml:space="preserve"> </w:t>
      </w:r>
      <w:r w:rsidR="0040418B" w:rsidRPr="001A0AA0">
        <w:t>Parton HB, Greene R, Flatley AM, Viswanathan N, Wilensky L, Berman J, Ralph N, Schneider AE, Uribe A, Olson EC, Waddell EN, Thorpe LE. Health of Older Adults in New York City Public Housing: Findings from the New York City Housing Authority Senior Survey. A joint report by the New York City Housing Authority, the New York City Departments of Health and Mental Hygiene and for the Aging, and the City University of New York School of Public Hea</w:t>
      </w:r>
      <w:r w:rsidR="0040418B">
        <w:t xml:space="preserve">lth at Hunter College, May 2011, </w:t>
      </w:r>
      <w:r w:rsidR="0040418B" w:rsidRPr="0067085F">
        <w:rPr>
          <w:i/>
        </w:rPr>
        <w:t xml:space="preserve">available at </w:t>
      </w:r>
      <w:hyperlink r:id="rId34" w:history="1">
        <w:r w:rsidR="0040418B" w:rsidRPr="009C34EA">
          <w:rPr>
            <w:rStyle w:val="Hyperlink"/>
          </w:rPr>
          <w:t>https://www.nyc.gov/assets/nycha/downloads/pdf/senior-report-nycha.pdf</w:t>
        </w:r>
      </w:hyperlink>
      <w:r w:rsidR="0040418B">
        <w:t>.</w:t>
      </w:r>
    </w:p>
  </w:footnote>
  <w:footnote w:id="93">
    <w:p w14:paraId="04A67E26" w14:textId="77777777" w:rsidR="0073005C" w:rsidRDefault="0073005C" w:rsidP="009A0E19">
      <w:pPr>
        <w:pStyle w:val="FootnoteText"/>
      </w:pPr>
      <w:r>
        <w:rPr>
          <w:rStyle w:val="FootnoteReference"/>
        </w:rPr>
        <w:footnoteRef/>
      </w:r>
      <w:r>
        <w:t xml:space="preserve"> Greg Smith, </w:t>
      </w:r>
      <w:r w:rsidRPr="000716FE">
        <w:t>How Shootings Spiked at NYCHA Complexes Targeted in de Blasio Crime Prevention Campaign</w:t>
      </w:r>
      <w:r>
        <w:t xml:space="preserve">, The City, 01/31/2021, </w:t>
      </w:r>
      <w:r w:rsidRPr="0067085F">
        <w:rPr>
          <w:i/>
        </w:rPr>
        <w:t>available at</w:t>
      </w:r>
      <w:r>
        <w:t xml:space="preserve"> </w:t>
      </w:r>
      <w:hyperlink r:id="rId35" w:history="1">
        <w:r w:rsidRPr="008776B8">
          <w:rPr>
            <w:rStyle w:val="Hyperlink"/>
          </w:rPr>
          <w:t>https://www.thecity.nyc/2021/01/31/nycha-crime-prevention-shooting-spike-map-nypd-de-blasio/</w:t>
        </w:r>
      </w:hyperlink>
      <w:r>
        <w:t xml:space="preserve">. </w:t>
      </w:r>
    </w:p>
  </w:footnote>
  <w:footnote w:id="94">
    <w:p w14:paraId="02423360" w14:textId="057CC81F" w:rsidR="0073005C" w:rsidRDefault="0073005C" w:rsidP="009A0E19">
      <w:pPr>
        <w:pStyle w:val="FootnoteText"/>
      </w:pPr>
      <w:r>
        <w:rPr>
          <w:rStyle w:val="FootnoteReference"/>
        </w:rPr>
        <w:footnoteRef/>
      </w:r>
      <w:r>
        <w:t xml:space="preserve"> </w:t>
      </w:r>
      <w:hyperlink r:id="rId36" w:history="1">
        <w:r w:rsidRPr="00793A93">
          <w:rPr>
            <w:rStyle w:val="Hyperlink"/>
            <w:i/>
          </w:rPr>
          <w:t>Id.</w:t>
        </w:r>
      </w:hyperlink>
      <w:r>
        <w:t xml:space="preserve">; ABC7 Eyewitness News, </w:t>
      </w:r>
      <w:r w:rsidRPr="000716FE">
        <w:t>Alleged serial killer charged in 3 murders at NYCHA senior complex in Brooklyn</w:t>
      </w:r>
      <w:r>
        <w:t xml:space="preserve">, 01/21/2021, </w:t>
      </w:r>
      <w:r w:rsidRPr="0067085F">
        <w:rPr>
          <w:i/>
        </w:rPr>
        <w:t>available at</w:t>
      </w:r>
      <w:r>
        <w:t xml:space="preserve"> </w:t>
      </w:r>
      <w:hyperlink r:id="rId37" w:history="1">
        <w:r w:rsidRPr="008776B8">
          <w:rPr>
            <w:rStyle w:val="Hyperlink"/>
          </w:rPr>
          <w:t>https://abc7ny.com/carter-g-woodson-nycha-senior-housing-development-murders-elderly-brooklyn/9875042/</w:t>
        </w:r>
      </w:hyperlink>
      <w:r>
        <w:t xml:space="preserve">. </w:t>
      </w:r>
    </w:p>
  </w:footnote>
  <w:footnote w:id="95">
    <w:p w14:paraId="2E295C9A" w14:textId="4E02CA17" w:rsidR="0073005C" w:rsidRDefault="0073005C" w:rsidP="009A0E19">
      <w:pPr>
        <w:pStyle w:val="FootnoteText"/>
      </w:pPr>
      <w:r>
        <w:rPr>
          <w:rStyle w:val="FootnoteReference"/>
        </w:rPr>
        <w:footnoteRef/>
      </w:r>
      <w:r>
        <w:t xml:space="preserve"> </w:t>
      </w:r>
      <w:r w:rsidRPr="000716FE">
        <w:t>A</w:t>
      </w:r>
      <w:r>
        <w:t xml:space="preserve">lyssa Paolicelli, </w:t>
      </w:r>
      <w:r w:rsidRPr="000716FE">
        <w:t>Senior NYCHA residents say they feel unsafe in their homes</w:t>
      </w:r>
      <w:r>
        <w:t>, NY</w:t>
      </w:r>
      <w:r w:rsidR="00930FD4">
        <w:t>1</w:t>
      </w:r>
      <w:r>
        <w:t xml:space="preserve">, 03/16/2022, </w:t>
      </w:r>
      <w:r w:rsidRPr="0067085F">
        <w:rPr>
          <w:i/>
        </w:rPr>
        <w:t xml:space="preserve">available at </w:t>
      </w:r>
      <w:hyperlink r:id="rId38" w:history="1">
        <w:r w:rsidRPr="008776B8">
          <w:rPr>
            <w:rStyle w:val="Hyperlink"/>
          </w:rPr>
          <w:t>https://ny1.com/nyc/all-boroughs/news/2022/03/16/senior-nycha-residents-say-they-feel-unsafe-in-their-homes</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F724A9"/>
    <w:multiLevelType w:val="multilevel"/>
    <w:tmpl w:val="41B29F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E22437"/>
    <w:multiLevelType w:val="multilevel"/>
    <w:tmpl w:val="F34A10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B024214"/>
    <w:multiLevelType w:val="hybridMultilevel"/>
    <w:tmpl w:val="F91A1E3C"/>
    <w:lvl w:ilvl="0" w:tplc="98E8A07A">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285086"/>
    <w:multiLevelType w:val="multilevel"/>
    <w:tmpl w:val="E23814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8028D3"/>
    <w:multiLevelType w:val="multilevel"/>
    <w:tmpl w:val="BEFC4D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F8604A0"/>
    <w:multiLevelType w:val="multilevel"/>
    <w:tmpl w:val="2A9638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3E27E1"/>
    <w:multiLevelType w:val="multilevel"/>
    <w:tmpl w:val="1D5CB2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AD0CBF"/>
    <w:multiLevelType w:val="multilevel"/>
    <w:tmpl w:val="66740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0B28BB"/>
    <w:multiLevelType w:val="multilevel"/>
    <w:tmpl w:val="A6D000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353A2607"/>
    <w:multiLevelType w:val="multilevel"/>
    <w:tmpl w:val="22383B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47E67788"/>
    <w:multiLevelType w:val="multilevel"/>
    <w:tmpl w:val="FA902F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722867"/>
    <w:multiLevelType w:val="hybridMultilevel"/>
    <w:tmpl w:val="2C6A577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D9B0170"/>
    <w:multiLevelType w:val="multilevel"/>
    <w:tmpl w:val="871E0C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ED77A5"/>
    <w:multiLevelType w:val="hybridMultilevel"/>
    <w:tmpl w:val="7898BE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4AB710A"/>
    <w:multiLevelType w:val="multilevel"/>
    <w:tmpl w:val="D49CF5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5A3D2905"/>
    <w:multiLevelType w:val="multilevel"/>
    <w:tmpl w:val="9BACB0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EC27E3"/>
    <w:multiLevelType w:val="multilevel"/>
    <w:tmpl w:val="F5A6AD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5C4A57C7"/>
    <w:multiLevelType w:val="multilevel"/>
    <w:tmpl w:val="6D54CE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8C3AA4"/>
    <w:multiLevelType w:val="hybridMultilevel"/>
    <w:tmpl w:val="280EF95A"/>
    <w:lvl w:ilvl="0" w:tplc="D6006186">
      <w:start w:val="19"/>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864A2C"/>
    <w:multiLevelType w:val="multilevel"/>
    <w:tmpl w:val="56E86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36300A"/>
    <w:multiLevelType w:val="multilevel"/>
    <w:tmpl w:val="79D2D9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6E686BEA"/>
    <w:multiLevelType w:val="multilevel"/>
    <w:tmpl w:val="7A7094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0315F1"/>
    <w:multiLevelType w:val="multilevel"/>
    <w:tmpl w:val="E12C01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3"/>
  </w:num>
  <w:num w:numId="2">
    <w:abstractNumId w:val="2"/>
  </w:num>
  <w:num w:numId="3">
    <w:abstractNumId w:val="9"/>
  </w:num>
  <w:num w:numId="4">
    <w:abstractNumId w:val="16"/>
  </w:num>
  <w:num w:numId="5">
    <w:abstractNumId w:val="3"/>
  </w:num>
  <w:num w:numId="6">
    <w:abstractNumId w:val="20"/>
  </w:num>
  <w:num w:numId="7">
    <w:abstractNumId w:val="6"/>
  </w:num>
  <w:num w:numId="8">
    <w:abstractNumId w:val="7"/>
  </w:num>
  <w:num w:numId="9">
    <w:abstractNumId w:val="8"/>
  </w:num>
  <w:num w:numId="10">
    <w:abstractNumId w:val="19"/>
  </w:num>
  <w:num w:numId="11">
    <w:abstractNumId w:val="1"/>
  </w:num>
  <w:num w:numId="12">
    <w:abstractNumId w:val="12"/>
  </w:num>
  <w:num w:numId="13">
    <w:abstractNumId w:val="15"/>
  </w:num>
  <w:num w:numId="14">
    <w:abstractNumId w:val="22"/>
  </w:num>
  <w:num w:numId="15">
    <w:abstractNumId w:val="17"/>
  </w:num>
  <w:num w:numId="16">
    <w:abstractNumId w:val="14"/>
  </w:num>
  <w:num w:numId="17">
    <w:abstractNumId w:val="0"/>
  </w:num>
  <w:num w:numId="18">
    <w:abstractNumId w:val="4"/>
  </w:num>
  <w:num w:numId="19">
    <w:abstractNumId w:val="21"/>
  </w:num>
  <w:num w:numId="20">
    <w:abstractNumId w:val="18"/>
  </w:num>
  <w:num w:numId="21">
    <w:abstractNumId w:val="10"/>
  </w:num>
  <w:num w:numId="22">
    <w:abstractNumId w:val="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C1C"/>
    <w:rsid w:val="000009B7"/>
    <w:rsid w:val="0000406C"/>
    <w:rsid w:val="00007B8F"/>
    <w:rsid w:val="00010BDC"/>
    <w:rsid w:val="00042109"/>
    <w:rsid w:val="00044E16"/>
    <w:rsid w:val="00052806"/>
    <w:rsid w:val="00053503"/>
    <w:rsid w:val="000561DE"/>
    <w:rsid w:val="000572E2"/>
    <w:rsid w:val="000624F4"/>
    <w:rsid w:val="00067819"/>
    <w:rsid w:val="00070169"/>
    <w:rsid w:val="000716FE"/>
    <w:rsid w:val="00073A6A"/>
    <w:rsid w:val="0007403A"/>
    <w:rsid w:val="00082EAB"/>
    <w:rsid w:val="00083A38"/>
    <w:rsid w:val="0008462C"/>
    <w:rsid w:val="00087CFD"/>
    <w:rsid w:val="000900E4"/>
    <w:rsid w:val="00096BCC"/>
    <w:rsid w:val="00097225"/>
    <w:rsid w:val="000A1A4D"/>
    <w:rsid w:val="000A658B"/>
    <w:rsid w:val="000B4D05"/>
    <w:rsid w:val="000C0781"/>
    <w:rsid w:val="000C7C96"/>
    <w:rsid w:val="000D0F29"/>
    <w:rsid w:val="000D2B85"/>
    <w:rsid w:val="000D6CB0"/>
    <w:rsid w:val="000D70BB"/>
    <w:rsid w:val="000D7196"/>
    <w:rsid w:val="000E2543"/>
    <w:rsid w:val="000E6FD3"/>
    <w:rsid w:val="000F100C"/>
    <w:rsid w:val="000F4C2F"/>
    <w:rsid w:val="00126116"/>
    <w:rsid w:val="001312F5"/>
    <w:rsid w:val="0013411F"/>
    <w:rsid w:val="00137C95"/>
    <w:rsid w:val="0014693C"/>
    <w:rsid w:val="0015334D"/>
    <w:rsid w:val="00157DB5"/>
    <w:rsid w:val="00157F9C"/>
    <w:rsid w:val="00167968"/>
    <w:rsid w:val="00172952"/>
    <w:rsid w:val="00172B84"/>
    <w:rsid w:val="00175663"/>
    <w:rsid w:val="00183A58"/>
    <w:rsid w:val="00184B59"/>
    <w:rsid w:val="00187408"/>
    <w:rsid w:val="001A0AA0"/>
    <w:rsid w:val="001A153A"/>
    <w:rsid w:val="001B4490"/>
    <w:rsid w:val="001B6F79"/>
    <w:rsid w:val="001C0C0B"/>
    <w:rsid w:val="001C175A"/>
    <w:rsid w:val="001C4221"/>
    <w:rsid w:val="001C6D0D"/>
    <w:rsid w:val="001D3764"/>
    <w:rsid w:val="001E02CE"/>
    <w:rsid w:val="001E183C"/>
    <w:rsid w:val="001E778C"/>
    <w:rsid w:val="001F0355"/>
    <w:rsid w:val="00202AB9"/>
    <w:rsid w:val="0020569B"/>
    <w:rsid w:val="00205D7F"/>
    <w:rsid w:val="00206228"/>
    <w:rsid w:val="00207C02"/>
    <w:rsid w:val="002105D6"/>
    <w:rsid w:val="00212E35"/>
    <w:rsid w:val="0022455E"/>
    <w:rsid w:val="002245A5"/>
    <w:rsid w:val="002260C0"/>
    <w:rsid w:val="00233173"/>
    <w:rsid w:val="0023730E"/>
    <w:rsid w:val="0024627D"/>
    <w:rsid w:val="00250309"/>
    <w:rsid w:val="00263C1B"/>
    <w:rsid w:val="002739A8"/>
    <w:rsid w:val="002764ED"/>
    <w:rsid w:val="002800C7"/>
    <w:rsid w:val="00283799"/>
    <w:rsid w:val="002869AA"/>
    <w:rsid w:val="00290A2F"/>
    <w:rsid w:val="00290FBF"/>
    <w:rsid w:val="0029321E"/>
    <w:rsid w:val="00294F2F"/>
    <w:rsid w:val="002951C1"/>
    <w:rsid w:val="002979B6"/>
    <w:rsid w:val="002A77D7"/>
    <w:rsid w:val="002C5F65"/>
    <w:rsid w:val="002D10FA"/>
    <w:rsid w:val="002D2A00"/>
    <w:rsid w:val="002D7B46"/>
    <w:rsid w:val="002E0EE7"/>
    <w:rsid w:val="002E3AC8"/>
    <w:rsid w:val="002E4667"/>
    <w:rsid w:val="002F2756"/>
    <w:rsid w:val="002F35B2"/>
    <w:rsid w:val="002F35E3"/>
    <w:rsid w:val="002F793F"/>
    <w:rsid w:val="00301C3F"/>
    <w:rsid w:val="00303297"/>
    <w:rsid w:val="0030351C"/>
    <w:rsid w:val="00303678"/>
    <w:rsid w:val="003058FA"/>
    <w:rsid w:val="00324DD6"/>
    <w:rsid w:val="003251E5"/>
    <w:rsid w:val="00327001"/>
    <w:rsid w:val="00337CE1"/>
    <w:rsid w:val="003459CE"/>
    <w:rsid w:val="003467CE"/>
    <w:rsid w:val="00354BCE"/>
    <w:rsid w:val="003603EA"/>
    <w:rsid w:val="00366521"/>
    <w:rsid w:val="0036714A"/>
    <w:rsid w:val="00367E14"/>
    <w:rsid w:val="00372459"/>
    <w:rsid w:val="0037620B"/>
    <w:rsid w:val="00381CEB"/>
    <w:rsid w:val="00390BD7"/>
    <w:rsid w:val="0039438C"/>
    <w:rsid w:val="003A1494"/>
    <w:rsid w:val="003A1BF8"/>
    <w:rsid w:val="003B2EE1"/>
    <w:rsid w:val="003B574D"/>
    <w:rsid w:val="003B63A5"/>
    <w:rsid w:val="003D57BC"/>
    <w:rsid w:val="003D65E7"/>
    <w:rsid w:val="003E2592"/>
    <w:rsid w:val="003E6D60"/>
    <w:rsid w:val="003E7336"/>
    <w:rsid w:val="00400972"/>
    <w:rsid w:val="0040418B"/>
    <w:rsid w:val="00415374"/>
    <w:rsid w:val="00417A87"/>
    <w:rsid w:val="004218F9"/>
    <w:rsid w:val="00422B56"/>
    <w:rsid w:val="004243C3"/>
    <w:rsid w:val="00431B1D"/>
    <w:rsid w:val="00434C8E"/>
    <w:rsid w:val="004541F7"/>
    <w:rsid w:val="004579FE"/>
    <w:rsid w:val="0046252A"/>
    <w:rsid w:val="004841D8"/>
    <w:rsid w:val="004844C6"/>
    <w:rsid w:val="004A5CE6"/>
    <w:rsid w:val="004A5D0B"/>
    <w:rsid w:val="004A744F"/>
    <w:rsid w:val="004B4166"/>
    <w:rsid w:val="004C4662"/>
    <w:rsid w:val="004C5727"/>
    <w:rsid w:val="004C646C"/>
    <w:rsid w:val="004C7920"/>
    <w:rsid w:val="004D509F"/>
    <w:rsid w:val="004E0495"/>
    <w:rsid w:val="004E10A0"/>
    <w:rsid w:val="004E25AD"/>
    <w:rsid w:val="004F3A92"/>
    <w:rsid w:val="004F5906"/>
    <w:rsid w:val="005036EF"/>
    <w:rsid w:val="005061D4"/>
    <w:rsid w:val="00513793"/>
    <w:rsid w:val="00520B12"/>
    <w:rsid w:val="0052253E"/>
    <w:rsid w:val="00522FD4"/>
    <w:rsid w:val="005257A8"/>
    <w:rsid w:val="0052622B"/>
    <w:rsid w:val="00526D3A"/>
    <w:rsid w:val="005427D0"/>
    <w:rsid w:val="0054548C"/>
    <w:rsid w:val="00546146"/>
    <w:rsid w:val="0055015A"/>
    <w:rsid w:val="00550AD6"/>
    <w:rsid w:val="00554CA5"/>
    <w:rsid w:val="00561461"/>
    <w:rsid w:val="00561AC9"/>
    <w:rsid w:val="00566B3D"/>
    <w:rsid w:val="00574B97"/>
    <w:rsid w:val="00581409"/>
    <w:rsid w:val="0058565D"/>
    <w:rsid w:val="00587E2B"/>
    <w:rsid w:val="005907DF"/>
    <w:rsid w:val="00595B17"/>
    <w:rsid w:val="00596751"/>
    <w:rsid w:val="005A6031"/>
    <w:rsid w:val="005A647D"/>
    <w:rsid w:val="005B75FC"/>
    <w:rsid w:val="005C4170"/>
    <w:rsid w:val="005C701E"/>
    <w:rsid w:val="005D03EA"/>
    <w:rsid w:val="005D0A2C"/>
    <w:rsid w:val="005D48A9"/>
    <w:rsid w:val="005F0268"/>
    <w:rsid w:val="005F17E4"/>
    <w:rsid w:val="005F39A9"/>
    <w:rsid w:val="005F4527"/>
    <w:rsid w:val="00602679"/>
    <w:rsid w:val="00607C9F"/>
    <w:rsid w:val="00610290"/>
    <w:rsid w:val="0061101C"/>
    <w:rsid w:val="00612B49"/>
    <w:rsid w:val="00612C8E"/>
    <w:rsid w:val="006164D2"/>
    <w:rsid w:val="00617D2E"/>
    <w:rsid w:val="00620FA3"/>
    <w:rsid w:val="0062662C"/>
    <w:rsid w:val="00627E2D"/>
    <w:rsid w:val="0063161E"/>
    <w:rsid w:val="00645757"/>
    <w:rsid w:val="006465DB"/>
    <w:rsid w:val="00651623"/>
    <w:rsid w:val="00661273"/>
    <w:rsid w:val="00661A0E"/>
    <w:rsid w:val="0066377F"/>
    <w:rsid w:val="00666878"/>
    <w:rsid w:val="0067085F"/>
    <w:rsid w:val="006716A6"/>
    <w:rsid w:val="00676337"/>
    <w:rsid w:val="0068118A"/>
    <w:rsid w:val="00687970"/>
    <w:rsid w:val="0069379B"/>
    <w:rsid w:val="006A119D"/>
    <w:rsid w:val="006A1732"/>
    <w:rsid w:val="006A2F2C"/>
    <w:rsid w:val="006A5345"/>
    <w:rsid w:val="006B4C5B"/>
    <w:rsid w:val="006C0CA9"/>
    <w:rsid w:val="006D093D"/>
    <w:rsid w:val="006D63E2"/>
    <w:rsid w:val="006E4C5D"/>
    <w:rsid w:val="006E628B"/>
    <w:rsid w:val="006E73C0"/>
    <w:rsid w:val="006E767D"/>
    <w:rsid w:val="006F0F3E"/>
    <w:rsid w:val="006F72A4"/>
    <w:rsid w:val="00705571"/>
    <w:rsid w:val="00706ADA"/>
    <w:rsid w:val="00712A1D"/>
    <w:rsid w:val="00713F16"/>
    <w:rsid w:val="0071564C"/>
    <w:rsid w:val="00724B80"/>
    <w:rsid w:val="0073005C"/>
    <w:rsid w:val="00730B1C"/>
    <w:rsid w:val="00745EB6"/>
    <w:rsid w:val="00752C2E"/>
    <w:rsid w:val="007539CB"/>
    <w:rsid w:val="00756A5D"/>
    <w:rsid w:val="00763AC3"/>
    <w:rsid w:val="00771695"/>
    <w:rsid w:val="007810D3"/>
    <w:rsid w:val="007824C4"/>
    <w:rsid w:val="00783C31"/>
    <w:rsid w:val="00785CF6"/>
    <w:rsid w:val="00793A93"/>
    <w:rsid w:val="007A7CD8"/>
    <w:rsid w:val="007B221F"/>
    <w:rsid w:val="007B2E1A"/>
    <w:rsid w:val="007B4D40"/>
    <w:rsid w:val="007B5B75"/>
    <w:rsid w:val="007C3C05"/>
    <w:rsid w:val="007D00BB"/>
    <w:rsid w:val="007D4582"/>
    <w:rsid w:val="007D499B"/>
    <w:rsid w:val="007E3A0D"/>
    <w:rsid w:val="007F23BD"/>
    <w:rsid w:val="007F2D98"/>
    <w:rsid w:val="0080718E"/>
    <w:rsid w:val="00814C1C"/>
    <w:rsid w:val="00820535"/>
    <w:rsid w:val="008308F8"/>
    <w:rsid w:val="00835A09"/>
    <w:rsid w:val="00840828"/>
    <w:rsid w:val="00850344"/>
    <w:rsid w:val="00854054"/>
    <w:rsid w:val="008576B6"/>
    <w:rsid w:val="00862519"/>
    <w:rsid w:val="00866730"/>
    <w:rsid w:val="0087021A"/>
    <w:rsid w:val="00876D50"/>
    <w:rsid w:val="00887FBB"/>
    <w:rsid w:val="00890C5A"/>
    <w:rsid w:val="00891D44"/>
    <w:rsid w:val="008A590C"/>
    <w:rsid w:val="008A760A"/>
    <w:rsid w:val="008B0DB3"/>
    <w:rsid w:val="008B6361"/>
    <w:rsid w:val="008C243D"/>
    <w:rsid w:val="008C687A"/>
    <w:rsid w:val="008C701C"/>
    <w:rsid w:val="008C766A"/>
    <w:rsid w:val="008D0267"/>
    <w:rsid w:val="008D5C59"/>
    <w:rsid w:val="008D6692"/>
    <w:rsid w:val="008D7887"/>
    <w:rsid w:val="008D7B0B"/>
    <w:rsid w:val="008E2B01"/>
    <w:rsid w:val="008E6C83"/>
    <w:rsid w:val="008F2700"/>
    <w:rsid w:val="009002A3"/>
    <w:rsid w:val="009003DA"/>
    <w:rsid w:val="009054E6"/>
    <w:rsid w:val="00905D76"/>
    <w:rsid w:val="00907556"/>
    <w:rsid w:val="00910C58"/>
    <w:rsid w:val="009131EC"/>
    <w:rsid w:val="00917221"/>
    <w:rsid w:val="00917EE3"/>
    <w:rsid w:val="009245B2"/>
    <w:rsid w:val="00930FD4"/>
    <w:rsid w:val="0093241D"/>
    <w:rsid w:val="009339AA"/>
    <w:rsid w:val="00941B22"/>
    <w:rsid w:val="0095153F"/>
    <w:rsid w:val="00957ECB"/>
    <w:rsid w:val="009655A0"/>
    <w:rsid w:val="00970DB3"/>
    <w:rsid w:val="009717C0"/>
    <w:rsid w:val="00974635"/>
    <w:rsid w:val="009763CF"/>
    <w:rsid w:val="00977E33"/>
    <w:rsid w:val="0098143A"/>
    <w:rsid w:val="0098315D"/>
    <w:rsid w:val="009939AB"/>
    <w:rsid w:val="00994FA2"/>
    <w:rsid w:val="009970A6"/>
    <w:rsid w:val="009A0E19"/>
    <w:rsid w:val="009A37FD"/>
    <w:rsid w:val="009A4431"/>
    <w:rsid w:val="009A5A57"/>
    <w:rsid w:val="009B4D99"/>
    <w:rsid w:val="009C5ACB"/>
    <w:rsid w:val="009C615A"/>
    <w:rsid w:val="009E3D17"/>
    <w:rsid w:val="009E5D0C"/>
    <w:rsid w:val="009F13E3"/>
    <w:rsid w:val="009F3819"/>
    <w:rsid w:val="009F6396"/>
    <w:rsid w:val="00A062AD"/>
    <w:rsid w:val="00A11616"/>
    <w:rsid w:val="00A11776"/>
    <w:rsid w:val="00A11A23"/>
    <w:rsid w:val="00A1237A"/>
    <w:rsid w:val="00A147D1"/>
    <w:rsid w:val="00A2109A"/>
    <w:rsid w:val="00A238B1"/>
    <w:rsid w:val="00A31E29"/>
    <w:rsid w:val="00A353A0"/>
    <w:rsid w:val="00A358F9"/>
    <w:rsid w:val="00A478D4"/>
    <w:rsid w:val="00A841BE"/>
    <w:rsid w:val="00A8432D"/>
    <w:rsid w:val="00A84CD2"/>
    <w:rsid w:val="00A9563F"/>
    <w:rsid w:val="00AA1F4C"/>
    <w:rsid w:val="00AA368C"/>
    <w:rsid w:val="00AA39EB"/>
    <w:rsid w:val="00AB680E"/>
    <w:rsid w:val="00AB6FAA"/>
    <w:rsid w:val="00AB7381"/>
    <w:rsid w:val="00AC5470"/>
    <w:rsid w:val="00AC563D"/>
    <w:rsid w:val="00AD0746"/>
    <w:rsid w:val="00AD32CA"/>
    <w:rsid w:val="00AD3B50"/>
    <w:rsid w:val="00AE2DC6"/>
    <w:rsid w:val="00AE32B6"/>
    <w:rsid w:val="00AE4E7D"/>
    <w:rsid w:val="00AE69FC"/>
    <w:rsid w:val="00AF1E7C"/>
    <w:rsid w:val="00AF4F25"/>
    <w:rsid w:val="00B0079D"/>
    <w:rsid w:val="00B055C3"/>
    <w:rsid w:val="00B11040"/>
    <w:rsid w:val="00B1306C"/>
    <w:rsid w:val="00B23E58"/>
    <w:rsid w:val="00B3200D"/>
    <w:rsid w:val="00B37613"/>
    <w:rsid w:val="00B417B7"/>
    <w:rsid w:val="00B41A33"/>
    <w:rsid w:val="00B41C75"/>
    <w:rsid w:val="00B46B2C"/>
    <w:rsid w:val="00B46FA6"/>
    <w:rsid w:val="00B80C09"/>
    <w:rsid w:val="00B94241"/>
    <w:rsid w:val="00BA13AD"/>
    <w:rsid w:val="00BA743C"/>
    <w:rsid w:val="00BB1B25"/>
    <w:rsid w:val="00BC12A5"/>
    <w:rsid w:val="00BE644A"/>
    <w:rsid w:val="00BE7BE2"/>
    <w:rsid w:val="00BF3E8C"/>
    <w:rsid w:val="00C13BA4"/>
    <w:rsid w:val="00C1697D"/>
    <w:rsid w:val="00C20AA3"/>
    <w:rsid w:val="00C33BA1"/>
    <w:rsid w:val="00C368DD"/>
    <w:rsid w:val="00C36931"/>
    <w:rsid w:val="00C3720F"/>
    <w:rsid w:val="00C445CB"/>
    <w:rsid w:val="00C45034"/>
    <w:rsid w:val="00C464A2"/>
    <w:rsid w:val="00C475FD"/>
    <w:rsid w:val="00C51951"/>
    <w:rsid w:val="00C66C19"/>
    <w:rsid w:val="00C73217"/>
    <w:rsid w:val="00C7669C"/>
    <w:rsid w:val="00C76A5A"/>
    <w:rsid w:val="00C814C1"/>
    <w:rsid w:val="00C81B06"/>
    <w:rsid w:val="00C84B22"/>
    <w:rsid w:val="00C86DED"/>
    <w:rsid w:val="00C86F7C"/>
    <w:rsid w:val="00C92724"/>
    <w:rsid w:val="00C92F56"/>
    <w:rsid w:val="00C9568F"/>
    <w:rsid w:val="00C96BB7"/>
    <w:rsid w:val="00CA02A2"/>
    <w:rsid w:val="00CA1911"/>
    <w:rsid w:val="00CA47F0"/>
    <w:rsid w:val="00CA5B5D"/>
    <w:rsid w:val="00CB4123"/>
    <w:rsid w:val="00CB4134"/>
    <w:rsid w:val="00CC416A"/>
    <w:rsid w:val="00CC4AE9"/>
    <w:rsid w:val="00CE08A7"/>
    <w:rsid w:val="00CE50B6"/>
    <w:rsid w:val="00CE5943"/>
    <w:rsid w:val="00CE70C1"/>
    <w:rsid w:val="00CF1CB5"/>
    <w:rsid w:val="00CF5B77"/>
    <w:rsid w:val="00D001EE"/>
    <w:rsid w:val="00D01657"/>
    <w:rsid w:val="00D04522"/>
    <w:rsid w:val="00D05F6D"/>
    <w:rsid w:val="00D11003"/>
    <w:rsid w:val="00D11BFA"/>
    <w:rsid w:val="00D248EA"/>
    <w:rsid w:val="00D25E03"/>
    <w:rsid w:val="00D2616A"/>
    <w:rsid w:val="00D26476"/>
    <w:rsid w:val="00D32CB4"/>
    <w:rsid w:val="00D3455D"/>
    <w:rsid w:val="00D431CE"/>
    <w:rsid w:val="00D47FFC"/>
    <w:rsid w:val="00D53C1D"/>
    <w:rsid w:val="00D57F05"/>
    <w:rsid w:val="00D649CC"/>
    <w:rsid w:val="00D66466"/>
    <w:rsid w:val="00D7502E"/>
    <w:rsid w:val="00D767C8"/>
    <w:rsid w:val="00D86EE5"/>
    <w:rsid w:val="00D9305B"/>
    <w:rsid w:val="00DA2131"/>
    <w:rsid w:val="00DA331A"/>
    <w:rsid w:val="00DA6076"/>
    <w:rsid w:val="00DA6E77"/>
    <w:rsid w:val="00DA7F5C"/>
    <w:rsid w:val="00DB0A4A"/>
    <w:rsid w:val="00DB17E9"/>
    <w:rsid w:val="00DB327F"/>
    <w:rsid w:val="00DB6BA0"/>
    <w:rsid w:val="00DB6C3E"/>
    <w:rsid w:val="00DC0211"/>
    <w:rsid w:val="00DD7D85"/>
    <w:rsid w:val="00DF0A62"/>
    <w:rsid w:val="00DF0DD0"/>
    <w:rsid w:val="00DF11BD"/>
    <w:rsid w:val="00DF51F9"/>
    <w:rsid w:val="00E00B52"/>
    <w:rsid w:val="00E020A4"/>
    <w:rsid w:val="00E03F6D"/>
    <w:rsid w:val="00E10DA7"/>
    <w:rsid w:val="00E12D7E"/>
    <w:rsid w:val="00E27738"/>
    <w:rsid w:val="00E36E40"/>
    <w:rsid w:val="00E40AF2"/>
    <w:rsid w:val="00E47CE9"/>
    <w:rsid w:val="00E54205"/>
    <w:rsid w:val="00E5703E"/>
    <w:rsid w:val="00E57130"/>
    <w:rsid w:val="00E65125"/>
    <w:rsid w:val="00E665AA"/>
    <w:rsid w:val="00E74FAA"/>
    <w:rsid w:val="00E8307A"/>
    <w:rsid w:val="00E835DF"/>
    <w:rsid w:val="00E851FD"/>
    <w:rsid w:val="00E87422"/>
    <w:rsid w:val="00E90901"/>
    <w:rsid w:val="00E9284B"/>
    <w:rsid w:val="00E95ED7"/>
    <w:rsid w:val="00EA2675"/>
    <w:rsid w:val="00EA5EE6"/>
    <w:rsid w:val="00EB0FE0"/>
    <w:rsid w:val="00EB6D26"/>
    <w:rsid w:val="00EE1258"/>
    <w:rsid w:val="00EE2229"/>
    <w:rsid w:val="00EE6538"/>
    <w:rsid w:val="00F106FE"/>
    <w:rsid w:val="00F10C53"/>
    <w:rsid w:val="00F16252"/>
    <w:rsid w:val="00F1781A"/>
    <w:rsid w:val="00F17F18"/>
    <w:rsid w:val="00F3189E"/>
    <w:rsid w:val="00F31BDE"/>
    <w:rsid w:val="00F3368B"/>
    <w:rsid w:val="00F40579"/>
    <w:rsid w:val="00F44018"/>
    <w:rsid w:val="00F449DD"/>
    <w:rsid w:val="00F47117"/>
    <w:rsid w:val="00F503E9"/>
    <w:rsid w:val="00F5464F"/>
    <w:rsid w:val="00F55734"/>
    <w:rsid w:val="00F5748C"/>
    <w:rsid w:val="00F64684"/>
    <w:rsid w:val="00F71A99"/>
    <w:rsid w:val="00F87173"/>
    <w:rsid w:val="00F90087"/>
    <w:rsid w:val="00F92368"/>
    <w:rsid w:val="00F94E49"/>
    <w:rsid w:val="00FA6CDF"/>
    <w:rsid w:val="00FB3D3D"/>
    <w:rsid w:val="00FC784E"/>
    <w:rsid w:val="00FC7B5E"/>
    <w:rsid w:val="00FE0830"/>
    <w:rsid w:val="00FE5EC7"/>
    <w:rsid w:val="00FE6EC6"/>
    <w:rsid w:val="00FF56CC"/>
    <w:rsid w:val="01981877"/>
    <w:rsid w:val="025CE4AF"/>
    <w:rsid w:val="06BAEF4E"/>
    <w:rsid w:val="070191E8"/>
    <w:rsid w:val="0704EB7F"/>
    <w:rsid w:val="073184C2"/>
    <w:rsid w:val="094A3998"/>
    <w:rsid w:val="0AE8FACD"/>
    <w:rsid w:val="0D5B6AB0"/>
    <w:rsid w:val="142337AE"/>
    <w:rsid w:val="1708A5EA"/>
    <w:rsid w:val="1828F590"/>
    <w:rsid w:val="1A0272FA"/>
    <w:rsid w:val="1CC1C657"/>
    <w:rsid w:val="1FCBC99B"/>
    <w:rsid w:val="1FF0B045"/>
    <w:rsid w:val="21A9D6E8"/>
    <w:rsid w:val="22883024"/>
    <w:rsid w:val="232E1283"/>
    <w:rsid w:val="27F43A46"/>
    <w:rsid w:val="2A8BECF6"/>
    <w:rsid w:val="2BB499F6"/>
    <w:rsid w:val="2D198711"/>
    <w:rsid w:val="2E966D99"/>
    <w:rsid w:val="2E9E8CF5"/>
    <w:rsid w:val="314E29E8"/>
    <w:rsid w:val="3191CE40"/>
    <w:rsid w:val="33A7D20C"/>
    <w:rsid w:val="36E83CD5"/>
    <w:rsid w:val="3785FFD8"/>
    <w:rsid w:val="3A696712"/>
    <w:rsid w:val="3E71FB77"/>
    <w:rsid w:val="4113B9C1"/>
    <w:rsid w:val="432473EB"/>
    <w:rsid w:val="43DEAC2B"/>
    <w:rsid w:val="444EE753"/>
    <w:rsid w:val="44D01E5D"/>
    <w:rsid w:val="44FBECEF"/>
    <w:rsid w:val="465C14AD"/>
    <w:rsid w:val="46E0FCD3"/>
    <w:rsid w:val="47940446"/>
    <w:rsid w:val="4B992814"/>
    <w:rsid w:val="4BC78757"/>
    <w:rsid w:val="4F4C3E64"/>
    <w:rsid w:val="50D1B4D9"/>
    <w:rsid w:val="522F40F7"/>
    <w:rsid w:val="53A1AC1C"/>
    <w:rsid w:val="564A61F5"/>
    <w:rsid w:val="5CA2AA2A"/>
    <w:rsid w:val="5D3BA7D0"/>
    <w:rsid w:val="61FCE102"/>
    <w:rsid w:val="62E327C4"/>
    <w:rsid w:val="65F9C131"/>
    <w:rsid w:val="6602CF19"/>
    <w:rsid w:val="6A0954A8"/>
    <w:rsid w:val="6B0B5D1A"/>
    <w:rsid w:val="6B329920"/>
    <w:rsid w:val="712095ED"/>
    <w:rsid w:val="71649E6A"/>
    <w:rsid w:val="72C415C9"/>
    <w:rsid w:val="72FBD6C9"/>
    <w:rsid w:val="746795A5"/>
    <w:rsid w:val="746D7B42"/>
    <w:rsid w:val="755C9AC8"/>
    <w:rsid w:val="760DEB2A"/>
    <w:rsid w:val="77A64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A68683"/>
  <w15:chartTrackingRefBased/>
  <w15:docId w15:val="{CDDE22BF-E13B-4B0C-8168-95905F54D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14C1C"/>
    <w:pPr>
      <w:keepNext/>
      <w:spacing w:after="0" w:line="480" w:lineRule="auto"/>
      <w:jc w:val="both"/>
      <w:outlineLvl w:val="0"/>
    </w:pPr>
    <w:rPr>
      <w:rFonts w:ascii="Times New Roman" w:eastAsia="Times New Roman" w:hAnsi="Times New Roman" w:cs="Times New Roman"/>
      <w:i/>
      <w:iCs/>
      <w:sz w:val="24"/>
      <w:szCs w:val="24"/>
    </w:rPr>
  </w:style>
  <w:style w:type="paragraph" w:styleId="Heading2">
    <w:name w:val="heading 2"/>
    <w:basedOn w:val="Normal"/>
    <w:next w:val="Normal"/>
    <w:link w:val="Heading2Char"/>
    <w:uiPriority w:val="9"/>
    <w:semiHidden/>
    <w:unhideWhenUsed/>
    <w:qFormat/>
    <w:rsid w:val="00F449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4C1C"/>
    <w:rPr>
      <w:rFonts w:ascii="Times New Roman" w:eastAsia="Times New Roman" w:hAnsi="Times New Roman" w:cs="Times New Roman"/>
      <w:i/>
      <w:iCs/>
      <w:sz w:val="24"/>
      <w:szCs w:val="24"/>
    </w:rPr>
  </w:style>
  <w:style w:type="paragraph" w:styleId="FootnoteText">
    <w:name w:val="footnote text"/>
    <w:aliases w:val="FT"/>
    <w:basedOn w:val="Normal"/>
    <w:link w:val="FootnoteTextChar"/>
    <w:uiPriority w:val="99"/>
    <w:unhideWhenUsed/>
    <w:qFormat/>
    <w:rsid w:val="00771695"/>
    <w:pPr>
      <w:suppressAutoHyphens/>
      <w:spacing w:after="0" w:line="240" w:lineRule="auto"/>
    </w:pPr>
    <w:rPr>
      <w:rFonts w:ascii="Times New Roman" w:eastAsia="Calibri" w:hAnsi="Times New Roman" w:cs="Times New Roman"/>
      <w:sz w:val="20"/>
      <w:szCs w:val="20"/>
      <w:lang w:eastAsia="zh-CN"/>
    </w:rPr>
  </w:style>
  <w:style w:type="character" w:customStyle="1" w:styleId="FootnoteTextChar">
    <w:name w:val="Footnote Text Char"/>
    <w:aliases w:val="FT Char"/>
    <w:basedOn w:val="DefaultParagraphFont"/>
    <w:link w:val="FootnoteText"/>
    <w:uiPriority w:val="99"/>
    <w:rsid w:val="00771695"/>
    <w:rPr>
      <w:rFonts w:ascii="Times New Roman" w:eastAsia="Calibri" w:hAnsi="Times New Roman" w:cs="Times New Roman"/>
      <w:sz w:val="20"/>
      <w:szCs w:val="20"/>
      <w:lang w:eastAsia="zh-CN"/>
    </w:rPr>
  </w:style>
  <w:style w:type="paragraph" w:styleId="Footer">
    <w:name w:val="footer"/>
    <w:basedOn w:val="Normal"/>
    <w:link w:val="FooterChar"/>
    <w:uiPriority w:val="99"/>
    <w:unhideWhenUsed/>
    <w:rsid w:val="00172B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2B84"/>
  </w:style>
  <w:style w:type="character" w:styleId="LineNumber">
    <w:name w:val="line number"/>
    <w:basedOn w:val="DefaultParagraphFont"/>
    <w:uiPriority w:val="99"/>
    <w:semiHidden/>
    <w:unhideWhenUsed/>
    <w:rsid w:val="00172B84"/>
  </w:style>
  <w:style w:type="character" w:styleId="FootnoteReference">
    <w:name w:val="footnote reference"/>
    <w:uiPriority w:val="99"/>
    <w:unhideWhenUsed/>
    <w:rsid w:val="00D431CE"/>
    <w:rPr>
      <w:vertAlign w:val="superscript"/>
    </w:rPr>
  </w:style>
  <w:style w:type="character" w:customStyle="1" w:styleId="FootnoteCharacters">
    <w:name w:val="Footnote Characters"/>
    <w:rsid w:val="00D431CE"/>
    <w:rPr>
      <w:vertAlign w:val="superscript"/>
    </w:rPr>
  </w:style>
  <w:style w:type="character" w:styleId="Hyperlink">
    <w:name w:val="Hyperlink"/>
    <w:uiPriority w:val="99"/>
    <w:unhideWhenUsed/>
    <w:rsid w:val="00D431CE"/>
    <w:rPr>
      <w:color w:val="0000FF"/>
      <w:u w:val="single"/>
    </w:rPr>
  </w:style>
  <w:style w:type="paragraph" w:styleId="ListParagraph">
    <w:name w:val="List Paragraph"/>
    <w:basedOn w:val="Normal"/>
    <w:uiPriority w:val="34"/>
    <w:qFormat/>
    <w:rsid w:val="00D431CE"/>
    <w:pPr>
      <w:ind w:left="720"/>
      <w:contextualSpacing/>
    </w:pPr>
  </w:style>
  <w:style w:type="paragraph" w:customStyle="1" w:styleId="paragraph">
    <w:name w:val="paragraph"/>
    <w:basedOn w:val="Normal"/>
    <w:rsid w:val="003036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303678"/>
  </w:style>
  <w:style w:type="character" w:customStyle="1" w:styleId="normaltextrun">
    <w:name w:val="normaltextrun"/>
    <w:basedOn w:val="DefaultParagraphFont"/>
    <w:rsid w:val="005907DF"/>
  </w:style>
  <w:style w:type="paragraph" w:styleId="Header">
    <w:name w:val="header"/>
    <w:basedOn w:val="Normal"/>
    <w:link w:val="HeaderChar"/>
    <w:uiPriority w:val="99"/>
    <w:unhideWhenUsed/>
    <w:rsid w:val="00073A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3A6A"/>
  </w:style>
  <w:style w:type="paragraph" w:styleId="NoSpacing">
    <w:name w:val="No Spacing"/>
    <w:uiPriority w:val="1"/>
    <w:qFormat/>
    <w:rsid w:val="00E40AF2"/>
    <w:pPr>
      <w:spacing w:after="0" w:line="240" w:lineRule="auto"/>
    </w:pPr>
    <w:rPr>
      <w:rFonts w:ascii="Times New Roman" w:hAnsi="Times New Roman"/>
      <w:sz w:val="24"/>
    </w:rPr>
  </w:style>
  <w:style w:type="paragraph" w:styleId="BodyText">
    <w:name w:val="Body Text"/>
    <w:basedOn w:val="Normal"/>
    <w:link w:val="BodyTextChar"/>
    <w:uiPriority w:val="99"/>
    <w:rsid w:val="00E40AF2"/>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E40AF2"/>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020A4"/>
    <w:rPr>
      <w:color w:val="954F72" w:themeColor="followedHyperlink"/>
      <w:u w:val="single"/>
    </w:rPr>
  </w:style>
  <w:style w:type="character" w:customStyle="1" w:styleId="Heading2Char">
    <w:name w:val="Heading 2 Char"/>
    <w:basedOn w:val="DefaultParagraphFont"/>
    <w:link w:val="Heading2"/>
    <w:uiPriority w:val="9"/>
    <w:semiHidden/>
    <w:rsid w:val="00F449DD"/>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783C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3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C31"/>
    <w:rPr>
      <w:rFonts w:ascii="Segoe UI" w:hAnsi="Segoe UI" w:cs="Segoe UI"/>
      <w:sz w:val="18"/>
      <w:szCs w:val="18"/>
    </w:rPr>
  </w:style>
  <w:style w:type="character" w:styleId="CommentReference">
    <w:name w:val="annotation reference"/>
    <w:basedOn w:val="DefaultParagraphFont"/>
    <w:uiPriority w:val="99"/>
    <w:semiHidden/>
    <w:unhideWhenUsed/>
    <w:rsid w:val="00C86DED"/>
    <w:rPr>
      <w:sz w:val="16"/>
      <w:szCs w:val="16"/>
    </w:rPr>
  </w:style>
  <w:style w:type="paragraph" w:styleId="CommentText">
    <w:name w:val="annotation text"/>
    <w:basedOn w:val="Normal"/>
    <w:link w:val="CommentTextChar"/>
    <w:uiPriority w:val="99"/>
    <w:semiHidden/>
    <w:unhideWhenUsed/>
    <w:rsid w:val="00C86DED"/>
    <w:pPr>
      <w:spacing w:line="240" w:lineRule="auto"/>
    </w:pPr>
    <w:rPr>
      <w:sz w:val="20"/>
      <w:szCs w:val="20"/>
    </w:rPr>
  </w:style>
  <w:style w:type="character" w:customStyle="1" w:styleId="CommentTextChar">
    <w:name w:val="Comment Text Char"/>
    <w:basedOn w:val="DefaultParagraphFont"/>
    <w:link w:val="CommentText"/>
    <w:uiPriority w:val="99"/>
    <w:semiHidden/>
    <w:rsid w:val="00C86DED"/>
    <w:rPr>
      <w:sz w:val="20"/>
      <w:szCs w:val="20"/>
    </w:rPr>
  </w:style>
  <w:style w:type="paragraph" w:styleId="CommentSubject">
    <w:name w:val="annotation subject"/>
    <w:basedOn w:val="CommentText"/>
    <w:next w:val="CommentText"/>
    <w:link w:val="CommentSubjectChar"/>
    <w:uiPriority w:val="99"/>
    <w:semiHidden/>
    <w:unhideWhenUsed/>
    <w:rsid w:val="00C86DED"/>
    <w:rPr>
      <w:b/>
      <w:bCs/>
    </w:rPr>
  </w:style>
  <w:style w:type="character" w:customStyle="1" w:styleId="CommentSubjectChar">
    <w:name w:val="Comment Subject Char"/>
    <w:basedOn w:val="CommentTextChar"/>
    <w:link w:val="CommentSubject"/>
    <w:uiPriority w:val="99"/>
    <w:semiHidden/>
    <w:rsid w:val="00C86DED"/>
    <w:rPr>
      <w:b/>
      <w:bCs/>
      <w:sz w:val="20"/>
      <w:szCs w:val="20"/>
    </w:rPr>
  </w:style>
  <w:style w:type="paragraph" w:styleId="Revision">
    <w:name w:val="Revision"/>
    <w:hidden/>
    <w:uiPriority w:val="99"/>
    <w:semiHidden/>
    <w:rsid w:val="00417A87"/>
    <w:pPr>
      <w:spacing w:after="0" w:line="240" w:lineRule="auto"/>
    </w:pPr>
  </w:style>
  <w:style w:type="paragraph" w:styleId="NormalWeb">
    <w:name w:val="Normal (Web)"/>
    <w:basedOn w:val="Normal"/>
    <w:uiPriority w:val="99"/>
    <w:unhideWhenUsed/>
    <w:rsid w:val="009A0E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9831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307885">
      <w:bodyDiv w:val="1"/>
      <w:marLeft w:val="0"/>
      <w:marRight w:val="0"/>
      <w:marTop w:val="0"/>
      <w:marBottom w:val="0"/>
      <w:divBdr>
        <w:top w:val="none" w:sz="0" w:space="0" w:color="auto"/>
        <w:left w:val="none" w:sz="0" w:space="0" w:color="auto"/>
        <w:bottom w:val="none" w:sz="0" w:space="0" w:color="auto"/>
        <w:right w:val="none" w:sz="0" w:space="0" w:color="auto"/>
      </w:divBdr>
    </w:div>
    <w:div w:id="253050222">
      <w:bodyDiv w:val="1"/>
      <w:marLeft w:val="0"/>
      <w:marRight w:val="0"/>
      <w:marTop w:val="0"/>
      <w:marBottom w:val="0"/>
      <w:divBdr>
        <w:top w:val="none" w:sz="0" w:space="0" w:color="auto"/>
        <w:left w:val="none" w:sz="0" w:space="0" w:color="auto"/>
        <w:bottom w:val="none" w:sz="0" w:space="0" w:color="auto"/>
        <w:right w:val="none" w:sz="0" w:space="0" w:color="auto"/>
      </w:divBdr>
      <w:divsChild>
        <w:div w:id="35084422">
          <w:marLeft w:val="0"/>
          <w:marRight w:val="0"/>
          <w:marTop w:val="0"/>
          <w:marBottom w:val="0"/>
          <w:divBdr>
            <w:top w:val="none" w:sz="0" w:space="0" w:color="auto"/>
            <w:left w:val="none" w:sz="0" w:space="0" w:color="auto"/>
            <w:bottom w:val="none" w:sz="0" w:space="0" w:color="auto"/>
            <w:right w:val="none" w:sz="0" w:space="0" w:color="auto"/>
          </w:divBdr>
        </w:div>
        <w:div w:id="253323192">
          <w:marLeft w:val="0"/>
          <w:marRight w:val="0"/>
          <w:marTop w:val="0"/>
          <w:marBottom w:val="0"/>
          <w:divBdr>
            <w:top w:val="none" w:sz="0" w:space="0" w:color="auto"/>
            <w:left w:val="none" w:sz="0" w:space="0" w:color="auto"/>
            <w:bottom w:val="none" w:sz="0" w:space="0" w:color="auto"/>
            <w:right w:val="none" w:sz="0" w:space="0" w:color="auto"/>
          </w:divBdr>
        </w:div>
        <w:div w:id="424232205">
          <w:marLeft w:val="0"/>
          <w:marRight w:val="0"/>
          <w:marTop w:val="0"/>
          <w:marBottom w:val="0"/>
          <w:divBdr>
            <w:top w:val="none" w:sz="0" w:space="0" w:color="auto"/>
            <w:left w:val="none" w:sz="0" w:space="0" w:color="auto"/>
            <w:bottom w:val="none" w:sz="0" w:space="0" w:color="auto"/>
            <w:right w:val="none" w:sz="0" w:space="0" w:color="auto"/>
          </w:divBdr>
        </w:div>
        <w:div w:id="830095277">
          <w:marLeft w:val="0"/>
          <w:marRight w:val="0"/>
          <w:marTop w:val="0"/>
          <w:marBottom w:val="0"/>
          <w:divBdr>
            <w:top w:val="none" w:sz="0" w:space="0" w:color="auto"/>
            <w:left w:val="none" w:sz="0" w:space="0" w:color="auto"/>
            <w:bottom w:val="none" w:sz="0" w:space="0" w:color="auto"/>
            <w:right w:val="none" w:sz="0" w:space="0" w:color="auto"/>
          </w:divBdr>
        </w:div>
        <w:div w:id="914047202">
          <w:marLeft w:val="0"/>
          <w:marRight w:val="0"/>
          <w:marTop w:val="0"/>
          <w:marBottom w:val="0"/>
          <w:divBdr>
            <w:top w:val="none" w:sz="0" w:space="0" w:color="auto"/>
            <w:left w:val="none" w:sz="0" w:space="0" w:color="auto"/>
            <w:bottom w:val="none" w:sz="0" w:space="0" w:color="auto"/>
            <w:right w:val="none" w:sz="0" w:space="0" w:color="auto"/>
          </w:divBdr>
        </w:div>
        <w:div w:id="961807723">
          <w:marLeft w:val="0"/>
          <w:marRight w:val="0"/>
          <w:marTop w:val="0"/>
          <w:marBottom w:val="0"/>
          <w:divBdr>
            <w:top w:val="none" w:sz="0" w:space="0" w:color="auto"/>
            <w:left w:val="none" w:sz="0" w:space="0" w:color="auto"/>
            <w:bottom w:val="none" w:sz="0" w:space="0" w:color="auto"/>
            <w:right w:val="none" w:sz="0" w:space="0" w:color="auto"/>
          </w:divBdr>
        </w:div>
        <w:div w:id="1199930714">
          <w:marLeft w:val="0"/>
          <w:marRight w:val="0"/>
          <w:marTop w:val="0"/>
          <w:marBottom w:val="0"/>
          <w:divBdr>
            <w:top w:val="none" w:sz="0" w:space="0" w:color="auto"/>
            <w:left w:val="none" w:sz="0" w:space="0" w:color="auto"/>
            <w:bottom w:val="none" w:sz="0" w:space="0" w:color="auto"/>
            <w:right w:val="none" w:sz="0" w:space="0" w:color="auto"/>
          </w:divBdr>
        </w:div>
      </w:divsChild>
    </w:div>
    <w:div w:id="289750667">
      <w:bodyDiv w:val="1"/>
      <w:marLeft w:val="0"/>
      <w:marRight w:val="0"/>
      <w:marTop w:val="0"/>
      <w:marBottom w:val="0"/>
      <w:divBdr>
        <w:top w:val="none" w:sz="0" w:space="0" w:color="auto"/>
        <w:left w:val="none" w:sz="0" w:space="0" w:color="auto"/>
        <w:bottom w:val="none" w:sz="0" w:space="0" w:color="auto"/>
        <w:right w:val="none" w:sz="0" w:space="0" w:color="auto"/>
      </w:divBdr>
    </w:div>
    <w:div w:id="405417026">
      <w:bodyDiv w:val="1"/>
      <w:marLeft w:val="0"/>
      <w:marRight w:val="0"/>
      <w:marTop w:val="0"/>
      <w:marBottom w:val="0"/>
      <w:divBdr>
        <w:top w:val="none" w:sz="0" w:space="0" w:color="auto"/>
        <w:left w:val="none" w:sz="0" w:space="0" w:color="auto"/>
        <w:bottom w:val="none" w:sz="0" w:space="0" w:color="auto"/>
        <w:right w:val="none" w:sz="0" w:space="0" w:color="auto"/>
      </w:divBdr>
      <w:divsChild>
        <w:div w:id="30690446">
          <w:marLeft w:val="0"/>
          <w:marRight w:val="0"/>
          <w:marTop w:val="0"/>
          <w:marBottom w:val="0"/>
          <w:divBdr>
            <w:top w:val="none" w:sz="0" w:space="0" w:color="auto"/>
            <w:left w:val="none" w:sz="0" w:space="0" w:color="auto"/>
            <w:bottom w:val="none" w:sz="0" w:space="0" w:color="auto"/>
            <w:right w:val="none" w:sz="0" w:space="0" w:color="auto"/>
          </w:divBdr>
        </w:div>
        <w:div w:id="472673845">
          <w:marLeft w:val="0"/>
          <w:marRight w:val="0"/>
          <w:marTop w:val="0"/>
          <w:marBottom w:val="0"/>
          <w:divBdr>
            <w:top w:val="none" w:sz="0" w:space="0" w:color="auto"/>
            <w:left w:val="none" w:sz="0" w:space="0" w:color="auto"/>
            <w:bottom w:val="none" w:sz="0" w:space="0" w:color="auto"/>
            <w:right w:val="none" w:sz="0" w:space="0" w:color="auto"/>
          </w:divBdr>
        </w:div>
        <w:div w:id="680938898">
          <w:marLeft w:val="0"/>
          <w:marRight w:val="0"/>
          <w:marTop w:val="0"/>
          <w:marBottom w:val="0"/>
          <w:divBdr>
            <w:top w:val="none" w:sz="0" w:space="0" w:color="auto"/>
            <w:left w:val="none" w:sz="0" w:space="0" w:color="auto"/>
            <w:bottom w:val="none" w:sz="0" w:space="0" w:color="auto"/>
            <w:right w:val="none" w:sz="0" w:space="0" w:color="auto"/>
          </w:divBdr>
        </w:div>
        <w:div w:id="714962299">
          <w:marLeft w:val="0"/>
          <w:marRight w:val="0"/>
          <w:marTop w:val="0"/>
          <w:marBottom w:val="0"/>
          <w:divBdr>
            <w:top w:val="none" w:sz="0" w:space="0" w:color="auto"/>
            <w:left w:val="none" w:sz="0" w:space="0" w:color="auto"/>
            <w:bottom w:val="none" w:sz="0" w:space="0" w:color="auto"/>
            <w:right w:val="none" w:sz="0" w:space="0" w:color="auto"/>
          </w:divBdr>
        </w:div>
        <w:div w:id="778260087">
          <w:marLeft w:val="0"/>
          <w:marRight w:val="0"/>
          <w:marTop w:val="0"/>
          <w:marBottom w:val="0"/>
          <w:divBdr>
            <w:top w:val="none" w:sz="0" w:space="0" w:color="auto"/>
            <w:left w:val="none" w:sz="0" w:space="0" w:color="auto"/>
            <w:bottom w:val="none" w:sz="0" w:space="0" w:color="auto"/>
            <w:right w:val="none" w:sz="0" w:space="0" w:color="auto"/>
          </w:divBdr>
        </w:div>
        <w:div w:id="894852608">
          <w:marLeft w:val="0"/>
          <w:marRight w:val="0"/>
          <w:marTop w:val="0"/>
          <w:marBottom w:val="0"/>
          <w:divBdr>
            <w:top w:val="none" w:sz="0" w:space="0" w:color="auto"/>
            <w:left w:val="none" w:sz="0" w:space="0" w:color="auto"/>
            <w:bottom w:val="none" w:sz="0" w:space="0" w:color="auto"/>
            <w:right w:val="none" w:sz="0" w:space="0" w:color="auto"/>
          </w:divBdr>
        </w:div>
        <w:div w:id="1085958407">
          <w:marLeft w:val="0"/>
          <w:marRight w:val="0"/>
          <w:marTop w:val="0"/>
          <w:marBottom w:val="0"/>
          <w:divBdr>
            <w:top w:val="none" w:sz="0" w:space="0" w:color="auto"/>
            <w:left w:val="none" w:sz="0" w:space="0" w:color="auto"/>
            <w:bottom w:val="none" w:sz="0" w:space="0" w:color="auto"/>
            <w:right w:val="none" w:sz="0" w:space="0" w:color="auto"/>
          </w:divBdr>
        </w:div>
        <w:div w:id="1572305212">
          <w:marLeft w:val="0"/>
          <w:marRight w:val="0"/>
          <w:marTop w:val="0"/>
          <w:marBottom w:val="0"/>
          <w:divBdr>
            <w:top w:val="none" w:sz="0" w:space="0" w:color="auto"/>
            <w:left w:val="none" w:sz="0" w:space="0" w:color="auto"/>
            <w:bottom w:val="none" w:sz="0" w:space="0" w:color="auto"/>
            <w:right w:val="none" w:sz="0" w:space="0" w:color="auto"/>
          </w:divBdr>
        </w:div>
        <w:div w:id="1587574323">
          <w:marLeft w:val="0"/>
          <w:marRight w:val="0"/>
          <w:marTop w:val="0"/>
          <w:marBottom w:val="0"/>
          <w:divBdr>
            <w:top w:val="none" w:sz="0" w:space="0" w:color="auto"/>
            <w:left w:val="none" w:sz="0" w:space="0" w:color="auto"/>
            <w:bottom w:val="none" w:sz="0" w:space="0" w:color="auto"/>
            <w:right w:val="none" w:sz="0" w:space="0" w:color="auto"/>
          </w:divBdr>
        </w:div>
        <w:div w:id="1927496724">
          <w:marLeft w:val="0"/>
          <w:marRight w:val="0"/>
          <w:marTop w:val="0"/>
          <w:marBottom w:val="0"/>
          <w:divBdr>
            <w:top w:val="none" w:sz="0" w:space="0" w:color="auto"/>
            <w:left w:val="none" w:sz="0" w:space="0" w:color="auto"/>
            <w:bottom w:val="none" w:sz="0" w:space="0" w:color="auto"/>
            <w:right w:val="none" w:sz="0" w:space="0" w:color="auto"/>
          </w:divBdr>
        </w:div>
      </w:divsChild>
    </w:div>
    <w:div w:id="549726930">
      <w:bodyDiv w:val="1"/>
      <w:marLeft w:val="0"/>
      <w:marRight w:val="0"/>
      <w:marTop w:val="0"/>
      <w:marBottom w:val="0"/>
      <w:divBdr>
        <w:top w:val="none" w:sz="0" w:space="0" w:color="auto"/>
        <w:left w:val="none" w:sz="0" w:space="0" w:color="auto"/>
        <w:bottom w:val="none" w:sz="0" w:space="0" w:color="auto"/>
        <w:right w:val="none" w:sz="0" w:space="0" w:color="auto"/>
      </w:divBdr>
    </w:div>
    <w:div w:id="585310090">
      <w:bodyDiv w:val="1"/>
      <w:marLeft w:val="0"/>
      <w:marRight w:val="0"/>
      <w:marTop w:val="0"/>
      <w:marBottom w:val="0"/>
      <w:divBdr>
        <w:top w:val="none" w:sz="0" w:space="0" w:color="auto"/>
        <w:left w:val="none" w:sz="0" w:space="0" w:color="auto"/>
        <w:bottom w:val="none" w:sz="0" w:space="0" w:color="auto"/>
        <w:right w:val="none" w:sz="0" w:space="0" w:color="auto"/>
      </w:divBdr>
    </w:div>
    <w:div w:id="711460214">
      <w:bodyDiv w:val="1"/>
      <w:marLeft w:val="0"/>
      <w:marRight w:val="0"/>
      <w:marTop w:val="0"/>
      <w:marBottom w:val="0"/>
      <w:divBdr>
        <w:top w:val="none" w:sz="0" w:space="0" w:color="auto"/>
        <w:left w:val="none" w:sz="0" w:space="0" w:color="auto"/>
        <w:bottom w:val="none" w:sz="0" w:space="0" w:color="auto"/>
        <w:right w:val="none" w:sz="0" w:space="0" w:color="auto"/>
      </w:divBdr>
    </w:div>
    <w:div w:id="793980460">
      <w:bodyDiv w:val="1"/>
      <w:marLeft w:val="0"/>
      <w:marRight w:val="0"/>
      <w:marTop w:val="0"/>
      <w:marBottom w:val="0"/>
      <w:divBdr>
        <w:top w:val="none" w:sz="0" w:space="0" w:color="auto"/>
        <w:left w:val="none" w:sz="0" w:space="0" w:color="auto"/>
        <w:bottom w:val="none" w:sz="0" w:space="0" w:color="auto"/>
        <w:right w:val="none" w:sz="0" w:space="0" w:color="auto"/>
      </w:divBdr>
    </w:div>
    <w:div w:id="815610600">
      <w:bodyDiv w:val="1"/>
      <w:marLeft w:val="0"/>
      <w:marRight w:val="0"/>
      <w:marTop w:val="0"/>
      <w:marBottom w:val="0"/>
      <w:divBdr>
        <w:top w:val="none" w:sz="0" w:space="0" w:color="auto"/>
        <w:left w:val="none" w:sz="0" w:space="0" w:color="auto"/>
        <w:bottom w:val="none" w:sz="0" w:space="0" w:color="auto"/>
        <w:right w:val="none" w:sz="0" w:space="0" w:color="auto"/>
      </w:divBdr>
    </w:div>
    <w:div w:id="929237383">
      <w:bodyDiv w:val="1"/>
      <w:marLeft w:val="0"/>
      <w:marRight w:val="0"/>
      <w:marTop w:val="0"/>
      <w:marBottom w:val="0"/>
      <w:divBdr>
        <w:top w:val="none" w:sz="0" w:space="0" w:color="auto"/>
        <w:left w:val="none" w:sz="0" w:space="0" w:color="auto"/>
        <w:bottom w:val="none" w:sz="0" w:space="0" w:color="auto"/>
        <w:right w:val="none" w:sz="0" w:space="0" w:color="auto"/>
      </w:divBdr>
    </w:div>
    <w:div w:id="1132096599">
      <w:bodyDiv w:val="1"/>
      <w:marLeft w:val="0"/>
      <w:marRight w:val="0"/>
      <w:marTop w:val="0"/>
      <w:marBottom w:val="0"/>
      <w:divBdr>
        <w:top w:val="none" w:sz="0" w:space="0" w:color="auto"/>
        <w:left w:val="none" w:sz="0" w:space="0" w:color="auto"/>
        <w:bottom w:val="none" w:sz="0" w:space="0" w:color="auto"/>
        <w:right w:val="none" w:sz="0" w:space="0" w:color="auto"/>
      </w:divBdr>
    </w:div>
    <w:div w:id="1246920216">
      <w:bodyDiv w:val="1"/>
      <w:marLeft w:val="0"/>
      <w:marRight w:val="0"/>
      <w:marTop w:val="0"/>
      <w:marBottom w:val="0"/>
      <w:divBdr>
        <w:top w:val="none" w:sz="0" w:space="0" w:color="auto"/>
        <w:left w:val="none" w:sz="0" w:space="0" w:color="auto"/>
        <w:bottom w:val="none" w:sz="0" w:space="0" w:color="auto"/>
        <w:right w:val="none" w:sz="0" w:space="0" w:color="auto"/>
      </w:divBdr>
    </w:div>
    <w:div w:id="1250047028">
      <w:bodyDiv w:val="1"/>
      <w:marLeft w:val="0"/>
      <w:marRight w:val="0"/>
      <w:marTop w:val="0"/>
      <w:marBottom w:val="0"/>
      <w:divBdr>
        <w:top w:val="none" w:sz="0" w:space="0" w:color="auto"/>
        <w:left w:val="none" w:sz="0" w:space="0" w:color="auto"/>
        <w:bottom w:val="none" w:sz="0" w:space="0" w:color="auto"/>
        <w:right w:val="none" w:sz="0" w:space="0" w:color="auto"/>
      </w:divBdr>
    </w:div>
    <w:div w:id="1271815659">
      <w:bodyDiv w:val="1"/>
      <w:marLeft w:val="0"/>
      <w:marRight w:val="0"/>
      <w:marTop w:val="0"/>
      <w:marBottom w:val="0"/>
      <w:divBdr>
        <w:top w:val="none" w:sz="0" w:space="0" w:color="auto"/>
        <w:left w:val="none" w:sz="0" w:space="0" w:color="auto"/>
        <w:bottom w:val="none" w:sz="0" w:space="0" w:color="auto"/>
        <w:right w:val="none" w:sz="0" w:space="0" w:color="auto"/>
      </w:divBdr>
    </w:div>
    <w:div w:id="1333676036">
      <w:bodyDiv w:val="1"/>
      <w:marLeft w:val="0"/>
      <w:marRight w:val="0"/>
      <w:marTop w:val="0"/>
      <w:marBottom w:val="0"/>
      <w:divBdr>
        <w:top w:val="none" w:sz="0" w:space="0" w:color="auto"/>
        <w:left w:val="none" w:sz="0" w:space="0" w:color="auto"/>
        <w:bottom w:val="none" w:sz="0" w:space="0" w:color="auto"/>
        <w:right w:val="none" w:sz="0" w:space="0" w:color="auto"/>
      </w:divBdr>
    </w:div>
    <w:div w:id="1444881376">
      <w:bodyDiv w:val="1"/>
      <w:marLeft w:val="0"/>
      <w:marRight w:val="0"/>
      <w:marTop w:val="0"/>
      <w:marBottom w:val="0"/>
      <w:divBdr>
        <w:top w:val="none" w:sz="0" w:space="0" w:color="auto"/>
        <w:left w:val="none" w:sz="0" w:space="0" w:color="auto"/>
        <w:bottom w:val="none" w:sz="0" w:space="0" w:color="auto"/>
        <w:right w:val="none" w:sz="0" w:space="0" w:color="auto"/>
      </w:divBdr>
    </w:div>
    <w:div w:id="1473523284">
      <w:bodyDiv w:val="1"/>
      <w:marLeft w:val="0"/>
      <w:marRight w:val="0"/>
      <w:marTop w:val="0"/>
      <w:marBottom w:val="0"/>
      <w:divBdr>
        <w:top w:val="none" w:sz="0" w:space="0" w:color="auto"/>
        <w:left w:val="none" w:sz="0" w:space="0" w:color="auto"/>
        <w:bottom w:val="none" w:sz="0" w:space="0" w:color="auto"/>
        <w:right w:val="none" w:sz="0" w:space="0" w:color="auto"/>
      </w:divBdr>
    </w:div>
    <w:div w:id="1597981423">
      <w:bodyDiv w:val="1"/>
      <w:marLeft w:val="0"/>
      <w:marRight w:val="0"/>
      <w:marTop w:val="0"/>
      <w:marBottom w:val="0"/>
      <w:divBdr>
        <w:top w:val="none" w:sz="0" w:space="0" w:color="auto"/>
        <w:left w:val="none" w:sz="0" w:space="0" w:color="auto"/>
        <w:bottom w:val="none" w:sz="0" w:space="0" w:color="auto"/>
        <w:right w:val="none" w:sz="0" w:space="0" w:color="auto"/>
      </w:divBdr>
    </w:div>
    <w:div w:id="1689864090">
      <w:bodyDiv w:val="1"/>
      <w:marLeft w:val="0"/>
      <w:marRight w:val="0"/>
      <w:marTop w:val="0"/>
      <w:marBottom w:val="0"/>
      <w:divBdr>
        <w:top w:val="none" w:sz="0" w:space="0" w:color="auto"/>
        <w:left w:val="none" w:sz="0" w:space="0" w:color="auto"/>
        <w:bottom w:val="none" w:sz="0" w:space="0" w:color="auto"/>
        <w:right w:val="none" w:sz="0" w:space="0" w:color="auto"/>
      </w:divBdr>
    </w:div>
    <w:div w:id="1738936142">
      <w:bodyDiv w:val="1"/>
      <w:marLeft w:val="0"/>
      <w:marRight w:val="0"/>
      <w:marTop w:val="0"/>
      <w:marBottom w:val="0"/>
      <w:divBdr>
        <w:top w:val="none" w:sz="0" w:space="0" w:color="auto"/>
        <w:left w:val="none" w:sz="0" w:space="0" w:color="auto"/>
        <w:bottom w:val="none" w:sz="0" w:space="0" w:color="auto"/>
        <w:right w:val="none" w:sz="0" w:space="0" w:color="auto"/>
      </w:divBdr>
    </w:div>
    <w:div w:id="1811359399">
      <w:bodyDiv w:val="1"/>
      <w:marLeft w:val="0"/>
      <w:marRight w:val="0"/>
      <w:marTop w:val="0"/>
      <w:marBottom w:val="0"/>
      <w:divBdr>
        <w:top w:val="none" w:sz="0" w:space="0" w:color="auto"/>
        <w:left w:val="none" w:sz="0" w:space="0" w:color="auto"/>
        <w:bottom w:val="none" w:sz="0" w:space="0" w:color="auto"/>
        <w:right w:val="none" w:sz="0" w:space="0" w:color="auto"/>
      </w:divBdr>
    </w:div>
    <w:div w:id="1927108389">
      <w:bodyDiv w:val="1"/>
      <w:marLeft w:val="0"/>
      <w:marRight w:val="0"/>
      <w:marTop w:val="0"/>
      <w:marBottom w:val="0"/>
      <w:divBdr>
        <w:top w:val="none" w:sz="0" w:space="0" w:color="auto"/>
        <w:left w:val="none" w:sz="0" w:space="0" w:color="auto"/>
        <w:bottom w:val="none" w:sz="0" w:space="0" w:color="auto"/>
        <w:right w:val="none" w:sz="0" w:space="0" w:color="auto"/>
      </w:divBdr>
      <w:divsChild>
        <w:div w:id="567689607">
          <w:marLeft w:val="0"/>
          <w:marRight w:val="0"/>
          <w:marTop w:val="0"/>
          <w:marBottom w:val="0"/>
          <w:divBdr>
            <w:top w:val="none" w:sz="0" w:space="0" w:color="auto"/>
            <w:left w:val="none" w:sz="0" w:space="0" w:color="auto"/>
            <w:bottom w:val="none" w:sz="0" w:space="0" w:color="auto"/>
            <w:right w:val="none" w:sz="0" w:space="0" w:color="auto"/>
          </w:divBdr>
          <w:divsChild>
            <w:div w:id="348262842">
              <w:marLeft w:val="0"/>
              <w:marRight w:val="0"/>
              <w:marTop w:val="0"/>
              <w:marBottom w:val="0"/>
              <w:divBdr>
                <w:top w:val="none" w:sz="0" w:space="0" w:color="auto"/>
                <w:left w:val="none" w:sz="0" w:space="0" w:color="auto"/>
                <w:bottom w:val="none" w:sz="0" w:space="0" w:color="auto"/>
                <w:right w:val="none" w:sz="0" w:space="0" w:color="auto"/>
              </w:divBdr>
              <w:divsChild>
                <w:div w:id="199039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222171">
      <w:bodyDiv w:val="1"/>
      <w:marLeft w:val="0"/>
      <w:marRight w:val="0"/>
      <w:marTop w:val="0"/>
      <w:marBottom w:val="0"/>
      <w:divBdr>
        <w:top w:val="none" w:sz="0" w:space="0" w:color="auto"/>
        <w:left w:val="none" w:sz="0" w:space="0" w:color="auto"/>
        <w:bottom w:val="none" w:sz="0" w:space="0" w:color="auto"/>
        <w:right w:val="none" w:sz="0" w:space="0" w:color="auto"/>
      </w:divBdr>
    </w:div>
    <w:div w:id="1986548881">
      <w:bodyDiv w:val="1"/>
      <w:marLeft w:val="0"/>
      <w:marRight w:val="0"/>
      <w:marTop w:val="0"/>
      <w:marBottom w:val="0"/>
      <w:divBdr>
        <w:top w:val="none" w:sz="0" w:space="0" w:color="auto"/>
        <w:left w:val="none" w:sz="0" w:space="0" w:color="auto"/>
        <w:bottom w:val="none" w:sz="0" w:space="0" w:color="auto"/>
        <w:right w:val="none" w:sz="0" w:space="0" w:color="auto"/>
      </w:divBdr>
      <w:divsChild>
        <w:div w:id="27684415">
          <w:marLeft w:val="0"/>
          <w:marRight w:val="0"/>
          <w:marTop w:val="0"/>
          <w:marBottom w:val="0"/>
          <w:divBdr>
            <w:top w:val="none" w:sz="0" w:space="0" w:color="auto"/>
            <w:left w:val="none" w:sz="0" w:space="0" w:color="auto"/>
            <w:bottom w:val="none" w:sz="0" w:space="0" w:color="auto"/>
            <w:right w:val="none" w:sz="0" w:space="0" w:color="auto"/>
          </w:divBdr>
        </w:div>
        <w:div w:id="93480543">
          <w:marLeft w:val="0"/>
          <w:marRight w:val="0"/>
          <w:marTop w:val="0"/>
          <w:marBottom w:val="0"/>
          <w:divBdr>
            <w:top w:val="none" w:sz="0" w:space="0" w:color="auto"/>
            <w:left w:val="none" w:sz="0" w:space="0" w:color="auto"/>
            <w:bottom w:val="none" w:sz="0" w:space="0" w:color="auto"/>
            <w:right w:val="none" w:sz="0" w:space="0" w:color="auto"/>
          </w:divBdr>
        </w:div>
        <w:div w:id="122774992">
          <w:marLeft w:val="0"/>
          <w:marRight w:val="0"/>
          <w:marTop w:val="0"/>
          <w:marBottom w:val="0"/>
          <w:divBdr>
            <w:top w:val="none" w:sz="0" w:space="0" w:color="auto"/>
            <w:left w:val="none" w:sz="0" w:space="0" w:color="auto"/>
            <w:bottom w:val="none" w:sz="0" w:space="0" w:color="auto"/>
            <w:right w:val="none" w:sz="0" w:space="0" w:color="auto"/>
          </w:divBdr>
        </w:div>
        <w:div w:id="276714920">
          <w:marLeft w:val="0"/>
          <w:marRight w:val="0"/>
          <w:marTop w:val="0"/>
          <w:marBottom w:val="0"/>
          <w:divBdr>
            <w:top w:val="none" w:sz="0" w:space="0" w:color="auto"/>
            <w:left w:val="none" w:sz="0" w:space="0" w:color="auto"/>
            <w:bottom w:val="none" w:sz="0" w:space="0" w:color="auto"/>
            <w:right w:val="none" w:sz="0" w:space="0" w:color="auto"/>
          </w:divBdr>
        </w:div>
        <w:div w:id="379519876">
          <w:marLeft w:val="0"/>
          <w:marRight w:val="0"/>
          <w:marTop w:val="0"/>
          <w:marBottom w:val="0"/>
          <w:divBdr>
            <w:top w:val="none" w:sz="0" w:space="0" w:color="auto"/>
            <w:left w:val="none" w:sz="0" w:space="0" w:color="auto"/>
            <w:bottom w:val="none" w:sz="0" w:space="0" w:color="auto"/>
            <w:right w:val="none" w:sz="0" w:space="0" w:color="auto"/>
          </w:divBdr>
        </w:div>
        <w:div w:id="585966999">
          <w:marLeft w:val="0"/>
          <w:marRight w:val="0"/>
          <w:marTop w:val="0"/>
          <w:marBottom w:val="0"/>
          <w:divBdr>
            <w:top w:val="none" w:sz="0" w:space="0" w:color="auto"/>
            <w:left w:val="none" w:sz="0" w:space="0" w:color="auto"/>
            <w:bottom w:val="none" w:sz="0" w:space="0" w:color="auto"/>
            <w:right w:val="none" w:sz="0" w:space="0" w:color="auto"/>
          </w:divBdr>
        </w:div>
        <w:div w:id="589892863">
          <w:marLeft w:val="0"/>
          <w:marRight w:val="0"/>
          <w:marTop w:val="0"/>
          <w:marBottom w:val="0"/>
          <w:divBdr>
            <w:top w:val="none" w:sz="0" w:space="0" w:color="auto"/>
            <w:left w:val="none" w:sz="0" w:space="0" w:color="auto"/>
            <w:bottom w:val="none" w:sz="0" w:space="0" w:color="auto"/>
            <w:right w:val="none" w:sz="0" w:space="0" w:color="auto"/>
          </w:divBdr>
        </w:div>
        <w:div w:id="593174924">
          <w:marLeft w:val="0"/>
          <w:marRight w:val="0"/>
          <w:marTop w:val="0"/>
          <w:marBottom w:val="0"/>
          <w:divBdr>
            <w:top w:val="none" w:sz="0" w:space="0" w:color="auto"/>
            <w:left w:val="none" w:sz="0" w:space="0" w:color="auto"/>
            <w:bottom w:val="none" w:sz="0" w:space="0" w:color="auto"/>
            <w:right w:val="none" w:sz="0" w:space="0" w:color="auto"/>
          </w:divBdr>
        </w:div>
        <w:div w:id="673919273">
          <w:marLeft w:val="0"/>
          <w:marRight w:val="0"/>
          <w:marTop w:val="0"/>
          <w:marBottom w:val="0"/>
          <w:divBdr>
            <w:top w:val="none" w:sz="0" w:space="0" w:color="auto"/>
            <w:left w:val="none" w:sz="0" w:space="0" w:color="auto"/>
            <w:bottom w:val="none" w:sz="0" w:space="0" w:color="auto"/>
            <w:right w:val="none" w:sz="0" w:space="0" w:color="auto"/>
          </w:divBdr>
        </w:div>
        <w:div w:id="808521889">
          <w:marLeft w:val="0"/>
          <w:marRight w:val="0"/>
          <w:marTop w:val="0"/>
          <w:marBottom w:val="0"/>
          <w:divBdr>
            <w:top w:val="none" w:sz="0" w:space="0" w:color="auto"/>
            <w:left w:val="none" w:sz="0" w:space="0" w:color="auto"/>
            <w:bottom w:val="none" w:sz="0" w:space="0" w:color="auto"/>
            <w:right w:val="none" w:sz="0" w:space="0" w:color="auto"/>
          </w:divBdr>
        </w:div>
        <w:div w:id="881287403">
          <w:marLeft w:val="0"/>
          <w:marRight w:val="0"/>
          <w:marTop w:val="0"/>
          <w:marBottom w:val="0"/>
          <w:divBdr>
            <w:top w:val="none" w:sz="0" w:space="0" w:color="auto"/>
            <w:left w:val="none" w:sz="0" w:space="0" w:color="auto"/>
            <w:bottom w:val="none" w:sz="0" w:space="0" w:color="auto"/>
            <w:right w:val="none" w:sz="0" w:space="0" w:color="auto"/>
          </w:divBdr>
        </w:div>
        <w:div w:id="1060522766">
          <w:marLeft w:val="0"/>
          <w:marRight w:val="0"/>
          <w:marTop w:val="0"/>
          <w:marBottom w:val="0"/>
          <w:divBdr>
            <w:top w:val="none" w:sz="0" w:space="0" w:color="auto"/>
            <w:left w:val="none" w:sz="0" w:space="0" w:color="auto"/>
            <w:bottom w:val="none" w:sz="0" w:space="0" w:color="auto"/>
            <w:right w:val="none" w:sz="0" w:space="0" w:color="auto"/>
          </w:divBdr>
        </w:div>
        <w:div w:id="1076980353">
          <w:marLeft w:val="0"/>
          <w:marRight w:val="0"/>
          <w:marTop w:val="0"/>
          <w:marBottom w:val="0"/>
          <w:divBdr>
            <w:top w:val="none" w:sz="0" w:space="0" w:color="auto"/>
            <w:left w:val="none" w:sz="0" w:space="0" w:color="auto"/>
            <w:bottom w:val="none" w:sz="0" w:space="0" w:color="auto"/>
            <w:right w:val="none" w:sz="0" w:space="0" w:color="auto"/>
          </w:divBdr>
        </w:div>
        <w:div w:id="1219828788">
          <w:marLeft w:val="0"/>
          <w:marRight w:val="0"/>
          <w:marTop w:val="0"/>
          <w:marBottom w:val="0"/>
          <w:divBdr>
            <w:top w:val="none" w:sz="0" w:space="0" w:color="auto"/>
            <w:left w:val="none" w:sz="0" w:space="0" w:color="auto"/>
            <w:bottom w:val="none" w:sz="0" w:space="0" w:color="auto"/>
            <w:right w:val="none" w:sz="0" w:space="0" w:color="auto"/>
          </w:divBdr>
        </w:div>
        <w:div w:id="1496454086">
          <w:marLeft w:val="0"/>
          <w:marRight w:val="0"/>
          <w:marTop w:val="0"/>
          <w:marBottom w:val="0"/>
          <w:divBdr>
            <w:top w:val="none" w:sz="0" w:space="0" w:color="auto"/>
            <w:left w:val="none" w:sz="0" w:space="0" w:color="auto"/>
            <w:bottom w:val="none" w:sz="0" w:space="0" w:color="auto"/>
            <w:right w:val="none" w:sz="0" w:space="0" w:color="auto"/>
          </w:divBdr>
        </w:div>
        <w:div w:id="1747921270">
          <w:marLeft w:val="0"/>
          <w:marRight w:val="0"/>
          <w:marTop w:val="0"/>
          <w:marBottom w:val="0"/>
          <w:divBdr>
            <w:top w:val="none" w:sz="0" w:space="0" w:color="auto"/>
            <w:left w:val="none" w:sz="0" w:space="0" w:color="auto"/>
            <w:bottom w:val="none" w:sz="0" w:space="0" w:color="auto"/>
            <w:right w:val="none" w:sz="0" w:space="0" w:color="auto"/>
          </w:divBdr>
        </w:div>
        <w:div w:id="1856111994">
          <w:marLeft w:val="0"/>
          <w:marRight w:val="0"/>
          <w:marTop w:val="0"/>
          <w:marBottom w:val="0"/>
          <w:divBdr>
            <w:top w:val="none" w:sz="0" w:space="0" w:color="auto"/>
            <w:left w:val="none" w:sz="0" w:space="0" w:color="auto"/>
            <w:bottom w:val="none" w:sz="0" w:space="0" w:color="auto"/>
            <w:right w:val="none" w:sz="0" w:space="0" w:color="auto"/>
          </w:divBdr>
        </w:div>
        <w:div w:id="2004308878">
          <w:marLeft w:val="0"/>
          <w:marRight w:val="0"/>
          <w:marTop w:val="0"/>
          <w:marBottom w:val="0"/>
          <w:divBdr>
            <w:top w:val="none" w:sz="0" w:space="0" w:color="auto"/>
            <w:left w:val="none" w:sz="0" w:space="0" w:color="auto"/>
            <w:bottom w:val="none" w:sz="0" w:space="0" w:color="auto"/>
            <w:right w:val="none" w:sz="0" w:space="0" w:color="auto"/>
          </w:divBdr>
        </w:div>
        <w:div w:id="2056200632">
          <w:marLeft w:val="0"/>
          <w:marRight w:val="0"/>
          <w:marTop w:val="0"/>
          <w:marBottom w:val="0"/>
          <w:divBdr>
            <w:top w:val="none" w:sz="0" w:space="0" w:color="auto"/>
            <w:left w:val="none" w:sz="0" w:space="0" w:color="auto"/>
            <w:bottom w:val="none" w:sz="0" w:space="0" w:color="auto"/>
            <w:right w:val="none" w:sz="0" w:space="0" w:color="auto"/>
          </w:divBdr>
        </w:div>
        <w:div w:id="2096127154">
          <w:marLeft w:val="0"/>
          <w:marRight w:val="0"/>
          <w:marTop w:val="0"/>
          <w:marBottom w:val="0"/>
          <w:divBdr>
            <w:top w:val="none" w:sz="0" w:space="0" w:color="auto"/>
            <w:left w:val="none" w:sz="0" w:space="0" w:color="auto"/>
            <w:bottom w:val="none" w:sz="0" w:space="0" w:color="auto"/>
            <w:right w:val="none" w:sz="0" w:space="0" w:color="auto"/>
          </w:divBdr>
        </w:div>
        <w:div w:id="2139108508">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s://abc7ny.com/nycha-public-housing-crime-new-york-city/11312419/" TargetMode="External"/><Relationship Id="rId18" Type="http://schemas.openxmlformats.org/officeDocument/2006/relationships/hyperlink" Target="https://www.nyc.gov/assets/doi/reports/pdf/2016/2016-10-04-31NYCHA_Smoke_Detectors.pdf" TargetMode="External"/><Relationship Id="rId26" Type="http://schemas.openxmlformats.org/officeDocument/2006/relationships/hyperlink" Target="https://comptroller.nyc.gov/wp-content/uploads/documents/FK23_069S.pdf" TargetMode="External"/><Relationship Id="rId21" Type="http://schemas.openxmlformats.org/officeDocument/2006/relationships/hyperlink" Target="https://www.nyc.gov/assets/doi/reports/pdf/2023/12NYCHAfiresafety.Rpt.Release03.30.2023.pdf" TargetMode="External"/><Relationship Id="rId34" Type="http://schemas.openxmlformats.org/officeDocument/2006/relationships/hyperlink" Target="https://www.nyc.gov/assets/nycha/downloads/pdf/senior-report-nycha.pdf" TargetMode="External"/><Relationship Id="rId7" Type="http://schemas.openxmlformats.org/officeDocument/2006/relationships/hyperlink" Target="https://www.nyc.gov/assets/nycha/downloads/pdf/2023-PNA-Report-Physical-Needs-Assessment-NYCHA.pdf" TargetMode="External"/><Relationship Id="rId12" Type="http://schemas.openxmlformats.org/officeDocument/2006/relationships/hyperlink" Target="https://nychamonitor.com/wp-content/uploads/2023/05/Monitor-Safety-and-Security-Report-5.25.pdf" TargetMode="External"/><Relationship Id="rId17" Type="http://schemas.openxmlformats.org/officeDocument/2006/relationships/hyperlink" Target="https://www.nyc.gov/site/hpd/services-and-information/smoke-carbon-monoxide-detectors.page" TargetMode="External"/><Relationship Id="rId25" Type="http://schemas.openxmlformats.org/officeDocument/2006/relationships/hyperlink" Target="https://legistar.council.nyc.gov/LegislationDetail.aspx?ID=4773232&amp;GUID=F6FD2DE3-2B02-4165-BF88-9714DDE19C32&amp;Options=&amp;Search" TargetMode="External"/><Relationship Id="rId33" Type="http://schemas.openxmlformats.org/officeDocument/2006/relationships/hyperlink" Target="https://www.nyc.gov/assets/nycha/downloads/pdf/senior-report-nycha.pdf" TargetMode="External"/><Relationship Id="rId38" Type="http://schemas.openxmlformats.org/officeDocument/2006/relationships/hyperlink" Target="https://ny1.com/nyc/all-boroughs/news/2022/03/16/senior-nycha-residents-say-they-feel-unsafe-in-their-homes" TargetMode="External"/><Relationship Id="rId2" Type="http://schemas.openxmlformats.org/officeDocument/2006/relationships/hyperlink" Target="https://www.gpo.gov/fdsys/pkg/USCODE-2009-title42/pdf/USCODE-2009-title42-chap8.pdf" TargetMode="External"/><Relationship Id="rId16" Type="http://schemas.openxmlformats.org/officeDocument/2006/relationships/hyperlink" Target="https://legistar.council.nyc.gov/LegislationDetail.aspx?ID=4773232&amp;GUID=F6FD2DE3-2B02-4165-BF88-9714DDE19C32&amp;Options=&amp;Search" TargetMode="External"/><Relationship Id="rId20" Type="http://schemas.openxmlformats.org/officeDocument/2006/relationships/hyperlink" Target="https://www.nyc.gov/assets/doi/reports/pdf/2023/12NYCHAfiresafety.Rpt.Release03.30.2023.pdf" TargetMode="External"/><Relationship Id="rId29" Type="http://schemas.openxmlformats.org/officeDocument/2006/relationships/hyperlink" Target="https://comptroller.nyc.gov/wp-content/uploads/documents/FK23_069S.pdf" TargetMode="External"/><Relationship Id="rId1" Type="http://schemas.openxmlformats.org/officeDocument/2006/relationships/hyperlink" Target="https://www.nytimes.com/interactive/2018/06/25/nyregion/new-york-city-public-housing-history.html" TargetMode="External"/><Relationship Id="rId6" Type="http://schemas.openxmlformats.org/officeDocument/2006/relationships/hyperlink" Target="https://nychamonitor.com/wp-content/uploads/2019/03/Final-Executed-NYCHA-Agreement.pdf" TargetMode="External"/><Relationship Id="rId11" Type="http://schemas.openxmlformats.org/officeDocument/2006/relationships/hyperlink" Target="https://nychamonitor.com/wp-content/uploads/2023/05/Monitor-Safety-and-Security-Report-5.25.pdf" TargetMode="External"/><Relationship Id="rId24" Type="http://schemas.openxmlformats.org/officeDocument/2006/relationships/hyperlink" Target="https://legistar.council.nyc.gov/LegislationDetail.aspx?ID=4773232&amp;GUID=F6FD2DE3-2B02-4165-BF88-9714DDE19C32&amp;Options=&amp;Search" TargetMode="External"/><Relationship Id="rId32" Type="http://schemas.openxmlformats.org/officeDocument/2006/relationships/hyperlink" Target="https://www.nyc.gov/site/nycha/residents/senior-programs.page" TargetMode="External"/><Relationship Id="rId37" Type="http://schemas.openxmlformats.org/officeDocument/2006/relationships/hyperlink" Target="https://abc7ny.com/carter-g-woodson-nycha-senior-housing-development-murders-elderly-brooklyn/9875042/" TargetMode="External"/><Relationship Id="rId5" Type="http://schemas.openxmlformats.org/officeDocument/2006/relationships/hyperlink" Target="https://www.nyc.gov/site/nycha/about/public-housing-preservation-trust.page" TargetMode="External"/><Relationship Id="rId15" Type="http://schemas.openxmlformats.org/officeDocument/2006/relationships/hyperlink" Target="https://www.nyc.gov/site/buildings/safety/sidewalk-sheds.page" TargetMode="External"/><Relationship Id="rId23" Type="http://schemas.openxmlformats.org/officeDocument/2006/relationships/hyperlink" Target="https://www.nyc.gov/site/nycha/residents/micromobility.page" TargetMode="External"/><Relationship Id="rId28" Type="http://schemas.openxmlformats.org/officeDocument/2006/relationships/hyperlink" Target="https://comptroller.nyc.gov/wp-content/uploads/documents/FK23_069S.pdf" TargetMode="External"/><Relationship Id="rId36" Type="http://schemas.openxmlformats.org/officeDocument/2006/relationships/hyperlink" Target="https://www.thecity.nyc/2021/01/31/nycha-crime-prevention-shooting-spike-map-nypd-de-blasio/" TargetMode="External"/><Relationship Id="rId10" Type="http://schemas.openxmlformats.org/officeDocument/2006/relationships/hyperlink" Target="https://nychamonitor.com/wp-content/uploads/2023/05/Monitor-Safety-and-Security-Report-5.25.pdf" TargetMode="External"/><Relationship Id="rId19" Type="http://schemas.openxmlformats.org/officeDocument/2006/relationships/hyperlink" Target="https://www.nyc.gov/assets/doi/reports/pdf/2023/12NYCHAfiresafety.Rpt.Release03.30.2023.pdf" TargetMode="External"/><Relationship Id="rId31" Type="http://schemas.openxmlformats.org/officeDocument/2006/relationships/hyperlink" Target="https://www.nyc.gov/site/nycha/residents/senior-programs.page" TargetMode="External"/><Relationship Id="rId4" Type="http://schemas.openxmlformats.org/officeDocument/2006/relationships/hyperlink" Target="https://www.nyc.gov/site/nycha/residents/voting-nostrand.page" TargetMode="External"/><Relationship Id="rId9" Type="http://schemas.openxmlformats.org/officeDocument/2006/relationships/hyperlink" Target="https://legistar.council.nyc.gov/LegislationDetail.aspx?ID=6327858&amp;GUID=0A94AEAC-603B-46FB-88E5-910016AA6253&amp;Options=&amp;Search" TargetMode="External"/><Relationship Id="rId14" Type="http://schemas.openxmlformats.org/officeDocument/2006/relationships/hyperlink" Target="https://legistar.council.nyc.gov/LegislationDetail.aspx?ID=4773232&amp;GUID=F6FD2DE3-2B02-4165-BF88-9714DDE19C32&amp;Options=&amp;Search" TargetMode="External"/><Relationship Id="rId22" Type="http://schemas.openxmlformats.org/officeDocument/2006/relationships/hyperlink" Target="https://www.nyc.gov/site/nycha/residents/micromobility.page" TargetMode="External"/><Relationship Id="rId27" Type="http://schemas.openxmlformats.org/officeDocument/2006/relationships/hyperlink" Target="https://comptroller.nyc.gov/wp-content/uploads/documents/FK23_069S.pdf" TargetMode="External"/><Relationship Id="rId30" Type="http://schemas.openxmlformats.org/officeDocument/2006/relationships/hyperlink" Target="https://www.nyc.gov/site/nycha/eligibility/eligibility.page" TargetMode="External"/><Relationship Id="rId35" Type="http://schemas.openxmlformats.org/officeDocument/2006/relationships/hyperlink" Target="https://www.thecity.nyc/2021/01/31/nycha-crime-prevention-shooting-spike-map-nypd-de-blasio/" TargetMode="External"/><Relationship Id="rId8" Type="http://schemas.openxmlformats.org/officeDocument/2006/relationships/hyperlink" Target="https://legistar.council.nyc.gov/LegislationDetail.aspx?ID=6327858&amp;GUID=0A94AEAC-603B-46FB-88E5-910016AA6253&amp;Options=&amp;Search" TargetMode="External"/><Relationship Id="rId3" Type="http://schemas.openxmlformats.org/officeDocument/2006/relationships/hyperlink" Target="https://www.nyc.gov/assets/nycha/downloads/pdf/NYCHA-Fact-Sheet-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800AD-0FF8-4A3D-A6E5-A894D4259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3741</Words>
  <Characters>21327</Characters>
  <Application>Microsoft Office Word</Application>
  <DocSecurity>4</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25018</CharactersWithSpaces>
  <SharedDoc>false</SharedDoc>
  <HLinks>
    <vt:vector size="162" baseType="variant">
      <vt:variant>
        <vt:i4>3145783</vt:i4>
      </vt:variant>
      <vt:variant>
        <vt:i4>78</vt:i4>
      </vt:variant>
      <vt:variant>
        <vt:i4>0</vt:i4>
      </vt:variant>
      <vt:variant>
        <vt:i4>5</vt:i4>
      </vt:variant>
      <vt:variant>
        <vt:lpwstr>https://ny1.com/nyc/all-boroughs/news/2022/03/16/senior-nycha-residents-say-they-feel-unsafe-in-their-homes</vt:lpwstr>
      </vt:variant>
      <vt:variant>
        <vt:lpwstr/>
      </vt:variant>
      <vt:variant>
        <vt:i4>6619263</vt:i4>
      </vt:variant>
      <vt:variant>
        <vt:i4>75</vt:i4>
      </vt:variant>
      <vt:variant>
        <vt:i4>0</vt:i4>
      </vt:variant>
      <vt:variant>
        <vt:i4>5</vt:i4>
      </vt:variant>
      <vt:variant>
        <vt:lpwstr>https://abc7ny.com/carter-g-woodson-nycha-senior-housing-development-murders-elderly-brooklyn/9875042/</vt:lpwstr>
      </vt:variant>
      <vt:variant>
        <vt:lpwstr/>
      </vt:variant>
      <vt:variant>
        <vt:i4>6094936</vt:i4>
      </vt:variant>
      <vt:variant>
        <vt:i4>72</vt:i4>
      </vt:variant>
      <vt:variant>
        <vt:i4>0</vt:i4>
      </vt:variant>
      <vt:variant>
        <vt:i4>5</vt:i4>
      </vt:variant>
      <vt:variant>
        <vt:lpwstr>https://www.thecity.nyc/2021/01/31/nycha-crime-prevention-shooting-spike-map-nypd-de-blasio/</vt:lpwstr>
      </vt:variant>
      <vt:variant>
        <vt:lpwstr/>
      </vt:variant>
      <vt:variant>
        <vt:i4>6094936</vt:i4>
      </vt:variant>
      <vt:variant>
        <vt:i4>69</vt:i4>
      </vt:variant>
      <vt:variant>
        <vt:i4>0</vt:i4>
      </vt:variant>
      <vt:variant>
        <vt:i4>5</vt:i4>
      </vt:variant>
      <vt:variant>
        <vt:lpwstr>https://www.thecity.nyc/2021/01/31/nycha-crime-prevention-shooting-spike-map-nypd-de-blasio/</vt:lpwstr>
      </vt:variant>
      <vt:variant>
        <vt:lpwstr/>
      </vt:variant>
      <vt:variant>
        <vt:i4>262148</vt:i4>
      </vt:variant>
      <vt:variant>
        <vt:i4>66</vt:i4>
      </vt:variant>
      <vt:variant>
        <vt:i4>0</vt:i4>
      </vt:variant>
      <vt:variant>
        <vt:i4>5</vt:i4>
      </vt:variant>
      <vt:variant>
        <vt:lpwstr>https://ny1.com/nyc/queens/news/2020/07/08/study--nycha-living-conditions-affects-residents--mental---physical-health</vt:lpwstr>
      </vt:variant>
      <vt:variant>
        <vt:lpwstr/>
      </vt:variant>
      <vt:variant>
        <vt:i4>5636109</vt:i4>
      </vt:variant>
      <vt:variant>
        <vt:i4>63</vt:i4>
      </vt:variant>
      <vt:variant>
        <vt:i4>0</vt:i4>
      </vt:variant>
      <vt:variant>
        <vt:i4>5</vt:i4>
      </vt:variant>
      <vt:variant>
        <vt:lpwstr>https://www.nyc.gov/site/doh/about/press/pr2019/health-of-older-adults-in-new-york-city.page</vt:lpwstr>
      </vt:variant>
      <vt:variant>
        <vt:lpwstr/>
      </vt:variant>
      <vt:variant>
        <vt:i4>6225935</vt:i4>
      </vt:variant>
      <vt:variant>
        <vt:i4>60</vt:i4>
      </vt:variant>
      <vt:variant>
        <vt:i4>0</vt:i4>
      </vt:variant>
      <vt:variant>
        <vt:i4>5</vt:i4>
      </vt:variant>
      <vt:variant>
        <vt:lpwstr>https://rpa.org/work/reports/nycha-resident-needs-assessment</vt:lpwstr>
      </vt:variant>
      <vt:variant>
        <vt:lpwstr>key-findings</vt:lpwstr>
      </vt:variant>
      <vt:variant>
        <vt:i4>7733309</vt:i4>
      </vt:variant>
      <vt:variant>
        <vt:i4>57</vt:i4>
      </vt:variant>
      <vt:variant>
        <vt:i4>0</vt:i4>
      </vt:variant>
      <vt:variant>
        <vt:i4>5</vt:i4>
      </vt:variant>
      <vt:variant>
        <vt:lpwstr>https://www.nyc.gov/assets/nycha/downloads/pdf/senior-report-nycha.pdf</vt:lpwstr>
      </vt:variant>
      <vt:variant>
        <vt:lpwstr/>
      </vt:variant>
      <vt:variant>
        <vt:i4>4522060</vt:i4>
      </vt:variant>
      <vt:variant>
        <vt:i4>54</vt:i4>
      </vt:variant>
      <vt:variant>
        <vt:i4>0</vt:i4>
      </vt:variant>
      <vt:variant>
        <vt:i4>5</vt:i4>
      </vt:variant>
      <vt:variant>
        <vt:lpwstr>https://www.thecity.nyc/2022/09/21/most-nycha-buildings-have-open-doors-or-busted-locks/</vt:lpwstr>
      </vt:variant>
      <vt:variant>
        <vt:lpwstr/>
      </vt:variant>
      <vt:variant>
        <vt:i4>524361</vt:i4>
      </vt:variant>
      <vt:variant>
        <vt:i4>51</vt:i4>
      </vt:variant>
      <vt:variant>
        <vt:i4>0</vt:i4>
      </vt:variant>
      <vt:variant>
        <vt:i4>5</vt:i4>
      </vt:variant>
      <vt:variant>
        <vt:lpwstr>https://www.nyc.gov/site/nycha/residents/senior-programs.page</vt:lpwstr>
      </vt:variant>
      <vt:variant>
        <vt:lpwstr/>
      </vt:variant>
      <vt:variant>
        <vt:i4>524361</vt:i4>
      </vt:variant>
      <vt:variant>
        <vt:i4>48</vt:i4>
      </vt:variant>
      <vt:variant>
        <vt:i4>0</vt:i4>
      </vt:variant>
      <vt:variant>
        <vt:i4>5</vt:i4>
      </vt:variant>
      <vt:variant>
        <vt:lpwstr>https://www.nyc.gov/site/nycha/residents/senior-programs.page</vt:lpwstr>
      </vt:variant>
      <vt:variant>
        <vt:lpwstr/>
      </vt:variant>
      <vt:variant>
        <vt:i4>524361</vt:i4>
      </vt:variant>
      <vt:variant>
        <vt:i4>45</vt:i4>
      </vt:variant>
      <vt:variant>
        <vt:i4>0</vt:i4>
      </vt:variant>
      <vt:variant>
        <vt:i4>5</vt:i4>
      </vt:variant>
      <vt:variant>
        <vt:lpwstr>https://www.nyc.gov/site/nycha/residents/senior-programs.page</vt:lpwstr>
      </vt:variant>
      <vt:variant>
        <vt:lpwstr/>
      </vt:variant>
      <vt:variant>
        <vt:i4>6029380</vt:i4>
      </vt:variant>
      <vt:variant>
        <vt:i4>42</vt:i4>
      </vt:variant>
      <vt:variant>
        <vt:i4>0</vt:i4>
      </vt:variant>
      <vt:variant>
        <vt:i4>5</vt:i4>
      </vt:variant>
      <vt:variant>
        <vt:lpwstr>https://www.nyc.gov/assets/nycha/downloads/pdf/NYCHA-Fact-Sheet-2023.pdf</vt:lpwstr>
      </vt:variant>
      <vt:variant>
        <vt:lpwstr/>
      </vt:variant>
      <vt:variant>
        <vt:i4>2621482</vt:i4>
      </vt:variant>
      <vt:variant>
        <vt:i4>39</vt:i4>
      </vt:variant>
      <vt:variant>
        <vt:i4>0</vt:i4>
      </vt:variant>
      <vt:variant>
        <vt:i4>5</vt:i4>
      </vt:variant>
      <vt:variant>
        <vt:lpwstr>https://www.nyc.gov/site/nycha/eligibility/eligibility.page</vt:lpwstr>
      </vt:variant>
      <vt:variant>
        <vt:lpwstr/>
      </vt:variant>
      <vt:variant>
        <vt:i4>262204</vt:i4>
      </vt:variant>
      <vt:variant>
        <vt:i4>36</vt:i4>
      </vt:variant>
      <vt:variant>
        <vt:i4>0</vt:i4>
      </vt:variant>
      <vt:variant>
        <vt:i4>5</vt:i4>
      </vt:variant>
      <vt:variant>
        <vt:lpwstr>https://comptroller.nyc.gov/wp-content/uploads/documents/FK23_069S.pdf</vt:lpwstr>
      </vt:variant>
      <vt:variant>
        <vt:lpwstr/>
      </vt:variant>
      <vt:variant>
        <vt:i4>3932193</vt:i4>
      </vt:variant>
      <vt:variant>
        <vt:i4>33</vt:i4>
      </vt:variant>
      <vt:variant>
        <vt:i4>0</vt:i4>
      </vt:variant>
      <vt:variant>
        <vt:i4>5</vt:i4>
      </vt:variant>
      <vt:variant>
        <vt:lpwstr>https://www.nyc.gov/assets/doi/reports/pdf/2023/12NYCHAfiresafety.Rpt.Release03.30.2023.pdf</vt:lpwstr>
      </vt:variant>
      <vt:variant>
        <vt:lpwstr/>
      </vt:variant>
      <vt:variant>
        <vt:i4>8323104</vt:i4>
      </vt:variant>
      <vt:variant>
        <vt:i4>30</vt:i4>
      </vt:variant>
      <vt:variant>
        <vt:i4>0</vt:i4>
      </vt:variant>
      <vt:variant>
        <vt:i4>5</vt:i4>
      </vt:variant>
      <vt:variant>
        <vt:lpwstr>https://www.nyc.gov/assets/doi/reports/pdf/2016/2016-10-04-31NYCHA_Smoke_Detectors.pdf</vt:lpwstr>
      </vt:variant>
      <vt:variant>
        <vt:lpwstr/>
      </vt:variant>
      <vt:variant>
        <vt:i4>1966089</vt:i4>
      </vt:variant>
      <vt:variant>
        <vt:i4>27</vt:i4>
      </vt:variant>
      <vt:variant>
        <vt:i4>0</vt:i4>
      </vt:variant>
      <vt:variant>
        <vt:i4>5</vt:i4>
      </vt:variant>
      <vt:variant>
        <vt:lpwstr>https://legistar.council.nyc.gov/</vt:lpwstr>
      </vt:variant>
      <vt:variant>
        <vt:lpwstr/>
      </vt:variant>
      <vt:variant>
        <vt:i4>1900630</vt:i4>
      </vt:variant>
      <vt:variant>
        <vt:i4>24</vt:i4>
      </vt:variant>
      <vt:variant>
        <vt:i4>0</vt:i4>
      </vt:variant>
      <vt:variant>
        <vt:i4>5</vt:i4>
      </vt:variant>
      <vt:variant>
        <vt:lpwstr>https://abc7ny.com/nycha-public-housing-crime-new-york-city/11312419/</vt:lpwstr>
      </vt:variant>
      <vt:variant>
        <vt:lpwstr/>
      </vt:variant>
      <vt:variant>
        <vt:i4>7798890</vt:i4>
      </vt:variant>
      <vt:variant>
        <vt:i4>21</vt:i4>
      </vt:variant>
      <vt:variant>
        <vt:i4>0</vt:i4>
      </vt:variant>
      <vt:variant>
        <vt:i4>5</vt:i4>
      </vt:variant>
      <vt:variant>
        <vt:lpwstr>https://nychamonitor.com/wp-content/uploads/2023/05/Monitor-Safety-and-Security-Report-5.25.pdf</vt:lpwstr>
      </vt:variant>
      <vt:variant>
        <vt:lpwstr/>
      </vt:variant>
      <vt:variant>
        <vt:i4>3342450</vt:i4>
      </vt:variant>
      <vt:variant>
        <vt:i4>18</vt:i4>
      </vt:variant>
      <vt:variant>
        <vt:i4>0</vt:i4>
      </vt:variant>
      <vt:variant>
        <vt:i4>5</vt:i4>
      </vt:variant>
      <vt:variant>
        <vt:lpwstr>https://www.nyc.gov/assets/nycha/downloads/pdf/2023-PNA-Report-Physical-Needs-Assessment-NYCHA.pdf</vt:lpwstr>
      </vt:variant>
      <vt:variant>
        <vt:lpwstr/>
      </vt:variant>
      <vt:variant>
        <vt:i4>7995517</vt:i4>
      </vt:variant>
      <vt:variant>
        <vt:i4>15</vt:i4>
      </vt:variant>
      <vt:variant>
        <vt:i4>0</vt:i4>
      </vt:variant>
      <vt:variant>
        <vt:i4>5</vt:i4>
      </vt:variant>
      <vt:variant>
        <vt:lpwstr>https://nychamonitor.com/wp-content/uploads/2019/03/Final-Executed-NYCHA-Agreement.pdf</vt:lpwstr>
      </vt:variant>
      <vt:variant>
        <vt:lpwstr/>
      </vt:variant>
      <vt:variant>
        <vt:i4>3866725</vt:i4>
      </vt:variant>
      <vt:variant>
        <vt:i4>12</vt:i4>
      </vt:variant>
      <vt:variant>
        <vt:i4>0</vt:i4>
      </vt:variant>
      <vt:variant>
        <vt:i4>5</vt:i4>
      </vt:variant>
      <vt:variant>
        <vt:lpwstr>https://www.nyc.gov/site/nycha/about/public-housing-preservation-trust.page</vt:lpwstr>
      </vt:variant>
      <vt:variant>
        <vt:lpwstr/>
      </vt:variant>
      <vt:variant>
        <vt:i4>983127</vt:i4>
      </vt:variant>
      <vt:variant>
        <vt:i4>9</vt:i4>
      </vt:variant>
      <vt:variant>
        <vt:i4>0</vt:i4>
      </vt:variant>
      <vt:variant>
        <vt:i4>5</vt:i4>
      </vt:variant>
      <vt:variant>
        <vt:lpwstr>https://www.nyc.gov/site/nycha/residents/voting-nostrand.page</vt:lpwstr>
      </vt:variant>
      <vt:variant>
        <vt:lpwstr/>
      </vt:variant>
      <vt:variant>
        <vt:i4>6029380</vt:i4>
      </vt:variant>
      <vt:variant>
        <vt:i4>6</vt:i4>
      </vt:variant>
      <vt:variant>
        <vt:i4>0</vt:i4>
      </vt:variant>
      <vt:variant>
        <vt:i4>5</vt:i4>
      </vt:variant>
      <vt:variant>
        <vt:lpwstr>https://www.nyc.gov/assets/nycha/downloads/pdf/NYCHA-Fact-Sheet-2023.pdf</vt:lpwstr>
      </vt:variant>
      <vt:variant>
        <vt:lpwstr/>
      </vt:variant>
      <vt:variant>
        <vt:i4>3866740</vt:i4>
      </vt:variant>
      <vt:variant>
        <vt:i4>3</vt:i4>
      </vt:variant>
      <vt:variant>
        <vt:i4>0</vt:i4>
      </vt:variant>
      <vt:variant>
        <vt:i4>5</vt:i4>
      </vt:variant>
      <vt:variant>
        <vt:lpwstr>https://www.gpo.gov/fdsys/pkg/USCODE-2009-title42/pdf/USCODE-2009-title42-chap8.pdf</vt:lpwstr>
      </vt:variant>
      <vt:variant>
        <vt:lpwstr/>
      </vt:variant>
      <vt:variant>
        <vt:i4>1704005</vt:i4>
      </vt:variant>
      <vt:variant>
        <vt:i4>0</vt:i4>
      </vt:variant>
      <vt:variant>
        <vt:i4>0</vt:i4>
      </vt:variant>
      <vt:variant>
        <vt:i4>5</vt:i4>
      </vt:variant>
      <vt:variant>
        <vt:lpwstr>https://www.nytimes.com/interactive/2018/06/25/nyregion/new-york-city-public-housing-history.html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 Mealey</dc:creator>
  <cp:keywords/>
  <dc:description/>
  <cp:lastModifiedBy>Jeffries, Jillian</cp:lastModifiedBy>
  <cp:revision>2</cp:revision>
  <dcterms:created xsi:type="dcterms:W3CDTF">2023-11-29T21:54:00Z</dcterms:created>
  <dcterms:modified xsi:type="dcterms:W3CDTF">2023-11-29T21:54:00Z</dcterms:modified>
</cp:coreProperties>
</file>