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574E1" w14:textId="57F0CD92" w:rsidR="00CC7BCE" w:rsidRPr="00115CCF" w:rsidRDefault="00CC7BCE" w:rsidP="00CC7BCE">
      <w:pPr>
        <w:ind w:left="4320" w:firstLine="720"/>
        <w:rPr>
          <w:u w:val="single"/>
        </w:rPr>
      </w:pPr>
      <w:r w:rsidRPr="00115CCF">
        <w:rPr>
          <w:u w:val="single"/>
        </w:rPr>
        <w:t xml:space="preserve">Committee Staff: </w:t>
      </w:r>
    </w:p>
    <w:p w14:paraId="21B295E8" w14:textId="419F04E5" w:rsidR="00CC7BCE" w:rsidRDefault="0022306F" w:rsidP="00CC7BCE">
      <w:pPr>
        <w:ind w:left="4320" w:firstLine="720"/>
        <w:rPr>
          <w:spacing w:val="-3"/>
        </w:rPr>
      </w:pPr>
      <w:r>
        <w:rPr>
          <w:spacing w:val="-3"/>
        </w:rPr>
        <w:t>Mark Chen</w:t>
      </w:r>
      <w:r w:rsidR="00CC7BCE" w:rsidRPr="00CC7BCE">
        <w:rPr>
          <w:spacing w:val="-3"/>
        </w:rPr>
        <w:t xml:space="preserve">, </w:t>
      </w:r>
      <w:r w:rsidR="00262772">
        <w:rPr>
          <w:spacing w:val="-3"/>
        </w:rPr>
        <w:t xml:space="preserve">Senior </w:t>
      </w:r>
      <w:r w:rsidR="00650F8B">
        <w:rPr>
          <w:spacing w:val="-3"/>
        </w:rPr>
        <w:t xml:space="preserve">Legislative </w:t>
      </w:r>
      <w:r w:rsidR="00CC7BCE" w:rsidRPr="00CC7BCE">
        <w:rPr>
          <w:spacing w:val="-3"/>
        </w:rPr>
        <w:t>Counsel</w:t>
      </w:r>
    </w:p>
    <w:p w14:paraId="0C8B9D3C" w14:textId="47A08718" w:rsidR="00CA2748" w:rsidRPr="00CC7BCE" w:rsidRDefault="001E781B" w:rsidP="00CC7BCE">
      <w:pPr>
        <w:ind w:left="4320" w:firstLine="720"/>
        <w:rPr>
          <w:spacing w:val="-3"/>
        </w:rPr>
      </w:pPr>
      <w:r>
        <w:rPr>
          <w:spacing w:val="-3"/>
        </w:rPr>
        <w:t>Theodore Miller</w:t>
      </w:r>
      <w:r w:rsidR="00CA2748">
        <w:rPr>
          <w:spacing w:val="-3"/>
        </w:rPr>
        <w:t xml:space="preserve">, Legislative </w:t>
      </w:r>
      <w:r w:rsidR="00AF70B5">
        <w:rPr>
          <w:spacing w:val="-3"/>
        </w:rPr>
        <w:t>Analyst</w:t>
      </w:r>
    </w:p>
    <w:p w14:paraId="5B2DB83A" w14:textId="77777777" w:rsidR="00CC7BCE" w:rsidRDefault="00CC7BCE" w:rsidP="00CC7BCE">
      <w:pPr>
        <w:ind w:left="5040"/>
        <w:jc w:val="both"/>
      </w:pPr>
      <w:r>
        <w:t xml:space="preserve">Kevin Kotowski, </w:t>
      </w:r>
      <w:r w:rsidR="00815776">
        <w:t xml:space="preserve">Senior </w:t>
      </w:r>
      <w:r>
        <w:t>Policy Analyst</w:t>
      </w:r>
    </w:p>
    <w:p w14:paraId="040165D6" w14:textId="77777777" w:rsidR="0022306F" w:rsidRDefault="0022306F" w:rsidP="00CC7BCE">
      <w:pPr>
        <w:ind w:left="5040"/>
        <w:jc w:val="both"/>
      </w:pPr>
      <w:r>
        <w:t>John Basile, Senior Policy Analyst</w:t>
      </w:r>
    </w:p>
    <w:p w14:paraId="44AC7146" w14:textId="3FDF162F" w:rsidR="34B55A1C" w:rsidRDefault="00342ADB" w:rsidP="17E3210F">
      <w:pPr>
        <w:ind w:left="5040"/>
        <w:jc w:val="both"/>
      </w:pPr>
      <w:r>
        <w:t>Adrian Drepaul</w:t>
      </w:r>
      <w:r w:rsidR="34B55A1C" w:rsidRPr="17E3210F">
        <w:t xml:space="preserve">, </w:t>
      </w:r>
      <w:r w:rsidR="00292360">
        <w:t>Principal</w:t>
      </w:r>
      <w:r w:rsidR="34B55A1C" w:rsidRPr="17E3210F">
        <w:t xml:space="preserve"> Financial Analyst</w:t>
      </w:r>
    </w:p>
    <w:p w14:paraId="72256A0E" w14:textId="77777777" w:rsidR="0022306F" w:rsidRDefault="0022306F" w:rsidP="0022306F">
      <w:pPr>
        <w:jc w:val="both"/>
      </w:pPr>
    </w:p>
    <w:p w14:paraId="20629D50" w14:textId="77777777" w:rsidR="00CC7BCE" w:rsidRPr="00454652" w:rsidRDefault="00CC7BCE" w:rsidP="00CC7BCE">
      <w:pPr>
        <w:ind w:left="5040"/>
        <w:jc w:val="both"/>
      </w:pPr>
    </w:p>
    <w:p w14:paraId="0239D438" w14:textId="77777777" w:rsidR="00CC7BCE" w:rsidRPr="00454652" w:rsidRDefault="00CC7BCE" w:rsidP="00CC7BCE">
      <w:pPr>
        <w:jc w:val="both"/>
      </w:pPr>
      <w:r w:rsidRPr="00454652">
        <w:rPr>
          <w:noProof/>
        </w:rPr>
        <w:drawing>
          <wp:anchor distT="0" distB="0" distL="114300" distR="114300" simplePos="0" relativeHeight="251658240" behindDoc="0" locked="0" layoutInCell="1" allowOverlap="1" wp14:anchorId="3D50FD8B" wp14:editId="671B978F">
            <wp:simplePos x="0" y="0"/>
            <wp:positionH relativeFrom="margin">
              <wp:align>center</wp:align>
            </wp:positionH>
            <wp:positionV relativeFrom="margin">
              <wp:posOffset>1409700</wp:posOffset>
            </wp:positionV>
            <wp:extent cx="1209675" cy="1231900"/>
            <wp:effectExtent l="0" t="0" r="9525"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9675" cy="1231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8F06C3" w14:textId="77777777" w:rsidR="00CC7BCE" w:rsidRPr="00454652" w:rsidRDefault="00CC7BCE" w:rsidP="00CC7BCE">
      <w:pPr>
        <w:jc w:val="both"/>
      </w:pPr>
    </w:p>
    <w:p w14:paraId="2D035D4E" w14:textId="77777777" w:rsidR="00CC7BCE" w:rsidRPr="00454652" w:rsidRDefault="00CC7BCE" w:rsidP="00CC7BCE">
      <w:pPr>
        <w:jc w:val="both"/>
      </w:pPr>
    </w:p>
    <w:p w14:paraId="641FDD1A" w14:textId="77777777" w:rsidR="0008247C" w:rsidRDefault="0008247C" w:rsidP="00CC7BCE">
      <w:pPr>
        <w:keepNext/>
        <w:suppressAutoHyphens/>
        <w:jc w:val="center"/>
        <w:outlineLvl w:val="3"/>
        <w:rPr>
          <w:b/>
          <w:bCs/>
          <w:spacing w:val="-3"/>
          <w:sz w:val="28"/>
          <w:szCs w:val="28"/>
          <w:u w:val="single"/>
        </w:rPr>
      </w:pPr>
    </w:p>
    <w:p w14:paraId="42E579D2" w14:textId="77777777" w:rsidR="007931C1" w:rsidRDefault="007931C1" w:rsidP="00CC7BCE">
      <w:pPr>
        <w:keepNext/>
        <w:suppressAutoHyphens/>
        <w:jc w:val="center"/>
        <w:outlineLvl w:val="3"/>
        <w:rPr>
          <w:b/>
          <w:bCs/>
          <w:spacing w:val="-3"/>
          <w:sz w:val="28"/>
          <w:szCs w:val="28"/>
          <w:u w:val="single"/>
        </w:rPr>
      </w:pPr>
    </w:p>
    <w:p w14:paraId="0BDA8AC5" w14:textId="77777777" w:rsidR="007931C1" w:rsidRDefault="007931C1" w:rsidP="00CC7BCE">
      <w:pPr>
        <w:keepNext/>
        <w:suppressAutoHyphens/>
        <w:jc w:val="center"/>
        <w:outlineLvl w:val="3"/>
        <w:rPr>
          <w:b/>
          <w:bCs/>
          <w:spacing w:val="-3"/>
          <w:sz w:val="28"/>
          <w:szCs w:val="28"/>
          <w:u w:val="single"/>
        </w:rPr>
      </w:pPr>
    </w:p>
    <w:p w14:paraId="0A41C571" w14:textId="77777777" w:rsidR="007931C1" w:rsidRDefault="007931C1" w:rsidP="00CC7BCE">
      <w:pPr>
        <w:keepNext/>
        <w:suppressAutoHyphens/>
        <w:jc w:val="center"/>
        <w:outlineLvl w:val="3"/>
        <w:rPr>
          <w:b/>
          <w:bCs/>
          <w:spacing w:val="-3"/>
          <w:sz w:val="28"/>
          <w:szCs w:val="28"/>
          <w:u w:val="single"/>
        </w:rPr>
      </w:pPr>
    </w:p>
    <w:p w14:paraId="63801909" w14:textId="345A60D6" w:rsidR="00CC7BCE" w:rsidRDefault="00CC7BCE" w:rsidP="00CC7BCE">
      <w:pPr>
        <w:keepNext/>
        <w:suppressAutoHyphens/>
        <w:jc w:val="center"/>
        <w:outlineLvl w:val="3"/>
        <w:rPr>
          <w:b/>
          <w:bCs/>
          <w:spacing w:val="-3"/>
          <w:sz w:val="28"/>
          <w:szCs w:val="28"/>
          <w:u w:val="single"/>
        </w:rPr>
      </w:pPr>
      <w:r w:rsidRPr="00454652">
        <w:rPr>
          <w:b/>
          <w:bCs/>
          <w:spacing w:val="-3"/>
          <w:sz w:val="28"/>
          <w:szCs w:val="28"/>
          <w:u w:val="single"/>
        </w:rPr>
        <w:t>THE COUNCIL OF THE CITY OF NEW YORK</w:t>
      </w:r>
    </w:p>
    <w:p w14:paraId="444D6BB3" w14:textId="77777777" w:rsidR="00FB08E8" w:rsidRPr="00115CCF" w:rsidRDefault="00FB08E8" w:rsidP="00115CCF">
      <w:pPr>
        <w:tabs>
          <w:tab w:val="center" w:pos="4680"/>
        </w:tabs>
        <w:suppressAutoHyphens/>
        <w:jc w:val="center"/>
        <w:rPr>
          <w:spacing w:val="-3"/>
          <w:sz w:val="26"/>
          <w:szCs w:val="26"/>
        </w:rPr>
      </w:pPr>
      <w:r>
        <w:rPr>
          <w:spacing w:val="-3"/>
          <w:sz w:val="26"/>
          <w:szCs w:val="26"/>
        </w:rPr>
        <w:t>Andrea Vazquez</w:t>
      </w:r>
      <w:r w:rsidRPr="00454652">
        <w:rPr>
          <w:spacing w:val="-3"/>
          <w:sz w:val="26"/>
          <w:szCs w:val="26"/>
        </w:rPr>
        <w:t>, Legislative Director</w:t>
      </w:r>
    </w:p>
    <w:p w14:paraId="69298E69" w14:textId="77777777" w:rsidR="00EA0AC4" w:rsidRDefault="00EA0AC4" w:rsidP="00CC7BCE">
      <w:pPr>
        <w:keepNext/>
        <w:tabs>
          <w:tab w:val="center" w:pos="4680"/>
        </w:tabs>
        <w:suppressAutoHyphens/>
        <w:jc w:val="center"/>
        <w:outlineLvl w:val="4"/>
        <w:rPr>
          <w:sz w:val="26"/>
          <w:szCs w:val="26"/>
        </w:rPr>
      </w:pPr>
    </w:p>
    <w:p w14:paraId="7A4950EC" w14:textId="713EB060" w:rsidR="00CC7BCE" w:rsidRPr="00115CCF" w:rsidRDefault="00EE6DAC" w:rsidP="00CC7BCE">
      <w:pPr>
        <w:keepNext/>
        <w:tabs>
          <w:tab w:val="center" w:pos="4680"/>
        </w:tabs>
        <w:suppressAutoHyphens/>
        <w:jc w:val="center"/>
        <w:outlineLvl w:val="4"/>
        <w:rPr>
          <w:b/>
          <w:sz w:val="26"/>
          <w:szCs w:val="26"/>
          <w:u w:val="single"/>
        </w:rPr>
      </w:pPr>
      <w:r w:rsidRPr="00115CCF">
        <w:rPr>
          <w:b/>
          <w:sz w:val="26"/>
          <w:szCs w:val="26"/>
          <w:u w:val="single"/>
        </w:rPr>
        <w:t xml:space="preserve">COMMITTEE REPORT </w:t>
      </w:r>
      <w:r w:rsidR="00CC7BCE" w:rsidRPr="00115CCF">
        <w:rPr>
          <w:b/>
          <w:sz w:val="26"/>
          <w:szCs w:val="26"/>
          <w:u w:val="single"/>
        </w:rPr>
        <w:t>OF THE INFRASTRUCTURE DIVISION</w:t>
      </w:r>
    </w:p>
    <w:p w14:paraId="69B25475" w14:textId="77777777" w:rsidR="00CC7BCE" w:rsidRPr="00454652" w:rsidRDefault="00815776" w:rsidP="00CC7BCE">
      <w:pPr>
        <w:tabs>
          <w:tab w:val="center" w:pos="4680"/>
        </w:tabs>
        <w:suppressAutoHyphens/>
        <w:jc w:val="center"/>
        <w:rPr>
          <w:sz w:val="26"/>
          <w:szCs w:val="26"/>
        </w:rPr>
      </w:pPr>
      <w:r>
        <w:rPr>
          <w:spacing w:val="-3"/>
          <w:sz w:val="26"/>
          <w:szCs w:val="26"/>
        </w:rPr>
        <w:t xml:space="preserve">Bradley </w:t>
      </w:r>
      <w:r w:rsidR="004D795E">
        <w:rPr>
          <w:spacing w:val="-3"/>
          <w:sz w:val="26"/>
          <w:szCs w:val="26"/>
        </w:rPr>
        <w:t xml:space="preserve">J. </w:t>
      </w:r>
      <w:r>
        <w:rPr>
          <w:spacing w:val="-3"/>
          <w:sz w:val="26"/>
          <w:szCs w:val="26"/>
        </w:rPr>
        <w:t>Reid</w:t>
      </w:r>
      <w:r w:rsidR="00CC7BCE">
        <w:rPr>
          <w:spacing w:val="-3"/>
          <w:sz w:val="26"/>
          <w:szCs w:val="26"/>
        </w:rPr>
        <w:t xml:space="preserve">, Deputy Director </w:t>
      </w:r>
    </w:p>
    <w:p w14:paraId="795F0DE7" w14:textId="77777777" w:rsidR="00CC7BCE" w:rsidRPr="00454652" w:rsidRDefault="00CC7BCE" w:rsidP="00CC7BCE">
      <w:pPr>
        <w:keepNext/>
        <w:jc w:val="center"/>
        <w:outlineLvl w:val="4"/>
        <w:rPr>
          <w:spacing w:val="-3"/>
          <w:sz w:val="26"/>
          <w:szCs w:val="26"/>
        </w:rPr>
      </w:pPr>
    </w:p>
    <w:p w14:paraId="4EA54B5B" w14:textId="77777777" w:rsidR="00CC7BCE" w:rsidRPr="00454652" w:rsidRDefault="00CC7BCE" w:rsidP="00CC7BCE">
      <w:pPr>
        <w:keepNext/>
        <w:jc w:val="center"/>
        <w:outlineLvl w:val="4"/>
        <w:rPr>
          <w:b/>
          <w:sz w:val="26"/>
          <w:szCs w:val="26"/>
          <w:u w:val="single"/>
        </w:rPr>
      </w:pPr>
      <w:r w:rsidRPr="00454652">
        <w:rPr>
          <w:b/>
          <w:sz w:val="26"/>
          <w:szCs w:val="26"/>
          <w:u w:val="single"/>
        </w:rPr>
        <w:t>COMMITTEE ON TRANSPORTATION</w:t>
      </w:r>
      <w:r w:rsidR="004D795E">
        <w:rPr>
          <w:b/>
          <w:sz w:val="26"/>
          <w:szCs w:val="26"/>
          <w:u w:val="single"/>
        </w:rPr>
        <w:t xml:space="preserve"> AND INFRASTRUCTURE</w:t>
      </w:r>
    </w:p>
    <w:p w14:paraId="3648C663" w14:textId="162E75E6" w:rsidR="00815776" w:rsidRPr="00815776" w:rsidRDefault="00815776" w:rsidP="00815776">
      <w:pPr>
        <w:keepNext/>
        <w:jc w:val="center"/>
        <w:outlineLvl w:val="3"/>
        <w:rPr>
          <w:noProof/>
          <w:sz w:val="26"/>
          <w:szCs w:val="26"/>
        </w:rPr>
      </w:pPr>
      <w:r w:rsidRPr="00815776">
        <w:rPr>
          <w:noProof/>
          <w:sz w:val="26"/>
          <w:szCs w:val="26"/>
        </w:rPr>
        <w:t xml:space="preserve">Hon. </w:t>
      </w:r>
      <w:r w:rsidR="002D5B11">
        <w:rPr>
          <w:noProof/>
          <w:sz w:val="26"/>
          <w:szCs w:val="26"/>
        </w:rPr>
        <w:t>Shaun Abreu</w:t>
      </w:r>
      <w:r w:rsidRPr="00815776">
        <w:rPr>
          <w:noProof/>
          <w:sz w:val="26"/>
          <w:szCs w:val="26"/>
        </w:rPr>
        <w:t>, Chair</w:t>
      </w:r>
    </w:p>
    <w:p w14:paraId="20EFA620" w14:textId="77777777" w:rsidR="00CC7BCE" w:rsidRPr="00454652" w:rsidRDefault="00CC7BCE" w:rsidP="00CC7BCE">
      <w:pPr>
        <w:jc w:val="center"/>
      </w:pPr>
    </w:p>
    <w:p w14:paraId="31BB380F" w14:textId="3AAA5FDA" w:rsidR="007931C1" w:rsidRDefault="002D5B11" w:rsidP="00C9787E">
      <w:pPr>
        <w:pBdr>
          <w:top w:val="nil"/>
          <w:left w:val="nil"/>
          <w:bottom w:val="nil"/>
          <w:right w:val="nil"/>
          <w:between w:val="nil"/>
          <w:bar w:val="nil"/>
        </w:pBdr>
        <w:shd w:val="clear" w:color="auto" w:fill="FFFFFF" w:themeFill="background1"/>
        <w:jc w:val="center"/>
        <w:rPr>
          <w:sz w:val="26"/>
          <w:szCs w:val="26"/>
        </w:rPr>
      </w:pPr>
      <w:r>
        <w:rPr>
          <w:sz w:val="26"/>
          <w:szCs w:val="26"/>
        </w:rPr>
        <w:t>January 2</w:t>
      </w:r>
      <w:r w:rsidR="00560C2A">
        <w:rPr>
          <w:sz w:val="26"/>
          <w:szCs w:val="26"/>
        </w:rPr>
        <w:t>9</w:t>
      </w:r>
      <w:r>
        <w:rPr>
          <w:sz w:val="26"/>
          <w:szCs w:val="26"/>
        </w:rPr>
        <w:t>, 2026</w:t>
      </w:r>
    </w:p>
    <w:p w14:paraId="71D4E879" w14:textId="77777777" w:rsidR="00C9787E" w:rsidRDefault="00C9787E" w:rsidP="00C9787E">
      <w:pPr>
        <w:pBdr>
          <w:top w:val="nil"/>
          <w:left w:val="nil"/>
          <w:bottom w:val="nil"/>
          <w:right w:val="nil"/>
          <w:between w:val="nil"/>
          <w:bar w:val="nil"/>
        </w:pBdr>
        <w:shd w:val="clear" w:color="auto" w:fill="FFFFFF" w:themeFill="background1"/>
        <w:jc w:val="center"/>
        <w:rPr>
          <w:rFonts w:eastAsia="Arial Unicode MS"/>
          <w:color w:val="000000" w:themeColor="text1"/>
        </w:rPr>
      </w:pPr>
    </w:p>
    <w:p w14:paraId="13BE3F32" w14:textId="0064F4A3" w:rsidR="00107BDC" w:rsidRPr="00CF7804" w:rsidRDefault="008955ED" w:rsidP="00107BDC">
      <w:pPr>
        <w:pBdr>
          <w:top w:val="nil"/>
          <w:left w:val="nil"/>
          <w:bottom w:val="nil"/>
          <w:right w:val="nil"/>
          <w:between w:val="nil"/>
          <w:bar w:val="nil"/>
        </w:pBdr>
        <w:shd w:val="clear" w:color="auto" w:fill="FFFFFF"/>
        <w:ind w:left="5040" w:hanging="5040"/>
        <w:jc w:val="both"/>
        <w:rPr>
          <w:rFonts w:eastAsia="Arial Unicode MS"/>
          <w:color w:val="000000"/>
          <w:u w:color="000000"/>
          <w:bdr w:val="nil"/>
        </w:rPr>
      </w:pPr>
      <w:r w:rsidRPr="00CF7804">
        <w:rPr>
          <w:rFonts w:eastAsia="Arial Unicode MS"/>
          <w:b/>
          <w:color w:val="000000"/>
          <w:u w:val="single" w:color="000000"/>
          <w:bdr w:val="nil"/>
        </w:rPr>
        <w:t xml:space="preserve">INT. NO. </w:t>
      </w:r>
      <w:r w:rsidR="00107BDC" w:rsidRPr="00CF7804">
        <w:rPr>
          <w:rFonts w:eastAsia="Arial Unicode MS"/>
          <w:b/>
          <w:color w:val="000000"/>
          <w:u w:val="single" w:color="000000"/>
          <w:bdr w:val="nil"/>
        </w:rPr>
        <w:t>276</w:t>
      </w:r>
      <w:r w:rsidR="00292360" w:rsidRPr="00CF7804">
        <w:rPr>
          <w:rFonts w:eastAsia="Arial Unicode MS"/>
          <w:b/>
          <w:color w:val="000000"/>
          <w:u w:val="single" w:color="000000"/>
          <w:bdr w:val="nil"/>
        </w:rPr>
        <w:t>-</w:t>
      </w:r>
      <w:r w:rsidR="00AF3F47" w:rsidRPr="00CF7804">
        <w:rPr>
          <w:rFonts w:eastAsia="Arial Unicode MS"/>
          <w:b/>
          <w:color w:val="000000"/>
          <w:u w:val="single" w:color="000000"/>
          <w:bdr w:val="nil"/>
        </w:rPr>
        <w:t>A</w:t>
      </w:r>
      <w:r w:rsidR="004037A0">
        <w:rPr>
          <w:rFonts w:eastAsia="Arial Unicode MS"/>
          <w:b/>
          <w:color w:val="000000"/>
          <w:u w:val="single" w:color="000000"/>
          <w:bdr w:val="nil"/>
        </w:rPr>
        <w:t>-2024</w:t>
      </w:r>
      <w:r w:rsidRPr="00CF7804">
        <w:rPr>
          <w:rFonts w:eastAsia="Arial Unicode MS"/>
          <w:b/>
          <w:color w:val="000000"/>
          <w:u w:val="single" w:color="000000"/>
          <w:bdr w:val="nil"/>
        </w:rPr>
        <w:t>:</w:t>
      </w:r>
      <w:r w:rsidRPr="00CF7804">
        <w:rPr>
          <w:rFonts w:eastAsia="Arial Unicode MS"/>
          <w:b/>
          <w:color w:val="000000"/>
          <w:u w:color="000000"/>
          <w:bdr w:val="nil"/>
        </w:rPr>
        <w:tab/>
      </w:r>
      <w:r w:rsidRPr="00CF7804">
        <w:rPr>
          <w:rFonts w:eastAsia="Arial Unicode MS"/>
          <w:color w:val="000000"/>
          <w:u w:color="000000"/>
          <w:bdr w:val="nil"/>
        </w:rPr>
        <w:t xml:space="preserve">By Council Members </w:t>
      </w:r>
      <w:r w:rsidR="00CF7804">
        <w:rPr>
          <w:color w:val="000000"/>
          <w:shd w:val="clear" w:color="auto" w:fill="FFFFFF"/>
        </w:rPr>
        <w:t xml:space="preserve">Krishnan, Hanif, Lee, Restler, Marte, Brewer, Hudson, Cabán, Abreu, Banks, Ung, Schulman, </w:t>
      </w:r>
      <w:r w:rsidR="00B072C5">
        <w:rPr>
          <w:color w:val="000000"/>
          <w:shd w:val="clear" w:color="auto" w:fill="FFFFFF"/>
        </w:rPr>
        <w:t xml:space="preserve">P. </w:t>
      </w:r>
      <w:r w:rsidR="00CF7804">
        <w:rPr>
          <w:color w:val="000000"/>
          <w:shd w:val="clear" w:color="auto" w:fill="FFFFFF"/>
        </w:rPr>
        <w:t>Sanchez, Ayala, Avilés, Zhuang, Riley, Joseph, Stevens, Hanks, Nurse, De La Rosa</w:t>
      </w:r>
      <w:r w:rsidR="007A4C25">
        <w:rPr>
          <w:color w:val="000000"/>
          <w:shd w:val="clear" w:color="auto" w:fill="FFFFFF"/>
        </w:rPr>
        <w:t>,</w:t>
      </w:r>
      <w:r w:rsidR="00CF7804">
        <w:rPr>
          <w:color w:val="000000"/>
          <w:shd w:val="clear" w:color="auto" w:fill="FFFFFF"/>
        </w:rPr>
        <w:t xml:space="preserve"> Gutiérrez</w:t>
      </w:r>
      <w:r w:rsidR="007A4C25">
        <w:rPr>
          <w:color w:val="000000"/>
          <w:shd w:val="clear" w:color="auto" w:fill="FFFFFF"/>
        </w:rPr>
        <w:t xml:space="preserve"> and Epstein</w:t>
      </w:r>
    </w:p>
    <w:p w14:paraId="15785B2F" w14:textId="048B2008" w:rsidR="008955ED" w:rsidRPr="00CF7804" w:rsidRDefault="008955ED" w:rsidP="008955ED">
      <w:pPr>
        <w:pBdr>
          <w:top w:val="nil"/>
          <w:left w:val="nil"/>
          <w:bottom w:val="nil"/>
          <w:right w:val="nil"/>
          <w:between w:val="nil"/>
          <w:bar w:val="nil"/>
        </w:pBdr>
        <w:shd w:val="clear" w:color="auto" w:fill="FFFFFF"/>
        <w:ind w:left="5040" w:hanging="5040"/>
        <w:jc w:val="both"/>
        <w:rPr>
          <w:rFonts w:eastAsia="Arial Unicode MS"/>
          <w:b/>
          <w:color w:val="000000"/>
          <w:u w:color="000000"/>
          <w:bdr w:val="nil"/>
        </w:rPr>
      </w:pPr>
    </w:p>
    <w:p w14:paraId="576D919E" w14:textId="6E0C6713" w:rsidR="0042183F" w:rsidRPr="00CF7804" w:rsidRDefault="008955ED" w:rsidP="00107BDC">
      <w:pPr>
        <w:pBdr>
          <w:top w:val="nil"/>
          <w:left w:val="nil"/>
          <w:bottom w:val="nil"/>
          <w:right w:val="nil"/>
          <w:between w:val="nil"/>
          <w:bar w:val="nil"/>
        </w:pBdr>
        <w:shd w:val="clear" w:color="auto" w:fill="FFFFFF"/>
        <w:ind w:left="5040" w:hanging="5040"/>
        <w:jc w:val="both"/>
        <w:rPr>
          <w:color w:val="000000"/>
          <w:shd w:val="clear" w:color="auto" w:fill="FFFFFF"/>
        </w:rPr>
      </w:pPr>
      <w:r w:rsidRPr="00CF7804">
        <w:rPr>
          <w:rFonts w:eastAsia="Arial Unicode MS"/>
          <w:b/>
          <w:color w:val="000000"/>
          <w:u w:color="000000"/>
          <w:bdr w:val="nil"/>
        </w:rPr>
        <w:t>TITLE:</w:t>
      </w:r>
      <w:r w:rsidRPr="00CF7804">
        <w:rPr>
          <w:rFonts w:eastAsia="Arial Unicode MS"/>
          <w:b/>
          <w:color w:val="000000"/>
          <w:u w:color="000000"/>
          <w:bdr w:val="nil"/>
        </w:rPr>
        <w:tab/>
      </w:r>
      <w:r w:rsidRPr="00CF7804">
        <w:rPr>
          <w:color w:val="000000"/>
          <w:shd w:val="clear" w:color="auto" w:fill="FFFFFF"/>
        </w:rPr>
        <w:t xml:space="preserve">A Local Law to amend the administrative code of the city of New York, </w:t>
      </w:r>
      <w:r w:rsidR="00107BDC" w:rsidRPr="00CF7804">
        <w:rPr>
          <w:color w:val="000000"/>
          <w:shd w:val="clear" w:color="auto" w:fill="FFFFFF"/>
        </w:rPr>
        <w:t>in relation to the wrongful deactivation of high-volume for-hire vehicle drivers</w:t>
      </w:r>
    </w:p>
    <w:p w14:paraId="7ED0E21E" w14:textId="457E0222" w:rsidR="008955ED" w:rsidRPr="00CF7804" w:rsidRDefault="008955ED" w:rsidP="0042183F">
      <w:pPr>
        <w:pBdr>
          <w:top w:val="nil"/>
          <w:left w:val="nil"/>
          <w:bottom w:val="nil"/>
          <w:right w:val="nil"/>
          <w:between w:val="nil"/>
          <w:bar w:val="nil"/>
        </w:pBdr>
        <w:shd w:val="clear" w:color="auto" w:fill="FFFFFF"/>
        <w:ind w:left="5040" w:hanging="5040"/>
        <w:jc w:val="both"/>
        <w:rPr>
          <w:rFonts w:eastAsia="Arial Unicode MS"/>
          <w:color w:val="000000"/>
          <w:u w:color="000000"/>
          <w:bdr w:val="nil"/>
        </w:rPr>
      </w:pPr>
    </w:p>
    <w:p w14:paraId="5D91323D" w14:textId="3ECD90FF" w:rsidR="006C3F52" w:rsidRPr="00CF7804" w:rsidRDefault="3961388D" w:rsidP="00CF7804">
      <w:pPr>
        <w:pStyle w:val="NormalWeb"/>
        <w:spacing w:before="0" w:beforeAutospacing="0" w:after="0" w:afterAutospacing="0"/>
        <w:ind w:left="5040" w:hanging="5040"/>
        <w:jc w:val="both"/>
      </w:pPr>
      <w:r w:rsidRPr="00CF7804">
        <w:rPr>
          <w:rFonts w:eastAsia="Arial Unicode MS"/>
          <w:b/>
          <w:bCs/>
          <w:color w:val="000000"/>
          <w:u w:color="000000"/>
          <w:bdr w:val="nil"/>
        </w:rPr>
        <w:t>ADMINISTRATIVE CODE:</w:t>
      </w:r>
      <w:r w:rsidR="001536D3" w:rsidRPr="00CF7804">
        <w:rPr>
          <w:rFonts w:eastAsia="Arial Unicode MS"/>
          <w:b/>
          <w:color w:val="000000"/>
          <w:u w:color="000000"/>
          <w:bdr w:val="nil"/>
        </w:rPr>
        <w:tab/>
      </w:r>
      <w:r w:rsidR="3C4F7390" w:rsidRPr="00CF7804">
        <w:t xml:space="preserve">Adds </w:t>
      </w:r>
      <w:r w:rsidR="00707A17" w:rsidRPr="00CF7804">
        <w:t>a new subchapter 8</w:t>
      </w:r>
      <w:r w:rsidR="007A4C25">
        <w:t xml:space="preserve"> of chapter 12 of title 20</w:t>
      </w:r>
      <w:r w:rsidR="00707A17" w:rsidRPr="00CF7804">
        <w:t>; and amends section</w:t>
      </w:r>
      <w:r w:rsidR="00B073C1" w:rsidRPr="00CF7804">
        <w:t>s</w:t>
      </w:r>
      <w:r w:rsidR="00707A17" w:rsidRPr="00CF7804">
        <w:t xml:space="preserve"> </w:t>
      </w:r>
      <w:r w:rsidR="00AF3F47" w:rsidRPr="00CF7804">
        <w:t xml:space="preserve">20-1204, </w:t>
      </w:r>
      <w:r w:rsidR="00707A17" w:rsidRPr="00CF7804">
        <w:t>20-1207, 20-1208, 20-1209, 20-1211</w:t>
      </w:r>
      <w:r w:rsidR="00AF3F47" w:rsidRPr="00CF7804">
        <w:t>, and 20-12</w:t>
      </w:r>
      <w:r w:rsidR="00072430" w:rsidRPr="00CF7804">
        <w:t>12</w:t>
      </w:r>
    </w:p>
    <w:p w14:paraId="5814C3D6" w14:textId="77777777" w:rsidR="00C71152" w:rsidRDefault="00C71152" w:rsidP="00851B82">
      <w:pPr>
        <w:spacing w:line="480" w:lineRule="auto"/>
        <w:contextualSpacing/>
        <w:jc w:val="both"/>
        <w:rPr>
          <w:rFonts w:eastAsia="Arial Unicode MS"/>
          <w:b/>
          <w:color w:val="000000"/>
          <w:u w:val="single" w:color="000000"/>
          <w:bdr w:val="nil"/>
        </w:rPr>
      </w:pPr>
    </w:p>
    <w:p w14:paraId="35A924E9" w14:textId="77777777" w:rsidR="002D5B11" w:rsidRDefault="002D5B11" w:rsidP="00851B82">
      <w:pPr>
        <w:spacing w:line="480" w:lineRule="auto"/>
        <w:contextualSpacing/>
        <w:jc w:val="both"/>
        <w:rPr>
          <w:rFonts w:eastAsia="Arial Unicode MS"/>
          <w:b/>
          <w:color w:val="000000"/>
          <w:u w:val="single" w:color="000000"/>
          <w:bdr w:val="nil"/>
        </w:rPr>
      </w:pPr>
    </w:p>
    <w:p w14:paraId="685B40D8" w14:textId="1D762276" w:rsidR="00851B82" w:rsidRPr="00851B82" w:rsidRDefault="008043EE" w:rsidP="00851B82">
      <w:pPr>
        <w:spacing w:line="480" w:lineRule="auto"/>
        <w:contextualSpacing/>
        <w:jc w:val="both"/>
        <w:rPr>
          <w:b/>
          <w:u w:val="single"/>
        </w:rPr>
      </w:pPr>
      <w:r>
        <w:rPr>
          <w:rFonts w:eastAsia="Arial Unicode MS"/>
          <w:b/>
          <w:color w:val="000000"/>
          <w:u w:val="single" w:color="000000"/>
          <w:bdr w:val="nil"/>
        </w:rPr>
        <w:lastRenderedPageBreak/>
        <w:t>I</w:t>
      </w:r>
      <w:r w:rsidR="00851B82" w:rsidRPr="00851B82">
        <w:rPr>
          <w:b/>
          <w:u w:val="single"/>
        </w:rPr>
        <w:t xml:space="preserve">NTRODUCTION </w:t>
      </w:r>
    </w:p>
    <w:p w14:paraId="4429A8D0" w14:textId="352BF36E" w:rsidR="00D611A1" w:rsidRDefault="00851B82" w:rsidP="00851B82">
      <w:pPr>
        <w:spacing w:line="480" w:lineRule="auto"/>
        <w:contextualSpacing/>
        <w:jc w:val="both"/>
        <w:rPr>
          <w:rFonts w:eastAsia="Arial Unicode MS"/>
          <w:color w:val="000000"/>
          <w:bdr w:val="nil"/>
        </w:rPr>
      </w:pPr>
      <w:r w:rsidRPr="00851B82">
        <w:tab/>
      </w:r>
      <w:r w:rsidR="11BB68D3" w:rsidRPr="00851B82">
        <w:t xml:space="preserve">On </w:t>
      </w:r>
      <w:r w:rsidR="002D5B11">
        <w:t>January 28, 2026</w:t>
      </w:r>
      <w:r w:rsidR="11BB68D3" w:rsidRPr="00851B82">
        <w:t>, the Committee on Transportation</w:t>
      </w:r>
      <w:r w:rsidR="01901999">
        <w:t xml:space="preserve"> and Infrastructure</w:t>
      </w:r>
      <w:r w:rsidR="11BB68D3" w:rsidRPr="00851B82">
        <w:t xml:space="preserve">, </w:t>
      </w:r>
      <w:r w:rsidR="66D86010" w:rsidRPr="00851B82">
        <w:t>c</w:t>
      </w:r>
      <w:r w:rsidR="11BB68D3" w:rsidRPr="00851B82">
        <w:t xml:space="preserve">haired by </w:t>
      </w:r>
      <w:r w:rsidR="07DCC62B">
        <w:t xml:space="preserve">Majority </w:t>
      </w:r>
      <w:r w:rsidR="002D5B11">
        <w:t>Leader Shaun Abreu</w:t>
      </w:r>
      <w:r w:rsidR="07DCC62B">
        <w:t xml:space="preserve">, </w:t>
      </w:r>
      <w:r w:rsidR="002D5B11">
        <w:t>conduct</w:t>
      </w:r>
      <w:r w:rsidR="00560C2A">
        <w:t>ed</w:t>
      </w:r>
      <w:r w:rsidR="002D5B11">
        <w:t xml:space="preserve"> a hearing to consider whether to recommend the override of the Mayor’s veto of Int. No. 276-A</w:t>
      </w:r>
      <w:r w:rsidR="004037A0">
        <w:t>-2024</w:t>
      </w:r>
      <w:r w:rsidR="002D5B11">
        <w:t xml:space="preserve">, </w:t>
      </w:r>
      <w:r w:rsidR="002D5B11" w:rsidRPr="002D5B11">
        <w:t>in relation to the wrongful deactivation of high-volume for-hire vehicle drivers</w:t>
      </w:r>
      <w:r w:rsidR="002D5B11">
        <w:t>, and whether to recommend that the Mayor’s veto message M</w:t>
      </w:r>
      <w:r w:rsidR="000E33D0">
        <w:t xml:space="preserve"> </w:t>
      </w:r>
      <w:r w:rsidR="002D5B11">
        <w:t xml:space="preserve">0004-2026 be filed. </w:t>
      </w:r>
    </w:p>
    <w:p w14:paraId="26CC66AC" w14:textId="3659B8EF" w:rsidR="00D611A1" w:rsidRDefault="00D11190" w:rsidP="00D611A1">
      <w:pPr>
        <w:spacing w:line="480" w:lineRule="auto"/>
        <w:ind w:firstLine="720"/>
        <w:contextualSpacing/>
        <w:jc w:val="both"/>
        <w:rPr>
          <w:rFonts w:eastAsia="Arial Unicode MS"/>
          <w:color w:val="000000"/>
          <w:bdr w:val="nil"/>
        </w:rPr>
      </w:pPr>
      <w:r>
        <w:rPr>
          <w:rFonts w:eastAsia="Arial Unicode MS"/>
          <w:color w:val="000000"/>
          <w:bdr w:val="nil"/>
        </w:rPr>
        <w:t>Int. No. 276 was</w:t>
      </w:r>
      <w:r w:rsidR="007F147B">
        <w:rPr>
          <w:rFonts w:eastAsia="Arial Unicode MS"/>
          <w:color w:val="000000"/>
          <w:bdr w:val="nil"/>
        </w:rPr>
        <w:t xml:space="preserve"> introduced on February 28, 2024</w:t>
      </w:r>
      <w:r w:rsidR="000E33D0">
        <w:rPr>
          <w:rFonts w:eastAsia="Arial Unicode MS"/>
          <w:color w:val="000000"/>
          <w:bdr w:val="nil"/>
        </w:rPr>
        <w:t>,</w:t>
      </w:r>
      <w:r w:rsidR="0028280D">
        <w:rPr>
          <w:rFonts w:eastAsia="Arial Unicode MS"/>
          <w:color w:val="000000"/>
          <w:bdr w:val="nil"/>
        </w:rPr>
        <w:t xml:space="preserve"> and referred to the Committee on Transportation and Infrastructure</w:t>
      </w:r>
      <w:r w:rsidR="007F147B">
        <w:rPr>
          <w:rFonts w:eastAsia="Arial Unicode MS"/>
          <w:color w:val="000000"/>
          <w:bdr w:val="nil"/>
        </w:rPr>
        <w:t xml:space="preserve">. </w:t>
      </w:r>
      <w:r w:rsidR="00C23DFA">
        <w:rPr>
          <w:rFonts w:eastAsia="Arial Unicode MS"/>
          <w:color w:val="000000"/>
          <w:bdr w:val="nil"/>
        </w:rPr>
        <w:t xml:space="preserve">On September 27, 2024, </w:t>
      </w:r>
      <w:r w:rsidR="001A204D">
        <w:rPr>
          <w:rFonts w:eastAsia="Arial Unicode MS"/>
          <w:color w:val="000000"/>
          <w:bdr w:val="nil"/>
        </w:rPr>
        <w:t xml:space="preserve">the </w:t>
      </w:r>
      <w:r w:rsidR="007F147B">
        <w:rPr>
          <w:rFonts w:eastAsia="Arial Unicode MS"/>
          <w:color w:val="000000"/>
          <w:bdr w:val="nil"/>
        </w:rPr>
        <w:t>legislation was</w:t>
      </w:r>
      <w:r>
        <w:rPr>
          <w:rFonts w:eastAsia="Arial Unicode MS"/>
          <w:color w:val="000000"/>
          <w:bdr w:val="nil"/>
        </w:rPr>
        <w:t xml:space="preserve"> heard at a hearing </w:t>
      </w:r>
      <w:r w:rsidR="000E33D0">
        <w:rPr>
          <w:rFonts w:eastAsia="Arial Unicode MS"/>
          <w:color w:val="000000"/>
          <w:bdr w:val="nil"/>
        </w:rPr>
        <w:t xml:space="preserve">conducted by the Committee on Transportation and Infrastructure </w:t>
      </w:r>
      <w:r>
        <w:rPr>
          <w:rFonts w:eastAsia="Arial Unicode MS"/>
          <w:color w:val="000000"/>
          <w:bdr w:val="nil"/>
        </w:rPr>
        <w:t>titled: “</w:t>
      </w:r>
      <w:r w:rsidRPr="00EB42E3">
        <w:rPr>
          <w:rFonts w:eastAsia="Arial Unicode MS"/>
          <w:bCs/>
          <w:color w:val="000000"/>
          <w:bdr w:val="nil"/>
        </w:rPr>
        <w:t>TLC: For-Hire Vehicles, Commuter Vans and other TLC Licensees</w:t>
      </w:r>
      <w:r>
        <w:rPr>
          <w:rFonts w:eastAsia="Arial Unicode MS"/>
          <w:bCs/>
          <w:color w:val="000000"/>
          <w:bdr w:val="nil"/>
        </w:rPr>
        <w:t xml:space="preserve">.” </w:t>
      </w:r>
      <w:r w:rsidR="007C55FC" w:rsidRPr="00FC604B">
        <w:rPr>
          <w:rFonts w:eastAsia="MS Mincho"/>
          <w:spacing w:val="-3"/>
        </w:rPr>
        <w:t xml:space="preserve">The bill was subsequently amended, and on </w:t>
      </w:r>
      <w:r w:rsidR="007C55FC">
        <w:rPr>
          <w:rFonts w:eastAsia="MS Mincho"/>
          <w:spacing w:val="-3"/>
        </w:rPr>
        <w:t>December 18</w:t>
      </w:r>
      <w:r w:rsidR="007C55FC" w:rsidRPr="00FC604B">
        <w:rPr>
          <w:rFonts w:eastAsia="MS Mincho"/>
          <w:spacing w:val="-3"/>
        </w:rPr>
        <w:t xml:space="preserve">, 2025, the Committee on </w:t>
      </w:r>
      <w:r w:rsidR="007C55FC">
        <w:rPr>
          <w:rFonts w:eastAsia="MS Mincho"/>
          <w:spacing w:val="-3"/>
        </w:rPr>
        <w:t>Transportation and Infrastructure</w:t>
      </w:r>
      <w:r w:rsidR="007C55FC" w:rsidRPr="00FC604B">
        <w:rPr>
          <w:rFonts w:eastAsia="MS Mincho"/>
          <w:spacing w:val="-3"/>
        </w:rPr>
        <w:t xml:space="preserve"> </w:t>
      </w:r>
      <w:r w:rsidR="00154793">
        <w:rPr>
          <w:rFonts w:eastAsia="MS Mincho"/>
          <w:spacing w:val="-3"/>
        </w:rPr>
        <w:t>considered Int. No. 276-</w:t>
      </w:r>
      <w:r w:rsidR="00873AA2">
        <w:rPr>
          <w:rFonts w:eastAsia="MS Mincho"/>
          <w:spacing w:val="-3"/>
        </w:rPr>
        <w:t>A and</w:t>
      </w:r>
      <w:r w:rsidR="001A1C05">
        <w:rPr>
          <w:rFonts w:eastAsia="MS Mincho"/>
          <w:spacing w:val="-3"/>
        </w:rPr>
        <w:t xml:space="preserve"> </w:t>
      </w:r>
      <w:r w:rsidR="007C55FC" w:rsidRPr="00FC604B">
        <w:rPr>
          <w:rFonts w:eastAsia="MS Mincho"/>
          <w:spacing w:val="-3"/>
        </w:rPr>
        <w:t>passed the legislation by a vote of</w:t>
      </w:r>
      <w:r w:rsidR="007C55FC">
        <w:rPr>
          <w:rFonts w:eastAsia="MS Mincho"/>
          <w:spacing w:val="-3"/>
        </w:rPr>
        <w:t xml:space="preserve"> six in the affirmative, two in the negative, with zero abstentions.</w:t>
      </w:r>
      <w:r w:rsidR="007C55FC" w:rsidRPr="00FC604B">
        <w:rPr>
          <w:rFonts w:eastAsia="MS Mincho"/>
          <w:spacing w:val="-3"/>
        </w:rPr>
        <w:t xml:space="preserve"> </w:t>
      </w:r>
      <w:r w:rsidR="005540F7">
        <w:rPr>
          <w:rFonts w:eastAsia="MS Mincho"/>
          <w:spacing w:val="-3"/>
        </w:rPr>
        <w:t xml:space="preserve">The bill was then sent for approval by the full Council. </w:t>
      </w:r>
      <w:r w:rsidR="007C55FC" w:rsidRPr="00FC604B">
        <w:rPr>
          <w:rFonts w:eastAsia="MS Mincho"/>
          <w:spacing w:val="-3"/>
        </w:rPr>
        <w:t>At the Stated Meeting of</w:t>
      </w:r>
      <w:r w:rsidR="007C55FC">
        <w:rPr>
          <w:rFonts w:eastAsia="MS Mincho"/>
          <w:spacing w:val="-3"/>
        </w:rPr>
        <w:t xml:space="preserve"> December 18, 2025</w:t>
      </w:r>
      <w:r w:rsidR="007C55FC" w:rsidRPr="00FC604B">
        <w:rPr>
          <w:rFonts w:eastAsia="MS Mincho"/>
          <w:spacing w:val="-3"/>
        </w:rPr>
        <w:t xml:space="preserve">, the Council approved the bill by a vote of 40 in the affirmative, </w:t>
      </w:r>
      <w:r w:rsidR="007C55FC">
        <w:rPr>
          <w:rFonts w:eastAsia="MS Mincho"/>
          <w:spacing w:val="-3"/>
        </w:rPr>
        <w:t>seven</w:t>
      </w:r>
      <w:r w:rsidR="007C55FC" w:rsidRPr="00FC604B">
        <w:rPr>
          <w:rFonts w:eastAsia="MS Mincho"/>
          <w:spacing w:val="-3"/>
        </w:rPr>
        <w:t xml:space="preserve"> in the negative, with </w:t>
      </w:r>
      <w:r w:rsidR="007C55FC">
        <w:rPr>
          <w:rFonts w:eastAsia="MS Mincho"/>
          <w:spacing w:val="-3"/>
        </w:rPr>
        <w:t>one</w:t>
      </w:r>
      <w:r w:rsidR="007C55FC" w:rsidRPr="00FC604B">
        <w:rPr>
          <w:rFonts w:eastAsia="MS Mincho"/>
          <w:spacing w:val="-3"/>
        </w:rPr>
        <w:t xml:space="preserve"> </w:t>
      </w:r>
      <w:r w:rsidR="000E33D0" w:rsidRPr="00FC604B">
        <w:rPr>
          <w:rFonts w:eastAsia="MS Mincho"/>
          <w:spacing w:val="-3"/>
        </w:rPr>
        <w:t>abstention</w:t>
      </w:r>
      <w:r w:rsidR="007C55FC" w:rsidRPr="00FC604B">
        <w:rPr>
          <w:rFonts w:eastAsia="MS Mincho"/>
          <w:spacing w:val="-3"/>
        </w:rPr>
        <w:t>.</w:t>
      </w:r>
    </w:p>
    <w:p w14:paraId="7748CACC" w14:textId="4ACEB809" w:rsidR="000A031C" w:rsidRDefault="000A031C" w:rsidP="000A031C">
      <w:pPr>
        <w:spacing w:line="480" w:lineRule="auto"/>
        <w:ind w:firstLine="720"/>
        <w:jc w:val="both"/>
        <w:rPr>
          <w:rFonts w:eastAsia="MS Mincho"/>
          <w:spacing w:val="-3"/>
        </w:rPr>
      </w:pPr>
      <w:r w:rsidRPr="00FC604B">
        <w:rPr>
          <w:rFonts w:eastAsia="MS Mincho"/>
          <w:spacing w:val="-3"/>
        </w:rPr>
        <w:t xml:space="preserve">On </w:t>
      </w:r>
      <w:r>
        <w:rPr>
          <w:rFonts w:eastAsia="MS Mincho"/>
          <w:spacing w:val="-3"/>
        </w:rPr>
        <w:t>December 31, 2025</w:t>
      </w:r>
      <w:r w:rsidRPr="00FC604B">
        <w:rPr>
          <w:rFonts w:eastAsia="MS Mincho"/>
          <w:spacing w:val="-3"/>
        </w:rPr>
        <w:t xml:space="preserve">, the Mayor issued a message of disapproval for Int. No. </w:t>
      </w:r>
      <w:r>
        <w:rPr>
          <w:rFonts w:eastAsia="MS Mincho"/>
          <w:spacing w:val="-3"/>
        </w:rPr>
        <w:t xml:space="preserve">276-A. </w:t>
      </w:r>
      <w:r w:rsidRPr="00FC604B">
        <w:rPr>
          <w:rFonts w:eastAsia="MS Mincho"/>
          <w:spacing w:val="-3"/>
        </w:rPr>
        <w:t>Pursuant to Section 37</w:t>
      </w:r>
      <w:r w:rsidR="005540F7">
        <w:rPr>
          <w:rFonts w:eastAsia="MS Mincho"/>
          <w:spacing w:val="-3"/>
        </w:rPr>
        <w:t>(b)</w:t>
      </w:r>
      <w:r w:rsidRPr="00FC604B">
        <w:rPr>
          <w:rFonts w:eastAsia="MS Mincho"/>
          <w:spacing w:val="-3"/>
        </w:rPr>
        <w:t xml:space="preserve"> of the Charter, the clerk presented the Mayor’s veto message, M</w:t>
      </w:r>
      <w:r w:rsidR="000E33D0">
        <w:rPr>
          <w:rFonts w:eastAsia="MS Mincho"/>
          <w:spacing w:val="-3"/>
        </w:rPr>
        <w:t xml:space="preserve"> </w:t>
      </w:r>
      <w:r>
        <w:rPr>
          <w:rFonts w:eastAsia="MS Mincho"/>
          <w:spacing w:val="-3"/>
        </w:rPr>
        <w:t>0004-2024</w:t>
      </w:r>
      <w:r w:rsidRPr="00FC604B">
        <w:rPr>
          <w:rFonts w:eastAsia="MS Mincho"/>
          <w:spacing w:val="-3"/>
        </w:rPr>
        <w:t xml:space="preserve">, at the next Stated Meeting on </w:t>
      </w:r>
      <w:r w:rsidR="00A23498">
        <w:rPr>
          <w:rFonts w:eastAsia="MS Mincho"/>
          <w:spacing w:val="-3"/>
        </w:rPr>
        <w:t>January 7, 2026</w:t>
      </w:r>
      <w:r w:rsidRPr="00FC604B">
        <w:rPr>
          <w:rFonts w:eastAsia="MS Mincho"/>
          <w:spacing w:val="-3"/>
        </w:rPr>
        <w:t xml:space="preserve">, and </w:t>
      </w:r>
      <w:r w:rsidR="006F7C26">
        <w:rPr>
          <w:rFonts w:eastAsia="MS Mincho"/>
          <w:spacing w:val="-3"/>
        </w:rPr>
        <w:t>the message</w:t>
      </w:r>
      <w:r w:rsidRPr="00FC604B">
        <w:rPr>
          <w:rFonts w:eastAsia="MS Mincho"/>
          <w:spacing w:val="-3"/>
        </w:rPr>
        <w:t xml:space="preserve"> was referred to the Committee on </w:t>
      </w:r>
      <w:r w:rsidR="00A23498">
        <w:rPr>
          <w:rFonts w:eastAsia="MS Mincho"/>
          <w:spacing w:val="-3"/>
        </w:rPr>
        <w:t xml:space="preserve">Transportation and Infrastructure. </w:t>
      </w:r>
    </w:p>
    <w:p w14:paraId="6720F47F" w14:textId="052F37E9" w:rsidR="007E0A95" w:rsidRDefault="00E708F1" w:rsidP="007E0A95">
      <w:pPr>
        <w:spacing w:line="480" w:lineRule="auto"/>
        <w:ind w:firstLine="720"/>
        <w:jc w:val="both"/>
        <w:rPr>
          <w:rFonts w:eastAsia="MS Mincho"/>
          <w:spacing w:val="-3"/>
        </w:rPr>
      </w:pPr>
      <w:r>
        <w:rPr>
          <w:rFonts w:eastAsia="MS Mincho"/>
          <w:spacing w:val="-3"/>
        </w:rPr>
        <w:t>On January 28, 2026, the Committee on Transportation and Infrastructure</w:t>
      </w:r>
      <w:r w:rsidR="00392125">
        <w:rPr>
          <w:rFonts w:eastAsia="MS Mincho"/>
          <w:spacing w:val="-3"/>
        </w:rPr>
        <w:t xml:space="preserve"> passed the recommendation to override the Mayor’s veto of Int. No. 276-2024</w:t>
      </w:r>
      <w:r w:rsidR="00BC7DCC">
        <w:rPr>
          <w:rFonts w:eastAsia="MS Mincho"/>
          <w:spacing w:val="-3"/>
        </w:rPr>
        <w:t xml:space="preserve"> and to file the Mayor’s veto message M 0004-2026</w:t>
      </w:r>
      <w:r w:rsidR="00392125">
        <w:rPr>
          <w:rFonts w:eastAsia="MS Mincho"/>
          <w:spacing w:val="-3"/>
        </w:rPr>
        <w:t xml:space="preserve"> by a vote of</w:t>
      </w:r>
      <w:r w:rsidR="004072BA">
        <w:rPr>
          <w:rFonts w:eastAsia="MS Mincho"/>
          <w:spacing w:val="-3"/>
        </w:rPr>
        <w:t xml:space="preserve"> nine</w:t>
      </w:r>
      <w:r w:rsidR="00392125">
        <w:rPr>
          <w:rFonts w:eastAsia="MS Mincho"/>
          <w:spacing w:val="-3"/>
        </w:rPr>
        <w:t xml:space="preserve"> in the affirmative, zero in the negative, with zero abstentions. </w:t>
      </w:r>
    </w:p>
    <w:p w14:paraId="41BABDD7" w14:textId="1DD3F313" w:rsidR="00851B82" w:rsidRPr="007E0A95" w:rsidRDefault="00851B82" w:rsidP="007E0A95">
      <w:pPr>
        <w:spacing w:line="480" w:lineRule="auto"/>
        <w:jc w:val="both"/>
        <w:rPr>
          <w:rFonts w:eastAsia="MS Mincho"/>
          <w:spacing w:val="-3"/>
        </w:rPr>
      </w:pPr>
      <w:r w:rsidRPr="00851B82">
        <w:rPr>
          <w:b/>
          <w:u w:val="single"/>
        </w:rPr>
        <w:lastRenderedPageBreak/>
        <w:t>BACKGROUND</w:t>
      </w:r>
    </w:p>
    <w:p w14:paraId="53332497" w14:textId="2864DF80" w:rsidR="00B4278A" w:rsidRPr="00D323FD" w:rsidRDefault="002D0546" w:rsidP="00851B82">
      <w:pPr>
        <w:spacing w:line="480" w:lineRule="auto"/>
        <w:contextualSpacing/>
        <w:jc w:val="both"/>
        <w:rPr>
          <w:b/>
          <w:i/>
          <w:iCs/>
        </w:rPr>
      </w:pPr>
      <w:r>
        <w:rPr>
          <w:b/>
          <w:i/>
          <w:iCs/>
        </w:rPr>
        <w:t>Taxi and Limousine Commission (</w:t>
      </w:r>
      <w:r w:rsidR="00B4278A" w:rsidRPr="00D323FD">
        <w:rPr>
          <w:b/>
          <w:i/>
          <w:iCs/>
        </w:rPr>
        <w:t>TLC</w:t>
      </w:r>
      <w:r>
        <w:rPr>
          <w:b/>
          <w:i/>
          <w:iCs/>
        </w:rPr>
        <w:t>)</w:t>
      </w:r>
      <w:r w:rsidR="00B4278A" w:rsidRPr="00D323FD">
        <w:rPr>
          <w:b/>
          <w:i/>
          <w:iCs/>
        </w:rPr>
        <w:t xml:space="preserve"> </w:t>
      </w:r>
    </w:p>
    <w:p w14:paraId="3411C6B6" w14:textId="2A9328DF" w:rsidR="00497978" w:rsidRDefault="416136A4" w:rsidP="00D06EA8">
      <w:pPr>
        <w:widowControl w:val="0"/>
        <w:autoSpaceDE w:val="0"/>
        <w:autoSpaceDN w:val="0"/>
        <w:adjustRightInd w:val="0"/>
        <w:spacing w:line="480" w:lineRule="auto"/>
        <w:ind w:firstLine="720"/>
        <w:jc w:val="both"/>
      </w:pPr>
      <w:r>
        <w:t>TLC</w:t>
      </w:r>
      <w:r w:rsidR="7FA00A17">
        <w:t>, created in 1971,</w:t>
      </w:r>
      <w:r>
        <w:t xml:space="preserve"> is responsible for the regulation and licensing</w:t>
      </w:r>
      <w:r w:rsidR="7FE0998E" w:rsidRPr="00851B82">
        <w:t xml:space="preserve"> of</w:t>
      </w:r>
      <w:r w:rsidR="7FA00A17">
        <w:t>:</w:t>
      </w:r>
      <w:r w:rsidR="7FE0998E" w:rsidRPr="00851B82">
        <w:t xml:space="preserve"> taxicabs, including </w:t>
      </w:r>
      <w:r w:rsidR="0021CF30">
        <w:t xml:space="preserve">medallion taxicabs (also known as </w:t>
      </w:r>
      <w:r w:rsidR="7FE0998E" w:rsidRPr="00851B82">
        <w:t xml:space="preserve">yellow </w:t>
      </w:r>
      <w:r w:rsidR="0021CF30">
        <w:t>taxis)</w:t>
      </w:r>
      <w:r w:rsidR="0021CF30" w:rsidRPr="00851B82">
        <w:t xml:space="preserve"> </w:t>
      </w:r>
      <w:r w:rsidR="7FE0998E" w:rsidRPr="00851B82">
        <w:t>and street hail liveries (als</w:t>
      </w:r>
      <w:r w:rsidR="7FA00A17">
        <w:t xml:space="preserve">o known as green or boro taxis); </w:t>
      </w:r>
      <w:r w:rsidR="002D0546">
        <w:t>For-hire vehicles (“</w:t>
      </w:r>
      <w:r w:rsidR="0021CF30">
        <w:t>FHV</w:t>
      </w:r>
      <w:r w:rsidR="00B84970">
        <w:t>s</w:t>
      </w:r>
      <w:r w:rsidR="002D0546">
        <w:t>”)</w:t>
      </w:r>
      <w:r w:rsidR="7FA00A17">
        <w:t>;</w:t>
      </w:r>
      <w:r w:rsidR="7FE0998E" w:rsidRPr="00851B82">
        <w:t xml:space="preserve"> commuter vans</w:t>
      </w:r>
      <w:r w:rsidR="7FA00A17">
        <w:t>;</w:t>
      </w:r>
      <w:r w:rsidR="7FE0998E" w:rsidRPr="00851B82">
        <w:t xml:space="preserve"> and paratransit vehicles.</w:t>
      </w:r>
      <w:r w:rsidR="00851B82" w:rsidRPr="00851B82">
        <w:rPr>
          <w:vertAlign w:val="superscript"/>
        </w:rPr>
        <w:footnoteReference w:id="2"/>
      </w:r>
      <w:r w:rsidR="7FE0998E" w:rsidRPr="00851B82">
        <w:t xml:space="preserve"> </w:t>
      </w:r>
      <w:r w:rsidR="5B12655B">
        <w:t>TLC</w:t>
      </w:r>
      <w:r w:rsidR="0A9F80C5">
        <w:t xml:space="preserve"> has approximately 600 employees and its</w:t>
      </w:r>
      <w:r w:rsidR="0A9F80C5" w:rsidRPr="0024471B">
        <w:t xml:space="preserve"> Board consists of nine members, eight of whom are unsalaried Commissioners, along with the salaried Commissioner and Chair (</w:t>
      </w:r>
      <w:r w:rsidR="00D32553">
        <w:t>“</w:t>
      </w:r>
      <w:r w:rsidR="0A9F80C5" w:rsidRPr="0024471B">
        <w:t>TLC Chair</w:t>
      </w:r>
      <w:r w:rsidR="00D32553">
        <w:t>”</w:t>
      </w:r>
      <w:r w:rsidR="0A9F80C5" w:rsidRPr="0024471B">
        <w:t>).</w:t>
      </w:r>
      <w:r w:rsidR="0024471B" w:rsidRPr="0024471B">
        <w:rPr>
          <w:vertAlign w:val="superscript"/>
        </w:rPr>
        <w:footnoteReference w:id="3"/>
      </w:r>
      <w:r w:rsidR="0A9F80C5">
        <w:t xml:space="preserve"> </w:t>
      </w:r>
      <w:r w:rsidR="4981F15C">
        <w:t xml:space="preserve">TLC </w:t>
      </w:r>
      <w:r w:rsidR="243F3893">
        <w:t xml:space="preserve">Chair is the head of the TLC and presides over </w:t>
      </w:r>
      <w:r w:rsidR="6C9AD6F5">
        <w:t xml:space="preserve">its </w:t>
      </w:r>
      <w:r w:rsidR="243F3893">
        <w:t xml:space="preserve">public </w:t>
      </w:r>
      <w:r w:rsidR="7A117C03">
        <w:t>meetings</w:t>
      </w:r>
      <w:r w:rsidR="6C9AD6F5">
        <w:t>.</w:t>
      </w:r>
      <w:r w:rsidR="00060CB1">
        <w:rPr>
          <w:rStyle w:val="FootnoteReference"/>
        </w:rPr>
        <w:footnoteReference w:id="4"/>
      </w:r>
      <w:r w:rsidR="243F3893">
        <w:t xml:space="preserve"> TLC regulates over 200,00</w:t>
      </w:r>
      <w:r w:rsidR="7977E822">
        <w:t>0</w:t>
      </w:r>
      <w:r w:rsidR="243F3893">
        <w:t xml:space="preserve"> TLC licensees in</w:t>
      </w:r>
      <w:r w:rsidR="0047625B">
        <w:t xml:space="preserve"> New York City (“</w:t>
      </w:r>
      <w:r w:rsidR="243F3893">
        <w:t>NYC</w:t>
      </w:r>
      <w:r w:rsidR="0047625B">
        <w:t>”)</w:t>
      </w:r>
      <w:r w:rsidR="243F3893">
        <w:t>.</w:t>
      </w:r>
      <w:r w:rsidR="00497978">
        <w:rPr>
          <w:rStyle w:val="FootnoteReference"/>
        </w:rPr>
        <w:footnoteReference w:id="5"/>
      </w:r>
    </w:p>
    <w:p w14:paraId="6CBAA9AD" w14:textId="2C971EC1" w:rsidR="0064137E" w:rsidRPr="0064137E" w:rsidRDefault="0064137E" w:rsidP="0064137E">
      <w:pPr>
        <w:widowControl w:val="0"/>
        <w:autoSpaceDE w:val="0"/>
        <w:autoSpaceDN w:val="0"/>
        <w:adjustRightInd w:val="0"/>
        <w:spacing w:line="480" w:lineRule="auto"/>
        <w:jc w:val="both"/>
        <w:rPr>
          <w:b/>
          <w:bCs/>
          <w:i/>
          <w:iCs/>
        </w:rPr>
      </w:pPr>
      <w:r w:rsidRPr="0064137E">
        <w:rPr>
          <w:b/>
          <w:bCs/>
          <w:i/>
          <w:iCs/>
        </w:rPr>
        <w:t>FHVs</w:t>
      </w:r>
    </w:p>
    <w:p w14:paraId="74850868" w14:textId="7F844663" w:rsidR="00CF7804" w:rsidRDefault="00CF7804" w:rsidP="00CF7804">
      <w:pPr>
        <w:widowControl w:val="0"/>
        <w:autoSpaceDE w:val="0"/>
        <w:autoSpaceDN w:val="0"/>
        <w:adjustRightInd w:val="0"/>
        <w:spacing w:line="480" w:lineRule="auto"/>
        <w:ind w:firstLine="720"/>
        <w:jc w:val="both"/>
      </w:pPr>
      <w:r w:rsidRPr="00EB22DD">
        <w:t xml:space="preserve">The category of FHVs </w:t>
      </w:r>
      <w:r>
        <w:t xml:space="preserve">was historically composed of </w:t>
      </w:r>
      <w:r w:rsidRPr="00EB22DD">
        <w:t>liveries, corporate black cars</w:t>
      </w:r>
      <w:r w:rsidR="00E47F3A">
        <w:t>,</w:t>
      </w:r>
      <w:r>
        <w:t xml:space="preserve"> and luxury limousines,</w:t>
      </w:r>
      <w:r w:rsidRPr="00EB22DD">
        <w:rPr>
          <w:vertAlign w:val="superscript"/>
        </w:rPr>
        <w:footnoteReference w:id="6"/>
      </w:r>
      <w:r w:rsidRPr="00EB22DD">
        <w:t xml:space="preserve"> </w:t>
      </w:r>
      <w:r>
        <w:t xml:space="preserve">however </w:t>
      </w:r>
      <w:r w:rsidRPr="00EB22DD">
        <w:t>the FHV industry has experienced tremendous changes</w:t>
      </w:r>
      <w:r>
        <w:t xml:space="preserve"> </w:t>
      </w:r>
      <w:r w:rsidRPr="00EB22DD">
        <w:t>with the introduction of mobile application-based (app-based) FHVs in the City</w:t>
      </w:r>
      <w:r>
        <w:t xml:space="preserve"> (including Uber and Lyft, collectively “the FHV services”)</w:t>
      </w:r>
      <w:r w:rsidRPr="00EB22DD">
        <w:t>. As a result, the number of licensed FHVs increased from approximately 39,700 in 2011</w:t>
      </w:r>
      <w:r w:rsidRPr="00EB22DD">
        <w:rPr>
          <w:rStyle w:val="FootnoteReference"/>
        </w:rPr>
        <w:footnoteReference w:id="7"/>
      </w:r>
      <w:r w:rsidRPr="00EB22DD">
        <w:t xml:space="preserve"> to more than 130,000 in March 2018, with TLC issuing licenses to approximately 2,000 new FHVs per month at that time.</w:t>
      </w:r>
      <w:r w:rsidRPr="00EB22DD">
        <w:rPr>
          <w:rStyle w:val="FootnoteReference"/>
        </w:rPr>
        <w:footnoteReference w:id="8"/>
      </w:r>
      <w:r w:rsidRPr="00EB22DD">
        <w:t xml:space="preserve"> Ultimately, this led to the City Council’s </w:t>
      </w:r>
      <w:r w:rsidRPr="00EB22DD">
        <w:lastRenderedPageBreak/>
        <w:t>passage of Local Law 147 of 2018</w:t>
      </w:r>
      <w:r>
        <w:t>,</w:t>
      </w:r>
      <w:r w:rsidRPr="00EB22DD">
        <w:rPr>
          <w:rStyle w:val="FootnoteReference"/>
        </w:rPr>
        <w:footnoteReference w:id="9"/>
      </w:r>
      <w:r w:rsidRPr="00EB22DD">
        <w:t xml:space="preserve"> which paused the issuance of new FHV licenses, with an exception for wheelchair-accessible vehicles, and Local Law 149 of 2018, which created a new license category</w:t>
      </w:r>
      <w:r w:rsidR="00E47F3A">
        <w:t>,</w:t>
      </w:r>
      <w:r w:rsidRPr="00EB22DD">
        <w:t xml:space="preserve"> High-Volume For-Hire Services (</w:t>
      </w:r>
      <w:r w:rsidR="00E47F3A" w:rsidRPr="00E47F3A">
        <w:t>“</w:t>
      </w:r>
      <w:r w:rsidRPr="00EB22DD">
        <w:t>HVFHS</w:t>
      </w:r>
      <w:r w:rsidR="00E47F3A" w:rsidRPr="00E47F3A">
        <w:t>”</w:t>
      </w:r>
      <w:r w:rsidRPr="00EB22DD">
        <w:t>), for TLC-licensed FHV bases that dispatch more than 10,000 trips per day.</w:t>
      </w:r>
      <w:r w:rsidRPr="00EB22DD">
        <w:rPr>
          <w:rStyle w:val="FootnoteReference"/>
        </w:rPr>
        <w:footnoteReference w:id="10"/>
      </w:r>
      <w:r w:rsidRPr="00EB22DD">
        <w:t xml:space="preserve"> In 2022, TLC allowed an exemption for an additional 1,000 electric vehicle FHVs.</w:t>
      </w:r>
      <w:r w:rsidRPr="00EB22DD">
        <w:rPr>
          <w:rStyle w:val="FootnoteReference"/>
        </w:rPr>
        <w:footnoteReference w:id="11"/>
      </w:r>
      <w:r w:rsidRPr="00EB22DD">
        <w:t xml:space="preserve"> </w:t>
      </w:r>
      <w:r w:rsidR="00805F1C">
        <w:t xml:space="preserve">As of December 31, 2025, TLC reported that there were </w:t>
      </w:r>
      <w:r w:rsidR="00EA3CCE">
        <w:t>approximately</w:t>
      </w:r>
      <w:r w:rsidR="00805F1C">
        <w:t xml:space="preserve"> 104,000 FHV vehicle licenses.</w:t>
      </w:r>
      <w:r w:rsidR="00805F1C">
        <w:rPr>
          <w:rStyle w:val="FootnoteReference"/>
        </w:rPr>
        <w:footnoteReference w:id="12"/>
      </w:r>
    </w:p>
    <w:p w14:paraId="225BE743" w14:textId="415A69AB" w:rsidR="00197C25" w:rsidRDefault="00CF7804" w:rsidP="00CF7804">
      <w:pPr>
        <w:widowControl w:val="0"/>
        <w:autoSpaceDE w:val="0"/>
        <w:autoSpaceDN w:val="0"/>
        <w:adjustRightInd w:val="0"/>
        <w:spacing w:line="480" w:lineRule="auto"/>
        <w:ind w:firstLine="720"/>
        <w:jc w:val="both"/>
      </w:pPr>
      <w:r>
        <w:t xml:space="preserve">A survey conducted </w:t>
      </w:r>
      <w:r w:rsidR="000C1DE0">
        <w:t>by TLC in 2024</w:t>
      </w:r>
      <w:r>
        <w:t xml:space="preserve"> reported that 91% of surveyed drivers were born outside of the </w:t>
      </w:r>
      <w:r w:rsidR="008E149C">
        <w:t>United States</w:t>
      </w:r>
      <w:r>
        <w:t>,</w:t>
      </w:r>
      <w:r w:rsidR="008E149C">
        <w:t xml:space="preserve"> and</w:t>
      </w:r>
      <w:r>
        <w:t xml:space="preserve"> 86% were non-white.</w:t>
      </w:r>
      <w:r>
        <w:rPr>
          <w:rStyle w:val="FootnoteReference"/>
        </w:rPr>
        <w:footnoteReference w:id="13"/>
      </w:r>
      <w:r>
        <w:t xml:space="preserve"> </w:t>
      </w:r>
      <w:r w:rsidR="008E149C">
        <w:t>Eighty percent</w:t>
      </w:r>
      <w:r>
        <w:t xml:space="preserve"> of the surveyed drivers relied on driving as their sole source of income</w:t>
      </w:r>
      <w:r w:rsidR="00C647F1">
        <w:t>,</w:t>
      </w:r>
      <w:r>
        <w:t xml:space="preserve"> and another 11% reported that it was more than half but not all of their income.</w:t>
      </w:r>
      <w:r>
        <w:rPr>
          <w:rStyle w:val="FootnoteReference"/>
        </w:rPr>
        <w:footnoteReference w:id="14"/>
      </w:r>
      <w:r>
        <w:t xml:space="preserve"> </w:t>
      </w:r>
      <w:r w:rsidR="00C647F1">
        <w:t>Sixty-six percent</w:t>
      </w:r>
      <w:r>
        <w:t xml:space="preserve"> of drivers surveyed were still paying off their vehicle, with 79% of drivers stating that they rented their vehicle primarily to drive for the FHV services.</w:t>
      </w:r>
      <w:r>
        <w:rPr>
          <w:rStyle w:val="FootnoteReference"/>
        </w:rPr>
        <w:footnoteReference w:id="15"/>
      </w:r>
      <w:r>
        <w:t xml:space="preserve"> The median car payment for driver-owners of internal combustion engine (“ICE”) vehicles was $735 a month and $950 a month for driver-owners of electric vehicles (“EVs”), while median insurance costs </w:t>
      </w:r>
      <w:r w:rsidR="00090CBC">
        <w:t>was</w:t>
      </w:r>
      <w:r>
        <w:t xml:space="preserve"> $379 a month ($4,548 annually) for ICE vehicle owners </w:t>
      </w:r>
      <w:r w:rsidR="00090CBC">
        <w:t xml:space="preserve">and </w:t>
      </w:r>
      <w:r>
        <w:t xml:space="preserve">$396 a </w:t>
      </w:r>
      <w:r>
        <w:lastRenderedPageBreak/>
        <w:t>month ($4,750 annually) for EVs.</w:t>
      </w:r>
      <w:r>
        <w:rPr>
          <w:rStyle w:val="FootnoteReference"/>
        </w:rPr>
        <w:footnoteReference w:id="16"/>
      </w:r>
      <w:r>
        <w:t xml:space="preserve"> Although the report examined other additional operating expenses, these two are relevant to deactivations because they continue to accrue while the driver is temporarily deactivated and no longer operating their vehicle. </w:t>
      </w:r>
    </w:p>
    <w:p w14:paraId="732A144C" w14:textId="2214BC0B" w:rsidR="007A77C6" w:rsidRPr="00CC0C07" w:rsidRDefault="00CF7804" w:rsidP="00CC0C07">
      <w:pPr>
        <w:widowControl w:val="0"/>
        <w:autoSpaceDE w:val="0"/>
        <w:autoSpaceDN w:val="0"/>
        <w:adjustRightInd w:val="0"/>
        <w:spacing w:line="480" w:lineRule="auto"/>
        <w:ind w:firstLine="720"/>
        <w:jc w:val="both"/>
      </w:pPr>
      <w:r>
        <w:t>A</w:t>
      </w:r>
      <w:r w:rsidR="00FB4B49">
        <w:t xml:space="preserve">n analysis </w:t>
      </w:r>
      <w:r>
        <w:t xml:space="preserve">conducted by the </w:t>
      </w:r>
      <w:r w:rsidRPr="00EB22DD">
        <w:rPr>
          <w:rFonts w:eastAsia="Calibri"/>
        </w:rPr>
        <w:t xml:space="preserve">Asian American Legal Defense and Education Fund </w:t>
      </w:r>
      <w:r>
        <w:rPr>
          <w:rFonts w:eastAsia="Calibri"/>
        </w:rPr>
        <w:t xml:space="preserve">(“AALDEF”) </w:t>
      </w:r>
      <w:r w:rsidR="00FB4B49">
        <w:rPr>
          <w:rFonts w:eastAsia="Calibri"/>
        </w:rPr>
        <w:t xml:space="preserve">of data collected by the New York Taxi Workers Alliance </w:t>
      </w:r>
      <w:r w:rsidR="00797D25">
        <w:rPr>
          <w:rFonts w:eastAsia="Calibri"/>
        </w:rPr>
        <w:t xml:space="preserve">in 2025 </w:t>
      </w:r>
      <w:r>
        <w:t xml:space="preserve">similarly found that 95% of drivers relied on their driving income as the main source of income for their family, 69% of drivers were still paying off their vehicle, 88% bought their vehicle </w:t>
      </w:r>
      <w:r w:rsidR="000E474F">
        <w:t xml:space="preserve">for the purpose of </w:t>
      </w:r>
      <w:r>
        <w:t>work</w:t>
      </w:r>
      <w:r w:rsidR="000E474F">
        <w:t>ing</w:t>
      </w:r>
      <w:r>
        <w:t xml:space="preserve"> for the FHV services, </w:t>
      </w:r>
      <w:r w:rsidR="00D44165">
        <w:t xml:space="preserve">and that </w:t>
      </w:r>
      <w:r>
        <w:t xml:space="preserve">median vehicle expenses </w:t>
      </w:r>
      <w:r w:rsidR="00D44165">
        <w:t>were</w:t>
      </w:r>
      <w:r>
        <w:t xml:space="preserve"> $1,200 a month.</w:t>
      </w:r>
      <w:r>
        <w:rPr>
          <w:rStyle w:val="FootnoteReference"/>
        </w:rPr>
        <w:footnoteReference w:id="17"/>
      </w:r>
      <w:r>
        <w:t xml:space="preserve"> FHV drivers are predominantly immigrant and minority populations,</w:t>
      </w:r>
      <w:r>
        <w:rPr>
          <w:rStyle w:val="FootnoteReference"/>
        </w:rPr>
        <w:footnoteReference w:id="18"/>
      </w:r>
      <w:r>
        <w:t xml:space="preserve"> with both low and unstable income</w:t>
      </w:r>
      <w:r w:rsidR="00797D25">
        <w:t>.</w:t>
      </w:r>
      <w:r>
        <w:rPr>
          <w:rStyle w:val="FootnoteReference"/>
        </w:rPr>
        <w:footnoteReference w:id="19"/>
      </w:r>
      <w:r>
        <w:t xml:space="preserve"> </w:t>
      </w:r>
      <w:r w:rsidR="00797D25">
        <w:t xml:space="preserve">Additionally, FHV drivers </w:t>
      </w:r>
      <w:r>
        <w:t>are also required to invest significant resources up front in order to begin operations, while continuing to accrue monthly expenses even if they are temporarily or permanently prohibited from working for the FHV services.</w:t>
      </w:r>
      <w:r>
        <w:rPr>
          <w:rStyle w:val="FootnoteReference"/>
        </w:rPr>
        <w:footnoteReference w:id="20"/>
      </w:r>
      <w:r>
        <w:t xml:space="preserve"> </w:t>
      </w:r>
    </w:p>
    <w:p w14:paraId="5E615A77" w14:textId="253B68A4" w:rsidR="00CF7804" w:rsidRPr="00EB22DD" w:rsidRDefault="00CF7804" w:rsidP="00CF7804">
      <w:pPr>
        <w:spacing w:line="480" w:lineRule="auto"/>
        <w:jc w:val="both"/>
        <w:rPr>
          <w:rFonts w:eastAsia="Calibri"/>
          <w:bCs/>
          <w:i/>
          <w:u w:val="single"/>
        </w:rPr>
      </w:pPr>
      <w:r w:rsidRPr="00EB22DD">
        <w:rPr>
          <w:rFonts w:eastAsia="Calibri"/>
          <w:bCs/>
          <w:i/>
          <w:u w:val="single"/>
        </w:rPr>
        <w:t>Deactivations</w:t>
      </w:r>
    </w:p>
    <w:p w14:paraId="57D88290" w14:textId="14F18C73" w:rsidR="00CF7804" w:rsidRDefault="00CF7804" w:rsidP="00CF7804">
      <w:pPr>
        <w:spacing w:line="480" w:lineRule="auto"/>
        <w:ind w:firstLine="720"/>
        <w:jc w:val="both"/>
        <w:rPr>
          <w:rFonts w:eastAsia="Calibri"/>
        </w:rPr>
      </w:pPr>
      <w:r w:rsidRPr="00EB22DD">
        <w:rPr>
          <w:rFonts w:eastAsia="Calibri"/>
        </w:rPr>
        <w:t>Uber and Lyft currently have the ability to disable an FHV driver’s</w:t>
      </w:r>
      <w:r w:rsidR="00EA3CCE">
        <w:rPr>
          <w:rFonts w:eastAsia="Calibri"/>
        </w:rPr>
        <w:t xml:space="preserve"> account access, a process known as account deactivation. Once deactivated, an FHV driver will be unable to pick up rides via the Uber and/or Lyft apps.  </w:t>
      </w:r>
      <w:r w:rsidRPr="00EB22DD">
        <w:rPr>
          <w:rFonts w:eastAsia="Calibri"/>
        </w:rPr>
        <w:t xml:space="preserve"> </w:t>
      </w:r>
      <w:r>
        <w:rPr>
          <w:rFonts w:eastAsia="Calibri"/>
        </w:rPr>
        <w:t>The FHV services</w:t>
      </w:r>
      <w:r w:rsidR="00DC353B">
        <w:rPr>
          <w:rFonts w:eastAsia="Calibri"/>
        </w:rPr>
        <w:t xml:space="preserve"> state</w:t>
      </w:r>
      <w:r>
        <w:rPr>
          <w:rFonts w:eastAsia="Calibri"/>
        </w:rPr>
        <w:t xml:space="preserve"> that reasons a driver may be </w:t>
      </w:r>
      <w:r>
        <w:rPr>
          <w:rFonts w:eastAsia="Calibri"/>
        </w:rPr>
        <w:lastRenderedPageBreak/>
        <w:t>deactivated include document issues (</w:t>
      </w:r>
      <w:r w:rsidRPr="00BA704B">
        <w:rPr>
          <w:rFonts w:eastAsia="Calibri"/>
          <w:i/>
          <w:iCs/>
        </w:rPr>
        <w:t>i.e.</w:t>
      </w:r>
      <w:r w:rsidR="001E59BA">
        <w:rPr>
          <w:rFonts w:eastAsia="Calibri"/>
        </w:rPr>
        <w:t>,</w:t>
      </w:r>
      <w:r>
        <w:rPr>
          <w:rFonts w:eastAsia="Calibri"/>
        </w:rPr>
        <w:t xml:space="preserve"> an expired license on file), safety issues (including account sharing, unsafe driving, or altercations with passengers), fraudulent activities, and discrimination against passengers.</w:t>
      </w:r>
      <w:r>
        <w:rPr>
          <w:rStyle w:val="FootnoteReference"/>
          <w:rFonts w:eastAsia="Calibri"/>
        </w:rPr>
        <w:footnoteReference w:id="21"/>
      </w:r>
    </w:p>
    <w:p w14:paraId="2815A767" w14:textId="4130DF73" w:rsidR="00CF7804" w:rsidRDefault="00CF7804" w:rsidP="00CF7804">
      <w:pPr>
        <w:spacing w:line="480" w:lineRule="auto"/>
        <w:ind w:firstLine="720"/>
        <w:jc w:val="both"/>
        <w:rPr>
          <w:rFonts w:eastAsia="Calibri"/>
        </w:rPr>
      </w:pPr>
      <w:r>
        <w:rPr>
          <w:rFonts w:eastAsia="Calibri"/>
        </w:rPr>
        <w:t>When a driver is deactivated, they may appeal that deactivation with the FHV service,</w:t>
      </w:r>
      <w:r>
        <w:rPr>
          <w:rStyle w:val="FootnoteReference"/>
          <w:rFonts w:eastAsia="Calibri"/>
        </w:rPr>
        <w:footnoteReference w:id="22"/>
      </w:r>
      <w:r>
        <w:rPr>
          <w:rFonts w:eastAsia="Calibri"/>
        </w:rPr>
        <w:t xml:space="preserve"> and may </w:t>
      </w:r>
      <w:r w:rsidR="000A5A3D">
        <w:rPr>
          <w:rFonts w:eastAsia="Calibri"/>
        </w:rPr>
        <w:t>request</w:t>
      </w:r>
      <w:r w:rsidR="00F11202">
        <w:rPr>
          <w:rFonts w:eastAsia="Calibri"/>
        </w:rPr>
        <w:t xml:space="preserve"> to </w:t>
      </w:r>
      <w:r>
        <w:rPr>
          <w:rFonts w:eastAsia="Calibri"/>
        </w:rPr>
        <w:t>be represented by the Independent Drivers Guild (“IDG”).</w:t>
      </w:r>
      <w:r>
        <w:rPr>
          <w:rStyle w:val="FootnoteReference"/>
          <w:rFonts w:eastAsia="Calibri"/>
        </w:rPr>
        <w:footnoteReference w:id="23"/>
      </w:r>
      <w:r>
        <w:rPr>
          <w:rFonts w:eastAsia="Calibri"/>
        </w:rPr>
        <w:t xml:space="preserve"> Certain deactivations, such as those resulting </w:t>
      </w:r>
      <w:r w:rsidR="00FB4B49">
        <w:rPr>
          <w:rFonts w:eastAsia="Calibri"/>
        </w:rPr>
        <w:t xml:space="preserve">“appeals related to criminal activity while on the app, like theft or reckless driving … [and] appeals related to </w:t>
      </w:r>
      <w:r>
        <w:rPr>
          <w:rFonts w:eastAsia="Calibri"/>
        </w:rPr>
        <w:t>physical or sexual</w:t>
      </w:r>
      <w:r w:rsidR="00FB4B49">
        <w:rPr>
          <w:rFonts w:eastAsia="Calibri"/>
        </w:rPr>
        <w:t xml:space="preserve"> altercations</w:t>
      </w:r>
      <w:r>
        <w:rPr>
          <w:rFonts w:eastAsia="Calibri"/>
        </w:rPr>
        <w:t>,</w:t>
      </w:r>
      <w:r w:rsidR="00FB4B49">
        <w:rPr>
          <w:rFonts w:eastAsia="Calibri"/>
        </w:rPr>
        <w:t>”</w:t>
      </w:r>
      <w:r>
        <w:rPr>
          <w:rFonts w:eastAsia="Calibri"/>
        </w:rPr>
        <w:t xml:space="preserve"> are not subject to appeal with Uber,</w:t>
      </w:r>
      <w:r>
        <w:rPr>
          <w:rStyle w:val="FootnoteReference"/>
          <w:rFonts w:eastAsia="Calibri"/>
        </w:rPr>
        <w:footnoteReference w:id="24"/>
      </w:r>
      <w:r>
        <w:rPr>
          <w:rFonts w:eastAsia="Calibri"/>
        </w:rPr>
        <w:t xml:space="preserve"> while Lyft maintains a “zero-tolerance” polic</w:t>
      </w:r>
      <w:r w:rsidR="008D2868">
        <w:rPr>
          <w:rFonts w:eastAsia="Calibri"/>
        </w:rPr>
        <w:t>y</w:t>
      </w:r>
      <w:r>
        <w:rPr>
          <w:rFonts w:eastAsia="Calibri"/>
        </w:rPr>
        <w:t xml:space="preserve"> for drug and alcohol related offenses.</w:t>
      </w:r>
      <w:r>
        <w:rPr>
          <w:rStyle w:val="FootnoteReference"/>
          <w:rFonts w:eastAsia="Calibri"/>
        </w:rPr>
        <w:footnoteReference w:id="25"/>
      </w:r>
      <w:r>
        <w:rPr>
          <w:rFonts w:eastAsia="Calibri"/>
        </w:rPr>
        <w:t xml:space="preserve"> These policies, in combination with the FHV services’ refund policy for passengers, has led to some passengers lodging false complaints to recoup the cost of their ride at the expense of the FHV driver’s livelihood.</w:t>
      </w:r>
      <w:r>
        <w:rPr>
          <w:rStyle w:val="FootnoteReference"/>
          <w:rFonts w:eastAsia="Calibri"/>
        </w:rPr>
        <w:footnoteReference w:id="26"/>
      </w:r>
      <w:r>
        <w:rPr>
          <w:rFonts w:eastAsia="Calibri"/>
        </w:rPr>
        <w:t xml:space="preserve"> </w:t>
      </w:r>
    </w:p>
    <w:p w14:paraId="61C3F322" w14:textId="0AF9043D" w:rsidR="00CF7804" w:rsidRDefault="00CF7804" w:rsidP="00CF7804">
      <w:pPr>
        <w:spacing w:line="480" w:lineRule="auto"/>
        <w:ind w:firstLine="720"/>
        <w:jc w:val="both"/>
        <w:rPr>
          <w:rFonts w:eastAsia="Calibri"/>
        </w:rPr>
      </w:pPr>
      <w:r>
        <w:rPr>
          <w:rFonts w:eastAsia="Calibri"/>
        </w:rPr>
        <w:t xml:space="preserve">With respect to the set of appealable deactivations, IDG reports that they </w:t>
      </w:r>
      <w:r w:rsidR="00F11202">
        <w:rPr>
          <w:rFonts w:eastAsia="Calibri"/>
        </w:rPr>
        <w:t xml:space="preserve">have </w:t>
      </w:r>
      <w:r>
        <w:rPr>
          <w:rFonts w:eastAsia="Calibri"/>
        </w:rPr>
        <w:t xml:space="preserve">represented </w:t>
      </w:r>
      <w:r w:rsidR="00F11202">
        <w:rPr>
          <w:rFonts w:eastAsia="Calibri"/>
        </w:rPr>
        <w:t xml:space="preserve">approximately </w:t>
      </w:r>
      <w:r>
        <w:rPr>
          <w:rFonts w:eastAsia="Calibri"/>
        </w:rPr>
        <w:t xml:space="preserve">20,000 drivers in </w:t>
      </w:r>
      <w:r w:rsidR="00347940">
        <w:rPr>
          <w:rFonts w:eastAsia="Calibri"/>
        </w:rPr>
        <w:t>the</w:t>
      </w:r>
      <w:r>
        <w:rPr>
          <w:rFonts w:eastAsia="Calibri"/>
        </w:rPr>
        <w:t xml:space="preserve"> City over the past five years, including 4,800 cases in 2024</w:t>
      </w:r>
      <w:r w:rsidR="00F11202">
        <w:rPr>
          <w:rFonts w:eastAsia="Calibri"/>
        </w:rPr>
        <w:t>,</w:t>
      </w:r>
      <w:r>
        <w:rPr>
          <w:rFonts w:eastAsia="Calibri"/>
        </w:rPr>
        <w:t xml:space="preserve"> and were able to obtain reinstatement for 90% of those drivers, many within days of taking up the </w:t>
      </w:r>
      <w:r>
        <w:rPr>
          <w:rFonts w:eastAsia="Calibri"/>
        </w:rPr>
        <w:lastRenderedPageBreak/>
        <w:t>appeal.</w:t>
      </w:r>
      <w:r>
        <w:rPr>
          <w:rStyle w:val="FootnoteReference"/>
          <w:rFonts w:eastAsia="Calibri"/>
        </w:rPr>
        <w:footnoteReference w:id="27"/>
      </w:r>
      <w:r>
        <w:rPr>
          <w:rFonts w:eastAsia="Calibri"/>
        </w:rPr>
        <w:t xml:space="preserve"> IDG’s consistent success at obtaining reinstatement for a large number of drivers each year suggests that a significant number of deactivations either do not stand up to closer scrutiny or could be quickly resolved upon opening a line of communication between the FHV drivers and the FHV services. </w:t>
      </w:r>
    </w:p>
    <w:p w14:paraId="35533B97" w14:textId="540B75DE" w:rsidR="00CF7804" w:rsidRDefault="00CF7804" w:rsidP="00CF7804">
      <w:pPr>
        <w:spacing w:line="480" w:lineRule="auto"/>
        <w:ind w:firstLine="720"/>
        <w:jc w:val="both"/>
        <w:rPr>
          <w:rFonts w:eastAsia="Calibri"/>
        </w:rPr>
      </w:pPr>
      <w:r>
        <w:rPr>
          <w:rFonts w:eastAsia="Calibri"/>
        </w:rPr>
        <w:t>In February 2023, the Asian Law Caucus conducted a survey of FHV drivers in California.</w:t>
      </w:r>
      <w:r>
        <w:rPr>
          <w:rStyle w:val="FootnoteReference"/>
          <w:rFonts w:eastAsia="Calibri"/>
        </w:rPr>
        <w:footnoteReference w:id="28"/>
      </w:r>
      <w:r>
        <w:rPr>
          <w:rFonts w:eastAsia="Calibri"/>
        </w:rPr>
        <w:t xml:space="preserve"> They reported that two out of three FHV drivers surveyed experienced discrimination, sexual harassment, or other forms of misconduct or customer bias while driving for the FHV services.</w:t>
      </w:r>
      <w:r>
        <w:rPr>
          <w:rStyle w:val="FootnoteReference"/>
          <w:rFonts w:eastAsia="Calibri"/>
        </w:rPr>
        <w:footnoteReference w:id="29"/>
      </w:r>
      <w:r>
        <w:rPr>
          <w:rFonts w:eastAsia="Calibri"/>
        </w:rPr>
        <w:t xml:space="preserve"> Half of the drivers who faced racial discrimination from a customer were also reported </w:t>
      </w:r>
      <w:r>
        <w:rPr>
          <w:rFonts w:eastAsia="Calibri"/>
          <w:i/>
        </w:rPr>
        <w:t>by</w:t>
      </w:r>
      <w:r>
        <w:rPr>
          <w:rFonts w:eastAsia="Calibri"/>
        </w:rPr>
        <w:t xml:space="preserve"> the customer.</w:t>
      </w:r>
      <w:r>
        <w:rPr>
          <w:rStyle w:val="FootnoteReference"/>
          <w:rFonts w:eastAsia="Calibri"/>
        </w:rPr>
        <w:footnoteReference w:id="30"/>
      </w:r>
      <w:r>
        <w:rPr>
          <w:rFonts w:eastAsia="Calibri"/>
        </w:rPr>
        <w:t xml:space="preserve"> Drivers of color were more likely to be deactivated, with 69% of the surveyed drivers of color experiencing some form of deactivation compared to 57% that identified as white.</w:t>
      </w:r>
      <w:r>
        <w:rPr>
          <w:rStyle w:val="FootnoteReference"/>
          <w:rFonts w:eastAsia="Calibri"/>
        </w:rPr>
        <w:footnoteReference w:id="31"/>
      </w:r>
      <w:r>
        <w:rPr>
          <w:rFonts w:eastAsia="Calibri"/>
        </w:rPr>
        <w:t xml:space="preserve"> Almost all deactivated FHV drivers experienced some form of hardship as a result of their deactivation, with 18% losing their vehicle and 12% losing their homes.</w:t>
      </w:r>
      <w:r>
        <w:rPr>
          <w:rStyle w:val="FootnoteReference"/>
          <w:rFonts w:eastAsia="Calibri"/>
        </w:rPr>
        <w:footnoteReference w:id="32"/>
      </w:r>
      <w:r>
        <w:rPr>
          <w:rFonts w:eastAsia="Calibri"/>
        </w:rPr>
        <w:t xml:space="preserve"> The Asian Law Caucus recommended requiring just cause for deactivations, providing due process to drivers, and conducting meaningful and transparent investigations into customer complaints in order to address these issues.</w:t>
      </w:r>
      <w:r>
        <w:rPr>
          <w:rStyle w:val="FootnoteReference"/>
          <w:rFonts w:eastAsia="Calibri"/>
        </w:rPr>
        <w:footnoteReference w:id="33"/>
      </w:r>
    </w:p>
    <w:p w14:paraId="5521DA55" w14:textId="6649C597" w:rsidR="00CF7804" w:rsidRDefault="00CF7804" w:rsidP="00CF7804">
      <w:pPr>
        <w:spacing w:line="480" w:lineRule="auto"/>
        <w:ind w:firstLine="720"/>
        <w:jc w:val="both"/>
        <w:rPr>
          <w:rFonts w:eastAsia="Calibri"/>
        </w:rPr>
      </w:pPr>
      <w:r w:rsidRPr="00EB22DD">
        <w:rPr>
          <w:rFonts w:eastAsia="Calibri"/>
        </w:rPr>
        <w:lastRenderedPageBreak/>
        <w:t xml:space="preserve">In October 2025, </w:t>
      </w:r>
      <w:r w:rsidR="00FB4B49">
        <w:rPr>
          <w:rFonts w:eastAsia="Calibri"/>
        </w:rPr>
        <w:t xml:space="preserve">AALDEF’s report on driver deactivations </w:t>
      </w:r>
      <w:r>
        <w:rPr>
          <w:rFonts w:eastAsia="Calibri"/>
        </w:rPr>
        <w:t>found that most of the surveyed deactivated drivers were</w:t>
      </w:r>
      <w:r w:rsidR="00A14016">
        <w:rPr>
          <w:rFonts w:eastAsia="Calibri"/>
        </w:rPr>
        <w:t xml:space="preserve"> long-time,</w:t>
      </w:r>
      <w:r>
        <w:rPr>
          <w:rFonts w:eastAsia="Calibri"/>
        </w:rPr>
        <w:t xml:space="preserve"> high-performing drivers with high ratings and no record of misconduct, and were deactivated without prior notice based on vague allegations of “customer complaints.”</w:t>
      </w:r>
      <w:r w:rsidR="00FB4B49" w:rsidRPr="00FB4B49">
        <w:rPr>
          <w:rStyle w:val="FootnoteReference"/>
          <w:rFonts w:eastAsia="Calibri"/>
        </w:rPr>
        <w:t xml:space="preserve"> </w:t>
      </w:r>
      <w:r w:rsidR="00FB4B49" w:rsidRPr="00EB22DD">
        <w:rPr>
          <w:rStyle w:val="FootnoteReference"/>
          <w:rFonts w:eastAsia="Calibri"/>
        </w:rPr>
        <w:footnoteReference w:id="34"/>
      </w:r>
      <w:r>
        <w:rPr>
          <w:rFonts w:eastAsia="Calibri"/>
        </w:rPr>
        <w:t xml:space="preserve"> </w:t>
      </w:r>
      <w:r w:rsidR="00A14016">
        <w:rPr>
          <w:rFonts w:eastAsia="Calibri"/>
        </w:rPr>
        <w:t>Seventy percent</w:t>
      </w:r>
      <w:r>
        <w:rPr>
          <w:rFonts w:eastAsia="Calibri"/>
        </w:rPr>
        <w:t xml:space="preserve"> of the drivers for Uber and 76% of the drivers for Lyft reported not receiving any notice prior to deactivation.</w:t>
      </w:r>
      <w:r>
        <w:rPr>
          <w:rStyle w:val="FootnoteReference"/>
          <w:rFonts w:eastAsia="Calibri"/>
        </w:rPr>
        <w:footnoteReference w:id="35"/>
      </w:r>
      <w:r>
        <w:rPr>
          <w:rFonts w:eastAsia="Calibri"/>
        </w:rPr>
        <w:t xml:space="preserve"> </w:t>
      </w:r>
      <w:r w:rsidR="003102C3">
        <w:rPr>
          <w:rFonts w:eastAsia="Calibri"/>
        </w:rPr>
        <w:t>Forty percent</w:t>
      </w:r>
      <w:r>
        <w:rPr>
          <w:rFonts w:eastAsia="Calibri"/>
        </w:rPr>
        <w:t xml:space="preserve"> of the drivers for Uber and 33% of the drivers for Lyft reported that when deactivations were due to customer complaints, they were not told when the alleged incident occurred; and 64% of the drivers for Uber and 75% of the drivers for Lyft reported that when deactivations were due to multiple complaints, they were not informed of the earlier complaints prior to deactivation.</w:t>
      </w:r>
      <w:r>
        <w:rPr>
          <w:rStyle w:val="FootnoteReference"/>
          <w:rFonts w:eastAsia="Calibri"/>
        </w:rPr>
        <w:footnoteReference w:id="36"/>
      </w:r>
      <w:r>
        <w:rPr>
          <w:rFonts w:eastAsia="Calibri"/>
        </w:rPr>
        <w:t xml:space="preserve"> As a result of being deactivated, the most common consequences experienced by these FHV drivers was an inability to pay rent or afford groceries.</w:t>
      </w:r>
      <w:r>
        <w:rPr>
          <w:rStyle w:val="FootnoteReference"/>
          <w:rFonts w:eastAsia="Calibri"/>
        </w:rPr>
        <w:footnoteReference w:id="37"/>
      </w:r>
      <w:r>
        <w:rPr>
          <w:rFonts w:eastAsia="Calibri"/>
        </w:rPr>
        <w:t xml:space="preserve"> To address these issues, AALDEF recommended requiring a just cause framework for deactivation and implementing protections to require transparency and due process for drivers.</w:t>
      </w:r>
      <w:r>
        <w:rPr>
          <w:rStyle w:val="FootnoteReference"/>
          <w:rFonts w:eastAsia="Calibri"/>
        </w:rPr>
        <w:footnoteReference w:id="38"/>
      </w:r>
    </w:p>
    <w:p w14:paraId="092209AA" w14:textId="2C5E8B12" w:rsidR="00C932CE" w:rsidRDefault="00E17BE6" w:rsidP="00C932CE">
      <w:pPr>
        <w:spacing w:line="480" w:lineRule="auto"/>
        <w:jc w:val="both"/>
        <w:rPr>
          <w:rFonts w:eastAsia="Calibri"/>
          <w:i/>
          <w:iCs/>
        </w:rPr>
      </w:pPr>
      <w:r>
        <w:rPr>
          <w:rFonts w:eastAsia="Calibri"/>
          <w:i/>
          <w:iCs/>
        </w:rPr>
        <w:t>Introduction of a bill to address wrongful deactivations</w:t>
      </w:r>
    </w:p>
    <w:p w14:paraId="77AAA936" w14:textId="48DCFF57" w:rsidR="007A77C6" w:rsidRPr="004261AF" w:rsidRDefault="00E17BE6" w:rsidP="00BA704B">
      <w:pPr>
        <w:spacing w:line="480" w:lineRule="auto"/>
        <w:jc w:val="both"/>
        <w:rPr>
          <w:rFonts w:eastAsia="Calibri"/>
        </w:rPr>
      </w:pPr>
      <w:r>
        <w:rPr>
          <w:rFonts w:eastAsia="Calibri"/>
        </w:rPr>
        <w:tab/>
      </w:r>
      <w:r w:rsidR="00CC6F84">
        <w:rPr>
          <w:rFonts w:eastAsia="Calibri"/>
        </w:rPr>
        <w:t>Int</w:t>
      </w:r>
      <w:r w:rsidR="00B40BA8">
        <w:rPr>
          <w:rFonts w:eastAsia="Calibri"/>
        </w:rPr>
        <w:t>. No.</w:t>
      </w:r>
      <w:r w:rsidR="00CC6F84">
        <w:rPr>
          <w:rFonts w:eastAsia="Calibri"/>
        </w:rPr>
        <w:t xml:space="preserve"> 276 was based upon its predecessor</w:t>
      </w:r>
      <w:r w:rsidR="00B40BA8">
        <w:rPr>
          <w:rFonts w:eastAsia="Calibri"/>
        </w:rPr>
        <w:t xml:space="preserve"> from a prior legislative session</w:t>
      </w:r>
      <w:r w:rsidR="00CC6F84">
        <w:rPr>
          <w:rFonts w:eastAsia="Calibri"/>
        </w:rPr>
        <w:t>, Int</w:t>
      </w:r>
      <w:r w:rsidR="00B40BA8">
        <w:rPr>
          <w:rFonts w:eastAsia="Calibri"/>
        </w:rPr>
        <w:t>. No.</w:t>
      </w:r>
      <w:r w:rsidR="00CC6F84">
        <w:rPr>
          <w:rFonts w:eastAsia="Calibri"/>
        </w:rPr>
        <w:t xml:space="preserve"> 1078</w:t>
      </w:r>
      <w:r w:rsidR="004025B0">
        <w:rPr>
          <w:rFonts w:eastAsia="Calibri"/>
        </w:rPr>
        <w:t xml:space="preserve"> of </w:t>
      </w:r>
      <w:r w:rsidR="00CC6F84">
        <w:rPr>
          <w:rFonts w:eastAsia="Calibri"/>
        </w:rPr>
        <w:t>2023,</w:t>
      </w:r>
      <w:r w:rsidR="00CC6F84">
        <w:rPr>
          <w:rStyle w:val="FootnoteReference"/>
          <w:rFonts w:eastAsia="Calibri"/>
        </w:rPr>
        <w:footnoteReference w:id="39"/>
      </w:r>
      <w:r w:rsidR="00CC6F84">
        <w:rPr>
          <w:rFonts w:eastAsia="Calibri"/>
        </w:rPr>
        <w:t xml:space="preserve"> which was prepared based on the receipt of numerous complaints from FHV drivers about the arbitrary deactivation of FHV drivers. This is in line with news reporting </w:t>
      </w:r>
      <w:r w:rsidR="00B40BA8">
        <w:rPr>
          <w:rFonts w:eastAsia="Calibri"/>
        </w:rPr>
        <w:t xml:space="preserve">around the time </w:t>
      </w:r>
      <w:r w:rsidR="00B40BA8">
        <w:rPr>
          <w:rFonts w:eastAsia="Calibri"/>
        </w:rPr>
        <w:lastRenderedPageBreak/>
        <w:t xml:space="preserve">of Int. 1078 and the years leading up to it </w:t>
      </w:r>
      <w:r w:rsidR="00CC6F84">
        <w:rPr>
          <w:rFonts w:eastAsia="Calibri"/>
        </w:rPr>
        <w:t xml:space="preserve">of customers lodging false complaints against drivers in order to secure a refund </w:t>
      </w:r>
      <w:r w:rsidR="00B40BA8">
        <w:rPr>
          <w:rFonts w:eastAsia="Calibri"/>
        </w:rPr>
        <w:t>for</w:t>
      </w:r>
      <w:r w:rsidR="00CC6F84">
        <w:rPr>
          <w:rFonts w:eastAsia="Calibri"/>
        </w:rPr>
        <w:t xml:space="preserve"> their trip.</w:t>
      </w:r>
      <w:r w:rsidR="00CC6F84">
        <w:rPr>
          <w:rStyle w:val="FootnoteReference"/>
          <w:rFonts w:eastAsia="Calibri"/>
        </w:rPr>
        <w:footnoteReference w:id="40"/>
      </w:r>
      <w:r w:rsidR="002D6A11">
        <w:rPr>
          <w:rFonts w:eastAsia="Calibri"/>
        </w:rPr>
        <w:t xml:space="preserve"> </w:t>
      </w:r>
      <w:r w:rsidR="00997D0B">
        <w:rPr>
          <w:rFonts w:eastAsia="Calibri"/>
        </w:rPr>
        <w:t>Given that FHV drivers could lose their livelihood based upon a false complaint, motivated by either a passenger’s financial incentive</w:t>
      </w:r>
      <w:r w:rsidR="00997D0B">
        <w:rPr>
          <w:rStyle w:val="FootnoteReference"/>
          <w:rFonts w:eastAsia="Calibri"/>
        </w:rPr>
        <w:footnoteReference w:id="41"/>
      </w:r>
      <w:r w:rsidR="00997D0B">
        <w:rPr>
          <w:rFonts w:eastAsia="Calibri"/>
        </w:rPr>
        <w:t xml:space="preserve"> or racial animus</w:t>
      </w:r>
      <w:r w:rsidR="00997D0B">
        <w:rPr>
          <w:rStyle w:val="FootnoteReference"/>
          <w:rFonts w:eastAsia="Calibri"/>
        </w:rPr>
        <w:footnoteReference w:id="42"/>
      </w:r>
      <w:r w:rsidR="00997D0B">
        <w:rPr>
          <w:rFonts w:eastAsia="Calibri"/>
        </w:rPr>
        <w:t xml:space="preserve"> against the predominantly immigrant and racial minority FHV drivers</w:t>
      </w:r>
      <w:r w:rsidR="00451582">
        <w:rPr>
          <w:rFonts w:eastAsia="Calibri"/>
        </w:rPr>
        <w:t>,</w:t>
      </w:r>
      <w:r w:rsidR="00997D0B">
        <w:rPr>
          <w:rStyle w:val="FootnoteReference"/>
        </w:rPr>
        <w:footnoteReference w:id="43"/>
      </w:r>
      <w:r w:rsidR="00997D0B">
        <w:rPr>
          <w:rFonts w:eastAsia="Calibri"/>
        </w:rPr>
        <w:t xml:space="preserve"> Int</w:t>
      </w:r>
      <w:r w:rsidR="004025B0">
        <w:rPr>
          <w:rFonts w:eastAsia="Calibri"/>
        </w:rPr>
        <w:t>. No.</w:t>
      </w:r>
      <w:r w:rsidR="00997D0B">
        <w:rPr>
          <w:rFonts w:eastAsia="Calibri"/>
        </w:rPr>
        <w:t xml:space="preserve"> 1078, and its successor, Int</w:t>
      </w:r>
      <w:r w:rsidR="004025B0">
        <w:rPr>
          <w:rFonts w:eastAsia="Calibri"/>
        </w:rPr>
        <w:t>. No.</w:t>
      </w:r>
      <w:r w:rsidR="00997D0B">
        <w:rPr>
          <w:rFonts w:eastAsia="Calibri"/>
        </w:rPr>
        <w:t xml:space="preserve"> 276, </w:t>
      </w:r>
      <w:r w:rsidR="004D3BC0">
        <w:rPr>
          <w:rFonts w:eastAsia="Calibri"/>
        </w:rPr>
        <w:t>were</w:t>
      </w:r>
      <w:r w:rsidR="00997D0B">
        <w:rPr>
          <w:rFonts w:eastAsia="Calibri"/>
        </w:rPr>
        <w:t xml:space="preserve"> </w:t>
      </w:r>
      <w:r w:rsidR="004025B0">
        <w:rPr>
          <w:rFonts w:eastAsia="Calibri"/>
        </w:rPr>
        <w:t>introduced</w:t>
      </w:r>
      <w:r w:rsidR="004D3BC0">
        <w:rPr>
          <w:rFonts w:eastAsia="Calibri"/>
        </w:rPr>
        <w:t xml:space="preserve"> </w:t>
      </w:r>
      <w:r w:rsidR="00A223DE">
        <w:rPr>
          <w:rFonts w:eastAsia="Calibri"/>
        </w:rPr>
        <w:t xml:space="preserve">in an attempt </w:t>
      </w:r>
      <w:r w:rsidR="004D3BC0">
        <w:rPr>
          <w:rFonts w:eastAsia="Calibri"/>
        </w:rPr>
        <w:t xml:space="preserve">to </w:t>
      </w:r>
      <w:r w:rsidR="00451582">
        <w:rPr>
          <w:rFonts w:eastAsia="Calibri"/>
        </w:rPr>
        <w:t xml:space="preserve">address this problem by requiring just cause or a bona fide economic reason before an FHV driver could be deactivated, requiring notice to the driver prior to deactivation (except in cases where immediate deactivation </w:t>
      </w:r>
      <w:r w:rsidR="00CD0DAF">
        <w:rPr>
          <w:rFonts w:eastAsia="Calibri"/>
        </w:rPr>
        <w:t>w</w:t>
      </w:r>
      <w:r w:rsidR="00451582">
        <w:rPr>
          <w:rFonts w:eastAsia="Calibri"/>
        </w:rPr>
        <w:t xml:space="preserve">as warranted), and requiring a meaningful process through which the FHV driver could challenge their deactivation. </w:t>
      </w:r>
      <w:r w:rsidR="004D3BC0">
        <w:rPr>
          <w:rFonts w:eastAsia="Calibri"/>
        </w:rPr>
        <w:t>The bill also provides a ‘look-back’ provision to provide relief to FHV drivers who were previously subject to wrongful deactivations, and set guardrails when deactivations have to be made for bona fide economic reasons to ensure that the deactivations made during those periods</w:t>
      </w:r>
      <w:r w:rsidR="00451582">
        <w:rPr>
          <w:rFonts w:eastAsia="Calibri"/>
        </w:rPr>
        <w:t xml:space="preserve"> are not arbitrary.</w:t>
      </w:r>
    </w:p>
    <w:p w14:paraId="193ABE91" w14:textId="305994B5" w:rsidR="009176E8" w:rsidRPr="00BA704B" w:rsidRDefault="009176E8" w:rsidP="00BA704B">
      <w:pPr>
        <w:spacing w:line="480" w:lineRule="auto"/>
        <w:jc w:val="both"/>
        <w:rPr>
          <w:rFonts w:eastAsia="Calibri"/>
          <w:i/>
          <w:iCs/>
        </w:rPr>
      </w:pPr>
      <w:r w:rsidRPr="00BA704B">
        <w:rPr>
          <w:rFonts w:eastAsia="Calibri"/>
          <w:i/>
          <w:iCs/>
        </w:rPr>
        <w:t>Concerns from Service Providers</w:t>
      </w:r>
    </w:p>
    <w:p w14:paraId="5633055A" w14:textId="074E0AF6" w:rsidR="008E7E57" w:rsidRDefault="00CF7804" w:rsidP="00CF7804">
      <w:pPr>
        <w:spacing w:line="480" w:lineRule="auto"/>
        <w:ind w:firstLine="720"/>
        <w:jc w:val="both"/>
      </w:pPr>
      <w:bookmarkStart w:id="0" w:name="_Hlk216796000"/>
      <w:r>
        <w:t xml:space="preserve">When Int. </w:t>
      </w:r>
      <w:r w:rsidR="00DB09BC">
        <w:t xml:space="preserve">No. </w:t>
      </w:r>
      <w:r>
        <w:t xml:space="preserve">276 was heard on September 27, 2024, both FHV services testified in opposition to the bill. Lyft stated that a 15-day notice requirement for </w:t>
      </w:r>
      <w:r>
        <w:rPr>
          <w:i/>
        </w:rPr>
        <w:t>all</w:t>
      </w:r>
      <w:r>
        <w:t xml:space="preserve"> deactivations would “create serious safety hazards for users of the Lyft platform and the public as a whole,” and “would </w:t>
      </w:r>
      <w:r>
        <w:lastRenderedPageBreak/>
        <w:t>make it impossible for Lyft to comply with conflicting regulations that call for drivers to be deactivated immediately.”</w:t>
      </w:r>
      <w:r>
        <w:rPr>
          <w:rStyle w:val="FootnoteReference"/>
        </w:rPr>
        <w:footnoteReference w:id="44"/>
      </w:r>
      <w:r w:rsidR="00451582">
        <w:t xml:space="preserve"> Lyft </w:t>
      </w:r>
      <w:r w:rsidR="00DB09BC">
        <w:t xml:space="preserve">additionally </w:t>
      </w:r>
      <w:r w:rsidR="00451582">
        <w:t xml:space="preserve">had concerns that the bill would require </w:t>
      </w:r>
      <w:r w:rsidR="008E7E57">
        <w:t xml:space="preserve">that victims be forced to relive traumatic events, and raise privacy concerns if the Department of Worker and Consumer Protection </w:t>
      </w:r>
      <w:r w:rsidR="000025B9" w:rsidRPr="000025B9">
        <w:t>(“DCWP”)</w:t>
      </w:r>
      <w:r w:rsidR="000025B9">
        <w:t xml:space="preserve"> </w:t>
      </w:r>
      <w:r w:rsidR="008E7E57">
        <w:t>were permitted to investigate complaints.</w:t>
      </w:r>
      <w:r w:rsidR="008E7E57">
        <w:rPr>
          <w:rStyle w:val="FootnoteReference"/>
        </w:rPr>
        <w:footnoteReference w:id="45"/>
      </w:r>
      <w:r w:rsidR="008E7E57">
        <w:t xml:space="preserve"> </w:t>
      </w:r>
      <w:r>
        <w:t>In addition, Lyft testified that the bill failed to take into account existing deactivation processes already set in place, including through Lyft’s partnership with IDG.</w:t>
      </w:r>
      <w:r>
        <w:rPr>
          <w:rStyle w:val="FootnoteReference"/>
        </w:rPr>
        <w:footnoteReference w:id="46"/>
      </w:r>
      <w:r>
        <w:t xml:space="preserve"> </w:t>
      </w:r>
    </w:p>
    <w:p w14:paraId="0EC1DDDA" w14:textId="5388996A" w:rsidR="00CF7804" w:rsidRDefault="00CF7804" w:rsidP="008E7E57">
      <w:pPr>
        <w:spacing w:line="480" w:lineRule="auto"/>
        <w:ind w:firstLine="720"/>
        <w:jc w:val="both"/>
      </w:pPr>
      <w:r>
        <w:t>Uber</w:t>
      </w:r>
      <w:r w:rsidR="008E7E57">
        <w:t xml:space="preserve"> requested that </w:t>
      </w:r>
      <w:r w:rsidR="001D74DE">
        <w:t>TLC</w:t>
      </w:r>
      <w:r w:rsidR="008E7E57">
        <w:t xml:space="preserve">, not </w:t>
      </w:r>
      <w:r w:rsidR="00570F0E">
        <w:t>DCWP</w:t>
      </w:r>
      <w:r w:rsidR="008E7E57">
        <w:t>, be responsible for overseeing the process set out in</w:t>
      </w:r>
      <w:r w:rsidR="000025B9">
        <w:t xml:space="preserve"> Int. No. 276</w:t>
      </w:r>
      <w:r w:rsidR="008E7E57">
        <w:t>, and that th</w:t>
      </w:r>
      <w:r w:rsidR="000025B9">
        <w:t>e</w:t>
      </w:r>
      <w:r w:rsidR="008E7E57">
        <w:t xml:space="preserve"> bill apply equally to all </w:t>
      </w:r>
      <w:r w:rsidR="002D2D7A">
        <w:t>FHV</w:t>
      </w:r>
      <w:r w:rsidR="008E7E57">
        <w:t xml:space="preserve"> bases and medallion operators.</w:t>
      </w:r>
      <w:r w:rsidR="008E7E57">
        <w:rPr>
          <w:rStyle w:val="FootnoteReference"/>
        </w:rPr>
        <w:footnoteReference w:id="47"/>
      </w:r>
      <w:r w:rsidR="008E7E57">
        <w:t xml:space="preserve"> Uber requested that the bill</w:t>
      </w:r>
      <w:r>
        <w:t xml:space="preserve"> should be revised to only apply to long-term deactivations (30 days or longer), and exclude deactivations caused by regulatory compliance issues.</w:t>
      </w:r>
      <w:r>
        <w:rPr>
          <w:rStyle w:val="FootnoteReference"/>
        </w:rPr>
        <w:footnoteReference w:id="48"/>
      </w:r>
      <w:r>
        <w:t xml:space="preserve"> </w:t>
      </w:r>
      <w:r w:rsidR="008E7E57">
        <w:t xml:space="preserve">Uber requested that the term </w:t>
      </w:r>
      <w:r w:rsidR="002D2D7A">
        <w:t>“</w:t>
      </w:r>
      <w:r w:rsidR="008E7E57">
        <w:t>egregious misconduct</w:t>
      </w:r>
      <w:r w:rsidR="002D2D7A">
        <w:t>”</w:t>
      </w:r>
      <w:r w:rsidR="008E7E57">
        <w:t xml:space="preserve"> be defined to include “conduct that endangers the physical safety of others, intentionally causes economic harm, or is physically or verbally threatening, harassing, or abusive,”</w:t>
      </w:r>
      <w:r w:rsidR="008320FD">
        <w:t xml:space="preserve"> allow for discretionary decision</w:t>
      </w:r>
      <w:r w:rsidR="00FA0D77">
        <w:t>-</w:t>
      </w:r>
      <w:r w:rsidR="008320FD">
        <w:t xml:space="preserve">making outside of the specifically defined categories of conduct, </w:t>
      </w:r>
      <w:r w:rsidR="008E7E57">
        <w:t>and cover conduct even when the driver is not providing driving services for the FHV service.</w:t>
      </w:r>
      <w:r w:rsidR="008E7E57">
        <w:rPr>
          <w:rStyle w:val="FootnoteReference"/>
        </w:rPr>
        <w:footnoteReference w:id="49"/>
      </w:r>
      <w:r w:rsidR="008E7E57">
        <w:t xml:space="preserve"> </w:t>
      </w:r>
      <w:r>
        <w:t xml:space="preserve">Uber </w:t>
      </w:r>
      <w:r w:rsidR="008E7E57">
        <w:t xml:space="preserve">additionally </w:t>
      </w:r>
      <w:r>
        <w:t xml:space="preserve">requested that the pre-deactivation notice period be reduced to 3 days </w:t>
      </w:r>
      <w:r>
        <w:lastRenderedPageBreak/>
        <w:t>because “[a]llowing drivers who have violated Uber’s Platform Access Agreement or Community Guidelines to remain on the platform during a notice period may jeopardize the safety of other users.”</w:t>
      </w:r>
      <w:r>
        <w:rPr>
          <w:rStyle w:val="FootnoteReference"/>
        </w:rPr>
        <w:footnoteReference w:id="50"/>
      </w:r>
      <w:r>
        <w:t xml:space="preserve"> Uber also testified about the success of their Driver Review Center and partnership with IDG. </w:t>
      </w:r>
    </w:p>
    <w:bookmarkEnd w:id="0"/>
    <w:p w14:paraId="7CBD418B" w14:textId="2F9626C5" w:rsidR="00FE0575" w:rsidRDefault="00CF7804" w:rsidP="009176E8">
      <w:pPr>
        <w:spacing w:line="480" w:lineRule="auto"/>
        <w:ind w:firstLine="720"/>
        <w:jc w:val="both"/>
      </w:pPr>
      <w:r>
        <w:t xml:space="preserve">Between September 27, </w:t>
      </w:r>
      <w:r w:rsidR="00545082">
        <w:t>2024,</w:t>
      </w:r>
      <w:r>
        <w:t xml:space="preserve"> through December 10, 2025, committee staff further engaged with the FHV services, as well as organizations representing various vulnerable passenger populations, to discuss their concerns about Int. </w:t>
      </w:r>
      <w:r w:rsidR="00B7087E">
        <w:t xml:space="preserve">No. </w:t>
      </w:r>
      <w:r>
        <w:t>276. The primary concern of the organizations representing vulnerable passenger populations</w:t>
      </w:r>
      <w:r w:rsidR="00E20F14">
        <w:t xml:space="preserve"> </w:t>
      </w:r>
      <w:r>
        <w:t xml:space="preserve">was that although the bill already permitted immediate deactivation of drivers who engaged in “egregious misconduct,” that term was not defined. The FHV services </w:t>
      </w:r>
      <w:r w:rsidR="004A7D57">
        <w:t xml:space="preserve">also continued to request </w:t>
      </w:r>
      <w:r>
        <w:t xml:space="preserve">that </w:t>
      </w:r>
      <w:r w:rsidR="00CB3E59">
        <w:t>“</w:t>
      </w:r>
      <w:r>
        <w:t>egregious misconduct</w:t>
      </w:r>
      <w:r w:rsidR="00CB3E59">
        <w:t>”</w:t>
      </w:r>
      <w:r>
        <w:t xml:space="preserve"> be defined using specific categories of wrongdoing in order to enable them to easily determine whether a driver’s conduct qualified as egregious misconduct</w:t>
      </w:r>
      <w:r w:rsidR="009176E8">
        <w:t>,</w:t>
      </w:r>
      <w:r>
        <w:t xml:space="preserve"> and therefore could be immediately deactivated pursuant to the bill. </w:t>
      </w:r>
    </w:p>
    <w:p w14:paraId="627F81B8" w14:textId="50A05393" w:rsidR="00BA704B" w:rsidRDefault="00CF7804" w:rsidP="00E20F14">
      <w:pPr>
        <w:keepNext/>
        <w:spacing w:line="480" w:lineRule="auto"/>
        <w:ind w:firstLine="720"/>
        <w:jc w:val="both"/>
      </w:pPr>
      <w:r>
        <w:t>As a result of these conversations</w:t>
      </w:r>
      <w:r w:rsidR="004A7D57">
        <w:t xml:space="preserve"> and in consideration of the public testimony of the FHV services</w:t>
      </w:r>
      <w:r>
        <w:t xml:space="preserve">, the bill was amended to define </w:t>
      </w:r>
      <w:r w:rsidR="00880860">
        <w:t>“</w:t>
      </w:r>
      <w:r>
        <w:t>egregious misconduct</w:t>
      </w:r>
      <w:r w:rsidR="00880860">
        <w:t>”</w:t>
      </w:r>
      <w:r>
        <w:t xml:space="preserve"> as any “conduct that poses an imminent danger to other persons, including but not limited to violence, threats to engage in violence, sexual harassment, or sexual assault” as well as “discrimination in violation of federal, state, or local law,” and both account sharing and repeated fraudulent behavior were added to the list of conduct that excuses the FHV service from providing 14 days’ notice prior to deactivation. </w:t>
      </w:r>
      <w:r w:rsidR="004015FA">
        <w:t>As Uber requested, the term is</w:t>
      </w:r>
      <w:r w:rsidR="004A7D57">
        <w:t xml:space="preserve"> broadly</w:t>
      </w:r>
      <w:r w:rsidR="004015FA">
        <w:t xml:space="preserve"> defined </w:t>
      </w:r>
      <w:r w:rsidR="004A7D57">
        <w:t xml:space="preserve">so as </w:t>
      </w:r>
      <w:r w:rsidR="004015FA">
        <w:t xml:space="preserve">to include conduct </w:t>
      </w:r>
      <w:r w:rsidR="004A7D57">
        <w:t xml:space="preserve">that occurs outside of the </w:t>
      </w:r>
      <w:r w:rsidR="004A7D57">
        <w:lastRenderedPageBreak/>
        <w:t>FHV driver’s performance of driving services for the FHV service</w:t>
      </w:r>
      <w:r w:rsidR="004015FA">
        <w:t xml:space="preserve">. </w:t>
      </w:r>
      <w:r w:rsidR="00E20F14">
        <w:t xml:space="preserve">The umbrella definition of “conduct that poses an imminent danger to other persons” was chosen over Uber’s suggestion of conduct that endangers others because </w:t>
      </w:r>
      <w:r w:rsidR="00AA0A57">
        <w:t>Uber’s preferred</w:t>
      </w:r>
      <w:r w:rsidR="00E20F14">
        <w:t xml:space="preserve"> definition would be over-inclusive and could include behavior such as the failure to properly signal a turn that, although it arguably endangers others, does not rise to the level of wrongdoing contemplated by the term “egregious misconduct.” </w:t>
      </w:r>
      <w:r>
        <w:t xml:space="preserve">In addition, deactivations required by law were excluded from the prohibition against wrongful deactivations </w:t>
      </w:r>
      <w:r w:rsidR="00E20F14">
        <w:t>to address both FHV services’ concerns about regulatory compliance</w:t>
      </w:r>
      <w:r w:rsidR="00880860">
        <w:t>,</w:t>
      </w:r>
      <w:r>
        <w:t xml:space="preserve"> meaning that an FHV service could immediately deactivate a driver without consequence if </w:t>
      </w:r>
      <w:r w:rsidR="00880860">
        <w:t>TLC</w:t>
      </w:r>
      <w:r>
        <w:t xml:space="preserve"> rules, or any relevant law, required that result</w:t>
      </w:r>
      <w:r w:rsidR="00BA704B">
        <w:t>.</w:t>
      </w:r>
    </w:p>
    <w:p w14:paraId="196D38BC" w14:textId="75E4B84E" w:rsidR="00E20F14" w:rsidRDefault="00E20F14" w:rsidP="00E20F14">
      <w:pPr>
        <w:keepNext/>
        <w:spacing w:line="480" w:lineRule="auto"/>
        <w:ind w:firstLine="720"/>
        <w:jc w:val="both"/>
      </w:pPr>
      <w:r w:rsidRPr="00E20F14">
        <w:t xml:space="preserve">The FHV services’ concerns about the bill’s interaction with their existing appeals process and their relationship with IDG was addressed by removing the </w:t>
      </w:r>
      <w:r w:rsidR="00C41F6F">
        <w:t>DCWP</w:t>
      </w:r>
      <w:r w:rsidRPr="00E20F14">
        <w:t>-run arbitration process and instead relying on an “informal resolution process” initiated with the FHV services through an “email address, website, or other form of electronic communication maintained by [the FHV service</w:t>
      </w:r>
      <w:r w:rsidR="00C41F6F">
        <w:t>]</w:t>
      </w:r>
      <w:r w:rsidRPr="00E20F14">
        <w:t>,” and allowing the driver to be represented throughout this process (and during the DCWP investigation, if there is one).</w:t>
      </w:r>
    </w:p>
    <w:p w14:paraId="3EA4EDEA" w14:textId="398BA2D6" w:rsidR="00FD2ED0" w:rsidRDefault="00FD2ED0" w:rsidP="00FD2ED0">
      <w:pPr>
        <w:keepNext/>
        <w:spacing w:line="480" w:lineRule="auto"/>
        <w:ind w:firstLine="720"/>
        <w:jc w:val="both"/>
      </w:pPr>
      <w:r>
        <w:t>In addition to these amendments to address the primary concerns of the FHV services (</w:t>
      </w:r>
      <w:r w:rsidR="00093D9C">
        <w:t xml:space="preserve">permitting the immediate deactivation of drivers who engage in </w:t>
      </w:r>
      <w:r>
        <w:t xml:space="preserve">egregious misconduct, and </w:t>
      </w:r>
      <w:r w:rsidR="00093D9C">
        <w:t xml:space="preserve">integrating the bill’s process </w:t>
      </w:r>
      <w:r>
        <w:t xml:space="preserve">with </w:t>
      </w:r>
      <w:r w:rsidR="00093D9C">
        <w:t xml:space="preserve">the FHV services’ </w:t>
      </w:r>
      <w:r>
        <w:t>existing processes), the discussions with the FHV services also yielded other amendments to ease the FHV services’ compliance burden. The bill was amended to narrow the data required to be produced to the driver upon deactivation and personally identifiable information was required to be redacted</w:t>
      </w:r>
      <w:r w:rsidR="00C41F6F">
        <w:t>;</w:t>
      </w:r>
      <w:r>
        <w:t xml:space="preserve"> the definition of </w:t>
      </w:r>
      <w:r w:rsidR="00C41F6F">
        <w:t>“</w:t>
      </w:r>
      <w:r>
        <w:t>deactivation</w:t>
      </w:r>
      <w:r w:rsidR="00C41F6F">
        <w:t>”</w:t>
      </w:r>
      <w:r>
        <w:t xml:space="preserve"> </w:t>
      </w:r>
      <w:r>
        <w:lastRenderedPageBreak/>
        <w:t>was amended to provide additional flexibility for temporary restrictions of access (up to 168 hours a year)</w:t>
      </w:r>
      <w:r w:rsidR="00C41F6F">
        <w:t>;</w:t>
      </w:r>
      <w:r>
        <w:t xml:space="preserve"> and language concerning the consideration of exculpatory evidence was added at the request of the FHV services. </w:t>
      </w:r>
    </w:p>
    <w:p w14:paraId="199EF762" w14:textId="010C2F02" w:rsidR="00E20F14" w:rsidRDefault="00876F0C" w:rsidP="00E20F14">
      <w:pPr>
        <w:keepNext/>
        <w:spacing w:line="480" w:lineRule="auto"/>
        <w:ind w:firstLine="720"/>
        <w:jc w:val="both"/>
      </w:pPr>
      <w:r>
        <w:t>However,</w:t>
      </w:r>
      <w:r w:rsidR="0035330D">
        <w:t xml:space="preserve"> several requests made by the FHV services during their public testimony could not be accommodated. </w:t>
      </w:r>
      <w:r w:rsidR="00E20F14">
        <w:t xml:space="preserve">Uber’s request that TLC, not DCWP, be responsible for the oversight contemplated by this bill was rejected based on discussions with the agencies themselves, which both believed DCWP to be the agency better suited for this task. Uber’s request that this bill be extended to all FHV bases was rejected because the balance struck by this bill would best fall only on </w:t>
      </w:r>
      <w:r w:rsidR="00406875">
        <w:t xml:space="preserve">entities defined by TLC rules as high-volume for-hire vehicle services </w:t>
      </w:r>
      <w:r w:rsidR="00E20F14">
        <w:t>as opposed to every single FHV or medallion operator regardless of size. Uber’s request that the bill only concern long-term deactivations could not be addressed because of the potential for abuse if the FHV services were to string together a sequence of ‘temporary’ deactivations separated by brief moments of re-activation to fall outside of the definition of a ‘long-term’ or ‘permanent’ deactivation; however the bill was amended to afford the FHV services greater flexibility, allowing for up to 168 hours of temporary deactivation a year to conduct investigations or for any other reasons. Lyft’s concerns about passenger privacy was partially addressed by requiring the redaction of passenger personally identifiable information, but could not be totally addressed because, in the interests of due process, it may be required that the driver be provided information about the specific allegation giving rise to their deactivation (including when and where the driver allegedly engaged in the misconduct).</w:t>
      </w:r>
    </w:p>
    <w:p w14:paraId="46AB0113" w14:textId="4394B620" w:rsidR="004015FA" w:rsidRDefault="0035330D" w:rsidP="00E20F14">
      <w:pPr>
        <w:keepNext/>
        <w:spacing w:line="480" w:lineRule="auto"/>
        <w:ind w:firstLine="720"/>
        <w:jc w:val="both"/>
      </w:pPr>
      <w:r>
        <w:t xml:space="preserve">Outside of their public testimony, the FHV services and other stakeholders made additional requests for amendments that could not be accommodated. </w:t>
      </w:r>
      <w:r w:rsidR="006B3E68">
        <w:t xml:space="preserve">Some </w:t>
      </w:r>
      <w:r>
        <w:t xml:space="preserve">requests </w:t>
      </w:r>
      <w:r w:rsidR="004015FA">
        <w:t xml:space="preserve">ran counter to the goals </w:t>
      </w:r>
      <w:r w:rsidR="004015FA">
        <w:lastRenderedPageBreak/>
        <w:t>of the bill (</w:t>
      </w:r>
      <w:r w:rsidR="006B3E68" w:rsidRPr="00BA704B">
        <w:rPr>
          <w:i/>
          <w:iCs/>
        </w:rPr>
        <w:t>e.g.</w:t>
      </w:r>
      <w:r w:rsidR="006B3E68">
        <w:t xml:space="preserve">, </w:t>
      </w:r>
      <w:r w:rsidR="00FD2ED0">
        <w:t xml:space="preserve">requesting that </w:t>
      </w:r>
      <w:r w:rsidR="006B3E68">
        <w:t xml:space="preserve">drivers who challenge their deactivations and fail </w:t>
      </w:r>
      <w:r>
        <w:t xml:space="preserve">should </w:t>
      </w:r>
      <w:r w:rsidR="006B3E68">
        <w:t xml:space="preserve">be </w:t>
      </w:r>
      <w:r>
        <w:t>subject to civil penalties</w:t>
      </w:r>
      <w:r w:rsidR="006B3E68">
        <w:t>), or disrupted the careful balance struck by the bill (</w:t>
      </w:r>
      <w:r w:rsidR="00FD2ED0">
        <w:t>requesting a standard more deferential to the FHV services when defending a deactivation than preponderance of the evidence)</w:t>
      </w:r>
      <w:r w:rsidR="006B3E68">
        <w:t xml:space="preserve">. </w:t>
      </w:r>
      <w:r w:rsidR="00137212">
        <w:t>T</w:t>
      </w:r>
      <w:r w:rsidR="006B3E68">
        <w:t xml:space="preserve">he FHV services frequently requested amendments that, if </w:t>
      </w:r>
      <w:r w:rsidR="00137212">
        <w:t>accommodated</w:t>
      </w:r>
      <w:r w:rsidR="006B3E68">
        <w:t xml:space="preserve">, would swallow the bill whole, </w:t>
      </w:r>
      <w:r w:rsidR="006B3E68" w:rsidRPr="00BA704B">
        <w:rPr>
          <w:i/>
          <w:iCs/>
        </w:rPr>
        <w:t>e.g.</w:t>
      </w:r>
      <w:r w:rsidR="006B3E68">
        <w:t xml:space="preserve">, </w:t>
      </w:r>
      <w:r>
        <w:t>permitting any deactivation based on a ground set forth in the terms of service (which could permit deactivations for any reason)</w:t>
      </w:r>
      <w:r w:rsidR="006538D1">
        <w:t>;</w:t>
      </w:r>
      <w:r>
        <w:t xml:space="preserve"> </w:t>
      </w:r>
      <w:r w:rsidR="006B3E68">
        <w:t xml:space="preserve">allowing any violation of the FHV services’ anti-discrimination policy to qualify as egregious misconduct (with no guardrails on what that policy might </w:t>
      </w:r>
      <w:r>
        <w:t>say</w:t>
      </w:r>
      <w:r w:rsidR="006B3E68">
        <w:t>)</w:t>
      </w:r>
      <w:r w:rsidR="006538D1">
        <w:t>;</w:t>
      </w:r>
      <w:r w:rsidR="006B3E68">
        <w:t xml:space="preserve"> allowing the </w:t>
      </w:r>
      <w:r>
        <w:t xml:space="preserve">FHV services’ </w:t>
      </w:r>
      <w:r w:rsidR="006B3E68" w:rsidRPr="00BA704B">
        <w:t>reasonable belief</w:t>
      </w:r>
      <w:r w:rsidR="006B3E68">
        <w:t xml:space="preserve"> of </w:t>
      </w:r>
      <w:r>
        <w:t xml:space="preserve">misconduct </w:t>
      </w:r>
      <w:r w:rsidR="006B3E68">
        <w:t xml:space="preserve">to qualify as just cause (which </w:t>
      </w:r>
      <w:r>
        <w:t xml:space="preserve">would permit the FHV service to keep a driver deactivated </w:t>
      </w:r>
      <w:r w:rsidR="006B3E68">
        <w:t>even in the face of a DCWP determination to the contrary)</w:t>
      </w:r>
      <w:r w:rsidR="006538D1">
        <w:t>;</w:t>
      </w:r>
      <w:r w:rsidR="006B3E68">
        <w:t xml:space="preserve"> </w:t>
      </w:r>
      <w:r w:rsidR="00FD2ED0">
        <w:t xml:space="preserve">or permitting </w:t>
      </w:r>
      <w:r w:rsidR="006B3E68">
        <w:t>any number of temporary deactivations so long as three days</w:t>
      </w:r>
      <w:r>
        <w:t>’</w:t>
      </w:r>
      <w:r w:rsidR="006B3E68">
        <w:t xml:space="preserve"> notice is provided (allowing the FHV services to constructively permanently deactivate an FHV driver so long as notice is continuously provided), etc. </w:t>
      </w:r>
    </w:p>
    <w:p w14:paraId="7EBA3CE6" w14:textId="77777777" w:rsidR="00DE28FD" w:rsidRDefault="00DE28FD" w:rsidP="00A43025">
      <w:pPr>
        <w:spacing w:line="480" w:lineRule="auto"/>
        <w:jc w:val="both"/>
        <w:rPr>
          <w:rFonts w:eastAsiaTheme="minorHAnsi"/>
          <w:b/>
          <w:i/>
          <w:color w:val="000000"/>
        </w:rPr>
      </w:pPr>
    </w:p>
    <w:p w14:paraId="244BA1CB" w14:textId="77777777" w:rsidR="005076FD" w:rsidRDefault="005076FD" w:rsidP="00A43025">
      <w:pPr>
        <w:spacing w:line="480" w:lineRule="auto"/>
        <w:jc w:val="both"/>
        <w:rPr>
          <w:b/>
          <w:bCs/>
          <w:color w:val="000000" w:themeColor="text1"/>
          <w:u w:val="single"/>
        </w:rPr>
      </w:pPr>
    </w:p>
    <w:p w14:paraId="42BD2A81" w14:textId="77777777" w:rsidR="005076FD" w:rsidRDefault="005076FD" w:rsidP="00A43025">
      <w:pPr>
        <w:spacing w:line="480" w:lineRule="auto"/>
        <w:jc w:val="both"/>
        <w:rPr>
          <w:b/>
          <w:bCs/>
          <w:color w:val="000000" w:themeColor="text1"/>
          <w:u w:val="single"/>
        </w:rPr>
      </w:pPr>
    </w:p>
    <w:p w14:paraId="0B470782" w14:textId="77777777" w:rsidR="005076FD" w:rsidRDefault="005076FD" w:rsidP="00A43025">
      <w:pPr>
        <w:spacing w:line="480" w:lineRule="auto"/>
        <w:jc w:val="both"/>
        <w:rPr>
          <w:b/>
          <w:bCs/>
          <w:color w:val="000000" w:themeColor="text1"/>
          <w:u w:val="single"/>
        </w:rPr>
      </w:pPr>
    </w:p>
    <w:p w14:paraId="72F45D65" w14:textId="77777777" w:rsidR="005076FD" w:rsidRDefault="005076FD" w:rsidP="00A43025">
      <w:pPr>
        <w:spacing w:line="480" w:lineRule="auto"/>
        <w:jc w:val="both"/>
        <w:rPr>
          <w:b/>
          <w:bCs/>
          <w:color w:val="000000" w:themeColor="text1"/>
          <w:u w:val="single"/>
        </w:rPr>
      </w:pPr>
    </w:p>
    <w:p w14:paraId="46850185" w14:textId="77777777" w:rsidR="005076FD" w:rsidRDefault="005076FD" w:rsidP="00A43025">
      <w:pPr>
        <w:spacing w:line="480" w:lineRule="auto"/>
        <w:jc w:val="both"/>
        <w:rPr>
          <w:b/>
          <w:bCs/>
          <w:color w:val="000000" w:themeColor="text1"/>
          <w:u w:val="single"/>
        </w:rPr>
      </w:pPr>
    </w:p>
    <w:p w14:paraId="0EC5CDB7" w14:textId="77777777" w:rsidR="005076FD" w:rsidRDefault="005076FD" w:rsidP="00A43025">
      <w:pPr>
        <w:spacing w:line="480" w:lineRule="auto"/>
        <w:jc w:val="both"/>
        <w:rPr>
          <w:b/>
          <w:bCs/>
          <w:color w:val="000000" w:themeColor="text1"/>
          <w:u w:val="single"/>
        </w:rPr>
      </w:pPr>
    </w:p>
    <w:p w14:paraId="48FC8E35" w14:textId="77777777" w:rsidR="00913E80" w:rsidRDefault="00913E80" w:rsidP="00A43025">
      <w:pPr>
        <w:spacing w:line="480" w:lineRule="auto"/>
        <w:jc w:val="both"/>
        <w:rPr>
          <w:b/>
          <w:bCs/>
          <w:color w:val="000000" w:themeColor="text1"/>
          <w:u w:val="single"/>
        </w:rPr>
      </w:pPr>
    </w:p>
    <w:p w14:paraId="6F966E8D" w14:textId="77777777" w:rsidR="00E0195B" w:rsidRDefault="00E0195B" w:rsidP="00A43025">
      <w:pPr>
        <w:spacing w:line="480" w:lineRule="auto"/>
        <w:jc w:val="both"/>
        <w:rPr>
          <w:b/>
          <w:bCs/>
          <w:color w:val="000000" w:themeColor="text1"/>
          <w:u w:val="single"/>
        </w:rPr>
      </w:pPr>
    </w:p>
    <w:p w14:paraId="5B47760A" w14:textId="3DF3B1E6" w:rsidR="00A43025" w:rsidRPr="005471CF" w:rsidRDefault="38F90064" w:rsidP="00A43025">
      <w:pPr>
        <w:spacing w:line="480" w:lineRule="auto"/>
        <w:jc w:val="both"/>
        <w:rPr>
          <w:b/>
          <w:color w:val="000000"/>
          <w:u w:val="single"/>
        </w:rPr>
      </w:pPr>
      <w:r w:rsidRPr="7D735AE3">
        <w:rPr>
          <w:b/>
          <w:bCs/>
          <w:color w:val="000000" w:themeColor="text1"/>
          <w:u w:val="single"/>
        </w:rPr>
        <w:lastRenderedPageBreak/>
        <w:t>LEGISLATIVE ANALYSIS</w:t>
      </w:r>
    </w:p>
    <w:p w14:paraId="13D32E60" w14:textId="1A46DBD8" w:rsidR="009A0DAE" w:rsidRDefault="00B5993C" w:rsidP="009E682A">
      <w:pPr>
        <w:spacing w:line="480" w:lineRule="auto"/>
        <w:ind w:firstLine="720"/>
        <w:jc w:val="both"/>
        <w:rPr>
          <w:rFonts w:eastAsia="Calibri"/>
          <w:b/>
          <w:bCs/>
        </w:rPr>
      </w:pPr>
      <w:r w:rsidRPr="7D735AE3">
        <w:t>Below</w:t>
      </w:r>
      <w:r w:rsidR="00DF0222">
        <w:t xml:space="preserve"> </w:t>
      </w:r>
      <w:r w:rsidR="00DE28FD">
        <w:t>is a</w:t>
      </w:r>
      <w:r w:rsidRPr="7D735AE3">
        <w:t xml:space="preserve"> brief summar</w:t>
      </w:r>
      <w:r w:rsidR="00DE28FD">
        <w:t>y</w:t>
      </w:r>
      <w:r w:rsidRPr="7D735AE3">
        <w:t xml:space="preserve"> of the legislation being </w:t>
      </w:r>
      <w:r w:rsidR="00DE28FD">
        <w:t>considered</w:t>
      </w:r>
      <w:r w:rsidRPr="7D735AE3">
        <w:t xml:space="preserve"> today by this Committee. </w:t>
      </w:r>
      <w:r w:rsidR="00A25CA6">
        <w:t>Th</w:t>
      </w:r>
      <w:r w:rsidR="00DE28FD">
        <w:t>is summary is intended</w:t>
      </w:r>
      <w:r w:rsidR="00A25CA6">
        <w:t xml:space="preserve"> </w:t>
      </w:r>
      <w:r w:rsidR="00DE28FD">
        <w:t>for</w:t>
      </w:r>
      <w:r w:rsidRPr="7D735AE3">
        <w:t xml:space="preserve"> informational purposes only and do</w:t>
      </w:r>
      <w:r w:rsidR="008542E9">
        <w:t>es</w:t>
      </w:r>
      <w:r w:rsidRPr="7D735AE3">
        <w:t xml:space="preserve"> not substitute for legal counsel. For more detailed information, review the full text of the </w:t>
      </w:r>
      <w:r w:rsidR="00982AA2" w:rsidRPr="7D735AE3">
        <w:t>bil</w:t>
      </w:r>
      <w:r w:rsidR="008542E9">
        <w:t>l</w:t>
      </w:r>
      <w:r w:rsidR="005076FD">
        <w:t>,</w:t>
      </w:r>
      <w:r w:rsidR="008542E9">
        <w:t xml:space="preserve"> which is included below.</w:t>
      </w:r>
      <w:r w:rsidR="00982AA2" w:rsidRPr="7D735AE3">
        <w:t xml:space="preserve"> </w:t>
      </w:r>
    </w:p>
    <w:p w14:paraId="0445FDFE" w14:textId="08B7F232" w:rsidR="00661418" w:rsidRDefault="00D637AD" w:rsidP="00C85324">
      <w:pPr>
        <w:spacing w:after="240"/>
        <w:jc w:val="both"/>
        <w:rPr>
          <w:b/>
          <w:bCs/>
          <w:color w:val="000000"/>
          <w:shd w:val="clear" w:color="auto" w:fill="FFFFFF"/>
        </w:rPr>
      </w:pPr>
      <w:r>
        <w:rPr>
          <w:rFonts w:eastAsia="Calibri"/>
          <w:b/>
          <w:bCs/>
        </w:rPr>
        <w:t>Int. No. 276</w:t>
      </w:r>
      <w:r w:rsidR="001A7FD1">
        <w:rPr>
          <w:rFonts w:eastAsia="Calibri"/>
          <w:b/>
          <w:bCs/>
        </w:rPr>
        <w:t xml:space="preserve">-A, </w:t>
      </w:r>
      <w:r w:rsidR="001A7FD1" w:rsidRPr="00C85324">
        <w:rPr>
          <w:b/>
          <w:bCs/>
          <w:color w:val="000000"/>
          <w:shd w:val="clear" w:color="auto" w:fill="FFFFFF"/>
        </w:rPr>
        <w:t>A Local Law to amend the administrative code of the city of New York, in relation to the wrongful deactivation of high-volume for-hire vehicle drivers</w:t>
      </w:r>
    </w:p>
    <w:p w14:paraId="4FD2A0CC" w14:textId="2A91A211" w:rsidR="008912F7" w:rsidRPr="008912F7" w:rsidRDefault="00140D9E" w:rsidP="008912F7">
      <w:pPr>
        <w:spacing w:line="480" w:lineRule="auto"/>
        <w:ind w:firstLine="720"/>
        <w:jc w:val="both"/>
        <w:rPr>
          <w:rFonts w:eastAsia="Calibri"/>
        </w:rPr>
      </w:pPr>
      <w:r>
        <w:rPr>
          <w:rFonts w:eastAsia="Calibri"/>
        </w:rPr>
        <w:t>Int. No. 276-A</w:t>
      </w:r>
      <w:r w:rsidR="008912F7" w:rsidRPr="008912F7">
        <w:rPr>
          <w:rFonts w:eastAsia="Calibri"/>
        </w:rPr>
        <w:t xml:space="preserve"> would prohibit </w:t>
      </w:r>
      <w:r w:rsidR="00951A4B">
        <w:rPr>
          <w:rFonts w:eastAsia="Calibri"/>
        </w:rPr>
        <w:t>HVFHSs</w:t>
      </w:r>
      <w:r w:rsidR="008912F7" w:rsidRPr="008912F7">
        <w:rPr>
          <w:rFonts w:eastAsia="Calibri"/>
        </w:rPr>
        <w:t xml:space="preserve"> from deactivating their drivers except if there is just cause or a bona fide economic reason for the deactivation, or if the deactivation is required by law. Just cause means that the driver engaged in egregious misconduct, or other misconduct that is demonstrably and materially harmful to the business interests of the FHV services. Egregious misconduct means conduct that poses an imminent danger to other persons, including but not limited to violence, threats of violence, sexual harassment or assault, as well as discrimination in violation of the law. A bona fide economic reason means that the FHV services experienced a reduction in sales or profit.</w:t>
      </w:r>
    </w:p>
    <w:p w14:paraId="5E6F9EFB" w14:textId="77777777" w:rsidR="008912F7" w:rsidRPr="008912F7" w:rsidRDefault="008912F7" w:rsidP="008912F7">
      <w:pPr>
        <w:spacing w:line="480" w:lineRule="auto"/>
        <w:ind w:firstLine="720"/>
        <w:jc w:val="both"/>
        <w:rPr>
          <w:rFonts w:eastAsia="Calibri"/>
        </w:rPr>
      </w:pPr>
      <w:r w:rsidRPr="008912F7">
        <w:rPr>
          <w:rFonts w:eastAsia="Calibri"/>
        </w:rPr>
        <w:t>When the underlying cause for a deactivation is alleged egregious misconduct, account sharing, or fraud, the driver may be deactivated immediately. If the underlying cause is a bona fide economic reason, the driver must be provided 120 days’ notice. For all other deactivations, the driver is required to be provided 14 days’ notice of their deactivation. The notice must explain the reasons for the deactivation and provide the driver with an opportunity to submit evidence contesting the deactivation.</w:t>
      </w:r>
    </w:p>
    <w:p w14:paraId="7B32DA19" w14:textId="2876C3DD" w:rsidR="008912F7" w:rsidRPr="008912F7" w:rsidRDefault="008912F7" w:rsidP="008912F7">
      <w:pPr>
        <w:spacing w:line="480" w:lineRule="auto"/>
        <w:ind w:firstLine="720"/>
        <w:jc w:val="both"/>
        <w:rPr>
          <w:rFonts w:eastAsia="Calibri"/>
        </w:rPr>
      </w:pPr>
      <w:r w:rsidRPr="008912F7">
        <w:rPr>
          <w:rFonts w:eastAsia="Calibri"/>
        </w:rPr>
        <w:t xml:space="preserve">Upon being deactivated, the driver must be permitted to challenge the deactivation through an informal process by reaching out to the FHV service through a website, email, or other </w:t>
      </w:r>
      <w:r w:rsidRPr="008912F7">
        <w:rPr>
          <w:rFonts w:eastAsia="Calibri"/>
        </w:rPr>
        <w:lastRenderedPageBreak/>
        <w:t xml:space="preserve">electronic means. The driver may be represented as part of this process. The driver may also request that </w:t>
      </w:r>
      <w:r w:rsidR="00951A4B">
        <w:rPr>
          <w:rFonts w:eastAsia="Calibri"/>
        </w:rPr>
        <w:t>DCWP</w:t>
      </w:r>
      <w:r w:rsidRPr="008912F7">
        <w:rPr>
          <w:rFonts w:eastAsia="Calibri"/>
        </w:rPr>
        <w:t xml:space="preserve"> investigate their deactivation. If the deactivation is determined to be wrongful, the driver may be entitled to relief including but not limited to reinstatement and back pay. </w:t>
      </w:r>
    </w:p>
    <w:p w14:paraId="68E5E5E5" w14:textId="6F44AC34" w:rsidR="008912F7" w:rsidRPr="008912F7" w:rsidRDefault="008912F7" w:rsidP="008912F7">
      <w:pPr>
        <w:spacing w:line="480" w:lineRule="auto"/>
        <w:ind w:firstLine="720"/>
        <w:jc w:val="both"/>
        <w:rPr>
          <w:rFonts w:eastAsia="Calibri"/>
        </w:rPr>
      </w:pPr>
      <w:r w:rsidRPr="008912F7">
        <w:rPr>
          <w:rFonts w:eastAsia="Calibri"/>
        </w:rPr>
        <w:t xml:space="preserve">This bill </w:t>
      </w:r>
      <w:r w:rsidR="00951A4B">
        <w:rPr>
          <w:rFonts w:eastAsia="Calibri"/>
        </w:rPr>
        <w:t xml:space="preserve">would </w:t>
      </w:r>
      <w:r w:rsidRPr="008912F7">
        <w:rPr>
          <w:rFonts w:eastAsia="Calibri"/>
        </w:rPr>
        <w:t>also permit drivers who were previously deactivated by FHV services to seek reinstatement if their deactivations were wrongful, although the FHV services are not required to immediately reinstate the drivers if they are not currently accepting new drivers. Any such drivers that would be entitled to reinstatement would be put on a waitlist.</w:t>
      </w:r>
    </w:p>
    <w:p w14:paraId="56B162EC" w14:textId="6C790BF3" w:rsidR="008912F7" w:rsidRPr="008912F7" w:rsidRDefault="008912F7" w:rsidP="008912F7">
      <w:pPr>
        <w:spacing w:line="480" w:lineRule="auto"/>
        <w:ind w:firstLine="720"/>
        <w:jc w:val="both"/>
        <w:rPr>
          <w:rFonts w:eastAsia="Calibri"/>
        </w:rPr>
      </w:pPr>
      <w:r w:rsidRPr="008912F7">
        <w:rPr>
          <w:rFonts w:eastAsia="Calibri"/>
        </w:rPr>
        <w:t xml:space="preserve">This bill </w:t>
      </w:r>
      <w:r w:rsidR="00951A4B">
        <w:rPr>
          <w:rFonts w:eastAsia="Calibri"/>
        </w:rPr>
        <w:t xml:space="preserve">would </w:t>
      </w:r>
      <w:r w:rsidRPr="008912F7">
        <w:rPr>
          <w:rFonts w:eastAsia="Calibri"/>
        </w:rPr>
        <w:t xml:space="preserve">also require that the FHV services provide information about deactivations to </w:t>
      </w:r>
      <w:r w:rsidR="006A731E">
        <w:rPr>
          <w:rFonts w:eastAsia="Calibri"/>
        </w:rPr>
        <w:t>DCWP</w:t>
      </w:r>
      <w:r w:rsidRPr="008912F7">
        <w:rPr>
          <w:rFonts w:eastAsia="Calibri"/>
        </w:rPr>
        <w:t xml:space="preserve"> in order to oversee the implementation of this program.</w:t>
      </w:r>
    </w:p>
    <w:p w14:paraId="38182F3B" w14:textId="164F0BE8" w:rsidR="00633E93" w:rsidRDefault="004B3694" w:rsidP="00FA40BF">
      <w:pPr>
        <w:spacing w:line="480" w:lineRule="auto"/>
        <w:ind w:firstLine="720"/>
        <w:jc w:val="both"/>
        <w:rPr>
          <w:rFonts w:eastAsia="Calibri"/>
        </w:rPr>
      </w:pPr>
      <w:r w:rsidRPr="00C85324">
        <w:rPr>
          <w:rFonts w:eastAsia="Calibri"/>
        </w:rPr>
        <w:t xml:space="preserve">This local law </w:t>
      </w:r>
      <w:r>
        <w:rPr>
          <w:rFonts w:eastAsia="Calibri"/>
        </w:rPr>
        <w:t xml:space="preserve">would </w:t>
      </w:r>
      <w:r w:rsidRPr="00C85324">
        <w:rPr>
          <w:rFonts w:eastAsia="Calibri"/>
        </w:rPr>
        <w:t>take effect 180 days after it becomes law</w:t>
      </w:r>
      <w:r>
        <w:rPr>
          <w:rFonts w:eastAsia="Calibri"/>
        </w:rPr>
        <w:t>.</w:t>
      </w:r>
    </w:p>
    <w:p w14:paraId="1ECD1949" w14:textId="77777777" w:rsidR="00FA40BF" w:rsidRDefault="00FA40BF" w:rsidP="00FA40BF">
      <w:pPr>
        <w:spacing w:line="480" w:lineRule="auto"/>
        <w:ind w:firstLine="720"/>
        <w:jc w:val="both"/>
        <w:rPr>
          <w:rFonts w:eastAsia="Calibri"/>
        </w:rPr>
      </w:pPr>
    </w:p>
    <w:p w14:paraId="36BDDD35" w14:textId="77777777" w:rsidR="00FA40BF" w:rsidRDefault="00FA40BF" w:rsidP="00FA40BF">
      <w:pPr>
        <w:spacing w:line="480" w:lineRule="auto"/>
        <w:ind w:firstLine="720"/>
        <w:jc w:val="both"/>
        <w:rPr>
          <w:rFonts w:eastAsia="Calibri"/>
        </w:rPr>
      </w:pPr>
    </w:p>
    <w:p w14:paraId="0E979573" w14:textId="77777777" w:rsidR="00FA40BF" w:rsidRDefault="00FA40BF" w:rsidP="00FA40BF">
      <w:pPr>
        <w:spacing w:line="480" w:lineRule="auto"/>
        <w:ind w:firstLine="720"/>
        <w:jc w:val="both"/>
        <w:rPr>
          <w:rFonts w:eastAsia="Calibri"/>
        </w:rPr>
      </w:pPr>
    </w:p>
    <w:p w14:paraId="71EDC2D5" w14:textId="77777777" w:rsidR="00FA40BF" w:rsidRDefault="00FA40BF" w:rsidP="00FA40BF">
      <w:pPr>
        <w:spacing w:line="480" w:lineRule="auto"/>
        <w:ind w:firstLine="720"/>
        <w:jc w:val="both"/>
        <w:rPr>
          <w:rFonts w:eastAsia="Calibri"/>
        </w:rPr>
      </w:pPr>
    </w:p>
    <w:p w14:paraId="5B89418D" w14:textId="77777777" w:rsidR="00FA40BF" w:rsidRDefault="00FA40BF" w:rsidP="00FA40BF">
      <w:pPr>
        <w:spacing w:line="480" w:lineRule="auto"/>
        <w:ind w:firstLine="720"/>
        <w:jc w:val="both"/>
        <w:rPr>
          <w:rFonts w:eastAsia="Calibri"/>
        </w:rPr>
      </w:pPr>
    </w:p>
    <w:p w14:paraId="37F9A67D" w14:textId="77777777" w:rsidR="00FA40BF" w:rsidRDefault="00FA40BF" w:rsidP="00FA40BF">
      <w:pPr>
        <w:spacing w:line="480" w:lineRule="auto"/>
        <w:ind w:firstLine="720"/>
        <w:jc w:val="both"/>
        <w:rPr>
          <w:rFonts w:eastAsia="Calibri"/>
        </w:rPr>
      </w:pPr>
    </w:p>
    <w:p w14:paraId="3B364504" w14:textId="77777777" w:rsidR="00A5048B" w:rsidRDefault="00A5048B" w:rsidP="003E06CC">
      <w:pPr>
        <w:pStyle w:val="NormalWeb"/>
        <w:shd w:val="clear" w:color="auto" w:fill="FFFFFF"/>
        <w:spacing w:before="0" w:beforeAutospacing="0" w:after="0" w:afterAutospacing="0"/>
        <w:jc w:val="center"/>
        <w:rPr>
          <w:color w:val="000000"/>
        </w:rPr>
      </w:pPr>
    </w:p>
    <w:p w14:paraId="5E0588EC" w14:textId="77777777" w:rsidR="00A5048B" w:rsidRDefault="00A5048B" w:rsidP="003E06CC">
      <w:pPr>
        <w:pStyle w:val="NormalWeb"/>
        <w:shd w:val="clear" w:color="auto" w:fill="FFFFFF"/>
        <w:spacing w:before="0" w:beforeAutospacing="0" w:after="0" w:afterAutospacing="0"/>
        <w:jc w:val="center"/>
        <w:rPr>
          <w:color w:val="000000"/>
        </w:rPr>
      </w:pPr>
    </w:p>
    <w:p w14:paraId="36A6B350" w14:textId="77777777" w:rsidR="00A5048B" w:rsidRDefault="00A5048B" w:rsidP="003E06CC">
      <w:pPr>
        <w:pStyle w:val="NormalWeb"/>
        <w:shd w:val="clear" w:color="auto" w:fill="FFFFFF"/>
        <w:spacing w:before="0" w:beforeAutospacing="0" w:after="0" w:afterAutospacing="0"/>
        <w:jc w:val="center"/>
        <w:rPr>
          <w:color w:val="000000"/>
        </w:rPr>
      </w:pPr>
    </w:p>
    <w:p w14:paraId="0B3C6874" w14:textId="77777777" w:rsidR="00A5048B" w:rsidRDefault="00A5048B" w:rsidP="003E06CC">
      <w:pPr>
        <w:pStyle w:val="NormalWeb"/>
        <w:shd w:val="clear" w:color="auto" w:fill="FFFFFF"/>
        <w:spacing w:before="0" w:beforeAutospacing="0" w:after="0" w:afterAutospacing="0"/>
        <w:jc w:val="center"/>
        <w:rPr>
          <w:color w:val="000000"/>
        </w:rPr>
      </w:pPr>
    </w:p>
    <w:p w14:paraId="3616B57A" w14:textId="77777777" w:rsidR="00A5048B" w:rsidRDefault="00A5048B" w:rsidP="003E06CC">
      <w:pPr>
        <w:pStyle w:val="NormalWeb"/>
        <w:shd w:val="clear" w:color="auto" w:fill="FFFFFF"/>
        <w:spacing w:before="0" w:beforeAutospacing="0" w:after="0" w:afterAutospacing="0"/>
        <w:jc w:val="center"/>
        <w:rPr>
          <w:color w:val="000000"/>
        </w:rPr>
      </w:pPr>
    </w:p>
    <w:p w14:paraId="1A5F5B91" w14:textId="77777777" w:rsidR="00A5048B" w:rsidRDefault="00A5048B" w:rsidP="003E06CC">
      <w:pPr>
        <w:pStyle w:val="NormalWeb"/>
        <w:shd w:val="clear" w:color="auto" w:fill="FFFFFF"/>
        <w:spacing w:before="0" w:beforeAutospacing="0" w:after="0" w:afterAutospacing="0"/>
        <w:jc w:val="center"/>
        <w:rPr>
          <w:color w:val="000000"/>
        </w:rPr>
      </w:pPr>
    </w:p>
    <w:p w14:paraId="45603E31" w14:textId="77777777" w:rsidR="00A5048B" w:rsidRDefault="00A5048B" w:rsidP="003E06CC">
      <w:pPr>
        <w:pStyle w:val="NormalWeb"/>
        <w:shd w:val="clear" w:color="auto" w:fill="FFFFFF"/>
        <w:spacing w:before="0" w:beforeAutospacing="0" w:after="0" w:afterAutospacing="0"/>
        <w:jc w:val="center"/>
        <w:rPr>
          <w:color w:val="000000"/>
        </w:rPr>
      </w:pPr>
    </w:p>
    <w:p w14:paraId="1FB3FA8F" w14:textId="77777777" w:rsidR="00A5048B" w:rsidRDefault="00A5048B" w:rsidP="003E06CC">
      <w:pPr>
        <w:pStyle w:val="NormalWeb"/>
        <w:shd w:val="clear" w:color="auto" w:fill="FFFFFF"/>
        <w:spacing w:before="0" w:beforeAutospacing="0" w:after="0" w:afterAutospacing="0"/>
        <w:jc w:val="center"/>
        <w:rPr>
          <w:color w:val="000000"/>
        </w:rPr>
      </w:pPr>
    </w:p>
    <w:p w14:paraId="1F9CF213" w14:textId="77777777" w:rsidR="00A5048B" w:rsidRDefault="00A5048B" w:rsidP="003E06CC">
      <w:pPr>
        <w:pStyle w:val="NormalWeb"/>
        <w:shd w:val="clear" w:color="auto" w:fill="FFFFFF"/>
        <w:spacing w:before="0" w:beforeAutospacing="0" w:after="0" w:afterAutospacing="0"/>
        <w:jc w:val="center"/>
        <w:rPr>
          <w:color w:val="000000"/>
        </w:rPr>
      </w:pPr>
    </w:p>
    <w:p w14:paraId="7316D44C" w14:textId="77777777" w:rsidR="00633E93" w:rsidRDefault="00633E93" w:rsidP="00633E93">
      <w:pPr>
        <w:pStyle w:val="NormalWeb"/>
        <w:shd w:val="clear" w:color="auto" w:fill="FFFFFF"/>
        <w:spacing w:before="0" w:beforeAutospacing="0" w:after="0" w:afterAutospacing="0"/>
        <w:rPr>
          <w:color w:val="000000"/>
        </w:rPr>
      </w:pPr>
    </w:p>
    <w:p w14:paraId="19036263" w14:textId="77FE552F" w:rsidR="003E06CC" w:rsidRDefault="003E06CC" w:rsidP="00633E93">
      <w:pPr>
        <w:pStyle w:val="NormalWeb"/>
        <w:shd w:val="clear" w:color="auto" w:fill="FFFFFF"/>
        <w:spacing w:before="0" w:beforeAutospacing="0" w:after="0" w:afterAutospacing="0"/>
        <w:jc w:val="center"/>
        <w:rPr>
          <w:color w:val="000000"/>
          <w:sz w:val="27"/>
          <w:szCs w:val="27"/>
        </w:rPr>
      </w:pPr>
      <w:r>
        <w:rPr>
          <w:color w:val="000000"/>
        </w:rPr>
        <w:lastRenderedPageBreak/>
        <w:t>Int. No</w:t>
      </w:r>
      <w:r w:rsidR="00FA245B">
        <w:rPr>
          <w:color w:val="000000"/>
        </w:rPr>
        <w:t xml:space="preserve">. </w:t>
      </w:r>
      <w:r w:rsidR="00FA245B" w:rsidRPr="00BA704B">
        <w:rPr>
          <w:color w:val="000000"/>
        </w:rPr>
        <w:t>276</w:t>
      </w:r>
      <w:r>
        <w:rPr>
          <w:color w:val="000000"/>
        </w:rPr>
        <w:t>-A</w:t>
      </w:r>
    </w:p>
    <w:p w14:paraId="31E231D4" w14:textId="77777777" w:rsidR="003E06CC" w:rsidRDefault="003E06CC" w:rsidP="003E06CC">
      <w:pPr>
        <w:pStyle w:val="NormalWeb"/>
        <w:shd w:val="clear" w:color="auto" w:fill="FFFFFF"/>
        <w:spacing w:before="0" w:beforeAutospacing="0" w:after="0" w:afterAutospacing="0"/>
        <w:jc w:val="center"/>
        <w:rPr>
          <w:color w:val="000000"/>
          <w:sz w:val="27"/>
          <w:szCs w:val="27"/>
        </w:rPr>
      </w:pPr>
      <w:r>
        <w:rPr>
          <w:color w:val="000000"/>
        </w:rPr>
        <w:t> </w:t>
      </w:r>
    </w:p>
    <w:p w14:paraId="4D9E5EE4" w14:textId="0A5C4C01"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rPr>
        <w:t xml:space="preserve">By Council Members Krishnan, Hanif, Lee, Restler, Marte, Brewer, Hudson, Cabán, Abreu, Banks, Ung, Schulman, </w:t>
      </w:r>
      <w:r w:rsidR="00B072C5">
        <w:rPr>
          <w:color w:val="000000"/>
        </w:rPr>
        <w:t xml:space="preserve">P. </w:t>
      </w:r>
      <w:r>
        <w:rPr>
          <w:color w:val="000000"/>
        </w:rPr>
        <w:t>Sanchez, Ayala, Avilés, Zhuang, Riley, Joseph, Stevens, Hanks, Nurse, De La Rosa, Gutiérrez and Epstein</w:t>
      </w:r>
    </w:p>
    <w:p w14:paraId="4FAB389A"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rPr>
        <w:t> </w:t>
      </w:r>
    </w:p>
    <w:p w14:paraId="76A75BBC"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rPr>
        <w:t>A Local Law to amend the administrative code of the city of New York, in relation to the wrongful deactivation of high-volume for-hire vehicle drivers</w:t>
      </w:r>
    </w:p>
    <w:p w14:paraId="0D773BCD"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rPr>
        <w:t> </w:t>
      </w:r>
    </w:p>
    <w:p w14:paraId="323DEEBB"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u w:val="single"/>
        </w:rPr>
        <w:t>Be it enacted by the Council as follows:</w:t>
      </w:r>
    </w:p>
    <w:p w14:paraId="0CFC4BD0" w14:textId="77777777" w:rsidR="003E06CC" w:rsidRDefault="003E06CC" w:rsidP="003E06CC">
      <w:pPr>
        <w:pStyle w:val="NormalWeb"/>
        <w:shd w:val="clear" w:color="auto" w:fill="FFFFFF"/>
        <w:spacing w:before="0" w:beforeAutospacing="0" w:after="0" w:afterAutospacing="0"/>
        <w:ind w:firstLine="720"/>
        <w:jc w:val="both"/>
        <w:rPr>
          <w:color w:val="000000"/>
          <w:sz w:val="27"/>
          <w:szCs w:val="27"/>
        </w:rPr>
      </w:pPr>
      <w:r>
        <w:rPr>
          <w:color w:val="000000"/>
        </w:rPr>
        <w:t> </w:t>
      </w:r>
    </w:p>
    <w:p w14:paraId="45F50FCD"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Subdivision a of section 20-1204 of the administrative code of the city of New York, as added by local law number 107 for the year 2017, is amended to read as follows:</w:t>
      </w:r>
    </w:p>
    <w:p w14:paraId="656C0FE0"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a. No person shall take any adverse action against an employee </w:t>
      </w:r>
      <w:r>
        <w:rPr>
          <w:color w:val="000000"/>
          <w:u w:val="single"/>
        </w:rPr>
        <w:t>or high-volume for-hire vehicle driver</w:t>
      </w:r>
      <w:r>
        <w:rPr>
          <w:color w:val="000000"/>
        </w:rPr>
        <w:t> that penalizes such employee </w:t>
      </w:r>
      <w:r>
        <w:rPr>
          <w:color w:val="000000"/>
          <w:u w:val="single"/>
        </w:rPr>
        <w:t>or high-volume for-hire vehicle driver</w:t>
      </w:r>
      <w:r>
        <w:rPr>
          <w:color w:val="000000"/>
        </w:rPr>
        <w:t> for, or is reasonably likely to deter such employee </w:t>
      </w:r>
      <w:r>
        <w:rPr>
          <w:color w:val="000000"/>
          <w:u w:val="single"/>
        </w:rPr>
        <w:t>or high-volume for-hire vehicle driver</w:t>
      </w:r>
      <w:r>
        <w:rPr>
          <w:color w:val="000000"/>
        </w:rPr>
        <w:t> from, exercising or attempting to exercise any right protected under this chapter. Taking an adverse action includes threatening, intimidating, disciplining, discharging, demoting, suspending or harassing an employee </w:t>
      </w:r>
      <w:r>
        <w:rPr>
          <w:color w:val="000000"/>
          <w:u w:val="single"/>
        </w:rPr>
        <w:t>or high-volume for-hire vehicle driver</w:t>
      </w:r>
      <w:r>
        <w:rPr>
          <w:color w:val="000000"/>
        </w:rPr>
        <w:t>, reducing the hours or pay of an employee </w:t>
      </w:r>
      <w:r>
        <w:rPr>
          <w:color w:val="000000"/>
          <w:u w:val="single"/>
        </w:rPr>
        <w:t>or high-volume for-hire vehicle driver</w:t>
      </w:r>
      <w:r>
        <w:rPr>
          <w:color w:val="000000"/>
        </w:rPr>
        <w:t>, informing another employer </w:t>
      </w:r>
      <w:r>
        <w:rPr>
          <w:color w:val="000000"/>
          <w:u w:val="single"/>
        </w:rPr>
        <w:t>or high-volume for-hire vehicle service</w:t>
      </w:r>
      <w:r>
        <w:rPr>
          <w:color w:val="000000"/>
        </w:rPr>
        <w:t> that an employee </w:t>
      </w:r>
      <w:r>
        <w:rPr>
          <w:color w:val="000000"/>
          <w:u w:val="single"/>
        </w:rPr>
        <w:t>or high-volume for-hire vehicle driver</w:t>
      </w:r>
      <w:r>
        <w:rPr>
          <w:color w:val="000000"/>
        </w:rPr>
        <w:t> has engaged in activities protected by this chapter, and discriminating against the employee </w:t>
      </w:r>
      <w:r>
        <w:rPr>
          <w:color w:val="000000"/>
          <w:u w:val="single"/>
        </w:rPr>
        <w:t>or high-volume for-hire vehicle driver</w:t>
      </w:r>
      <w:r>
        <w:rPr>
          <w:color w:val="000000"/>
        </w:rPr>
        <w:t>, including actions related to perceived immigration status or work authorization. An employee </w:t>
      </w:r>
      <w:r>
        <w:rPr>
          <w:color w:val="000000"/>
          <w:u w:val="single"/>
        </w:rPr>
        <w:t>or high-volume for-hire vehicle driver</w:t>
      </w:r>
      <w:r>
        <w:rPr>
          <w:color w:val="000000"/>
        </w:rPr>
        <w:t> need not explicitly refer to this chapter or the rights enumerated herein to be protected from retaliation.</w:t>
      </w:r>
    </w:p>
    <w:p w14:paraId="7DA9ED7F"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lastRenderedPageBreak/>
        <w:t>§ 2. Paragraphs 1 and 2 of subdivision b of section 20-1207 of the administrative code of the city of New York, as amended by local law number 80 for the year 2020, are amended to read as follows:</w:t>
      </w:r>
    </w:p>
    <w:p w14:paraId="7B091B44"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1. A</w:t>
      </w:r>
      <w:r>
        <w:rPr>
          <w:color w:val="212121"/>
        </w:rPr>
        <w:t>ny person, including any organization, alleging a violation of this chapter may file a complaint with the department within two years of the date the person knew or should have known of the alleged violation</w:t>
      </w:r>
      <w:r>
        <w:rPr>
          <w:color w:val="212121"/>
          <w:u w:val="single"/>
        </w:rPr>
        <w:t>, except that (i) a complaint alleging a violation of section 20-1282 or section 20-1283 may be filed only by the deactivated </w:t>
      </w:r>
      <w:r>
        <w:rPr>
          <w:color w:val="000000"/>
          <w:u w:val="single"/>
        </w:rPr>
        <w:t>high-volume for-hire vehicle driver or by a representative of such high-volume for-hire vehicle driver, provided that the high-volume for-hire vehicle driver has agreed to such representation and (ii) a complaint alleging a </w:t>
      </w:r>
      <w:r>
        <w:rPr>
          <w:color w:val="212121"/>
          <w:u w:val="single"/>
        </w:rPr>
        <w:t>violation of section 20-1283</w:t>
      </w:r>
      <w:r>
        <w:rPr>
          <w:color w:val="000000"/>
          <w:u w:val="single"/>
        </w:rPr>
        <w:t> may be </w:t>
      </w:r>
      <w:r>
        <w:rPr>
          <w:color w:val="212121"/>
          <w:u w:val="single"/>
        </w:rPr>
        <w:t>filed within one year after the effective date of the local law that added subchapter 8 of this chapter</w:t>
      </w:r>
      <w:r>
        <w:rPr>
          <w:color w:val="212121"/>
        </w:rPr>
        <w:t>.</w:t>
      </w:r>
    </w:p>
    <w:p w14:paraId="276802E8"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rPr>
        <w:t>2. Upon receiving such a complaint, the department shall investigate it</w:t>
      </w:r>
      <w:r>
        <w:rPr>
          <w:color w:val="212121"/>
          <w:u w:val="single"/>
        </w:rPr>
        <w:t>, except that upon receiving a complaint alleging a violation of any provision of subchapter 8 of this chapter, the department shall, if resources permit, investigate the complaint</w:t>
      </w:r>
      <w:r>
        <w:rPr>
          <w:color w:val="212121"/>
        </w:rPr>
        <w:t>.</w:t>
      </w:r>
    </w:p>
    <w:p w14:paraId="5C4433DB"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 3. Paragraph 5 of subdivision b of section 20-1207 of the administrative code of the city of New York, as amended by local law number 80 for the year 2020, is amended to read as follows:</w:t>
      </w:r>
    </w:p>
    <w:p w14:paraId="3F862D87"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rPr>
        <w:t>5. The department shall keep the identity of any complainant confidential unless disclosure is necessary to resolve the investigation or is otherwise required by law</w:t>
      </w:r>
      <w:r>
        <w:rPr>
          <w:color w:val="212121"/>
          <w:u w:val="single"/>
        </w:rPr>
        <w:t xml:space="preserve">, except that for complaints alleging violations of section 20-1282 or 20-1283, the department shall provide notice of the complaint and the identity of the complainant to the high-volume for-hire vehicle service as soon </w:t>
      </w:r>
      <w:r>
        <w:rPr>
          <w:color w:val="212121"/>
          <w:u w:val="single"/>
        </w:rPr>
        <w:lastRenderedPageBreak/>
        <w:t>as practicable</w:t>
      </w:r>
      <w:r>
        <w:rPr>
          <w:color w:val="212121"/>
        </w:rPr>
        <w:t>. The department shall, to the extent practicable, notify such complainant that the department will be disclosing the complainant's identity before such disclosure.</w:t>
      </w:r>
    </w:p>
    <w:p w14:paraId="198D6D23"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 4. The section heading of section 20-1208 of the administrative code of the city of New York, as added by local law 107 for the year 2017, is amended to read as follows:</w:t>
      </w:r>
    </w:p>
    <w:p w14:paraId="61A08A11"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 20-1208 Specific administrative remedies [for employees or former employees].</w:t>
      </w:r>
    </w:p>
    <w:p w14:paraId="66DD8A69"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 5. Subdivision c of section 20-1208 of the administrative code of the city of New York, as added by local law number 107 for the year 2017 and redesignated by local law number 2 for the year 2021, is redesignated subdivision e and amended and new subdivisions c and d are added to such section to read as follows:</w:t>
      </w:r>
    </w:p>
    <w:p w14:paraId="5C13CEFC"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1. For each violation by a high-volume for-hire vehicle service of section 20-1282 or 20-1283, the department shall order reinstatement or restoration of access to the driver platform of such high-volume for-hire vehicle service by such high-volume for-hire vehicle driver, unless waived by such high-volume for-hire vehicle driver.</w:t>
      </w:r>
    </w:p>
    <w:p w14:paraId="7EF88883"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For each violation by a high-volume for-hire vehicle service of section 20-1282 the department shall order the payment of back pay to the wrongfully deactivated high-volume for-hire vehicle driver, and such back pay shall be equal to the amount such high-volume for hire vehicle driver would have normally earned or received from such high-volume for-hire vehicle service during the period of a wrongful deactivation if such wrongful deactivation had not occurred, provided that:</w:t>
      </w:r>
    </w:p>
    <w:p w14:paraId="1F9A0A2B"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(a) The department may subtract any additional amounts earned or received by such high-volume for-hire vehicle driver from other work during such period in excess of what such high-</w:t>
      </w:r>
      <w:r>
        <w:rPr>
          <w:color w:val="000000"/>
          <w:u w:val="single"/>
        </w:rPr>
        <w:lastRenderedPageBreak/>
        <w:t>volume for-hire vehicle would have normally earned or received from other work if such deactivation had not occurred;</w:t>
      </w:r>
    </w:p>
    <w:p w14:paraId="7384E1C5"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For purposes of this paragraph, the amount a high-volume for-hire vehicle driver would have normally earned or received from a high-volume for-hire vehicle service or other work over a period of deactivation shall be determined based on the average daily amount such high-volume for-hire vehicle driver earned or received from such high-volume for-hire vehicle service or such other work over a reasonably comparable period;</w:t>
      </w:r>
    </w:p>
    <w:p w14:paraId="4BD62DB7"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Notwithstanding any provision of this subdivision to the contrary, where a violation of section 20-1282 arises from an allegation of egregious misconduct that was not substantiated, back pay shall not accrue until 15 days after the date of deactivation of a high-volume for-hire vehicle driver; and</w:t>
      </w:r>
    </w:p>
    <w:p w14:paraId="72A495BA"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u w:val="single"/>
        </w:rPr>
        <w:t>(d) </w:t>
      </w:r>
      <w:r>
        <w:rPr>
          <w:color w:val="000000"/>
          <w:u w:val="single"/>
        </w:rPr>
        <w:t>The department may adjust the amount of back pay owed to a high-volume for-hire vehicle driver, as appropriate, based on a failure by such high-volume for-hire vehicle driver to make a reasonable effort to mitigate any loss of income, provided that a high-volume for-hire vehicle service shall have the burden of proving by a preponderance of the evidence that a driver failed to make a reasonable effort to mitigate;</w:t>
      </w:r>
    </w:p>
    <w:p w14:paraId="2F10EF04"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 For violations of this chapter, the department may grant the following relief to a high-volume for-hire vehicle driver or former high-volume for-hire vehicle driver: </w:t>
      </w:r>
    </w:p>
    <w:p w14:paraId="37AE3C67"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All compensatory damages and other relief required to make such high-volume for-hire vehicle driver or former high-volume for-hire vehicle driver whole;</w:t>
      </w:r>
    </w:p>
    <w:p w14:paraId="32500DFD"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2. An order directing a high-volume for-hire vehicle service to comply with the requirements set forth in subchapter 8 of this chapter;</w:t>
      </w:r>
    </w:p>
    <w:p w14:paraId="44358331"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For each violation of section 20-1204,</w:t>
      </w:r>
    </w:p>
    <w:p w14:paraId="53F6D84D"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(a) Any equitable relief appropriate under the circumstances, including rescission of any discipline issued, reinstatement of any deactivated high-volume for-hire vehicle driver, and payment of back pay for any loss of pay or benefits resulting from discipline or other action taken in violation of section 20-1204;</w:t>
      </w:r>
    </w:p>
    <w:p w14:paraId="3FD4D239"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$500 for each violation not involving deactivation, as such term is defined in section 20-1281; and</w:t>
      </w:r>
    </w:p>
    <w:p w14:paraId="62919CC9"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$2,500 for each violation involving deactivation, as such term is defined in section 20-1281;</w:t>
      </w:r>
    </w:p>
    <w:p w14:paraId="0738C12F"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4. For each violation of 20-1282, $500, rescission of any discipline issued, and any other equitable relief as may be appropriate;</w:t>
      </w:r>
    </w:p>
    <w:p w14:paraId="2757ECB6"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5. For each violation of subdivision c of section </w:t>
      </w:r>
      <w:r>
        <w:rPr>
          <w:color w:val="000000"/>
          <w:u w:val="single"/>
          <w:shd w:val="clear" w:color="auto" w:fill="FFFFFF"/>
        </w:rPr>
        <w:t>20-128</w:t>
      </w:r>
      <w:r>
        <w:rPr>
          <w:color w:val="000000"/>
          <w:u w:val="single"/>
        </w:rPr>
        <w:t>4, $500;</w:t>
      </w:r>
    </w:p>
    <w:p w14:paraId="7320C447"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6. For each violation of section </w:t>
      </w:r>
      <w:r>
        <w:rPr>
          <w:color w:val="000000"/>
          <w:u w:val="single"/>
          <w:shd w:val="clear" w:color="auto" w:fill="FFFFFF"/>
        </w:rPr>
        <w:t>20-128</w:t>
      </w:r>
      <w:r>
        <w:rPr>
          <w:color w:val="000000"/>
          <w:u w:val="single"/>
        </w:rPr>
        <w:t>6, $500; and</w:t>
      </w:r>
    </w:p>
    <w:p w14:paraId="4B16C08B"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7. For each violation of section </w:t>
      </w:r>
      <w:r>
        <w:rPr>
          <w:color w:val="000000"/>
          <w:u w:val="single"/>
          <w:shd w:val="clear" w:color="auto" w:fill="FFFFFF"/>
        </w:rPr>
        <w:t>20-1289</w:t>
      </w:r>
      <w:r>
        <w:rPr>
          <w:color w:val="000000"/>
          <w:u w:val="single"/>
        </w:rPr>
        <w:t>, $500.</w:t>
      </w:r>
    </w:p>
    <w:p w14:paraId="42E56BF0"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rPr>
        <w:t>e. The relief authorized by this section shall be imposed on a per employee </w:t>
      </w:r>
      <w:r>
        <w:rPr>
          <w:color w:val="212121"/>
          <w:u w:val="single"/>
        </w:rPr>
        <w:t>or high-volume for-hire vehicle driver</w:t>
      </w:r>
      <w:r>
        <w:rPr>
          <w:color w:val="212121"/>
        </w:rPr>
        <w:t> and per instance basis for each violation.</w:t>
      </w:r>
    </w:p>
    <w:p w14:paraId="766AAF0D"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shd w:val="clear" w:color="auto" w:fill="FFFFFF"/>
        </w:rPr>
        <w:t>§ 6. Section 20-1209 of the administrative code of the city of New York, as added by local law 107 for the year 2017, is amended to read as follows:</w:t>
      </w:r>
    </w:p>
    <w:p w14:paraId="75CA6FE5"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lastRenderedPageBreak/>
        <w:t>§ 20-1209 Specific civil penalties payable to the city. a. For each violation of this chapter, </w:t>
      </w:r>
      <w:r>
        <w:rPr>
          <w:color w:val="212121"/>
          <w:u w:val="single"/>
        </w:rPr>
        <w:t>except for any violation of section 20-1283,</w:t>
      </w:r>
      <w:r>
        <w:rPr>
          <w:color w:val="212121"/>
        </w:rPr>
        <w:t> </w:t>
      </w:r>
      <w:r>
        <w:rPr>
          <w:color w:val="000000"/>
        </w:rPr>
        <w:t>an employer</w:t>
      </w:r>
      <w:r>
        <w:rPr>
          <w:color w:val="212121"/>
        </w:rPr>
        <w:t> </w:t>
      </w:r>
      <w:r>
        <w:rPr>
          <w:color w:val="212121"/>
          <w:u w:val="single"/>
        </w:rPr>
        <w:t>or high-volume for-hire vehicle service</w:t>
      </w:r>
      <w:r>
        <w:rPr>
          <w:color w:val="000000"/>
        </w:rPr>
        <w:t> is liable for a penalty of $500 for the first violation and, for subsequent violations that occur within two years of any previous violation of this chapter, up to $750 for the second violation and up to $1,000 for each succeeding violation.</w:t>
      </w:r>
    </w:p>
    <w:p w14:paraId="72338CDD"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b. The penalties imposed pursuant to this section shall be imposed on a per employee </w:t>
      </w:r>
      <w:r>
        <w:rPr>
          <w:color w:val="000000"/>
          <w:u w:val="single"/>
        </w:rPr>
        <w:t>or high-volume for-hire vehicle driver</w:t>
      </w:r>
      <w:r>
        <w:rPr>
          <w:color w:val="000000"/>
        </w:rPr>
        <w:t> and per instance basis for each violation.</w:t>
      </w:r>
    </w:p>
    <w:p w14:paraId="3EAFF10C"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 7. </w:t>
      </w:r>
      <w:r>
        <w:rPr>
          <w:color w:val="000000"/>
          <w:shd w:val="clear" w:color="auto" w:fill="FFFFFF"/>
        </w:rPr>
        <w:t>Section 20-1211 of the administrative code of the city of New York, as added by local law number 107 for the year 2017, subdivision a as amended, subdivision c as added, and subdivisions d and e as redesignated by local law number 2 for the year 2021, is amended to read as follows:</w:t>
      </w:r>
    </w:p>
    <w:p w14:paraId="7EBF2F73"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 20-1211 Private cause of action</w:t>
      </w:r>
      <w:r>
        <w:rPr>
          <w:color w:val="000000"/>
          <w:u w:val="single"/>
        </w:rPr>
        <w:t>.</w:t>
      </w:r>
      <w:r>
        <w:rPr>
          <w:color w:val="000000"/>
        </w:rPr>
        <w:t> a. Claims. Any person, including any organization, alleging a violation of the following provisions of this chapter may bring a civil action, in accordance with applicable law, in any court of competent jurisdiction:</w:t>
      </w:r>
    </w:p>
    <w:p w14:paraId="078C43AB" w14:textId="77777777" w:rsidR="003E06CC" w:rsidRDefault="003E06CC" w:rsidP="003E06CC">
      <w:pPr>
        <w:pStyle w:val="NormalWeb"/>
        <w:shd w:val="clear" w:color="auto" w:fill="FFFFFF"/>
        <w:spacing w:before="0" w:beforeAutospacing="0" w:after="0" w:afterAutospacing="0" w:line="480" w:lineRule="auto"/>
        <w:ind w:firstLine="720"/>
        <w:rPr>
          <w:color w:val="000000"/>
          <w:sz w:val="27"/>
          <w:szCs w:val="27"/>
        </w:rPr>
      </w:pPr>
      <w:r>
        <w:rPr>
          <w:color w:val="000000"/>
        </w:rPr>
        <w:t>1. Section 20-1204;</w:t>
      </w:r>
    </w:p>
    <w:p w14:paraId="2B0CB863" w14:textId="77777777" w:rsidR="003E06CC" w:rsidRDefault="003E06CC" w:rsidP="003E06CC">
      <w:pPr>
        <w:pStyle w:val="NormalWeb"/>
        <w:shd w:val="clear" w:color="auto" w:fill="FFFFFF"/>
        <w:spacing w:before="0" w:beforeAutospacing="0" w:after="0" w:afterAutospacing="0" w:line="480" w:lineRule="auto"/>
        <w:ind w:firstLine="720"/>
        <w:rPr>
          <w:color w:val="000000"/>
          <w:sz w:val="27"/>
          <w:szCs w:val="27"/>
        </w:rPr>
      </w:pPr>
      <w:r>
        <w:rPr>
          <w:color w:val="000000"/>
        </w:rPr>
        <w:t>2. Section 20-1221;</w:t>
      </w:r>
    </w:p>
    <w:p w14:paraId="220A6976" w14:textId="77777777" w:rsidR="003E06CC" w:rsidRDefault="003E06CC" w:rsidP="003E06CC">
      <w:pPr>
        <w:pStyle w:val="NormalWeb"/>
        <w:shd w:val="clear" w:color="auto" w:fill="FFFFFF"/>
        <w:spacing w:before="0" w:beforeAutospacing="0" w:after="0" w:afterAutospacing="0" w:line="480" w:lineRule="auto"/>
        <w:ind w:firstLine="720"/>
        <w:rPr>
          <w:color w:val="000000"/>
          <w:sz w:val="27"/>
          <w:szCs w:val="27"/>
        </w:rPr>
      </w:pPr>
      <w:r>
        <w:rPr>
          <w:color w:val="000000"/>
        </w:rPr>
        <w:t>3. Subdivisions a and b of section 20-1222;</w:t>
      </w:r>
    </w:p>
    <w:p w14:paraId="047C8FE4" w14:textId="77777777" w:rsidR="003E06CC" w:rsidRDefault="003E06CC" w:rsidP="003E06CC">
      <w:pPr>
        <w:pStyle w:val="NormalWeb"/>
        <w:shd w:val="clear" w:color="auto" w:fill="FFFFFF"/>
        <w:spacing w:before="0" w:beforeAutospacing="0" w:after="0" w:afterAutospacing="0" w:line="480" w:lineRule="auto"/>
        <w:ind w:firstLine="720"/>
        <w:rPr>
          <w:color w:val="000000"/>
          <w:sz w:val="27"/>
          <w:szCs w:val="27"/>
        </w:rPr>
      </w:pPr>
      <w:r>
        <w:rPr>
          <w:color w:val="000000"/>
        </w:rPr>
        <w:t>4. Section 20-1231;</w:t>
      </w:r>
    </w:p>
    <w:p w14:paraId="39A8BDE6" w14:textId="77777777" w:rsidR="003E06CC" w:rsidRDefault="003E06CC" w:rsidP="003E06CC">
      <w:pPr>
        <w:pStyle w:val="NormalWeb"/>
        <w:shd w:val="clear" w:color="auto" w:fill="FFFFFF"/>
        <w:spacing w:before="0" w:beforeAutospacing="0" w:after="0" w:afterAutospacing="0" w:line="480" w:lineRule="auto"/>
        <w:ind w:firstLine="720"/>
        <w:rPr>
          <w:color w:val="000000"/>
          <w:sz w:val="27"/>
          <w:szCs w:val="27"/>
        </w:rPr>
      </w:pPr>
      <w:r>
        <w:rPr>
          <w:color w:val="000000"/>
        </w:rPr>
        <w:t>5. Subdivisions a, b, d, f and g of section 20-1241;</w:t>
      </w:r>
    </w:p>
    <w:p w14:paraId="1989F081" w14:textId="77777777" w:rsidR="003E06CC" w:rsidRDefault="003E06CC" w:rsidP="003E06CC">
      <w:pPr>
        <w:pStyle w:val="NormalWeb"/>
        <w:shd w:val="clear" w:color="auto" w:fill="FFFFFF"/>
        <w:spacing w:before="0" w:beforeAutospacing="0" w:after="0" w:afterAutospacing="0" w:line="480" w:lineRule="auto"/>
        <w:ind w:firstLine="720"/>
        <w:rPr>
          <w:color w:val="000000"/>
          <w:sz w:val="27"/>
          <w:szCs w:val="27"/>
        </w:rPr>
      </w:pPr>
      <w:r>
        <w:rPr>
          <w:color w:val="000000"/>
        </w:rPr>
        <w:t>6. Section 20-1251;</w:t>
      </w:r>
    </w:p>
    <w:p w14:paraId="5BDC576F" w14:textId="77777777" w:rsidR="003E06CC" w:rsidRDefault="003E06CC" w:rsidP="003E06CC">
      <w:pPr>
        <w:pStyle w:val="NormalWeb"/>
        <w:shd w:val="clear" w:color="auto" w:fill="FFFFFF"/>
        <w:spacing w:before="0" w:beforeAutospacing="0" w:after="0" w:afterAutospacing="0" w:line="480" w:lineRule="auto"/>
        <w:ind w:firstLine="720"/>
        <w:rPr>
          <w:color w:val="000000"/>
          <w:sz w:val="27"/>
          <w:szCs w:val="27"/>
        </w:rPr>
      </w:pPr>
      <w:r>
        <w:rPr>
          <w:color w:val="000000"/>
        </w:rPr>
        <w:t>7. Subdivisions a and b of section 20-1252; [and]</w:t>
      </w:r>
    </w:p>
    <w:p w14:paraId="2F131D9C" w14:textId="77777777" w:rsidR="003E06CC" w:rsidRDefault="003E06CC" w:rsidP="003E06CC">
      <w:pPr>
        <w:pStyle w:val="NormalWeb"/>
        <w:shd w:val="clear" w:color="auto" w:fill="FFFFFF"/>
        <w:spacing w:before="0" w:beforeAutospacing="0" w:after="0" w:afterAutospacing="0" w:line="480" w:lineRule="auto"/>
        <w:ind w:firstLine="720"/>
        <w:rPr>
          <w:color w:val="000000"/>
          <w:sz w:val="27"/>
          <w:szCs w:val="27"/>
        </w:rPr>
      </w:pPr>
      <w:r>
        <w:rPr>
          <w:color w:val="000000"/>
        </w:rPr>
        <w:lastRenderedPageBreak/>
        <w:t>8. Section 20-1272</w:t>
      </w:r>
      <w:r>
        <w:rPr>
          <w:color w:val="000000"/>
          <w:u w:val="single"/>
        </w:rPr>
        <w:t>;</w:t>
      </w:r>
    </w:p>
    <w:p w14:paraId="0B63ACD0" w14:textId="77777777" w:rsidR="003E06CC" w:rsidRDefault="003E06CC" w:rsidP="003E06CC">
      <w:pPr>
        <w:pStyle w:val="NormalWeb"/>
        <w:shd w:val="clear" w:color="auto" w:fill="FFFFFF"/>
        <w:spacing w:before="0" w:beforeAutospacing="0" w:after="0" w:afterAutospacing="0" w:line="480" w:lineRule="auto"/>
        <w:ind w:left="720"/>
        <w:rPr>
          <w:color w:val="000000"/>
          <w:sz w:val="27"/>
          <w:szCs w:val="27"/>
        </w:rPr>
      </w:pPr>
      <w:r>
        <w:rPr>
          <w:color w:val="000000"/>
          <w:u w:val="single"/>
        </w:rPr>
        <w:t>9. Section 20-1282;</w:t>
      </w:r>
    </w:p>
    <w:p w14:paraId="09E95173" w14:textId="77777777" w:rsidR="003E06CC" w:rsidRDefault="003E06CC" w:rsidP="003E06CC">
      <w:pPr>
        <w:pStyle w:val="NormalWeb"/>
        <w:shd w:val="clear" w:color="auto" w:fill="FFFFFF"/>
        <w:spacing w:before="0" w:beforeAutospacing="0" w:after="0" w:afterAutospacing="0" w:line="480" w:lineRule="auto"/>
        <w:ind w:left="720"/>
        <w:rPr>
          <w:color w:val="000000"/>
          <w:sz w:val="27"/>
          <w:szCs w:val="27"/>
        </w:rPr>
      </w:pPr>
      <w:r>
        <w:rPr>
          <w:color w:val="000000"/>
          <w:u w:val="single"/>
        </w:rPr>
        <w:t>10. Section 20-1283;</w:t>
      </w:r>
    </w:p>
    <w:p w14:paraId="56E670DB"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11. Section </w:t>
      </w:r>
      <w:r>
        <w:rPr>
          <w:color w:val="000000"/>
          <w:u w:val="single"/>
          <w:shd w:val="clear" w:color="auto" w:fill="FFFFFF"/>
        </w:rPr>
        <w:t>20-128</w:t>
      </w:r>
      <w:r>
        <w:rPr>
          <w:color w:val="000000"/>
          <w:u w:val="single"/>
        </w:rPr>
        <w:t>4;</w:t>
      </w:r>
    </w:p>
    <w:p w14:paraId="618477B8"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12. Section </w:t>
      </w:r>
      <w:r>
        <w:rPr>
          <w:color w:val="000000"/>
          <w:u w:val="single"/>
          <w:shd w:val="clear" w:color="auto" w:fill="FFFFFF"/>
        </w:rPr>
        <w:t>20-128</w:t>
      </w:r>
      <w:r>
        <w:rPr>
          <w:color w:val="000000"/>
          <w:u w:val="single"/>
        </w:rPr>
        <w:t>6; and</w:t>
      </w:r>
    </w:p>
    <w:p w14:paraId="31F1B8D8"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13. Section </w:t>
      </w:r>
      <w:r>
        <w:rPr>
          <w:color w:val="000000"/>
          <w:u w:val="single"/>
          <w:shd w:val="clear" w:color="auto" w:fill="FFFFFF"/>
        </w:rPr>
        <w:t>20-1289</w:t>
      </w:r>
      <w:r>
        <w:rPr>
          <w:color w:val="000000"/>
        </w:rPr>
        <w:t>. </w:t>
      </w:r>
    </w:p>
    <w:p w14:paraId="214CF8A2"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b.  Remedies</w:t>
      </w:r>
      <w:r>
        <w:rPr>
          <w:i/>
          <w:iCs/>
          <w:color w:val="000000"/>
        </w:rPr>
        <w:t>.</w:t>
      </w:r>
      <w:r>
        <w:rPr>
          <w:color w:val="000000"/>
        </w:rPr>
        <w:t> Such court may order compensatory, injunctive and declaratory relief, including the following remedies for violations of this chapter:</w:t>
      </w:r>
    </w:p>
    <w:p w14:paraId="20EB213E"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1.   Payment of schedule change premiums withheld in violation of section 20-1222;</w:t>
      </w:r>
    </w:p>
    <w:p w14:paraId="7766F873"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2.   An order directing compliance with the recordkeeping, information, posting and consent requirements set forth in sections 20-1205, 20-1206 and 20-1221;</w:t>
      </w:r>
    </w:p>
    <w:p w14:paraId="44564512"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3.   Rescission of any discipline issued in violation of section 20-1204;</w:t>
      </w:r>
    </w:p>
    <w:p w14:paraId="3CA48F98"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4.   Reinstatement of any employee </w:t>
      </w:r>
      <w:r>
        <w:rPr>
          <w:color w:val="000000"/>
          <w:u w:val="single"/>
        </w:rPr>
        <w:t>or high-volume for-hire vehicle driver</w:t>
      </w:r>
      <w:r>
        <w:rPr>
          <w:color w:val="000000"/>
        </w:rPr>
        <w:t> terminated in violation of section 20-1204;</w:t>
      </w:r>
    </w:p>
    <w:p w14:paraId="10257BB6"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5.   Payment of back pay for any loss of pay or benefits resulting from discipline or other action taken in violation of section 20-1204;</w:t>
      </w:r>
    </w:p>
    <w:p w14:paraId="09079F28"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6.   Other compensatory damages and any other relief required to make the employee </w:t>
      </w:r>
      <w:r>
        <w:rPr>
          <w:color w:val="000000"/>
          <w:u w:val="single"/>
        </w:rPr>
        <w:t>or high-volume for-hire vehicle driver</w:t>
      </w:r>
      <w:r>
        <w:rPr>
          <w:color w:val="000000"/>
        </w:rPr>
        <w:t> whole; and</w:t>
      </w:r>
    </w:p>
    <w:p w14:paraId="04717131"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7.   Reasonable attorney's fees </w:t>
      </w:r>
      <w:r>
        <w:rPr>
          <w:color w:val="000000"/>
          <w:u w:val="single"/>
        </w:rPr>
        <w:t>and costs</w:t>
      </w:r>
      <w:r>
        <w:rPr>
          <w:color w:val="000000"/>
        </w:rPr>
        <w:t>.</w:t>
      </w:r>
    </w:p>
    <w:p w14:paraId="0F1005FF"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c. </w:t>
      </w:r>
      <w:r>
        <w:rPr>
          <w:color w:val="212121"/>
        </w:rPr>
        <w:t>For each violation of section 20-1272, </w:t>
      </w:r>
      <w:r>
        <w:rPr>
          <w:color w:val="212121"/>
          <w:u w:val="single"/>
        </w:rPr>
        <w:t>20-1282, or 20-1283,</w:t>
      </w:r>
      <w:r>
        <w:rPr>
          <w:color w:val="212121"/>
        </w:rPr>
        <w:t> the court shall order reinstatement or restoration of hours of the fast food employee </w:t>
      </w:r>
      <w:r>
        <w:rPr>
          <w:color w:val="212121"/>
          <w:u w:val="single"/>
        </w:rPr>
        <w:t>or </w:t>
      </w:r>
      <w:r>
        <w:rPr>
          <w:color w:val="000000"/>
          <w:u w:val="single"/>
        </w:rPr>
        <w:t xml:space="preserve">reinstatement or restoration of </w:t>
      </w:r>
      <w:r>
        <w:rPr>
          <w:color w:val="000000"/>
          <w:u w:val="single"/>
        </w:rPr>
        <w:lastRenderedPageBreak/>
        <w:t>the driver platform access of the high-volume for-hire vehicle driver</w:t>
      </w:r>
      <w:r>
        <w:rPr>
          <w:color w:val="212121"/>
        </w:rPr>
        <w:t>, unless waived by the fast food employee </w:t>
      </w:r>
      <w:r>
        <w:rPr>
          <w:color w:val="212121"/>
          <w:u w:val="single"/>
        </w:rPr>
        <w:t>or </w:t>
      </w:r>
      <w:r>
        <w:rPr>
          <w:color w:val="000000"/>
          <w:u w:val="single"/>
        </w:rPr>
        <w:t>high-volume for-hire vehicle driver</w:t>
      </w:r>
      <w:r>
        <w:rPr>
          <w:color w:val="212121"/>
        </w:rPr>
        <w:t>, and shall order the fast food employer </w:t>
      </w:r>
      <w:r>
        <w:rPr>
          <w:color w:val="212121"/>
          <w:u w:val="single"/>
        </w:rPr>
        <w:t>or high-volume for-hire vehicle service</w:t>
      </w:r>
      <w:r>
        <w:rPr>
          <w:color w:val="212121"/>
        </w:rPr>
        <w:t> to pay the reasonable attorneys' fees and costs of the fast food employee </w:t>
      </w:r>
      <w:r>
        <w:rPr>
          <w:color w:val="212121"/>
          <w:u w:val="single"/>
        </w:rPr>
        <w:t>or </w:t>
      </w:r>
      <w:r>
        <w:rPr>
          <w:color w:val="000000"/>
          <w:u w:val="single"/>
        </w:rPr>
        <w:t>high-volume for-hire vehicle driver</w:t>
      </w:r>
      <w:r>
        <w:rPr>
          <w:color w:val="212121"/>
        </w:rPr>
        <w:t>. [The] </w:t>
      </w:r>
      <w:r>
        <w:rPr>
          <w:color w:val="212121"/>
          <w:u w:val="single"/>
        </w:rPr>
        <w:t>For each violation of section 20-1272 or 20-1282, the</w:t>
      </w:r>
      <w:r>
        <w:rPr>
          <w:color w:val="212121"/>
        </w:rPr>
        <w:t> court may, in addition, grant the following relief: $500 [for each violation], an order directing compliance with section 20-1272 </w:t>
      </w:r>
      <w:r>
        <w:rPr>
          <w:color w:val="212121"/>
          <w:u w:val="single"/>
        </w:rPr>
        <w:t>or 20-1282</w:t>
      </w:r>
      <w:r>
        <w:rPr>
          <w:color w:val="212121"/>
        </w:rPr>
        <w:t>, rescission of any discipline issued, payment of back pay for any loss of pay or benefits resulting from the wrongful discharge </w:t>
      </w:r>
      <w:r>
        <w:rPr>
          <w:color w:val="212121"/>
          <w:u w:val="single"/>
        </w:rPr>
        <w:t>or deactivation</w:t>
      </w:r>
      <w:r>
        <w:rPr>
          <w:color w:val="212121"/>
        </w:rPr>
        <w:t>, punitive damages, and any other equitable relief as may be appropriate. </w:t>
      </w:r>
      <w:r>
        <w:rPr>
          <w:color w:val="212121"/>
          <w:u w:val="single"/>
        </w:rPr>
        <w:t>For each violation of 20-1282, the court shall order back pay to be determined as set out in paragraph 2 of subdivision c of section 20-1208.</w:t>
      </w:r>
      <w:r>
        <w:rPr>
          <w:color w:val="000000"/>
          <w:sz w:val="14"/>
          <w:szCs w:val="14"/>
        </w:rPr>
        <w:t>                     </w:t>
      </w:r>
    </w:p>
    <w:p w14:paraId="74C2CD04"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rPr>
        <w:t>d. Statute of limitations. A civil action under this section shall be commenced within two years of the date the person knew or should have known of the alleged violation</w:t>
      </w:r>
      <w:r>
        <w:rPr>
          <w:color w:val="212121"/>
          <w:u w:val="single"/>
        </w:rPr>
        <w:t>, except that </w:t>
      </w:r>
      <w:r>
        <w:rPr>
          <w:color w:val="000000"/>
          <w:u w:val="single"/>
        </w:rPr>
        <w:t>for </w:t>
      </w:r>
      <w:r>
        <w:rPr>
          <w:color w:val="212121"/>
          <w:u w:val="single"/>
        </w:rPr>
        <w:t>a violation of section 20-1283, a civil action shall be commenced within one year after the effective date of the local law that added subchapter 8 of this chapter</w:t>
      </w:r>
      <w:r>
        <w:rPr>
          <w:color w:val="212121"/>
        </w:rPr>
        <w:t>.</w:t>
      </w:r>
    </w:p>
    <w:p w14:paraId="70401A4C"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rPr>
        <w:t>e.   Relationship to department action.</w:t>
      </w:r>
    </w:p>
    <w:p w14:paraId="663DBB96"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rPr>
        <w:t>1.   Any person filing a civil action shall simultaneously serve notice of such action and a copy of the complaint upon the department. Failure to so serve a notice does not adversely affect any plaintiff's cause of action.</w:t>
      </w:r>
    </w:p>
    <w:p w14:paraId="69524B92"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rPr>
        <w:t>2.   An employee </w:t>
      </w:r>
      <w:r>
        <w:rPr>
          <w:color w:val="212121"/>
          <w:u w:val="single"/>
        </w:rPr>
        <w:t>or </w:t>
      </w:r>
      <w:r>
        <w:rPr>
          <w:color w:val="000000"/>
          <w:u w:val="single"/>
        </w:rPr>
        <w:t>high-volume for-hire vehicle driver</w:t>
      </w:r>
      <w:r>
        <w:rPr>
          <w:color w:val="212121"/>
        </w:rPr>
        <w:t xml:space="preserve"> need not file a complaint with the department pursuant to subdivision b of section 20-1207 before bringing a civil action; however, </w:t>
      </w:r>
      <w:r>
        <w:rPr>
          <w:color w:val="212121"/>
        </w:rPr>
        <w:lastRenderedPageBreak/>
        <w:t>no person shall file a civil action after filing a complaint with the department </w:t>
      </w:r>
      <w:r>
        <w:rPr>
          <w:color w:val="212121"/>
          <w:u w:val="single"/>
        </w:rPr>
        <w:t>based on the same facts</w:t>
      </w:r>
      <w:r>
        <w:rPr>
          <w:color w:val="212121"/>
        </w:rPr>
        <w:t> unless such complaint has been withdrawn or dismissed without prejudice to further action.</w:t>
      </w:r>
    </w:p>
    <w:p w14:paraId="152A1754"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rPr>
        <w:t>3.   No person shall file a complaint with the department after filing a civil action </w:t>
      </w:r>
      <w:r>
        <w:rPr>
          <w:color w:val="212121"/>
          <w:u w:val="single"/>
        </w:rPr>
        <w:t>based on the same facts</w:t>
      </w:r>
      <w:r>
        <w:rPr>
          <w:color w:val="212121"/>
        </w:rPr>
        <w:t> unless such action has been withdrawn or dismissed without prejudice to further action.</w:t>
      </w:r>
    </w:p>
    <w:p w14:paraId="0ACDAB97"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rPr>
        <w:t>4.   The commencement or pendency of a civil action by an employee </w:t>
      </w:r>
      <w:r>
        <w:rPr>
          <w:color w:val="212121"/>
          <w:u w:val="single"/>
        </w:rPr>
        <w:t>or </w:t>
      </w:r>
      <w:r>
        <w:rPr>
          <w:color w:val="000000"/>
          <w:u w:val="single"/>
        </w:rPr>
        <w:t>a high-volume for-hire vehicle driver</w:t>
      </w:r>
      <w:r>
        <w:rPr>
          <w:color w:val="212121"/>
        </w:rPr>
        <w:t> does not preclude the department from investigating the employer </w:t>
      </w:r>
      <w:r>
        <w:rPr>
          <w:color w:val="000000"/>
          <w:u w:val="single"/>
        </w:rPr>
        <w:t>or the high-volume for-hire vehicle service,</w:t>
      </w:r>
      <w:r>
        <w:rPr>
          <w:color w:val="212121"/>
        </w:rPr>
        <w:t> or commencing, prosecuting or settling a case against the employer </w:t>
      </w:r>
      <w:r>
        <w:rPr>
          <w:color w:val="000000"/>
          <w:u w:val="single"/>
        </w:rPr>
        <w:t>or the high-volume for-hire vehicle service</w:t>
      </w:r>
      <w:r>
        <w:rPr>
          <w:color w:val="212121"/>
        </w:rPr>
        <w:t> based on some or all of the same violations.</w:t>
      </w:r>
    </w:p>
    <w:p w14:paraId="0F3C6A91"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 8. Subdivisions a and c of section 20-1212 of the administrative code of the city of New York, subdivision a as amended by local law number 2 for the year 2021 and subdivision c as added by local law number 107 for the year 2017, are amended to read as follows:</w:t>
      </w:r>
    </w:p>
    <w:p w14:paraId="1BD104AF"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rPr>
        <w:t>a.   Cause of action</w:t>
      </w:r>
      <w:r>
        <w:rPr>
          <w:i/>
          <w:iCs/>
          <w:color w:val="212121"/>
        </w:rPr>
        <w:t>.</w:t>
      </w:r>
    </w:p>
    <w:p w14:paraId="3CAD7668"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rPr>
        <w:t>1.   Where reasonable cause exists to believe that an employer </w:t>
      </w:r>
      <w:r>
        <w:rPr>
          <w:color w:val="212121"/>
          <w:u w:val="single"/>
        </w:rPr>
        <w:t>or </w:t>
      </w:r>
      <w:r>
        <w:rPr>
          <w:color w:val="000000"/>
          <w:u w:val="single"/>
        </w:rPr>
        <w:t>high-volume for-hire vehicle service</w:t>
      </w:r>
      <w:r>
        <w:rPr>
          <w:color w:val="212121"/>
        </w:rPr>
        <w:t> is engaged in a pattern or practice of violations of this chapter, the corporation counsel may commence a civil action on behalf of the city in a court of competent jurisdiction.</w:t>
      </w:r>
    </w:p>
    <w:p w14:paraId="65A43C89" w14:textId="1EC04A47" w:rsidR="003E06CC" w:rsidRPr="003313D3" w:rsidRDefault="003E06CC" w:rsidP="003313D3">
      <w:pPr>
        <w:pStyle w:val="NormalWeb"/>
        <w:shd w:val="clear" w:color="auto" w:fill="FFFFFF"/>
        <w:spacing w:before="0" w:beforeAutospacing="0" w:after="0" w:afterAutospacing="0" w:line="480" w:lineRule="auto"/>
        <w:ind w:firstLine="720"/>
        <w:jc w:val="both"/>
        <w:rPr>
          <w:color w:val="212121"/>
        </w:rPr>
      </w:pPr>
      <w:r>
        <w:rPr>
          <w:color w:val="212121"/>
        </w:rPr>
        <w:t>2.   The corporation counsel shall commence such action by filing a complaint setting forth facts relating to such pattern or practice and requesting relief, which may include injunctive relief, relief [for employees] set forth in </w:t>
      </w:r>
      <w:r w:rsidRPr="003313D3">
        <w:rPr>
          <w:color w:val="212121"/>
        </w:rPr>
        <w:t>section 20-1208, civil penalties set forth in section 20-1209, and any other appropriate relief.</w:t>
      </w:r>
    </w:p>
    <w:p w14:paraId="68B33BEB" w14:textId="77777777" w:rsidR="003E06CC" w:rsidRPr="003313D3" w:rsidRDefault="003E06CC" w:rsidP="003313D3">
      <w:pPr>
        <w:pStyle w:val="NormalWeb"/>
        <w:shd w:val="clear" w:color="auto" w:fill="FFFFFF"/>
        <w:spacing w:before="0" w:beforeAutospacing="0" w:after="0" w:afterAutospacing="0" w:line="480" w:lineRule="auto"/>
        <w:ind w:firstLine="720"/>
        <w:jc w:val="both"/>
        <w:rPr>
          <w:color w:val="212121"/>
        </w:rPr>
      </w:pPr>
      <w:r>
        <w:rPr>
          <w:color w:val="212121"/>
        </w:rPr>
        <w:lastRenderedPageBreak/>
        <w:t>3.   Such action may be commenced only by the corporation counsel or such other persons designated by the corporation counsel.</w:t>
      </w:r>
    </w:p>
    <w:p w14:paraId="3F0E92A5"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rPr>
        <w:t>c.   Civil penalty</w:t>
      </w:r>
      <w:r w:rsidRPr="003313D3">
        <w:rPr>
          <w:color w:val="212121"/>
        </w:rPr>
        <w:t>.</w:t>
      </w:r>
      <w:r>
        <w:rPr>
          <w:color w:val="212121"/>
        </w:rPr>
        <w:t> In any civil action commenced pursuant to subdivision a of this section, the trier of fact may impose [a] </w:t>
      </w:r>
      <w:r>
        <w:rPr>
          <w:color w:val="212121"/>
          <w:u w:val="single"/>
        </w:rPr>
        <w:t>an additional</w:t>
      </w:r>
      <w:r>
        <w:rPr>
          <w:color w:val="212121"/>
        </w:rPr>
        <w:t> civil penalty of not more than $15,000 for a finding that an employer </w:t>
      </w:r>
      <w:r>
        <w:rPr>
          <w:color w:val="212121"/>
          <w:u w:val="single"/>
        </w:rPr>
        <w:t>or </w:t>
      </w:r>
      <w:r>
        <w:rPr>
          <w:color w:val="000000"/>
          <w:u w:val="single"/>
        </w:rPr>
        <w:t>high-volume for-hire vehicle service</w:t>
      </w:r>
      <w:r>
        <w:rPr>
          <w:color w:val="212121"/>
        </w:rPr>
        <w:t> has engaged in a pattern or practice of violations of this chapter. Any civil penalty so recovered shall be paid into the general fund of the city.</w:t>
      </w:r>
    </w:p>
    <w:p w14:paraId="2D1C897A"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 9. Chapter 12 of title 20 of the administrative code of the city of New York is amended by adding a new subchapter 8 to read as follows:</w:t>
      </w:r>
    </w:p>
    <w:p w14:paraId="3AD2D660" w14:textId="77777777" w:rsidR="003E06CC" w:rsidRDefault="003E06CC" w:rsidP="003E06CC">
      <w:pPr>
        <w:pStyle w:val="NormalWeb"/>
        <w:shd w:val="clear" w:color="auto" w:fill="FFFFFF"/>
        <w:spacing w:before="0" w:beforeAutospacing="0" w:after="0" w:afterAutospacing="0" w:line="480" w:lineRule="auto"/>
        <w:ind w:firstLine="720"/>
        <w:jc w:val="center"/>
        <w:rPr>
          <w:color w:val="000000"/>
          <w:sz w:val="27"/>
          <w:szCs w:val="27"/>
        </w:rPr>
      </w:pPr>
      <w:r>
        <w:rPr>
          <w:color w:val="000000"/>
          <w:u w:val="single"/>
        </w:rPr>
        <w:t>SUBCHAPTER 8</w:t>
      </w:r>
    </w:p>
    <w:p w14:paraId="4576FE89" w14:textId="77777777" w:rsidR="003E06CC" w:rsidRDefault="003E06CC" w:rsidP="003E06CC">
      <w:pPr>
        <w:pStyle w:val="NormalWeb"/>
        <w:shd w:val="clear" w:color="auto" w:fill="FFFFFF"/>
        <w:spacing w:before="0" w:beforeAutospacing="0" w:after="0" w:afterAutospacing="0" w:line="480" w:lineRule="auto"/>
        <w:jc w:val="center"/>
        <w:rPr>
          <w:color w:val="000000"/>
          <w:sz w:val="27"/>
          <w:szCs w:val="27"/>
        </w:rPr>
      </w:pPr>
      <w:r>
        <w:rPr>
          <w:color w:val="000000"/>
          <w:u w:val="single"/>
        </w:rPr>
        <w:t>WRONGFUL DEACTIVATION OF HIGH VOLUME FOR-HIRE VEHICLE DRIVERS</w:t>
      </w:r>
    </w:p>
    <w:p w14:paraId="010FA990"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20-1281 Definitions. As used in this subchapter, the following terms have the following meanings:</w:t>
      </w:r>
    </w:p>
    <w:p w14:paraId="50E899FB"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Account sharing. The term “account sharing” means permitting another person to use the high-volume for-hire vehicle driver’s taxi and limousine commission driver’s license, technology system login credentials, or driver platform login credentials, while performing driving services for a high-volume for-hire vehicle service.</w:t>
      </w:r>
    </w:p>
    <w:p w14:paraId="06681385"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Deactivation. The term “deactivation” means: (i) an indefinite or permanent discharge, termination, or layoff of a high-volume for-hire vehicle driver; or (ii) a revocation or restriction of a high-volume for-hire vehicle driver’s authorization to accept trips on a driver platform that is </w:t>
      </w:r>
      <w:r>
        <w:rPr>
          <w:color w:val="000000"/>
          <w:u w:val="single"/>
        </w:rPr>
        <w:lastRenderedPageBreak/>
        <w:t>either continuously in effect for at least 72 hours or consists of multiple periods of revocation or restriction that total at least 168 hours within a 1-year period.</w:t>
      </w:r>
    </w:p>
    <w:p w14:paraId="61C19262"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Driver platform. The term “driver platform” means the driver-facing application or other application, service, website, or system used by a high-volume for-hire vehicle driver by which a high-volume for-hire vehicle service dispatches or facilitates the dispatching of passenger trips to such driver for compensation.</w:t>
      </w:r>
    </w:p>
    <w:p w14:paraId="5A1994DD"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Driving performance data. The term “driving performance data” means any data regarding a high-volume for hire vehicle driver’s operation of a for-hire vehicle, including, but not limited to, data recording a high-volume for-hire vehicle driver’s rates of acceleration, deceleration, braking, speed, road movements, or any other electronic monitoring of driving performance.</w:t>
      </w:r>
    </w:p>
    <w:p w14:paraId="2270C544"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Egregious misconduct. The term “egregious misconduct” means (i) conduct that poses an imminent danger to other persons, including but not limited to violence, threats to engage in violence, sexual harassment, or sexual assault or (ii) discrimination in violation of federal, state, or local law.</w:t>
      </w:r>
    </w:p>
    <w:p w14:paraId="5B4C9985"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High-volume for-hire vehicle driver. The term “high-volume for-hire vehicle driver” means a driver who performs driving services for a high-volume for-hire vehicle service, or who performs driving services for a third-party as a result of receiving a dispatch or referral from a high-volume for-hire vehicle service.</w:t>
      </w:r>
    </w:p>
    <w:p w14:paraId="24AA58A9"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High-volume for-hire vehicle service. The term “high-volume for-hire vehicle service” has the same meaning as set forth in subdivision gg of section 19-502.</w:t>
      </w:r>
    </w:p>
    <w:p w14:paraId="361820F7"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Just cause. The term “just cause” means that the high-volume for-hire vehicle driver engaged in egregious misconduct, failed to satisfactorily perform their job duties, or engaged in any other misconduct that is demonstrably and materially harmful to the high-volume for-hire vehicle service’s legitimate business interests.</w:t>
      </w:r>
    </w:p>
    <w:p w14:paraId="56B567D7"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Prior deactivation. The term “prior deactivation” means a deactivation that occurred during the 7 years prior to the effective date of the local law that added this subchapter.</w:t>
      </w:r>
    </w:p>
    <w:p w14:paraId="085D8138"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Probation period. The term “probation period” means a period of 30 calendar days beginning on the first date that a high-volume for-hire vehicle driver performs driving services for a high-volume for-hire vehicle service.</w:t>
      </w:r>
    </w:p>
    <w:p w14:paraId="0632FA38"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Progressive discipline. The term “progressive discipline” means a disciplinary system that provides for a graduated range of reasonable disciplinary measures, including but not limited to warnings and further training requirements, in response to a high-volume for-hire vehicle driver’s misconduct or failure to satisfactorily perform job duties for a high-volume for-hire vehicle service, with the type of disciplinary measure varying based on the frequency and degree of such misconduct or failure.</w:t>
      </w:r>
    </w:p>
    <w:p w14:paraId="6CB5E4A6"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20-1282 Prohibition on wrongful deactivation. a. A high-volume for-hire vehicle service shall not deactivate a high-volume for-hire vehicle driver after such high-volume for-hire vehicle driver’s probation period with such service except for just cause, for a bona fide economic reason, as described in section 20-1284, or where federal, state, or local law or rule requires such high-volume for-hire vehicle service to deactivate such high-volume for-hire vehicle driver.</w:t>
      </w:r>
    </w:p>
    <w:p w14:paraId="191197E3"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b. In determining whether a high-volume for-hire vehicle service has deactivated a high-volume for-hire vehicle driver for just cause, a fact-finder shall consider, in addition to any other relevant factors, whether:</w:t>
      </w:r>
    </w:p>
    <w:p w14:paraId="52FCA260"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Such high-volume for-hire vehicle driver knew or should have known of such high-volume for-hire vehicle service’s policy, rule, or practice that forms a basis for progressive discipline or such deactivation and knew or should have known of the potential consequences for violation of such policy, rule, or practice;</w:t>
      </w:r>
    </w:p>
    <w:p w14:paraId="40EE1E95"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Such high-volume for-hire vehicle service’s policy, rule, or practice that forms a basis for progressive discipline or such deactivation is reasonably related to safe and efficient high-volume for-hire vehicle service operations;</w:t>
      </w:r>
    </w:p>
    <w:p w14:paraId="0A180E94"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Such high-volume for-hire vehicle service provided relevant and adequate training to such high-volume for-hire vehicle driver;</w:t>
      </w:r>
    </w:p>
    <w:p w14:paraId="57F3EC13"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4. Such high-volume for-hire vehicle service’s policy, rule or practice that forms a basis for such deactivation, including the utilization of progressive discipline, was reasonable and applied consistently;</w:t>
      </w:r>
    </w:p>
    <w:p w14:paraId="43B48A77"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5. Such high-volume for-hire vehicle service undertook a fair and objective investigation into the high-volume for-hire vehicle driver’s job performance as well as their misconduct or failure to satisfactorily perform job duties;</w:t>
      </w:r>
    </w:p>
    <w:p w14:paraId="0030D0D9"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6. Such deactivation is a reasonable response to such high-volume for-hire vehicle driver’s job performance as well as their misconduct or failure to satisfactorily perform job duties and </w:t>
      </w:r>
      <w:r>
        <w:rPr>
          <w:color w:val="000000"/>
          <w:u w:val="single"/>
        </w:rPr>
        <w:lastRenderedPageBreak/>
        <w:t>accounts for any mitigating circumstances, including but not limited to such high-volume for-hire vehicle driver’s past work history; and</w:t>
      </w:r>
    </w:p>
    <w:p w14:paraId="6BC8D199"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7. Such high-volume for-hire vehicle driver violated the policy, rule or practice or engaged in any misconduct or failure to satisfactorily perform job duties that forms a basis for progressive discipline or such deactivation.</w:t>
      </w:r>
    </w:p>
    <w:p w14:paraId="121DC057"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Except where deactivation is for alleged egregious misconduct, a deactivation of a high-volume for-hire vehicle driver shall not be considered based on just cause unless a high-volume for-hire vehicle service demonstrates that:</w:t>
      </w:r>
    </w:p>
    <w:p w14:paraId="1A687EBB"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Such high-volume for-hire vehicle service has utilized progressive discipline; provided, however, that such high-volume for-hire vehicle service may not rely on progressive discipline issued more than 1 year before such deactivation; and</w:t>
      </w:r>
    </w:p>
    <w:p w14:paraId="35D29D75"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Such high-volume for-hire vehicle service had a written policy on progressive discipline that was in effect and was provided to such high-volume for-hire vehicle driver.</w:t>
      </w:r>
    </w:p>
    <w:p w14:paraId="6BEF5CF4"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d. A high-volume for-hire vehicle service shall provide the high-volume for-hire vehicle driver with notice of an impendent deactivation 14 days in advance of the impending deactivation, except that (i) where a deactivation of a high-volume for-hire vehicle driver is for a bona fide economic reason, as described in section 20-1284, a high-volume for-hire vehicle service must provide, in a form and manner designated by the department, an advance notice of layoff to such high-volume for-hire vehicle driver at least 120 days prior to such deactivation, and (ii) advance notice is not required where a deactivation is for egregious misconduct, account sharing, or if there is a pattern of repeated fraudulent behavior. Such advance notice shall state all the precise and </w:t>
      </w:r>
      <w:r>
        <w:rPr>
          <w:color w:val="000000"/>
          <w:u w:val="single"/>
        </w:rPr>
        <w:lastRenderedPageBreak/>
        <w:t>detailed reasons for and the effective date of such deactivation. Such advance notice shall include information about: (i) such high-volume for-hire vehicle driver’s right to challenge such deactivation as unlawful pursuant to this subchapter; (ii) how such high-volume for-hire vehicle driver may initiate an informal resolution process with such high-volume for-hire vehicle service pursuant to section 20-1287; (iii) the opportunity for such high-volume for-hire vehicle driver to submit evidence to substantiate a challenge to such deactivation; (iv) such high-volume for-hire vehicle driver’s right to file a complaint with the department, or initiate a private action; and (v) eligible high-volume for-hire vehicle drivers’ rights to access unemployment insurance.</w:t>
      </w:r>
    </w:p>
    <w:p w14:paraId="58CDF978"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e. Within 5 days after deactivating a high-volume for-hire vehicle driver for egregious misconduct, account sharing, or if there is a pattern of repeated fraudulent behavior, a high-volume for-hire vehicle service shall provide, in a form and manner designated by the department, a notice of deactivation to such high-volume for-hire vehicle driver which contains a written explanation of all the precise and detailed reasons for such deactivation and the effective date of such deactivation. Such notice shall include information about: (i) such high-volume for-hire vehicle driver’s right to challenge such deactivation as unlawful pursuant to this subchapter; (ii) how such high-volume for-hire vehicle driver may initiate an informal resolution process with such high-volume for-hire vehicle service pursuant to section 20-1287; (iii) the opportunity for such high-volume for-hire vehicle driver to submit evidence to substantiate a challenge to such deactivation; (iv) such high-volume for-hire vehicle driver’s right to file a complaint with the department, or initiate a private action; and (v) eligible high-volume for-hire vehicle drivers’ rights to access unemployment insurance.</w:t>
      </w:r>
    </w:p>
    <w:p w14:paraId="70E8621C"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f. This section shall not apply to any deactivation that occurred prior to the effective date of the local law that added this section.</w:t>
      </w:r>
    </w:p>
    <w:p w14:paraId="1E08AD22"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20-1283 Prior deactivations. a. </w:t>
      </w:r>
      <w:r>
        <w:rPr>
          <w:color w:val="212121"/>
          <w:u w:val="single"/>
        </w:rPr>
        <w:t>Within 1 year after the effective date of the local law that added this section, a </w:t>
      </w:r>
      <w:r>
        <w:rPr>
          <w:color w:val="000000"/>
          <w:u w:val="single"/>
        </w:rPr>
        <w:t>high-volume for-hire vehicle driver who was subject to a prior deactivation by a high-volume for-hire vehicle service may petition such high-volume for-hire vehicle service for reinstatement or restoration of access to such high-volume for-hire vehicle service’s driver platform. Within 30 days after receipt of such petition, such high-volume for-hire vehicle service shall reinstate or restore such high-volume for-hire vehicle driver’s access to such driver platform, unless such prior deactivation occurred during the probation period or was for just cause, for a bona fide economic reason, as described in section 20-1284, or required by federal, state, or local law or rule.</w:t>
      </w:r>
    </w:p>
    <w:p w14:paraId="4DE6A6A0"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In determining whether a prior deactivation of a high-volume for-hire vehicle driver by a high-volume for-hire vehicle service was for just cause, a fact-finder shall consider, in addition to any other relevant factors, whether:</w:t>
      </w:r>
    </w:p>
    <w:p w14:paraId="24932796"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Such high-volume for-hire vehicle driver knew or should have known of such high-volume for-hire vehicle service’s policy, rule, or practice that formed a basis for such prior deactivation and knew or should have known of the potential consequences for violation of such policy, rule or practice;</w:t>
      </w:r>
    </w:p>
    <w:p w14:paraId="3C6268B4"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Such high-volume for-hire vehicle service’s policy, rule, or practice that formed a basis for such prior deactivation was reasonably related to safe and efficient high-volume for-hire vehicle service operations;</w:t>
      </w:r>
    </w:p>
    <w:p w14:paraId="2657989C"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3. Such high-volume for-hire vehicle service’s policy, rule or practice that formed a basis for such prior deactivation was reasonable and applied consistently;</w:t>
      </w:r>
    </w:p>
    <w:p w14:paraId="09865CA3"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4. Such prior deactivation was a reasonable response to such high-volume for-hire vehicle driver’s job performance as well as their misconduct or failure to satisfactorily perform job duties and accounted for any mitigating circumstances, including, but not limited to, such high-volume for-hire vehicle driver’s past work history;</w:t>
      </w:r>
    </w:p>
    <w:p w14:paraId="029C8307"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5. Such high-volume for-hire vehicle driver violated the policy, rule, or practice or committed the misconduct or failure to satisfactorily perform job duties that formed a basis for such prior deactivation; and</w:t>
      </w:r>
    </w:p>
    <w:p w14:paraId="495B64A8"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6. Such high-volume for-hire vehicle service considered any exculpatory evidence or other facts indicating that such high-volume for-hire vehicle driver did not violate such high-volume for-hire vehicle service’s policy, rule or practice.</w:t>
      </w:r>
    </w:p>
    <w:p w14:paraId="523154F4"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c. If a high-volume for-hire vehicle service does not reinstate or restore access of a high-volume for-hire vehicle driver who was subject to a prior deactivation to such high-volume for-hire vehicle service’s driver platform within 30 days after receipt of a petition pursuant to subdivision a of this section, such high-volume for-hire vehicle service shall provide a written explanation, in a form and manner designated by the department, to such high-volume for-hire vehicle driver of all the precise and detailed reasons for such prior deactivation. Such written explanation shall include information about: (i) such high-volume for-hire vehicle driver’s right to challenge such prior deactivation as unlawful pursuant to this subchapter; (ii) how such high-volume for-hire vehicle driver may initiate an informal resolution process with the high-volume </w:t>
      </w:r>
      <w:r>
        <w:rPr>
          <w:color w:val="000000"/>
          <w:u w:val="single"/>
        </w:rPr>
        <w:lastRenderedPageBreak/>
        <w:t>for-hire vehicle service pursuant to section 20-1287; (iii) the opportunity of such high-volume for-hire vehicle driver to submit evidence to substantiate a challenge to such prior deactivation; (iv) such high-volume for-hire vehicle driver’s right to file a complaint with the department, or initiate a private action; and (v) how a high-volume for-hire vehicle driver  may apply for unemployment benefits.</w:t>
      </w:r>
    </w:p>
    <w:p w14:paraId="4994EFE7"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 Notwithstanding any other provision of this section, a high-volume for-hire vehicle service may decline to immediately reinstate or restore access to such high-volume for-hire vehicle service’s driver platform to a high-volume for-hire vehicle driver whose access is required to be reinstated or restored pursuant to subdivision a of this section if such high-volume for-hire vehicle service is not providing access to such driver platform to any new high-volume for-hire vehicle driver, and has not provided such access during the 3 months prior to the effective date of the local law that added this section. Where such high-volume for-hire vehicle service declines to immediately reinstate or restore access to such driver platform pursuant to this subdivision, such high-volume for-hire vehicle service shall maintain a waitlist of high-volume for-hire vehicle drivers whose access to such driver platform is required to be reinstated or restored pursuant to subdivision a of this section and reinstate or restore such high-volume for-hire vehicle drivers’ access to such driver platform, in the order in which such high-volume for-hire vehicle drivers were placed on such waitlist, provided  that any such driver meets the minimum requirements that apply to all current high-volume for-hire vehicle drivers for such high-volume for-hire vehicle service,  prior to providing any other new high-volume for-hire vehicle driver access to such driver platform.</w:t>
      </w:r>
    </w:p>
    <w:p w14:paraId="71C453E5"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 20-1284 Bona fide economic reasons. a. A deactivation, including a prior deactivation, shall not be considered based on a bona fide economic reason unless supported by a high-volume for-hire vehicle service’s business records demonstrating that such deactivation is in response to: (i) a proportionate reduction in volume of sales or profit within the fiscal quarter prior to the issuance of a notice of layoff required by subdivision d of section 20-1282; or (ii) a high-volume for-hire vehicle service discontinuing its driving services in the city.</w:t>
      </w:r>
    </w:p>
    <w:p w14:paraId="13D37660"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1. Deactivations of high volume for-hire vehicle drivers based on bona fide economic reason shall be done in reverse order of seniority, so that high volume for-hire vehicle drivers with the greatest seniority shall be retained the longest and reinstated or restored access to the driver platform first.</w:t>
      </w:r>
    </w:p>
    <w:p w14:paraId="3270EFDB"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A high-volume for-hire vehicle service shall make reasonable efforts to offer reinstatement or </w:t>
      </w:r>
      <w:r>
        <w:rPr>
          <w:color w:val="212121"/>
          <w:u w:val="single"/>
        </w:rPr>
        <w:t>restoration of access to such high-volume for-hire vehicle service’s driver platform</w:t>
      </w:r>
      <w:r>
        <w:rPr>
          <w:color w:val="000000"/>
          <w:u w:val="single"/>
        </w:rPr>
        <w:t> to any high-volume for-hire vehicle driver deactivated by such high-volume for-hire vehicle service based on a bona fide economic reason within the previous 3 years, if any, before such high-volume for-hire vehicle service may provide any other new high-volume for-hire vehicle driver access to such driver platform.</w:t>
      </w:r>
    </w:p>
    <w:p w14:paraId="31AE7A21"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This subdivision shall apply only to deactivations that occur on or after the effective date of the local law that added this section.</w:t>
      </w:r>
    </w:p>
    <w:p w14:paraId="0D90081A"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20-1285 Burden of proof; evidence. a. In any proceeding alleging a violation by a high-volume for-hire vehicle service of section </w:t>
      </w:r>
      <w:r>
        <w:rPr>
          <w:color w:val="212529"/>
          <w:u w:val="single"/>
        </w:rPr>
        <w:t>20-1282 or section 20-1283</w:t>
      </w:r>
      <w:r>
        <w:rPr>
          <w:color w:val="000000"/>
          <w:u w:val="single"/>
        </w:rPr>
        <w:t xml:space="preserve">, such high-volume for-hire vehicle service shall bear the burden of proving just cause and bona fide economic reason pursuant </w:t>
      </w:r>
      <w:r>
        <w:rPr>
          <w:color w:val="000000"/>
          <w:u w:val="single"/>
        </w:rPr>
        <w:lastRenderedPageBreak/>
        <w:t>to </w:t>
      </w:r>
      <w:r>
        <w:rPr>
          <w:color w:val="212529"/>
          <w:u w:val="single"/>
        </w:rPr>
        <w:t>section 20-1282 or 20-1283 </w:t>
      </w:r>
      <w:r>
        <w:rPr>
          <w:color w:val="000000"/>
          <w:u w:val="single"/>
        </w:rPr>
        <w:t>by a preponderance of the evidence, subject to the rules of evidence as set forth in the civil practice law and rules or, where applicable, the common law.</w:t>
      </w:r>
    </w:p>
    <w:p w14:paraId="69938531"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In determining whether a high-volume for-hire vehicle service had just cause for a deactivation, a fact-finder may not consider any reasons proffered by the high-volume for-hire vehicle service not included in the notice of deactivation provided to the high-volume for-hire vehicle driver pursuant to subdivision e of section 20-1282 or the written explanation provided to the high-volume for-hire vehicle driver pursuant to subdivision c of section 20-1283.</w:t>
      </w:r>
    </w:p>
    <w:p w14:paraId="5B698809"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When determining damages, the fact-finder may take into account any evidence the high-volume for-hire vehicle driver submitted pursuant to subdivision d or e of section 20-1282, subdivision c of section 20-1283, or section 20-1287, that was not timely or duly considered by the high-volume for-hire vehicle service.</w:t>
      </w:r>
    </w:p>
    <w:p w14:paraId="7A9495EF"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A high-volume for-hire vehicle driver may submit evidence in any proceeding alleging a violation of this subchapter that was not provided to the high-volume for-hire vehicle service pursuant to subdivision d or e of section 20-1282, subdivision c of section 20-1283, or section 20-1287 and no negative inference or consequence shall apply to a high-volume for-hire vehicle driver’s decision not to submit evidence pursuant to these provisions.</w:t>
      </w:r>
    </w:p>
    <w:p w14:paraId="3148FBC5"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20-1286 Provision of data. a. Upon the issuance of a notice of deactivation required pursuant to subdivision e of section 20-1282, a high-volume for-hire vehicle service shall provide a deactivated high-volume for-hire vehicle driver with information and data relevant to such high-volume for-hire driver’s deactivation. Such information shall include, but need not be limited to:</w:t>
      </w:r>
    </w:p>
    <w:p w14:paraId="57EF777A"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Driving performance data specific to such high-volume for-hire vehicle driver;</w:t>
      </w:r>
    </w:p>
    <w:p w14:paraId="18C76508"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2. All customer comments, ratings, and complaints received regarding the high-volume for-hire vehicle driver; and</w:t>
      </w:r>
    </w:p>
    <w:p w14:paraId="347B91FD"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Anonymized and aggregated reports, covering the 12 months prior to such high-volume for-hire vehicle driver’s deactivation, regarding discipline, including deactivation, imposed by such high-volume for-hire vehicle service on any other high-volume for-hire vehicle drivers who engaged in the same or similar misconduct or failure to satisfactorily perform job duties forming a basis for the deactivation of the high-volume for-hire vehicle driver subject to such notice.</w:t>
      </w:r>
    </w:p>
    <w:p w14:paraId="039C6597"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The information or data required by subdivision a of this section shall be redacted to remove the personally identifiable information of passengers. This requirement does not apply to any independent obligation to produce information, including but not limited to any production of information required as part of an adjudicatory hearing. </w:t>
      </w:r>
    </w:p>
    <w:p w14:paraId="21F1FAB2"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Upon the issuance of the notice required pursuant to subdivision c of section 20-1283, a high-volume for-hire vehicle service shall provide a deactivated high-volume for-hire vehicle driver with information and data relevant to such high-volume for-hire driver’s deactivation, including all information required under subdivision a of this section, to the extent that such information is available to such high-volume for-hire vehicle service.</w:t>
      </w:r>
    </w:p>
    <w:p w14:paraId="5B2B31EA"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 For at least 6 years after deactivating a high-volume for-hire vehicle driver, a high-volume for-hire vehicle service must continue to provide such high-volume for-hire vehicle driver with access to all information and data concerning such high-volume for-hire vehicle driver that such high-volume for-hire vehicle driver had access to prior to deactivation, including but not limited to such high-volume for-hire vehicle driver’s tax and payment records.</w:t>
      </w:r>
    </w:p>
    <w:p w14:paraId="2326C124"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 20-1287 Informal resolution process. a. A high-volume for-hire vehicle service shall maintain an email address, website, or other form of electronic communication through which a high-volume for-hire vehicle driver or their representative may challenge such high-volume for-hire vehicle driver’s deactivation, prior deactivation, or impending deactivation for which such high-volume for-hire vehicle driver received a notice of layoff pursuant to subdivision d of section 20-1282, as unlawful pursuant to this subchapter. Such high-volume for-hire vehicle service must provide such high-volume for-hire vehicle driver an opportunity to submit evidence to substantiate any such challenge and accept written communications pursuant to this section in the language in which they are written.</w:t>
      </w:r>
    </w:p>
    <w:p w14:paraId="20CC4178"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A high-volume for-hire vehicle driver may seek informal resolution of a deactivation of such high-volume for-hire vehicle driver, or an impending deactivation for which such high-volume for-hire vehicle driver receives a notice of layoff pursuant to subdivision d of section 20-1282, by a high-volume for-hire vehicle service by initiating, an informal resolution process through the email address, website, or other form of electronic communication maintained by such high-volume for-hire vehicle service pursuant to subdivision a of this section, or through any other means that such high-volume for-hire vehicle driver and such high-volume for-hire vehicle service agree to. The parties shall have 15 days after commencing such informal resolution process to reach a resolution, unless such high-volume for-hire vehicle driver and such high-volume for-hire vehicle service mutually agree to a longer timeframe. If the parties resolve a challenge pursuant to this subdivision, they shall memorialize such resolution in a written agreement, on a form provided by the department.</w:t>
      </w:r>
    </w:p>
    <w:p w14:paraId="56F865B2"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c. The high-volume for-hire vehicle service’s failure to engage in good faith with the informal resolution process shall be a violation subject to a civil penalty under section 20-1209, but such violation shall not be subject to enforcement pursuant to sections 20-1207, 20-1208, 20-1210, 20-1211 and 20-1212.</w:t>
      </w:r>
    </w:p>
    <w:p w14:paraId="126233FC"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 After receiving a complaint pursuant to section 20-1207 alleging a violation of section 20-1282 or 20-1283, the department shall notify the high-volume for-hire vehicle driver or such high-volume for-hire vehicle driver’s representative and the high-volume for-hire vehicle service that they may resolve the complaint through an informal resolution process pursuant to this section.</w:t>
      </w:r>
    </w:p>
    <w:p w14:paraId="5C71079D"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e. Notwithstanding any other provision of this chapter to the contrary, the department shall not proceed with its investigation of a complaint filed pursuant to section 20-1207 alleging a violation of section 20-1282 or 20-1283 unless (i) the high-volume for-hire vehicle driver or such high-volume for-hire vehicle driver’s representative and the high-volume for-hire vehicle service fail to reach a resolution within 15 days after commencement of an informal resolution process pursuant to this section, or (ii) the high-volume for-hire vehicle driver has opted out of the informal resolution process pursuant to this section, in a form and manner specified by the department.</w:t>
      </w:r>
    </w:p>
    <w:p w14:paraId="773DED4B"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20-1288 Reporting; records; information. a. Data collection and reporting. No less than annually, the department shall </w:t>
      </w:r>
      <w:r>
        <w:rPr>
          <w:color w:val="212121"/>
          <w:u w:val="single"/>
        </w:rPr>
        <w:t>make available on the city's website a report on deactivations and alleged violations of sections 20-1282 and 20-1283 during the preceding calendar year. The department shall promulgate rules requiring that high-volume for-hire vehicle services produce anonymized, aggregated data necessary to prepare such report. Such report shall include, with respect to the year preceding the release of such report: (i) the number of </w:t>
      </w:r>
      <w:r>
        <w:rPr>
          <w:color w:val="000000"/>
          <w:u w:val="single"/>
        </w:rPr>
        <w:t xml:space="preserve">high-volume for-hire </w:t>
      </w:r>
      <w:r>
        <w:rPr>
          <w:color w:val="000000"/>
          <w:u w:val="single"/>
        </w:rPr>
        <w:lastRenderedPageBreak/>
        <w:t>vehicle drivers</w:t>
      </w:r>
      <w:r>
        <w:rPr>
          <w:color w:val="212121"/>
          <w:u w:val="single"/>
        </w:rPr>
        <w:t> each high-volume for-hire vehicle service deactivated for just cause, egregious misconduct, and bona fide economic reasons; (ii) the number of </w:t>
      </w:r>
      <w:r>
        <w:rPr>
          <w:color w:val="000000"/>
          <w:u w:val="single"/>
        </w:rPr>
        <w:t>high-volume for-hire vehicle drivers</w:t>
      </w:r>
      <w:r>
        <w:rPr>
          <w:color w:val="212121"/>
          <w:u w:val="single"/>
        </w:rPr>
        <w:t> who filed complaints with the department alleging violations of sections 20-1282 and 20-1283 and the outcomes of such complaints; (iii) the number of </w:t>
      </w:r>
      <w:r>
        <w:rPr>
          <w:color w:val="000000"/>
          <w:u w:val="single"/>
        </w:rPr>
        <w:t>high-volume for-hire vehicle drivers </w:t>
      </w:r>
      <w:r>
        <w:rPr>
          <w:color w:val="212121"/>
          <w:u w:val="single"/>
        </w:rPr>
        <w:t>who initiated an informal resolution process; (iv) the number of </w:t>
      </w:r>
      <w:r>
        <w:rPr>
          <w:color w:val="000000"/>
          <w:u w:val="single"/>
        </w:rPr>
        <w:t>high-volume for-hire vehicle drivers</w:t>
      </w:r>
      <w:r>
        <w:rPr>
          <w:color w:val="212121"/>
          <w:u w:val="single"/>
        </w:rPr>
        <w:t> who reached an informal resolution with a high-volume for-hire vehicle service; (v) the number of </w:t>
      </w:r>
      <w:r>
        <w:rPr>
          <w:color w:val="000000"/>
          <w:u w:val="single"/>
        </w:rPr>
        <w:t>high-volume for-hire vehicle drivers </w:t>
      </w:r>
      <w:r>
        <w:rPr>
          <w:color w:val="212121"/>
          <w:u w:val="single"/>
        </w:rPr>
        <w:t>who commenced arbitrations or private actions that include claims alleging violations of sections 20-1282 or 20-1283 and the outcomes of such proceedings; and (vi) any other information the department deems relevant. Until all </w:t>
      </w:r>
      <w:r>
        <w:rPr>
          <w:color w:val="000000"/>
          <w:u w:val="single"/>
        </w:rPr>
        <w:t>high-volume for-hire vehicle drivers</w:t>
      </w:r>
      <w:r>
        <w:rPr>
          <w:color w:val="212121"/>
          <w:u w:val="single"/>
        </w:rPr>
        <w:t> placed on a waitlist pursuant to section 20-1283 have had their driver platform access restored, such report shall also include the number of </w:t>
      </w:r>
      <w:r>
        <w:rPr>
          <w:color w:val="000000"/>
          <w:u w:val="single"/>
        </w:rPr>
        <w:t>high-volume for-hire vehicle drivers</w:t>
      </w:r>
      <w:r>
        <w:rPr>
          <w:color w:val="212121"/>
          <w:u w:val="single"/>
        </w:rPr>
        <w:t> with prior deactivations who petitioned a high-volume for-hire vehicle service for reinstatement or restoration of their access to such high-volume for-hire vehicle service’s driver platform and the number of </w:t>
      </w:r>
      <w:r>
        <w:rPr>
          <w:color w:val="000000"/>
          <w:u w:val="single"/>
        </w:rPr>
        <w:t>high-volume for-hire vehicle drivers</w:t>
      </w:r>
      <w:r>
        <w:rPr>
          <w:color w:val="212121"/>
          <w:u w:val="single"/>
        </w:rPr>
        <w:t> who were placed on a waitlist pursuant to section 20-1283.</w:t>
      </w:r>
    </w:p>
    <w:p w14:paraId="1DC55F98"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u w:val="single"/>
        </w:rPr>
        <w:t>b. Recordkeeping. </w:t>
      </w:r>
      <w:r>
        <w:rPr>
          <w:color w:val="000000"/>
          <w:u w:val="single"/>
        </w:rPr>
        <w:t xml:space="preserve">1.   A high-volume for-hire vehicle service shall retain records documenting its compliance with the applicable requirements of this subchapter for a period of 3 years and shall allow the department to access such records and other information, consistent with applicable law and in accordance with rules of the department and with appropriate notice, in furtherance of an investigation conducted pursuant to this chapter. A high-volume for-hire vehicle service must maintain records in their original format and provide such records to the department </w:t>
      </w:r>
      <w:r>
        <w:rPr>
          <w:color w:val="000000"/>
          <w:u w:val="single"/>
        </w:rPr>
        <w:lastRenderedPageBreak/>
        <w:t>in their original format or a machine-readable electronic format as set forth in rules of the department. </w:t>
      </w:r>
      <w:r>
        <w:rPr>
          <w:color w:val="212121"/>
          <w:u w:val="single"/>
        </w:rPr>
        <w:t>The department may promulgate rules concerning the maintenance, retention, and provision by a high-volume for-hire vehicle service of data necessary to the implementation and enforcement of this subchapter, which may include a</w:t>
      </w:r>
      <w:r>
        <w:rPr>
          <w:color w:val="000000"/>
          <w:u w:val="single"/>
        </w:rPr>
        <w:t> requirement that a high-volume for-hire vehicle service adhere to a uniform system of records and submit such records and other reports as the department may determine, in accordance with applicable law and rules and with appropriate notice.</w:t>
      </w:r>
    </w:p>
    <w:p w14:paraId="37F0FBBF"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The failure of a high-volume for-hire vehicle service to maintain, retain, or produce a record or other information required to be maintained by this chapter and requested by the department in furtherance of an investigation conducted pursuant to this chapter that is relevant to a material fact alleged by the department in a notice of violation issued pursuant to this chapter creates a rebuttable presumption that such fact is true.</w:t>
      </w:r>
    </w:p>
    <w:p w14:paraId="32F6AAB3"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3. To implement or enforce the provisions of this chapter, the department may issue an order or subpoena for the production of data, documents, testimony, or other information from a high-volume for-hire vehicle service. Such data, documents, testimony, or other information may include, but are not limited to, information about the data that a high-volume for-hire vehicle service monitors, collects, or stores about or from a high-volume for-hire vehicle driver or passenger;  information about discipline imposed on a high-volume for-hire vehicle driver; and any other information deemed relevant by the department. In accordance with applicable law and rules and upon reasonable notice of no less than 14 days, a person who receives a request or subpoena for data, documents, or other information pursuant to this section shall produce such </w:t>
      </w:r>
      <w:r>
        <w:rPr>
          <w:color w:val="000000"/>
          <w:u w:val="single"/>
        </w:rPr>
        <w:lastRenderedPageBreak/>
        <w:t>data, documents or information to the department in its original format or a machine-readable electronic format as set forth in rules of the department.</w:t>
      </w:r>
    </w:p>
    <w:p w14:paraId="3BFF667A"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Information and assistance program. The department shall establish a program that provides information and assistance to high-volume for-hire vehicle drivers relating to the provisions of this subchapter. Such program shall include assistance by a natural person by phone and email and outreach and education to the public relating to the provisions of this subchapter. Such program shall not provide legal advice but may provide general information and referrals to legal service providers. The city may provide access to legal services to assist a high-volume for-hire vehicle driver in challenging a deactivation, or impending deactivation for which a high-volume for-hire vehicle driver received a notice of layoff pursuant to subdivision d of section 20-1282, as unlawful pursuant to this subchapter. The mayor may designate an appropriate agency or other entity of the city to contract for such legal services with one or more qualified non-profit legal services organizations.</w:t>
      </w:r>
    </w:p>
    <w:p w14:paraId="500B1ACE"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shd w:val="clear" w:color="auto" w:fill="FFFFFF"/>
        </w:rPr>
        <w:t>§ 20-1289 Progressive discipline policy.</w:t>
      </w:r>
      <w:r>
        <w:rPr>
          <w:color w:val="000000"/>
          <w:u w:val="single"/>
        </w:rPr>
        <w:t> a. A high-volume for-hire vehicle service shall maintain a written progressive discipline policy in a single writing and adhere to such policy.</w:t>
      </w:r>
    </w:p>
    <w:p w14:paraId="55102B6C"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The written policy required pursuant to subdivision a of this section shall satisfy all requirements of this subchapter and, at a minimum, address the following:</w:t>
      </w:r>
    </w:p>
    <w:p w14:paraId="685EBF39"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Types of misconduct by a high-volume for-hire vehicle driver that may warrant discipline;</w:t>
      </w:r>
    </w:p>
    <w:p w14:paraId="15DAEA9E"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w:t>
      </w:r>
      <w:r>
        <w:rPr>
          <w:rFonts w:ascii="Segoe UI" w:hAnsi="Segoe UI" w:cs="Segoe UI"/>
          <w:color w:val="000000"/>
          <w:sz w:val="18"/>
          <w:szCs w:val="18"/>
          <w:u w:val="single"/>
        </w:rPr>
        <w:t> </w:t>
      </w:r>
      <w:r>
        <w:rPr>
          <w:color w:val="000000"/>
          <w:u w:val="single"/>
        </w:rPr>
        <w:t>Any performance standards used to assess failure to satisfactorily perform job duties by a high-volume for-hire driver;</w:t>
      </w:r>
    </w:p>
    <w:p w14:paraId="0A675B03"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3. Disciplinary measures that may be applied to a high-volume for-hire vehicle driver, including but not limited to deactivation;</w:t>
      </w:r>
    </w:p>
    <w:p w14:paraId="3A1B2AA0"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4. Procedures for notifying a high-volume for-hire vehicle driver of disciplinary measures that a high-volume for-hire vehicle service intends to take against such high-volume for-hire vehicle driver and providing an opportunity to respond; and</w:t>
      </w:r>
    </w:p>
    <w:p w14:paraId="3F3F203B"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5. Procedures for applying discipline against a high-volume for-hire vehicle driver.</w:t>
      </w:r>
    </w:p>
    <w:p w14:paraId="73C444AF"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The written policy required pursuant to subdivision a of this section must be clear and specific such that a reasonable person can understand the acts and omissions that may result in deactivation or other disciplinary measures.</w:t>
      </w:r>
    </w:p>
    <w:p w14:paraId="4B8BD1D4"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 The written policy required pursuant to subdivision a of this section must include a notice of rights of high-volume for-hire vehicle drivers that the commissioner shall publish and make available on the city's website.</w:t>
      </w:r>
    </w:p>
    <w:p w14:paraId="4DFD8D5A"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e. A high-volume for-hire vehicle service shall provide the written policy required pursuant to subdivision a of this section to each high-volume for-hire vehicle driver hired, retained, or engaged by such high-volume for-hire vehicle service in English and in any other language as the department may determine by rule. A high-volume for-hire vehicle service shall provide such policy to each high-volume for-hire vehicle driver no later than the effective date of this subdivision, or prior to such high-volume for-hire vehicle driver’s first trip, whichever is later, in a form and manner that the department may determine by rule.</w:t>
      </w:r>
    </w:p>
    <w:p w14:paraId="13249FA6"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f. A high-volume for-hire vehicle service shall notify each high-volume for-hire vehicle driver of any change to the written policy required pursuant to subdivision a of this section at least 14 days before such change takes effect.</w:t>
      </w:r>
    </w:p>
    <w:p w14:paraId="7F0D50A2"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shd w:val="clear" w:color="auto" w:fill="FFFFFF"/>
        </w:rPr>
        <w:t>§ 20-1290 Exceptions. This subchapter shall not:</w:t>
      </w:r>
    </w:p>
    <w:p w14:paraId="3CDB52EF"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shd w:val="clear" w:color="auto" w:fill="FFFFFF"/>
        </w:rPr>
        <w:t>1. Apply to the deactivation of any </w:t>
      </w:r>
      <w:r>
        <w:rPr>
          <w:color w:val="000000"/>
          <w:u w:val="single"/>
        </w:rPr>
        <w:t>high-volume for-hire vehicle driver</w:t>
      </w:r>
      <w:r>
        <w:rPr>
          <w:color w:val="000000"/>
          <w:u w:val="single"/>
          <w:shd w:val="clear" w:color="auto" w:fill="FFFFFF"/>
        </w:rPr>
        <w:t> </w:t>
      </w:r>
      <w:r>
        <w:rPr>
          <w:color w:val="000000"/>
          <w:u w:val="single"/>
        </w:rPr>
        <w:t>by a high-volume for-hire vehicle service </w:t>
      </w:r>
      <w:r>
        <w:rPr>
          <w:color w:val="000000"/>
          <w:u w:val="single"/>
          <w:shd w:val="clear" w:color="auto" w:fill="FFFFFF"/>
        </w:rPr>
        <w:t>during such driver’s probation period with such service;</w:t>
      </w:r>
    </w:p>
    <w:p w14:paraId="45096CDF"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shd w:val="clear" w:color="auto" w:fill="FFFFFF"/>
        </w:rPr>
        <w:t>2. Limit or otherwise affect the applicability of any right or benefit conferred upon or afforded to a </w:t>
      </w:r>
      <w:r>
        <w:rPr>
          <w:color w:val="000000"/>
          <w:u w:val="single"/>
        </w:rPr>
        <w:t>high-volume for-hire vehicle driver</w:t>
      </w:r>
      <w:r>
        <w:rPr>
          <w:color w:val="000000"/>
          <w:u w:val="single"/>
          <w:shd w:val="clear" w:color="auto" w:fill="FFFFFF"/>
        </w:rPr>
        <w:t> by the provisions of any other law, regulation, rule, requirement, policy, or standard including but not limited to any federal, state, or local law providing for protections against retaliation or discrimination;</w:t>
      </w:r>
    </w:p>
    <w:p w14:paraId="15A27CE2"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Limit or otherwise affect the authority of the taxi and limousine commission to issue, revoke, or suspend the licenses of high-volume for-hire vehicle drivers; or</w:t>
      </w:r>
    </w:p>
    <w:p w14:paraId="159DA3B9"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4. Limit or otherwise prevent a </w:t>
      </w:r>
      <w:r>
        <w:rPr>
          <w:color w:val="212121"/>
          <w:u w:val="single"/>
        </w:rPr>
        <w:t>high-volume for-hire vehicle service from deactivating a </w:t>
      </w:r>
      <w:r>
        <w:rPr>
          <w:color w:val="000000"/>
          <w:u w:val="single"/>
        </w:rPr>
        <w:t>high-volume for-hire vehicle driver whose license has been revoked or from deactivating a high-volume for-hire vehicle driver whose license has been suspended for the duration of the suspension.</w:t>
      </w:r>
    </w:p>
    <w:p w14:paraId="5B9EBDD5"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shd w:val="clear" w:color="auto" w:fill="FFFFFF"/>
        </w:rPr>
        <w:t>§</w:t>
      </w:r>
      <w:r>
        <w:rPr>
          <w:color w:val="000000"/>
        </w:rPr>
        <w:t xml:space="preserve"> 10. This local law takes effect 180 days after it becomes law, provided that the commissioner of consumer and worker protection shall take such measures as are necessary for the implementation of this local law, including the promulgation of rules, before such date, and further provided that such rules requiring that a high-volume for-hire vehicle service, as defined in section 20-1281 of the administrative code of the city of New York, as added by section  nine </w:t>
      </w:r>
      <w:r>
        <w:rPr>
          <w:color w:val="000000"/>
        </w:rPr>
        <w:lastRenderedPageBreak/>
        <w:t>of the local law that added this section, provide data, documents, testimony, or other information to the department of consumer and worker protection may take effect before such date.</w:t>
      </w:r>
    </w:p>
    <w:p w14:paraId="73E5751C"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44CAA01E"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2C6D7CEF"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7F5EB516"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sz w:val="18"/>
          <w:szCs w:val="18"/>
          <w:u w:val="single"/>
        </w:rPr>
        <w:t>Session 13</w:t>
      </w:r>
    </w:p>
    <w:p w14:paraId="6F560C25"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sz w:val="18"/>
          <w:szCs w:val="18"/>
        </w:rPr>
        <w:t>MC</w:t>
      </w:r>
    </w:p>
    <w:p w14:paraId="531CCAB8"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sz w:val="18"/>
          <w:szCs w:val="18"/>
        </w:rPr>
        <w:t>LS #10312</w:t>
      </w:r>
    </w:p>
    <w:p w14:paraId="1299E89C"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sz w:val="18"/>
          <w:szCs w:val="18"/>
        </w:rPr>
        <w:t>12/10/2025 3:57PM</w:t>
      </w:r>
    </w:p>
    <w:p w14:paraId="357D7480"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28EB2573"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sz w:val="18"/>
          <w:szCs w:val="18"/>
          <w:u w:val="single"/>
        </w:rPr>
        <w:t>Session 12</w:t>
      </w:r>
    </w:p>
    <w:p w14:paraId="6008632C"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sz w:val="18"/>
          <w:szCs w:val="18"/>
        </w:rPr>
        <w:t>RL</w:t>
      </w:r>
    </w:p>
    <w:p w14:paraId="3CD18A3E"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sz w:val="18"/>
          <w:szCs w:val="18"/>
        </w:rPr>
        <w:t>LS #10312</w:t>
      </w:r>
    </w:p>
    <w:p w14:paraId="4DB13EA5"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sz w:val="18"/>
          <w:szCs w:val="18"/>
        </w:rPr>
        <w:t>5/30/2023</w:t>
      </w:r>
    </w:p>
    <w:p w14:paraId="49628A21" w14:textId="7F25A2F2" w:rsidR="00210C33" w:rsidRPr="00666B9E" w:rsidRDefault="00210C33" w:rsidP="001A7FD1">
      <w:pPr>
        <w:spacing w:line="480" w:lineRule="auto"/>
        <w:ind w:firstLine="720"/>
        <w:jc w:val="both"/>
        <w:rPr>
          <w:rFonts w:eastAsia="Calibri"/>
        </w:rPr>
      </w:pPr>
      <w:r>
        <w:rPr>
          <w:color w:val="000000"/>
          <w:sz w:val="27"/>
          <w:szCs w:val="27"/>
        </w:rPr>
        <w:br/>
      </w:r>
    </w:p>
    <w:p w14:paraId="0E5A28DD" w14:textId="77777777" w:rsidR="00D637AD" w:rsidRDefault="00D637AD" w:rsidP="7D735AE3">
      <w:pPr>
        <w:spacing w:line="480" w:lineRule="auto"/>
        <w:jc w:val="both"/>
        <w:rPr>
          <w:rFonts w:eastAsia="Calibri"/>
          <w:b/>
          <w:bCs/>
        </w:rPr>
      </w:pPr>
    </w:p>
    <w:p w14:paraId="376F6DD0" w14:textId="77777777" w:rsidR="00D637AD" w:rsidRDefault="00D637AD" w:rsidP="7D735AE3">
      <w:pPr>
        <w:spacing w:line="480" w:lineRule="auto"/>
        <w:jc w:val="both"/>
        <w:rPr>
          <w:rFonts w:eastAsia="Calibri"/>
          <w:b/>
          <w:bCs/>
        </w:rPr>
      </w:pPr>
    </w:p>
    <w:p w14:paraId="749368A8" w14:textId="56907A0D" w:rsidR="00210C33" w:rsidRDefault="00210C33">
      <w:pPr>
        <w:spacing w:after="160" w:line="259" w:lineRule="auto"/>
        <w:rPr>
          <w:rFonts w:eastAsia="Calibri"/>
        </w:rPr>
      </w:pPr>
    </w:p>
    <w:p w14:paraId="0B6ACD3D" w14:textId="77777777" w:rsidR="0026318E" w:rsidRDefault="0026318E">
      <w:pPr>
        <w:spacing w:after="160" w:line="259" w:lineRule="auto"/>
        <w:rPr>
          <w:rFonts w:eastAsia="Calibri"/>
        </w:rPr>
      </w:pPr>
    </w:p>
    <w:p w14:paraId="75B3520B" w14:textId="77777777" w:rsidR="0026318E" w:rsidRDefault="0026318E">
      <w:pPr>
        <w:spacing w:after="160" w:line="259" w:lineRule="auto"/>
        <w:rPr>
          <w:rFonts w:eastAsia="Calibri"/>
        </w:rPr>
      </w:pPr>
    </w:p>
    <w:p w14:paraId="17910401" w14:textId="77777777" w:rsidR="0026318E" w:rsidRDefault="0026318E">
      <w:pPr>
        <w:spacing w:after="160" w:line="259" w:lineRule="auto"/>
        <w:rPr>
          <w:rFonts w:eastAsia="Calibri"/>
        </w:rPr>
      </w:pPr>
    </w:p>
    <w:p w14:paraId="64CF77E9" w14:textId="77777777" w:rsidR="0026318E" w:rsidRDefault="0026318E">
      <w:pPr>
        <w:spacing w:after="160" w:line="259" w:lineRule="auto"/>
        <w:rPr>
          <w:rFonts w:eastAsia="Calibri"/>
        </w:rPr>
      </w:pPr>
    </w:p>
    <w:p w14:paraId="32DD09D5" w14:textId="77777777" w:rsidR="0026318E" w:rsidRDefault="0026318E">
      <w:pPr>
        <w:spacing w:after="160" w:line="259" w:lineRule="auto"/>
        <w:rPr>
          <w:rFonts w:eastAsia="Calibri"/>
        </w:rPr>
      </w:pPr>
    </w:p>
    <w:p w14:paraId="7554DD30" w14:textId="77777777" w:rsidR="0026318E" w:rsidRDefault="0026318E">
      <w:pPr>
        <w:spacing w:after="160" w:line="259" w:lineRule="auto"/>
        <w:rPr>
          <w:rFonts w:eastAsia="Calibri"/>
        </w:rPr>
      </w:pPr>
    </w:p>
    <w:p w14:paraId="166FA6A9" w14:textId="77777777" w:rsidR="0026318E" w:rsidRDefault="0026318E">
      <w:pPr>
        <w:spacing w:after="160" w:line="259" w:lineRule="auto"/>
        <w:rPr>
          <w:rFonts w:eastAsia="Calibri"/>
        </w:rPr>
      </w:pPr>
    </w:p>
    <w:p w14:paraId="04E5807C" w14:textId="77777777" w:rsidR="0026318E" w:rsidRDefault="0026318E">
      <w:pPr>
        <w:spacing w:after="160" w:line="259" w:lineRule="auto"/>
        <w:rPr>
          <w:rFonts w:eastAsia="Calibri"/>
        </w:rPr>
      </w:pPr>
    </w:p>
    <w:p w14:paraId="63411E71" w14:textId="77777777" w:rsidR="0026318E" w:rsidRDefault="0026318E">
      <w:pPr>
        <w:spacing w:after="160" w:line="259" w:lineRule="auto"/>
        <w:rPr>
          <w:rFonts w:eastAsia="Calibri"/>
        </w:rPr>
      </w:pPr>
    </w:p>
    <w:p w14:paraId="486F3F07" w14:textId="77777777" w:rsidR="0026318E" w:rsidRDefault="0026318E">
      <w:pPr>
        <w:spacing w:after="160" w:line="259" w:lineRule="auto"/>
        <w:rPr>
          <w:rFonts w:eastAsia="Calibri"/>
        </w:rPr>
      </w:pPr>
    </w:p>
    <w:p w14:paraId="028076C2" w14:textId="77777777" w:rsidR="0026318E" w:rsidRDefault="0026318E">
      <w:pPr>
        <w:spacing w:after="160" w:line="259" w:lineRule="auto"/>
        <w:rPr>
          <w:rFonts w:eastAsia="Calibri"/>
        </w:rPr>
      </w:pPr>
    </w:p>
    <w:p w14:paraId="440EA218" w14:textId="266FEC08" w:rsidR="0026318E" w:rsidRPr="0026318E" w:rsidRDefault="0026318E" w:rsidP="00AD5DA9">
      <w:pPr>
        <w:spacing w:after="160" w:line="259" w:lineRule="auto"/>
        <w:rPr>
          <w:rFonts w:eastAsia="Calibri"/>
        </w:rPr>
      </w:pPr>
    </w:p>
    <w:sectPr w:rsidR="0026318E" w:rsidRPr="0026318E" w:rsidSect="00770FA9">
      <w:headerReference w:type="default" r:id="rId12"/>
      <w:footerReference w:type="default" r:id="rId13"/>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A4956" w14:textId="77777777" w:rsidR="00D06E33" w:rsidRDefault="00D06E33" w:rsidP="00851B82">
      <w:r>
        <w:separator/>
      </w:r>
    </w:p>
  </w:endnote>
  <w:endnote w:type="continuationSeparator" w:id="0">
    <w:p w14:paraId="1D2B1584" w14:textId="77777777" w:rsidR="00D06E33" w:rsidRDefault="00D06E33" w:rsidP="00851B82">
      <w:r>
        <w:continuationSeparator/>
      </w:r>
    </w:p>
  </w:endnote>
  <w:endnote w:type="continuationNotice" w:id="1">
    <w:p w14:paraId="28E7F4FB" w14:textId="77777777" w:rsidR="00D06E33" w:rsidRDefault="00D06E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889565819"/>
      <w:docPartObj>
        <w:docPartGallery w:val="Page Numbers (Bottom of Page)"/>
        <w:docPartUnique/>
      </w:docPartObj>
    </w:sdtPr>
    <w:sdtEndPr>
      <w:rPr>
        <w:noProof/>
      </w:rPr>
    </w:sdtEndPr>
    <w:sdtContent>
      <w:p w14:paraId="120CA107" w14:textId="10D75453" w:rsidR="00CF7804" w:rsidRPr="00360970" w:rsidRDefault="00CF7804">
        <w:pPr>
          <w:pStyle w:val="Footer"/>
          <w:jc w:val="center"/>
          <w:rPr>
            <w:rFonts w:ascii="Times New Roman" w:hAnsi="Times New Roman" w:cs="Times New Roman"/>
          </w:rPr>
        </w:pPr>
        <w:r w:rsidRPr="00360970">
          <w:rPr>
            <w:rFonts w:ascii="Times New Roman" w:hAnsi="Times New Roman" w:cs="Times New Roman"/>
          </w:rPr>
          <w:fldChar w:fldCharType="begin"/>
        </w:r>
        <w:r w:rsidRPr="00360970">
          <w:rPr>
            <w:rFonts w:ascii="Times New Roman" w:hAnsi="Times New Roman" w:cs="Times New Roman"/>
          </w:rPr>
          <w:instrText xml:space="preserve"> PAGE   \* MERGEFORMAT </w:instrText>
        </w:r>
        <w:r w:rsidRPr="00360970">
          <w:rPr>
            <w:rFonts w:ascii="Times New Roman" w:hAnsi="Times New Roman" w:cs="Times New Roman"/>
          </w:rPr>
          <w:fldChar w:fldCharType="separate"/>
        </w:r>
        <w:r w:rsidR="00B072C5">
          <w:rPr>
            <w:rFonts w:ascii="Times New Roman" w:hAnsi="Times New Roman" w:cs="Times New Roman"/>
            <w:noProof/>
          </w:rPr>
          <w:t>45</w:t>
        </w:r>
        <w:r w:rsidRPr="00360970">
          <w:rPr>
            <w:rFonts w:ascii="Times New Roman" w:hAnsi="Times New Roman" w:cs="Times New Roman"/>
            <w:noProof/>
          </w:rPr>
          <w:fldChar w:fldCharType="end"/>
        </w:r>
      </w:p>
    </w:sdtContent>
  </w:sdt>
  <w:p w14:paraId="098A3C6C" w14:textId="77777777" w:rsidR="00CF7804" w:rsidRPr="00360970" w:rsidRDefault="00CF7804" w:rsidP="001029F9">
    <w:pPr>
      <w:pStyle w:val="Footer"/>
      <w:jc w:val="center"/>
      <w:rPr>
        <w:rFonts w:ascii="Times New Roman" w:hAnsi="Times New Roman" w:cs="Times New Roman"/>
      </w:rPr>
    </w:pPr>
  </w:p>
  <w:p w14:paraId="173CBB87" w14:textId="77777777" w:rsidR="00CF7804" w:rsidRDefault="00CF7804"/>
  <w:p w14:paraId="0FF2D7AD" w14:textId="77777777" w:rsidR="00CF7804" w:rsidRDefault="00CF7804"/>
  <w:p w14:paraId="228343B7" w14:textId="77777777" w:rsidR="00CF7804" w:rsidRDefault="00CF7804"/>
  <w:p w14:paraId="3831EFC2" w14:textId="77777777" w:rsidR="00CF7804" w:rsidRDefault="00CF78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D7578" w14:textId="77777777" w:rsidR="00D06E33" w:rsidRDefault="00D06E33" w:rsidP="00851B82">
      <w:r>
        <w:separator/>
      </w:r>
    </w:p>
  </w:footnote>
  <w:footnote w:type="continuationSeparator" w:id="0">
    <w:p w14:paraId="143B6EA3" w14:textId="77777777" w:rsidR="00D06E33" w:rsidRDefault="00D06E33" w:rsidP="00851B82">
      <w:r>
        <w:continuationSeparator/>
      </w:r>
    </w:p>
  </w:footnote>
  <w:footnote w:type="continuationNotice" w:id="1">
    <w:p w14:paraId="5062C90A" w14:textId="77777777" w:rsidR="00D06E33" w:rsidRDefault="00D06E33"/>
  </w:footnote>
  <w:footnote w:id="2">
    <w:p w14:paraId="325A0775" w14:textId="5068BF94" w:rsidR="00CF7804" w:rsidRPr="009404B5" w:rsidRDefault="00CF7804" w:rsidP="00851B82">
      <w:pPr>
        <w:pStyle w:val="FootnoteText"/>
      </w:pPr>
      <w:r w:rsidRPr="009404B5">
        <w:rPr>
          <w:rStyle w:val="FootnoteReference"/>
        </w:rPr>
        <w:footnoteRef/>
      </w:r>
      <w:r w:rsidRPr="009404B5">
        <w:t xml:space="preserve"> N.Y.C. TLC, </w:t>
      </w:r>
      <w:r w:rsidRPr="009404B5">
        <w:rPr>
          <w:i/>
          <w:iCs/>
        </w:rPr>
        <w:t>About</w:t>
      </w:r>
      <w:r w:rsidRPr="009404B5">
        <w:t xml:space="preserve">, </w:t>
      </w:r>
      <w:r w:rsidR="00E0195B">
        <w:t xml:space="preserve">available at </w:t>
      </w:r>
      <w:hyperlink r:id="rId1" w:history="1">
        <w:r w:rsidRPr="00082E33">
          <w:rPr>
            <w:rStyle w:val="Hyperlink"/>
            <w:color w:val="auto"/>
            <w:u w:val="none"/>
          </w:rPr>
          <w:t>https://www1.nyc.gov/site/tlc/about/about-tlc.page</w:t>
        </w:r>
      </w:hyperlink>
      <w:r w:rsidRPr="00082E33">
        <w:t>.</w:t>
      </w:r>
    </w:p>
  </w:footnote>
  <w:footnote w:id="3">
    <w:p w14:paraId="42DCEC72" w14:textId="77777777" w:rsidR="00CF7804" w:rsidRPr="009404B5" w:rsidRDefault="00CF7804" w:rsidP="0024471B">
      <w:pPr>
        <w:pStyle w:val="FootnoteText"/>
      </w:pPr>
      <w:r w:rsidRPr="009404B5">
        <w:rPr>
          <w:rStyle w:val="FootnoteReference"/>
        </w:rPr>
        <w:footnoteRef/>
      </w:r>
      <w:r w:rsidRPr="009404B5">
        <w:t xml:space="preserve"> </w:t>
      </w:r>
      <w:r w:rsidRPr="009404B5">
        <w:rPr>
          <w:i/>
        </w:rPr>
        <w:t>Id.</w:t>
      </w:r>
      <w:r w:rsidRPr="009404B5">
        <w:t xml:space="preserve"> </w:t>
      </w:r>
    </w:p>
  </w:footnote>
  <w:footnote w:id="4">
    <w:p w14:paraId="30679C32" w14:textId="77777777" w:rsidR="00CF7804" w:rsidRPr="009404B5" w:rsidRDefault="00CF7804">
      <w:pPr>
        <w:pStyle w:val="FootnoteText"/>
      </w:pPr>
      <w:r w:rsidRPr="009404B5">
        <w:rPr>
          <w:rStyle w:val="FootnoteReference"/>
        </w:rPr>
        <w:footnoteRef/>
      </w:r>
      <w:r w:rsidRPr="009404B5">
        <w:t xml:space="preserve"> </w:t>
      </w:r>
      <w:r w:rsidRPr="009404B5">
        <w:rPr>
          <w:i/>
        </w:rPr>
        <w:t>Id</w:t>
      </w:r>
      <w:r w:rsidRPr="009404B5">
        <w:t>.</w:t>
      </w:r>
    </w:p>
  </w:footnote>
  <w:footnote w:id="5">
    <w:p w14:paraId="11DFE848" w14:textId="77777777" w:rsidR="00CF7804" w:rsidRPr="009404B5" w:rsidRDefault="00CF7804">
      <w:pPr>
        <w:pStyle w:val="FootnoteText"/>
      </w:pPr>
      <w:r w:rsidRPr="009404B5">
        <w:rPr>
          <w:rStyle w:val="FootnoteReference"/>
        </w:rPr>
        <w:footnoteRef/>
      </w:r>
      <w:r w:rsidRPr="009404B5">
        <w:t xml:space="preserve"> </w:t>
      </w:r>
      <w:r w:rsidRPr="009404B5">
        <w:rPr>
          <w:i/>
        </w:rPr>
        <w:t xml:space="preserve">Id. </w:t>
      </w:r>
    </w:p>
  </w:footnote>
  <w:footnote w:id="6">
    <w:p w14:paraId="2B4028D3" w14:textId="23703F3D" w:rsidR="00CF7804" w:rsidRPr="007D4D17" w:rsidRDefault="00CF7804" w:rsidP="00CF7804">
      <w:pPr>
        <w:pStyle w:val="FootnoteText"/>
      </w:pPr>
      <w:r w:rsidRPr="007D4D17">
        <w:rPr>
          <w:rStyle w:val="FootnoteReference"/>
        </w:rPr>
        <w:footnoteRef/>
      </w:r>
      <w:r w:rsidRPr="007D4D17">
        <w:t xml:space="preserve"> </w:t>
      </w:r>
      <w:r>
        <w:t>TLC,</w:t>
      </w:r>
      <w:r w:rsidRPr="007D4D17">
        <w:t xml:space="preserve"> </w:t>
      </w:r>
      <w:r w:rsidRPr="007D4D17">
        <w:rPr>
          <w:i/>
        </w:rPr>
        <w:t>2018 Fact Book,</w:t>
      </w:r>
      <w:r w:rsidR="00E0195B" w:rsidRPr="00E0195B">
        <w:t xml:space="preserve"> </w:t>
      </w:r>
      <w:r w:rsidR="00E0195B">
        <w:t>available at</w:t>
      </w:r>
      <w:r w:rsidRPr="007D4D17">
        <w:rPr>
          <w:i/>
        </w:rPr>
        <w:t xml:space="preserve"> </w:t>
      </w:r>
      <w:hyperlink r:id="rId2" w:history="1">
        <w:r w:rsidRPr="007D4D17">
          <w:rPr>
            <w:rStyle w:val="Hyperlink"/>
          </w:rPr>
          <w:t>https://www1.nyc.gov/assets/tlc/downloads/pdf/2018_tlc_factbook.pdf</w:t>
        </w:r>
      </w:hyperlink>
      <w:r w:rsidR="009822B9">
        <w:t>.</w:t>
      </w:r>
      <w:r w:rsidRPr="001029F9">
        <w:rPr>
          <w:rStyle w:val="Hyperlink"/>
          <w:color w:val="auto"/>
          <w:u w:val="none"/>
        </w:rPr>
        <w:t xml:space="preserve"> </w:t>
      </w:r>
    </w:p>
  </w:footnote>
  <w:footnote w:id="7">
    <w:p w14:paraId="576AE91D" w14:textId="66E71FBE" w:rsidR="00CF7804" w:rsidRPr="007D4D17" w:rsidRDefault="00CF7804" w:rsidP="00CF7804">
      <w:pPr>
        <w:pStyle w:val="FootnoteText"/>
      </w:pPr>
      <w:r w:rsidRPr="007D4D17">
        <w:rPr>
          <w:rStyle w:val="FootnoteReference"/>
        </w:rPr>
        <w:footnoteRef/>
      </w:r>
      <w:r w:rsidRPr="007D4D17">
        <w:t xml:space="preserve"> </w:t>
      </w:r>
      <w:r>
        <w:t>TLC</w:t>
      </w:r>
      <w:r w:rsidRPr="007D4D17">
        <w:t xml:space="preserve">, </w:t>
      </w:r>
      <w:r w:rsidRPr="007D4D17">
        <w:rPr>
          <w:i/>
          <w:iCs/>
        </w:rPr>
        <w:t>2011 Annual Report</w:t>
      </w:r>
      <w:r w:rsidRPr="00111A5A">
        <w:t>,</w:t>
      </w:r>
      <w:r w:rsidR="00E0195B">
        <w:t xml:space="preserve"> available at</w:t>
      </w:r>
      <w:r w:rsidRPr="00111A5A">
        <w:t xml:space="preserve"> </w:t>
      </w:r>
      <w:hyperlink r:id="rId3" w:history="1">
        <w:r w:rsidRPr="007D4D17">
          <w:rPr>
            <w:rStyle w:val="Hyperlink"/>
          </w:rPr>
          <w:t>https://www1.nyc.gov/assets/tlc/downloads/pdf/annual_report_2011.pdf</w:t>
        </w:r>
      </w:hyperlink>
      <w:r w:rsidR="009822B9">
        <w:t>.</w:t>
      </w:r>
    </w:p>
  </w:footnote>
  <w:footnote w:id="8">
    <w:p w14:paraId="3B7DDBCC" w14:textId="2AAE45D6" w:rsidR="00CF7804" w:rsidRPr="007D4D17" w:rsidRDefault="00CF7804" w:rsidP="00CF7804">
      <w:pPr>
        <w:pStyle w:val="FootnoteText"/>
      </w:pPr>
      <w:r w:rsidRPr="007D4D17">
        <w:rPr>
          <w:rStyle w:val="FootnoteReference"/>
        </w:rPr>
        <w:footnoteRef/>
      </w:r>
      <w:r w:rsidRPr="007D4D17">
        <w:t xml:space="preserve"> Testimony of Commissioner Joshi before the Committee on For-Hire Vehicle</w:t>
      </w:r>
      <w:r>
        <w:t>s, March 8, 2018 NYC Council Hearing,</w:t>
      </w:r>
      <w:r w:rsidR="00E0195B">
        <w:t xml:space="preserve"> available at</w:t>
      </w:r>
      <w:r>
        <w:t xml:space="preserve"> </w:t>
      </w:r>
      <w:hyperlink r:id="rId4" w:history="1">
        <w:r w:rsidRPr="00047168">
          <w:rPr>
            <w:rStyle w:val="Hyperlink"/>
          </w:rPr>
          <w:t>https://legistar.council.nyc.gov/View.ashx?M=F&amp;ID=5872328&amp;GUID=DB0BCBEA-4B02-468F-B948-512FA842D7EE</w:t>
        </w:r>
      </w:hyperlink>
      <w:r w:rsidR="009822B9">
        <w:t>.</w:t>
      </w:r>
    </w:p>
  </w:footnote>
  <w:footnote w:id="9">
    <w:p w14:paraId="6665E7EA" w14:textId="072FBA06" w:rsidR="00CF7804" w:rsidRDefault="00CF7804" w:rsidP="00CF7804">
      <w:pPr>
        <w:pStyle w:val="FootnoteText"/>
      </w:pPr>
      <w:r>
        <w:rPr>
          <w:rStyle w:val="FootnoteReference"/>
        </w:rPr>
        <w:footnoteRef/>
      </w:r>
      <w:r>
        <w:t xml:space="preserve"> Local Law </w:t>
      </w:r>
      <w:r w:rsidR="009822B9">
        <w:t xml:space="preserve">No. </w:t>
      </w:r>
      <w:r>
        <w:t>147</w:t>
      </w:r>
      <w:r w:rsidR="009822B9">
        <w:t>,</w:t>
      </w:r>
      <w:r w:rsidR="00AF2257">
        <w:t xml:space="preserve"> available at</w:t>
      </w:r>
      <w:r w:rsidR="009822B9">
        <w:t xml:space="preserve"> </w:t>
      </w:r>
      <w:hyperlink r:id="rId5" w:history="1">
        <w:r w:rsidR="009822B9" w:rsidRPr="0063363B">
          <w:rPr>
            <w:rStyle w:val="Hyperlink"/>
          </w:rPr>
          <w:t>https://legistar.council.nyc.gov/LegislationDetail.aspx?ID=3331789&amp;GUID=6647E630-2992-461F-B3E3-F5103DED0653&amp;Options=ID|Text|</w:t>
        </w:r>
      </w:hyperlink>
      <w:r w:rsidR="009822B9">
        <w:t xml:space="preserve">. </w:t>
      </w:r>
    </w:p>
  </w:footnote>
  <w:footnote w:id="10">
    <w:p w14:paraId="6E7EEECC" w14:textId="4AABC25B" w:rsidR="00CF7804" w:rsidRDefault="00CF7804" w:rsidP="00CF7804">
      <w:pPr>
        <w:pStyle w:val="FootnoteText"/>
      </w:pPr>
      <w:r>
        <w:rPr>
          <w:rStyle w:val="FootnoteReference"/>
        </w:rPr>
        <w:footnoteRef/>
      </w:r>
      <w:r>
        <w:t xml:space="preserve"> TLC, Businesses, </w:t>
      </w:r>
      <w:r w:rsidRPr="00C43C97">
        <w:rPr>
          <w:i/>
          <w:iCs/>
        </w:rPr>
        <w:t>High-Volume For-Hire Services</w:t>
      </w:r>
      <w:r>
        <w:t>,</w:t>
      </w:r>
      <w:r w:rsidR="00E0195B">
        <w:t xml:space="preserve"> available at</w:t>
      </w:r>
      <w:r>
        <w:t xml:space="preserve"> </w:t>
      </w:r>
      <w:hyperlink r:id="rId6" w:history="1">
        <w:r w:rsidRPr="00721221">
          <w:rPr>
            <w:rStyle w:val="Hyperlink"/>
          </w:rPr>
          <w:t>https://www.nyc.gov/site/tlc/businesses/high-volume-for-hire-services.page</w:t>
        </w:r>
      </w:hyperlink>
      <w:r w:rsidR="009822B9">
        <w:t>.</w:t>
      </w:r>
      <w:r>
        <w:t xml:space="preserve"> </w:t>
      </w:r>
    </w:p>
  </w:footnote>
  <w:footnote w:id="11">
    <w:p w14:paraId="169BEC71" w14:textId="3A4BED02" w:rsidR="00CF7804" w:rsidRDefault="00CF7804" w:rsidP="00CF7804">
      <w:pPr>
        <w:pStyle w:val="FootnoteText"/>
      </w:pPr>
      <w:r>
        <w:rPr>
          <w:rStyle w:val="FootnoteReference"/>
        </w:rPr>
        <w:footnoteRef/>
      </w:r>
      <w:r>
        <w:t xml:space="preserve"> TLC, </w:t>
      </w:r>
      <w:r w:rsidRPr="00C43C97">
        <w:rPr>
          <w:i/>
          <w:iCs/>
        </w:rPr>
        <w:t>TLC’s Fiscal 2024 Mayor’s Management Report,</w:t>
      </w:r>
      <w:r>
        <w:t xml:space="preserve"> </w:t>
      </w:r>
      <w:r w:rsidR="00E0195B">
        <w:t xml:space="preserve">available at </w:t>
      </w:r>
      <w:hyperlink r:id="rId7" w:history="1">
        <w:r w:rsidRPr="00721221">
          <w:rPr>
            <w:rStyle w:val="Hyperlink"/>
          </w:rPr>
          <w:t>https://www.nyc.gov/assets/operations/downloads/pdf/mmr2024/tlc.pdf</w:t>
        </w:r>
      </w:hyperlink>
      <w:r w:rsidR="009822B9">
        <w:t>.</w:t>
      </w:r>
      <w:r>
        <w:t xml:space="preserve"> </w:t>
      </w:r>
    </w:p>
  </w:footnote>
  <w:footnote w:id="12">
    <w:p w14:paraId="003A5D02" w14:textId="080C9BE5" w:rsidR="00805F1C" w:rsidRDefault="00805F1C">
      <w:pPr>
        <w:pStyle w:val="FootnoteText"/>
      </w:pPr>
      <w:r>
        <w:rPr>
          <w:rStyle w:val="FootnoteReference"/>
        </w:rPr>
        <w:footnoteRef/>
      </w:r>
      <w:r>
        <w:t xml:space="preserve"> TLC, </w:t>
      </w:r>
      <w:r w:rsidRPr="00805F1C">
        <w:rPr>
          <w:i/>
          <w:iCs/>
        </w:rPr>
        <w:t>TLC 2025 Annual Report</w:t>
      </w:r>
      <w:r>
        <w:t>,</w:t>
      </w:r>
      <w:r w:rsidR="00E0195B" w:rsidRPr="00E0195B">
        <w:t xml:space="preserve"> </w:t>
      </w:r>
      <w:r w:rsidR="00E0195B">
        <w:t>available at</w:t>
      </w:r>
      <w:r>
        <w:t xml:space="preserve"> </w:t>
      </w:r>
      <w:hyperlink r:id="rId8" w:history="1">
        <w:r w:rsidRPr="009474B9">
          <w:rPr>
            <w:rStyle w:val="Hyperlink"/>
          </w:rPr>
          <w:t>https://www.nyc.gov/assets/tlc/downloads/pdf/annual_report_2025.pdf</w:t>
        </w:r>
      </w:hyperlink>
      <w:r w:rsidR="009822B9">
        <w:t>.</w:t>
      </w:r>
      <w:r>
        <w:t xml:space="preserve"> </w:t>
      </w:r>
    </w:p>
  </w:footnote>
  <w:footnote w:id="13">
    <w:p w14:paraId="4DDB243B" w14:textId="3D805DC4" w:rsidR="00CF7804" w:rsidRPr="00C66B57" w:rsidRDefault="00CF7804" w:rsidP="00CF7804">
      <w:pPr>
        <w:pStyle w:val="FootnoteText"/>
      </w:pPr>
      <w:r>
        <w:rPr>
          <w:rStyle w:val="FootnoteReference"/>
        </w:rPr>
        <w:footnoteRef/>
      </w:r>
      <w:r>
        <w:t xml:space="preserve"> </w:t>
      </w:r>
      <w:r>
        <w:rPr>
          <w:i/>
        </w:rPr>
        <w:t>Revised Expense Model for the NYC Taxi and Limousine Commission’s High-Volume For-Hire Vehicle Minimum Pay Standard</w:t>
      </w:r>
      <w:r>
        <w:t>, Report for the New York City Taxi and Limousine Commissioner</w:t>
      </w:r>
      <w:r w:rsidR="008912F7">
        <w:t xml:space="preserve"> at pg. 9</w:t>
      </w:r>
      <w:r>
        <w:t>, James A. Parrott, Dec. 2024,</w:t>
      </w:r>
      <w:r w:rsidR="00E0195B">
        <w:t xml:space="preserve"> available at</w:t>
      </w:r>
      <w:r>
        <w:t xml:space="preserve"> </w:t>
      </w:r>
      <w:hyperlink r:id="rId9" w:history="1">
        <w:r w:rsidRPr="0013428A">
          <w:rPr>
            <w:rStyle w:val="Hyperlink"/>
          </w:rPr>
          <w:t>https://www.nyc.gov/assets/tlc/downloads/pdf/driver_expense_report.pdf</w:t>
        </w:r>
      </w:hyperlink>
      <w:r>
        <w:t>.</w:t>
      </w:r>
    </w:p>
  </w:footnote>
  <w:footnote w:id="14">
    <w:p w14:paraId="6B09C3C6" w14:textId="77777777" w:rsidR="00CF7804" w:rsidRPr="00C66B57" w:rsidRDefault="00CF7804" w:rsidP="00CF7804">
      <w:pPr>
        <w:pStyle w:val="FootnoteText"/>
      </w:pPr>
      <w:r>
        <w:rPr>
          <w:rStyle w:val="FootnoteReference"/>
        </w:rPr>
        <w:footnoteRef/>
      </w:r>
      <w:r>
        <w:t xml:space="preserve"> </w:t>
      </w:r>
      <w:r w:rsidRPr="00C66B57">
        <w:rPr>
          <w:i/>
        </w:rPr>
        <w:t>Id.</w:t>
      </w:r>
    </w:p>
  </w:footnote>
  <w:footnote w:id="15">
    <w:p w14:paraId="70A862AF" w14:textId="77960EEC" w:rsidR="00CF7804" w:rsidRPr="00C66B57" w:rsidRDefault="00CF7804" w:rsidP="00CF7804">
      <w:pPr>
        <w:pStyle w:val="FootnoteText"/>
      </w:pPr>
      <w:r>
        <w:rPr>
          <w:rStyle w:val="FootnoteReference"/>
        </w:rPr>
        <w:footnoteRef/>
      </w:r>
      <w:r>
        <w:t xml:space="preserve"> </w:t>
      </w:r>
      <w:r>
        <w:rPr>
          <w:i/>
        </w:rPr>
        <w:t>Id.</w:t>
      </w:r>
      <w:r>
        <w:t xml:space="preserve"> </w:t>
      </w:r>
      <w:r w:rsidR="00731DCA">
        <w:t>at pg. 15.</w:t>
      </w:r>
    </w:p>
  </w:footnote>
  <w:footnote w:id="16">
    <w:p w14:paraId="06DED92D" w14:textId="0F4F6151" w:rsidR="00CF7804" w:rsidRPr="00C66B57" w:rsidRDefault="00CF7804" w:rsidP="00CF7804">
      <w:pPr>
        <w:pStyle w:val="FootnoteText"/>
      </w:pPr>
      <w:r>
        <w:rPr>
          <w:rStyle w:val="FootnoteReference"/>
        </w:rPr>
        <w:footnoteRef/>
      </w:r>
      <w:r>
        <w:t xml:space="preserve"> </w:t>
      </w:r>
      <w:r>
        <w:rPr>
          <w:i/>
        </w:rPr>
        <w:t>Id</w:t>
      </w:r>
      <w:r>
        <w:t xml:space="preserve">. </w:t>
      </w:r>
      <w:r w:rsidR="00731DCA">
        <w:t>at pgs. 25, 27-28.</w:t>
      </w:r>
    </w:p>
  </w:footnote>
  <w:footnote w:id="17">
    <w:p w14:paraId="2E3E41BB" w14:textId="2CA3F052" w:rsidR="00CF7804" w:rsidRDefault="00CF7804" w:rsidP="00CF7804">
      <w:pPr>
        <w:pStyle w:val="FootnoteText"/>
      </w:pPr>
      <w:r>
        <w:rPr>
          <w:rStyle w:val="FootnoteReference"/>
        </w:rPr>
        <w:footnoteRef/>
      </w:r>
      <w:r>
        <w:t xml:space="preserve"> AALDEF, </w:t>
      </w:r>
      <w:r w:rsidRPr="00C43C97">
        <w:rPr>
          <w:i/>
          <w:iCs/>
        </w:rPr>
        <w:t>Deactivated Without Cause: The Data Behind Unjust Firings of Drivers</w:t>
      </w:r>
      <w:r w:rsidR="008912F7">
        <w:rPr>
          <w:i/>
          <w:iCs/>
        </w:rPr>
        <w:t xml:space="preserve"> </w:t>
      </w:r>
      <w:r w:rsidR="008912F7">
        <w:rPr>
          <w:iCs/>
        </w:rPr>
        <w:t>at pgs. 14-15</w:t>
      </w:r>
      <w:r>
        <w:t>, October 28, 2025,</w:t>
      </w:r>
      <w:r w:rsidR="00E0195B">
        <w:t xml:space="preserve"> available at</w:t>
      </w:r>
      <w:r>
        <w:t xml:space="preserve"> </w:t>
      </w:r>
      <w:hyperlink r:id="rId10" w:history="1">
        <w:r w:rsidRPr="00C43C97">
          <w:rPr>
            <w:rStyle w:val="Hyperlink"/>
          </w:rPr>
          <w:t>https://www.aaldef.org/press-release/aaldef-report-uber-and-lyft-deactivate-nyc-drivers-with-no-notice-no-due-process-and-no/</w:t>
        </w:r>
      </w:hyperlink>
      <w:r>
        <w:t>.</w:t>
      </w:r>
    </w:p>
  </w:footnote>
  <w:footnote w:id="18">
    <w:p w14:paraId="256C671F" w14:textId="5032A943" w:rsidR="00CF7804" w:rsidRPr="00C66B57" w:rsidRDefault="00CF7804" w:rsidP="00CF7804">
      <w:pPr>
        <w:pStyle w:val="FootnoteText"/>
      </w:pPr>
      <w:r>
        <w:rPr>
          <w:rStyle w:val="FootnoteReference"/>
        </w:rPr>
        <w:footnoteRef/>
      </w:r>
      <w:r>
        <w:t xml:space="preserve"> </w:t>
      </w:r>
      <w:r>
        <w:rPr>
          <w:i/>
        </w:rPr>
        <w:t>Revised Expense Model for the NYC Taxi and Limousine Commission’s High-Volume For-Hire Vehicle Minimum Pay Standard</w:t>
      </w:r>
      <w:r w:rsidR="00C75684">
        <w:rPr>
          <w:i/>
        </w:rPr>
        <w:t xml:space="preserve"> </w:t>
      </w:r>
      <w:r w:rsidR="00C75684">
        <w:rPr>
          <w:iCs/>
        </w:rPr>
        <w:t>at pg. 9</w:t>
      </w:r>
      <w:r>
        <w:t xml:space="preserve">; Gany, et al., </w:t>
      </w:r>
      <w:r>
        <w:rPr>
          <w:i/>
        </w:rPr>
        <w:t>Food insecurity among New York City taxi and for-hire vehicle drivers</w:t>
      </w:r>
      <w:r>
        <w:t>, Work, May 17, 2023,</w:t>
      </w:r>
      <w:r w:rsidR="00E0195B">
        <w:t xml:space="preserve"> available at</w:t>
      </w:r>
      <w:r>
        <w:t xml:space="preserve"> </w:t>
      </w:r>
      <w:hyperlink r:id="rId11" w:anchor="R6" w:history="1">
        <w:r w:rsidRPr="0013428A">
          <w:rPr>
            <w:rStyle w:val="Hyperlink"/>
          </w:rPr>
          <w:t>https://pmc.ncbi.nlm.nih.gov/articles/PMC10191220/#R6</w:t>
        </w:r>
      </w:hyperlink>
      <w:r w:rsidR="00731DCA">
        <w:t>.</w:t>
      </w:r>
      <w:r>
        <w:t xml:space="preserve"> </w:t>
      </w:r>
    </w:p>
  </w:footnote>
  <w:footnote w:id="19">
    <w:p w14:paraId="4ABCCEFA" w14:textId="39942A32" w:rsidR="00CF7804" w:rsidRPr="00C75684" w:rsidRDefault="00CF7804" w:rsidP="00CF7804">
      <w:pPr>
        <w:pStyle w:val="FootnoteText"/>
      </w:pPr>
      <w:r>
        <w:rPr>
          <w:rStyle w:val="FootnoteReference"/>
        </w:rPr>
        <w:footnoteRef/>
      </w:r>
      <w:r>
        <w:t xml:space="preserve"> </w:t>
      </w:r>
      <w:r w:rsidR="00C75684">
        <w:rPr>
          <w:i/>
          <w:iCs/>
        </w:rPr>
        <w:t>Gany</w:t>
      </w:r>
      <w:r w:rsidR="00C75684">
        <w:t>, et al.</w:t>
      </w:r>
    </w:p>
  </w:footnote>
  <w:footnote w:id="20">
    <w:p w14:paraId="485D27EF" w14:textId="0E6D1D6C" w:rsidR="00CF7804" w:rsidRPr="00C66B57" w:rsidRDefault="00CF7804" w:rsidP="00CF7804">
      <w:pPr>
        <w:pStyle w:val="FootnoteText"/>
      </w:pPr>
      <w:r>
        <w:rPr>
          <w:rStyle w:val="FootnoteReference"/>
        </w:rPr>
        <w:footnoteRef/>
      </w:r>
      <w:r>
        <w:t xml:space="preserve"> </w:t>
      </w:r>
      <w:r>
        <w:rPr>
          <w:i/>
        </w:rPr>
        <w:t>See Revised Expense Model for the NYC Taxi and Limousine Commission’s High-Volume For-Hire Vehicle Minimum Pay Standard</w:t>
      </w:r>
      <w:r w:rsidR="00731DCA">
        <w:rPr>
          <w:i/>
        </w:rPr>
        <w:t xml:space="preserve"> </w:t>
      </w:r>
      <w:r w:rsidR="00731DCA">
        <w:t>at pgs. 25, 27-28</w:t>
      </w:r>
      <w:r>
        <w:t>; AALDEF</w:t>
      </w:r>
      <w:r w:rsidR="00731DCA">
        <w:t xml:space="preserve"> at pgs. 14-15.</w:t>
      </w:r>
    </w:p>
  </w:footnote>
  <w:footnote w:id="21">
    <w:p w14:paraId="6446B4B4" w14:textId="4C767A8A" w:rsidR="00CF7804" w:rsidRPr="007C29D6" w:rsidRDefault="00CF7804" w:rsidP="00CF7804">
      <w:pPr>
        <w:pStyle w:val="FootnoteText"/>
      </w:pPr>
      <w:r>
        <w:rPr>
          <w:rStyle w:val="FootnoteReference"/>
        </w:rPr>
        <w:footnoteRef/>
      </w:r>
      <w:r>
        <w:t xml:space="preserve"> </w:t>
      </w:r>
      <w:r w:rsidR="00C932CE" w:rsidRPr="7D735AE3">
        <w:t>Uber,</w:t>
      </w:r>
      <w:r w:rsidR="00C932CE" w:rsidRPr="00C43C97">
        <w:rPr>
          <w:i/>
          <w:iCs/>
        </w:rPr>
        <w:t xml:space="preserve"> Deactivations</w:t>
      </w:r>
      <w:r w:rsidR="00C932CE" w:rsidRPr="7D735AE3">
        <w:t>,  September 23, 2024,</w:t>
      </w:r>
      <w:r w:rsidR="00E0195B">
        <w:t xml:space="preserve"> available at</w:t>
      </w:r>
      <w:r w:rsidR="00C932CE" w:rsidRPr="7D735AE3">
        <w:t xml:space="preserve"> </w:t>
      </w:r>
      <w:hyperlink r:id="rId12" w:anchor="our-commitment" w:history="1">
        <w:r w:rsidR="00C932CE" w:rsidRPr="00A8015A">
          <w:rPr>
            <w:rStyle w:val="Hyperlink"/>
          </w:rPr>
          <w:t>https://www.uber.com/us/en/drive/driver-app/deactivation-review/#our-commitment</w:t>
        </w:r>
      </w:hyperlink>
      <w:r w:rsidR="00C932CE">
        <w:t xml:space="preserve">; Lyft, Deactivations, </w:t>
      </w:r>
      <w:hyperlink r:id="rId13" w:history="1">
        <w:r w:rsidR="00C932CE">
          <w:rPr>
            <w:rStyle w:val="Hyperlink"/>
          </w:rPr>
          <w:t>https://help.lyft.com/hc/en-us/all/articles/7366276697-Deactivations</w:t>
        </w:r>
      </w:hyperlink>
      <w:r w:rsidR="00731DCA">
        <w:t xml:space="preserve">. </w:t>
      </w:r>
    </w:p>
  </w:footnote>
  <w:footnote w:id="22">
    <w:p w14:paraId="078F585A" w14:textId="13655B7A" w:rsidR="00CF7804" w:rsidRPr="007C29D6" w:rsidRDefault="00CF7804" w:rsidP="00CF7804">
      <w:pPr>
        <w:pStyle w:val="FootnoteText"/>
      </w:pPr>
      <w:r>
        <w:rPr>
          <w:rStyle w:val="FootnoteReference"/>
        </w:rPr>
        <w:footnoteRef/>
      </w:r>
      <w:r>
        <w:t xml:space="preserve"> Uber, </w:t>
      </w:r>
      <w:r>
        <w:rPr>
          <w:i/>
        </w:rPr>
        <w:t>Driver deactivation review panel</w:t>
      </w:r>
      <w:r>
        <w:t>, June 29, 2020,</w:t>
      </w:r>
      <w:r w:rsidR="00E0195B">
        <w:t xml:space="preserve"> available at</w:t>
      </w:r>
      <w:r>
        <w:t xml:space="preserve"> </w:t>
      </w:r>
      <w:hyperlink r:id="rId14" w:history="1">
        <w:r>
          <w:rPr>
            <w:rStyle w:val="Hyperlink"/>
          </w:rPr>
          <w:t>https://www.uber.com/blog/new-york-appeals/</w:t>
        </w:r>
      </w:hyperlink>
      <w:r>
        <w:t xml:space="preserve">; Lyft, </w:t>
      </w:r>
      <w:r>
        <w:rPr>
          <w:i/>
        </w:rPr>
        <w:t>Appealing permanent deactivations</w:t>
      </w:r>
      <w:r>
        <w:t>,</w:t>
      </w:r>
      <w:r w:rsidR="00E0195B">
        <w:t xml:space="preserve"> available at</w:t>
      </w:r>
      <w:r>
        <w:t xml:space="preserve"> </w:t>
      </w:r>
      <w:hyperlink r:id="rId15" w:history="1">
        <w:r>
          <w:rPr>
            <w:rStyle w:val="Hyperlink"/>
          </w:rPr>
          <w:t>https://help.lyft.com/hc/en-us/all/articles/5354487457-Appealing-permanent-deactivations</w:t>
        </w:r>
      </w:hyperlink>
      <w:r w:rsidR="00731DCA">
        <w:t>.</w:t>
      </w:r>
    </w:p>
  </w:footnote>
  <w:footnote w:id="23">
    <w:p w14:paraId="213D2AF2" w14:textId="46836ABF" w:rsidR="00CF7804" w:rsidRDefault="00CF7804" w:rsidP="00CF7804">
      <w:pPr>
        <w:pStyle w:val="FootnoteText"/>
      </w:pPr>
      <w:r>
        <w:rPr>
          <w:rStyle w:val="FootnoteReference"/>
        </w:rPr>
        <w:footnoteRef/>
      </w:r>
      <w:r>
        <w:t xml:space="preserve"> IDG, </w:t>
      </w:r>
      <w:r>
        <w:rPr>
          <w:i/>
        </w:rPr>
        <w:t>Deactivation support</w:t>
      </w:r>
      <w:r>
        <w:t>, Apr. 11, 2022,</w:t>
      </w:r>
      <w:r w:rsidR="00E0195B">
        <w:t xml:space="preserve"> available at</w:t>
      </w:r>
      <w:r>
        <w:t xml:space="preserve"> </w:t>
      </w:r>
      <w:hyperlink r:id="rId16" w:history="1">
        <w:r>
          <w:rPr>
            <w:rStyle w:val="Hyperlink"/>
          </w:rPr>
          <w:t>https://driversguild.org/benefit/deactivation/</w:t>
        </w:r>
      </w:hyperlink>
      <w:r>
        <w:t xml:space="preserve">; Uber, </w:t>
      </w:r>
      <w:r>
        <w:rPr>
          <w:i/>
        </w:rPr>
        <w:t>Driver deactivation review panel</w:t>
      </w:r>
      <w:r>
        <w:t>, June 29, 2020,</w:t>
      </w:r>
      <w:r w:rsidR="00E0195B">
        <w:t xml:space="preserve"> available at</w:t>
      </w:r>
      <w:r>
        <w:t xml:space="preserve"> </w:t>
      </w:r>
      <w:hyperlink r:id="rId17" w:history="1">
        <w:r>
          <w:rPr>
            <w:rStyle w:val="Hyperlink"/>
          </w:rPr>
          <w:t>https://www.uber.com/blog/new-york-appeals/</w:t>
        </w:r>
      </w:hyperlink>
      <w:r w:rsidR="00731DCA">
        <w:t>.</w:t>
      </w:r>
    </w:p>
  </w:footnote>
  <w:footnote w:id="24">
    <w:p w14:paraId="42A54CDF" w14:textId="1989D1E0" w:rsidR="00CF7804" w:rsidRDefault="00CF7804" w:rsidP="00CF7804">
      <w:pPr>
        <w:pStyle w:val="FootnoteText"/>
      </w:pPr>
      <w:r>
        <w:rPr>
          <w:rStyle w:val="FootnoteReference"/>
        </w:rPr>
        <w:footnoteRef/>
      </w:r>
      <w:r>
        <w:t xml:space="preserve"> Uber, </w:t>
      </w:r>
      <w:r>
        <w:rPr>
          <w:i/>
        </w:rPr>
        <w:t>Driver Deactivation Review Panel</w:t>
      </w:r>
      <w:r>
        <w:t>, June 29, 2020,</w:t>
      </w:r>
      <w:r w:rsidR="00E0195B">
        <w:t xml:space="preserve"> available at</w:t>
      </w:r>
      <w:r>
        <w:t xml:space="preserve"> </w:t>
      </w:r>
      <w:hyperlink r:id="rId18" w:history="1">
        <w:r>
          <w:rPr>
            <w:rStyle w:val="Hyperlink"/>
          </w:rPr>
          <w:t>https://www.uber.com/blog/new-york-appeals/</w:t>
        </w:r>
      </w:hyperlink>
      <w:r w:rsidR="00731DCA">
        <w:t>.</w:t>
      </w:r>
    </w:p>
  </w:footnote>
  <w:footnote w:id="25">
    <w:p w14:paraId="5A82E160" w14:textId="15232388" w:rsidR="00CF7804" w:rsidRPr="00ED7B01" w:rsidRDefault="00CF7804" w:rsidP="00CF7804">
      <w:pPr>
        <w:pStyle w:val="FootnoteText"/>
      </w:pPr>
      <w:r>
        <w:rPr>
          <w:rStyle w:val="FootnoteReference"/>
        </w:rPr>
        <w:footnoteRef/>
      </w:r>
      <w:r>
        <w:t xml:space="preserve"> Lyft, </w:t>
      </w:r>
      <w:r>
        <w:rPr>
          <w:i/>
        </w:rPr>
        <w:t>Zero-tolerance drug and alcohol policy</w:t>
      </w:r>
      <w:r>
        <w:t>,</w:t>
      </w:r>
      <w:r w:rsidR="00E0195B">
        <w:t xml:space="preserve"> available at</w:t>
      </w:r>
      <w:r>
        <w:t xml:space="preserve"> </w:t>
      </w:r>
      <w:hyperlink r:id="rId19" w:history="1">
        <w:r w:rsidRPr="0013428A">
          <w:rPr>
            <w:rStyle w:val="Hyperlink"/>
          </w:rPr>
          <w:t>https://help.lyft.com/hc/en-us/all/articles/115012926187</w:t>
        </w:r>
      </w:hyperlink>
      <w:r w:rsidR="00731DCA">
        <w:t>.</w:t>
      </w:r>
      <w:r>
        <w:t xml:space="preserve"> </w:t>
      </w:r>
    </w:p>
  </w:footnote>
  <w:footnote w:id="26">
    <w:p w14:paraId="6A0CFBF6" w14:textId="13E9F0C2" w:rsidR="00CF7804" w:rsidRPr="00ED7B01" w:rsidRDefault="00CF7804" w:rsidP="00CF7804">
      <w:pPr>
        <w:pStyle w:val="FootnoteText"/>
      </w:pPr>
      <w:r>
        <w:rPr>
          <w:rStyle w:val="FootnoteReference"/>
        </w:rPr>
        <w:footnoteRef/>
      </w:r>
      <w:r>
        <w:t xml:space="preserve"> </w:t>
      </w:r>
      <w:r w:rsidRPr="00ED7B01">
        <w:rPr>
          <w:i/>
        </w:rPr>
        <w:t>Uber</w:t>
      </w:r>
      <w:r>
        <w:t xml:space="preserve"> </w:t>
      </w:r>
      <w:r>
        <w:rPr>
          <w:i/>
        </w:rPr>
        <w:t>cracking down on users who give bad ratings to get refunds</w:t>
      </w:r>
      <w:r>
        <w:t>, Daniel Miller, Fox TV Digital Team, No. 15, 2023,</w:t>
      </w:r>
      <w:r w:rsidR="00E0195B">
        <w:t xml:space="preserve"> available at</w:t>
      </w:r>
      <w:r>
        <w:t xml:space="preserve"> </w:t>
      </w:r>
      <w:hyperlink r:id="rId20" w:history="1">
        <w:r w:rsidRPr="0013428A">
          <w:rPr>
            <w:rStyle w:val="Hyperlink"/>
          </w:rPr>
          <w:t>https://www.fox4news.com/news/uber-crack-down-users-bad-ratings-refunds</w:t>
        </w:r>
      </w:hyperlink>
      <w:r>
        <w:t xml:space="preserve">; </w:t>
      </w:r>
      <w:r>
        <w:rPr>
          <w:i/>
        </w:rPr>
        <w:t>Uber drivers are losing their jobs over fake DUI complaints</w:t>
      </w:r>
      <w:r>
        <w:t xml:space="preserve">, Dara Kerr, CNET, Mar. 16, 2020, </w:t>
      </w:r>
      <w:r w:rsidR="00E0195B">
        <w:t xml:space="preserve">available at </w:t>
      </w:r>
      <w:hyperlink r:id="rId21" w:history="1">
        <w:r w:rsidRPr="0013428A">
          <w:rPr>
            <w:rStyle w:val="Hyperlink"/>
          </w:rPr>
          <w:t>https://www.cnet.com/tech/mobile/uber-drivers-are-losing-their-jobs-over-fake-dui-complaints/</w:t>
        </w:r>
      </w:hyperlink>
      <w:r w:rsidR="00731DCA">
        <w:t>.</w:t>
      </w:r>
      <w:r>
        <w:t xml:space="preserve"> </w:t>
      </w:r>
    </w:p>
  </w:footnote>
  <w:footnote w:id="27">
    <w:p w14:paraId="0F2AEF47" w14:textId="195CAE89" w:rsidR="00CF7804" w:rsidRPr="00D80BB7" w:rsidRDefault="00CF7804" w:rsidP="00CF7804">
      <w:pPr>
        <w:pStyle w:val="FootnoteText"/>
      </w:pPr>
      <w:r>
        <w:rPr>
          <w:rStyle w:val="FootnoteReference"/>
        </w:rPr>
        <w:footnoteRef/>
      </w:r>
      <w:r>
        <w:t xml:space="preserve"> IDG, </w:t>
      </w:r>
      <w:r>
        <w:rPr>
          <w:i/>
        </w:rPr>
        <w:t>Deactivation Representation</w:t>
      </w:r>
      <w:r>
        <w:t>,</w:t>
      </w:r>
      <w:r w:rsidR="00E0195B">
        <w:t xml:space="preserve"> available at</w:t>
      </w:r>
      <w:r>
        <w:t xml:space="preserve"> </w:t>
      </w:r>
      <w:hyperlink r:id="rId22" w:history="1">
        <w:r>
          <w:rPr>
            <w:rStyle w:val="Hyperlink"/>
          </w:rPr>
          <w:t>https://driversguild.org/deactivation/</w:t>
        </w:r>
      </w:hyperlink>
      <w:r w:rsidR="00731DCA">
        <w:t>.</w:t>
      </w:r>
    </w:p>
  </w:footnote>
  <w:footnote w:id="28">
    <w:p w14:paraId="7D2A2146" w14:textId="10452394" w:rsidR="00CF7804" w:rsidRPr="00ED7B01" w:rsidRDefault="00CF7804" w:rsidP="00CF7804">
      <w:pPr>
        <w:pStyle w:val="FootnoteText"/>
      </w:pPr>
      <w:r>
        <w:rPr>
          <w:rStyle w:val="FootnoteReference"/>
        </w:rPr>
        <w:footnoteRef/>
      </w:r>
      <w:r>
        <w:t xml:space="preserve"> </w:t>
      </w:r>
      <w:r>
        <w:rPr>
          <w:i/>
        </w:rPr>
        <w:t>Fired by An App: The Toll of Secret Algorithms and Unchecked Discrimination on California Rideshare Drivers</w:t>
      </w:r>
      <w:r>
        <w:t>, Asian Law Caucus, Feb. 28, 2023,</w:t>
      </w:r>
      <w:r w:rsidR="00E0195B">
        <w:t xml:space="preserve"> available at</w:t>
      </w:r>
      <w:r>
        <w:t xml:space="preserve"> </w:t>
      </w:r>
      <w:hyperlink r:id="rId23" w:history="1">
        <w:r>
          <w:rPr>
            <w:rStyle w:val="Hyperlink"/>
          </w:rPr>
          <w:t>https://www.asianlawcaucus.org/news-resources/guides-reports/fired-by-an-app-report</w:t>
        </w:r>
      </w:hyperlink>
      <w:r w:rsidR="00731DCA">
        <w:t>.</w:t>
      </w:r>
    </w:p>
  </w:footnote>
  <w:footnote w:id="29">
    <w:p w14:paraId="544B7A42" w14:textId="77777777" w:rsidR="00CF7804" w:rsidRPr="00ED7B01" w:rsidRDefault="00CF7804" w:rsidP="00CF7804">
      <w:pPr>
        <w:pStyle w:val="FootnoteText"/>
      </w:pPr>
      <w:r>
        <w:rPr>
          <w:rStyle w:val="FootnoteReference"/>
        </w:rPr>
        <w:footnoteRef/>
      </w:r>
      <w:r>
        <w:t xml:space="preserve"> </w:t>
      </w:r>
      <w:r>
        <w:rPr>
          <w:i/>
        </w:rPr>
        <w:t>Id.</w:t>
      </w:r>
      <w:r>
        <w:t xml:space="preserve"> at 6.</w:t>
      </w:r>
    </w:p>
  </w:footnote>
  <w:footnote w:id="30">
    <w:p w14:paraId="6E9E0B51" w14:textId="77777777" w:rsidR="00CF7804" w:rsidRPr="00ED7B01" w:rsidRDefault="00CF7804" w:rsidP="00CF7804">
      <w:pPr>
        <w:pStyle w:val="FootnoteText"/>
      </w:pPr>
      <w:r>
        <w:rPr>
          <w:rStyle w:val="FootnoteReference"/>
        </w:rPr>
        <w:footnoteRef/>
      </w:r>
      <w:r>
        <w:t xml:space="preserve"> </w:t>
      </w:r>
      <w:r>
        <w:rPr>
          <w:i/>
        </w:rPr>
        <w:t>Id.</w:t>
      </w:r>
    </w:p>
  </w:footnote>
  <w:footnote w:id="31">
    <w:p w14:paraId="40251E5C" w14:textId="77777777" w:rsidR="00CF7804" w:rsidRPr="00ED7B01" w:rsidRDefault="00CF7804" w:rsidP="00CF7804">
      <w:pPr>
        <w:pStyle w:val="FootnoteText"/>
      </w:pPr>
      <w:r>
        <w:rPr>
          <w:rStyle w:val="FootnoteReference"/>
        </w:rPr>
        <w:footnoteRef/>
      </w:r>
      <w:r>
        <w:t xml:space="preserve"> </w:t>
      </w:r>
      <w:r>
        <w:rPr>
          <w:i/>
        </w:rPr>
        <w:t>Id.</w:t>
      </w:r>
    </w:p>
  </w:footnote>
  <w:footnote w:id="32">
    <w:p w14:paraId="6B0A73AE" w14:textId="77777777" w:rsidR="00CF7804" w:rsidRPr="00ED7B01" w:rsidRDefault="00CF7804" w:rsidP="00CF7804">
      <w:pPr>
        <w:pStyle w:val="FootnoteText"/>
      </w:pPr>
      <w:r>
        <w:rPr>
          <w:rStyle w:val="FootnoteReference"/>
        </w:rPr>
        <w:footnoteRef/>
      </w:r>
      <w:r>
        <w:t xml:space="preserve"> </w:t>
      </w:r>
      <w:r>
        <w:rPr>
          <w:i/>
        </w:rPr>
        <w:t>Id.</w:t>
      </w:r>
    </w:p>
  </w:footnote>
  <w:footnote w:id="33">
    <w:p w14:paraId="0B04C643" w14:textId="77777777" w:rsidR="00CF7804" w:rsidRPr="00ED7B01" w:rsidRDefault="00CF7804" w:rsidP="00CF7804">
      <w:pPr>
        <w:pStyle w:val="FootnoteText"/>
      </w:pPr>
      <w:r>
        <w:rPr>
          <w:rStyle w:val="FootnoteReference"/>
        </w:rPr>
        <w:footnoteRef/>
      </w:r>
      <w:r>
        <w:t xml:space="preserve"> </w:t>
      </w:r>
      <w:r>
        <w:rPr>
          <w:i/>
        </w:rPr>
        <w:t>Id.</w:t>
      </w:r>
      <w:r>
        <w:t xml:space="preserve"> at 7.</w:t>
      </w:r>
    </w:p>
  </w:footnote>
  <w:footnote w:id="34">
    <w:p w14:paraId="6F892717" w14:textId="4772926A" w:rsidR="00FB4B49" w:rsidRPr="00756086" w:rsidRDefault="00FB4B49" w:rsidP="00FB4B49">
      <w:pPr>
        <w:pStyle w:val="FootnoteText"/>
      </w:pPr>
      <w:r>
        <w:rPr>
          <w:rStyle w:val="FootnoteReference"/>
        </w:rPr>
        <w:footnoteRef/>
      </w:r>
      <w:r>
        <w:t xml:space="preserve"> AALDEF, </w:t>
      </w:r>
      <w:r w:rsidRPr="00C43C97">
        <w:rPr>
          <w:i/>
          <w:iCs/>
        </w:rPr>
        <w:t>Deactivated Without Cause: The Data Behind Unjust Firings of Drivers</w:t>
      </w:r>
      <w:r>
        <w:t xml:space="preserve">, October 28, 2025, </w:t>
      </w:r>
      <w:r w:rsidR="00E0195B">
        <w:t xml:space="preserve">available at </w:t>
      </w:r>
      <w:hyperlink r:id="rId24" w:history="1">
        <w:r w:rsidRPr="00C43C97">
          <w:rPr>
            <w:rStyle w:val="Hyperlink"/>
          </w:rPr>
          <w:t>https://www.aaldef.org/press-release/aaldef-report-uber-and-lyft-deactivate-nyc-drivers-with-no-notice-no-due-process-and-no/</w:t>
        </w:r>
      </w:hyperlink>
      <w:r w:rsidR="00731DCA">
        <w:t>.</w:t>
      </w:r>
      <w:r>
        <w:t xml:space="preserve"> </w:t>
      </w:r>
    </w:p>
  </w:footnote>
  <w:footnote w:id="35">
    <w:p w14:paraId="3AA2DCE9" w14:textId="77777777" w:rsidR="00CF7804" w:rsidRPr="00ED7B01" w:rsidRDefault="00CF7804" w:rsidP="00CF7804">
      <w:pPr>
        <w:pStyle w:val="FootnoteText"/>
      </w:pPr>
      <w:r>
        <w:rPr>
          <w:rStyle w:val="FootnoteReference"/>
        </w:rPr>
        <w:footnoteRef/>
      </w:r>
      <w:r>
        <w:t xml:space="preserve"> </w:t>
      </w:r>
      <w:r>
        <w:rPr>
          <w:i/>
        </w:rPr>
        <w:t xml:space="preserve">Id. </w:t>
      </w:r>
      <w:r>
        <w:t>at 7 and 10.</w:t>
      </w:r>
    </w:p>
  </w:footnote>
  <w:footnote w:id="36">
    <w:p w14:paraId="15019763" w14:textId="77777777" w:rsidR="00CF7804" w:rsidRPr="00ED7B01" w:rsidRDefault="00CF7804" w:rsidP="00CF7804">
      <w:pPr>
        <w:pStyle w:val="FootnoteText"/>
      </w:pPr>
      <w:r>
        <w:rPr>
          <w:rStyle w:val="FootnoteReference"/>
        </w:rPr>
        <w:footnoteRef/>
      </w:r>
      <w:r>
        <w:t xml:space="preserve"> </w:t>
      </w:r>
      <w:r>
        <w:rPr>
          <w:i/>
        </w:rPr>
        <w:t>Id.</w:t>
      </w:r>
    </w:p>
  </w:footnote>
  <w:footnote w:id="37">
    <w:p w14:paraId="7919620A" w14:textId="77777777" w:rsidR="00CF7804" w:rsidRPr="00ED7B01" w:rsidRDefault="00CF7804" w:rsidP="00CF7804">
      <w:pPr>
        <w:pStyle w:val="FootnoteText"/>
      </w:pPr>
      <w:r>
        <w:rPr>
          <w:rStyle w:val="FootnoteReference"/>
        </w:rPr>
        <w:footnoteRef/>
      </w:r>
      <w:r>
        <w:t xml:space="preserve"> </w:t>
      </w:r>
      <w:r>
        <w:rPr>
          <w:i/>
        </w:rPr>
        <w:t>Id.</w:t>
      </w:r>
      <w:r>
        <w:t xml:space="preserve"> at 8 and 11.</w:t>
      </w:r>
    </w:p>
  </w:footnote>
  <w:footnote w:id="38">
    <w:p w14:paraId="5DD318DC" w14:textId="77777777" w:rsidR="00CF7804" w:rsidRPr="00ED7B01" w:rsidRDefault="00CF7804" w:rsidP="00CF7804">
      <w:pPr>
        <w:pStyle w:val="FootnoteText"/>
      </w:pPr>
      <w:r>
        <w:rPr>
          <w:rStyle w:val="FootnoteReference"/>
        </w:rPr>
        <w:footnoteRef/>
      </w:r>
      <w:r>
        <w:t xml:space="preserve"> </w:t>
      </w:r>
      <w:r>
        <w:rPr>
          <w:i/>
        </w:rPr>
        <w:t>Id.</w:t>
      </w:r>
      <w:r>
        <w:t xml:space="preserve"> at 16.</w:t>
      </w:r>
    </w:p>
  </w:footnote>
  <w:footnote w:id="39">
    <w:p w14:paraId="35915979" w14:textId="57933289" w:rsidR="00CC6F84" w:rsidRDefault="00CC6F84">
      <w:pPr>
        <w:pStyle w:val="FootnoteText"/>
      </w:pPr>
      <w:r>
        <w:rPr>
          <w:rStyle w:val="FootnoteReference"/>
        </w:rPr>
        <w:footnoteRef/>
      </w:r>
      <w:r>
        <w:t xml:space="preserve"> Introduction 1078-2023,</w:t>
      </w:r>
      <w:r w:rsidR="00E0195B">
        <w:t xml:space="preserve"> available at</w:t>
      </w:r>
      <w:r>
        <w:t xml:space="preserve"> </w:t>
      </w:r>
      <w:hyperlink r:id="rId25" w:history="1">
        <w:r w:rsidRPr="00F14851">
          <w:rPr>
            <w:rStyle w:val="Hyperlink"/>
          </w:rPr>
          <w:t>https://legistar.council.nyc.gov/LegislationDetail.aspx?ID=6252775&amp;GUID=F6720790-ED39-4F04-9346-0CCD75E2B555</w:t>
        </w:r>
      </w:hyperlink>
      <w:r w:rsidR="00731DCA">
        <w:t>.</w:t>
      </w:r>
      <w:r>
        <w:t xml:space="preserve"> </w:t>
      </w:r>
    </w:p>
  </w:footnote>
  <w:footnote w:id="40">
    <w:p w14:paraId="1A49FF02" w14:textId="04828861" w:rsidR="00CC6F84" w:rsidRPr="00ED7B01" w:rsidRDefault="00CC6F84" w:rsidP="00CC6F84">
      <w:pPr>
        <w:pStyle w:val="FootnoteText"/>
      </w:pPr>
      <w:r>
        <w:rPr>
          <w:rStyle w:val="FootnoteReference"/>
        </w:rPr>
        <w:footnoteRef/>
      </w:r>
      <w:r>
        <w:t xml:space="preserve"> </w:t>
      </w:r>
      <w:r w:rsidRPr="00ED7B01">
        <w:rPr>
          <w:i/>
        </w:rPr>
        <w:t>Uber</w:t>
      </w:r>
      <w:r>
        <w:t xml:space="preserve"> </w:t>
      </w:r>
      <w:r>
        <w:rPr>
          <w:i/>
        </w:rPr>
        <w:t>cracking down on users who give bad ratings to get refunds</w:t>
      </w:r>
      <w:r>
        <w:t>, Daniel Miller, Fox TV Digital Team, No. 15, 2023,</w:t>
      </w:r>
      <w:r w:rsidR="00E0195B">
        <w:t xml:space="preserve"> available at</w:t>
      </w:r>
      <w:r>
        <w:t xml:space="preserve"> </w:t>
      </w:r>
      <w:hyperlink r:id="rId26" w:history="1">
        <w:r w:rsidRPr="0013428A">
          <w:rPr>
            <w:rStyle w:val="Hyperlink"/>
          </w:rPr>
          <w:t>https://www.fox4news.com/news/uber-crack-down-users-bad-ratings-refunds</w:t>
        </w:r>
      </w:hyperlink>
      <w:r>
        <w:t xml:space="preserve">; </w:t>
      </w:r>
      <w:r>
        <w:rPr>
          <w:i/>
        </w:rPr>
        <w:t>Uber drivers are losing their jobs over fake DUI complaints</w:t>
      </w:r>
      <w:r>
        <w:t xml:space="preserve">, Dara Kerr, CNET, Mar. 16, 2020, </w:t>
      </w:r>
      <w:r w:rsidR="00E0195B">
        <w:t xml:space="preserve">available at </w:t>
      </w:r>
      <w:hyperlink r:id="rId27" w:history="1">
        <w:r w:rsidRPr="0013428A">
          <w:rPr>
            <w:rStyle w:val="Hyperlink"/>
          </w:rPr>
          <w:t>https://www.cnet.com/tech/mobile/uber-drivers-are-losing-their-jobs-over-fake-dui-complaints/</w:t>
        </w:r>
      </w:hyperlink>
      <w:r w:rsidR="00731DCA">
        <w:t>.</w:t>
      </w:r>
      <w:r>
        <w:t xml:space="preserve"> </w:t>
      </w:r>
    </w:p>
  </w:footnote>
  <w:footnote w:id="41">
    <w:p w14:paraId="75E87974" w14:textId="56D2EACE" w:rsidR="00997D0B" w:rsidRPr="00BA704B" w:rsidRDefault="00997D0B">
      <w:pPr>
        <w:pStyle w:val="FootnoteText"/>
        <w:rPr>
          <w:i/>
          <w:iCs/>
        </w:rPr>
      </w:pPr>
      <w:r>
        <w:rPr>
          <w:rStyle w:val="FootnoteReference"/>
        </w:rPr>
        <w:footnoteRef/>
      </w:r>
      <w:r>
        <w:t xml:space="preserve"> </w:t>
      </w:r>
      <w:r>
        <w:rPr>
          <w:i/>
          <w:iCs/>
        </w:rPr>
        <w:t>Id.</w:t>
      </w:r>
    </w:p>
  </w:footnote>
  <w:footnote w:id="42">
    <w:p w14:paraId="7ADC5F2B" w14:textId="40239F23" w:rsidR="00997D0B" w:rsidRDefault="00997D0B" w:rsidP="00997D0B">
      <w:pPr>
        <w:pStyle w:val="FootnoteText"/>
      </w:pPr>
      <w:r>
        <w:rPr>
          <w:rStyle w:val="FootnoteReference"/>
        </w:rPr>
        <w:footnoteRef/>
      </w:r>
      <w:r>
        <w:t xml:space="preserve"> </w:t>
      </w:r>
      <w:r>
        <w:rPr>
          <w:i/>
          <w:iCs/>
        </w:rPr>
        <w:t xml:space="preserve">See </w:t>
      </w:r>
      <w:r>
        <w:rPr>
          <w:i/>
        </w:rPr>
        <w:t>Fired by An App: The Toll of Secret Algorithms and Unchecked Discrimination on California Rideshare Drivers</w:t>
      </w:r>
      <w:r>
        <w:t xml:space="preserve"> </w:t>
      </w:r>
      <w:r w:rsidR="00731DCA">
        <w:t xml:space="preserve">at pg. 6. </w:t>
      </w:r>
    </w:p>
  </w:footnote>
  <w:footnote w:id="43">
    <w:p w14:paraId="241D2962" w14:textId="623576FE" w:rsidR="00997D0B" w:rsidRPr="00C66B57" w:rsidRDefault="00997D0B" w:rsidP="00997D0B">
      <w:pPr>
        <w:pStyle w:val="FootnoteText"/>
      </w:pPr>
      <w:r>
        <w:rPr>
          <w:rStyle w:val="FootnoteReference"/>
        </w:rPr>
        <w:footnoteRef/>
      </w:r>
      <w:r>
        <w:t xml:space="preserve"> </w:t>
      </w:r>
      <w:r>
        <w:rPr>
          <w:i/>
        </w:rPr>
        <w:t>Revised Expense Model for the NYC Taxi and Limousine Commission’s High-Volume For-Hire Vehicle Minimum Pay Standard</w:t>
      </w:r>
      <w:r w:rsidR="00731DCA">
        <w:rPr>
          <w:i/>
        </w:rPr>
        <w:t xml:space="preserve"> </w:t>
      </w:r>
      <w:r w:rsidR="00731DCA">
        <w:rPr>
          <w:iCs/>
        </w:rPr>
        <w:t>at pg. 9</w:t>
      </w:r>
      <w:r>
        <w:t>; Gany, et al.,</w:t>
      </w:r>
      <w:r w:rsidR="00E0195B">
        <w:t xml:space="preserve"> available at</w:t>
      </w:r>
      <w:r>
        <w:t xml:space="preserve"> </w:t>
      </w:r>
      <w:hyperlink r:id="rId28" w:anchor="R6" w:history="1">
        <w:r w:rsidRPr="0013428A">
          <w:rPr>
            <w:rStyle w:val="Hyperlink"/>
          </w:rPr>
          <w:t>https://pmc.ncbi.nlm.nih.gov/articles/PMC10191220/#R6</w:t>
        </w:r>
      </w:hyperlink>
      <w:r w:rsidR="00731DCA">
        <w:t>.</w:t>
      </w:r>
      <w:r>
        <w:t xml:space="preserve"> </w:t>
      </w:r>
    </w:p>
  </w:footnote>
  <w:footnote w:id="44">
    <w:p w14:paraId="066D9A40" w14:textId="2BDC35C2" w:rsidR="00CF7804" w:rsidRDefault="00CF7804" w:rsidP="00CF7804">
      <w:pPr>
        <w:pStyle w:val="FootnoteText"/>
      </w:pPr>
      <w:r>
        <w:rPr>
          <w:rStyle w:val="FootnoteReference"/>
        </w:rPr>
        <w:footnoteRef/>
      </w:r>
      <w:r>
        <w:t xml:space="preserve"> </w:t>
      </w:r>
      <w:r w:rsidR="008912F7">
        <w:t xml:space="preserve">Hearing Testimony 9/27/24, </w:t>
      </w:r>
      <w:r>
        <w:t>Testimony submitted re: Intro 0276 – Deactivation of FHV drivers, Larry Gallegos for Lyft, Sept. 27, 2024,</w:t>
      </w:r>
      <w:r w:rsidR="00E0195B">
        <w:t xml:space="preserve"> available at</w:t>
      </w:r>
      <w:r>
        <w:t xml:space="preserve"> </w:t>
      </w:r>
      <w:hyperlink r:id="rId29" w:history="1">
        <w:r w:rsidRPr="0013428A">
          <w:rPr>
            <w:rStyle w:val="Hyperlink"/>
          </w:rPr>
          <w:t>https://legistar.council.nyc.gov/View.ashx?M=F&amp;ID=13357427&amp;GUID=F4E8C99F-EED7-469B-830E-B340D3E2F3AB</w:t>
        </w:r>
      </w:hyperlink>
      <w:r>
        <w:t>.</w:t>
      </w:r>
    </w:p>
  </w:footnote>
  <w:footnote w:id="45">
    <w:p w14:paraId="39894423" w14:textId="3AF41063" w:rsidR="008E7E57" w:rsidRPr="00BA704B" w:rsidRDefault="008E7E57">
      <w:pPr>
        <w:pStyle w:val="FootnoteText"/>
        <w:rPr>
          <w:i/>
          <w:iCs/>
        </w:rPr>
      </w:pPr>
      <w:r>
        <w:rPr>
          <w:rStyle w:val="FootnoteReference"/>
        </w:rPr>
        <w:footnoteRef/>
      </w:r>
      <w:r>
        <w:t xml:space="preserve"> </w:t>
      </w:r>
      <w:r>
        <w:rPr>
          <w:i/>
          <w:iCs/>
        </w:rPr>
        <w:t>Id.</w:t>
      </w:r>
    </w:p>
  </w:footnote>
  <w:footnote w:id="46">
    <w:p w14:paraId="35C33310" w14:textId="77777777" w:rsidR="00CF7804" w:rsidRPr="00ED7B01" w:rsidRDefault="00CF7804" w:rsidP="00CF7804">
      <w:pPr>
        <w:pStyle w:val="FootnoteText"/>
      </w:pPr>
      <w:r>
        <w:rPr>
          <w:rStyle w:val="FootnoteReference"/>
        </w:rPr>
        <w:footnoteRef/>
      </w:r>
      <w:r>
        <w:t xml:space="preserve"> </w:t>
      </w:r>
      <w:r>
        <w:rPr>
          <w:i/>
        </w:rPr>
        <w:t>Id.</w:t>
      </w:r>
    </w:p>
  </w:footnote>
  <w:footnote w:id="47">
    <w:p w14:paraId="55188927" w14:textId="3A071497" w:rsidR="008E7E57" w:rsidRDefault="008E7E57">
      <w:pPr>
        <w:pStyle w:val="FootnoteText"/>
      </w:pPr>
      <w:r>
        <w:rPr>
          <w:rStyle w:val="FootnoteReference"/>
        </w:rPr>
        <w:footnoteRef/>
      </w:r>
      <w:r>
        <w:t xml:space="preserve"> Hearing Testimony 9/27/24, Comments of Uber USA, LLC re: Int-0276-2024: Wrongful deactivation of high-volume for-hire vehicle drivers, Josh Gold for Uber</w:t>
      </w:r>
      <w:r w:rsidR="00545082">
        <w:t xml:space="preserve"> at pg. 69</w:t>
      </w:r>
      <w:r>
        <w:t xml:space="preserve">, Sept. 27, 2024, </w:t>
      </w:r>
      <w:r w:rsidR="00E0195B">
        <w:t xml:space="preserve">available at </w:t>
      </w:r>
      <w:hyperlink r:id="rId30" w:history="1">
        <w:r w:rsidRPr="0013428A">
          <w:rPr>
            <w:rStyle w:val="Hyperlink"/>
          </w:rPr>
          <w:t>https://legistar.council.nyc.gov/View.ashx?M=F&amp;ID=13357427&amp;GUID=F4E8C99F-EED7-469B-830E-B340D3E2F3AB</w:t>
        </w:r>
      </w:hyperlink>
      <w:r>
        <w:t>.</w:t>
      </w:r>
    </w:p>
  </w:footnote>
  <w:footnote w:id="48">
    <w:p w14:paraId="1C8AADED" w14:textId="18028208" w:rsidR="00CF7804" w:rsidRPr="008E7E57" w:rsidRDefault="00CF7804" w:rsidP="00CF7804">
      <w:pPr>
        <w:pStyle w:val="FootnoteText"/>
      </w:pPr>
      <w:r>
        <w:rPr>
          <w:rStyle w:val="FootnoteReference"/>
        </w:rPr>
        <w:footnoteRef/>
      </w:r>
      <w:r>
        <w:t xml:space="preserve"> </w:t>
      </w:r>
      <w:r w:rsidR="008E7E57">
        <w:rPr>
          <w:i/>
          <w:iCs/>
        </w:rPr>
        <w:t>Id.</w:t>
      </w:r>
    </w:p>
  </w:footnote>
  <w:footnote w:id="49">
    <w:p w14:paraId="76BBDFEE" w14:textId="05D62A8F" w:rsidR="008E7E57" w:rsidRPr="004A7D57" w:rsidRDefault="008E7E57">
      <w:pPr>
        <w:pStyle w:val="FootnoteText"/>
      </w:pPr>
      <w:r>
        <w:rPr>
          <w:rStyle w:val="FootnoteReference"/>
        </w:rPr>
        <w:footnoteRef/>
      </w:r>
      <w:r>
        <w:t xml:space="preserve"> </w:t>
      </w:r>
      <w:r w:rsidR="004A7D57">
        <w:rPr>
          <w:i/>
          <w:iCs/>
        </w:rPr>
        <w:t>Id.</w:t>
      </w:r>
    </w:p>
  </w:footnote>
  <w:footnote w:id="50">
    <w:p w14:paraId="0F3F3105" w14:textId="46C3693F" w:rsidR="00CF7804" w:rsidRPr="00ED7B01" w:rsidRDefault="00CF7804" w:rsidP="00CF7804">
      <w:pPr>
        <w:pStyle w:val="FootnoteText"/>
      </w:pPr>
      <w:r>
        <w:rPr>
          <w:rStyle w:val="FootnoteReference"/>
        </w:rPr>
        <w:footnoteRef/>
      </w:r>
      <w:r>
        <w:t xml:space="preserve"> </w:t>
      </w:r>
      <w:r>
        <w:rPr>
          <w:i/>
        </w:rPr>
        <w:t>Id.</w:t>
      </w:r>
      <w:r>
        <w:t xml:space="preserve"> </w:t>
      </w:r>
      <w:r w:rsidR="00545082">
        <w:t>at pg. 70.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CF7804" w14:paraId="09823E53" w14:textId="77777777" w:rsidTr="0052251C">
      <w:trPr>
        <w:trHeight w:val="300"/>
      </w:trPr>
      <w:tc>
        <w:tcPr>
          <w:tcW w:w="3120" w:type="dxa"/>
        </w:tcPr>
        <w:p w14:paraId="3554BEE9" w14:textId="4FABB3E7" w:rsidR="00CF7804" w:rsidRDefault="00CF7804" w:rsidP="0052251C">
          <w:pPr>
            <w:pStyle w:val="Header"/>
            <w:ind w:left="-115"/>
          </w:pPr>
        </w:p>
      </w:tc>
      <w:tc>
        <w:tcPr>
          <w:tcW w:w="3120" w:type="dxa"/>
        </w:tcPr>
        <w:p w14:paraId="7F7E620C" w14:textId="1DFD1CA9" w:rsidR="00CF7804" w:rsidRDefault="00CF7804" w:rsidP="0052251C">
          <w:pPr>
            <w:pStyle w:val="Header"/>
            <w:jc w:val="center"/>
          </w:pPr>
        </w:p>
      </w:tc>
      <w:tc>
        <w:tcPr>
          <w:tcW w:w="3120" w:type="dxa"/>
        </w:tcPr>
        <w:p w14:paraId="4C18C7BA" w14:textId="7434E669" w:rsidR="00CF7804" w:rsidRDefault="00CF7804" w:rsidP="0052251C">
          <w:pPr>
            <w:pStyle w:val="Header"/>
            <w:ind w:right="-115"/>
            <w:jc w:val="right"/>
          </w:pPr>
        </w:p>
      </w:tc>
    </w:tr>
  </w:tbl>
  <w:p w14:paraId="79ABE07D" w14:textId="0DF26C8F" w:rsidR="00CF7804" w:rsidRDefault="00CF7804" w:rsidP="0052251C">
    <w:pPr>
      <w:pStyle w:val="Header"/>
    </w:pPr>
  </w:p>
  <w:p w14:paraId="7B343389" w14:textId="77777777" w:rsidR="00CF7804" w:rsidRDefault="00CF7804"/>
  <w:p w14:paraId="102C724E" w14:textId="77777777" w:rsidR="00CF7804" w:rsidRDefault="00CF780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101BA"/>
    <w:multiLevelType w:val="multilevel"/>
    <w:tmpl w:val="3912B61C"/>
    <w:styleLink w:val="CurrentList1"/>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 w15:restartNumberingAfterBreak="0">
    <w:nsid w:val="0A51715E"/>
    <w:multiLevelType w:val="hybridMultilevel"/>
    <w:tmpl w:val="FE28134E"/>
    <w:lvl w:ilvl="0" w:tplc="E070E7BC">
      <w:start w:val="1"/>
      <w:numFmt w:val="decimal"/>
      <w:lvlText w:val="%1."/>
      <w:lvlJc w:val="left"/>
      <w:pPr>
        <w:ind w:left="1020" w:hanging="360"/>
      </w:pPr>
    </w:lvl>
    <w:lvl w:ilvl="1" w:tplc="B9AEE464">
      <w:start w:val="1"/>
      <w:numFmt w:val="decimal"/>
      <w:lvlText w:val="%2."/>
      <w:lvlJc w:val="left"/>
      <w:pPr>
        <w:ind w:left="1020" w:hanging="360"/>
      </w:pPr>
    </w:lvl>
    <w:lvl w:ilvl="2" w:tplc="54D00B9E">
      <w:start w:val="1"/>
      <w:numFmt w:val="decimal"/>
      <w:lvlText w:val="%3."/>
      <w:lvlJc w:val="left"/>
      <w:pPr>
        <w:ind w:left="1020" w:hanging="360"/>
      </w:pPr>
    </w:lvl>
    <w:lvl w:ilvl="3" w:tplc="2D3010E4">
      <w:start w:val="1"/>
      <w:numFmt w:val="decimal"/>
      <w:lvlText w:val="%4."/>
      <w:lvlJc w:val="left"/>
      <w:pPr>
        <w:ind w:left="1020" w:hanging="360"/>
      </w:pPr>
    </w:lvl>
    <w:lvl w:ilvl="4" w:tplc="77208372">
      <w:start w:val="1"/>
      <w:numFmt w:val="decimal"/>
      <w:lvlText w:val="%5."/>
      <w:lvlJc w:val="left"/>
      <w:pPr>
        <w:ind w:left="1020" w:hanging="360"/>
      </w:pPr>
    </w:lvl>
    <w:lvl w:ilvl="5" w:tplc="4878AED2">
      <w:start w:val="1"/>
      <w:numFmt w:val="decimal"/>
      <w:lvlText w:val="%6."/>
      <w:lvlJc w:val="left"/>
      <w:pPr>
        <w:ind w:left="1020" w:hanging="360"/>
      </w:pPr>
    </w:lvl>
    <w:lvl w:ilvl="6" w:tplc="5DE8F7E0">
      <w:start w:val="1"/>
      <w:numFmt w:val="decimal"/>
      <w:lvlText w:val="%7."/>
      <w:lvlJc w:val="left"/>
      <w:pPr>
        <w:ind w:left="1020" w:hanging="360"/>
      </w:pPr>
    </w:lvl>
    <w:lvl w:ilvl="7" w:tplc="DCAC64F6">
      <w:start w:val="1"/>
      <w:numFmt w:val="decimal"/>
      <w:lvlText w:val="%8."/>
      <w:lvlJc w:val="left"/>
      <w:pPr>
        <w:ind w:left="1020" w:hanging="360"/>
      </w:pPr>
    </w:lvl>
    <w:lvl w:ilvl="8" w:tplc="A6BAA478">
      <w:start w:val="1"/>
      <w:numFmt w:val="decimal"/>
      <w:lvlText w:val="%9."/>
      <w:lvlJc w:val="left"/>
      <w:pPr>
        <w:ind w:left="1020" w:hanging="360"/>
      </w:pPr>
    </w:lvl>
  </w:abstractNum>
  <w:abstractNum w:abstractNumId="2" w15:restartNumberingAfterBreak="0">
    <w:nsid w:val="0BDB0117"/>
    <w:multiLevelType w:val="hybridMultilevel"/>
    <w:tmpl w:val="04D4A1B4"/>
    <w:lvl w:ilvl="0" w:tplc="F9CA4E66">
      <w:start w:val="1"/>
      <w:numFmt w:val="decimal"/>
      <w:lvlText w:val="%1."/>
      <w:lvlJc w:val="left"/>
      <w:pPr>
        <w:ind w:left="720" w:hanging="360"/>
      </w:pPr>
    </w:lvl>
    <w:lvl w:ilvl="1" w:tplc="1FFA158A">
      <w:start w:val="1"/>
      <w:numFmt w:val="decimal"/>
      <w:lvlText w:val="%2."/>
      <w:lvlJc w:val="left"/>
      <w:pPr>
        <w:ind w:left="720" w:hanging="360"/>
      </w:pPr>
    </w:lvl>
    <w:lvl w:ilvl="2" w:tplc="91760884">
      <w:start w:val="1"/>
      <w:numFmt w:val="decimal"/>
      <w:lvlText w:val="%3."/>
      <w:lvlJc w:val="left"/>
      <w:pPr>
        <w:ind w:left="720" w:hanging="360"/>
      </w:pPr>
    </w:lvl>
    <w:lvl w:ilvl="3" w:tplc="209EB6B4">
      <w:start w:val="1"/>
      <w:numFmt w:val="decimal"/>
      <w:lvlText w:val="%4."/>
      <w:lvlJc w:val="left"/>
      <w:pPr>
        <w:ind w:left="720" w:hanging="360"/>
      </w:pPr>
    </w:lvl>
    <w:lvl w:ilvl="4" w:tplc="A5B8F99A">
      <w:start w:val="1"/>
      <w:numFmt w:val="decimal"/>
      <w:lvlText w:val="%5."/>
      <w:lvlJc w:val="left"/>
      <w:pPr>
        <w:ind w:left="720" w:hanging="360"/>
      </w:pPr>
    </w:lvl>
    <w:lvl w:ilvl="5" w:tplc="0CF8E84E">
      <w:start w:val="1"/>
      <w:numFmt w:val="decimal"/>
      <w:lvlText w:val="%6."/>
      <w:lvlJc w:val="left"/>
      <w:pPr>
        <w:ind w:left="720" w:hanging="360"/>
      </w:pPr>
    </w:lvl>
    <w:lvl w:ilvl="6" w:tplc="B80657DE">
      <w:start w:val="1"/>
      <w:numFmt w:val="decimal"/>
      <w:lvlText w:val="%7."/>
      <w:lvlJc w:val="left"/>
      <w:pPr>
        <w:ind w:left="720" w:hanging="360"/>
      </w:pPr>
    </w:lvl>
    <w:lvl w:ilvl="7" w:tplc="75301E84">
      <w:start w:val="1"/>
      <w:numFmt w:val="decimal"/>
      <w:lvlText w:val="%8."/>
      <w:lvlJc w:val="left"/>
      <w:pPr>
        <w:ind w:left="720" w:hanging="360"/>
      </w:pPr>
    </w:lvl>
    <w:lvl w:ilvl="8" w:tplc="1EBA2CDE">
      <w:start w:val="1"/>
      <w:numFmt w:val="decimal"/>
      <w:lvlText w:val="%9."/>
      <w:lvlJc w:val="left"/>
      <w:pPr>
        <w:ind w:left="720" w:hanging="360"/>
      </w:pPr>
    </w:lvl>
  </w:abstractNum>
  <w:abstractNum w:abstractNumId="3" w15:restartNumberingAfterBreak="0">
    <w:nsid w:val="18FB78F8"/>
    <w:multiLevelType w:val="hybridMultilevel"/>
    <w:tmpl w:val="4142DD84"/>
    <w:lvl w:ilvl="0" w:tplc="ACEEC9D0">
      <w:start w:val="1"/>
      <w:numFmt w:val="decimal"/>
      <w:lvlText w:val="%1."/>
      <w:lvlJc w:val="left"/>
      <w:pPr>
        <w:ind w:left="1020" w:hanging="360"/>
      </w:pPr>
    </w:lvl>
    <w:lvl w:ilvl="1" w:tplc="A42CCE4C">
      <w:start w:val="1"/>
      <w:numFmt w:val="decimal"/>
      <w:lvlText w:val="%2."/>
      <w:lvlJc w:val="left"/>
      <w:pPr>
        <w:ind w:left="1020" w:hanging="360"/>
      </w:pPr>
    </w:lvl>
    <w:lvl w:ilvl="2" w:tplc="E608657A">
      <w:start w:val="1"/>
      <w:numFmt w:val="decimal"/>
      <w:lvlText w:val="%3."/>
      <w:lvlJc w:val="left"/>
      <w:pPr>
        <w:ind w:left="1020" w:hanging="360"/>
      </w:pPr>
    </w:lvl>
    <w:lvl w:ilvl="3" w:tplc="6D14006A">
      <w:start w:val="1"/>
      <w:numFmt w:val="decimal"/>
      <w:lvlText w:val="%4."/>
      <w:lvlJc w:val="left"/>
      <w:pPr>
        <w:ind w:left="1020" w:hanging="360"/>
      </w:pPr>
    </w:lvl>
    <w:lvl w:ilvl="4" w:tplc="39C0C546">
      <w:start w:val="1"/>
      <w:numFmt w:val="decimal"/>
      <w:lvlText w:val="%5."/>
      <w:lvlJc w:val="left"/>
      <w:pPr>
        <w:ind w:left="1020" w:hanging="360"/>
      </w:pPr>
    </w:lvl>
    <w:lvl w:ilvl="5" w:tplc="C958A8CA">
      <w:start w:val="1"/>
      <w:numFmt w:val="decimal"/>
      <w:lvlText w:val="%6."/>
      <w:lvlJc w:val="left"/>
      <w:pPr>
        <w:ind w:left="1020" w:hanging="360"/>
      </w:pPr>
    </w:lvl>
    <w:lvl w:ilvl="6" w:tplc="E78465AE">
      <w:start w:val="1"/>
      <w:numFmt w:val="decimal"/>
      <w:lvlText w:val="%7."/>
      <w:lvlJc w:val="left"/>
      <w:pPr>
        <w:ind w:left="1020" w:hanging="360"/>
      </w:pPr>
    </w:lvl>
    <w:lvl w:ilvl="7" w:tplc="4088F0E4">
      <w:start w:val="1"/>
      <w:numFmt w:val="decimal"/>
      <w:lvlText w:val="%8."/>
      <w:lvlJc w:val="left"/>
      <w:pPr>
        <w:ind w:left="1020" w:hanging="360"/>
      </w:pPr>
    </w:lvl>
    <w:lvl w:ilvl="8" w:tplc="F456430C">
      <w:start w:val="1"/>
      <w:numFmt w:val="decimal"/>
      <w:lvlText w:val="%9."/>
      <w:lvlJc w:val="left"/>
      <w:pPr>
        <w:ind w:left="1020" w:hanging="360"/>
      </w:pPr>
    </w:lvl>
  </w:abstractNum>
  <w:abstractNum w:abstractNumId="4" w15:restartNumberingAfterBreak="0">
    <w:nsid w:val="19BB4302"/>
    <w:multiLevelType w:val="hybridMultilevel"/>
    <w:tmpl w:val="A8BC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AD7E87"/>
    <w:multiLevelType w:val="hybridMultilevel"/>
    <w:tmpl w:val="B754AC8C"/>
    <w:lvl w:ilvl="0" w:tplc="E61AF1F4">
      <w:start w:val="1"/>
      <w:numFmt w:val="decimal"/>
      <w:lvlText w:val="%1."/>
      <w:lvlJc w:val="left"/>
      <w:pPr>
        <w:ind w:left="720" w:hanging="360"/>
      </w:pPr>
    </w:lvl>
    <w:lvl w:ilvl="1" w:tplc="C16258C8">
      <w:start w:val="1"/>
      <w:numFmt w:val="decimal"/>
      <w:lvlText w:val="%2."/>
      <w:lvlJc w:val="left"/>
      <w:pPr>
        <w:ind w:left="720" w:hanging="360"/>
      </w:pPr>
    </w:lvl>
    <w:lvl w:ilvl="2" w:tplc="77F46328">
      <w:start w:val="1"/>
      <w:numFmt w:val="decimal"/>
      <w:lvlText w:val="%3."/>
      <w:lvlJc w:val="left"/>
      <w:pPr>
        <w:ind w:left="720" w:hanging="360"/>
      </w:pPr>
    </w:lvl>
    <w:lvl w:ilvl="3" w:tplc="8D9AE0E4">
      <w:start w:val="1"/>
      <w:numFmt w:val="decimal"/>
      <w:lvlText w:val="%4."/>
      <w:lvlJc w:val="left"/>
      <w:pPr>
        <w:ind w:left="720" w:hanging="360"/>
      </w:pPr>
    </w:lvl>
    <w:lvl w:ilvl="4" w:tplc="2BFCC2C0">
      <w:start w:val="1"/>
      <w:numFmt w:val="decimal"/>
      <w:lvlText w:val="%5."/>
      <w:lvlJc w:val="left"/>
      <w:pPr>
        <w:ind w:left="720" w:hanging="360"/>
      </w:pPr>
    </w:lvl>
    <w:lvl w:ilvl="5" w:tplc="C0D6576A">
      <w:start w:val="1"/>
      <w:numFmt w:val="decimal"/>
      <w:lvlText w:val="%6."/>
      <w:lvlJc w:val="left"/>
      <w:pPr>
        <w:ind w:left="720" w:hanging="360"/>
      </w:pPr>
    </w:lvl>
    <w:lvl w:ilvl="6" w:tplc="F46A1446">
      <w:start w:val="1"/>
      <w:numFmt w:val="decimal"/>
      <w:lvlText w:val="%7."/>
      <w:lvlJc w:val="left"/>
      <w:pPr>
        <w:ind w:left="720" w:hanging="360"/>
      </w:pPr>
    </w:lvl>
    <w:lvl w:ilvl="7" w:tplc="150A8160">
      <w:start w:val="1"/>
      <w:numFmt w:val="decimal"/>
      <w:lvlText w:val="%8."/>
      <w:lvlJc w:val="left"/>
      <w:pPr>
        <w:ind w:left="720" w:hanging="360"/>
      </w:pPr>
    </w:lvl>
    <w:lvl w:ilvl="8" w:tplc="C8004A48">
      <w:start w:val="1"/>
      <w:numFmt w:val="decimal"/>
      <w:lvlText w:val="%9."/>
      <w:lvlJc w:val="left"/>
      <w:pPr>
        <w:ind w:left="720" w:hanging="360"/>
      </w:pPr>
    </w:lvl>
  </w:abstractNum>
  <w:abstractNum w:abstractNumId="6" w15:restartNumberingAfterBreak="0">
    <w:nsid w:val="21561622"/>
    <w:multiLevelType w:val="hybridMultilevel"/>
    <w:tmpl w:val="AC34B848"/>
    <w:lvl w:ilvl="0" w:tplc="15DE43E8">
      <w:start w:val="1"/>
      <w:numFmt w:val="decimal"/>
      <w:lvlText w:val="%1."/>
      <w:lvlJc w:val="left"/>
      <w:pPr>
        <w:ind w:left="1020" w:hanging="360"/>
      </w:pPr>
    </w:lvl>
    <w:lvl w:ilvl="1" w:tplc="788AB514">
      <w:start w:val="1"/>
      <w:numFmt w:val="decimal"/>
      <w:lvlText w:val="%2."/>
      <w:lvlJc w:val="left"/>
      <w:pPr>
        <w:ind w:left="1020" w:hanging="360"/>
      </w:pPr>
    </w:lvl>
    <w:lvl w:ilvl="2" w:tplc="616C0148">
      <w:start w:val="1"/>
      <w:numFmt w:val="decimal"/>
      <w:lvlText w:val="%3."/>
      <w:lvlJc w:val="left"/>
      <w:pPr>
        <w:ind w:left="1020" w:hanging="360"/>
      </w:pPr>
    </w:lvl>
    <w:lvl w:ilvl="3" w:tplc="9022CA5A">
      <w:start w:val="1"/>
      <w:numFmt w:val="decimal"/>
      <w:lvlText w:val="%4."/>
      <w:lvlJc w:val="left"/>
      <w:pPr>
        <w:ind w:left="1020" w:hanging="360"/>
      </w:pPr>
    </w:lvl>
    <w:lvl w:ilvl="4" w:tplc="70609DBA">
      <w:start w:val="1"/>
      <w:numFmt w:val="decimal"/>
      <w:lvlText w:val="%5."/>
      <w:lvlJc w:val="left"/>
      <w:pPr>
        <w:ind w:left="1020" w:hanging="360"/>
      </w:pPr>
    </w:lvl>
    <w:lvl w:ilvl="5" w:tplc="8EFE4E98">
      <w:start w:val="1"/>
      <w:numFmt w:val="decimal"/>
      <w:lvlText w:val="%6."/>
      <w:lvlJc w:val="left"/>
      <w:pPr>
        <w:ind w:left="1020" w:hanging="360"/>
      </w:pPr>
    </w:lvl>
    <w:lvl w:ilvl="6" w:tplc="A29E32AE">
      <w:start w:val="1"/>
      <w:numFmt w:val="decimal"/>
      <w:lvlText w:val="%7."/>
      <w:lvlJc w:val="left"/>
      <w:pPr>
        <w:ind w:left="1020" w:hanging="360"/>
      </w:pPr>
    </w:lvl>
    <w:lvl w:ilvl="7" w:tplc="999EC8D8">
      <w:start w:val="1"/>
      <w:numFmt w:val="decimal"/>
      <w:lvlText w:val="%8."/>
      <w:lvlJc w:val="left"/>
      <w:pPr>
        <w:ind w:left="1020" w:hanging="360"/>
      </w:pPr>
    </w:lvl>
    <w:lvl w:ilvl="8" w:tplc="A614EB32">
      <w:start w:val="1"/>
      <w:numFmt w:val="decimal"/>
      <w:lvlText w:val="%9."/>
      <w:lvlJc w:val="left"/>
      <w:pPr>
        <w:ind w:left="1020" w:hanging="360"/>
      </w:pPr>
    </w:lvl>
  </w:abstractNum>
  <w:abstractNum w:abstractNumId="7" w15:restartNumberingAfterBreak="0">
    <w:nsid w:val="23425964"/>
    <w:multiLevelType w:val="hybridMultilevel"/>
    <w:tmpl w:val="58089F76"/>
    <w:lvl w:ilvl="0" w:tplc="FFAAB552">
      <w:start w:val="1"/>
      <w:numFmt w:val="decimal"/>
      <w:lvlText w:val="%1."/>
      <w:lvlJc w:val="left"/>
      <w:pPr>
        <w:ind w:left="1020" w:hanging="360"/>
      </w:pPr>
    </w:lvl>
    <w:lvl w:ilvl="1" w:tplc="8BB8A4D4">
      <w:start w:val="1"/>
      <w:numFmt w:val="decimal"/>
      <w:lvlText w:val="%2."/>
      <w:lvlJc w:val="left"/>
      <w:pPr>
        <w:ind w:left="1020" w:hanging="360"/>
      </w:pPr>
    </w:lvl>
    <w:lvl w:ilvl="2" w:tplc="FD9877A2">
      <w:start w:val="1"/>
      <w:numFmt w:val="decimal"/>
      <w:lvlText w:val="%3."/>
      <w:lvlJc w:val="left"/>
      <w:pPr>
        <w:ind w:left="1020" w:hanging="360"/>
      </w:pPr>
    </w:lvl>
    <w:lvl w:ilvl="3" w:tplc="1B3C3BCA">
      <w:start w:val="1"/>
      <w:numFmt w:val="decimal"/>
      <w:lvlText w:val="%4."/>
      <w:lvlJc w:val="left"/>
      <w:pPr>
        <w:ind w:left="1020" w:hanging="360"/>
      </w:pPr>
    </w:lvl>
    <w:lvl w:ilvl="4" w:tplc="07FCC7DE">
      <w:start w:val="1"/>
      <w:numFmt w:val="decimal"/>
      <w:lvlText w:val="%5."/>
      <w:lvlJc w:val="left"/>
      <w:pPr>
        <w:ind w:left="1020" w:hanging="360"/>
      </w:pPr>
    </w:lvl>
    <w:lvl w:ilvl="5" w:tplc="383CD4AC">
      <w:start w:val="1"/>
      <w:numFmt w:val="decimal"/>
      <w:lvlText w:val="%6."/>
      <w:lvlJc w:val="left"/>
      <w:pPr>
        <w:ind w:left="1020" w:hanging="360"/>
      </w:pPr>
    </w:lvl>
    <w:lvl w:ilvl="6" w:tplc="8618D04A">
      <w:start w:val="1"/>
      <w:numFmt w:val="decimal"/>
      <w:lvlText w:val="%7."/>
      <w:lvlJc w:val="left"/>
      <w:pPr>
        <w:ind w:left="1020" w:hanging="360"/>
      </w:pPr>
    </w:lvl>
    <w:lvl w:ilvl="7" w:tplc="4C50F1A4">
      <w:start w:val="1"/>
      <w:numFmt w:val="decimal"/>
      <w:lvlText w:val="%8."/>
      <w:lvlJc w:val="left"/>
      <w:pPr>
        <w:ind w:left="1020" w:hanging="360"/>
      </w:pPr>
    </w:lvl>
    <w:lvl w:ilvl="8" w:tplc="C262AC3C">
      <w:start w:val="1"/>
      <w:numFmt w:val="decimal"/>
      <w:lvlText w:val="%9."/>
      <w:lvlJc w:val="left"/>
      <w:pPr>
        <w:ind w:left="1020" w:hanging="360"/>
      </w:pPr>
    </w:lvl>
  </w:abstractNum>
  <w:abstractNum w:abstractNumId="8" w15:restartNumberingAfterBreak="0">
    <w:nsid w:val="25BB3A44"/>
    <w:multiLevelType w:val="hybridMultilevel"/>
    <w:tmpl w:val="E806E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6562F7"/>
    <w:multiLevelType w:val="hybridMultilevel"/>
    <w:tmpl w:val="F5767972"/>
    <w:lvl w:ilvl="0" w:tplc="A0B012EC">
      <w:start w:val="1"/>
      <w:numFmt w:val="decimal"/>
      <w:lvlText w:val="%1."/>
      <w:lvlJc w:val="left"/>
      <w:pPr>
        <w:ind w:left="720" w:hanging="360"/>
      </w:pPr>
    </w:lvl>
    <w:lvl w:ilvl="1" w:tplc="6C2AECBA">
      <w:start w:val="1"/>
      <w:numFmt w:val="decimal"/>
      <w:lvlText w:val="%2."/>
      <w:lvlJc w:val="left"/>
      <w:pPr>
        <w:ind w:left="720" w:hanging="360"/>
      </w:pPr>
    </w:lvl>
    <w:lvl w:ilvl="2" w:tplc="1BF29DF8">
      <w:start w:val="1"/>
      <w:numFmt w:val="decimal"/>
      <w:lvlText w:val="%3."/>
      <w:lvlJc w:val="left"/>
      <w:pPr>
        <w:ind w:left="720" w:hanging="360"/>
      </w:pPr>
    </w:lvl>
    <w:lvl w:ilvl="3" w:tplc="9C2CEC9E">
      <w:start w:val="1"/>
      <w:numFmt w:val="decimal"/>
      <w:lvlText w:val="%4."/>
      <w:lvlJc w:val="left"/>
      <w:pPr>
        <w:ind w:left="720" w:hanging="360"/>
      </w:pPr>
    </w:lvl>
    <w:lvl w:ilvl="4" w:tplc="EF6ECFBC">
      <w:start w:val="1"/>
      <w:numFmt w:val="decimal"/>
      <w:lvlText w:val="%5."/>
      <w:lvlJc w:val="left"/>
      <w:pPr>
        <w:ind w:left="720" w:hanging="360"/>
      </w:pPr>
    </w:lvl>
    <w:lvl w:ilvl="5" w:tplc="ED9C27E0">
      <w:start w:val="1"/>
      <w:numFmt w:val="decimal"/>
      <w:lvlText w:val="%6."/>
      <w:lvlJc w:val="left"/>
      <w:pPr>
        <w:ind w:left="720" w:hanging="360"/>
      </w:pPr>
    </w:lvl>
    <w:lvl w:ilvl="6" w:tplc="01AA4050">
      <w:start w:val="1"/>
      <w:numFmt w:val="decimal"/>
      <w:lvlText w:val="%7."/>
      <w:lvlJc w:val="left"/>
      <w:pPr>
        <w:ind w:left="720" w:hanging="360"/>
      </w:pPr>
    </w:lvl>
    <w:lvl w:ilvl="7" w:tplc="C91EFEF8">
      <w:start w:val="1"/>
      <w:numFmt w:val="decimal"/>
      <w:lvlText w:val="%8."/>
      <w:lvlJc w:val="left"/>
      <w:pPr>
        <w:ind w:left="720" w:hanging="360"/>
      </w:pPr>
    </w:lvl>
    <w:lvl w:ilvl="8" w:tplc="15E09E44">
      <w:start w:val="1"/>
      <w:numFmt w:val="decimal"/>
      <w:lvlText w:val="%9."/>
      <w:lvlJc w:val="left"/>
      <w:pPr>
        <w:ind w:left="720" w:hanging="360"/>
      </w:pPr>
    </w:lvl>
  </w:abstractNum>
  <w:abstractNum w:abstractNumId="10" w15:restartNumberingAfterBreak="0">
    <w:nsid w:val="3AA17325"/>
    <w:multiLevelType w:val="hybridMultilevel"/>
    <w:tmpl w:val="E0AE3428"/>
    <w:lvl w:ilvl="0" w:tplc="0409000F">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EDC317F"/>
    <w:multiLevelType w:val="hybridMultilevel"/>
    <w:tmpl w:val="3912B6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19E4E67"/>
    <w:multiLevelType w:val="hybridMultilevel"/>
    <w:tmpl w:val="1C3C91D6"/>
    <w:lvl w:ilvl="0" w:tplc="3898A414">
      <w:start w:val="1"/>
      <w:numFmt w:val="decimal"/>
      <w:lvlText w:val="%1."/>
      <w:lvlJc w:val="left"/>
      <w:pPr>
        <w:ind w:left="1020" w:hanging="360"/>
      </w:pPr>
    </w:lvl>
    <w:lvl w:ilvl="1" w:tplc="206C1084">
      <w:start w:val="1"/>
      <w:numFmt w:val="decimal"/>
      <w:lvlText w:val="%2."/>
      <w:lvlJc w:val="left"/>
      <w:pPr>
        <w:ind w:left="1020" w:hanging="360"/>
      </w:pPr>
    </w:lvl>
    <w:lvl w:ilvl="2" w:tplc="F2241712">
      <w:start w:val="1"/>
      <w:numFmt w:val="decimal"/>
      <w:lvlText w:val="%3."/>
      <w:lvlJc w:val="left"/>
      <w:pPr>
        <w:ind w:left="1020" w:hanging="360"/>
      </w:pPr>
    </w:lvl>
    <w:lvl w:ilvl="3" w:tplc="7068D1C4">
      <w:start w:val="1"/>
      <w:numFmt w:val="decimal"/>
      <w:lvlText w:val="%4."/>
      <w:lvlJc w:val="left"/>
      <w:pPr>
        <w:ind w:left="1020" w:hanging="360"/>
      </w:pPr>
    </w:lvl>
    <w:lvl w:ilvl="4" w:tplc="CD4EA718">
      <w:start w:val="1"/>
      <w:numFmt w:val="decimal"/>
      <w:lvlText w:val="%5."/>
      <w:lvlJc w:val="left"/>
      <w:pPr>
        <w:ind w:left="1020" w:hanging="360"/>
      </w:pPr>
    </w:lvl>
    <w:lvl w:ilvl="5" w:tplc="E8BCF07C">
      <w:start w:val="1"/>
      <w:numFmt w:val="decimal"/>
      <w:lvlText w:val="%6."/>
      <w:lvlJc w:val="left"/>
      <w:pPr>
        <w:ind w:left="1020" w:hanging="360"/>
      </w:pPr>
    </w:lvl>
    <w:lvl w:ilvl="6" w:tplc="87960288">
      <w:start w:val="1"/>
      <w:numFmt w:val="decimal"/>
      <w:lvlText w:val="%7."/>
      <w:lvlJc w:val="left"/>
      <w:pPr>
        <w:ind w:left="1020" w:hanging="360"/>
      </w:pPr>
    </w:lvl>
    <w:lvl w:ilvl="7" w:tplc="53788172">
      <w:start w:val="1"/>
      <w:numFmt w:val="decimal"/>
      <w:lvlText w:val="%8."/>
      <w:lvlJc w:val="left"/>
      <w:pPr>
        <w:ind w:left="1020" w:hanging="360"/>
      </w:pPr>
    </w:lvl>
    <w:lvl w:ilvl="8" w:tplc="7C9E2710">
      <w:start w:val="1"/>
      <w:numFmt w:val="decimal"/>
      <w:lvlText w:val="%9."/>
      <w:lvlJc w:val="left"/>
      <w:pPr>
        <w:ind w:left="1020" w:hanging="360"/>
      </w:pPr>
    </w:lvl>
  </w:abstractNum>
  <w:abstractNum w:abstractNumId="13" w15:restartNumberingAfterBreak="0">
    <w:nsid w:val="5ED3171B"/>
    <w:multiLevelType w:val="hybridMultilevel"/>
    <w:tmpl w:val="41E084EC"/>
    <w:lvl w:ilvl="0" w:tplc="FA123FB4">
      <w:start w:val="1"/>
      <w:numFmt w:val="decimal"/>
      <w:lvlText w:val="%1."/>
      <w:lvlJc w:val="left"/>
      <w:pPr>
        <w:ind w:left="720" w:hanging="360"/>
      </w:pPr>
    </w:lvl>
    <w:lvl w:ilvl="1" w:tplc="3828E20E">
      <w:start w:val="1"/>
      <w:numFmt w:val="decimal"/>
      <w:lvlText w:val="%2."/>
      <w:lvlJc w:val="left"/>
      <w:pPr>
        <w:ind w:left="720" w:hanging="360"/>
      </w:pPr>
    </w:lvl>
    <w:lvl w:ilvl="2" w:tplc="E9200C88">
      <w:start w:val="1"/>
      <w:numFmt w:val="decimal"/>
      <w:lvlText w:val="%3."/>
      <w:lvlJc w:val="left"/>
      <w:pPr>
        <w:ind w:left="720" w:hanging="360"/>
      </w:pPr>
    </w:lvl>
    <w:lvl w:ilvl="3" w:tplc="00D650EC">
      <w:start w:val="1"/>
      <w:numFmt w:val="decimal"/>
      <w:lvlText w:val="%4."/>
      <w:lvlJc w:val="left"/>
      <w:pPr>
        <w:ind w:left="720" w:hanging="360"/>
      </w:pPr>
    </w:lvl>
    <w:lvl w:ilvl="4" w:tplc="D2ACAC6E">
      <w:start w:val="1"/>
      <w:numFmt w:val="decimal"/>
      <w:lvlText w:val="%5."/>
      <w:lvlJc w:val="left"/>
      <w:pPr>
        <w:ind w:left="720" w:hanging="360"/>
      </w:pPr>
    </w:lvl>
    <w:lvl w:ilvl="5" w:tplc="A308071C">
      <w:start w:val="1"/>
      <w:numFmt w:val="decimal"/>
      <w:lvlText w:val="%6."/>
      <w:lvlJc w:val="left"/>
      <w:pPr>
        <w:ind w:left="720" w:hanging="360"/>
      </w:pPr>
    </w:lvl>
    <w:lvl w:ilvl="6" w:tplc="1EBEC8E2">
      <w:start w:val="1"/>
      <w:numFmt w:val="decimal"/>
      <w:lvlText w:val="%7."/>
      <w:lvlJc w:val="left"/>
      <w:pPr>
        <w:ind w:left="720" w:hanging="360"/>
      </w:pPr>
    </w:lvl>
    <w:lvl w:ilvl="7" w:tplc="39ACF098">
      <w:start w:val="1"/>
      <w:numFmt w:val="decimal"/>
      <w:lvlText w:val="%8."/>
      <w:lvlJc w:val="left"/>
      <w:pPr>
        <w:ind w:left="720" w:hanging="360"/>
      </w:pPr>
    </w:lvl>
    <w:lvl w:ilvl="8" w:tplc="809A1D72">
      <w:start w:val="1"/>
      <w:numFmt w:val="decimal"/>
      <w:lvlText w:val="%9."/>
      <w:lvlJc w:val="left"/>
      <w:pPr>
        <w:ind w:left="720" w:hanging="360"/>
      </w:pPr>
    </w:lvl>
  </w:abstractNum>
  <w:abstractNum w:abstractNumId="14" w15:restartNumberingAfterBreak="0">
    <w:nsid w:val="60D21E21"/>
    <w:multiLevelType w:val="hybridMultilevel"/>
    <w:tmpl w:val="0C42BF0C"/>
    <w:lvl w:ilvl="0" w:tplc="D16A49BE">
      <w:start w:val="1"/>
      <w:numFmt w:val="decimal"/>
      <w:lvlText w:val="%1."/>
      <w:lvlJc w:val="left"/>
      <w:pPr>
        <w:ind w:left="720" w:hanging="360"/>
      </w:pPr>
    </w:lvl>
    <w:lvl w:ilvl="1" w:tplc="52F4CB5C">
      <w:start w:val="1"/>
      <w:numFmt w:val="decimal"/>
      <w:lvlText w:val="%2."/>
      <w:lvlJc w:val="left"/>
      <w:pPr>
        <w:ind w:left="720" w:hanging="360"/>
      </w:pPr>
    </w:lvl>
    <w:lvl w:ilvl="2" w:tplc="29483738">
      <w:start w:val="1"/>
      <w:numFmt w:val="decimal"/>
      <w:lvlText w:val="%3."/>
      <w:lvlJc w:val="left"/>
      <w:pPr>
        <w:ind w:left="720" w:hanging="360"/>
      </w:pPr>
    </w:lvl>
    <w:lvl w:ilvl="3" w:tplc="C8B2C79A">
      <w:start w:val="1"/>
      <w:numFmt w:val="decimal"/>
      <w:lvlText w:val="%4."/>
      <w:lvlJc w:val="left"/>
      <w:pPr>
        <w:ind w:left="720" w:hanging="360"/>
      </w:pPr>
    </w:lvl>
    <w:lvl w:ilvl="4" w:tplc="E8A83D62">
      <w:start w:val="1"/>
      <w:numFmt w:val="decimal"/>
      <w:lvlText w:val="%5."/>
      <w:lvlJc w:val="left"/>
      <w:pPr>
        <w:ind w:left="720" w:hanging="360"/>
      </w:pPr>
    </w:lvl>
    <w:lvl w:ilvl="5" w:tplc="4F9A382E">
      <w:start w:val="1"/>
      <w:numFmt w:val="decimal"/>
      <w:lvlText w:val="%6."/>
      <w:lvlJc w:val="left"/>
      <w:pPr>
        <w:ind w:left="720" w:hanging="360"/>
      </w:pPr>
    </w:lvl>
    <w:lvl w:ilvl="6" w:tplc="CE10B528">
      <w:start w:val="1"/>
      <w:numFmt w:val="decimal"/>
      <w:lvlText w:val="%7."/>
      <w:lvlJc w:val="left"/>
      <w:pPr>
        <w:ind w:left="720" w:hanging="360"/>
      </w:pPr>
    </w:lvl>
    <w:lvl w:ilvl="7" w:tplc="406CC512">
      <w:start w:val="1"/>
      <w:numFmt w:val="decimal"/>
      <w:lvlText w:val="%8."/>
      <w:lvlJc w:val="left"/>
      <w:pPr>
        <w:ind w:left="720" w:hanging="360"/>
      </w:pPr>
    </w:lvl>
    <w:lvl w:ilvl="8" w:tplc="D55E1B10">
      <w:start w:val="1"/>
      <w:numFmt w:val="decimal"/>
      <w:lvlText w:val="%9."/>
      <w:lvlJc w:val="left"/>
      <w:pPr>
        <w:ind w:left="720" w:hanging="360"/>
      </w:pPr>
    </w:lvl>
  </w:abstractNum>
  <w:abstractNum w:abstractNumId="15" w15:restartNumberingAfterBreak="0">
    <w:nsid w:val="61165696"/>
    <w:multiLevelType w:val="hybridMultilevel"/>
    <w:tmpl w:val="F39A0CCC"/>
    <w:lvl w:ilvl="0" w:tplc="6B9E2B50">
      <w:start w:val="1"/>
      <w:numFmt w:val="decimal"/>
      <w:lvlText w:val="%1."/>
      <w:lvlJc w:val="left"/>
      <w:pPr>
        <w:ind w:left="1020" w:hanging="360"/>
      </w:pPr>
    </w:lvl>
    <w:lvl w:ilvl="1" w:tplc="04A2FC68">
      <w:start w:val="1"/>
      <w:numFmt w:val="decimal"/>
      <w:lvlText w:val="%2."/>
      <w:lvlJc w:val="left"/>
      <w:pPr>
        <w:ind w:left="1020" w:hanging="360"/>
      </w:pPr>
    </w:lvl>
    <w:lvl w:ilvl="2" w:tplc="B20C2B12">
      <w:start w:val="1"/>
      <w:numFmt w:val="decimal"/>
      <w:lvlText w:val="%3."/>
      <w:lvlJc w:val="left"/>
      <w:pPr>
        <w:ind w:left="1020" w:hanging="360"/>
      </w:pPr>
    </w:lvl>
    <w:lvl w:ilvl="3" w:tplc="B8F040A6">
      <w:start w:val="1"/>
      <w:numFmt w:val="decimal"/>
      <w:lvlText w:val="%4."/>
      <w:lvlJc w:val="left"/>
      <w:pPr>
        <w:ind w:left="1020" w:hanging="360"/>
      </w:pPr>
    </w:lvl>
    <w:lvl w:ilvl="4" w:tplc="8620F6D4">
      <w:start w:val="1"/>
      <w:numFmt w:val="decimal"/>
      <w:lvlText w:val="%5."/>
      <w:lvlJc w:val="left"/>
      <w:pPr>
        <w:ind w:left="1020" w:hanging="360"/>
      </w:pPr>
    </w:lvl>
    <w:lvl w:ilvl="5" w:tplc="E00CD8EA">
      <w:start w:val="1"/>
      <w:numFmt w:val="decimal"/>
      <w:lvlText w:val="%6."/>
      <w:lvlJc w:val="left"/>
      <w:pPr>
        <w:ind w:left="1020" w:hanging="360"/>
      </w:pPr>
    </w:lvl>
    <w:lvl w:ilvl="6" w:tplc="17F22762">
      <w:start w:val="1"/>
      <w:numFmt w:val="decimal"/>
      <w:lvlText w:val="%7."/>
      <w:lvlJc w:val="left"/>
      <w:pPr>
        <w:ind w:left="1020" w:hanging="360"/>
      </w:pPr>
    </w:lvl>
    <w:lvl w:ilvl="7" w:tplc="5AEC8142">
      <w:start w:val="1"/>
      <w:numFmt w:val="decimal"/>
      <w:lvlText w:val="%8."/>
      <w:lvlJc w:val="left"/>
      <w:pPr>
        <w:ind w:left="1020" w:hanging="360"/>
      </w:pPr>
    </w:lvl>
    <w:lvl w:ilvl="8" w:tplc="3F9E04B0">
      <w:start w:val="1"/>
      <w:numFmt w:val="decimal"/>
      <w:lvlText w:val="%9."/>
      <w:lvlJc w:val="left"/>
      <w:pPr>
        <w:ind w:left="1020" w:hanging="360"/>
      </w:pPr>
    </w:lvl>
  </w:abstractNum>
  <w:num w:numId="1" w16cid:durableId="1206915232">
    <w:abstractNumId w:val="4"/>
  </w:num>
  <w:num w:numId="2" w16cid:durableId="1277915">
    <w:abstractNumId w:val="11"/>
  </w:num>
  <w:num w:numId="3" w16cid:durableId="196237492">
    <w:abstractNumId w:val="0"/>
  </w:num>
  <w:num w:numId="4" w16cid:durableId="385566433">
    <w:abstractNumId w:val="10"/>
  </w:num>
  <w:num w:numId="5" w16cid:durableId="1342776793">
    <w:abstractNumId w:val="8"/>
  </w:num>
  <w:num w:numId="6" w16cid:durableId="1216627406">
    <w:abstractNumId w:val="3"/>
  </w:num>
  <w:num w:numId="7" w16cid:durableId="51850440">
    <w:abstractNumId w:val="14"/>
  </w:num>
  <w:num w:numId="8" w16cid:durableId="970596157">
    <w:abstractNumId w:val="7"/>
  </w:num>
  <w:num w:numId="9" w16cid:durableId="516502445">
    <w:abstractNumId w:val="9"/>
  </w:num>
  <w:num w:numId="10" w16cid:durableId="613946840">
    <w:abstractNumId w:val="15"/>
  </w:num>
  <w:num w:numId="11" w16cid:durableId="1774200520">
    <w:abstractNumId w:val="13"/>
  </w:num>
  <w:num w:numId="12" w16cid:durableId="2056737636">
    <w:abstractNumId w:val="12"/>
  </w:num>
  <w:num w:numId="13" w16cid:durableId="893151918">
    <w:abstractNumId w:val="2"/>
  </w:num>
  <w:num w:numId="14" w16cid:durableId="1553998650">
    <w:abstractNumId w:val="1"/>
  </w:num>
  <w:num w:numId="15" w16cid:durableId="342169714">
    <w:abstractNumId w:val="5"/>
  </w:num>
  <w:num w:numId="16" w16cid:durableId="8896586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BCE"/>
    <w:rsid w:val="000025B9"/>
    <w:rsid w:val="00002FCC"/>
    <w:rsid w:val="0000305A"/>
    <w:rsid w:val="00006DA6"/>
    <w:rsid w:val="00010179"/>
    <w:rsid w:val="000112F0"/>
    <w:rsid w:val="00011C61"/>
    <w:rsid w:val="00011E18"/>
    <w:rsid w:val="000144A6"/>
    <w:rsid w:val="000163CD"/>
    <w:rsid w:val="00016CAC"/>
    <w:rsid w:val="0002081E"/>
    <w:rsid w:val="00025418"/>
    <w:rsid w:val="00031AF9"/>
    <w:rsid w:val="00032641"/>
    <w:rsid w:val="00034EC9"/>
    <w:rsid w:val="00035252"/>
    <w:rsid w:val="00035DE2"/>
    <w:rsid w:val="000370F2"/>
    <w:rsid w:val="0004021D"/>
    <w:rsid w:val="000421BB"/>
    <w:rsid w:val="0004434B"/>
    <w:rsid w:val="00044AB9"/>
    <w:rsid w:val="000457F9"/>
    <w:rsid w:val="00047EAA"/>
    <w:rsid w:val="0005010E"/>
    <w:rsid w:val="00056607"/>
    <w:rsid w:val="00056D38"/>
    <w:rsid w:val="00060CB1"/>
    <w:rsid w:val="00064DEE"/>
    <w:rsid w:val="00065C66"/>
    <w:rsid w:val="00067C30"/>
    <w:rsid w:val="00072430"/>
    <w:rsid w:val="00074F96"/>
    <w:rsid w:val="00077182"/>
    <w:rsid w:val="0007781C"/>
    <w:rsid w:val="00077960"/>
    <w:rsid w:val="00080222"/>
    <w:rsid w:val="00080513"/>
    <w:rsid w:val="00081DB1"/>
    <w:rsid w:val="00081F64"/>
    <w:rsid w:val="00081FBE"/>
    <w:rsid w:val="0008247C"/>
    <w:rsid w:val="0008284C"/>
    <w:rsid w:val="00082E33"/>
    <w:rsid w:val="000847AA"/>
    <w:rsid w:val="00085DF1"/>
    <w:rsid w:val="00090187"/>
    <w:rsid w:val="00090CBC"/>
    <w:rsid w:val="00093D9C"/>
    <w:rsid w:val="00093EF2"/>
    <w:rsid w:val="00096C16"/>
    <w:rsid w:val="0009700F"/>
    <w:rsid w:val="000A031C"/>
    <w:rsid w:val="000A1C8B"/>
    <w:rsid w:val="000A5A3D"/>
    <w:rsid w:val="000A751A"/>
    <w:rsid w:val="000A7D0F"/>
    <w:rsid w:val="000B1613"/>
    <w:rsid w:val="000B2858"/>
    <w:rsid w:val="000B2FC2"/>
    <w:rsid w:val="000B3510"/>
    <w:rsid w:val="000B53F8"/>
    <w:rsid w:val="000B5BC6"/>
    <w:rsid w:val="000B6F18"/>
    <w:rsid w:val="000C131E"/>
    <w:rsid w:val="000C1DE0"/>
    <w:rsid w:val="000C1ED6"/>
    <w:rsid w:val="000C3235"/>
    <w:rsid w:val="000C3543"/>
    <w:rsid w:val="000C3AB1"/>
    <w:rsid w:val="000C44BB"/>
    <w:rsid w:val="000C5B41"/>
    <w:rsid w:val="000C78B5"/>
    <w:rsid w:val="000D29B1"/>
    <w:rsid w:val="000D4F29"/>
    <w:rsid w:val="000E132D"/>
    <w:rsid w:val="000E176D"/>
    <w:rsid w:val="000E20F5"/>
    <w:rsid w:val="000E33D0"/>
    <w:rsid w:val="000E474F"/>
    <w:rsid w:val="000E67E0"/>
    <w:rsid w:val="000E6D8B"/>
    <w:rsid w:val="000E7DF1"/>
    <w:rsid w:val="000F1F00"/>
    <w:rsid w:val="000F4FAD"/>
    <w:rsid w:val="000F6261"/>
    <w:rsid w:val="00100201"/>
    <w:rsid w:val="001024E3"/>
    <w:rsid w:val="001029F9"/>
    <w:rsid w:val="00106592"/>
    <w:rsid w:val="00107BDC"/>
    <w:rsid w:val="00110788"/>
    <w:rsid w:val="00111A5A"/>
    <w:rsid w:val="00111DA1"/>
    <w:rsid w:val="0011231E"/>
    <w:rsid w:val="00113742"/>
    <w:rsid w:val="00115CCF"/>
    <w:rsid w:val="0011637B"/>
    <w:rsid w:val="00117E98"/>
    <w:rsid w:val="0012018B"/>
    <w:rsid w:val="00120196"/>
    <w:rsid w:val="001201DC"/>
    <w:rsid w:val="001205CB"/>
    <w:rsid w:val="00121287"/>
    <w:rsid w:val="001214A4"/>
    <w:rsid w:val="0012219B"/>
    <w:rsid w:val="0012270A"/>
    <w:rsid w:val="001231A6"/>
    <w:rsid w:val="001302AF"/>
    <w:rsid w:val="00130F07"/>
    <w:rsid w:val="00131752"/>
    <w:rsid w:val="00137212"/>
    <w:rsid w:val="00140D9E"/>
    <w:rsid w:val="0014133C"/>
    <w:rsid w:val="00141F04"/>
    <w:rsid w:val="00143522"/>
    <w:rsid w:val="0014353B"/>
    <w:rsid w:val="00144818"/>
    <w:rsid w:val="00146544"/>
    <w:rsid w:val="00147138"/>
    <w:rsid w:val="00150FC6"/>
    <w:rsid w:val="0015125F"/>
    <w:rsid w:val="0015343B"/>
    <w:rsid w:val="001536D3"/>
    <w:rsid w:val="00154411"/>
    <w:rsid w:val="00154793"/>
    <w:rsid w:val="00160F8D"/>
    <w:rsid w:val="001624FA"/>
    <w:rsid w:val="001631AF"/>
    <w:rsid w:val="0016358A"/>
    <w:rsid w:val="001664C0"/>
    <w:rsid w:val="001664C5"/>
    <w:rsid w:val="00166EF9"/>
    <w:rsid w:val="00167C23"/>
    <w:rsid w:val="00173E10"/>
    <w:rsid w:val="00174020"/>
    <w:rsid w:val="001747DD"/>
    <w:rsid w:val="00174CA0"/>
    <w:rsid w:val="00175E27"/>
    <w:rsid w:val="001772F6"/>
    <w:rsid w:val="001778B6"/>
    <w:rsid w:val="00177BE4"/>
    <w:rsid w:val="00181509"/>
    <w:rsid w:val="00181C7D"/>
    <w:rsid w:val="00182D19"/>
    <w:rsid w:val="001878A7"/>
    <w:rsid w:val="00187C8B"/>
    <w:rsid w:val="00194608"/>
    <w:rsid w:val="001947DB"/>
    <w:rsid w:val="00195B2D"/>
    <w:rsid w:val="00195CD9"/>
    <w:rsid w:val="001970DB"/>
    <w:rsid w:val="00197C25"/>
    <w:rsid w:val="00197F68"/>
    <w:rsid w:val="001A0256"/>
    <w:rsid w:val="001A0383"/>
    <w:rsid w:val="001A1237"/>
    <w:rsid w:val="001A1C05"/>
    <w:rsid w:val="001A204D"/>
    <w:rsid w:val="001A29FE"/>
    <w:rsid w:val="001A4D2E"/>
    <w:rsid w:val="001A51B1"/>
    <w:rsid w:val="001A5948"/>
    <w:rsid w:val="001A5A34"/>
    <w:rsid w:val="001A78FA"/>
    <w:rsid w:val="001A7FD1"/>
    <w:rsid w:val="001B037C"/>
    <w:rsid w:val="001B11E1"/>
    <w:rsid w:val="001B1A33"/>
    <w:rsid w:val="001B1B8B"/>
    <w:rsid w:val="001B1D1E"/>
    <w:rsid w:val="001B1FA5"/>
    <w:rsid w:val="001B3527"/>
    <w:rsid w:val="001B4AAB"/>
    <w:rsid w:val="001B7F88"/>
    <w:rsid w:val="001C1FC5"/>
    <w:rsid w:val="001D032F"/>
    <w:rsid w:val="001D040B"/>
    <w:rsid w:val="001D1096"/>
    <w:rsid w:val="001D4C26"/>
    <w:rsid w:val="001D511A"/>
    <w:rsid w:val="001D74DE"/>
    <w:rsid w:val="001E22AA"/>
    <w:rsid w:val="001E31DB"/>
    <w:rsid w:val="001E36C8"/>
    <w:rsid w:val="001E4010"/>
    <w:rsid w:val="001E59BA"/>
    <w:rsid w:val="001E674E"/>
    <w:rsid w:val="001E781B"/>
    <w:rsid w:val="001F17EC"/>
    <w:rsid w:val="001F4842"/>
    <w:rsid w:val="001F503A"/>
    <w:rsid w:val="001F7028"/>
    <w:rsid w:val="001F719A"/>
    <w:rsid w:val="001F7548"/>
    <w:rsid w:val="002019C2"/>
    <w:rsid w:val="0020429A"/>
    <w:rsid w:val="002072D4"/>
    <w:rsid w:val="0021017A"/>
    <w:rsid w:val="00210C33"/>
    <w:rsid w:val="00214D9D"/>
    <w:rsid w:val="002150ED"/>
    <w:rsid w:val="0021601B"/>
    <w:rsid w:val="00216144"/>
    <w:rsid w:val="002176A9"/>
    <w:rsid w:val="00217CC2"/>
    <w:rsid w:val="00219176"/>
    <w:rsid w:val="0021CF30"/>
    <w:rsid w:val="00220C02"/>
    <w:rsid w:val="0022187B"/>
    <w:rsid w:val="0022306F"/>
    <w:rsid w:val="002230F8"/>
    <w:rsid w:val="00223F6A"/>
    <w:rsid w:val="00225F95"/>
    <w:rsid w:val="00230B2A"/>
    <w:rsid w:val="00234803"/>
    <w:rsid w:val="00236586"/>
    <w:rsid w:val="00242092"/>
    <w:rsid w:val="00243F18"/>
    <w:rsid w:val="0024471B"/>
    <w:rsid w:val="002479CB"/>
    <w:rsid w:val="00251774"/>
    <w:rsid w:val="0025187B"/>
    <w:rsid w:val="00251D08"/>
    <w:rsid w:val="00252DC1"/>
    <w:rsid w:val="00252EA7"/>
    <w:rsid w:val="00254954"/>
    <w:rsid w:val="002563D8"/>
    <w:rsid w:val="00256527"/>
    <w:rsid w:val="00262772"/>
    <w:rsid w:val="0026318E"/>
    <w:rsid w:val="00265F97"/>
    <w:rsid w:val="002737E9"/>
    <w:rsid w:val="00277FEB"/>
    <w:rsid w:val="00281543"/>
    <w:rsid w:val="002823EF"/>
    <w:rsid w:val="0028280D"/>
    <w:rsid w:val="002842C3"/>
    <w:rsid w:val="00285177"/>
    <w:rsid w:val="002868BA"/>
    <w:rsid w:val="00290755"/>
    <w:rsid w:val="0029101B"/>
    <w:rsid w:val="00291734"/>
    <w:rsid w:val="00291CDF"/>
    <w:rsid w:val="00292360"/>
    <w:rsid w:val="00294D4B"/>
    <w:rsid w:val="00294D6A"/>
    <w:rsid w:val="00294ED9"/>
    <w:rsid w:val="0029782E"/>
    <w:rsid w:val="00297FCF"/>
    <w:rsid w:val="002A0F38"/>
    <w:rsid w:val="002A1B3B"/>
    <w:rsid w:val="002A1C63"/>
    <w:rsid w:val="002A3E0D"/>
    <w:rsid w:val="002A5CA5"/>
    <w:rsid w:val="002A6BC1"/>
    <w:rsid w:val="002A7B9D"/>
    <w:rsid w:val="002B1832"/>
    <w:rsid w:val="002B62D4"/>
    <w:rsid w:val="002C01B9"/>
    <w:rsid w:val="002C46CA"/>
    <w:rsid w:val="002C4ACB"/>
    <w:rsid w:val="002C4BA2"/>
    <w:rsid w:val="002C614A"/>
    <w:rsid w:val="002C7BCB"/>
    <w:rsid w:val="002D0546"/>
    <w:rsid w:val="002D07B9"/>
    <w:rsid w:val="002D0E6A"/>
    <w:rsid w:val="002D12E4"/>
    <w:rsid w:val="002D1D95"/>
    <w:rsid w:val="002D2024"/>
    <w:rsid w:val="002D2D7A"/>
    <w:rsid w:val="002D3ADC"/>
    <w:rsid w:val="002D5B11"/>
    <w:rsid w:val="002D6A11"/>
    <w:rsid w:val="002E19FE"/>
    <w:rsid w:val="002E6F05"/>
    <w:rsid w:val="002E778F"/>
    <w:rsid w:val="002F003F"/>
    <w:rsid w:val="002F027D"/>
    <w:rsid w:val="002F6F9E"/>
    <w:rsid w:val="00300A54"/>
    <w:rsid w:val="00300D83"/>
    <w:rsid w:val="003022EC"/>
    <w:rsid w:val="0030296F"/>
    <w:rsid w:val="00302A78"/>
    <w:rsid w:val="003102C3"/>
    <w:rsid w:val="00311C38"/>
    <w:rsid w:val="00311E39"/>
    <w:rsid w:val="00312A45"/>
    <w:rsid w:val="00313429"/>
    <w:rsid w:val="003156FC"/>
    <w:rsid w:val="00317F43"/>
    <w:rsid w:val="00320B55"/>
    <w:rsid w:val="003215BA"/>
    <w:rsid w:val="0032173F"/>
    <w:rsid w:val="00322754"/>
    <w:rsid w:val="0032285C"/>
    <w:rsid w:val="00322AA1"/>
    <w:rsid w:val="00323135"/>
    <w:rsid w:val="003241BA"/>
    <w:rsid w:val="00324AA6"/>
    <w:rsid w:val="00324B64"/>
    <w:rsid w:val="00325B30"/>
    <w:rsid w:val="00326EE9"/>
    <w:rsid w:val="003276C4"/>
    <w:rsid w:val="00330A74"/>
    <w:rsid w:val="00330E9A"/>
    <w:rsid w:val="00330F7B"/>
    <w:rsid w:val="003313D3"/>
    <w:rsid w:val="00331584"/>
    <w:rsid w:val="00332028"/>
    <w:rsid w:val="00332C64"/>
    <w:rsid w:val="0033594A"/>
    <w:rsid w:val="00335C81"/>
    <w:rsid w:val="00336E13"/>
    <w:rsid w:val="00337CF5"/>
    <w:rsid w:val="00340854"/>
    <w:rsid w:val="0034196F"/>
    <w:rsid w:val="00342205"/>
    <w:rsid w:val="00342ADB"/>
    <w:rsid w:val="00342DC8"/>
    <w:rsid w:val="00344ED1"/>
    <w:rsid w:val="003459D8"/>
    <w:rsid w:val="00346113"/>
    <w:rsid w:val="003467EB"/>
    <w:rsid w:val="00346D15"/>
    <w:rsid w:val="00347940"/>
    <w:rsid w:val="00350137"/>
    <w:rsid w:val="003510A0"/>
    <w:rsid w:val="00351158"/>
    <w:rsid w:val="0035330D"/>
    <w:rsid w:val="003545EE"/>
    <w:rsid w:val="00355F5D"/>
    <w:rsid w:val="00356E43"/>
    <w:rsid w:val="003571D4"/>
    <w:rsid w:val="00357D3F"/>
    <w:rsid w:val="00360970"/>
    <w:rsid w:val="00361234"/>
    <w:rsid w:val="00364626"/>
    <w:rsid w:val="00364CC5"/>
    <w:rsid w:val="00365338"/>
    <w:rsid w:val="00366F08"/>
    <w:rsid w:val="00370610"/>
    <w:rsid w:val="00370C64"/>
    <w:rsid w:val="00371802"/>
    <w:rsid w:val="0037189E"/>
    <w:rsid w:val="00371AAA"/>
    <w:rsid w:val="00372222"/>
    <w:rsid w:val="00373890"/>
    <w:rsid w:val="00374850"/>
    <w:rsid w:val="003767B7"/>
    <w:rsid w:val="003769D0"/>
    <w:rsid w:val="003818F4"/>
    <w:rsid w:val="003845D2"/>
    <w:rsid w:val="003859D6"/>
    <w:rsid w:val="00386722"/>
    <w:rsid w:val="003877BA"/>
    <w:rsid w:val="00392125"/>
    <w:rsid w:val="003965B3"/>
    <w:rsid w:val="00397C89"/>
    <w:rsid w:val="003A123D"/>
    <w:rsid w:val="003A1AE1"/>
    <w:rsid w:val="003A505B"/>
    <w:rsid w:val="003A651F"/>
    <w:rsid w:val="003A653D"/>
    <w:rsid w:val="003A67C1"/>
    <w:rsid w:val="003B4977"/>
    <w:rsid w:val="003B56CF"/>
    <w:rsid w:val="003B602E"/>
    <w:rsid w:val="003B7764"/>
    <w:rsid w:val="003C1D56"/>
    <w:rsid w:val="003C2EF5"/>
    <w:rsid w:val="003C3179"/>
    <w:rsid w:val="003C6A08"/>
    <w:rsid w:val="003C6A41"/>
    <w:rsid w:val="003C71A6"/>
    <w:rsid w:val="003C7A10"/>
    <w:rsid w:val="003D36F2"/>
    <w:rsid w:val="003D447D"/>
    <w:rsid w:val="003D6FD8"/>
    <w:rsid w:val="003D7067"/>
    <w:rsid w:val="003D781E"/>
    <w:rsid w:val="003E06CC"/>
    <w:rsid w:val="003E18E2"/>
    <w:rsid w:val="003E2000"/>
    <w:rsid w:val="003E2F22"/>
    <w:rsid w:val="003E336C"/>
    <w:rsid w:val="003E416A"/>
    <w:rsid w:val="003E5222"/>
    <w:rsid w:val="003E62CE"/>
    <w:rsid w:val="003E6AD0"/>
    <w:rsid w:val="003F46EF"/>
    <w:rsid w:val="003F4B67"/>
    <w:rsid w:val="003F5B5D"/>
    <w:rsid w:val="003F639A"/>
    <w:rsid w:val="003F7547"/>
    <w:rsid w:val="004015F3"/>
    <w:rsid w:val="004015FA"/>
    <w:rsid w:val="004019FB"/>
    <w:rsid w:val="00401C96"/>
    <w:rsid w:val="004025B0"/>
    <w:rsid w:val="00402ED1"/>
    <w:rsid w:val="004037A0"/>
    <w:rsid w:val="00406875"/>
    <w:rsid w:val="004072BA"/>
    <w:rsid w:val="0040784F"/>
    <w:rsid w:val="004112A5"/>
    <w:rsid w:val="00414605"/>
    <w:rsid w:val="0041699D"/>
    <w:rsid w:val="00421085"/>
    <w:rsid w:val="0042137D"/>
    <w:rsid w:val="0042183F"/>
    <w:rsid w:val="00422408"/>
    <w:rsid w:val="00423134"/>
    <w:rsid w:val="00423B70"/>
    <w:rsid w:val="004254BF"/>
    <w:rsid w:val="00425E5E"/>
    <w:rsid w:val="004261AF"/>
    <w:rsid w:val="00433CFB"/>
    <w:rsid w:val="00435814"/>
    <w:rsid w:val="00435B6F"/>
    <w:rsid w:val="004402E3"/>
    <w:rsid w:val="00440940"/>
    <w:rsid w:val="00440A2B"/>
    <w:rsid w:val="00442009"/>
    <w:rsid w:val="004432C7"/>
    <w:rsid w:val="004442D6"/>
    <w:rsid w:val="00445C2E"/>
    <w:rsid w:val="004509DB"/>
    <w:rsid w:val="00451582"/>
    <w:rsid w:val="00451B88"/>
    <w:rsid w:val="0045362F"/>
    <w:rsid w:val="00454148"/>
    <w:rsid w:val="00454F83"/>
    <w:rsid w:val="0045682B"/>
    <w:rsid w:val="00456A90"/>
    <w:rsid w:val="00456CB1"/>
    <w:rsid w:val="00457CB0"/>
    <w:rsid w:val="00461BD0"/>
    <w:rsid w:val="00463195"/>
    <w:rsid w:val="004632DC"/>
    <w:rsid w:val="0046499B"/>
    <w:rsid w:val="0046610A"/>
    <w:rsid w:val="0046672D"/>
    <w:rsid w:val="004668E7"/>
    <w:rsid w:val="00471557"/>
    <w:rsid w:val="00471A99"/>
    <w:rsid w:val="004721F2"/>
    <w:rsid w:val="0047231C"/>
    <w:rsid w:val="00472327"/>
    <w:rsid w:val="004731DA"/>
    <w:rsid w:val="00473461"/>
    <w:rsid w:val="004741FC"/>
    <w:rsid w:val="0047625B"/>
    <w:rsid w:val="004776AA"/>
    <w:rsid w:val="00481A32"/>
    <w:rsid w:val="00481D19"/>
    <w:rsid w:val="0049010C"/>
    <w:rsid w:val="004919D0"/>
    <w:rsid w:val="00493865"/>
    <w:rsid w:val="00494AD6"/>
    <w:rsid w:val="00494C8E"/>
    <w:rsid w:val="00497902"/>
    <w:rsid w:val="00497978"/>
    <w:rsid w:val="004A054A"/>
    <w:rsid w:val="004A0BD3"/>
    <w:rsid w:val="004A1967"/>
    <w:rsid w:val="004A27A0"/>
    <w:rsid w:val="004A36EA"/>
    <w:rsid w:val="004A7D57"/>
    <w:rsid w:val="004A7FB6"/>
    <w:rsid w:val="004B1021"/>
    <w:rsid w:val="004B35A8"/>
    <w:rsid w:val="004B3694"/>
    <w:rsid w:val="004B3F58"/>
    <w:rsid w:val="004B615E"/>
    <w:rsid w:val="004C405C"/>
    <w:rsid w:val="004C7AB7"/>
    <w:rsid w:val="004D09C3"/>
    <w:rsid w:val="004D2075"/>
    <w:rsid w:val="004D3BC0"/>
    <w:rsid w:val="004D4BDB"/>
    <w:rsid w:val="004D4EFA"/>
    <w:rsid w:val="004D588D"/>
    <w:rsid w:val="004D7813"/>
    <w:rsid w:val="004D795E"/>
    <w:rsid w:val="004E04B3"/>
    <w:rsid w:val="004E151D"/>
    <w:rsid w:val="004E277D"/>
    <w:rsid w:val="004E5035"/>
    <w:rsid w:val="004E72CC"/>
    <w:rsid w:val="004E75E2"/>
    <w:rsid w:val="004F1C91"/>
    <w:rsid w:val="004F32FB"/>
    <w:rsid w:val="004F45A9"/>
    <w:rsid w:val="004F50DD"/>
    <w:rsid w:val="004F6C18"/>
    <w:rsid w:val="00502057"/>
    <w:rsid w:val="00503126"/>
    <w:rsid w:val="00506FEE"/>
    <w:rsid w:val="005076FD"/>
    <w:rsid w:val="0051229F"/>
    <w:rsid w:val="00513802"/>
    <w:rsid w:val="00514FFE"/>
    <w:rsid w:val="00515112"/>
    <w:rsid w:val="00515C30"/>
    <w:rsid w:val="005160C9"/>
    <w:rsid w:val="005168BD"/>
    <w:rsid w:val="0051695B"/>
    <w:rsid w:val="00520A9C"/>
    <w:rsid w:val="0052205A"/>
    <w:rsid w:val="0052251C"/>
    <w:rsid w:val="00523198"/>
    <w:rsid w:val="00525419"/>
    <w:rsid w:val="005304B1"/>
    <w:rsid w:val="00530A10"/>
    <w:rsid w:val="0053163A"/>
    <w:rsid w:val="00531A0D"/>
    <w:rsid w:val="00533328"/>
    <w:rsid w:val="00534643"/>
    <w:rsid w:val="00536165"/>
    <w:rsid w:val="00536D58"/>
    <w:rsid w:val="00540B12"/>
    <w:rsid w:val="005416C1"/>
    <w:rsid w:val="00543632"/>
    <w:rsid w:val="00545082"/>
    <w:rsid w:val="00545684"/>
    <w:rsid w:val="00545C44"/>
    <w:rsid w:val="005471CF"/>
    <w:rsid w:val="0055029F"/>
    <w:rsid w:val="005540F7"/>
    <w:rsid w:val="0055496E"/>
    <w:rsid w:val="0055719E"/>
    <w:rsid w:val="00557437"/>
    <w:rsid w:val="00560C2A"/>
    <w:rsid w:val="00562342"/>
    <w:rsid w:val="0057046E"/>
    <w:rsid w:val="00570F0E"/>
    <w:rsid w:val="005719C6"/>
    <w:rsid w:val="00571FF8"/>
    <w:rsid w:val="00572FEB"/>
    <w:rsid w:val="00573B89"/>
    <w:rsid w:val="0057695A"/>
    <w:rsid w:val="005776EF"/>
    <w:rsid w:val="00584D66"/>
    <w:rsid w:val="0058788A"/>
    <w:rsid w:val="00587A1E"/>
    <w:rsid w:val="00590514"/>
    <w:rsid w:val="00591EF6"/>
    <w:rsid w:val="00592AE4"/>
    <w:rsid w:val="005964BF"/>
    <w:rsid w:val="005A02F0"/>
    <w:rsid w:val="005A1662"/>
    <w:rsid w:val="005A1BEB"/>
    <w:rsid w:val="005A605A"/>
    <w:rsid w:val="005B08F8"/>
    <w:rsid w:val="005B3A3D"/>
    <w:rsid w:val="005B6242"/>
    <w:rsid w:val="005B66E0"/>
    <w:rsid w:val="005B77BF"/>
    <w:rsid w:val="005C05BD"/>
    <w:rsid w:val="005C4314"/>
    <w:rsid w:val="005C4E05"/>
    <w:rsid w:val="005C6CC0"/>
    <w:rsid w:val="005C7786"/>
    <w:rsid w:val="005D18CA"/>
    <w:rsid w:val="005D253F"/>
    <w:rsid w:val="005D3827"/>
    <w:rsid w:val="005D57C6"/>
    <w:rsid w:val="005D6FD5"/>
    <w:rsid w:val="005E596D"/>
    <w:rsid w:val="005E6A55"/>
    <w:rsid w:val="005F13B2"/>
    <w:rsid w:val="005F1614"/>
    <w:rsid w:val="005F1C3F"/>
    <w:rsid w:val="005F4994"/>
    <w:rsid w:val="005F6227"/>
    <w:rsid w:val="006012D6"/>
    <w:rsid w:val="006021BF"/>
    <w:rsid w:val="0060467E"/>
    <w:rsid w:val="00604CA7"/>
    <w:rsid w:val="00605183"/>
    <w:rsid w:val="00605237"/>
    <w:rsid w:val="00605424"/>
    <w:rsid w:val="00605735"/>
    <w:rsid w:val="00606437"/>
    <w:rsid w:val="00610D64"/>
    <w:rsid w:val="00610E9B"/>
    <w:rsid w:val="0061319A"/>
    <w:rsid w:val="00613708"/>
    <w:rsid w:val="00613A90"/>
    <w:rsid w:val="006148A3"/>
    <w:rsid w:val="006166A2"/>
    <w:rsid w:val="006207FF"/>
    <w:rsid w:val="006222A7"/>
    <w:rsid w:val="006229B5"/>
    <w:rsid w:val="00622E31"/>
    <w:rsid w:val="00626A1E"/>
    <w:rsid w:val="00630D9C"/>
    <w:rsid w:val="006315F7"/>
    <w:rsid w:val="00631E6E"/>
    <w:rsid w:val="00632024"/>
    <w:rsid w:val="00633E93"/>
    <w:rsid w:val="00635B68"/>
    <w:rsid w:val="0064137E"/>
    <w:rsid w:val="00641C40"/>
    <w:rsid w:val="00650F8B"/>
    <w:rsid w:val="0065252A"/>
    <w:rsid w:val="006538D1"/>
    <w:rsid w:val="00657DF4"/>
    <w:rsid w:val="00661418"/>
    <w:rsid w:val="00665B58"/>
    <w:rsid w:val="00665FF5"/>
    <w:rsid w:val="00667CFE"/>
    <w:rsid w:val="006704E8"/>
    <w:rsid w:val="00672331"/>
    <w:rsid w:val="00672389"/>
    <w:rsid w:val="00672C08"/>
    <w:rsid w:val="006742B4"/>
    <w:rsid w:val="00674DAF"/>
    <w:rsid w:val="00675946"/>
    <w:rsid w:val="006762B5"/>
    <w:rsid w:val="0067630D"/>
    <w:rsid w:val="00683917"/>
    <w:rsid w:val="00684330"/>
    <w:rsid w:val="00684D82"/>
    <w:rsid w:val="00684E27"/>
    <w:rsid w:val="00684F40"/>
    <w:rsid w:val="00691B13"/>
    <w:rsid w:val="00693BA0"/>
    <w:rsid w:val="00693CC9"/>
    <w:rsid w:val="00695B52"/>
    <w:rsid w:val="006964CA"/>
    <w:rsid w:val="00696EE6"/>
    <w:rsid w:val="006A0F8F"/>
    <w:rsid w:val="006A6EAC"/>
    <w:rsid w:val="006A731E"/>
    <w:rsid w:val="006B05F6"/>
    <w:rsid w:val="006B18E1"/>
    <w:rsid w:val="006B3E68"/>
    <w:rsid w:val="006B538B"/>
    <w:rsid w:val="006C0457"/>
    <w:rsid w:val="006C2492"/>
    <w:rsid w:val="006C3C82"/>
    <w:rsid w:val="006C3F52"/>
    <w:rsid w:val="006C4F64"/>
    <w:rsid w:val="006C5EB0"/>
    <w:rsid w:val="006C64B5"/>
    <w:rsid w:val="006C7FCB"/>
    <w:rsid w:val="006D05DE"/>
    <w:rsid w:val="006D135C"/>
    <w:rsid w:val="006D1962"/>
    <w:rsid w:val="006D22D7"/>
    <w:rsid w:val="006D2CD7"/>
    <w:rsid w:val="006D38EF"/>
    <w:rsid w:val="006D3CCF"/>
    <w:rsid w:val="006D6909"/>
    <w:rsid w:val="006E115D"/>
    <w:rsid w:val="006E563E"/>
    <w:rsid w:val="006F0D7D"/>
    <w:rsid w:val="006F15C8"/>
    <w:rsid w:val="006F7C26"/>
    <w:rsid w:val="00702D06"/>
    <w:rsid w:val="00705092"/>
    <w:rsid w:val="0070668A"/>
    <w:rsid w:val="00707030"/>
    <w:rsid w:val="00707A17"/>
    <w:rsid w:val="007100D3"/>
    <w:rsid w:val="0071126F"/>
    <w:rsid w:val="0071209B"/>
    <w:rsid w:val="00712377"/>
    <w:rsid w:val="0071704F"/>
    <w:rsid w:val="0072005C"/>
    <w:rsid w:val="00721C0A"/>
    <w:rsid w:val="00721E6D"/>
    <w:rsid w:val="007243B3"/>
    <w:rsid w:val="0072448D"/>
    <w:rsid w:val="007270A2"/>
    <w:rsid w:val="0072735D"/>
    <w:rsid w:val="00731DCA"/>
    <w:rsid w:val="00732F3C"/>
    <w:rsid w:val="007330DA"/>
    <w:rsid w:val="00734A29"/>
    <w:rsid w:val="00741F1D"/>
    <w:rsid w:val="007446D2"/>
    <w:rsid w:val="007466F2"/>
    <w:rsid w:val="00750AE4"/>
    <w:rsid w:val="007543AA"/>
    <w:rsid w:val="00756086"/>
    <w:rsid w:val="00757D45"/>
    <w:rsid w:val="00760BF1"/>
    <w:rsid w:val="00764960"/>
    <w:rsid w:val="00765FA9"/>
    <w:rsid w:val="00766F17"/>
    <w:rsid w:val="00770FA9"/>
    <w:rsid w:val="007716CA"/>
    <w:rsid w:val="007717F3"/>
    <w:rsid w:val="00771C62"/>
    <w:rsid w:val="007722DA"/>
    <w:rsid w:val="00772DCB"/>
    <w:rsid w:val="00774AF8"/>
    <w:rsid w:val="00776D11"/>
    <w:rsid w:val="00777505"/>
    <w:rsid w:val="007779BC"/>
    <w:rsid w:val="007849A9"/>
    <w:rsid w:val="007876F2"/>
    <w:rsid w:val="0078790C"/>
    <w:rsid w:val="00790B46"/>
    <w:rsid w:val="0079279A"/>
    <w:rsid w:val="00792906"/>
    <w:rsid w:val="007931C1"/>
    <w:rsid w:val="007941C6"/>
    <w:rsid w:val="00794BB1"/>
    <w:rsid w:val="007963A6"/>
    <w:rsid w:val="00797D25"/>
    <w:rsid w:val="007A0724"/>
    <w:rsid w:val="007A08A7"/>
    <w:rsid w:val="007A10D8"/>
    <w:rsid w:val="007A2F43"/>
    <w:rsid w:val="007A3BF7"/>
    <w:rsid w:val="007A4C25"/>
    <w:rsid w:val="007A5428"/>
    <w:rsid w:val="007A77C6"/>
    <w:rsid w:val="007B1560"/>
    <w:rsid w:val="007B2333"/>
    <w:rsid w:val="007B2BC9"/>
    <w:rsid w:val="007B2D0E"/>
    <w:rsid w:val="007B3034"/>
    <w:rsid w:val="007B3103"/>
    <w:rsid w:val="007B60ED"/>
    <w:rsid w:val="007C0998"/>
    <w:rsid w:val="007C10CC"/>
    <w:rsid w:val="007C1CF2"/>
    <w:rsid w:val="007C22B2"/>
    <w:rsid w:val="007C3E01"/>
    <w:rsid w:val="007C55FC"/>
    <w:rsid w:val="007C6958"/>
    <w:rsid w:val="007C7651"/>
    <w:rsid w:val="007D2DA9"/>
    <w:rsid w:val="007D301C"/>
    <w:rsid w:val="007D3943"/>
    <w:rsid w:val="007D44FD"/>
    <w:rsid w:val="007D4D17"/>
    <w:rsid w:val="007D5837"/>
    <w:rsid w:val="007D69B6"/>
    <w:rsid w:val="007D7B98"/>
    <w:rsid w:val="007E0A95"/>
    <w:rsid w:val="007E12DF"/>
    <w:rsid w:val="007E1E77"/>
    <w:rsid w:val="007E2DA7"/>
    <w:rsid w:val="007E5687"/>
    <w:rsid w:val="007E6BA3"/>
    <w:rsid w:val="007F147B"/>
    <w:rsid w:val="008011CA"/>
    <w:rsid w:val="00801CCD"/>
    <w:rsid w:val="00803DB6"/>
    <w:rsid w:val="008043EE"/>
    <w:rsid w:val="00804791"/>
    <w:rsid w:val="00805F1C"/>
    <w:rsid w:val="008065C8"/>
    <w:rsid w:val="008069CC"/>
    <w:rsid w:val="008110DF"/>
    <w:rsid w:val="008110FC"/>
    <w:rsid w:val="00811FAE"/>
    <w:rsid w:val="00813905"/>
    <w:rsid w:val="0081393E"/>
    <w:rsid w:val="00815776"/>
    <w:rsid w:val="0081698B"/>
    <w:rsid w:val="00821022"/>
    <w:rsid w:val="00822010"/>
    <w:rsid w:val="00822B4B"/>
    <w:rsid w:val="008230B2"/>
    <w:rsid w:val="00823EEC"/>
    <w:rsid w:val="00823EFF"/>
    <w:rsid w:val="00824A40"/>
    <w:rsid w:val="00825F13"/>
    <w:rsid w:val="008261BE"/>
    <w:rsid w:val="008275B5"/>
    <w:rsid w:val="0083049D"/>
    <w:rsid w:val="0083196C"/>
    <w:rsid w:val="008320FD"/>
    <w:rsid w:val="008346D8"/>
    <w:rsid w:val="00834781"/>
    <w:rsid w:val="008348BD"/>
    <w:rsid w:val="00834C1F"/>
    <w:rsid w:val="00834FD3"/>
    <w:rsid w:val="00837CD4"/>
    <w:rsid w:val="008429F0"/>
    <w:rsid w:val="00843B62"/>
    <w:rsid w:val="00845D92"/>
    <w:rsid w:val="00851B82"/>
    <w:rsid w:val="008527C3"/>
    <w:rsid w:val="00853194"/>
    <w:rsid w:val="00853EF0"/>
    <w:rsid w:val="008542E9"/>
    <w:rsid w:val="00854E24"/>
    <w:rsid w:val="00855069"/>
    <w:rsid w:val="008553EE"/>
    <w:rsid w:val="00856B07"/>
    <w:rsid w:val="00863D4E"/>
    <w:rsid w:val="00865395"/>
    <w:rsid w:val="00866AE6"/>
    <w:rsid w:val="0087237B"/>
    <w:rsid w:val="00873AA2"/>
    <w:rsid w:val="00873C3B"/>
    <w:rsid w:val="00876F0C"/>
    <w:rsid w:val="00880860"/>
    <w:rsid w:val="0088201A"/>
    <w:rsid w:val="00883351"/>
    <w:rsid w:val="00886209"/>
    <w:rsid w:val="00890D3D"/>
    <w:rsid w:val="008912F7"/>
    <w:rsid w:val="00892E05"/>
    <w:rsid w:val="008939B9"/>
    <w:rsid w:val="00893E9A"/>
    <w:rsid w:val="008955ED"/>
    <w:rsid w:val="008A29E3"/>
    <w:rsid w:val="008B0CDC"/>
    <w:rsid w:val="008B0D86"/>
    <w:rsid w:val="008B0E17"/>
    <w:rsid w:val="008B1497"/>
    <w:rsid w:val="008B6A7C"/>
    <w:rsid w:val="008C24D5"/>
    <w:rsid w:val="008C344C"/>
    <w:rsid w:val="008C42F2"/>
    <w:rsid w:val="008C628F"/>
    <w:rsid w:val="008D2868"/>
    <w:rsid w:val="008D2EC9"/>
    <w:rsid w:val="008D4489"/>
    <w:rsid w:val="008D4B02"/>
    <w:rsid w:val="008D5B4C"/>
    <w:rsid w:val="008D6115"/>
    <w:rsid w:val="008E149C"/>
    <w:rsid w:val="008E1BA8"/>
    <w:rsid w:val="008E1BB9"/>
    <w:rsid w:val="008E6D69"/>
    <w:rsid w:val="008E6FFE"/>
    <w:rsid w:val="008E7E57"/>
    <w:rsid w:val="008F0F53"/>
    <w:rsid w:val="008F1E37"/>
    <w:rsid w:val="008F2672"/>
    <w:rsid w:val="008F2EC7"/>
    <w:rsid w:val="008F4F13"/>
    <w:rsid w:val="008F6BFF"/>
    <w:rsid w:val="008F7562"/>
    <w:rsid w:val="0090042C"/>
    <w:rsid w:val="009055E0"/>
    <w:rsid w:val="00911491"/>
    <w:rsid w:val="00913E67"/>
    <w:rsid w:val="00913E80"/>
    <w:rsid w:val="00914C6B"/>
    <w:rsid w:val="009169A1"/>
    <w:rsid w:val="00916C0C"/>
    <w:rsid w:val="009176E8"/>
    <w:rsid w:val="00920498"/>
    <w:rsid w:val="00921D00"/>
    <w:rsid w:val="0092298E"/>
    <w:rsid w:val="00924A00"/>
    <w:rsid w:val="009269B0"/>
    <w:rsid w:val="00930DEE"/>
    <w:rsid w:val="0093162A"/>
    <w:rsid w:val="0093220E"/>
    <w:rsid w:val="00932416"/>
    <w:rsid w:val="00934DFA"/>
    <w:rsid w:val="009369B8"/>
    <w:rsid w:val="009404B5"/>
    <w:rsid w:val="00941FDA"/>
    <w:rsid w:val="00942273"/>
    <w:rsid w:val="00942811"/>
    <w:rsid w:val="009451DE"/>
    <w:rsid w:val="009466C8"/>
    <w:rsid w:val="00950CC4"/>
    <w:rsid w:val="009514CF"/>
    <w:rsid w:val="00951A4B"/>
    <w:rsid w:val="00951D17"/>
    <w:rsid w:val="00951E82"/>
    <w:rsid w:val="00952121"/>
    <w:rsid w:val="00952843"/>
    <w:rsid w:val="00952CE4"/>
    <w:rsid w:val="00955B1C"/>
    <w:rsid w:val="00957BEA"/>
    <w:rsid w:val="00967DFF"/>
    <w:rsid w:val="009718C2"/>
    <w:rsid w:val="00971ED4"/>
    <w:rsid w:val="00975AF1"/>
    <w:rsid w:val="0097779E"/>
    <w:rsid w:val="009777AA"/>
    <w:rsid w:val="00980269"/>
    <w:rsid w:val="00980FB5"/>
    <w:rsid w:val="009822B9"/>
    <w:rsid w:val="009827E4"/>
    <w:rsid w:val="00982AA2"/>
    <w:rsid w:val="009849D3"/>
    <w:rsid w:val="00985119"/>
    <w:rsid w:val="0098656D"/>
    <w:rsid w:val="0098682E"/>
    <w:rsid w:val="009902CB"/>
    <w:rsid w:val="00995D10"/>
    <w:rsid w:val="00997D0B"/>
    <w:rsid w:val="009A0D6C"/>
    <w:rsid w:val="009A0DAE"/>
    <w:rsid w:val="009A5B10"/>
    <w:rsid w:val="009A7F2A"/>
    <w:rsid w:val="009B391C"/>
    <w:rsid w:val="009B497A"/>
    <w:rsid w:val="009B6448"/>
    <w:rsid w:val="009B7089"/>
    <w:rsid w:val="009C03AB"/>
    <w:rsid w:val="009C07FF"/>
    <w:rsid w:val="009C1130"/>
    <w:rsid w:val="009C1EC4"/>
    <w:rsid w:val="009C22FE"/>
    <w:rsid w:val="009C3CDE"/>
    <w:rsid w:val="009C3CEA"/>
    <w:rsid w:val="009C6A85"/>
    <w:rsid w:val="009C78BC"/>
    <w:rsid w:val="009D149B"/>
    <w:rsid w:val="009D1F7B"/>
    <w:rsid w:val="009D24A4"/>
    <w:rsid w:val="009D3E37"/>
    <w:rsid w:val="009D4051"/>
    <w:rsid w:val="009D5C5A"/>
    <w:rsid w:val="009D6E63"/>
    <w:rsid w:val="009D7870"/>
    <w:rsid w:val="009E0ABF"/>
    <w:rsid w:val="009E2266"/>
    <w:rsid w:val="009E5907"/>
    <w:rsid w:val="009E682A"/>
    <w:rsid w:val="009E6B1B"/>
    <w:rsid w:val="009E7403"/>
    <w:rsid w:val="009F4672"/>
    <w:rsid w:val="009F5062"/>
    <w:rsid w:val="009F562A"/>
    <w:rsid w:val="009F712B"/>
    <w:rsid w:val="00A0072E"/>
    <w:rsid w:val="00A0078C"/>
    <w:rsid w:val="00A008A5"/>
    <w:rsid w:val="00A033E9"/>
    <w:rsid w:val="00A04272"/>
    <w:rsid w:val="00A05087"/>
    <w:rsid w:val="00A10F6F"/>
    <w:rsid w:val="00A13B94"/>
    <w:rsid w:val="00A14016"/>
    <w:rsid w:val="00A14BC1"/>
    <w:rsid w:val="00A14CD8"/>
    <w:rsid w:val="00A15018"/>
    <w:rsid w:val="00A17403"/>
    <w:rsid w:val="00A17515"/>
    <w:rsid w:val="00A17EE7"/>
    <w:rsid w:val="00A223DE"/>
    <w:rsid w:val="00A23071"/>
    <w:rsid w:val="00A23498"/>
    <w:rsid w:val="00A24312"/>
    <w:rsid w:val="00A24964"/>
    <w:rsid w:val="00A25CA6"/>
    <w:rsid w:val="00A275DD"/>
    <w:rsid w:val="00A27F95"/>
    <w:rsid w:val="00A32A92"/>
    <w:rsid w:val="00A35309"/>
    <w:rsid w:val="00A35B93"/>
    <w:rsid w:val="00A4049A"/>
    <w:rsid w:val="00A43025"/>
    <w:rsid w:val="00A43239"/>
    <w:rsid w:val="00A437E4"/>
    <w:rsid w:val="00A468E7"/>
    <w:rsid w:val="00A4708C"/>
    <w:rsid w:val="00A5048B"/>
    <w:rsid w:val="00A505BE"/>
    <w:rsid w:val="00A51769"/>
    <w:rsid w:val="00A54EE3"/>
    <w:rsid w:val="00A56FD2"/>
    <w:rsid w:val="00A57AA0"/>
    <w:rsid w:val="00A57CE9"/>
    <w:rsid w:val="00A57EF3"/>
    <w:rsid w:val="00A627DE"/>
    <w:rsid w:val="00A643AB"/>
    <w:rsid w:val="00A64B31"/>
    <w:rsid w:val="00A64D9F"/>
    <w:rsid w:val="00A65719"/>
    <w:rsid w:val="00A65C38"/>
    <w:rsid w:val="00A66F9B"/>
    <w:rsid w:val="00A66FF1"/>
    <w:rsid w:val="00A721B5"/>
    <w:rsid w:val="00A73A43"/>
    <w:rsid w:val="00A73E10"/>
    <w:rsid w:val="00A81708"/>
    <w:rsid w:val="00A83DD6"/>
    <w:rsid w:val="00A8428B"/>
    <w:rsid w:val="00A90A7C"/>
    <w:rsid w:val="00A9197C"/>
    <w:rsid w:val="00A9341D"/>
    <w:rsid w:val="00A9604B"/>
    <w:rsid w:val="00A96731"/>
    <w:rsid w:val="00A97934"/>
    <w:rsid w:val="00A97D9B"/>
    <w:rsid w:val="00AA0A57"/>
    <w:rsid w:val="00AA227A"/>
    <w:rsid w:val="00AA4C0F"/>
    <w:rsid w:val="00AA62F5"/>
    <w:rsid w:val="00AA6CCB"/>
    <w:rsid w:val="00AA6F61"/>
    <w:rsid w:val="00AB0CDE"/>
    <w:rsid w:val="00AB24E2"/>
    <w:rsid w:val="00AB4F7A"/>
    <w:rsid w:val="00AB51FD"/>
    <w:rsid w:val="00AB55AF"/>
    <w:rsid w:val="00AB78BE"/>
    <w:rsid w:val="00AC2199"/>
    <w:rsid w:val="00AC344C"/>
    <w:rsid w:val="00AC3759"/>
    <w:rsid w:val="00AC4F01"/>
    <w:rsid w:val="00AC7794"/>
    <w:rsid w:val="00AC78C1"/>
    <w:rsid w:val="00AC7E52"/>
    <w:rsid w:val="00AD5DA9"/>
    <w:rsid w:val="00AD7874"/>
    <w:rsid w:val="00AD7C04"/>
    <w:rsid w:val="00AE169B"/>
    <w:rsid w:val="00AE243C"/>
    <w:rsid w:val="00AE2B52"/>
    <w:rsid w:val="00AE71A4"/>
    <w:rsid w:val="00AF1AD0"/>
    <w:rsid w:val="00AF2257"/>
    <w:rsid w:val="00AF29CA"/>
    <w:rsid w:val="00AF3F47"/>
    <w:rsid w:val="00AF70B5"/>
    <w:rsid w:val="00AF7BE6"/>
    <w:rsid w:val="00B01C35"/>
    <w:rsid w:val="00B0358A"/>
    <w:rsid w:val="00B041CA"/>
    <w:rsid w:val="00B04647"/>
    <w:rsid w:val="00B04AD1"/>
    <w:rsid w:val="00B072C5"/>
    <w:rsid w:val="00B073C1"/>
    <w:rsid w:val="00B1107D"/>
    <w:rsid w:val="00B112EF"/>
    <w:rsid w:val="00B11A5E"/>
    <w:rsid w:val="00B11D54"/>
    <w:rsid w:val="00B135C3"/>
    <w:rsid w:val="00B137B7"/>
    <w:rsid w:val="00B137F8"/>
    <w:rsid w:val="00B13C84"/>
    <w:rsid w:val="00B143DD"/>
    <w:rsid w:val="00B15CAD"/>
    <w:rsid w:val="00B20511"/>
    <w:rsid w:val="00B21C52"/>
    <w:rsid w:val="00B232ED"/>
    <w:rsid w:val="00B26132"/>
    <w:rsid w:val="00B319EB"/>
    <w:rsid w:val="00B34A5D"/>
    <w:rsid w:val="00B40BA8"/>
    <w:rsid w:val="00B413C4"/>
    <w:rsid w:val="00B4278A"/>
    <w:rsid w:val="00B43322"/>
    <w:rsid w:val="00B4729B"/>
    <w:rsid w:val="00B473E3"/>
    <w:rsid w:val="00B51CCD"/>
    <w:rsid w:val="00B551B2"/>
    <w:rsid w:val="00B55F15"/>
    <w:rsid w:val="00B57561"/>
    <w:rsid w:val="00B5993C"/>
    <w:rsid w:val="00B642D8"/>
    <w:rsid w:val="00B7087E"/>
    <w:rsid w:val="00B71AED"/>
    <w:rsid w:val="00B72373"/>
    <w:rsid w:val="00B72995"/>
    <w:rsid w:val="00B72C2F"/>
    <w:rsid w:val="00B7664E"/>
    <w:rsid w:val="00B76DEC"/>
    <w:rsid w:val="00B81489"/>
    <w:rsid w:val="00B81F99"/>
    <w:rsid w:val="00B84174"/>
    <w:rsid w:val="00B84970"/>
    <w:rsid w:val="00B87B42"/>
    <w:rsid w:val="00B905A7"/>
    <w:rsid w:val="00B9063E"/>
    <w:rsid w:val="00B91976"/>
    <w:rsid w:val="00B9358E"/>
    <w:rsid w:val="00B94F26"/>
    <w:rsid w:val="00B9546E"/>
    <w:rsid w:val="00B95EF3"/>
    <w:rsid w:val="00B96EE6"/>
    <w:rsid w:val="00B97717"/>
    <w:rsid w:val="00B97FED"/>
    <w:rsid w:val="00BA00D7"/>
    <w:rsid w:val="00BA1530"/>
    <w:rsid w:val="00BA1DA1"/>
    <w:rsid w:val="00BA1E5F"/>
    <w:rsid w:val="00BA6181"/>
    <w:rsid w:val="00BA62F1"/>
    <w:rsid w:val="00BA6472"/>
    <w:rsid w:val="00BA704B"/>
    <w:rsid w:val="00BA78EB"/>
    <w:rsid w:val="00BB04CB"/>
    <w:rsid w:val="00BB08A9"/>
    <w:rsid w:val="00BB1CB3"/>
    <w:rsid w:val="00BB45B5"/>
    <w:rsid w:val="00BB6B4F"/>
    <w:rsid w:val="00BC09AC"/>
    <w:rsid w:val="00BC25FE"/>
    <w:rsid w:val="00BC338C"/>
    <w:rsid w:val="00BC4CE6"/>
    <w:rsid w:val="00BC56FB"/>
    <w:rsid w:val="00BC7DCC"/>
    <w:rsid w:val="00BC7F13"/>
    <w:rsid w:val="00BD0206"/>
    <w:rsid w:val="00BD17F9"/>
    <w:rsid w:val="00BD37C9"/>
    <w:rsid w:val="00BD5BD7"/>
    <w:rsid w:val="00BD620D"/>
    <w:rsid w:val="00BD7DA9"/>
    <w:rsid w:val="00BE1235"/>
    <w:rsid w:val="00BE346D"/>
    <w:rsid w:val="00BE34B6"/>
    <w:rsid w:val="00BE42CE"/>
    <w:rsid w:val="00BE582A"/>
    <w:rsid w:val="00BE64BE"/>
    <w:rsid w:val="00BE67A8"/>
    <w:rsid w:val="00BF0FA4"/>
    <w:rsid w:val="00BF354E"/>
    <w:rsid w:val="00BF6695"/>
    <w:rsid w:val="00BF6754"/>
    <w:rsid w:val="00BF6CE5"/>
    <w:rsid w:val="00C0014E"/>
    <w:rsid w:val="00C0037D"/>
    <w:rsid w:val="00C005C8"/>
    <w:rsid w:val="00C00C5C"/>
    <w:rsid w:val="00C01AFE"/>
    <w:rsid w:val="00C01FAD"/>
    <w:rsid w:val="00C02209"/>
    <w:rsid w:val="00C0539E"/>
    <w:rsid w:val="00C076C3"/>
    <w:rsid w:val="00C11023"/>
    <w:rsid w:val="00C12491"/>
    <w:rsid w:val="00C1455D"/>
    <w:rsid w:val="00C148A3"/>
    <w:rsid w:val="00C15BE4"/>
    <w:rsid w:val="00C1651C"/>
    <w:rsid w:val="00C20391"/>
    <w:rsid w:val="00C23D7F"/>
    <w:rsid w:val="00C23DFA"/>
    <w:rsid w:val="00C26F43"/>
    <w:rsid w:val="00C27121"/>
    <w:rsid w:val="00C27FCC"/>
    <w:rsid w:val="00C30930"/>
    <w:rsid w:val="00C317F4"/>
    <w:rsid w:val="00C3593C"/>
    <w:rsid w:val="00C35960"/>
    <w:rsid w:val="00C3646A"/>
    <w:rsid w:val="00C415BE"/>
    <w:rsid w:val="00C41F6F"/>
    <w:rsid w:val="00C43C97"/>
    <w:rsid w:val="00C441E3"/>
    <w:rsid w:val="00C50EDF"/>
    <w:rsid w:val="00C542C9"/>
    <w:rsid w:val="00C547B3"/>
    <w:rsid w:val="00C647F1"/>
    <w:rsid w:val="00C65B11"/>
    <w:rsid w:val="00C71152"/>
    <w:rsid w:val="00C73509"/>
    <w:rsid w:val="00C74556"/>
    <w:rsid w:val="00C749FA"/>
    <w:rsid w:val="00C755ED"/>
    <w:rsid w:val="00C75684"/>
    <w:rsid w:val="00C76E89"/>
    <w:rsid w:val="00C77142"/>
    <w:rsid w:val="00C779D6"/>
    <w:rsid w:val="00C77D82"/>
    <w:rsid w:val="00C80531"/>
    <w:rsid w:val="00C8318F"/>
    <w:rsid w:val="00C84AC1"/>
    <w:rsid w:val="00C85324"/>
    <w:rsid w:val="00C90F04"/>
    <w:rsid w:val="00C92AAB"/>
    <w:rsid w:val="00C932CE"/>
    <w:rsid w:val="00C93A9D"/>
    <w:rsid w:val="00C9451F"/>
    <w:rsid w:val="00C94631"/>
    <w:rsid w:val="00C94FF0"/>
    <w:rsid w:val="00C9626C"/>
    <w:rsid w:val="00C9787E"/>
    <w:rsid w:val="00CA1EBE"/>
    <w:rsid w:val="00CA20F4"/>
    <w:rsid w:val="00CA21F1"/>
    <w:rsid w:val="00CA2748"/>
    <w:rsid w:val="00CA2B5E"/>
    <w:rsid w:val="00CA413A"/>
    <w:rsid w:val="00CA4B21"/>
    <w:rsid w:val="00CA5A80"/>
    <w:rsid w:val="00CA6563"/>
    <w:rsid w:val="00CA6A1B"/>
    <w:rsid w:val="00CA7B67"/>
    <w:rsid w:val="00CA7ED5"/>
    <w:rsid w:val="00CB3783"/>
    <w:rsid w:val="00CB393E"/>
    <w:rsid w:val="00CB3E59"/>
    <w:rsid w:val="00CC088A"/>
    <w:rsid w:val="00CC0C07"/>
    <w:rsid w:val="00CC1479"/>
    <w:rsid w:val="00CC2A3F"/>
    <w:rsid w:val="00CC3D68"/>
    <w:rsid w:val="00CC6F84"/>
    <w:rsid w:val="00CC7BCE"/>
    <w:rsid w:val="00CD0AD6"/>
    <w:rsid w:val="00CD0DAF"/>
    <w:rsid w:val="00CD1825"/>
    <w:rsid w:val="00CD25BD"/>
    <w:rsid w:val="00CD2A49"/>
    <w:rsid w:val="00CD4C37"/>
    <w:rsid w:val="00CD5CC3"/>
    <w:rsid w:val="00CD637C"/>
    <w:rsid w:val="00CE0664"/>
    <w:rsid w:val="00CE406C"/>
    <w:rsid w:val="00CE4FDD"/>
    <w:rsid w:val="00CE52F7"/>
    <w:rsid w:val="00CE59F2"/>
    <w:rsid w:val="00CE64F3"/>
    <w:rsid w:val="00CE74AD"/>
    <w:rsid w:val="00CE7604"/>
    <w:rsid w:val="00CF039F"/>
    <w:rsid w:val="00CF2892"/>
    <w:rsid w:val="00CF5880"/>
    <w:rsid w:val="00CF7804"/>
    <w:rsid w:val="00CF785C"/>
    <w:rsid w:val="00CF7EF6"/>
    <w:rsid w:val="00D01E5E"/>
    <w:rsid w:val="00D035BE"/>
    <w:rsid w:val="00D06E33"/>
    <w:rsid w:val="00D06EA8"/>
    <w:rsid w:val="00D102D3"/>
    <w:rsid w:val="00D11190"/>
    <w:rsid w:val="00D141C4"/>
    <w:rsid w:val="00D16AFF"/>
    <w:rsid w:val="00D2482C"/>
    <w:rsid w:val="00D26188"/>
    <w:rsid w:val="00D30150"/>
    <w:rsid w:val="00D30522"/>
    <w:rsid w:val="00D30F51"/>
    <w:rsid w:val="00D3100F"/>
    <w:rsid w:val="00D323FD"/>
    <w:rsid w:val="00D32553"/>
    <w:rsid w:val="00D335D6"/>
    <w:rsid w:val="00D33C9A"/>
    <w:rsid w:val="00D35C31"/>
    <w:rsid w:val="00D374CE"/>
    <w:rsid w:val="00D4039B"/>
    <w:rsid w:val="00D430C0"/>
    <w:rsid w:val="00D44165"/>
    <w:rsid w:val="00D44203"/>
    <w:rsid w:val="00D4656D"/>
    <w:rsid w:val="00D46DB9"/>
    <w:rsid w:val="00D51583"/>
    <w:rsid w:val="00D517FA"/>
    <w:rsid w:val="00D545F6"/>
    <w:rsid w:val="00D54B01"/>
    <w:rsid w:val="00D55D80"/>
    <w:rsid w:val="00D56BD3"/>
    <w:rsid w:val="00D611A1"/>
    <w:rsid w:val="00D637AD"/>
    <w:rsid w:val="00D6389F"/>
    <w:rsid w:val="00D63E5E"/>
    <w:rsid w:val="00D70A70"/>
    <w:rsid w:val="00D7313E"/>
    <w:rsid w:val="00D75697"/>
    <w:rsid w:val="00D75AD1"/>
    <w:rsid w:val="00D85239"/>
    <w:rsid w:val="00D87266"/>
    <w:rsid w:val="00D915C3"/>
    <w:rsid w:val="00D92240"/>
    <w:rsid w:val="00D9335C"/>
    <w:rsid w:val="00D9352F"/>
    <w:rsid w:val="00D9418C"/>
    <w:rsid w:val="00D97A04"/>
    <w:rsid w:val="00DA01A4"/>
    <w:rsid w:val="00DA0FDE"/>
    <w:rsid w:val="00DA29A4"/>
    <w:rsid w:val="00DA32BB"/>
    <w:rsid w:val="00DA3637"/>
    <w:rsid w:val="00DA5169"/>
    <w:rsid w:val="00DA56DD"/>
    <w:rsid w:val="00DA7C7D"/>
    <w:rsid w:val="00DB03BE"/>
    <w:rsid w:val="00DB09BC"/>
    <w:rsid w:val="00DB1F85"/>
    <w:rsid w:val="00DB292E"/>
    <w:rsid w:val="00DB3C9D"/>
    <w:rsid w:val="00DB4DEB"/>
    <w:rsid w:val="00DB5FCF"/>
    <w:rsid w:val="00DB7B06"/>
    <w:rsid w:val="00DC27BF"/>
    <w:rsid w:val="00DC353B"/>
    <w:rsid w:val="00DC4093"/>
    <w:rsid w:val="00DC4386"/>
    <w:rsid w:val="00DC481F"/>
    <w:rsid w:val="00DC596E"/>
    <w:rsid w:val="00DC5B79"/>
    <w:rsid w:val="00DC5D50"/>
    <w:rsid w:val="00DD351C"/>
    <w:rsid w:val="00DD4D34"/>
    <w:rsid w:val="00DD661B"/>
    <w:rsid w:val="00DD6ADA"/>
    <w:rsid w:val="00DD7C57"/>
    <w:rsid w:val="00DE28FD"/>
    <w:rsid w:val="00DE5388"/>
    <w:rsid w:val="00DF0222"/>
    <w:rsid w:val="00DF14E2"/>
    <w:rsid w:val="00DF5DAB"/>
    <w:rsid w:val="00DF7835"/>
    <w:rsid w:val="00DF7AE9"/>
    <w:rsid w:val="00E0195B"/>
    <w:rsid w:val="00E02496"/>
    <w:rsid w:val="00E02AB0"/>
    <w:rsid w:val="00E054D5"/>
    <w:rsid w:val="00E115A5"/>
    <w:rsid w:val="00E13453"/>
    <w:rsid w:val="00E1380A"/>
    <w:rsid w:val="00E14206"/>
    <w:rsid w:val="00E14632"/>
    <w:rsid w:val="00E164AF"/>
    <w:rsid w:val="00E17BE6"/>
    <w:rsid w:val="00E20C70"/>
    <w:rsid w:val="00E20F14"/>
    <w:rsid w:val="00E21D9F"/>
    <w:rsid w:val="00E22638"/>
    <w:rsid w:val="00E22670"/>
    <w:rsid w:val="00E24A29"/>
    <w:rsid w:val="00E273BA"/>
    <w:rsid w:val="00E30F12"/>
    <w:rsid w:val="00E32E3E"/>
    <w:rsid w:val="00E34241"/>
    <w:rsid w:val="00E36248"/>
    <w:rsid w:val="00E422FC"/>
    <w:rsid w:val="00E44D59"/>
    <w:rsid w:val="00E45845"/>
    <w:rsid w:val="00E45BC2"/>
    <w:rsid w:val="00E47F3A"/>
    <w:rsid w:val="00E50212"/>
    <w:rsid w:val="00E5178F"/>
    <w:rsid w:val="00E51C42"/>
    <w:rsid w:val="00E539B6"/>
    <w:rsid w:val="00E53F0A"/>
    <w:rsid w:val="00E5508F"/>
    <w:rsid w:val="00E55587"/>
    <w:rsid w:val="00E55B44"/>
    <w:rsid w:val="00E579C4"/>
    <w:rsid w:val="00E61A5D"/>
    <w:rsid w:val="00E64BE3"/>
    <w:rsid w:val="00E654B9"/>
    <w:rsid w:val="00E65610"/>
    <w:rsid w:val="00E66024"/>
    <w:rsid w:val="00E660BF"/>
    <w:rsid w:val="00E6639C"/>
    <w:rsid w:val="00E66FB6"/>
    <w:rsid w:val="00E670CE"/>
    <w:rsid w:val="00E708F1"/>
    <w:rsid w:val="00E7556D"/>
    <w:rsid w:val="00E769F8"/>
    <w:rsid w:val="00E778F9"/>
    <w:rsid w:val="00E81657"/>
    <w:rsid w:val="00E86B4D"/>
    <w:rsid w:val="00E9073F"/>
    <w:rsid w:val="00E918FC"/>
    <w:rsid w:val="00E9251A"/>
    <w:rsid w:val="00E93064"/>
    <w:rsid w:val="00E94B8A"/>
    <w:rsid w:val="00EA0AC4"/>
    <w:rsid w:val="00EA3CCE"/>
    <w:rsid w:val="00EA4C82"/>
    <w:rsid w:val="00EA56D7"/>
    <w:rsid w:val="00EA7141"/>
    <w:rsid w:val="00EA727E"/>
    <w:rsid w:val="00EA7305"/>
    <w:rsid w:val="00EA7CB9"/>
    <w:rsid w:val="00EB0C40"/>
    <w:rsid w:val="00EB42E3"/>
    <w:rsid w:val="00EB502F"/>
    <w:rsid w:val="00EB5737"/>
    <w:rsid w:val="00EC12FE"/>
    <w:rsid w:val="00EC1958"/>
    <w:rsid w:val="00EC1E5C"/>
    <w:rsid w:val="00EC5160"/>
    <w:rsid w:val="00EC62B7"/>
    <w:rsid w:val="00EC6D51"/>
    <w:rsid w:val="00EC7439"/>
    <w:rsid w:val="00ED0D48"/>
    <w:rsid w:val="00ED14FF"/>
    <w:rsid w:val="00ED2AFF"/>
    <w:rsid w:val="00ED5397"/>
    <w:rsid w:val="00ED5B69"/>
    <w:rsid w:val="00ED78AA"/>
    <w:rsid w:val="00ED7ED2"/>
    <w:rsid w:val="00EE5627"/>
    <w:rsid w:val="00EE6DAC"/>
    <w:rsid w:val="00EF03B7"/>
    <w:rsid w:val="00EF07F1"/>
    <w:rsid w:val="00EF18D9"/>
    <w:rsid w:val="00EF3F2C"/>
    <w:rsid w:val="00EF40D6"/>
    <w:rsid w:val="00EF45F3"/>
    <w:rsid w:val="00EF47E2"/>
    <w:rsid w:val="00EF4837"/>
    <w:rsid w:val="00F003DB"/>
    <w:rsid w:val="00F02DBC"/>
    <w:rsid w:val="00F030B7"/>
    <w:rsid w:val="00F0345B"/>
    <w:rsid w:val="00F04065"/>
    <w:rsid w:val="00F07E0E"/>
    <w:rsid w:val="00F10D92"/>
    <w:rsid w:val="00F11202"/>
    <w:rsid w:val="00F1301A"/>
    <w:rsid w:val="00F14DC0"/>
    <w:rsid w:val="00F17E21"/>
    <w:rsid w:val="00F2251F"/>
    <w:rsid w:val="00F22CB9"/>
    <w:rsid w:val="00F2338F"/>
    <w:rsid w:val="00F24283"/>
    <w:rsid w:val="00F25676"/>
    <w:rsid w:val="00F2680E"/>
    <w:rsid w:val="00F26933"/>
    <w:rsid w:val="00F316C9"/>
    <w:rsid w:val="00F353C6"/>
    <w:rsid w:val="00F36093"/>
    <w:rsid w:val="00F379FB"/>
    <w:rsid w:val="00F40441"/>
    <w:rsid w:val="00F4172C"/>
    <w:rsid w:val="00F41A2D"/>
    <w:rsid w:val="00F42D41"/>
    <w:rsid w:val="00F469AF"/>
    <w:rsid w:val="00F472D5"/>
    <w:rsid w:val="00F47BE6"/>
    <w:rsid w:val="00F50042"/>
    <w:rsid w:val="00F512D6"/>
    <w:rsid w:val="00F5500D"/>
    <w:rsid w:val="00F55290"/>
    <w:rsid w:val="00F5621D"/>
    <w:rsid w:val="00F56D28"/>
    <w:rsid w:val="00F5704E"/>
    <w:rsid w:val="00F60182"/>
    <w:rsid w:val="00F6057E"/>
    <w:rsid w:val="00F6614C"/>
    <w:rsid w:val="00F67C1A"/>
    <w:rsid w:val="00F70EC2"/>
    <w:rsid w:val="00F7376C"/>
    <w:rsid w:val="00F77F6C"/>
    <w:rsid w:val="00F82F35"/>
    <w:rsid w:val="00F83AA0"/>
    <w:rsid w:val="00F84F7D"/>
    <w:rsid w:val="00F8526D"/>
    <w:rsid w:val="00F867A3"/>
    <w:rsid w:val="00F86931"/>
    <w:rsid w:val="00F905F4"/>
    <w:rsid w:val="00F909D7"/>
    <w:rsid w:val="00F918BA"/>
    <w:rsid w:val="00F946A4"/>
    <w:rsid w:val="00F96ED9"/>
    <w:rsid w:val="00FA0A6D"/>
    <w:rsid w:val="00FA0A79"/>
    <w:rsid w:val="00FA0D77"/>
    <w:rsid w:val="00FA245B"/>
    <w:rsid w:val="00FA2D24"/>
    <w:rsid w:val="00FA35D4"/>
    <w:rsid w:val="00FA3F44"/>
    <w:rsid w:val="00FA40BF"/>
    <w:rsid w:val="00FA5322"/>
    <w:rsid w:val="00FA6923"/>
    <w:rsid w:val="00FB026A"/>
    <w:rsid w:val="00FB08E8"/>
    <w:rsid w:val="00FB175A"/>
    <w:rsid w:val="00FB1AEC"/>
    <w:rsid w:val="00FB2234"/>
    <w:rsid w:val="00FB4418"/>
    <w:rsid w:val="00FB460E"/>
    <w:rsid w:val="00FB4B49"/>
    <w:rsid w:val="00FB5C67"/>
    <w:rsid w:val="00FB5F4A"/>
    <w:rsid w:val="00FC166B"/>
    <w:rsid w:val="00FC58B5"/>
    <w:rsid w:val="00FC61A0"/>
    <w:rsid w:val="00FD2ED0"/>
    <w:rsid w:val="00FD3208"/>
    <w:rsid w:val="00FD4D35"/>
    <w:rsid w:val="00FD50FA"/>
    <w:rsid w:val="00FD5303"/>
    <w:rsid w:val="00FD537D"/>
    <w:rsid w:val="00FD57BB"/>
    <w:rsid w:val="00FD58D1"/>
    <w:rsid w:val="00FD5969"/>
    <w:rsid w:val="00FD5CF4"/>
    <w:rsid w:val="00FD6842"/>
    <w:rsid w:val="00FE0575"/>
    <w:rsid w:val="00FE121A"/>
    <w:rsid w:val="00FE169F"/>
    <w:rsid w:val="00FE17C3"/>
    <w:rsid w:val="00FE6338"/>
    <w:rsid w:val="00FE7281"/>
    <w:rsid w:val="00FF129A"/>
    <w:rsid w:val="00FF2F47"/>
    <w:rsid w:val="00FF5C42"/>
    <w:rsid w:val="00FF6504"/>
    <w:rsid w:val="00FF75F8"/>
    <w:rsid w:val="01607ACD"/>
    <w:rsid w:val="01901999"/>
    <w:rsid w:val="019E503A"/>
    <w:rsid w:val="01E089CC"/>
    <w:rsid w:val="01FE4CA1"/>
    <w:rsid w:val="021D1C74"/>
    <w:rsid w:val="044DEA93"/>
    <w:rsid w:val="04B4823E"/>
    <w:rsid w:val="04C3A5AF"/>
    <w:rsid w:val="04C43714"/>
    <w:rsid w:val="05105167"/>
    <w:rsid w:val="05C2DCD1"/>
    <w:rsid w:val="06CB1099"/>
    <w:rsid w:val="07A4B874"/>
    <w:rsid w:val="07DCC62B"/>
    <w:rsid w:val="0A296528"/>
    <w:rsid w:val="0A4476DB"/>
    <w:rsid w:val="0A504510"/>
    <w:rsid w:val="0A9F80C5"/>
    <w:rsid w:val="0AFD6581"/>
    <w:rsid w:val="0BC762FF"/>
    <w:rsid w:val="0BFC35CF"/>
    <w:rsid w:val="0C321E55"/>
    <w:rsid w:val="0C842230"/>
    <w:rsid w:val="0D7C4145"/>
    <w:rsid w:val="0DD756AB"/>
    <w:rsid w:val="0EB0EAAE"/>
    <w:rsid w:val="0EDFCC3E"/>
    <w:rsid w:val="0EFE5A9A"/>
    <w:rsid w:val="0FA207E4"/>
    <w:rsid w:val="101D8346"/>
    <w:rsid w:val="1054E9F0"/>
    <w:rsid w:val="110662B8"/>
    <w:rsid w:val="11BB68D3"/>
    <w:rsid w:val="11E90FA4"/>
    <w:rsid w:val="11F3E3B2"/>
    <w:rsid w:val="12A0FE8E"/>
    <w:rsid w:val="12A8AF01"/>
    <w:rsid w:val="12F8C755"/>
    <w:rsid w:val="13B65DBC"/>
    <w:rsid w:val="13C879D6"/>
    <w:rsid w:val="144C958C"/>
    <w:rsid w:val="14599B1F"/>
    <w:rsid w:val="159EB076"/>
    <w:rsid w:val="15CC700E"/>
    <w:rsid w:val="1609761C"/>
    <w:rsid w:val="160AA1E3"/>
    <w:rsid w:val="164AE3F9"/>
    <w:rsid w:val="165FE5ED"/>
    <w:rsid w:val="16A98878"/>
    <w:rsid w:val="16DFE126"/>
    <w:rsid w:val="17247176"/>
    <w:rsid w:val="17B70245"/>
    <w:rsid w:val="17E3210F"/>
    <w:rsid w:val="17E6B45A"/>
    <w:rsid w:val="182E9498"/>
    <w:rsid w:val="1878A1D5"/>
    <w:rsid w:val="18C6CD56"/>
    <w:rsid w:val="19575E21"/>
    <w:rsid w:val="19F25233"/>
    <w:rsid w:val="1A3156B6"/>
    <w:rsid w:val="1A4BE47A"/>
    <w:rsid w:val="1A5146B8"/>
    <w:rsid w:val="1AA76C40"/>
    <w:rsid w:val="1AC5A052"/>
    <w:rsid w:val="1AE4CFC0"/>
    <w:rsid w:val="1B1083E4"/>
    <w:rsid w:val="1B3E2B75"/>
    <w:rsid w:val="1B486DFE"/>
    <w:rsid w:val="1C3CE851"/>
    <w:rsid w:val="1C9AA1DC"/>
    <w:rsid w:val="1CD99F9B"/>
    <w:rsid w:val="1CF81362"/>
    <w:rsid w:val="1D51D212"/>
    <w:rsid w:val="1D9C38CC"/>
    <w:rsid w:val="1DA09FBF"/>
    <w:rsid w:val="1E1D2B38"/>
    <w:rsid w:val="1E68CBA6"/>
    <w:rsid w:val="1EEE06B4"/>
    <w:rsid w:val="1F176817"/>
    <w:rsid w:val="1F2F56D1"/>
    <w:rsid w:val="1FA10055"/>
    <w:rsid w:val="1FCCCABC"/>
    <w:rsid w:val="1FF60DDD"/>
    <w:rsid w:val="201D1A53"/>
    <w:rsid w:val="20A83283"/>
    <w:rsid w:val="213C2370"/>
    <w:rsid w:val="215B883D"/>
    <w:rsid w:val="217A9506"/>
    <w:rsid w:val="21936186"/>
    <w:rsid w:val="21B8280E"/>
    <w:rsid w:val="222999BD"/>
    <w:rsid w:val="2247B512"/>
    <w:rsid w:val="22919E4E"/>
    <w:rsid w:val="229FC802"/>
    <w:rsid w:val="23921E39"/>
    <w:rsid w:val="241E1291"/>
    <w:rsid w:val="243F3893"/>
    <w:rsid w:val="24CACC29"/>
    <w:rsid w:val="2537AF25"/>
    <w:rsid w:val="26001579"/>
    <w:rsid w:val="261F60A2"/>
    <w:rsid w:val="26541383"/>
    <w:rsid w:val="26A3BE53"/>
    <w:rsid w:val="26AC497A"/>
    <w:rsid w:val="27E7EEAD"/>
    <w:rsid w:val="287557AA"/>
    <w:rsid w:val="28CB03D1"/>
    <w:rsid w:val="28CBF6C2"/>
    <w:rsid w:val="28DDCE40"/>
    <w:rsid w:val="28E350FA"/>
    <w:rsid w:val="2965F5EF"/>
    <w:rsid w:val="2A09B125"/>
    <w:rsid w:val="2A0C159E"/>
    <w:rsid w:val="2A0DB915"/>
    <w:rsid w:val="2A5A1ABE"/>
    <w:rsid w:val="2A6B295D"/>
    <w:rsid w:val="2A74F7C1"/>
    <w:rsid w:val="2AAB70D4"/>
    <w:rsid w:val="2AE84796"/>
    <w:rsid w:val="2B63704F"/>
    <w:rsid w:val="2BA67C84"/>
    <w:rsid w:val="2C137082"/>
    <w:rsid w:val="2D18F91E"/>
    <w:rsid w:val="2D3A1F51"/>
    <w:rsid w:val="2D6DC5D9"/>
    <w:rsid w:val="2DD61EE7"/>
    <w:rsid w:val="2DE190E1"/>
    <w:rsid w:val="2E1284CE"/>
    <w:rsid w:val="2E272D7B"/>
    <w:rsid w:val="2E42B1DC"/>
    <w:rsid w:val="2E72044D"/>
    <w:rsid w:val="2EE9184E"/>
    <w:rsid w:val="2EE9E948"/>
    <w:rsid w:val="2F489793"/>
    <w:rsid w:val="300C2E63"/>
    <w:rsid w:val="3014F78C"/>
    <w:rsid w:val="309A89A7"/>
    <w:rsid w:val="30D01E55"/>
    <w:rsid w:val="30D9B74D"/>
    <w:rsid w:val="30E871B9"/>
    <w:rsid w:val="340C3DF7"/>
    <w:rsid w:val="34124FBD"/>
    <w:rsid w:val="344E6465"/>
    <w:rsid w:val="34B55A1C"/>
    <w:rsid w:val="34E68E4D"/>
    <w:rsid w:val="351B59B9"/>
    <w:rsid w:val="35426F18"/>
    <w:rsid w:val="354F33D9"/>
    <w:rsid w:val="35E0BA17"/>
    <w:rsid w:val="3639595F"/>
    <w:rsid w:val="36834A01"/>
    <w:rsid w:val="36CEA7EE"/>
    <w:rsid w:val="373FCD47"/>
    <w:rsid w:val="382971A0"/>
    <w:rsid w:val="384E35BA"/>
    <w:rsid w:val="388D36B0"/>
    <w:rsid w:val="3890745C"/>
    <w:rsid w:val="389F7FAE"/>
    <w:rsid w:val="38D46E27"/>
    <w:rsid w:val="38F90064"/>
    <w:rsid w:val="3961388D"/>
    <w:rsid w:val="3971638B"/>
    <w:rsid w:val="39F8A867"/>
    <w:rsid w:val="3A0FE5FE"/>
    <w:rsid w:val="3AA1CA65"/>
    <w:rsid w:val="3B8091A0"/>
    <w:rsid w:val="3BAEB8E2"/>
    <w:rsid w:val="3C4F7390"/>
    <w:rsid w:val="3C962012"/>
    <w:rsid w:val="3C9745FF"/>
    <w:rsid w:val="3C9B2EB0"/>
    <w:rsid w:val="3C9E172B"/>
    <w:rsid w:val="3CA1EB32"/>
    <w:rsid w:val="3D027C97"/>
    <w:rsid w:val="3E9A41A8"/>
    <w:rsid w:val="3F3C926E"/>
    <w:rsid w:val="3F57B096"/>
    <w:rsid w:val="3F94361A"/>
    <w:rsid w:val="3F99F17E"/>
    <w:rsid w:val="3FAF8EF2"/>
    <w:rsid w:val="3FD42CB8"/>
    <w:rsid w:val="401E0DD3"/>
    <w:rsid w:val="403AF908"/>
    <w:rsid w:val="4082E76B"/>
    <w:rsid w:val="40E7CFCA"/>
    <w:rsid w:val="40F48CB9"/>
    <w:rsid w:val="416136A4"/>
    <w:rsid w:val="41F04BF9"/>
    <w:rsid w:val="4204BAF8"/>
    <w:rsid w:val="423B8809"/>
    <w:rsid w:val="42F9CF23"/>
    <w:rsid w:val="4355AE95"/>
    <w:rsid w:val="43A8C153"/>
    <w:rsid w:val="43AA78E8"/>
    <w:rsid w:val="43FF06F9"/>
    <w:rsid w:val="4426CAF9"/>
    <w:rsid w:val="4434A366"/>
    <w:rsid w:val="44354A4C"/>
    <w:rsid w:val="44A68196"/>
    <w:rsid w:val="44B58D56"/>
    <w:rsid w:val="44D92CC6"/>
    <w:rsid w:val="45629741"/>
    <w:rsid w:val="45745813"/>
    <w:rsid w:val="4636B579"/>
    <w:rsid w:val="463B2E77"/>
    <w:rsid w:val="4675A9A5"/>
    <w:rsid w:val="4678688D"/>
    <w:rsid w:val="46859614"/>
    <w:rsid w:val="46CC958D"/>
    <w:rsid w:val="46FC64C2"/>
    <w:rsid w:val="4720502D"/>
    <w:rsid w:val="4756AF16"/>
    <w:rsid w:val="480E9618"/>
    <w:rsid w:val="4856E25D"/>
    <w:rsid w:val="48B3A03D"/>
    <w:rsid w:val="48D0A83A"/>
    <w:rsid w:val="48F27F77"/>
    <w:rsid w:val="4981F15C"/>
    <w:rsid w:val="4A1387ED"/>
    <w:rsid w:val="4A266BE7"/>
    <w:rsid w:val="4AF2AA6D"/>
    <w:rsid w:val="4B068756"/>
    <w:rsid w:val="4B68EA6E"/>
    <w:rsid w:val="4BA1B918"/>
    <w:rsid w:val="4C0843C8"/>
    <w:rsid w:val="4C191B55"/>
    <w:rsid w:val="4CA61148"/>
    <w:rsid w:val="4CAA3866"/>
    <w:rsid w:val="4CC9226D"/>
    <w:rsid w:val="4CDAB3C3"/>
    <w:rsid w:val="4EB1406D"/>
    <w:rsid w:val="4EB4A020"/>
    <w:rsid w:val="4F1CE805"/>
    <w:rsid w:val="4F60DDBD"/>
    <w:rsid w:val="4F904C62"/>
    <w:rsid w:val="50082AD5"/>
    <w:rsid w:val="514AFF04"/>
    <w:rsid w:val="51610862"/>
    <w:rsid w:val="51EB01C8"/>
    <w:rsid w:val="52AA9C94"/>
    <w:rsid w:val="52C02C77"/>
    <w:rsid w:val="53589584"/>
    <w:rsid w:val="5439DE14"/>
    <w:rsid w:val="548A30AA"/>
    <w:rsid w:val="54B5ACD4"/>
    <w:rsid w:val="550D5D83"/>
    <w:rsid w:val="5550FEB2"/>
    <w:rsid w:val="558D7168"/>
    <w:rsid w:val="558E61EC"/>
    <w:rsid w:val="5640D997"/>
    <w:rsid w:val="568096E4"/>
    <w:rsid w:val="56D30DD6"/>
    <w:rsid w:val="57037C26"/>
    <w:rsid w:val="572EDFD3"/>
    <w:rsid w:val="577A42C1"/>
    <w:rsid w:val="57B1CF96"/>
    <w:rsid w:val="57E8B000"/>
    <w:rsid w:val="57ED5E8A"/>
    <w:rsid w:val="57EE4ACF"/>
    <w:rsid w:val="587420E6"/>
    <w:rsid w:val="58AB13FE"/>
    <w:rsid w:val="59029E6C"/>
    <w:rsid w:val="5905F252"/>
    <w:rsid w:val="595C39E7"/>
    <w:rsid w:val="59807A11"/>
    <w:rsid w:val="59977CBC"/>
    <w:rsid w:val="59EAC3B2"/>
    <w:rsid w:val="5A653DB0"/>
    <w:rsid w:val="5A84D715"/>
    <w:rsid w:val="5A9B997B"/>
    <w:rsid w:val="5AEB9C24"/>
    <w:rsid w:val="5B12655B"/>
    <w:rsid w:val="5B13973D"/>
    <w:rsid w:val="5BB2974B"/>
    <w:rsid w:val="5C66403D"/>
    <w:rsid w:val="5C96F5CC"/>
    <w:rsid w:val="5CA1D3B5"/>
    <w:rsid w:val="5CDD50DA"/>
    <w:rsid w:val="5D66B696"/>
    <w:rsid w:val="5D7D72B3"/>
    <w:rsid w:val="5E3562E0"/>
    <w:rsid w:val="5E8AF711"/>
    <w:rsid w:val="5EABE329"/>
    <w:rsid w:val="5EB6AEFA"/>
    <w:rsid w:val="5F02E82E"/>
    <w:rsid w:val="5FD87C2A"/>
    <w:rsid w:val="6047B38A"/>
    <w:rsid w:val="608513E7"/>
    <w:rsid w:val="60AD66D4"/>
    <w:rsid w:val="61535B9A"/>
    <w:rsid w:val="6238F725"/>
    <w:rsid w:val="625C2902"/>
    <w:rsid w:val="62A79801"/>
    <w:rsid w:val="62F274CE"/>
    <w:rsid w:val="630B9881"/>
    <w:rsid w:val="6406F4D6"/>
    <w:rsid w:val="6442E4F9"/>
    <w:rsid w:val="644FF790"/>
    <w:rsid w:val="64574C9C"/>
    <w:rsid w:val="6525F07E"/>
    <w:rsid w:val="654F004F"/>
    <w:rsid w:val="6556C5B0"/>
    <w:rsid w:val="65C6744D"/>
    <w:rsid w:val="66D86010"/>
    <w:rsid w:val="674541F5"/>
    <w:rsid w:val="675E9F7A"/>
    <w:rsid w:val="679C5B75"/>
    <w:rsid w:val="67EDB263"/>
    <w:rsid w:val="68AF7D1F"/>
    <w:rsid w:val="68EDC30D"/>
    <w:rsid w:val="692EBF00"/>
    <w:rsid w:val="69543C57"/>
    <w:rsid w:val="698F6BC9"/>
    <w:rsid w:val="6994DAD4"/>
    <w:rsid w:val="6999DAE2"/>
    <w:rsid w:val="6A1E2930"/>
    <w:rsid w:val="6AC90C2E"/>
    <w:rsid w:val="6C9AD6F5"/>
    <w:rsid w:val="6EC8AD31"/>
    <w:rsid w:val="6F186007"/>
    <w:rsid w:val="6FDA2C21"/>
    <w:rsid w:val="704D9A10"/>
    <w:rsid w:val="7057776A"/>
    <w:rsid w:val="70C592D3"/>
    <w:rsid w:val="714736F2"/>
    <w:rsid w:val="715C6618"/>
    <w:rsid w:val="7186C030"/>
    <w:rsid w:val="721B4079"/>
    <w:rsid w:val="725EDBAC"/>
    <w:rsid w:val="7297FBF1"/>
    <w:rsid w:val="72CFBC64"/>
    <w:rsid w:val="7336DDC6"/>
    <w:rsid w:val="73C2C1FD"/>
    <w:rsid w:val="7403925B"/>
    <w:rsid w:val="746179B2"/>
    <w:rsid w:val="74BBC20F"/>
    <w:rsid w:val="7502E373"/>
    <w:rsid w:val="75AB4F8D"/>
    <w:rsid w:val="75CB3583"/>
    <w:rsid w:val="75D24038"/>
    <w:rsid w:val="75FD4A13"/>
    <w:rsid w:val="7600476F"/>
    <w:rsid w:val="765E3A15"/>
    <w:rsid w:val="77026C21"/>
    <w:rsid w:val="776EB5B3"/>
    <w:rsid w:val="7792031B"/>
    <w:rsid w:val="77973A16"/>
    <w:rsid w:val="795F2074"/>
    <w:rsid w:val="7977E822"/>
    <w:rsid w:val="7987CF66"/>
    <w:rsid w:val="79A20DDE"/>
    <w:rsid w:val="7A117C03"/>
    <w:rsid w:val="7A301241"/>
    <w:rsid w:val="7A53104E"/>
    <w:rsid w:val="7A802A29"/>
    <w:rsid w:val="7AD0BB36"/>
    <w:rsid w:val="7AE85BE1"/>
    <w:rsid w:val="7BD6C4CF"/>
    <w:rsid w:val="7D32E155"/>
    <w:rsid w:val="7D6276B4"/>
    <w:rsid w:val="7D735AE3"/>
    <w:rsid w:val="7D930712"/>
    <w:rsid w:val="7DA2F148"/>
    <w:rsid w:val="7E9AF337"/>
    <w:rsid w:val="7F307979"/>
    <w:rsid w:val="7F5DE7F2"/>
    <w:rsid w:val="7F7665B5"/>
    <w:rsid w:val="7FA00A17"/>
    <w:rsid w:val="7FE099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FB765"/>
  <w15:chartTrackingRefBased/>
  <w15:docId w15:val="{51015807-97C9-4581-A321-106A1BCD9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60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51B82"/>
    <w:rPr>
      <w:color w:val="0000FF"/>
      <w:u w:val="single"/>
    </w:rPr>
  </w:style>
  <w:style w:type="paragraph" w:styleId="FootnoteText">
    <w:name w:val="footnote text"/>
    <w:aliases w:val="FT"/>
    <w:basedOn w:val="Normal"/>
    <w:link w:val="FootnoteTextChar"/>
    <w:uiPriority w:val="99"/>
    <w:qFormat/>
    <w:rsid w:val="00851B82"/>
    <w:rPr>
      <w:sz w:val="20"/>
      <w:szCs w:val="20"/>
    </w:rPr>
  </w:style>
  <w:style w:type="character" w:customStyle="1" w:styleId="FootnoteTextChar">
    <w:name w:val="Footnote Text Char"/>
    <w:aliases w:val="FT Char"/>
    <w:basedOn w:val="DefaultParagraphFont"/>
    <w:link w:val="FootnoteText"/>
    <w:uiPriority w:val="99"/>
    <w:rsid w:val="00851B82"/>
    <w:rPr>
      <w:rFonts w:ascii="Times New Roman" w:eastAsia="Times New Roman" w:hAnsi="Times New Roman" w:cs="Times New Roman"/>
      <w:sz w:val="20"/>
      <w:szCs w:val="20"/>
    </w:rPr>
  </w:style>
  <w:style w:type="character" w:styleId="FootnoteReference">
    <w:name w:val="footnote reference"/>
    <w:uiPriority w:val="99"/>
    <w:qFormat/>
    <w:rsid w:val="00851B82"/>
    <w:rPr>
      <w:vertAlign w:val="superscript"/>
    </w:rPr>
  </w:style>
  <w:style w:type="character" w:styleId="CommentReference">
    <w:name w:val="annotation reference"/>
    <w:basedOn w:val="DefaultParagraphFont"/>
    <w:uiPriority w:val="99"/>
    <w:semiHidden/>
    <w:unhideWhenUsed/>
    <w:rsid w:val="008230B2"/>
    <w:rPr>
      <w:sz w:val="16"/>
      <w:szCs w:val="16"/>
    </w:rPr>
  </w:style>
  <w:style w:type="paragraph" w:styleId="CommentText">
    <w:name w:val="annotation text"/>
    <w:basedOn w:val="Normal"/>
    <w:link w:val="CommentTextChar"/>
    <w:uiPriority w:val="99"/>
    <w:unhideWhenUsed/>
    <w:rsid w:val="008230B2"/>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8230B2"/>
    <w:rPr>
      <w:sz w:val="20"/>
      <w:szCs w:val="20"/>
    </w:rPr>
  </w:style>
  <w:style w:type="paragraph" w:styleId="CommentSubject">
    <w:name w:val="annotation subject"/>
    <w:basedOn w:val="CommentText"/>
    <w:next w:val="CommentText"/>
    <w:link w:val="CommentSubjectChar"/>
    <w:uiPriority w:val="99"/>
    <w:semiHidden/>
    <w:unhideWhenUsed/>
    <w:rsid w:val="008230B2"/>
    <w:rPr>
      <w:b/>
      <w:bCs/>
    </w:rPr>
  </w:style>
  <w:style w:type="character" w:customStyle="1" w:styleId="CommentSubjectChar">
    <w:name w:val="Comment Subject Char"/>
    <w:basedOn w:val="CommentTextChar"/>
    <w:link w:val="CommentSubject"/>
    <w:uiPriority w:val="99"/>
    <w:semiHidden/>
    <w:rsid w:val="008230B2"/>
    <w:rPr>
      <w:b/>
      <w:bCs/>
      <w:sz w:val="20"/>
      <w:szCs w:val="20"/>
    </w:rPr>
  </w:style>
  <w:style w:type="paragraph" w:styleId="BalloonText">
    <w:name w:val="Balloon Text"/>
    <w:basedOn w:val="Normal"/>
    <w:link w:val="BalloonTextChar"/>
    <w:uiPriority w:val="99"/>
    <w:semiHidden/>
    <w:unhideWhenUsed/>
    <w:rsid w:val="008230B2"/>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8230B2"/>
    <w:rPr>
      <w:rFonts w:ascii="Segoe UI" w:hAnsi="Segoe UI" w:cs="Segoe UI"/>
      <w:sz w:val="18"/>
      <w:szCs w:val="18"/>
    </w:rPr>
  </w:style>
  <w:style w:type="character" w:styleId="FollowedHyperlink">
    <w:name w:val="FollowedHyperlink"/>
    <w:basedOn w:val="DefaultParagraphFont"/>
    <w:uiPriority w:val="99"/>
    <w:semiHidden/>
    <w:unhideWhenUsed/>
    <w:rsid w:val="00AA227A"/>
    <w:rPr>
      <w:color w:val="954F72" w:themeColor="followedHyperlink"/>
      <w:u w:val="single"/>
    </w:rPr>
  </w:style>
  <w:style w:type="paragraph" w:styleId="Revision">
    <w:name w:val="Revision"/>
    <w:hidden/>
    <w:uiPriority w:val="99"/>
    <w:semiHidden/>
    <w:rsid w:val="00CA1EBE"/>
    <w:pPr>
      <w:spacing w:after="0" w:line="240" w:lineRule="auto"/>
    </w:pPr>
  </w:style>
  <w:style w:type="paragraph" w:styleId="ListParagraph">
    <w:name w:val="List Paragraph"/>
    <w:basedOn w:val="Normal"/>
    <w:uiPriority w:val="34"/>
    <w:qFormat/>
    <w:rsid w:val="008553EE"/>
    <w:pPr>
      <w:spacing w:after="160" w:line="259"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B041CA"/>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B041CA"/>
  </w:style>
  <w:style w:type="paragraph" w:styleId="Footer">
    <w:name w:val="footer"/>
    <w:basedOn w:val="Normal"/>
    <w:link w:val="FooterChar"/>
    <w:uiPriority w:val="99"/>
    <w:unhideWhenUsed/>
    <w:rsid w:val="00B041CA"/>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B041CA"/>
  </w:style>
  <w:style w:type="paragraph" w:styleId="NormalWeb">
    <w:name w:val="Normal (Web)"/>
    <w:basedOn w:val="Normal"/>
    <w:uiPriority w:val="99"/>
    <w:unhideWhenUsed/>
    <w:rsid w:val="000163CD"/>
    <w:pPr>
      <w:spacing w:before="100" w:beforeAutospacing="1" w:after="100" w:afterAutospacing="1"/>
    </w:pPr>
  </w:style>
  <w:style w:type="paragraph" w:styleId="NoSpacing">
    <w:name w:val="No Spacing"/>
    <w:uiPriority w:val="1"/>
    <w:qFormat/>
    <w:rsid w:val="000163CD"/>
    <w:pPr>
      <w:spacing w:after="0" w:line="240" w:lineRule="auto"/>
    </w:pPr>
    <w:rPr>
      <w:rFonts w:ascii="Calibri" w:eastAsia="Calibri" w:hAnsi="Calibri" w:cs="Times New Roman"/>
    </w:rPr>
  </w:style>
  <w:style w:type="character" w:customStyle="1" w:styleId="UnresolvedMention1">
    <w:name w:val="Unresolved Mention1"/>
    <w:basedOn w:val="DefaultParagraphFont"/>
    <w:uiPriority w:val="99"/>
    <w:semiHidden/>
    <w:unhideWhenUsed/>
    <w:rsid w:val="009269B0"/>
    <w:rPr>
      <w:color w:val="605E5C"/>
      <w:shd w:val="clear" w:color="auto" w:fill="E1DFDD"/>
    </w:rPr>
  </w:style>
  <w:style w:type="numbering" w:customStyle="1" w:styleId="CurrentList1">
    <w:name w:val="Current List1"/>
    <w:uiPriority w:val="99"/>
    <w:rsid w:val="00BD37C9"/>
    <w:pPr>
      <w:numPr>
        <w:numId w:val="3"/>
      </w:numPr>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99"/>
    <w:rsid w:val="00770FA9"/>
    <w:pPr>
      <w:spacing w:line="480" w:lineRule="auto"/>
      <w:ind w:firstLine="720"/>
      <w:jc w:val="both"/>
    </w:pPr>
  </w:style>
  <w:style w:type="character" w:customStyle="1" w:styleId="BodyTextChar">
    <w:name w:val="Body Text Char"/>
    <w:basedOn w:val="DefaultParagraphFont"/>
    <w:link w:val="BodyText"/>
    <w:uiPriority w:val="99"/>
    <w:rsid w:val="00770FA9"/>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770FA9"/>
  </w:style>
  <w:style w:type="character" w:customStyle="1" w:styleId="UnresolvedMention2">
    <w:name w:val="Unresolved Mention2"/>
    <w:basedOn w:val="DefaultParagraphFont"/>
    <w:uiPriority w:val="99"/>
    <w:semiHidden/>
    <w:unhideWhenUsed/>
    <w:rsid w:val="009A5B10"/>
    <w:rPr>
      <w:color w:val="605E5C"/>
      <w:shd w:val="clear" w:color="auto" w:fill="E1DFDD"/>
    </w:rPr>
  </w:style>
  <w:style w:type="character" w:customStyle="1" w:styleId="UnresolvedMention3">
    <w:name w:val="Unresolved Mention3"/>
    <w:basedOn w:val="DefaultParagraphFont"/>
    <w:uiPriority w:val="99"/>
    <w:semiHidden/>
    <w:unhideWhenUsed/>
    <w:rsid w:val="00CC6F84"/>
    <w:rPr>
      <w:color w:val="605E5C"/>
      <w:shd w:val="clear" w:color="auto" w:fill="E1DFDD"/>
    </w:rPr>
  </w:style>
  <w:style w:type="character" w:customStyle="1" w:styleId="UnresolvedMention4">
    <w:name w:val="Unresolved Mention4"/>
    <w:basedOn w:val="DefaultParagraphFont"/>
    <w:uiPriority w:val="99"/>
    <w:semiHidden/>
    <w:unhideWhenUsed/>
    <w:rsid w:val="00805F1C"/>
    <w:rPr>
      <w:color w:val="605E5C"/>
      <w:shd w:val="clear" w:color="auto" w:fill="E1DFDD"/>
    </w:rPr>
  </w:style>
  <w:style w:type="character" w:styleId="UnresolvedMention">
    <w:name w:val="Unresolved Mention"/>
    <w:basedOn w:val="DefaultParagraphFont"/>
    <w:uiPriority w:val="99"/>
    <w:semiHidden/>
    <w:unhideWhenUsed/>
    <w:rsid w:val="009822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22978">
      <w:bodyDiv w:val="1"/>
      <w:marLeft w:val="0"/>
      <w:marRight w:val="0"/>
      <w:marTop w:val="0"/>
      <w:marBottom w:val="0"/>
      <w:divBdr>
        <w:top w:val="none" w:sz="0" w:space="0" w:color="auto"/>
        <w:left w:val="none" w:sz="0" w:space="0" w:color="auto"/>
        <w:bottom w:val="none" w:sz="0" w:space="0" w:color="auto"/>
        <w:right w:val="none" w:sz="0" w:space="0" w:color="auto"/>
      </w:divBdr>
    </w:div>
    <w:div w:id="70398309">
      <w:bodyDiv w:val="1"/>
      <w:marLeft w:val="0"/>
      <w:marRight w:val="0"/>
      <w:marTop w:val="0"/>
      <w:marBottom w:val="0"/>
      <w:divBdr>
        <w:top w:val="none" w:sz="0" w:space="0" w:color="auto"/>
        <w:left w:val="none" w:sz="0" w:space="0" w:color="auto"/>
        <w:bottom w:val="none" w:sz="0" w:space="0" w:color="auto"/>
        <w:right w:val="none" w:sz="0" w:space="0" w:color="auto"/>
      </w:divBdr>
    </w:div>
    <w:div w:id="128743405">
      <w:bodyDiv w:val="1"/>
      <w:marLeft w:val="0"/>
      <w:marRight w:val="0"/>
      <w:marTop w:val="0"/>
      <w:marBottom w:val="0"/>
      <w:divBdr>
        <w:top w:val="none" w:sz="0" w:space="0" w:color="auto"/>
        <w:left w:val="none" w:sz="0" w:space="0" w:color="auto"/>
        <w:bottom w:val="none" w:sz="0" w:space="0" w:color="auto"/>
        <w:right w:val="none" w:sz="0" w:space="0" w:color="auto"/>
      </w:divBdr>
    </w:div>
    <w:div w:id="203907179">
      <w:bodyDiv w:val="1"/>
      <w:marLeft w:val="0"/>
      <w:marRight w:val="0"/>
      <w:marTop w:val="0"/>
      <w:marBottom w:val="0"/>
      <w:divBdr>
        <w:top w:val="none" w:sz="0" w:space="0" w:color="auto"/>
        <w:left w:val="none" w:sz="0" w:space="0" w:color="auto"/>
        <w:bottom w:val="none" w:sz="0" w:space="0" w:color="auto"/>
        <w:right w:val="none" w:sz="0" w:space="0" w:color="auto"/>
      </w:divBdr>
    </w:div>
    <w:div w:id="219218663">
      <w:bodyDiv w:val="1"/>
      <w:marLeft w:val="0"/>
      <w:marRight w:val="0"/>
      <w:marTop w:val="0"/>
      <w:marBottom w:val="0"/>
      <w:divBdr>
        <w:top w:val="none" w:sz="0" w:space="0" w:color="auto"/>
        <w:left w:val="none" w:sz="0" w:space="0" w:color="auto"/>
        <w:bottom w:val="none" w:sz="0" w:space="0" w:color="auto"/>
        <w:right w:val="none" w:sz="0" w:space="0" w:color="auto"/>
      </w:divBdr>
    </w:div>
    <w:div w:id="341711040">
      <w:bodyDiv w:val="1"/>
      <w:marLeft w:val="0"/>
      <w:marRight w:val="0"/>
      <w:marTop w:val="0"/>
      <w:marBottom w:val="0"/>
      <w:divBdr>
        <w:top w:val="none" w:sz="0" w:space="0" w:color="auto"/>
        <w:left w:val="none" w:sz="0" w:space="0" w:color="auto"/>
        <w:bottom w:val="none" w:sz="0" w:space="0" w:color="auto"/>
        <w:right w:val="none" w:sz="0" w:space="0" w:color="auto"/>
      </w:divBdr>
    </w:div>
    <w:div w:id="548882598">
      <w:bodyDiv w:val="1"/>
      <w:marLeft w:val="0"/>
      <w:marRight w:val="0"/>
      <w:marTop w:val="0"/>
      <w:marBottom w:val="0"/>
      <w:divBdr>
        <w:top w:val="none" w:sz="0" w:space="0" w:color="auto"/>
        <w:left w:val="none" w:sz="0" w:space="0" w:color="auto"/>
        <w:bottom w:val="none" w:sz="0" w:space="0" w:color="auto"/>
        <w:right w:val="none" w:sz="0" w:space="0" w:color="auto"/>
      </w:divBdr>
    </w:div>
    <w:div w:id="571626398">
      <w:bodyDiv w:val="1"/>
      <w:marLeft w:val="0"/>
      <w:marRight w:val="0"/>
      <w:marTop w:val="0"/>
      <w:marBottom w:val="0"/>
      <w:divBdr>
        <w:top w:val="none" w:sz="0" w:space="0" w:color="auto"/>
        <w:left w:val="none" w:sz="0" w:space="0" w:color="auto"/>
        <w:bottom w:val="none" w:sz="0" w:space="0" w:color="auto"/>
        <w:right w:val="none" w:sz="0" w:space="0" w:color="auto"/>
      </w:divBdr>
    </w:div>
    <w:div w:id="623272970">
      <w:bodyDiv w:val="1"/>
      <w:marLeft w:val="0"/>
      <w:marRight w:val="0"/>
      <w:marTop w:val="0"/>
      <w:marBottom w:val="0"/>
      <w:divBdr>
        <w:top w:val="none" w:sz="0" w:space="0" w:color="auto"/>
        <w:left w:val="none" w:sz="0" w:space="0" w:color="auto"/>
        <w:bottom w:val="none" w:sz="0" w:space="0" w:color="auto"/>
        <w:right w:val="none" w:sz="0" w:space="0" w:color="auto"/>
      </w:divBdr>
    </w:div>
    <w:div w:id="833955426">
      <w:bodyDiv w:val="1"/>
      <w:marLeft w:val="0"/>
      <w:marRight w:val="0"/>
      <w:marTop w:val="0"/>
      <w:marBottom w:val="0"/>
      <w:divBdr>
        <w:top w:val="none" w:sz="0" w:space="0" w:color="auto"/>
        <w:left w:val="none" w:sz="0" w:space="0" w:color="auto"/>
        <w:bottom w:val="none" w:sz="0" w:space="0" w:color="auto"/>
        <w:right w:val="none" w:sz="0" w:space="0" w:color="auto"/>
      </w:divBdr>
    </w:div>
    <w:div w:id="940458625">
      <w:bodyDiv w:val="1"/>
      <w:marLeft w:val="0"/>
      <w:marRight w:val="0"/>
      <w:marTop w:val="0"/>
      <w:marBottom w:val="0"/>
      <w:divBdr>
        <w:top w:val="none" w:sz="0" w:space="0" w:color="auto"/>
        <w:left w:val="none" w:sz="0" w:space="0" w:color="auto"/>
        <w:bottom w:val="none" w:sz="0" w:space="0" w:color="auto"/>
        <w:right w:val="none" w:sz="0" w:space="0" w:color="auto"/>
      </w:divBdr>
    </w:div>
    <w:div w:id="999163138">
      <w:bodyDiv w:val="1"/>
      <w:marLeft w:val="0"/>
      <w:marRight w:val="0"/>
      <w:marTop w:val="0"/>
      <w:marBottom w:val="0"/>
      <w:divBdr>
        <w:top w:val="none" w:sz="0" w:space="0" w:color="auto"/>
        <w:left w:val="none" w:sz="0" w:space="0" w:color="auto"/>
        <w:bottom w:val="none" w:sz="0" w:space="0" w:color="auto"/>
        <w:right w:val="none" w:sz="0" w:space="0" w:color="auto"/>
      </w:divBdr>
    </w:div>
    <w:div w:id="1190920770">
      <w:bodyDiv w:val="1"/>
      <w:marLeft w:val="0"/>
      <w:marRight w:val="0"/>
      <w:marTop w:val="0"/>
      <w:marBottom w:val="0"/>
      <w:divBdr>
        <w:top w:val="none" w:sz="0" w:space="0" w:color="auto"/>
        <w:left w:val="none" w:sz="0" w:space="0" w:color="auto"/>
        <w:bottom w:val="none" w:sz="0" w:space="0" w:color="auto"/>
        <w:right w:val="none" w:sz="0" w:space="0" w:color="auto"/>
      </w:divBdr>
    </w:div>
    <w:div w:id="1260215295">
      <w:bodyDiv w:val="1"/>
      <w:marLeft w:val="0"/>
      <w:marRight w:val="0"/>
      <w:marTop w:val="0"/>
      <w:marBottom w:val="0"/>
      <w:divBdr>
        <w:top w:val="none" w:sz="0" w:space="0" w:color="auto"/>
        <w:left w:val="none" w:sz="0" w:space="0" w:color="auto"/>
        <w:bottom w:val="none" w:sz="0" w:space="0" w:color="auto"/>
        <w:right w:val="none" w:sz="0" w:space="0" w:color="auto"/>
      </w:divBdr>
    </w:div>
    <w:div w:id="1299918666">
      <w:bodyDiv w:val="1"/>
      <w:marLeft w:val="0"/>
      <w:marRight w:val="0"/>
      <w:marTop w:val="0"/>
      <w:marBottom w:val="0"/>
      <w:divBdr>
        <w:top w:val="none" w:sz="0" w:space="0" w:color="auto"/>
        <w:left w:val="none" w:sz="0" w:space="0" w:color="auto"/>
        <w:bottom w:val="none" w:sz="0" w:space="0" w:color="auto"/>
        <w:right w:val="none" w:sz="0" w:space="0" w:color="auto"/>
      </w:divBdr>
    </w:div>
    <w:div w:id="1354844980">
      <w:bodyDiv w:val="1"/>
      <w:marLeft w:val="0"/>
      <w:marRight w:val="0"/>
      <w:marTop w:val="0"/>
      <w:marBottom w:val="0"/>
      <w:divBdr>
        <w:top w:val="none" w:sz="0" w:space="0" w:color="auto"/>
        <w:left w:val="none" w:sz="0" w:space="0" w:color="auto"/>
        <w:bottom w:val="none" w:sz="0" w:space="0" w:color="auto"/>
        <w:right w:val="none" w:sz="0" w:space="0" w:color="auto"/>
      </w:divBdr>
    </w:div>
    <w:div w:id="1461143112">
      <w:bodyDiv w:val="1"/>
      <w:marLeft w:val="0"/>
      <w:marRight w:val="0"/>
      <w:marTop w:val="0"/>
      <w:marBottom w:val="0"/>
      <w:divBdr>
        <w:top w:val="none" w:sz="0" w:space="0" w:color="auto"/>
        <w:left w:val="none" w:sz="0" w:space="0" w:color="auto"/>
        <w:bottom w:val="none" w:sz="0" w:space="0" w:color="auto"/>
        <w:right w:val="none" w:sz="0" w:space="0" w:color="auto"/>
      </w:divBdr>
    </w:div>
    <w:div w:id="1530021255">
      <w:bodyDiv w:val="1"/>
      <w:marLeft w:val="0"/>
      <w:marRight w:val="0"/>
      <w:marTop w:val="0"/>
      <w:marBottom w:val="0"/>
      <w:divBdr>
        <w:top w:val="none" w:sz="0" w:space="0" w:color="auto"/>
        <w:left w:val="none" w:sz="0" w:space="0" w:color="auto"/>
        <w:bottom w:val="none" w:sz="0" w:space="0" w:color="auto"/>
        <w:right w:val="none" w:sz="0" w:space="0" w:color="auto"/>
      </w:divBdr>
    </w:div>
    <w:div w:id="1890795485">
      <w:bodyDiv w:val="1"/>
      <w:marLeft w:val="0"/>
      <w:marRight w:val="0"/>
      <w:marTop w:val="0"/>
      <w:marBottom w:val="0"/>
      <w:divBdr>
        <w:top w:val="none" w:sz="0" w:space="0" w:color="auto"/>
        <w:left w:val="none" w:sz="0" w:space="0" w:color="auto"/>
        <w:bottom w:val="none" w:sz="0" w:space="0" w:color="auto"/>
        <w:right w:val="none" w:sz="0" w:space="0" w:color="auto"/>
      </w:divBdr>
    </w:div>
    <w:div w:id="2082560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nyc.gov/assets/tlc/downloads/pdf/annual_report_2025.pdf" TargetMode="External"/><Relationship Id="rId13" Type="http://schemas.openxmlformats.org/officeDocument/2006/relationships/hyperlink" Target="https://help.lyft.com/hc/en-us/all/articles/7366276697-Deactivations" TargetMode="External"/><Relationship Id="rId18" Type="http://schemas.openxmlformats.org/officeDocument/2006/relationships/hyperlink" Target="https://www.uber.com/blog/new-york-appeals/" TargetMode="External"/><Relationship Id="rId26" Type="http://schemas.openxmlformats.org/officeDocument/2006/relationships/hyperlink" Target="https://www.fox4news.com/news/uber-crack-down-users-bad-ratings-refunds" TargetMode="External"/><Relationship Id="rId3" Type="http://schemas.openxmlformats.org/officeDocument/2006/relationships/hyperlink" Target="https://www1.nyc.gov/assets/tlc/downloads/pdf/annual_report_2011.pdf" TargetMode="External"/><Relationship Id="rId21" Type="http://schemas.openxmlformats.org/officeDocument/2006/relationships/hyperlink" Target="https://www.cnet.com/tech/mobile/uber-drivers-are-losing-their-jobs-over-fake-dui-complaints/" TargetMode="External"/><Relationship Id="rId7" Type="http://schemas.openxmlformats.org/officeDocument/2006/relationships/hyperlink" Target="https://www.nyc.gov/assets/operations/downloads/pdf/mmr2024/tlc.pdf" TargetMode="External"/><Relationship Id="rId12" Type="http://schemas.openxmlformats.org/officeDocument/2006/relationships/hyperlink" Target="https://www.uber.com/us/en/drive/driver-app/deactivation-review/" TargetMode="External"/><Relationship Id="rId17" Type="http://schemas.openxmlformats.org/officeDocument/2006/relationships/hyperlink" Target="https://www.uber.com/blog/new-york-appeals/" TargetMode="External"/><Relationship Id="rId25" Type="http://schemas.openxmlformats.org/officeDocument/2006/relationships/hyperlink" Target="https://legistar.council.nyc.gov/LegislationDetail.aspx?ID=6252775&amp;GUID=F6720790-ED39-4F04-9346-0CCD75E2B555" TargetMode="External"/><Relationship Id="rId2" Type="http://schemas.openxmlformats.org/officeDocument/2006/relationships/hyperlink" Target="https://www1.nyc.gov/assets/tlc/downloads/pdf/2018_tlc_factbook.pdf" TargetMode="External"/><Relationship Id="rId16" Type="http://schemas.openxmlformats.org/officeDocument/2006/relationships/hyperlink" Target="https://driversguild.org/benefit/deactivation/" TargetMode="External"/><Relationship Id="rId20" Type="http://schemas.openxmlformats.org/officeDocument/2006/relationships/hyperlink" Target="https://www.fox4news.com/news/uber-crack-down-users-bad-ratings-refunds" TargetMode="External"/><Relationship Id="rId29" Type="http://schemas.openxmlformats.org/officeDocument/2006/relationships/hyperlink" Target="https://legistar.council.nyc.gov/View.ashx?M=F&amp;ID=13357427&amp;GUID=F4E8C99F-EED7-469B-830E-B340D3E2F3AB" TargetMode="External"/><Relationship Id="rId1" Type="http://schemas.openxmlformats.org/officeDocument/2006/relationships/hyperlink" Target="https://www1.nyc.gov/site/tlc/about/about-tlc.page" TargetMode="External"/><Relationship Id="rId6" Type="http://schemas.openxmlformats.org/officeDocument/2006/relationships/hyperlink" Target="https://www.nyc.gov/site/tlc/businesses/high-volume-for-hire-services.page" TargetMode="External"/><Relationship Id="rId11" Type="http://schemas.openxmlformats.org/officeDocument/2006/relationships/hyperlink" Target="https://pmc.ncbi.nlm.nih.gov/articles/PMC10191220/" TargetMode="External"/><Relationship Id="rId24" Type="http://schemas.openxmlformats.org/officeDocument/2006/relationships/hyperlink" Target="https://www.aaldef.org/press-release/aaldef-report-uber-and-lyft-deactivate-nyc-drivers-with-no-notice-no-due-process-and-no/" TargetMode="External"/><Relationship Id="rId5" Type="http://schemas.openxmlformats.org/officeDocument/2006/relationships/hyperlink" Target="https://legistar.council.nyc.gov/LegislationDetail.aspx?ID=3331789&amp;GUID=6647E630-2992-461F-B3E3-F5103DED0653&amp;Options=ID|Text|" TargetMode="External"/><Relationship Id="rId15" Type="http://schemas.openxmlformats.org/officeDocument/2006/relationships/hyperlink" Target="https://help.lyft.com/hc/en-us/all/articles/5354487457-Appealing-permanent-deactivations" TargetMode="External"/><Relationship Id="rId23" Type="http://schemas.openxmlformats.org/officeDocument/2006/relationships/hyperlink" Target="https://www.asianlawcaucus.org/news-resources/guides-reports/fired-by-an-app-report" TargetMode="External"/><Relationship Id="rId28" Type="http://schemas.openxmlformats.org/officeDocument/2006/relationships/hyperlink" Target="https://pmc.ncbi.nlm.nih.gov/articles/PMC10191220/" TargetMode="External"/><Relationship Id="rId10" Type="http://schemas.openxmlformats.org/officeDocument/2006/relationships/hyperlink" Target="https://www.aaldef.org/press-release/aaldef-report-uber-and-lyft-deactivate-nyc-drivers-with-no-notice-no-due-process-and-no/" TargetMode="External"/><Relationship Id="rId19" Type="http://schemas.openxmlformats.org/officeDocument/2006/relationships/hyperlink" Target="https://help.lyft.com/hc/en-us/all/articles/115012926187" TargetMode="External"/><Relationship Id="rId4" Type="http://schemas.openxmlformats.org/officeDocument/2006/relationships/hyperlink" Target="https://legistar.council.nyc.gov/View.ashx?M=F&amp;ID=5872328&amp;GUID=DB0BCBEA-4B02-468F-B948-512FA842D7EE" TargetMode="External"/><Relationship Id="rId9" Type="http://schemas.openxmlformats.org/officeDocument/2006/relationships/hyperlink" Target="https://www.nyc.gov/assets/tlc/downloads/pdf/driver_expense_report.pdf" TargetMode="External"/><Relationship Id="rId14" Type="http://schemas.openxmlformats.org/officeDocument/2006/relationships/hyperlink" Target="https://www.uber.com/blog/new-york-appeals/" TargetMode="External"/><Relationship Id="rId22" Type="http://schemas.openxmlformats.org/officeDocument/2006/relationships/hyperlink" Target="https://driversguild.org/deactivation/" TargetMode="External"/><Relationship Id="rId27" Type="http://schemas.openxmlformats.org/officeDocument/2006/relationships/hyperlink" Target="https://www.cnet.com/tech/mobile/uber-drivers-are-losing-their-jobs-over-fake-dui-complaints/" TargetMode="External"/><Relationship Id="rId30" Type="http://schemas.openxmlformats.org/officeDocument/2006/relationships/hyperlink" Target="https://legistar.council.nyc.gov/View.ashx?M=F&amp;ID=13357427&amp;GUID=F4E8C99F-EED7-469B-830E-B340D3E2F3A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2FA9945B47F1479BC0D15C64C2DF5F" ma:contentTypeVersion="9" ma:contentTypeDescription="Create a new document." ma:contentTypeScope="" ma:versionID="eaed6e780353880300e1e0ea539d3e52">
  <xsd:schema xmlns:xsd="http://www.w3.org/2001/XMLSchema" xmlns:xs="http://www.w3.org/2001/XMLSchema" xmlns:p="http://schemas.microsoft.com/office/2006/metadata/properties" xmlns:ns3="6b88c992-88d6-4258-b078-ce5cb1c5affd" targetNamespace="http://schemas.microsoft.com/office/2006/metadata/properties" ma:root="true" ma:fieldsID="d4762a71894c1ddb7485ecee2c7845ec" ns3:_="">
    <xsd:import namespace="6b88c992-88d6-4258-b078-ce5cb1c5affd"/>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88c992-88d6-4258-b078-ce5cb1c5aff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6b88c992-88d6-4258-b078-ce5cb1c5aff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1FBFA-1A0E-4028-9465-A8F92D27B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88c992-88d6-4258-b078-ce5cb1c5af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B97214-9588-43C9-823B-D49AF888128C}">
  <ds:schemaRefs>
    <ds:schemaRef ds:uri="http://schemas.microsoft.com/office/2006/metadata/properties"/>
    <ds:schemaRef ds:uri="http://schemas.microsoft.com/office/infopath/2007/PartnerControls"/>
    <ds:schemaRef ds:uri="6b88c992-88d6-4258-b078-ce5cb1c5affd"/>
  </ds:schemaRefs>
</ds:datastoreItem>
</file>

<file path=customXml/itemProps3.xml><?xml version="1.0" encoding="utf-8"?>
<ds:datastoreItem xmlns:ds="http://schemas.openxmlformats.org/officeDocument/2006/customXml" ds:itemID="{033C0D85-32F7-42CE-9CC9-85442B50C8C9}">
  <ds:schemaRefs>
    <ds:schemaRef ds:uri="http://schemas.microsoft.com/sharepoint/v3/contenttype/forms"/>
  </ds:schemaRefs>
</ds:datastoreItem>
</file>

<file path=customXml/itemProps4.xml><?xml version="1.0" encoding="utf-8"?>
<ds:datastoreItem xmlns:ds="http://schemas.openxmlformats.org/officeDocument/2006/customXml" ds:itemID="{76ABA45A-014A-4DD0-80ED-274595CF1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10537</Words>
  <Characters>60065</Characters>
  <Application>Microsoft Office Word</Application>
  <DocSecurity>4</DocSecurity>
  <Lines>500</Lines>
  <Paragraphs>140</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70462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Arbelo, Rick</dc:creator>
  <cp:keywords/>
  <dc:description/>
  <cp:lastModifiedBy>Jeffries, Jillian</cp:lastModifiedBy>
  <cp:revision>2</cp:revision>
  <dcterms:created xsi:type="dcterms:W3CDTF">2026-01-28T16:51:00Z</dcterms:created>
  <dcterms:modified xsi:type="dcterms:W3CDTF">2026-01-28T16:51:00Z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0x0101007C2FA9945B47F1479BC0D15C64C2DF5F</vt:lpwstr>
  </property>
</Properties>
</file>