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64038" w14:textId="77777777" w:rsidR="003B76BF" w:rsidRPr="003B76BF" w:rsidRDefault="003B76BF" w:rsidP="003B76BF">
      <w:pPr>
        <w:spacing w:after="0" w:line="240" w:lineRule="auto"/>
        <w:jc w:val="right"/>
        <w:rPr>
          <w:rFonts w:cs="Times New Roman"/>
          <w:sz w:val="22"/>
          <w:u w:val="single"/>
        </w:rPr>
      </w:pPr>
      <w:bookmarkStart w:id="0" w:name="_GoBack"/>
      <w:bookmarkEnd w:id="0"/>
      <w:r w:rsidRPr="003B76BF">
        <w:rPr>
          <w:rFonts w:cs="Times New Roman"/>
          <w:sz w:val="22"/>
          <w:u w:val="single"/>
        </w:rPr>
        <w:t>Public Housing Committee Staff</w:t>
      </w:r>
    </w:p>
    <w:p w14:paraId="5F7A569E" w14:textId="77777777" w:rsidR="003B76BF" w:rsidRPr="003B76BF" w:rsidRDefault="00853BFA" w:rsidP="003B76BF">
      <w:pPr>
        <w:spacing w:after="0" w:line="240" w:lineRule="auto"/>
        <w:jc w:val="right"/>
        <w:rPr>
          <w:rFonts w:cs="Times New Roman"/>
          <w:sz w:val="22"/>
        </w:rPr>
      </w:pPr>
      <w:r>
        <w:rPr>
          <w:rFonts w:cs="Times New Roman"/>
          <w:sz w:val="22"/>
        </w:rPr>
        <w:t>Sierra Townsend</w:t>
      </w:r>
      <w:r w:rsidR="003B76BF" w:rsidRPr="003B76BF">
        <w:rPr>
          <w:rFonts w:cs="Times New Roman"/>
          <w:sz w:val="22"/>
        </w:rPr>
        <w:t xml:space="preserve">, </w:t>
      </w:r>
      <w:r w:rsidR="003B76BF" w:rsidRPr="003B76BF">
        <w:rPr>
          <w:rFonts w:cs="Times New Roman"/>
          <w:i/>
          <w:iCs/>
          <w:sz w:val="22"/>
        </w:rPr>
        <w:t>Counsel</w:t>
      </w:r>
    </w:p>
    <w:p w14:paraId="7359E707" w14:textId="77777777" w:rsidR="003B76BF" w:rsidRPr="003B76BF" w:rsidRDefault="003B76BF" w:rsidP="003B76BF">
      <w:pPr>
        <w:spacing w:after="0" w:line="240" w:lineRule="auto"/>
        <w:jc w:val="right"/>
        <w:rPr>
          <w:rFonts w:cs="Times New Roman"/>
          <w:sz w:val="22"/>
        </w:rPr>
      </w:pPr>
      <w:r w:rsidRPr="003B76BF">
        <w:rPr>
          <w:rFonts w:cs="Times New Roman"/>
          <w:sz w:val="22"/>
        </w:rPr>
        <w:t xml:space="preserve">Jose Conde, </w:t>
      </w:r>
      <w:r w:rsidRPr="003B76BF">
        <w:rPr>
          <w:rFonts w:cs="Times New Roman"/>
          <w:i/>
          <w:sz w:val="22"/>
        </w:rPr>
        <w:t>Senior Policy Analyst</w:t>
      </w:r>
    </w:p>
    <w:p w14:paraId="5B00EC81" w14:textId="77777777" w:rsidR="003B76BF" w:rsidRDefault="00853BFA" w:rsidP="003B76BF">
      <w:pPr>
        <w:spacing w:after="0" w:line="240" w:lineRule="auto"/>
        <w:jc w:val="right"/>
        <w:rPr>
          <w:rFonts w:cs="Times New Roman"/>
          <w:i/>
          <w:iCs/>
          <w:sz w:val="22"/>
        </w:rPr>
      </w:pPr>
      <w:r>
        <w:rPr>
          <w:rFonts w:cs="Times New Roman"/>
          <w:sz w:val="22"/>
        </w:rPr>
        <w:t>Charles Kim</w:t>
      </w:r>
      <w:r w:rsidR="003B76BF" w:rsidRPr="003B76BF">
        <w:rPr>
          <w:rFonts w:cs="Times New Roman"/>
          <w:sz w:val="22"/>
        </w:rPr>
        <w:t xml:space="preserve">, </w:t>
      </w:r>
      <w:r w:rsidR="003B76BF" w:rsidRPr="003B76BF">
        <w:rPr>
          <w:rFonts w:cs="Times New Roman"/>
          <w:i/>
          <w:iCs/>
          <w:sz w:val="22"/>
        </w:rPr>
        <w:t>Policy Analyst</w:t>
      </w:r>
    </w:p>
    <w:p w14:paraId="4D7DFF88" w14:textId="56B80345" w:rsidR="0035751F" w:rsidRDefault="003E4B82" w:rsidP="003B76BF">
      <w:pPr>
        <w:spacing w:after="0" w:line="240" w:lineRule="auto"/>
        <w:jc w:val="right"/>
        <w:rPr>
          <w:rFonts w:cs="Times New Roman"/>
          <w:i/>
          <w:iCs/>
          <w:sz w:val="22"/>
        </w:rPr>
      </w:pPr>
      <w:r>
        <w:rPr>
          <w:rFonts w:cs="Times New Roman"/>
          <w:iCs/>
          <w:sz w:val="22"/>
        </w:rPr>
        <w:t>Daniel Kroop</w:t>
      </w:r>
      <w:r w:rsidR="0035751F" w:rsidRPr="0035751F">
        <w:rPr>
          <w:rFonts w:cs="Times New Roman"/>
          <w:iCs/>
          <w:sz w:val="22"/>
        </w:rPr>
        <w:t>,</w:t>
      </w:r>
      <w:r w:rsidR="0035751F" w:rsidRPr="0035751F">
        <w:rPr>
          <w:rFonts w:cs="Times New Roman"/>
          <w:i/>
          <w:iCs/>
          <w:sz w:val="22"/>
        </w:rPr>
        <w:t xml:space="preserve"> </w:t>
      </w:r>
      <w:r>
        <w:rPr>
          <w:rFonts w:cs="Times New Roman"/>
          <w:i/>
          <w:iCs/>
          <w:sz w:val="22"/>
        </w:rPr>
        <w:t>Assistance Director, Finance</w:t>
      </w:r>
    </w:p>
    <w:p w14:paraId="229B16CF" w14:textId="1E5366F6" w:rsidR="003E4B82" w:rsidRPr="003E4B82" w:rsidRDefault="003E4B82" w:rsidP="003E4B82">
      <w:pPr>
        <w:spacing w:after="0" w:line="240" w:lineRule="auto"/>
        <w:jc w:val="right"/>
        <w:rPr>
          <w:rFonts w:cs="Times New Roman"/>
          <w:sz w:val="22"/>
        </w:rPr>
      </w:pPr>
      <w:r w:rsidRPr="003E4B82">
        <w:rPr>
          <w:rFonts w:cs="Times New Roman"/>
          <w:sz w:val="22"/>
        </w:rPr>
        <w:t>Carla Naran</w:t>
      </w:r>
      <w:r>
        <w:rPr>
          <w:rFonts w:cs="Times New Roman"/>
          <w:sz w:val="22"/>
        </w:rPr>
        <w:t xml:space="preserve">jo, </w:t>
      </w:r>
      <w:r>
        <w:rPr>
          <w:rFonts w:cs="Times New Roman"/>
          <w:i/>
          <w:iCs/>
          <w:sz w:val="22"/>
        </w:rPr>
        <w:t>Financial Analyst</w:t>
      </w:r>
    </w:p>
    <w:p w14:paraId="75C0E91B" w14:textId="77777777" w:rsidR="003B76BF" w:rsidRPr="003B76BF" w:rsidRDefault="00853BFA" w:rsidP="003B76BF">
      <w:pPr>
        <w:spacing w:after="0" w:line="240" w:lineRule="auto"/>
        <w:jc w:val="right"/>
        <w:rPr>
          <w:rFonts w:cs="Times New Roman"/>
          <w:sz w:val="22"/>
        </w:rPr>
      </w:pPr>
      <w:r>
        <w:rPr>
          <w:rFonts w:cs="Times New Roman"/>
          <w:iCs/>
          <w:sz w:val="22"/>
        </w:rPr>
        <w:t xml:space="preserve">Reese Hirota, </w:t>
      </w:r>
      <w:r w:rsidR="000F184D">
        <w:rPr>
          <w:rFonts w:cs="Times New Roman"/>
          <w:i/>
          <w:iCs/>
          <w:sz w:val="22"/>
        </w:rPr>
        <w:t xml:space="preserve">Senior </w:t>
      </w:r>
      <w:r w:rsidRPr="00853BFA">
        <w:rPr>
          <w:rFonts w:cs="Times New Roman"/>
          <w:i/>
          <w:iCs/>
          <w:sz w:val="22"/>
        </w:rPr>
        <w:t>Data Scientist</w:t>
      </w:r>
    </w:p>
    <w:p w14:paraId="04BBB5CF" w14:textId="77777777" w:rsidR="003B76BF" w:rsidRPr="003B76BF" w:rsidRDefault="003B76BF" w:rsidP="003B76BF">
      <w:pPr>
        <w:spacing w:after="0" w:line="240" w:lineRule="auto"/>
        <w:jc w:val="right"/>
        <w:rPr>
          <w:rFonts w:cs="Times New Roman"/>
          <w:i/>
          <w:sz w:val="22"/>
        </w:rPr>
      </w:pPr>
      <w:r w:rsidRPr="003B76BF">
        <w:rPr>
          <w:rFonts w:cs="Times New Roman"/>
          <w:sz w:val="22"/>
        </w:rPr>
        <w:t xml:space="preserve">James Wu, </w:t>
      </w:r>
      <w:r w:rsidRPr="003B76BF">
        <w:rPr>
          <w:rFonts w:cs="Times New Roman"/>
          <w:i/>
          <w:sz w:val="22"/>
        </w:rPr>
        <w:t>Data Scientist</w:t>
      </w:r>
    </w:p>
    <w:p w14:paraId="303A8990" w14:textId="77777777" w:rsidR="003B76BF" w:rsidRPr="003B76BF" w:rsidRDefault="003B76BF" w:rsidP="003B76BF">
      <w:pPr>
        <w:tabs>
          <w:tab w:val="left" w:pos="0"/>
        </w:tabs>
        <w:rPr>
          <w:rFonts w:cs="Times New Roman"/>
          <w:sz w:val="22"/>
          <w:highlight w:val="yellow"/>
          <w:u w:val="single"/>
        </w:rPr>
      </w:pPr>
    </w:p>
    <w:p w14:paraId="50BC181A" w14:textId="77777777" w:rsidR="003B76BF" w:rsidRPr="003B76BF" w:rsidRDefault="003B76BF" w:rsidP="003B76BF">
      <w:pPr>
        <w:tabs>
          <w:tab w:val="left" w:pos="0"/>
        </w:tabs>
        <w:rPr>
          <w:rFonts w:cs="Times New Roman"/>
          <w:sz w:val="22"/>
          <w:highlight w:val="yellow"/>
          <w:u w:val="single"/>
        </w:rPr>
      </w:pPr>
    </w:p>
    <w:p w14:paraId="5AF57F86" w14:textId="77777777" w:rsidR="003B76BF" w:rsidRPr="003B76BF" w:rsidRDefault="003B76BF" w:rsidP="003B76BF">
      <w:pPr>
        <w:tabs>
          <w:tab w:val="left" w:pos="0"/>
        </w:tabs>
        <w:rPr>
          <w:rFonts w:cs="Times New Roman"/>
          <w:i/>
          <w:sz w:val="22"/>
          <w:highlight w:val="yellow"/>
        </w:rPr>
      </w:pPr>
    </w:p>
    <w:p w14:paraId="172A2EF8" w14:textId="77777777" w:rsidR="003B76BF" w:rsidRPr="003B76BF" w:rsidRDefault="003B76BF" w:rsidP="003B76BF">
      <w:pPr>
        <w:tabs>
          <w:tab w:val="left" w:pos="0"/>
        </w:tabs>
        <w:rPr>
          <w:rFonts w:cs="Times New Roman"/>
          <w:sz w:val="22"/>
          <w:highlight w:val="yellow"/>
        </w:rPr>
      </w:pPr>
      <w:r w:rsidRPr="003B76BF">
        <w:rPr>
          <w:rFonts w:cs="Times New Roman"/>
          <w:noProof/>
          <w:sz w:val="22"/>
          <w:highlight w:val="yellow"/>
        </w:rPr>
        <w:drawing>
          <wp:anchor distT="0" distB="0" distL="114300" distR="114300" simplePos="0" relativeHeight="251659264" behindDoc="0" locked="0" layoutInCell="1" allowOverlap="1" wp14:anchorId="06D6EC18" wp14:editId="7E2C17A0">
            <wp:simplePos x="0" y="0"/>
            <wp:positionH relativeFrom="margin">
              <wp:align>center</wp:align>
            </wp:positionH>
            <wp:positionV relativeFrom="paragraph">
              <wp:posOffset>10160</wp:posOffset>
            </wp:positionV>
            <wp:extent cx="1168400" cy="10941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pic:spPr>
                </pic:pic>
              </a:graphicData>
            </a:graphic>
            <wp14:sizeRelH relativeFrom="page">
              <wp14:pctWidth>0</wp14:pctWidth>
            </wp14:sizeRelH>
            <wp14:sizeRelV relativeFrom="page">
              <wp14:pctHeight>0</wp14:pctHeight>
            </wp14:sizeRelV>
          </wp:anchor>
        </w:drawing>
      </w:r>
    </w:p>
    <w:p w14:paraId="48589A2A" w14:textId="77777777" w:rsidR="003B76BF" w:rsidRPr="003B76BF" w:rsidRDefault="003B76BF" w:rsidP="003B76BF">
      <w:pPr>
        <w:tabs>
          <w:tab w:val="left" w:pos="7517"/>
        </w:tabs>
        <w:spacing w:after="0"/>
        <w:jc w:val="center"/>
        <w:rPr>
          <w:rFonts w:cs="Times New Roman"/>
          <w:b/>
          <w:bCs/>
          <w:sz w:val="22"/>
          <w:highlight w:val="yellow"/>
        </w:rPr>
      </w:pPr>
      <w:r w:rsidRPr="003B76BF">
        <w:rPr>
          <w:rFonts w:cs="Times New Roman"/>
          <w:b/>
          <w:sz w:val="22"/>
          <w:highlight w:val="yellow"/>
        </w:rPr>
        <w:br w:type="textWrapping" w:clear="all"/>
      </w:r>
    </w:p>
    <w:p w14:paraId="0A1F0E55" w14:textId="77777777" w:rsidR="003B76BF" w:rsidRPr="003B76BF" w:rsidRDefault="003B76BF" w:rsidP="003B76BF">
      <w:pPr>
        <w:tabs>
          <w:tab w:val="left" w:pos="7517"/>
        </w:tabs>
        <w:spacing w:after="0"/>
        <w:jc w:val="center"/>
        <w:rPr>
          <w:rFonts w:cs="Times New Roman"/>
          <w:b/>
          <w:sz w:val="22"/>
        </w:rPr>
      </w:pPr>
      <w:r w:rsidRPr="003B76BF">
        <w:rPr>
          <w:rFonts w:cs="Times New Roman"/>
          <w:b/>
          <w:bCs/>
          <w:sz w:val="22"/>
        </w:rPr>
        <w:t>THE NEW YORK CITY COUNCIL</w:t>
      </w:r>
    </w:p>
    <w:p w14:paraId="64759AE2" w14:textId="77777777" w:rsidR="003B76BF" w:rsidRPr="003B76BF" w:rsidRDefault="003B76BF" w:rsidP="003B76BF">
      <w:pPr>
        <w:spacing w:after="0"/>
        <w:rPr>
          <w:rFonts w:cs="Times New Roman"/>
          <w:sz w:val="22"/>
        </w:rPr>
      </w:pPr>
    </w:p>
    <w:p w14:paraId="0EC3BF4C" w14:textId="77777777" w:rsidR="003B76BF" w:rsidRPr="003B76BF" w:rsidRDefault="003B76BF" w:rsidP="003B76BF">
      <w:pPr>
        <w:keepNext/>
        <w:spacing w:after="0" w:line="240" w:lineRule="auto"/>
        <w:jc w:val="center"/>
        <w:outlineLvl w:val="0"/>
        <w:rPr>
          <w:rFonts w:eastAsia="Times New Roman" w:cs="Times New Roman"/>
          <w:b/>
          <w:bCs/>
          <w:caps/>
          <w:szCs w:val="24"/>
          <w:u w:val="single"/>
        </w:rPr>
      </w:pPr>
      <w:r w:rsidRPr="003B76BF">
        <w:rPr>
          <w:rFonts w:eastAsia="Times New Roman" w:cs="Times New Roman"/>
          <w:b/>
          <w:bCs/>
          <w:caps/>
          <w:szCs w:val="24"/>
          <w:u w:val="single"/>
        </w:rPr>
        <w:t>BRIEFING PAPER OF THE INFRASTRUCTURE DIVISION</w:t>
      </w:r>
    </w:p>
    <w:p w14:paraId="068E8F5E" w14:textId="77777777" w:rsidR="003B76BF" w:rsidRPr="003B76BF" w:rsidRDefault="003B76BF" w:rsidP="003B76BF">
      <w:pPr>
        <w:spacing w:after="0"/>
        <w:jc w:val="center"/>
        <w:rPr>
          <w:rFonts w:cs="Times New Roman"/>
          <w:i/>
          <w:sz w:val="22"/>
        </w:rPr>
      </w:pPr>
      <w:r w:rsidRPr="003B76BF">
        <w:rPr>
          <w:rFonts w:cs="Times New Roman"/>
          <w:sz w:val="22"/>
        </w:rPr>
        <w:t>Andrea Vazquez,</w:t>
      </w:r>
      <w:r w:rsidRPr="003B76BF">
        <w:rPr>
          <w:rFonts w:cs="Times New Roman"/>
          <w:i/>
          <w:sz w:val="22"/>
        </w:rPr>
        <w:t xml:space="preserve"> Legislative Director </w:t>
      </w:r>
    </w:p>
    <w:p w14:paraId="261ECAF0" w14:textId="77777777" w:rsidR="003B76BF" w:rsidRPr="003B76BF" w:rsidRDefault="003B76BF" w:rsidP="003B76BF">
      <w:pPr>
        <w:spacing w:after="0"/>
        <w:jc w:val="center"/>
        <w:rPr>
          <w:rFonts w:cs="Times New Roman"/>
          <w:sz w:val="22"/>
        </w:rPr>
      </w:pPr>
      <w:r w:rsidRPr="003B76BF">
        <w:rPr>
          <w:rFonts w:cs="Times New Roman"/>
          <w:sz w:val="22"/>
        </w:rPr>
        <w:t xml:space="preserve">Bradley Reid, </w:t>
      </w:r>
      <w:r w:rsidRPr="003B76BF">
        <w:rPr>
          <w:rFonts w:cs="Times New Roman"/>
          <w:i/>
          <w:sz w:val="22"/>
        </w:rPr>
        <w:t>Deputy Director, Infrastructure</w:t>
      </w:r>
    </w:p>
    <w:p w14:paraId="065C1F19" w14:textId="77777777" w:rsidR="003B76BF" w:rsidRPr="003B76BF" w:rsidRDefault="003B76BF" w:rsidP="003B76BF">
      <w:pPr>
        <w:spacing w:after="0"/>
        <w:rPr>
          <w:rFonts w:cs="Times New Roman"/>
          <w:b/>
          <w:sz w:val="22"/>
          <w:u w:val="single"/>
        </w:rPr>
      </w:pPr>
    </w:p>
    <w:p w14:paraId="1721C79E" w14:textId="77777777" w:rsidR="003B76BF" w:rsidRPr="003B76BF" w:rsidRDefault="003B76BF" w:rsidP="003B76BF">
      <w:pPr>
        <w:spacing w:after="0"/>
        <w:jc w:val="center"/>
        <w:rPr>
          <w:rFonts w:cs="Times New Roman"/>
          <w:b/>
          <w:sz w:val="22"/>
          <w:u w:val="single"/>
        </w:rPr>
      </w:pPr>
      <w:r w:rsidRPr="003B76BF">
        <w:rPr>
          <w:rFonts w:cs="Times New Roman"/>
          <w:b/>
          <w:sz w:val="22"/>
          <w:u w:val="single"/>
        </w:rPr>
        <w:t xml:space="preserve">COMMITTEE ON PUBLIC HOUSING </w:t>
      </w:r>
    </w:p>
    <w:p w14:paraId="05F3C175" w14:textId="77777777" w:rsidR="003B76BF" w:rsidRPr="003B76BF" w:rsidRDefault="003B76BF" w:rsidP="00D53C4A">
      <w:pPr>
        <w:spacing w:after="0"/>
        <w:jc w:val="center"/>
        <w:rPr>
          <w:rFonts w:cs="Times New Roman"/>
          <w:i/>
          <w:sz w:val="22"/>
        </w:rPr>
      </w:pPr>
      <w:r w:rsidRPr="003B76BF">
        <w:rPr>
          <w:rFonts w:cs="Times New Roman"/>
          <w:sz w:val="22"/>
        </w:rPr>
        <w:t xml:space="preserve">Hon. </w:t>
      </w:r>
      <w:r w:rsidR="00C1779F">
        <w:rPr>
          <w:rFonts w:cs="Times New Roman"/>
          <w:sz w:val="22"/>
        </w:rPr>
        <w:t>Chris Banks</w:t>
      </w:r>
      <w:r w:rsidRPr="003B76BF">
        <w:rPr>
          <w:rFonts w:cs="Times New Roman"/>
          <w:sz w:val="22"/>
        </w:rPr>
        <w:t>,</w:t>
      </w:r>
      <w:r w:rsidRPr="003B76BF">
        <w:rPr>
          <w:rFonts w:cs="Times New Roman"/>
          <w:i/>
          <w:sz w:val="22"/>
        </w:rPr>
        <w:t xml:space="preserve"> Chair</w:t>
      </w:r>
    </w:p>
    <w:p w14:paraId="73515CCC" w14:textId="77777777" w:rsidR="003B76BF" w:rsidRPr="003B76BF" w:rsidRDefault="003B76BF" w:rsidP="003B76BF">
      <w:pPr>
        <w:suppressAutoHyphens/>
        <w:spacing w:after="0" w:line="240" w:lineRule="auto"/>
        <w:jc w:val="center"/>
        <w:rPr>
          <w:rFonts w:eastAsia="Calibri" w:cs="Times New Roman"/>
          <w:b/>
          <w:szCs w:val="24"/>
          <w:u w:val="single"/>
          <w:lang w:eastAsia="zh-CN"/>
        </w:rPr>
      </w:pPr>
    </w:p>
    <w:p w14:paraId="13620043" w14:textId="6796751E" w:rsidR="003B76BF" w:rsidRPr="003B76BF" w:rsidRDefault="003E4B82" w:rsidP="003B76BF">
      <w:pPr>
        <w:spacing w:after="0"/>
        <w:jc w:val="center"/>
        <w:rPr>
          <w:rFonts w:cs="Times New Roman"/>
          <w:szCs w:val="24"/>
        </w:rPr>
      </w:pPr>
      <w:r>
        <w:rPr>
          <w:rFonts w:eastAsia="Times New Roman" w:cs="Times New Roman"/>
          <w:b/>
          <w:bCs/>
          <w:szCs w:val="24"/>
        </w:rPr>
        <w:t>October 29</w:t>
      </w:r>
      <w:r w:rsidR="00C1779F">
        <w:rPr>
          <w:rFonts w:eastAsia="Times New Roman" w:cs="Times New Roman"/>
          <w:b/>
          <w:bCs/>
          <w:szCs w:val="24"/>
        </w:rPr>
        <w:t>, 2025</w:t>
      </w:r>
    </w:p>
    <w:p w14:paraId="31B0D173" w14:textId="77777777" w:rsidR="003B76BF" w:rsidRPr="003B76BF" w:rsidRDefault="003B76BF" w:rsidP="003B76BF">
      <w:pPr>
        <w:widowControl w:val="0"/>
        <w:autoSpaceDE w:val="0"/>
        <w:autoSpaceDN w:val="0"/>
        <w:adjustRightInd w:val="0"/>
        <w:spacing w:after="0"/>
        <w:jc w:val="both"/>
        <w:rPr>
          <w:rFonts w:cs="Times New Roman"/>
          <w:b/>
          <w:sz w:val="22"/>
          <w:u w:val="single"/>
        </w:rPr>
      </w:pPr>
    </w:p>
    <w:p w14:paraId="65BC4253" w14:textId="77777777" w:rsidR="000E7099" w:rsidRDefault="000E7099" w:rsidP="000E7099">
      <w:pPr>
        <w:suppressLineNumbers/>
        <w:spacing w:after="0" w:line="240" w:lineRule="auto"/>
        <w:ind w:left="4320" w:hanging="4320"/>
        <w:jc w:val="both"/>
        <w:rPr>
          <w:rFonts w:eastAsia="Calibri" w:cs="Times New Roman"/>
          <w:b/>
          <w:iCs/>
          <w:color w:val="000000"/>
          <w:szCs w:val="24"/>
          <w:highlight w:val="yellow"/>
          <w:u w:val="single"/>
          <w:lang w:eastAsia="zh-CN"/>
        </w:rPr>
      </w:pPr>
    </w:p>
    <w:p w14:paraId="02494DD0" w14:textId="59DB9B9E" w:rsidR="000E7099" w:rsidRDefault="000E7099" w:rsidP="000E7099">
      <w:pPr>
        <w:suppressLineNumbers/>
        <w:spacing w:after="0" w:line="240" w:lineRule="auto"/>
        <w:ind w:left="4320" w:hanging="4320"/>
        <w:jc w:val="both"/>
        <w:rPr>
          <w:color w:val="000000"/>
          <w:shd w:val="clear" w:color="auto" w:fill="FFFFFF"/>
        </w:rPr>
      </w:pPr>
      <w:r w:rsidRPr="004559D2">
        <w:rPr>
          <w:rFonts w:ascii="Times New Roman Bold" w:eastAsia="Times New Roman" w:hAnsi="Times New Roman Bold" w:cs="Times New Roman"/>
          <w:bCs/>
          <w:smallCaps/>
          <w:szCs w:val="20"/>
          <w:u w:val="single"/>
        </w:rPr>
        <w:t xml:space="preserve">Int. No. </w:t>
      </w:r>
      <w:r w:rsidR="001C7E5A">
        <w:rPr>
          <w:rFonts w:ascii="Times New Roman Bold" w:eastAsia="Times New Roman" w:hAnsi="Times New Roman Bold" w:cs="Times New Roman"/>
          <w:bCs/>
          <w:smallCaps/>
          <w:szCs w:val="20"/>
          <w:u w:val="single"/>
        </w:rPr>
        <w:t>0111</w:t>
      </w:r>
      <w:r w:rsidR="000C314D">
        <w:rPr>
          <w:rFonts w:ascii="Times New Roman Bold" w:eastAsia="Times New Roman" w:hAnsi="Times New Roman Bold" w:cs="Times New Roman"/>
          <w:bCs/>
          <w:smallCaps/>
          <w:szCs w:val="20"/>
          <w:u w:val="single"/>
        </w:rPr>
        <w:t>-</w:t>
      </w:r>
      <w:r w:rsidR="003E4B82">
        <w:rPr>
          <w:rFonts w:ascii="Times New Roman Bold" w:eastAsia="Times New Roman" w:hAnsi="Times New Roman Bold" w:cs="Times New Roman"/>
          <w:bCs/>
          <w:smallCaps/>
          <w:szCs w:val="20"/>
          <w:u w:val="single"/>
        </w:rPr>
        <w:t>A</w:t>
      </w:r>
      <w:r w:rsidR="000C314D">
        <w:rPr>
          <w:rFonts w:ascii="Times New Roman Bold" w:eastAsia="Times New Roman" w:hAnsi="Times New Roman Bold" w:cs="Times New Roman"/>
          <w:bCs/>
          <w:smallCaps/>
          <w:szCs w:val="20"/>
          <w:u w:val="single"/>
        </w:rPr>
        <w:t>:</w:t>
      </w:r>
      <w:r>
        <w:rPr>
          <w:rFonts w:ascii="Times New Roman Bold" w:eastAsia="Times New Roman" w:hAnsi="Times New Roman Bold" w:cs="Times New Roman"/>
          <w:bCs/>
          <w:smallCaps/>
          <w:szCs w:val="20"/>
        </w:rPr>
        <w:tab/>
      </w:r>
      <w:r>
        <w:rPr>
          <w:color w:val="000000"/>
          <w:shd w:val="clear" w:color="auto" w:fill="FFFFFF"/>
        </w:rPr>
        <w:t xml:space="preserve">By Council Members </w:t>
      </w:r>
      <w:r w:rsidR="000A6E32" w:rsidRPr="000A6E32">
        <w:rPr>
          <w:color w:val="000000"/>
          <w:shd w:val="clear" w:color="auto" w:fill="FFFFFF"/>
        </w:rPr>
        <w:tab/>
        <w:t xml:space="preserve">Avilés, Feliz, Louis, Restler, Won, Hanif, Hudson, Brewer, Ossé, Farías, Ayala, Nurse, De La Rosa, Sanchez, </w:t>
      </w:r>
      <w:r w:rsidR="000A6E32">
        <w:rPr>
          <w:color w:val="000000"/>
          <w:shd w:val="clear" w:color="auto" w:fill="FFFFFF"/>
        </w:rPr>
        <w:t>Powers</w:t>
      </w:r>
      <w:r w:rsidR="000A6E32" w:rsidRPr="000A6E32">
        <w:rPr>
          <w:color w:val="000000"/>
          <w:shd w:val="clear" w:color="auto" w:fill="FFFFFF"/>
        </w:rPr>
        <w:t xml:space="preserve">, Narcisse, Schulman, Bottcher, Krishnan, Gutiérrez, Marte, Ung, Abreu, Cabán, Gennaro, </w:t>
      </w:r>
      <w:r w:rsidR="000A6E32">
        <w:rPr>
          <w:color w:val="000000"/>
          <w:shd w:val="clear" w:color="auto" w:fill="FFFFFF"/>
        </w:rPr>
        <w:t>Rivera</w:t>
      </w:r>
      <w:r w:rsidR="000A6E32" w:rsidRPr="000A6E32">
        <w:rPr>
          <w:color w:val="000000"/>
          <w:shd w:val="clear" w:color="auto" w:fill="FFFFFF"/>
        </w:rPr>
        <w:t>, Menin, Brannan</w:t>
      </w:r>
      <w:r w:rsidR="003E4B82">
        <w:rPr>
          <w:color w:val="000000"/>
          <w:shd w:val="clear" w:color="auto" w:fill="FFFFFF"/>
        </w:rPr>
        <w:t xml:space="preserve">, </w:t>
      </w:r>
      <w:r w:rsidR="000A6E32" w:rsidRPr="000A6E32">
        <w:rPr>
          <w:color w:val="000000"/>
          <w:shd w:val="clear" w:color="auto" w:fill="FFFFFF"/>
        </w:rPr>
        <w:t>Salaam</w:t>
      </w:r>
      <w:r w:rsidR="00F77378">
        <w:rPr>
          <w:color w:val="000000"/>
          <w:shd w:val="clear" w:color="auto" w:fill="FFFFFF"/>
        </w:rPr>
        <w:t>, Banks</w:t>
      </w:r>
      <w:r w:rsidR="003E4B82">
        <w:rPr>
          <w:color w:val="000000"/>
          <w:shd w:val="clear" w:color="auto" w:fill="FFFFFF"/>
        </w:rPr>
        <w:t xml:space="preserve"> and the Public Advocate (Mr. Williams)</w:t>
      </w:r>
    </w:p>
    <w:p w14:paraId="513AC801" w14:textId="77777777" w:rsidR="000E7099" w:rsidRDefault="000E7099" w:rsidP="000E7099">
      <w:pPr>
        <w:suppressLineNumbers/>
        <w:spacing w:after="0" w:line="240" w:lineRule="auto"/>
        <w:ind w:left="4320" w:hanging="4320"/>
        <w:jc w:val="both"/>
        <w:rPr>
          <w:rFonts w:ascii="Times New Roman Bold" w:eastAsia="Times New Roman" w:hAnsi="Times New Roman Bold" w:cs="Times New Roman"/>
          <w:bCs/>
          <w:smallCaps/>
          <w:szCs w:val="20"/>
        </w:rPr>
      </w:pPr>
    </w:p>
    <w:p w14:paraId="5717A4FB" w14:textId="0A23E644" w:rsidR="000E7099" w:rsidRDefault="000E7099" w:rsidP="000E7099">
      <w:pPr>
        <w:suppressLineNumbers/>
        <w:spacing w:after="0" w:line="240" w:lineRule="auto"/>
        <w:ind w:left="4320" w:hanging="4320"/>
        <w:jc w:val="both"/>
        <w:rPr>
          <w:color w:val="000000"/>
          <w:shd w:val="clear" w:color="auto" w:fill="FFFFFF"/>
        </w:rPr>
      </w:pPr>
      <w:r w:rsidRPr="004559D2">
        <w:rPr>
          <w:rFonts w:ascii="Times New Roman Bold" w:eastAsia="Times New Roman" w:hAnsi="Times New Roman Bold" w:cs="Times New Roman"/>
          <w:bCs/>
          <w:smallCaps/>
          <w:szCs w:val="20"/>
          <w:u w:val="single"/>
        </w:rPr>
        <w:t>Title:</w:t>
      </w:r>
      <w:r>
        <w:rPr>
          <w:rFonts w:ascii="Times New Roman Bold" w:eastAsia="Times New Roman" w:hAnsi="Times New Roman Bold" w:cs="Times New Roman"/>
          <w:bCs/>
          <w:smallCaps/>
          <w:szCs w:val="20"/>
        </w:rPr>
        <w:tab/>
      </w:r>
      <w:r w:rsidR="003D4702" w:rsidRPr="003D4702">
        <w:rPr>
          <w:color w:val="000000"/>
          <w:shd w:val="clear" w:color="auto" w:fill="FFFFFF"/>
        </w:rPr>
        <w:t xml:space="preserve">A Local Law to amend the administrative code of the city of New York, </w:t>
      </w:r>
      <w:r w:rsidR="003E4B82" w:rsidRPr="00BF7E3C">
        <w:t>in relation to reporting on vacant New York city housing authority dwelling units</w:t>
      </w:r>
    </w:p>
    <w:p w14:paraId="41212120" w14:textId="77777777" w:rsidR="000E7099" w:rsidRDefault="000E7099" w:rsidP="000E7099">
      <w:pPr>
        <w:suppressLineNumbers/>
        <w:spacing w:after="0" w:line="240" w:lineRule="auto"/>
        <w:ind w:left="4320" w:hanging="4320"/>
        <w:jc w:val="both"/>
        <w:rPr>
          <w:color w:val="000000"/>
          <w:shd w:val="clear" w:color="auto" w:fill="FFFFFF"/>
        </w:rPr>
      </w:pPr>
    </w:p>
    <w:p w14:paraId="2F00B0B4" w14:textId="075DDACC" w:rsidR="000E7099" w:rsidRPr="00B15F42" w:rsidRDefault="000E7099" w:rsidP="000E7099">
      <w:pPr>
        <w:suppressLineNumbers/>
        <w:spacing w:after="0" w:line="240" w:lineRule="auto"/>
        <w:ind w:left="4320" w:hanging="4320"/>
        <w:jc w:val="both"/>
        <w:rPr>
          <w:rFonts w:ascii="Times New Roman Bold" w:eastAsia="Times New Roman" w:hAnsi="Times New Roman Bold" w:cs="Times New Roman"/>
          <w:bCs/>
          <w:smallCaps/>
          <w:szCs w:val="20"/>
        </w:rPr>
      </w:pPr>
      <w:r w:rsidRPr="004559D2">
        <w:rPr>
          <w:rFonts w:ascii="Times New Roman Bold" w:eastAsia="Times New Roman" w:hAnsi="Times New Roman Bold" w:cs="Times New Roman"/>
          <w:bCs/>
          <w:smallCaps/>
          <w:szCs w:val="20"/>
          <w:u w:val="single"/>
        </w:rPr>
        <w:t>Administrative Code:</w:t>
      </w:r>
      <w:r>
        <w:rPr>
          <w:rFonts w:ascii="Times New Roman Bold" w:eastAsia="Times New Roman" w:hAnsi="Times New Roman Bold" w:cs="Times New Roman"/>
          <w:bCs/>
          <w:smallCaps/>
          <w:szCs w:val="20"/>
        </w:rPr>
        <w:tab/>
      </w:r>
      <w:r w:rsidR="007F1554">
        <w:rPr>
          <w:szCs w:val="24"/>
        </w:rPr>
        <w:t xml:space="preserve">Adds </w:t>
      </w:r>
      <w:r w:rsidR="00DA6A96">
        <w:rPr>
          <w:szCs w:val="24"/>
        </w:rPr>
        <w:t xml:space="preserve">new </w:t>
      </w:r>
      <w:r w:rsidR="00F77378">
        <w:rPr>
          <w:szCs w:val="24"/>
        </w:rPr>
        <w:t>section 3-154</w:t>
      </w:r>
    </w:p>
    <w:p w14:paraId="6742918E" w14:textId="097A501C" w:rsidR="000E7099" w:rsidRPr="00BC19FE" w:rsidRDefault="000E7099" w:rsidP="003E4B82">
      <w:pPr>
        <w:suppressLineNumbers/>
        <w:spacing w:after="0" w:line="240" w:lineRule="auto"/>
        <w:jc w:val="both"/>
        <w:rPr>
          <w:rFonts w:eastAsia="Times New Roman" w:cs="Times New Roman"/>
          <w:szCs w:val="24"/>
        </w:rPr>
      </w:pPr>
      <w:r w:rsidRPr="00BC19FE">
        <w:rPr>
          <w:rFonts w:eastAsia="Times New Roman" w:cs="Times New Roman"/>
          <w:szCs w:val="24"/>
        </w:rPr>
        <w:t xml:space="preserve"> </w:t>
      </w:r>
    </w:p>
    <w:p w14:paraId="7FD6E6D9" w14:textId="77777777" w:rsidR="003B76BF" w:rsidRPr="003B76BF" w:rsidRDefault="003B76BF" w:rsidP="003B76BF">
      <w:pPr>
        <w:suppressAutoHyphens/>
        <w:spacing w:after="0" w:line="480" w:lineRule="auto"/>
        <w:jc w:val="both"/>
        <w:rPr>
          <w:rFonts w:eastAsia="Calibri" w:cs="Times New Roman"/>
          <w:b/>
          <w:iCs/>
          <w:color w:val="000000"/>
          <w:szCs w:val="24"/>
          <w:highlight w:val="yellow"/>
          <w:u w:val="single"/>
          <w:lang w:eastAsia="zh-CN"/>
        </w:rPr>
      </w:pPr>
    </w:p>
    <w:p w14:paraId="7263131B" w14:textId="77777777" w:rsidR="00AF7D86" w:rsidRPr="001E47A7" w:rsidRDefault="00AF7D86" w:rsidP="00745536">
      <w:pPr>
        <w:pStyle w:val="ListParagraph"/>
        <w:numPr>
          <w:ilvl w:val="0"/>
          <w:numId w:val="2"/>
        </w:numPr>
        <w:spacing w:after="0" w:line="480" w:lineRule="auto"/>
        <w:jc w:val="both"/>
        <w:rPr>
          <w:rFonts w:ascii="Times New Roman" w:hAnsi="Times New Roman"/>
          <w:b/>
          <w:bCs/>
          <w:sz w:val="24"/>
          <w:szCs w:val="24"/>
        </w:rPr>
      </w:pPr>
      <w:r>
        <w:rPr>
          <w:rFonts w:ascii="Times New Roman" w:hAnsi="Times New Roman"/>
          <w:b/>
          <w:bCs/>
          <w:sz w:val="24"/>
          <w:szCs w:val="24"/>
        </w:rPr>
        <w:lastRenderedPageBreak/>
        <w:t>INTRODUCTION</w:t>
      </w:r>
    </w:p>
    <w:p w14:paraId="5DE0F1D0" w14:textId="1F0C038C" w:rsidR="003B76BF" w:rsidRPr="003B76BF" w:rsidRDefault="003B76BF" w:rsidP="005C1DB7">
      <w:pPr>
        <w:suppressAutoHyphens/>
        <w:spacing w:after="0" w:line="480" w:lineRule="auto"/>
        <w:ind w:firstLine="720"/>
        <w:jc w:val="both"/>
        <w:rPr>
          <w:rFonts w:eastAsia="Calibri" w:cs="Times New Roman"/>
          <w:color w:val="000000"/>
          <w:szCs w:val="24"/>
          <w:lang w:eastAsia="zh-CN"/>
        </w:rPr>
      </w:pPr>
      <w:r w:rsidRPr="003B76BF">
        <w:rPr>
          <w:rFonts w:eastAsia="Calibri" w:cs="Times New Roman"/>
          <w:color w:val="000000"/>
          <w:szCs w:val="24"/>
          <w:lang w:eastAsia="zh-CN"/>
        </w:rPr>
        <w:t xml:space="preserve">On </w:t>
      </w:r>
      <w:r w:rsidR="0099421D">
        <w:rPr>
          <w:rFonts w:eastAsia="Calibri" w:cs="Times New Roman"/>
          <w:color w:val="000000"/>
          <w:szCs w:val="24"/>
          <w:lang w:eastAsia="zh-CN"/>
        </w:rPr>
        <w:t>October 29</w:t>
      </w:r>
      <w:r w:rsidR="008E01A4">
        <w:rPr>
          <w:rFonts w:eastAsia="Calibri" w:cs="Times New Roman"/>
          <w:color w:val="000000"/>
          <w:szCs w:val="24"/>
          <w:lang w:eastAsia="zh-CN"/>
        </w:rPr>
        <w:t>, 2025</w:t>
      </w:r>
      <w:r w:rsidRPr="003B76BF">
        <w:rPr>
          <w:rFonts w:eastAsia="Calibri" w:cs="Times New Roman"/>
          <w:color w:val="000000"/>
          <w:szCs w:val="24"/>
          <w:lang w:eastAsia="zh-CN"/>
        </w:rPr>
        <w:t xml:space="preserve">, the Committee on Public Housing, chaired by Council Member </w:t>
      </w:r>
      <w:r w:rsidR="00BD2F50">
        <w:rPr>
          <w:rFonts w:eastAsia="Calibri" w:cs="Times New Roman"/>
          <w:color w:val="000000"/>
          <w:szCs w:val="24"/>
          <w:lang w:eastAsia="zh-CN"/>
        </w:rPr>
        <w:t>Chris Banks</w:t>
      </w:r>
      <w:r w:rsidRPr="003B76BF">
        <w:rPr>
          <w:rFonts w:eastAsia="Calibri" w:cs="Times New Roman"/>
          <w:color w:val="000000"/>
          <w:szCs w:val="24"/>
          <w:lang w:eastAsia="zh-CN"/>
        </w:rPr>
        <w:t xml:space="preserve">, </w:t>
      </w:r>
      <w:r w:rsidR="00E70DFB">
        <w:rPr>
          <w:rFonts w:eastAsia="Calibri" w:cs="Times New Roman"/>
          <w:color w:val="000000"/>
          <w:szCs w:val="24"/>
          <w:lang w:eastAsia="zh-CN"/>
        </w:rPr>
        <w:t>hel</w:t>
      </w:r>
      <w:r w:rsidR="0011219D">
        <w:rPr>
          <w:rFonts w:eastAsia="Calibri" w:cs="Times New Roman"/>
          <w:color w:val="000000"/>
          <w:szCs w:val="24"/>
          <w:lang w:eastAsia="zh-CN"/>
        </w:rPr>
        <w:t>d</w:t>
      </w:r>
      <w:r w:rsidRPr="003B76BF">
        <w:rPr>
          <w:rFonts w:eastAsia="Calibri" w:cs="Times New Roman"/>
          <w:color w:val="000000"/>
          <w:szCs w:val="24"/>
          <w:lang w:eastAsia="zh-CN"/>
        </w:rPr>
        <w:t xml:space="preserve"> a</w:t>
      </w:r>
      <w:r w:rsidR="0099421D">
        <w:rPr>
          <w:rFonts w:eastAsia="Calibri" w:cs="Times New Roman"/>
          <w:color w:val="000000"/>
          <w:szCs w:val="24"/>
          <w:lang w:eastAsia="zh-CN"/>
        </w:rPr>
        <w:t xml:space="preserve"> hearing to vote on Int. No. 111-A, sponsored by Council Member</w:t>
      </w:r>
      <w:r w:rsidR="004D1DC2">
        <w:rPr>
          <w:rFonts w:eastAsia="Calibri" w:cs="Times New Roman"/>
          <w:color w:val="000000"/>
          <w:szCs w:val="24"/>
          <w:lang w:eastAsia="zh-CN"/>
        </w:rPr>
        <w:t xml:space="preserve"> Alexa Avilés, in relation to </w:t>
      </w:r>
      <w:r w:rsidR="004D1DC2" w:rsidRPr="003D4702">
        <w:rPr>
          <w:color w:val="000000"/>
          <w:shd w:val="clear" w:color="auto" w:fill="FFFFFF"/>
        </w:rPr>
        <w:t xml:space="preserve">reporting on vacant </w:t>
      </w:r>
      <w:r w:rsidR="0099421D">
        <w:rPr>
          <w:color w:val="000000"/>
          <w:shd w:val="clear" w:color="auto" w:fill="FFFFFF"/>
        </w:rPr>
        <w:t>New York city housing authority</w:t>
      </w:r>
      <w:r w:rsidR="004D1DC2" w:rsidRPr="003D4702">
        <w:rPr>
          <w:color w:val="000000"/>
          <w:shd w:val="clear" w:color="auto" w:fill="FFFFFF"/>
        </w:rPr>
        <w:t xml:space="preserve"> dwelling units</w:t>
      </w:r>
      <w:r w:rsidR="005075DF">
        <w:rPr>
          <w:szCs w:val="24"/>
        </w:rPr>
        <w:t xml:space="preserve">. </w:t>
      </w:r>
      <w:r w:rsidRPr="003B76BF">
        <w:rPr>
          <w:rFonts w:eastAsia="Calibri" w:cs="Times New Roman"/>
          <w:color w:val="000000"/>
          <w:szCs w:val="24"/>
          <w:lang w:eastAsia="zh-CN"/>
        </w:rPr>
        <w:t>The Committee</w:t>
      </w:r>
      <w:r w:rsidR="0099421D">
        <w:rPr>
          <w:rFonts w:eastAsia="Calibri" w:cs="Times New Roman"/>
          <w:color w:val="000000"/>
          <w:szCs w:val="24"/>
          <w:lang w:eastAsia="zh-CN"/>
        </w:rPr>
        <w:t xml:space="preserve"> first heard</w:t>
      </w:r>
      <w:r w:rsidR="00DA6A96">
        <w:rPr>
          <w:rFonts w:eastAsia="Calibri" w:cs="Times New Roman"/>
          <w:color w:val="000000"/>
          <w:szCs w:val="24"/>
          <w:lang w:eastAsia="zh-CN"/>
        </w:rPr>
        <w:t xml:space="preserve"> a previous version of</w:t>
      </w:r>
      <w:r w:rsidR="0099421D">
        <w:rPr>
          <w:rFonts w:eastAsia="Calibri" w:cs="Times New Roman"/>
          <w:color w:val="000000"/>
          <w:szCs w:val="24"/>
          <w:lang w:eastAsia="zh-CN"/>
        </w:rPr>
        <w:t xml:space="preserve"> Int. No. 111</w:t>
      </w:r>
      <w:r w:rsidR="00DA6A96">
        <w:rPr>
          <w:rFonts w:eastAsia="Calibri" w:cs="Times New Roman"/>
          <w:color w:val="000000"/>
          <w:szCs w:val="24"/>
          <w:lang w:eastAsia="zh-CN"/>
        </w:rPr>
        <w:t>-A</w:t>
      </w:r>
      <w:r w:rsidR="0099421D">
        <w:rPr>
          <w:rFonts w:eastAsia="Calibri" w:cs="Times New Roman"/>
          <w:color w:val="000000"/>
          <w:szCs w:val="24"/>
          <w:lang w:eastAsia="zh-CN"/>
        </w:rPr>
        <w:t xml:space="preserve"> on June 16, 2025</w:t>
      </w:r>
      <w:r w:rsidR="00F752B1">
        <w:rPr>
          <w:rFonts w:eastAsia="Calibri" w:cs="Times New Roman"/>
          <w:color w:val="000000"/>
          <w:szCs w:val="24"/>
          <w:lang w:eastAsia="zh-CN"/>
        </w:rPr>
        <w:t>.</w:t>
      </w:r>
      <w:r w:rsidRPr="003B76BF">
        <w:rPr>
          <w:rFonts w:eastAsia="Calibri" w:cs="Times New Roman"/>
          <w:color w:val="000000"/>
          <w:szCs w:val="24"/>
          <w:lang w:eastAsia="zh-CN"/>
        </w:rPr>
        <w:t xml:space="preserve"> </w:t>
      </w:r>
    </w:p>
    <w:p w14:paraId="19A98DE9" w14:textId="77777777" w:rsidR="00EC1F47" w:rsidRPr="001E47A7" w:rsidRDefault="00EC1F47" w:rsidP="00EC1F47">
      <w:pPr>
        <w:pStyle w:val="ListParagraph"/>
        <w:numPr>
          <w:ilvl w:val="0"/>
          <w:numId w:val="2"/>
        </w:numPr>
        <w:spacing w:after="0" w:line="480" w:lineRule="auto"/>
        <w:jc w:val="both"/>
        <w:rPr>
          <w:rFonts w:ascii="Times New Roman" w:hAnsi="Times New Roman"/>
          <w:b/>
          <w:bCs/>
          <w:sz w:val="24"/>
          <w:szCs w:val="24"/>
        </w:rPr>
      </w:pPr>
      <w:r w:rsidRPr="71735DF3">
        <w:rPr>
          <w:rFonts w:ascii="Times New Roman" w:hAnsi="Times New Roman"/>
          <w:b/>
          <w:bCs/>
          <w:sz w:val="24"/>
          <w:szCs w:val="24"/>
        </w:rPr>
        <w:t>BACKGROUND</w:t>
      </w:r>
    </w:p>
    <w:p w14:paraId="18B5D2DA" w14:textId="77777777" w:rsidR="00EC1F47" w:rsidRPr="00E0723E" w:rsidRDefault="00EC1F47" w:rsidP="00EC1F47">
      <w:pPr>
        <w:pStyle w:val="ListParagraph"/>
        <w:numPr>
          <w:ilvl w:val="0"/>
          <w:numId w:val="3"/>
        </w:numPr>
        <w:spacing w:after="0" w:line="480" w:lineRule="auto"/>
        <w:jc w:val="both"/>
        <w:rPr>
          <w:rFonts w:ascii="Times New Roman" w:hAnsi="Times New Roman"/>
          <w:b/>
          <w:iCs/>
          <w:sz w:val="24"/>
        </w:rPr>
      </w:pPr>
      <w:r w:rsidRPr="00E0723E">
        <w:rPr>
          <w:rFonts w:ascii="Times New Roman" w:hAnsi="Times New Roman"/>
          <w:b/>
          <w:iCs/>
          <w:sz w:val="24"/>
        </w:rPr>
        <w:t xml:space="preserve">NYCHA Public Housing </w:t>
      </w:r>
    </w:p>
    <w:p w14:paraId="1266B94F" w14:textId="77777777" w:rsidR="00EC1F47" w:rsidRPr="00711918" w:rsidRDefault="00EC1F47" w:rsidP="001C178C">
      <w:pPr>
        <w:suppressAutoHyphens/>
        <w:spacing w:after="0" w:line="480" w:lineRule="auto"/>
        <w:ind w:firstLine="720"/>
        <w:contextualSpacing/>
        <w:jc w:val="both"/>
        <w:rPr>
          <w:rFonts w:eastAsia="Calibri" w:cs="Times New Roman"/>
          <w:szCs w:val="24"/>
          <w:lang w:eastAsia="zh-CN"/>
        </w:rPr>
      </w:pPr>
      <w:r w:rsidRPr="7D6C36B1">
        <w:rPr>
          <w:rFonts w:eastAsia="Calibri" w:cs="Times New Roman"/>
          <w:szCs w:val="24"/>
          <w:lang w:eastAsia="zh-CN"/>
        </w:rPr>
        <w:t xml:space="preserve">Former New York City (“NYC” or “City”) Mayor Fiorello La Guardia created NYCHA in 1934 </w:t>
      </w:r>
      <w:r w:rsidRPr="7D6C36B1">
        <w:rPr>
          <w:rFonts w:eastAsia="Times New Roman" w:cs="Times New Roman"/>
          <w:szCs w:val="24"/>
          <w:lang w:eastAsia="zh-CN"/>
        </w:rPr>
        <w:t>to replace dilapidated tenements using funds from The New Deal,</w:t>
      </w:r>
      <w:r w:rsidRPr="7D6C36B1">
        <w:rPr>
          <w:rFonts w:eastAsia="Times New Roman" w:cs="Times New Roman"/>
          <w:szCs w:val="24"/>
          <w:vertAlign w:val="superscript"/>
          <w:lang w:eastAsia="zh-CN"/>
        </w:rPr>
        <w:footnoteReference w:id="1"/>
      </w:r>
      <w:r w:rsidRPr="7D6C36B1">
        <w:rPr>
          <w:rFonts w:eastAsia="Times New Roman" w:cs="Times New Roman"/>
          <w:szCs w:val="24"/>
          <w:lang w:eastAsia="zh-CN"/>
        </w:rPr>
        <w:t xml:space="preserve"> three years before the Housing Act of 1937 established public housing nationwide.</w:t>
      </w:r>
      <w:r w:rsidRPr="7D6C36B1">
        <w:rPr>
          <w:rFonts w:eastAsia="Times New Roman" w:cs="Times New Roman"/>
          <w:szCs w:val="24"/>
          <w:vertAlign w:val="superscript"/>
          <w:lang w:eastAsia="zh-CN"/>
        </w:rPr>
        <w:footnoteReference w:id="2"/>
      </w:r>
      <w:r w:rsidRPr="7D6C36B1">
        <w:rPr>
          <w:rFonts w:eastAsia="Times New Roman" w:cs="Times New Roman"/>
          <w:szCs w:val="24"/>
          <w:lang w:eastAsia="zh-CN"/>
        </w:rPr>
        <w:t xml:space="preserve"> </w:t>
      </w:r>
      <w:r w:rsidRPr="7D6C36B1">
        <w:rPr>
          <w:rFonts w:eastAsia="Calibri" w:cs="Times New Roman"/>
          <w:szCs w:val="24"/>
          <w:lang w:eastAsia="zh-CN"/>
        </w:rPr>
        <w:t>NYCHA originally served two purposes: (1) to provide low-cost housing for middle-class, working families temporarily unemployed due to the Great Depression, and (2) to bolster the lagging economy by creating jobs for the building trades.</w:t>
      </w:r>
      <w:r w:rsidRPr="7D6C36B1">
        <w:rPr>
          <w:rFonts w:eastAsia="Calibri" w:cs="Times New Roman"/>
          <w:szCs w:val="24"/>
          <w:vertAlign w:val="superscript"/>
          <w:lang w:eastAsia="zh-CN"/>
        </w:rPr>
        <w:footnoteReference w:id="3"/>
      </w:r>
      <w:r w:rsidRPr="7D6C36B1">
        <w:rPr>
          <w:rFonts w:eastAsia="Calibri" w:cs="Times New Roman"/>
          <w:szCs w:val="24"/>
          <w:lang w:eastAsia="zh-CN"/>
        </w:rPr>
        <w:t xml:space="preserve"> Later, NYCHA’s purpose evolved into providing safe, decent housing for families with the lowest incomes.</w:t>
      </w:r>
      <w:r w:rsidRPr="7D6C36B1">
        <w:rPr>
          <w:rFonts w:eastAsia="Calibri" w:cs="Times New Roman"/>
          <w:szCs w:val="24"/>
          <w:vertAlign w:val="superscript"/>
          <w:lang w:eastAsia="zh-CN"/>
        </w:rPr>
        <w:footnoteReference w:id="4"/>
      </w:r>
    </w:p>
    <w:p w14:paraId="09DFC373" w14:textId="77777777" w:rsidR="00EC1F47" w:rsidRPr="00711918" w:rsidRDefault="00EC1F47" w:rsidP="00EC1F47">
      <w:pPr>
        <w:suppressAutoHyphens/>
        <w:spacing w:after="0" w:line="480" w:lineRule="auto"/>
        <w:ind w:firstLine="720"/>
        <w:contextualSpacing/>
        <w:jc w:val="both"/>
        <w:rPr>
          <w:lang w:eastAsia="zh-CN"/>
        </w:rPr>
      </w:pPr>
      <w:r w:rsidRPr="71735DF3">
        <w:rPr>
          <w:rFonts w:eastAsia="Calibri" w:cs="Times New Roman"/>
          <w:szCs w:val="24"/>
          <w:lang w:eastAsia="zh-CN"/>
        </w:rPr>
        <w:t xml:space="preserve">As of January 2025, NYCHA serves </w:t>
      </w:r>
      <w:r w:rsidRPr="7D6C36B1">
        <w:rPr>
          <w:rFonts w:eastAsia="Calibri" w:cs="Times New Roman"/>
          <w:szCs w:val="24"/>
          <w:lang w:eastAsia="zh-CN"/>
        </w:rPr>
        <w:t xml:space="preserve">301,370 authorized residents in 154,198 units across </w:t>
      </w:r>
      <w:r w:rsidRPr="71735DF3">
        <w:rPr>
          <w:rFonts w:eastAsia="Calibri" w:cs="Times New Roman"/>
          <w:szCs w:val="24"/>
          <w:lang w:eastAsia="zh-CN"/>
        </w:rPr>
        <w:t>244 developments in the conventional Section 9 public housing program (“Section 9”).</w:t>
      </w:r>
      <w:r w:rsidRPr="6D2766FD">
        <w:rPr>
          <w:rStyle w:val="FootnoteReference"/>
          <w:rFonts w:eastAsia="Calibri" w:cs="Times New Roman"/>
          <w:szCs w:val="24"/>
          <w:lang w:eastAsia="zh-CN"/>
        </w:rPr>
        <w:footnoteReference w:id="5"/>
      </w:r>
      <w:r w:rsidRPr="71735DF3">
        <w:rPr>
          <w:rFonts w:eastAsia="Calibri" w:cs="Times New Roman"/>
          <w:szCs w:val="24"/>
          <w:lang w:eastAsia="zh-CN"/>
        </w:rPr>
        <w:t xml:space="preserve"> The Authority serves another </w:t>
      </w:r>
      <w:r w:rsidRPr="7D6C36B1">
        <w:rPr>
          <w:rFonts w:eastAsia="Calibri" w:cs="Times New Roman"/>
          <w:szCs w:val="24"/>
          <w:lang w:eastAsia="zh-CN"/>
        </w:rPr>
        <w:t>43,940 authorized residents</w:t>
      </w:r>
      <w:r w:rsidRPr="71735DF3">
        <w:rPr>
          <w:rFonts w:eastAsia="Calibri" w:cs="Times New Roman"/>
          <w:szCs w:val="24"/>
          <w:lang w:eastAsia="zh-CN"/>
        </w:rPr>
        <w:t xml:space="preserve"> in </w:t>
      </w:r>
      <w:r w:rsidRPr="7D6C36B1">
        <w:rPr>
          <w:rFonts w:eastAsia="Calibri" w:cs="Times New Roman"/>
          <w:szCs w:val="24"/>
          <w:lang w:eastAsia="zh-CN"/>
        </w:rPr>
        <w:t xml:space="preserve">23,367 units across </w:t>
      </w:r>
      <w:r w:rsidRPr="71735DF3">
        <w:rPr>
          <w:rFonts w:eastAsia="Calibri" w:cs="Times New Roman"/>
          <w:szCs w:val="24"/>
          <w:lang w:eastAsia="zh-CN"/>
        </w:rPr>
        <w:t xml:space="preserve">91 developments that </w:t>
      </w:r>
      <w:r w:rsidRPr="71735DF3">
        <w:rPr>
          <w:rFonts w:eastAsia="Calibri" w:cs="Times New Roman"/>
          <w:szCs w:val="24"/>
          <w:lang w:eastAsia="zh-CN"/>
        </w:rPr>
        <w:lastRenderedPageBreak/>
        <w:t>have been converted to the Permanent Affordability Commitment Together (“PACT”) program, NYCHA’s implementation of the federal Rental Assistance Demonstration (“RAD”) program.</w:t>
      </w:r>
      <w:r w:rsidRPr="6D2766FD">
        <w:rPr>
          <w:rStyle w:val="FootnoteReference"/>
          <w:rFonts w:eastAsia="Calibri" w:cs="Times New Roman"/>
          <w:szCs w:val="24"/>
          <w:lang w:eastAsia="zh-CN"/>
        </w:rPr>
        <w:footnoteReference w:id="6"/>
      </w:r>
      <w:r w:rsidRPr="71735DF3">
        <w:rPr>
          <w:rFonts w:eastAsia="Calibri" w:cs="Times New Roman"/>
          <w:szCs w:val="24"/>
          <w:lang w:eastAsia="zh-CN"/>
        </w:rPr>
        <w:t xml:space="preserve"> Through the Section 8 voucher program created by the United States Housing and Community Development Act of 1978 (“Section 8”), NYCHA serves an additional 106,483 families in renting units in the private market.</w:t>
      </w:r>
      <w:r w:rsidRPr="71735DF3">
        <w:rPr>
          <w:rStyle w:val="FootnoteReference"/>
          <w:rFonts w:eastAsia="Calibri" w:cs="Times New Roman"/>
          <w:szCs w:val="24"/>
          <w:lang w:eastAsia="zh-CN"/>
        </w:rPr>
        <w:footnoteReference w:id="7"/>
      </w:r>
    </w:p>
    <w:p w14:paraId="3EFBFB0A" w14:textId="6C345143" w:rsidR="001D316E" w:rsidRPr="005C1DB7" w:rsidRDefault="14EAC58D" w:rsidP="005C1DB7">
      <w:pPr>
        <w:spacing w:after="0" w:line="480" w:lineRule="auto"/>
        <w:ind w:firstLine="720"/>
        <w:jc w:val="both"/>
        <w:rPr>
          <w:rFonts w:eastAsia="Calibri" w:cs="Times New Roman"/>
          <w:lang w:eastAsia="zh-CN"/>
        </w:rPr>
      </w:pPr>
      <w:r w:rsidRPr="1BE0CC58">
        <w:rPr>
          <w:rFonts w:eastAsia="Calibri" w:cs="Times New Roman"/>
          <w:lang w:eastAsia="zh-CN"/>
        </w:rPr>
        <w:t xml:space="preserve">Starting in late 2023 with Nostrand Houses in Brooklyn, some NYCHA developments have been voting on whether to remain in Section 9, move to the PACT program, or join the </w:t>
      </w:r>
      <w:bookmarkStart w:id="1" w:name="_Int_dxYPUDG7"/>
      <w:r w:rsidRPr="1BE0CC58">
        <w:rPr>
          <w:rFonts w:eastAsia="Calibri" w:cs="Times New Roman"/>
          <w:lang w:eastAsia="zh-CN"/>
        </w:rPr>
        <w:t>newly created</w:t>
      </w:r>
      <w:bookmarkEnd w:id="1"/>
      <w:r w:rsidRPr="1BE0CC58">
        <w:rPr>
          <w:rFonts w:eastAsia="Calibri" w:cs="Times New Roman"/>
          <w:lang w:eastAsia="zh-CN"/>
        </w:rPr>
        <w:t xml:space="preserve"> Public Housing Preservation Trust (“Trust”).</w:t>
      </w:r>
      <w:r w:rsidR="00EC1F47" w:rsidRPr="1BE0CC58">
        <w:rPr>
          <w:rStyle w:val="FootnoteReference"/>
          <w:rFonts w:eastAsia="Calibri" w:cs="Times New Roman"/>
          <w:lang w:eastAsia="zh-CN"/>
        </w:rPr>
        <w:footnoteReference w:id="8"/>
      </w:r>
      <w:r w:rsidRPr="1BE0CC58">
        <w:rPr>
          <w:rFonts w:eastAsia="Calibri" w:cs="Times New Roman"/>
          <w:lang w:eastAsia="zh-CN"/>
        </w:rPr>
        <w:t xml:space="preserve"> Under the Trust, developments would remain under NYCHA management while transitioning to project-based Section 8 funding.</w:t>
      </w:r>
      <w:r w:rsidR="00EC1F47" w:rsidRPr="1BE0CC58">
        <w:rPr>
          <w:rStyle w:val="FootnoteReference"/>
          <w:rFonts w:eastAsia="Calibri" w:cs="Times New Roman"/>
          <w:lang w:eastAsia="zh-CN"/>
        </w:rPr>
        <w:footnoteReference w:id="9"/>
      </w:r>
      <w:r w:rsidRPr="1BE0CC58">
        <w:rPr>
          <w:rFonts w:eastAsia="Calibri" w:cs="Times New Roman"/>
          <w:lang w:eastAsia="zh-CN"/>
        </w:rPr>
        <w:t xml:space="preserve"> </w:t>
      </w:r>
      <w:r w:rsidR="6EBF049E" w:rsidRPr="1BE0CC58">
        <w:rPr>
          <w:rFonts w:eastAsia="Calibri" w:cs="Times New Roman"/>
          <w:lang w:eastAsia="zh-CN"/>
        </w:rPr>
        <w:t xml:space="preserve">As of </w:t>
      </w:r>
      <w:r w:rsidR="49847552" w:rsidRPr="1BE0CC58">
        <w:rPr>
          <w:rFonts w:eastAsia="Calibri" w:cs="Times New Roman"/>
          <w:lang w:eastAsia="zh-CN"/>
        </w:rPr>
        <w:t xml:space="preserve">June </w:t>
      </w:r>
      <w:r w:rsidR="6EBF049E" w:rsidRPr="1BE0CC58">
        <w:rPr>
          <w:rFonts w:eastAsia="Calibri" w:cs="Times New Roman"/>
          <w:lang w:eastAsia="zh-CN"/>
        </w:rPr>
        <w:t>2025</w:t>
      </w:r>
      <w:r w:rsidRPr="1BE0CC58">
        <w:rPr>
          <w:rFonts w:eastAsia="Calibri" w:cs="Times New Roman"/>
          <w:lang w:eastAsia="zh-CN"/>
        </w:rPr>
        <w:t xml:space="preserve">, </w:t>
      </w:r>
      <w:r w:rsidR="316AE31D" w:rsidRPr="1BE0CC58">
        <w:rPr>
          <w:rFonts w:eastAsia="Calibri" w:cs="Times New Roman"/>
          <w:lang w:eastAsia="zh-CN"/>
        </w:rPr>
        <w:t>four</w:t>
      </w:r>
      <w:r w:rsidRPr="1BE0CC58">
        <w:rPr>
          <w:rFonts w:eastAsia="Calibri" w:cs="Times New Roman"/>
          <w:lang w:eastAsia="zh-CN"/>
        </w:rPr>
        <w:t xml:space="preserve"> developments—Nostrand Houses,</w:t>
      </w:r>
      <w:r w:rsidR="00EC1F47" w:rsidRPr="1BE0CC58">
        <w:rPr>
          <w:rStyle w:val="FootnoteReference"/>
          <w:rFonts w:eastAsia="Calibri" w:cs="Times New Roman"/>
          <w:lang w:eastAsia="zh-CN"/>
        </w:rPr>
        <w:footnoteReference w:id="10"/>
      </w:r>
      <w:r w:rsidRPr="1BE0CC58">
        <w:rPr>
          <w:rFonts w:eastAsia="Calibri" w:cs="Times New Roman"/>
          <w:lang w:eastAsia="zh-CN"/>
        </w:rPr>
        <w:t xml:space="preserve"> Bronx River Addition,</w:t>
      </w:r>
      <w:r w:rsidR="00EC1F47" w:rsidRPr="1BE0CC58">
        <w:rPr>
          <w:rStyle w:val="FootnoteReference"/>
          <w:rFonts w:eastAsia="Calibri" w:cs="Times New Roman"/>
          <w:lang w:eastAsia="zh-CN"/>
        </w:rPr>
        <w:footnoteReference w:id="11"/>
      </w:r>
      <w:r w:rsidRPr="1BE0CC58">
        <w:rPr>
          <w:rFonts w:eastAsia="Calibri" w:cs="Times New Roman"/>
          <w:lang w:eastAsia="zh-CN"/>
        </w:rPr>
        <w:t xml:space="preserve"> Coney Island I (Site 1B)</w:t>
      </w:r>
      <w:r w:rsidR="3151B5AF" w:rsidRPr="1BE0CC58">
        <w:rPr>
          <w:rFonts w:eastAsia="Calibri" w:cs="Times New Roman"/>
          <w:lang w:eastAsia="zh-CN"/>
        </w:rPr>
        <w:t>,</w:t>
      </w:r>
      <w:r w:rsidR="00EC1F47" w:rsidRPr="1BE0CC58">
        <w:rPr>
          <w:rStyle w:val="FootnoteReference"/>
          <w:rFonts w:eastAsia="Calibri" w:cs="Times New Roman"/>
          <w:lang w:eastAsia="zh-CN"/>
        </w:rPr>
        <w:footnoteReference w:id="12"/>
      </w:r>
      <w:r w:rsidR="3151B5AF" w:rsidRPr="1BE0CC58">
        <w:rPr>
          <w:rFonts w:eastAsia="Calibri" w:cs="Times New Roman"/>
          <w:lang w:eastAsia="zh-CN"/>
        </w:rPr>
        <w:t xml:space="preserve"> and Hylan Houses</w:t>
      </w:r>
      <w:r w:rsidR="00325C8C" w:rsidRPr="1BE0CC58">
        <w:rPr>
          <w:rStyle w:val="FootnoteReference"/>
          <w:rFonts w:eastAsia="Calibri" w:cs="Times New Roman"/>
          <w:lang w:eastAsia="zh-CN"/>
        </w:rPr>
        <w:footnoteReference w:id="13"/>
      </w:r>
      <w:r w:rsidRPr="1BE0CC58">
        <w:rPr>
          <w:rFonts w:eastAsia="Calibri" w:cs="Times New Roman"/>
          <w:lang w:eastAsia="zh-CN"/>
        </w:rPr>
        <w:t>—</w:t>
      </w:r>
      <w:r w:rsidR="3151B5AF" w:rsidRPr="1BE0CC58">
        <w:rPr>
          <w:rFonts w:eastAsia="Calibri" w:cs="Times New Roman"/>
          <w:lang w:eastAsia="zh-CN"/>
        </w:rPr>
        <w:t xml:space="preserve">voted to join the Trust; </w:t>
      </w:r>
      <w:r w:rsidRPr="1BE0CC58">
        <w:rPr>
          <w:rFonts w:eastAsia="Calibri" w:cs="Times New Roman"/>
          <w:lang w:eastAsia="zh-CN"/>
        </w:rPr>
        <w:t>Coney Island Houses</w:t>
      </w:r>
      <w:r w:rsidR="6679BA7D" w:rsidRPr="1BE0CC58">
        <w:rPr>
          <w:rFonts w:eastAsia="Calibri" w:cs="Times New Roman"/>
          <w:lang w:eastAsia="zh-CN"/>
        </w:rPr>
        <w:t>,</w:t>
      </w:r>
      <w:r w:rsidR="00325C8C" w:rsidRPr="1BE0CC58">
        <w:rPr>
          <w:rStyle w:val="FootnoteReference"/>
          <w:rFonts w:eastAsia="Calibri" w:cs="Times New Roman"/>
          <w:lang w:eastAsia="zh-CN"/>
        </w:rPr>
        <w:footnoteReference w:id="14"/>
      </w:r>
      <w:r w:rsidR="6679BA7D" w:rsidRPr="1BE0CC58">
        <w:rPr>
          <w:rFonts w:eastAsia="Calibri" w:cs="Times New Roman"/>
          <w:lang w:eastAsia="zh-CN"/>
        </w:rPr>
        <w:t xml:space="preserve"> Jacob Riis Houses,</w:t>
      </w:r>
      <w:r w:rsidR="00906E11" w:rsidRPr="1BE0CC58">
        <w:rPr>
          <w:rStyle w:val="FootnoteReference"/>
          <w:rFonts w:eastAsia="Calibri" w:cs="Times New Roman"/>
          <w:lang w:eastAsia="zh-CN"/>
        </w:rPr>
        <w:footnoteReference w:id="15"/>
      </w:r>
      <w:r w:rsidR="6679BA7D" w:rsidRPr="1BE0CC58">
        <w:rPr>
          <w:rFonts w:eastAsia="Calibri" w:cs="Times New Roman"/>
          <w:lang w:eastAsia="zh-CN"/>
        </w:rPr>
        <w:t xml:space="preserve"> </w:t>
      </w:r>
      <w:r w:rsidR="22FC5A91" w:rsidRPr="1BE0CC58">
        <w:rPr>
          <w:rFonts w:eastAsia="Calibri" w:cs="Times New Roman"/>
          <w:lang w:eastAsia="zh-CN"/>
        </w:rPr>
        <w:lastRenderedPageBreak/>
        <w:t xml:space="preserve">and </w:t>
      </w:r>
      <w:r w:rsidR="6679BA7D" w:rsidRPr="1BE0CC58">
        <w:rPr>
          <w:rFonts w:eastAsia="Calibri" w:cs="Times New Roman"/>
          <w:lang w:eastAsia="zh-CN"/>
        </w:rPr>
        <w:t>Throggs Neck</w:t>
      </w:r>
      <w:r w:rsidR="22FC5A91" w:rsidRPr="1BE0CC58">
        <w:rPr>
          <w:rFonts w:eastAsia="Calibri" w:cs="Times New Roman"/>
          <w:lang w:eastAsia="zh-CN"/>
        </w:rPr>
        <w:t xml:space="preserve"> Addition</w:t>
      </w:r>
      <w:r w:rsidR="00017C68" w:rsidRPr="1BE0CC58">
        <w:rPr>
          <w:rStyle w:val="FootnoteReference"/>
          <w:rFonts w:eastAsia="Calibri" w:cs="Times New Roman"/>
          <w:lang w:eastAsia="zh-CN"/>
        </w:rPr>
        <w:footnoteReference w:id="16"/>
      </w:r>
      <w:r w:rsidR="22FC5A91" w:rsidRPr="1BE0CC58">
        <w:rPr>
          <w:rFonts w:eastAsia="Calibri" w:cs="Times New Roman"/>
          <w:lang w:eastAsia="zh-CN"/>
        </w:rPr>
        <w:t xml:space="preserve"> have</w:t>
      </w:r>
      <w:r w:rsidRPr="1BE0CC58">
        <w:rPr>
          <w:rFonts w:eastAsia="Calibri" w:cs="Times New Roman"/>
          <w:lang w:eastAsia="zh-CN"/>
        </w:rPr>
        <w:t xml:space="preserve"> voted to remain under Section 9</w:t>
      </w:r>
      <w:r w:rsidR="0B9D6C58" w:rsidRPr="1BE0CC58">
        <w:rPr>
          <w:rFonts w:eastAsia="Calibri" w:cs="Times New Roman"/>
          <w:lang w:eastAsia="zh-CN"/>
        </w:rPr>
        <w:t>;</w:t>
      </w:r>
      <w:r w:rsidR="1639A77D" w:rsidRPr="1BE0CC58">
        <w:rPr>
          <w:rFonts w:eastAsia="Calibri" w:cs="Times New Roman"/>
          <w:lang w:eastAsia="zh-CN"/>
        </w:rPr>
        <w:t xml:space="preserve"> and</w:t>
      </w:r>
      <w:r w:rsidR="5B7EEAEC" w:rsidRPr="1BE0CC58">
        <w:rPr>
          <w:rFonts w:eastAsia="Calibri" w:cs="Times New Roman"/>
          <w:lang w:eastAsia="zh-CN"/>
        </w:rPr>
        <w:t xml:space="preserve"> Randall Avenue-Balcom Avenue</w:t>
      </w:r>
      <w:r w:rsidR="0CEA4167" w:rsidRPr="1BE0CC58">
        <w:rPr>
          <w:rFonts w:eastAsia="Calibri" w:cs="Times New Roman"/>
          <w:lang w:eastAsia="zh-CN"/>
        </w:rPr>
        <w:t xml:space="preserve"> residents have voted to enter the PACT program</w:t>
      </w:r>
      <w:r w:rsidR="19D204C4" w:rsidRPr="1BE0CC58">
        <w:rPr>
          <w:rFonts w:eastAsia="Calibri" w:cs="Times New Roman"/>
          <w:lang w:eastAsia="zh-CN"/>
        </w:rPr>
        <w:t>.</w:t>
      </w:r>
      <w:r w:rsidR="00B93068" w:rsidRPr="1BE0CC58">
        <w:rPr>
          <w:rStyle w:val="FootnoteReference"/>
          <w:rFonts w:eastAsia="Calibri" w:cs="Times New Roman"/>
          <w:lang w:eastAsia="zh-CN"/>
        </w:rPr>
        <w:footnoteReference w:id="17"/>
      </w:r>
    </w:p>
    <w:p w14:paraId="63DA7178" w14:textId="77777777" w:rsidR="00EC1F47" w:rsidRPr="00B83B8C" w:rsidRDefault="00EC1F47" w:rsidP="00EC1F47">
      <w:pPr>
        <w:pStyle w:val="ListParagraph"/>
        <w:numPr>
          <w:ilvl w:val="0"/>
          <w:numId w:val="3"/>
        </w:numPr>
        <w:spacing w:after="0" w:line="480" w:lineRule="auto"/>
        <w:jc w:val="both"/>
        <w:rPr>
          <w:rFonts w:ascii="Times New Roman" w:hAnsi="Times New Roman"/>
          <w:b/>
          <w:sz w:val="24"/>
        </w:rPr>
      </w:pPr>
      <w:r w:rsidRPr="00B83B8C">
        <w:rPr>
          <w:rFonts w:ascii="Times New Roman" w:hAnsi="Times New Roman"/>
          <w:b/>
          <w:sz w:val="24"/>
        </w:rPr>
        <w:t>NYCHA’s Federal Monitor</w:t>
      </w:r>
    </w:p>
    <w:p w14:paraId="4E3FE355" w14:textId="77777777" w:rsidR="00EC1F47" w:rsidRPr="008A4CA6" w:rsidRDefault="00EC1F47" w:rsidP="00EC1F47">
      <w:pPr>
        <w:spacing w:after="0" w:line="480" w:lineRule="auto"/>
        <w:ind w:firstLine="720"/>
        <w:jc w:val="both"/>
        <w:rPr>
          <w:rFonts w:eastAsia="Calibri" w:cs="Times New Roman"/>
          <w:szCs w:val="24"/>
          <w:lang w:eastAsia="zh-CN"/>
        </w:rPr>
      </w:pPr>
      <w:r w:rsidRPr="7D6C36B1">
        <w:rPr>
          <w:rFonts w:eastAsia="Calibri" w:cs="Times New Roman"/>
          <w:szCs w:val="24"/>
          <w:lang w:eastAsia="zh-CN"/>
        </w:rPr>
        <w:t>Since 2019, NYCHA has been under a federal monitorship put in place through an agreement between NYCHA, the United States Attorney for the Southern District of New York (“SDNY”), the United States Department of Housing and Urban Development (“HUD”), and the United States Environmental Protection Agency (“EPA”) after several federal court cases, including one brought by the United States Department of Justice alleging “that NYCHA had routinely failed to comply with lead-based paint safety regulations; had failed to provide decent, safe, and sanitary housing, including with respect to the provision of heat and elevators and the control and treatment of mold and pests; and had repeatedly misled [HUD] through false statements and deceptive practices.”</w:t>
      </w:r>
      <w:r w:rsidRPr="7D6C36B1">
        <w:rPr>
          <w:rStyle w:val="FootnoteReference"/>
          <w:rFonts w:eastAsia="Calibri" w:cs="Times New Roman"/>
          <w:szCs w:val="24"/>
          <w:lang w:eastAsia="zh-CN"/>
        </w:rPr>
        <w:footnoteReference w:id="18"/>
      </w:r>
      <w:r w:rsidRPr="7D6C36B1">
        <w:rPr>
          <w:rFonts w:eastAsia="Calibri" w:cs="Times New Roman"/>
          <w:szCs w:val="24"/>
          <w:lang w:eastAsia="zh-CN"/>
        </w:rPr>
        <w:t xml:space="preserve"> The agreement (“HUD Agreement”) resulting from the lawsuit has led to substantial management changes within NYCHA, as well as increased funding from the City.</w:t>
      </w:r>
      <w:r w:rsidRPr="7D6C36B1">
        <w:rPr>
          <w:rStyle w:val="FootnoteReference"/>
          <w:rFonts w:eastAsia="Calibri" w:cs="Times New Roman"/>
          <w:szCs w:val="24"/>
          <w:lang w:eastAsia="zh-CN"/>
        </w:rPr>
        <w:footnoteReference w:id="19"/>
      </w:r>
    </w:p>
    <w:p w14:paraId="04010C73" w14:textId="7DCDAB5E" w:rsidR="003B76BF" w:rsidRPr="003B76BF" w:rsidRDefault="00EC1F47" w:rsidP="008D67E8">
      <w:pPr>
        <w:suppressAutoHyphens/>
        <w:spacing w:after="0" w:line="480" w:lineRule="auto"/>
        <w:ind w:firstLine="720"/>
        <w:jc w:val="both"/>
        <w:rPr>
          <w:rFonts w:eastAsia="Calibri" w:cs="Times New Roman"/>
          <w:szCs w:val="24"/>
          <w:lang w:eastAsia="zh-CN"/>
        </w:rPr>
      </w:pPr>
      <w:r w:rsidRPr="7D6C36B1">
        <w:rPr>
          <w:rFonts w:eastAsia="Calibri" w:cs="Times New Roman"/>
          <w:szCs w:val="24"/>
          <w:lang w:eastAsia="zh-CN"/>
        </w:rPr>
        <w:t>In May 2023, SDNY opened applications for a monitor for a second five-year term, and on February 28, 2024, Neil Barofsky and Matt Cipolla from the law firm Jenner &amp; Block took over as co-monitors of NYCHA.</w:t>
      </w:r>
      <w:r w:rsidRPr="7D6C36B1">
        <w:rPr>
          <w:rStyle w:val="FootnoteReference"/>
          <w:rFonts w:eastAsia="Calibri" w:cs="Times New Roman"/>
          <w:szCs w:val="24"/>
          <w:lang w:eastAsia="zh-CN"/>
        </w:rPr>
        <w:footnoteReference w:id="20"/>
      </w:r>
      <w:r w:rsidRPr="7D6C36B1">
        <w:rPr>
          <w:rFonts w:eastAsia="Calibri" w:cs="Times New Roman"/>
          <w:szCs w:val="24"/>
          <w:lang w:eastAsia="zh-CN"/>
        </w:rPr>
        <w:t xml:space="preserve"> </w:t>
      </w:r>
      <w:r w:rsidR="003C0F44">
        <w:rPr>
          <w:rFonts w:eastAsia="Calibri" w:cs="Times New Roman"/>
          <w:szCs w:val="24"/>
          <w:lang w:eastAsia="zh-CN"/>
        </w:rPr>
        <w:t xml:space="preserve">Three quarterly reports have since been released. </w:t>
      </w:r>
      <w:r w:rsidR="009B5AE2">
        <w:rPr>
          <w:rFonts w:eastAsia="Calibri" w:cs="Times New Roman"/>
          <w:szCs w:val="24"/>
          <w:lang w:eastAsia="zh-CN"/>
        </w:rPr>
        <w:t>T</w:t>
      </w:r>
      <w:r w:rsidRPr="7D6C36B1">
        <w:rPr>
          <w:rFonts w:eastAsia="Calibri" w:cs="Times New Roman"/>
          <w:szCs w:val="24"/>
          <w:lang w:eastAsia="zh-CN"/>
        </w:rPr>
        <w:t>he first</w:t>
      </w:r>
      <w:r w:rsidR="00F747A0">
        <w:rPr>
          <w:rFonts w:eastAsia="Calibri" w:cs="Times New Roman"/>
          <w:szCs w:val="24"/>
          <w:lang w:eastAsia="zh-CN"/>
        </w:rPr>
        <w:t>, issued in August 2024,</w:t>
      </w:r>
      <w:r w:rsidRPr="7D6C36B1">
        <w:rPr>
          <w:rFonts w:eastAsia="Calibri" w:cs="Times New Roman"/>
          <w:szCs w:val="24"/>
          <w:lang w:eastAsia="zh-CN"/>
        </w:rPr>
        <w:t xml:space="preserve"> </w:t>
      </w:r>
      <w:r w:rsidR="00C45C1F">
        <w:rPr>
          <w:rFonts w:eastAsia="Calibri" w:cs="Times New Roman"/>
          <w:szCs w:val="24"/>
          <w:lang w:eastAsia="zh-CN"/>
        </w:rPr>
        <w:t>provides</w:t>
      </w:r>
      <w:r w:rsidRPr="7D6C36B1">
        <w:rPr>
          <w:rFonts w:eastAsia="Calibri" w:cs="Times New Roman"/>
          <w:szCs w:val="24"/>
          <w:lang w:eastAsia="zh-CN"/>
        </w:rPr>
        <w:t xml:space="preserve"> an overview of the monitorship</w:t>
      </w:r>
      <w:r w:rsidR="001A3DFE">
        <w:rPr>
          <w:rFonts w:eastAsia="Calibri" w:cs="Times New Roman"/>
          <w:szCs w:val="24"/>
          <w:lang w:eastAsia="zh-CN"/>
        </w:rPr>
        <w:t>,</w:t>
      </w:r>
      <w:r w:rsidRPr="7D6C36B1">
        <w:rPr>
          <w:rFonts w:eastAsia="Calibri" w:cs="Times New Roman"/>
          <w:szCs w:val="24"/>
          <w:lang w:eastAsia="zh-CN"/>
        </w:rPr>
        <w:t xml:space="preserve"> and the </w:t>
      </w:r>
      <w:r w:rsidR="00452D05">
        <w:rPr>
          <w:rFonts w:eastAsia="Calibri" w:cs="Times New Roman"/>
          <w:szCs w:val="24"/>
          <w:lang w:eastAsia="zh-CN"/>
        </w:rPr>
        <w:t xml:space="preserve">two </w:t>
      </w:r>
      <w:r w:rsidRPr="7D6C36B1">
        <w:rPr>
          <w:rFonts w:eastAsia="Calibri" w:cs="Times New Roman"/>
          <w:szCs w:val="24"/>
          <w:lang w:eastAsia="zh-CN"/>
        </w:rPr>
        <w:t>most recent one</w:t>
      </w:r>
      <w:r w:rsidR="00DB2048">
        <w:rPr>
          <w:rFonts w:eastAsia="Calibri" w:cs="Times New Roman"/>
          <w:szCs w:val="24"/>
          <w:lang w:eastAsia="zh-CN"/>
        </w:rPr>
        <w:t>s</w:t>
      </w:r>
      <w:r w:rsidRPr="7D6C36B1">
        <w:rPr>
          <w:rFonts w:eastAsia="Calibri" w:cs="Times New Roman"/>
          <w:szCs w:val="24"/>
          <w:lang w:eastAsia="zh-CN"/>
        </w:rPr>
        <w:t>,</w:t>
      </w:r>
      <w:r w:rsidR="00F747A0">
        <w:rPr>
          <w:rFonts w:eastAsia="Calibri" w:cs="Times New Roman"/>
          <w:szCs w:val="24"/>
          <w:lang w:eastAsia="zh-CN"/>
        </w:rPr>
        <w:t xml:space="preserve"> issued i</w:t>
      </w:r>
      <w:r w:rsidRPr="7D6C36B1">
        <w:rPr>
          <w:rFonts w:eastAsia="Calibri" w:cs="Times New Roman"/>
          <w:szCs w:val="24"/>
          <w:lang w:eastAsia="zh-CN"/>
        </w:rPr>
        <w:t>n December 2024</w:t>
      </w:r>
      <w:r w:rsidR="00DB2048">
        <w:rPr>
          <w:rFonts w:eastAsia="Calibri" w:cs="Times New Roman"/>
          <w:szCs w:val="24"/>
          <w:lang w:eastAsia="zh-CN"/>
        </w:rPr>
        <w:t xml:space="preserve"> and April 2025</w:t>
      </w:r>
      <w:r w:rsidRPr="7D6C36B1">
        <w:rPr>
          <w:rFonts w:eastAsia="Calibri" w:cs="Times New Roman"/>
          <w:szCs w:val="24"/>
          <w:lang w:eastAsia="zh-CN"/>
        </w:rPr>
        <w:t xml:space="preserve">, </w:t>
      </w:r>
      <w:r w:rsidR="00C45C1F">
        <w:rPr>
          <w:rFonts w:eastAsia="Calibri" w:cs="Times New Roman"/>
          <w:szCs w:val="24"/>
          <w:lang w:eastAsia="zh-CN"/>
        </w:rPr>
        <w:t>evaluate</w:t>
      </w:r>
      <w:r w:rsidRPr="7D6C36B1">
        <w:rPr>
          <w:rFonts w:eastAsia="Calibri" w:cs="Times New Roman"/>
          <w:szCs w:val="24"/>
          <w:lang w:eastAsia="zh-CN"/>
        </w:rPr>
        <w:t xml:space="preserve"> NYCHA’s progress in the six key property management areas targeted by the HUD agreement: heat, pests and waste, lead paint, mold and leaks, elevators, and inspections.</w:t>
      </w:r>
      <w:r w:rsidRPr="7D6C36B1">
        <w:rPr>
          <w:rStyle w:val="FootnoteReference"/>
          <w:rFonts w:eastAsia="Calibri" w:cs="Times New Roman"/>
          <w:szCs w:val="24"/>
          <w:lang w:eastAsia="zh-CN"/>
        </w:rPr>
        <w:footnoteReference w:id="21"/>
      </w:r>
    </w:p>
    <w:p w14:paraId="37473FB7" w14:textId="77777777" w:rsidR="0083184E" w:rsidRPr="00221CEE" w:rsidRDefault="0083184E" w:rsidP="6F205C07">
      <w:pPr>
        <w:pStyle w:val="ListParagraph"/>
        <w:numPr>
          <w:ilvl w:val="0"/>
          <w:numId w:val="2"/>
        </w:numPr>
        <w:spacing w:after="0" w:line="480" w:lineRule="auto"/>
        <w:jc w:val="both"/>
        <w:rPr>
          <w:rFonts w:ascii="Times New Roman" w:hAnsi="Times New Roman"/>
          <w:b/>
          <w:bCs/>
          <w:i/>
          <w:iCs/>
          <w:sz w:val="24"/>
          <w:szCs w:val="24"/>
        </w:rPr>
      </w:pPr>
      <w:r w:rsidRPr="6F205C07">
        <w:rPr>
          <w:rFonts w:ascii="Times New Roman" w:hAnsi="Times New Roman"/>
          <w:b/>
          <w:bCs/>
          <w:i/>
          <w:iCs/>
          <w:sz w:val="24"/>
          <w:szCs w:val="24"/>
        </w:rPr>
        <w:t>NYCHA  VACANCIES AND WAITING LISTS</w:t>
      </w:r>
    </w:p>
    <w:p w14:paraId="43642234" w14:textId="0ACACB41" w:rsidR="003B76BF" w:rsidRPr="003B76BF" w:rsidRDefault="76E9A469" w:rsidP="1BE0CC58">
      <w:pPr>
        <w:suppressAutoHyphens/>
        <w:spacing w:after="0" w:line="480" w:lineRule="auto"/>
        <w:ind w:firstLine="720"/>
        <w:jc w:val="both"/>
        <w:rPr>
          <w:rFonts w:eastAsia="Calibri" w:cs="Times New Roman"/>
          <w:lang w:eastAsia="zh-CN"/>
        </w:rPr>
      </w:pPr>
      <w:r w:rsidRPr="1BE0CC58">
        <w:rPr>
          <w:rFonts w:eastAsia="Calibri" w:cs="Times New Roman"/>
          <w:lang w:eastAsia="zh-CN"/>
        </w:rPr>
        <w:t>NYC</w:t>
      </w:r>
      <w:r w:rsidR="12BAD0C0" w:rsidRPr="1BE0CC58">
        <w:rPr>
          <w:rFonts w:eastAsia="Calibri" w:cs="Times New Roman"/>
          <w:lang w:eastAsia="zh-CN"/>
        </w:rPr>
        <w:t xml:space="preserve"> </w:t>
      </w:r>
      <w:r w:rsidR="66129A33" w:rsidRPr="1BE0CC58">
        <w:rPr>
          <w:rFonts w:eastAsia="Calibri" w:cs="Times New Roman"/>
          <w:lang w:eastAsia="zh-CN"/>
        </w:rPr>
        <w:t xml:space="preserve">has seen significant misalignment in demand and supply of </w:t>
      </w:r>
      <w:r w:rsidR="5800063B" w:rsidRPr="1BE0CC58">
        <w:rPr>
          <w:rFonts w:eastAsia="Calibri" w:cs="Times New Roman"/>
          <w:lang w:eastAsia="zh-CN"/>
        </w:rPr>
        <w:t>its</w:t>
      </w:r>
      <w:r w:rsidR="12BAD0C0" w:rsidRPr="1BE0CC58">
        <w:rPr>
          <w:rFonts w:eastAsia="Calibri" w:cs="Times New Roman"/>
          <w:lang w:eastAsia="zh-CN"/>
        </w:rPr>
        <w:t xml:space="preserve"> housing market in recent years.</w:t>
      </w:r>
      <w:r w:rsidR="00173F75" w:rsidRPr="1BE0CC58">
        <w:rPr>
          <w:rStyle w:val="FootnoteReference"/>
          <w:rFonts w:eastAsia="Calibri" w:cs="Times New Roman"/>
          <w:lang w:eastAsia="zh-CN"/>
        </w:rPr>
        <w:footnoteReference w:id="22"/>
      </w:r>
      <w:r w:rsidR="5D52516B" w:rsidRPr="1BE0CC58">
        <w:rPr>
          <w:rFonts w:eastAsia="Calibri" w:cs="Times New Roman"/>
          <w:lang w:eastAsia="zh-CN"/>
        </w:rPr>
        <w:t xml:space="preserve"> </w:t>
      </w:r>
      <w:r w:rsidR="25EE879E" w:rsidRPr="1BE0CC58">
        <w:rPr>
          <w:rFonts w:eastAsia="Calibri" w:cs="Times New Roman"/>
          <w:lang w:eastAsia="zh-CN"/>
        </w:rPr>
        <w:t>T</w:t>
      </w:r>
      <w:r w:rsidR="2D1102AE" w:rsidRPr="1BE0CC58">
        <w:rPr>
          <w:rFonts w:eastAsia="Calibri" w:cs="Times New Roman"/>
          <w:lang w:eastAsia="zh-CN"/>
        </w:rPr>
        <w:t>he waitlist for a NYCHA</w:t>
      </w:r>
      <w:r w:rsidR="1AE99FEC" w:rsidRPr="1BE0CC58">
        <w:rPr>
          <w:rFonts w:eastAsia="Calibri" w:cs="Times New Roman"/>
          <w:lang w:eastAsia="zh-CN"/>
        </w:rPr>
        <w:t>-related</w:t>
      </w:r>
      <w:r w:rsidR="2D1102AE" w:rsidRPr="1BE0CC58">
        <w:rPr>
          <w:rFonts w:eastAsia="Calibri" w:cs="Times New Roman"/>
          <w:lang w:eastAsia="zh-CN"/>
        </w:rPr>
        <w:t xml:space="preserve"> apartment</w:t>
      </w:r>
      <w:r w:rsidR="5A5091C6" w:rsidRPr="1BE0CC58">
        <w:rPr>
          <w:rFonts w:eastAsia="Calibri" w:cs="Times New Roman"/>
          <w:lang w:eastAsia="zh-CN"/>
        </w:rPr>
        <w:t xml:space="preserve"> tells a similar story in the public housing context</w:t>
      </w:r>
      <w:r w:rsidR="2D1102AE" w:rsidRPr="1BE0CC58">
        <w:rPr>
          <w:rFonts w:eastAsia="Calibri" w:cs="Times New Roman"/>
          <w:lang w:eastAsia="zh-CN"/>
        </w:rPr>
        <w:t xml:space="preserve">. </w:t>
      </w:r>
      <w:r w:rsidR="1AE99FEC" w:rsidRPr="1BE0CC58">
        <w:rPr>
          <w:rFonts w:eastAsia="Calibri" w:cs="Times New Roman"/>
          <w:lang w:eastAsia="zh-CN"/>
        </w:rPr>
        <w:t>As of December 31, 2023, NYCHA’s Public Housing waiting list ha</w:t>
      </w:r>
      <w:r w:rsidR="00452D05">
        <w:rPr>
          <w:rFonts w:eastAsia="Calibri" w:cs="Times New Roman"/>
          <w:lang w:eastAsia="zh-CN"/>
        </w:rPr>
        <w:t>d</w:t>
      </w:r>
      <w:r w:rsidR="1AE99FEC" w:rsidRPr="1BE0CC58">
        <w:rPr>
          <w:rFonts w:eastAsia="Calibri" w:cs="Times New Roman"/>
          <w:lang w:eastAsia="zh-CN"/>
        </w:rPr>
        <w:t xml:space="preserve"> 241,178 families, down from 254,827 families reported in February 2022</w:t>
      </w:r>
      <w:r w:rsidR="00452D05">
        <w:rPr>
          <w:rFonts w:eastAsia="Calibri" w:cs="Times New Roman"/>
          <w:lang w:eastAsia="zh-CN"/>
        </w:rPr>
        <w:t>.</w:t>
      </w:r>
      <w:r w:rsidR="005F7B71" w:rsidRPr="1BE0CC58">
        <w:rPr>
          <w:rStyle w:val="FootnoteReference"/>
          <w:rFonts w:eastAsia="Calibri" w:cs="Times New Roman"/>
          <w:lang w:eastAsia="zh-CN"/>
        </w:rPr>
        <w:footnoteReference w:id="23"/>
      </w:r>
      <w:r w:rsidR="7EDA22CE" w:rsidRPr="1BE0CC58">
        <w:rPr>
          <w:rFonts w:eastAsia="Calibri" w:cs="Times New Roman"/>
          <w:lang w:eastAsia="zh-CN"/>
        </w:rPr>
        <w:t xml:space="preserve"> NYCHA’</w:t>
      </w:r>
      <w:r w:rsidR="32B26672" w:rsidRPr="1BE0CC58">
        <w:rPr>
          <w:rFonts w:eastAsia="Calibri" w:cs="Times New Roman"/>
          <w:lang w:eastAsia="zh-CN"/>
        </w:rPr>
        <w:t xml:space="preserve">s Section 8 waiting list, which selected 200,000 families from </w:t>
      </w:r>
      <w:r w:rsidR="699E463A" w:rsidRPr="1BE0CC58">
        <w:rPr>
          <w:rFonts w:eastAsia="Calibri" w:cs="Times New Roman"/>
          <w:lang w:eastAsia="zh-CN"/>
        </w:rPr>
        <w:t>over</w:t>
      </w:r>
      <w:r w:rsidR="32B26672" w:rsidRPr="1BE0CC58">
        <w:rPr>
          <w:rFonts w:eastAsia="Calibri" w:cs="Times New Roman"/>
          <w:lang w:eastAsia="zh-CN"/>
        </w:rPr>
        <w:t xml:space="preserve"> 600,000 applications</w:t>
      </w:r>
      <w:r w:rsidR="00D637E1">
        <w:rPr>
          <w:rFonts w:eastAsia="Calibri" w:cs="Times New Roman"/>
          <w:lang w:eastAsia="zh-CN"/>
        </w:rPr>
        <w:t xml:space="preserve"> when it reopened in June 2024,</w:t>
      </w:r>
      <w:r w:rsidR="699E463A" w:rsidRPr="1BE0CC58">
        <w:rPr>
          <w:rFonts w:eastAsia="Calibri" w:cs="Times New Roman"/>
          <w:lang w:eastAsia="zh-CN"/>
        </w:rPr>
        <w:t xml:space="preserve"> </w:t>
      </w:r>
      <w:r w:rsidR="00452D05">
        <w:rPr>
          <w:rFonts w:eastAsia="Calibri" w:cs="Times New Roman"/>
          <w:lang w:eastAsia="zh-CN"/>
        </w:rPr>
        <w:t xml:space="preserve">included </w:t>
      </w:r>
      <w:r w:rsidR="699E463A" w:rsidRPr="1BE0CC58">
        <w:rPr>
          <w:rFonts w:eastAsia="Calibri" w:cs="Times New Roman"/>
          <w:lang w:eastAsia="zh-CN"/>
        </w:rPr>
        <w:t>204,000 families as of January 2025.</w:t>
      </w:r>
      <w:r w:rsidR="00B66F4B" w:rsidRPr="1BE0CC58">
        <w:rPr>
          <w:rStyle w:val="FootnoteReference"/>
          <w:rFonts w:eastAsia="Calibri" w:cs="Times New Roman"/>
          <w:lang w:eastAsia="zh-CN"/>
        </w:rPr>
        <w:footnoteReference w:id="24"/>
      </w:r>
      <w:r w:rsidR="0D6DBB70" w:rsidRPr="1BE0CC58">
        <w:rPr>
          <w:rFonts w:eastAsia="Calibri" w:cs="Times New Roman"/>
          <w:lang w:eastAsia="zh-CN"/>
        </w:rPr>
        <w:t xml:space="preserve"> These numbers show that hundreds of thousands of New Yorkers are intent on finding housing</w:t>
      </w:r>
      <w:r w:rsidR="39FA69BD" w:rsidRPr="1BE0CC58">
        <w:rPr>
          <w:rFonts w:eastAsia="Calibri" w:cs="Times New Roman"/>
          <w:lang w:eastAsia="zh-CN"/>
        </w:rPr>
        <w:t>, particularly housing</w:t>
      </w:r>
      <w:r w:rsidR="0D6DBB70" w:rsidRPr="1BE0CC58">
        <w:rPr>
          <w:rFonts w:eastAsia="Calibri" w:cs="Times New Roman"/>
          <w:lang w:eastAsia="zh-CN"/>
        </w:rPr>
        <w:t xml:space="preserve"> that fits their financial needs.</w:t>
      </w:r>
    </w:p>
    <w:p w14:paraId="7380ECBE" w14:textId="47B7BFA0" w:rsidR="007E71AD" w:rsidRDefault="71FCF21F" w:rsidP="1BE0CC58">
      <w:pPr>
        <w:suppressAutoHyphens/>
        <w:spacing w:after="0" w:line="480" w:lineRule="auto"/>
        <w:ind w:firstLine="720"/>
        <w:jc w:val="both"/>
        <w:rPr>
          <w:rFonts w:eastAsia="Calibri" w:cs="Times New Roman"/>
          <w:lang w:eastAsia="zh-CN"/>
        </w:rPr>
      </w:pPr>
      <w:r w:rsidRPr="1BE0CC58">
        <w:rPr>
          <w:rFonts w:eastAsia="Calibri" w:cs="Times New Roman"/>
          <w:lang w:eastAsia="zh-CN"/>
        </w:rPr>
        <w:t xml:space="preserve">For NYCHA to keep up with </w:t>
      </w:r>
      <w:r w:rsidR="637AB6E7" w:rsidRPr="1BE0CC58">
        <w:rPr>
          <w:rFonts w:eastAsia="Calibri" w:cs="Times New Roman"/>
          <w:lang w:eastAsia="zh-CN"/>
        </w:rPr>
        <w:t xml:space="preserve">the </w:t>
      </w:r>
      <w:r w:rsidR="0A038EC4" w:rsidRPr="1BE0CC58">
        <w:rPr>
          <w:rFonts w:eastAsia="Calibri" w:cs="Times New Roman"/>
          <w:lang w:eastAsia="zh-CN"/>
        </w:rPr>
        <w:t xml:space="preserve">immense </w:t>
      </w:r>
      <w:r w:rsidRPr="1BE0CC58">
        <w:rPr>
          <w:rFonts w:eastAsia="Calibri" w:cs="Times New Roman"/>
          <w:lang w:eastAsia="zh-CN"/>
        </w:rPr>
        <w:t>demand</w:t>
      </w:r>
      <w:r w:rsidR="637AB6E7" w:rsidRPr="1BE0CC58">
        <w:rPr>
          <w:rFonts w:eastAsia="Calibri" w:cs="Times New Roman"/>
          <w:lang w:eastAsia="zh-CN"/>
        </w:rPr>
        <w:t xml:space="preserve"> it faces, it needs to prepare vacant apartments for new tenants quickly and efficiently.</w:t>
      </w:r>
      <w:r w:rsidR="0A038EC4" w:rsidRPr="1BE0CC58">
        <w:rPr>
          <w:rFonts w:eastAsia="Calibri" w:cs="Times New Roman"/>
          <w:lang w:eastAsia="zh-CN"/>
        </w:rPr>
        <w:t xml:space="preserve"> This requires processes to be in place that identify where a vacant unit needs renovation work and complete said work in a timely manner. </w:t>
      </w:r>
      <w:r w:rsidR="5A262E0E" w:rsidRPr="1BE0CC58">
        <w:rPr>
          <w:rFonts w:eastAsia="Calibri" w:cs="Times New Roman"/>
          <w:lang w:eastAsia="zh-CN"/>
        </w:rPr>
        <w:t xml:space="preserve">However, NYCHA has historically had trouble with internal oversight and process management, and this includes its processes governing vacant units. An audit released by the NYC Comptroller in June 2015 </w:t>
      </w:r>
      <w:r w:rsidR="6EC70117" w:rsidRPr="1BE0CC58">
        <w:rPr>
          <w:rFonts w:eastAsia="Calibri" w:cs="Times New Roman"/>
          <w:lang w:eastAsia="zh-CN"/>
        </w:rPr>
        <w:t xml:space="preserve">revealed that NYCHA had “inadequate controls…over the monitoring and tracking of its vacant apartments,” </w:t>
      </w:r>
      <w:r w:rsidR="4C14B963" w:rsidRPr="1BE0CC58">
        <w:rPr>
          <w:rFonts w:eastAsia="Calibri" w:cs="Times New Roman"/>
          <w:lang w:eastAsia="zh-CN"/>
        </w:rPr>
        <w:t xml:space="preserve">with some vacant apartments being vandalized </w:t>
      </w:r>
      <w:r w:rsidR="13BE1748" w:rsidRPr="1BE0CC58">
        <w:rPr>
          <w:rFonts w:eastAsia="Calibri" w:cs="Times New Roman"/>
          <w:lang w:eastAsia="zh-CN"/>
        </w:rPr>
        <w:t xml:space="preserve">or </w:t>
      </w:r>
      <w:r w:rsidR="4C14B963" w:rsidRPr="1BE0CC58">
        <w:rPr>
          <w:rFonts w:eastAsia="Calibri" w:cs="Times New Roman"/>
          <w:lang w:eastAsia="zh-CN"/>
        </w:rPr>
        <w:t xml:space="preserve">used by unauthorized individuals, </w:t>
      </w:r>
      <w:r w:rsidR="00D637E1">
        <w:rPr>
          <w:rFonts w:eastAsia="Calibri" w:cs="Times New Roman"/>
          <w:lang w:eastAsia="zh-CN"/>
        </w:rPr>
        <w:t xml:space="preserve">while </w:t>
      </w:r>
      <w:r w:rsidR="4C14B963" w:rsidRPr="1BE0CC58">
        <w:rPr>
          <w:rFonts w:eastAsia="Calibri" w:cs="Times New Roman"/>
          <w:lang w:eastAsia="zh-CN"/>
        </w:rPr>
        <w:t>others</w:t>
      </w:r>
      <w:r w:rsidR="00D637E1">
        <w:rPr>
          <w:rFonts w:eastAsia="Calibri" w:cs="Times New Roman"/>
          <w:lang w:eastAsia="zh-CN"/>
        </w:rPr>
        <w:t xml:space="preserve"> were</w:t>
      </w:r>
      <w:r w:rsidR="4C14B963" w:rsidRPr="1BE0CC58">
        <w:rPr>
          <w:rFonts w:eastAsia="Calibri" w:cs="Times New Roman"/>
          <w:lang w:eastAsia="zh-CN"/>
        </w:rPr>
        <w:t xml:space="preserve"> found to be incorrectly labeled “vacant” and being used in some other capacity</w:t>
      </w:r>
      <w:r w:rsidR="00D637E1">
        <w:rPr>
          <w:rFonts w:eastAsia="Calibri" w:cs="Times New Roman"/>
          <w:lang w:eastAsia="zh-CN"/>
        </w:rPr>
        <w:t xml:space="preserve"> or</w:t>
      </w:r>
      <w:r w:rsidR="13BE1748" w:rsidRPr="1BE0CC58">
        <w:rPr>
          <w:rFonts w:eastAsia="Calibri" w:cs="Times New Roman"/>
          <w:lang w:eastAsia="zh-CN"/>
        </w:rPr>
        <w:t xml:space="preserve"> were in fact occupied by transfer tenants</w:t>
      </w:r>
      <w:r w:rsidR="1D8B19F1" w:rsidRPr="1BE0CC58">
        <w:rPr>
          <w:rFonts w:eastAsia="Calibri" w:cs="Times New Roman"/>
          <w:lang w:eastAsia="zh-CN"/>
        </w:rPr>
        <w:t>.</w:t>
      </w:r>
      <w:r w:rsidR="00211B9C" w:rsidRPr="1BE0CC58">
        <w:rPr>
          <w:rStyle w:val="FootnoteReference"/>
          <w:rFonts w:eastAsia="Calibri" w:cs="Times New Roman"/>
          <w:lang w:eastAsia="zh-CN"/>
        </w:rPr>
        <w:footnoteReference w:id="25"/>
      </w:r>
      <w:r w:rsidR="63CE6776" w:rsidRPr="1BE0CC58">
        <w:rPr>
          <w:rFonts w:eastAsia="Calibri" w:cs="Times New Roman"/>
          <w:lang w:eastAsia="zh-CN"/>
        </w:rPr>
        <w:t xml:space="preserve"> </w:t>
      </w:r>
      <w:r w:rsidR="00D637E1">
        <w:rPr>
          <w:rFonts w:eastAsia="Calibri" w:cs="Times New Roman"/>
          <w:lang w:eastAsia="zh-CN"/>
        </w:rPr>
        <w:t>I</w:t>
      </w:r>
      <w:r w:rsidR="52C5BE3A" w:rsidRPr="1BE0CC58">
        <w:rPr>
          <w:rFonts w:eastAsia="Calibri" w:cs="Times New Roman"/>
          <w:lang w:eastAsia="zh-CN"/>
        </w:rPr>
        <w:t>n February 2024</w:t>
      </w:r>
      <w:r w:rsidR="63CE6776" w:rsidRPr="1BE0CC58">
        <w:rPr>
          <w:rFonts w:eastAsia="Calibri" w:cs="Times New Roman"/>
          <w:lang w:eastAsia="zh-CN"/>
        </w:rPr>
        <w:t xml:space="preserve">, NYCHA’s first federal monitor </w:t>
      </w:r>
      <w:r w:rsidR="00D637E1">
        <w:rPr>
          <w:rFonts w:eastAsia="Calibri" w:cs="Times New Roman"/>
          <w:lang w:eastAsia="zh-CN"/>
        </w:rPr>
        <w:t>found</w:t>
      </w:r>
      <w:r w:rsidR="63CE6776" w:rsidRPr="1BE0CC58">
        <w:rPr>
          <w:rFonts w:eastAsia="Calibri" w:cs="Times New Roman"/>
          <w:lang w:eastAsia="zh-CN"/>
        </w:rPr>
        <w:t xml:space="preserve"> that </w:t>
      </w:r>
      <w:r w:rsidR="52C5BE3A" w:rsidRPr="1BE0CC58">
        <w:rPr>
          <w:rFonts w:eastAsia="Calibri" w:cs="Times New Roman"/>
          <w:lang w:eastAsia="zh-CN"/>
        </w:rPr>
        <w:t>NYCHA</w:t>
      </w:r>
      <w:r w:rsidR="4AF687C0" w:rsidRPr="1BE0CC58">
        <w:rPr>
          <w:rFonts w:eastAsia="Calibri" w:cs="Times New Roman"/>
          <w:lang w:eastAsia="zh-CN"/>
        </w:rPr>
        <w:t xml:space="preserve"> </w:t>
      </w:r>
      <w:r w:rsidR="00D637E1">
        <w:rPr>
          <w:rFonts w:eastAsia="Calibri" w:cs="Times New Roman"/>
          <w:lang w:eastAsia="zh-CN"/>
        </w:rPr>
        <w:t>had mis</w:t>
      </w:r>
      <w:r w:rsidR="4AF687C0" w:rsidRPr="1BE0CC58">
        <w:rPr>
          <w:rFonts w:eastAsia="Calibri" w:cs="Times New Roman"/>
          <w:lang w:eastAsia="zh-CN"/>
        </w:rPr>
        <w:t>handled a</w:t>
      </w:r>
      <w:r w:rsidR="2123C50E" w:rsidRPr="1BE0CC58">
        <w:rPr>
          <w:rFonts w:eastAsia="Calibri" w:cs="Times New Roman"/>
          <w:lang w:eastAsia="zh-CN"/>
        </w:rPr>
        <w:t>n early</w:t>
      </w:r>
      <w:r w:rsidR="02728533" w:rsidRPr="1BE0CC58">
        <w:rPr>
          <w:rFonts w:eastAsia="Calibri" w:cs="Times New Roman"/>
          <w:lang w:eastAsia="zh-CN"/>
        </w:rPr>
        <w:t>-</w:t>
      </w:r>
      <w:r w:rsidR="77D5C2BA" w:rsidRPr="1BE0CC58">
        <w:rPr>
          <w:rFonts w:eastAsia="Calibri" w:cs="Times New Roman"/>
          <w:lang w:eastAsia="zh-CN"/>
        </w:rPr>
        <w:t xml:space="preserve">2022 </w:t>
      </w:r>
      <w:r w:rsidR="4AF687C0" w:rsidRPr="1BE0CC58">
        <w:rPr>
          <w:rFonts w:eastAsia="Calibri" w:cs="Times New Roman"/>
          <w:lang w:eastAsia="zh-CN"/>
        </w:rPr>
        <w:t xml:space="preserve">organizational </w:t>
      </w:r>
      <w:r w:rsidR="77D5C2BA" w:rsidRPr="1BE0CC58">
        <w:rPr>
          <w:rFonts w:eastAsia="Calibri" w:cs="Times New Roman"/>
          <w:lang w:eastAsia="zh-CN"/>
        </w:rPr>
        <w:t>change</w:t>
      </w:r>
      <w:r w:rsidR="4AF687C0" w:rsidRPr="1BE0CC58">
        <w:rPr>
          <w:rFonts w:eastAsia="Calibri" w:cs="Times New Roman"/>
          <w:lang w:eastAsia="zh-CN"/>
        </w:rPr>
        <w:t xml:space="preserve"> in which </w:t>
      </w:r>
      <w:r w:rsidR="77D5C2BA" w:rsidRPr="1BE0CC58">
        <w:rPr>
          <w:rFonts w:eastAsia="Calibri" w:cs="Times New Roman"/>
          <w:lang w:eastAsia="zh-CN"/>
        </w:rPr>
        <w:t xml:space="preserve">it shifted responsibilities for turning over vacant units to </w:t>
      </w:r>
      <w:r w:rsidR="4AF687C0" w:rsidRPr="1BE0CC58">
        <w:rPr>
          <w:rFonts w:eastAsia="Calibri" w:cs="Times New Roman"/>
          <w:lang w:eastAsia="zh-CN"/>
        </w:rPr>
        <w:t>a newly created entity, the Operational Analysis and Contract Management (“OACM”)</w:t>
      </w:r>
      <w:r w:rsidR="77D5C2BA" w:rsidRPr="1BE0CC58">
        <w:rPr>
          <w:rFonts w:eastAsia="Calibri" w:cs="Times New Roman"/>
          <w:lang w:eastAsia="zh-CN"/>
        </w:rPr>
        <w:t xml:space="preserve"> department</w:t>
      </w:r>
      <w:r w:rsidR="343CFADD" w:rsidRPr="1BE0CC58">
        <w:rPr>
          <w:rFonts w:eastAsia="Calibri" w:cs="Times New Roman"/>
          <w:lang w:eastAsia="zh-CN"/>
        </w:rPr>
        <w:t>, resulting in confusion and frustration</w:t>
      </w:r>
      <w:r w:rsidR="01ADF43D" w:rsidRPr="1BE0CC58">
        <w:rPr>
          <w:rFonts w:eastAsia="Calibri" w:cs="Times New Roman"/>
          <w:lang w:eastAsia="zh-CN"/>
        </w:rPr>
        <w:t xml:space="preserve"> from development staff</w:t>
      </w:r>
      <w:r w:rsidR="77D5C2BA" w:rsidRPr="1BE0CC58">
        <w:rPr>
          <w:rFonts w:eastAsia="Calibri" w:cs="Times New Roman"/>
          <w:lang w:eastAsia="zh-CN"/>
        </w:rPr>
        <w:t>.</w:t>
      </w:r>
      <w:r w:rsidR="00C7021B" w:rsidRPr="1BE0CC58">
        <w:rPr>
          <w:rStyle w:val="FootnoteReference"/>
          <w:rFonts w:eastAsia="Calibri" w:cs="Times New Roman"/>
          <w:lang w:eastAsia="zh-CN"/>
        </w:rPr>
        <w:footnoteReference w:id="26"/>
      </w:r>
      <w:r w:rsidR="343CFADD" w:rsidRPr="1BE0CC58">
        <w:rPr>
          <w:rFonts w:eastAsia="Calibri" w:cs="Times New Roman"/>
          <w:lang w:eastAsia="zh-CN"/>
        </w:rPr>
        <w:t xml:space="preserve"> Local development staff would start the work “to advance the turnover of these apartments, only to have OACM come in to take control of an apartment and then have it sit vacant with no work occurring for months.”</w:t>
      </w:r>
      <w:r w:rsidR="008D7A4E" w:rsidRPr="1BE0CC58">
        <w:rPr>
          <w:rStyle w:val="FootnoteReference"/>
          <w:rFonts w:eastAsia="Calibri" w:cs="Times New Roman"/>
          <w:lang w:eastAsia="zh-CN"/>
        </w:rPr>
        <w:footnoteReference w:id="27"/>
      </w:r>
    </w:p>
    <w:p w14:paraId="34073CA5" w14:textId="4723BA22" w:rsidR="003B76BF" w:rsidRPr="00CF4EE3" w:rsidRDefault="516F8ACB" w:rsidP="1BE0CC58">
      <w:pPr>
        <w:suppressAutoHyphens/>
        <w:spacing w:after="0" w:line="480" w:lineRule="auto"/>
        <w:ind w:firstLine="720"/>
        <w:jc w:val="both"/>
        <w:rPr>
          <w:rFonts w:eastAsia="Calibri" w:cs="Times New Roman"/>
          <w:lang w:eastAsia="zh-CN"/>
        </w:rPr>
      </w:pPr>
      <w:r w:rsidRPr="08494DEF">
        <w:rPr>
          <w:rFonts w:eastAsia="Calibri" w:cs="Times New Roman"/>
          <w:lang w:eastAsia="zh-CN"/>
        </w:rPr>
        <w:t>While NYCHA</w:t>
      </w:r>
      <w:r w:rsidR="00D637E1">
        <w:rPr>
          <w:rFonts w:eastAsia="Calibri" w:cs="Times New Roman"/>
          <w:lang w:eastAsia="zh-CN"/>
        </w:rPr>
        <w:t xml:space="preserve"> has</w:t>
      </w:r>
      <w:r w:rsidRPr="08494DEF">
        <w:rPr>
          <w:rFonts w:eastAsia="Calibri" w:cs="Times New Roman"/>
          <w:lang w:eastAsia="zh-CN"/>
        </w:rPr>
        <w:t xml:space="preserve"> maintained an over 99% occupancy rate </w:t>
      </w:r>
      <w:r w:rsidR="6F531209" w:rsidRPr="08494DEF">
        <w:rPr>
          <w:rFonts w:eastAsia="Calibri" w:cs="Times New Roman"/>
          <w:lang w:eastAsia="zh-CN"/>
        </w:rPr>
        <w:t xml:space="preserve">over </w:t>
      </w:r>
      <w:r w:rsidR="00D637E1">
        <w:rPr>
          <w:rFonts w:eastAsia="Calibri" w:cs="Times New Roman"/>
          <w:lang w:eastAsia="zh-CN"/>
        </w:rPr>
        <w:t xml:space="preserve">most of </w:t>
      </w:r>
      <w:r w:rsidRPr="08494DEF">
        <w:rPr>
          <w:rFonts w:eastAsia="Calibri" w:cs="Times New Roman"/>
          <w:lang w:eastAsia="zh-CN"/>
        </w:rPr>
        <w:t>the past two decades, this rate has dipped in recent years, falling to 97.5% in Fiscal Year 2022 and to 95.9% in the first four months of Fiscal Year 2025.</w:t>
      </w:r>
      <w:r w:rsidR="001D1EB1" w:rsidRPr="08494DEF">
        <w:rPr>
          <w:rStyle w:val="FootnoteReference"/>
          <w:rFonts w:eastAsia="Calibri" w:cs="Times New Roman"/>
          <w:lang w:eastAsia="zh-CN"/>
        </w:rPr>
        <w:footnoteReference w:id="28"/>
      </w:r>
      <w:r w:rsidR="2794DD0A" w:rsidRPr="08494DEF">
        <w:rPr>
          <w:rFonts w:eastAsia="Calibri" w:cs="Times New Roman"/>
          <w:lang w:eastAsia="zh-CN"/>
        </w:rPr>
        <w:t xml:space="preserve"> </w:t>
      </w:r>
      <w:r w:rsidR="6F9A3138" w:rsidRPr="08494DEF">
        <w:rPr>
          <w:rFonts w:eastAsia="Calibri" w:cs="Times New Roman"/>
          <w:lang w:eastAsia="zh-CN"/>
        </w:rPr>
        <w:t>These percentage changes represent hundreds to thousands of vacant units</w:t>
      </w:r>
      <w:r w:rsidR="2F8CD1D6" w:rsidRPr="1BE0CC58">
        <w:rPr>
          <w:rFonts w:eastAsia="Calibri" w:cs="Times New Roman"/>
          <w:lang w:eastAsia="zh-CN"/>
        </w:rPr>
        <w:t>.</w:t>
      </w:r>
    </w:p>
    <w:p w14:paraId="14AE5717" w14:textId="77777777" w:rsidR="00404446" w:rsidRPr="00F90CB9" w:rsidRDefault="00F90CB9" w:rsidP="00F90CB9">
      <w:pPr>
        <w:pStyle w:val="ListParagraph"/>
        <w:numPr>
          <w:ilvl w:val="0"/>
          <w:numId w:val="6"/>
        </w:numPr>
        <w:spacing w:after="0" w:line="480" w:lineRule="auto"/>
        <w:jc w:val="both"/>
        <w:rPr>
          <w:rFonts w:ascii="Times New Roman" w:hAnsi="Times New Roman"/>
          <w:b/>
          <w:bCs/>
          <w:sz w:val="24"/>
          <w:szCs w:val="24"/>
        </w:rPr>
      </w:pPr>
      <w:r w:rsidRPr="00F90CB9">
        <w:rPr>
          <w:rFonts w:ascii="Times New Roman" w:hAnsi="Times New Roman"/>
          <w:b/>
          <w:bCs/>
          <w:sz w:val="24"/>
          <w:szCs w:val="24"/>
        </w:rPr>
        <w:t>V</w:t>
      </w:r>
      <w:r>
        <w:rPr>
          <w:rFonts w:ascii="Times New Roman" w:hAnsi="Times New Roman"/>
          <w:b/>
          <w:bCs/>
          <w:sz w:val="24"/>
          <w:szCs w:val="24"/>
        </w:rPr>
        <w:t xml:space="preserve">acancy </w:t>
      </w:r>
      <w:r w:rsidRPr="00F90CB9">
        <w:rPr>
          <w:rFonts w:ascii="Times New Roman" w:hAnsi="Times New Roman"/>
          <w:b/>
          <w:bCs/>
          <w:sz w:val="24"/>
          <w:szCs w:val="24"/>
        </w:rPr>
        <w:t>Increases</w:t>
      </w:r>
    </w:p>
    <w:p w14:paraId="7F4FDC54" w14:textId="77777777" w:rsidR="003B76BF" w:rsidRPr="003B76BF" w:rsidRDefault="183C3BB8" w:rsidP="1BE0CC58">
      <w:pPr>
        <w:suppressAutoHyphens/>
        <w:spacing w:after="0" w:line="480" w:lineRule="auto"/>
        <w:ind w:firstLine="720"/>
        <w:jc w:val="both"/>
        <w:rPr>
          <w:rFonts w:eastAsia="Calibri" w:cs="Times New Roman"/>
          <w:lang w:eastAsia="zh-CN"/>
        </w:rPr>
      </w:pPr>
      <w:r w:rsidRPr="1BE0CC58">
        <w:rPr>
          <w:rFonts w:eastAsia="Calibri" w:cs="Times New Roman"/>
          <w:lang w:eastAsia="zh-CN"/>
        </w:rPr>
        <w:t>NYCHA’s own data show an increase in the number of vacant units and the number of turnaround days to re-occupy vacant apartments</w:t>
      </w:r>
      <w:r w:rsidR="38DEE6D7" w:rsidRPr="1BE0CC58">
        <w:rPr>
          <w:rFonts w:eastAsia="Calibri" w:cs="Times New Roman"/>
          <w:lang w:eastAsia="zh-CN"/>
        </w:rPr>
        <w:t xml:space="preserve"> in recent years</w:t>
      </w:r>
      <w:r w:rsidR="223F46B5" w:rsidRPr="1BE0CC58">
        <w:rPr>
          <w:rFonts w:eastAsia="Calibri" w:cs="Times New Roman"/>
          <w:lang w:eastAsia="zh-CN"/>
        </w:rPr>
        <w:t xml:space="preserve">. </w:t>
      </w:r>
      <w:r w:rsidRPr="1BE0CC58">
        <w:rPr>
          <w:rFonts w:eastAsia="Calibri" w:cs="Times New Roman"/>
          <w:lang w:eastAsia="zh-CN"/>
        </w:rPr>
        <w:t>There are three categories of unoccupied apartments o</w:t>
      </w:r>
      <w:r w:rsidR="5D52516B" w:rsidRPr="1BE0CC58">
        <w:rPr>
          <w:rFonts w:eastAsia="Calibri" w:cs="Times New Roman"/>
          <w:lang w:eastAsia="zh-CN"/>
        </w:rPr>
        <w:t>n the NYCHA Metrics page of NYCHA.info: move-in/selected</w:t>
      </w:r>
      <w:r w:rsidR="0B17B177" w:rsidRPr="1BE0CC58">
        <w:rPr>
          <w:rFonts w:eastAsia="Calibri" w:cs="Times New Roman"/>
          <w:lang w:eastAsia="zh-CN"/>
        </w:rPr>
        <w:t>, non-dwelling,</w:t>
      </w:r>
      <w:r w:rsidR="5D52516B" w:rsidRPr="1BE0CC58">
        <w:rPr>
          <w:rFonts w:eastAsia="Calibri" w:cs="Times New Roman"/>
          <w:lang w:eastAsia="zh-CN"/>
        </w:rPr>
        <w:t xml:space="preserve"> and</w:t>
      </w:r>
      <w:r w:rsidR="0B17B177" w:rsidRPr="1BE0CC58">
        <w:rPr>
          <w:rFonts w:eastAsia="Calibri" w:cs="Times New Roman"/>
          <w:lang w:eastAsia="zh-CN"/>
        </w:rPr>
        <w:t xml:space="preserve"> vacant</w:t>
      </w:r>
      <w:r w:rsidR="5D52516B" w:rsidRPr="1BE0CC58">
        <w:rPr>
          <w:rFonts w:eastAsia="Calibri" w:cs="Times New Roman"/>
          <w:lang w:eastAsia="zh-CN"/>
        </w:rPr>
        <w:t>.</w:t>
      </w:r>
      <w:r w:rsidR="003B76BF" w:rsidRPr="1BE0CC58">
        <w:rPr>
          <w:rFonts w:eastAsia="Calibri" w:cs="Times New Roman"/>
          <w:vertAlign w:val="superscript"/>
          <w:lang w:eastAsia="zh-CN"/>
        </w:rPr>
        <w:footnoteReference w:id="29"/>
      </w:r>
      <w:r w:rsidR="5D52516B" w:rsidRPr="1BE0CC58">
        <w:rPr>
          <w:rFonts w:eastAsia="Calibri" w:cs="Times New Roman"/>
          <w:lang w:eastAsia="zh-CN"/>
        </w:rPr>
        <w:t xml:space="preserve"> ‘Move-in/selected’ is defined as an apartment which has “been chosen for a family to move into.”</w:t>
      </w:r>
      <w:r w:rsidR="003B76BF" w:rsidRPr="1BE0CC58">
        <w:rPr>
          <w:rFonts w:eastAsia="Calibri" w:cs="Times New Roman"/>
          <w:vertAlign w:val="superscript"/>
          <w:lang w:eastAsia="zh-CN"/>
        </w:rPr>
        <w:footnoteReference w:id="30"/>
      </w:r>
      <w:r w:rsidR="5D52516B" w:rsidRPr="1BE0CC58">
        <w:rPr>
          <w:rFonts w:eastAsia="Calibri" w:cs="Times New Roman"/>
          <w:lang w:eastAsia="zh-CN"/>
        </w:rPr>
        <w:t xml:space="preserve"> ‘Non-dwelling’ is defined as apartments “being renovated or are not for residential use.”</w:t>
      </w:r>
      <w:r w:rsidR="003B76BF" w:rsidRPr="1BE0CC58">
        <w:rPr>
          <w:rFonts w:eastAsia="Calibri" w:cs="Times New Roman"/>
          <w:vertAlign w:val="superscript"/>
          <w:lang w:eastAsia="zh-CN"/>
        </w:rPr>
        <w:footnoteReference w:id="31"/>
      </w:r>
      <w:r w:rsidR="5F50A614" w:rsidRPr="1BE0CC58">
        <w:rPr>
          <w:rFonts w:eastAsia="Calibri" w:cs="Times New Roman"/>
          <w:lang w:eastAsia="zh-CN"/>
        </w:rPr>
        <w:t xml:space="preserve"> ‘Vacant’</w:t>
      </w:r>
      <w:r w:rsidR="5D52516B" w:rsidRPr="1BE0CC58">
        <w:rPr>
          <w:rFonts w:eastAsia="Calibri" w:cs="Times New Roman"/>
          <w:lang w:eastAsia="zh-CN"/>
        </w:rPr>
        <w:t xml:space="preserve"> </w:t>
      </w:r>
      <w:r w:rsidR="5F50A614" w:rsidRPr="1BE0CC58">
        <w:rPr>
          <w:rFonts w:eastAsia="Calibri" w:cs="Times New Roman"/>
          <w:lang w:eastAsia="zh-CN"/>
        </w:rPr>
        <w:t>does not have a specific definition, leading a reader to assume that NYCHA uses the term as it is commonly understood, or as any unoccupied apartment not falling into the other two categories.</w:t>
      </w:r>
      <w:r w:rsidR="43D1BF71" w:rsidRPr="1BE0CC58">
        <w:rPr>
          <w:rFonts w:eastAsia="Calibri" w:cs="Times New Roman"/>
          <w:lang w:eastAsia="zh-CN"/>
        </w:rPr>
        <w:t xml:space="preserve"> NYCHA’s data</w:t>
      </w:r>
      <w:r w:rsidR="2123C50E" w:rsidRPr="1BE0CC58">
        <w:rPr>
          <w:rFonts w:eastAsia="Calibri" w:cs="Times New Roman"/>
          <w:lang w:eastAsia="zh-CN"/>
        </w:rPr>
        <w:t xml:space="preserve"> show</w:t>
      </w:r>
      <w:r w:rsidR="155945F0" w:rsidRPr="1BE0CC58">
        <w:rPr>
          <w:rFonts w:eastAsia="Calibri" w:cs="Times New Roman"/>
          <w:lang w:eastAsia="zh-CN"/>
        </w:rPr>
        <w:t xml:space="preserve"> that from December 2021 to December 2022, the total number of unoccupied apartments increased from 4,172 to 6,985; the largest increase came from the number of vacant apartments, </w:t>
      </w:r>
      <w:r w:rsidR="4D6DCF9C" w:rsidRPr="1BE0CC58">
        <w:rPr>
          <w:rFonts w:eastAsia="Calibri" w:cs="Times New Roman"/>
          <w:lang w:eastAsia="zh-CN"/>
        </w:rPr>
        <w:t xml:space="preserve">which jumped drastically from </w:t>
      </w:r>
      <w:r w:rsidR="155945F0" w:rsidRPr="1BE0CC58">
        <w:rPr>
          <w:rFonts w:eastAsia="Calibri" w:cs="Times New Roman"/>
          <w:lang w:eastAsia="zh-CN"/>
        </w:rPr>
        <w:t>490 to over 3,300.</w:t>
      </w:r>
      <w:r w:rsidR="0090603E" w:rsidRPr="1BE0CC58">
        <w:rPr>
          <w:rStyle w:val="FootnoteReference"/>
          <w:rFonts w:eastAsia="Calibri" w:cs="Times New Roman"/>
          <w:lang w:eastAsia="zh-CN"/>
        </w:rPr>
        <w:footnoteReference w:id="32"/>
      </w:r>
      <w:r w:rsidR="1C83D95E" w:rsidRPr="1BE0CC58">
        <w:rPr>
          <w:rFonts w:eastAsia="Calibri" w:cs="Times New Roman"/>
          <w:lang w:eastAsia="zh-CN"/>
        </w:rPr>
        <w:t xml:space="preserve"> </w:t>
      </w:r>
      <w:r w:rsidR="24EEEBAF" w:rsidRPr="1BE0CC58">
        <w:rPr>
          <w:rFonts w:eastAsia="Calibri" w:cs="Times New Roman"/>
          <w:lang w:eastAsia="zh-CN"/>
        </w:rPr>
        <w:t>More recent</w:t>
      </w:r>
      <w:r w:rsidR="7AF31FDE" w:rsidRPr="1BE0CC58">
        <w:rPr>
          <w:rFonts w:eastAsia="Calibri" w:cs="Times New Roman"/>
          <w:lang w:eastAsia="zh-CN"/>
        </w:rPr>
        <w:t xml:space="preserve"> </w:t>
      </w:r>
      <w:r w:rsidR="24EEEBAF" w:rsidRPr="1BE0CC58">
        <w:rPr>
          <w:rFonts w:eastAsia="Calibri" w:cs="Times New Roman"/>
          <w:lang w:eastAsia="zh-CN"/>
        </w:rPr>
        <w:t xml:space="preserve">NYCHA data show that this </w:t>
      </w:r>
      <w:r w:rsidR="07F6F6DC" w:rsidRPr="1BE0CC58">
        <w:rPr>
          <w:rFonts w:eastAsia="Calibri" w:cs="Times New Roman"/>
          <w:lang w:eastAsia="zh-CN"/>
        </w:rPr>
        <w:t xml:space="preserve">increase </w:t>
      </w:r>
      <w:r w:rsidR="24EEEBAF" w:rsidRPr="1BE0CC58">
        <w:rPr>
          <w:rFonts w:eastAsia="Calibri" w:cs="Times New Roman"/>
          <w:lang w:eastAsia="zh-CN"/>
        </w:rPr>
        <w:t>has continued. From April 2024 to April 2025, the total number of unoccupied apartments increased from 8,982 to 10,162</w:t>
      </w:r>
      <w:r w:rsidR="18BF87BD" w:rsidRPr="1BE0CC58">
        <w:rPr>
          <w:rFonts w:eastAsia="Calibri" w:cs="Times New Roman"/>
          <w:lang w:eastAsia="zh-CN"/>
        </w:rPr>
        <w:t>,</w:t>
      </w:r>
      <w:r w:rsidR="24EEEBAF" w:rsidRPr="1BE0CC58">
        <w:rPr>
          <w:rFonts w:eastAsia="Calibri" w:cs="Times New Roman"/>
          <w:lang w:eastAsia="zh-CN"/>
        </w:rPr>
        <w:t xml:space="preserve"> with the largest increase again coming from the growth in vacant apartments, </w:t>
      </w:r>
      <w:r w:rsidR="00674448">
        <w:rPr>
          <w:rFonts w:eastAsia="Calibri" w:cs="Times New Roman"/>
          <w:lang w:eastAsia="zh-CN"/>
        </w:rPr>
        <w:t xml:space="preserve">from </w:t>
      </w:r>
      <w:r w:rsidR="24EEEBAF" w:rsidRPr="1BE0CC58">
        <w:rPr>
          <w:rFonts w:eastAsia="Calibri" w:cs="Times New Roman"/>
          <w:lang w:eastAsia="zh-CN"/>
        </w:rPr>
        <w:t>4,982 to 5,887.</w:t>
      </w:r>
      <w:r w:rsidR="007D55B7" w:rsidRPr="1BE0CC58">
        <w:rPr>
          <w:rStyle w:val="FootnoteReference"/>
          <w:rFonts w:eastAsia="Calibri" w:cs="Times New Roman"/>
          <w:lang w:eastAsia="zh-CN"/>
        </w:rPr>
        <w:footnoteReference w:id="33"/>
      </w:r>
      <w:r w:rsidR="63257564" w:rsidRPr="1BE0CC58">
        <w:rPr>
          <w:rFonts w:eastAsia="Calibri" w:cs="Times New Roman"/>
          <w:lang w:eastAsia="zh-CN"/>
        </w:rPr>
        <w:t xml:space="preserve"> Thus, in April 2025 NYCHA’</w:t>
      </w:r>
      <w:r w:rsidR="626A48B2" w:rsidRPr="1BE0CC58">
        <w:rPr>
          <w:rFonts w:eastAsia="Calibri" w:cs="Times New Roman"/>
          <w:lang w:eastAsia="zh-CN"/>
        </w:rPr>
        <w:t>s occupancy rate was 93.3%, one of the lowest in the past two decades.</w:t>
      </w:r>
    </w:p>
    <w:p w14:paraId="35C46D97" w14:textId="1D03908B" w:rsidR="007453A1" w:rsidRDefault="00674448" w:rsidP="00B10772">
      <w:pPr>
        <w:suppressAutoHyphens/>
        <w:spacing w:after="0" w:line="480" w:lineRule="auto"/>
        <w:ind w:firstLine="720"/>
        <w:jc w:val="both"/>
        <w:rPr>
          <w:rFonts w:eastAsia="Calibri" w:cs="Times New Roman"/>
          <w:bCs/>
          <w:iCs/>
          <w:szCs w:val="24"/>
          <w:lang w:eastAsia="zh-CN"/>
        </w:rPr>
      </w:pPr>
      <w:r>
        <w:rPr>
          <w:rFonts w:eastAsia="Calibri" w:cs="Times New Roman"/>
          <w:bCs/>
          <w:iCs/>
          <w:szCs w:val="24"/>
          <w:lang w:eastAsia="zh-CN"/>
        </w:rPr>
        <w:t xml:space="preserve">Between </w:t>
      </w:r>
      <w:r w:rsidR="008D632B">
        <w:rPr>
          <w:rFonts w:eastAsia="Calibri" w:cs="Times New Roman"/>
          <w:bCs/>
          <w:iCs/>
          <w:szCs w:val="24"/>
          <w:lang w:eastAsia="zh-CN"/>
        </w:rPr>
        <w:t xml:space="preserve">April 2024 </w:t>
      </w:r>
      <w:r>
        <w:rPr>
          <w:rFonts w:eastAsia="Calibri" w:cs="Times New Roman"/>
          <w:bCs/>
          <w:iCs/>
          <w:szCs w:val="24"/>
          <w:lang w:eastAsia="zh-CN"/>
        </w:rPr>
        <w:t xml:space="preserve">and </w:t>
      </w:r>
      <w:r w:rsidR="008D632B">
        <w:rPr>
          <w:rFonts w:eastAsia="Calibri" w:cs="Times New Roman"/>
          <w:bCs/>
          <w:iCs/>
          <w:szCs w:val="24"/>
          <w:lang w:eastAsia="zh-CN"/>
        </w:rPr>
        <w:t>April 2025, vacancies increased every month save for June, September, and November, resulting in an average increase of 75 more vacant apartments per month.</w:t>
      </w:r>
      <w:r w:rsidR="008D632B">
        <w:rPr>
          <w:rStyle w:val="FootnoteReference"/>
          <w:rFonts w:eastAsia="Calibri" w:cs="Times New Roman"/>
          <w:bCs/>
          <w:iCs/>
          <w:szCs w:val="24"/>
          <w:lang w:eastAsia="zh-CN"/>
        </w:rPr>
        <w:footnoteReference w:id="34"/>
      </w:r>
      <w:r w:rsidR="008D632B">
        <w:rPr>
          <w:rFonts w:eastAsia="Calibri" w:cs="Times New Roman"/>
          <w:bCs/>
          <w:iCs/>
          <w:szCs w:val="24"/>
          <w:lang w:eastAsia="zh-CN"/>
        </w:rPr>
        <w:t xml:space="preserve"> </w:t>
      </w:r>
      <w:r w:rsidR="008513CF">
        <w:rPr>
          <w:rFonts w:eastAsia="Calibri" w:cs="Times New Roman"/>
          <w:bCs/>
          <w:iCs/>
          <w:szCs w:val="24"/>
          <w:lang w:eastAsia="zh-CN"/>
        </w:rPr>
        <w:t>Reviewing the publicly available data shows no singular development driving this increase</w:t>
      </w:r>
      <w:r w:rsidR="00FC3149">
        <w:rPr>
          <w:rFonts w:eastAsia="Calibri" w:cs="Times New Roman"/>
          <w:bCs/>
          <w:iCs/>
          <w:szCs w:val="24"/>
          <w:lang w:eastAsia="zh-CN"/>
        </w:rPr>
        <w:t xml:space="preserve">, and </w:t>
      </w:r>
      <w:r w:rsidR="008513CF">
        <w:rPr>
          <w:rFonts w:eastAsia="Calibri" w:cs="Times New Roman"/>
          <w:bCs/>
          <w:iCs/>
          <w:szCs w:val="24"/>
          <w:lang w:eastAsia="zh-CN"/>
        </w:rPr>
        <w:t>the boroughs maintained somewhat similar rates of vacant units; for example, in April 2025 the highest occupancy rate was Queens at 94.8% while the lowest was Staten Island at 88.3%.</w:t>
      </w:r>
      <w:r w:rsidR="00506F09">
        <w:rPr>
          <w:rStyle w:val="FootnoteReference"/>
          <w:rFonts w:eastAsia="Calibri" w:cs="Times New Roman"/>
          <w:bCs/>
          <w:iCs/>
          <w:szCs w:val="24"/>
          <w:lang w:eastAsia="zh-CN"/>
        </w:rPr>
        <w:footnoteReference w:id="35"/>
      </w:r>
      <w:r w:rsidR="00120243">
        <w:rPr>
          <w:rFonts w:eastAsia="Calibri" w:cs="Times New Roman"/>
          <w:bCs/>
          <w:iCs/>
          <w:szCs w:val="24"/>
          <w:lang w:eastAsia="zh-CN"/>
        </w:rPr>
        <w:t xml:space="preserve"> </w:t>
      </w:r>
      <w:r w:rsidR="00FC3149">
        <w:rPr>
          <w:rFonts w:eastAsia="Calibri" w:cs="Times New Roman"/>
          <w:bCs/>
          <w:iCs/>
          <w:szCs w:val="24"/>
          <w:lang w:eastAsia="zh-CN"/>
        </w:rPr>
        <w:t>This distributed growth across boroughs and developments further suggests that the vacancies are a portfolio-wide issue.</w:t>
      </w:r>
    </w:p>
    <w:p w14:paraId="4BAD030F" w14:textId="77777777" w:rsidR="00FC3149" w:rsidRDefault="00FC3149" w:rsidP="00CF4EE3">
      <w:pPr>
        <w:suppressAutoHyphens/>
        <w:spacing w:after="0" w:line="240" w:lineRule="auto"/>
        <w:ind w:firstLine="720"/>
        <w:jc w:val="center"/>
        <w:rPr>
          <w:rFonts w:eastAsia="Calibri" w:cs="Times New Roman"/>
          <w:lang w:eastAsia="zh-CN"/>
        </w:rPr>
      </w:pPr>
      <w:r>
        <w:rPr>
          <w:noProof/>
        </w:rPr>
        <w:drawing>
          <wp:inline distT="0" distB="0" distL="0" distR="0" wp14:anchorId="7C935D31" wp14:editId="3C6B1B9C">
            <wp:extent cx="5943600" cy="3690402"/>
            <wp:effectExtent l="0" t="0" r="0" b="5715"/>
            <wp:docPr id="6" name="Picture 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5943600" cy="3690402"/>
                    </a:xfrm>
                    <a:prstGeom prst="rect">
                      <a:avLst/>
                    </a:prstGeom>
                  </pic:spPr>
                </pic:pic>
              </a:graphicData>
            </a:graphic>
          </wp:inline>
        </w:drawing>
      </w:r>
      <w:r>
        <w:br/>
      </w:r>
      <w:r w:rsidR="6589A662" w:rsidRPr="284BFD72">
        <w:rPr>
          <w:rFonts w:eastAsia="Calibri" w:cs="Times New Roman"/>
          <w:sz w:val="16"/>
          <w:szCs w:val="16"/>
          <w:lang w:eastAsia="zh-CN"/>
        </w:rPr>
        <w:t xml:space="preserve"> Figure 1: Average Vacancy Percentage by Borough (April 2024 - April 2025)</w:t>
      </w:r>
      <w:r w:rsidR="006C0F3A" w:rsidRPr="284BFD72">
        <w:rPr>
          <w:rFonts w:eastAsia="Calibri" w:cs="Times New Roman"/>
          <w:sz w:val="16"/>
          <w:szCs w:val="16"/>
          <w:lang w:eastAsia="zh-CN"/>
        </w:rPr>
        <w:t xml:space="preserve">. Data from </w:t>
      </w:r>
      <w:hyperlink r:id="rId13" w:anchor="tab_vacancies">
        <w:r w:rsidR="006C0F3A" w:rsidRPr="284BFD72">
          <w:rPr>
            <w:rStyle w:val="Hyperlink"/>
            <w:rFonts w:eastAsia="Calibri" w:cs="Times New Roman"/>
            <w:sz w:val="16"/>
            <w:szCs w:val="16"/>
            <w:lang w:eastAsia="zh-CN"/>
          </w:rPr>
          <w:t>https://eapps.nycha.info/NychaMetrics/Charts/PublicHousingChartsTabs/?section=public_housing&amp;tab=tab_vacancies#tab_vacancies</w:t>
        </w:r>
      </w:hyperlink>
      <w:r w:rsidR="006C0F3A" w:rsidRPr="284BFD72">
        <w:rPr>
          <w:rFonts w:eastAsia="Calibri" w:cs="Times New Roman"/>
          <w:sz w:val="16"/>
          <w:szCs w:val="16"/>
          <w:lang w:eastAsia="zh-CN"/>
        </w:rPr>
        <w:t xml:space="preserve">. </w:t>
      </w:r>
    </w:p>
    <w:p w14:paraId="475B420C" w14:textId="77777777" w:rsidR="007453A1" w:rsidRDefault="007453A1" w:rsidP="00B10772">
      <w:pPr>
        <w:suppressAutoHyphens/>
        <w:spacing w:after="0" w:line="480" w:lineRule="auto"/>
        <w:ind w:firstLine="720"/>
        <w:jc w:val="both"/>
        <w:rPr>
          <w:rFonts w:eastAsia="Calibri" w:cs="Times New Roman"/>
          <w:bCs/>
          <w:iCs/>
          <w:szCs w:val="24"/>
          <w:lang w:eastAsia="zh-CN"/>
        </w:rPr>
      </w:pPr>
    </w:p>
    <w:p w14:paraId="130199E8" w14:textId="77777777" w:rsidR="003B76BF" w:rsidRDefault="17EB3F07" w:rsidP="1BE0CC58">
      <w:pPr>
        <w:spacing w:after="0" w:line="480" w:lineRule="auto"/>
        <w:ind w:firstLine="720"/>
        <w:jc w:val="both"/>
        <w:rPr>
          <w:rStyle w:val="FootnoteReference"/>
          <w:rFonts w:eastAsia="Calibri" w:cs="Times New Roman"/>
          <w:lang w:eastAsia="zh-CN"/>
        </w:rPr>
      </w:pPr>
      <w:r w:rsidRPr="1BE0CC58">
        <w:rPr>
          <w:rFonts w:eastAsia="Calibri" w:cs="Times New Roman"/>
          <w:lang w:eastAsia="zh-CN"/>
        </w:rPr>
        <w:t xml:space="preserve">In the </w:t>
      </w:r>
      <w:r w:rsidR="12598350" w:rsidRPr="1BE0CC58">
        <w:rPr>
          <w:rFonts w:eastAsia="Calibri" w:cs="Times New Roman"/>
          <w:lang w:eastAsia="zh-CN"/>
        </w:rPr>
        <w:t xml:space="preserve">Fiscal Year </w:t>
      </w:r>
      <w:r w:rsidRPr="1BE0CC58">
        <w:rPr>
          <w:rFonts w:eastAsia="Calibri" w:cs="Times New Roman"/>
          <w:lang w:eastAsia="zh-CN"/>
        </w:rPr>
        <w:t xml:space="preserve">2025 Preliminary Mayor’s Management Report (“PMMR”), NYCHA </w:t>
      </w:r>
      <w:r w:rsidR="45210330" w:rsidRPr="1BE0CC58">
        <w:rPr>
          <w:rFonts w:eastAsia="Calibri" w:cs="Times New Roman"/>
          <w:lang w:eastAsia="zh-CN"/>
        </w:rPr>
        <w:t>s</w:t>
      </w:r>
      <w:r w:rsidR="2214C111" w:rsidRPr="1BE0CC58">
        <w:rPr>
          <w:rFonts w:eastAsia="Calibri" w:cs="Times New Roman"/>
          <w:lang w:eastAsia="zh-CN"/>
        </w:rPr>
        <w:t>hared</w:t>
      </w:r>
      <w:r w:rsidR="45210330" w:rsidRPr="1BE0CC58">
        <w:rPr>
          <w:rFonts w:eastAsia="Calibri" w:cs="Times New Roman"/>
          <w:lang w:eastAsia="zh-CN"/>
        </w:rPr>
        <w:t xml:space="preserve"> some </w:t>
      </w:r>
      <w:r w:rsidR="066A430C" w:rsidRPr="1BE0CC58">
        <w:rPr>
          <w:rFonts w:eastAsia="Calibri" w:cs="Times New Roman"/>
          <w:lang w:eastAsia="zh-CN"/>
        </w:rPr>
        <w:t>context for</w:t>
      </w:r>
      <w:r w:rsidR="45210330" w:rsidRPr="1BE0CC58">
        <w:rPr>
          <w:rFonts w:eastAsia="Calibri" w:cs="Times New Roman"/>
          <w:lang w:eastAsia="zh-CN"/>
        </w:rPr>
        <w:t xml:space="preserve"> </w:t>
      </w:r>
      <w:r w:rsidR="6221A6B3" w:rsidRPr="1BE0CC58">
        <w:rPr>
          <w:rFonts w:eastAsia="Calibri" w:cs="Times New Roman"/>
          <w:lang w:eastAsia="zh-CN"/>
        </w:rPr>
        <w:t xml:space="preserve">its </w:t>
      </w:r>
      <w:r w:rsidR="45210330" w:rsidRPr="1BE0CC58">
        <w:rPr>
          <w:rFonts w:eastAsia="Calibri" w:cs="Times New Roman"/>
          <w:lang w:eastAsia="zh-CN"/>
        </w:rPr>
        <w:t>reported numbers</w:t>
      </w:r>
      <w:r w:rsidR="2214C111" w:rsidRPr="1BE0CC58">
        <w:rPr>
          <w:rFonts w:eastAsia="Calibri" w:cs="Times New Roman"/>
          <w:lang w:eastAsia="zh-CN"/>
        </w:rPr>
        <w:t xml:space="preserve">. The Authority stated that </w:t>
      </w:r>
      <w:r w:rsidR="0B968388" w:rsidRPr="1BE0CC58">
        <w:rPr>
          <w:rFonts w:eastAsia="Calibri" w:cs="Times New Roman"/>
          <w:lang w:eastAsia="zh-CN"/>
        </w:rPr>
        <w:t xml:space="preserve">there were more vacant units available for rent </w:t>
      </w:r>
      <w:r w:rsidR="40F74555" w:rsidRPr="1BE0CC58">
        <w:rPr>
          <w:rFonts w:eastAsia="Calibri" w:cs="Times New Roman"/>
          <w:lang w:eastAsia="zh-CN"/>
        </w:rPr>
        <w:t xml:space="preserve">in </w:t>
      </w:r>
      <w:r w:rsidR="1473A25D" w:rsidRPr="1BE0CC58">
        <w:rPr>
          <w:rFonts w:eastAsia="Calibri" w:cs="Times New Roman"/>
          <w:lang w:eastAsia="zh-CN"/>
        </w:rPr>
        <w:t>October 2024</w:t>
      </w:r>
      <w:r w:rsidR="7332B654" w:rsidRPr="1BE0CC58">
        <w:rPr>
          <w:rFonts w:eastAsia="Calibri" w:cs="Times New Roman"/>
          <w:lang w:eastAsia="zh-CN"/>
        </w:rPr>
        <w:t xml:space="preserve"> </w:t>
      </w:r>
      <w:r w:rsidR="03513C22" w:rsidRPr="1BE0CC58">
        <w:rPr>
          <w:rFonts w:eastAsia="Calibri" w:cs="Times New Roman"/>
          <w:lang w:eastAsia="zh-CN"/>
        </w:rPr>
        <w:t>than</w:t>
      </w:r>
      <w:r w:rsidR="1473A25D" w:rsidRPr="1BE0CC58">
        <w:rPr>
          <w:rFonts w:eastAsia="Calibri" w:cs="Times New Roman"/>
          <w:lang w:eastAsia="zh-CN"/>
        </w:rPr>
        <w:t xml:space="preserve"> October 2023 </w:t>
      </w:r>
      <w:r w:rsidR="794230A6" w:rsidRPr="1BE0CC58">
        <w:rPr>
          <w:rFonts w:eastAsia="Calibri" w:cs="Times New Roman"/>
          <w:lang w:eastAsia="zh-CN"/>
        </w:rPr>
        <w:t xml:space="preserve">because </w:t>
      </w:r>
      <w:r w:rsidR="524AE935" w:rsidRPr="1BE0CC58">
        <w:rPr>
          <w:rFonts w:eastAsia="Calibri" w:cs="Times New Roman"/>
          <w:lang w:eastAsia="zh-CN"/>
        </w:rPr>
        <w:t>units that were previously held for relocation for comprehensive modernization projects at some NYCHA developments were returned to the rent roll.</w:t>
      </w:r>
      <w:r w:rsidR="00404B35" w:rsidRPr="1BE0CC58">
        <w:rPr>
          <w:rStyle w:val="FootnoteReference"/>
          <w:rFonts w:eastAsia="Calibri" w:cs="Times New Roman"/>
          <w:lang w:eastAsia="zh-CN"/>
        </w:rPr>
        <w:footnoteReference w:id="36"/>
      </w:r>
    </w:p>
    <w:p w14:paraId="3F7A2110" w14:textId="77777777" w:rsidR="003B76BF" w:rsidRDefault="15EBD187" w:rsidP="1BE0CC58">
      <w:pPr>
        <w:spacing w:after="0" w:line="480" w:lineRule="auto"/>
        <w:ind w:firstLine="720"/>
        <w:jc w:val="both"/>
        <w:rPr>
          <w:rFonts w:eastAsia="Calibri" w:cs="Times New Roman"/>
          <w:lang w:eastAsia="zh-CN"/>
        </w:rPr>
      </w:pPr>
      <w:r w:rsidRPr="1BE0CC58">
        <w:rPr>
          <w:rFonts w:eastAsia="Calibri" w:cs="Times New Roman"/>
          <w:lang w:eastAsia="zh-CN"/>
        </w:rPr>
        <w:t>The average amount of time it takes NYCHA to make a vacant unit suitable for occupancy</w:t>
      </w:r>
      <w:r w:rsidR="3DCE1D0C" w:rsidRPr="1BE0CC58">
        <w:rPr>
          <w:rFonts w:eastAsia="Calibri" w:cs="Times New Roman"/>
          <w:lang w:eastAsia="zh-CN"/>
        </w:rPr>
        <w:t>—</w:t>
      </w:r>
      <w:r w:rsidRPr="1BE0CC58">
        <w:rPr>
          <w:rFonts w:eastAsia="Calibri" w:cs="Times New Roman"/>
          <w:lang w:eastAsia="zh-CN"/>
        </w:rPr>
        <w:t>referred</w:t>
      </w:r>
      <w:r w:rsidR="1AC244DC" w:rsidRPr="1BE0CC58">
        <w:rPr>
          <w:rFonts w:eastAsia="Calibri" w:cs="Times New Roman"/>
          <w:lang w:eastAsia="zh-CN"/>
        </w:rPr>
        <w:t xml:space="preserve"> </w:t>
      </w:r>
      <w:r w:rsidR="3DCE1D0C" w:rsidRPr="1BE0CC58">
        <w:rPr>
          <w:rFonts w:eastAsia="Calibri" w:cs="Times New Roman"/>
          <w:lang w:eastAsia="zh-CN"/>
        </w:rPr>
        <w:t xml:space="preserve">to as “turnaround time”—has also been a point of </w:t>
      </w:r>
      <w:r w:rsidR="3F590375" w:rsidRPr="1BE0CC58">
        <w:rPr>
          <w:rFonts w:eastAsia="Calibri" w:cs="Times New Roman"/>
          <w:lang w:eastAsia="zh-CN"/>
        </w:rPr>
        <w:t>focus for the Authority</w:t>
      </w:r>
      <w:r w:rsidR="3DCE1D0C" w:rsidRPr="1BE0CC58">
        <w:rPr>
          <w:rFonts w:eastAsia="Calibri" w:cs="Times New Roman"/>
          <w:lang w:eastAsia="zh-CN"/>
        </w:rPr>
        <w:t xml:space="preserve">. </w:t>
      </w:r>
      <w:r w:rsidR="1CEC0813" w:rsidRPr="1BE0CC58">
        <w:rPr>
          <w:rFonts w:eastAsia="Calibri" w:cs="Times New Roman"/>
          <w:lang w:eastAsia="zh-CN"/>
        </w:rPr>
        <w:t>Notably</w:t>
      </w:r>
      <w:r w:rsidR="440B6FC8" w:rsidRPr="1BE0CC58">
        <w:rPr>
          <w:rFonts w:eastAsia="Calibri" w:cs="Times New Roman"/>
          <w:lang w:eastAsia="zh-CN"/>
        </w:rPr>
        <w:t>, NYCHA data show that in April 2025, the average turnaround time was 362 days</w:t>
      </w:r>
      <w:r w:rsidR="77C4E105" w:rsidRPr="1BE0CC58">
        <w:rPr>
          <w:rFonts w:eastAsia="Calibri" w:cs="Times New Roman"/>
          <w:lang w:eastAsia="zh-CN"/>
        </w:rPr>
        <w:t>, down from 440 days in April 2024</w:t>
      </w:r>
      <w:r w:rsidR="440B6FC8" w:rsidRPr="1BE0CC58">
        <w:rPr>
          <w:rFonts w:eastAsia="Calibri" w:cs="Times New Roman"/>
          <w:lang w:eastAsia="zh-CN"/>
        </w:rPr>
        <w:t>.</w:t>
      </w:r>
      <w:r w:rsidR="009418CD" w:rsidRPr="1BE0CC58">
        <w:rPr>
          <w:rStyle w:val="FootnoteReference"/>
          <w:rFonts w:eastAsia="Calibri" w:cs="Times New Roman"/>
          <w:lang w:eastAsia="zh-CN"/>
        </w:rPr>
        <w:footnoteReference w:id="37"/>
      </w:r>
      <w:r w:rsidR="440B6FC8" w:rsidRPr="1BE0CC58">
        <w:rPr>
          <w:rFonts w:eastAsia="Calibri" w:cs="Times New Roman"/>
          <w:lang w:eastAsia="zh-CN"/>
        </w:rPr>
        <w:t xml:space="preserve"> </w:t>
      </w:r>
      <w:r w:rsidR="5F4BAADD" w:rsidRPr="1BE0CC58">
        <w:rPr>
          <w:rFonts w:eastAsia="Calibri" w:cs="Times New Roman"/>
          <w:lang w:eastAsia="zh-CN"/>
        </w:rPr>
        <w:t xml:space="preserve">However, </w:t>
      </w:r>
      <w:r w:rsidR="0F8A0DD2" w:rsidRPr="1BE0CC58">
        <w:rPr>
          <w:rFonts w:eastAsia="Calibri" w:cs="Times New Roman"/>
          <w:lang w:eastAsia="zh-CN"/>
        </w:rPr>
        <w:t>compared with the first four months of Fiscal Year 2024, the same reporting period of Fiscal Year 2025 saw a rise in turnaround time to re-occupy apartments, from 408.8 days to 423.1 days.</w:t>
      </w:r>
      <w:r w:rsidR="00885C98" w:rsidRPr="1BE0CC58">
        <w:rPr>
          <w:rStyle w:val="FootnoteReference"/>
          <w:rFonts w:eastAsia="Calibri" w:cs="Times New Roman"/>
          <w:lang w:eastAsia="zh-CN"/>
        </w:rPr>
        <w:footnoteReference w:id="38"/>
      </w:r>
      <w:r w:rsidR="0F8A0DD2" w:rsidRPr="1BE0CC58">
        <w:rPr>
          <w:rFonts w:eastAsia="Calibri" w:cs="Times New Roman"/>
          <w:lang w:eastAsia="zh-CN"/>
        </w:rPr>
        <w:t xml:space="preserve"> </w:t>
      </w:r>
      <w:r w:rsidR="61663D2B" w:rsidRPr="1BE0CC58">
        <w:rPr>
          <w:rFonts w:eastAsia="Calibri" w:cs="Times New Roman"/>
          <w:lang w:eastAsia="zh-CN"/>
        </w:rPr>
        <w:t xml:space="preserve">Furthermore, </w:t>
      </w:r>
      <w:r w:rsidR="041579B9" w:rsidRPr="1BE0CC58">
        <w:rPr>
          <w:rFonts w:eastAsia="Calibri" w:cs="Times New Roman"/>
          <w:lang w:eastAsia="zh-CN"/>
        </w:rPr>
        <w:t>the average turnaround times reported in 2025 are a</w:t>
      </w:r>
      <w:r w:rsidR="61663D2B" w:rsidRPr="1BE0CC58">
        <w:rPr>
          <w:rFonts w:eastAsia="Calibri" w:cs="Times New Roman"/>
          <w:lang w:eastAsia="zh-CN"/>
        </w:rPr>
        <w:t xml:space="preserve"> significant increase from the 120-day average reported in December 2021 and the 260-day average reported in December 2022.</w:t>
      </w:r>
      <w:r w:rsidR="00885C98" w:rsidRPr="1BE0CC58">
        <w:rPr>
          <w:rStyle w:val="FootnoteReference"/>
          <w:rFonts w:eastAsia="Calibri" w:cs="Times New Roman"/>
          <w:lang w:eastAsia="zh-CN"/>
        </w:rPr>
        <w:footnoteReference w:id="39"/>
      </w:r>
      <w:r w:rsidR="2CDB9017" w:rsidRPr="1BE0CC58">
        <w:rPr>
          <w:rStyle w:val="FootnoteReference"/>
          <w:rFonts w:eastAsia="Calibri" w:cs="Times New Roman"/>
          <w:lang w:eastAsia="zh-CN"/>
        </w:rPr>
        <w:t xml:space="preserve"> </w:t>
      </w:r>
      <w:r w:rsidR="4E961102" w:rsidRPr="1BE0CC58">
        <w:rPr>
          <w:rFonts w:eastAsia="Calibri" w:cs="Times New Roman"/>
          <w:lang w:eastAsia="zh-CN"/>
        </w:rPr>
        <w:t>In the Fiscal Year 2025 PMMR, N</w:t>
      </w:r>
      <w:r w:rsidR="0F8A0DD2" w:rsidRPr="1BE0CC58">
        <w:rPr>
          <w:rFonts w:eastAsia="Calibri" w:cs="Times New Roman"/>
          <w:lang w:eastAsia="zh-CN"/>
        </w:rPr>
        <w:t>YCHA did not cite any contributing factors and simply said that while it is above its target of 300</w:t>
      </w:r>
      <w:r w:rsidR="43F87155" w:rsidRPr="1BE0CC58">
        <w:rPr>
          <w:rFonts w:eastAsia="Calibri" w:cs="Times New Roman"/>
          <w:lang w:eastAsia="zh-CN"/>
        </w:rPr>
        <w:t>-</w:t>
      </w:r>
      <w:r w:rsidR="0F8A0DD2" w:rsidRPr="1BE0CC58">
        <w:rPr>
          <w:rFonts w:eastAsia="Calibri" w:cs="Times New Roman"/>
          <w:lang w:eastAsia="zh-CN"/>
        </w:rPr>
        <w:t>day turnaround</w:t>
      </w:r>
      <w:r w:rsidR="57345439" w:rsidRPr="1BE0CC58">
        <w:rPr>
          <w:rFonts w:eastAsia="Calibri" w:cs="Times New Roman"/>
          <w:lang w:eastAsia="zh-CN"/>
        </w:rPr>
        <w:t>s</w:t>
      </w:r>
      <w:r w:rsidR="0F8A0DD2" w:rsidRPr="1BE0CC58">
        <w:rPr>
          <w:rFonts w:eastAsia="Calibri" w:cs="Times New Roman"/>
          <w:lang w:eastAsia="zh-CN"/>
        </w:rPr>
        <w:t>, the pace of increase in turnaround time is slowing as NYCHA continues to prioritize completing the required preparation to turn over a unit.</w:t>
      </w:r>
      <w:r w:rsidR="00885C98" w:rsidRPr="1BE0CC58">
        <w:rPr>
          <w:rStyle w:val="FootnoteReference"/>
          <w:rFonts w:eastAsia="Calibri" w:cs="Times New Roman"/>
          <w:lang w:eastAsia="zh-CN"/>
        </w:rPr>
        <w:footnoteReference w:id="40"/>
      </w:r>
      <w:r w:rsidR="0F8A0DD2" w:rsidRPr="1BE0CC58">
        <w:rPr>
          <w:rFonts w:eastAsia="Calibri" w:cs="Times New Roman"/>
          <w:lang w:eastAsia="zh-CN"/>
        </w:rPr>
        <w:t xml:space="preserve"> This differs from past reporting, such as in the Fiscal Year 2022 Mayor’s Management Report, where NYCHA stated that one of the reasons for longer turnaround times was increased testing and abatement requirements for lead and asbestos.</w:t>
      </w:r>
      <w:r w:rsidR="00885C98" w:rsidRPr="1BE0CC58">
        <w:rPr>
          <w:rStyle w:val="FootnoteReference"/>
          <w:rFonts w:eastAsia="Calibri" w:cs="Times New Roman"/>
          <w:lang w:eastAsia="zh-CN"/>
        </w:rPr>
        <w:footnoteReference w:id="41"/>
      </w:r>
    </w:p>
    <w:p w14:paraId="4B533D1A" w14:textId="77777777" w:rsidR="1BE0CC58" w:rsidRDefault="3B322DE3" w:rsidP="00CF4EE3">
      <w:pPr>
        <w:suppressAutoHyphens/>
        <w:spacing w:after="0" w:line="480" w:lineRule="auto"/>
        <w:ind w:firstLine="720"/>
        <w:jc w:val="both"/>
        <w:rPr>
          <w:rFonts w:eastAsia="Calibri" w:cs="Times New Roman"/>
          <w:lang w:eastAsia="zh-CN"/>
        </w:rPr>
      </w:pPr>
      <w:r w:rsidRPr="1BE0CC58">
        <w:rPr>
          <w:rFonts w:eastAsia="Calibri" w:cs="Times New Roman"/>
          <w:lang w:eastAsia="zh-CN"/>
        </w:rPr>
        <w:t xml:space="preserve">NYCHA </w:t>
      </w:r>
      <w:r w:rsidR="4F75C4F4" w:rsidRPr="1BE0CC58">
        <w:rPr>
          <w:rFonts w:eastAsia="Calibri" w:cs="Times New Roman"/>
          <w:lang w:eastAsia="zh-CN"/>
        </w:rPr>
        <w:t xml:space="preserve">has also reported </w:t>
      </w:r>
      <w:r w:rsidRPr="1BE0CC58">
        <w:rPr>
          <w:rFonts w:eastAsia="Calibri" w:cs="Times New Roman"/>
          <w:lang w:eastAsia="zh-CN"/>
        </w:rPr>
        <w:t>that the number of applicants placed in public housing increased from 353 in the first four months of Fiscal 2024 to 715 over the same period in Fiscal 2025.</w:t>
      </w:r>
      <w:r w:rsidR="008004FC" w:rsidRPr="1BE0CC58">
        <w:rPr>
          <w:rStyle w:val="FootnoteReference"/>
          <w:rFonts w:eastAsia="Calibri" w:cs="Times New Roman"/>
          <w:lang w:eastAsia="zh-CN"/>
        </w:rPr>
        <w:footnoteReference w:id="42"/>
      </w:r>
      <w:r w:rsidRPr="1BE0CC58">
        <w:rPr>
          <w:rFonts w:eastAsia="Calibri" w:cs="Times New Roman"/>
          <w:lang w:eastAsia="zh-CN"/>
        </w:rPr>
        <w:t xml:space="preserve"> However, NYCHA placed over 3,000 applicants into public housing each Fiscal Year from Fiscal 2018 to Fiscal 2021</w:t>
      </w:r>
      <w:r w:rsidR="627989A4" w:rsidRPr="1BE0CC58">
        <w:rPr>
          <w:rFonts w:eastAsia="Calibri" w:cs="Times New Roman"/>
          <w:lang w:eastAsia="zh-CN"/>
        </w:rPr>
        <w:t xml:space="preserve">, whereas </w:t>
      </w:r>
      <w:r w:rsidR="306061BC" w:rsidRPr="1BE0CC58">
        <w:rPr>
          <w:rFonts w:eastAsia="Calibri" w:cs="Times New Roman"/>
          <w:lang w:eastAsia="zh-CN"/>
        </w:rPr>
        <w:t xml:space="preserve">from Fiscal 2022 to Fiscal 2024, </w:t>
      </w:r>
      <w:r w:rsidR="1553A1BB" w:rsidRPr="1BE0CC58">
        <w:rPr>
          <w:rFonts w:eastAsia="Calibri" w:cs="Times New Roman"/>
          <w:lang w:eastAsia="zh-CN"/>
        </w:rPr>
        <w:t xml:space="preserve">the Authority </w:t>
      </w:r>
      <w:r w:rsidR="306061BC" w:rsidRPr="1BE0CC58">
        <w:rPr>
          <w:rFonts w:eastAsia="Calibri" w:cs="Times New Roman"/>
          <w:lang w:eastAsia="zh-CN"/>
        </w:rPr>
        <w:t>only placed 1,000 to 1,400 applicants into public housing each Fiscal Year.</w:t>
      </w:r>
      <w:r w:rsidR="00AA34B8" w:rsidRPr="1BE0CC58">
        <w:rPr>
          <w:rStyle w:val="FootnoteReference"/>
          <w:rFonts w:eastAsia="Calibri" w:cs="Times New Roman"/>
          <w:lang w:eastAsia="zh-CN"/>
        </w:rPr>
        <w:footnoteReference w:id="43"/>
      </w:r>
      <w:r w:rsidR="7D896885" w:rsidRPr="1BE0CC58">
        <w:rPr>
          <w:rFonts w:eastAsia="Calibri" w:cs="Times New Roman"/>
          <w:lang w:eastAsia="zh-CN"/>
        </w:rPr>
        <w:t xml:space="preserve"> The Fiscal 2022 Mayor’s Management Report attributed the decrease in public housing placements to a decrease in available NYCHA apartments, so it remains to be seen if the number of public housing placements for Fiscal 2025 will notably increase to reflect the increased number of units available for rent mentioned in the Fiscal 2025 PMMR.</w:t>
      </w:r>
      <w:r w:rsidR="001F73AD" w:rsidRPr="1BE0CC58">
        <w:rPr>
          <w:rStyle w:val="FootnoteReference"/>
          <w:rFonts w:eastAsia="Calibri" w:cs="Times New Roman"/>
          <w:lang w:eastAsia="zh-CN"/>
        </w:rPr>
        <w:footnoteReference w:id="44"/>
      </w:r>
    </w:p>
    <w:p w14:paraId="535BE390" w14:textId="77777777" w:rsidR="00B4001A" w:rsidRPr="00CF4EE3" w:rsidRDefault="00B4001A" w:rsidP="6F205C07">
      <w:pPr>
        <w:pStyle w:val="ListParagraph"/>
        <w:numPr>
          <w:ilvl w:val="0"/>
          <w:numId w:val="6"/>
        </w:numPr>
        <w:spacing w:after="0" w:line="480" w:lineRule="auto"/>
        <w:jc w:val="both"/>
        <w:rPr>
          <w:rFonts w:ascii="Times New Roman" w:hAnsi="Times New Roman"/>
          <w:b/>
          <w:bCs/>
          <w:sz w:val="24"/>
          <w:szCs w:val="24"/>
        </w:rPr>
      </w:pPr>
      <w:r w:rsidRPr="00CF4EE3">
        <w:rPr>
          <w:rFonts w:ascii="Times New Roman" w:hAnsi="Times New Roman"/>
          <w:b/>
          <w:bCs/>
          <w:sz w:val="24"/>
          <w:szCs w:val="24"/>
        </w:rPr>
        <w:t xml:space="preserve">Transfer </w:t>
      </w:r>
      <w:r w:rsidR="11DE8288" w:rsidRPr="00CF4EE3">
        <w:rPr>
          <w:rFonts w:ascii="Times New Roman" w:hAnsi="Times New Roman"/>
          <w:b/>
          <w:bCs/>
          <w:sz w:val="24"/>
          <w:szCs w:val="24"/>
        </w:rPr>
        <w:t xml:space="preserve">Process Challenges </w:t>
      </w:r>
    </w:p>
    <w:p w14:paraId="0735F258" w14:textId="77777777" w:rsidR="01A99DD0" w:rsidRDefault="72BE2A64" w:rsidP="1CEB5B50">
      <w:pPr>
        <w:spacing w:after="0" w:line="480" w:lineRule="auto"/>
        <w:ind w:firstLine="720"/>
        <w:jc w:val="both"/>
        <w:rPr>
          <w:szCs w:val="24"/>
        </w:rPr>
      </w:pPr>
      <w:r w:rsidRPr="1BE0CC58">
        <w:rPr>
          <w:szCs w:val="24"/>
        </w:rPr>
        <w:t>Advocates have been critical of NYCHA</w:t>
      </w:r>
      <w:r w:rsidR="70400A2D" w:rsidRPr="1BE0CC58">
        <w:rPr>
          <w:szCs w:val="24"/>
        </w:rPr>
        <w:t>’s</w:t>
      </w:r>
      <w:r w:rsidRPr="1BE0CC58">
        <w:rPr>
          <w:szCs w:val="24"/>
        </w:rPr>
        <w:t xml:space="preserve"> transfer policies as vacancies have risen</w:t>
      </w:r>
      <w:r w:rsidR="0A408C1D" w:rsidRPr="1BE0CC58">
        <w:rPr>
          <w:szCs w:val="24"/>
        </w:rPr>
        <w:t xml:space="preserve"> at public housing developments. </w:t>
      </w:r>
      <w:r w:rsidR="67A1F200" w:rsidRPr="1BE0CC58">
        <w:rPr>
          <w:szCs w:val="24"/>
        </w:rPr>
        <w:t xml:space="preserve">A December 2024 report by Legal Services NYC found that NYCHA’s emergency transfer system for survivors of </w:t>
      </w:r>
      <w:r w:rsidR="0FAEA6FC" w:rsidRPr="1BE0CC58">
        <w:rPr>
          <w:szCs w:val="24"/>
        </w:rPr>
        <w:t>gender-based</w:t>
      </w:r>
      <w:r w:rsidR="2909725B" w:rsidRPr="1BE0CC58">
        <w:rPr>
          <w:szCs w:val="24"/>
        </w:rPr>
        <w:t xml:space="preserve"> violence faces significant delays, with some</w:t>
      </w:r>
      <w:r w:rsidR="4069465B" w:rsidRPr="1BE0CC58">
        <w:rPr>
          <w:szCs w:val="24"/>
        </w:rPr>
        <w:t xml:space="preserve"> survivors waiting months or years for transfers despite being in danger</w:t>
      </w:r>
      <w:r w:rsidR="4CB37C3C" w:rsidRPr="1BE0CC58">
        <w:rPr>
          <w:szCs w:val="24"/>
        </w:rPr>
        <w:t xml:space="preserve"> in their current housing</w:t>
      </w:r>
      <w:r w:rsidR="4069465B" w:rsidRPr="1BE0CC58">
        <w:rPr>
          <w:szCs w:val="24"/>
        </w:rPr>
        <w:t>.</w:t>
      </w:r>
      <w:r w:rsidR="01A99DD0" w:rsidRPr="1CEB5B50">
        <w:rPr>
          <w:rStyle w:val="FootnoteReference"/>
          <w:szCs w:val="24"/>
        </w:rPr>
        <w:footnoteReference w:id="45"/>
      </w:r>
      <w:r w:rsidR="2CBD2E7F" w:rsidRPr="1BE0CC58">
        <w:rPr>
          <w:szCs w:val="24"/>
        </w:rPr>
        <w:t xml:space="preserve"> The report highlighted that one of the main reasons for the delays is the lack of available vacant units.</w:t>
      </w:r>
      <w:r w:rsidR="01A99DD0" w:rsidRPr="1CEB5B50">
        <w:rPr>
          <w:rStyle w:val="FootnoteReference"/>
          <w:szCs w:val="24"/>
        </w:rPr>
        <w:footnoteReference w:id="46"/>
      </w:r>
    </w:p>
    <w:p w14:paraId="3B9EC414" w14:textId="77777777" w:rsidR="297BB04A" w:rsidRDefault="7F5BAB2F" w:rsidP="1CEB5B50">
      <w:pPr>
        <w:spacing w:after="0" w:line="480" w:lineRule="auto"/>
        <w:ind w:firstLine="720"/>
        <w:jc w:val="both"/>
        <w:rPr>
          <w:szCs w:val="24"/>
        </w:rPr>
      </w:pPr>
      <w:r w:rsidRPr="1BE0CC58">
        <w:rPr>
          <w:szCs w:val="24"/>
        </w:rPr>
        <w:t>Additionally, the conversion of developments to PACT has complicated the transfer process. Tenants in PACT developments cannot</w:t>
      </w:r>
      <w:r w:rsidR="3D9F2B11" w:rsidRPr="1BE0CC58">
        <w:rPr>
          <w:szCs w:val="24"/>
        </w:rPr>
        <w:t xml:space="preserve"> </w:t>
      </w:r>
      <w:r w:rsidR="22C719BD" w:rsidRPr="1BE0CC58">
        <w:rPr>
          <w:szCs w:val="24"/>
        </w:rPr>
        <w:t>directly transfer from PACT back to Section 9</w:t>
      </w:r>
      <w:r w:rsidR="1B9860EE" w:rsidRPr="1BE0CC58">
        <w:rPr>
          <w:szCs w:val="24"/>
        </w:rPr>
        <w:t>,</w:t>
      </w:r>
      <w:r w:rsidR="22C719BD" w:rsidRPr="1BE0CC58">
        <w:rPr>
          <w:szCs w:val="24"/>
        </w:rPr>
        <w:t xml:space="preserve"> since </w:t>
      </w:r>
      <w:r w:rsidR="322560DA" w:rsidRPr="1BE0CC58">
        <w:rPr>
          <w:szCs w:val="24"/>
        </w:rPr>
        <w:t xml:space="preserve">PACT developments have </w:t>
      </w:r>
      <w:r w:rsidR="22C719BD" w:rsidRPr="1BE0CC58">
        <w:rPr>
          <w:szCs w:val="24"/>
        </w:rPr>
        <w:t xml:space="preserve">left the </w:t>
      </w:r>
      <w:r w:rsidR="699C4D92" w:rsidRPr="1BE0CC58">
        <w:rPr>
          <w:szCs w:val="24"/>
        </w:rPr>
        <w:t>S</w:t>
      </w:r>
      <w:r w:rsidR="22C719BD" w:rsidRPr="1BE0CC58">
        <w:rPr>
          <w:szCs w:val="24"/>
        </w:rPr>
        <w:t xml:space="preserve">ection 9 funding stream. </w:t>
      </w:r>
      <w:r w:rsidR="23847F5B" w:rsidRPr="1BE0CC58">
        <w:rPr>
          <w:szCs w:val="24"/>
        </w:rPr>
        <w:t xml:space="preserve">According to Legal Services NYC, once a development converts to PACT, residents lose the ability to request transfers to other public housing developments. </w:t>
      </w:r>
      <w:r w:rsidR="3CF7451A" w:rsidRPr="1BE0CC58">
        <w:rPr>
          <w:szCs w:val="24"/>
        </w:rPr>
        <w:t xml:space="preserve">NYCHA </w:t>
      </w:r>
      <w:r w:rsidR="4890B14A" w:rsidRPr="1BE0CC58">
        <w:rPr>
          <w:szCs w:val="24"/>
        </w:rPr>
        <w:t xml:space="preserve">could </w:t>
      </w:r>
      <w:r w:rsidR="48B0A0C4" w:rsidRPr="1BE0CC58">
        <w:rPr>
          <w:szCs w:val="24"/>
        </w:rPr>
        <w:t xml:space="preserve">provide </w:t>
      </w:r>
      <w:r w:rsidR="49BED767" w:rsidRPr="1BE0CC58">
        <w:rPr>
          <w:szCs w:val="24"/>
        </w:rPr>
        <w:t>a victim</w:t>
      </w:r>
      <w:r w:rsidR="65F8C8F8" w:rsidRPr="1BE0CC58">
        <w:rPr>
          <w:szCs w:val="24"/>
        </w:rPr>
        <w:t xml:space="preserve"> of domestic violence</w:t>
      </w:r>
      <w:r w:rsidR="7E9CF118" w:rsidRPr="1BE0CC58">
        <w:rPr>
          <w:szCs w:val="24"/>
        </w:rPr>
        <w:t xml:space="preserve"> with</w:t>
      </w:r>
      <w:r w:rsidR="4890B14A" w:rsidRPr="1BE0CC58">
        <w:rPr>
          <w:szCs w:val="24"/>
        </w:rPr>
        <w:t xml:space="preserve"> </w:t>
      </w:r>
      <w:r w:rsidR="3CF7451A" w:rsidRPr="1BE0CC58">
        <w:rPr>
          <w:szCs w:val="24"/>
        </w:rPr>
        <w:t xml:space="preserve">a portable Section 8 voucher to search for housing in the private sector </w:t>
      </w:r>
      <w:r w:rsidR="4185DBDE" w:rsidRPr="1BE0CC58">
        <w:rPr>
          <w:szCs w:val="24"/>
        </w:rPr>
        <w:t>market,</w:t>
      </w:r>
      <w:r w:rsidR="5CB8A944" w:rsidRPr="1BE0CC58">
        <w:rPr>
          <w:szCs w:val="24"/>
        </w:rPr>
        <w:t xml:space="preserve"> </w:t>
      </w:r>
      <w:r w:rsidR="45B7A379" w:rsidRPr="1BE0CC58">
        <w:rPr>
          <w:szCs w:val="24"/>
        </w:rPr>
        <w:t>but the</w:t>
      </w:r>
      <w:r w:rsidR="698BD058" w:rsidRPr="1BE0CC58">
        <w:rPr>
          <w:szCs w:val="24"/>
        </w:rPr>
        <w:t xml:space="preserve"> victim </w:t>
      </w:r>
      <w:r w:rsidR="5CB8A944" w:rsidRPr="1BE0CC58">
        <w:rPr>
          <w:szCs w:val="24"/>
        </w:rPr>
        <w:t>would have to wait</w:t>
      </w:r>
      <w:r w:rsidR="7552A233" w:rsidRPr="1BE0CC58">
        <w:rPr>
          <w:szCs w:val="24"/>
        </w:rPr>
        <w:t xml:space="preserve"> three years to become eligible.</w:t>
      </w:r>
      <w:r w:rsidR="297BB04A" w:rsidRPr="10C35A16">
        <w:rPr>
          <w:rStyle w:val="FootnoteReference"/>
          <w:szCs w:val="24"/>
        </w:rPr>
        <w:footnoteReference w:id="47"/>
      </w:r>
    </w:p>
    <w:p w14:paraId="54D51040" w14:textId="77777777" w:rsidR="13A8B49B" w:rsidRDefault="00849550" w:rsidP="1BE0CC58">
      <w:pPr>
        <w:spacing w:after="0" w:line="480" w:lineRule="auto"/>
        <w:ind w:firstLine="720"/>
        <w:jc w:val="both"/>
        <w:rPr>
          <w:szCs w:val="24"/>
        </w:rPr>
      </w:pPr>
      <w:r w:rsidRPr="1BE0CC58">
        <w:rPr>
          <w:szCs w:val="24"/>
        </w:rPr>
        <w:t>NYCHA has recently implemented an Inter</w:t>
      </w:r>
      <w:r w:rsidR="5DDCB878" w:rsidRPr="1BE0CC58">
        <w:rPr>
          <w:szCs w:val="24"/>
        </w:rPr>
        <w:t>-</w:t>
      </w:r>
      <w:r w:rsidRPr="1BE0CC58">
        <w:rPr>
          <w:szCs w:val="24"/>
        </w:rPr>
        <w:t xml:space="preserve">PACT Transfer policy that allows for transfers between PACT developments. This option </w:t>
      </w:r>
      <w:r w:rsidR="01D6D6FD" w:rsidRPr="1BE0CC58">
        <w:rPr>
          <w:szCs w:val="24"/>
        </w:rPr>
        <w:t xml:space="preserve">only allows for such transfers in limited circumstances, such as </w:t>
      </w:r>
      <w:r w:rsidR="699075DB" w:rsidRPr="1BE0CC58">
        <w:rPr>
          <w:szCs w:val="24"/>
        </w:rPr>
        <w:t>court action, intimidated victims/witnesses, VAWA, life threatening housing violations,</w:t>
      </w:r>
      <w:r w:rsidR="6FED0869" w:rsidRPr="1BE0CC58">
        <w:rPr>
          <w:szCs w:val="24"/>
        </w:rPr>
        <w:t xml:space="preserve"> </w:t>
      </w:r>
      <w:r w:rsidR="699075DB" w:rsidRPr="1BE0CC58">
        <w:rPr>
          <w:szCs w:val="24"/>
        </w:rPr>
        <w:t xml:space="preserve">and </w:t>
      </w:r>
      <w:r w:rsidR="4E7206F6" w:rsidRPr="1BE0CC58">
        <w:rPr>
          <w:szCs w:val="24"/>
        </w:rPr>
        <w:t>reasonable</w:t>
      </w:r>
      <w:r w:rsidR="699075DB" w:rsidRPr="1BE0CC58">
        <w:rPr>
          <w:szCs w:val="24"/>
        </w:rPr>
        <w:t xml:space="preserve"> </w:t>
      </w:r>
      <w:r w:rsidR="220F18E8" w:rsidRPr="1BE0CC58">
        <w:rPr>
          <w:szCs w:val="24"/>
        </w:rPr>
        <w:t>accommodations</w:t>
      </w:r>
      <w:r w:rsidR="699075DB" w:rsidRPr="1BE0CC58">
        <w:rPr>
          <w:szCs w:val="24"/>
        </w:rPr>
        <w:t>.</w:t>
      </w:r>
      <w:r w:rsidR="13A8B49B" w:rsidRPr="10C35A16">
        <w:rPr>
          <w:rStyle w:val="FootnoteReference"/>
          <w:szCs w:val="24"/>
        </w:rPr>
        <w:footnoteReference w:id="48"/>
      </w:r>
      <w:r w:rsidR="699075DB" w:rsidRPr="1BE0CC58">
        <w:rPr>
          <w:szCs w:val="24"/>
        </w:rPr>
        <w:t xml:space="preserve"> </w:t>
      </w:r>
      <w:r w:rsidR="01E3E739" w:rsidRPr="1BE0CC58">
        <w:rPr>
          <w:szCs w:val="24"/>
        </w:rPr>
        <w:t xml:space="preserve">This transfer policy does not allow </w:t>
      </w:r>
      <w:r w:rsidR="35099AAD" w:rsidRPr="1BE0CC58">
        <w:rPr>
          <w:szCs w:val="24"/>
        </w:rPr>
        <w:t>residents</w:t>
      </w:r>
      <w:r w:rsidR="01E3E739" w:rsidRPr="1BE0CC58">
        <w:rPr>
          <w:szCs w:val="24"/>
        </w:rPr>
        <w:t xml:space="preserve"> to select specific developments or boroughs for their transfer. If they reject two unit offers, they could be removed f</w:t>
      </w:r>
      <w:r w:rsidR="6C9CD379" w:rsidRPr="1BE0CC58">
        <w:rPr>
          <w:szCs w:val="24"/>
        </w:rPr>
        <w:t xml:space="preserve">rom the </w:t>
      </w:r>
      <w:r w:rsidR="1BB19F7D" w:rsidRPr="1BE0CC58">
        <w:rPr>
          <w:szCs w:val="24"/>
        </w:rPr>
        <w:t>waiting</w:t>
      </w:r>
      <w:r w:rsidR="6C9CD379" w:rsidRPr="1BE0CC58">
        <w:rPr>
          <w:szCs w:val="24"/>
        </w:rPr>
        <w:t xml:space="preserve"> list.</w:t>
      </w:r>
      <w:r w:rsidR="13A8B49B" w:rsidRPr="10C35A16">
        <w:rPr>
          <w:rStyle w:val="FootnoteReference"/>
          <w:szCs w:val="24"/>
        </w:rPr>
        <w:footnoteReference w:id="49"/>
      </w:r>
    </w:p>
    <w:p w14:paraId="0CDD510D" w14:textId="77777777" w:rsidR="00845158" w:rsidRDefault="1BD6D831" w:rsidP="00CF4EE3">
      <w:pPr>
        <w:spacing w:after="0" w:line="480" w:lineRule="auto"/>
        <w:ind w:firstLine="720"/>
        <w:jc w:val="both"/>
        <w:rPr>
          <w:szCs w:val="24"/>
        </w:rPr>
      </w:pPr>
      <w:r w:rsidRPr="1BE0CC58">
        <w:rPr>
          <w:szCs w:val="24"/>
        </w:rPr>
        <w:t>Recent data also show that the number of residents exiting shelters to live in NYCHA</w:t>
      </w:r>
      <w:r w:rsidR="6EC6B9D3" w:rsidRPr="1BE0CC58">
        <w:rPr>
          <w:szCs w:val="24"/>
        </w:rPr>
        <w:t xml:space="preserve">  developments</w:t>
      </w:r>
      <w:r w:rsidRPr="1BE0CC58">
        <w:rPr>
          <w:szCs w:val="24"/>
        </w:rPr>
        <w:t xml:space="preserve"> has declined</w:t>
      </w:r>
      <w:r w:rsidR="0C686C46" w:rsidRPr="1BE0CC58">
        <w:rPr>
          <w:szCs w:val="24"/>
        </w:rPr>
        <w:t>,</w:t>
      </w:r>
      <w:r w:rsidRPr="1BE0CC58">
        <w:rPr>
          <w:szCs w:val="24"/>
        </w:rPr>
        <w:t xml:space="preserve"> according to a report from the </w:t>
      </w:r>
      <w:r w:rsidR="4A29C005" w:rsidRPr="1BE0CC58">
        <w:rPr>
          <w:szCs w:val="24"/>
        </w:rPr>
        <w:t>NYC Comptroller’s office</w:t>
      </w:r>
      <w:r w:rsidRPr="1BE0CC58">
        <w:rPr>
          <w:szCs w:val="24"/>
        </w:rPr>
        <w:t xml:space="preserve">. </w:t>
      </w:r>
      <w:r w:rsidR="265881C0" w:rsidRPr="1BE0CC58">
        <w:rPr>
          <w:szCs w:val="24"/>
        </w:rPr>
        <w:t xml:space="preserve">In 2024, NYCHA placed the fewest number of shelter residents in a decade, even as </w:t>
      </w:r>
      <w:r w:rsidR="18BBF0B5" w:rsidRPr="1BE0CC58">
        <w:rPr>
          <w:szCs w:val="24"/>
        </w:rPr>
        <w:t xml:space="preserve">the number of </w:t>
      </w:r>
      <w:r w:rsidR="265881C0" w:rsidRPr="1BE0CC58">
        <w:rPr>
          <w:szCs w:val="24"/>
        </w:rPr>
        <w:t xml:space="preserve">vacant units </w:t>
      </w:r>
      <w:r w:rsidR="39072DB9" w:rsidRPr="1BE0CC58">
        <w:rPr>
          <w:szCs w:val="24"/>
        </w:rPr>
        <w:t xml:space="preserve">and </w:t>
      </w:r>
      <w:r w:rsidR="58FCB676" w:rsidRPr="1BE0CC58">
        <w:rPr>
          <w:szCs w:val="24"/>
        </w:rPr>
        <w:t>unhoused New Yorkers</w:t>
      </w:r>
      <w:r w:rsidR="39072DB9" w:rsidRPr="1BE0CC58">
        <w:rPr>
          <w:szCs w:val="24"/>
        </w:rPr>
        <w:t xml:space="preserve"> </w:t>
      </w:r>
      <w:r w:rsidR="265881C0" w:rsidRPr="1BE0CC58">
        <w:rPr>
          <w:szCs w:val="24"/>
        </w:rPr>
        <w:t>reached historic highs.</w:t>
      </w:r>
      <w:r w:rsidR="3FDB53AB" w:rsidRPr="10C35A16">
        <w:rPr>
          <w:rStyle w:val="FootnoteReference"/>
          <w:szCs w:val="24"/>
        </w:rPr>
        <w:footnoteReference w:id="50"/>
      </w:r>
      <w:r w:rsidR="265881C0" w:rsidRPr="1BE0CC58">
        <w:rPr>
          <w:szCs w:val="24"/>
        </w:rPr>
        <w:t xml:space="preserve"> </w:t>
      </w:r>
      <w:r w:rsidR="0C2690D4" w:rsidRPr="1BE0CC58">
        <w:rPr>
          <w:szCs w:val="24"/>
        </w:rPr>
        <w:t xml:space="preserve">Advocates like the Coalition for the Homeless have regularly requested NYCHA to speed </w:t>
      </w:r>
      <w:r w:rsidR="2F898344" w:rsidRPr="1BE0CC58">
        <w:rPr>
          <w:szCs w:val="24"/>
        </w:rPr>
        <w:t xml:space="preserve">up </w:t>
      </w:r>
      <w:r w:rsidR="0C2690D4" w:rsidRPr="1BE0CC58">
        <w:rPr>
          <w:szCs w:val="24"/>
        </w:rPr>
        <w:t>the move</w:t>
      </w:r>
      <w:r w:rsidR="76F6AE3C" w:rsidRPr="1BE0CC58">
        <w:rPr>
          <w:szCs w:val="24"/>
        </w:rPr>
        <w:t>-</w:t>
      </w:r>
      <w:r w:rsidR="0C2690D4" w:rsidRPr="1BE0CC58">
        <w:rPr>
          <w:szCs w:val="24"/>
        </w:rPr>
        <w:t>in process</w:t>
      </w:r>
      <w:r w:rsidR="2F4EBDB6" w:rsidRPr="1BE0CC58">
        <w:rPr>
          <w:szCs w:val="24"/>
        </w:rPr>
        <w:t xml:space="preserve"> to help house homeless residents.</w:t>
      </w:r>
      <w:r w:rsidR="3FDB53AB" w:rsidRPr="10C35A16">
        <w:rPr>
          <w:rStyle w:val="FootnoteReference"/>
          <w:szCs w:val="24"/>
        </w:rPr>
        <w:footnoteReference w:id="51"/>
      </w:r>
      <w:r w:rsidR="2F4EBDB6" w:rsidRPr="1BE0CC58">
        <w:rPr>
          <w:szCs w:val="24"/>
        </w:rPr>
        <w:t xml:space="preserve"> </w:t>
      </w:r>
    </w:p>
    <w:p w14:paraId="217B257C" w14:textId="77777777" w:rsidR="00B155CE" w:rsidRPr="00B155CE" w:rsidRDefault="00B155CE" w:rsidP="003B76BF">
      <w:pPr>
        <w:pStyle w:val="ListParagraph"/>
        <w:numPr>
          <w:ilvl w:val="0"/>
          <w:numId w:val="2"/>
        </w:numPr>
        <w:spacing w:after="0" w:line="480" w:lineRule="auto"/>
        <w:jc w:val="both"/>
        <w:rPr>
          <w:rFonts w:ascii="Times New Roman" w:hAnsi="Times New Roman"/>
          <w:b/>
          <w:bCs/>
          <w:sz w:val="24"/>
          <w:szCs w:val="24"/>
        </w:rPr>
      </w:pPr>
      <w:r>
        <w:rPr>
          <w:rFonts w:ascii="Times New Roman" w:hAnsi="Times New Roman"/>
          <w:b/>
          <w:bCs/>
          <w:sz w:val="24"/>
          <w:szCs w:val="24"/>
        </w:rPr>
        <w:t>CONCLUSION</w:t>
      </w:r>
    </w:p>
    <w:p w14:paraId="0C59BDA6" w14:textId="77777777" w:rsidR="003B76BF" w:rsidRDefault="00EE2934" w:rsidP="00D75C9E">
      <w:pPr>
        <w:spacing w:line="480" w:lineRule="auto"/>
        <w:ind w:firstLine="720"/>
        <w:jc w:val="both"/>
        <w:rPr>
          <w:rFonts w:cs="Times New Roman"/>
          <w:szCs w:val="24"/>
        </w:rPr>
      </w:pPr>
      <w:r>
        <w:rPr>
          <w:rFonts w:cs="Times New Roman"/>
          <w:szCs w:val="24"/>
        </w:rPr>
        <w:t>New York City has a huge demand for housing, especially affordable housing, while simultaneously lacking the supply to satisfy that demand. Available NYCHA apartments, therefore, are crucial to helping alleviate this issue and should be filled with tenants as soon as possible</w:t>
      </w:r>
      <w:r w:rsidR="003B76BF" w:rsidRPr="003B76BF">
        <w:rPr>
          <w:rFonts w:cs="Times New Roman"/>
          <w:szCs w:val="24"/>
        </w:rPr>
        <w:t>. The Committee expects to hear from tenants</w:t>
      </w:r>
      <w:r w:rsidR="00DD4480">
        <w:rPr>
          <w:rFonts w:cs="Times New Roman"/>
          <w:szCs w:val="24"/>
        </w:rPr>
        <w:t xml:space="preserve"> on how the </w:t>
      </w:r>
      <w:r w:rsidR="004F429F">
        <w:rPr>
          <w:rFonts w:cs="Times New Roman"/>
          <w:szCs w:val="24"/>
        </w:rPr>
        <w:t xml:space="preserve">extended waiting period to move or transfer </w:t>
      </w:r>
      <w:r w:rsidR="00DD4480">
        <w:rPr>
          <w:rFonts w:cs="Times New Roman"/>
          <w:szCs w:val="24"/>
        </w:rPr>
        <w:t>to an apartment affects them.</w:t>
      </w:r>
      <w:r w:rsidR="003B76BF" w:rsidRPr="003B76BF">
        <w:rPr>
          <w:rFonts w:cs="Times New Roman"/>
          <w:szCs w:val="24"/>
        </w:rPr>
        <w:t xml:space="preserve"> The Committee also expects to hear</w:t>
      </w:r>
      <w:r w:rsidR="004F429F">
        <w:rPr>
          <w:rFonts w:cs="Times New Roman"/>
          <w:szCs w:val="24"/>
        </w:rPr>
        <w:t xml:space="preserve"> NYCHA’s</w:t>
      </w:r>
      <w:r w:rsidR="003B76BF" w:rsidRPr="003B76BF">
        <w:rPr>
          <w:rFonts w:cs="Times New Roman"/>
          <w:szCs w:val="24"/>
        </w:rPr>
        <w:t xml:space="preserve"> testimony </w:t>
      </w:r>
      <w:r w:rsidR="004F429F">
        <w:rPr>
          <w:rFonts w:cs="Times New Roman"/>
          <w:szCs w:val="24"/>
        </w:rPr>
        <w:t>on why apartments are staying empty for longer</w:t>
      </w:r>
      <w:r w:rsidR="008437B6">
        <w:rPr>
          <w:rFonts w:cs="Times New Roman"/>
          <w:szCs w:val="24"/>
        </w:rPr>
        <w:t>, as well as what can be done to improve the current situation</w:t>
      </w:r>
      <w:r w:rsidR="003B76BF" w:rsidRPr="003B76BF">
        <w:rPr>
          <w:rFonts w:cs="Times New Roman"/>
          <w:szCs w:val="24"/>
        </w:rPr>
        <w:t xml:space="preserve">. The Committee is interested </w:t>
      </w:r>
      <w:r w:rsidR="005E59D5">
        <w:rPr>
          <w:rFonts w:cs="Times New Roman"/>
          <w:szCs w:val="24"/>
        </w:rPr>
        <w:t xml:space="preserve">in learning how NYCHA is moving to more quickly transfer tenants and take new tenants off the waiting list. </w:t>
      </w:r>
      <w:r w:rsidR="00B04C28">
        <w:rPr>
          <w:rFonts w:cs="Times New Roman"/>
          <w:szCs w:val="24"/>
        </w:rPr>
        <w:t>T</w:t>
      </w:r>
      <w:r w:rsidR="003B76BF" w:rsidRPr="003B76BF">
        <w:rPr>
          <w:rFonts w:cs="Times New Roman"/>
          <w:szCs w:val="24"/>
        </w:rPr>
        <w:t xml:space="preserve">he Committee will </w:t>
      </w:r>
      <w:r w:rsidR="00B04C28">
        <w:rPr>
          <w:rFonts w:cs="Times New Roman"/>
          <w:szCs w:val="24"/>
        </w:rPr>
        <w:t xml:space="preserve">also </w:t>
      </w:r>
      <w:r w:rsidR="00706C1F">
        <w:rPr>
          <w:rFonts w:cs="Times New Roman"/>
          <w:szCs w:val="24"/>
        </w:rPr>
        <w:t>seek clarity on NYPD’s crime statistics reporting for NYCHA developments, along with understanding how NYCHA will implement policies and procedures for vacancies in developments transitioning into the PACT program or the Public Housing Preservation Trust</w:t>
      </w:r>
      <w:r w:rsidR="003B76BF" w:rsidRPr="003B76BF">
        <w:rPr>
          <w:rFonts w:cs="Times New Roman"/>
          <w:szCs w:val="24"/>
        </w:rPr>
        <w:t xml:space="preserve">. </w:t>
      </w:r>
    </w:p>
    <w:p w14:paraId="69CD343D" w14:textId="108A6C67" w:rsidR="00B155CE" w:rsidRDefault="008B110B" w:rsidP="00B155CE">
      <w:pPr>
        <w:pStyle w:val="ListParagraph"/>
        <w:numPr>
          <w:ilvl w:val="0"/>
          <w:numId w:val="2"/>
        </w:numPr>
        <w:spacing w:after="0" w:line="480" w:lineRule="auto"/>
        <w:jc w:val="both"/>
        <w:rPr>
          <w:rFonts w:ascii="Times New Roman" w:hAnsi="Times New Roman"/>
          <w:b/>
          <w:bCs/>
          <w:sz w:val="24"/>
          <w:szCs w:val="24"/>
        </w:rPr>
      </w:pPr>
      <w:r>
        <w:rPr>
          <w:rFonts w:ascii="Times New Roman" w:hAnsi="Times New Roman"/>
          <w:b/>
          <w:bCs/>
          <w:sz w:val="24"/>
          <w:szCs w:val="24"/>
        </w:rPr>
        <w:t>LEGISLATION</w:t>
      </w:r>
    </w:p>
    <w:p w14:paraId="13B5C65F" w14:textId="300030BE" w:rsidR="002650D4" w:rsidRPr="00554432" w:rsidRDefault="002650D4" w:rsidP="00554432">
      <w:pPr>
        <w:spacing w:after="0" w:line="480" w:lineRule="auto"/>
        <w:jc w:val="center"/>
        <w:rPr>
          <w:b/>
          <w:bCs/>
          <w:szCs w:val="24"/>
        </w:rPr>
      </w:pPr>
      <w:r w:rsidRPr="00554432">
        <w:rPr>
          <w:b/>
          <w:bCs/>
          <w:szCs w:val="24"/>
        </w:rPr>
        <w:t>Int. No.</w:t>
      </w:r>
      <w:r w:rsidR="00BE4A05" w:rsidRPr="00554432">
        <w:rPr>
          <w:b/>
          <w:bCs/>
          <w:szCs w:val="24"/>
        </w:rPr>
        <w:t xml:space="preserve"> 111</w:t>
      </w:r>
      <w:r w:rsidR="00554432">
        <w:rPr>
          <w:b/>
          <w:bCs/>
          <w:szCs w:val="24"/>
        </w:rPr>
        <w:t>-A</w:t>
      </w:r>
    </w:p>
    <w:p w14:paraId="61735B2C" w14:textId="77777777" w:rsidR="00890F32" w:rsidRDefault="00701452" w:rsidP="00E05DC3">
      <w:pPr>
        <w:spacing w:after="0" w:line="480" w:lineRule="auto"/>
        <w:ind w:firstLine="720"/>
        <w:jc w:val="both"/>
      </w:pPr>
      <w:r w:rsidRPr="00701452">
        <w:t xml:space="preserve">This bill would require the Mayor, or an agency or office designated by the Mayor, to publish online and submit to the Council an annual report on NYCHA dwelling units that were vacant during the immediately preceding calendar year. The report would include, among other things, the number of vacant dwelling units, including the number of such units that are located in seniors-only developments, contain accessibility features, were recategorized as non-dwelling units, or tested positive for a hazardous substance. The report would also include other metrics such as the average vacancy length, various vacancy statuses and reasons for vacancy, and NYCHA’s efforts to promptly occupy vacant units. The report would also require information about vacancies in PACT developments, if available. </w:t>
      </w:r>
    </w:p>
    <w:p w14:paraId="7CDA4E29" w14:textId="5A434322" w:rsidR="00064346" w:rsidRDefault="00E30404" w:rsidP="00E05DC3">
      <w:pPr>
        <w:spacing w:line="480" w:lineRule="auto"/>
        <w:ind w:firstLine="720"/>
        <w:jc w:val="both"/>
        <w:rPr>
          <w:rFonts w:cs="Times New Roman"/>
          <w:szCs w:val="24"/>
        </w:rPr>
      </w:pPr>
      <w:r>
        <w:t>This local law would take effect immediately, and t</w:t>
      </w:r>
      <w:r w:rsidR="00701452" w:rsidRPr="00701452">
        <w:t>he first report would be due no later than March 1, 2027.</w:t>
      </w:r>
    </w:p>
    <w:p w14:paraId="14352DA2" w14:textId="6C6C9731" w:rsidR="005A66FE" w:rsidRDefault="005A66FE" w:rsidP="005A66FE">
      <w:pPr>
        <w:pStyle w:val="ListParagraph"/>
        <w:numPr>
          <w:ilvl w:val="0"/>
          <w:numId w:val="2"/>
        </w:numPr>
        <w:spacing w:after="0" w:line="480" w:lineRule="auto"/>
        <w:jc w:val="both"/>
        <w:rPr>
          <w:rFonts w:ascii="Times New Roman" w:hAnsi="Times New Roman"/>
          <w:b/>
          <w:bCs/>
          <w:sz w:val="24"/>
          <w:szCs w:val="24"/>
        </w:rPr>
      </w:pPr>
      <w:r>
        <w:rPr>
          <w:rFonts w:ascii="Times New Roman" w:hAnsi="Times New Roman"/>
          <w:b/>
          <w:bCs/>
          <w:sz w:val="24"/>
          <w:szCs w:val="24"/>
        </w:rPr>
        <w:t>UPDATE</w:t>
      </w:r>
    </w:p>
    <w:p w14:paraId="00C37FAD" w14:textId="17B85D0E" w:rsidR="005A66FE" w:rsidRPr="002C1784" w:rsidRDefault="005A66FE" w:rsidP="002C1784">
      <w:pPr>
        <w:pStyle w:val="ListParagraph"/>
        <w:spacing w:after="0" w:line="480" w:lineRule="auto"/>
        <w:ind w:left="0" w:firstLine="720"/>
        <w:jc w:val="both"/>
        <w:rPr>
          <w:rFonts w:ascii="Times New Roman" w:hAnsi="Times New Roman"/>
          <w:sz w:val="24"/>
          <w:szCs w:val="24"/>
        </w:rPr>
      </w:pPr>
      <w:r>
        <w:rPr>
          <w:rFonts w:ascii="Times New Roman" w:hAnsi="Times New Roman"/>
          <w:sz w:val="24"/>
          <w:szCs w:val="24"/>
        </w:rPr>
        <w:t>On Wednesday, October 29, 2025, the Committee adopted Int. No. 111-A by a vote of 7 in the affirmative, 0 in the negative, and 0 abstentions.</w:t>
      </w:r>
    </w:p>
    <w:p w14:paraId="725BD8A9" w14:textId="0D360EDF" w:rsidR="00064346" w:rsidRDefault="00064346">
      <w:pPr>
        <w:rPr>
          <w:rFonts w:cs="Times New Roman"/>
          <w:szCs w:val="24"/>
        </w:rPr>
      </w:pPr>
      <w:r>
        <w:rPr>
          <w:rFonts w:cs="Times New Roman"/>
          <w:szCs w:val="24"/>
        </w:rPr>
        <w:br w:type="page"/>
      </w:r>
    </w:p>
    <w:p w14:paraId="7FEB69A4" w14:textId="125AB155" w:rsidR="00064346" w:rsidRPr="000F7997" w:rsidRDefault="00064346" w:rsidP="00064346">
      <w:pPr>
        <w:suppressLineNumbers/>
        <w:shd w:val="clear" w:color="auto" w:fill="FFFFFF" w:themeFill="background1"/>
        <w:spacing w:after="0" w:line="240" w:lineRule="auto"/>
        <w:jc w:val="center"/>
        <w:rPr>
          <w:rFonts w:eastAsia="Times New Roman"/>
          <w:color w:val="000000"/>
          <w:sz w:val="27"/>
          <w:szCs w:val="27"/>
        </w:rPr>
      </w:pPr>
      <w:r w:rsidRPr="3BB5DA03">
        <w:rPr>
          <w:rFonts w:eastAsia="Times New Roman"/>
          <w:color w:val="000000" w:themeColor="text1"/>
          <w:szCs w:val="24"/>
        </w:rPr>
        <w:t xml:space="preserve">Int. No. </w:t>
      </w:r>
      <w:r>
        <w:rPr>
          <w:rFonts w:eastAsia="Times New Roman"/>
          <w:color w:val="000000" w:themeColor="text1"/>
          <w:szCs w:val="24"/>
        </w:rPr>
        <w:t>111-A</w:t>
      </w:r>
    </w:p>
    <w:p w14:paraId="0540C30D" w14:textId="77777777" w:rsidR="00064346" w:rsidRPr="00C12FA8" w:rsidRDefault="00064346" w:rsidP="00064346">
      <w:pPr>
        <w:suppressLineNumbers/>
        <w:shd w:val="clear" w:color="auto" w:fill="FFFFFF"/>
        <w:spacing w:after="0" w:line="240" w:lineRule="auto"/>
        <w:jc w:val="center"/>
        <w:rPr>
          <w:rFonts w:eastAsia="Times New Roman"/>
          <w:szCs w:val="24"/>
        </w:rPr>
      </w:pPr>
      <w:r w:rsidRPr="0B079CFC">
        <w:rPr>
          <w:rFonts w:eastAsia="Times New Roman"/>
          <w:szCs w:val="24"/>
        </w:rPr>
        <w:t> </w:t>
      </w:r>
    </w:p>
    <w:p w14:paraId="2087709D" w14:textId="2D9D1EBF" w:rsidR="00064346" w:rsidRDefault="00064346" w:rsidP="00064346">
      <w:pPr>
        <w:suppressLineNumbers/>
        <w:shd w:val="clear" w:color="auto" w:fill="FFFFFF"/>
        <w:autoSpaceDE w:val="0"/>
        <w:autoSpaceDN w:val="0"/>
        <w:adjustRightInd w:val="0"/>
        <w:spacing w:after="0" w:line="240" w:lineRule="auto"/>
        <w:jc w:val="both"/>
        <w:rPr>
          <w:szCs w:val="24"/>
        </w:rPr>
      </w:pPr>
      <w:r>
        <w:rPr>
          <w:szCs w:val="24"/>
        </w:rPr>
        <w:t>By Council Members Avilés, Feliz, Louis, Restler, Won, Hanif, Hudson, Brewer, Ossé, Farías, Ayala, Nurse, De La Rosa, Sanchez, Powers, Narcisse, Schulman, Bottcher, Krishnan, Gutiérrez, Marte, Ung, Abreu, Cabán, Gennaro, Menin, Brannan, Salaam</w:t>
      </w:r>
      <w:r w:rsidR="00914E45">
        <w:rPr>
          <w:szCs w:val="24"/>
        </w:rPr>
        <w:t>, Banks</w:t>
      </w:r>
      <w:r>
        <w:rPr>
          <w:szCs w:val="24"/>
        </w:rPr>
        <w:t xml:space="preserve"> and the Public Advocate (Mr. Williams)</w:t>
      </w:r>
    </w:p>
    <w:p w14:paraId="06F7F4EE" w14:textId="77777777" w:rsidR="00064346" w:rsidRPr="000F7997" w:rsidRDefault="00064346" w:rsidP="00064346">
      <w:pPr>
        <w:suppressLineNumbers/>
        <w:shd w:val="clear" w:color="auto" w:fill="FFFFFF"/>
        <w:spacing w:after="0" w:line="240" w:lineRule="auto"/>
        <w:jc w:val="both"/>
        <w:rPr>
          <w:rFonts w:eastAsia="Times New Roman"/>
          <w:color w:val="000000"/>
          <w:sz w:val="27"/>
          <w:szCs w:val="27"/>
        </w:rPr>
      </w:pPr>
      <w:r w:rsidRPr="000F7997">
        <w:rPr>
          <w:rFonts w:eastAsia="Times New Roman"/>
          <w:color w:val="000000"/>
          <w:szCs w:val="24"/>
        </w:rPr>
        <w:t> </w:t>
      </w:r>
    </w:p>
    <w:p w14:paraId="717C0348" w14:textId="77777777" w:rsidR="00064346" w:rsidRPr="00910EBA" w:rsidRDefault="00064346" w:rsidP="00064346">
      <w:pPr>
        <w:suppressLineNumbers/>
        <w:shd w:val="clear" w:color="auto" w:fill="FFFFFF"/>
        <w:spacing w:after="0" w:line="240" w:lineRule="auto"/>
        <w:jc w:val="both"/>
        <w:rPr>
          <w:rFonts w:eastAsia="Times New Roman"/>
          <w:vanish/>
          <w:color w:val="000000"/>
          <w:szCs w:val="24"/>
        </w:rPr>
      </w:pPr>
      <w:r w:rsidRPr="00910EBA">
        <w:rPr>
          <w:rFonts w:eastAsia="Times New Roman"/>
          <w:vanish/>
          <w:color w:val="000000"/>
          <w:szCs w:val="24"/>
        </w:rPr>
        <w:t>..Title</w:t>
      </w:r>
    </w:p>
    <w:p w14:paraId="3D96E388" w14:textId="77777777" w:rsidR="00064346" w:rsidRDefault="00064346" w:rsidP="00064346">
      <w:pPr>
        <w:suppressLineNumbers/>
        <w:shd w:val="clear" w:color="auto" w:fill="FFFFFF"/>
        <w:spacing w:after="0" w:line="240" w:lineRule="auto"/>
        <w:jc w:val="both"/>
        <w:rPr>
          <w:rFonts w:eastAsia="Times New Roman"/>
          <w:color w:val="000000"/>
          <w:szCs w:val="24"/>
        </w:rPr>
      </w:pPr>
      <w:r w:rsidRPr="000F7997">
        <w:rPr>
          <w:rFonts w:eastAsia="Times New Roman"/>
          <w:color w:val="000000"/>
          <w:szCs w:val="24"/>
        </w:rPr>
        <w:t xml:space="preserve">A Local Law to amend the administrative code of the city of New York, in relation to reporting on vacant </w:t>
      </w:r>
      <w:r>
        <w:rPr>
          <w:rFonts w:eastAsia="Times New Roman"/>
          <w:color w:val="000000"/>
          <w:szCs w:val="24"/>
        </w:rPr>
        <w:t>New York city housing authority</w:t>
      </w:r>
      <w:r w:rsidRPr="000F7997">
        <w:rPr>
          <w:rFonts w:eastAsia="Times New Roman"/>
          <w:color w:val="000000"/>
          <w:szCs w:val="24"/>
        </w:rPr>
        <w:t xml:space="preserve"> dwelling units</w:t>
      </w:r>
    </w:p>
    <w:p w14:paraId="60A3B457" w14:textId="77777777" w:rsidR="00064346" w:rsidRPr="00910EBA" w:rsidRDefault="00064346" w:rsidP="00064346">
      <w:pPr>
        <w:suppressLineNumbers/>
        <w:shd w:val="clear" w:color="auto" w:fill="FFFFFF"/>
        <w:spacing w:after="0" w:line="240" w:lineRule="auto"/>
        <w:jc w:val="both"/>
        <w:rPr>
          <w:rFonts w:eastAsia="Times New Roman"/>
          <w:vanish/>
          <w:color w:val="000000"/>
          <w:sz w:val="27"/>
          <w:szCs w:val="27"/>
        </w:rPr>
      </w:pPr>
      <w:r w:rsidRPr="00910EBA">
        <w:rPr>
          <w:rFonts w:eastAsia="Times New Roman"/>
          <w:vanish/>
          <w:color w:val="000000"/>
          <w:szCs w:val="24"/>
        </w:rPr>
        <w:t>..Body</w:t>
      </w:r>
    </w:p>
    <w:p w14:paraId="034A68F1" w14:textId="77777777" w:rsidR="00064346" w:rsidRPr="000F7997" w:rsidRDefault="00064346" w:rsidP="00064346">
      <w:pPr>
        <w:suppressLineNumbers/>
        <w:shd w:val="clear" w:color="auto" w:fill="FFFFFF"/>
        <w:spacing w:after="0" w:line="240" w:lineRule="auto"/>
        <w:jc w:val="both"/>
        <w:rPr>
          <w:rFonts w:eastAsia="Times New Roman"/>
          <w:color w:val="000000"/>
          <w:sz w:val="27"/>
          <w:szCs w:val="27"/>
        </w:rPr>
      </w:pPr>
      <w:r w:rsidRPr="000F7997">
        <w:rPr>
          <w:rFonts w:eastAsia="Times New Roman"/>
          <w:color w:val="000000"/>
          <w:szCs w:val="24"/>
        </w:rPr>
        <w:t> </w:t>
      </w:r>
    </w:p>
    <w:p w14:paraId="58A89847" w14:textId="77777777" w:rsidR="00064346" w:rsidRPr="000F7997" w:rsidRDefault="00064346" w:rsidP="00064346">
      <w:pPr>
        <w:suppressLineNumbers/>
        <w:shd w:val="clear" w:color="auto" w:fill="FFFFFF"/>
        <w:spacing w:after="0" w:line="240" w:lineRule="auto"/>
        <w:jc w:val="both"/>
        <w:rPr>
          <w:rFonts w:eastAsia="Times New Roman"/>
          <w:color w:val="000000"/>
          <w:sz w:val="27"/>
          <w:szCs w:val="27"/>
        </w:rPr>
      </w:pPr>
      <w:r w:rsidRPr="000F7997">
        <w:rPr>
          <w:rFonts w:eastAsia="Times New Roman"/>
          <w:color w:val="000000"/>
          <w:szCs w:val="24"/>
          <w:u w:val="single"/>
        </w:rPr>
        <w:t>Be it enacted by the Council as follows:</w:t>
      </w:r>
    </w:p>
    <w:p w14:paraId="56E6B482" w14:textId="77777777" w:rsidR="00064346" w:rsidRPr="000F7997" w:rsidRDefault="00064346" w:rsidP="00064346">
      <w:pPr>
        <w:suppressLineNumbers/>
        <w:shd w:val="clear" w:color="auto" w:fill="FFFFFF"/>
        <w:spacing w:after="0" w:line="240" w:lineRule="auto"/>
        <w:ind w:firstLine="720"/>
        <w:jc w:val="both"/>
        <w:rPr>
          <w:rFonts w:eastAsia="Times New Roman"/>
          <w:color w:val="000000"/>
          <w:sz w:val="27"/>
          <w:szCs w:val="27"/>
        </w:rPr>
      </w:pPr>
      <w:r w:rsidRPr="000F7997">
        <w:rPr>
          <w:rFonts w:eastAsia="Times New Roman"/>
          <w:color w:val="000000"/>
          <w:szCs w:val="24"/>
        </w:rPr>
        <w:t> </w:t>
      </w:r>
    </w:p>
    <w:p w14:paraId="6BA7D277" w14:textId="77777777" w:rsidR="00064346" w:rsidRPr="000F7997" w:rsidRDefault="00064346" w:rsidP="00064346">
      <w:pPr>
        <w:shd w:val="clear" w:color="auto" w:fill="FFFFFF"/>
        <w:spacing w:after="0" w:line="480" w:lineRule="auto"/>
        <w:ind w:firstLine="720"/>
        <w:jc w:val="both"/>
        <w:rPr>
          <w:rFonts w:eastAsia="Times New Roman"/>
          <w:color w:val="000000"/>
          <w:sz w:val="27"/>
          <w:szCs w:val="27"/>
        </w:rPr>
      </w:pPr>
      <w:r w:rsidRPr="000F7997">
        <w:rPr>
          <w:rFonts w:eastAsia="Times New Roman"/>
          <w:color w:val="000000"/>
          <w:szCs w:val="24"/>
        </w:rPr>
        <w:t xml:space="preserve">Section 1. </w:t>
      </w:r>
      <w:r>
        <w:rPr>
          <w:rFonts w:eastAsia="Times New Roman"/>
          <w:color w:val="000000"/>
          <w:szCs w:val="24"/>
        </w:rPr>
        <w:t>Subchapter 5 of chapter 1 of title 3 of t</w:t>
      </w:r>
      <w:r w:rsidRPr="000F7997">
        <w:rPr>
          <w:rFonts w:eastAsia="Times New Roman"/>
          <w:color w:val="000000"/>
          <w:szCs w:val="24"/>
        </w:rPr>
        <w:t>he administrative code of the city of New York is amen</w:t>
      </w:r>
      <w:r>
        <w:rPr>
          <w:rFonts w:eastAsia="Times New Roman"/>
          <w:color w:val="000000"/>
          <w:szCs w:val="24"/>
        </w:rPr>
        <w:t>ded by adding a new section 3-154</w:t>
      </w:r>
      <w:r w:rsidRPr="000F7997">
        <w:rPr>
          <w:rFonts w:eastAsia="Times New Roman"/>
          <w:color w:val="000000"/>
          <w:szCs w:val="24"/>
        </w:rPr>
        <w:t xml:space="preserve"> to read as follows:</w:t>
      </w:r>
    </w:p>
    <w:p w14:paraId="20420702" w14:textId="77777777" w:rsidR="00064346" w:rsidRPr="000F7997" w:rsidRDefault="00064346" w:rsidP="00064346">
      <w:pPr>
        <w:shd w:val="clear" w:color="auto" w:fill="FFFFFF"/>
        <w:spacing w:after="0" w:line="480" w:lineRule="auto"/>
        <w:ind w:firstLine="720"/>
        <w:jc w:val="both"/>
        <w:rPr>
          <w:rFonts w:eastAsia="Times New Roman"/>
          <w:color w:val="000000"/>
          <w:sz w:val="27"/>
          <w:szCs w:val="27"/>
        </w:rPr>
      </w:pPr>
      <w:r w:rsidRPr="000F7997">
        <w:rPr>
          <w:rFonts w:eastAsia="Times New Roman"/>
          <w:color w:val="000000"/>
          <w:szCs w:val="24"/>
        </w:rPr>
        <w:t> </w:t>
      </w:r>
      <w:r>
        <w:rPr>
          <w:rFonts w:eastAsia="Times New Roman"/>
          <w:color w:val="000000"/>
          <w:szCs w:val="24"/>
          <w:u w:val="single"/>
        </w:rPr>
        <w:t>§ 3-</w:t>
      </w:r>
      <w:r w:rsidRPr="2266C894">
        <w:rPr>
          <w:rFonts w:eastAsia="Times New Roman"/>
          <w:color w:val="000000" w:themeColor="text1"/>
          <w:szCs w:val="24"/>
          <w:u w:val="single"/>
        </w:rPr>
        <w:t>154 Report on vacant 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w:t>
      </w:r>
      <w:r>
        <w:rPr>
          <w:rFonts w:eastAsia="Times New Roman"/>
          <w:color w:val="000000"/>
          <w:szCs w:val="24"/>
          <w:u w:val="single"/>
        </w:rPr>
        <w:t xml:space="preserve"> a.</w:t>
      </w:r>
      <w:r w:rsidRPr="000F7997">
        <w:rPr>
          <w:rFonts w:eastAsia="Times New Roman"/>
          <w:color w:val="000000"/>
          <w:szCs w:val="24"/>
          <w:u w:val="single"/>
        </w:rPr>
        <w:t xml:space="preserve"> </w:t>
      </w:r>
      <w:r>
        <w:rPr>
          <w:rFonts w:eastAsia="Times New Roman"/>
          <w:color w:val="000000"/>
          <w:szCs w:val="24"/>
          <w:u w:val="single"/>
        </w:rPr>
        <w:t>Definitions</w:t>
      </w:r>
      <w:r w:rsidRPr="000F7997">
        <w:rPr>
          <w:rFonts w:eastAsia="Times New Roman"/>
          <w:color w:val="000000"/>
          <w:szCs w:val="24"/>
          <w:u w:val="single"/>
        </w:rPr>
        <w:t xml:space="preserve">. As used in this </w:t>
      </w:r>
      <w:r>
        <w:rPr>
          <w:rFonts w:eastAsia="Times New Roman"/>
          <w:color w:val="000000"/>
          <w:szCs w:val="24"/>
          <w:u w:val="single"/>
        </w:rPr>
        <w:t>section, the following terms have the following meanings</w:t>
      </w:r>
      <w:r w:rsidRPr="000F7997">
        <w:rPr>
          <w:rFonts w:eastAsia="Times New Roman"/>
          <w:color w:val="000000"/>
          <w:szCs w:val="24"/>
          <w:u w:val="single"/>
        </w:rPr>
        <w:t>:</w:t>
      </w:r>
    </w:p>
    <w:p w14:paraId="2013A13C" w14:textId="77777777" w:rsidR="00064346" w:rsidRPr="000F7997" w:rsidRDefault="00064346" w:rsidP="00064346">
      <w:pPr>
        <w:shd w:val="clear" w:color="auto" w:fill="FFFFFF"/>
        <w:spacing w:after="0" w:line="480" w:lineRule="auto"/>
        <w:ind w:firstLine="720"/>
        <w:jc w:val="both"/>
        <w:rPr>
          <w:rFonts w:eastAsia="Times New Roman"/>
          <w:color w:val="000000"/>
          <w:sz w:val="27"/>
          <w:szCs w:val="27"/>
        </w:rPr>
      </w:pPr>
      <w:r w:rsidRPr="000F7997">
        <w:rPr>
          <w:rFonts w:eastAsia="Times New Roman"/>
          <w:color w:val="000000"/>
          <w:szCs w:val="24"/>
          <w:u w:val="single"/>
        </w:rPr>
        <w:t xml:space="preserve">Dwelling unit. The term “dwelling unit” </w:t>
      </w:r>
      <w:r>
        <w:rPr>
          <w:rFonts w:eastAsia="Times New Roman"/>
          <w:color w:val="000000"/>
          <w:szCs w:val="24"/>
          <w:u w:val="single"/>
        </w:rPr>
        <w:t>has the same meaning as set forth in paragraph 13 of subdivision a of section 27-2004.</w:t>
      </w:r>
    </w:p>
    <w:p w14:paraId="2C1D358B" w14:textId="77777777" w:rsidR="00064346" w:rsidRPr="009B5D29" w:rsidRDefault="00064346" w:rsidP="00064346">
      <w:pPr>
        <w:shd w:val="clear" w:color="auto" w:fill="FFFFFF" w:themeFill="background1"/>
        <w:spacing w:after="0" w:line="480" w:lineRule="auto"/>
        <w:ind w:firstLine="720"/>
        <w:jc w:val="both"/>
        <w:rPr>
          <w:color w:val="000000" w:themeColor="text1"/>
          <w:szCs w:val="24"/>
          <w:u w:val="single"/>
        </w:rPr>
      </w:pP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 The term “N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 means a dwelling unit that is owned or operated by the New York city housing authority </w:t>
      </w:r>
      <w:r>
        <w:rPr>
          <w:rFonts w:eastAsia="Times New Roman"/>
          <w:color w:val="000000" w:themeColor="text1"/>
          <w:szCs w:val="24"/>
          <w:u w:val="single"/>
        </w:rPr>
        <w:t xml:space="preserve">and </w:t>
      </w:r>
      <w:r w:rsidRPr="2266C894">
        <w:rPr>
          <w:rFonts w:eastAsia="Times New Roman"/>
          <w:color w:val="000000" w:themeColor="text1"/>
          <w:szCs w:val="24"/>
          <w:u w:val="single"/>
        </w:rPr>
        <w:t>receiv</w:t>
      </w:r>
      <w:r>
        <w:rPr>
          <w:rFonts w:eastAsia="Times New Roman"/>
          <w:color w:val="000000" w:themeColor="text1"/>
          <w:szCs w:val="24"/>
          <w:u w:val="single"/>
        </w:rPr>
        <w:t>es</w:t>
      </w:r>
      <w:r w:rsidRPr="2266C894">
        <w:rPr>
          <w:rFonts w:eastAsia="Times New Roman"/>
          <w:color w:val="000000" w:themeColor="text1"/>
          <w:szCs w:val="24"/>
          <w:u w:val="single"/>
        </w:rPr>
        <w:t xml:space="preserve"> assistance under section 9 of the United States housing act of 1937.</w:t>
      </w:r>
    </w:p>
    <w:p w14:paraId="779BD88E" w14:textId="77777777" w:rsidR="00064346" w:rsidRDefault="00064346" w:rsidP="00064346">
      <w:pPr>
        <w:shd w:val="clear" w:color="auto" w:fill="FFFFFF"/>
        <w:spacing w:after="0" w:line="480" w:lineRule="auto"/>
        <w:ind w:firstLine="720"/>
        <w:jc w:val="both"/>
        <w:rPr>
          <w:rFonts w:eastAsia="Times New Roman"/>
          <w:color w:val="000000"/>
          <w:szCs w:val="24"/>
          <w:u w:val="single"/>
        </w:rPr>
      </w:pPr>
      <w:r w:rsidRPr="000F7997">
        <w:rPr>
          <w:rFonts w:eastAsia="Times New Roman"/>
          <w:color w:val="000000"/>
          <w:szCs w:val="24"/>
          <w:u w:val="single"/>
        </w:rPr>
        <w:t>Vacant. The term “vacant” means, with respect to a dwelling unit, that such dwelling unit is not occupied for use as a residence.</w:t>
      </w:r>
    </w:p>
    <w:p w14:paraId="30CFAF3B" w14:textId="77777777" w:rsidR="00064346" w:rsidRPr="000F7997" w:rsidRDefault="00064346" w:rsidP="00064346">
      <w:pPr>
        <w:spacing w:after="0" w:line="480" w:lineRule="auto"/>
        <w:ind w:firstLine="720"/>
        <w:jc w:val="both"/>
        <w:rPr>
          <w:rFonts w:eastAsia="Times New Roman"/>
          <w:color w:val="000000" w:themeColor="text1"/>
          <w:sz w:val="27"/>
          <w:szCs w:val="27"/>
        </w:rPr>
      </w:pPr>
      <w:r w:rsidRPr="2266C894">
        <w:rPr>
          <w:rFonts w:eastAsia="Times New Roman"/>
          <w:color w:val="000000" w:themeColor="text1"/>
          <w:szCs w:val="24"/>
          <w:u w:val="single"/>
        </w:rPr>
        <w:t>b. Report on vacant 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 No later than March 1, 2027, and no later than every March 1 thereafter, the mayor or an agency</w:t>
      </w:r>
      <w:r>
        <w:rPr>
          <w:rFonts w:eastAsia="Times New Roman"/>
          <w:color w:val="000000" w:themeColor="text1"/>
          <w:szCs w:val="24"/>
          <w:u w:val="single"/>
        </w:rPr>
        <w:t xml:space="preserve"> or office</w:t>
      </w:r>
      <w:r w:rsidRPr="2266C894">
        <w:rPr>
          <w:rFonts w:eastAsia="Times New Roman"/>
          <w:color w:val="000000" w:themeColor="text1"/>
          <w:szCs w:val="24"/>
          <w:u w:val="single"/>
        </w:rPr>
        <w:t xml:space="preserve"> designated by the mayor shall submit to the </w:t>
      </w:r>
      <w:r>
        <w:rPr>
          <w:rFonts w:eastAsia="Times New Roman"/>
          <w:color w:val="000000" w:themeColor="text1"/>
          <w:szCs w:val="24"/>
          <w:u w:val="single"/>
        </w:rPr>
        <w:t xml:space="preserve">speaker of the </w:t>
      </w:r>
      <w:r w:rsidRPr="2266C894">
        <w:rPr>
          <w:rFonts w:eastAsia="Times New Roman"/>
          <w:color w:val="000000" w:themeColor="text1"/>
          <w:szCs w:val="24"/>
          <w:u w:val="single"/>
        </w:rPr>
        <w:t>council and make publicly available on</w:t>
      </w:r>
      <w:r>
        <w:rPr>
          <w:rFonts w:eastAsia="Times New Roman"/>
          <w:color w:val="000000" w:themeColor="text1"/>
          <w:szCs w:val="24"/>
          <w:u w:val="single"/>
        </w:rPr>
        <w:t xml:space="preserve"> the mayor’s or such agency’s or office’s website </w:t>
      </w:r>
      <w:r w:rsidRPr="2266C894">
        <w:rPr>
          <w:rFonts w:eastAsia="Times New Roman"/>
          <w:color w:val="000000" w:themeColor="text1"/>
          <w:szCs w:val="24"/>
          <w:u w:val="single"/>
        </w:rPr>
        <w:t>a report on 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w:t>
      </w:r>
      <w:r>
        <w:rPr>
          <w:rFonts w:eastAsia="Times New Roman"/>
          <w:color w:val="000000" w:themeColor="text1"/>
          <w:szCs w:val="24"/>
          <w:u w:val="single"/>
        </w:rPr>
        <w:t xml:space="preserve"> that were vacant during</w:t>
      </w:r>
      <w:r w:rsidRPr="51FA463C">
        <w:rPr>
          <w:rFonts w:eastAsia="Times New Roman"/>
          <w:color w:val="000000" w:themeColor="text1"/>
          <w:szCs w:val="24"/>
          <w:u w:val="single"/>
        </w:rPr>
        <w:t xml:space="preserve"> </w:t>
      </w:r>
      <w:r>
        <w:rPr>
          <w:rFonts w:eastAsia="Times New Roman"/>
          <w:color w:val="000000" w:themeColor="text1"/>
          <w:szCs w:val="24"/>
          <w:u w:val="single"/>
        </w:rPr>
        <w:t>the immediately preceding calendar year</w:t>
      </w:r>
      <w:r w:rsidRPr="2266C894">
        <w:rPr>
          <w:rFonts w:eastAsia="Times New Roman"/>
          <w:color w:val="000000" w:themeColor="text1"/>
          <w:szCs w:val="24"/>
          <w:u w:val="single"/>
        </w:rPr>
        <w:t>. Such report shall include the following information</w:t>
      </w:r>
      <w:r w:rsidRPr="00B53924">
        <w:rPr>
          <w:rFonts w:eastAsia="Times New Roman"/>
          <w:color w:val="000000" w:themeColor="text1"/>
          <w:szCs w:val="24"/>
          <w:u w:val="single"/>
        </w:rPr>
        <w:t>:</w:t>
      </w:r>
    </w:p>
    <w:p w14:paraId="2A8236CA"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sidRPr="2266C894">
        <w:rPr>
          <w:rFonts w:eastAsia="Times New Roman"/>
          <w:color w:val="000000" w:themeColor="text1"/>
          <w:szCs w:val="24"/>
          <w:u w:val="single"/>
        </w:rPr>
        <w:t xml:space="preserve">1. The number of </w:t>
      </w:r>
      <w:r w:rsidRPr="115A8377">
        <w:rPr>
          <w:rFonts w:eastAsia="Times New Roman"/>
          <w:color w:val="000000" w:themeColor="text1"/>
          <w:szCs w:val="24"/>
          <w:u w:val="single"/>
        </w:rPr>
        <w:t>such vacant</w:t>
      </w:r>
      <w:r>
        <w:rPr>
          <w:rFonts w:eastAsia="Times New Roman"/>
          <w:color w:val="000000" w:themeColor="text1"/>
          <w:szCs w:val="24"/>
          <w:u w:val="single"/>
        </w:rPr>
        <w:t xml:space="preserve"> </w:t>
      </w: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w:t>
      </w:r>
      <w:r>
        <w:rPr>
          <w:rFonts w:eastAsia="Times New Roman"/>
          <w:color w:val="000000" w:themeColor="text1"/>
          <w:szCs w:val="24"/>
          <w:u w:val="single"/>
        </w:rPr>
        <w:t xml:space="preserve">, disaggregated by </w:t>
      </w:r>
      <w:r w:rsidRPr="2266C894">
        <w:rPr>
          <w:rFonts w:eastAsia="Times New Roman"/>
          <w:color w:val="000000" w:themeColor="text1"/>
          <w:szCs w:val="24"/>
          <w:u w:val="single"/>
        </w:rPr>
        <w:t>borough</w:t>
      </w:r>
      <w:r>
        <w:rPr>
          <w:rFonts w:eastAsia="Times New Roman"/>
          <w:color w:val="000000" w:themeColor="text1"/>
          <w:szCs w:val="24"/>
          <w:u w:val="single"/>
        </w:rPr>
        <w:t xml:space="preserve">, </w:t>
      </w:r>
      <w:r w:rsidRPr="2266C894">
        <w:rPr>
          <w:rFonts w:eastAsia="Times New Roman"/>
          <w:color w:val="000000" w:themeColor="text1"/>
          <w:szCs w:val="24"/>
          <w:u w:val="single"/>
        </w:rPr>
        <w:t>council district</w:t>
      </w:r>
      <w:r>
        <w:rPr>
          <w:rFonts w:eastAsia="Times New Roman"/>
          <w:color w:val="000000" w:themeColor="text1"/>
          <w:szCs w:val="24"/>
          <w:u w:val="single"/>
        </w:rPr>
        <w:t>, and bedroom size</w:t>
      </w:r>
      <w:r w:rsidRPr="2266C894">
        <w:rPr>
          <w:rFonts w:eastAsia="Times New Roman"/>
          <w:color w:val="000000" w:themeColor="text1"/>
          <w:szCs w:val="24"/>
          <w:u w:val="single"/>
        </w:rPr>
        <w:t>;</w:t>
      </w:r>
    </w:p>
    <w:p w14:paraId="607C9A61"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sidRPr="2266C894">
        <w:rPr>
          <w:rFonts w:eastAsia="Times New Roman"/>
          <w:color w:val="000000" w:themeColor="text1"/>
          <w:szCs w:val="24"/>
          <w:u w:val="single"/>
        </w:rPr>
        <w:t xml:space="preserve">2. </w:t>
      </w:r>
      <w:r>
        <w:rPr>
          <w:rFonts w:eastAsia="Times New Roman"/>
          <w:color w:val="000000" w:themeColor="text1"/>
          <w:szCs w:val="24"/>
          <w:u w:val="single"/>
        </w:rPr>
        <w:t>T</w:t>
      </w:r>
      <w:r w:rsidRPr="2266C894">
        <w:rPr>
          <w:rFonts w:eastAsia="Times New Roman"/>
          <w:color w:val="000000" w:themeColor="text1"/>
          <w:szCs w:val="24"/>
          <w:u w:val="single"/>
        </w:rPr>
        <w:t xml:space="preserve">he average number of days </w:t>
      </w:r>
      <w:r>
        <w:rPr>
          <w:rFonts w:eastAsia="Times New Roman"/>
          <w:color w:val="000000" w:themeColor="text1"/>
          <w:szCs w:val="24"/>
          <w:u w:val="single"/>
        </w:rPr>
        <w:t xml:space="preserve">between the dates such </w:t>
      </w: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 </w:t>
      </w:r>
      <w:r>
        <w:rPr>
          <w:rFonts w:eastAsia="Times New Roman"/>
          <w:color w:val="000000" w:themeColor="text1"/>
          <w:szCs w:val="24"/>
          <w:u w:val="single"/>
        </w:rPr>
        <w:t>were last occupied and the dates such New York city housing authority dwelling units became matched to prospective tenants, and for New York city housing authority dwelling units that did not become matched to prospective tenants, the average number of days between the dates such New York city housing authority dwelling units were last occupied and December 31 of the immediately preceding calendar year;</w:t>
      </w:r>
    </w:p>
    <w:p w14:paraId="273B6184"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Pr>
          <w:rFonts w:eastAsia="Times New Roman"/>
          <w:color w:val="000000" w:themeColor="text1"/>
          <w:szCs w:val="24"/>
          <w:u w:val="single"/>
        </w:rPr>
        <w:t>3</w:t>
      </w:r>
      <w:r w:rsidRPr="2266C894">
        <w:rPr>
          <w:rFonts w:eastAsia="Times New Roman"/>
          <w:color w:val="000000" w:themeColor="text1"/>
          <w:szCs w:val="24"/>
          <w:u w:val="single"/>
        </w:rPr>
        <w:t xml:space="preserve">. </w:t>
      </w:r>
      <w:r>
        <w:rPr>
          <w:rFonts w:eastAsia="Times New Roman"/>
          <w:color w:val="000000" w:themeColor="text1"/>
          <w:szCs w:val="24"/>
          <w:u w:val="single"/>
        </w:rPr>
        <w:t>When available, for</w:t>
      </w:r>
      <w:r w:rsidRPr="2266C894">
        <w:rPr>
          <w:rFonts w:eastAsia="Times New Roman"/>
          <w:color w:val="000000" w:themeColor="text1"/>
          <w:szCs w:val="24"/>
          <w:u w:val="single"/>
        </w:rPr>
        <w:t xml:space="preserve"> </w:t>
      </w:r>
      <w:r w:rsidRPr="6ED5CA53">
        <w:rPr>
          <w:rFonts w:eastAsia="Times New Roman"/>
          <w:color w:val="000000" w:themeColor="text1"/>
          <w:szCs w:val="24"/>
          <w:u w:val="single"/>
        </w:rPr>
        <w:t>such vacant</w:t>
      </w:r>
      <w:r>
        <w:rPr>
          <w:rFonts w:eastAsia="Times New Roman"/>
          <w:color w:val="000000" w:themeColor="text1"/>
          <w:szCs w:val="24"/>
          <w:u w:val="single"/>
        </w:rPr>
        <w:t xml:space="preserve"> </w:t>
      </w: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w:t>
      </w:r>
      <w:r>
        <w:rPr>
          <w:rFonts w:eastAsia="Times New Roman"/>
          <w:color w:val="000000" w:themeColor="text1"/>
          <w:szCs w:val="24"/>
          <w:u w:val="single"/>
        </w:rPr>
        <w:t>s</w:t>
      </w:r>
      <w:r w:rsidRPr="2266C894">
        <w:rPr>
          <w:rFonts w:eastAsia="Times New Roman"/>
          <w:color w:val="000000" w:themeColor="text1"/>
          <w:szCs w:val="24"/>
          <w:u w:val="single"/>
        </w:rPr>
        <w:t xml:space="preserve"> </w:t>
      </w:r>
      <w:r>
        <w:rPr>
          <w:rFonts w:eastAsia="Times New Roman"/>
          <w:color w:val="000000" w:themeColor="text1"/>
          <w:szCs w:val="24"/>
          <w:u w:val="single"/>
        </w:rPr>
        <w:t xml:space="preserve">that </w:t>
      </w:r>
      <w:r w:rsidRPr="2266C894">
        <w:rPr>
          <w:rFonts w:eastAsia="Times New Roman"/>
          <w:color w:val="000000" w:themeColor="text1"/>
          <w:szCs w:val="24"/>
          <w:u w:val="single"/>
        </w:rPr>
        <w:t>became occupied</w:t>
      </w:r>
      <w:r w:rsidRPr="00E928C4">
        <w:rPr>
          <w:rFonts w:eastAsia="Times New Roman"/>
          <w:color w:val="000000" w:themeColor="text1"/>
          <w:szCs w:val="24"/>
          <w:u w:val="single"/>
        </w:rPr>
        <w:t xml:space="preserve"> </w:t>
      </w:r>
      <w:r>
        <w:rPr>
          <w:rFonts w:eastAsia="Times New Roman"/>
          <w:color w:val="000000" w:themeColor="text1"/>
          <w:szCs w:val="24"/>
          <w:u w:val="single"/>
        </w:rPr>
        <w:t>during the immediately preceding calendar year</w:t>
      </w:r>
      <w:r w:rsidRPr="2266C894">
        <w:rPr>
          <w:rFonts w:eastAsia="Times New Roman"/>
          <w:color w:val="000000" w:themeColor="text1"/>
          <w:szCs w:val="24"/>
          <w:u w:val="single"/>
        </w:rPr>
        <w:t xml:space="preserve">, the average number of days between when such dwelling units became </w:t>
      </w:r>
      <w:r>
        <w:rPr>
          <w:rFonts w:eastAsia="Times New Roman"/>
          <w:color w:val="000000" w:themeColor="text1"/>
          <w:szCs w:val="24"/>
          <w:u w:val="single"/>
        </w:rPr>
        <w:t>matched to prospective tenants</w:t>
      </w:r>
      <w:r w:rsidRPr="2266C894">
        <w:rPr>
          <w:rFonts w:eastAsia="Times New Roman"/>
          <w:color w:val="000000" w:themeColor="text1"/>
          <w:szCs w:val="24"/>
          <w:u w:val="single"/>
        </w:rPr>
        <w:t xml:space="preserve"> and when such dwelling units became occupied;</w:t>
      </w:r>
    </w:p>
    <w:p w14:paraId="2C18DC79"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Pr>
          <w:rFonts w:eastAsia="Times New Roman"/>
          <w:color w:val="000000" w:themeColor="text1"/>
          <w:szCs w:val="24"/>
          <w:u w:val="single"/>
        </w:rPr>
        <w:t>4</w:t>
      </w:r>
      <w:r w:rsidRPr="2266C894">
        <w:rPr>
          <w:rFonts w:eastAsia="Times New Roman"/>
          <w:color w:val="000000" w:themeColor="text1"/>
          <w:szCs w:val="24"/>
          <w:u w:val="single"/>
        </w:rPr>
        <w:t xml:space="preserve">. The </w:t>
      </w:r>
      <w:r>
        <w:rPr>
          <w:rFonts w:eastAsia="Times New Roman"/>
          <w:color w:val="000000" w:themeColor="text1"/>
          <w:szCs w:val="24"/>
          <w:u w:val="single"/>
        </w:rPr>
        <w:t>number of</w:t>
      </w:r>
      <w:r w:rsidRPr="2266C894">
        <w:rPr>
          <w:rFonts w:eastAsia="Times New Roman"/>
          <w:color w:val="000000" w:themeColor="text1"/>
          <w:szCs w:val="24"/>
          <w:u w:val="single"/>
        </w:rPr>
        <w:t xml:space="preserve"> </w:t>
      </w:r>
      <w:r w:rsidRPr="1C17C295">
        <w:rPr>
          <w:rFonts w:eastAsia="Times New Roman"/>
          <w:color w:val="000000" w:themeColor="text1"/>
          <w:szCs w:val="24"/>
          <w:u w:val="single"/>
        </w:rPr>
        <w:t>such vacant</w:t>
      </w:r>
      <w:r>
        <w:rPr>
          <w:rFonts w:eastAsia="Times New Roman"/>
          <w:color w:val="000000" w:themeColor="text1"/>
          <w:szCs w:val="24"/>
          <w:u w:val="single"/>
        </w:rPr>
        <w:t xml:space="preserve"> </w:t>
      </w: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 </w:t>
      </w:r>
      <w:r>
        <w:rPr>
          <w:rFonts w:eastAsia="Times New Roman"/>
          <w:color w:val="000000" w:themeColor="text1"/>
          <w:szCs w:val="24"/>
          <w:u w:val="single"/>
        </w:rPr>
        <w:t xml:space="preserve">that were assigned each of the </w:t>
      </w:r>
      <w:r w:rsidRPr="2266C894">
        <w:rPr>
          <w:rFonts w:eastAsia="Times New Roman"/>
          <w:color w:val="000000" w:themeColor="text1"/>
          <w:szCs w:val="24"/>
          <w:u w:val="single"/>
        </w:rPr>
        <w:t xml:space="preserve">following </w:t>
      </w:r>
      <w:r>
        <w:rPr>
          <w:rFonts w:eastAsia="Times New Roman"/>
          <w:color w:val="000000" w:themeColor="text1"/>
          <w:szCs w:val="24"/>
          <w:u w:val="single"/>
        </w:rPr>
        <w:t xml:space="preserve">vacancy </w:t>
      </w:r>
      <w:r w:rsidRPr="2266C894">
        <w:rPr>
          <w:rFonts w:eastAsia="Times New Roman"/>
          <w:color w:val="000000" w:themeColor="text1"/>
          <w:szCs w:val="24"/>
          <w:u w:val="single"/>
        </w:rPr>
        <w:t>statuses:</w:t>
      </w:r>
    </w:p>
    <w:p w14:paraId="50CEC76D" w14:textId="77777777" w:rsidR="00064346" w:rsidRDefault="00064346" w:rsidP="00064346">
      <w:pPr>
        <w:shd w:val="clear" w:color="auto" w:fill="FFFFFF"/>
        <w:spacing w:after="0" w:line="480" w:lineRule="auto"/>
        <w:ind w:firstLine="720"/>
        <w:jc w:val="both"/>
        <w:rPr>
          <w:rFonts w:eastAsia="Times New Roman"/>
          <w:color w:val="000000"/>
          <w:szCs w:val="24"/>
          <w:u w:val="single"/>
        </w:rPr>
      </w:pPr>
      <w:r>
        <w:rPr>
          <w:rFonts w:eastAsia="Times New Roman"/>
          <w:color w:val="000000"/>
          <w:szCs w:val="24"/>
          <w:u w:val="single"/>
        </w:rPr>
        <w:t>(a) Matched to prospective tenants;</w:t>
      </w:r>
    </w:p>
    <w:p w14:paraId="27C586A7" w14:textId="77777777" w:rsidR="00064346" w:rsidRDefault="00064346" w:rsidP="00064346">
      <w:pPr>
        <w:shd w:val="clear" w:color="auto" w:fill="FFFFFF"/>
        <w:spacing w:after="0" w:line="480" w:lineRule="auto"/>
        <w:ind w:firstLine="720"/>
        <w:jc w:val="both"/>
        <w:rPr>
          <w:rFonts w:eastAsia="Times New Roman"/>
          <w:color w:val="000000"/>
          <w:szCs w:val="24"/>
          <w:u w:val="single"/>
        </w:rPr>
      </w:pPr>
      <w:r>
        <w:rPr>
          <w:rFonts w:eastAsia="Times New Roman"/>
          <w:color w:val="000000"/>
          <w:szCs w:val="24"/>
          <w:u w:val="single"/>
        </w:rPr>
        <w:t xml:space="preserve">(b) Temporarily off rent roll;  </w:t>
      </w:r>
    </w:p>
    <w:p w14:paraId="5FCB7747" w14:textId="77777777" w:rsidR="00064346" w:rsidRDefault="00064346" w:rsidP="00064346">
      <w:pPr>
        <w:shd w:val="clear" w:color="auto" w:fill="FFFFFF"/>
        <w:spacing w:after="0" w:line="480" w:lineRule="auto"/>
        <w:ind w:firstLine="720"/>
        <w:jc w:val="both"/>
        <w:rPr>
          <w:rFonts w:eastAsia="Times New Roman"/>
          <w:color w:val="000000"/>
          <w:szCs w:val="24"/>
          <w:u w:val="single"/>
        </w:rPr>
      </w:pPr>
      <w:r>
        <w:rPr>
          <w:rFonts w:eastAsia="Times New Roman"/>
          <w:color w:val="000000"/>
          <w:szCs w:val="24"/>
          <w:u w:val="single"/>
        </w:rPr>
        <w:t>(c) Permanently off rent roll; or</w:t>
      </w:r>
    </w:p>
    <w:p w14:paraId="1BABCAFE" w14:textId="77777777" w:rsidR="00064346" w:rsidRDefault="00064346" w:rsidP="00064346">
      <w:pPr>
        <w:shd w:val="clear" w:color="auto" w:fill="FFFFFF"/>
        <w:spacing w:after="0" w:line="480" w:lineRule="auto"/>
        <w:ind w:firstLine="720"/>
        <w:jc w:val="both"/>
        <w:rPr>
          <w:rFonts w:eastAsia="Times New Roman"/>
          <w:color w:val="000000"/>
          <w:szCs w:val="24"/>
          <w:u w:val="single"/>
        </w:rPr>
      </w:pPr>
      <w:r>
        <w:rPr>
          <w:rFonts w:eastAsia="Times New Roman"/>
          <w:color w:val="000000"/>
          <w:szCs w:val="24"/>
          <w:u w:val="single"/>
        </w:rPr>
        <w:t>(d) Turnover in progress;</w:t>
      </w:r>
    </w:p>
    <w:p w14:paraId="289730D7"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Pr>
          <w:rFonts w:eastAsia="Times New Roman"/>
          <w:color w:val="000000" w:themeColor="text1"/>
          <w:szCs w:val="24"/>
          <w:u w:val="single"/>
        </w:rPr>
        <w:t>5</w:t>
      </w:r>
      <w:r w:rsidRPr="7F40A1A5">
        <w:rPr>
          <w:rFonts w:eastAsia="Times New Roman"/>
          <w:color w:val="000000" w:themeColor="text1"/>
          <w:szCs w:val="24"/>
          <w:u w:val="single"/>
        </w:rPr>
        <w:t xml:space="preserve">. The reasons for </w:t>
      </w:r>
      <w:r>
        <w:rPr>
          <w:rFonts w:eastAsia="Times New Roman"/>
          <w:color w:val="000000" w:themeColor="text1"/>
          <w:szCs w:val="24"/>
          <w:u w:val="single"/>
        </w:rPr>
        <w:t>each</w:t>
      </w:r>
      <w:r w:rsidRPr="7F40A1A5">
        <w:rPr>
          <w:rFonts w:eastAsia="Times New Roman"/>
          <w:color w:val="000000" w:themeColor="text1"/>
          <w:szCs w:val="24"/>
          <w:u w:val="single"/>
        </w:rPr>
        <w:t xml:space="preserve"> vacancy status listed pursuant to paragraph </w:t>
      </w:r>
      <w:r>
        <w:rPr>
          <w:rFonts w:eastAsia="Times New Roman"/>
          <w:color w:val="000000" w:themeColor="text1"/>
          <w:szCs w:val="24"/>
          <w:u w:val="single"/>
        </w:rPr>
        <w:t>4</w:t>
      </w:r>
      <w:r w:rsidRPr="7F40A1A5">
        <w:rPr>
          <w:rFonts w:eastAsia="Times New Roman"/>
          <w:color w:val="000000" w:themeColor="text1"/>
          <w:szCs w:val="24"/>
          <w:u w:val="single"/>
        </w:rPr>
        <w:t xml:space="preserve"> of this </w:t>
      </w:r>
      <w:r>
        <w:rPr>
          <w:rFonts w:eastAsia="Times New Roman"/>
          <w:color w:val="000000" w:themeColor="text1"/>
          <w:szCs w:val="24"/>
          <w:u w:val="single"/>
        </w:rPr>
        <w:t xml:space="preserve">subdivision that were assigned to </w:t>
      </w:r>
      <w:r w:rsidRPr="1C17C295">
        <w:rPr>
          <w:rFonts w:eastAsia="Times New Roman"/>
          <w:color w:val="000000" w:themeColor="text1"/>
          <w:szCs w:val="24"/>
          <w:u w:val="single"/>
        </w:rPr>
        <w:t xml:space="preserve">such </w:t>
      </w:r>
      <w:r>
        <w:rPr>
          <w:rFonts w:eastAsia="Times New Roman"/>
          <w:color w:val="000000" w:themeColor="text1"/>
          <w:szCs w:val="24"/>
          <w:u w:val="single"/>
        </w:rPr>
        <w:t xml:space="preserve">vacant </w:t>
      </w: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w:t>
      </w:r>
      <w:r w:rsidRPr="7F40A1A5">
        <w:rPr>
          <w:rFonts w:eastAsia="Times New Roman"/>
          <w:color w:val="000000" w:themeColor="text1"/>
          <w:szCs w:val="24"/>
          <w:u w:val="single"/>
        </w:rPr>
        <w:t>, including but not limited to relocations associated with comprehensive modernization, relocations associated with the New York city public housing preservation trust, relocations associated with anticipated conversion to the permanent affordability commitment together program, or conversion from residential to community or management purposes;</w:t>
      </w:r>
    </w:p>
    <w:p w14:paraId="4B397548" w14:textId="77777777" w:rsidR="00064346" w:rsidRDefault="00064346" w:rsidP="00064346">
      <w:pPr>
        <w:shd w:val="clear" w:color="auto" w:fill="FFFFFF" w:themeFill="background1"/>
        <w:spacing w:after="0" w:line="480" w:lineRule="auto"/>
        <w:ind w:firstLine="720"/>
        <w:jc w:val="both"/>
        <w:rPr>
          <w:rFonts w:eastAsia="Times New Roman"/>
          <w:color w:val="000000"/>
          <w:szCs w:val="24"/>
          <w:u w:val="single"/>
        </w:rPr>
      </w:pPr>
      <w:r>
        <w:rPr>
          <w:rFonts w:eastAsia="Times New Roman"/>
          <w:color w:val="000000" w:themeColor="text1"/>
          <w:szCs w:val="24"/>
          <w:u w:val="single"/>
        </w:rPr>
        <w:t>6. The number of</w:t>
      </w:r>
      <w:r w:rsidRPr="1C17C295">
        <w:rPr>
          <w:rFonts w:eastAsia="Times New Roman"/>
          <w:color w:val="000000" w:themeColor="text1"/>
          <w:szCs w:val="24"/>
          <w:u w:val="single"/>
        </w:rPr>
        <w:t xml:space="preserve"> such</w:t>
      </w:r>
      <w:r>
        <w:rPr>
          <w:rFonts w:eastAsia="Times New Roman"/>
          <w:color w:val="000000" w:themeColor="text1"/>
          <w:szCs w:val="24"/>
          <w:u w:val="single"/>
        </w:rPr>
        <w:t xml:space="preserve"> vacant New York city housing authority dwelling units that were vacant for each reason listed pursuant to paragraph 5 of this subdivision;</w:t>
      </w:r>
    </w:p>
    <w:p w14:paraId="76552870"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Pr>
          <w:rFonts w:eastAsia="Times New Roman"/>
          <w:color w:val="000000" w:themeColor="text1"/>
          <w:szCs w:val="24"/>
          <w:u w:val="single"/>
        </w:rPr>
        <w:t>7</w:t>
      </w:r>
      <w:r w:rsidRPr="2266C894">
        <w:rPr>
          <w:rFonts w:eastAsia="Times New Roman"/>
          <w:color w:val="000000" w:themeColor="text1"/>
          <w:szCs w:val="24"/>
          <w:u w:val="single"/>
        </w:rPr>
        <w:t xml:space="preserve">. The number of </w:t>
      </w:r>
      <w:r w:rsidRPr="1C17C295">
        <w:rPr>
          <w:rFonts w:eastAsia="Times New Roman"/>
          <w:color w:val="000000" w:themeColor="text1"/>
          <w:szCs w:val="24"/>
          <w:u w:val="single"/>
        </w:rPr>
        <w:t xml:space="preserve">such </w:t>
      </w:r>
      <w:r>
        <w:rPr>
          <w:rFonts w:eastAsia="Times New Roman"/>
          <w:color w:val="000000" w:themeColor="text1"/>
          <w:szCs w:val="24"/>
          <w:u w:val="single"/>
        </w:rPr>
        <w:t xml:space="preserve">vacant </w:t>
      </w: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 that tested positive for mold, lead, asbestos, or </w:t>
      </w:r>
      <w:r>
        <w:rPr>
          <w:rFonts w:eastAsia="Times New Roman"/>
          <w:color w:val="000000" w:themeColor="text1"/>
          <w:szCs w:val="24"/>
          <w:u w:val="single"/>
        </w:rPr>
        <w:t>an</w:t>
      </w:r>
      <w:r w:rsidRPr="2266C894">
        <w:rPr>
          <w:rFonts w:eastAsia="Times New Roman"/>
          <w:color w:val="000000" w:themeColor="text1"/>
          <w:szCs w:val="24"/>
          <w:u w:val="single"/>
        </w:rPr>
        <w:t xml:space="preserve">other hazardous substance regulated by the </w:t>
      </w:r>
      <w:r>
        <w:rPr>
          <w:rFonts w:eastAsia="Times New Roman"/>
          <w:color w:val="000000" w:themeColor="text1"/>
          <w:szCs w:val="24"/>
          <w:u w:val="single"/>
        </w:rPr>
        <w:t>United States</w:t>
      </w:r>
      <w:r w:rsidRPr="2266C894">
        <w:rPr>
          <w:rFonts w:eastAsia="Times New Roman"/>
          <w:color w:val="000000" w:themeColor="text1"/>
          <w:szCs w:val="24"/>
          <w:u w:val="single"/>
        </w:rPr>
        <w:t xml:space="preserve"> department of housing and urban development during the immediately preceding calendar year;</w:t>
      </w:r>
    </w:p>
    <w:p w14:paraId="3BFD565C" w14:textId="77777777" w:rsidR="00064346" w:rsidRDefault="00064346" w:rsidP="00064346">
      <w:pPr>
        <w:shd w:val="clear" w:color="auto" w:fill="FFFFFF" w:themeFill="background1"/>
        <w:spacing w:after="0" w:line="480" w:lineRule="auto"/>
        <w:ind w:firstLine="720"/>
        <w:jc w:val="both"/>
        <w:rPr>
          <w:rFonts w:eastAsia="Times New Roman"/>
          <w:color w:val="000000"/>
          <w:szCs w:val="24"/>
          <w:u w:val="single"/>
        </w:rPr>
      </w:pPr>
      <w:r>
        <w:rPr>
          <w:rFonts w:eastAsia="Times New Roman"/>
          <w:color w:val="000000" w:themeColor="text1"/>
          <w:szCs w:val="24"/>
          <w:u w:val="single"/>
        </w:rPr>
        <w:t xml:space="preserve">8. When available, the number of </w:t>
      </w:r>
      <w:r w:rsidRPr="1C17C295">
        <w:rPr>
          <w:rFonts w:eastAsia="Times New Roman"/>
          <w:color w:val="000000" w:themeColor="text1"/>
          <w:szCs w:val="24"/>
          <w:u w:val="single"/>
        </w:rPr>
        <w:t xml:space="preserve">such </w:t>
      </w:r>
      <w:r>
        <w:rPr>
          <w:rFonts w:eastAsia="Times New Roman"/>
          <w:color w:val="000000" w:themeColor="text1"/>
          <w:szCs w:val="24"/>
          <w:u w:val="single"/>
        </w:rPr>
        <w:t>vacant New York city housing authority dwelling units that were offered to prospective tenants for use as a residence during the immediately preceding calendar year;</w:t>
      </w:r>
    </w:p>
    <w:p w14:paraId="00E6E310"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Pr>
          <w:rFonts w:eastAsia="Times New Roman"/>
          <w:color w:val="000000" w:themeColor="text1"/>
          <w:szCs w:val="24"/>
          <w:u w:val="single"/>
        </w:rPr>
        <w:t>9</w:t>
      </w:r>
      <w:r w:rsidRPr="2266C894">
        <w:rPr>
          <w:rFonts w:eastAsia="Times New Roman"/>
          <w:color w:val="000000" w:themeColor="text1"/>
          <w:szCs w:val="24"/>
          <w:u w:val="single"/>
        </w:rPr>
        <w:t xml:space="preserve">. A description of the efforts that the New York city housing authority made to </w:t>
      </w:r>
      <w:r>
        <w:rPr>
          <w:rFonts w:eastAsia="Times New Roman"/>
          <w:color w:val="000000" w:themeColor="text1"/>
          <w:szCs w:val="24"/>
          <w:u w:val="single"/>
        </w:rPr>
        <w:t xml:space="preserve">promptly occupy vacant </w:t>
      </w: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 including but not limited to hiring additional staff, advocating for additional funding, </w:t>
      </w:r>
      <w:r>
        <w:rPr>
          <w:rFonts w:eastAsia="Times New Roman"/>
          <w:color w:val="000000" w:themeColor="text1"/>
          <w:szCs w:val="24"/>
          <w:u w:val="single"/>
        </w:rPr>
        <w:t xml:space="preserve">or </w:t>
      </w:r>
      <w:r w:rsidRPr="2266C894">
        <w:rPr>
          <w:rFonts w:eastAsia="Times New Roman"/>
          <w:color w:val="000000" w:themeColor="text1"/>
          <w:szCs w:val="24"/>
          <w:u w:val="single"/>
        </w:rPr>
        <w:t>streamlining apartment turnover operations;</w:t>
      </w:r>
    </w:p>
    <w:p w14:paraId="34A195E9"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Pr>
          <w:rFonts w:eastAsia="Times New Roman"/>
          <w:color w:val="000000" w:themeColor="text1"/>
          <w:szCs w:val="24"/>
          <w:u w:val="single"/>
        </w:rPr>
        <w:t>10</w:t>
      </w:r>
      <w:r w:rsidRPr="2266C894">
        <w:rPr>
          <w:rFonts w:eastAsia="Times New Roman"/>
          <w:color w:val="000000" w:themeColor="text1"/>
          <w:szCs w:val="24"/>
          <w:u w:val="single"/>
        </w:rPr>
        <w:t xml:space="preserve">. The number of </w:t>
      </w:r>
      <w:r w:rsidRPr="6A5F7409">
        <w:rPr>
          <w:rFonts w:eastAsia="Times New Roman"/>
          <w:color w:val="000000" w:themeColor="text1"/>
          <w:szCs w:val="24"/>
          <w:u w:val="single"/>
        </w:rPr>
        <w:t>such vacant</w:t>
      </w:r>
      <w:r>
        <w:rPr>
          <w:rFonts w:eastAsia="Times New Roman"/>
          <w:color w:val="000000" w:themeColor="text1"/>
          <w:szCs w:val="24"/>
          <w:u w:val="single"/>
        </w:rPr>
        <w:t xml:space="preserve"> </w:t>
      </w: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w:t>
      </w:r>
      <w:r>
        <w:rPr>
          <w:rFonts w:eastAsia="Times New Roman"/>
          <w:color w:val="000000" w:themeColor="text1"/>
          <w:szCs w:val="24"/>
          <w:u w:val="single"/>
        </w:rPr>
        <w:t xml:space="preserve"> </w:t>
      </w:r>
      <w:r w:rsidRPr="2266C894">
        <w:rPr>
          <w:rFonts w:eastAsia="Times New Roman"/>
          <w:color w:val="000000" w:themeColor="text1"/>
          <w:szCs w:val="24"/>
          <w:u w:val="single"/>
        </w:rPr>
        <w:t>that have accessibility features;</w:t>
      </w:r>
    </w:p>
    <w:p w14:paraId="3600CEDB"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Pr>
          <w:rFonts w:eastAsia="Times New Roman"/>
          <w:color w:val="000000" w:themeColor="text1"/>
          <w:szCs w:val="24"/>
          <w:u w:val="single"/>
        </w:rPr>
        <w:t xml:space="preserve">11. The average </w:t>
      </w:r>
      <w:r w:rsidRPr="2266C894">
        <w:rPr>
          <w:rFonts w:eastAsia="Times New Roman"/>
          <w:color w:val="000000" w:themeColor="text1"/>
          <w:szCs w:val="24"/>
          <w:u w:val="single"/>
        </w:rPr>
        <w:t xml:space="preserve">number of days </w:t>
      </w:r>
      <w:r>
        <w:rPr>
          <w:rFonts w:eastAsia="Times New Roman"/>
          <w:color w:val="000000" w:themeColor="text1"/>
          <w:szCs w:val="24"/>
          <w:u w:val="single"/>
        </w:rPr>
        <w:t>between the dates</w:t>
      </w:r>
      <w:r w:rsidRPr="2266C894">
        <w:rPr>
          <w:rFonts w:eastAsia="Times New Roman"/>
          <w:color w:val="000000" w:themeColor="text1"/>
          <w:szCs w:val="24"/>
          <w:u w:val="single"/>
        </w:rPr>
        <w:t xml:space="preserve"> </w:t>
      </w:r>
      <w:r w:rsidRPr="5187CD44">
        <w:rPr>
          <w:rFonts w:eastAsia="Times New Roman"/>
          <w:color w:val="000000" w:themeColor="text1"/>
          <w:szCs w:val="24"/>
          <w:u w:val="single"/>
        </w:rPr>
        <w:t>such vacant</w:t>
      </w:r>
      <w:r w:rsidRPr="2266C894">
        <w:rPr>
          <w:rFonts w:eastAsia="Times New Roman"/>
          <w:color w:val="000000" w:themeColor="text1"/>
          <w:szCs w:val="24"/>
          <w:u w:val="single"/>
        </w:rPr>
        <w:t xml:space="preserve"> 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 </w:t>
      </w:r>
      <w:r>
        <w:rPr>
          <w:rFonts w:eastAsia="Times New Roman"/>
          <w:color w:val="000000" w:themeColor="text1"/>
          <w:szCs w:val="24"/>
          <w:u w:val="single"/>
        </w:rPr>
        <w:t xml:space="preserve">with accessibility features, identified pursuant to paragraph 10 of this subdivision, were last occupied and the dates such </w:t>
      </w:r>
      <w:r w:rsidRPr="00F70512">
        <w:rPr>
          <w:rFonts w:eastAsia="Times New Roman"/>
          <w:color w:val="000000" w:themeColor="text1"/>
          <w:szCs w:val="24"/>
          <w:u w:val="single"/>
        </w:rPr>
        <w:t xml:space="preserve">New York city housing authority dwelling units </w:t>
      </w:r>
      <w:r>
        <w:rPr>
          <w:rFonts w:eastAsia="Times New Roman"/>
          <w:color w:val="000000" w:themeColor="text1"/>
          <w:szCs w:val="24"/>
          <w:u w:val="single"/>
        </w:rPr>
        <w:t xml:space="preserve">became matched with prospective tenants, and for New York city housing authority dwelling units with accessibility features that did not become matched to prospective tenants, the average number of days between the dates such </w:t>
      </w:r>
      <w:r w:rsidRPr="00F70512">
        <w:rPr>
          <w:rFonts w:eastAsia="Times New Roman"/>
          <w:color w:val="000000" w:themeColor="text1"/>
          <w:szCs w:val="24"/>
          <w:u w:val="single"/>
        </w:rPr>
        <w:t xml:space="preserve">New York city housing authority dwelling units </w:t>
      </w:r>
      <w:r>
        <w:rPr>
          <w:rFonts w:eastAsia="Times New Roman"/>
          <w:color w:val="000000" w:themeColor="text1"/>
          <w:szCs w:val="24"/>
          <w:u w:val="single"/>
        </w:rPr>
        <w:t>were last occupied and December 31 of the immediately preceding calendar year;</w:t>
      </w:r>
    </w:p>
    <w:p w14:paraId="580C8A47"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sidRPr="2266C894">
        <w:rPr>
          <w:rFonts w:eastAsia="Times New Roman"/>
          <w:color w:val="000000" w:themeColor="text1"/>
          <w:szCs w:val="24"/>
          <w:u w:val="single"/>
        </w:rPr>
        <w:t>1</w:t>
      </w:r>
      <w:r>
        <w:rPr>
          <w:rFonts w:eastAsia="Times New Roman"/>
          <w:color w:val="000000" w:themeColor="text1"/>
          <w:szCs w:val="24"/>
          <w:u w:val="single"/>
        </w:rPr>
        <w:t>2</w:t>
      </w:r>
      <w:r w:rsidRPr="2266C894">
        <w:rPr>
          <w:rFonts w:eastAsia="Times New Roman"/>
          <w:color w:val="000000" w:themeColor="text1"/>
          <w:szCs w:val="24"/>
          <w:u w:val="single"/>
        </w:rPr>
        <w:t xml:space="preserve">. The number of </w:t>
      </w:r>
      <w:r w:rsidRPr="78CE5C13">
        <w:rPr>
          <w:rFonts w:eastAsia="Times New Roman"/>
          <w:color w:val="000000" w:themeColor="text1"/>
          <w:szCs w:val="24"/>
          <w:u w:val="single"/>
        </w:rPr>
        <w:t xml:space="preserve">such </w:t>
      </w:r>
      <w:r>
        <w:rPr>
          <w:rFonts w:eastAsia="Times New Roman"/>
          <w:color w:val="000000" w:themeColor="text1"/>
          <w:szCs w:val="24"/>
          <w:u w:val="single"/>
        </w:rPr>
        <w:t xml:space="preserve">vacant </w:t>
      </w: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 </w:t>
      </w:r>
      <w:r>
        <w:rPr>
          <w:rFonts w:eastAsia="Times New Roman"/>
          <w:color w:val="000000" w:themeColor="text1"/>
          <w:szCs w:val="24"/>
          <w:u w:val="single"/>
        </w:rPr>
        <w:t xml:space="preserve">that are </w:t>
      </w:r>
      <w:r w:rsidRPr="2266C894">
        <w:rPr>
          <w:rFonts w:eastAsia="Times New Roman"/>
          <w:color w:val="000000" w:themeColor="text1"/>
          <w:szCs w:val="24"/>
          <w:u w:val="single"/>
        </w:rPr>
        <w:t>in a seniors-only building or development;</w:t>
      </w:r>
    </w:p>
    <w:p w14:paraId="7421985C" w14:textId="77777777" w:rsidR="00064346" w:rsidRDefault="00064346" w:rsidP="00064346">
      <w:pPr>
        <w:shd w:val="clear" w:color="auto" w:fill="FFFFFF" w:themeFill="background1"/>
        <w:spacing w:after="0" w:line="480" w:lineRule="auto"/>
        <w:ind w:firstLine="720"/>
        <w:jc w:val="both"/>
        <w:rPr>
          <w:rFonts w:eastAsia="Times New Roman"/>
          <w:color w:val="000000" w:themeColor="text1"/>
          <w:szCs w:val="24"/>
          <w:u w:val="single"/>
        </w:rPr>
      </w:pPr>
      <w:r>
        <w:rPr>
          <w:rFonts w:eastAsia="Times New Roman"/>
          <w:color w:val="000000" w:themeColor="text1"/>
          <w:szCs w:val="24"/>
          <w:u w:val="single"/>
        </w:rPr>
        <w:t xml:space="preserve">13. The average </w:t>
      </w:r>
      <w:r w:rsidRPr="2266C894">
        <w:rPr>
          <w:rFonts w:eastAsia="Times New Roman"/>
          <w:color w:val="000000" w:themeColor="text1"/>
          <w:szCs w:val="24"/>
          <w:u w:val="single"/>
        </w:rPr>
        <w:t xml:space="preserve">number of days </w:t>
      </w:r>
      <w:r>
        <w:rPr>
          <w:rFonts w:eastAsia="Times New Roman"/>
          <w:color w:val="000000" w:themeColor="text1"/>
          <w:szCs w:val="24"/>
          <w:u w:val="single"/>
        </w:rPr>
        <w:t>between the dates</w:t>
      </w:r>
      <w:r w:rsidRPr="2266C894">
        <w:rPr>
          <w:rFonts w:eastAsia="Times New Roman"/>
          <w:color w:val="000000" w:themeColor="text1"/>
          <w:szCs w:val="24"/>
          <w:u w:val="single"/>
        </w:rPr>
        <w:t xml:space="preserve"> </w:t>
      </w:r>
      <w:r w:rsidRPr="78CE5C13">
        <w:rPr>
          <w:rFonts w:eastAsia="Times New Roman"/>
          <w:color w:val="000000" w:themeColor="text1"/>
          <w:szCs w:val="24"/>
          <w:u w:val="single"/>
        </w:rPr>
        <w:t xml:space="preserve">such </w:t>
      </w:r>
      <w:r>
        <w:rPr>
          <w:rFonts w:eastAsia="Times New Roman"/>
          <w:color w:val="000000" w:themeColor="text1"/>
          <w:szCs w:val="24"/>
          <w:u w:val="single"/>
        </w:rPr>
        <w:t>vacant</w:t>
      </w:r>
      <w:r w:rsidRPr="2266C894">
        <w:rPr>
          <w:rFonts w:eastAsia="Times New Roman"/>
          <w:color w:val="000000" w:themeColor="text1"/>
          <w:szCs w:val="24"/>
          <w:u w:val="single"/>
        </w:rPr>
        <w:t xml:space="preserve"> 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 </w:t>
      </w:r>
      <w:r>
        <w:rPr>
          <w:rFonts w:eastAsia="Times New Roman"/>
          <w:color w:val="000000" w:themeColor="text1"/>
          <w:szCs w:val="24"/>
          <w:u w:val="single"/>
        </w:rPr>
        <w:t xml:space="preserve">in seniors-only buildings or developments, identified pursuant to paragraph 12 of this subdivision, were last occupied and the dates such </w:t>
      </w:r>
      <w:r w:rsidRPr="00F70512">
        <w:rPr>
          <w:rFonts w:eastAsia="Times New Roman"/>
          <w:color w:val="000000" w:themeColor="text1"/>
          <w:szCs w:val="24"/>
          <w:u w:val="single"/>
        </w:rPr>
        <w:t xml:space="preserve">New York city housing authority dwelling units </w:t>
      </w:r>
      <w:r>
        <w:rPr>
          <w:rFonts w:eastAsia="Times New Roman"/>
          <w:color w:val="000000" w:themeColor="text1"/>
          <w:szCs w:val="24"/>
          <w:u w:val="single"/>
        </w:rPr>
        <w:t xml:space="preserve">became matched with prospective tenants, and for New York city housing authority dwelling units in seniors-only buildings or developments that did not become matched to prospective tenants, the average number of days between the dates such </w:t>
      </w:r>
      <w:r w:rsidRPr="00F70512">
        <w:rPr>
          <w:rFonts w:eastAsia="Times New Roman"/>
          <w:color w:val="000000" w:themeColor="text1"/>
          <w:szCs w:val="24"/>
          <w:u w:val="single"/>
        </w:rPr>
        <w:t xml:space="preserve">New York city housing authority dwelling units </w:t>
      </w:r>
      <w:r>
        <w:rPr>
          <w:rFonts w:eastAsia="Times New Roman"/>
          <w:color w:val="000000" w:themeColor="text1"/>
          <w:szCs w:val="24"/>
          <w:u w:val="single"/>
        </w:rPr>
        <w:t>were last occupied and December 31 of the immediately preceding calendar year;</w:t>
      </w:r>
    </w:p>
    <w:p w14:paraId="47DF0811" w14:textId="77777777" w:rsidR="00064346" w:rsidRDefault="00064346" w:rsidP="00064346">
      <w:pPr>
        <w:shd w:val="clear" w:color="auto" w:fill="FFFFFF" w:themeFill="background1"/>
        <w:spacing w:after="0" w:line="480" w:lineRule="auto"/>
        <w:ind w:firstLine="720"/>
        <w:jc w:val="both"/>
        <w:rPr>
          <w:rFonts w:eastAsia="Times New Roman"/>
          <w:color w:val="000000"/>
          <w:szCs w:val="24"/>
          <w:u w:val="single"/>
        </w:rPr>
      </w:pPr>
      <w:r w:rsidRPr="2266C894">
        <w:rPr>
          <w:rFonts w:eastAsia="Times New Roman"/>
          <w:color w:val="000000" w:themeColor="text1"/>
          <w:szCs w:val="24"/>
          <w:u w:val="single"/>
        </w:rPr>
        <w:t>1</w:t>
      </w:r>
      <w:r>
        <w:rPr>
          <w:rFonts w:eastAsia="Times New Roman"/>
          <w:color w:val="000000" w:themeColor="text1"/>
          <w:szCs w:val="24"/>
          <w:u w:val="single"/>
        </w:rPr>
        <w:t>4</w:t>
      </w:r>
      <w:r w:rsidRPr="2266C894">
        <w:rPr>
          <w:rFonts w:eastAsia="Times New Roman"/>
          <w:color w:val="000000" w:themeColor="text1"/>
          <w:szCs w:val="24"/>
          <w:u w:val="single"/>
        </w:rPr>
        <w:t>. The number of</w:t>
      </w:r>
      <w:r w:rsidRPr="78CE5C13">
        <w:rPr>
          <w:rFonts w:eastAsia="Times New Roman"/>
          <w:color w:val="000000" w:themeColor="text1"/>
          <w:szCs w:val="24"/>
          <w:u w:val="single"/>
        </w:rPr>
        <w:t xml:space="preserve"> such</w:t>
      </w:r>
      <w:r w:rsidRPr="2266C894">
        <w:rPr>
          <w:rFonts w:eastAsia="Times New Roman"/>
          <w:color w:val="000000" w:themeColor="text1"/>
          <w:szCs w:val="24"/>
          <w:u w:val="single"/>
        </w:rPr>
        <w:t xml:space="preserve"> </w:t>
      </w:r>
      <w:r>
        <w:rPr>
          <w:rFonts w:eastAsia="Times New Roman"/>
          <w:color w:val="000000" w:themeColor="text1"/>
          <w:szCs w:val="24"/>
          <w:u w:val="single"/>
        </w:rPr>
        <w:t xml:space="preserve">vacant </w:t>
      </w:r>
      <w:r w:rsidRPr="2266C894">
        <w:rPr>
          <w:rFonts w:eastAsia="Times New Roman"/>
          <w:color w:val="000000" w:themeColor="text1"/>
          <w:szCs w:val="24"/>
          <w:u w:val="single"/>
        </w:rPr>
        <w:t>N</w:t>
      </w:r>
      <w:r>
        <w:rPr>
          <w:rFonts w:eastAsia="Times New Roman"/>
          <w:color w:val="000000" w:themeColor="text1"/>
          <w:szCs w:val="24"/>
          <w:u w:val="single"/>
        </w:rPr>
        <w:t>ew York city housing authority</w:t>
      </w:r>
      <w:r w:rsidRPr="2266C894">
        <w:rPr>
          <w:rFonts w:eastAsia="Times New Roman"/>
          <w:color w:val="000000" w:themeColor="text1"/>
          <w:szCs w:val="24"/>
          <w:u w:val="single"/>
        </w:rPr>
        <w:t xml:space="preserve"> dwelling units that were recategorized as a non-dwelling unit during </w:t>
      </w:r>
      <w:r>
        <w:rPr>
          <w:rFonts w:eastAsia="Times New Roman"/>
          <w:color w:val="000000" w:themeColor="text1"/>
          <w:szCs w:val="24"/>
          <w:u w:val="single"/>
        </w:rPr>
        <w:t xml:space="preserve">the immediately preceding calendar </w:t>
      </w:r>
      <w:r w:rsidRPr="2266C894">
        <w:rPr>
          <w:rFonts w:eastAsia="Times New Roman"/>
          <w:color w:val="000000" w:themeColor="text1"/>
          <w:szCs w:val="24"/>
          <w:u w:val="single"/>
        </w:rPr>
        <w:t>year, and the reason for such recategorization, including but not limited to use as</w:t>
      </w:r>
      <w:r>
        <w:rPr>
          <w:rFonts w:eastAsia="Times New Roman"/>
          <w:color w:val="000000" w:themeColor="text1"/>
          <w:szCs w:val="24"/>
          <w:u w:val="single"/>
        </w:rPr>
        <w:t xml:space="preserve"> a</w:t>
      </w:r>
      <w:r>
        <w:rPr>
          <w:rFonts w:eastAsia="Times New Roman"/>
          <w:color w:val="000000"/>
          <w:szCs w:val="24"/>
          <w:u w:val="single"/>
        </w:rPr>
        <w:t xml:space="preserve"> management or maintenance office by the New York city housing authority; an office or other space by a resident association; or a police administrative space by the New York police department housing bure</w:t>
      </w:r>
      <w:r w:rsidRPr="00E958E7">
        <w:rPr>
          <w:rFonts w:eastAsia="Times New Roman"/>
          <w:color w:val="000000"/>
          <w:szCs w:val="24"/>
          <w:u w:val="single"/>
        </w:rPr>
        <w:t>au</w:t>
      </w:r>
      <w:r>
        <w:rPr>
          <w:rFonts w:eastAsia="Times New Roman"/>
          <w:color w:val="000000"/>
          <w:szCs w:val="24"/>
          <w:u w:val="single"/>
        </w:rPr>
        <w:t>; and</w:t>
      </w:r>
    </w:p>
    <w:p w14:paraId="52455DC0" w14:textId="77777777" w:rsidR="00064346" w:rsidRDefault="00064346" w:rsidP="00064346">
      <w:pPr>
        <w:shd w:val="clear" w:color="auto" w:fill="FFFFFF" w:themeFill="background1"/>
        <w:spacing w:after="0" w:line="480" w:lineRule="auto"/>
        <w:ind w:firstLine="720"/>
        <w:jc w:val="both"/>
        <w:rPr>
          <w:rFonts w:eastAsia="Times New Roman"/>
          <w:color w:val="000000"/>
          <w:szCs w:val="24"/>
          <w:u w:val="single"/>
        </w:rPr>
      </w:pPr>
      <w:r>
        <w:rPr>
          <w:rFonts w:eastAsia="Times New Roman"/>
          <w:color w:val="000000"/>
          <w:szCs w:val="24"/>
          <w:u w:val="single"/>
        </w:rPr>
        <w:t>15. If available for a development that is part of the permanent affordability commitment together program, pursuant to which a property receiving assistance under section 9 of the United States housing act of 1937 converts to a property receiving assistance under section 8 of such act, the number of dwelling units in such development that were vacant during the immediately preceding calendar year.</w:t>
      </w:r>
    </w:p>
    <w:p w14:paraId="4A2A65F7" w14:textId="77777777" w:rsidR="00064346" w:rsidRPr="000F7997" w:rsidRDefault="00064346" w:rsidP="00064346">
      <w:pPr>
        <w:shd w:val="clear" w:color="auto" w:fill="FFFFFF"/>
        <w:spacing w:after="0" w:line="480" w:lineRule="auto"/>
        <w:ind w:firstLine="720"/>
        <w:jc w:val="both"/>
        <w:rPr>
          <w:rFonts w:eastAsia="Times New Roman"/>
          <w:color w:val="000000"/>
          <w:sz w:val="27"/>
          <w:szCs w:val="27"/>
        </w:rPr>
      </w:pPr>
      <w:r w:rsidRPr="000F7997">
        <w:rPr>
          <w:rFonts w:eastAsia="Times New Roman"/>
          <w:color w:val="000000"/>
          <w:szCs w:val="24"/>
        </w:rPr>
        <w:t>§ 2. This local law takes effect immediately.</w:t>
      </w:r>
    </w:p>
    <w:p w14:paraId="57969F0D" w14:textId="77777777" w:rsidR="00064346" w:rsidRPr="000F7997" w:rsidRDefault="00064346" w:rsidP="00064346">
      <w:pPr>
        <w:suppressLineNumbers/>
        <w:shd w:val="clear" w:color="auto" w:fill="FFFFFF"/>
        <w:spacing w:after="0" w:line="240" w:lineRule="auto"/>
        <w:jc w:val="both"/>
        <w:rPr>
          <w:rFonts w:eastAsia="Times New Roman"/>
          <w:color w:val="000000"/>
          <w:sz w:val="27"/>
          <w:szCs w:val="27"/>
        </w:rPr>
      </w:pPr>
      <w:r w:rsidRPr="000F7997">
        <w:rPr>
          <w:rFonts w:eastAsia="Times New Roman"/>
          <w:color w:val="000000"/>
          <w:sz w:val="18"/>
          <w:szCs w:val="18"/>
        </w:rPr>
        <w:t> </w:t>
      </w:r>
    </w:p>
    <w:p w14:paraId="4860AC42" w14:textId="77777777" w:rsidR="00064346" w:rsidRDefault="00064346" w:rsidP="00064346">
      <w:pPr>
        <w:suppressLineNumbers/>
        <w:shd w:val="clear" w:color="auto" w:fill="FFFFFF"/>
        <w:spacing w:after="0" w:line="240" w:lineRule="auto"/>
        <w:jc w:val="both"/>
        <w:rPr>
          <w:rFonts w:eastAsia="Times New Roman"/>
          <w:color w:val="000000"/>
          <w:sz w:val="18"/>
          <w:szCs w:val="18"/>
          <w:u w:val="single"/>
        </w:rPr>
      </w:pPr>
    </w:p>
    <w:p w14:paraId="3FBD4774" w14:textId="77777777" w:rsidR="00064346" w:rsidRDefault="00064346" w:rsidP="00064346">
      <w:pPr>
        <w:suppressLineNumbers/>
        <w:shd w:val="clear" w:color="auto" w:fill="FFFFFF"/>
        <w:spacing w:after="0" w:line="240" w:lineRule="auto"/>
        <w:jc w:val="both"/>
        <w:rPr>
          <w:rFonts w:eastAsia="Times New Roman"/>
          <w:color w:val="000000"/>
          <w:sz w:val="18"/>
          <w:szCs w:val="18"/>
          <w:u w:val="single"/>
        </w:rPr>
      </w:pPr>
    </w:p>
    <w:p w14:paraId="5B6B010F" w14:textId="77777777" w:rsidR="00064346" w:rsidRDefault="00064346" w:rsidP="00064346">
      <w:pPr>
        <w:suppressLineNumbers/>
        <w:shd w:val="clear" w:color="auto" w:fill="FFFFFF" w:themeFill="background1"/>
        <w:spacing w:after="0" w:line="240" w:lineRule="auto"/>
        <w:jc w:val="both"/>
        <w:rPr>
          <w:rFonts w:eastAsia="Times New Roman"/>
          <w:color w:val="000000" w:themeColor="text1"/>
          <w:sz w:val="18"/>
          <w:szCs w:val="18"/>
        </w:rPr>
      </w:pPr>
      <w:r w:rsidRPr="0B079CFC">
        <w:rPr>
          <w:rFonts w:eastAsia="Times New Roman"/>
          <w:color w:val="000000" w:themeColor="text1"/>
          <w:sz w:val="18"/>
          <w:szCs w:val="18"/>
          <w:u w:val="single"/>
        </w:rPr>
        <w:t>Session 13</w:t>
      </w:r>
    </w:p>
    <w:p w14:paraId="33148713" w14:textId="77777777" w:rsidR="00064346" w:rsidRDefault="00064346" w:rsidP="00064346">
      <w:pPr>
        <w:suppressLineNumbers/>
        <w:shd w:val="clear" w:color="auto" w:fill="FFFFFF" w:themeFill="background1"/>
        <w:spacing w:after="0" w:line="240" w:lineRule="auto"/>
        <w:jc w:val="both"/>
        <w:rPr>
          <w:rFonts w:eastAsia="Times New Roman"/>
          <w:color w:val="000000" w:themeColor="text1"/>
          <w:sz w:val="18"/>
          <w:szCs w:val="18"/>
        </w:rPr>
      </w:pPr>
      <w:r>
        <w:rPr>
          <w:rFonts w:eastAsia="Times New Roman"/>
          <w:color w:val="000000" w:themeColor="text1"/>
          <w:sz w:val="18"/>
          <w:szCs w:val="18"/>
        </w:rPr>
        <w:t>SNT</w:t>
      </w:r>
    </w:p>
    <w:p w14:paraId="358EA996" w14:textId="77777777" w:rsidR="00064346" w:rsidRDefault="00064346" w:rsidP="00064346">
      <w:pPr>
        <w:suppressLineNumbers/>
        <w:shd w:val="clear" w:color="auto" w:fill="FFFFFF" w:themeFill="background1"/>
        <w:spacing w:after="0" w:line="240" w:lineRule="auto"/>
        <w:jc w:val="both"/>
        <w:rPr>
          <w:rFonts w:eastAsia="Times New Roman"/>
          <w:color w:val="000000" w:themeColor="text1"/>
          <w:sz w:val="18"/>
          <w:szCs w:val="18"/>
        </w:rPr>
      </w:pPr>
      <w:r w:rsidRPr="0B079CFC">
        <w:rPr>
          <w:rFonts w:eastAsia="Times New Roman"/>
          <w:color w:val="000000" w:themeColor="text1"/>
          <w:sz w:val="18"/>
          <w:szCs w:val="18"/>
        </w:rPr>
        <w:t>LS 8749</w:t>
      </w:r>
    </w:p>
    <w:p w14:paraId="3D0CB67C" w14:textId="77777777" w:rsidR="00064346" w:rsidRDefault="00064346" w:rsidP="00064346">
      <w:pPr>
        <w:suppressLineNumbers/>
        <w:shd w:val="clear" w:color="auto" w:fill="FFFFFF" w:themeFill="background1"/>
        <w:spacing w:after="0" w:line="240" w:lineRule="auto"/>
        <w:jc w:val="both"/>
        <w:rPr>
          <w:rFonts w:eastAsia="Times New Roman"/>
          <w:color w:val="000000" w:themeColor="text1"/>
          <w:sz w:val="18"/>
          <w:szCs w:val="18"/>
        </w:rPr>
      </w:pPr>
      <w:r w:rsidRPr="0B079CFC">
        <w:rPr>
          <w:rFonts w:eastAsia="Times New Roman"/>
          <w:color w:val="000000" w:themeColor="text1"/>
          <w:sz w:val="18"/>
          <w:szCs w:val="18"/>
        </w:rPr>
        <w:t>Int. 577-2018</w:t>
      </w:r>
    </w:p>
    <w:p w14:paraId="2BC18877" w14:textId="77777777" w:rsidR="00064346" w:rsidRDefault="00064346" w:rsidP="00064346">
      <w:pPr>
        <w:suppressLineNumbers/>
        <w:shd w:val="clear" w:color="auto" w:fill="FFFFFF" w:themeFill="background1"/>
        <w:spacing w:after="0" w:line="240" w:lineRule="auto"/>
        <w:jc w:val="both"/>
        <w:rPr>
          <w:rFonts w:eastAsia="Times New Roman"/>
          <w:color w:val="000000" w:themeColor="text1"/>
          <w:sz w:val="18"/>
          <w:szCs w:val="18"/>
        </w:rPr>
      </w:pPr>
      <w:r>
        <w:rPr>
          <w:rFonts w:eastAsia="Times New Roman"/>
          <w:color w:val="000000" w:themeColor="text1"/>
          <w:sz w:val="18"/>
          <w:szCs w:val="18"/>
        </w:rPr>
        <w:t>10/21/2025 10:59 PM</w:t>
      </w:r>
    </w:p>
    <w:p w14:paraId="3A9D19C4" w14:textId="77777777" w:rsidR="00064346" w:rsidRDefault="00064346" w:rsidP="00064346">
      <w:pPr>
        <w:suppressLineNumbers/>
        <w:spacing w:after="0" w:line="240" w:lineRule="auto"/>
        <w:jc w:val="both"/>
        <w:rPr>
          <w:rFonts w:eastAsia="Times New Roman"/>
          <w:color w:val="000000" w:themeColor="text1"/>
          <w:sz w:val="18"/>
          <w:szCs w:val="18"/>
          <w:u w:val="single"/>
        </w:rPr>
      </w:pPr>
    </w:p>
    <w:p w14:paraId="37F25A8E" w14:textId="77777777" w:rsidR="00064346" w:rsidRDefault="00064346" w:rsidP="00064346">
      <w:pPr>
        <w:suppressLineNumbers/>
        <w:shd w:val="clear" w:color="auto" w:fill="FFFFFF" w:themeFill="background1"/>
        <w:spacing w:after="0" w:line="240" w:lineRule="auto"/>
        <w:jc w:val="both"/>
        <w:rPr>
          <w:rFonts w:eastAsia="Times New Roman"/>
          <w:color w:val="000000"/>
          <w:sz w:val="18"/>
          <w:szCs w:val="18"/>
        </w:rPr>
      </w:pPr>
      <w:r w:rsidRPr="0B079CFC">
        <w:rPr>
          <w:rFonts w:eastAsia="Times New Roman"/>
          <w:color w:val="000000" w:themeColor="text1"/>
          <w:sz w:val="18"/>
          <w:szCs w:val="18"/>
          <w:u w:val="single"/>
        </w:rPr>
        <w:t>Session 12</w:t>
      </w:r>
    </w:p>
    <w:p w14:paraId="6788D812" w14:textId="77777777" w:rsidR="00064346" w:rsidRDefault="00064346" w:rsidP="00064346">
      <w:pPr>
        <w:suppressLineNumbers/>
        <w:shd w:val="clear" w:color="auto" w:fill="FFFFFF"/>
        <w:spacing w:after="0" w:line="240" w:lineRule="auto"/>
        <w:jc w:val="both"/>
        <w:rPr>
          <w:rFonts w:eastAsia="Times New Roman"/>
          <w:color w:val="000000"/>
          <w:sz w:val="18"/>
          <w:szCs w:val="18"/>
        </w:rPr>
      </w:pPr>
      <w:r>
        <w:rPr>
          <w:rFonts w:eastAsia="Times New Roman"/>
          <w:color w:val="000000"/>
          <w:sz w:val="18"/>
          <w:szCs w:val="18"/>
        </w:rPr>
        <w:t>AV</w:t>
      </w:r>
    </w:p>
    <w:p w14:paraId="07D60641" w14:textId="77777777" w:rsidR="00064346" w:rsidRDefault="00064346" w:rsidP="00064346">
      <w:pPr>
        <w:suppressLineNumbers/>
        <w:shd w:val="clear" w:color="auto" w:fill="FFFFFF"/>
        <w:spacing w:after="0" w:line="240" w:lineRule="auto"/>
        <w:jc w:val="both"/>
        <w:rPr>
          <w:rFonts w:eastAsia="Times New Roman"/>
          <w:color w:val="000000"/>
          <w:sz w:val="18"/>
          <w:szCs w:val="18"/>
        </w:rPr>
      </w:pPr>
      <w:r>
        <w:rPr>
          <w:rFonts w:eastAsia="Times New Roman"/>
          <w:color w:val="000000"/>
          <w:sz w:val="18"/>
          <w:szCs w:val="18"/>
        </w:rPr>
        <w:t>LS 8749</w:t>
      </w:r>
    </w:p>
    <w:p w14:paraId="05B8F7BF" w14:textId="1B41A6D4" w:rsidR="00C42B14" w:rsidRPr="00064346" w:rsidRDefault="00064346" w:rsidP="00064346">
      <w:pPr>
        <w:suppressLineNumbers/>
        <w:shd w:val="clear" w:color="auto" w:fill="FFFFFF"/>
        <w:spacing w:after="0" w:line="240" w:lineRule="auto"/>
        <w:jc w:val="both"/>
        <w:rPr>
          <w:rFonts w:eastAsia="Times New Roman"/>
          <w:color w:val="000000"/>
          <w:sz w:val="18"/>
          <w:szCs w:val="18"/>
        </w:rPr>
        <w:sectPr w:rsidR="00C42B14" w:rsidRPr="00064346" w:rsidSect="00C42B14">
          <w:headerReference w:type="even" r:id="rId14"/>
          <w:headerReference w:type="default" r:id="rId15"/>
          <w:footerReference w:type="default" r:id="rId16"/>
          <w:pgSz w:w="12240" w:h="15840"/>
          <w:pgMar w:top="1440" w:right="1440" w:bottom="1440" w:left="1440" w:header="720" w:footer="720" w:gutter="0"/>
          <w:cols w:space="720"/>
          <w:docGrid w:linePitch="360"/>
        </w:sectPr>
      </w:pPr>
      <w:r>
        <w:rPr>
          <w:rFonts w:eastAsia="Times New Roman"/>
          <w:color w:val="000000"/>
          <w:sz w:val="18"/>
          <w:szCs w:val="18"/>
        </w:rPr>
        <w:t>Int. 577-2018</w:t>
      </w:r>
    </w:p>
    <w:p w14:paraId="29002D4F" w14:textId="77777777" w:rsidR="00C42B14" w:rsidRDefault="00C42B14"/>
    <w:sectPr w:rsidR="00C42B14" w:rsidSect="00826104">
      <w:footerReference w:type="default" r:id="rId17"/>
      <w:footerReference w:type="first" r:id="rId18"/>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95884" w14:textId="77777777" w:rsidR="00B7431C" w:rsidRDefault="00B7431C" w:rsidP="003B76BF">
      <w:pPr>
        <w:spacing w:after="0" w:line="240" w:lineRule="auto"/>
      </w:pPr>
      <w:r>
        <w:separator/>
      </w:r>
    </w:p>
  </w:endnote>
  <w:endnote w:type="continuationSeparator" w:id="0">
    <w:p w14:paraId="1D329151" w14:textId="77777777" w:rsidR="00B7431C" w:rsidRDefault="00B7431C" w:rsidP="003B7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225363259"/>
      <w:docPartObj>
        <w:docPartGallery w:val="Page Numbers (Bottom of Page)"/>
        <w:docPartUnique/>
      </w:docPartObj>
    </w:sdtPr>
    <w:sdtEndPr>
      <w:rPr>
        <w:noProof/>
      </w:rPr>
    </w:sdtEndPr>
    <w:sdtContent>
      <w:p w14:paraId="6BECA174" w14:textId="1335B5FE" w:rsidR="00826104" w:rsidRPr="00C1764B" w:rsidRDefault="00826104">
        <w:pPr>
          <w:pStyle w:val="Footer"/>
          <w:jc w:val="center"/>
          <w:rPr>
            <w:rFonts w:ascii="Times New Roman" w:hAnsi="Times New Roman" w:cs="Times New Roman"/>
            <w:sz w:val="24"/>
            <w:szCs w:val="24"/>
          </w:rPr>
        </w:pPr>
        <w:r w:rsidRPr="00C1764B">
          <w:rPr>
            <w:rFonts w:ascii="Times New Roman" w:hAnsi="Times New Roman" w:cs="Times New Roman"/>
            <w:sz w:val="24"/>
            <w:szCs w:val="24"/>
          </w:rPr>
          <w:fldChar w:fldCharType="begin"/>
        </w:r>
        <w:r w:rsidRPr="00C1764B">
          <w:rPr>
            <w:rFonts w:ascii="Times New Roman" w:hAnsi="Times New Roman" w:cs="Times New Roman"/>
            <w:sz w:val="24"/>
            <w:szCs w:val="24"/>
          </w:rPr>
          <w:instrText xml:space="preserve"> PAGE   \* MERGEFORMAT </w:instrText>
        </w:r>
        <w:r w:rsidRPr="00C1764B">
          <w:rPr>
            <w:rFonts w:ascii="Times New Roman" w:hAnsi="Times New Roman" w:cs="Times New Roman"/>
            <w:sz w:val="24"/>
            <w:szCs w:val="24"/>
          </w:rPr>
          <w:fldChar w:fldCharType="separate"/>
        </w:r>
        <w:r w:rsidR="007275E7">
          <w:rPr>
            <w:rFonts w:ascii="Times New Roman" w:hAnsi="Times New Roman" w:cs="Times New Roman"/>
            <w:noProof/>
            <w:sz w:val="24"/>
            <w:szCs w:val="24"/>
          </w:rPr>
          <w:t>1</w:t>
        </w:r>
        <w:r w:rsidRPr="00C1764B">
          <w:rPr>
            <w:rFonts w:ascii="Times New Roman" w:hAnsi="Times New Roman" w:cs="Times New Roman"/>
            <w:noProof/>
            <w:sz w:val="24"/>
            <w:szCs w:val="24"/>
          </w:rPr>
          <w:fldChar w:fldCharType="end"/>
        </w:r>
      </w:p>
    </w:sdtContent>
  </w:sdt>
  <w:p w14:paraId="6FFADC1E" w14:textId="77777777" w:rsidR="00826104" w:rsidRPr="00C1764B" w:rsidRDefault="00826104">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617BE" w14:textId="15C9E0C1" w:rsidR="00826104" w:rsidRPr="004335FC" w:rsidRDefault="00826104">
    <w:pPr>
      <w:pStyle w:val="Footer"/>
      <w:jc w:val="center"/>
      <w:rPr>
        <w:rFonts w:ascii="Times New Roman" w:hAnsi="Times New Roman" w:cs="Times New Roman"/>
      </w:rPr>
    </w:pPr>
    <w:r w:rsidRPr="004335FC">
      <w:rPr>
        <w:rFonts w:ascii="Times New Roman" w:hAnsi="Times New Roman" w:cs="Times New Roman"/>
      </w:rPr>
      <w:fldChar w:fldCharType="begin"/>
    </w:r>
    <w:r w:rsidRPr="004335FC">
      <w:rPr>
        <w:rFonts w:ascii="Times New Roman" w:hAnsi="Times New Roman" w:cs="Times New Roman"/>
      </w:rPr>
      <w:instrText xml:space="preserve"> PAGE   \* MERGEFORMAT </w:instrText>
    </w:r>
    <w:r w:rsidRPr="004335FC">
      <w:rPr>
        <w:rFonts w:ascii="Times New Roman" w:hAnsi="Times New Roman" w:cs="Times New Roman"/>
      </w:rPr>
      <w:fldChar w:fldCharType="separate"/>
    </w:r>
    <w:r w:rsidR="003F6C2C">
      <w:rPr>
        <w:rFonts w:ascii="Times New Roman" w:hAnsi="Times New Roman" w:cs="Times New Roman"/>
        <w:noProof/>
      </w:rPr>
      <w:t>19</w:t>
    </w:r>
    <w:r w:rsidRPr="004335FC">
      <w:rPr>
        <w:rFonts w:ascii="Times New Roman" w:hAnsi="Times New Roman" w:cs="Times New Roman"/>
        <w:noProof/>
      </w:rPr>
      <w:fldChar w:fldCharType="end"/>
    </w:r>
  </w:p>
  <w:p w14:paraId="2C49BF79" w14:textId="77777777" w:rsidR="00826104" w:rsidRPr="004335FC" w:rsidRDefault="00826104">
    <w:pPr>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06CB3" w14:textId="77777777" w:rsidR="00826104" w:rsidRDefault="00826104">
    <w:pPr>
      <w:pStyle w:val="Footer"/>
      <w:jc w:val="center"/>
    </w:pPr>
    <w:r>
      <w:fldChar w:fldCharType="begin"/>
    </w:r>
    <w:r>
      <w:instrText xml:space="preserve"> PAGE   \* MERGEFORMAT </w:instrText>
    </w:r>
    <w:r>
      <w:fldChar w:fldCharType="separate"/>
    </w:r>
    <w:r>
      <w:rPr>
        <w:noProof/>
      </w:rPr>
      <w:t>1</w:t>
    </w:r>
    <w:r>
      <w:rPr>
        <w:noProof/>
      </w:rPr>
      <w:fldChar w:fldCharType="end"/>
    </w:r>
  </w:p>
  <w:p w14:paraId="73A6E890" w14:textId="77777777" w:rsidR="00826104" w:rsidRDefault="008261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1F8C4" w14:textId="77777777" w:rsidR="00B7431C" w:rsidRDefault="00B7431C" w:rsidP="003B76BF">
      <w:pPr>
        <w:spacing w:after="0" w:line="240" w:lineRule="auto"/>
      </w:pPr>
      <w:r>
        <w:separator/>
      </w:r>
    </w:p>
  </w:footnote>
  <w:footnote w:type="continuationSeparator" w:id="0">
    <w:p w14:paraId="64EC97E1" w14:textId="77777777" w:rsidR="00B7431C" w:rsidRDefault="00B7431C" w:rsidP="003B76BF">
      <w:pPr>
        <w:spacing w:after="0" w:line="240" w:lineRule="auto"/>
      </w:pPr>
      <w:r>
        <w:continuationSeparator/>
      </w:r>
    </w:p>
  </w:footnote>
  <w:footnote w:id="1">
    <w:p w14:paraId="3A0B9BBD" w14:textId="77777777" w:rsidR="00826104" w:rsidRPr="00304FB8" w:rsidRDefault="00826104" w:rsidP="001D2600">
      <w:pPr>
        <w:pStyle w:val="FootnoteText"/>
        <w:rPr>
          <w:rFonts w:cs="Times New Roman"/>
        </w:rPr>
      </w:pPr>
      <w:r w:rsidRPr="00304FB8">
        <w:rPr>
          <w:rStyle w:val="FootnoteReference"/>
          <w:rFonts w:eastAsia="Times New Roman" w:cs="Times New Roman"/>
        </w:rPr>
        <w:footnoteRef/>
      </w:r>
      <w:r w:rsidRPr="00304FB8">
        <w:rPr>
          <w:rFonts w:eastAsia="Times New Roman" w:cs="Times New Roman"/>
        </w:rPr>
        <w:t xml:space="preserve"> Luis Ferre-Sadurni, “</w:t>
      </w:r>
      <w:r w:rsidRPr="00304FB8">
        <w:rPr>
          <w:rFonts w:eastAsia="Times New Roman" w:cs="Times New Roman"/>
          <w:iCs/>
        </w:rPr>
        <w:t>The Rise and Fall of New York Public Housing: An Oral History” (Jun. 2018)</w:t>
      </w:r>
      <w:r w:rsidRPr="00304FB8">
        <w:rPr>
          <w:rFonts w:eastAsia="Times New Roman" w:cs="Times New Roman"/>
        </w:rPr>
        <w:t xml:space="preserve">, </w:t>
      </w:r>
      <w:r w:rsidRPr="00304FB8">
        <w:rPr>
          <w:rFonts w:eastAsia="Times New Roman" w:cs="Times New Roman"/>
          <w:smallCaps/>
        </w:rPr>
        <w:t>The New York Times</w:t>
      </w:r>
      <w:r w:rsidRPr="00304FB8">
        <w:rPr>
          <w:rFonts w:eastAsia="Times New Roman" w:cs="Times New Roman"/>
        </w:rPr>
        <w:t xml:space="preserve">, </w:t>
      </w:r>
      <w:r w:rsidRPr="00304FB8">
        <w:rPr>
          <w:rFonts w:eastAsia="Times New Roman" w:cs="Times New Roman"/>
          <w:i/>
          <w:iCs/>
        </w:rPr>
        <w:t xml:space="preserve">available at </w:t>
      </w:r>
      <w:hyperlink r:id="rId1" w:history="1">
        <w:r w:rsidRPr="00304FB8">
          <w:rPr>
            <w:rStyle w:val="Hyperlink"/>
            <w:rFonts w:eastAsia="Times New Roman" w:cs="Times New Roman"/>
          </w:rPr>
          <w:t>https://www.nytimes.com/interactive/2018/06/25/nyregion/new-york-city-public-housing-history.html</w:t>
        </w:r>
      </w:hyperlink>
      <w:r w:rsidRPr="00304FB8">
        <w:rPr>
          <w:rFonts w:eastAsia="Times New Roman" w:cs="Times New Roman"/>
        </w:rPr>
        <w:t>.</w:t>
      </w:r>
      <w:r w:rsidRPr="00304FB8">
        <w:rPr>
          <w:rFonts w:eastAsia="Times New Roman" w:cs="Times New Roman"/>
          <w:u w:val="single"/>
        </w:rPr>
        <w:t xml:space="preserve"> </w:t>
      </w:r>
    </w:p>
  </w:footnote>
  <w:footnote w:id="2">
    <w:p w14:paraId="6A627128" w14:textId="77777777" w:rsidR="00826104" w:rsidRPr="00304FB8" w:rsidRDefault="00826104" w:rsidP="001D2600">
      <w:pPr>
        <w:pStyle w:val="FootnoteText"/>
        <w:rPr>
          <w:rFonts w:cs="Times New Roman"/>
        </w:rPr>
      </w:pPr>
      <w:r w:rsidRPr="00304FB8">
        <w:rPr>
          <w:rStyle w:val="FootnoteCharacters"/>
          <w:rFonts w:eastAsia="Times New Roman" w:cs="Times New Roman"/>
        </w:rPr>
        <w:footnoteRef/>
      </w:r>
      <w:r w:rsidRPr="00304FB8">
        <w:rPr>
          <w:rFonts w:eastAsia="Times New Roman" w:cs="Times New Roman"/>
        </w:rPr>
        <w:t xml:space="preserve"> “</w:t>
      </w:r>
      <w:r w:rsidRPr="00304FB8">
        <w:rPr>
          <w:rFonts w:eastAsia="Times New Roman" w:cs="Times New Roman"/>
          <w:iCs/>
        </w:rPr>
        <w:t>Housing Act of 1937”</w:t>
      </w:r>
      <w:r w:rsidRPr="00304FB8">
        <w:rPr>
          <w:rFonts w:eastAsia="Times New Roman" w:cs="Times New Roman"/>
        </w:rPr>
        <w:t xml:space="preserve">, last accessed on Jan. 25, 2023, </w:t>
      </w:r>
      <w:r w:rsidRPr="00304FB8">
        <w:rPr>
          <w:rFonts w:eastAsia="Times New Roman" w:cs="Times New Roman"/>
          <w:i/>
          <w:iCs/>
        </w:rPr>
        <w:t>available at</w:t>
      </w:r>
      <w:r w:rsidRPr="00304FB8">
        <w:rPr>
          <w:rFonts w:eastAsia="Times New Roman" w:cs="Times New Roman"/>
        </w:rPr>
        <w:t xml:space="preserve"> </w:t>
      </w:r>
      <w:hyperlink r:id="rId2" w:history="1">
        <w:r w:rsidRPr="00304FB8">
          <w:rPr>
            <w:rStyle w:val="Hyperlink"/>
            <w:rFonts w:eastAsia="Times New Roman" w:cs="Times New Roman"/>
          </w:rPr>
          <w:t>https://www.gpo.gov/fdsys/pkg/USCODE-2009-title42/pdf/USCODE-2009-title42-chap8.pdf</w:t>
        </w:r>
      </w:hyperlink>
      <w:r w:rsidRPr="00304FB8">
        <w:rPr>
          <w:rFonts w:eastAsia="Times New Roman" w:cs="Times New Roman"/>
        </w:rPr>
        <w:t xml:space="preserve">. </w:t>
      </w:r>
    </w:p>
  </w:footnote>
  <w:footnote w:id="3">
    <w:p w14:paraId="5D9C0104" w14:textId="77777777" w:rsidR="00826104" w:rsidRPr="00304FB8" w:rsidRDefault="00826104" w:rsidP="001D2600">
      <w:pPr>
        <w:pStyle w:val="FootnoteText"/>
        <w:rPr>
          <w:rFonts w:cs="Times New Roman"/>
        </w:rPr>
      </w:pPr>
      <w:r w:rsidRPr="00304FB8">
        <w:rPr>
          <w:rStyle w:val="FootnoteCharacters"/>
          <w:rFonts w:eastAsia="Times New Roman" w:cs="Times New Roman"/>
        </w:rPr>
        <w:footnoteRef/>
      </w:r>
      <w:r w:rsidRPr="00304FB8">
        <w:rPr>
          <w:rFonts w:eastAsia="Times New Roman" w:cs="Times New Roman"/>
        </w:rPr>
        <w:t xml:space="preserve"> Peter Marcuse, “</w:t>
      </w:r>
      <w:r w:rsidRPr="00304FB8">
        <w:rPr>
          <w:rFonts w:eastAsia="Times New Roman" w:cs="Times New Roman"/>
          <w:iCs/>
        </w:rPr>
        <w:t>The Beginnings of Public Housing in New York</w:t>
      </w:r>
      <w:r w:rsidRPr="00304FB8">
        <w:rPr>
          <w:rFonts w:eastAsia="Times New Roman" w:cs="Times New Roman"/>
        </w:rPr>
        <w:t>”, Journal of Urban History 12(4) at 353-54 (1986); J.A. Stoloff, “</w:t>
      </w:r>
      <w:r w:rsidRPr="00304FB8">
        <w:rPr>
          <w:rFonts w:eastAsia="Times New Roman" w:cs="Times New Roman"/>
          <w:iCs/>
        </w:rPr>
        <w:t>A Brief History of Public Housing”, Paper presented at August 14 meeting of the American Sociological Association</w:t>
      </w:r>
      <w:r w:rsidRPr="00304FB8">
        <w:rPr>
          <w:rFonts w:eastAsia="Times New Roman" w:cs="Times New Roman"/>
        </w:rPr>
        <w:t>, at 3 (2004).</w:t>
      </w:r>
    </w:p>
  </w:footnote>
  <w:footnote w:id="4">
    <w:p w14:paraId="44DFEF76" w14:textId="77777777" w:rsidR="00826104" w:rsidRPr="00304FB8" w:rsidRDefault="00826104" w:rsidP="001D2600">
      <w:pPr>
        <w:pStyle w:val="FootnoteText"/>
        <w:rPr>
          <w:rFonts w:cs="Times New Roman"/>
        </w:rPr>
      </w:pPr>
      <w:r w:rsidRPr="00304FB8">
        <w:rPr>
          <w:rStyle w:val="FootnoteCharacters"/>
          <w:rFonts w:eastAsia="Times New Roman" w:cs="Times New Roman"/>
        </w:rPr>
        <w:footnoteRef/>
      </w:r>
      <w:r w:rsidRPr="00304FB8">
        <w:rPr>
          <w:rFonts w:eastAsia="Times New Roman" w:cs="Times New Roman"/>
        </w:rPr>
        <w:t xml:space="preserve"> Marcuse, 354; Stoloff, 1; </w:t>
      </w:r>
      <w:r w:rsidRPr="00304FB8">
        <w:rPr>
          <w:rFonts w:eastAsia="Times New Roman" w:cs="Times New Roman"/>
          <w:i/>
          <w:iCs/>
        </w:rPr>
        <w:t>see also</w:t>
      </w:r>
      <w:r w:rsidRPr="00304FB8">
        <w:rPr>
          <w:rFonts w:eastAsia="Times New Roman" w:cs="Times New Roman"/>
        </w:rPr>
        <w:t xml:space="preserve"> Judith D. Feins, et al., </w:t>
      </w:r>
      <w:r w:rsidRPr="00304FB8">
        <w:rPr>
          <w:rFonts w:eastAsia="Times New Roman" w:cs="Times New Roman"/>
          <w:i/>
          <w:iCs/>
        </w:rPr>
        <w:t>Revised Methods of Providing Federal Funds for Public Housing Agencies</w:t>
      </w:r>
      <w:r w:rsidRPr="00304FB8">
        <w:rPr>
          <w:rFonts w:eastAsia="Times New Roman" w:cs="Times New Roman"/>
        </w:rPr>
        <w:t xml:space="preserve">, </w:t>
      </w:r>
      <w:r w:rsidRPr="00304FB8">
        <w:rPr>
          <w:rFonts w:eastAsia="Times New Roman" w:cs="Times New Roman"/>
          <w:smallCaps/>
        </w:rPr>
        <w:t>United States Department of Housing and Urban Development</w:t>
      </w:r>
      <w:r w:rsidRPr="00304FB8">
        <w:rPr>
          <w:rFonts w:eastAsia="Times New Roman" w:cs="Times New Roman"/>
        </w:rPr>
        <w:t>, at 9 (1994).</w:t>
      </w:r>
    </w:p>
  </w:footnote>
  <w:footnote w:id="5">
    <w:p w14:paraId="5DF2691E" w14:textId="77777777" w:rsidR="00826104" w:rsidRPr="00CF4EE3" w:rsidRDefault="00826104" w:rsidP="001D2600">
      <w:pPr>
        <w:spacing w:after="0"/>
        <w:rPr>
          <w:rFonts w:cs="Times New Roman"/>
          <w:sz w:val="20"/>
          <w:szCs w:val="20"/>
        </w:rPr>
      </w:pPr>
      <w:r w:rsidRPr="00304FB8">
        <w:rPr>
          <w:rStyle w:val="FootnoteReference"/>
          <w:rFonts w:cs="Times New Roman"/>
          <w:sz w:val="20"/>
          <w:szCs w:val="20"/>
        </w:rPr>
        <w:footnoteRef/>
      </w:r>
      <w:r w:rsidRPr="00304FB8">
        <w:rPr>
          <w:rFonts w:cs="Times New Roman"/>
          <w:sz w:val="20"/>
          <w:szCs w:val="20"/>
        </w:rPr>
        <w:t xml:space="preserve"> “Mayor’s Management Report: Preliminary Fiscal 2025” (Jan. 2025), </w:t>
      </w:r>
      <w:r w:rsidRPr="00304FB8">
        <w:rPr>
          <w:rFonts w:cs="Times New Roman"/>
          <w:i/>
          <w:sz w:val="20"/>
          <w:szCs w:val="20"/>
        </w:rPr>
        <w:t xml:space="preserve">available at </w:t>
      </w:r>
      <w:hyperlink r:id="rId3">
        <w:r w:rsidRPr="00CF4EE3">
          <w:rPr>
            <w:rStyle w:val="Hyperlink"/>
            <w:rFonts w:cs="Times New Roman"/>
            <w:sz w:val="20"/>
            <w:szCs w:val="20"/>
          </w:rPr>
          <w:t>https://www.nyc.gov/assets/operations/downloads/pdf/pmmr2025/2025_pmmr.pdf</w:t>
        </w:r>
      </w:hyperlink>
      <w:r w:rsidRPr="00CF4EE3">
        <w:rPr>
          <w:rFonts w:cs="Times New Roman"/>
          <w:sz w:val="20"/>
          <w:szCs w:val="20"/>
        </w:rPr>
        <w:t xml:space="preserve"> at 365.</w:t>
      </w:r>
    </w:p>
  </w:footnote>
  <w:footnote w:id="6">
    <w:p w14:paraId="37B78947" w14:textId="77777777" w:rsidR="00826104" w:rsidRPr="00CF4EE3" w:rsidRDefault="00826104" w:rsidP="00CF4EE3">
      <w:pPr>
        <w:spacing w:after="0"/>
        <w:rPr>
          <w:rFonts w:cs="Times New Roman"/>
          <w:sz w:val="20"/>
          <w:szCs w:val="20"/>
        </w:rPr>
      </w:pPr>
      <w:r w:rsidRPr="00CF4EE3">
        <w:rPr>
          <w:rStyle w:val="FootnoteReference"/>
          <w:rFonts w:cs="Times New Roman"/>
          <w:sz w:val="20"/>
          <w:szCs w:val="20"/>
        </w:rPr>
        <w:footnoteRef/>
      </w:r>
      <w:r w:rsidRPr="00CF4EE3">
        <w:rPr>
          <w:rFonts w:cs="Times New Roman"/>
          <w:sz w:val="20"/>
          <w:szCs w:val="20"/>
        </w:rPr>
        <w:t xml:space="preserve"> </w:t>
      </w:r>
      <w:r w:rsidRPr="00CF4EE3">
        <w:rPr>
          <w:rFonts w:cs="Times New Roman"/>
          <w:i/>
          <w:iCs/>
          <w:sz w:val="20"/>
          <w:szCs w:val="20"/>
        </w:rPr>
        <w:t xml:space="preserve">Id. </w:t>
      </w:r>
      <w:r w:rsidRPr="00CF4EE3">
        <w:rPr>
          <w:rFonts w:cs="Times New Roman"/>
          <w:sz w:val="20"/>
          <w:szCs w:val="20"/>
        </w:rPr>
        <w:t>at 369.</w:t>
      </w:r>
    </w:p>
  </w:footnote>
  <w:footnote w:id="7">
    <w:p w14:paraId="171A396B" w14:textId="77777777" w:rsidR="00826104" w:rsidRPr="00CF4EE3" w:rsidRDefault="00826104" w:rsidP="00CF4EE3">
      <w:pPr>
        <w:pStyle w:val="FootnoteText"/>
        <w:rPr>
          <w:rFonts w:cs="Times New Roman"/>
        </w:rPr>
      </w:pPr>
      <w:r w:rsidRPr="00CF4EE3">
        <w:rPr>
          <w:rStyle w:val="FootnoteReference"/>
          <w:rFonts w:eastAsia="Times New Roman" w:cs="Times New Roman"/>
        </w:rPr>
        <w:footnoteRef/>
      </w:r>
      <w:r w:rsidRPr="00CF4EE3">
        <w:rPr>
          <w:rFonts w:eastAsia="Times New Roman" w:cs="Times New Roman"/>
        </w:rPr>
        <w:t xml:space="preserve"> </w:t>
      </w:r>
      <w:r w:rsidRPr="00CF4EE3">
        <w:rPr>
          <w:rFonts w:eastAsia="Times New Roman" w:cs="Times New Roman"/>
          <w:i/>
          <w:iCs/>
        </w:rPr>
        <w:t xml:space="preserve">Id. </w:t>
      </w:r>
      <w:r w:rsidRPr="00CF4EE3">
        <w:rPr>
          <w:rFonts w:eastAsia="Times New Roman" w:cs="Times New Roman"/>
        </w:rPr>
        <w:t>at 365.</w:t>
      </w:r>
    </w:p>
  </w:footnote>
  <w:footnote w:id="8">
    <w:p w14:paraId="6419826E" w14:textId="77777777" w:rsidR="00826104" w:rsidRPr="00CF4EE3" w:rsidRDefault="00826104" w:rsidP="00CF4EE3">
      <w:pPr>
        <w:pStyle w:val="FootnoteText"/>
        <w:rPr>
          <w:rFonts w:cs="Times New Roman"/>
        </w:rPr>
      </w:pPr>
      <w:r w:rsidRPr="00CF4EE3">
        <w:rPr>
          <w:rStyle w:val="FootnoteReference"/>
          <w:rFonts w:eastAsia="Times New Roman" w:cs="Times New Roman"/>
        </w:rPr>
        <w:footnoteRef/>
      </w:r>
      <w:r w:rsidRPr="00CF4EE3">
        <w:rPr>
          <w:rFonts w:eastAsia="Times New Roman" w:cs="Times New Roman"/>
        </w:rPr>
        <w:t xml:space="preserve"> NYCHA, </w:t>
      </w:r>
      <w:r w:rsidRPr="00CF4EE3">
        <w:rPr>
          <w:rFonts w:eastAsia="Times New Roman" w:cs="Times New Roman"/>
          <w:i/>
          <w:iCs/>
        </w:rPr>
        <w:t>Voting at Nostrand</w:t>
      </w:r>
      <w:r w:rsidRPr="00CF4EE3">
        <w:rPr>
          <w:rFonts w:eastAsia="Times New Roman" w:cs="Times New Roman"/>
        </w:rPr>
        <w:t xml:space="preserve">, </w:t>
      </w:r>
      <w:r w:rsidRPr="00CF4EE3">
        <w:rPr>
          <w:rFonts w:eastAsia="Times New Roman" w:cs="Times New Roman"/>
          <w:smallCaps/>
        </w:rPr>
        <w:t>New York City Housing Authority</w:t>
      </w:r>
      <w:r w:rsidRPr="00CF4EE3">
        <w:rPr>
          <w:rFonts w:eastAsia="Times New Roman" w:cs="Times New Roman"/>
        </w:rPr>
        <w:t xml:space="preserve">, </w:t>
      </w:r>
      <w:r w:rsidRPr="00CF4EE3">
        <w:rPr>
          <w:rFonts w:eastAsia="Times New Roman" w:cs="Times New Roman"/>
          <w:i/>
          <w:iCs/>
        </w:rPr>
        <w:t>available at</w:t>
      </w:r>
      <w:r w:rsidRPr="00CF4EE3">
        <w:rPr>
          <w:rFonts w:eastAsia="Times New Roman" w:cs="Times New Roman"/>
        </w:rPr>
        <w:t xml:space="preserve"> </w:t>
      </w:r>
      <w:hyperlink r:id="rId4" w:history="1">
        <w:r w:rsidRPr="00CF4EE3">
          <w:rPr>
            <w:rStyle w:val="Hyperlink"/>
            <w:rFonts w:eastAsia="Times New Roman" w:cs="Times New Roman"/>
          </w:rPr>
          <w:t>https://www.nyc.gov/site/nycha/residents/voting-nostrand.page</w:t>
        </w:r>
      </w:hyperlink>
      <w:r w:rsidRPr="00CF4EE3">
        <w:rPr>
          <w:rFonts w:eastAsia="Times New Roman" w:cs="Times New Roman"/>
        </w:rPr>
        <w:t xml:space="preserve">. </w:t>
      </w:r>
    </w:p>
  </w:footnote>
  <w:footnote w:id="9">
    <w:p w14:paraId="41AD9785" w14:textId="77777777" w:rsidR="00826104" w:rsidRPr="00CF4EE3" w:rsidRDefault="00826104" w:rsidP="00CF4EE3">
      <w:pPr>
        <w:pStyle w:val="FootnoteText"/>
        <w:rPr>
          <w:rFonts w:cs="Times New Roman"/>
        </w:rPr>
      </w:pPr>
      <w:r w:rsidRPr="00CF4EE3">
        <w:rPr>
          <w:rStyle w:val="FootnoteReference"/>
          <w:rFonts w:eastAsia="Times New Roman" w:cs="Times New Roman"/>
        </w:rPr>
        <w:footnoteRef/>
      </w:r>
      <w:r w:rsidRPr="00CF4EE3">
        <w:rPr>
          <w:rFonts w:eastAsia="Times New Roman" w:cs="Times New Roman"/>
        </w:rPr>
        <w:t xml:space="preserve"> NYCHA, </w:t>
      </w:r>
      <w:r w:rsidRPr="00CF4EE3">
        <w:rPr>
          <w:rFonts w:eastAsia="Times New Roman" w:cs="Times New Roman"/>
          <w:i/>
          <w:iCs/>
        </w:rPr>
        <w:t>Public Housing Preservation Trust</w:t>
      </w:r>
      <w:r w:rsidRPr="00CF4EE3">
        <w:rPr>
          <w:rFonts w:eastAsia="Times New Roman" w:cs="Times New Roman"/>
        </w:rPr>
        <w:t xml:space="preserve">, </w:t>
      </w:r>
      <w:r w:rsidRPr="00CF4EE3">
        <w:rPr>
          <w:rFonts w:eastAsia="Times New Roman" w:cs="Times New Roman"/>
          <w:smallCaps/>
        </w:rPr>
        <w:t>New York City Housing Authority</w:t>
      </w:r>
      <w:r w:rsidRPr="00CF4EE3">
        <w:rPr>
          <w:rFonts w:eastAsia="Times New Roman" w:cs="Times New Roman"/>
        </w:rPr>
        <w:t xml:space="preserve">, </w:t>
      </w:r>
      <w:r w:rsidRPr="00CF4EE3">
        <w:rPr>
          <w:rFonts w:eastAsia="Times New Roman" w:cs="Times New Roman"/>
          <w:i/>
          <w:iCs/>
        </w:rPr>
        <w:t>available at</w:t>
      </w:r>
      <w:r w:rsidRPr="00CF4EE3">
        <w:rPr>
          <w:rFonts w:eastAsia="Times New Roman" w:cs="Times New Roman"/>
        </w:rPr>
        <w:t xml:space="preserve"> </w:t>
      </w:r>
      <w:hyperlink r:id="rId5" w:history="1">
        <w:r w:rsidRPr="00CF4EE3">
          <w:rPr>
            <w:rStyle w:val="Hyperlink"/>
            <w:rFonts w:eastAsia="Times New Roman" w:cs="Times New Roman"/>
          </w:rPr>
          <w:t>https://www.nyc.gov/site/nycha/about/public-housing-preservation-trust.page</w:t>
        </w:r>
      </w:hyperlink>
      <w:r w:rsidRPr="00CF4EE3">
        <w:rPr>
          <w:rFonts w:eastAsia="Times New Roman" w:cs="Times New Roman"/>
        </w:rPr>
        <w:t xml:space="preserve">. </w:t>
      </w:r>
    </w:p>
  </w:footnote>
  <w:footnote w:id="10">
    <w:p w14:paraId="3B9A8FD3" w14:textId="77777777" w:rsidR="00826104" w:rsidRPr="00CF4EE3" w:rsidRDefault="00826104" w:rsidP="00CF4EE3">
      <w:pPr>
        <w:spacing w:after="0"/>
        <w:rPr>
          <w:rFonts w:cs="Times New Roman"/>
          <w:sz w:val="20"/>
          <w:szCs w:val="20"/>
        </w:rPr>
      </w:pPr>
      <w:r w:rsidRPr="00CF4EE3">
        <w:rPr>
          <w:rStyle w:val="FootnoteReference"/>
          <w:rFonts w:eastAsia="Times New Roman" w:cs="Times New Roman"/>
          <w:sz w:val="20"/>
          <w:szCs w:val="20"/>
        </w:rPr>
        <w:footnoteRef/>
      </w:r>
      <w:r w:rsidRPr="00CF4EE3">
        <w:rPr>
          <w:rFonts w:eastAsia="Times New Roman" w:cs="Times New Roman"/>
          <w:sz w:val="20"/>
          <w:szCs w:val="20"/>
        </w:rPr>
        <w:t xml:space="preserve"> The NYCHA Journal, “First Resident Vote Certified: Nostrand Residents Select the Trust” (Dec. 2023), </w:t>
      </w:r>
      <w:r w:rsidRPr="00CF4EE3">
        <w:rPr>
          <w:rFonts w:eastAsia="Times New Roman" w:cs="Times New Roman"/>
          <w:i/>
          <w:iCs/>
          <w:sz w:val="20"/>
          <w:szCs w:val="20"/>
        </w:rPr>
        <w:t>available at</w:t>
      </w:r>
      <w:r w:rsidRPr="00CF4EE3">
        <w:rPr>
          <w:rFonts w:eastAsia="Times New Roman" w:cs="Times New Roman"/>
          <w:sz w:val="20"/>
          <w:szCs w:val="20"/>
        </w:rPr>
        <w:t xml:space="preserve"> </w:t>
      </w:r>
      <w:hyperlink r:id="rId6">
        <w:r w:rsidRPr="00CF4EE3">
          <w:rPr>
            <w:rStyle w:val="Hyperlink"/>
            <w:rFonts w:eastAsia="Times New Roman" w:cs="Times New Roman"/>
            <w:sz w:val="20"/>
            <w:szCs w:val="20"/>
          </w:rPr>
          <w:t>https://nychajournal.nyc/first-resident-vote-certified-nostrand-residents-select-the-trust/</w:t>
        </w:r>
      </w:hyperlink>
      <w:r w:rsidRPr="00CF4EE3">
        <w:rPr>
          <w:rFonts w:eastAsia="Times New Roman" w:cs="Times New Roman"/>
          <w:sz w:val="20"/>
          <w:szCs w:val="20"/>
        </w:rPr>
        <w:t>.</w:t>
      </w:r>
    </w:p>
  </w:footnote>
  <w:footnote w:id="11">
    <w:p w14:paraId="338C6892" w14:textId="77777777" w:rsidR="00826104" w:rsidRPr="00CF4EE3" w:rsidRDefault="00826104" w:rsidP="00CF4EE3">
      <w:pPr>
        <w:spacing w:after="0"/>
        <w:rPr>
          <w:rFonts w:eastAsia="Times New Roman" w:cs="Times New Roman"/>
          <w:sz w:val="20"/>
          <w:szCs w:val="20"/>
        </w:rPr>
      </w:pPr>
      <w:r w:rsidRPr="00CF4EE3">
        <w:rPr>
          <w:rStyle w:val="FootnoteReference"/>
          <w:rFonts w:eastAsia="Times New Roman" w:cs="Times New Roman"/>
          <w:sz w:val="20"/>
          <w:szCs w:val="20"/>
        </w:rPr>
        <w:footnoteRef/>
      </w:r>
      <w:r w:rsidRPr="00CF4EE3">
        <w:rPr>
          <w:rFonts w:eastAsia="Times New Roman" w:cs="Times New Roman"/>
          <w:sz w:val="20"/>
          <w:szCs w:val="20"/>
        </w:rPr>
        <w:t xml:space="preserve"> The NYCHA Journal, “Bronx River Addition Residents Vote to Join Public Housing Preservation Trust” (Apr. 2024), </w:t>
      </w:r>
      <w:r w:rsidRPr="00CF4EE3">
        <w:rPr>
          <w:rFonts w:eastAsia="Times New Roman" w:cs="Times New Roman"/>
          <w:i/>
          <w:iCs/>
          <w:sz w:val="20"/>
          <w:szCs w:val="20"/>
        </w:rPr>
        <w:t>available at</w:t>
      </w:r>
      <w:r w:rsidRPr="00CF4EE3">
        <w:rPr>
          <w:rFonts w:eastAsia="Times New Roman" w:cs="Times New Roman"/>
          <w:sz w:val="20"/>
          <w:szCs w:val="20"/>
        </w:rPr>
        <w:t xml:space="preserve"> </w:t>
      </w:r>
      <w:hyperlink r:id="rId7">
        <w:r w:rsidRPr="00CF4EE3">
          <w:rPr>
            <w:rStyle w:val="Hyperlink"/>
            <w:rFonts w:eastAsia="Times New Roman" w:cs="Times New Roman"/>
            <w:sz w:val="20"/>
            <w:szCs w:val="20"/>
          </w:rPr>
          <w:t>https://nychajournal.nyc/bronx-river-addition-residents-vote-to-join-public-housing-preservation-trust/</w:t>
        </w:r>
      </w:hyperlink>
      <w:r w:rsidRPr="00CF4EE3">
        <w:rPr>
          <w:rFonts w:eastAsia="Times New Roman" w:cs="Times New Roman"/>
          <w:sz w:val="20"/>
          <w:szCs w:val="20"/>
        </w:rPr>
        <w:t>.</w:t>
      </w:r>
    </w:p>
  </w:footnote>
  <w:footnote w:id="12">
    <w:p w14:paraId="2C94777E" w14:textId="77777777" w:rsidR="00826104" w:rsidRPr="00CF4EE3" w:rsidRDefault="00826104" w:rsidP="00CF4EE3">
      <w:pPr>
        <w:spacing w:after="0"/>
        <w:rPr>
          <w:rFonts w:eastAsia="Times New Roman" w:cs="Times New Roman"/>
          <w:sz w:val="20"/>
          <w:szCs w:val="20"/>
        </w:rPr>
      </w:pPr>
      <w:r w:rsidRPr="00CF4EE3">
        <w:rPr>
          <w:rStyle w:val="FootnoteReference"/>
          <w:rFonts w:eastAsia="Times New Roman" w:cs="Times New Roman"/>
          <w:sz w:val="20"/>
          <w:szCs w:val="20"/>
        </w:rPr>
        <w:footnoteRef/>
      </w:r>
      <w:r w:rsidRPr="00CF4EE3">
        <w:rPr>
          <w:rFonts w:eastAsia="Times New Roman" w:cs="Times New Roman"/>
          <w:sz w:val="20"/>
          <w:szCs w:val="20"/>
        </w:rPr>
        <w:t xml:space="preserve"> The NYCHA Journal, “Residents at Two Coney Island Developments Decide the Future of Their Homes” (Aug. 2024), </w:t>
      </w:r>
      <w:r w:rsidRPr="00CF4EE3">
        <w:rPr>
          <w:rFonts w:eastAsia="Times New Roman" w:cs="Times New Roman"/>
          <w:i/>
          <w:iCs/>
          <w:sz w:val="20"/>
          <w:szCs w:val="20"/>
        </w:rPr>
        <w:t>available at</w:t>
      </w:r>
      <w:r w:rsidRPr="00CF4EE3">
        <w:rPr>
          <w:rFonts w:eastAsia="Times New Roman" w:cs="Times New Roman"/>
          <w:sz w:val="20"/>
          <w:szCs w:val="20"/>
        </w:rPr>
        <w:t xml:space="preserve"> </w:t>
      </w:r>
      <w:r w:rsidRPr="00CF4EE3">
        <w:rPr>
          <w:rStyle w:val="Hyperlink"/>
          <w:rFonts w:eastAsia="Times New Roman" w:cs="Times New Roman"/>
          <w:sz w:val="20"/>
          <w:szCs w:val="20"/>
        </w:rPr>
        <w:t>https://nychajournal.nyc/residents-at-two-coney-island-developments-decide-the-future-of-their-homes/</w:t>
      </w:r>
      <w:r w:rsidRPr="00CF4EE3">
        <w:rPr>
          <w:rFonts w:eastAsia="Times New Roman" w:cs="Times New Roman"/>
          <w:sz w:val="20"/>
          <w:szCs w:val="20"/>
        </w:rPr>
        <w:t>.</w:t>
      </w:r>
    </w:p>
  </w:footnote>
  <w:footnote w:id="13">
    <w:p w14:paraId="56B8D711"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NYCHA, “Tie Is Broken as NYCHA Residents at Hylan Houses Cast Their Ballots in Favor of the Trust in Runoff Vote” (Apr. 2025), </w:t>
      </w:r>
      <w:r w:rsidRPr="00CF4EE3">
        <w:rPr>
          <w:rFonts w:cs="Times New Roman"/>
          <w:i/>
        </w:rPr>
        <w:t xml:space="preserve">available at </w:t>
      </w:r>
      <w:hyperlink r:id="rId8" w:history="1">
        <w:r w:rsidRPr="00CF4EE3">
          <w:rPr>
            <w:rStyle w:val="Hyperlink"/>
            <w:rFonts w:cs="Times New Roman"/>
          </w:rPr>
          <w:t>https://www.nyc.gov/site/nycha/about/press/pr-2025/pr-20250410.page</w:t>
        </w:r>
      </w:hyperlink>
      <w:r w:rsidRPr="00CF4EE3">
        <w:rPr>
          <w:rFonts w:cs="Times New Roman"/>
        </w:rPr>
        <w:t xml:space="preserve">. </w:t>
      </w:r>
    </w:p>
  </w:footnote>
  <w:footnote w:id="14">
    <w:p w14:paraId="0C1F8D28" w14:textId="77777777" w:rsidR="00826104" w:rsidRPr="00CF4EE3" w:rsidRDefault="00826104" w:rsidP="00CF4EE3">
      <w:pPr>
        <w:spacing w:after="0"/>
        <w:rPr>
          <w:rFonts w:eastAsia="Times New Roman" w:cs="Times New Roman"/>
          <w:i/>
          <w:iCs/>
          <w:sz w:val="20"/>
          <w:szCs w:val="20"/>
        </w:rPr>
      </w:pPr>
      <w:r w:rsidRPr="00CF4EE3">
        <w:rPr>
          <w:rStyle w:val="FootnoteReference"/>
          <w:rFonts w:eastAsia="Times New Roman" w:cs="Times New Roman"/>
          <w:sz w:val="20"/>
          <w:szCs w:val="20"/>
        </w:rPr>
        <w:footnoteRef/>
      </w:r>
      <w:r w:rsidRPr="00CF4EE3">
        <w:rPr>
          <w:rFonts w:eastAsia="Times New Roman" w:cs="Times New Roman"/>
          <w:sz w:val="20"/>
          <w:szCs w:val="20"/>
        </w:rPr>
        <w:t xml:space="preserve"> The NYCHA Journal, “Residents at Two Coney Island Developments Decide the Future of Their Homes” (Aug. 2024), </w:t>
      </w:r>
      <w:r w:rsidRPr="00CF4EE3">
        <w:rPr>
          <w:rFonts w:eastAsia="Times New Roman" w:cs="Times New Roman"/>
          <w:i/>
          <w:iCs/>
          <w:sz w:val="20"/>
          <w:szCs w:val="20"/>
        </w:rPr>
        <w:t>available at</w:t>
      </w:r>
      <w:r w:rsidRPr="00CF4EE3">
        <w:rPr>
          <w:rFonts w:eastAsia="Times New Roman" w:cs="Times New Roman"/>
          <w:sz w:val="20"/>
          <w:szCs w:val="20"/>
        </w:rPr>
        <w:t xml:space="preserve"> </w:t>
      </w:r>
      <w:r w:rsidRPr="00CF4EE3">
        <w:rPr>
          <w:rStyle w:val="Hyperlink"/>
          <w:rFonts w:eastAsia="Times New Roman" w:cs="Times New Roman"/>
          <w:sz w:val="20"/>
          <w:szCs w:val="20"/>
        </w:rPr>
        <w:t>https://nychajournal.nyc/residents-at-two-coney-island-developments-decide-the-future-of-their-homes/</w:t>
      </w:r>
      <w:r w:rsidRPr="00CF4EE3">
        <w:rPr>
          <w:rFonts w:eastAsia="Times New Roman" w:cs="Times New Roman"/>
          <w:sz w:val="20"/>
          <w:szCs w:val="20"/>
        </w:rPr>
        <w:t>.</w:t>
      </w:r>
    </w:p>
  </w:footnote>
  <w:footnote w:id="15">
    <w:p w14:paraId="3176F32D"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Daniel Jonas Roche, “NYCHA Jacob Riis Houses vote to remain in Section 9, against privatization” (Apr. 2025), The Architect’s Newspaper, </w:t>
      </w:r>
      <w:r w:rsidRPr="00CF4EE3">
        <w:rPr>
          <w:rFonts w:cs="Times New Roman"/>
          <w:i/>
        </w:rPr>
        <w:t xml:space="preserve">available at </w:t>
      </w:r>
      <w:hyperlink r:id="rId9" w:history="1">
        <w:r w:rsidRPr="00CF4EE3">
          <w:rPr>
            <w:rStyle w:val="Hyperlink"/>
            <w:rFonts w:cs="Times New Roman"/>
          </w:rPr>
          <w:t>https://www.archpaper.com/2025/04/nycha-jacob-riis-houses-vote-section-9/</w:t>
        </w:r>
      </w:hyperlink>
      <w:r w:rsidRPr="00CF4EE3">
        <w:rPr>
          <w:rFonts w:cs="Times New Roman"/>
        </w:rPr>
        <w:t xml:space="preserve">. </w:t>
      </w:r>
    </w:p>
  </w:footnote>
  <w:footnote w:id="16">
    <w:p w14:paraId="3B5BCF4D"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NYCHA, “NYCHA Residents From Two Bronx Developments Decide the Future of Their Homes” (Apr. 2025), </w:t>
      </w:r>
      <w:r w:rsidRPr="00CF4EE3">
        <w:rPr>
          <w:rFonts w:cs="Times New Roman"/>
          <w:i/>
        </w:rPr>
        <w:t xml:space="preserve">available at </w:t>
      </w:r>
      <w:hyperlink r:id="rId10" w:history="1">
        <w:r w:rsidRPr="00CF4EE3">
          <w:rPr>
            <w:rStyle w:val="Hyperlink"/>
            <w:rFonts w:cs="Times New Roman"/>
          </w:rPr>
          <w:t>https://www.nyc.gov/site/nycha/about/press/pr-2025/pr-20250429.page</w:t>
        </w:r>
      </w:hyperlink>
      <w:r w:rsidRPr="00CF4EE3">
        <w:rPr>
          <w:rFonts w:cs="Times New Roman"/>
        </w:rPr>
        <w:t xml:space="preserve">. </w:t>
      </w:r>
    </w:p>
  </w:footnote>
  <w:footnote w:id="17">
    <w:p w14:paraId="4C2CA187"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r w:rsidRPr="00CF4EE3">
        <w:rPr>
          <w:rFonts w:cs="Times New Roman"/>
        </w:rPr>
        <w:t>.</w:t>
      </w:r>
    </w:p>
  </w:footnote>
  <w:footnote w:id="18">
    <w:p w14:paraId="673D88BD" w14:textId="77777777" w:rsidR="00826104" w:rsidRPr="00CF4EE3" w:rsidRDefault="00826104" w:rsidP="00CF4EE3">
      <w:pPr>
        <w:pStyle w:val="FootnoteText"/>
        <w:rPr>
          <w:rFonts w:cs="Times New Roman"/>
        </w:rPr>
      </w:pPr>
      <w:r w:rsidRPr="00CF4EE3">
        <w:rPr>
          <w:rStyle w:val="FootnoteReference"/>
          <w:rFonts w:eastAsia="Times New Roman" w:cs="Times New Roman"/>
        </w:rPr>
        <w:footnoteRef/>
      </w:r>
      <w:r w:rsidRPr="00CF4EE3">
        <w:rPr>
          <w:rFonts w:eastAsia="Times New Roman" w:cs="Times New Roman"/>
        </w:rPr>
        <w:t xml:space="preserve"> Agreement between United States Department of Housing and Urban Development, the New York City Housing Authority, and New York City, Jan. 31, 2019, </w:t>
      </w:r>
      <w:r w:rsidRPr="00CF4EE3">
        <w:rPr>
          <w:rFonts w:eastAsia="Times New Roman" w:cs="Times New Roman"/>
          <w:i/>
          <w:iCs/>
        </w:rPr>
        <w:t>available at</w:t>
      </w:r>
      <w:r w:rsidRPr="00CF4EE3">
        <w:rPr>
          <w:rFonts w:eastAsia="Times New Roman" w:cs="Times New Roman"/>
        </w:rPr>
        <w:t xml:space="preserve"> </w:t>
      </w:r>
      <w:hyperlink r:id="rId11" w:history="1">
        <w:r w:rsidRPr="00CF4EE3">
          <w:rPr>
            <w:rStyle w:val="Hyperlink"/>
            <w:rFonts w:eastAsia="Times New Roman" w:cs="Times New Roman"/>
          </w:rPr>
          <w:t>https://www.nyc.gov/assets/nycha/downloads/pdf/nycha-monitoring-agreement.pdf</w:t>
        </w:r>
      </w:hyperlink>
      <w:r w:rsidRPr="00CF4EE3">
        <w:rPr>
          <w:rFonts w:eastAsia="Times New Roman" w:cs="Times New Roman"/>
        </w:rPr>
        <w:t xml:space="preserve">. </w:t>
      </w:r>
    </w:p>
  </w:footnote>
  <w:footnote w:id="19">
    <w:p w14:paraId="3EB3AC8D" w14:textId="77777777" w:rsidR="00826104" w:rsidRPr="00CF4EE3" w:rsidRDefault="00826104" w:rsidP="00CF4EE3">
      <w:pPr>
        <w:pStyle w:val="FootnoteText"/>
        <w:rPr>
          <w:rFonts w:cs="Times New Roman"/>
        </w:rPr>
      </w:pPr>
      <w:r w:rsidRPr="00CF4EE3">
        <w:rPr>
          <w:rStyle w:val="FootnoteReference"/>
          <w:rFonts w:eastAsia="Times New Roman" w:cs="Times New Roman"/>
        </w:rPr>
        <w:footnoteRef/>
      </w:r>
      <w:r w:rsidRPr="00CF4EE3">
        <w:rPr>
          <w:rFonts w:eastAsia="Times New Roman" w:cs="Times New Roman"/>
        </w:rPr>
        <w:t xml:space="preserve"> </w:t>
      </w:r>
      <w:r w:rsidRPr="00CF4EE3">
        <w:rPr>
          <w:rFonts w:eastAsia="Times New Roman" w:cs="Times New Roman"/>
          <w:i/>
          <w:iCs/>
        </w:rPr>
        <w:t>Id</w:t>
      </w:r>
      <w:r w:rsidRPr="00CF4EE3">
        <w:rPr>
          <w:rFonts w:eastAsia="Times New Roman" w:cs="Times New Roman"/>
        </w:rPr>
        <w:t>.</w:t>
      </w:r>
    </w:p>
  </w:footnote>
  <w:footnote w:id="20">
    <w:p w14:paraId="0DEF7AA9" w14:textId="77777777" w:rsidR="00826104" w:rsidRPr="00CF4EE3" w:rsidRDefault="00826104" w:rsidP="00CF4EE3">
      <w:pPr>
        <w:pStyle w:val="FootnoteText"/>
        <w:rPr>
          <w:rFonts w:cs="Times New Roman"/>
        </w:rPr>
      </w:pPr>
      <w:r w:rsidRPr="00CF4EE3">
        <w:rPr>
          <w:rStyle w:val="FootnoteReference"/>
          <w:rFonts w:eastAsia="Times New Roman" w:cs="Times New Roman"/>
        </w:rPr>
        <w:footnoteRef/>
      </w:r>
      <w:r w:rsidRPr="00CF4EE3">
        <w:rPr>
          <w:rFonts w:eastAsia="Times New Roman" w:cs="Times New Roman"/>
        </w:rPr>
        <w:t xml:space="preserve"> </w:t>
      </w:r>
      <w:r w:rsidRPr="00CF4EE3">
        <w:rPr>
          <w:rFonts w:eastAsia="Times New Roman" w:cs="Times New Roman"/>
          <w:i/>
          <w:iCs/>
        </w:rPr>
        <w:t>U.S. Attorney Announces Application Process For Second Term Of NYCHA Monitorship</w:t>
      </w:r>
      <w:r w:rsidRPr="00CF4EE3">
        <w:rPr>
          <w:rFonts w:eastAsia="Times New Roman" w:cs="Times New Roman"/>
        </w:rPr>
        <w:t>, May 24, 2023</w:t>
      </w:r>
      <w:r w:rsidRPr="00CF4EE3">
        <w:rPr>
          <w:rFonts w:eastAsia="Times New Roman" w:cs="Times New Roman"/>
          <w:i/>
          <w:iCs/>
        </w:rPr>
        <w:t>, available at</w:t>
      </w:r>
      <w:r w:rsidRPr="00CF4EE3">
        <w:rPr>
          <w:rFonts w:eastAsia="Times New Roman" w:cs="Times New Roman"/>
        </w:rPr>
        <w:t xml:space="preserve"> </w:t>
      </w:r>
      <w:hyperlink r:id="rId12" w:history="1">
        <w:r w:rsidRPr="00CF4EE3">
          <w:rPr>
            <w:rStyle w:val="Hyperlink"/>
            <w:rFonts w:eastAsia="Times New Roman" w:cs="Times New Roman"/>
          </w:rPr>
          <w:t>https://www.justice.gov/usao-sdny/pr/us-attorney-announces-application-process-second-term-nycha-monitorship</w:t>
        </w:r>
      </w:hyperlink>
      <w:r w:rsidRPr="00CF4EE3">
        <w:rPr>
          <w:rFonts w:eastAsia="Times New Roman" w:cs="Times New Roman"/>
        </w:rPr>
        <w:t xml:space="preserve">; </w:t>
      </w:r>
      <w:r w:rsidRPr="00CF4EE3">
        <w:rPr>
          <w:rFonts w:eastAsia="Times New Roman" w:cs="Times New Roman"/>
          <w:i/>
          <w:iCs/>
        </w:rPr>
        <w:t>See</w:t>
      </w:r>
      <w:r w:rsidRPr="00CF4EE3">
        <w:rPr>
          <w:rFonts w:eastAsia="Times New Roman" w:cs="Times New Roman"/>
        </w:rPr>
        <w:t xml:space="preserve"> website for the Independent, Federal co-Monitors of NYCHA, </w:t>
      </w:r>
      <w:r w:rsidRPr="00CF4EE3">
        <w:rPr>
          <w:rFonts w:eastAsia="Times New Roman" w:cs="Times New Roman"/>
          <w:i/>
          <w:iCs/>
        </w:rPr>
        <w:t>available at</w:t>
      </w:r>
      <w:r w:rsidRPr="00CF4EE3">
        <w:rPr>
          <w:rFonts w:eastAsia="Times New Roman" w:cs="Times New Roman"/>
        </w:rPr>
        <w:t xml:space="preserve"> </w:t>
      </w:r>
      <w:hyperlink r:id="rId13" w:history="1">
        <w:r w:rsidRPr="00CF4EE3">
          <w:rPr>
            <w:rStyle w:val="Hyperlink"/>
            <w:rFonts w:eastAsia="Times New Roman" w:cs="Times New Roman"/>
          </w:rPr>
          <w:t>https://www.nychamonitor.com/</w:t>
        </w:r>
      </w:hyperlink>
      <w:r w:rsidRPr="00CF4EE3">
        <w:rPr>
          <w:rFonts w:eastAsia="Times New Roman" w:cs="Times New Roman"/>
        </w:rPr>
        <w:t>.</w:t>
      </w:r>
    </w:p>
  </w:footnote>
  <w:footnote w:id="21">
    <w:p w14:paraId="37416C47" w14:textId="77777777" w:rsidR="00826104" w:rsidRPr="00CF4EE3" w:rsidRDefault="00826104" w:rsidP="00CF4EE3">
      <w:pPr>
        <w:spacing w:after="0"/>
        <w:rPr>
          <w:rFonts w:eastAsia="Times New Roman" w:cs="Times New Roman"/>
          <w:sz w:val="20"/>
          <w:szCs w:val="20"/>
        </w:rPr>
      </w:pPr>
      <w:r w:rsidRPr="00CF4EE3">
        <w:rPr>
          <w:rStyle w:val="FootnoteReference"/>
          <w:rFonts w:eastAsia="Times New Roman" w:cs="Times New Roman"/>
          <w:sz w:val="20"/>
          <w:szCs w:val="20"/>
        </w:rPr>
        <w:footnoteRef/>
      </w:r>
      <w:r w:rsidRPr="00CF4EE3">
        <w:rPr>
          <w:rFonts w:eastAsia="Times New Roman" w:cs="Times New Roman"/>
          <w:sz w:val="20"/>
          <w:szCs w:val="20"/>
        </w:rPr>
        <w:t xml:space="preserve"> “Reports”, NYCHA Monitorship, </w:t>
      </w:r>
      <w:r w:rsidRPr="00CF4EE3">
        <w:rPr>
          <w:rFonts w:eastAsia="Times New Roman" w:cs="Times New Roman"/>
          <w:i/>
          <w:iCs/>
          <w:sz w:val="20"/>
          <w:szCs w:val="20"/>
        </w:rPr>
        <w:t>available at</w:t>
      </w:r>
      <w:r w:rsidRPr="00CF4EE3">
        <w:rPr>
          <w:rFonts w:eastAsia="Times New Roman" w:cs="Times New Roman"/>
          <w:sz w:val="20"/>
          <w:szCs w:val="20"/>
        </w:rPr>
        <w:t xml:space="preserve"> </w:t>
      </w:r>
      <w:hyperlink r:id="rId14">
        <w:r w:rsidRPr="00CF4EE3">
          <w:rPr>
            <w:rStyle w:val="Hyperlink"/>
            <w:rFonts w:eastAsia="Times New Roman" w:cs="Times New Roman"/>
            <w:sz w:val="20"/>
            <w:szCs w:val="20"/>
          </w:rPr>
          <w:t>https://www.nychamonitor.com/reports</w:t>
        </w:r>
      </w:hyperlink>
      <w:r w:rsidRPr="00CF4EE3">
        <w:rPr>
          <w:rFonts w:eastAsia="Times New Roman" w:cs="Times New Roman"/>
          <w:sz w:val="20"/>
          <w:szCs w:val="20"/>
        </w:rPr>
        <w:t>.</w:t>
      </w:r>
    </w:p>
  </w:footnote>
  <w:footnote w:id="22">
    <w:p w14:paraId="63E3B330" w14:textId="77777777" w:rsidR="00173F75" w:rsidRPr="00CF4EE3" w:rsidRDefault="00173F75"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00452D05" w:rsidRPr="1BE0CC58">
        <w:rPr>
          <w:rFonts w:eastAsia="Calibri" w:cs="Times New Roman"/>
          <w:lang w:eastAsia="zh-CN"/>
        </w:rPr>
        <w:t>The triennial New York City Housing Vacancy Survey found in 2023 that the</w:t>
      </w:r>
      <w:r w:rsidR="00452D05">
        <w:rPr>
          <w:rFonts w:eastAsia="Calibri" w:cs="Times New Roman"/>
          <w:lang w:eastAsia="zh-CN"/>
        </w:rPr>
        <w:t xml:space="preserve"> City’s</w:t>
      </w:r>
      <w:r w:rsidR="00452D05" w:rsidRPr="1BE0CC58">
        <w:rPr>
          <w:rFonts w:eastAsia="Calibri" w:cs="Times New Roman"/>
          <w:lang w:eastAsia="zh-CN"/>
        </w:rPr>
        <w:t xml:space="preserve"> net rental vacancy rate had dropped to 1.4 percent, the lowest since 1968, meaning that only 1.4 percent of rental housing stock in NYC was available to rent</w:t>
      </w:r>
      <w:r w:rsidR="00452D05">
        <w:rPr>
          <w:rFonts w:eastAsia="Calibri" w:cs="Times New Roman"/>
          <w:lang w:eastAsia="zh-CN"/>
        </w:rPr>
        <w:t>.</w:t>
      </w:r>
      <w:r w:rsidR="00452D05" w:rsidRPr="1BE0CC58">
        <w:rPr>
          <w:rFonts w:eastAsia="Calibri" w:cs="Times New Roman"/>
          <w:lang w:eastAsia="zh-CN"/>
        </w:rPr>
        <w:t>.</w:t>
      </w:r>
      <w:r w:rsidRPr="00CF4EE3">
        <w:rPr>
          <w:rFonts w:cs="Times New Roman"/>
        </w:rPr>
        <w:t xml:space="preserve">New York City Department of Housing Preservation and Development, “New York City’s Vacancy Rate Reaches Historic Low of 1.4 Percent, Demanding Urgent Action &amp; New Affordable Housing” (Feb. 8, 2024), </w:t>
      </w:r>
      <w:r w:rsidRPr="00CF4EE3">
        <w:rPr>
          <w:rFonts w:cs="Times New Roman"/>
          <w:i/>
        </w:rPr>
        <w:t>available at</w:t>
      </w:r>
      <w:r w:rsidRPr="00CF4EE3">
        <w:rPr>
          <w:rFonts w:cs="Times New Roman"/>
        </w:rPr>
        <w:t xml:space="preserve"> </w:t>
      </w:r>
      <w:hyperlink r:id="rId15" w:anchor="/0" w:history="1">
        <w:r w:rsidRPr="00CF4EE3">
          <w:rPr>
            <w:rStyle w:val="Hyperlink"/>
            <w:rFonts w:cs="Times New Roman"/>
          </w:rPr>
          <w:t>https://www.nyc.gov/site/hpd/news/007-24/new-york-city-s-vacancy-rate-reaches-historic-low-1-4-percent-demanding-urgent-action-new#/0</w:t>
        </w:r>
      </w:hyperlink>
      <w:r w:rsidRPr="00CF4EE3">
        <w:rPr>
          <w:rFonts w:cs="Times New Roman"/>
        </w:rPr>
        <w:t xml:space="preserve">. </w:t>
      </w:r>
    </w:p>
  </w:footnote>
  <w:footnote w:id="23">
    <w:p w14:paraId="315E18A6"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NYCHA 2022 Fact Sheet (Apr. 2022), </w:t>
      </w:r>
      <w:r w:rsidRPr="00CF4EE3">
        <w:rPr>
          <w:rFonts w:cs="Times New Roman"/>
          <w:i/>
        </w:rPr>
        <w:t>available at</w:t>
      </w:r>
      <w:r w:rsidRPr="00CF4EE3">
        <w:rPr>
          <w:rFonts w:cs="Times New Roman"/>
        </w:rPr>
        <w:t xml:space="preserve"> </w:t>
      </w:r>
      <w:hyperlink r:id="rId16" w:history="1">
        <w:r w:rsidRPr="00CF4EE3">
          <w:rPr>
            <w:rStyle w:val="Hyperlink"/>
            <w:rFonts w:cs="Times New Roman"/>
          </w:rPr>
          <w:t>https://web.archive.org/web/20230327213518/https://www.nyc.gov/assets/nycha/downloads/pdf/NYCHA_Fact_Sheet_2022.pdf</w:t>
        </w:r>
      </w:hyperlink>
      <w:r w:rsidRPr="00CF4EE3">
        <w:rPr>
          <w:rFonts w:cs="Times New Roman"/>
        </w:rPr>
        <w:t xml:space="preserve">. Last accessed on 06/10/2025; NYCHA 2024 Fact Sheet (Mar. 2024), </w:t>
      </w:r>
      <w:r w:rsidRPr="00CF4EE3">
        <w:rPr>
          <w:rFonts w:cs="Times New Roman"/>
          <w:i/>
        </w:rPr>
        <w:t>available at</w:t>
      </w:r>
      <w:r w:rsidRPr="00CF4EE3">
        <w:rPr>
          <w:rFonts w:cs="Times New Roman"/>
        </w:rPr>
        <w:t xml:space="preserve"> </w:t>
      </w:r>
      <w:hyperlink r:id="rId17" w:history="1">
        <w:r w:rsidRPr="00CF4EE3">
          <w:rPr>
            <w:rStyle w:val="Hyperlink"/>
            <w:rFonts w:cs="Times New Roman"/>
          </w:rPr>
          <w:t>https://www.nyc.gov/assets/nycha/downloads/pdf/NYCHA_Fact_Sheet.pdf</w:t>
        </w:r>
      </w:hyperlink>
      <w:r w:rsidRPr="00CF4EE3">
        <w:rPr>
          <w:rFonts w:cs="Times New Roman"/>
        </w:rPr>
        <w:t>.</w:t>
      </w:r>
    </w:p>
  </w:footnote>
  <w:footnote w:id="24">
    <w:p w14:paraId="01E4547A"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Emily Rahhal, “NYCHA has issued over 2,400 Section 8 vouchers since waitlist closed” (Mar. 2025), PIX11, </w:t>
      </w:r>
      <w:r w:rsidRPr="00CF4EE3">
        <w:rPr>
          <w:rFonts w:cs="Times New Roman"/>
          <w:i/>
        </w:rPr>
        <w:t xml:space="preserve">available at </w:t>
      </w:r>
      <w:hyperlink r:id="rId18" w:history="1">
        <w:r w:rsidRPr="00CF4EE3">
          <w:rPr>
            <w:rStyle w:val="Hyperlink"/>
            <w:rFonts w:cs="Times New Roman"/>
          </w:rPr>
          <w:t>https://pix11.com/news/nycha-has-issued-over-2400-section-8-vouchers-since-waitlist-closed/</w:t>
        </w:r>
      </w:hyperlink>
      <w:r w:rsidRPr="00CF4EE3">
        <w:rPr>
          <w:rFonts w:cs="Times New Roman"/>
        </w:rPr>
        <w:t xml:space="preserve">; “Mayor’s Management Report: Preliminary Fiscal 2025” (Jan. 2025), </w:t>
      </w:r>
      <w:r w:rsidRPr="00CF4EE3">
        <w:rPr>
          <w:rFonts w:cs="Times New Roman"/>
          <w:i/>
        </w:rPr>
        <w:t xml:space="preserve">available at </w:t>
      </w:r>
      <w:hyperlink r:id="rId19">
        <w:r w:rsidRPr="00CF4EE3">
          <w:rPr>
            <w:rStyle w:val="Hyperlink"/>
            <w:rFonts w:cs="Times New Roman"/>
          </w:rPr>
          <w:t>https://www.nyc.gov/assets/operations/downloads/pdf/pmmr2025/2025_pmmr.pdf</w:t>
        </w:r>
      </w:hyperlink>
      <w:r w:rsidRPr="00CF4EE3">
        <w:rPr>
          <w:rStyle w:val="Hyperlink"/>
          <w:rFonts w:cs="Times New Roman"/>
          <w:color w:val="auto"/>
          <w:u w:val="none"/>
        </w:rPr>
        <w:t xml:space="preserve"> at 369.</w:t>
      </w:r>
    </w:p>
  </w:footnote>
  <w:footnote w:id="25">
    <w:p w14:paraId="2F897A54"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City of New York Office of the Comptroller, “Audit Report on the New York City Housing Authority’s Management of Vacant Apartments” (Jun. 24, 2015), </w:t>
      </w:r>
      <w:r w:rsidRPr="00CF4EE3">
        <w:rPr>
          <w:rFonts w:cs="Times New Roman"/>
          <w:i/>
        </w:rPr>
        <w:t>available at</w:t>
      </w:r>
      <w:r w:rsidRPr="00CF4EE3">
        <w:rPr>
          <w:rFonts w:cs="Times New Roman"/>
        </w:rPr>
        <w:t xml:space="preserve"> </w:t>
      </w:r>
      <w:hyperlink r:id="rId20" w:history="1">
        <w:r w:rsidRPr="00CF4EE3">
          <w:rPr>
            <w:rStyle w:val="Hyperlink"/>
            <w:rFonts w:cs="Times New Roman"/>
          </w:rPr>
          <w:t>https://comptroller.nyc.gov/reports/audit-report-on-the-new-york-city-housing-authoritys-management-of-vacant-apartments/</w:t>
        </w:r>
      </w:hyperlink>
      <w:r w:rsidRPr="00CF4EE3">
        <w:rPr>
          <w:rFonts w:cs="Times New Roman"/>
        </w:rPr>
        <w:t>.</w:t>
      </w:r>
    </w:p>
  </w:footnote>
  <w:footnote w:id="26">
    <w:p w14:paraId="4826B039"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“Borough Monitoring – Quarterly Report” (Feb. 2024), </w:t>
      </w:r>
      <w:r w:rsidRPr="00CF4EE3">
        <w:rPr>
          <w:rFonts w:cs="Times New Roman"/>
          <w:i/>
        </w:rPr>
        <w:t>available at</w:t>
      </w:r>
      <w:r w:rsidRPr="00CF4EE3">
        <w:rPr>
          <w:rFonts w:cs="Times New Roman"/>
        </w:rPr>
        <w:t xml:space="preserve"> </w:t>
      </w:r>
      <w:hyperlink r:id="rId21" w:history="1">
        <w:r w:rsidRPr="00CF4EE3">
          <w:rPr>
            <w:rStyle w:val="Hyperlink"/>
            <w:rFonts w:cs="Times New Roman"/>
          </w:rPr>
          <w:t>https://img1.wsimg.com/blobby/go/1191cd59-cd0d-4d02-a60c-098cfcfb7ca1/downloads/Borough%20Monitoring%20-%20Quarterly%20Report%20-%20Off%20of.pdf?ver=1733950517446</w:t>
        </w:r>
      </w:hyperlink>
      <w:r w:rsidRPr="00CF4EE3">
        <w:rPr>
          <w:rFonts w:cs="Times New Roman"/>
        </w:rPr>
        <w:t xml:space="preserve">; Greg B. Smith, “NYCHA Has 5,000 Empty Apartments After Bureaucratic Bungle, Monitor Finds” (Feb. 2024), The City, </w:t>
      </w:r>
      <w:r w:rsidRPr="00CF4EE3">
        <w:rPr>
          <w:rFonts w:cs="Times New Roman"/>
          <w:i/>
        </w:rPr>
        <w:t xml:space="preserve">available at </w:t>
      </w:r>
      <w:hyperlink r:id="rId22" w:history="1">
        <w:r w:rsidRPr="00CF4EE3">
          <w:rPr>
            <w:rStyle w:val="Hyperlink"/>
            <w:rFonts w:cs="Times New Roman"/>
          </w:rPr>
          <w:t>https://www.thecity.nyc/2024/02/21/nycha-5000-empty-apartments/</w:t>
        </w:r>
      </w:hyperlink>
      <w:r w:rsidRPr="00CF4EE3">
        <w:rPr>
          <w:rFonts w:cs="Times New Roman"/>
        </w:rPr>
        <w:t xml:space="preserve">; The OACM was renamed Technical Services in 2023.  </w:t>
      </w:r>
    </w:p>
  </w:footnote>
  <w:footnote w:id="27">
    <w:p w14:paraId="0F436509"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r w:rsidRPr="00CF4EE3">
        <w:rPr>
          <w:rFonts w:cs="Times New Roman"/>
        </w:rPr>
        <w:t>.</w:t>
      </w:r>
    </w:p>
  </w:footnote>
  <w:footnote w:id="28">
    <w:p w14:paraId="2787B415"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00404B35" w:rsidRPr="00CF4EE3">
        <w:rPr>
          <w:rFonts w:cs="Times New Roman"/>
        </w:rPr>
        <w:t>“</w:t>
      </w:r>
      <w:r w:rsidRPr="00CF4EE3">
        <w:rPr>
          <w:rFonts w:cs="Times New Roman"/>
        </w:rPr>
        <w:t xml:space="preserve">Mayor’s Management Report: Preliminary Fiscal 2025” (Jan. 2025), </w:t>
      </w:r>
      <w:r w:rsidRPr="00CF4EE3">
        <w:rPr>
          <w:rFonts w:cs="Times New Roman"/>
          <w:i/>
        </w:rPr>
        <w:t xml:space="preserve">available at </w:t>
      </w:r>
      <w:hyperlink r:id="rId23">
        <w:r w:rsidRPr="00CF4EE3">
          <w:rPr>
            <w:rStyle w:val="Hyperlink"/>
            <w:rFonts w:cs="Times New Roman"/>
          </w:rPr>
          <w:t>https://www.nyc.gov/assets/operations/downloads/pdf/pmmr2025/2025_pmmr.pdf</w:t>
        </w:r>
      </w:hyperlink>
      <w:r w:rsidRPr="00CF4EE3">
        <w:rPr>
          <w:rStyle w:val="Hyperlink"/>
          <w:rFonts w:cs="Times New Roman"/>
          <w:color w:val="auto"/>
          <w:u w:val="none"/>
        </w:rPr>
        <w:t xml:space="preserve"> at 372; NYCHA also had a 93.3% occupancy rate in April 2025, according to </w:t>
      </w:r>
      <w:r w:rsidRPr="00CF4EE3">
        <w:rPr>
          <w:rFonts w:cs="Times New Roman"/>
        </w:rPr>
        <w:t xml:space="preserve">Council staff analyzing data from </w:t>
      </w:r>
      <w:hyperlink r:id="rId24" w:anchor="tab_vacancies" w:history="1">
        <w:r w:rsidRPr="00CF4EE3">
          <w:rPr>
            <w:rStyle w:val="Hyperlink"/>
            <w:rFonts w:cs="Times New Roman"/>
          </w:rPr>
          <w:t>https://eapps.nycha.info/NychaMetrics/Charts/PublicHousingChartsTabs/?section=public_housing&amp;tab=tab_vacancies#tab_vacancies</w:t>
        </w:r>
      </w:hyperlink>
      <w:r w:rsidRPr="00CF4EE3">
        <w:rPr>
          <w:rFonts w:cs="Times New Roman"/>
        </w:rPr>
        <w:t xml:space="preserve">.  </w:t>
      </w:r>
    </w:p>
  </w:footnote>
  <w:footnote w:id="29">
    <w:p w14:paraId="1C144ABE"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“NYCHA Metrics: Vacancies”, </w:t>
      </w:r>
      <w:hyperlink r:id="rId25" w:anchor="tab_vacancies" w:history="1">
        <w:r w:rsidRPr="00CF4EE3">
          <w:rPr>
            <w:rStyle w:val="Hyperlink"/>
            <w:rFonts w:cs="Times New Roman"/>
          </w:rPr>
          <w:t>https://eapps.nycha.info/NychaMetrics/Charts/PublicHousingChartsTabs/?section=public_housing&amp;tab=tab_vacancies#tab_vacancies</w:t>
        </w:r>
      </w:hyperlink>
      <w:r w:rsidRPr="00CF4EE3">
        <w:rPr>
          <w:rFonts w:cs="Times New Roman"/>
        </w:rPr>
        <w:t xml:space="preserve">. Last accessed on 05/27/2025. </w:t>
      </w:r>
    </w:p>
  </w:footnote>
  <w:footnote w:id="30">
    <w:p w14:paraId="51842EF1"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r w:rsidRPr="00CF4EE3">
        <w:rPr>
          <w:rFonts w:cs="Times New Roman"/>
        </w:rPr>
        <w:t>.</w:t>
      </w:r>
    </w:p>
  </w:footnote>
  <w:footnote w:id="31">
    <w:p w14:paraId="5709BE2C"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p>
  </w:footnote>
  <w:footnote w:id="32">
    <w:p w14:paraId="2BD18A08"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 xml:space="preserve">Id </w:t>
      </w:r>
      <w:r w:rsidRPr="00CF4EE3">
        <w:rPr>
          <w:rFonts w:cs="Times New Roman"/>
        </w:rPr>
        <w:t xml:space="preserve">accessed on 01/25/2023. </w:t>
      </w:r>
    </w:p>
  </w:footnote>
  <w:footnote w:id="33">
    <w:p w14:paraId="20A92BE6"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r w:rsidRPr="00CF4EE3">
        <w:rPr>
          <w:rFonts w:cs="Times New Roman"/>
        </w:rPr>
        <w:t xml:space="preserve"> accessed on 05/27/2025. </w:t>
      </w:r>
    </w:p>
  </w:footnote>
  <w:footnote w:id="34">
    <w:p w14:paraId="1505EBFA"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r w:rsidRPr="00CF4EE3">
        <w:rPr>
          <w:rFonts w:cs="Times New Roman"/>
        </w:rPr>
        <w:t xml:space="preserve">. </w:t>
      </w:r>
    </w:p>
  </w:footnote>
  <w:footnote w:id="35">
    <w:p w14:paraId="1F3A8BFF" w14:textId="77777777" w:rsidR="00826104" w:rsidRPr="00CF4EE3" w:rsidRDefault="00826104"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r w:rsidRPr="00CF4EE3">
        <w:rPr>
          <w:rFonts w:cs="Times New Roman"/>
        </w:rPr>
        <w:t xml:space="preserve">. </w:t>
      </w:r>
    </w:p>
  </w:footnote>
  <w:footnote w:id="36">
    <w:p w14:paraId="241975A1" w14:textId="77777777" w:rsidR="00404B35" w:rsidRPr="00CF4EE3" w:rsidRDefault="00404B35" w:rsidP="00CF4EE3">
      <w:pPr>
        <w:pStyle w:val="FootnoteText"/>
        <w:rPr>
          <w:rFonts w:cs="Times New Roman"/>
        </w:rPr>
      </w:pPr>
      <w:r w:rsidRPr="00CF4EE3">
        <w:rPr>
          <w:rStyle w:val="FootnoteReference"/>
          <w:rFonts w:cs="Times New Roman"/>
        </w:rPr>
        <w:footnoteRef/>
      </w:r>
      <w:r w:rsidRPr="00CF4EE3">
        <w:rPr>
          <w:rFonts w:cs="Times New Roman"/>
        </w:rPr>
        <w:t xml:space="preserve"> “Mayor’s Management Report: Preliminary Fiscal 2025” (Jan. 2025), </w:t>
      </w:r>
      <w:r w:rsidRPr="00CF4EE3">
        <w:rPr>
          <w:rFonts w:cs="Times New Roman"/>
          <w:i/>
        </w:rPr>
        <w:t xml:space="preserve">available at </w:t>
      </w:r>
      <w:hyperlink r:id="rId26">
        <w:r w:rsidRPr="00CF4EE3">
          <w:rPr>
            <w:rStyle w:val="Hyperlink"/>
            <w:rFonts w:cs="Times New Roman"/>
          </w:rPr>
          <w:t>https://www.nyc.gov/assets/operations/downloads/pdf/pmmr2025/2025_pmmr.pdf</w:t>
        </w:r>
      </w:hyperlink>
      <w:r w:rsidRPr="00CF4EE3">
        <w:rPr>
          <w:rStyle w:val="Hyperlink"/>
          <w:rFonts w:cs="Times New Roman"/>
          <w:color w:val="auto"/>
          <w:u w:val="none"/>
        </w:rPr>
        <w:t xml:space="preserve"> at 368.</w:t>
      </w:r>
    </w:p>
  </w:footnote>
  <w:footnote w:id="37">
    <w:p w14:paraId="7FC2599B" w14:textId="77777777" w:rsidR="009418CD" w:rsidRPr="00CF4EE3" w:rsidRDefault="009418CD" w:rsidP="00CF4EE3">
      <w:pPr>
        <w:pStyle w:val="FootnoteText"/>
        <w:rPr>
          <w:rFonts w:cs="Times New Roman"/>
        </w:rPr>
      </w:pPr>
      <w:r w:rsidRPr="00CF4EE3">
        <w:rPr>
          <w:rStyle w:val="FootnoteReference"/>
          <w:rFonts w:cs="Times New Roman"/>
        </w:rPr>
        <w:footnoteRef/>
      </w:r>
      <w:r w:rsidRPr="00CF4EE3">
        <w:rPr>
          <w:rFonts w:cs="Times New Roman"/>
        </w:rPr>
        <w:t xml:space="preserve"> “NYCHA Metrics: Vacancies”, </w:t>
      </w:r>
      <w:hyperlink r:id="rId27" w:anchor="tab_vacancies" w:history="1">
        <w:r w:rsidRPr="00CF4EE3">
          <w:rPr>
            <w:rStyle w:val="Hyperlink"/>
            <w:rFonts w:cs="Times New Roman"/>
          </w:rPr>
          <w:t>https://eapps.nycha.info/NychaMetrics/Charts/PublicHousingChartsTabs/?section=public_housing&amp;tab=tab_vacancies#tab_vacancies</w:t>
        </w:r>
      </w:hyperlink>
      <w:r w:rsidRPr="00CF4EE3">
        <w:rPr>
          <w:rFonts w:cs="Times New Roman"/>
        </w:rPr>
        <w:t>. Accessed on 05/27/2025.</w:t>
      </w:r>
    </w:p>
  </w:footnote>
  <w:footnote w:id="38">
    <w:p w14:paraId="5DF49162" w14:textId="77777777" w:rsidR="1BE0CC58" w:rsidRPr="00CF4EE3" w:rsidRDefault="1BE0CC58"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iCs/>
        </w:rPr>
        <w:t>Id</w:t>
      </w:r>
      <w:r w:rsidRPr="00CF4EE3">
        <w:rPr>
          <w:rFonts w:cs="Times New Roman"/>
        </w:rPr>
        <w:t xml:space="preserve">. </w:t>
      </w:r>
    </w:p>
  </w:footnote>
  <w:footnote w:id="39">
    <w:p w14:paraId="0A7A4308" w14:textId="77777777" w:rsidR="1BE0CC58" w:rsidRPr="00CF4EE3" w:rsidRDefault="1BE0CC58"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iCs/>
        </w:rPr>
        <w:t>Id</w:t>
      </w:r>
      <w:r w:rsidRPr="00CF4EE3">
        <w:rPr>
          <w:rFonts w:cs="Times New Roman"/>
        </w:rPr>
        <w:t xml:space="preserve">. Accessed on 01/25/2023. </w:t>
      </w:r>
    </w:p>
  </w:footnote>
  <w:footnote w:id="40">
    <w:p w14:paraId="0F6A4900" w14:textId="77777777" w:rsidR="1BE0CC58" w:rsidRPr="00CF4EE3" w:rsidRDefault="1BE0CC58" w:rsidP="00CF4EE3">
      <w:pPr>
        <w:spacing w:after="0"/>
        <w:rPr>
          <w:rStyle w:val="Hyperlink"/>
          <w:rFonts w:cs="Times New Roman"/>
          <w:color w:val="auto"/>
          <w:sz w:val="20"/>
          <w:szCs w:val="20"/>
          <w:u w:val="none"/>
        </w:rPr>
      </w:pPr>
      <w:r w:rsidRPr="00CF4EE3">
        <w:rPr>
          <w:rStyle w:val="FootnoteReference"/>
          <w:rFonts w:cs="Times New Roman"/>
          <w:sz w:val="20"/>
          <w:szCs w:val="20"/>
        </w:rPr>
        <w:footnoteRef/>
      </w:r>
      <w:r w:rsidRPr="00CF4EE3">
        <w:rPr>
          <w:rFonts w:cs="Times New Roman"/>
          <w:sz w:val="20"/>
          <w:szCs w:val="20"/>
        </w:rPr>
        <w:t xml:space="preserve"> “Mayor’s Management Report: Preliminary Fiscal 2025” (Jan. 2025), </w:t>
      </w:r>
      <w:r w:rsidRPr="00CF4EE3">
        <w:rPr>
          <w:rFonts w:cs="Times New Roman"/>
          <w:i/>
          <w:iCs/>
          <w:sz w:val="20"/>
          <w:szCs w:val="20"/>
        </w:rPr>
        <w:t xml:space="preserve">available at </w:t>
      </w:r>
      <w:hyperlink r:id="rId28" w:history="1">
        <w:r w:rsidRPr="00CF4EE3">
          <w:rPr>
            <w:rStyle w:val="Hyperlink"/>
            <w:rFonts w:cs="Times New Roman"/>
            <w:sz w:val="20"/>
            <w:szCs w:val="20"/>
          </w:rPr>
          <w:t>https://www.nyc.gov/assets/operations/downloads/pdf/pmmr2025/2025_pmmr.pdf</w:t>
        </w:r>
      </w:hyperlink>
      <w:r w:rsidRPr="00CF4EE3">
        <w:rPr>
          <w:rStyle w:val="Hyperlink"/>
          <w:rFonts w:cs="Times New Roman"/>
          <w:color w:val="auto"/>
          <w:sz w:val="20"/>
          <w:szCs w:val="20"/>
          <w:u w:val="none"/>
        </w:rPr>
        <w:t xml:space="preserve"> at 368.</w:t>
      </w:r>
    </w:p>
  </w:footnote>
  <w:footnote w:id="41">
    <w:p w14:paraId="7B7F3639" w14:textId="77777777" w:rsidR="1BE0CC58" w:rsidRPr="00CF4EE3" w:rsidRDefault="1BE0CC58" w:rsidP="00CF4EE3">
      <w:pPr>
        <w:pStyle w:val="FootnoteText"/>
        <w:rPr>
          <w:rFonts w:cs="Times New Roman"/>
        </w:rPr>
      </w:pPr>
      <w:r w:rsidRPr="00CF4EE3">
        <w:rPr>
          <w:rStyle w:val="FootnoteReference"/>
          <w:rFonts w:cs="Times New Roman"/>
        </w:rPr>
        <w:footnoteRef/>
      </w:r>
      <w:r w:rsidRPr="00CF4EE3">
        <w:rPr>
          <w:rFonts w:cs="Times New Roman"/>
        </w:rPr>
        <w:t xml:space="preserve"> Mayor’s Management Report FY2022, </w:t>
      </w:r>
      <w:r w:rsidRPr="00CF4EE3">
        <w:rPr>
          <w:rFonts w:cs="Times New Roman"/>
          <w:i/>
          <w:iCs/>
        </w:rPr>
        <w:t xml:space="preserve">available at </w:t>
      </w:r>
      <w:hyperlink r:id="rId29">
        <w:r w:rsidRPr="00CF4EE3">
          <w:rPr>
            <w:rStyle w:val="Hyperlink"/>
            <w:rFonts w:cs="Times New Roman"/>
          </w:rPr>
          <w:t>https://www.nyc.gov/assets/operations/downloads/pdf/mmr2022/2022_mmr.pdf</w:t>
        </w:r>
      </w:hyperlink>
      <w:r w:rsidRPr="00CF4EE3">
        <w:rPr>
          <w:rFonts w:cs="Times New Roman"/>
        </w:rPr>
        <w:t xml:space="preserve"> at 377. </w:t>
      </w:r>
    </w:p>
  </w:footnote>
  <w:footnote w:id="42">
    <w:p w14:paraId="5A5035DF" w14:textId="77777777" w:rsidR="008004FC" w:rsidRPr="00CF4EE3" w:rsidRDefault="008004FC" w:rsidP="00CF4EE3">
      <w:pPr>
        <w:pStyle w:val="FootnoteText"/>
        <w:rPr>
          <w:rFonts w:cs="Times New Roman"/>
        </w:rPr>
      </w:pPr>
      <w:r w:rsidRPr="00CF4EE3">
        <w:rPr>
          <w:rStyle w:val="FootnoteReference"/>
          <w:rFonts w:cs="Times New Roman"/>
        </w:rPr>
        <w:footnoteRef/>
      </w:r>
      <w:r w:rsidR="1BE0CC58" w:rsidRPr="00CF4EE3">
        <w:rPr>
          <w:rFonts w:cs="Times New Roman"/>
        </w:rPr>
        <w:t xml:space="preserve"> </w:t>
      </w:r>
      <w:r w:rsidR="1BE0CC58" w:rsidRPr="00CF4EE3">
        <w:rPr>
          <w:rStyle w:val="Hyperlink"/>
          <w:rFonts w:cs="Times New Roman"/>
          <w:i/>
          <w:iCs/>
          <w:color w:val="auto"/>
          <w:u w:val="none"/>
        </w:rPr>
        <w:t>Id.</w:t>
      </w:r>
    </w:p>
  </w:footnote>
  <w:footnote w:id="43">
    <w:p w14:paraId="522F8DF1" w14:textId="77777777" w:rsidR="00AA34B8" w:rsidRPr="00CF4EE3" w:rsidRDefault="00AA34B8" w:rsidP="00CF4EE3">
      <w:pPr>
        <w:pStyle w:val="FootnoteText"/>
        <w:rPr>
          <w:rFonts w:cs="Times New Roman"/>
        </w:rPr>
      </w:pPr>
      <w:r w:rsidRPr="00CF4EE3">
        <w:rPr>
          <w:rStyle w:val="FootnoteReference"/>
          <w:rFonts w:cs="Times New Roman"/>
        </w:rPr>
        <w:footnoteRef/>
      </w:r>
      <w:r w:rsidRPr="00CF4EE3">
        <w:rPr>
          <w:rFonts w:cs="Times New Roman"/>
        </w:rPr>
        <w:t xml:space="preserve"> </w:t>
      </w:r>
      <w:r w:rsidRPr="00CF4EE3">
        <w:rPr>
          <w:rFonts w:cs="Times New Roman"/>
          <w:i/>
        </w:rPr>
        <w:t>Id</w:t>
      </w:r>
      <w:r w:rsidRPr="00CF4EE3">
        <w:rPr>
          <w:rFonts w:cs="Times New Roman"/>
        </w:rPr>
        <w:t xml:space="preserve">; </w:t>
      </w:r>
      <w:r w:rsidR="0050034A" w:rsidRPr="00CF4EE3">
        <w:rPr>
          <w:rFonts w:cs="Times New Roman"/>
        </w:rPr>
        <w:t xml:space="preserve">Mayor’s Management Report FY2022, </w:t>
      </w:r>
      <w:r w:rsidR="0050034A" w:rsidRPr="00CF4EE3">
        <w:rPr>
          <w:rFonts w:cs="Times New Roman"/>
          <w:i/>
        </w:rPr>
        <w:t xml:space="preserve">available at </w:t>
      </w:r>
      <w:hyperlink r:id="rId30" w:history="1">
        <w:r w:rsidR="0050034A" w:rsidRPr="00CF4EE3">
          <w:rPr>
            <w:rStyle w:val="Hyperlink"/>
            <w:rFonts w:cs="Times New Roman"/>
          </w:rPr>
          <w:t>https://www.nyc.gov/assets/operations/downloads/pdf/mmr2022/2022_mmr.pdf</w:t>
        </w:r>
      </w:hyperlink>
      <w:r w:rsidR="0050034A" w:rsidRPr="00CF4EE3">
        <w:rPr>
          <w:rFonts w:cs="Times New Roman"/>
        </w:rPr>
        <w:t xml:space="preserve"> at 379.</w:t>
      </w:r>
    </w:p>
  </w:footnote>
  <w:footnote w:id="44">
    <w:p w14:paraId="05653FE7" w14:textId="77777777" w:rsidR="001F73AD" w:rsidRPr="00CF4EE3" w:rsidRDefault="001F73AD" w:rsidP="00CF4EE3">
      <w:pPr>
        <w:pStyle w:val="FootnoteText"/>
        <w:rPr>
          <w:rFonts w:cs="Times New Roman"/>
        </w:rPr>
      </w:pPr>
      <w:r w:rsidRPr="00CF4EE3">
        <w:rPr>
          <w:rStyle w:val="FootnoteReference"/>
          <w:rFonts w:cs="Times New Roman"/>
        </w:rPr>
        <w:footnoteRef/>
      </w:r>
      <w:r w:rsidRPr="00CF4EE3">
        <w:rPr>
          <w:rFonts w:cs="Times New Roman"/>
        </w:rPr>
        <w:t xml:space="preserve"> “Mayor’s Management Report: Preliminary Fiscal 2025” (Jan. 2025), </w:t>
      </w:r>
      <w:r w:rsidRPr="00CF4EE3">
        <w:rPr>
          <w:rFonts w:cs="Times New Roman"/>
          <w:i/>
        </w:rPr>
        <w:t xml:space="preserve">available at </w:t>
      </w:r>
      <w:hyperlink r:id="rId31">
        <w:r w:rsidRPr="00CF4EE3">
          <w:rPr>
            <w:rStyle w:val="Hyperlink"/>
            <w:rFonts w:cs="Times New Roman"/>
          </w:rPr>
          <w:t>https://www.nyc.gov/assets/operations/downloads/pdf/pmmr2025/2025_pmmr.pdf</w:t>
        </w:r>
      </w:hyperlink>
      <w:r w:rsidRPr="00CF4EE3">
        <w:rPr>
          <w:rStyle w:val="Hyperlink"/>
          <w:rFonts w:cs="Times New Roman"/>
          <w:color w:val="auto"/>
          <w:u w:val="none"/>
        </w:rPr>
        <w:t xml:space="preserve"> at 368.</w:t>
      </w:r>
    </w:p>
  </w:footnote>
  <w:footnote w:id="45">
    <w:p w14:paraId="1851433B" w14:textId="77777777" w:rsidR="1CEB5B50" w:rsidRPr="00CF4EE3" w:rsidRDefault="1CEB5B50" w:rsidP="00CF4EE3">
      <w:pPr>
        <w:spacing w:after="0"/>
        <w:rPr>
          <w:rFonts w:cs="Times New Roman"/>
          <w:sz w:val="20"/>
          <w:szCs w:val="20"/>
        </w:rPr>
      </w:pPr>
      <w:r w:rsidRPr="00CF4EE3">
        <w:rPr>
          <w:rStyle w:val="FootnoteReference"/>
          <w:rFonts w:cs="Times New Roman"/>
          <w:sz w:val="20"/>
          <w:szCs w:val="20"/>
        </w:rPr>
        <w:footnoteRef/>
      </w:r>
      <w:r w:rsidRPr="00CF4EE3">
        <w:rPr>
          <w:rFonts w:cs="Times New Roman"/>
          <w:sz w:val="20"/>
          <w:szCs w:val="20"/>
        </w:rPr>
        <w:t xml:space="preserve"> Legal Services NYC, Trapped in Danger: How NYCHA Puts the Lives of Gender Based Violence Survivors at Risk by Delaying Emergency Transfers, </w:t>
      </w:r>
      <w:r w:rsidRPr="00CF4EE3">
        <w:rPr>
          <w:rFonts w:cs="Times New Roman"/>
          <w:i/>
          <w:sz w:val="20"/>
          <w:szCs w:val="20"/>
        </w:rPr>
        <w:t>available at</w:t>
      </w:r>
      <w:r w:rsidRPr="00CF4EE3">
        <w:rPr>
          <w:rFonts w:eastAsia="Times New Roman" w:cs="Times New Roman"/>
          <w:sz w:val="20"/>
          <w:szCs w:val="20"/>
        </w:rPr>
        <w:t xml:space="preserve"> </w:t>
      </w:r>
      <w:hyperlink r:id="rId32" w:history="1">
        <w:r w:rsidR="001D2600" w:rsidRPr="00CF4EE3">
          <w:rPr>
            <w:rStyle w:val="Hyperlink"/>
            <w:rFonts w:cs="Times New Roman"/>
            <w:sz w:val="20"/>
            <w:szCs w:val="20"/>
          </w:rPr>
          <w:t>https://www.legalservicesnyc.org/news/new-report-nycha-traps-survivors-of-gender-based-violence-in-danger-by-delaying-emergency-transfers/</w:t>
        </w:r>
      </w:hyperlink>
      <w:r w:rsidR="001D2600">
        <w:rPr>
          <w:rFonts w:cs="Times New Roman"/>
          <w:sz w:val="20"/>
          <w:szCs w:val="20"/>
        </w:rPr>
        <w:t xml:space="preserve">. </w:t>
      </w:r>
    </w:p>
  </w:footnote>
  <w:footnote w:id="46">
    <w:p w14:paraId="008CFEC3" w14:textId="77777777" w:rsidR="1CEB5B50" w:rsidRPr="00CF4EE3" w:rsidRDefault="1CEB5B50" w:rsidP="00CF4EE3">
      <w:pPr>
        <w:spacing w:after="0"/>
        <w:rPr>
          <w:rFonts w:cs="Times New Roman"/>
          <w:sz w:val="20"/>
          <w:szCs w:val="20"/>
        </w:rPr>
      </w:pPr>
      <w:r w:rsidRPr="00CF4EE3">
        <w:rPr>
          <w:rStyle w:val="FootnoteReference"/>
          <w:rFonts w:cs="Times New Roman"/>
          <w:sz w:val="20"/>
          <w:szCs w:val="20"/>
        </w:rPr>
        <w:footnoteRef/>
      </w:r>
      <w:r w:rsidRPr="00CF4EE3">
        <w:rPr>
          <w:rFonts w:cs="Times New Roman"/>
          <w:sz w:val="20"/>
          <w:szCs w:val="20"/>
        </w:rPr>
        <w:t xml:space="preserve"> </w:t>
      </w:r>
      <w:r w:rsidR="001D2600" w:rsidRPr="00CF4EE3">
        <w:rPr>
          <w:rFonts w:cs="Times New Roman"/>
          <w:i/>
          <w:sz w:val="20"/>
          <w:szCs w:val="20"/>
        </w:rPr>
        <w:t>Id</w:t>
      </w:r>
      <w:r w:rsidR="001D2600">
        <w:rPr>
          <w:rFonts w:cs="Times New Roman"/>
          <w:sz w:val="20"/>
          <w:szCs w:val="20"/>
        </w:rPr>
        <w:t>.</w:t>
      </w:r>
    </w:p>
  </w:footnote>
  <w:footnote w:id="47">
    <w:p w14:paraId="3C162787" w14:textId="77777777" w:rsidR="10C35A16" w:rsidRPr="00CF4EE3" w:rsidRDefault="10C35A16" w:rsidP="00CF4EE3">
      <w:pPr>
        <w:spacing w:after="0"/>
        <w:rPr>
          <w:rFonts w:cs="Times New Roman"/>
          <w:sz w:val="20"/>
          <w:szCs w:val="20"/>
        </w:rPr>
      </w:pPr>
      <w:r w:rsidRPr="00CF4EE3">
        <w:rPr>
          <w:rStyle w:val="FootnoteReference"/>
          <w:rFonts w:cs="Times New Roman"/>
          <w:sz w:val="20"/>
          <w:szCs w:val="20"/>
        </w:rPr>
        <w:footnoteRef/>
      </w:r>
      <w:r w:rsidR="00EE356D">
        <w:rPr>
          <w:rFonts w:cs="Times New Roman"/>
          <w:sz w:val="20"/>
          <w:szCs w:val="20"/>
        </w:rPr>
        <w:t xml:space="preserve"> </w:t>
      </w:r>
      <w:r w:rsidR="00EE356D" w:rsidRPr="00CF4EE3">
        <w:rPr>
          <w:rFonts w:cs="Times New Roman"/>
          <w:i/>
          <w:sz w:val="20"/>
          <w:szCs w:val="20"/>
        </w:rPr>
        <w:t>Id</w:t>
      </w:r>
      <w:r w:rsidR="00EE356D">
        <w:rPr>
          <w:rFonts w:cs="Times New Roman"/>
          <w:sz w:val="20"/>
          <w:szCs w:val="20"/>
        </w:rPr>
        <w:t>.</w:t>
      </w:r>
    </w:p>
  </w:footnote>
  <w:footnote w:id="48">
    <w:p w14:paraId="38F731B9" w14:textId="77777777" w:rsidR="10C35A16" w:rsidRPr="00CF4EE3" w:rsidRDefault="10C35A16" w:rsidP="00CF4EE3">
      <w:pPr>
        <w:spacing w:after="0"/>
        <w:rPr>
          <w:rFonts w:cs="Times New Roman"/>
          <w:sz w:val="20"/>
          <w:szCs w:val="20"/>
        </w:rPr>
      </w:pPr>
      <w:r w:rsidRPr="00CF4EE3">
        <w:rPr>
          <w:rStyle w:val="FootnoteReference"/>
          <w:rFonts w:cs="Times New Roman"/>
          <w:sz w:val="20"/>
          <w:szCs w:val="20"/>
        </w:rPr>
        <w:footnoteRef/>
      </w:r>
      <w:r w:rsidRPr="00CF4EE3">
        <w:rPr>
          <w:rFonts w:cs="Times New Roman"/>
          <w:sz w:val="20"/>
          <w:szCs w:val="20"/>
        </w:rPr>
        <w:t xml:space="preserve"> NYCHA, InterPACT Transfers, </w:t>
      </w:r>
      <w:r w:rsidRPr="00CF4EE3">
        <w:rPr>
          <w:rFonts w:cs="Times New Roman"/>
          <w:i/>
          <w:sz w:val="20"/>
          <w:szCs w:val="20"/>
        </w:rPr>
        <w:t>available a</w:t>
      </w:r>
      <w:r w:rsidR="00EE356D">
        <w:rPr>
          <w:rFonts w:cs="Times New Roman"/>
          <w:i/>
          <w:sz w:val="20"/>
          <w:szCs w:val="20"/>
        </w:rPr>
        <w:t>t</w:t>
      </w:r>
      <w:r w:rsidRPr="00CF4EE3">
        <w:rPr>
          <w:rFonts w:cs="Times New Roman"/>
          <w:sz w:val="20"/>
          <w:szCs w:val="20"/>
        </w:rPr>
        <w:t xml:space="preserve"> </w:t>
      </w:r>
      <w:hyperlink r:id="rId33" w:history="1">
        <w:r w:rsidR="00EE356D" w:rsidRPr="00CF4EE3">
          <w:rPr>
            <w:rStyle w:val="Hyperlink"/>
            <w:rFonts w:cs="Times New Roman"/>
            <w:sz w:val="20"/>
            <w:szCs w:val="20"/>
          </w:rPr>
          <w:t>https://www.nyc.gov/site/nycha/about/pact/inter-pact-transfers.page</w:t>
        </w:r>
      </w:hyperlink>
      <w:r w:rsidR="00EE356D">
        <w:rPr>
          <w:rFonts w:cs="Times New Roman"/>
          <w:sz w:val="20"/>
          <w:szCs w:val="20"/>
        </w:rPr>
        <w:t xml:space="preserve">. </w:t>
      </w:r>
    </w:p>
  </w:footnote>
  <w:footnote w:id="49">
    <w:p w14:paraId="7E3B56AD" w14:textId="77777777" w:rsidR="10C35A16" w:rsidRPr="00CF4EE3" w:rsidRDefault="10C35A16" w:rsidP="00CF4EE3">
      <w:pPr>
        <w:spacing w:after="0"/>
        <w:rPr>
          <w:rFonts w:cs="Times New Roman"/>
          <w:sz w:val="20"/>
          <w:szCs w:val="20"/>
        </w:rPr>
      </w:pPr>
      <w:r w:rsidRPr="00CF4EE3">
        <w:rPr>
          <w:rStyle w:val="FootnoteReference"/>
          <w:rFonts w:cs="Times New Roman"/>
          <w:sz w:val="20"/>
          <w:szCs w:val="20"/>
        </w:rPr>
        <w:footnoteRef/>
      </w:r>
      <w:r w:rsidRPr="00CF4EE3">
        <w:rPr>
          <w:rFonts w:cs="Times New Roman"/>
          <w:sz w:val="20"/>
          <w:szCs w:val="20"/>
        </w:rPr>
        <w:t xml:space="preserve"> </w:t>
      </w:r>
      <w:r w:rsidR="00EE356D" w:rsidRPr="00CF4EE3">
        <w:rPr>
          <w:rFonts w:cs="Times New Roman"/>
          <w:i/>
          <w:sz w:val="20"/>
          <w:szCs w:val="20"/>
        </w:rPr>
        <w:t>Id</w:t>
      </w:r>
      <w:r w:rsidR="00EE356D">
        <w:rPr>
          <w:rFonts w:cs="Times New Roman"/>
          <w:sz w:val="20"/>
          <w:szCs w:val="20"/>
        </w:rPr>
        <w:t xml:space="preserve">. </w:t>
      </w:r>
    </w:p>
  </w:footnote>
  <w:footnote w:id="50">
    <w:p w14:paraId="45792E32" w14:textId="77777777" w:rsidR="10C35A16" w:rsidRPr="00CF4EE3" w:rsidRDefault="10C35A16" w:rsidP="00CF4EE3">
      <w:pPr>
        <w:shd w:val="clear" w:color="auto" w:fill="FFFFFF" w:themeFill="background1"/>
        <w:spacing w:after="0"/>
        <w:rPr>
          <w:rFonts w:cs="Times New Roman"/>
          <w:sz w:val="20"/>
          <w:szCs w:val="20"/>
        </w:rPr>
      </w:pPr>
      <w:r w:rsidRPr="00CF4EE3">
        <w:rPr>
          <w:rStyle w:val="FootnoteReference"/>
          <w:rFonts w:cs="Times New Roman"/>
          <w:sz w:val="20"/>
          <w:szCs w:val="20"/>
        </w:rPr>
        <w:footnoteRef/>
      </w:r>
      <w:r w:rsidRPr="00CF4EE3">
        <w:rPr>
          <w:rFonts w:cs="Times New Roman"/>
          <w:sz w:val="20"/>
          <w:szCs w:val="20"/>
        </w:rPr>
        <w:t xml:space="preserve"> New York City Comptroller, Comptroller Lander Unveils New Dashboard to Track Shelter Population, Eviction, Housing Vouchers, &amp; More, </w:t>
      </w:r>
      <w:r w:rsidRPr="00CF4EE3">
        <w:rPr>
          <w:rFonts w:cs="Times New Roman"/>
          <w:i/>
          <w:sz w:val="20"/>
          <w:szCs w:val="20"/>
        </w:rPr>
        <w:t>available at</w:t>
      </w:r>
      <w:r w:rsidRPr="00CF4EE3">
        <w:rPr>
          <w:rFonts w:cs="Times New Roman"/>
          <w:sz w:val="20"/>
          <w:szCs w:val="20"/>
        </w:rPr>
        <w:t xml:space="preserve">   </w:t>
      </w:r>
      <w:hyperlink r:id="rId34" w:history="1">
        <w:r w:rsidRPr="00CF4EE3">
          <w:rPr>
            <w:rStyle w:val="Hyperlink"/>
            <w:rFonts w:cs="Times New Roman"/>
            <w:sz w:val="20"/>
            <w:szCs w:val="20"/>
          </w:rPr>
          <w:t>https://comptroller.nyc.gov/newsroom/comptroller-lander-unveils-new-dashboard-to-track-shelter-population-eviction-housing-vouchers-more/</w:t>
        </w:r>
      </w:hyperlink>
      <w:r w:rsidRPr="00CF4EE3">
        <w:rPr>
          <w:rFonts w:cs="Times New Roman"/>
          <w:sz w:val="20"/>
          <w:szCs w:val="20"/>
        </w:rPr>
        <w:t xml:space="preserve"> and Brand, David and Karen Yi, Fewest shelter residents moving into NYCHA buildings in 10 years while vacancies soar, Gothamist, </w:t>
      </w:r>
      <w:r w:rsidRPr="00CF4EE3">
        <w:rPr>
          <w:rFonts w:cs="Times New Roman"/>
          <w:i/>
          <w:sz w:val="20"/>
          <w:szCs w:val="20"/>
        </w:rPr>
        <w:t>available at</w:t>
      </w:r>
      <w:r w:rsidRPr="00CF4EE3">
        <w:rPr>
          <w:rFonts w:cs="Times New Roman"/>
          <w:sz w:val="20"/>
          <w:szCs w:val="20"/>
        </w:rPr>
        <w:t xml:space="preserve"> </w:t>
      </w:r>
      <w:hyperlink r:id="rId35" w:history="1">
        <w:r w:rsidR="00AC79BF" w:rsidRPr="00CF4EE3">
          <w:rPr>
            <w:rStyle w:val="Hyperlink"/>
            <w:rFonts w:cs="Times New Roman"/>
            <w:sz w:val="20"/>
            <w:szCs w:val="20"/>
          </w:rPr>
          <w:t>https://gothamist.com/news/fewest-shelter-residents-moving-into-nycha-buildings-in-10-years-while-vacancies-soar</w:t>
        </w:r>
      </w:hyperlink>
      <w:r w:rsidR="00AC79BF">
        <w:rPr>
          <w:rFonts w:cs="Times New Roman"/>
          <w:sz w:val="20"/>
          <w:szCs w:val="20"/>
        </w:rPr>
        <w:t xml:space="preserve">. </w:t>
      </w:r>
    </w:p>
  </w:footnote>
  <w:footnote w:id="51">
    <w:p w14:paraId="54EE1E09" w14:textId="77777777" w:rsidR="10C35A16" w:rsidRPr="00CF4EE3" w:rsidRDefault="10C35A16" w:rsidP="00CF4EE3">
      <w:pPr>
        <w:spacing w:after="0"/>
        <w:rPr>
          <w:rFonts w:cs="Times New Roman"/>
          <w:sz w:val="20"/>
          <w:szCs w:val="20"/>
        </w:rPr>
      </w:pPr>
      <w:r w:rsidRPr="00CF4EE3">
        <w:rPr>
          <w:rStyle w:val="FootnoteReference"/>
          <w:rFonts w:cs="Times New Roman"/>
          <w:sz w:val="20"/>
          <w:szCs w:val="20"/>
        </w:rPr>
        <w:footnoteRef/>
      </w:r>
      <w:r w:rsidRPr="00CF4EE3">
        <w:rPr>
          <w:rFonts w:cs="Times New Roman"/>
          <w:sz w:val="20"/>
          <w:szCs w:val="20"/>
        </w:rPr>
        <w:t xml:space="preserve"> Brand, David and Karen Yi, Fewest shelter residents moving into NYCHA buildings in 10 years while vacancies soar, Gothamist, </w:t>
      </w:r>
      <w:r w:rsidRPr="00CF4EE3">
        <w:rPr>
          <w:rFonts w:cs="Times New Roman"/>
          <w:i/>
          <w:sz w:val="20"/>
          <w:szCs w:val="20"/>
        </w:rPr>
        <w:t>available at</w:t>
      </w:r>
      <w:r w:rsidRPr="00CF4EE3">
        <w:rPr>
          <w:rFonts w:cs="Times New Roman"/>
          <w:sz w:val="20"/>
          <w:szCs w:val="20"/>
        </w:rPr>
        <w:t xml:space="preserve"> </w:t>
      </w:r>
      <w:hyperlink r:id="rId36" w:history="1">
        <w:r w:rsidR="00AC79BF" w:rsidRPr="00CF4EE3">
          <w:rPr>
            <w:rStyle w:val="Hyperlink"/>
            <w:rFonts w:cs="Times New Roman"/>
            <w:sz w:val="20"/>
            <w:szCs w:val="20"/>
          </w:rPr>
          <w:t>https://gothamist.com/news/fewest-shelter-residents-moving-into-nycha-buildings-in-10-years-while-vacancies-soar</w:t>
        </w:r>
      </w:hyperlink>
      <w:r w:rsidR="00AC79BF">
        <w:rPr>
          <w:rFonts w:cs="Times New Roman"/>
          <w:sz w:val="20"/>
          <w:szCs w:val="20"/>
        </w:rPr>
        <w:t xml:space="preserve">. </w:t>
      </w:r>
      <w:r w:rsidRPr="00CF4EE3">
        <w:rPr>
          <w:rFonts w:cs="Times New Roman"/>
          <w:sz w:val="20"/>
          <w:szCs w:val="20"/>
        </w:rPr>
        <w:t xml:space="preserve"> </w:t>
      </w:r>
    </w:p>
    <w:p w14:paraId="4E03325C" w14:textId="77777777" w:rsidR="10C35A16" w:rsidRPr="00CF4EE3" w:rsidRDefault="10C35A16" w:rsidP="00CF4EE3">
      <w:pPr>
        <w:spacing w:after="0"/>
        <w:rPr>
          <w:rFonts w:cs="Times New Roman"/>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524A7" w14:textId="77777777" w:rsidR="00826104" w:rsidRDefault="00826104">
    <w:pPr>
      <w:pStyle w:val="Header"/>
    </w:pPr>
    <w:r>
      <w:rPr>
        <w:noProof/>
      </w:rPr>
      <mc:AlternateContent>
        <mc:Choice Requires="wps">
          <w:drawing>
            <wp:anchor distT="0" distB="0" distL="114300" distR="114300" simplePos="0" relativeHeight="251659264" behindDoc="1" locked="0" layoutInCell="0" allowOverlap="1" wp14:anchorId="482BB6DE" wp14:editId="5013343F">
              <wp:simplePos x="0" y="0"/>
              <wp:positionH relativeFrom="margin">
                <wp:align>center</wp:align>
              </wp:positionH>
              <wp:positionV relativeFrom="margin">
                <wp:align>center</wp:align>
              </wp:positionV>
              <wp:extent cx="5985510" cy="2393950"/>
              <wp:effectExtent l="0" t="1524000" r="0" b="13779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25503" w14:textId="77777777" w:rsidR="00826104" w:rsidRDefault="00826104" w:rsidP="00826104">
                          <w:pPr>
                            <w:pStyle w:val="NormalWeb"/>
                            <w:spacing w:after="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82BB6DE" id="_x0000_t202" coordsize="21600,21600" o:spt="202" path="m,l,21600r21600,l21600,xe">
              <v:stroke joinstyle="miter"/>
              <v:path gradientshapeok="t" o:connecttype="rect"/>
            </v:shapetype>
            <v:shape id="Text Box 5" o:spid="_x0000_s1026"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625503" w14:textId="77777777" w:rsidR="00826104" w:rsidRDefault="00826104" w:rsidP="00826104">
                    <w:pPr>
                      <w:pStyle w:val="NormalWeb"/>
                      <w:spacing w:after="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AFA27" w14:textId="77777777" w:rsidR="00826104" w:rsidRDefault="00826104">
    <w:pPr>
      <w:pStyle w:val="Header"/>
    </w:pPr>
    <w:r>
      <w:rPr>
        <w:noProof/>
      </w:rPr>
      <mc:AlternateContent>
        <mc:Choice Requires="wps">
          <w:drawing>
            <wp:anchor distT="0" distB="0" distL="114300" distR="114300" simplePos="0" relativeHeight="251660288" behindDoc="1" locked="0" layoutInCell="0" allowOverlap="1" wp14:anchorId="0BC82750" wp14:editId="1898D40C">
              <wp:simplePos x="0" y="0"/>
              <wp:positionH relativeFrom="margin">
                <wp:align>center</wp:align>
              </wp:positionH>
              <wp:positionV relativeFrom="margin">
                <wp:align>center</wp:align>
              </wp:positionV>
              <wp:extent cx="5985510" cy="2393950"/>
              <wp:effectExtent l="0" t="1524000" r="0" b="13779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B3755A7" w14:textId="77777777" w:rsidR="00826104" w:rsidRDefault="00826104" w:rsidP="00826104">
                          <w:pPr>
                            <w:pStyle w:val="NormalWeb"/>
                            <w:spacing w:after="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C82750" id="_x0000_t202" coordsize="21600,21600" o:spt="202" path="m,l,21600r21600,l21600,xe">
              <v:stroke joinstyle="miter"/>
              <v:path gradientshapeok="t" o:connecttype="rect"/>
            </v:shapetype>
            <v:shape id="Text Box 2" o:spid="_x0000_s1027" type="#_x0000_t202" style="position:absolute;margin-left:0;margin-top:0;width:471.3pt;height:188.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1B3755A7" w14:textId="77777777" w:rsidR="00826104" w:rsidRDefault="00826104" w:rsidP="00826104">
                    <w:pPr>
                      <w:pStyle w:val="NormalWeb"/>
                      <w:spacing w:after="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A5D78"/>
    <w:multiLevelType w:val="hybridMultilevel"/>
    <w:tmpl w:val="9DCC2BEE"/>
    <w:lvl w:ilvl="0" w:tplc="FB96313E">
      <w:start w:val="1"/>
      <w:numFmt w:val="upperRoman"/>
      <w:lvlText w:val="%1."/>
      <w:lvlJc w:val="left"/>
      <w:pPr>
        <w:ind w:left="1080" w:hanging="72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E0E06"/>
    <w:multiLevelType w:val="hybridMultilevel"/>
    <w:tmpl w:val="B266AB46"/>
    <w:lvl w:ilvl="0" w:tplc="198EC778">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6816D9"/>
    <w:multiLevelType w:val="hybridMultilevel"/>
    <w:tmpl w:val="C92893DC"/>
    <w:lvl w:ilvl="0" w:tplc="0B6C6F68">
      <w:start w:val="1"/>
      <w:numFmt w:val="upperRoman"/>
      <w:lvlText w:val="%1."/>
      <w:lvlJc w:val="left"/>
      <w:pPr>
        <w:ind w:left="720" w:hanging="72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4F54F28"/>
    <w:multiLevelType w:val="hybridMultilevel"/>
    <w:tmpl w:val="FC3E6E42"/>
    <w:lvl w:ilvl="0" w:tplc="04102BEA">
      <w:start w:val="1"/>
      <w:numFmt w:val="decimal"/>
      <w:lvlText w:val="%1."/>
      <w:lvlJc w:val="left"/>
      <w:pPr>
        <w:ind w:left="2760" w:hanging="9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1754DDF"/>
    <w:multiLevelType w:val="hybridMultilevel"/>
    <w:tmpl w:val="78003940"/>
    <w:lvl w:ilvl="0" w:tplc="C7C6ABA2">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126E50"/>
    <w:multiLevelType w:val="hybridMultilevel"/>
    <w:tmpl w:val="60A2965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417578B"/>
    <w:multiLevelType w:val="hybridMultilevel"/>
    <w:tmpl w:val="3FE24AC6"/>
    <w:lvl w:ilvl="0" w:tplc="F0EE70E8">
      <w:start w:val="1"/>
      <w:numFmt w:val="upperLetter"/>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FB879F9"/>
    <w:multiLevelType w:val="hybridMultilevel"/>
    <w:tmpl w:val="3748375C"/>
    <w:lvl w:ilvl="0" w:tplc="B338E7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5"/>
  </w:num>
  <w:num w:numId="4">
    <w:abstractNumId w:val="0"/>
  </w:num>
  <w:num w:numId="5">
    <w:abstractNumId w:val="4"/>
  </w:num>
  <w:num w:numId="6">
    <w:abstractNumId w:val="6"/>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391"/>
    <w:rsid w:val="000129E1"/>
    <w:rsid w:val="000144D3"/>
    <w:rsid w:val="00017C68"/>
    <w:rsid w:val="00020B6C"/>
    <w:rsid w:val="0003097F"/>
    <w:rsid w:val="000362DD"/>
    <w:rsid w:val="00052E4C"/>
    <w:rsid w:val="00057FF8"/>
    <w:rsid w:val="00064346"/>
    <w:rsid w:val="00071A83"/>
    <w:rsid w:val="00074BCA"/>
    <w:rsid w:val="000779ED"/>
    <w:rsid w:val="000909AB"/>
    <w:rsid w:val="00091145"/>
    <w:rsid w:val="00091C86"/>
    <w:rsid w:val="00095094"/>
    <w:rsid w:val="000A052F"/>
    <w:rsid w:val="000A4356"/>
    <w:rsid w:val="000A6E32"/>
    <w:rsid w:val="000B5BF9"/>
    <w:rsid w:val="000C2E52"/>
    <w:rsid w:val="000C314D"/>
    <w:rsid w:val="000C3DD2"/>
    <w:rsid w:val="000C3DDE"/>
    <w:rsid w:val="000C6F21"/>
    <w:rsid w:val="000E7099"/>
    <w:rsid w:val="000F184D"/>
    <w:rsid w:val="000F3DBD"/>
    <w:rsid w:val="0011219D"/>
    <w:rsid w:val="00120243"/>
    <w:rsid w:val="001367EF"/>
    <w:rsid w:val="001424B1"/>
    <w:rsid w:val="00145EC2"/>
    <w:rsid w:val="00146414"/>
    <w:rsid w:val="001466F7"/>
    <w:rsid w:val="00150C5C"/>
    <w:rsid w:val="00152013"/>
    <w:rsid w:val="00161663"/>
    <w:rsid w:val="001715AA"/>
    <w:rsid w:val="00173A12"/>
    <w:rsid w:val="00173F75"/>
    <w:rsid w:val="001751D3"/>
    <w:rsid w:val="0018465F"/>
    <w:rsid w:val="00192B79"/>
    <w:rsid w:val="00195671"/>
    <w:rsid w:val="001A3A0B"/>
    <w:rsid w:val="001A3DFE"/>
    <w:rsid w:val="001C178C"/>
    <w:rsid w:val="001C7AFC"/>
    <w:rsid w:val="001C7E5A"/>
    <w:rsid w:val="001D1EB1"/>
    <w:rsid w:val="001D21A3"/>
    <w:rsid w:val="001D2600"/>
    <w:rsid w:val="001D316E"/>
    <w:rsid w:val="001E00E5"/>
    <w:rsid w:val="001F73AD"/>
    <w:rsid w:val="001F779C"/>
    <w:rsid w:val="00211B9C"/>
    <w:rsid w:val="002135DA"/>
    <w:rsid w:val="00221CEE"/>
    <w:rsid w:val="00234E22"/>
    <w:rsid w:val="00235F9B"/>
    <w:rsid w:val="00252131"/>
    <w:rsid w:val="00253757"/>
    <w:rsid w:val="00256C4F"/>
    <w:rsid w:val="00260326"/>
    <w:rsid w:val="00263320"/>
    <w:rsid w:val="002650D4"/>
    <w:rsid w:val="00274684"/>
    <w:rsid w:val="002A2633"/>
    <w:rsid w:val="002A3064"/>
    <w:rsid w:val="002B339F"/>
    <w:rsid w:val="002B38CD"/>
    <w:rsid w:val="002C1784"/>
    <w:rsid w:val="002C3270"/>
    <w:rsid w:val="002C50C3"/>
    <w:rsid w:val="002E56BA"/>
    <w:rsid w:val="002EB008"/>
    <w:rsid w:val="00304FB8"/>
    <w:rsid w:val="00325C8C"/>
    <w:rsid w:val="00347021"/>
    <w:rsid w:val="00350AD9"/>
    <w:rsid w:val="0035751F"/>
    <w:rsid w:val="00363571"/>
    <w:rsid w:val="0037507D"/>
    <w:rsid w:val="00375337"/>
    <w:rsid w:val="00385E4C"/>
    <w:rsid w:val="00391E48"/>
    <w:rsid w:val="00394D9D"/>
    <w:rsid w:val="003A2E55"/>
    <w:rsid w:val="003B76BF"/>
    <w:rsid w:val="003B76EC"/>
    <w:rsid w:val="003C0F44"/>
    <w:rsid w:val="003C2B3B"/>
    <w:rsid w:val="003D4702"/>
    <w:rsid w:val="003E4B82"/>
    <w:rsid w:val="003E4C0D"/>
    <w:rsid w:val="003F6C2C"/>
    <w:rsid w:val="00404391"/>
    <w:rsid w:val="00404446"/>
    <w:rsid w:val="00404B35"/>
    <w:rsid w:val="00407106"/>
    <w:rsid w:val="00427FF2"/>
    <w:rsid w:val="00431EC7"/>
    <w:rsid w:val="004335FC"/>
    <w:rsid w:val="00451A7B"/>
    <w:rsid w:val="00452D05"/>
    <w:rsid w:val="0045713E"/>
    <w:rsid w:val="0047244C"/>
    <w:rsid w:val="004A1CA8"/>
    <w:rsid w:val="004A78E9"/>
    <w:rsid w:val="004B5028"/>
    <w:rsid w:val="004B5D1E"/>
    <w:rsid w:val="004C05EC"/>
    <w:rsid w:val="004C52F9"/>
    <w:rsid w:val="004D1DC2"/>
    <w:rsid w:val="004E5D6B"/>
    <w:rsid w:val="004F25C5"/>
    <w:rsid w:val="004F34CB"/>
    <w:rsid w:val="004F429F"/>
    <w:rsid w:val="004F4745"/>
    <w:rsid w:val="0050034A"/>
    <w:rsid w:val="00506A8F"/>
    <w:rsid w:val="00506F09"/>
    <w:rsid w:val="005075DF"/>
    <w:rsid w:val="00520DA4"/>
    <w:rsid w:val="00536518"/>
    <w:rsid w:val="0054535B"/>
    <w:rsid w:val="00545D6D"/>
    <w:rsid w:val="00554432"/>
    <w:rsid w:val="00563F53"/>
    <w:rsid w:val="0057238E"/>
    <w:rsid w:val="00572FE9"/>
    <w:rsid w:val="005926BD"/>
    <w:rsid w:val="005944F7"/>
    <w:rsid w:val="005A2C6F"/>
    <w:rsid w:val="005A66FE"/>
    <w:rsid w:val="005C1DB7"/>
    <w:rsid w:val="005D7DBB"/>
    <w:rsid w:val="005E0FB9"/>
    <w:rsid w:val="005E59D5"/>
    <w:rsid w:val="005F2FF0"/>
    <w:rsid w:val="005F364C"/>
    <w:rsid w:val="005F66C4"/>
    <w:rsid w:val="005F7755"/>
    <w:rsid w:val="005F7B71"/>
    <w:rsid w:val="006007E9"/>
    <w:rsid w:val="00607DFA"/>
    <w:rsid w:val="00614E4C"/>
    <w:rsid w:val="00626218"/>
    <w:rsid w:val="00631F88"/>
    <w:rsid w:val="00666167"/>
    <w:rsid w:val="006733C1"/>
    <w:rsid w:val="00674448"/>
    <w:rsid w:val="00684B80"/>
    <w:rsid w:val="006A3667"/>
    <w:rsid w:val="006C0F3A"/>
    <w:rsid w:val="006C13CF"/>
    <w:rsid w:val="006D362E"/>
    <w:rsid w:val="006D4FC8"/>
    <w:rsid w:val="006E25BC"/>
    <w:rsid w:val="00701452"/>
    <w:rsid w:val="00703A57"/>
    <w:rsid w:val="00703B97"/>
    <w:rsid w:val="00706C1F"/>
    <w:rsid w:val="00722DD4"/>
    <w:rsid w:val="007275E7"/>
    <w:rsid w:val="007453A1"/>
    <w:rsid w:val="00745536"/>
    <w:rsid w:val="007553A5"/>
    <w:rsid w:val="00760542"/>
    <w:rsid w:val="00764A0C"/>
    <w:rsid w:val="0078686C"/>
    <w:rsid w:val="0079425B"/>
    <w:rsid w:val="007B322F"/>
    <w:rsid w:val="007C3B8F"/>
    <w:rsid w:val="007C50E4"/>
    <w:rsid w:val="007C5EFD"/>
    <w:rsid w:val="007D55B7"/>
    <w:rsid w:val="007D562D"/>
    <w:rsid w:val="007E71AD"/>
    <w:rsid w:val="007F1554"/>
    <w:rsid w:val="008004FC"/>
    <w:rsid w:val="00807E95"/>
    <w:rsid w:val="00817D31"/>
    <w:rsid w:val="00823D20"/>
    <w:rsid w:val="00826104"/>
    <w:rsid w:val="0083184E"/>
    <w:rsid w:val="008437B6"/>
    <w:rsid w:val="00845158"/>
    <w:rsid w:val="00849550"/>
    <w:rsid w:val="008502BA"/>
    <w:rsid w:val="008513CF"/>
    <w:rsid w:val="00853BFA"/>
    <w:rsid w:val="00854E8C"/>
    <w:rsid w:val="0085651C"/>
    <w:rsid w:val="00861633"/>
    <w:rsid w:val="00863B8F"/>
    <w:rsid w:val="00885C98"/>
    <w:rsid w:val="00887431"/>
    <w:rsid w:val="00890F32"/>
    <w:rsid w:val="008A7C1C"/>
    <w:rsid w:val="008B110B"/>
    <w:rsid w:val="008D457F"/>
    <w:rsid w:val="008D5DB3"/>
    <w:rsid w:val="008D632B"/>
    <w:rsid w:val="008D67E8"/>
    <w:rsid w:val="008D7A4E"/>
    <w:rsid w:val="008E01A4"/>
    <w:rsid w:val="008E47B3"/>
    <w:rsid w:val="0090603E"/>
    <w:rsid w:val="00906E11"/>
    <w:rsid w:val="0091124A"/>
    <w:rsid w:val="00911ADB"/>
    <w:rsid w:val="00914E45"/>
    <w:rsid w:val="009227C6"/>
    <w:rsid w:val="009418CD"/>
    <w:rsid w:val="00960A8B"/>
    <w:rsid w:val="0099421D"/>
    <w:rsid w:val="009A6267"/>
    <w:rsid w:val="009B175A"/>
    <w:rsid w:val="009B215F"/>
    <w:rsid w:val="009B2C46"/>
    <w:rsid w:val="009B5AE2"/>
    <w:rsid w:val="009C02D4"/>
    <w:rsid w:val="009C216A"/>
    <w:rsid w:val="009E00C3"/>
    <w:rsid w:val="009E2C6A"/>
    <w:rsid w:val="009E5CFE"/>
    <w:rsid w:val="00A02B1B"/>
    <w:rsid w:val="00A06A2C"/>
    <w:rsid w:val="00A12782"/>
    <w:rsid w:val="00A15B23"/>
    <w:rsid w:val="00A314A5"/>
    <w:rsid w:val="00A405BC"/>
    <w:rsid w:val="00A4061C"/>
    <w:rsid w:val="00A453AC"/>
    <w:rsid w:val="00A51A8F"/>
    <w:rsid w:val="00A51D74"/>
    <w:rsid w:val="00A5220F"/>
    <w:rsid w:val="00A536F1"/>
    <w:rsid w:val="00A53E5E"/>
    <w:rsid w:val="00A54317"/>
    <w:rsid w:val="00A56143"/>
    <w:rsid w:val="00A7143C"/>
    <w:rsid w:val="00A97C1C"/>
    <w:rsid w:val="00AA34B8"/>
    <w:rsid w:val="00AB6CFA"/>
    <w:rsid w:val="00AC34AB"/>
    <w:rsid w:val="00AC79BF"/>
    <w:rsid w:val="00AD351A"/>
    <w:rsid w:val="00AF7D86"/>
    <w:rsid w:val="00B04802"/>
    <w:rsid w:val="00B04C28"/>
    <w:rsid w:val="00B10772"/>
    <w:rsid w:val="00B133FF"/>
    <w:rsid w:val="00B155CE"/>
    <w:rsid w:val="00B34195"/>
    <w:rsid w:val="00B4001A"/>
    <w:rsid w:val="00B52F15"/>
    <w:rsid w:val="00B55D35"/>
    <w:rsid w:val="00B645CA"/>
    <w:rsid w:val="00B66F4B"/>
    <w:rsid w:val="00B7431C"/>
    <w:rsid w:val="00B83548"/>
    <w:rsid w:val="00B93068"/>
    <w:rsid w:val="00B9682E"/>
    <w:rsid w:val="00B97205"/>
    <w:rsid w:val="00BA0F6C"/>
    <w:rsid w:val="00BA161D"/>
    <w:rsid w:val="00BA7A19"/>
    <w:rsid w:val="00BB66B7"/>
    <w:rsid w:val="00BC23C4"/>
    <w:rsid w:val="00BC4A58"/>
    <w:rsid w:val="00BD2F50"/>
    <w:rsid w:val="00BD7D0F"/>
    <w:rsid w:val="00BE4A05"/>
    <w:rsid w:val="00BE790E"/>
    <w:rsid w:val="00C05F93"/>
    <w:rsid w:val="00C1779F"/>
    <w:rsid w:val="00C22AB7"/>
    <w:rsid w:val="00C30807"/>
    <w:rsid w:val="00C325D6"/>
    <w:rsid w:val="00C42B14"/>
    <w:rsid w:val="00C45C1F"/>
    <w:rsid w:val="00C55545"/>
    <w:rsid w:val="00C6396F"/>
    <w:rsid w:val="00C7021B"/>
    <w:rsid w:val="00C7645A"/>
    <w:rsid w:val="00CC0CC7"/>
    <w:rsid w:val="00CF4EE3"/>
    <w:rsid w:val="00D02819"/>
    <w:rsid w:val="00D03FF8"/>
    <w:rsid w:val="00D1478C"/>
    <w:rsid w:val="00D202D0"/>
    <w:rsid w:val="00D50BCB"/>
    <w:rsid w:val="00D5187B"/>
    <w:rsid w:val="00D53C4A"/>
    <w:rsid w:val="00D637E1"/>
    <w:rsid w:val="00D71335"/>
    <w:rsid w:val="00D75C9E"/>
    <w:rsid w:val="00D774D7"/>
    <w:rsid w:val="00D94863"/>
    <w:rsid w:val="00D94912"/>
    <w:rsid w:val="00DA29B1"/>
    <w:rsid w:val="00DA6A96"/>
    <w:rsid w:val="00DB2048"/>
    <w:rsid w:val="00DD316B"/>
    <w:rsid w:val="00DD4480"/>
    <w:rsid w:val="00DF5627"/>
    <w:rsid w:val="00E03005"/>
    <w:rsid w:val="00E0495C"/>
    <w:rsid w:val="00E0501E"/>
    <w:rsid w:val="00E05DC3"/>
    <w:rsid w:val="00E10360"/>
    <w:rsid w:val="00E155F2"/>
    <w:rsid w:val="00E16B0E"/>
    <w:rsid w:val="00E17419"/>
    <w:rsid w:val="00E21A95"/>
    <w:rsid w:val="00E30404"/>
    <w:rsid w:val="00E32971"/>
    <w:rsid w:val="00E50D6A"/>
    <w:rsid w:val="00E5442E"/>
    <w:rsid w:val="00E54F59"/>
    <w:rsid w:val="00E67DCD"/>
    <w:rsid w:val="00E70DFB"/>
    <w:rsid w:val="00E73FF4"/>
    <w:rsid w:val="00E82E44"/>
    <w:rsid w:val="00E8328A"/>
    <w:rsid w:val="00E93DDE"/>
    <w:rsid w:val="00EA20B1"/>
    <w:rsid w:val="00EA549E"/>
    <w:rsid w:val="00EB6D2F"/>
    <w:rsid w:val="00EC1F47"/>
    <w:rsid w:val="00EC3ACC"/>
    <w:rsid w:val="00EE28BF"/>
    <w:rsid w:val="00EE2934"/>
    <w:rsid w:val="00EE356D"/>
    <w:rsid w:val="00EF37DB"/>
    <w:rsid w:val="00EF7AFE"/>
    <w:rsid w:val="00F36952"/>
    <w:rsid w:val="00F45AC3"/>
    <w:rsid w:val="00F7002B"/>
    <w:rsid w:val="00F742AF"/>
    <w:rsid w:val="00F747A0"/>
    <w:rsid w:val="00F752B1"/>
    <w:rsid w:val="00F77378"/>
    <w:rsid w:val="00F8009F"/>
    <w:rsid w:val="00F90CB9"/>
    <w:rsid w:val="00FB0137"/>
    <w:rsid w:val="00FC3149"/>
    <w:rsid w:val="00FC79B1"/>
    <w:rsid w:val="00FD6673"/>
    <w:rsid w:val="01A99DD0"/>
    <w:rsid w:val="01ADF43D"/>
    <w:rsid w:val="01D69A45"/>
    <w:rsid w:val="01D6D6FD"/>
    <w:rsid w:val="01E3E739"/>
    <w:rsid w:val="026A28C1"/>
    <w:rsid w:val="02728533"/>
    <w:rsid w:val="02D0E784"/>
    <w:rsid w:val="02D26FB4"/>
    <w:rsid w:val="03513C22"/>
    <w:rsid w:val="0356A114"/>
    <w:rsid w:val="041579B9"/>
    <w:rsid w:val="04664CD0"/>
    <w:rsid w:val="05664D92"/>
    <w:rsid w:val="05A9F634"/>
    <w:rsid w:val="05D7D697"/>
    <w:rsid w:val="066A430C"/>
    <w:rsid w:val="06820ED7"/>
    <w:rsid w:val="06A1C7DF"/>
    <w:rsid w:val="07F6F6DC"/>
    <w:rsid w:val="08494DEF"/>
    <w:rsid w:val="08CAF878"/>
    <w:rsid w:val="09533AC9"/>
    <w:rsid w:val="0A038EC4"/>
    <w:rsid w:val="0A408C1D"/>
    <w:rsid w:val="0AA88C3B"/>
    <w:rsid w:val="0AE4EAB8"/>
    <w:rsid w:val="0B17B177"/>
    <w:rsid w:val="0B1AAEA9"/>
    <w:rsid w:val="0B3B0DBB"/>
    <w:rsid w:val="0B65CE51"/>
    <w:rsid w:val="0B7024B4"/>
    <w:rsid w:val="0B968388"/>
    <w:rsid w:val="0B9D6C58"/>
    <w:rsid w:val="0BC7FBC6"/>
    <w:rsid w:val="0C2690D4"/>
    <w:rsid w:val="0C56B96A"/>
    <w:rsid w:val="0C686C46"/>
    <w:rsid w:val="0CEA4167"/>
    <w:rsid w:val="0D6DBB70"/>
    <w:rsid w:val="0E6934CC"/>
    <w:rsid w:val="0F400399"/>
    <w:rsid w:val="0F86A740"/>
    <w:rsid w:val="0F8A0DD2"/>
    <w:rsid w:val="0FAEA6FC"/>
    <w:rsid w:val="10404090"/>
    <w:rsid w:val="10C35A16"/>
    <w:rsid w:val="11DE8288"/>
    <w:rsid w:val="11EA5993"/>
    <w:rsid w:val="1243229E"/>
    <w:rsid w:val="12598350"/>
    <w:rsid w:val="127125CF"/>
    <w:rsid w:val="129E6037"/>
    <w:rsid w:val="12BAD0C0"/>
    <w:rsid w:val="13A44DD9"/>
    <w:rsid w:val="13A8B49B"/>
    <w:rsid w:val="13BE1748"/>
    <w:rsid w:val="13C3E5B2"/>
    <w:rsid w:val="13D77A19"/>
    <w:rsid w:val="147004A5"/>
    <w:rsid w:val="1473A25D"/>
    <w:rsid w:val="14EAC58D"/>
    <w:rsid w:val="1553A1BB"/>
    <w:rsid w:val="155945F0"/>
    <w:rsid w:val="15EBD187"/>
    <w:rsid w:val="1639A77D"/>
    <w:rsid w:val="172EBD1C"/>
    <w:rsid w:val="175620EE"/>
    <w:rsid w:val="17DF87BD"/>
    <w:rsid w:val="17EB3F07"/>
    <w:rsid w:val="18020A02"/>
    <w:rsid w:val="183C3BB8"/>
    <w:rsid w:val="18490116"/>
    <w:rsid w:val="18BBF0B5"/>
    <w:rsid w:val="18BF87BD"/>
    <w:rsid w:val="1915E838"/>
    <w:rsid w:val="19D204C4"/>
    <w:rsid w:val="19FD4894"/>
    <w:rsid w:val="1AC244DC"/>
    <w:rsid w:val="1AE99FEC"/>
    <w:rsid w:val="1B082CB1"/>
    <w:rsid w:val="1B3B7E32"/>
    <w:rsid w:val="1B9860EE"/>
    <w:rsid w:val="1BB19F7D"/>
    <w:rsid w:val="1BD6D831"/>
    <w:rsid w:val="1BE0CC58"/>
    <w:rsid w:val="1C075DC4"/>
    <w:rsid w:val="1C83D95E"/>
    <w:rsid w:val="1CEB5B50"/>
    <w:rsid w:val="1CEC0813"/>
    <w:rsid w:val="1CEC5C3E"/>
    <w:rsid w:val="1D29350B"/>
    <w:rsid w:val="1D8B19F1"/>
    <w:rsid w:val="1D8CF0E4"/>
    <w:rsid w:val="1DA3D2A0"/>
    <w:rsid w:val="1DE2DD99"/>
    <w:rsid w:val="1E0E0D07"/>
    <w:rsid w:val="1E324AC5"/>
    <w:rsid w:val="1F068625"/>
    <w:rsid w:val="20E13B69"/>
    <w:rsid w:val="21172B08"/>
    <w:rsid w:val="2123C50E"/>
    <w:rsid w:val="21457D37"/>
    <w:rsid w:val="220F18E8"/>
    <w:rsid w:val="2214C111"/>
    <w:rsid w:val="223F46B5"/>
    <w:rsid w:val="22A9AACC"/>
    <w:rsid w:val="22C719BD"/>
    <w:rsid w:val="22FC5A91"/>
    <w:rsid w:val="2319235B"/>
    <w:rsid w:val="234D007B"/>
    <w:rsid w:val="2381F9DF"/>
    <w:rsid w:val="23847F5B"/>
    <w:rsid w:val="23E47255"/>
    <w:rsid w:val="24D2CC46"/>
    <w:rsid w:val="24EEEBAF"/>
    <w:rsid w:val="258A6292"/>
    <w:rsid w:val="25EE879E"/>
    <w:rsid w:val="265881C0"/>
    <w:rsid w:val="266C5300"/>
    <w:rsid w:val="2794DD0A"/>
    <w:rsid w:val="28268C43"/>
    <w:rsid w:val="284BFD72"/>
    <w:rsid w:val="287BCF7B"/>
    <w:rsid w:val="2909725B"/>
    <w:rsid w:val="2937A11D"/>
    <w:rsid w:val="297BB04A"/>
    <w:rsid w:val="2A351EF9"/>
    <w:rsid w:val="2AE1B4C4"/>
    <w:rsid w:val="2AFF0B63"/>
    <w:rsid w:val="2B8B997A"/>
    <w:rsid w:val="2B8E47E2"/>
    <w:rsid w:val="2C93376D"/>
    <w:rsid w:val="2CBD2E7F"/>
    <w:rsid w:val="2CDB9017"/>
    <w:rsid w:val="2D1102AE"/>
    <w:rsid w:val="2D54F916"/>
    <w:rsid w:val="2E5F660D"/>
    <w:rsid w:val="2E980B83"/>
    <w:rsid w:val="2EB4436F"/>
    <w:rsid w:val="2F4EBDB6"/>
    <w:rsid w:val="2F898344"/>
    <w:rsid w:val="2F8CD1D6"/>
    <w:rsid w:val="30024C71"/>
    <w:rsid w:val="300AF157"/>
    <w:rsid w:val="306061BC"/>
    <w:rsid w:val="31041B04"/>
    <w:rsid w:val="31390B78"/>
    <w:rsid w:val="31441561"/>
    <w:rsid w:val="3151B5AF"/>
    <w:rsid w:val="316491FA"/>
    <w:rsid w:val="316AE31D"/>
    <w:rsid w:val="319AF487"/>
    <w:rsid w:val="322560DA"/>
    <w:rsid w:val="329640F6"/>
    <w:rsid w:val="329891CE"/>
    <w:rsid w:val="32B26672"/>
    <w:rsid w:val="333701B3"/>
    <w:rsid w:val="343CFADD"/>
    <w:rsid w:val="34A1CC05"/>
    <w:rsid w:val="35099AAD"/>
    <w:rsid w:val="350A2ECC"/>
    <w:rsid w:val="36706E63"/>
    <w:rsid w:val="3740E771"/>
    <w:rsid w:val="379EBFBE"/>
    <w:rsid w:val="37BC1E98"/>
    <w:rsid w:val="38151DE2"/>
    <w:rsid w:val="38D631BC"/>
    <w:rsid w:val="38DEE6D7"/>
    <w:rsid w:val="39072DB9"/>
    <w:rsid w:val="3915242A"/>
    <w:rsid w:val="39FA69BD"/>
    <w:rsid w:val="3A1D46ED"/>
    <w:rsid w:val="3A679C36"/>
    <w:rsid w:val="3B225E5C"/>
    <w:rsid w:val="3B322DE3"/>
    <w:rsid w:val="3B38A583"/>
    <w:rsid w:val="3CF7451A"/>
    <w:rsid w:val="3D6AC44E"/>
    <w:rsid w:val="3D9F2B11"/>
    <w:rsid w:val="3DCE1D0C"/>
    <w:rsid w:val="3E1B6372"/>
    <w:rsid w:val="3EAAB45C"/>
    <w:rsid w:val="3F590375"/>
    <w:rsid w:val="3FDB53AB"/>
    <w:rsid w:val="3FE9B2A1"/>
    <w:rsid w:val="403420CC"/>
    <w:rsid w:val="405CEEC9"/>
    <w:rsid w:val="4069465B"/>
    <w:rsid w:val="40F74555"/>
    <w:rsid w:val="4130C58D"/>
    <w:rsid w:val="4185DBDE"/>
    <w:rsid w:val="41D6CC85"/>
    <w:rsid w:val="42B6BF7E"/>
    <w:rsid w:val="42B8E95E"/>
    <w:rsid w:val="439E7BCD"/>
    <w:rsid w:val="43D1BF71"/>
    <w:rsid w:val="43E22FDA"/>
    <w:rsid w:val="43F87155"/>
    <w:rsid w:val="440B6FC8"/>
    <w:rsid w:val="4491E6FF"/>
    <w:rsid w:val="45210330"/>
    <w:rsid w:val="453AD32B"/>
    <w:rsid w:val="45B0AECE"/>
    <w:rsid w:val="45B7A379"/>
    <w:rsid w:val="46F1EBBE"/>
    <w:rsid w:val="475C6A52"/>
    <w:rsid w:val="47B08794"/>
    <w:rsid w:val="4890B14A"/>
    <w:rsid w:val="48B0A0C4"/>
    <w:rsid w:val="49847552"/>
    <w:rsid w:val="49BED767"/>
    <w:rsid w:val="4A298446"/>
    <w:rsid w:val="4A29C005"/>
    <w:rsid w:val="4AA1C94A"/>
    <w:rsid w:val="4AA34116"/>
    <w:rsid w:val="4AABDE46"/>
    <w:rsid w:val="4ADA5F78"/>
    <w:rsid w:val="4AF687C0"/>
    <w:rsid w:val="4BFB3305"/>
    <w:rsid w:val="4C14B963"/>
    <w:rsid w:val="4CB37C3C"/>
    <w:rsid w:val="4D6DCF9C"/>
    <w:rsid w:val="4DC172D7"/>
    <w:rsid w:val="4E7206F6"/>
    <w:rsid w:val="4E961102"/>
    <w:rsid w:val="4EA015B9"/>
    <w:rsid w:val="4EB0FE08"/>
    <w:rsid w:val="4F2EA291"/>
    <w:rsid w:val="4F75C4F4"/>
    <w:rsid w:val="5091FB1C"/>
    <w:rsid w:val="512649FD"/>
    <w:rsid w:val="513F761A"/>
    <w:rsid w:val="516F8ACB"/>
    <w:rsid w:val="5245B17D"/>
    <w:rsid w:val="524AE935"/>
    <w:rsid w:val="52C5BE3A"/>
    <w:rsid w:val="53421E1F"/>
    <w:rsid w:val="53CDA46F"/>
    <w:rsid w:val="54077231"/>
    <w:rsid w:val="54E0DD72"/>
    <w:rsid w:val="5541BE9C"/>
    <w:rsid w:val="55634B0A"/>
    <w:rsid w:val="57345439"/>
    <w:rsid w:val="5800063B"/>
    <w:rsid w:val="5859E165"/>
    <w:rsid w:val="58C07F71"/>
    <w:rsid w:val="58FCB676"/>
    <w:rsid w:val="59E004A0"/>
    <w:rsid w:val="5A262E0E"/>
    <w:rsid w:val="5A5091C6"/>
    <w:rsid w:val="5B7EEAEC"/>
    <w:rsid w:val="5BFCCEF8"/>
    <w:rsid w:val="5CB8A944"/>
    <w:rsid w:val="5D1BE240"/>
    <w:rsid w:val="5D52516B"/>
    <w:rsid w:val="5D657B21"/>
    <w:rsid w:val="5D777B8E"/>
    <w:rsid w:val="5DDCB878"/>
    <w:rsid w:val="5E25108F"/>
    <w:rsid w:val="5E9B2B5F"/>
    <w:rsid w:val="5F229780"/>
    <w:rsid w:val="5F4BAADD"/>
    <w:rsid w:val="5F50A614"/>
    <w:rsid w:val="60BAC98F"/>
    <w:rsid w:val="614A8636"/>
    <w:rsid w:val="61663D2B"/>
    <w:rsid w:val="621114CE"/>
    <w:rsid w:val="6221A6B3"/>
    <w:rsid w:val="6237EB6F"/>
    <w:rsid w:val="626A48B2"/>
    <w:rsid w:val="627989A4"/>
    <w:rsid w:val="62CC5FA2"/>
    <w:rsid w:val="63257564"/>
    <w:rsid w:val="6375B82F"/>
    <w:rsid w:val="637AB6E7"/>
    <w:rsid w:val="63CE6776"/>
    <w:rsid w:val="63D0B19B"/>
    <w:rsid w:val="63D1368D"/>
    <w:rsid w:val="6589A662"/>
    <w:rsid w:val="65F8C8F8"/>
    <w:rsid w:val="66129A33"/>
    <w:rsid w:val="6679BA7D"/>
    <w:rsid w:val="66B5A477"/>
    <w:rsid w:val="6716C770"/>
    <w:rsid w:val="67A1F200"/>
    <w:rsid w:val="67FA4775"/>
    <w:rsid w:val="690D5797"/>
    <w:rsid w:val="698BD058"/>
    <w:rsid w:val="699075DB"/>
    <w:rsid w:val="699C4D92"/>
    <w:rsid w:val="699E463A"/>
    <w:rsid w:val="69DD9AA3"/>
    <w:rsid w:val="6C2C58A1"/>
    <w:rsid w:val="6C9CD379"/>
    <w:rsid w:val="6CBD2C3B"/>
    <w:rsid w:val="6DE0088D"/>
    <w:rsid w:val="6E74362B"/>
    <w:rsid w:val="6EBF049E"/>
    <w:rsid w:val="6EC6B9D3"/>
    <w:rsid w:val="6EC70117"/>
    <w:rsid w:val="6F205C07"/>
    <w:rsid w:val="6F531209"/>
    <w:rsid w:val="6F9A3138"/>
    <w:rsid w:val="6FC98B7E"/>
    <w:rsid w:val="6FED0869"/>
    <w:rsid w:val="70400A2D"/>
    <w:rsid w:val="705A87C2"/>
    <w:rsid w:val="7072C0D6"/>
    <w:rsid w:val="712874C0"/>
    <w:rsid w:val="714C6EC6"/>
    <w:rsid w:val="717E7AD1"/>
    <w:rsid w:val="71CC3573"/>
    <w:rsid w:val="71FCF21F"/>
    <w:rsid w:val="72BE2A64"/>
    <w:rsid w:val="7332B654"/>
    <w:rsid w:val="73BE8DEC"/>
    <w:rsid w:val="73DCEA8E"/>
    <w:rsid w:val="7552A233"/>
    <w:rsid w:val="75893282"/>
    <w:rsid w:val="76A51189"/>
    <w:rsid w:val="76E9A469"/>
    <w:rsid w:val="76F6AE3C"/>
    <w:rsid w:val="77A345DB"/>
    <w:rsid w:val="77C4E105"/>
    <w:rsid w:val="77D5C2BA"/>
    <w:rsid w:val="77D9191F"/>
    <w:rsid w:val="782C8557"/>
    <w:rsid w:val="794230A6"/>
    <w:rsid w:val="795AE9CA"/>
    <w:rsid w:val="7A3B3176"/>
    <w:rsid w:val="7AF31FDE"/>
    <w:rsid w:val="7B40EBC9"/>
    <w:rsid w:val="7C5BA2AD"/>
    <w:rsid w:val="7D233E21"/>
    <w:rsid w:val="7D527A30"/>
    <w:rsid w:val="7D896885"/>
    <w:rsid w:val="7DC98F47"/>
    <w:rsid w:val="7E9CF118"/>
    <w:rsid w:val="7EDA22CE"/>
    <w:rsid w:val="7EDDC376"/>
    <w:rsid w:val="7F5BA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036B7"/>
  <w15:chartTrackingRefBased/>
  <w15:docId w15:val="{64C58DF0-F96C-4103-9FDE-22691A243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2D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qFormat/>
    <w:rsid w:val="003B76BF"/>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3B76BF"/>
    <w:rPr>
      <w:rFonts w:ascii="Times New Roman" w:hAnsi="Times New Roman"/>
      <w:sz w:val="20"/>
      <w:szCs w:val="20"/>
    </w:rPr>
  </w:style>
  <w:style w:type="paragraph" w:styleId="NormalWeb">
    <w:name w:val="Normal (Web)"/>
    <w:basedOn w:val="Normal"/>
    <w:uiPriority w:val="99"/>
    <w:semiHidden/>
    <w:unhideWhenUsed/>
    <w:rsid w:val="003B76BF"/>
    <w:rPr>
      <w:rFonts w:cs="Times New Roman"/>
      <w:szCs w:val="24"/>
    </w:rPr>
  </w:style>
  <w:style w:type="character" w:styleId="FootnoteReference">
    <w:name w:val="footnote reference"/>
    <w:uiPriority w:val="99"/>
    <w:unhideWhenUsed/>
    <w:rsid w:val="003B76BF"/>
    <w:rPr>
      <w:vertAlign w:val="superscript"/>
    </w:rPr>
  </w:style>
  <w:style w:type="character" w:customStyle="1" w:styleId="FootnoteCharacters">
    <w:name w:val="Footnote Characters"/>
    <w:rsid w:val="003B76BF"/>
    <w:rPr>
      <w:vertAlign w:val="superscript"/>
    </w:rPr>
  </w:style>
  <w:style w:type="character" w:styleId="Hyperlink">
    <w:name w:val="Hyperlink"/>
    <w:uiPriority w:val="99"/>
    <w:unhideWhenUsed/>
    <w:rsid w:val="003B76BF"/>
    <w:rPr>
      <w:color w:val="0000FF"/>
      <w:u w:val="single"/>
    </w:rPr>
  </w:style>
  <w:style w:type="paragraph" w:styleId="Header">
    <w:name w:val="header"/>
    <w:basedOn w:val="Normal"/>
    <w:link w:val="HeaderChar"/>
    <w:uiPriority w:val="99"/>
    <w:unhideWhenUsed/>
    <w:rsid w:val="003B76BF"/>
    <w:pPr>
      <w:tabs>
        <w:tab w:val="center" w:pos="4680"/>
        <w:tab w:val="right" w:pos="9360"/>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3B76BF"/>
  </w:style>
  <w:style w:type="paragraph" w:styleId="Footer">
    <w:name w:val="footer"/>
    <w:basedOn w:val="Normal"/>
    <w:link w:val="FooterChar"/>
    <w:uiPriority w:val="99"/>
    <w:unhideWhenUsed/>
    <w:rsid w:val="003B76BF"/>
    <w:pPr>
      <w:tabs>
        <w:tab w:val="center" w:pos="4680"/>
        <w:tab w:val="right" w:pos="9360"/>
      </w:tabs>
      <w:spacing w:after="0" w:line="240" w:lineRule="auto"/>
    </w:pPr>
    <w:rPr>
      <w:rFonts w:asciiTheme="minorHAnsi" w:hAnsiTheme="minorHAnsi"/>
      <w:sz w:val="22"/>
    </w:rPr>
  </w:style>
  <w:style w:type="character" w:customStyle="1" w:styleId="FooterChar">
    <w:name w:val="Footer Char"/>
    <w:basedOn w:val="DefaultParagraphFont"/>
    <w:link w:val="Footer"/>
    <w:uiPriority w:val="99"/>
    <w:rsid w:val="003B76BF"/>
  </w:style>
  <w:style w:type="character" w:styleId="CommentReference">
    <w:name w:val="annotation reference"/>
    <w:basedOn w:val="DefaultParagraphFont"/>
    <w:uiPriority w:val="99"/>
    <w:semiHidden/>
    <w:unhideWhenUsed/>
    <w:rsid w:val="003B76BF"/>
    <w:rPr>
      <w:sz w:val="16"/>
      <w:szCs w:val="16"/>
    </w:rPr>
  </w:style>
  <w:style w:type="paragraph" w:styleId="CommentText">
    <w:name w:val="annotation text"/>
    <w:basedOn w:val="Normal"/>
    <w:link w:val="CommentTextChar"/>
    <w:uiPriority w:val="99"/>
    <w:semiHidden/>
    <w:unhideWhenUsed/>
    <w:rsid w:val="003B76BF"/>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3B76BF"/>
    <w:rPr>
      <w:sz w:val="20"/>
      <w:szCs w:val="20"/>
    </w:rPr>
  </w:style>
  <w:style w:type="paragraph" w:styleId="BalloonText">
    <w:name w:val="Balloon Text"/>
    <w:basedOn w:val="Normal"/>
    <w:link w:val="BalloonTextChar"/>
    <w:uiPriority w:val="99"/>
    <w:semiHidden/>
    <w:unhideWhenUsed/>
    <w:rsid w:val="003B76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6BF"/>
    <w:rPr>
      <w:rFonts w:ascii="Segoe UI" w:hAnsi="Segoe UI" w:cs="Segoe UI"/>
      <w:sz w:val="18"/>
      <w:szCs w:val="18"/>
    </w:rPr>
  </w:style>
  <w:style w:type="character" w:styleId="LineNumber">
    <w:name w:val="line number"/>
    <w:basedOn w:val="DefaultParagraphFont"/>
    <w:uiPriority w:val="99"/>
    <w:semiHidden/>
    <w:unhideWhenUsed/>
    <w:rsid w:val="00C42B14"/>
  </w:style>
  <w:style w:type="paragraph" w:styleId="CommentSubject">
    <w:name w:val="annotation subject"/>
    <w:basedOn w:val="CommentText"/>
    <w:next w:val="CommentText"/>
    <w:link w:val="CommentSubjectChar"/>
    <w:uiPriority w:val="99"/>
    <w:semiHidden/>
    <w:unhideWhenUsed/>
    <w:rsid w:val="00FD6673"/>
    <w:rPr>
      <w:rFonts w:ascii="Times New Roman" w:hAnsi="Times New Roman"/>
      <w:b/>
      <w:bCs/>
    </w:rPr>
  </w:style>
  <w:style w:type="character" w:customStyle="1" w:styleId="CommentSubjectChar">
    <w:name w:val="Comment Subject Char"/>
    <w:basedOn w:val="CommentTextChar"/>
    <w:link w:val="CommentSubject"/>
    <w:uiPriority w:val="99"/>
    <w:semiHidden/>
    <w:rsid w:val="00FD6673"/>
    <w:rPr>
      <w:rFonts w:ascii="Times New Roman" w:hAnsi="Times New Roman"/>
      <w:b/>
      <w:bCs/>
      <w:sz w:val="20"/>
      <w:szCs w:val="20"/>
    </w:rPr>
  </w:style>
  <w:style w:type="paragraph" w:styleId="ListParagraph">
    <w:name w:val="List Paragraph"/>
    <w:basedOn w:val="Normal"/>
    <w:uiPriority w:val="34"/>
    <w:qFormat/>
    <w:rsid w:val="00EC1F47"/>
    <w:pPr>
      <w:suppressAutoHyphens/>
      <w:spacing w:after="200" w:line="276" w:lineRule="auto"/>
      <w:ind w:left="720"/>
      <w:contextualSpacing/>
    </w:pPr>
    <w:rPr>
      <w:rFonts w:ascii="Calibri" w:eastAsia="Calibri" w:hAnsi="Calibri" w:cs="Times New Roman"/>
      <w:sz w:val="22"/>
      <w:lang w:eastAsia="zh-CN"/>
    </w:rPr>
  </w:style>
  <w:style w:type="paragraph" w:styleId="Revision">
    <w:name w:val="Revision"/>
    <w:hidden/>
    <w:uiPriority w:val="99"/>
    <w:semiHidden/>
    <w:rsid w:val="00DA6A96"/>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91975">
      <w:bodyDiv w:val="1"/>
      <w:marLeft w:val="0"/>
      <w:marRight w:val="0"/>
      <w:marTop w:val="0"/>
      <w:marBottom w:val="0"/>
      <w:divBdr>
        <w:top w:val="none" w:sz="0" w:space="0" w:color="auto"/>
        <w:left w:val="none" w:sz="0" w:space="0" w:color="auto"/>
        <w:bottom w:val="none" w:sz="0" w:space="0" w:color="auto"/>
        <w:right w:val="none" w:sz="0" w:space="0" w:color="auto"/>
      </w:divBdr>
    </w:div>
    <w:div w:id="145318037">
      <w:bodyDiv w:val="1"/>
      <w:marLeft w:val="0"/>
      <w:marRight w:val="0"/>
      <w:marTop w:val="0"/>
      <w:marBottom w:val="0"/>
      <w:divBdr>
        <w:top w:val="none" w:sz="0" w:space="0" w:color="auto"/>
        <w:left w:val="none" w:sz="0" w:space="0" w:color="auto"/>
        <w:bottom w:val="none" w:sz="0" w:space="0" w:color="auto"/>
        <w:right w:val="none" w:sz="0" w:space="0" w:color="auto"/>
      </w:divBdr>
    </w:div>
    <w:div w:id="601962300">
      <w:bodyDiv w:val="1"/>
      <w:marLeft w:val="0"/>
      <w:marRight w:val="0"/>
      <w:marTop w:val="0"/>
      <w:marBottom w:val="0"/>
      <w:divBdr>
        <w:top w:val="none" w:sz="0" w:space="0" w:color="auto"/>
        <w:left w:val="none" w:sz="0" w:space="0" w:color="auto"/>
        <w:bottom w:val="none" w:sz="0" w:space="0" w:color="auto"/>
        <w:right w:val="none" w:sz="0" w:space="0" w:color="auto"/>
      </w:divBdr>
    </w:div>
    <w:div w:id="938680390">
      <w:bodyDiv w:val="1"/>
      <w:marLeft w:val="0"/>
      <w:marRight w:val="0"/>
      <w:marTop w:val="0"/>
      <w:marBottom w:val="0"/>
      <w:divBdr>
        <w:top w:val="none" w:sz="0" w:space="0" w:color="auto"/>
        <w:left w:val="none" w:sz="0" w:space="0" w:color="auto"/>
        <w:bottom w:val="none" w:sz="0" w:space="0" w:color="auto"/>
        <w:right w:val="none" w:sz="0" w:space="0" w:color="auto"/>
      </w:divBdr>
    </w:div>
    <w:div w:id="956565107">
      <w:bodyDiv w:val="1"/>
      <w:marLeft w:val="0"/>
      <w:marRight w:val="0"/>
      <w:marTop w:val="0"/>
      <w:marBottom w:val="0"/>
      <w:divBdr>
        <w:top w:val="none" w:sz="0" w:space="0" w:color="auto"/>
        <w:left w:val="none" w:sz="0" w:space="0" w:color="auto"/>
        <w:bottom w:val="none" w:sz="0" w:space="0" w:color="auto"/>
        <w:right w:val="none" w:sz="0" w:space="0" w:color="auto"/>
      </w:divBdr>
    </w:div>
    <w:div w:id="1821847769">
      <w:bodyDiv w:val="1"/>
      <w:marLeft w:val="0"/>
      <w:marRight w:val="0"/>
      <w:marTop w:val="0"/>
      <w:marBottom w:val="0"/>
      <w:divBdr>
        <w:top w:val="none" w:sz="0" w:space="0" w:color="auto"/>
        <w:left w:val="none" w:sz="0" w:space="0" w:color="auto"/>
        <w:bottom w:val="none" w:sz="0" w:space="0" w:color="auto"/>
        <w:right w:val="none" w:sz="0" w:space="0" w:color="auto"/>
      </w:divBdr>
    </w:div>
    <w:div w:id="184216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apps.nycha.info/NychaMetrics/Charts/PublicHousingChartsTabs/?section=public_housing&amp;tab=tab_vacancies"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www.nychamonitor.com/" TargetMode="External"/><Relationship Id="rId18" Type="http://schemas.openxmlformats.org/officeDocument/2006/relationships/hyperlink" Target="https://pix11.com/news/nycha-has-issued-over-2400-section-8-vouchers-since-waitlist-closed/" TargetMode="External"/><Relationship Id="rId26" Type="http://schemas.openxmlformats.org/officeDocument/2006/relationships/hyperlink" Target="https://www.nyc.gov/assets/operations/downloads/pdf/pmmr2025/2025_pmmr.pdf" TargetMode="External"/><Relationship Id="rId3" Type="http://schemas.openxmlformats.org/officeDocument/2006/relationships/hyperlink" Target="https://www.nyc.gov/assets/operations/downloads/pdf/pmmr2025/2025_pmmr.pdf" TargetMode="External"/><Relationship Id="rId21" Type="http://schemas.openxmlformats.org/officeDocument/2006/relationships/hyperlink" Target="https://img1.wsimg.com/blobby/go/1191cd59-cd0d-4d02-a60c-098cfcfb7ca1/downloads/Borough%20Monitoring%20-%20Quarterly%20Report%20-%20Off%20of.pdf?ver=1733950517446" TargetMode="External"/><Relationship Id="rId34" Type="http://schemas.openxmlformats.org/officeDocument/2006/relationships/hyperlink" Target="https://comptroller.nyc.gov/newsroom/comptroller-lander-unveils-new-dashboard-to-track-shelter-population-eviction-housing-vouchers-more/" TargetMode="External"/><Relationship Id="rId7" Type="http://schemas.openxmlformats.org/officeDocument/2006/relationships/hyperlink" Target="https://nychajournal.nyc/bronx-river-addition-residents-vote-to-join-public-housing-preservation-trust/" TargetMode="External"/><Relationship Id="rId12" Type="http://schemas.openxmlformats.org/officeDocument/2006/relationships/hyperlink" Target="https://www.justice.gov/usao-sdny/pr/us-attorney-announces-application-process-second-term-nycha-monitorship" TargetMode="External"/><Relationship Id="rId17" Type="http://schemas.openxmlformats.org/officeDocument/2006/relationships/hyperlink" Target="https://www.nyc.gov/assets/nycha/downloads/pdf/NYCHA_Fact_Sheet.pdf" TargetMode="External"/><Relationship Id="rId25" Type="http://schemas.openxmlformats.org/officeDocument/2006/relationships/hyperlink" Target="https://eapps.nycha.info/NychaMetrics/Charts/PublicHousingChartsTabs/?section=public_housing&amp;tab=tab_vacancies" TargetMode="External"/><Relationship Id="rId33" Type="http://schemas.openxmlformats.org/officeDocument/2006/relationships/hyperlink" Target="https://www.nyc.gov/site/nycha/about/pact/inter-pact-transfers.page" TargetMode="External"/><Relationship Id="rId2" Type="http://schemas.openxmlformats.org/officeDocument/2006/relationships/hyperlink" Target="https://www.gpo.gov/fdsys/pkg/USCODE-2009-title42/pdf/USCODE-2009-title42-chap8.pdf" TargetMode="External"/><Relationship Id="rId16" Type="http://schemas.openxmlformats.org/officeDocument/2006/relationships/hyperlink" Target="https://web.archive.org/web/20230327213518/https://www.nyc.gov/assets/nycha/downloads/pdf/NYCHA_Fact_Sheet_2022.pdf" TargetMode="External"/><Relationship Id="rId20" Type="http://schemas.openxmlformats.org/officeDocument/2006/relationships/hyperlink" Target="https://comptroller.nyc.gov/reports/audit-report-on-the-new-york-city-housing-authoritys-management-of-vacant-apartments/" TargetMode="External"/><Relationship Id="rId29" Type="http://schemas.openxmlformats.org/officeDocument/2006/relationships/hyperlink" Target="https://www.nyc.gov/assets/operations/downloads/pdf/mmr2022/2022_mmr.pdf" TargetMode="External"/><Relationship Id="rId1" Type="http://schemas.openxmlformats.org/officeDocument/2006/relationships/hyperlink" Target="https://www.nytimes.com/interactive/2018/06/25/nyregion/new-york-city-public-housing-history.html" TargetMode="External"/><Relationship Id="rId6" Type="http://schemas.openxmlformats.org/officeDocument/2006/relationships/hyperlink" Target="https://nychajournal.nyc/first-resident-vote-certified-nostrand-residents-select-the-trust/" TargetMode="External"/><Relationship Id="rId11" Type="http://schemas.openxmlformats.org/officeDocument/2006/relationships/hyperlink" Target="https://www.nyc.gov/assets/nycha/downloads/pdf/nycha-monitoring-agreement.pdf" TargetMode="External"/><Relationship Id="rId24" Type="http://schemas.openxmlformats.org/officeDocument/2006/relationships/hyperlink" Target="https://eapps.nycha.info/NychaMetrics/Charts/PublicHousingChartsTabs/?section=public_housing&amp;tab=tab_vacancies" TargetMode="External"/><Relationship Id="rId32" Type="http://schemas.openxmlformats.org/officeDocument/2006/relationships/hyperlink" Target="https://www.legalservicesnyc.org/news/new-report-nycha-traps-survivors-of-gender-based-violence-in-danger-by-delaying-emergency-transfers/" TargetMode="External"/><Relationship Id="rId5" Type="http://schemas.openxmlformats.org/officeDocument/2006/relationships/hyperlink" Target="https://www.nyc.gov/site/nycha/about/public-housing-preservation-trust.page" TargetMode="External"/><Relationship Id="rId15" Type="http://schemas.openxmlformats.org/officeDocument/2006/relationships/hyperlink" Target="https://www.nyc.gov/site/hpd/news/007-24/new-york-city-s-vacancy-rate-reaches-historic-low-1-4-percent-demanding-urgent-action-new" TargetMode="External"/><Relationship Id="rId23" Type="http://schemas.openxmlformats.org/officeDocument/2006/relationships/hyperlink" Target="https://www.nyc.gov/assets/operations/downloads/pdf/pmmr2025/2025_pmmr.pdf" TargetMode="External"/><Relationship Id="rId28" Type="http://schemas.openxmlformats.org/officeDocument/2006/relationships/hyperlink" Target="https://www.nyc.gov/assets/operations/downloads/pdf/pmmr2025/2025_pmmr.pdf" TargetMode="External"/><Relationship Id="rId36" Type="http://schemas.openxmlformats.org/officeDocument/2006/relationships/hyperlink" Target="https://gothamist.com/news/fewest-shelter-residents-moving-into-nycha-buildings-in-10-years-while-vacancies-soar" TargetMode="External"/><Relationship Id="rId10" Type="http://schemas.openxmlformats.org/officeDocument/2006/relationships/hyperlink" Target="https://www.nyc.gov/site/nycha/about/press/pr-2025/pr-20250429.page" TargetMode="External"/><Relationship Id="rId19" Type="http://schemas.openxmlformats.org/officeDocument/2006/relationships/hyperlink" Target="https://www.nyc.gov/assets/operations/downloads/pdf/pmmr2025/2025_pmmr.pdf" TargetMode="External"/><Relationship Id="rId31" Type="http://schemas.openxmlformats.org/officeDocument/2006/relationships/hyperlink" Target="https://www.nyc.gov/assets/operations/downloads/pdf/pmmr2025/2025_pmmr.pdf" TargetMode="External"/><Relationship Id="rId4" Type="http://schemas.openxmlformats.org/officeDocument/2006/relationships/hyperlink" Target="https://www.nyc.gov/site/nycha/residents/voting-nostrand.page" TargetMode="External"/><Relationship Id="rId9" Type="http://schemas.openxmlformats.org/officeDocument/2006/relationships/hyperlink" Target="https://www.archpaper.com/2025/04/nycha-jacob-riis-houses-vote-section-9/" TargetMode="External"/><Relationship Id="rId14" Type="http://schemas.openxmlformats.org/officeDocument/2006/relationships/hyperlink" Target="https://www.nychamonitor.com/reports" TargetMode="External"/><Relationship Id="rId22" Type="http://schemas.openxmlformats.org/officeDocument/2006/relationships/hyperlink" Target="https://www.thecity.nyc/2024/02/21/nycha-5000-empty-apartments/" TargetMode="External"/><Relationship Id="rId27" Type="http://schemas.openxmlformats.org/officeDocument/2006/relationships/hyperlink" Target="https://eapps.nycha.info/NychaMetrics/Charts/PublicHousingChartsTabs/?section=public_housing&amp;tab=tab_vacancies" TargetMode="External"/><Relationship Id="rId30" Type="http://schemas.openxmlformats.org/officeDocument/2006/relationships/hyperlink" Target="https://www.nyc.gov/assets/operations/downloads/pdf/mmr2022/2022_mmr.pdf" TargetMode="External"/><Relationship Id="rId35" Type="http://schemas.openxmlformats.org/officeDocument/2006/relationships/hyperlink" Target="https://gothamist.com/news/fewest-shelter-residents-moving-into-nycha-buildings-in-10-years-while-vacancies-soar" TargetMode="External"/><Relationship Id="rId8" Type="http://schemas.openxmlformats.org/officeDocument/2006/relationships/hyperlink" Target="https://www.nyc.gov/site/nycha/about/press/pr-2025/pr-20250410.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DD39C-BA8F-4353-BF67-10118977E359}">
  <ds:schemaRefs>
    <ds:schemaRef ds:uri="http://schemas.microsoft.com/sharepoint/v3/contenttype/forms"/>
  </ds:schemaRefs>
</ds:datastoreItem>
</file>

<file path=customXml/itemProps2.xml><?xml version="1.0" encoding="utf-8"?>
<ds:datastoreItem xmlns:ds="http://schemas.openxmlformats.org/officeDocument/2006/customXml" ds:itemID="{F8A31BDF-BC19-4B96-93C2-6C0FC11C914F}">
  <ds:schemaRefs>
    <ds:schemaRef ds:uri="0a89be48-00c3-4dce-a54e-5fa37f38efab"/>
    <ds:schemaRef ds:uri="http://schemas.openxmlformats.org/package/2006/metadata/core-properties"/>
    <ds:schemaRef ds:uri="http://purl.org/dc/dcmitype/"/>
    <ds:schemaRef ds:uri="http://schemas.microsoft.com/office/2006/documentManagement/types"/>
    <ds:schemaRef ds:uri="b0585e4f-ee23-4833-9bbe-8be3b0a875ac"/>
    <ds:schemaRef ds:uri="http://www.w3.org/XML/1998/namespace"/>
    <ds:schemaRef ds:uri="http://schemas.microsoft.com/office/2006/metadata/properties"/>
    <ds:schemaRef ds:uri="http://schemas.microsoft.com/office/infopath/2007/PartnerControls"/>
    <ds:schemaRef ds:uri="http://purl.org/dc/terms/"/>
    <ds:schemaRef ds:uri="http://purl.org/dc/elements/1.1/"/>
  </ds:schemaRefs>
</ds:datastoreItem>
</file>

<file path=customXml/itemProps3.xml><?xml version="1.0" encoding="utf-8"?>
<ds:datastoreItem xmlns:ds="http://schemas.openxmlformats.org/officeDocument/2006/customXml" ds:itemID="{4E9EF21C-7D0A-4F9F-A6F7-2F46B4690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0943E4-1924-44EE-984A-10A856ED1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3440</Words>
  <Characters>19613</Characters>
  <Application>Microsoft Office Word</Application>
  <DocSecurity>4</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Charles</dc:creator>
  <cp:keywords/>
  <dc:description/>
  <cp:lastModifiedBy>Jeffries, Jillian</cp:lastModifiedBy>
  <cp:revision>2</cp:revision>
  <dcterms:created xsi:type="dcterms:W3CDTF">2025-10-29T17:07:00Z</dcterms:created>
  <dcterms:modified xsi:type="dcterms:W3CDTF">2025-10-29T17:07:00Z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