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3697" w14:textId="4193EACF" w:rsidR="00EB3E68" w:rsidRPr="00D07D6A" w:rsidRDefault="00EB3E68" w:rsidP="00D07D6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>Res. No.</w:t>
      </w:r>
      <w:r w:rsidR="00770D26">
        <w:rPr>
          <w:rFonts w:ascii="Times New Roman" w:hAnsi="Times New Roman" w:cs="Times New Roman"/>
          <w:sz w:val="24"/>
          <w:szCs w:val="24"/>
        </w:rPr>
        <w:t xml:space="preserve"> </w:t>
      </w:r>
      <w:r w:rsidR="00970BC5">
        <w:rPr>
          <w:rFonts w:ascii="Times New Roman" w:hAnsi="Times New Roman" w:cs="Times New Roman"/>
          <w:sz w:val="24"/>
          <w:szCs w:val="24"/>
        </w:rPr>
        <w:t>438</w:t>
      </w:r>
    </w:p>
    <w:p w14:paraId="3E6B0627" w14:textId="77777777" w:rsidR="00770D26" w:rsidRPr="00770D26" w:rsidRDefault="00770D26" w:rsidP="00D07D6A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770D26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6A331923" w14:textId="2DC01ED1" w:rsidR="001C5EB5" w:rsidRDefault="00EB3E68" w:rsidP="00D07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 xml:space="preserve">Resolution calling on the New York State legislature to pass, and the Governor to sign, </w:t>
      </w:r>
      <w:bookmarkStart w:id="0" w:name="_Hlk206428579"/>
      <w:r w:rsidR="00741C4D">
        <w:rPr>
          <w:rFonts w:ascii="Times New Roman" w:hAnsi="Times New Roman" w:cs="Times New Roman"/>
          <w:sz w:val="24"/>
          <w:szCs w:val="24"/>
        </w:rPr>
        <w:t xml:space="preserve">legislation </w:t>
      </w:r>
      <w:r w:rsidR="001C5EB5">
        <w:rPr>
          <w:rFonts w:ascii="Times New Roman" w:hAnsi="Times New Roman" w:cs="Times New Roman"/>
          <w:sz w:val="24"/>
          <w:szCs w:val="24"/>
        </w:rPr>
        <w:t>disallow</w:t>
      </w:r>
      <w:r w:rsidR="00C44531">
        <w:rPr>
          <w:rFonts w:ascii="Times New Roman" w:hAnsi="Times New Roman" w:cs="Times New Roman"/>
          <w:sz w:val="24"/>
          <w:szCs w:val="24"/>
        </w:rPr>
        <w:t>ing</w:t>
      </w:r>
      <w:r w:rsidR="001C5EB5">
        <w:rPr>
          <w:rFonts w:ascii="Times New Roman" w:hAnsi="Times New Roman" w:cs="Times New Roman"/>
          <w:sz w:val="24"/>
          <w:szCs w:val="24"/>
        </w:rPr>
        <w:t xml:space="preserve"> tax exemptions for Article II to XI conversions and </w:t>
      </w:r>
      <w:r w:rsidR="00C44531">
        <w:rPr>
          <w:rFonts w:ascii="Times New Roman" w:hAnsi="Times New Roman" w:cs="Times New Roman"/>
          <w:sz w:val="24"/>
          <w:szCs w:val="24"/>
        </w:rPr>
        <w:t>establishing related protections</w:t>
      </w:r>
      <w:r w:rsidR="00711E39">
        <w:rPr>
          <w:rFonts w:ascii="Times New Roman" w:hAnsi="Times New Roman" w:cs="Times New Roman"/>
          <w:sz w:val="24"/>
          <w:szCs w:val="24"/>
        </w:rPr>
        <w:t xml:space="preserve"> to</w:t>
      </w:r>
      <w:r w:rsidR="00EA2180">
        <w:rPr>
          <w:rFonts w:ascii="Times New Roman" w:hAnsi="Times New Roman" w:cs="Times New Roman"/>
          <w:sz w:val="24"/>
          <w:szCs w:val="24"/>
        </w:rPr>
        <w:t xml:space="preserve"> preserve the Mitchell-Lama program</w:t>
      </w:r>
    </w:p>
    <w:bookmarkEnd w:id="0"/>
    <w:p w14:paraId="23A8822B" w14:textId="2F432E07" w:rsidR="00EB3E68" w:rsidRPr="00770D26" w:rsidRDefault="00770D26" w:rsidP="00D07D6A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770D26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6E355169" w14:textId="77777777" w:rsidR="00D07D6A" w:rsidRPr="00D07D6A" w:rsidRDefault="00D07D6A" w:rsidP="00D07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7B3C2" w14:textId="77777777" w:rsidR="00F933B8" w:rsidRDefault="00F933B8" w:rsidP="00F933B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Brewer and Louis</w:t>
      </w:r>
    </w:p>
    <w:p w14:paraId="65B545E0" w14:textId="78369AB9" w:rsidR="008338FC" w:rsidRDefault="00EB3E68" w:rsidP="00D00A8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 xml:space="preserve">Whereas, </w:t>
      </w:r>
      <w:r w:rsidR="008338FC" w:rsidRPr="00D07D6A"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="00E97A65">
        <w:rPr>
          <w:rFonts w:ascii="Times New Roman" w:hAnsi="Times New Roman" w:cs="Times New Roman"/>
          <w:sz w:val="24"/>
          <w:szCs w:val="24"/>
        </w:rPr>
        <w:t>“</w:t>
      </w:r>
      <w:r w:rsidR="008338FC" w:rsidRPr="00D07D6A">
        <w:rPr>
          <w:rFonts w:ascii="Times New Roman" w:hAnsi="Times New Roman" w:cs="Times New Roman"/>
          <w:sz w:val="24"/>
          <w:szCs w:val="24"/>
        </w:rPr>
        <w:t xml:space="preserve">2024 Annual Report of Mitchell-Lama Housing Companies </w:t>
      </w:r>
      <w:r w:rsidR="00E97A65">
        <w:rPr>
          <w:rFonts w:ascii="Times New Roman" w:hAnsi="Times New Roman" w:cs="Times New Roman"/>
          <w:sz w:val="24"/>
          <w:szCs w:val="24"/>
        </w:rPr>
        <w:t xml:space="preserve">in New York State” </w:t>
      </w:r>
      <w:r w:rsidR="008338FC" w:rsidRPr="00D07D6A">
        <w:rPr>
          <w:rFonts w:ascii="Times New Roman" w:hAnsi="Times New Roman" w:cs="Times New Roman"/>
          <w:sz w:val="24"/>
          <w:szCs w:val="24"/>
        </w:rPr>
        <w:t xml:space="preserve">published by the </w:t>
      </w:r>
      <w:r w:rsidR="00B13E99">
        <w:rPr>
          <w:rFonts w:ascii="Times New Roman" w:hAnsi="Times New Roman" w:cs="Times New Roman"/>
          <w:sz w:val="24"/>
          <w:szCs w:val="24"/>
        </w:rPr>
        <w:t>NYS</w:t>
      </w:r>
      <w:r w:rsidR="008338FC" w:rsidRPr="00D07D6A">
        <w:rPr>
          <w:rFonts w:ascii="Times New Roman" w:hAnsi="Times New Roman" w:cs="Times New Roman"/>
          <w:sz w:val="24"/>
          <w:szCs w:val="24"/>
        </w:rPr>
        <w:t xml:space="preserve"> Division of Housing and Community Renewal</w:t>
      </w:r>
      <w:r w:rsidR="00B52FDC" w:rsidRPr="00D07D6A">
        <w:rPr>
          <w:rFonts w:ascii="Times New Roman" w:hAnsi="Times New Roman" w:cs="Times New Roman"/>
          <w:sz w:val="24"/>
          <w:szCs w:val="24"/>
        </w:rPr>
        <w:t xml:space="preserve"> (</w:t>
      </w:r>
      <w:r w:rsidR="00B13E99">
        <w:rPr>
          <w:rFonts w:ascii="Times New Roman" w:hAnsi="Times New Roman" w:cs="Times New Roman"/>
          <w:sz w:val="24"/>
          <w:szCs w:val="24"/>
        </w:rPr>
        <w:t>“D</w:t>
      </w:r>
      <w:r w:rsidR="00B52FDC" w:rsidRPr="00D07D6A">
        <w:rPr>
          <w:rFonts w:ascii="Times New Roman" w:hAnsi="Times New Roman" w:cs="Times New Roman"/>
          <w:sz w:val="24"/>
          <w:szCs w:val="24"/>
        </w:rPr>
        <w:t>HCR</w:t>
      </w:r>
      <w:r w:rsidR="00B13E99">
        <w:rPr>
          <w:rFonts w:ascii="Times New Roman" w:hAnsi="Times New Roman" w:cs="Times New Roman"/>
          <w:sz w:val="24"/>
          <w:szCs w:val="24"/>
        </w:rPr>
        <w:t>”</w:t>
      </w:r>
      <w:r w:rsidR="00B52FDC" w:rsidRPr="00D07D6A">
        <w:rPr>
          <w:rFonts w:ascii="Times New Roman" w:hAnsi="Times New Roman" w:cs="Times New Roman"/>
          <w:sz w:val="24"/>
          <w:szCs w:val="24"/>
        </w:rPr>
        <w:t>)</w:t>
      </w:r>
      <w:r w:rsidR="008338FC" w:rsidRPr="00D07D6A">
        <w:rPr>
          <w:rFonts w:ascii="Times New Roman" w:hAnsi="Times New Roman" w:cs="Times New Roman"/>
          <w:sz w:val="24"/>
          <w:szCs w:val="24"/>
        </w:rPr>
        <w:t xml:space="preserve">, </w:t>
      </w:r>
      <w:r w:rsidR="00DD355C">
        <w:rPr>
          <w:rFonts w:ascii="Times New Roman" w:hAnsi="Times New Roman" w:cs="Times New Roman"/>
          <w:sz w:val="24"/>
          <w:szCs w:val="24"/>
        </w:rPr>
        <w:t>the Mitchell</w:t>
      </w:r>
      <w:r w:rsidR="00C34B65">
        <w:rPr>
          <w:rFonts w:ascii="Times New Roman" w:hAnsi="Times New Roman" w:cs="Times New Roman"/>
          <w:sz w:val="24"/>
          <w:szCs w:val="24"/>
        </w:rPr>
        <w:t>-</w:t>
      </w:r>
      <w:r w:rsidR="00DD355C">
        <w:rPr>
          <w:rFonts w:ascii="Times New Roman" w:hAnsi="Times New Roman" w:cs="Times New Roman"/>
          <w:sz w:val="24"/>
          <w:szCs w:val="24"/>
        </w:rPr>
        <w:t>Lama program, established in 1955 under Article II of the New York State</w:t>
      </w:r>
      <w:r w:rsidR="00C34B65">
        <w:rPr>
          <w:rFonts w:ascii="Times New Roman" w:hAnsi="Times New Roman" w:cs="Times New Roman"/>
          <w:sz w:val="24"/>
          <w:szCs w:val="24"/>
        </w:rPr>
        <w:t xml:space="preserve"> (“NYS” or “State”)</w:t>
      </w:r>
      <w:r w:rsidR="00DD355C">
        <w:rPr>
          <w:rFonts w:ascii="Times New Roman" w:hAnsi="Times New Roman" w:cs="Times New Roman"/>
          <w:sz w:val="24"/>
          <w:szCs w:val="24"/>
        </w:rPr>
        <w:t xml:space="preserve"> Private Housing Finance Law</w:t>
      </w:r>
      <w:r w:rsidR="00C34B65">
        <w:rPr>
          <w:rFonts w:ascii="Times New Roman" w:hAnsi="Times New Roman" w:cs="Times New Roman"/>
          <w:sz w:val="24"/>
          <w:szCs w:val="24"/>
        </w:rPr>
        <w:t xml:space="preserve"> (“PHFL”)</w:t>
      </w:r>
      <w:r w:rsidR="00DD355C">
        <w:rPr>
          <w:rFonts w:ascii="Times New Roman" w:hAnsi="Times New Roman" w:cs="Times New Roman"/>
          <w:sz w:val="24"/>
          <w:szCs w:val="24"/>
        </w:rPr>
        <w:t xml:space="preserve"> to</w:t>
      </w:r>
      <w:r w:rsidR="009A3AAE">
        <w:rPr>
          <w:rFonts w:ascii="Times New Roman" w:hAnsi="Times New Roman" w:cs="Times New Roman"/>
          <w:sz w:val="24"/>
          <w:szCs w:val="24"/>
        </w:rPr>
        <w:t xml:space="preserve"> provide affordable housing to low</w:t>
      </w:r>
      <w:r w:rsidR="00A87D6B">
        <w:rPr>
          <w:rFonts w:ascii="Times New Roman" w:hAnsi="Times New Roman" w:cs="Times New Roman"/>
          <w:sz w:val="24"/>
          <w:szCs w:val="24"/>
        </w:rPr>
        <w:t>-</w:t>
      </w:r>
      <w:r w:rsidR="009A3AAE">
        <w:rPr>
          <w:rFonts w:ascii="Times New Roman" w:hAnsi="Times New Roman" w:cs="Times New Roman"/>
          <w:sz w:val="24"/>
          <w:szCs w:val="24"/>
        </w:rPr>
        <w:t xml:space="preserve"> and m</w:t>
      </w:r>
      <w:r w:rsidR="002607CE">
        <w:rPr>
          <w:rFonts w:ascii="Times New Roman" w:hAnsi="Times New Roman" w:cs="Times New Roman"/>
          <w:sz w:val="24"/>
          <w:szCs w:val="24"/>
        </w:rPr>
        <w:t>oderate</w:t>
      </w:r>
      <w:r w:rsidR="00A87D6B">
        <w:rPr>
          <w:rFonts w:ascii="Times New Roman" w:hAnsi="Times New Roman" w:cs="Times New Roman"/>
          <w:sz w:val="24"/>
          <w:szCs w:val="24"/>
        </w:rPr>
        <w:t>-</w:t>
      </w:r>
      <w:r w:rsidR="009A3AAE">
        <w:rPr>
          <w:rFonts w:ascii="Times New Roman" w:hAnsi="Times New Roman" w:cs="Times New Roman"/>
          <w:sz w:val="24"/>
          <w:szCs w:val="24"/>
        </w:rPr>
        <w:t>income families</w:t>
      </w:r>
      <w:r w:rsidR="00DD355C">
        <w:rPr>
          <w:rFonts w:ascii="Times New Roman" w:hAnsi="Times New Roman" w:cs="Times New Roman"/>
          <w:sz w:val="24"/>
          <w:szCs w:val="24"/>
        </w:rPr>
        <w:t>,</w:t>
      </w:r>
      <w:r w:rsidR="009A3AAE">
        <w:rPr>
          <w:rFonts w:ascii="Times New Roman" w:hAnsi="Times New Roman" w:cs="Times New Roman"/>
          <w:sz w:val="24"/>
          <w:szCs w:val="24"/>
        </w:rPr>
        <w:t xml:space="preserve"> currently includes 92 developments </w:t>
      </w:r>
      <w:r w:rsidR="009A3AAE" w:rsidRPr="009A3AAE">
        <w:rPr>
          <w:rFonts w:ascii="Times New Roman" w:hAnsi="Times New Roman" w:cs="Times New Roman"/>
          <w:sz w:val="24"/>
          <w:szCs w:val="24"/>
        </w:rPr>
        <w:t xml:space="preserve">(containing 44,392 units) </w:t>
      </w:r>
      <w:r w:rsidR="009A3AAE">
        <w:rPr>
          <w:rFonts w:ascii="Times New Roman" w:hAnsi="Times New Roman" w:cs="Times New Roman"/>
          <w:sz w:val="24"/>
          <w:szCs w:val="24"/>
        </w:rPr>
        <w:t>supervised by</w:t>
      </w:r>
      <w:r w:rsidR="00DD355C">
        <w:rPr>
          <w:rFonts w:ascii="Times New Roman" w:hAnsi="Times New Roman" w:cs="Times New Roman"/>
          <w:sz w:val="24"/>
          <w:szCs w:val="24"/>
        </w:rPr>
        <w:t xml:space="preserve"> </w:t>
      </w:r>
      <w:r w:rsidR="008338FC" w:rsidRPr="00D07D6A">
        <w:rPr>
          <w:rFonts w:ascii="Times New Roman" w:hAnsi="Times New Roman" w:cs="Times New Roman"/>
          <w:sz w:val="24"/>
          <w:szCs w:val="24"/>
        </w:rPr>
        <w:t>the New York City</w:t>
      </w:r>
      <w:r w:rsidR="00B13E99">
        <w:rPr>
          <w:rFonts w:ascii="Times New Roman" w:hAnsi="Times New Roman" w:cs="Times New Roman"/>
          <w:sz w:val="24"/>
          <w:szCs w:val="24"/>
        </w:rPr>
        <w:t xml:space="preserve"> (“NYC” or “City”)</w:t>
      </w:r>
      <w:r w:rsidR="008338FC" w:rsidRPr="00D07D6A">
        <w:rPr>
          <w:rFonts w:ascii="Times New Roman" w:hAnsi="Times New Roman" w:cs="Times New Roman"/>
          <w:sz w:val="24"/>
          <w:szCs w:val="24"/>
        </w:rPr>
        <w:t xml:space="preserve"> Department of Housing Preservation and Development (</w:t>
      </w:r>
      <w:r w:rsidR="00B13E99">
        <w:rPr>
          <w:rFonts w:ascii="Times New Roman" w:hAnsi="Times New Roman" w:cs="Times New Roman"/>
          <w:sz w:val="24"/>
          <w:szCs w:val="24"/>
        </w:rPr>
        <w:t>“</w:t>
      </w:r>
      <w:r w:rsidR="008338FC" w:rsidRPr="00D07D6A">
        <w:rPr>
          <w:rFonts w:ascii="Times New Roman" w:hAnsi="Times New Roman" w:cs="Times New Roman"/>
          <w:sz w:val="24"/>
          <w:szCs w:val="24"/>
        </w:rPr>
        <w:t>HPD</w:t>
      </w:r>
      <w:r w:rsidR="00B13E99">
        <w:rPr>
          <w:rFonts w:ascii="Times New Roman" w:hAnsi="Times New Roman" w:cs="Times New Roman"/>
          <w:sz w:val="24"/>
          <w:szCs w:val="24"/>
        </w:rPr>
        <w:t>”</w:t>
      </w:r>
      <w:r w:rsidR="008338FC" w:rsidRPr="00D07D6A">
        <w:rPr>
          <w:rFonts w:ascii="Times New Roman" w:hAnsi="Times New Roman" w:cs="Times New Roman"/>
          <w:sz w:val="24"/>
          <w:szCs w:val="24"/>
        </w:rPr>
        <w:t>)</w:t>
      </w:r>
      <w:r w:rsidR="009A3AAE">
        <w:rPr>
          <w:rFonts w:ascii="Times New Roman" w:hAnsi="Times New Roman" w:cs="Times New Roman"/>
          <w:sz w:val="24"/>
          <w:szCs w:val="24"/>
        </w:rPr>
        <w:t xml:space="preserve"> and</w:t>
      </w:r>
      <w:r w:rsidR="00C34B65">
        <w:rPr>
          <w:rFonts w:ascii="Times New Roman" w:hAnsi="Times New Roman" w:cs="Times New Roman"/>
          <w:sz w:val="24"/>
          <w:szCs w:val="24"/>
        </w:rPr>
        <w:t xml:space="preserve"> </w:t>
      </w:r>
      <w:r w:rsidR="009A3AAE" w:rsidRPr="009A3AAE">
        <w:rPr>
          <w:rFonts w:ascii="Times New Roman" w:hAnsi="Times New Roman" w:cs="Times New Roman"/>
          <w:sz w:val="24"/>
          <w:szCs w:val="24"/>
        </w:rPr>
        <w:t>117 developments (containing 57,529 units)</w:t>
      </w:r>
      <w:r w:rsidR="009A3AAE">
        <w:rPr>
          <w:rFonts w:ascii="Times New Roman" w:hAnsi="Times New Roman" w:cs="Times New Roman"/>
          <w:sz w:val="24"/>
          <w:szCs w:val="24"/>
        </w:rPr>
        <w:t xml:space="preserve"> supervised by the</w:t>
      </w:r>
      <w:r w:rsidR="00BB54BC">
        <w:rPr>
          <w:rFonts w:ascii="Times New Roman" w:hAnsi="Times New Roman" w:cs="Times New Roman"/>
          <w:sz w:val="24"/>
          <w:szCs w:val="24"/>
        </w:rPr>
        <w:t xml:space="preserve"> NYS </w:t>
      </w:r>
      <w:r w:rsidR="00E97A65">
        <w:rPr>
          <w:rFonts w:ascii="Times New Roman" w:hAnsi="Times New Roman" w:cs="Times New Roman"/>
          <w:sz w:val="24"/>
          <w:szCs w:val="24"/>
        </w:rPr>
        <w:t>Homes and Community Renewal (“</w:t>
      </w:r>
      <w:r w:rsidR="008338FC" w:rsidRPr="00D07D6A">
        <w:rPr>
          <w:rFonts w:ascii="Times New Roman" w:hAnsi="Times New Roman" w:cs="Times New Roman"/>
          <w:sz w:val="24"/>
          <w:szCs w:val="24"/>
        </w:rPr>
        <w:t>HCR</w:t>
      </w:r>
      <w:r w:rsidR="00E97A65">
        <w:rPr>
          <w:rFonts w:ascii="Times New Roman" w:hAnsi="Times New Roman" w:cs="Times New Roman"/>
          <w:sz w:val="24"/>
          <w:szCs w:val="24"/>
        </w:rPr>
        <w:t>”)</w:t>
      </w:r>
      <w:r w:rsidR="008338FC" w:rsidRPr="00D07D6A">
        <w:rPr>
          <w:rFonts w:ascii="Times New Roman" w:hAnsi="Times New Roman" w:cs="Times New Roman"/>
          <w:sz w:val="24"/>
          <w:szCs w:val="24"/>
        </w:rPr>
        <w:t>; and</w:t>
      </w:r>
    </w:p>
    <w:p w14:paraId="3AD8436F" w14:textId="0B6E790B" w:rsidR="003D33A3" w:rsidRPr="00D07D6A" w:rsidRDefault="00B11EE2" w:rsidP="002607C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The Mitchell-Lama program provides public financing, including </w:t>
      </w:r>
      <w:r w:rsidR="00DD0D4E">
        <w:rPr>
          <w:rFonts w:ascii="Times New Roman" w:hAnsi="Times New Roman" w:cs="Times New Roman"/>
          <w:sz w:val="24"/>
          <w:szCs w:val="24"/>
        </w:rPr>
        <w:t>long</w:t>
      </w:r>
      <w:r>
        <w:rPr>
          <w:rFonts w:ascii="Times New Roman" w:hAnsi="Times New Roman" w:cs="Times New Roman"/>
          <w:sz w:val="24"/>
          <w:szCs w:val="24"/>
        </w:rPr>
        <w:t xml:space="preserve">-term, </w:t>
      </w:r>
      <w:r w:rsidR="009A3AAE">
        <w:rPr>
          <w:rFonts w:ascii="Times New Roman" w:hAnsi="Times New Roman" w:cs="Times New Roman"/>
          <w:sz w:val="24"/>
          <w:szCs w:val="24"/>
        </w:rPr>
        <w:t>low-interest</w:t>
      </w:r>
      <w:r>
        <w:rPr>
          <w:rFonts w:ascii="Times New Roman" w:hAnsi="Times New Roman" w:cs="Times New Roman"/>
          <w:sz w:val="24"/>
          <w:szCs w:val="24"/>
        </w:rPr>
        <w:t xml:space="preserve"> loans and tax abatements to cover development costs</w:t>
      </w:r>
      <w:r w:rsidR="002607CE">
        <w:rPr>
          <w:rFonts w:ascii="Times New Roman" w:hAnsi="Times New Roman" w:cs="Times New Roman"/>
          <w:sz w:val="24"/>
          <w:szCs w:val="24"/>
        </w:rPr>
        <w:t xml:space="preserve"> and in exchange, </w:t>
      </w:r>
      <w:r w:rsidR="00EB3E68" w:rsidRPr="00D07D6A">
        <w:rPr>
          <w:rFonts w:ascii="Times New Roman" w:hAnsi="Times New Roman" w:cs="Times New Roman"/>
          <w:sz w:val="24"/>
          <w:szCs w:val="24"/>
        </w:rPr>
        <w:t>developments</w:t>
      </w:r>
      <w:r w:rsidR="00DD0D4E">
        <w:rPr>
          <w:rFonts w:ascii="Times New Roman" w:hAnsi="Times New Roman" w:cs="Times New Roman"/>
          <w:sz w:val="24"/>
          <w:szCs w:val="24"/>
        </w:rPr>
        <w:t xml:space="preserve"> </w:t>
      </w:r>
      <w:r w:rsidR="00B52FDC" w:rsidRPr="00D07D6A">
        <w:rPr>
          <w:rFonts w:ascii="Times New Roman" w:hAnsi="Times New Roman" w:cs="Times New Roman"/>
          <w:sz w:val="24"/>
          <w:szCs w:val="24"/>
        </w:rPr>
        <w:t xml:space="preserve">must maintain affordability for </w:t>
      </w:r>
      <w:r w:rsidR="009145F3">
        <w:rPr>
          <w:rFonts w:ascii="Times New Roman" w:hAnsi="Times New Roman" w:cs="Times New Roman"/>
          <w:sz w:val="24"/>
          <w:szCs w:val="24"/>
        </w:rPr>
        <w:t xml:space="preserve">a </w:t>
      </w:r>
      <w:r w:rsidR="00B52FDC" w:rsidRPr="00D07D6A">
        <w:rPr>
          <w:rFonts w:ascii="Times New Roman" w:hAnsi="Times New Roman" w:cs="Times New Roman"/>
          <w:sz w:val="24"/>
          <w:szCs w:val="24"/>
        </w:rPr>
        <w:t>period ranging from 20 to 40 years according to HCR and HPD regulations; and</w:t>
      </w:r>
    </w:p>
    <w:p w14:paraId="7F7BE1F0" w14:textId="282642A3" w:rsidR="00EB3E68" w:rsidRPr="00D07D6A" w:rsidRDefault="00B52FDC" w:rsidP="00D00A8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 xml:space="preserve">Whereas, Mitchell-Lama cooperatives operate with affordability requirements that include </w:t>
      </w:r>
      <w:r w:rsidR="00EB3E68" w:rsidRPr="00D07D6A">
        <w:rPr>
          <w:rFonts w:ascii="Times New Roman" w:hAnsi="Times New Roman" w:cs="Times New Roman"/>
          <w:sz w:val="24"/>
          <w:szCs w:val="24"/>
        </w:rPr>
        <w:t>(1)</w:t>
      </w:r>
      <w:r w:rsidR="00D00A8A">
        <w:rPr>
          <w:rFonts w:ascii="Times New Roman" w:hAnsi="Times New Roman" w:cs="Times New Roman"/>
          <w:sz w:val="24"/>
          <w:szCs w:val="24"/>
        </w:rPr>
        <w:t xml:space="preserve"> </w:t>
      </w:r>
      <w:r w:rsidRPr="00D07D6A">
        <w:rPr>
          <w:rFonts w:ascii="Times New Roman" w:hAnsi="Times New Roman" w:cs="Times New Roman"/>
          <w:sz w:val="24"/>
          <w:szCs w:val="24"/>
        </w:rPr>
        <w:t xml:space="preserve">a </w:t>
      </w:r>
      <w:r w:rsidR="00D00A8A" w:rsidRPr="00D07D6A">
        <w:rPr>
          <w:rFonts w:ascii="Times New Roman" w:hAnsi="Times New Roman" w:cs="Times New Roman"/>
          <w:sz w:val="24"/>
          <w:szCs w:val="24"/>
        </w:rPr>
        <w:t>not-for-profit</w:t>
      </w:r>
      <w:r w:rsidRPr="00D07D6A">
        <w:rPr>
          <w:rFonts w:ascii="Times New Roman" w:hAnsi="Times New Roman" w:cs="Times New Roman"/>
          <w:sz w:val="24"/>
          <w:szCs w:val="24"/>
        </w:rPr>
        <w:t xml:space="preserve"> sales formula limiting shareholders to recover their original investment without profit upon sale</w:t>
      </w:r>
      <w:r w:rsidR="00EB3E68" w:rsidRPr="00D07D6A">
        <w:rPr>
          <w:rFonts w:ascii="Times New Roman" w:hAnsi="Times New Roman" w:cs="Times New Roman"/>
          <w:sz w:val="24"/>
          <w:szCs w:val="24"/>
        </w:rPr>
        <w:t xml:space="preserve">, (2) </w:t>
      </w:r>
      <w:r w:rsidRPr="00D07D6A">
        <w:rPr>
          <w:rFonts w:ascii="Times New Roman" w:hAnsi="Times New Roman" w:cs="Times New Roman"/>
          <w:sz w:val="24"/>
          <w:szCs w:val="24"/>
        </w:rPr>
        <w:t>income restrictions ensuring new residents meet affordability criteria</w:t>
      </w:r>
      <w:r w:rsidR="00EB3E68" w:rsidRPr="00D07D6A">
        <w:rPr>
          <w:rFonts w:ascii="Times New Roman" w:hAnsi="Times New Roman" w:cs="Times New Roman"/>
          <w:sz w:val="24"/>
          <w:szCs w:val="24"/>
        </w:rPr>
        <w:t>, and (3)</w:t>
      </w:r>
      <w:r w:rsidRPr="00D07D6A">
        <w:rPr>
          <w:rFonts w:ascii="Times New Roman" w:hAnsi="Times New Roman" w:cs="Times New Roman"/>
          <w:sz w:val="24"/>
          <w:szCs w:val="24"/>
        </w:rPr>
        <w:t xml:space="preserve"> </w:t>
      </w:r>
      <w:r w:rsidR="009145F3">
        <w:rPr>
          <w:rFonts w:ascii="Times New Roman" w:hAnsi="Times New Roman" w:cs="Times New Roman"/>
          <w:sz w:val="24"/>
          <w:szCs w:val="24"/>
        </w:rPr>
        <w:t>using a</w:t>
      </w:r>
      <w:r w:rsidR="009145F3" w:rsidRPr="00D07D6A">
        <w:rPr>
          <w:rFonts w:ascii="Times New Roman" w:hAnsi="Times New Roman" w:cs="Times New Roman"/>
          <w:sz w:val="24"/>
          <w:szCs w:val="24"/>
        </w:rPr>
        <w:t xml:space="preserve"> </w:t>
      </w:r>
      <w:r w:rsidRPr="00D07D6A">
        <w:rPr>
          <w:rFonts w:ascii="Times New Roman" w:hAnsi="Times New Roman" w:cs="Times New Roman"/>
          <w:sz w:val="24"/>
          <w:szCs w:val="24"/>
        </w:rPr>
        <w:t>waiting list for</w:t>
      </w:r>
      <w:r w:rsidR="009145F3">
        <w:rPr>
          <w:rFonts w:ascii="Times New Roman" w:hAnsi="Times New Roman" w:cs="Times New Roman"/>
          <w:sz w:val="24"/>
          <w:szCs w:val="24"/>
        </w:rPr>
        <w:t xml:space="preserve"> new</w:t>
      </w:r>
      <w:r w:rsidRPr="00D07D6A">
        <w:rPr>
          <w:rFonts w:ascii="Times New Roman" w:hAnsi="Times New Roman" w:cs="Times New Roman"/>
          <w:sz w:val="24"/>
          <w:szCs w:val="24"/>
        </w:rPr>
        <w:t xml:space="preserve"> tenant selection; and </w:t>
      </w:r>
    </w:p>
    <w:p w14:paraId="4E97B178" w14:textId="110B16D3" w:rsidR="00EB3E68" w:rsidRPr="00D07D6A" w:rsidRDefault="00EB3E68" w:rsidP="00D00A8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 xml:space="preserve">Whereas, The not-for-profit sales formula </w:t>
      </w:r>
      <w:r w:rsidR="00B52FDC" w:rsidRPr="00D07D6A">
        <w:rPr>
          <w:rFonts w:ascii="Times New Roman" w:hAnsi="Times New Roman" w:cs="Times New Roman"/>
          <w:sz w:val="24"/>
          <w:szCs w:val="24"/>
        </w:rPr>
        <w:t xml:space="preserve">aims to keep Mitchell-Lama cooperative units </w:t>
      </w:r>
      <w:r w:rsidR="00FB1E57">
        <w:rPr>
          <w:rFonts w:ascii="Times New Roman" w:hAnsi="Times New Roman" w:cs="Times New Roman"/>
          <w:sz w:val="24"/>
          <w:szCs w:val="24"/>
        </w:rPr>
        <w:t xml:space="preserve">deeply </w:t>
      </w:r>
      <w:r w:rsidR="00B52FDC" w:rsidRPr="00D07D6A">
        <w:rPr>
          <w:rFonts w:ascii="Times New Roman" w:hAnsi="Times New Roman" w:cs="Times New Roman"/>
          <w:sz w:val="24"/>
          <w:szCs w:val="24"/>
        </w:rPr>
        <w:t xml:space="preserve">affordable </w:t>
      </w:r>
      <w:r w:rsidR="00FB1E57">
        <w:rPr>
          <w:rFonts w:ascii="Times New Roman" w:hAnsi="Times New Roman" w:cs="Times New Roman"/>
          <w:sz w:val="24"/>
          <w:szCs w:val="24"/>
        </w:rPr>
        <w:t>in perpetuity, making Mitchell-Lama cooperatives a critical element in addressing the City’s housing affordability crisis</w:t>
      </w:r>
      <w:r w:rsidRPr="00D07D6A">
        <w:rPr>
          <w:rFonts w:ascii="Times New Roman" w:hAnsi="Times New Roman" w:cs="Times New Roman"/>
          <w:sz w:val="24"/>
          <w:szCs w:val="24"/>
        </w:rPr>
        <w:t>; and</w:t>
      </w:r>
    </w:p>
    <w:p w14:paraId="7F20BF60" w14:textId="5CDCCBED" w:rsidR="00EB3E68" w:rsidRDefault="00EB3E68" w:rsidP="00D00A8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lastRenderedPageBreak/>
        <w:t>Whereas, The Housing Development Fund Companies (</w:t>
      </w:r>
      <w:r w:rsidR="00B36D21">
        <w:rPr>
          <w:rFonts w:ascii="Times New Roman" w:hAnsi="Times New Roman" w:cs="Times New Roman"/>
          <w:sz w:val="24"/>
          <w:szCs w:val="24"/>
        </w:rPr>
        <w:t>“</w:t>
      </w:r>
      <w:r w:rsidRPr="00D07D6A">
        <w:rPr>
          <w:rFonts w:ascii="Times New Roman" w:hAnsi="Times New Roman" w:cs="Times New Roman"/>
          <w:sz w:val="24"/>
          <w:szCs w:val="24"/>
        </w:rPr>
        <w:t>HDFC</w:t>
      </w:r>
      <w:r w:rsidR="00B36D21">
        <w:rPr>
          <w:rFonts w:ascii="Times New Roman" w:hAnsi="Times New Roman" w:cs="Times New Roman"/>
          <w:sz w:val="24"/>
          <w:szCs w:val="24"/>
        </w:rPr>
        <w:t>”</w:t>
      </w:r>
      <w:r w:rsidRPr="00D07D6A">
        <w:rPr>
          <w:rFonts w:ascii="Times New Roman" w:hAnsi="Times New Roman" w:cs="Times New Roman"/>
          <w:sz w:val="24"/>
          <w:szCs w:val="24"/>
        </w:rPr>
        <w:t xml:space="preserve">) program, created under Article XI of the </w:t>
      </w:r>
      <w:r w:rsidR="00D07D6A">
        <w:rPr>
          <w:rFonts w:ascii="Times New Roman" w:hAnsi="Times New Roman" w:cs="Times New Roman"/>
          <w:sz w:val="24"/>
          <w:szCs w:val="24"/>
        </w:rPr>
        <w:t>PHFL</w:t>
      </w:r>
      <w:r w:rsidRPr="00D07D6A">
        <w:rPr>
          <w:rFonts w:ascii="Times New Roman" w:hAnsi="Times New Roman" w:cs="Times New Roman"/>
          <w:sz w:val="24"/>
          <w:szCs w:val="24"/>
        </w:rPr>
        <w:t>, differs from the Mitchell-Lama program in that it is designed to allow “limited profit” upon resale of shares,</w:t>
      </w:r>
      <w:r w:rsidR="002607CE">
        <w:rPr>
          <w:rFonts w:ascii="Times New Roman" w:hAnsi="Times New Roman" w:cs="Times New Roman"/>
          <w:sz w:val="24"/>
          <w:szCs w:val="24"/>
        </w:rPr>
        <w:t xml:space="preserve"> resulting in</w:t>
      </w:r>
      <w:r w:rsidRPr="00D07D6A">
        <w:rPr>
          <w:rFonts w:ascii="Times New Roman" w:hAnsi="Times New Roman" w:cs="Times New Roman"/>
          <w:sz w:val="24"/>
          <w:szCs w:val="24"/>
        </w:rPr>
        <w:t xml:space="preserve"> higher</w:t>
      </w:r>
      <w:r w:rsidR="002607CE">
        <w:rPr>
          <w:rFonts w:ascii="Times New Roman" w:hAnsi="Times New Roman" w:cs="Times New Roman"/>
          <w:sz w:val="24"/>
          <w:szCs w:val="24"/>
        </w:rPr>
        <w:t xml:space="preserve"> share</w:t>
      </w:r>
      <w:r w:rsidRPr="00D07D6A">
        <w:rPr>
          <w:rFonts w:ascii="Times New Roman" w:hAnsi="Times New Roman" w:cs="Times New Roman"/>
          <w:sz w:val="24"/>
          <w:szCs w:val="24"/>
        </w:rPr>
        <w:t xml:space="preserve"> prices than the not-for-profit Mitchell-Lama cooperative program; and</w:t>
      </w:r>
    </w:p>
    <w:p w14:paraId="4D027F82" w14:textId="654F0215" w:rsidR="00894ECA" w:rsidRPr="00D07D6A" w:rsidRDefault="00EB3E68" w:rsidP="00A85D6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>Whereas,</w:t>
      </w:r>
      <w:r w:rsidR="00B52FDC" w:rsidRPr="00D07D6A">
        <w:rPr>
          <w:rFonts w:ascii="Times New Roman" w:hAnsi="Times New Roman" w:cs="Times New Roman"/>
          <w:sz w:val="24"/>
          <w:szCs w:val="24"/>
        </w:rPr>
        <w:t xml:space="preserve"> </w:t>
      </w:r>
      <w:r w:rsidR="00D07D6A">
        <w:rPr>
          <w:rFonts w:ascii="Times New Roman" w:hAnsi="Times New Roman" w:cs="Times New Roman"/>
          <w:sz w:val="24"/>
          <w:szCs w:val="24"/>
        </w:rPr>
        <w:t>According to Cooperators United for Mitchell-Lama</w:t>
      </w:r>
      <w:r w:rsidR="001E3853">
        <w:rPr>
          <w:rFonts w:ascii="Times New Roman" w:hAnsi="Times New Roman" w:cs="Times New Roman"/>
          <w:sz w:val="24"/>
          <w:szCs w:val="24"/>
        </w:rPr>
        <w:t xml:space="preserve"> (“CU4ML”)</w:t>
      </w:r>
      <w:r w:rsidR="00D07D6A">
        <w:rPr>
          <w:rFonts w:ascii="Times New Roman" w:hAnsi="Times New Roman" w:cs="Times New Roman"/>
          <w:sz w:val="24"/>
          <w:szCs w:val="24"/>
        </w:rPr>
        <w:t>,</w:t>
      </w:r>
      <w:r w:rsidR="001E3853">
        <w:rPr>
          <w:rFonts w:ascii="Times New Roman" w:hAnsi="Times New Roman" w:cs="Times New Roman"/>
          <w:sz w:val="24"/>
          <w:szCs w:val="24"/>
        </w:rPr>
        <w:t xml:space="preserve"> an advocacy group representing Mitchell-Lama cooperators,</w:t>
      </w:r>
      <w:r w:rsidRPr="00D07D6A">
        <w:rPr>
          <w:rFonts w:ascii="Times New Roman" w:hAnsi="Times New Roman" w:cs="Times New Roman"/>
          <w:sz w:val="24"/>
          <w:szCs w:val="24"/>
        </w:rPr>
        <w:t xml:space="preserve"> Article XI cooperatives </w:t>
      </w:r>
      <w:r w:rsidR="001E3853">
        <w:rPr>
          <w:rFonts w:ascii="Times New Roman" w:hAnsi="Times New Roman" w:cs="Times New Roman"/>
          <w:sz w:val="24"/>
          <w:szCs w:val="24"/>
        </w:rPr>
        <w:t>typically targeted</w:t>
      </w:r>
      <w:r w:rsidR="002607CE">
        <w:rPr>
          <w:rFonts w:ascii="Times New Roman" w:hAnsi="Times New Roman" w:cs="Times New Roman"/>
          <w:sz w:val="24"/>
          <w:szCs w:val="24"/>
        </w:rPr>
        <w:t xml:space="preserve"> small </w:t>
      </w:r>
      <w:r w:rsidRPr="00D07D6A">
        <w:rPr>
          <w:rFonts w:ascii="Times New Roman" w:hAnsi="Times New Roman" w:cs="Times New Roman"/>
          <w:sz w:val="24"/>
          <w:szCs w:val="24"/>
        </w:rPr>
        <w:t>deteriorating rental buildings</w:t>
      </w:r>
      <w:r w:rsidR="00BB54BC">
        <w:rPr>
          <w:rFonts w:ascii="Times New Roman" w:hAnsi="Times New Roman" w:cs="Times New Roman"/>
          <w:sz w:val="24"/>
          <w:szCs w:val="24"/>
        </w:rPr>
        <w:t>,</w:t>
      </w:r>
      <w:r w:rsidRPr="00D07D6A">
        <w:rPr>
          <w:rFonts w:ascii="Times New Roman" w:hAnsi="Times New Roman" w:cs="Times New Roman"/>
          <w:sz w:val="24"/>
          <w:szCs w:val="24"/>
        </w:rPr>
        <w:t xml:space="preserve"> which were also much smaller on average, </w:t>
      </w:r>
      <w:r w:rsidR="001E3853">
        <w:rPr>
          <w:rFonts w:ascii="Times New Roman" w:hAnsi="Times New Roman" w:cs="Times New Roman"/>
          <w:sz w:val="24"/>
          <w:szCs w:val="24"/>
        </w:rPr>
        <w:t>whereas Article II</w:t>
      </w:r>
      <w:r w:rsidR="00894ECA">
        <w:rPr>
          <w:rFonts w:ascii="Times New Roman" w:hAnsi="Times New Roman" w:cs="Times New Roman"/>
          <w:sz w:val="24"/>
          <w:szCs w:val="24"/>
        </w:rPr>
        <w:t>,</w:t>
      </w:r>
      <w:r w:rsidR="001E3853">
        <w:rPr>
          <w:rFonts w:ascii="Times New Roman" w:hAnsi="Times New Roman" w:cs="Times New Roman"/>
          <w:sz w:val="24"/>
          <w:szCs w:val="24"/>
        </w:rPr>
        <w:t xml:space="preserve"> </w:t>
      </w:r>
      <w:r w:rsidR="00894ECA">
        <w:rPr>
          <w:rFonts w:ascii="Times New Roman" w:hAnsi="Times New Roman" w:cs="Times New Roman"/>
          <w:sz w:val="24"/>
          <w:szCs w:val="24"/>
        </w:rPr>
        <w:t>Mitchell</w:t>
      </w:r>
      <w:r w:rsidR="00C34B65">
        <w:rPr>
          <w:rFonts w:ascii="Times New Roman" w:hAnsi="Times New Roman" w:cs="Times New Roman"/>
          <w:sz w:val="24"/>
          <w:szCs w:val="24"/>
        </w:rPr>
        <w:t>-</w:t>
      </w:r>
      <w:r w:rsidR="00894ECA">
        <w:rPr>
          <w:rFonts w:ascii="Times New Roman" w:hAnsi="Times New Roman" w:cs="Times New Roman"/>
          <w:sz w:val="24"/>
          <w:szCs w:val="24"/>
        </w:rPr>
        <w:t xml:space="preserve">Lama developments </w:t>
      </w:r>
      <w:r w:rsidR="001E3853">
        <w:rPr>
          <w:rFonts w:ascii="Times New Roman" w:hAnsi="Times New Roman" w:cs="Times New Roman"/>
          <w:sz w:val="24"/>
          <w:szCs w:val="24"/>
        </w:rPr>
        <w:t>were generally larger affordable housing complexes</w:t>
      </w:r>
      <w:r w:rsidRPr="00D07D6A">
        <w:rPr>
          <w:rFonts w:ascii="Times New Roman" w:hAnsi="Times New Roman" w:cs="Times New Roman"/>
          <w:sz w:val="24"/>
          <w:szCs w:val="24"/>
        </w:rPr>
        <w:t>; and</w:t>
      </w:r>
    </w:p>
    <w:p w14:paraId="673C49C7" w14:textId="21754077" w:rsidR="00EB3E68" w:rsidRDefault="00EB3E68" w:rsidP="00894EC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>Whereas,</w:t>
      </w:r>
      <w:r w:rsidR="003D33A3">
        <w:rPr>
          <w:rFonts w:ascii="Times New Roman" w:hAnsi="Times New Roman" w:cs="Times New Roman"/>
          <w:sz w:val="24"/>
          <w:szCs w:val="24"/>
        </w:rPr>
        <w:t xml:space="preserve"> </w:t>
      </w:r>
      <w:r w:rsidRPr="00D07D6A">
        <w:rPr>
          <w:rFonts w:ascii="Times New Roman" w:hAnsi="Times New Roman" w:cs="Times New Roman"/>
          <w:sz w:val="24"/>
          <w:szCs w:val="24"/>
        </w:rPr>
        <w:t xml:space="preserve">HPD, in conjunction with the </w:t>
      </w:r>
      <w:r w:rsidR="001E3853">
        <w:rPr>
          <w:rFonts w:ascii="Times New Roman" w:hAnsi="Times New Roman" w:cs="Times New Roman"/>
          <w:sz w:val="24"/>
          <w:szCs w:val="24"/>
        </w:rPr>
        <w:t>NYC</w:t>
      </w:r>
      <w:r w:rsidRPr="00D07D6A">
        <w:rPr>
          <w:rFonts w:ascii="Times New Roman" w:hAnsi="Times New Roman" w:cs="Times New Roman"/>
          <w:sz w:val="24"/>
          <w:szCs w:val="24"/>
        </w:rPr>
        <w:t xml:space="preserve"> Housing Development Corporation (</w:t>
      </w:r>
      <w:r w:rsidR="001E3853">
        <w:rPr>
          <w:rFonts w:ascii="Times New Roman" w:hAnsi="Times New Roman" w:cs="Times New Roman"/>
          <w:sz w:val="24"/>
          <w:szCs w:val="24"/>
        </w:rPr>
        <w:t>“</w:t>
      </w:r>
      <w:r w:rsidRPr="00D07D6A">
        <w:rPr>
          <w:rFonts w:ascii="Times New Roman" w:hAnsi="Times New Roman" w:cs="Times New Roman"/>
          <w:sz w:val="24"/>
          <w:szCs w:val="24"/>
        </w:rPr>
        <w:t>HDC</w:t>
      </w:r>
      <w:r w:rsidR="001E3853">
        <w:rPr>
          <w:rFonts w:ascii="Times New Roman" w:hAnsi="Times New Roman" w:cs="Times New Roman"/>
          <w:sz w:val="24"/>
          <w:szCs w:val="24"/>
        </w:rPr>
        <w:t>”</w:t>
      </w:r>
      <w:r w:rsidRPr="00D07D6A">
        <w:rPr>
          <w:rFonts w:ascii="Times New Roman" w:hAnsi="Times New Roman" w:cs="Times New Roman"/>
          <w:sz w:val="24"/>
          <w:szCs w:val="24"/>
        </w:rPr>
        <w:t xml:space="preserve">), developed the Article II to Article XI </w:t>
      </w:r>
      <w:r w:rsidR="005E4D5E">
        <w:rPr>
          <w:rFonts w:ascii="Times New Roman" w:hAnsi="Times New Roman" w:cs="Times New Roman"/>
          <w:sz w:val="24"/>
          <w:szCs w:val="24"/>
        </w:rPr>
        <w:t xml:space="preserve">conversion </w:t>
      </w:r>
      <w:r w:rsidR="00894ECA" w:rsidRPr="00D07D6A">
        <w:rPr>
          <w:rFonts w:ascii="Times New Roman" w:hAnsi="Times New Roman" w:cs="Times New Roman"/>
          <w:sz w:val="24"/>
          <w:szCs w:val="24"/>
        </w:rPr>
        <w:t>p</w:t>
      </w:r>
      <w:r w:rsidR="00894ECA">
        <w:rPr>
          <w:rFonts w:ascii="Times New Roman" w:hAnsi="Times New Roman" w:cs="Times New Roman"/>
          <w:sz w:val="24"/>
          <w:szCs w:val="24"/>
        </w:rPr>
        <w:t>rogram</w:t>
      </w:r>
      <w:r w:rsidR="00894ECA" w:rsidRPr="00D07D6A">
        <w:rPr>
          <w:rFonts w:ascii="Times New Roman" w:hAnsi="Times New Roman" w:cs="Times New Roman"/>
          <w:sz w:val="24"/>
          <w:szCs w:val="24"/>
        </w:rPr>
        <w:t xml:space="preserve"> </w:t>
      </w:r>
      <w:r w:rsidRPr="00D07D6A">
        <w:rPr>
          <w:rFonts w:ascii="Times New Roman" w:hAnsi="Times New Roman" w:cs="Times New Roman"/>
          <w:sz w:val="24"/>
          <w:szCs w:val="24"/>
        </w:rPr>
        <w:t>to encourage the conversion of Mitchell-Lama cooperatives to HDFCs</w:t>
      </w:r>
      <w:r w:rsidR="00494D60">
        <w:rPr>
          <w:rFonts w:ascii="Times New Roman" w:hAnsi="Times New Roman" w:cs="Times New Roman"/>
          <w:sz w:val="24"/>
          <w:szCs w:val="24"/>
        </w:rPr>
        <w:t>,</w:t>
      </w:r>
      <w:r w:rsidR="00894ECA">
        <w:rPr>
          <w:rFonts w:ascii="Times New Roman" w:hAnsi="Times New Roman" w:cs="Times New Roman"/>
          <w:sz w:val="24"/>
          <w:szCs w:val="24"/>
        </w:rPr>
        <w:t xml:space="preserve"> which according to CU4ML results in </w:t>
      </w:r>
      <w:r w:rsidRPr="00D07D6A">
        <w:rPr>
          <w:rFonts w:ascii="Times New Roman" w:hAnsi="Times New Roman" w:cs="Times New Roman"/>
          <w:sz w:val="24"/>
          <w:szCs w:val="24"/>
        </w:rPr>
        <w:t>large increase</w:t>
      </w:r>
      <w:r w:rsidR="00894ECA">
        <w:rPr>
          <w:rFonts w:ascii="Times New Roman" w:hAnsi="Times New Roman" w:cs="Times New Roman"/>
          <w:sz w:val="24"/>
          <w:szCs w:val="24"/>
        </w:rPr>
        <w:t>s</w:t>
      </w:r>
      <w:r w:rsidRPr="00D07D6A">
        <w:rPr>
          <w:rFonts w:ascii="Times New Roman" w:hAnsi="Times New Roman" w:cs="Times New Roman"/>
          <w:sz w:val="24"/>
          <w:szCs w:val="24"/>
        </w:rPr>
        <w:t xml:space="preserve"> in </w:t>
      </w:r>
      <w:r w:rsidR="00AF3F04">
        <w:rPr>
          <w:rFonts w:ascii="Times New Roman" w:hAnsi="Times New Roman" w:cs="Times New Roman"/>
          <w:sz w:val="24"/>
          <w:szCs w:val="24"/>
        </w:rPr>
        <w:t xml:space="preserve">cooperative share </w:t>
      </w:r>
      <w:r w:rsidRPr="00D07D6A">
        <w:rPr>
          <w:rFonts w:ascii="Times New Roman" w:hAnsi="Times New Roman" w:cs="Times New Roman"/>
          <w:sz w:val="24"/>
          <w:szCs w:val="24"/>
        </w:rPr>
        <w:t>prices, making</w:t>
      </w:r>
      <w:r w:rsidR="00AF3F04">
        <w:rPr>
          <w:rFonts w:ascii="Times New Roman" w:hAnsi="Times New Roman" w:cs="Times New Roman"/>
          <w:sz w:val="24"/>
          <w:szCs w:val="24"/>
        </w:rPr>
        <w:t xml:space="preserve"> units less affordable</w:t>
      </w:r>
      <w:r w:rsidRPr="00D07D6A">
        <w:rPr>
          <w:rFonts w:ascii="Times New Roman" w:hAnsi="Times New Roman" w:cs="Times New Roman"/>
          <w:sz w:val="24"/>
          <w:szCs w:val="24"/>
        </w:rPr>
        <w:t xml:space="preserve">, and </w:t>
      </w:r>
      <w:r w:rsidR="003D33A3">
        <w:rPr>
          <w:rFonts w:ascii="Times New Roman" w:hAnsi="Times New Roman" w:cs="Times New Roman"/>
          <w:sz w:val="24"/>
          <w:szCs w:val="24"/>
        </w:rPr>
        <w:t>reduc</w:t>
      </w:r>
      <w:r w:rsidR="00DD0D4E">
        <w:rPr>
          <w:rFonts w:ascii="Times New Roman" w:hAnsi="Times New Roman" w:cs="Times New Roman"/>
          <w:sz w:val="24"/>
          <w:szCs w:val="24"/>
        </w:rPr>
        <w:t>ing</w:t>
      </w:r>
      <w:r w:rsidRPr="00D07D6A">
        <w:rPr>
          <w:rFonts w:ascii="Times New Roman" w:hAnsi="Times New Roman" w:cs="Times New Roman"/>
          <w:sz w:val="24"/>
          <w:szCs w:val="24"/>
        </w:rPr>
        <w:t xml:space="preserve"> the </w:t>
      </w:r>
      <w:r w:rsidR="00311152">
        <w:rPr>
          <w:rFonts w:ascii="Times New Roman" w:hAnsi="Times New Roman" w:cs="Times New Roman"/>
          <w:sz w:val="24"/>
          <w:szCs w:val="24"/>
        </w:rPr>
        <w:t>S</w:t>
      </w:r>
      <w:r w:rsidRPr="00D07D6A">
        <w:rPr>
          <w:rFonts w:ascii="Times New Roman" w:hAnsi="Times New Roman" w:cs="Times New Roman"/>
          <w:sz w:val="24"/>
          <w:szCs w:val="24"/>
        </w:rPr>
        <w:t>tate’s affordable housing stock; and</w:t>
      </w:r>
    </w:p>
    <w:p w14:paraId="0CD52841" w14:textId="06CF5193" w:rsidR="00BE3F3B" w:rsidRPr="00BE3F3B" w:rsidRDefault="00BE3F3B" w:rsidP="00BE3F3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3F3B">
        <w:rPr>
          <w:rFonts w:ascii="Times New Roman" w:hAnsi="Times New Roman" w:cs="Times New Roman"/>
          <w:sz w:val="24"/>
          <w:szCs w:val="24"/>
        </w:rPr>
        <w:t xml:space="preserve">Whereas, According to the </w:t>
      </w:r>
      <w:r w:rsidR="00494D60">
        <w:rPr>
          <w:rFonts w:ascii="Times New Roman" w:hAnsi="Times New Roman" w:cs="Times New Roman"/>
          <w:sz w:val="24"/>
          <w:szCs w:val="24"/>
        </w:rPr>
        <w:t>PHFL</w:t>
      </w:r>
      <w:r w:rsidRPr="00BE3F3B">
        <w:rPr>
          <w:rFonts w:ascii="Times New Roman" w:hAnsi="Times New Roman" w:cs="Times New Roman"/>
          <w:sz w:val="24"/>
          <w:szCs w:val="24"/>
        </w:rPr>
        <w:t>, as amended by Chapter 749 of the Laws of 2021, Mitchell-</w:t>
      </w:r>
      <w:r w:rsidR="00A85D65">
        <w:rPr>
          <w:rFonts w:ascii="Times New Roman" w:hAnsi="Times New Roman" w:cs="Times New Roman"/>
          <w:sz w:val="24"/>
          <w:szCs w:val="24"/>
        </w:rPr>
        <w:t>L</w:t>
      </w:r>
      <w:r w:rsidRPr="00BE3F3B">
        <w:rPr>
          <w:rFonts w:ascii="Times New Roman" w:hAnsi="Times New Roman" w:cs="Times New Roman"/>
          <w:sz w:val="24"/>
          <w:szCs w:val="24"/>
        </w:rPr>
        <w:t xml:space="preserve">ama cooperatives seeking dissolution or reconstitution as a market rate cooperative must meet an 80 percent voting threshold of all dwelling units, and developments are prohibited from holding back-to-back dissolution votes within </w:t>
      </w:r>
      <w:r w:rsidR="00494D60">
        <w:rPr>
          <w:rFonts w:ascii="Times New Roman" w:hAnsi="Times New Roman" w:cs="Times New Roman"/>
          <w:sz w:val="24"/>
          <w:szCs w:val="24"/>
        </w:rPr>
        <w:t>5</w:t>
      </w:r>
      <w:r w:rsidRPr="00BE3F3B">
        <w:rPr>
          <w:rFonts w:ascii="Times New Roman" w:hAnsi="Times New Roman" w:cs="Times New Roman"/>
          <w:sz w:val="24"/>
          <w:szCs w:val="24"/>
        </w:rPr>
        <w:t xml:space="preserve"> years of a failed attempt; and</w:t>
      </w:r>
    </w:p>
    <w:p w14:paraId="45A1B941" w14:textId="5A7915E5" w:rsidR="005C0B5D" w:rsidRDefault="00BE3F3B" w:rsidP="005C0B5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3F3B">
        <w:rPr>
          <w:rFonts w:ascii="Times New Roman" w:hAnsi="Times New Roman" w:cs="Times New Roman"/>
          <w:sz w:val="24"/>
          <w:szCs w:val="24"/>
        </w:rPr>
        <w:t xml:space="preserve">Whereas, Despite these requirements for Mitchell-Lama exits, the Article II to Article XI conversion program allows Mitchell-Lama cooperatives to reconstitute as HDFCs through a different process that requires only a 66 </w:t>
      </w:r>
      <w:r w:rsidR="00494D60">
        <w:rPr>
          <w:rFonts w:ascii="Times New Roman" w:hAnsi="Times New Roman" w:cs="Times New Roman"/>
          <w:sz w:val="24"/>
          <w:szCs w:val="24"/>
        </w:rPr>
        <w:t>and two thirds</w:t>
      </w:r>
      <w:r w:rsidRPr="00BE3F3B">
        <w:rPr>
          <w:rFonts w:ascii="Times New Roman" w:hAnsi="Times New Roman" w:cs="Times New Roman"/>
          <w:sz w:val="24"/>
          <w:szCs w:val="24"/>
        </w:rPr>
        <w:t xml:space="preserve"> percent voting threshold, compared to the 80 percent required for traditional dissolution or reconstitution as a market rate cooperative; and</w:t>
      </w:r>
    </w:p>
    <w:p w14:paraId="1BDB2DCB" w14:textId="7249D372" w:rsidR="00A85D65" w:rsidRDefault="00A85D65" w:rsidP="00A85D6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 xml:space="preserve">Whereas, HPD’s and HDC’s Article II to Article XI conversion plan </w:t>
      </w:r>
      <w:r>
        <w:rPr>
          <w:rFonts w:ascii="Times New Roman" w:hAnsi="Times New Roman" w:cs="Times New Roman"/>
          <w:sz w:val="24"/>
          <w:szCs w:val="24"/>
        </w:rPr>
        <w:t>allows outgoing Mitchell-Lama shareholders to receive windfall profits from the sale of their apartment</w:t>
      </w:r>
      <w:r w:rsidR="00AF3F0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profits </w:t>
      </w:r>
      <w:r>
        <w:rPr>
          <w:rFonts w:ascii="Times New Roman" w:hAnsi="Times New Roman" w:cs="Times New Roman"/>
          <w:sz w:val="24"/>
          <w:szCs w:val="24"/>
        </w:rPr>
        <w:lastRenderedPageBreak/>
        <w:t>that come from decades of public funding including tax exemptions and low-cost financing, creating a financial incentive to vote for conversion that undermines the public purpose of the Mitchell-Lama Program; and</w:t>
      </w:r>
    </w:p>
    <w:p w14:paraId="620C62F5" w14:textId="1541B3C7" w:rsidR="005A51E7" w:rsidRPr="00D07D6A" w:rsidRDefault="005A51E7" w:rsidP="00A85D6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Continuing to provide tax exemptions to developments that convert from Mitchell</w:t>
      </w:r>
      <w:r w:rsidR="00494D6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Lama to Article XI inappropriately uses public subsidies to support </w:t>
      </w:r>
      <w:r w:rsidR="00430FC6">
        <w:rPr>
          <w:rFonts w:ascii="Times New Roman" w:hAnsi="Times New Roman" w:cs="Times New Roman"/>
          <w:sz w:val="24"/>
          <w:szCs w:val="24"/>
        </w:rPr>
        <w:t>units with significantly higher prices instead of maintaining deep</w:t>
      </w:r>
      <w:r w:rsidR="00494D60">
        <w:rPr>
          <w:rFonts w:ascii="Times New Roman" w:hAnsi="Times New Roman" w:cs="Times New Roman"/>
          <w:sz w:val="24"/>
          <w:szCs w:val="24"/>
        </w:rPr>
        <w:t>ly</w:t>
      </w:r>
      <w:r w:rsidR="00430FC6">
        <w:rPr>
          <w:rFonts w:ascii="Times New Roman" w:hAnsi="Times New Roman" w:cs="Times New Roman"/>
          <w:sz w:val="24"/>
          <w:szCs w:val="24"/>
        </w:rPr>
        <w:t xml:space="preserve"> affordable housing; and</w:t>
      </w:r>
    </w:p>
    <w:p w14:paraId="275FD72C" w14:textId="2DF6CAA4" w:rsidR="00FE02E4" w:rsidRPr="00D07D6A" w:rsidRDefault="00FE02E4" w:rsidP="00D00A8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 xml:space="preserve">Whereas, The Martin Act (New York General Business Law Article 23-A) is </w:t>
      </w:r>
      <w:r w:rsidR="00494D60">
        <w:rPr>
          <w:rFonts w:ascii="Times New Roman" w:hAnsi="Times New Roman" w:cs="Times New Roman"/>
          <w:sz w:val="24"/>
          <w:szCs w:val="24"/>
        </w:rPr>
        <w:t xml:space="preserve">the </w:t>
      </w:r>
      <w:r w:rsidRPr="00D07D6A">
        <w:rPr>
          <w:rFonts w:ascii="Times New Roman" w:hAnsi="Times New Roman" w:cs="Times New Roman"/>
          <w:sz w:val="24"/>
          <w:szCs w:val="24"/>
        </w:rPr>
        <w:t>State’s securities law that requires full disclosure and transparency in real estate offerings, including cooperative conversions</w:t>
      </w:r>
      <w:r w:rsidR="00494D60">
        <w:rPr>
          <w:rFonts w:ascii="Times New Roman" w:hAnsi="Times New Roman" w:cs="Times New Roman"/>
          <w:sz w:val="24"/>
          <w:szCs w:val="24"/>
        </w:rPr>
        <w:t>,</w:t>
      </w:r>
      <w:r w:rsidRPr="00D07D6A">
        <w:rPr>
          <w:rFonts w:ascii="Times New Roman" w:hAnsi="Times New Roman" w:cs="Times New Roman"/>
          <w:sz w:val="24"/>
          <w:szCs w:val="24"/>
        </w:rPr>
        <w:t xml:space="preserve"> and provide</w:t>
      </w:r>
      <w:r w:rsidR="00DD0D4E">
        <w:rPr>
          <w:rFonts w:ascii="Times New Roman" w:hAnsi="Times New Roman" w:cs="Times New Roman"/>
          <w:sz w:val="24"/>
          <w:szCs w:val="24"/>
        </w:rPr>
        <w:t>s</w:t>
      </w:r>
      <w:r w:rsidRPr="00D07D6A">
        <w:rPr>
          <w:rFonts w:ascii="Times New Roman" w:hAnsi="Times New Roman" w:cs="Times New Roman"/>
          <w:sz w:val="24"/>
          <w:szCs w:val="24"/>
        </w:rPr>
        <w:t xml:space="preserve"> important protections for shareholders during the conversion process; and</w:t>
      </w:r>
    </w:p>
    <w:p w14:paraId="59B8E6F8" w14:textId="30207D56" w:rsidR="00EB3E68" w:rsidRDefault="00EB3E68" w:rsidP="00D00A8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 xml:space="preserve">Whereas, </w:t>
      </w:r>
      <w:r w:rsidR="00EF4333">
        <w:rPr>
          <w:rFonts w:ascii="Times New Roman" w:hAnsi="Times New Roman" w:cs="Times New Roman"/>
          <w:sz w:val="24"/>
          <w:szCs w:val="24"/>
        </w:rPr>
        <w:t>CU4ML has</w:t>
      </w:r>
      <w:r w:rsidR="00FE02E4" w:rsidRPr="00D07D6A">
        <w:rPr>
          <w:rFonts w:ascii="Times New Roman" w:hAnsi="Times New Roman" w:cs="Times New Roman"/>
          <w:sz w:val="24"/>
          <w:szCs w:val="24"/>
        </w:rPr>
        <w:t xml:space="preserve"> raised concerns that </w:t>
      </w:r>
      <w:r w:rsidRPr="00D07D6A">
        <w:rPr>
          <w:rFonts w:ascii="Times New Roman" w:hAnsi="Times New Roman" w:cs="Times New Roman"/>
          <w:sz w:val="24"/>
          <w:szCs w:val="24"/>
        </w:rPr>
        <w:t xml:space="preserve">Article II to XI </w:t>
      </w:r>
      <w:r w:rsidR="00EF4333">
        <w:rPr>
          <w:rFonts w:ascii="Times New Roman" w:hAnsi="Times New Roman" w:cs="Times New Roman"/>
          <w:sz w:val="24"/>
          <w:szCs w:val="24"/>
        </w:rPr>
        <w:t xml:space="preserve">conversions </w:t>
      </w:r>
      <w:r w:rsidRPr="00D07D6A">
        <w:rPr>
          <w:rFonts w:ascii="Times New Roman" w:hAnsi="Times New Roman" w:cs="Times New Roman"/>
          <w:sz w:val="24"/>
          <w:szCs w:val="24"/>
        </w:rPr>
        <w:t>are subject to unusual exceptions</w:t>
      </w:r>
      <w:r w:rsidR="00AF3F04">
        <w:rPr>
          <w:rFonts w:ascii="Times New Roman" w:hAnsi="Times New Roman" w:cs="Times New Roman"/>
          <w:sz w:val="24"/>
          <w:szCs w:val="24"/>
        </w:rPr>
        <w:t xml:space="preserve"> under the Martin Act</w:t>
      </w:r>
      <w:r w:rsidRPr="00D07D6A">
        <w:rPr>
          <w:rFonts w:ascii="Times New Roman" w:hAnsi="Times New Roman" w:cs="Times New Roman"/>
          <w:sz w:val="24"/>
          <w:szCs w:val="24"/>
        </w:rPr>
        <w:t>, including an accelerated process</w:t>
      </w:r>
      <w:r w:rsidR="00AF3F04">
        <w:rPr>
          <w:rFonts w:ascii="Times New Roman" w:hAnsi="Times New Roman" w:cs="Times New Roman"/>
          <w:sz w:val="24"/>
          <w:szCs w:val="24"/>
        </w:rPr>
        <w:t xml:space="preserve"> that</w:t>
      </w:r>
      <w:r w:rsidRPr="00D07D6A">
        <w:rPr>
          <w:rFonts w:ascii="Times New Roman" w:hAnsi="Times New Roman" w:cs="Times New Roman"/>
          <w:sz w:val="24"/>
          <w:szCs w:val="24"/>
        </w:rPr>
        <w:t xml:space="preserve"> reduces opportunities for shareholder participation and feedback; and</w:t>
      </w:r>
    </w:p>
    <w:p w14:paraId="59B93474" w14:textId="69751C30" w:rsidR="005C0B5D" w:rsidRDefault="00EA2180" w:rsidP="00991AA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Eliminating tax exemptions alone would </w:t>
      </w:r>
      <w:r w:rsidR="00991AAB">
        <w:rPr>
          <w:rFonts w:ascii="Times New Roman" w:hAnsi="Times New Roman" w:cs="Times New Roman"/>
          <w:sz w:val="24"/>
          <w:szCs w:val="24"/>
        </w:rPr>
        <w:t>be</w:t>
      </w:r>
      <w:r w:rsidR="00AF3F04">
        <w:rPr>
          <w:rFonts w:ascii="Times New Roman" w:hAnsi="Times New Roman" w:cs="Times New Roman"/>
          <w:sz w:val="24"/>
          <w:szCs w:val="24"/>
        </w:rPr>
        <w:t xml:space="preserve"> insufficient to</w:t>
      </w:r>
      <w:r w:rsidR="00991AAB">
        <w:rPr>
          <w:rFonts w:ascii="Times New Roman" w:hAnsi="Times New Roman" w:cs="Times New Roman"/>
          <w:sz w:val="24"/>
          <w:szCs w:val="24"/>
        </w:rPr>
        <w:t xml:space="preserve"> preserve the Mitchell-Lama program</w:t>
      </w:r>
      <w:r>
        <w:rPr>
          <w:rFonts w:ascii="Times New Roman" w:hAnsi="Times New Roman" w:cs="Times New Roman"/>
          <w:sz w:val="24"/>
          <w:szCs w:val="24"/>
        </w:rPr>
        <w:t xml:space="preserve"> without</w:t>
      </w:r>
      <w:r w:rsidR="00AF3F04">
        <w:rPr>
          <w:rFonts w:ascii="Times New Roman" w:hAnsi="Times New Roman" w:cs="Times New Roman"/>
          <w:sz w:val="24"/>
          <w:szCs w:val="24"/>
        </w:rPr>
        <w:t xml:space="preserve"> also addressing the </w:t>
      </w:r>
      <w:r>
        <w:rPr>
          <w:rFonts w:ascii="Times New Roman" w:hAnsi="Times New Roman" w:cs="Times New Roman"/>
          <w:sz w:val="24"/>
          <w:szCs w:val="24"/>
        </w:rPr>
        <w:t xml:space="preserve">66 </w:t>
      </w:r>
      <w:r w:rsidR="00494D60">
        <w:rPr>
          <w:rFonts w:ascii="Times New Roman" w:hAnsi="Times New Roman" w:cs="Times New Roman"/>
          <w:sz w:val="24"/>
          <w:szCs w:val="24"/>
        </w:rPr>
        <w:t>and two thirds</w:t>
      </w:r>
      <w:r w:rsidR="00DD0D4E">
        <w:rPr>
          <w:rFonts w:ascii="Times New Roman" w:hAnsi="Times New Roman" w:cs="Times New Roman"/>
          <w:sz w:val="24"/>
          <w:szCs w:val="24"/>
        </w:rPr>
        <w:t xml:space="preserve"> percent</w:t>
      </w:r>
      <w:r>
        <w:rPr>
          <w:rFonts w:ascii="Times New Roman" w:hAnsi="Times New Roman" w:cs="Times New Roman"/>
          <w:sz w:val="24"/>
          <w:szCs w:val="24"/>
        </w:rPr>
        <w:t xml:space="preserve"> voting threshold</w:t>
      </w:r>
      <w:r w:rsidR="00AF3F04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makes conversions too easy to achieve and the expedited Martin Act procedures</w:t>
      </w:r>
      <w:r w:rsidR="00AF3F04">
        <w:rPr>
          <w:rFonts w:ascii="Times New Roman" w:hAnsi="Times New Roman" w:cs="Times New Roman"/>
          <w:sz w:val="24"/>
          <w:szCs w:val="24"/>
        </w:rPr>
        <w:t xml:space="preserve"> that</w:t>
      </w:r>
      <w:r w:rsidR="00991AAB">
        <w:rPr>
          <w:rFonts w:ascii="Times New Roman" w:hAnsi="Times New Roman" w:cs="Times New Roman"/>
          <w:sz w:val="24"/>
          <w:szCs w:val="24"/>
        </w:rPr>
        <w:t xml:space="preserve"> deny</w:t>
      </w:r>
      <w:r>
        <w:rPr>
          <w:rFonts w:ascii="Times New Roman" w:hAnsi="Times New Roman" w:cs="Times New Roman"/>
          <w:sz w:val="24"/>
          <w:szCs w:val="24"/>
        </w:rPr>
        <w:t xml:space="preserve"> shareholders adequate</w:t>
      </w:r>
      <w:r w:rsidR="00AF3F04">
        <w:rPr>
          <w:rFonts w:ascii="Times New Roman" w:hAnsi="Times New Roman" w:cs="Times New Roman"/>
          <w:sz w:val="24"/>
          <w:szCs w:val="24"/>
        </w:rPr>
        <w:t xml:space="preserve"> review</w:t>
      </w:r>
      <w:r>
        <w:rPr>
          <w:rFonts w:ascii="Times New Roman" w:hAnsi="Times New Roman" w:cs="Times New Roman"/>
          <w:sz w:val="24"/>
          <w:szCs w:val="24"/>
        </w:rPr>
        <w:t xml:space="preserve"> time; and</w:t>
      </w:r>
    </w:p>
    <w:p w14:paraId="728585AA" w14:textId="61DAA976" w:rsidR="00EA2180" w:rsidRPr="00D07D6A" w:rsidRDefault="00EA2180" w:rsidP="00D00A8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C8318B">
        <w:rPr>
          <w:rFonts w:ascii="Times New Roman" w:hAnsi="Times New Roman" w:cs="Times New Roman"/>
          <w:sz w:val="24"/>
          <w:szCs w:val="24"/>
        </w:rPr>
        <w:t xml:space="preserve">These </w:t>
      </w:r>
      <w:r w:rsidR="00494D60">
        <w:rPr>
          <w:rFonts w:ascii="Times New Roman" w:hAnsi="Times New Roman" w:cs="Times New Roman"/>
          <w:sz w:val="24"/>
          <w:szCs w:val="24"/>
        </w:rPr>
        <w:t>3</w:t>
      </w:r>
      <w:r w:rsidR="00C8318B">
        <w:rPr>
          <w:rFonts w:ascii="Times New Roman" w:hAnsi="Times New Roman" w:cs="Times New Roman"/>
          <w:sz w:val="24"/>
          <w:szCs w:val="24"/>
        </w:rPr>
        <w:t xml:space="preserve"> measures</w:t>
      </w:r>
      <w:r w:rsidR="005A51E7">
        <w:rPr>
          <w:rFonts w:ascii="Times New Roman" w:hAnsi="Times New Roman" w:cs="Times New Roman"/>
          <w:sz w:val="24"/>
          <w:szCs w:val="24"/>
        </w:rPr>
        <w:t xml:space="preserve"> work together to preserve Mitchell-Lama: eliminating tax exemptions</w:t>
      </w:r>
      <w:r w:rsidR="00DD0D4E">
        <w:rPr>
          <w:rFonts w:ascii="Times New Roman" w:hAnsi="Times New Roman" w:cs="Times New Roman"/>
          <w:sz w:val="24"/>
          <w:szCs w:val="24"/>
        </w:rPr>
        <w:t xml:space="preserve"> for Article II to XI conversions</w:t>
      </w:r>
      <w:r w:rsidR="005A51E7">
        <w:rPr>
          <w:rFonts w:ascii="Times New Roman" w:hAnsi="Times New Roman" w:cs="Times New Roman"/>
          <w:sz w:val="24"/>
          <w:szCs w:val="24"/>
        </w:rPr>
        <w:t xml:space="preserve"> removes incentives to convert</w:t>
      </w:r>
      <w:r w:rsidR="00DD0D4E">
        <w:rPr>
          <w:rFonts w:ascii="Times New Roman" w:hAnsi="Times New Roman" w:cs="Times New Roman"/>
          <w:sz w:val="24"/>
          <w:szCs w:val="24"/>
        </w:rPr>
        <w:t xml:space="preserve">, </w:t>
      </w:r>
      <w:r w:rsidR="00AF3F04">
        <w:rPr>
          <w:rFonts w:ascii="Times New Roman" w:hAnsi="Times New Roman" w:cs="Times New Roman"/>
          <w:sz w:val="24"/>
          <w:szCs w:val="24"/>
        </w:rPr>
        <w:t>raising the voting threshold to</w:t>
      </w:r>
      <w:r w:rsidR="00DD0D4E">
        <w:rPr>
          <w:rFonts w:ascii="Times New Roman" w:hAnsi="Times New Roman" w:cs="Times New Roman"/>
          <w:sz w:val="24"/>
          <w:szCs w:val="24"/>
        </w:rPr>
        <w:t xml:space="preserve"> </w:t>
      </w:r>
      <w:r w:rsidR="00C8318B">
        <w:rPr>
          <w:rFonts w:ascii="Times New Roman" w:hAnsi="Times New Roman" w:cs="Times New Roman"/>
          <w:sz w:val="24"/>
          <w:szCs w:val="24"/>
        </w:rPr>
        <w:t>80 percent</w:t>
      </w:r>
      <w:r w:rsidR="005A51E7">
        <w:rPr>
          <w:rFonts w:ascii="Times New Roman" w:hAnsi="Times New Roman" w:cs="Times New Roman"/>
          <w:sz w:val="24"/>
          <w:szCs w:val="24"/>
        </w:rPr>
        <w:t xml:space="preserve"> ensures broad resident support for any type of exit</w:t>
      </w:r>
      <w:r w:rsidR="00AF3F04">
        <w:rPr>
          <w:rFonts w:ascii="Times New Roman" w:hAnsi="Times New Roman" w:cs="Times New Roman"/>
          <w:sz w:val="24"/>
          <w:szCs w:val="24"/>
        </w:rPr>
        <w:t>,</w:t>
      </w:r>
      <w:r w:rsidR="00C8318B">
        <w:rPr>
          <w:rFonts w:ascii="Times New Roman" w:hAnsi="Times New Roman" w:cs="Times New Roman"/>
          <w:sz w:val="24"/>
          <w:szCs w:val="24"/>
        </w:rPr>
        <w:t xml:space="preserve"> and </w:t>
      </w:r>
      <w:r w:rsidR="00DD0D4E">
        <w:rPr>
          <w:rFonts w:ascii="Times New Roman" w:hAnsi="Times New Roman" w:cs="Times New Roman"/>
          <w:sz w:val="24"/>
          <w:szCs w:val="24"/>
        </w:rPr>
        <w:t xml:space="preserve">full </w:t>
      </w:r>
      <w:r w:rsidR="00FB6DD8">
        <w:rPr>
          <w:rFonts w:ascii="Times New Roman" w:hAnsi="Times New Roman" w:cs="Times New Roman"/>
          <w:sz w:val="24"/>
          <w:szCs w:val="24"/>
        </w:rPr>
        <w:t xml:space="preserve">compliance </w:t>
      </w:r>
      <w:r w:rsidR="00DD0D4E">
        <w:rPr>
          <w:rFonts w:ascii="Times New Roman" w:hAnsi="Times New Roman" w:cs="Times New Roman"/>
          <w:sz w:val="24"/>
          <w:szCs w:val="24"/>
        </w:rPr>
        <w:t xml:space="preserve">with </w:t>
      </w:r>
      <w:r w:rsidR="00FB6DD8">
        <w:rPr>
          <w:rFonts w:ascii="Times New Roman" w:hAnsi="Times New Roman" w:cs="Times New Roman"/>
          <w:sz w:val="24"/>
          <w:szCs w:val="24"/>
        </w:rPr>
        <w:t>Martin Act</w:t>
      </w:r>
      <w:r w:rsidR="005A51E7">
        <w:rPr>
          <w:rFonts w:ascii="Times New Roman" w:hAnsi="Times New Roman" w:cs="Times New Roman"/>
          <w:sz w:val="24"/>
          <w:szCs w:val="24"/>
        </w:rPr>
        <w:t xml:space="preserve"> guarantees residents have adequate information and time to make an informed decision</w:t>
      </w:r>
      <w:r w:rsidR="00630CA9">
        <w:rPr>
          <w:rFonts w:ascii="Times New Roman" w:hAnsi="Times New Roman" w:cs="Times New Roman"/>
          <w:sz w:val="24"/>
          <w:szCs w:val="24"/>
        </w:rPr>
        <w:t>; and</w:t>
      </w:r>
    </w:p>
    <w:p w14:paraId="41613B09" w14:textId="283BC5A6" w:rsidR="00EB3E68" w:rsidRPr="00D07D6A" w:rsidRDefault="00EB3E68" w:rsidP="003C7CD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lastRenderedPageBreak/>
        <w:t>Whereas</w:t>
      </w:r>
      <w:r w:rsidR="00FE02E4" w:rsidRPr="00D07D6A">
        <w:rPr>
          <w:rFonts w:ascii="Times New Roman" w:hAnsi="Times New Roman" w:cs="Times New Roman"/>
          <w:sz w:val="24"/>
          <w:szCs w:val="24"/>
        </w:rPr>
        <w:t>, Preserving Mitchell-</w:t>
      </w:r>
      <w:r w:rsidR="00D07D6A">
        <w:rPr>
          <w:rFonts w:ascii="Times New Roman" w:hAnsi="Times New Roman" w:cs="Times New Roman"/>
          <w:sz w:val="24"/>
          <w:szCs w:val="24"/>
        </w:rPr>
        <w:t>L</w:t>
      </w:r>
      <w:r w:rsidR="00FE02E4" w:rsidRPr="00D07D6A">
        <w:rPr>
          <w:rFonts w:ascii="Times New Roman" w:hAnsi="Times New Roman" w:cs="Times New Roman"/>
          <w:sz w:val="24"/>
          <w:szCs w:val="24"/>
        </w:rPr>
        <w:t xml:space="preserve">ama housing in its current form is critical due to </w:t>
      </w:r>
      <w:r w:rsidR="0033194C">
        <w:rPr>
          <w:rFonts w:ascii="Times New Roman" w:hAnsi="Times New Roman" w:cs="Times New Roman"/>
          <w:sz w:val="24"/>
          <w:szCs w:val="24"/>
        </w:rPr>
        <w:t>the City</w:t>
      </w:r>
      <w:r w:rsidR="00FE02E4" w:rsidRPr="00D07D6A">
        <w:rPr>
          <w:rFonts w:ascii="Times New Roman" w:hAnsi="Times New Roman" w:cs="Times New Roman"/>
          <w:sz w:val="24"/>
          <w:szCs w:val="24"/>
        </w:rPr>
        <w:t>’s affordable housing crisis</w:t>
      </w:r>
      <w:r w:rsidR="0057598E">
        <w:rPr>
          <w:rFonts w:ascii="Times New Roman" w:hAnsi="Times New Roman" w:cs="Times New Roman"/>
          <w:sz w:val="24"/>
          <w:szCs w:val="24"/>
        </w:rPr>
        <w:t>,</w:t>
      </w:r>
      <w:r w:rsidR="00FE02E4" w:rsidRPr="00D07D6A">
        <w:rPr>
          <w:rFonts w:ascii="Times New Roman" w:hAnsi="Times New Roman" w:cs="Times New Roman"/>
          <w:sz w:val="24"/>
          <w:szCs w:val="24"/>
        </w:rPr>
        <w:t xml:space="preserve"> </w:t>
      </w:r>
      <w:r w:rsidR="00C57980" w:rsidRPr="00D07D6A">
        <w:rPr>
          <w:rFonts w:ascii="Times New Roman" w:hAnsi="Times New Roman" w:cs="Times New Roman"/>
          <w:sz w:val="24"/>
          <w:szCs w:val="24"/>
        </w:rPr>
        <w:t>since</w:t>
      </w:r>
      <w:r w:rsidR="00FE02E4" w:rsidRPr="00D07D6A">
        <w:rPr>
          <w:rFonts w:ascii="Times New Roman" w:hAnsi="Times New Roman" w:cs="Times New Roman"/>
          <w:sz w:val="24"/>
          <w:szCs w:val="24"/>
        </w:rPr>
        <w:t xml:space="preserve"> these developments provide affordable homes for working class families, essential workers</w:t>
      </w:r>
      <w:r w:rsidR="005D2079">
        <w:rPr>
          <w:rFonts w:ascii="Times New Roman" w:hAnsi="Times New Roman" w:cs="Times New Roman"/>
          <w:sz w:val="24"/>
          <w:szCs w:val="24"/>
        </w:rPr>
        <w:t>,</w:t>
      </w:r>
      <w:r w:rsidR="00FE02E4" w:rsidRPr="00D07D6A">
        <w:rPr>
          <w:rFonts w:ascii="Times New Roman" w:hAnsi="Times New Roman" w:cs="Times New Roman"/>
          <w:sz w:val="24"/>
          <w:szCs w:val="24"/>
        </w:rPr>
        <w:t xml:space="preserve"> and fixed income seniors who would otherwise be priced out of </w:t>
      </w:r>
      <w:r w:rsidR="0033194C">
        <w:rPr>
          <w:rFonts w:ascii="Times New Roman" w:hAnsi="Times New Roman" w:cs="Times New Roman"/>
          <w:sz w:val="24"/>
          <w:szCs w:val="24"/>
        </w:rPr>
        <w:t>the</w:t>
      </w:r>
      <w:r w:rsidR="00FE02E4" w:rsidRPr="00D07D6A">
        <w:rPr>
          <w:rFonts w:ascii="Times New Roman" w:hAnsi="Times New Roman" w:cs="Times New Roman"/>
          <w:sz w:val="24"/>
          <w:szCs w:val="24"/>
        </w:rPr>
        <w:t xml:space="preserve"> City</w:t>
      </w:r>
      <w:r w:rsidR="0033194C">
        <w:rPr>
          <w:rFonts w:ascii="Times New Roman" w:hAnsi="Times New Roman" w:cs="Times New Roman"/>
          <w:sz w:val="24"/>
          <w:szCs w:val="24"/>
        </w:rPr>
        <w:t>;</w:t>
      </w:r>
      <w:r w:rsidR="00A85D65">
        <w:rPr>
          <w:rFonts w:ascii="Times New Roman" w:hAnsi="Times New Roman" w:cs="Times New Roman"/>
          <w:sz w:val="24"/>
          <w:szCs w:val="24"/>
        </w:rPr>
        <w:t xml:space="preserve"> now, therefore, be it</w:t>
      </w:r>
      <w:r w:rsidR="003319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03CFB" w14:textId="1382D72D" w:rsidR="00EB3E68" w:rsidRPr="00D07D6A" w:rsidRDefault="00EB3E68" w:rsidP="00D07D6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7D6A">
        <w:rPr>
          <w:rFonts w:ascii="Times New Roman" w:hAnsi="Times New Roman" w:cs="Times New Roman"/>
          <w:sz w:val="24"/>
          <w:szCs w:val="24"/>
        </w:rPr>
        <w:t xml:space="preserve">Resolved, That </w:t>
      </w:r>
      <w:r w:rsidR="00C57980" w:rsidRPr="00D07D6A">
        <w:rPr>
          <w:rFonts w:ascii="Times New Roman" w:hAnsi="Times New Roman" w:cs="Times New Roman"/>
          <w:sz w:val="24"/>
          <w:szCs w:val="24"/>
        </w:rPr>
        <w:t>the New York City Council call</w:t>
      </w:r>
      <w:r w:rsidR="00335CB0">
        <w:rPr>
          <w:rFonts w:ascii="Times New Roman" w:hAnsi="Times New Roman" w:cs="Times New Roman"/>
          <w:sz w:val="24"/>
          <w:szCs w:val="24"/>
        </w:rPr>
        <w:t>s</w:t>
      </w:r>
      <w:r w:rsidR="00C57980" w:rsidRPr="00D07D6A">
        <w:rPr>
          <w:rFonts w:ascii="Times New Roman" w:hAnsi="Times New Roman" w:cs="Times New Roman"/>
          <w:sz w:val="24"/>
          <w:szCs w:val="24"/>
        </w:rPr>
        <w:t xml:space="preserve"> on the New York State legislature to pass, and the Governor to sign, </w:t>
      </w:r>
      <w:r w:rsidR="003C7CD5" w:rsidRPr="003C7CD5">
        <w:rPr>
          <w:rFonts w:ascii="Times New Roman" w:hAnsi="Times New Roman" w:cs="Times New Roman"/>
          <w:sz w:val="24"/>
          <w:szCs w:val="24"/>
        </w:rPr>
        <w:t>legislation disallowing tax exemptions for Article II to XI conversions and establishing related protections to preserve the Mitchell-Lama program</w:t>
      </w:r>
      <w:r w:rsidR="00A85D65">
        <w:rPr>
          <w:rFonts w:ascii="Times New Roman" w:hAnsi="Times New Roman" w:cs="Times New Roman"/>
          <w:sz w:val="24"/>
          <w:szCs w:val="24"/>
        </w:rPr>
        <w:t>.</w:t>
      </w:r>
    </w:p>
    <w:p w14:paraId="0A405CF4" w14:textId="77777777" w:rsidR="00EB3E68" w:rsidRPr="00A64F1C" w:rsidRDefault="00EB3E68" w:rsidP="00B231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64F1C">
        <w:rPr>
          <w:rFonts w:ascii="Times New Roman" w:hAnsi="Times New Roman" w:cs="Times New Roman"/>
          <w:sz w:val="18"/>
          <w:szCs w:val="18"/>
        </w:rPr>
        <w:t>JLC</w:t>
      </w:r>
    </w:p>
    <w:p w14:paraId="623AA22E" w14:textId="5551693F" w:rsidR="00EB3E68" w:rsidRPr="00A64F1C" w:rsidRDefault="00EB3E68" w:rsidP="00B231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64F1C">
        <w:rPr>
          <w:rFonts w:ascii="Times New Roman" w:hAnsi="Times New Roman" w:cs="Times New Roman"/>
          <w:sz w:val="18"/>
          <w:szCs w:val="18"/>
        </w:rPr>
        <w:t xml:space="preserve">LS </w:t>
      </w:r>
      <w:r w:rsidR="00C24D97">
        <w:rPr>
          <w:rFonts w:ascii="Times New Roman" w:hAnsi="Times New Roman" w:cs="Times New Roman"/>
          <w:sz w:val="18"/>
          <w:szCs w:val="18"/>
        </w:rPr>
        <w:t>#</w:t>
      </w:r>
      <w:r w:rsidRPr="00A64F1C">
        <w:rPr>
          <w:rFonts w:ascii="Times New Roman" w:hAnsi="Times New Roman" w:cs="Times New Roman"/>
          <w:sz w:val="18"/>
          <w:szCs w:val="18"/>
        </w:rPr>
        <w:t>17494</w:t>
      </w:r>
    </w:p>
    <w:p w14:paraId="59EB6008" w14:textId="0E050639" w:rsidR="00C57980" w:rsidRPr="00A64F1C" w:rsidRDefault="00C57980" w:rsidP="00B231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64F1C">
        <w:rPr>
          <w:rFonts w:ascii="Times New Roman" w:hAnsi="Times New Roman" w:cs="Times New Roman"/>
          <w:sz w:val="18"/>
          <w:szCs w:val="18"/>
        </w:rPr>
        <w:t>8/</w:t>
      </w:r>
      <w:r w:rsidR="00C95867">
        <w:rPr>
          <w:rFonts w:ascii="Times New Roman" w:hAnsi="Times New Roman" w:cs="Times New Roman"/>
          <w:sz w:val="18"/>
          <w:szCs w:val="18"/>
        </w:rPr>
        <w:t>2</w:t>
      </w:r>
      <w:r w:rsidR="00C21952">
        <w:rPr>
          <w:rFonts w:ascii="Times New Roman" w:hAnsi="Times New Roman" w:cs="Times New Roman"/>
          <w:sz w:val="18"/>
          <w:szCs w:val="18"/>
        </w:rPr>
        <w:t>2</w:t>
      </w:r>
      <w:r w:rsidRPr="00A64F1C">
        <w:rPr>
          <w:rFonts w:ascii="Times New Roman" w:hAnsi="Times New Roman" w:cs="Times New Roman"/>
          <w:sz w:val="18"/>
          <w:szCs w:val="18"/>
        </w:rPr>
        <w:t>/2025</w:t>
      </w:r>
    </w:p>
    <w:p w14:paraId="7E6C989F" w14:textId="4C349DBD" w:rsidR="005E6595" w:rsidRPr="00D07D6A" w:rsidRDefault="005E6595" w:rsidP="00745F56">
      <w:pPr>
        <w:rPr>
          <w:rFonts w:ascii="Times New Roman" w:hAnsi="Times New Roman" w:cs="Times New Roman"/>
          <w:sz w:val="24"/>
          <w:szCs w:val="24"/>
        </w:rPr>
      </w:pPr>
    </w:p>
    <w:sectPr w:rsidR="005E6595" w:rsidRPr="00D07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031"/>
    <w:rsid w:val="00013DA6"/>
    <w:rsid w:val="00016D3D"/>
    <w:rsid w:val="0005147B"/>
    <w:rsid w:val="000733F8"/>
    <w:rsid w:val="000C1964"/>
    <w:rsid w:val="000C3C85"/>
    <w:rsid w:val="000F4425"/>
    <w:rsid w:val="00104383"/>
    <w:rsid w:val="00126A93"/>
    <w:rsid w:val="0013035F"/>
    <w:rsid w:val="001652CC"/>
    <w:rsid w:val="001A6AA1"/>
    <w:rsid w:val="001B3918"/>
    <w:rsid w:val="001C5EB5"/>
    <w:rsid w:val="001E3853"/>
    <w:rsid w:val="00232C31"/>
    <w:rsid w:val="002607CE"/>
    <w:rsid w:val="00262E31"/>
    <w:rsid w:val="00281958"/>
    <w:rsid w:val="002B4AFB"/>
    <w:rsid w:val="002B4E95"/>
    <w:rsid w:val="00311152"/>
    <w:rsid w:val="003125EF"/>
    <w:rsid w:val="0033194C"/>
    <w:rsid w:val="00335CB0"/>
    <w:rsid w:val="003C7CD5"/>
    <w:rsid w:val="003D33A3"/>
    <w:rsid w:val="00420C67"/>
    <w:rsid w:val="00430FC6"/>
    <w:rsid w:val="00433183"/>
    <w:rsid w:val="004557DF"/>
    <w:rsid w:val="00486BC5"/>
    <w:rsid w:val="00494D60"/>
    <w:rsid w:val="004C6364"/>
    <w:rsid w:val="00525521"/>
    <w:rsid w:val="00525B65"/>
    <w:rsid w:val="00531031"/>
    <w:rsid w:val="0053670A"/>
    <w:rsid w:val="0057598E"/>
    <w:rsid w:val="005A51E7"/>
    <w:rsid w:val="005C0B5D"/>
    <w:rsid w:val="005D2079"/>
    <w:rsid w:val="005E4D5E"/>
    <w:rsid w:val="005E6595"/>
    <w:rsid w:val="005F65FA"/>
    <w:rsid w:val="00630CA9"/>
    <w:rsid w:val="00682028"/>
    <w:rsid w:val="006C6CF3"/>
    <w:rsid w:val="00711E39"/>
    <w:rsid w:val="00741C4D"/>
    <w:rsid w:val="00745F56"/>
    <w:rsid w:val="00764A70"/>
    <w:rsid w:val="00767B2D"/>
    <w:rsid w:val="00770D26"/>
    <w:rsid w:val="00774AA4"/>
    <w:rsid w:val="00784954"/>
    <w:rsid w:val="007934F0"/>
    <w:rsid w:val="007A053C"/>
    <w:rsid w:val="007C7B9E"/>
    <w:rsid w:val="007D1246"/>
    <w:rsid w:val="007F4A37"/>
    <w:rsid w:val="008338FC"/>
    <w:rsid w:val="008366F3"/>
    <w:rsid w:val="00894ECA"/>
    <w:rsid w:val="009145F3"/>
    <w:rsid w:val="00970BC5"/>
    <w:rsid w:val="0097570F"/>
    <w:rsid w:val="00991AAB"/>
    <w:rsid w:val="009A3AAE"/>
    <w:rsid w:val="009E7C75"/>
    <w:rsid w:val="00A27387"/>
    <w:rsid w:val="00A64F1C"/>
    <w:rsid w:val="00A82DF0"/>
    <w:rsid w:val="00A85D65"/>
    <w:rsid w:val="00A87D6B"/>
    <w:rsid w:val="00AF3F04"/>
    <w:rsid w:val="00B11EE2"/>
    <w:rsid w:val="00B13E99"/>
    <w:rsid w:val="00B231D9"/>
    <w:rsid w:val="00B36D21"/>
    <w:rsid w:val="00B52FDC"/>
    <w:rsid w:val="00BA18F2"/>
    <w:rsid w:val="00BB19DA"/>
    <w:rsid w:val="00BB54BC"/>
    <w:rsid w:val="00BE3F3B"/>
    <w:rsid w:val="00BF211A"/>
    <w:rsid w:val="00BF6F06"/>
    <w:rsid w:val="00C03BEE"/>
    <w:rsid w:val="00C07C77"/>
    <w:rsid w:val="00C21952"/>
    <w:rsid w:val="00C24D97"/>
    <w:rsid w:val="00C34B65"/>
    <w:rsid w:val="00C44531"/>
    <w:rsid w:val="00C57980"/>
    <w:rsid w:val="00C62092"/>
    <w:rsid w:val="00C8318B"/>
    <w:rsid w:val="00C955F6"/>
    <w:rsid w:val="00C95867"/>
    <w:rsid w:val="00CB1DE6"/>
    <w:rsid w:val="00D00A8A"/>
    <w:rsid w:val="00D07D6A"/>
    <w:rsid w:val="00DD0D4E"/>
    <w:rsid w:val="00DD355C"/>
    <w:rsid w:val="00E47EDA"/>
    <w:rsid w:val="00E564FE"/>
    <w:rsid w:val="00E624CE"/>
    <w:rsid w:val="00E636C4"/>
    <w:rsid w:val="00E97A65"/>
    <w:rsid w:val="00EA2180"/>
    <w:rsid w:val="00EB3E68"/>
    <w:rsid w:val="00EF4333"/>
    <w:rsid w:val="00F000F1"/>
    <w:rsid w:val="00F734FD"/>
    <w:rsid w:val="00F933B8"/>
    <w:rsid w:val="00FB1E57"/>
    <w:rsid w:val="00FB6DD8"/>
    <w:rsid w:val="00FB7FCB"/>
    <w:rsid w:val="00FE02E4"/>
    <w:rsid w:val="00FE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953E6"/>
  <w15:chartTrackingRefBased/>
  <w15:docId w15:val="{0E2563CB-2D39-444A-A942-DD179317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F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5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F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F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F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5F5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D33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BA4E8-6F6C-422B-B171-A9FDE6881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Conde, Jose</dc:creator>
  <cp:keywords/>
  <dc:description/>
  <cp:lastModifiedBy>Martin, William</cp:lastModifiedBy>
  <cp:revision>5</cp:revision>
  <dcterms:created xsi:type="dcterms:W3CDTF">2026-04-29T21:56:00Z</dcterms:created>
  <dcterms:modified xsi:type="dcterms:W3CDTF">2026-05-01T13:15:00Z</dcterms:modified>
</cp:coreProperties>
</file>