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F3EB8" w14:textId="77777777" w:rsidR="000E1303" w:rsidRDefault="000E1303" w:rsidP="000E1303">
      <w:pPr>
        <w:suppressLineNumbers/>
        <w:tabs>
          <w:tab w:val="left" w:pos="4680"/>
        </w:tabs>
        <w:jc w:val="right"/>
        <w:rPr>
          <w:szCs w:val="24"/>
          <w:u w:val="single"/>
        </w:rPr>
      </w:pPr>
      <w:bookmarkStart w:id="0" w:name="_GoBack"/>
      <w:bookmarkEnd w:id="0"/>
      <w:r>
        <w:rPr>
          <w:szCs w:val="24"/>
          <w:u w:val="single"/>
        </w:rPr>
        <w:t>Housing &amp; Buildings Committee Staff</w:t>
      </w:r>
    </w:p>
    <w:p w14:paraId="19E5EB0B" w14:textId="77777777" w:rsidR="000E1303" w:rsidRDefault="000E1303" w:rsidP="000E1303">
      <w:pPr>
        <w:pStyle w:val="Body"/>
        <w:suppressLineNumbers/>
        <w:spacing w:after="0" w:line="240" w:lineRule="auto"/>
        <w:ind w:left="3960" w:firstLine="720"/>
        <w:jc w:val="right"/>
        <w:rPr>
          <w:rFonts w:ascii="Times New Roman" w:hAnsi="Times New Roman" w:cs="Times New Roman"/>
          <w:i/>
          <w:sz w:val="24"/>
          <w:szCs w:val="24"/>
        </w:rPr>
      </w:pPr>
      <w:r>
        <w:rPr>
          <w:rFonts w:ascii="Times New Roman" w:hAnsi="Times New Roman" w:cs="Times New Roman"/>
          <w:sz w:val="24"/>
          <w:szCs w:val="24"/>
        </w:rPr>
        <w:t xml:space="preserve">Austin Malone, </w:t>
      </w:r>
      <w:r>
        <w:rPr>
          <w:rFonts w:ascii="Times New Roman" w:hAnsi="Times New Roman" w:cs="Times New Roman"/>
          <w:i/>
          <w:sz w:val="24"/>
          <w:szCs w:val="24"/>
        </w:rPr>
        <w:t>Senior</w:t>
      </w:r>
      <w:r>
        <w:rPr>
          <w:rFonts w:ascii="Times New Roman" w:hAnsi="Times New Roman" w:cs="Times New Roman"/>
          <w:sz w:val="24"/>
          <w:szCs w:val="24"/>
        </w:rPr>
        <w:t xml:space="preserve"> </w:t>
      </w:r>
      <w:r>
        <w:rPr>
          <w:rFonts w:ascii="Times New Roman" w:hAnsi="Times New Roman" w:cs="Times New Roman"/>
          <w:i/>
          <w:sz w:val="24"/>
          <w:szCs w:val="24"/>
        </w:rPr>
        <w:t>Legislative Counsel</w:t>
      </w:r>
    </w:p>
    <w:p w14:paraId="2476C270" w14:textId="77777777" w:rsidR="000E1303" w:rsidRDefault="000E1303" w:rsidP="000E1303">
      <w:pPr>
        <w:pStyle w:val="Body"/>
        <w:suppressLineNumbers/>
        <w:spacing w:after="0" w:line="240" w:lineRule="auto"/>
        <w:ind w:left="3960" w:firstLine="720"/>
        <w:jc w:val="right"/>
        <w:rPr>
          <w:rFonts w:ascii="Times New Roman" w:hAnsi="Times New Roman" w:cs="Times New Roman"/>
          <w:i/>
          <w:sz w:val="24"/>
          <w:szCs w:val="24"/>
        </w:rPr>
      </w:pPr>
      <w:r>
        <w:rPr>
          <w:rFonts w:ascii="Times New Roman" w:hAnsi="Times New Roman" w:cs="Times New Roman"/>
          <w:sz w:val="24"/>
          <w:szCs w:val="24"/>
        </w:rPr>
        <w:t xml:space="preserve">William Eck, </w:t>
      </w:r>
      <w:r>
        <w:rPr>
          <w:rFonts w:ascii="Times New Roman" w:hAnsi="Times New Roman" w:cs="Times New Roman"/>
          <w:i/>
          <w:sz w:val="24"/>
          <w:szCs w:val="24"/>
        </w:rPr>
        <w:t>Legislative Counsel</w:t>
      </w:r>
    </w:p>
    <w:p w14:paraId="7B0E1A6D" w14:textId="77777777" w:rsidR="000E1303" w:rsidRDefault="000E1303" w:rsidP="000E1303">
      <w:pPr>
        <w:pStyle w:val="Body"/>
        <w:suppressLineNumbers/>
        <w:spacing w:after="0" w:line="240" w:lineRule="auto"/>
        <w:ind w:left="3960" w:firstLine="720"/>
        <w:jc w:val="right"/>
        <w:rPr>
          <w:rFonts w:ascii="Times New Roman" w:hAnsi="Times New Roman" w:cs="Times New Roman"/>
          <w:i/>
          <w:sz w:val="24"/>
          <w:szCs w:val="24"/>
        </w:rPr>
      </w:pPr>
      <w:r>
        <w:rPr>
          <w:rFonts w:ascii="Times New Roman" w:hAnsi="Times New Roman" w:cs="Times New Roman"/>
          <w:sz w:val="24"/>
          <w:szCs w:val="24"/>
        </w:rPr>
        <w:t xml:space="preserve">Jose Conde, </w:t>
      </w:r>
      <w:r>
        <w:rPr>
          <w:rFonts w:ascii="Times New Roman" w:hAnsi="Times New Roman" w:cs="Times New Roman"/>
          <w:i/>
          <w:sz w:val="24"/>
          <w:szCs w:val="24"/>
        </w:rPr>
        <w:t>Senior</w:t>
      </w:r>
      <w:r>
        <w:rPr>
          <w:rFonts w:ascii="Times New Roman" w:hAnsi="Times New Roman" w:cs="Times New Roman"/>
          <w:sz w:val="24"/>
          <w:szCs w:val="24"/>
        </w:rPr>
        <w:t xml:space="preserve"> </w:t>
      </w:r>
      <w:r>
        <w:rPr>
          <w:rFonts w:ascii="Times New Roman" w:hAnsi="Times New Roman" w:cs="Times New Roman"/>
          <w:i/>
          <w:sz w:val="24"/>
          <w:szCs w:val="24"/>
        </w:rPr>
        <w:t>Policy Analyst</w:t>
      </w:r>
    </w:p>
    <w:p w14:paraId="6718BC55" w14:textId="77777777" w:rsidR="000E1303" w:rsidRDefault="000E1303" w:rsidP="000E1303">
      <w:pPr>
        <w:suppressLineNumbers/>
        <w:tabs>
          <w:tab w:val="left" w:pos="0"/>
        </w:tabs>
        <w:jc w:val="right"/>
        <w:rPr>
          <w:szCs w:val="24"/>
        </w:rPr>
      </w:pPr>
      <w:r>
        <w:rPr>
          <w:szCs w:val="24"/>
        </w:rPr>
        <w:t xml:space="preserve">Dirk Spencer PhD, </w:t>
      </w:r>
      <w:r>
        <w:rPr>
          <w:i/>
          <w:iCs/>
          <w:szCs w:val="24"/>
        </w:rPr>
        <w:t>Policy</w:t>
      </w:r>
      <w:r>
        <w:rPr>
          <w:i/>
          <w:szCs w:val="24"/>
        </w:rPr>
        <w:t xml:space="preserve"> Analyst</w:t>
      </w:r>
    </w:p>
    <w:p w14:paraId="3AFE0915" w14:textId="77777777" w:rsidR="000E1303" w:rsidRDefault="000E1303" w:rsidP="000E1303">
      <w:pPr>
        <w:suppressLineNumbers/>
        <w:jc w:val="right"/>
        <w:rPr>
          <w:i/>
          <w:iCs/>
          <w:szCs w:val="24"/>
        </w:rPr>
      </w:pPr>
      <w:r>
        <w:rPr>
          <w:szCs w:val="24"/>
        </w:rPr>
        <w:t xml:space="preserve">Carla Naranjo, </w:t>
      </w:r>
      <w:r>
        <w:rPr>
          <w:i/>
          <w:iCs/>
          <w:szCs w:val="24"/>
        </w:rPr>
        <w:t>Financial Analyst</w:t>
      </w:r>
    </w:p>
    <w:p w14:paraId="3EAF3C4D" w14:textId="77777777" w:rsidR="000E1303" w:rsidRDefault="000E1303" w:rsidP="000E1303">
      <w:pPr>
        <w:suppressLineNumbers/>
        <w:jc w:val="right"/>
        <w:rPr>
          <w:i/>
          <w:iCs/>
          <w:szCs w:val="24"/>
        </w:rPr>
      </w:pPr>
      <w:r>
        <w:rPr>
          <w:iCs/>
          <w:szCs w:val="24"/>
        </w:rPr>
        <w:t>Reese Hirota,</w:t>
      </w:r>
      <w:r>
        <w:rPr>
          <w:i/>
          <w:iCs/>
          <w:szCs w:val="24"/>
        </w:rPr>
        <w:t xml:space="preserve"> Data Scientist</w:t>
      </w:r>
    </w:p>
    <w:p w14:paraId="55FE74B3" w14:textId="437AEBA1" w:rsidR="00195335" w:rsidRDefault="00195335" w:rsidP="000E1303">
      <w:pPr>
        <w:suppressLineNumbers/>
        <w:jc w:val="right"/>
        <w:rPr>
          <w:i/>
          <w:iCs/>
          <w:szCs w:val="24"/>
        </w:rPr>
      </w:pPr>
      <w:r w:rsidRPr="00EE5708">
        <w:rPr>
          <w:szCs w:val="24"/>
        </w:rPr>
        <w:t>Rob Little,</w:t>
      </w:r>
      <w:r>
        <w:rPr>
          <w:i/>
          <w:iCs/>
          <w:szCs w:val="24"/>
        </w:rPr>
        <w:t xml:space="preserve"> Legislative Extern</w:t>
      </w:r>
    </w:p>
    <w:p w14:paraId="3C633D3B" w14:textId="77777777" w:rsidR="00BA6D2B" w:rsidRPr="005A3A11" w:rsidRDefault="00BA6D2B" w:rsidP="001004A6">
      <w:pPr>
        <w:suppressLineNumbers/>
        <w:tabs>
          <w:tab w:val="left" w:pos="4680"/>
        </w:tabs>
        <w:ind w:left="5040" w:hanging="5040"/>
        <w:jc w:val="right"/>
      </w:pPr>
      <w:r w:rsidRPr="005A3A11">
        <w:rPr>
          <w:noProof/>
        </w:rPr>
        <w:drawing>
          <wp:anchor distT="0" distB="0" distL="114300" distR="114300" simplePos="0" relativeHeight="251659264" behindDoc="0" locked="0" layoutInCell="1" allowOverlap="1" wp14:anchorId="55BEFD45" wp14:editId="1B071C88">
            <wp:simplePos x="0" y="0"/>
            <wp:positionH relativeFrom="column">
              <wp:posOffset>2336800</wp:posOffset>
            </wp:positionH>
            <wp:positionV relativeFrom="paragraph">
              <wp:posOffset>233680</wp:posOffset>
            </wp:positionV>
            <wp:extent cx="1346835" cy="1384935"/>
            <wp:effectExtent l="0" t="0" r="5715"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46B673EE" w14:textId="77777777" w:rsidR="0013656A" w:rsidRDefault="0013656A" w:rsidP="002017B2">
      <w:pPr>
        <w:widowControl w:val="0"/>
        <w:suppressLineNumbers/>
        <w:jc w:val="center"/>
        <w:outlineLvl w:val="5"/>
        <w:rPr>
          <w:rFonts w:ascii="Times New Roman Bold" w:eastAsia="Calibri" w:hAnsi="Times New Roman Bold" w:cs="Calibri"/>
          <w:b/>
          <w:bCs/>
          <w:smallCaps/>
          <w:color w:val="000000"/>
          <w:szCs w:val="24"/>
          <w:u w:val="single" w:color="000000"/>
        </w:rPr>
      </w:pPr>
    </w:p>
    <w:p w14:paraId="3303320B" w14:textId="7E817019" w:rsidR="002017B2" w:rsidRPr="00BC19FE" w:rsidRDefault="002017B2" w:rsidP="002017B2">
      <w:pPr>
        <w:widowControl w:val="0"/>
        <w:suppressLineNumbers/>
        <w:jc w:val="center"/>
        <w:outlineLvl w:val="5"/>
        <w:rPr>
          <w:rFonts w:ascii="Times New Roman Bold" w:hAnsi="Times New Roman Bold"/>
          <w:b/>
          <w:bCs/>
          <w:smallCaps/>
          <w:color w:val="000000"/>
          <w:szCs w:val="24"/>
          <w:u w:val="single" w:color="000000"/>
        </w:rPr>
      </w:pPr>
      <w:r w:rsidRPr="00BC19FE">
        <w:rPr>
          <w:rFonts w:ascii="Times New Roman Bold" w:eastAsia="Calibri" w:hAnsi="Times New Roman Bold" w:cs="Calibri"/>
          <w:b/>
          <w:bCs/>
          <w:smallCaps/>
          <w:color w:val="000000"/>
          <w:szCs w:val="24"/>
          <w:u w:val="single" w:color="000000"/>
        </w:rPr>
        <w:t>The New York City Council</w:t>
      </w:r>
    </w:p>
    <w:p w14:paraId="1CA3B095" w14:textId="77777777" w:rsidR="002017B2" w:rsidRPr="00BC19FE" w:rsidRDefault="002017B2" w:rsidP="002017B2">
      <w:pPr>
        <w:suppressLineNumbers/>
        <w:tabs>
          <w:tab w:val="center" w:pos="4680"/>
        </w:tabs>
        <w:jc w:val="center"/>
        <w:rPr>
          <w:rFonts w:eastAsia="Arial Unicode MS"/>
          <w:iCs/>
        </w:rPr>
      </w:pPr>
      <w:r w:rsidRPr="00BC19FE">
        <w:rPr>
          <w:iCs/>
        </w:rPr>
        <w:t>Andrea Vazquez, Legislative Director</w:t>
      </w:r>
    </w:p>
    <w:p w14:paraId="4EB9FCC6" w14:textId="77777777" w:rsidR="002017B2" w:rsidRPr="00BC19FE" w:rsidRDefault="002017B2" w:rsidP="002017B2">
      <w:pPr>
        <w:suppressLineNumbers/>
        <w:tabs>
          <w:tab w:val="left" w:pos="-1440"/>
        </w:tabs>
        <w:ind w:left="4320"/>
        <w:rPr>
          <w:b/>
          <w:szCs w:val="24"/>
        </w:rPr>
      </w:pPr>
    </w:p>
    <w:p w14:paraId="50231E0E" w14:textId="77777777" w:rsidR="002017B2" w:rsidRPr="00BC19FE" w:rsidRDefault="002017B2" w:rsidP="002017B2">
      <w:pPr>
        <w:widowControl w:val="0"/>
        <w:suppressLineNumbers/>
        <w:jc w:val="center"/>
        <w:outlineLvl w:val="5"/>
        <w:rPr>
          <w:rFonts w:ascii="Times New Roman Bold" w:hAnsi="Times New Roman Bold"/>
          <w:b/>
          <w:bCs/>
          <w:smallCaps/>
          <w:color w:val="000000"/>
          <w:szCs w:val="24"/>
          <w:u w:val="single" w:color="000000"/>
        </w:rPr>
      </w:pPr>
      <w:r w:rsidRPr="00BC19FE">
        <w:rPr>
          <w:rFonts w:ascii="Times New Roman Bold" w:eastAsia="Calibri" w:hAnsi="Times New Roman Bold" w:cs="Calibri"/>
          <w:b/>
          <w:bCs/>
          <w:smallCaps/>
          <w:color w:val="000000"/>
          <w:szCs w:val="24"/>
          <w:u w:val="single" w:color="000000"/>
        </w:rPr>
        <w:t xml:space="preserve">Committee Report of the Infrastructure Division </w:t>
      </w:r>
    </w:p>
    <w:p w14:paraId="6E44EF07" w14:textId="77777777" w:rsidR="002017B2" w:rsidRPr="00BC19FE" w:rsidRDefault="002017B2" w:rsidP="002017B2">
      <w:pPr>
        <w:suppressLineNumbers/>
        <w:tabs>
          <w:tab w:val="center" w:pos="4680"/>
        </w:tabs>
        <w:jc w:val="center"/>
        <w:rPr>
          <w:iCs/>
        </w:rPr>
      </w:pPr>
      <w:r w:rsidRPr="00BC19FE">
        <w:rPr>
          <w:iCs/>
        </w:rPr>
        <w:t>Brad Reid, Deputy Director, Infrastructure Division</w:t>
      </w:r>
    </w:p>
    <w:p w14:paraId="6592C79E" w14:textId="77777777" w:rsidR="002017B2" w:rsidRPr="00BC19FE" w:rsidRDefault="002017B2" w:rsidP="002017B2">
      <w:pPr>
        <w:suppressLineNumbers/>
        <w:tabs>
          <w:tab w:val="center" w:pos="4680"/>
        </w:tabs>
        <w:jc w:val="center"/>
        <w:rPr>
          <w:iCs/>
        </w:rPr>
      </w:pPr>
    </w:p>
    <w:p w14:paraId="4B00DDC7" w14:textId="77777777" w:rsidR="002017B2" w:rsidRPr="00BC19FE" w:rsidRDefault="002017B2" w:rsidP="002017B2">
      <w:pPr>
        <w:suppressLineNumbers/>
        <w:tabs>
          <w:tab w:val="center" w:pos="4680"/>
        </w:tabs>
        <w:jc w:val="center"/>
        <w:rPr>
          <w:rFonts w:ascii="Times New Roman Bold" w:hAnsi="Times New Roman Bold"/>
          <w:b/>
          <w:smallCaps/>
          <w:szCs w:val="24"/>
          <w:u w:val="single"/>
        </w:rPr>
      </w:pPr>
      <w:r w:rsidRPr="00BC19FE">
        <w:rPr>
          <w:rFonts w:ascii="Times New Roman Bold" w:hAnsi="Times New Roman Bold"/>
          <w:b/>
          <w:smallCaps/>
          <w:szCs w:val="24"/>
          <w:u w:val="single"/>
        </w:rPr>
        <w:t>Committee on Housing and Buildings</w:t>
      </w:r>
    </w:p>
    <w:p w14:paraId="7B48EBEA" w14:textId="77777777" w:rsidR="002017B2" w:rsidRPr="00BC19FE" w:rsidRDefault="002017B2" w:rsidP="002017B2">
      <w:pPr>
        <w:suppressLineNumbers/>
        <w:tabs>
          <w:tab w:val="center" w:pos="4680"/>
        </w:tabs>
        <w:jc w:val="center"/>
        <w:rPr>
          <w:szCs w:val="24"/>
        </w:rPr>
      </w:pPr>
      <w:r w:rsidRPr="00BC19FE">
        <w:rPr>
          <w:szCs w:val="24"/>
        </w:rPr>
        <w:t>Hon. Pierina Sanchez, Chair</w:t>
      </w:r>
    </w:p>
    <w:p w14:paraId="6115C042" w14:textId="08DE7D8C" w:rsidR="00BA6D2B" w:rsidRPr="005A3A11" w:rsidRDefault="00BA6D2B" w:rsidP="001004A6">
      <w:pPr>
        <w:suppressLineNumbers/>
        <w:ind w:hanging="720"/>
        <w:jc w:val="center"/>
        <w:rPr>
          <w:bCs/>
          <w:color w:val="000000"/>
        </w:rPr>
      </w:pPr>
    </w:p>
    <w:p w14:paraId="1A7D91AD" w14:textId="4C3E9C2F" w:rsidR="00BA6D2B" w:rsidRPr="005A3A11" w:rsidRDefault="008E7ACB" w:rsidP="001004A6">
      <w:pPr>
        <w:suppressLineNumbers/>
        <w:tabs>
          <w:tab w:val="center" w:pos="4680"/>
        </w:tabs>
        <w:jc w:val="center"/>
        <w:rPr>
          <w:color w:val="000000"/>
        </w:rPr>
      </w:pPr>
      <w:r>
        <w:rPr>
          <w:b/>
        </w:rPr>
        <w:t>December 2</w:t>
      </w:r>
      <w:r w:rsidR="009251BE">
        <w:rPr>
          <w:b/>
        </w:rPr>
        <w:t>, 2025</w:t>
      </w:r>
    </w:p>
    <w:p w14:paraId="5E4A4A53" w14:textId="77777777" w:rsidR="00BA6D2B" w:rsidRPr="005A3A11" w:rsidRDefault="00BA6D2B" w:rsidP="001004A6">
      <w:pPr>
        <w:suppressLineNumbers/>
        <w:tabs>
          <w:tab w:val="center" w:pos="4680"/>
        </w:tabs>
        <w:jc w:val="center"/>
        <w:rPr>
          <w:color w:val="000000"/>
        </w:rPr>
      </w:pPr>
    </w:p>
    <w:p w14:paraId="09F99468" w14:textId="77777777" w:rsidR="009251BE" w:rsidRPr="00154E2D" w:rsidRDefault="009251BE" w:rsidP="009251BE">
      <w:pPr>
        <w:jc w:val="center"/>
        <w:rPr>
          <w:b/>
          <w:szCs w:val="24"/>
          <w:u w:val="single"/>
        </w:rPr>
      </w:pPr>
      <w:r>
        <w:rPr>
          <w:b/>
          <w:szCs w:val="24"/>
          <w:u w:val="single"/>
        </w:rPr>
        <w:t>Advancing Transparency and Timeliness in Co-op Applications</w:t>
      </w:r>
    </w:p>
    <w:p w14:paraId="18AE0E33" w14:textId="77777777" w:rsidR="0013656A" w:rsidRPr="005A3A11" w:rsidRDefault="0013656A" w:rsidP="001457BC">
      <w:pPr>
        <w:suppressLineNumbers/>
        <w:ind w:left="3600" w:hanging="3600"/>
        <w:jc w:val="left"/>
      </w:pPr>
    </w:p>
    <w:p w14:paraId="7D3A8477" w14:textId="350F422A" w:rsidR="001457BC" w:rsidRDefault="001457BC" w:rsidP="001004A6">
      <w:pPr>
        <w:suppressLineNumbers/>
        <w:ind w:left="3600" w:hanging="3600"/>
        <w:jc w:val="left"/>
        <w:rPr>
          <w:b/>
          <w:smallCaps/>
          <w:u w:val="single"/>
        </w:rPr>
      </w:pPr>
    </w:p>
    <w:p w14:paraId="432DEED1" w14:textId="34129C46" w:rsidR="0013656A" w:rsidRPr="005A3A11" w:rsidRDefault="003D5140" w:rsidP="00E84E77">
      <w:pPr>
        <w:suppressLineNumbers/>
        <w:ind w:left="3600" w:hanging="3600"/>
      </w:pPr>
      <w:r>
        <w:rPr>
          <w:b/>
          <w:smallCaps/>
          <w:u w:val="single"/>
        </w:rPr>
        <w:t xml:space="preserve">Proposed </w:t>
      </w:r>
      <w:r w:rsidR="0013656A" w:rsidRPr="005A3A11">
        <w:rPr>
          <w:b/>
          <w:smallCaps/>
          <w:u w:val="single"/>
        </w:rPr>
        <w:t xml:space="preserve">Int. No. </w:t>
      </w:r>
      <w:r w:rsidR="00821F03">
        <w:rPr>
          <w:b/>
          <w:smallCaps/>
          <w:u w:val="single"/>
        </w:rPr>
        <w:t>407</w:t>
      </w:r>
      <w:r>
        <w:rPr>
          <w:b/>
          <w:smallCaps/>
          <w:u w:val="single"/>
        </w:rPr>
        <w:t>-A</w:t>
      </w:r>
      <w:r w:rsidR="0013656A" w:rsidRPr="005A3A11">
        <w:rPr>
          <w:b/>
          <w:smallCaps/>
        </w:rPr>
        <w:t>:</w:t>
      </w:r>
      <w:r w:rsidR="0013656A" w:rsidRPr="005A3A11">
        <w:rPr>
          <w:smallCaps/>
        </w:rPr>
        <w:tab/>
      </w:r>
      <w:r w:rsidR="003E2E1C" w:rsidRPr="003E2E1C">
        <w:rPr>
          <w:color w:val="000000"/>
          <w:shd w:val="clear" w:color="auto" w:fill="FFFFFF"/>
        </w:rPr>
        <w:t>By the Public Advocate (Mr. Williams) and Council Members Sanchez, Restler, Won, Krishnan, Narcisse, Ayala, Abreu, Williams, Avilés, Marte, Bottcher, Hanif, Cabán, Feliz, Farías, Ossé, Nurse, Hudson, Brooks-Powers, Gutiérrez, Salaam, Stevens, Joseph, De La Rosa, Louis, Hanks, Banks, Moya and Brannan (in conjunction with the Brooklyn Borough President)</w:t>
      </w:r>
    </w:p>
    <w:p w14:paraId="542F903B" w14:textId="77777777" w:rsidR="0013656A" w:rsidRPr="005A3A11" w:rsidRDefault="0013656A" w:rsidP="0013656A">
      <w:pPr>
        <w:suppressLineNumbers/>
        <w:ind w:left="3600" w:hanging="3600"/>
        <w:jc w:val="left"/>
        <w:rPr>
          <w:b/>
          <w:smallCaps/>
          <w:u w:val="single"/>
        </w:rPr>
      </w:pPr>
    </w:p>
    <w:p w14:paraId="5D0F5365" w14:textId="18FA9470" w:rsidR="003E2E1C" w:rsidRPr="003E2E1C" w:rsidRDefault="0013656A" w:rsidP="003E2E1C">
      <w:pPr>
        <w:suppressLineNumbers/>
        <w:ind w:left="3600" w:hanging="3600"/>
        <w:rPr>
          <w:color w:val="000000"/>
          <w:shd w:val="clear" w:color="auto" w:fill="FFFFFF"/>
        </w:rPr>
      </w:pPr>
      <w:r w:rsidRPr="005A3A11">
        <w:rPr>
          <w:b/>
          <w:smallCaps/>
          <w:u w:val="single"/>
        </w:rPr>
        <w:t>Title</w:t>
      </w:r>
      <w:r w:rsidRPr="005A3A11">
        <w:rPr>
          <w:b/>
          <w:smallCaps/>
        </w:rPr>
        <w:t>:</w:t>
      </w:r>
      <w:r w:rsidRPr="005A3A11">
        <w:tab/>
      </w:r>
      <w:r>
        <w:rPr>
          <w:color w:val="000000"/>
          <w:shd w:val="clear" w:color="auto" w:fill="FFFFFF"/>
        </w:rPr>
        <w:t xml:space="preserve">A Local Law </w:t>
      </w:r>
      <w:r w:rsidR="003E2E1C" w:rsidRPr="003E2E1C">
        <w:rPr>
          <w:color w:val="000000"/>
          <w:shd w:val="clear" w:color="auto" w:fill="FFFFFF"/>
        </w:rPr>
        <w:t>to amend the administrative code of the city of New York, in relation to sales of cooperative apartments</w:t>
      </w:r>
    </w:p>
    <w:p w14:paraId="3FBD0C23" w14:textId="2FFF2FE5" w:rsidR="0013656A" w:rsidRDefault="0013656A" w:rsidP="00E84E77">
      <w:pPr>
        <w:suppressLineNumbers/>
        <w:ind w:left="3600" w:hanging="3600"/>
        <w:rPr>
          <w:color w:val="000000"/>
          <w:shd w:val="clear" w:color="auto" w:fill="FFFFFF"/>
        </w:rPr>
      </w:pPr>
    </w:p>
    <w:p w14:paraId="35853B23" w14:textId="1504A78D" w:rsidR="00DC0E56" w:rsidRPr="00DC0E56" w:rsidRDefault="003E2E1C" w:rsidP="003E2E1C">
      <w:pPr>
        <w:suppressLineNumbers/>
        <w:ind w:left="3600" w:hanging="3600"/>
      </w:pPr>
      <w:r w:rsidRPr="005A3A11">
        <w:rPr>
          <w:b/>
          <w:smallCaps/>
          <w:u w:val="single"/>
        </w:rPr>
        <w:t>Administrative Code</w:t>
      </w:r>
      <w:r w:rsidRPr="005A3A11">
        <w:rPr>
          <w:b/>
          <w:smallCaps/>
        </w:rPr>
        <w:t>:</w:t>
      </w:r>
      <w:r w:rsidRPr="005A3A11">
        <w:tab/>
      </w:r>
      <w:r w:rsidR="00DC0E56">
        <w:t>Adds sections 8-901,</w:t>
      </w:r>
      <w:r w:rsidR="00DC0E56" w:rsidRPr="00DC0E56">
        <w:t xml:space="preserve"> </w:t>
      </w:r>
      <w:r w:rsidR="00DC0E56">
        <w:t>8-902, 8-903, 8-904, 8-905, 8-906,</w:t>
      </w:r>
      <w:r w:rsidR="00DC0E56" w:rsidRPr="00DC0E56">
        <w:t xml:space="preserve"> </w:t>
      </w:r>
      <w:r w:rsidR="00DC0E56">
        <w:t>8-907, 8-908, and 8-909.</w:t>
      </w:r>
    </w:p>
    <w:p w14:paraId="4BC3B809" w14:textId="77777777" w:rsidR="0013656A" w:rsidRPr="005A3A11" w:rsidRDefault="0013656A" w:rsidP="0013656A">
      <w:pPr>
        <w:suppressLineNumbers/>
        <w:ind w:left="3600" w:hanging="3600"/>
        <w:jc w:val="left"/>
      </w:pPr>
    </w:p>
    <w:p w14:paraId="256A1369" w14:textId="77777777" w:rsidR="0013656A" w:rsidRDefault="0013656A" w:rsidP="001004A6">
      <w:pPr>
        <w:suppressLineNumbers/>
        <w:ind w:left="3600" w:hanging="3600"/>
        <w:jc w:val="left"/>
        <w:rPr>
          <w:b/>
          <w:smallCaps/>
          <w:u w:val="single"/>
        </w:rPr>
      </w:pPr>
    </w:p>
    <w:p w14:paraId="35C19E86" w14:textId="02EAEFA7" w:rsidR="0013656A" w:rsidRDefault="0013656A" w:rsidP="00821F03">
      <w:pPr>
        <w:suppressLineNumbers/>
        <w:ind w:left="3600" w:hanging="3600"/>
        <w:rPr>
          <w:color w:val="000000"/>
          <w:shd w:val="clear" w:color="auto" w:fill="FFFFFF"/>
        </w:rPr>
      </w:pPr>
      <w:r w:rsidRPr="005A3A11">
        <w:rPr>
          <w:b/>
          <w:smallCaps/>
          <w:u w:val="single"/>
        </w:rPr>
        <w:t xml:space="preserve">Int. No. </w:t>
      </w:r>
      <w:r w:rsidR="00821F03">
        <w:rPr>
          <w:b/>
          <w:smallCaps/>
          <w:u w:val="single"/>
        </w:rPr>
        <w:t>438</w:t>
      </w:r>
      <w:r w:rsidRPr="005A3A11">
        <w:rPr>
          <w:b/>
          <w:smallCaps/>
        </w:rPr>
        <w:t>:</w:t>
      </w:r>
      <w:r w:rsidRPr="005A3A11">
        <w:rPr>
          <w:smallCaps/>
        </w:rPr>
        <w:tab/>
      </w:r>
      <w:r w:rsidR="00821F03" w:rsidRPr="00821F03">
        <w:rPr>
          <w:color w:val="000000"/>
          <w:shd w:val="clear" w:color="auto" w:fill="FFFFFF"/>
        </w:rPr>
        <w:t>By Council Members Sanchez, the Public Advocate (Mr. Williams), Restler, Won, Farías, Cabán, Ayala, Louis, Salaam, Hudson, Avilés, Nurse, Stevens, Gutiérrez and Williams</w:t>
      </w:r>
    </w:p>
    <w:p w14:paraId="444565CD" w14:textId="77777777" w:rsidR="00821F03" w:rsidRPr="005A3A11" w:rsidRDefault="00821F03" w:rsidP="00821F03">
      <w:pPr>
        <w:suppressLineNumbers/>
        <w:ind w:left="3600" w:hanging="3600"/>
        <w:rPr>
          <w:b/>
          <w:smallCaps/>
          <w:u w:val="single"/>
        </w:rPr>
      </w:pPr>
    </w:p>
    <w:p w14:paraId="5DD1F521" w14:textId="78A14D46" w:rsidR="0013656A" w:rsidRDefault="0013656A" w:rsidP="00821F03">
      <w:pPr>
        <w:suppressLineNumbers/>
        <w:ind w:left="3600" w:hanging="3600"/>
        <w:rPr>
          <w:color w:val="000000"/>
          <w:shd w:val="clear" w:color="auto" w:fill="FFFFFF"/>
        </w:rPr>
      </w:pPr>
      <w:r w:rsidRPr="005A3A11">
        <w:rPr>
          <w:b/>
          <w:smallCaps/>
          <w:u w:val="single"/>
        </w:rPr>
        <w:t>Title</w:t>
      </w:r>
      <w:r w:rsidRPr="005A3A11">
        <w:rPr>
          <w:b/>
          <w:smallCaps/>
        </w:rPr>
        <w:t>:</w:t>
      </w:r>
      <w:r w:rsidRPr="005A3A11">
        <w:tab/>
      </w:r>
      <w:r>
        <w:rPr>
          <w:color w:val="000000"/>
          <w:shd w:val="clear" w:color="auto" w:fill="FFFFFF"/>
        </w:rPr>
        <w:t xml:space="preserve">A Local Law to </w:t>
      </w:r>
      <w:r w:rsidR="00821F03" w:rsidRPr="00821F03">
        <w:rPr>
          <w:color w:val="000000"/>
          <w:shd w:val="clear" w:color="auto" w:fill="FFFFFF"/>
          <w:lang w:val="en"/>
        </w:rPr>
        <w:t xml:space="preserve">to amend </w:t>
      </w:r>
      <w:r w:rsidR="00821F03" w:rsidRPr="00821F03">
        <w:rPr>
          <w:color w:val="000000"/>
          <w:shd w:val="clear" w:color="auto" w:fill="FFFFFF"/>
        </w:rPr>
        <w:t>the administrative code of the city of New York, in relation to requiring cooperative corporations to provide financial information to prospective purchasers of cooperative apartments</w:t>
      </w:r>
    </w:p>
    <w:p w14:paraId="3E7D7BA7" w14:textId="77777777" w:rsidR="00821F03" w:rsidRPr="005A3A11" w:rsidRDefault="00821F03" w:rsidP="00821F03">
      <w:pPr>
        <w:suppressLineNumbers/>
        <w:ind w:left="3600" w:hanging="3600"/>
      </w:pPr>
    </w:p>
    <w:p w14:paraId="5AB5EBD9" w14:textId="4B49213E" w:rsidR="0013656A" w:rsidRDefault="0013656A" w:rsidP="00E84E77">
      <w:pPr>
        <w:suppressLineNumbers/>
        <w:ind w:left="3600" w:hanging="3600"/>
      </w:pPr>
      <w:r w:rsidRPr="005A3A11">
        <w:rPr>
          <w:b/>
          <w:smallCaps/>
          <w:u w:val="single"/>
        </w:rPr>
        <w:t>Administrative Code</w:t>
      </w:r>
      <w:r w:rsidRPr="005A3A11">
        <w:rPr>
          <w:b/>
          <w:smallCaps/>
        </w:rPr>
        <w:t>:</w:t>
      </w:r>
      <w:r w:rsidRPr="005A3A11">
        <w:tab/>
      </w:r>
      <w:r w:rsidR="00DC0E56">
        <w:t>Adds sections 26-3501 and 26-4502.</w:t>
      </w:r>
    </w:p>
    <w:p w14:paraId="499E351A" w14:textId="35DFC81B" w:rsidR="001457BC" w:rsidRDefault="001457BC" w:rsidP="001004A6">
      <w:pPr>
        <w:suppressLineNumbers/>
        <w:ind w:left="3600" w:hanging="3600"/>
        <w:jc w:val="left"/>
        <w:rPr>
          <w:b/>
          <w:smallCaps/>
          <w:u w:val="single"/>
        </w:rPr>
      </w:pPr>
    </w:p>
    <w:p w14:paraId="02E8F472" w14:textId="77777777" w:rsidR="00821F03" w:rsidRPr="005A3A11" w:rsidRDefault="00821F03" w:rsidP="00821F03">
      <w:pPr>
        <w:suppressLineNumbers/>
        <w:rPr>
          <w:szCs w:val="24"/>
        </w:rPr>
      </w:pPr>
    </w:p>
    <w:p w14:paraId="3243526D" w14:textId="644B7C37" w:rsidR="00821F03" w:rsidRDefault="00821F03" w:rsidP="003E2E1C">
      <w:pPr>
        <w:suppressLineNumbers/>
        <w:ind w:left="3600" w:hanging="3600"/>
        <w:rPr>
          <w:color w:val="000000"/>
          <w:shd w:val="clear" w:color="auto" w:fill="FFFFFF"/>
        </w:rPr>
      </w:pPr>
      <w:r>
        <w:rPr>
          <w:b/>
          <w:smallCaps/>
          <w:u w:val="single"/>
        </w:rPr>
        <w:t xml:space="preserve">Proposed </w:t>
      </w:r>
      <w:r w:rsidRPr="005A3A11">
        <w:rPr>
          <w:b/>
          <w:smallCaps/>
          <w:u w:val="single"/>
        </w:rPr>
        <w:t xml:space="preserve">Int. No. </w:t>
      </w:r>
      <w:r>
        <w:rPr>
          <w:b/>
          <w:smallCaps/>
          <w:u w:val="single"/>
        </w:rPr>
        <w:t>1120-A</w:t>
      </w:r>
      <w:r w:rsidRPr="005A3A11">
        <w:rPr>
          <w:b/>
          <w:smallCaps/>
        </w:rPr>
        <w:t>:</w:t>
      </w:r>
      <w:r w:rsidRPr="005A3A11">
        <w:rPr>
          <w:smallCaps/>
        </w:rPr>
        <w:tab/>
      </w:r>
      <w:r w:rsidR="003E2E1C" w:rsidRPr="003E2E1C">
        <w:rPr>
          <w:color w:val="000000"/>
          <w:shd w:val="clear" w:color="auto" w:fill="FFFFFF"/>
        </w:rPr>
        <w:t>By Council Members Farías, Williams, Louis, Banks, Narcisse, Holden, Feliz, Joseph, Salamanca, Zhuang, Avilés, Ayala, Brooks-Powers and Cabán</w:t>
      </w:r>
    </w:p>
    <w:p w14:paraId="22FECEAB" w14:textId="77777777" w:rsidR="003E2E1C" w:rsidRPr="005A3A11" w:rsidRDefault="003E2E1C" w:rsidP="003E2E1C">
      <w:pPr>
        <w:suppressLineNumbers/>
        <w:ind w:left="3600" w:hanging="3600"/>
        <w:rPr>
          <w:b/>
          <w:smallCaps/>
          <w:u w:val="single"/>
        </w:rPr>
      </w:pPr>
    </w:p>
    <w:p w14:paraId="5BBDE7C1" w14:textId="4C6DCEBA" w:rsidR="00821F03" w:rsidRPr="005A3A11" w:rsidRDefault="00821F03" w:rsidP="00821F03">
      <w:pPr>
        <w:suppressLineNumbers/>
        <w:ind w:left="3600" w:hanging="3600"/>
      </w:pPr>
      <w:r w:rsidRPr="005A3A11">
        <w:rPr>
          <w:b/>
          <w:smallCaps/>
          <w:u w:val="single"/>
        </w:rPr>
        <w:t>Title</w:t>
      </w:r>
      <w:r w:rsidRPr="005A3A11">
        <w:rPr>
          <w:b/>
          <w:smallCaps/>
        </w:rPr>
        <w:t>:</w:t>
      </w:r>
      <w:r w:rsidRPr="005A3A11">
        <w:tab/>
      </w:r>
      <w:r>
        <w:rPr>
          <w:color w:val="000000"/>
          <w:shd w:val="clear" w:color="auto" w:fill="FFFFFF"/>
        </w:rPr>
        <w:t xml:space="preserve">A Local Law to </w:t>
      </w:r>
      <w:r w:rsidR="003E2E1C" w:rsidRPr="003E2E1C">
        <w:rPr>
          <w:color w:val="000000"/>
          <w:shd w:val="clear" w:color="auto" w:fill="FFFFFF"/>
        </w:rPr>
        <w:t>to amend the administrative code of the city of New York, in relation to establishing timelines for cooperative corporations to approve or deny the sale of cooperative apartments</w:t>
      </w:r>
    </w:p>
    <w:p w14:paraId="1F70ADE2" w14:textId="77777777" w:rsidR="00821F03" w:rsidRPr="005A3A11" w:rsidRDefault="00821F03" w:rsidP="00821F03">
      <w:pPr>
        <w:suppressLineNumbers/>
        <w:ind w:left="3600" w:hanging="3600"/>
        <w:jc w:val="left"/>
      </w:pPr>
    </w:p>
    <w:p w14:paraId="40CB779D" w14:textId="7061DE05" w:rsidR="00821F03" w:rsidRDefault="00DC0E56" w:rsidP="00821F03">
      <w:pPr>
        <w:suppressLineNumbers/>
        <w:ind w:left="3600" w:hanging="3600"/>
      </w:pPr>
      <w:r>
        <w:rPr>
          <w:b/>
          <w:smallCaps/>
          <w:u w:val="single"/>
        </w:rPr>
        <w:t>Administrative Code</w:t>
      </w:r>
      <w:r w:rsidR="00821F03" w:rsidRPr="005A3A11">
        <w:rPr>
          <w:b/>
          <w:smallCaps/>
        </w:rPr>
        <w:t>:</w:t>
      </w:r>
      <w:r w:rsidR="00821F03" w:rsidRPr="005A3A11">
        <w:tab/>
      </w:r>
      <w:r>
        <w:t>Adds sections 26-3601, 26-3602, 26-3603, 26-3604, and 26-3605</w:t>
      </w:r>
      <w:r w:rsidR="00B43907">
        <w:t>.</w:t>
      </w:r>
    </w:p>
    <w:p w14:paraId="5E8BBF57" w14:textId="77777777" w:rsidR="00B43907" w:rsidRDefault="00B43907" w:rsidP="00821F03">
      <w:pPr>
        <w:suppressLineNumbers/>
        <w:ind w:left="3600" w:hanging="3600"/>
      </w:pPr>
    </w:p>
    <w:p w14:paraId="759FD384" w14:textId="327A3D41" w:rsidR="00B43907" w:rsidRDefault="00B43907" w:rsidP="00B43907">
      <w:pPr>
        <w:suppressLineNumbers/>
        <w:ind w:left="3600" w:hanging="3600"/>
        <w:rPr>
          <w:color w:val="000000"/>
          <w:shd w:val="clear" w:color="auto" w:fill="FFFFFF"/>
        </w:rPr>
      </w:pPr>
      <w:r>
        <w:rPr>
          <w:b/>
          <w:smallCaps/>
          <w:u w:val="single"/>
        </w:rPr>
        <w:t xml:space="preserve">Proposed </w:t>
      </w:r>
      <w:r w:rsidRPr="005A3A11">
        <w:rPr>
          <w:b/>
          <w:smallCaps/>
          <w:u w:val="single"/>
        </w:rPr>
        <w:t xml:space="preserve">Int. No. </w:t>
      </w:r>
      <w:r>
        <w:rPr>
          <w:b/>
          <w:smallCaps/>
          <w:u w:val="single"/>
        </w:rPr>
        <w:t>1475</w:t>
      </w:r>
      <w:r w:rsidRPr="005A3A11">
        <w:rPr>
          <w:b/>
          <w:smallCaps/>
        </w:rPr>
        <w:t>:</w:t>
      </w:r>
      <w:r w:rsidRPr="005A3A11">
        <w:rPr>
          <w:smallCaps/>
        </w:rPr>
        <w:tab/>
      </w:r>
      <w:r w:rsidRPr="003E2E1C">
        <w:rPr>
          <w:color w:val="000000"/>
          <w:shd w:val="clear" w:color="auto" w:fill="FFFFFF"/>
        </w:rPr>
        <w:t xml:space="preserve">By Council Members </w:t>
      </w:r>
      <w:r>
        <w:rPr>
          <w:color w:val="000000"/>
          <w:shd w:val="clear" w:color="auto" w:fill="FFFFFF"/>
        </w:rPr>
        <w:t>Bottcher and Restler</w:t>
      </w:r>
    </w:p>
    <w:p w14:paraId="0F826245" w14:textId="77777777" w:rsidR="00B43907" w:rsidRPr="005A3A11" w:rsidRDefault="00B43907" w:rsidP="00B43907">
      <w:pPr>
        <w:suppressLineNumbers/>
        <w:ind w:left="3600" w:hanging="3600"/>
        <w:rPr>
          <w:b/>
          <w:smallCaps/>
          <w:u w:val="single"/>
        </w:rPr>
      </w:pPr>
    </w:p>
    <w:p w14:paraId="1800B986" w14:textId="4154A98D" w:rsidR="00B43907" w:rsidRPr="005A3A11" w:rsidRDefault="00B43907" w:rsidP="00B43907">
      <w:pPr>
        <w:suppressLineNumbers/>
        <w:ind w:left="3600" w:hanging="3600"/>
      </w:pPr>
      <w:r w:rsidRPr="005A3A11">
        <w:rPr>
          <w:b/>
          <w:smallCaps/>
          <w:u w:val="single"/>
        </w:rPr>
        <w:t>Title</w:t>
      </w:r>
      <w:r w:rsidRPr="005A3A11">
        <w:rPr>
          <w:b/>
          <w:smallCaps/>
        </w:rPr>
        <w:t>:</w:t>
      </w:r>
      <w:r w:rsidRPr="005A3A11">
        <w:tab/>
      </w:r>
      <w:r w:rsidRPr="00B43907">
        <w:rPr>
          <w:color w:val="000000"/>
          <w:shd w:val="clear" w:color="auto" w:fill="FFFFFF"/>
        </w:rPr>
        <w:t>A Local Law to amend the administrative code of the city of New York, the New York city building code, and the New York city fire code, in relation to shared housing</w:t>
      </w:r>
    </w:p>
    <w:p w14:paraId="6EDA15F4" w14:textId="77777777" w:rsidR="00B43907" w:rsidRPr="005A3A11" w:rsidRDefault="00B43907" w:rsidP="00B43907">
      <w:pPr>
        <w:suppressLineNumbers/>
        <w:ind w:left="3600" w:hanging="3600"/>
        <w:jc w:val="left"/>
      </w:pPr>
    </w:p>
    <w:p w14:paraId="3F892E66" w14:textId="0AD87E9C" w:rsidR="00B43907" w:rsidRDefault="00B43907" w:rsidP="00B43907">
      <w:pPr>
        <w:suppressLineNumbers/>
        <w:ind w:left="3600" w:hanging="3600"/>
      </w:pPr>
      <w:r>
        <w:rPr>
          <w:b/>
          <w:smallCaps/>
          <w:u w:val="single"/>
        </w:rPr>
        <w:t>Administrative Code</w:t>
      </w:r>
      <w:r w:rsidRPr="005A3A11">
        <w:rPr>
          <w:b/>
          <w:smallCaps/>
        </w:rPr>
        <w:t>:</w:t>
      </w:r>
      <w:r w:rsidRPr="005A3A11">
        <w:tab/>
      </w:r>
      <w:r>
        <w:t xml:space="preserve">Amends sections 27-2004 and </w:t>
      </w:r>
      <w:r w:rsidRPr="00B43907">
        <w:t>28-101.4.3</w:t>
      </w:r>
      <w:r>
        <w:t xml:space="preserve"> and </w:t>
      </w:r>
      <w:r w:rsidR="00852338">
        <w:t>adds</w:t>
      </w:r>
      <w:r>
        <w:t xml:space="preserve"> </w:t>
      </w:r>
      <w:r w:rsidR="00852338">
        <w:t xml:space="preserve">new </w:t>
      </w:r>
      <w:r>
        <w:t xml:space="preserve">section </w:t>
      </w:r>
      <w:r w:rsidRPr="00B43907">
        <w:t>27-2079.1</w:t>
      </w:r>
      <w:r>
        <w:t>.</w:t>
      </w:r>
    </w:p>
    <w:p w14:paraId="2EC629E0" w14:textId="77777777" w:rsidR="00852338" w:rsidRDefault="00852338" w:rsidP="00B43907">
      <w:pPr>
        <w:suppressLineNumbers/>
        <w:ind w:left="3600" w:hanging="3600"/>
      </w:pPr>
    </w:p>
    <w:p w14:paraId="55849564" w14:textId="09785F76" w:rsidR="00852338" w:rsidRDefault="00852338" w:rsidP="00B43907">
      <w:pPr>
        <w:suppressLineNumbers/>
        <w:ind w:left="3600" w:hanging="3600"/>
      </w:pPr>
      <w:r w:rsidRPr="004973D0">
        <w:rPr>
          <w:rFonts w:ascii="Times New Roman Bold" w:hAnsi="Times New Roman Bold"/>
          <w:b/>
          <w:bCs/>
          <w:smallCaps/>
          <w:u w:val="single"/>
        </w:rPr>
        <w:t>Building Code:</w:t>
      </w:r>
      <w:r>
        <w:tab/>
        <w:t xml:space="preserve">Adds new appendix T. </w:t>
      </w:r>
    </w:p>
    <w:p w14:paraId="74E73ECF" w14:textId="77777777" w:rsidR="00852338" w:rsidRDefault="00852338" w:rsidP="00B43907">
      <w:pPr>
        <w:suppressLineNumbers/>
        <w:ind w:left="3600" w:hanging="3600"/>
      </w:pPr>
    </w:p>
    <w:p w14:paraId="49F41BCB" w14:textId="3BDD87C4" w:rsidR="00B43907" w:rsidRDefault="00852338" w:rsidP="00852338">
      <w:pPr>
        <w:suppressLineNumbers/>
        <w:ind w:left="3600" w:hanging="3600"/>
      </w:pPr>
      <w:r w:rsidRPr="004973D0">
        <w:rPr>
          <w:rFonts w:ascii="Times New Roman Bold" w:hAnsi="Times New Roman Bold"/>
          <w:b/>
          <w:bCs/>
          <w:smallCaps/>
          <w:u w:val="single"/>
        </w:rPr>
        <w:t>Fire Code:</w:t>
      </w:r>
      <w:r>
        <w:tab/>
        <w:t xml:space="preserve">Amends sections </w:t>
      </w:r>
      <w:r w:rsidRPr="00852338">
        <w:t>406.2.4</w:t>
      </w:r>
      <w:r>
        <w:t xml:space="preserve">, </w:t>
      </w:r>
      <w:r w:rsidRPr="00852338">
        <w:t>505.3,</w:t>
      </w:r>
      <w:r>
        <w:t xml:space="preserve"> </w:t>
      </w:r>
      <w:r w:rsidRPr="00852338">
        <w:t>505.3.1</w:t>
      </w:r>
      <w:r>
        <w:t xml:space="preserve">, </w:t>
      </w:r>
      <w:r w:rsidRPr="00852338">
        <w:t>505.3.2</w:t>
      </w:r>
      <w:r>
        <w:t>, and</w:t>
      </w:r>
      <w:r w:rsidRPr="00852338">
        <w:t> 505.4.2</w:t>
      </w:r>
      <w:r>
        <w:t xml:space="preserve"> and adds new</w:t>
      </w:r>
      <w:r w:rsidRPr="00852338">
        <w:rPr>
          <w:color w:val="000000"/>
          <w:shd w:val="clear" w:color="auto" w:fill="FFFFFF"/>
        </w:rPr>
        <w:t xml:space="preserve"> </w:t>
      </w:r>
      <w:r>
        <w:rPr>
          <w:color w:val="000000"/>
          <w:shd w:val="clear" w:color="auto" w:fill="FFFFFF"/>
        </w:rPr>
        <w:t xml:space="preserve">section </w:t>
      </w:r>
      <w:r w:rsidRPr="00852338">
        <w:t>406.2.5 </w:t>
      </w:r>
    </w:p>
    <w:p w14:paraId="259A5798" w14:textId="741444D8" w:rsidR="00DB0E1A" w:rsidRPr="005A3A11" w:rsidRDefault="00DB0E1A" w:rsidP="001004A6">
      <w:pPr>
        <w:suppressLineNumbers/>
        <w:ind w:left="3600" w:hanging="3600"/>
        <w:jc w:val="left"/>
      </w:pPr>
    </w:p>
    <w:p w14:paraId="2D51B8C6" w14:textId="4353232F" w:rsidR="00BA6D2B" w:rsidRPr="005A3A11" w:rsidRDefault="00BA6D2B" w:rsidP="001004A6">
      <w:pPr>
        <w:numPr>
          <w:ilvl w:val="0"/>
          <w:numId w:val="1"/>
        </w:numPr>
        <w:suppressLineNumbers/>
        <w:spacing w:line="480" w:lineRule="auto"/>
        <w:contextualSpacing/>
        <w:jc w:val="left"/>
        <w:rPr>
          <w:b/>
          <w:smallCaps/>
          <w:szCs w:val="24"/>
          <w:u w:val="single"/>
        </w:rPr>
      </w:pPr>
      <w:r w:rsidRPr="005A3A11">
        <w:rPr>
          <w:b/>
          <w:smallCaps/>
          <w:szCs w:val="24"/>
          <w:u w:val="single"/>
        </w:rPr>
        <w:t>Introduction</w:t>
      </w:r>
    </w:p>
    <w:p w14:paraId="7D6127AA" w14:textId="52EE7291" w:rsidR="0067543D" w:rsidRPr="005A3A11" w:rsidRDefault="003778AD" w:rsidP="00852338">
      <w:pPr>
        <w:suppressLineNumbers/>
        <w:spacing w:line="480" w:lineRule="auto"/>
        <w:ind w:firstLine="720"/>
        <w:contextualSpacing/>
      </w:pPr>
      <w:r w:rsidRPr="005A3A11">
        <w:rPr>
          <w:szCs w:val="24"/>
        </w:rPr>
        <w:t xml:space="preserve">On </w:t>
      </w:r>
      <w:r w:rsidR="00965182">
        <w:rPr>
          <w:szCs w:val="24"/>
        </w:rPr>
        <w:t>December 2, 2025</w:t>
      </w:r>
      <w:r w:rsidR="005F0099">
        <w:rPr>
          <w:szCs w:val="24"/>
        </w:rPr>
        <w:t xml:space="preserve">, </w:t>
      </w:r>
      <w:r w:rsidR="00BA6D2B" w:rsidRPr="005A3A11">
        <w:rPr>
          <w:szCs w:val="24"/>
        </w:rPr>
        <w:t>the New York City Council Committee on Housing and Buildings, chaired by Council Member Pierina Sanchez</w:t>
      </w:r>
      <w:r w:rsidR="00DB17A0" w:rsidRPr="005A3A11">
        <w:rPr>
          <w:szCs w:val="24"/>
        </w:rPr>
        <w:t>,</w:t>
      </w:r>
      <w:r w:rsidRPr="005A3A11">
        <w:rPr>
          <w:szCs w:val="24"/>
        </w:rPr>
        <w:t xml:space="preserve"> </w:t>
      </w:r>
      <w:r w:rsidR="00BA6D2B" w:rsidRPr="005A3A11">
        <w:rPr>
          <w:szCs w:val="24"/>
        </w:rPr>
        <w:t>will hold a</w:t>
      </w:r>
      <w:r w:rsidR="00336F07">
        <w:rPr>
          <w:szCs w:val="24"/>
        </w:rPr>
        <w:t xml:space="preserve"> </w:t>
      </w:r>
      <w:r w:rsidR="00BA6D2B" w:rsidRPr="005A3A11">
        <w:rPr>
          <w:szCs w:val="24"/>
        </w:rPr>
        <w:t xml:space="preserve">hearing on </w:t>
      </w:r>
      <w:r w:rsidR="005F0099">
        <w:rPr>
          <w:szCs w:val="24"/>
        </w:rPr>
        <w:t>transparency in applications to cooperatives</w:t>
      </w:r>
      <w:r w:rsidR="00BA6D2B" w:rsidRPr="005A3A11">
        <w:rPr>
          <w:szCs w:val="24"/>
        </w:rPr>
        <w:t xml:space="preserve">. The Committee will </w:t>
      </w:r>
      <w:r w:rsidR="00894587" w:rsidRPr="005A3A11">
        <w:rPr>
          <w:szCs w:val="24"/>
        </w:rPr>
        <w:t xml:space="preserve">also </w:t>
      </w:r>
      <w:r w:rsidR="00BA6D2B" w:rsidRPr="005A3A11">
        <w:rPr>
          <w:szCs w:val="24"/>
        </w:rPr>
        <w:t>consider</w:t>
      </w:r>
      <w:r w:rsidR="00D17BE0">
        <w:rPr>
          <w:szCs w:val="24"/>
        </w:rPr>
        <w:t>:</w:t>
      </w:r>
      <w:r w:rsidR="00BA6D2B" w:rsidRPr="005A3A11">
        <w:rPr>
          <w:szCs w:val="24"/>
        </w:rPr>
        <w:t xml:space="preserve"> </w:t>
      </w:r>
      <w:r w:rsidR="003A4F27">
        <w:rPr>
          <w:szCs w:val="24"/>
        </w:rPr>
        <w:t xml:space="preserve">Proposed </w:t>
      </w:r>
      <w:r w:rsidR="00EC67C2" w:rsidRPr="005A3A11">
        <w:rPr>
          <w:szCs w:val="24"/>
        </w:rPr>
        <w:t xml:space="preserve">Int. No. </w:t>
      </w:r>
      <w:r w:rsidR="005F0099">
        <w:rPr>
          <w:szCs w:val="24"/>
        </w:rPr>
        <w:t>407</w:t>
      </w:r>
      <w:r w:rsidR="003A4F27">
        <w:rPr>
          <w:szCs w:val="24"/>
        </w:rPr>
        <w:t>-A</w:t>
      </w:r>
      <w:r w:rsidR="00894587" w:rsidRPr="005A3A11">
        <w:rPr>
          <w:szCs w:val="24"/>
        </w:rPr>
        <w:t xml:space="preserve">, sponsored by </w:t>
      </w:r>
      <w:r w:rsidR="005F0099">
        <w:rPr>
          <w:szCs w:val="24"/>
        </w:rPr>
        <w:t>the Public Advocate Jumaane Williams</w:t>
      </w:r>
      <w:r w:rsidR="001546C3">
        <w:rPr>
          <w:szCs w:val="24"/>
        </w:rPr>
        <w:t>,</w:t>
      </w:r>
      <w:r w:rsidR="005F0099" w:rsidRPr="005F0099">
        <w:rPr>
          <w:szCs w:val="24"/>
        </w:rPr>
        <w:t xml:space="preserve"> </w:t>
      </w:r>
      <w:r w:rsidR="005F0099">
        <w:rPr>
          <w:szCs w:val="24"/>
        </w:rPr>
        <w:t>in relation to sales of cooperative apartments</w:t>
      </w:r>
      <w:r w:rsidR="000916BE">
        <w:rPr>
          <w:szCs w:val="24"/>
        </w:rPr>
        <w:t>; Int. No. 438,</w:t>
      </w:r>
      <w:r w:rsidR="000916BE" w:rsidRPr="000916BE">
        <w:rPr>
          <w:color w:val="000000"/>
          <w:shd w:val="clear" w:color="auto" w:fill="FFFFFF"/>
        </w:rPr>
        <w:t xml:space="preserve"> </w:t>
      </w:r>
      <w:r w:rsidR="001546C3">
        <w:rPr>
          <w:color w:val="000000"/>
          <w:shd w:val="clear" w:color="auto" w:fill="FFFFFF"/>
        </w:rPr>
        <w:t>s</w:t>
      </w:r>
      <w:r w:rsidR="000916BE">
        <w:rPr>
          <w:color w:val="000000"/>
          <w:shd w:val="clear" w:color="auto" w:fill="FFFFFF"/>
        </w:rPr>
        <w:t xml:space="preserve">ponsored by Council Member Sanchez, </w:t>
      </w:r>
      <w:r w:rsidR="000916BE" w:rsidRPr="00821F03">
        <w:rPr>
          <w:color w:val="000000"/>
          <w:shd w:val="clear" w:color="auto" w:fill="FFFFFF"/>
        </w:rPr>
        <w:t>in relation to requiring cooperative corporations to provide financial information to prospective purchasers of cooperative apartments</w:t>
      </w:r>
      <w:r w:rsidR="000916BE">
        <w:rPr>
          <w:color w:val="000000"/>
          <w:shd w:val="clear" w:color="auto" w:fill="FFFFFF"/>
        </w:rPr>
        <w:t xml:space="preserve">; Proposed Int. No. 1120-A, sponsored by </w:t>
      </w:r>
      <w:r w:rsidR="001546C3">
        <w:rPr>
          <w:color w:val="000000"/>
          <w:shd w:val="clear" w:color="auto" w:fill="FFFFFF"/>
        </w:rPr>
        <w:t>Majority Leader</w:t>
      </w:r>
      <w:r w:rsidR="000916BE">
        <w:rPr>
          <w:color w:val="000000"/>
          <w:shd w:val="clear" w:color="auto" w:fill="FFFFFF"/>
        </w:rPr>
        <w:t xml:space="preserve"> Amanda </w:t>
      </w:r>
      <w:r w:rsidR="000916BE" w:rsidRPr="003E2E1C">
        <w:rPr>
          <w:color w:val="000000"/>
          <w:shd w:val="clear" w:color="auto" w:fill="FFFFFF"/>
        </w:rPr>
        <w:t>Farías</w:t>
      </w:r>
      <w:r w:rsidR="000916BE">
        <w:rPr>
          <w:color w:val="000000"/>
          <w:shd w:val="clear" w:color="auto" w:fill="FFFFFF"/>
        </w:rPr>
        <w:t xml:space="preserve">, </w:t>
      </w:r>
      <w:r w:rsidR="000916BE" w:rsidRPr="000916BE">
        <w:rPr>
          <w:color w:val="000000"/>
          <w:shd w:val="clear" w:color="auto" w:fill="FFFFFF"/>
        </w:rPr>
        <w:t>in relation to establishing timelines for cooperative corporations to approve or deny the sale of cooperative apartments</w:t>
      </w:r>
      <w:r w:rsidR="00D1085F">
        <w:rPr>
          <w:color w:val="000000"/>
          <w:shd w:val="clear" w:color="auto" w:fill="FFFFFF"/>
        </w:rPr>
        <w:t>;</w:t>
      </w:r>
      <w:r w:rsidR="009F3728">
        <w:t xml:space="preserve"> </w:t>
      </w:r>
      <w:r w:rsidR="00D1085F">
        <w:t>and</w:t>
      </w:r>
      <w:r w:rsidR="00852338">
        <w:t xml:space="preserve"> Int. No. 1475, sponsored by Council Member Erik D. Bottcher, </w:t>
      </w:r>
      <w:r w:rsidR="00852338" w:rsidRPr="00852338">
        <w:t>in relation to shared housing</w:t>
      </w:r>
      <w:r w:rsidR="00852338">
        <w:t xml:space="preserve">. </w:t>
      </w:r>
      <w:r w:rsidR="00BA6D2B" w:rsidRPr="005A3A11">
        <w:t>The Committee expect</w:t>
      </w:r>
      <w:r w:rsidR="00DB17A0" w:rsidRPr="005A3A11">
        <w:t>s</w:t>
      </w:r>
      <w:r w:rsidR="00BA6D2B" w:rsidRPr="005A3A11">
        <w:t xml:space="preserve"> to hear testimony from the </w:t>
      </w:r>
      <w:r w:rsidR="00F23667" w:rsidRPr="005A3A11">
        <w:t>New York City Department of Housing Preservation and Development</w:t>
      </w:r>
      <w:r w:rsidR="003924F6" w:rsidRPr="005A3A11">
        <w:t xml:space="preserve"> (“HPD”)</w:t>
      </w:r>
      <w:r w:rsidR="00E90B6B" w:rsidRPr="005A3A11">
        <w:t xml:space="preserve">, </w:t>
      </w:r>
      <w:r w:rsidR="000916BE">
        <w:t xml:space="preserve">the New York City Department of Finance (“DOF”), and the New York City Commission on Human Rights (“CCHR”), </w:t>
      </w:r>
      <w:r w:rsidR="00BA6D2B" w:rsidRPr="005A3A11">
        <w:t xml:space="preserve">as well as </w:t>
      </w:r>
      <w:r w:rsidR="00E90B6B" w:rsidRPr="005A3A11">
        <w:t xml:space="preserve">housing advocates, </w:t>
      </w:r>
      <w:r w:rsidR="00EE6C1B" w:rsidRPr="005A3A11">
        <w:t xml:space="preserve">representatives of the real estate industry, </w:t>
      </w:r>
      <w:r w:rsidR="00602996" w:rsidRPr="005A3A11">
        <w:t>members of the public, and other interested parties</w:t>
      </w:r>
      <w:r w:rsidR="00BA6D2B" w:rsidRPr="005A3A11">
        <w:t>.</w:t>
      </w:r>
    </w:p>
    <w:p w14:paraId="1A4BAC01" w14:textId="1AAF080E" w:rsidR="00A37ED4" w:rsidRDefault="00BA6D2B" w:rsidP="00EE5708">
      <w:pPr>
        <w:pStyle w:val="ListParagraph"/>
        <w:numPr>
          <w:ilvl w:val="0"/>
          <w:numId w:val="1"/>
        </w:numPr>
        <w:suppressLineNumbers/>
        <w:spacing w:before="120" w:line="480" w:lineRule="auto"/>
        <w:rPr>
          <w:b/>
          <w:smallCaps/>
          <w:szCs w:val="24"/>
          <w:u w:val="single"/>
        </w:rPr>
      </w:pPr>
      <w:r w:rsidRPr="005A3A11">
        <w:rPr>
          <w:b/>
          <w:smallCaps/>
          <w:szCs w:val="24"/>
          <w:u w:val="single"/>
        </w:rPr>
        <w:t>Background</w:t>
      </w:r>
    </w:p>
    <w:p w14:paraId="0EDC84AA" w14:textId="6197B38D" w:rsidR="00A37ED4" w:rsidRPr="00BD00C1" w:rsidRDefault="00A37ED4" w:rsidP="00EE5708">
      <w:pPr>
        <w:spacing w:line="480" w:lineRule="auto"/>
        <w:rPr>
          <w:i/>
          <w:iCs/>
          <w:color w:val="000000"/>
          <w:szCs w:val="24"/>
          <w:shd w:val="clear" w:color="auto" w:fill="FFFFFF"/>
        </w:rPr>
      </w:pPr>
      <w:r w:rsidRPr="00BD00C1">
        <w:rPr>
          <w:i/>
          <w:iCs/>
          <w:color w:val="000000"/>
          <w:szCs w:val="24"/>
          <w:shd w:val="clear" w:color="auto" w:fill="FFFFFF"/>
        </w:rPr>
        <w:t xml:space="preserve">An </w:t>
      </w:r>
      <w:r w:rsidR="00852338">
        <w:rPr>
          <w:i/>
          <w:iCs/>
          <w:color w:val="000000"/>
          <w:szCs w:val="24"/>
          <w:shd w:val="clear" w:color="auto" w:fill="FFFFFF"/>
        </w:rPr>
        <w:t>O</w:t>
      </w:r>
      <w:r w:rsidR="00852338" w:rsidRPr="00BD00C1">
        <w:rPr>
          <w:i/>
          <w:iCs/>
          <w:color w:val="000000"/>
          <w:szCs w:val="24"/>
          <w:shd w:val="clear" w:color="auto" w:fill="FFFFFF"/>
        </w:rPr>
        <w:t xml:space="preserve">verview </w:t>
      </w:r>
      <w:r w:rsidRPr="00BD00C1">
        <w:rPr>
          <w:i/>
          <w:iCs/>
          <w:color w:val="000000"/>
          <w:szCs w:val="24"/>
          <w:shd w:val="clear" w:color="auto" w:fill="FFFFFF"/>
        </w:rPr>
        <w:t xml:space="preserve">of Cooperative </w:t>
      </w:r>
      <w:r w:rsidR="00852338">
        <w:rPr>
          <w:i/>
          <w:iCs/>
          <w:color w:val="000000"/>
          <w:szCs w:val="24"/>
          <w:shd w:val="clear" w:color="auto" w:fill="FFFFFF"/>
        </w:rPr>
        <w:t>H</w:t>
      </w:r>
      <w:r w:rsidR="00852338" w:rsidRPr="00BD00C1">
        <w:rPr>
          <w:i/>
          <w:iCs/>
          <w:color w:val="000000"/>
          <w:szCs w:val="24"/>
          <w:shd w:val="clear" w:color="auto" w:fill="FFFFFF"/>
        </w:rPr>
        <w:t>ousing</w:t>
      </w:r>
    </w:p>
    <w:p w14:paraId="67FB4AC9" w14:textId="0424EEA1" w:rsidR="00A37ED4" w:rsidRPr="00A37ED4" w:rsidRDefault="00F956F2" w:rsidP="0001598A">
      <w:pPr>
        <w:spacing w:line="480" w:lineRule="auto"/>
        <w:ind w:firstLine="720"/>
        <w:rPr>
          <w:szCs w:val="24"/>
        </w:rPr>
      </w:pPr>
      <w:r>
        <w:rPr>
          <w:color w:val="000000"/>
          <w:szCs w:val="24"/>
          <w:shd w:val="clear" w:color="auto" w:fill="FFFFFF"/>
        </w:rPr>
        <w:t xml:space="preserve">Co-operative housing developments (“co-ops”) </w:t>
      </w:r>
      <w:r w:rsidR="00F034F0">
        <w:rPr>
          <w:color w:val="000000"/>
          <w:szCs w:val="24"/>
          <w:shd w:val="clear" w:color="auto" w:fill="FFFFFF"/>
        </w:rPr>
        <w:t>and condominiuns (“condos”) are forms of common interest housing developments in which owner-residents have exclusive rights to their housing unit and some form of ownership over common spaces despite not having individual ownership over the building as a whole.</w:t>
      </w:r>
      <w:r w:rsidR="00F034F0" w:rsidRPr="00F034F0">
        <w:rPr>
          <w:rStyle w:val="FootnoteReference"/>
          <w:color w:val="000000"/>
          <w:szCs w:val="24"/>
          <w:shd w:val="clear" w:color="auto" w:fill="FFFFFF"/>
        </w:rPr>
        <w:t xml:space="preserve"> </w:t>
      </w:r>
      <w:r w:rsidR="00F034F0">
        <w:rPr>
          <w:rStyle w:val="FootnoteReference"/>
          <w:color w:val="000000"/>
          <w:szCs w:val="24"/>
          <w:shd w:val="clear" w:color="auto" w:fill="FFFFFF"/>
        </w:rPr>
        <w:footnoteReference w:id="1"/>
      </w:r>
      <w:r w:rsidR="00F034F0">
        <w:rPr>
          <w:color w:val="000000"/>
          <w:szCs w:val="24"/>
          <w:shd w:val="clear" w:color="auto" w:fill="FFFFFF"/>
        </w:rPr>
        <w:t xml:space="preserve"> Co-ops </w:t>
      </w:r>
      <w:r>
        <w:rPr>
          <w:color w:val="000000"/>
          <w:szCs w:val="24"/>
          <w:shd w:val="clear" w:color="auto" w:fill="FFFFFF"/>
        </w:rPr>
        <w:t>are distinguished by the</w:t>
      </w:r>
      <w:r w:rsidR="00F034F0">
        <w:rPr>
          <w:color w:val="000000"/>
          <w:szCs w:val="24"/>
          <w:shd w:val="clear" w:color="auto" w:fill="FFFFFF"/>
        </w:rPr>
        <w:t>ir</w:t>
      </w:r>
      <w:r>
        <w:rPr>
          <w:color w:val="000000"/>
          <w:szCs w:val="24"/>
          <w:shd w:val="clear" w:color="auto" w:fill="FFFFFF"/>
        </w:rPr>
        <w:t xml:space="preserve"> unique </w:t>
      </w:r>
      <w:r w:rsidRPr="00A37ED4">
        <w:rPr>
          <w:color w:val="000000"/>
          <w:szCs w:val="24"/>
          <w:shd w:val="clear" w:color="auto" w:fill="FFFFFF"/>
        </w:rPr>
        <w:t>structure of</w:t>
      </w:r>
      <w:r w:rsidR="00F034F0">
        <w:rPr>
          <w:color w:val="000000"/>
          <w:szCs w:val="24"/>
          <w:shd w:val="clear" w:color="auto" w:fill="FFFFFF"/>
        </w:rPr>
        <w:t xml:space="preserve"> ownership: the building is owned by a c</w:t>
      </w:r>
      <w:r>
        <w:rPr>
          <w:color w:val="000000"/>
          <w:szCs w:val="24"/>
          <w:shd w:val="clear" w:color="auto" w:fill="FFFFFF"/>
        </w:rPr>
        <w:t>ooperative corporation</w:t>
      </w:r>
      <w:r w:rsidR="00D47651">
        <w:rPr>
          <w:color w:val="000000"/>
          <w:szCs w:val="24"/>
          <w:shd w:val="clear" w:color="auto" w:fill="FFFFFF"/>
        </w:rPr>
        <w:t>,</w:t>
      </w:r>
      <w:r>
        <w:rPr>
          <w:color w:val="000000"/>
          <w:szCs w:val="24"/>
          <w:shd w:val="clear" w:color="auto" w:fill="FFFFFF"/>
        </w:rPr>
        <w:t xml:space="preserve"> and residents </w:t>
      </w:r>
      <w:r w:rsidR="00D47651">
        <w:rPr>
          <w:color w:val="000000"/>
          <w:szCs w:val="24"/>
          <w:shd w:val="clear" w:color="auto" w:fill="FFFFFF"/>
        </w:rPr>
        <w:t xml:space="preserve">can </w:t>
      </w:r>
      <w:r w:rsidR="00F034F0">
        <w:rPr>
          <w:color w:val="000000"/>
          <w:szCs w:val="24"/>
          <w:shd w:val="clear" w:color="auto" w:fill="FFFFFF"/>
        </w:rPr>
        <w:t xml:space="preserve">purchase shares of the corporation in order to obtain </w:t>
      </w:r>
      <w:r>
        <w:rPr>
          <w:color w:val="000000"/>
          <w:szCs w:val="24"/>
          <w:shd w:val="clear" w:color="auto" w:fill="FFFFFF"/>
        </w:rPr>
        <w:t>right to inhabit a unit</w:t>
      </w:r>
      <w:r w:rsidR="004B3FE1">
        <w:rPr>
          <w:color w:val="000000"/>
          <w:szCs w:val="24"/>
          <w:shd w:val="clear" w:color="auto" w:fill="FFFFFF"/>
        </w:rPr>
        <w:t>, though residents will not own the title to the unit</w:t>
      </w:r>
      <w:r>
        <w:rPr>
          <w:color w:val="000000"/>
          <w:szCs w:val="24"/>
          <w:shd w:val="clear" w:color="auto" w:fill="FFFFFF"/>
        </w:rPr>
        <w:t>.</w:t>
      </w:r>
      <w:r>
        <w:rPr>
          <w:rStyle w:val="FootnoteReference"/>
          <w:color w:val="000000"/>
          <w:szCs w:val="24"/>
          <w:shd w:val="clear" w:color="auto" w:fill="FFFFFF"/>
        </w:rPr>
        <w:footnoteReference w:id="2"/>
      </w:r>
      <w:r>
        <w:rPr>
          <w:color w:val="000000"/>
          <w:szCs w:val="24"/>
          <w:shd w:val="clear" w:color="auto" w:fill="FFFFFF"/>
        </w:rPr>
        <w:t xml:space="preserve"> </w:t>
      </w:r>
      <w:r w:rsidR="008E195F">
        <w:rPr>
          <w:color w:val="000000"/>
          <w:szCs w:val="24"/>
          <w:shd w:val="clear" w:color="auto" w:fill="FFFFFF"/>
        </w:rPr>
        <w:t>C</w:t>
      </w:r>
      <w:r w:rsidR="00C1693F" w:rsidRPr="00A37ED4">
        <w:rPr>
          <w:color w:val="000000"/>
          <w:szCs w:val="24"/>
          <w:shd w:val="clear" w:color="auto" w:fill="FFFFFF"/>
        </w:rPr>
        <w:t>o-op owners exist in a dual capacity as shareholders and tenants of the co-op corporation.</w:t>
      </w:r>
      <w:r w:rsidR="00C1693F">
        <w:rPr>
          <w:rStyle w:val="FootnoteReference"/>
          <w:color w:val="000000"/>
          <w:szCs w:val="24"/>
          <w:shd w:val="clear" w:color="auto" w:fill="FFFFFF"/>
        </w:rPr>
        <w:footnoteReference w:id="3"/>
      </w:r>
      <w:r w:rsidR="0001598A">
        <w:rPr>
          <w:szCs w:val="24"/>
        </w:rPr>
        <w:t xml:space="preserve"> </w:t>
      </w:r>
      <w:r w:rsidR="004B3FE1">
        <w:rPr>
          <w:color w:val="000000"/>
          <w:szCs w:val="24"/>
          <w:shd w:val="clear" w:color="auto" w:fill="FFFFFF"/>
        </w:rPr>
        <w:t>By contrast</w:t>
      </w:r>
      <w:r w:rsidR="00D47651">
        <w:rPr>
          <w:color w:val="000000"/>
          <w:szCs w:val="24"/>
          <w:shd w:val="clear" w:color="auto" w:fill="FFFFFF"/>
        </w:rPr>
        <w:t xml:space="preserve">, a </w:t>
      </w:r>
      <w:r w:rsidR="00122FB3">
        <w:rPr>
          <w:color w:val="000000"/>
          <w:szCs w:val="24"/>
          <w:shd w:val="clear" w:color="auto" w:fill="FFFFFF"/>
        </w:rPr>
        <w:t xml:space="preserve">condo </w:t>
      </w:r>
      <w:r w:rsidR="00D47651">
        <w:rPr>
          <w:color w:val="000000"/>
          <w:szCs w:val="24"/>
          <w:shd w:val="clear" w:color="auto" w:fill="FFFFFF"/>
        </w:rPr>
        <w:t xml:space="preserve">resident </w:t>
      </w:r>
      <w:r w:rsidR="0001598A">
        <w:rPr>
          <w:color w:val="000000"/>
          <w:szCs w:val="24"/>
          <w:shd w:val="clear" w:color="auto" w:fill="FFFFFF"/>
        </w:rPr>
        <w:t>may</w:t>
      </w:r>
      <w:r w:rsidR="00D47651">
        <w:rPr>
          <w:color w:val="000000"/>
          <w:szCs w:val="24"/>
          <w:shd w:val="clear" w:color="auto" w:fill="FFFFFF"/>
        </w:rPr>
        <w:t xml:space="preserve"> own the title for an individual uni</w:t>
      </w:r>
      <w:r w:rsidR="00E27C31">
        <w:rPr>
          <w:color w:val="000000"/>
          <w:szCs w:val="24"/>
          <w:shd w:val="clear" w:color="auto" w:fill="FFFFFF"/>
        </w:rPr>
        <w:t>t</w:t>
      </w:r>
      <w:r w:rsidR="00D47651">
        <w:rPr>
          <w:color w:val="000000"/>
          <w:szCs w:val="24"/>
          <w:shd w:val="clear" w:color="auto" w:fill="FFFFFF"/>
        </w:rPr>
        <w:t>.</w:t>
      </w:r>
      <w:r w:rsidR="00D47651" w:rsidRPr="00D47651">
        <w:rPr>
          <w:rStyle w:val="FootnoteReference"/>
          <w:color w:val="000000"/>
          <w:szCs w:val="24"/>
          <w:shd w:val="clear" w:color="auto" w:fill="FFFFFF"/>
        </w:rPr>
        <w:t xml:space="preserve"> </w:t>
      </w:r>
      <w:r w:rsidR="00D47651">
        <w:rPr>
          <w:rStyle w:val="FootnoteReference"/>
          <w:color w:val="000000"/>
          <w:szCs w:val="24"/>
          <w:shd w:val="clear" w:color="auto" w:fill="FFFFFF"/>
        </w:rPr>
        <w:footnoteReference w:id="4"/>
      </w:r>
      <w:r w:rsidR="00D47651">
        <w:rPr>
          <w:color w:val="000000"/>
          <w:szCs w:val="24"/>
          <w:shd w:val="clear" w:color="auto" w:fill="FFFFFF"/>
        </w:rPr>
        <w:t xml:space="preserve"> Along with this individual ownership of the unit, condo residents typically hold</w:t>
      </w:r>
      <w:r>
        <w:rPr>
          <w:color w:val="000000"/>
          <w:szCs w:val="24"/>
          <w:shd w:val="clear" w:color="auto" w:fill="FFFFFF"/>
        </w:rPr>
        <w:t xml:space="preserve"> a joint interest in the common areas of the building. C</w:t>
      </w:r>
      <w:r w:rsidR="00A37ED4" w:rsidRPr="00A37ED4">
        <w:rPr>
          <w:color w:val="000000"/>
          <w:szCs w:val="24"/>
          <w:shd w:val="clear" w:color="auto" w:fill="FFFFFF"/>
        </w:rPr>
        <w:t>ommon interest housing developments</w:t>
      </w:r>
      <w:r w:rsidR="0001598A">
        <w:rPr>
          <w:color w:val="000000"/>
          <w:szCs w:val="24"/>
          <w:shd w:val="clear" w:color="auto" w:fill="FFFFFF"/>
        </w:rPr>
        <w:t xml:space="preserve"> like co-ops and condos</w:t>
      </w:r>
      <w:r w:rsidR="00D44494">
        <w:rPr>
          <w:color w:val="000000"/>
          <w:szCs w:val="24"/>
          <w:shd w:val="clear" w:color="auto" w:fill="FFFFFF"/>
        </w:rPr>
        <w:t xml:space="preserve"> </w:t>
      </w:r>
      <w:r w:rsidR="00C1693F">
        <w:rPr>
          <w:color w:val="000000"/>
          <w:szCs w:val="24"/>
          <w:shd w:val="clear" w:color="auto" w:fill="FFFFFF"/>
        </w:rPr>
        <w:t xml:space="preserve">were </w:t>
      </w:r>
      <w:r>
        <w:rPr>
          <w:color w:val="000000"/>
          <w:szCs w:val="24"/>
          <w:shd w:val="clear" w:color="auto" w:fill="FFFFFF"/>
        </w:rPr>
        <w:t>popular</w:t>
      </w:r>
      <w:r w:rsidR="00C1693F">
        <w:rPr>
          <w:color w:val="000000"/>
          <w:szCs w:val="24"/>
          <w:shd w:val="clear" w:color="auto" w:fill="FFFFFF"/>
        </w:rPr>
        <w:t>ized</w:t>
      </w:r>
      <w:r>
        <w:rPr>
          <w:color w:val="000000"/>
          <w:szCs w:val="24"/>
          <w:shd w:val="clear" w:color="auto" w:fill="FFFFFF"/>
        </w:rPr>
        <w:t xml:space="preserve"> in the United States in the late nineteenth century, </w:t>
      </w:r>
      <w:r w:rsidR="00C1693F">
        <w:rPr>
          <w:color w:val="000000"/>
          <w:szCs w:val="24"/>
          <w:shd w:val="clear" w:color="auto" w:fill="FFFFFF"/>
        </w:rPr>
        <w:t>and co-ops remain particularly popular in New York City</w:t>
      </w:r>
      <w:r w:rsidR="00D44494">
        <w:rPr>
          <w:color w:val="000000"/>
          <w:szCs w:val="24"/>
          <w:shd w:val="clear" w:color="auto" w:fill="FFFFFF"/>
        </w:rPr>
        <w:t>.</w:t>
      </w:r>
      <w:r w:rsidR="00A37ED4">
        <w:rPr>
          <w:rStyle w:val="FootnoteReference"/>
          <w:color w:val="000000"/>
          <w:szCs w:val="24"/>
          <w:shd w:val="clear" w:color="auto" w:fill="FFFFFF"/>
        </w:rPr>
        <w:footnoteReference w:id="5"/>
      </w:r>
      <w:r w:rsidR="00A37ED4" w:rsidRPr="00A37ED4">
        <w:rPr>
          <w:color w:val="000000"/>
          <w:szCs w:val="24"/>
          <w:shd w:val="clear" w:color="auto" w:fill="FFFFFF"/>
        </w:rPr>
        <w:t xml:space="preserve"> </w:t>
      </w:r>
      <w:r w:rsidR="00C1693F">
        <w:rPr>
          <w:color w:val="000000"/>
          <w:szCs w:val="24"/>
          <w:shd w:val="clear" w:color="auto" w:fill="FFFFFF"/>
        </w:rPr>
        <w:t>By</w:t>
      </w:r>
      <w:r w:rsidR="00E94D91" w:rsidRPr="00A37ED4">
        <w:rPr>
          <w:color w:val="000000"/>
          <w:szCs w:val="24"/>
          <w:shd w:val="clear" w:color="auto" w:fill="FFFFFF"/>
        </w:rPr>
        <w:t xml:space="preserve"> the end of the twentieth century</w:t>
      </w:r>
      <w:r w:rsidR="00E94D91">
        <w:rPr>
          <w:color w:val="000000"/>
          <w:szCs w:val="24"/>
          <w:shd w:val="clear" w:color="auto" w:fill="FFFFFF"/>
        </w:rPr>
        <w:t xml:space="preserve">, </w:t>
      </w:r>
      <w:r w:rsidR="00A37ED4" w:rsidRPr="00A37ED4">
        <w:rPr>
          <w:color w:val="000000"/>
          <w:szCs w:val="24"/>
          <w:shd w:val="clear" w:color="auto" w:fill="FFFFFF"/>
        </w:rPr>
        <w:t xml:space="preserve">more than 80 percent of </w:t>
      </w:r>
      <w:r w:rsidR="000F3796">
        <w:rPr>
          <w:color w:val="000000"/>
          <w:szCs w:val="24"/>
          <w:shd w:val="clear" w:color="auto" w:fill="FFFFFF"/>
        </w:rPr>
        <w:t>the</w:t>
      </w:r>
      <w:r w:rsidR="00A37ED4" w:rsidRPr="00A37ED4">
        <w:rPr>
          <w:color w:val="000000"/>
          <w:szCs w:val="24"/>
          <w:shd w:val="clear" w:color="auto" w:fill="FFFFFF"/>
        </w:rPr>
        <w:t xml:space="preserve"> </w:t>
      </w:r>
      <w:r w:rsidR="000F3796">
        <w:rPr>
          <w:color w:val="000000"/>
          <w:szCs w:val="24"/>
          <w:shd w:val="clear" w:color="auto" w:fill="FFFFFF"/>
        </w:rPr>
        <w:t>c</w:t>
      </w:r>
      <w:r w:rsidR="00A37ED4" w:rsidRPr="00A37ED4">
        <w:rPr>
          <w:color w:val="000000"/>
          <w:szCs w:val="24"/>
          <w:shd w:val="clear" w:color="auto" w:fill="FFFFFF"/>
        </w:rPr>
        <w:t xml:space="preserve">ity’s common interest housing </w:t>
      </w:r>
      <w:r w:rsidR="00181DDD">
        <w:rPr>
          <w:color w:val="000000"/>
          <w:szCs w:val="24"/>
          <w:shd w:val="clear" w:color="auto" w:fill="FFFFFF"/>
        </w:rPr>
        <w:t>was held in</w:t>
      </w:r>
      <w:r w:rsidR="00181DDD" w:rsidRPr="00A37ED4">
        <w:rPr>
          <w:color w:val="000000"/>
          <w:szCs w:val="24"/>
          <w:shd w:val="clear" w:color="auto" w:fill="FFFFFF"/>
        </w:rPr>
        <w:t xml:space="preserve"> </w:t>
      </w:r>
      <w:r w:rsidR="00A37ED4" w:rsidRPr="00A37ED4">
        <w:rPr>
          <w:color w:val="000000"/>
          <w:szCs w:val="24"/>
          <w:shd w:val="clear" w:color="auto" w:fill="FFFFFF"/>
        </w:rPr>
        <w:t>co-ops</w:t>
      </w:r>
      <w:r w:rsidR="00E94D91">
        <w:rPr>
          <w:color w:val="000000"/>
          <w:szCs w:val="24"/>
          <w:shd w:val="clear" w:color="auto" w:fill="FFFFFF"/>
        </w:rPr>
        <w:t xml:space="preserve">, </w:t>
      </w:r>
      <w:r w:rsidR="00181DDD">
        <w:rPr>
          <w:color w:val="000000"/>
          <w:szCs w:val="24"/>
          <w:shd w:val="clear" w:color="auto" w:fill="FFFFFF"/>
        </w:rPr>
        <w:t>compared to the national average of around</w:t>
      </w:r>
      <w:r w:rsidR="00E94D91">
        <w:rPr>
          <w:color w:val="000000"/>
          <w:szCs w:val="24"/>
          <w:shd w:val="clear" w:color="auto" w:fill="FFFFFF"/>
        </w:rPr>
        <w:t xml:space="preserve"> 10 percent.</w:t>
      </w:r>
      <w:r w:rsidR="00A37ED4" w:rsidRPr="00A37ED4">
        <w:rPr>
          <w:rStyle w:val="FootnoteReference"/>
          <w:color w:val="000000"/>
          <w:szCs w:val="24"/>
          <w:shd w:val="clear" w:color="auto" w:fill="FFFFFF"/>
        </w:rPr>
        <w:footnoteReference w:id="6"/>
      </w:r>
      <w:r w:rsidR="00A37ED4" w:rsidRPr="00A37ED4">
        <w:t xml:space="preserve"> </w:t>
      </w:r>
      <w:r w:rsidR="00A37ED4" w:rsidRPr="00A37ED4">
        <w:rPr>
          <w:color w:val="000000"/>
          <w:szCs w:val="24"/>
          <w:shd w:val="clear" w:color="auto" w:fill="FFFFFF"/>
        </w:rPr>
        <w:t xml:space="preserve">In 2023, the triennial Housing </w:t>
      </w:r>
      <w:r w:rsidR="000F3796">
        <w:rPr>
          <w:color w:val="000000"/>
          <w:szCs w:val="24"/>
          <w:shd w:val="clear" w:color="auto" w:fill="FFFFFF"/>
        </w:rPr>
        <w:t>V</w:t>
      </w:r>
      <w:r w:rsidR="00A37ED4" w:rsidRPr="00A37ED4">
        <w:rPr>
          <w:color w:val="000000"/>
          <w:szCs w:val="24"/>
          <w:shd w:val="clear" w:color="auto" w:fill="FFFFFF"/>
        </w:rPr>
        <w:t xml:space="preserve">acancy </w:t>
      </w:r>
      <w:r w:rsidR="000F3796">
        <w:rPr>
          <w:color w:val="000000"/>
          <w:szCs w:val="24"/>
          <w:shd w:val="clear" w:color="auto" w:fill="FFFFFF"/>
        </w:rPr>
        <w:t>S</w:t>
      </w:r>
      <w:r w:rsidR="00A37ED4" w:rsidRPr="00A37ED4">
        <w:rPr>
          <w:color w:val="000000"/>
          <w:szCs w:val="24"/>
          <w:shd w:val="clear" w:color="auto" w:fill="FFFFFF"/>
        </w:rPr>
        <w:t>urvey</w:t>
      </w:r>
      <w:r w:rsidR="000F3796">
        <w:rPr>
          <w:color w:val="000000"/>
          <w:szCs w:val="24"/>
          <w:shd w:val="clear" w:color="auto" w:fill="FFFFFF"/>
        </w:rPr>
        <w:t>, conducted by HPD in coordination with the U.S. Census Bureau,</w:t>
      </w:r>
      <w:r w:rsidR="00A37ED4" w:rsidRPr="00A37ED4">
        <w:rPr>
          <w:color w:val="000000"/>
          <w:szCs w:val="24"/>
          <w:shd w:val="clear" w:color="auto" w:fill="FFFFFF"/>
        </w:rPr>
        <w:t xml:space="preserve"> estimated </w:t>
      </w:r>
      <w:r w:rsidR="001912C6">
        <w:rPr>
          <w:color w:val="000000"/>
          <w:szCs w:val="24"/>
          <w:shd w:val="clear" w:color="auto" w:fill="FFFFFF"/>
        </w:rPr>
        <w:t xml:space="preserve">that, </w:t>
      </w:r>
      <w:r>
        <w:rPr>
          <w:color w:val="000000"/>
          <w:szCs w:val="24"/>
          <w:shd w:val="clear" w:color="auto" w:fill="FFFFFF"/>
        </w:rPr>
        <w:t>of the city’s 3,432,000 occupied housing units,</w:t>
      </w:r>
      <w:r w:rsidRPr="00A37ED4">
        <w:rPr>
          <w:color w:val="000000"/>
          <w:szCs w:val="24"/>
          <w:shd w:val="clear" w:color="auto" w:fill="FFFFFF"/>
        </w:rPr>
        <w:t xml:space="preserve"> 450,800 (~</w:t>
      </w:r>
      <w:r>
        <w:rPr>
          <w:color w:val="000000"/>
          <w:szCs w:val="24"/>
          <w:shd w:val="clear" w:color="auto" w:fill="FFFFFF"/>
        </w:rPr>
        <w:t>13.1</w:t>
      </w:r>
      <w:r w:rsidRPr="00A37ED4">
        <w:rPr>
          <w:color w:val="000000"/>
          <w:szCs w:val="24"/>
          <w:shd w:val="clear" w:color="auto" w:fill="FFFFFF"/>
        </w:rPr>
        <w:t xml:space="preserve">%) </w:t>
      </w:r>
      <w:r>
        <w:rPr>
          <w:color w:val="000000"/>
          <w:szCs w:val="24"/>
          <w:shd w:val="clear" w:color="auto" w:fill="FFFFFF"/>
        </w:rPr>
        <w:t xml:space="preserve">were in </w:t>
      </w:r>
      <w:r w:rsidRPr="00A37ED4">
        <w:rPr>
          <w:color w:val="000000"/>
          <w:szCs w:val="24"/>
          <w:shd w:val="clear" w:color="auto" w:fill="FFFFFF"/>
        </w:rPr>
        <w:t>co-ops and 318,000 (~</w:t>
      </w:r>
      <w:r>
        <w:rPr>
          <w:color w:val="000000"/>
          <w:szCs w:val="24"/>
          <w:shd w:val="clear" w:color="auto" w:fill="FFFFFF"/>
        </w:rPr>
        <w:t>9.3</w:t>
      </w:r>
      <w:r w:rsidRPr="00A37ED4">
        <w:rPr>
          <w:color w:val="000000"/>
          <w:szCs w:val="24"/>
          <w:shd w:val="clear" w:color="auto" w:fill="FFFFFF"/>
        </w:rPr>
        <w:t xml:space="preserve">%) </w:t>
      </w:r>
      <w:r>
        <w:rPr>
          <w:color w:val="000000"/>
          <w:szCs w:val="24"/>
          <w:shd w:val="clear" w:color="auto" w:fill="FFFFFF"/>
        </w:rPr>
        <w:t xml:space="preserve">were in </w:t>
      </w:r>
      <w:r w:rsidRPr="00A37ED4">
        <w:rPr>
          <w:color w:val="000000"/>
          <w:szCs w:val="24"/>
          <w:shd w:val="clear" w:color="auto" w:fill="FFFFFF"/>
        </w:rPr>
        <w:t>condos.</w:t>
      </w:r>
      <w:r>
        <w:rPr>
          <w:rStyle w:val="FootnoteReference"/>
          <w:color w:val="000000"/>
          <w:szCs w:val="24"/>
          <w:shd w:val="clear" w:color="auto" w:fill="FFFFFF"/>
        </w:rPr>
        <w:footnoteReference w:id="7"/>
      </w:r>
      <w:r>
        <w:rPr>
          <w:color w:val="000000"/>
          <w:szCs w:val="24"/>
          <w:shd w:val="clear" w:color="auto" w:fill="FFFFFF"/>
        </w:rPr>
        <w:t xml:space="preserve"> Co-ops also provide one of the city’s foremost means of homeownership: the same survey estimated that 310,000 of the city’s 1,109,000  owner-occupied units (~28.0%) were held in co-ops.</w:t>
      </w:r>
      <w:r>
        <w:rPr>
          <w:rStyle w:val="FootnoteReference"/>
          <w:color w:val="000000"/>
          <w:szCs w:val="24"/>
          <w:shd w:val="clear" w:color="auto" w:fill="FFFFFF"/>
        </w:rPr>
        <w:footnoteReference w:id="8"/>
      </w:r>
      <w:r w:rsidR="00F615EE">
        <w:rPr>
          <w:color w:val="000000"/>
          <w:szCs w:val="24"/>
          <w:shd w:val="clear" w:color="auto" w:fill="FFFFFF"/>
        </w:rPr>
        <w:t xml:space="preserve"> In a city densely packed with apartment</w:t>
      </w:r>
      <w:r w:rsidR="00250744">
        <w:rPr>
          <w:color w:val="000000"/>
          <w:szCs w:val="24"/>
          <w:shd w:val="clear" w:color="auto" w:fill="FFFFFF"/>
        </w:rPr>
        <w:t xml:space="preserve"> buildings</w:t>
      </w:r>
      <w:r w:rsidR="00F615EE">
        <w:rPr>
          <w:color w:val="000000"/>
          <w:szCs w:val="24"/>
          <w:shd w:val="clear" w:color="auto" w:fill="FFFFFF"/>
        </w:rPr>
        <w:t>, coops provide a</w:t>
      </w:r>
      <w:r w:rsidR="00250744">
        <w:rPr>
          <w:color w:val="000000"/>
          <w:szCs w:val="24"/>
          <w:shd w:val="clear" w:color="auto" w:fill="FFFFFF"/>
        </w:rPr>
        <w:t xml:space="preserve"> feasible</w:t>
      </w:r>
      <w:r w:rsidR="00F615EE">
        <w:rPr>
          <w:color w:val="000000"/>
          <w:szCs w:val="24"/>
          <w:shd w:val="clear" w:color="auto" w:fill="FFFFFF"/>
        </w:rPr>
        <w:t xml:space="preserve"> path to home ownership</w:t>
      </w:r>
      <w:r w:rsidR="00181DDD">
        <w:rPr>
          <w:color w:val="000000"/>
          <w:szCs w:val="24"/>
          <w:shd w:val="clear" w:color="auto" w:fill="FFFFFF"/>
        </w:rPr>
        <w:t xml:space="preserve"> by allowing residents to purchase the right to inhabit a unit</w:t>
      </w:r>
      <w:r w:rsidR="00D51D47">
        <w:rPr>
          <w:color w:val="000000"/>
          <w:szCs w:val="24"/>
          <w:shd w:val="clear" w:color="auto" w:fill="FFFFFF"/>
        </w:rPr>
        <w:t xml:space="preserve"> in a larger building</w:t>
      </w:r>
      <w:r w:rsidR="00F615EE">
        <w:rPr>
          <w:color w:val="000000"/>
          <w:szCs w:val="24"/>
          <w:shd w:val="clear" w:color="auto" w:fill="FFFFFF"/>
        </w:rPr>
        <w:t>.</w:t>
      </w:r>
    </w:p>
    <w:p w14:paraId="377A234F" w14:textId="5AE0CF2B" w:rsidR="00A37ED4" w:rsidRPr="00A37ED4" w:rsidRDefault="00A37ED4" w:rsidP="00EE5708">
      <w:pPr>
        <w:spacing w:line="480" w:lineRule="auto"/>
        <w:ind w:firstLine="720"/>
        <w:rPr>
          <w:szCs w:val="24"/>
        </w:rPr>
      </w:pPr>
      <w:r w:rsidRPr="00A37ED4">
        <w:rPr>
          <w:color w:val="000000"/>
          <w:szCs w:val="24"/>
          <w:shd w:val="clear" w:color="auto" w:fill="FFFFFF"/>
        </w:rPr>
        <w:t xml:space="preserve">Co-op corporations are governed by a </w:t>
      </w:r>
      <w:r w:rsidR="000F3796">
        <w:rPr>
          <w:color w:val="000000"/>
          <w:szCs w:val="24"/>
          <w:shd w:val="clear" w:color="auto" w:fill="FFFFFF"/>
        </w:rPr>
        <w:t>b</w:t>
      </w:r>
      <w:r w:rsidRPr="00A37ED4">
        <w:rPr>
          <w:color w:val="000000"/>
          <w:szCs w:val="24"/>
          <w:shd w:val="clear" w:color="auto" w:fill="FFFFFF"/>
        </w:rPr>
        <w:t xml:space="preserve">oard of </w:t>
      </w:r>
      <w:r w:rsidR="000F3796">
        <w:rPr>
          <w:color w:val="000000"/>
          <w:szCs w:val="24"/>
          <w:shd w:val="clear" w:color="auto" w:fill="FFFFFF"/>
        </w:rPr>
        <w:t>d</w:t>
      </w:r>
      <w:r w:rsidRPr="00A37ED4">
        <w:rPr>
          <w:color w:val="000000"/>
          <w:szCs w:val="24"/>
          <w:shd w:val="clear" w:color="auto" w:fill="FFFFFF"/>
        </w:rPr>
        <w:t>irectors, elected from and by co-op shareholders.</w:t>
      </w:r>
      <w:r>
        <w:rPr>
          <w:rStyle w:val="FootnoteReference"/>
          <w:color w:val="000000"/>
          <w:szCs w:val="24"/>
          <w:shd w:val="clear" w:color="auto" w:fill="FFFFFF"/>
        </w:rPr>
        <w:footnoteReference w:id="9"/>
      </w:r>
      <w:r w:rsidRPr="00A37ED4">
        <w:rPr>
          <w:color w:val="000000"/>
          <w:szCs w:val="24"/>
          <w:shd w:val="clear" w:color="auto" w:fill="FFFFFF"/>
        </w:rPr>
        <w:t xml:space="preserve"> According to the Office of the </w:t>
      </w:r>
      <w:r w:rsidR="00250744">
        <w:rPr>
          <w:color w:val="000000"/>
          <w:szCs w:val="24"/>
          <w:shd w:val="clear" w:color="auto" w:fill="FFFFFF"/>
        </w:rPr>
        <w:t>New York State</w:t>
      </w:r>
      <w:r w:rsidR="00250744" w:rsidRPr="00A37ED4">
        <w:rPr>
          <w:color w:val="000000"/>
          <w:szCs w:val="24"/>
          <w:shd w:val="clear" w:color="auto" w:fill="FFFFFF"/>
        </w:rPr>
        <w:t xml:space="preserve"> </w:t>
      </w:r>
      <w:r w:rsidRPr="00A37ED4">
        <w:rPr>
          <w:color w:val="000000"/>
          <w:szCs w:val="24"/>
          <w:shd w:val="clear" w:color="auto" w:fill="FFFFFF"/>
        </w:rPr>
        <w:t>Attorney General, the board has two legal obligations: </w:t>
      </w:r>
    </w:p>
    <w:p w14:paraId="63A96537" w14:textId="6DE5A2ED" w:rsidR="00A37ED4" w:rsidRDefault="00A37ED4" w:rsidP="00CE1ED6">
      <w:pPr>
        <w:ind w:left="720"/>
        <w:rPr>
          <w:color w:val="000000"/>
          <w:szCs w:val="24"/>
          <w:shd w:val="clear" w:color="auto" w:fill="FFFFFF"/>
        </w:rPr>
      </w:pPr>
      <w:r w:rsidRPr="00A37ED4">
        <w:rPr>
          <w:color w:val="000000"/>
          <w:szCs w:val="24"/>
          <w:shd w:val="clear" w:color="auto" w:fill="FFFFFF"/>
        </w:rPr>
        <w:t>It must exercise prudent business judgment in making decisions, just like any other corporate board. It must follow the co-op’s internal rules (as set forth in the bylaws, the proprietary lease, the certificate of incorporation and the house rules).</w:t>
      </w:r>
      <w:r w:rsidR="00CE1ED6" w:rsidRPr="00CE1ED6">
        <w:rPr>
          <w:rStyle w:val="FootnoteReference"/>
          <w:color w:val="000000"/>
          <w:szCs w:val="24"/>
          <w:shd w:val="clear" w:color="auto" w:fill="FFFFFF"/>
        </w:rPr>
        <w:t xml:space="preserve"> </w:t>
      </w:r>
      <w:r w:rsidR="00CE1ED6">
        <w:rPr>
          <w:rStyle w:val="FootnoteReference"/>
          <w:color w:val="000000"/>
          <w:szCs w:val="24"/>
          <w:shd w:val="clear" w:color="auto" w:fill="FFFFFF"/>
        </w:rPr>
        <w:footnoteReference w:id="10"/>
      </w:r>
    </w:p>
    <w:p w14:paraId="1E92EE61" w14:textId="77777777" w:rsidR="00CE1ED6" w:rsidRPr="00A37ED4" w:rsidRDefault="00CE1ED6" w:rsidP="00EE5708">
      <w:pPr>
        <w:ind w:left="720"/>
        <w:rPr>
          <w:szCs w:val="24"/>
        </w:rPr>
      </w:pPr>
    </w:p>
    <w:p w14:paraId="149DE2B2" w14:textId="7D787A43" w:rsidR="00FD702C" w:rsidRDefault="00A37ED4" w:rsidP="00FD702C">
      <w:pPr>
        <w:spacing w:line="480" w:lineRule="auto"/>
        <w:rPr>
          <w:color w:val="000000"/>
          <w:szCs w:val="24"/>
          <w:shd w:val="clear" w:color="auto" w:fill="FFFFFF"/>
        </w:rPr>
      </w:pPr>
      <w:r w:rsidRPr="00A37ED4">
        <w:rPr>
          <w:color w:val="000000"/>
          <w:szCs w:val="24"/>
          <w:shd w:val="clear" w:color="auto" w:fill="FFFFFF"/>
        </w:rPr>
        <w:t xml:space="preserve">The </w:t>
      </w:r>
      <w:r w:rsidR="000F3796">
        <w:rPr>
          <w:color w:val="000000"/>
          <w:szCs w:val="24"/>
          <w:shd w:val="clear" w:color="auto" w:fill="FFFFFF"/>
        </w:rPr>
        <w:t>b</w:t>
      </w:r>
      <w:r w:rsidRPr="00A37ED4">
        <w:rPr>
          <w:color w:val="000000"/>
          <w:szCs w:val="24"/>
          <w:shd w:val="clear" w:color="auto" w:fill="FFFFFF"/>
        </w:rPr>
        <w:t>oard is responsible for enforcing the coop’s bylaws, managing the coop’s finances, setting assessment costs, among other responsibilities.</w:t>
      </w:r>
      <w:r>
        <w:rPr>
          <w:rStyle w:val="FootnoteReference"/>
          <w:color w:val="000000"/>
          <w:szCs w:val="24"/>
          <w:shd w:val="clear" w:color="auto" w:fill="FFFFFF"/>
        </w:rPr>
        <w:footnoteReference w:id="11"/>
      </w:r>
      <w:r w:rsidRPr="00A37ED4">
        <w:rPr>
          <w:color w:val="000000"/>
          <w:szCs w:val="24"/>
          <w:shd w:val="clear" w:color="auto" w:fill="FFFFFF"/>
        </w:rPr>
        <w:t xml:space="preserve"> In most cases, </w:t>
      </w:r>
      <w:r w:rsidR="000F3796">
        <w:rPr>
          <w:color w:val="000000"/>
          <w:szCs w:val="24"/>
          <w:shd w:val="clear" w:color="auto" w:fill="FFFFFF"/>
        </w:rPr>
        <w:t>b</w:t>
      </w:r>
      <w:r w:rsidRPr="00A37ED4">
        <w:rPr>
          <w:color w:val="000000"/>
          <w:szCs w:val="24"/>
          <w:shd w:val="clear" w:color="auto" w:fill="FFFFFF"/>
        </w:rPr>
        <w:t>oards have the final say on the purchase or transfer (sale) of shares in the co-op, and therefore, they also determine who is entitled to lease a unit in the building.</w:t>
      </w:r>
      <w:r>
        <w:rPr>
          <w:rStyle w:val="FootnoteReference"/>
          <w:color w:val="000000"/>
          <w:szCs w:val="24"/>
          <w:shd w:val="clear" w:color="auto" w:fill="FFFFFF"/>
        </w:rPr>
        <w:footnoteReference w:id="12"/>
      </w:r>
      <w:r w:rsidR="00FD702C">
        <w:rPr>
          <w:color w:val="000000"/>
          <w:szCs w:val="24"/>
          <w:shd w:val="clear" w:color="auto" w:fill="FFFFFF"/>
        </w:rPr>
        <w:t xml:space="preserve"> </w:t>
      </w:r>
      <w:r w:rsidRPr="00A37ED4">
        <w:rPr>
          <w:color w:val="000000"/>
          <w:szCs w:val="24"/>
          <w:shd w:val="clear" w:color="auto" w:fill="FFFFFF"/>
        </w:rPr>
        <w:t>Co-op shareholders are permitted to sell the shares and the right to lease a unit in their building.</w:t>
      </w:r>
      <w:r>
        <w:rPr>
          <w:rStyle w:val="FootnoteReference"/>
          <w:color w:val="000000"/>
          <w:szCs w:val="24"/>
          <w:shd w:val="clear" w:color="auto" w:fill="FFFFFF"/>
        </w:rPr>
        <w:footnoteReference w:id="13"/>
      </w:r>
      <w:r w:rsidRPr="00A37ED4">
        <w:rPr>
          <w:color w:val="000000"/>
          <w:szCs w:val="24"/>
          <w:shd w:val="clear" w:color="auto" w:fill="FFFFFF"/>
        </w:rPr>
        <w:t xml:space="preserve"> This process mirrors the real estate sale process, where the specific unit is listed and prospective buyers are solicited.</w:t>
      </w:r>
      <w:r>
        <w:rPr>
          <w:rStyle w:val="FootnoteReference"/>
          <w:color w:val="000000"/>
          <w:szCs w:val="24"/>
          <w:shd w:val="clear" w:color="auto" w:fill="FFFFFF"/>
        </w:rPr>
        <w:footnoteReference w:id="14"/>
      </w:r>
      <w:r w:rsidRPr="00A37ED4">
        <w:rPr>
          <w:color w:val="000000"/>
          <w:szCs w:val="24"/>
          <w:shd w:val="clear" w:color="auto" w:fill="FFFFFF"/>
        </w:rPr>
        <w:t xml:space="preserve"> One estimate of the closing timeline for selling coop shares is 60-120 days.</w:t>
      </w:r>
      <w:r>
        <w:rPr>
          <w:rStyle w:val="FootnoteReference"/>
          <w:color w:val="000000"/>
          <w:szCs w:val="24"/>
          <w:shd w:val="clear" w:color="auto" w:fill="FFFFFF"/>
        </w:rPr>
        <w:footnoteReference w:id="15"/>
      </w:r>
      <w:r w:rsidRPr="00A37ED4">
        <w:rPr>
          <w:color w:val="000000"/>
          <w:szCs w:val="24"/>
          <w:shd w:val="clear" w:color="auto" w:fill="FFFFFF"/>
        </w:rPr>
        <w:t xml:space="preserve"> </w:t>
      </w:r>
    </w:p>
    <w:p w14:paraId="0FA098B9" w14:textId="5BEC5FDF" w:rsidR="002D6DF3" w:rsidRDefault="003C34BB" w:rsidP="00B442EE">
      <w:pPr>
        <w:spacing w:line="480" w:lineRule="auto"/>
        <w:ind w:firstLine="720"/>
        <w:rPr>
          <w:szCs w:val="24"/>
        </w:rPr>
      </w:pPr>
      <w:r>
        <w:rPr>
          <w:color w:val="000000"/>
          <w:szCs w:val="24"/>
          <w:shd w:val="clear" w:color="auto" w:fill="FFFFFF"/>
        </w:rPr>
        <w:t>Applications to buy shares in a co-op often demand extensive personal and financial information. An aspiring</w:t>
      </w:r>
      <w:r w:rsidRPr="00A37ED4">
        <w:rPr>
          <w:color w:val="000000"/>
          <w:szCs w:val="24"/>
          <w:shd w:val="clear" w:color="auto" w:fill="FFFFFF"/>
        </w:rPr>
        <w:t xml:space="preserve"> </w:t>
      </w:r>
      <w:r>
        <w:rPr>
          <w:color w:val="000000"/>
          <w:szCs w:val="24"/>
          <w:shd w:val="clear" w:color="auto" w:fill="FFFFFF"/>
        </w:rPr>
        <w:t>shareholder</w:t>
      </w:r>
      <w:r w:rsidRPr="00A37ED4">
        <w:rPr>
          <w:color w:val="000000"/>
          <w:szCs w:val="24"/>
          <w:shd w:val="clear" w:color="auto" w:fill="FFFFFF"/>
        </w:rPr>
        <w:t xml:space="preserve"> must put together </w:t>
      </w:r>
      <w:r>
        <w:rPr>
          <w:color w:val="000000"/>
          <w:szCs w:val="24"/>
          <w:shd w:val="clear" w:color="auto" w:fill="FFFFFF"/>
        </w:rPr>
        <w:t xml:space="preserve">and submit </w:t>
      </w:r>
      <w:r w:rsidRPr="00A37ED4">
        <w:rPr>
          <w:color w:val="000000"/>
          <w:szCs w:val="24"/>
          <w:shd w:val="clear" w:color="auto" w:fill="FFFFFF"/>
        </w:rPr>
        <w:t xml:space="preserve">a </w:t>
      </w:r>
      <w:r>
        <w:rPr>
          <w:color w:val="000000"/>
          <w:szCs w:val="24"/>
          <w:shd w:val="clear" w:color="auto" w:fill="FFFFFF"/>
        </w:rPr>
        <w:t>b</w:t>
      </w:r>
      <w:r w:rsidRPr="00A37ED4">
        <w:rPr>
          <w:color w:val="000000"/>
          <w:szCs w:val="24"/>
          <w:shd w:val="clear" w:color="auto" w:fill="FFFFFF"/>
        </w:rPr>
        <w:t>oard package</w:t>
      </w:r>
      <w:r>
        <w:rPr>
          <w:color w:val="000000"/>
          <w:szCs w:val="24"/>
          <w:shd w:val="clear" w:color="auto" w:fill="FFFFFF"/>
        </w:rPr>
        <w:t>:</w:t>
      </w:r>
      <w:r w:rsidRPr="00A37ED4">
        <w:rPr>
          <w:color w:val="000000"/>
          <w:szCs w:val="24"/>
          <w:shd w:val="clear" w:color="auto" w:fill="FFFFFF"/>
        </w:rPr>
        <w:t xml:space="preserve"> an extensive portfolio of personal and financial information that could include years of tax returns, credit checks, background checks</w:t>
      </w:r>
      <w:r>
        <w:rPr>
          <w:color w:val="000000"/>
          <w:szCs w:val="24"/>
          <w:shd w:val="clear" w:color="auto" w:fill="FFFFFF"/>
        </w:rPr>
        <w:t>, employment verification, a mortgage commitment letter, and both personal and professional reference letters</w:t>
      </w:r>
      <w:r w:rsidRPr="00A37ED4">
        <w:rPr>
          <w:color w:val="000000"/>
          <w:szCs w:val="24"/>
          <w:shd w:val="clear" w:color="auto" w:fill="FFFFFF"/>
        </w:rPr>
        <w:t>.</w:t>
      </w:r>
      <w:r>
        <w:rPr>
          <w:rStyle w:val="FootnoteReference"/>
          <w:color w:val="000000"/>
          <w:szCs w:val="24"/>
          <w:shd w:val="clear" w:color="auto" w:fill="FFFFFF"/>
        </w:rPr>
        <w:footnoteReference w:id="16"/>
      </w:r>
      <w:r w:rsidRPr="00A37ED4">
        <w:rPr>
          <w:color w:val="000000"/>
          <w:szCs w:val="24"/>
          <w:shd w:val="clear" w:color="auto" w:fill="FFFFFF"/>
        </w:rPr>
        <w:t xml:space="preserve"> </w:t>
      </w:r>
      <w:r w:rsidR="00CE1ED6">
        <w:rPr>
          <w:szCs w:val="24"/>
        </w:rPr>
        <w:t xml:space="preserve">Because co-operatives are not bound to treat applications uniformly, applicants to cooperatives can be left waiting for months only to find rejections they struggle to make sense of. Cooperative boards can go beyond the financial information provided in evaluating candidates and need not explain their reasoning; the author of </w:t>
      </w:r>
      <w:r w:rsidR="00CE1ED6">
        <w:rPr>
          <w:i/>
          <w:iCs/>
          <w:szCs w:val="24"/>
        </w:rPr>
        <w:t>High Life: Condo Living in the Suburban Century</w:t>
      </w:r>
      <w:r w:rsidR="00CE1ED6">
        <w:rPr>
          <w:szCs w:val="24"/>
        </w:rPr>
        <w:t xml:space="preserve">, quotes a 1924 co-op developer boasting to the </w:t>
      </w:r>
      <w:r w:rsidR="00CE1ED6">
        <w:rPr>
          <w:i/>
          <w:iCs/>
          <w:szCs w:val="24"/>
        </w:rPr>
        <w:t>Chicago Tribune</w:t>
      </w:r>
      <w:r w:rsidR="00CE1ED6">
        <w:rPr>
          <w:szCs w:val="24"/>
        </w:rPr>
        <w:t xml:space="preserve"> that “</w:t>
      </w:r>
      <w:r w:rsidR="00CE1ED6" w:rsidRPr="00CE1ED6">
        <w:rPr>
          <w:szCs w:val="24"/>
        </w:rPr>
        <w:t>Ability to pay the purchase money will be only a minor consideration in the searching scrutiny into the applicant’s claims to entrance.”</w:t>
      </w:r>
      <w:r w:rsidR="00CE1ED6">
        <w:rPr>
          <w:rStyle w:val="FootnoteReference"/>
          <w:szCs w:val="24"/>
        </w:rPr>
        <w:footnoteReference w:id="17"/>
      </w:r>
      <w:r w:rsidR="00BC2896">
        <w:rPr>
          <w:szCs w:val="24"/>
        </w:rPr>
        <w:t xml:space="preserve"> </w:t>
      </w:r>
    </w:p>
    <w:p w14:paraId="2C25F98D" w14:textId="4F1E97CE" w:rsidR="00CE1ED6" w:rsidRPr="00BC2896" w:rsidRDefault="002D6DF3" w:rsidP="00B442EE">
      <w:pPr>
        <w:spacing w:line="480" w:lineRule="auto"/>
        <w:ind w:firstLine="720"/>
        <w:rPr>
          <w:szCs w:val="24"/>
        </w:rPr>
      </w:pPr>
      <w:r>
        <w:rPr>
          <w:szCs w:val="24"/>
        </w:rPr>
        <w:t xml:space="preserve">Being rejected </w:t>
      </w:r>
      <w:r w:rsidR="00067124">
        <w:rPr>
          <w:szCs w:val="24"/>
        </w:rPr>
        <w:t xml:space="preserve">for something as important as housing </w:t>
      </w:r>
      <w:r>
        <w:rPr>
          <w:szCs w:val="24"/>
        </w:rPr>
        <w:t>without</w:t>
      </w:r>
      <w:r w:rsidR="00BC2896">
        <w:rPr>
          <w:szCs w:val="24"/>
        </w:rPr>
        <w:t xml:space="preserve"> an explanation after such an in-depth, personalized process</w:t>
      </w:r>
      <w:r w:rsidR="00067124">
        <w:rPr>
          <w:szCs w:val="24"/>
        </w:rPr>
        <w:t xml:space="preserve"> </w:t>
      </w:r>
      <w:r w:rsidR="00BC2896">
        <w:rPr>
          <w:szCs w:val="24"/>
        </w:rPr>
        <w:t xml:space="preserve">can leave applicants </w:t>
      </w:r>
      <w:r>
        <w:rPr>
          <w:szCs w:val="24"/>
        </w:rPr>
        <w:t>to wonder if the reasons for their rejection were legitimate</w:t>
      </w:r>
      <w:r w:rsidR="00067124">
        <w:rPr>
          <w:szCs w:val="24"/>
        </w:rPr>
        <w:t>.</w:t>
      </w:r>
      <w:r>
        <w:rPr>
          <w:szCs w:val="24"/>
        </w:rPr>
        <w:t xml:space="preserve"> </w:t>
      </w:r>
      <w:r w:rsidR="00067124">
        <w:rPr>
          <w:szCs w:val="24"/>
        </w:rPr>
        <w:t>O</w:t>
      </w:r>
      <w:r w:rsidR="00BC2896">
        <w:rPr>
          <w:szCs w:val="24"/>
        </w:rPr>
        <w:t xml:space="preserve">ne </w:t>
      </w:r>
      <w:r>
        <w:rPr>
          <w:szCs w:val="24"/>
        </w:rPr>
        <w:t xml:space="preserve">rejected co-op </w:t>
      </w:r>
      <w:r w:rsidR="00BC2896">
        <w:rPr>
          <w:szCs w:val="24"/>
        </w:rPr>
        <w:t xml:space="preserve">applicant </w:t>
      </w:r>
      <w:r>
        <w:rPr>
          <w:szCs w:val="24"/>
        </w:rPr>
        <w:t xml:space="preserve">was </w:t>
      </w:r>
      <w:r w:rsidR="00BC2896">
        <w:rPr>
          <w:szCs w:val="24"/>
        </w:rPr>
        <w:t xml:space="preserve">quoted in the </w:t>
      </w:r>
      <w:r w:rsidR="00BC2896">
        <w:rPr>
          <w:i/>
          <w:iCs/>
          <w:szCs w:val="24"/>
        </w:rPr>
        <w:t xml:space="preserve">Guardian </w:t>
      </w:r>
      <w:r w:rsidR="00BC2896">
        <w:rPr>
          <w:szCs w:val="24"/>
        </w:rPr>
        <w:t>as saying, “</w:t>
      </w:r>
      <w:r w:rsidR="00BC2896" w:rsidRPr="00BC2896">
        <w:rPr>
          <w:szCs w:val="24"/>
        </w:rPr>
        <w:t>It could have been based on the fact that my partner is Asian American, or it could have been that they wanted someone with more money, someone who would pay all cash</w:t>
      </w:r>
      <w:r w:rsidR="00BC2896">
        <w:rPr>
          <w:szCs w:val="24"/>
        </w:rPr>
        <w:t xml:space="preserve">… </w:t>
      </w:r>
      <w:r w:rsidR="00BC2896" w:rsidRPr="00BC2896">
        <w:rPr>
          <w:szCs w:val="24"/>
        </w:rPr>
        <w:t>The point is, we have no idea.”</w:t>
      </w:r>
      <w:r w:rsidR="00BC2896">
        <w:rPr>
          <w:rStyle w:val="FootnoteReference"/>
          <w:szCs w:val="24"/>
        </w:rPr>
        <w:footnoteReference w:id="18"/>
      </w:r>
      <w:r w:rsidR="001C1581">
        <w:rPr>
          <w:szCs w:val="24"/>
        </w:rPr>
        <w:t xml:space="preserve"> </w:t>
      </w:r>
      <w:r w:rsidR="00FD702C">
        <w:rPr>
          <w:szCs w:val="24"/>
        </w:rPr>
        <w:t xml:space="preserve">There are examples of cooperatives </w:t>
      </w:r>
      <w:r w:rsidR="00821AA3">
        <w:rPr>
          <w:szCs w:val="24"/>
        </w:rPr>
        <w:t xml:space="preserve">that have been </w:t>
      </w:r>
      <w:r w:rsidR="00E860CD">
        <w:rPr>
          <w:szCs w:val="24"/>
        </w:rPr>
        <w:t>accused of discrimination</w:t>
      </w:r>
      <w:r w:rsidR="00FD702C">
        <w:rPr>
          <w:szCs w:val="24"/>
        </w:rPr>
        <w:t xml:space="preserve">: </w:t>
      </w:r>
      <w:r w:rsidR="008F56C3">
        <w:rPr>
          <w:szCs w:val="24"/>
        </w:rPr>
        <w:t xml:space="preserve">for example, </w:t>
      </w:r>
      <w:r w:rsidR="00FD702C">
        <w:rPr>
          <w:i/>
          <w:iCs/>
          <w:szCs w:val="24"/>
        </w:rPr>
        <w:t xml:space="preserve">The Guardian </w:t>
      </w:r>
      <w:r w:rsidR="00FD702C">
        <w:rPr>
          <w:szCs w:val="24"/>
        </w:rPr>
        <w:t>reported that</w:t>
      </w:r>
      <w:r w:rsidR="008F56C3">
        <w:rPr>
          <w:szCs w:val="24"/>
        </w:rPr>
        <w:t xml:space="preserve"> only 1% of the living units in one 1,100-unit cooperative in the Bronx</w:t>
      </w:r>
      <w:r w:rsidR="00FD702C">
        <w:rPr>
          <w:szCs w:val="24"/>
        </w:rPr>
        <w:t xml:space="preserve"> </w:t>
      </w:r>
      <w:r w:rsidR="008F56C3">
        <w:rPr>
          <w:szCs w:val="24"/>
        </w:rPr>
        <w:t xml:space="preserve">was owned </w:t>
      </w:r>
      <w:r w:rsidR="00FD702C">
        <w:rPr>
          <w:szCs w:val="24"/>
        </w:rPr>
        <w:t>by Black Americans.</w:t>
      </w:r>
      <w:r w:rsidR="00FD702C">
        <w:rPr>
          <w:rStyle w:val="FootnoteReference"/>
          <w:szCs w:val="24"/>
        </w:rPr>
        <w:footnoteReference w:id="19"/>
      </w:r>
      <w:r w:rsidR="00FD702C">
        <w:rPr>
          <w:szCs w:val="24"/>
        </w:rPr>
        <w:t xml:space="preserve"> Th</w:t>
      </w:r>
      <w:r w:rsidR="008F56C3">
        <w:rPr>
          <w:szCs w:val="24"/>
        </w:rPr>
        <w:t>at</w:t>
      </w:r>
      <w:r w:rsidR="00FD702C">
        <w:rPr>
          <w:szCs w:val="24"/>
        </w:rPr>
        <w:t xml:space="preserve"> cooperative arrived at a settlement after a lawsuit alleged that their application process was discriminatory,</w:t>
      </w:r>
      <w:r w:rsidR="00FD702C">
        <w:rPr>
          <w:rStyle w:val="FootnoteReference"/>
          <w:szCs w:val="24"/>
        </w:rPr>
        <w:footnoteReference w:id="20"/>
      </w:r>
      <w:r w:rsidR="001C1581">
        <w:rPr>
          <w:szCs w:val="24"/>
        </w:rPr>
        <w:t xml:space="preserve"> </w:t>
      </w:r>
    </w:p>
    <w:p w14:paraId="295CBD2A" w14:textId="192CCFB7" w:rsidR="00A37ED4" w:rsidRPr="00BD00C1" w:rsidRDefault="00A37ED4" w:rsidP="000F3796">
      <w:pPr>
        <w:spacing w:line="480" w:lineRule="auto"/>
        <w:rPr>
          <w:i/>
          <w:iCs/>
        </w:rPr>
      </w:pPr>
      <w:r w:rsidRPr="00BD00C1">
        <w:rPr>
          <w:i/>
          <w:iCs/>
        </w:rPr>
        <w:t>Legal Recourse for Discrimination from Housing Cooperative Boards</w:t>
      </w:r>
    </w:p>
    <w:p w14:paraId="65D1BB37" w14:textId="6D9CDA77" w:rsidR="00A37ED4" w:rsidRPr="00676027" w:rsidRDefault="00A37ED4" w:rsidP="000F3796">
      <w:pPr>
        <w:spacing w:line="480" w:lineRule="auto"/>
        <w:ind w:firstLine="720"/>
      </w:pPr>
      <w:r w:rsidRPr="00676027">
        <w:t>The Fair Housing Act (“FHA”) makes discrimination, on the basis of race, color, national origin, religion, sex, familial status (such as the presence of children in the household, and disability</w:t>
      </w:r>
      <w:r w:rsidR="00B442EE">
        <w:t>)</w:t>
      </w:r>
      <w:r w:rsidRPr="00676027">
        <w:t xml:space="preserve"> unlawful.</w:t>
      </w:r>
      <w:r w:rsidRPr="00676027">
        <w:rPr>
          <w:rStyle w:val="FootnoteReference"/>
        </w:rPr>
        <w:footnoteReference w:id="21"/>
      </w:r>
      <w:r w:rsidRPr="00676027">
        <w:t xml:space="preserve"> The New York State Human Rights Law (“NYSHR”) makes such discrimination unlawful </w:t>
      </w:r>
      <w:r w:rsidR="00987A4F">
        <w:t xml:space="preserve">against </w:t>
      </w:r>
      <w:r w:rsidRPr="00676027">
        <w:t>these same classes</w:t>
      </w:r>
      <w:r w:rsidR="008F56C3">
        <w:t xml:space="preserve">, but adds </w:t>
      </w:r>
      <w:r w:rsidRPr="00676027">
        <w:t>age, sexual orientation, and marital status</w:t>
      </w:r>
      <w:r w:rsidR="008F56C3">
        <w:t xml:space="preserve"> as protected classes</w:t>
      </w:r>
      <w:r w:rsidRPr="00676027">
        <w:t>.</w:t>
      </w:r>
      <w:r w:rsidRPr="00676027">
        <w:rPr>
          <w:rStyle w:val="FootnoteReference"/>
        </w:rPr>
        <w:footnoteReference w:id="22"/>
      </w:r>
      <w:r w:rsidRPr="00676027">
        <w:t xml:space="preserve"> The New York City Human Rights Law (“NYCHRL”) further adds </w:t>
      </w:r>
      <w:r w:rsidR="00987A4F">
        <w:t xml:space="preserve">the protected classes of lawful </w:t>
      </w:r>
      <w:r w:rsidRPr="00676027">
        <w:t>occupation, income, partnership status, sexual orientation, status as a veteran or service member, and status as a victim of domestic violence, stalking, or sex offence.</w:t>
      </w:r>
      <w:r w:rsidRPr="00676027">
        <w:rPr>
          <w:rStyle w:val="FootnoteReference"/>
        </w:rPr>
        <w:footnoteReference w:id="23"/>
      </w:r>
      <w:r w:rsidRPr="00676027">
        <w:t xml:space="preserve"> </w:t>
      </w:r>
    </w:p>
    <w:p w14:paraId="3A080758" w14:textId="0C0DBED1" w:rsidR="00A37ED4" w:rsidRDefault="00A37ED4" w:rsidP="000F3796">
      <w:pPr>
        <w:spacing w:line="480" w:lineRule="auto"/>
        <w:ind w:firstLine="720"/>
      </w:pPr>
      <w:r w:rsidRPr="00676027">
        <w:t>Anti-discrimination laws make it unlawful for cooperatives to decline to offer housing to an applicant on the basis of race or status in another protected class. Unlawful discrimination includes rejecting applications to purchase shares on the basis of the race of the applicants, but it also includes practices that make members of certain classes feel unwelcome to apply.</w:t>
      </w:r>
      <w:r w:rsidRPr="00676027">
        <w:rPr>
          <w:rStyle w:val="FootnoteReference"/>
        </w:rPr>
        <w:footnoteReference w:id="24"/>
      </w:r>
      <w:r>
        <w:t xml:space="preserve"> </w:t>
      </w:r>
      <w:r w:rsidRPr="00676027">
        <w:t>Seeking justice when victimized by housing discrimination is a lengthy, arduous process</w:t>
      </w:r>
      <w:r>
        <w:t xml:space="preserve">, partly because </w:t>
      </w:r>
      <w:r w:rsidR="00987A4F">
        <w:t xml:space="preserve">it is difficult to prove that the </w:t>
      </w:r>
      <w:r w:rsidR="00B1302C">
        <w:t xml:space="preserve">actual </w:t>
      </w:r>
      <w:r w:rsidR="00987A4F">
        <w:t xml:space="preserve">reason </w:t>
      </w:r>
      <w:r w:rsidR="00D36A04">
        <w:t xml:space="preserve">for which </w:t>
      </w:r>
      <w:r w:rsidR="00987A4F">
        <w:t>an application was rejected was discriminatory</w:t>
      </w:r>
      <w:r>
        <w:t>. As the New York Court of Appeals once noted, “</w:t>
      </w:r>
      <w:r w:rsidRPr="00682A19">
        <w:t>discrimination is rarely so obvious or its practices so overt that recognition of it is instant and conclusive, it being accomplished usually by devious and subtle means</w:t>
      </w:r>
      <w:r>
        <w:t>.”</w:t>
      </w:r>
      <w:r>
        <w:rPr>
          <w:rStyle w:val="FootnoteReference"/>
        </w:rPr>
        <w:footnoteReference w:id="25"/>
      </w:r>
      <w:r>
        <w:t xml:space="preserve"> Particularly in cases like the decisions of housing board cooperatives, where no reasoning is required for a determination, victims have little evidence to rely on, and bringing a lawsuit personally can be risky and costly</w:t>
      </w:r>
      <w:r w:rsidR="00894E69">
        <w:t>.</w:t>
      </w:r>
    </w:p>
    <w:p w14:paraId="610E970E" w14:textId="77777777" w:rsidR="00A37ED4" w:rsidRPr="00BD00C1" w:rsidRDefault="00A37ED4" w:rsidP="004973D0">
      <w:pPr>
        <w:keepNext/>
        <w:spacing w:line="480" w:lineRule="auto"/>
        <w:rPr>
          <w:i/>
          <w:iCs/>
        </w:rPr>
      </w:pPr>
      <w:r w:rsidRPr="00BD00C1">
        <w:rPr>
          <w:i/>
          <w:iCs/>
        </w:rPr>
        <w:t>Agency Investigations of Housing Discrimination</w:t>
      </w:r>
    </w:p>
    <w:p w14:paraId="07C5D6FF" w14:textId="065E09AF" w:rsidR="00A37ED4" w:rsidRPr="00676027" w:rsidRDefault="00A37ED4" w:rsidP="000F3796">
      <w:pPr>
        <w:spacing w:line="480" w:lineRule="auto"/>
      </w:pPr>
      <w:r>
        <w:tab/>
        <w:t xml:space="preserve">Government resources are available to victims of discrimination, but agencies have limited capacity for investigation. A victim of discrimination seeking justice by means of the FHA must complain to </w:t>
      </w:r>
      <w:r w:rsidRPr="00676027">
        <w:t>the Department of Housing and Urban Development (“HUD”), who then has 180 days to investigate and either make a finding or provide the victim a letter providing the right to sue.</w:t>
      </w:r>
      <w:r w:rsidRPr="00676027">
        <w:rPr>
          <w:rStyle w:val="FootnoteReference"/>
        </w:rPr>
        <w:footnoteReference w:id="26"/>
      </w:r>
      <w:r w:rsidRPr="00676027">
        <w:t xml:space="preserve"> </w:t>
      </w:r>
      <w:r>
        <w:t>HUD and other federal organizations received 8,521 housing discrimination complaints in the 2022 fiscal year, but only 6.5% resulted in charges, though 21.2% ended in conciliation.</w:t>
      </w:r>
      <w:r>
        <w:rPr>
          <w:rStyle w:val="FootnoteReference"/>
        </w:rPr>
        <w:footnoteReference w:id="27"/>
      </w:r>
      <w:r>
        <w:t xml:space="preserve"> </w:t>
      </w:r>
      <w:r w:rsidR="00B442EE">
        <w:t xml:space="preserve">For around 64.8% of complaints of housing discrimination, the conclusion is </w:t>
      </w:r>
      <w:r w:rsidR="00EE4F6C">
        <w:t xml:space="preserve">either </w:t>
      </w:r>
      <w:r w:rsidR="00B442EE">
        <w:t>an administrative finding that there was no cause or the administrative closing of a case.</w:t>
      </w:r>
      <w:r w:rsidR="00B442EE">
        <w:rPr>
          <w:rStyle w:val="FootnoteReference"/>
        </w:rPr>
        <w:footnoteReference w:id="28"/>
      </w:r>
      <w:r w:rsidR="00B442EE">
        <w:t xml:space="preserve"> While complainants may obtain a letter granting the right to sue after the completion of the administrative pro</w:t>
      </w:r>
      <w:r w:rsidR="00243DE1">
        <w:t>c</w:t>
      </w:r>
      <w:r w:rsidR="00B442EE">
        <w:t>ess, affordable legal representation can be difficult to obtain.</w:t>
      </w:r>
    </w:p>
    <w:p w14:paraId="4BD59F1F" w14:textId="59435C9F" w:rsidR="00A37ED4" w:rsidRPr="00676027" w:rsidRDefault="00A37ED4" w:rsidP="00CD69AD">
      <w:pPr>
        <w:spacing w:line="480" w:lineRule="auto"/>
        <w:ind w:firstLine="720"/>
      </w:pPr>
      <w:r>
        <w:t xml:space="preserve">There are New York State and City resources for victims of housing discrimination. </w:t>
      </w:r>
      <w:r w:rsidRPr="00676027">
        <w:t>A complaint under the the NYSHRL may be made to the New York State Division of Human Rights (“DHR”)</w:t>
      </w:r>
      <w:r>
        <w:t>, who will then conduct an investigation, although the statute does enable victims to pursue justice independently under the law</w:t>
      </w:r>
      <w:r w:rsidRPr="00676027">
        <w:t>.</w:t>
      </w:r>
      <w:r w:rsidRPr="00676027">
        <w:rPr>
          <w:rStyle w:val="FootnoteReference"/>
        </w:rPr>
        <w:footnoteReference w:id="29"/>
      </w:r>
      <w:r w:rsidRPr="00676027">
        <w:t xml:space="preserve"> DHR lacks the capacity to fully investigate </w:t>
      </w:r>
      <w:r>
        <w:t xml:space="preserve">many of the </w:t>
      </w:r>
      <w:r w:rsidRPr="00676027">
        <w:t>complaints</w:t>
      </w:r>
      <w:r>
        <w:t xml:space="preserve"> it receives</w:t>
      </w:r>
      <w:r w:rsidRPr="00676027">
        <w:t xml:space="preserve">: the New York State Comptroller’s Office investigated the 2,236 housing discrimination cases brought to DHR between April 2019 and October 2023 and found that 69% of complaints failed to result in DHR concluding </w:t>
      </w:r>
      <w:r w:rsidR="00B442EE">
        <w:t>an</w:t>
      </w:r>
      <w:r w:rsidR="00B442EE" w:rsidRPr="00676027">
        <w:t xml:space="preserve"> </w:t>
      </w:r>
      <w:r w:rsidRPr="00676027">
        <w:t xml:space="preserve">investigation and notifying the </w:t>
      </w:r>
      <w:r w:rsidR="00B442EE" w:rsidRPr="00676027">
        <w:t>complain</w:t>
      </w:r>
      <w:r w:rsidR="00B442EE">
        <w:t>ant</w:t>
      </w:r>
      <w:r w:rsidR="00B442EE" w:rsidRPr="00676027">
        <w:t xml:space="preserve"> </w:t>
      </w:r>
      <w:r w:rsidRPr="00676027">
        <w:t xml:space="preserve">of </w:t>
      </w:r>
      <w:r w:rsidR="00B442EE">
        <w:t>its</w:t>
      </w:r>
      <w:r w:rsidR="00B442EE" w:rsidRPr="00676027">
        <w:t xml:space="preserve"> </w:t>
      </w:r>
      <w:r w:rsidRPr="00676027">
        <w:t>result within the timeframe provided by the law.</w:t>
      </w:r>
      <w:r w:rsidRPr="00676027">
        <w:rPr>
          <w:rStyle w:val="FootnoteReference"/>
        </w:rPr>
        <w:footnoteReference w:id="30"/>
      </w:r>
      <w:r w:rsidRPr="00676027">
        <w:t xml:space="preserve"> The State Comptroller also found that</w:t>
      </w:r>
      <w:r w:rsidR="00B442EE">
        <w:t xml:space="preserve"> 70% of the audited cases lacked</w:t>
      </w:r>
      <w:r w:rsidR="005963AD">
        <w:t xml:space="preserve"> </w:t>
      </w:r>
      <w:r w:rsidR="00B442EE">
        <w:t>records of</w:t>
      </w:r>
      <w:r w:rsidR="005963AD">
        <w:t xml:space="preserve"> to demonstrate</w:t>
      </w:r>
      <w:r w:rsidR="005963AD" w:rsidRPr="005963AD">
        <w:t xml:space="preserve"> </w:t>
      </w:r>
      <w:r w:rsidR="005963AD" w:rsidRPr="00676027">
        <w:t>that all steps required in an investigation were</w:t>
      </w:r>
      <w:r w:rsidR="005963AD">
        <w:t xml:space="preserve"> completed</w:t>
      </w:r>
      <w:r w:rsidRPr="00676027">
        <w:t>.</w:t>
      </w:r>
      <w:r>
        <w:rPr>
          <w:rStyle w:val="FootnoteReference"/>
        </w:rPr>
        <w:footnoteReference w:id="31"/>
      </w:r>
      <w:r w:rsidR="00CD69AD" w:rsidRPr="00CD69AD">
        <w:t xml:space="preserve"> </w:t>
      </w:r>
      <w:r w:rsidR="00CD69AD">
        <w:t>DHR reported that, in the 2023 fiscal year, it processed a total of 7,629 complaints relating to discrimination, around 8% of which related to housing.</w:t>
      </w:r>
      <w:r w:rsidR="00CD69AD">
        <w:rPr>
          <w:rStyle w:val="FootnoteReference"/>
        </w:rPr>
        <w:footnoteReference w:id="32"/>
      </w:r>
      <w:r w:rsidR="00CD69AD">
        <w:t xml:space="preserve"> While recent reports lack analogous information, DHR’s 2021 report stated that, where discrimination complaints led to an investigation, 10.6% resulted in immediate settlement and 21.4% resulted in a determination of probable cause, leading to a hearing, the majority of which resulted in settlment.</w:t>
      </w:r>
      <w:r w:rsidR="00CD69AD">
        <w:rPr>
          <w:rStyle w:val="FootnoteReference"/>
        </w:rPr>
        <w:footnoteReference w:id="33"/>
      </w:r>
    </w:p>
    <w:p w14:paraId="6B5451C3" w14:textId="1E93BDF2" w:rsidR="00A37ED4" w:rsidRPr="00BD00C1" w:rsidRDefault="00A37ED4" w:rsidP="004973D0">
      <w:pPr>
        <w:spacing w:line="480" w:lineRule="auto"/>
        <w:ind w:firstLine="720"/>
        <w:rPr>
          <w:i/>
          <w:iCs/>
        </w:rPr>
      </w:pPr>
      <w:r w:rsidRPr="00676027">
        <w:t xml:space="preserve">Finally, the New York City Commission on Human Rights (“CCHR”) </w:t>
      </w:r>
      <w:r w:rsidR="00C52B7B">
        <w:t xml:space="preserve">also </w:t>
      </w:r>
      <w:r w:rsidRPr="00676027">
        <w:t xml:space="preserve">hears and investigates complaints about housing discrimination, </w:t>
      </w:r>
      <w:r w:rsidR="00C52B7B">
        <w:t>though</w:t>
      </w:r>
      <w:r w:rsidR="00C52B7B" w:rsidRPr="00676027">
        <w:t xml:space="preserve"> </w:t>
      </w:r>
      <w:r w:rsidRPr="00676027">
        <w:t>the NYCHRL also allows such complaints to be made directly in court</w:t>
      </w:r>
      <w:r>
        <w:t>.</w:t>
      </w:r>
      <w:r w:rsidRPr="00676027">
        <w:rPr>
          <w:rStyle w:val="FootnoteReference"/>
        </w:rPr>
        <w:footnoteReference w:id="34"/>
      </w:r>
      <w:r>
        <w:t xml:space="preserve"> </w:t>
      </w:r>
      <w:r w:rsidR="00A14255">
        <w:t>I</w:t>
      </w:r>
      <w:r>
        <w:t>n the 2025 fiscal year, the CCHR reveived 1,222 inquiries about discrimination in housing, with the largest complaint categories being lawful source of income (618 inquiries) and disability (364).</w:t>
      </w:r>
      <w:r>
        <w:rPr>
          <w:rStyle w:val="FootnoteReference"/>
        </w:rPr>
        <w:footnoteReference w:id="35"/>
      </w:r>
      <w:r>
        <w:t xml:space="preserve"> In this same period, the CCHR filed 170 complaints related to housing, 64 of which related to lawful source of income and 46 of which related to disability.</w:t>
      </w:r>
      <w:r>
        <w:rPr>
          <w:rStyle w:val="FootnoteReference"/>
        </w:rPr>
        <w:footnoteReference w:id="36"/>
      </w:r>
      <w:r w:rsidR="00CD69AD" w:rsidRPr="00CD69AD">
        <w:t xml:space="preserve"> </w:t>
      </w:r>
      <w:r w:rsidR="00CD69AD">
        <w:t>In the 2025 fiscal year, 36.4% of CCHR’s investigations resulted in settlments, though this number includes discrimination in employment and other fields, in addition to housing.</w:t>
      </w:r>
      <w:r w:rsidR="00CD69AD">
        <w:rPr>
          <w:rStyle w:val="FootnoteReference"/>
        </w:rPr>
        <w:footnoteReference w:id="37"/>
      </w:r>
    </w:p>
    <w:p w14:paraId="1CD193D6" w14:textId="5031306B" w:rsidR="00A37ED4" w:rsidRDefault="00A37ED4" w:rsidP="000F3796">
      <w:pPr>
        <w:spacing w:line="480" w:lineRule="auto"/>
      </w:pPr>
      <w:r w:rsidRPr="00676027">
        <w:tab/>
        <w:t>Currently,</w:t>
      </w:r>
      <w:r>
        <w:t xml:space="preserve"> the board of a cooperative </w:t>
      </w:r>
      <w:r w:rsidR="00D40C5C">
        <w:t xml:space="preserve">is </w:t>
      </w:r>
      <w:r>
        <w:t xml:space="preserve">not required to provide any reason to reject a tenant, resulting in circumstances where it is difficult for anyone to prove discrimination. </w:t>
      </w:r>
      <w:r w:rsidR="003B5D34">
        <w:t>Individual determinations can be mysterious to rejected applicants, who sometimes provide extensive personal and financial information supporting their application</w:t>
      </w:r>
      <w:r>
        <w:t>.</w:t>
      </w:r>
      <w:r>
        <w:rPr>
          <w:rStyle w:val="FootnoteReference"/>
        </w:rPr>
        <w:footnoteReference w:id="38"/>
      </w:r>
      <w:r>
        <w:t xml:space="preserve"> </w:t>
      </w:r>
      <w:r w:rsidRPr="00676027">
        <w:t xml:space="preserve">Although forcing a cooperative to provide a reason for a rejection does not force a cooperative to accept an applicant, it </w:t>
      </w:r>
      <w:r w:rsidR="003B5D34">
        <w:t>may</w:t>
      </w:r>
      <w:r w:rsidR="003B5D34" w:rsidRPr="00676027">
        <w:t xml:space="preserve"> </w:t>
      </w:r>
      <w:r w:rsidRPr="00676027">
        <w:t>provide a basis for the victim of discrimination to take action.</w:t>
      </w:r>
      <w:r w:rsidR="005D0F10">
        <w:t xml:space="preserve"> If the victim is provided with a merely pretextual reason for their rejection, the victim’s allegation that the rejection was discriminato</w:t>
      </w:r>
      <w:r w:rsidR="005D0F10" w:rsidRPr="00676027">
        <w:t>r</w:t>
      </w:r>
      <w:r w:rsidR="005D0F10">
        <w:t xml:space="preserve">y can be substantiated by a demonstration that the reason given was false </w:t>
      </w:r>
      <w:r w:rsidR="00CD69AD">
        <w:t>.</w:t>
      </w:r>
      <w:r w:rsidR="00CD69AD">
        <w:rPr>
          <w:rStyle w:val="FootnoteReference"/>
        </w:rPr>
        <w:footnoteReference w:id="39"/>
      </w:r>
      <w:r w:rsidR="00CD69AD">
        <w:t xml:space="preserve">  </w:t>
      </w:r>
    </w:p>
    <w:p w14:paraId="2F214518" w14:textId="0A1B6393" w:rsidR="00A37ED4" w:rsidRDefault="00A37ED4" w:rsidP="00CD69AD">
      <w:pPr>
        <w:spacing w:line="480" w:lineRule="auto"/>
      </w:pPr>
      <w:r>
        <w:tab/>
        <w:t xml:space="preserve">Because </w:t>
      </w:r>
      <w:r w:rsidR="00CD69AD">
        <w:t xml:space="preserve">investigating </w:t>
      </w:r>
      <w:r>
        <w:t xml:space="preserve">agencies often have little time and resources to dedicate to investigations, and because </w:t>
      </w:r>
      <w:r w:rsidR="00CD69AD">
        <w:t xml:space="preserve">it is so difficult to demonstrate that the true reason for a rejection was discriminatory, requiring coop boards to provide some reason for rejection nay help agencies and courts make informed determinations concerning whether a decision was discriminatory. </w:t>
      </w:r>
    </w:p>
    <w:p w14:paraId="52999338" w14:textId="57C7A4B1" w:rsidR="00A37ED4" w:rsidRPr="007E3777" w:rsidRDefault="00A37ED4" w:rsidP="00EE5708">
      <w:pPr>
        <w:spacing w:line="480" w:lineRule="auto"/>
        <w:rPr>
          <w:i/>
          <w:iCs/>
          <w:szCs w:val="24"/>
        </w:rPr>
      </w:pPr>
      <w:r w:rsidRPr="007E3777">
        <w:rPr>
          <w:i/>
          <w:iCs/>
          <w:color w:val="000000"/>
          <w:szCs w:val="24"/>
          <w:shd w:val="clear" w:color="auto" w:fill="FFFFFF"/>
        </w:rPr>
        <w:t xml:space="preserve">Financial </w:t>
      </w:r>
      <w:r w:rsidR="00852338">
        <w:rPr>
          <w:i/>
          <w:iCs/>
          <w:color w:val="000000"/>
          <w:szCs w:val="24"/>
          <w:shd w:val="clear" w:color="auto" w:fill="FFFFFF"/>
        </w:rPr>
        <w:t>I</w:t>
      </w:r>
      <w:r w:rsidR="00852338" w:rsidRPr="007E3777">
        <w:rPr>
          <w:i/>
          <w:iCs/>
          <w:color w:val="000000"/>
          <w:szCs w:val="24"/>
          <w:shd w:val="clear" w:color="auto" w:fill="FFFFFF"/>
        </w:rPr>
        <w:t xml:space="preserve">nstability </w:t>
      </w:r>
      <w:r w:rsidRPr="007E3777">
        <w:rPr>
          <w:i/>
          <w:iCs/>
          <w:color w:val="000000"/>
          <w:szCs w:val="24"/>
          <w:shd w:val="clear" w:color="auto" w:fill="FFFFFF"/>
        </w:rPr>
        <w:t>with HDFCs</w:t>
      </w:r>
    </w:p>
    <w:p w14:paraId="68B1B79D" w14:textId="58F9FD72" w:rsidR="00A37ED4" w:rsidRPr="00A37ED4" w:rsidRDefault="00A37ED4" w:rsidP="00EE5708">
      <w:pPr>
        <w:spacing w:line="480" w:lineRule="auto"/>
        <w:ind w:firstLine="720"/>
        <w:rPr>
          <w:szCs w:val="24"/>
        </w:rPr>
      </w:pPr>
      <w:r w:rsidRPr="00A37ED4">
        <w:rPr>
          <w:color w:val="000000"/>
          <w:szCs w:val="24"/>
          <w:shd w:val="clear" w:color="auto" w:fill="FFFFFF"/>
        </w:rPr>
        <w:t>During the 1960s and 1970s, New York City experienced a sharp increase in abandoned residential properties, which coincided with high inflation and an unfavorable national economy.</w:t>
      </w:r>
      <w:r>
        <w:rPr>
          <w:rStyle w:val="FootnoteReference"/>
          <w:color w:val="000000"/>
          <w:szCs w:val="24"/>
          <w:shd w:val="clear" w:color="auto" w:fill="FFFFFF"/>
        </w:rPr>
        <w:footnoteReference w:id="40"/>
      </w:r>
      <w:r w:rsidRPr="00A37ED4">
        <w:rPr>
          <w:color w:val="000000"/>
          <w:szCs w:val="24"/>
          <w:shd w:val="clear" w:color="auto" w:fill="FFFFFF"/>
        </w:rPr>
        <w:t xml:space="preserve"> In response, the city took ownership of these properties through the in rem foreclosure process, and </w:t>
      </w:r>
      <w:r w:rsidR="00C3056D">
        <w:rPr>
          <w:color w:val="000000"/>
          <w:szCs w:val="24"/>
          <w:shd w:val="clear" w:color="auto" w:fill="FFFFFF"/>
        </w:rPr>
        <w:t>HPD</w:t>
      </w:r>
      <w:r w:rsidRPr="00A37ED4">
        <w:rPr>
          <w:color w:val="000000"/>
          <w:szCs w:val="24"/>
          <w:shd w:val="clear" w:color="auto" w:fill="FFFFFF"/>
        </w:rPr>
        <w:t xml:space="preserve"> restored these properties and offered tenants the opportunity to convert their buildings into limited equity coops called Housing Development Fund Corporation (</w:t>
      </w:r>
      <w:r w:rsidR="0014113A">
        <w:rPr>
          <w:color w:val="000000"/>
          <w:szCs w:val="24"/>
          <w:shd w:val="clear" w:color="auto" w:fill="FFFFFF"/>
        </w:rPr>
        <w:t>“</w:t>
      </w:r>
      <w:r w:rsidRPr="00A37ED4">
        <w:rPr>
          <w:color w:val="000000"/>
          <w:szCs w:val="24"/>
          <w:shd w:val="clear" w:color="auto" w:fill="FFFFFF"/>
        </w:rPr>
        <w:t>HDFC</w:t>
      </w:r>
      <w:r w:rsidR="0014113A">
        <w:rPr>
          <w:color w:val="000000"/>
          <w:szCs w:val="24"/>
          <w:shd w:val="clear" w:color="auto" w:fill="FFFFFF"/>
        </w:rPr>
        <w:t>”</w:t>
      </w:r>
      <w:r w:rsidRPr="00A37ED4">
        <w:rPr>
          <w:color w:val="000000"/>
          <w:szCs w:val="24"/>
          <w:shd w:val="clear" w:color="auto" w:fill="FFFFFF"/>
        </w:rPr>
        <w:t>)</w:t>
      </w:r>
      <w:r w:rsidR="00C66240">
        <w:rPr>
          <w:color w:val="000000"/>
          <w:szCs w:val="24"/>
          <w:shd w:val="clear" w:color="auto" w:fill="FFFFFF"/>
        </w:rPr>
        <w:t xml:space="preserve"> </w:t>
      </w:r>
      <w:r w:rsidR="00C66240" w:rsidRPr="00A37ED4">
        <w:rPr>
          <w:color w:val="000000"/>
          <w:szCs w:val="24"/>
          <w:shd w:val="clear" w:color="auto" w:fill="FFFFFF"/>
        </w:rPr>
        <w:t>cooperatives</w:t>
      </w:r>
      <w:r w:rsidRPr="00A37ED4">
        <w:rPr>
          <w:color w:val="000000"/>
          <w:szCs w:val="24"/>
          <w:shd w:val="clear" w:color="auto" w:fill="FFFFFF"/>
        </w:rPr>
        <w:t>.</w:t>
      </w:r>
      <w:r>
        <w:rPr>
          <w:rStyle w:val="FootnoteReference"/>
          <w:color w:val="000000"/>
          <w:szCs w:val="24"/>
          <w:shd w:val="clear" w:color="auto" w:fill="FFFFFF"/>
        </w:rPr>
        <w:footnoteReference w:id="41"/>
      </w:r>
      <w:r w:rsidRPr="00A37ED4">
        <w:rPr>
          <w:color w:val="000000"/>
          <w:szCs w:val="24"/>
          <w:shd w:val="clear" w:color="auto" w:fill="FFFFFF"/>
        </w:rPr>
        <w:t xml:space="preserve"> HDFCs have the same governing structure as other housing co-ops except that co-op shareholders own the same number of shares.</w:t>
      </w:r>
      <w:r>
        <w:rPr>
          <w:rStyle w:val="FootnoteReference"/>
          <w:color w:val="000000"/>
          <w:szCs w:val="24"/>
          <w:shd w:val="clear" w:color="auto" w:fill="FFFFFF"/>
        </w:rPr>
        <w:footnoteReference w:id="42"/>
      </w:r>
      <w:r w:rsidRPr="00A37ED4">
        <w:rPr>
          <w:color w:val="000000"/>
          <w:szCs w:val="24"/>
          <w:shd w:val="clear" w:color="auto" w:fill="FFFFFF"/>
        </w:rPr>
        <w:t xml:space="preserve"> HDFCs also receive tax abatements in exchange for compliance with restrictions on income eligibility, share sale price, and other regulations.</w:t>
      </w:r>
      <w:r>
        <w:rPr>
          <w:rStyle w:val="FootnoteReference"/>
          <w:color w:val="000000"/>
          <w:szCs w:val="24"/>
          <w:shd w:val="clear" w:color="auto" w:fill="FFFFFF"/>
        </w:rPr>
        <w:footnoteReference w:id="43"/>
      </w:r>
      <w:r w:rsidRPr="00A37ED4">
        <w:rPr>
          <w:color w:val="000000"/>
          <w:szCs w:val="24"/>
          <w:shd w:val="clear" w:color="auto" w:fill="FFFFFF"/>
        </w:rPr>
        <w:t xml:space="preserve"> There are currently 1,100 HDCF</w:t>
      </w:r>
      <w:r w:rsidR="00D63479">
        <w:rPr>
          <w:color w:val="000000"/>
          <w:szCs w:val="24"/>
          <w:shd w:val="clear" w:color="auto" w:fill="FFFFFF"/>
        </w:rPr>
        <w:t>s</w:t>
      </w:r>
      <w:r w:rsidRPr="00A37ED4">
        <w:rPr>
          <w:color w:val="000000"/>
          <w:szCs w:val="24"/>
          <w:shd w:val="clear" w:color="auto" w:fill="FFFFFF"/>
        </w:rPr>
        <w:t xml:space="preserve"> in New York City.</w:t>
      </w:r>
      <w:r>
        <w:rPr>
          <w:rStyle w:val="FootnoteReference"/>
          <w:color w:val="000000"/>
          <w:szCs w:val="24"/>
          <w:shd w:val="clear" w:color="auto" w:fill="FFFFFF"/>
        </w:rPr>
        <w:footnoteReference w:id="44"/>
      </w:r>
      <w:r w:rsidRPr="00A37ED4">
        <w:rPr>
          <w:color w:val="000000"/>
          <w:szCs w:val="24"/>
          <w:shd w:val="clear" w:color="auto" w:fill="FFFFFF"/>
        </w:rPr>
        <w:t>  </w:t>
      </w:r>
    </w:p>
    <w:p w14:paraId="6FB8EE1A" w14:textId="0651848F" w:rsidR="00FF5AE4" w:rsidRDefault="00A37ED4" w:rsidP="00EE5708">
      <w:pPr>
        <w:spacing w:line="480" w:lineRule="auto"/>
        <w:ind w:firstLine="720"/>
        <w:rPr>
          <w:color w:val="000000"/>
          <w:szCs w:val="24"/>
          <w:shd w:val="clear" w:color="auto" w:fill="FFFFFF"/>
        </w:rPr>
      </w:pPr>
      <w:r w:rsidRPr="00A37ED4">
        <w:rPr>
          <w:color w:val="000000"/>
          <w:szCs w:val="24"/>
          <w:shd w:val="clear" w:color="auto" w:fill="FFFFFF"/>
        </w:rPr>
        <w:t>In the last decade, reports</w:t>
      </w:r>
      <w:r>
        <w:rPr>
          <w:color w:val="000000"/>
          <w:szCs w:val="24"/>
          <w:shd w:val="clear" w:color="auto" w:fill="FFFFFF"/>
        </w:rPr>
        <w:t xml:space="preserve"> have</w:t>
      </w:r>
      <w:r w:rsidRPr="00A37ED4">
        <w:rPr>
          <w:color w:val="000000"/>
          <w:szCs w:val="24"/>
          <w:shd w:val="clear" w:color="auto" w:fill="FFFFFF"/>
        </w:rPr>
        <w:t xml:space="preserve"> highlighted the financial mismanagement or financial instability of HDFC</w:t>
      </w:r>
      <w:r w:rsidR="00981988">
        <w:rPr>
          <w:color w:val="000000"/>
          <w:szCs w:val="24"/>
          <w:shd w:val="clear" w:color="auto" w:fill="FFFFFF"/>
        </w:rPr>
        <w:t>s</w:t>
      </w:r>
      <w:r w:rsidRPr="00A37ED4">
        <w:rPr>
          <w:color w:val="000000"/>
          <w:szCs w:val="24"/>
          <w:shd w:val="clear" w:color="auto" w:fill="FFFFFF"/>
        </w:rPr>
        <w:t>.</w:t>
      </w:r>
      <w:r>
        <w:rPr>
          <w:rStyle w:val="FootnoteReference"/>
          <w:color w:val="000000"/>
          <w:szCs w:val="24"/>
          <w:shd w:val="clear" w:color="auto" w:fill="FFFFFF"/>
        </w:rPr>
        <w:footnoteReference w:id="45"/>
      </w:r>
      <w:r w:rsidRPr="00A37ED4">
        <w:rPr>
          <w:color w:val="000000"/>
          <w:szCs w:val="24"/>
          <w:shd w:val="clear" w:color="auto" w:fill="FFFFFF"/>
        </w:rPr>
        <w:t xml:space="preserve"> In 2015, a coop in the Upper West Side accrued over $200,000 in owed taxes and water fees while preferentially spending money on renovating units for friends and families of Board members.</w:t>
      </w:r>
      <w:r>
        <w:rPr>
          <w:rStyle w:val="FootnoteReference"/>
          <w:color w:val="000000"/>
          <w:szCs w:val="24"/>
          <w:shd w:val="clear" w:color="auto" w:fill="FFFFFF"/>
        </w:rPr>
        <w:footnoteReference w:id="46"/>
      </w:r>
      <w:r w:rsidRPr="00A37ED4">
        <w:rPr>
          <w:color w:val="000000"/>
          <w:szCs w:val="24"/>
          <w:shd w:val="clear" w:color="auto" w:fill="FFFFFF"/>
        </w:rPr>
        <w:t xml:space="preserve"> Another HDFC in East Harlem owed $800,000 in taxes to the city in 2015.</w:t>
      </w:r>
      <w:r>
        <w:rPr>
          <w:rStyle w:val="FootnoteReference"/>
          <w:color w:val="000000"/>
          <w:szCs w:val="24"/>
          <w:shd w:val="clear" w:color="auto" w:fill="FFFFFF"/>
        </w:rPr>
        <w:footnoteReference w:id="47"/>
      </w:r>
      <w:r w:rsidRPr="00A37ED4">
        <w:rPr>
          <w:color w:val="000000"/>
          <w:szCs w:val="24"/>
          <w:shd w:val="clear" w:color="auto" w:fill="FFFFFF"/>
        </w:rPr>
        <w:t xml:space="preserve"> In that same year, it was reported that uptown Manhattan co-ops owed the city a combined 21 million dollars.</w:t>
      </w:r>
      <w:r>
        <w:rPr>
          <w:rStyle w:val="FootnoteReference"/>
          <w:color w:val="000000"/>
          <w:szCs w:val="24"/>
          <w:shd w:val="clear" w:color="auto" w:fill="FFFFFF"/>
        </w:rPr>
        <w:footnoteReference w:id="48"/>
      </w:r>
      <w:r w:rsidRPr="00A37ED4">
        <w:rPr>
          <w:color w:val="000000"/>
          <w:szCs w:val="24"/>
          <w:shd w:val="clear" w:color="auto" w:fill="FFFFFF"/>
        </w:rPr>
        <w:t xml:space="preserve"> </w:t>
      </w:r>
      <w:r w:rsidR="00FF5AE4">
        <w:rPr>
          <w:color w:val="000000"/>
          <w:szCs w:val="24"/>
          <w:shd w:val="clear" w:color="auto" w:fill="FFFFFF"/>
        </w:rPr>
        <w:t>Having more information about the financial stability of a co-operative corporation could protect aspiring homeowners from making risky financial commitments.</w:t>
      </w:r>
    </w:p>
    <w:p w14:paraId="59D9716C" w14:textId="495FE4DA" w:rsidR="003B5D34" w:rsidRPr="004973D0" w:rsidRDefault="003B5D34" w:rsidP="001D6141">
      <w:pPr>
        <w:spacing w:line="480" w:lineRule="auto"/>
        <w:rPr>
          <w:i/>
          <w:iCs/>
        </w:rPr>
      </w:pPr>
      <w:r w:rsidRPr="004973D0">
        <w:rPr>
          <w:i/>
          <w:iCs/>
        </w:rPr>
        <w:t>Shared Housing</w:t>
      </w:r>
    </w:p>
    <w:p w14:paraId="68B72BBE" w14:textId="77777777" w:rsidR="003B5D34" w:rsidRDefault="003B5D34" w:rsidP="003B5D34">
      <w:pPr>
        <w:spacing w:line="480" w:lineRule="auto"/>
      </w:pPr>
      <w:r>
        <w:tab/>
        <w:t>New York City is amidst a historic housing crisis, as evidenced by the 2023 Housing and Vacancy Survey conducted by the Department of Housing Preservation and Development and the United States Census Bureau, which determined a 1.4% vacancy rate, the lowest since 1968.</w:t>
      </w:r>
      <w:r>
        <w:rPr>
          <w:rStyle w:val="FootnoteReference"/>
        </w:rPr>
        <w:footnoteReference w:id="49"/>
      </w:r>
      <w:r>
        <w:t xml:space="preserve"> In response, the City has sought avenues for the creation of new housing, whether by legalizing entirely new categories of housing such as ancillary dwelling units, or by removing barriers to resurrect defunct types of housing. </w:t>
      </w:r>
    </w:p>
    <w:p w14:paraId="5615FADA" w14:textId="1F570859" w:rsidR="003B5D34" w:rsidRDefault="003B5D34" w:rsidP="003B5D34">
      <w:pPr>
        <w:spacing w:line="480" w:lineRule="auto"/>
        <w:ind w:firstLine="720"/>
      </w:pPr>
      <w:r>
        <w:t>One such category of defunct housing, shared housing, consists of two or more independently occupied rooms, known as “rooming units,” that share a kitchen, bathroom, or both.</w:t>
      </w:r>
      <w:r>
        <w:rPr>
          <w:rStyle w:val="FootnoteReference"/>
        </w:rPr>
        <w:footnoteReference w:id="50"/>
      </w:r>
      <w:r>
        <w:t xml:space="preserve"> </w:t>
      </w:r>
      <w:r w:rsidRPr="00807D56">
        <w:t>Shared housing historically constituted a vital and affordable part of New York City’s housing stock, serving a wide range of households and taking many forms, from single room occupancy</w:t>
      </w:r>
      <w:r>
        <w:t xml:space="preserve"> (“SROs”)</w:t>
      </w:r>
      <w:r w:rsidRPr="00807D56">
        <w:t xml:space="preserve"> hotels, to rooming houses and boarding houses.</w:t>
      </w:r>
      <w:r>
        <w:rPr>
          <w:rStyle w:val="FootnoteReference"/>
        </w:rPr>
        <w:footnoteReference w:id="51"/>
      </w:r>
      <w:r w:rsidRPr="00807D56">
        <w:t xml:space="preserve"> As New York’s population increased in the early 20th century, residences became overcrowded, and New Yorkers in shared living faced housing quality issues.</w:t>
      </w:r>
      <w:r>
        <w:rPr>
          <w:rStyle w:val="FootnoteReference"/>
        </w:rPr>
        <w:footnoteReference w:id="52"/>
      </w:r>
      <w:r>
        <w:t xml:space="preserve"> </w:t>
      </w:r>
      <w:r w:rsidRPr="00807D56">
        <w:t>Policymakers and reformers came to associate these poor housing conditions with shared housing itself, and crafted policies to prevent the construction of new shared housing, and to incentivize apartments and homes for nuclear families instead.</w:t>
      </w:r>
      <w:r>
        <w:rPr>
          <w:rStyle w:val="FootnoteReference"/>
        </w:rPr>
        <w:footnoteReference w:id="53"/>
      </w:r>
      <w:r>
        <w:t xml:space="preserve"> </w:t>
      </w:r>
      <w:r w:rsidRPr="00807D56">
        <w:t>As shared housing became further stigmatized, housing quality conditions continued to deteriorate, and many existing shared housing buildings were demolished or converted to other uses.</w:t>
      </w:r>
      <w:r>
        <w:rPr>
          <w:rStyle w:val="FootnoteReference"/>
        </w:rPr>
        <w:footnoteReference w:id="54"/>
      </w:r>
      <w:r w:rsidRPr="00807D56">
        <w:t xml:space="preserve"> With shared housing in decline, small households turned instead toward larger, multi-bedroom apartments, where they competed with larger households for available space and illegally</w:t>
      </w:r>
      <w:r>
        <w:t xml:space="preserve">, </w:t>
      </w:r>
      <w:r w:rsidRPr="00807D56">
        <w:t>and sometimes unsafely</w:t>
      </w:r>
      <w:r>
        <w:t xml:space="preserve">, </w:t>
      </w:r>
      <w:r w:rsidRPr="00807D56">
        <w:t xml:space="preserve">subdivided units for </w:t>
      </w:r>
      <w:r>
        <w:t>SROs</w:t>
      </w:r>
      <w:r w:rsidRPr="00807D56">
        <w:t>.</w:t>
      </w:r>
      <w:r>
        <w:rPr>
          <w:rStyle w:val="FootnoteReference"/>
        </w:rPr>
        <w:footnoteReference w:id="55"/>
      </w:r>
      <w:r w:rsidRPr="00807D56">
        <w:t xml:space="preserve"> This remains the case today, with small and especially low income households crowding into larger apartments.</w:t>
      </w:r>
      <w:r>
        <w:rPr>
          <w:rStyle w:val="FootnoteReference"/>
        </w:rPr>
        <w:footnoteReference w:id="56"/>
      </w:r>
      <w:r>
        <w:t xml:space="preserve"> </w:t>
      </w:r>
    </w:p>
    <w:p w14:paraId="2CA1B1CE" w14:textId="2989F1F4" w:rsidR="003B5D34" w:rsidRPr="004973D0" w:rsidRDefault="003B5D34" w:rsidP="003B5D34">
      <w:pPr>
        <w:spacing w:line="480" w:lineRule="auto"/>
        <w:ind w:firstLine="720"/>
      </w:pPr>
      <w:r>
        <w:t xml:space="preserve">In November 2024, the </w:t>
      </w:r>
      <w:r w:rsidR="0086308F">
        <w:t>c</w:t>
      </w:r>
      <w:r>
        <w:t>ity enacted a comprehensive housing and zoning reform package, known as the City of Yes for Housing Opportunity.</w:t>
      </w:r>
      <w:r>
        <w:rPr>
          <w:rStyle w:val="FootnoteReference"/>
        </w:rPr>
        <w:footnoteReference w:id="57"/>
      </w:r>
      <w:r>
        <w:t xml:space="preserve"> As part of this reform, the New York City Zoning Resolution was amended to remove certain density caps, by specifically removing the prohibition on “rooming units” and eliminating the dwelling unit factor in Manhattan Community Districts 1 through 8 and the Special Downtown Brooklyn District, while also reducing the dwelling unit factor to 680 in the rest of the </w:t>
      </w:r>
      <w:r w:rsidR="00E3282A">
        <w:t>c</w:t>
      </w:r>
      <w:r>
        <w:t>ity, therefore creating a pathway for the construction of new shared housing.</w:t>
      </w:r>
      <w:r>
        <w:rPr>
          <w:rStyle w:val="FootnoteReference"/>
        </w:rPr>
        <w:footnoteReference w:id="58"/>
      </w:r>
      <w:r>
        <w:t xml:space="preserve"> </w:t>
      </w:r>
    </w:p>
    <w:p w14:paraId="79F78DF3" w14:textId="7E5B9C1B" w:rsidR="00694AD3" w:rsidRPr="001A6878" w:rsidRDefault="00200DFD" w:rsidP="00EE5708">
      <w:pPr>
        <w:numPr>
          <w:ilvl w:val="0"/>
          <w:numId w:val="1"/>
        </w:numPr>
        <w:suppressLineNumbers/>
        <w:spacing w:before="120" w:line="480" w:lineRule="auto"/>
        <w:jc w:val="left"/>
        <w:rPr>
          <w:rFonts w:ascii="TimesNewRoman" w:hAnsi="TimesNewRoman" w:cs="TimesNewRoman"/>
          <w:color w:val="000000"/>
          <w:szCs w:val="24"/>
        </w:rPr>
      </w:pPr>
      <w:r w:rsidRPr="005A3A11">
        <w:rPr>
          <w:b/>
          <w:smallCaps/>
          <w:szCs w:val="24"/>
          <w:u w:val="single"/>
        </w:rPr>
        <w:t>Legislation</w:t>
      </w:r>
    </w:p>
    <w:p w14:paraId="5BB341B1" w14:textId="4E4E19B1" w:rsidR="001546C3" w:rsidRPr="001546C3" w:rsidRDefault="00A43D98" w:rsidP="001546C3">
      <w:pPr>
        <w:spacing w:after="160" w:line="278" w:lineRule="auto"/>
        <w:jc w:val="center"/>
        <w:rPr>
          <w:rFonts w:eastAsia="Aptos"/>
          <w:b/>
          <w:bCs/>
          <w:kern w:val="2"/>
          <w:szCs w:val="24"/>
          <w14:ligatures w14:val="standardContextual"/>
        </w:rPr>
      </w:pPr>
      <w:r>
        <w:rPr>
          <w:rFonts w:eastAsia="Aptos"/>
          <w:b/>
          <w:bCs/>
          <w:kern w:val="2"/>
          <w:szCs w:val="24"/>
          <w14:ligatures w14:val="standardContextual"/>
        </w:rPr>
        <w:t xml:space="preserve">Proposed </w:t>
      </w:r>
      <w:r w:rsidR="001546C3" w:rsidRPr="001546C3">
        <w:rPr>
          <w:rFonts w:eastAsia="Aptos"/>
          <w:b/>
          <w:bCs/>
          <w:kern w:val="2"/>
          <w:szCs w:val="24"/>
          <w14:ligatures w14:val="standardContextual"/>
        </w:rPr>
        <w:t>Int. No. 407</w:t>
      </w:r>
      <w:r>
        <w:rPr>
          <w:rFonts w:eastAsia="Aptos"/>
          <w:b/>
          <w:bCs/>
          <w:kern w:val="2"/>
          <w:szCs w:val="24"/>
          <w14:ligatures w14:val="standardContextual"/>
        </w:rPr>
        <w:t>-A</w:t>
      </w:r>
    </w:p>
    <w:p w14:paraId="06EBFCB2" w14:textId="2C13E533" w:rsidR="001546C3" w:rsidRPr="001546C3" w:rsidRDefault="001546C3" w:rsidP="001546C3">
      <w:pPr>
        <w:spacing w:line="480" w:lineRule="auto"/>
        <w:rPr>
          <w:rFonts w:eastAsia="Aptos"/>
          <w:kern w:val="2"/>
          <w:szCs w:val="24"/>
          <w14:ligatures w14:val="standardContextual"/>
        </w:rPr>
      </w:pPr>
      <w:r w:rsidRPr="001546C3">
        <w:rPr>
          <w:rFonts w:eastAsia="Aptos"/>
          <w:kern w:val="2"/>
          <w:szCs w:val="24"/>
          <w14:ligatures w14:val="standardContextual"/>
        </w:rPr>
        <w:tab/>
      </w:r>
      <w:r w:rsidR="00C9729E">
        <w:rPr>
          <w:rFonts w:eastAsia="Aptos"/>
          <w:kern w:val="2"/>
          <w:szCs w:val="24"/>
          <w14:ligatures w14:val="standardContextual"/>
        </w:rPr>
        <w:t xml:space="preserve">Proposed </w:t>
      </w:r>
      <w:r w:rsidRPr="001546C3">
        <w:rPr>
          <w:rFonts w:eastAsia="Aptos"/>
          <w:kern w:val="2"/>
          <w:szCs w:val="24"/>
          <w14:ligatures w14:val="standardContextual"/>
        </w:rPr>
        <w:t>Int. No. 407</w:t>
      </w:r>
      <w:r w:rsidR="00C9729E">
        <w:rPr>
          <w:rFonts w:eastAsia="Aptos"/>
          <w:kern w:val="2"/>
          <w:szCs w:val="24"/>
          <w14:ligatures w14:val="standardContextual"/>
        </w:rPr>
        <w:t>-A</w:t>
      </w:r>
      <w:r w:rsidRPr="001546C3">
        <w:rPr>
          <w:rFonts w:eastAsia="Aptos"/>
          <w:kern w:val="2"/>
          <w:szCs w:val="24"/>
          <w14:ligatures w14:val="standardContextual"/>
        </w:rPr>
        <w:t xml:space="preserve"> would require cooperative corporations to provide prospective purchasers with a written statement of each and all of its reasons for withholding consent to a sale within 5 days after deciding to withhold such consent. A cooperative corporation that fails to</w:t>
      </w:r>
      <w:r w:rsidR="00515492">
        <w:rPr>
          <w:rFonts w:eastAsia="Aptos"/>
          <w:kern w:val="2"/>
          <w:szCs w:val="24"/>
          <w14:ligatures w14:val="standardContextual"/>
        </w:rPr>
        <w:t xml:space="preserve"> timely</w:t>
      </w:r>
      <w:r w:rsidRPr="001546C3">
        <w:rPr>
          <w:rFonts w:eastAsia="Aptos"/>
          <w:kern w:val="2"/>
          <w:szCs w:val="24"/>
          <w14:ligatures w14:val="standardContextual"/>
        </w:rPr>
        <w:t xml:space="preserve"> provide such written statement would be liable for statutory damages to each prospective purchaser or prospective seller who commences or joins in an action alleging</w:t>
      </w:r>
      <w:r w:rsidR="003A5105">
        <w:rPr>
          <w:rFonts w:eastAsia="Aptos"/>
          <w:kern w:val="2"/>
          <w:szCs w:val="24"/>
          <w14:ligatures w14:val="standardContextual"/>
        </w:rPr>
        <w:t xml:space="preserve"> such</w:t>
      </w:r>
      <w:r w:rsidRPr="001546C3">
        <w:rPr>
          <w:rFonts w:eastAsia="Aptos"/>
          <w:kern w:val="2"/>
          <w:szCs w:val="24"/>
          <w14:ligatures w14:val="standardContextual"/>
        </w:rPr>
        <w:t xml:space="preserve"> a failure</w:t>
      </w:r>
      <w:r w:rsidR="0028448F">
        <w:rPr>
          <w:rFonts w:eastAsia="Aptos"/>
          <w:kern w:val="2"/>
          <w:szCs w:val="24"/>
          <w14:ligatures w14:val="standardContextual"/>
        </w:rPr>
        <w:t>, and may</w:t>
      </w:r>
      <w:r w:rsidR="00341196">
        <w:rPr>
          <w:rFonts w:eastAsia="Aptos"/>
          <w:kern w:val="2"/>
          <w:szCs w:val="24"/>
          <w14:ligatures w14:val="standardContextual"/>
        </w:rPr>
        <w:t xml:space="preserve"> also</w:t>
      </w:r>
      <w:r w:rsidR="0028448F">
        <w:rPr>
          <w:rFonts w:eastAsia="Aptos"/>
          <w:kern w:val="2"/>
          <w:szCs w:val="24"/>
          <w14:ligatures w14:val="standardContextual"/>
        </w:rPr>
        <w:t xml:space="preserve"> be </w:t>
      </w:r>
      <w:r w:rsidR="00341196">
        <w:rPr>
          <w:rFonts w:eastAsia="Aptos"/>
          <w:kern w:val="2"/>
          <w:szCs w:val="24"/>
          <w14:ligatures w14:val="standardContextual"/>
        </w:rPr>
        <w:t xml:space="preserve">liable for </w:t>
      </w:r>
      <w:r w:rsidR="00F759D8">
        <w:rPr>
          <w:rFonts w:eastAsia="Aptos"/>
          <w:kern w:val="2"/>
          <w:szCs w:val="24"/>
          <w14:ligatures w14:val="standardContextual"/>
        </w:rPr>
        <w:t xml:space="preserve">punitive damages </w:t>
      </w:r>
      <w:r w:rsidR="00C82F24">
        <w:rPr>
          <w:rFonts w:eastAsia="Aptos"/>
          <w:kern w:val="2"/>
          <w:szCs w:val="24"/>
          <w14:ligatures w14:val="standardContextual"/>
        </w:rPr>
        <w:t>and</w:t>
      </w:r>
      <w:r w:rsidR="00F759D8">
        <w:rPr>
          <w:rFonts w:eastAsia="Aptos"/>
          <w:kern w:val="2"/>
          <w:szCs w:val="24"/>
          <w14:ligatures w14:val="standardContextual"/>
        </w:rPr>
        <w:t xml:space="preserve"> civil penalties</w:t>
      </w:r>
      <w:r w:rsidRPr="001546C3">
        <w:rPr>
          <w:rFonts w:eastAsia="Aptos"/>
          <w:kern w:val="2"/>
          <w:szCs w:val="24"/>
          <w14:ligatures w14:val="standardContextual"/>
        </w:rPr>
        <w:t xml:space="preserve">. In any action or proceeding commenced against a cooperative corporation, neither the cooperative corporation </w:t>
      </w:r>
      <w:r w:rsidR="00316416">
        <w:rPr>
          <w:rFonts w:eastAsia="Aptos"/>
          <w:kern w:val="2"/>
          <w:szCs w:val="24"/>
          <w14:ligatures w14:val="standardContextual"/>
        </w:rPr>
        <w:t>n</w:t>
      </w:r>
      <w:r w:rsidRPr="001546C3">
        <w:rPr>
          <w:rFonts w:eastAsia="Aptos"/>
          <w:kern w:val="2"/>
          <w:szCs w:val="24"/>
          <w14:ligatures w14:val="standardContextual"/>
        </w:rPr>
        <w:t xml:space="preserve">or any of its directors, officers, employees, or agents would be permitted to introduce any evidence concerning reasons for having withheld consent that were not set forth in the written statement. </w:t>
      </w:r>
    </w:p>
    <w:p w14:paraId="2649E087" w14:textId="77777777" w:rsidR="001546C3" w:rsidRPr="001546C3" w:rsidRDefault="001546C3" w:rsidP="001546C3">
      <w:pPr>
        <w:spacing w:line="480" w:lineRule="auto"/>
        <w:rPr>
          <w:rFonts w:eastAsia="Aptos"/>
          <w:kern w:val="2"/>
          <w:szCs w:val="24"/>
          <w14:ligatures w14:val="standardContextual"/>
        </w:rPr>
      </w:pPr>
      <w:r w:rsidRPr="001546C3">
        <w:rPr>
          <w:rFonts w:eastAsia="Aptos"/>
          <w:kern w:val="2"/>
          <w:szCs w:val="24"/>
          <w14:ligatures w14:val="standardContextual"/>
        </w:rPr>
        <w:tab/>
        <w:t xml:space="preserve">This local law would take effect 120 days after becoming law. </w:t>
      </w:r>
    </w:p>
    <w:p w14:paraId="7B3766CB" w14:textId="77777777" w:rsidR="001546C3" w:rsidRPr="001546C3" w:rsidRDefault="001546C3" w:rsidP="001546C3">
      <w:pPr>
        <w:spacing w:after="160" w:line="278" w:lineRule="auto"/>
        <w:jc w:val="center"/>
        <w:rPr>
          <w:rFonts w:eastAsia="Aptos"/>
          <w:b/>
          <w:bCs/>
          <w:kern w:val="2"/>
          <w:szCs w:val="24"/>
          <w14:ligatures w14:val="standardContextual"/>
        </w:rPr>
      </w:pPr>
      <w:r w:rsidRPr="001546C3">
        <w:rPr>
          <w:rFonts w:eastAsia="Aptos"/>
          <w:b/>
          <w:bCs/>
          <w:kern w:val="2"/>
          <w:szCs w:val="24"/>
          <w14:ligatures w14:val="standardContextual"/>
        </w:rPr>
        <w:t>Int. No. 438</w:t>
      </w:r>
    </w:p>
    <w:p w14:paraId="176F6C17" w14:textId="77777777" w:rsidR="001546C3" w:rsidRPr="001546C3" w:rsidRDefault="001546C3" w:rsidP="001546C3">
      <w:pPr>
        <w:spacing w:line="480" w:lineRule="auto"/>
        <w:ind w:firstLine="720"/>
        <w:rPr>
          <w:rFonts w:eastAsia="Aptos"/>
          <w:kern w:val="2"/>
          <w:szCs w:val="24"/>
          <w14:ligatures w14:val="standardContextual"/>
        </w:rPr>
      </w:pPr>
      <w:r w:rsidRPr="001546C3">
        <w:rPr>
          <w:rFonts w:eastAsia="Aptos"/>
          <w:kern w:val="2"/>
          <w:szCs w:val="24"/>
          <w14:ligatures w14:val="standardContextual"/>
        </w:rPr>
        <w:t xml:space="preserve">Int. No. 438 would require any cooperative corporation to disclose its finances to a prospective purchaser whose offer to purchase an interest and right to reside in the cooperative corporation has been accepted. The financial information would have to be provided within 14 days of a request by the prospective purchaser. Failure to provide such financial disclosure to a prospective purchaser would result in a $500 civil penalty. </w:t>
      </w:r>
    </w:p>
    <w:p w14:paraId="28926907" w14:textId="77777777" w:rsidR="001546C3" w:rsidRPr="001546C3" w:rsidRDefault="001546C3" w:rsidP="001546C3">
      <w:pPr>
        <w:spacing w:line="480" w:lineRule="auto"/>
        <w:ind w:firstLine="720"/>
        <w:rPr>
          <w:rFonts w:eastAsia="Aptos"/>
          <w:kern w:val="2"/>
          <w:szCs w:val="24"/>
          <w14:ligatures w14:val="standardContextual"/>
        </w:rPr>
      </w:pPr>
      <w:r w:rsidRPr="001546C3">
        <w:rPr>
          <w:rFonts w:eastAsia="Aptos"/>
          <w:kern w:val="2"/>
          <w:szCs w:val="24"/>
          <w14:ligatures w14:val="standardContextual"/>
        </w:rPr>
        <w:t>This local law would take effect 60 days after becoming law.</w:t>
      </w:r>
    </w:p>
    <w:p w14:paraId="13D3EDA3" w14:textId="77777777" w:rsidR="001546C3" w:rsidRPr="001546C3" w:rsidRDefault="001546C3" w:rsidP="001546C3">
      <w:pPr>
        <w:spacing w:after="160" w:line="278" w:lineRule="auto"/>
        <w:jc w:val="center"/>
        <w:rPr>
          <w:rFonts w:eastAsia="Aptos"/>
          <w:b/>
          <w:bCs/>
          <w:kern w:val="2"/>
          <w:szCs w:val="24"/>
          <w14:ligatures w14:val="standardContextual"/>
        </w:rPr>
      </w:pPr>
      <w:r w:rsidRPr="001546C3">
        <w:rPr>
          <w:rFonts w:eastAsia="Aptos"/>
          <w:b/>
          <w:bCs/>
          <w:kern w:val="2"/>
          <w:szCs w:val="24"/>
          <w14:ligatures w14:val="standardContextual"/>
        </w:rPr>
        <w:t>Proposed Int. No. 1120-A</w:t>
      </w:r>
    </w:p>
    <w:p w14:paraId="4450539E" w14:textId="77777777" w:rsidR="001546C3" w:rsidRPr="001546C3" w:rsidRDefault="001546C3" w:rsidP="001546C3">
      <w:pPr>
        <w:spacing w:line="480" w:lineRule="auto"/>
        <w:ind w:firstLine="720"/>
        <w:rPr>
          <w:rFonts w:eastAsia="Aptos"/>
          <w:kern w:val="2"/>
          <w:szCs w:val="24"/>
          <w14:ligatures w14:val="standardContextual"/>
        </w:rPr>
      </w:pPr>
      <w:r w:rsidRPr="001546C3">
        <w:rPr>
          <w:rFonts w:eastAsia="Aptos"/>
          <w:kern w:val="2"/>
          <w:szCs w:val="24"/>
          <w14:ligatures w14:val="standardContextual"/>
        </w:rPr>
        <w:t>Proposed Int. No. 1120-A would set timelines for decisions regarding the sale of co-op apartments. It would generally require the cooperative corporation to acknowledge receipt of application materials within 10 days, and provide notice of whether it has consented to the sale within 45 days after the application is complete, with extensions possible in some circumstances. A cooperative corporation’s failure to communicate whether or not it consents to a sale within the required period, and 10 business days after receiving notice from the prospective purchaser, would mean the cooperative corporation is deemed to consent to the sale.</w:t>
      </w:r>
    </w:p>
    <w:p w14:paraId="37457770" w14:textId="124C9AEA" w:rsidR="00404890" w:rsidRDefault="001546C3" w:rsidP="004973D0">
      <w:pPr>
        <w:spacing w:line="480" w:lineRule="auto"/>
        <w:ind w:firstLine="720"/>
        <w:rPr>
          <w:rFonts w:ascii="TimesNewRoman" w:hAnsi="TimesNewRoman" w:cs="TimesNewRoman"/>
          <w:color w:val="000000"/>
          <w:szCs w:val="24"/>
        </w:rPr>
      </w:pPr>
      <w:r w:rsidRPr="001546C3">
        <w:rPr>
          <w:rFonts w:eastAsia="Aptos"/>
          <w:kern w:val="2"/>
          <w:szCs w:val="24"/>
          <w14:ligatures w14:val="standardContextual"/>
        </w:rPr>
        <w:t xml:space="preserve">This local law would take effect 120 days after becoming law. </w:t>
      </w:r>
    </w:p>
    <w:p w14:paraId="534ED92B" w14:textId="77777777" w:rsidR="003B5D34" w:rsidRDefault="003B5D34" w:rsidP="003B5D34">
      <w:pPr>
        <w:jc w:val="center"/>
        <w:rPr>
          <w:b/>
          <w:bCs/>
        </w:rPr>
      </w:pPr>
      <w:r w:rsidRPr="00383EFF">
        <w:rPr>
          <w:b/>
          <w:bCs/>
        </w:rPr>
        <w:t>Int. No. 1475</w:t>
      </w:r>
    </w:p>
    <w:p w14:paraId="1D2E9DB6" w14:textId="77777777" w:rsidR="00852338" w:rsidRPr="00383EFF" w:rsidRDefault="00852338" w:rsidP="003B5D34">
      <w:pPr>
        <w:jc w:val="center"/>
        <w:rPr>
          <w:b/>
          <w:bCs/>
        </w:rPr>
      </w:pPr>
    </w:p>
    <w:p w14:paraId="12EE37FE" w14:textId="77777777" w:rsidR="003B5D34" w:rsidRPr="00383EFF" w:rsidRDefault="003B5D34" w:rsidP="003B5D34">
      <w:pPr>
        <w:spacing w:line="480" w:lineRule="auto"/>
        <w:ind w:firstLine="720"/>
      </w:pPr>
      <w:r w:rsidRPr="00383EFF">
        <w:t>Int. No. 1475 would permit the creation of shared housing rooming units in new class A multiple dwellings or buildings converted to class A multiple dwellings. A shared housing rooming unit would be a type of rooming unit located within a shared housing suite that consists of multiple rooming units and is separated from other rooms in the building. The bill would also establish design and operational requirements for these units</w:t>
      </w:r>
      <w:r>
        <w:t xml:space="preserve"> by amending the New York City Housing Maintenance Code and Fire Code and creating a new Appendix T in the Building Code to establish</w:t>
      </w:r>
      <w:r w:rsidRPr="00383EFF">
        <w:t xml:space="preserve"> requirements related to occupancy, cooking facilities, fire protection, means of egress, accessibility, and plumbing.</w:t>
      </w:r>
      <w:r>
        <w:t xml:space="preserve"> This bill would take effect immediately. </w:t>
      </w:r>
    </w:p>
    <w:p w14:paraId="1E8059D5" w14:textId="45B888B9" w:rsidR="003B5D34" w:rsidRPr="0088498E" w:rsidRDefault="003B5D34" w:rsidP="00404890">
      <w:pPr>
        <w:suppressLineNumbers/>
        <w:spacing w:after="160" w:line="480" w:lineRule="auto"/>
        <w:jc w:val="center"/>
        <w:rPr>
          <w:rFonts w:ascii="TimesNewRoman" w:hAnsi="TimesNewRoman" w:cs="TimesNewRoman"/>
          <w:color w:val="000000"/>
          <w:szCs w:val="24"/>
        </w:rPr>
        <w:sectPr w:rsidR="003B5D34" w:rsidRPr="0088498E" w:rsidSect="00F4021C">
          <w:footerReference w:type="default" r:id="rId12"/>
          <w:pgSz w:w="12240" w:h="15840"/>
          <w:pgMar w:top="1440" w:right="1440" w:bottom="1440" w:left="1440" w:header="720" w:footer="720" w:gutter="0"/>
          <w:cols w:space="720"/>
          <w:docGrid w:linePitch="360"/>
        </w:sectPr>
      </w:pPr>
    </w:p>
    <w:p w14:paraId="6442EF9C" w14:textId="77777777" w:rsidR="00CD69AD" w:rsidRDefault="00CD69AD" w:rsidP="00CD69AD">
      <w:pPr>
        <w:suppressLineNumbers/>
        <w:jc w:val="center"/>
      </w:pPr>
      <w:r>
        <w:t>Proposed Int. No. 407-A</w:t>
      </w:r>
    </w:p>
    <w:p w14:paraId="76EF1706" w14:textId="77777777" w:rsidR="00CD69AD" w:rsidRDefault="00CD69AD" w:rsidP="00CD69AD">
      <w:pPr>
        <w:suppressLineNumbers/>
        <w:jc w:val="center"/>
        <w:rPr>
          <w:b/>
          <w:bCs/>
        </w:rPr>
      </w:pPr>
    </w:p>
    <w:p w14:paraId="4D533BD6" w14:textId="77777777" w:rsidR="00CD69AD" w:rsidRDefault="00CD69AD" w:rsidP="00CD69AD">
      <w:pPr>
        <w:suppressLineNumbers/>
      </w:pPr>
      <w:r>
        <w:t>By the Public Advocate (Mr. Williams) and Council Members Sanchez, Restler, Won, Krishnan, Narcisse, Ayala, Abreu, Williams, Avilés, Marte, Bottcher, Hanif, Cabán, Feliz, Farías, Ossé, Nurse, Hudson, Brooks-Powers, Gutiérrez, Salaam, Stevens, Joseph, De La Rosa, Louis, Hanks, Banks, Moya and Brannan (in conjunction with the Brooklyn Borough President)</w:t>
      </w:r>
    </w:p>
    <w:p w14:paraId="0D2B67EC" w14:textId="77777777" w:rsidR="00CD69AD" w:rsidRDefault="00CD69AD" w:rsidP="00CD69AD">
      <w:pPr>
        <w:suppressLineNumbers/>
      </w:pPr>
    </w:p>
    <w:p w14:paraId="553E80C8" w14:textId="77777777" w:rsidR="00CD69AD" w:rsidRDefault="00CD69AD" w:rsidP="00CD69AD">
      <w:pPr>
        <w:suppressLineNumbers/>
        <w:rPr>
          <w:vanish/>
        </w:rPr>
      </w:pPr>
      <w:r>
        <w:rPr>
          <w:vanish/>
        </w:rPr>
        <w:t>..Title</w:t>
      </w:r>
    </w:p>
    <w:p w14:paraId="59DF4D66" w14:textId="77777777" w:rsidR="00CD69AD" w:rsidRDefault="00CD69AD" w:rsidP="00CD69AD">
      <w:pPr>
        <w:suppressLineNumbers/>
      </w:pPr>
      <w:r>
        <w:t>A Local Law to amend the administrative code of the city of New York, in relation to sales of cooperative apartments</w:t>
      </w:r>
    </w:p>
    <w:p w14:paraId="66A92C9A" w14:textId="77777777" w:rsidR="00CD69AD" w:rsidRDefault="00CD69AD" w:rsidP="00CD69AD">
      <w:pPr>
        <w:suppressLineNumbers/>
        <w:tabs>
          <w:tab w:val="left" w:pos="720"/>
          <w:tab w:val="center" w:pos="4320"/>
          <w:tab w:val="right" w:pos="8640"/>
        </w:tabs>
        <w:rPr>
          <w:vanish/>
        </w:rPr>
      </w:pPr>
      <w:r>
        <w:rPr>
          <w:vanish/>
        </w:rPr>
        <w:t>..Body</w:t>
      </w:r>
    </w:p>
    <w:p w14:paraId="0320F507" w14:textId="77777777" w:rsidR="00CD69AD" w:rsidRDefault="00CD69AD" w:rsidP="00CD69AD">
      <w:pPr>
        <w:suppressLineNumbers/>
      </w:pPr>
    </w:p>
    <w:p w14:paraId="2264C24B" w14:textId="77777777" w:rsidR="00CD69AD" w:rsidRDefault="00CD69AD" w:rsidP="00CD69AD">
      <w:pPr>
        <w:suppressLineNumbers/>
        <w:rPr>
          <w:u w:val="single"/>
        </w:rPr>
      </w:pPr>
      <w:r>
        <w:rPr>
          <w:u w:val="single"/>
        </w:rPr>
        <w:t xml:space="preserve">Be it enacted by the Council as follows: </w:t>
      </w:r>
    </w:p>
    <w:p w14:paraId="0E7E8C4C" w14:textId="77777777" w:rsidR="00CD69AD" w:rsidRDefault="00CD69AD" w:rsidP="00CD69AD">
      <w:pPr>
        <w:suppressLineNumbers/>
        <w:rPr>
          <w:i/>
          <w:iCs/>
        </w:rPr>
      </w:pPr>
    </w:p>
    <w:p w14:paraId="27D8E9F2" w14:textId="77777777" w:rsidR="00CD69AD" w:rsidRDefault="00CD69AD" w:rsidP="00CD69AD">
      <w:pPr>
        <w:spacing w:line="480" w:lineRule="auto"/>
        <w:ind w:firstLine="720"/>
      </w:pPr>
      <w:r>
        <w:t xml:space="preserve">Section 1. Title 8 of the administrative code of the city of New York is amended by adding a new chapter 9 to read as follows: </w:t>
      </w:r>
    </w:p>
    <w:p w14:paraId="4793B471" w14:textId="77777777" w:rsidR="00CD69AD" w:rsidRPr="00BA0F7F" w:rsidRDefault="00CD69AD" w:rsidP="00CD69AD">
      <w:pPr>
        <w:spacing w:line="480" w:lineRule="auto"/>
        <w:ind w:firstLine="720"/>
        <w:jc w:val="center"/>
        <w:rPr>
          <w:u w:val="single"/>
        </w:rPr>
      </w:pPr>
      <w:r w:rsidRPr="00BA0F7F">
        <w:rPr>
          <w:u w:val="single"/>
        </w:rPr>
        <w:t xml:space="preserve">CHAPTER </w:t>
      </w:r>
      <w:r>
        <w:rPr>
          <w:u w:val="single"/>
        </w:rPr>
        <w:t>9</w:t>
      </w:r>
    </w:p>
    <w:p w14:paraId="087E307D" w14:textId="77777777" w:rsidR="00CD69AD" w:rsidRPr="00BA0F7F" w:rsidRDefault="00CD69AD" w:rsidP="00CD69AD">
      <w:pPr>
        <w:spacing w:line="480" w:lineRule="auto"/>
        <w:ind w:firstLine="720"/>
        <w:jc w:val="center"/>
        <w:rPr>
          <w:u w:val="single"/>
        </w:rPr>
      </w:pPr>
      <w:r w:rsidRPr="00BA0F7F">
        <w:rPr>
          <w:u w:val="single"/>
        </w:rPr>
        <w:t xml:space="preserve">FAIR </w:t>
      </w:r>
      <w:r>
        <w:rPr>
          <w:u w:val="single"/>
        </w:rPr>
        <w:t xml:space="preserve">RESIDENTIAL </w:t>
      </w:r>
      <w:r w:rsidRPr="00BA0F7F">
        <w:rPr>
          <w:u w:val="single"/>
        </w:rPr>
        <w:t xml:space="preserve">COOPERATIVE </w:t>
      </w:r>
      <w:r>
        <w:rPr>
          <w:u w:val="single"/>
        </w:rPr>
        <w:t>DISCLOSURE</w:t>
      </w:r>
      <w:r w:rsidRPr="00BA0F7F">
        <w:rPr>
          <w:u w:val="single"/>
        </w:rPr>
        <w:t xml:space="preserve"> LAW</w:t>
      </w:r>
    </w:p>
    <w:p w14:paraId="6C16F24A" w14:textId="77777777" w:rsidR="00CD69AD" w:rsidRPr="00BA0F7F" w:rsidRDefault="00CD69AD" w:rsidP="00CD69AD">
      <w:pPr>
        <w:ind w:left="720" w:firstLine="720"/>
        <w:rPr>
          <w:u w:val="single"/>
        </w:rPr>
      </w:pPr>
      <w:r>
        <w:rPr>
          <w:u w:val="single"/>
        </w:rPr>
        <w:t xml:space="preserve">§ </w:t>
      </w:r>
      <w:r w:rsidRPr="00BA0F7F">
        <w:rPr>
          <w:u w:val="single"/>
        </w:rPr>
        <w:t>8-</w:t>
      </w:r>
      <w:r>
        <w:rPr>
          <w:u w:val="single"/>
        </w:rPr>
        <w:t>9</w:t>
      </w:r>
      <w:r w:rsidRPr="00BA0F7F">
        <w:rPr>
          <w:u w:val="single"/>
        </w:rPr>
        <w:t>01</w:t>
      </w:r>
      <w:r>
        <w:rPr>
          <w:u w:val="single"/>
        </w:rPr>
        <w:t xml:space="preserve"> </w:t>
      </w:r>
      <w:r w:rsidRPr="00BA0F7F">
        <w:rPr>
          <w:u w:val="single"/>
        </w:rPr>
        <w:t>Definitions.</w:t>
      </w:r>
    </w:p>
    <w:p w14:paraId="4759FAA4" w14:textId="77777777" w:rsidR="00CD69AD" w:rsidRDefault="00CD69AD" w:rsidP="00CD69AD">
      <w:pPr>
        <w:ind w:left="720" w:firstLine="720"/>
        <w:rPr>
          <w:u w:val="single"/>
        </w:rPr>
      </w:pPr>
      <w:r>
        <w:rPr>
          <w:u w:val="single"/>
        </w:rPr>
        <w:t>§ 8-902 Mandatory statement.</w:t>
      </w:r>
    </w:p>
    <w:p w14:paraId="61F145DC" w14:textId="77777777" w:rsidR="00CD69AD" w:rsidRDefault="00CD69AD" w:rsidP="00CD69AD">
      <w:pPr>
        <w:ind w:left="720" w:firstLine="720"/>
        <w:rPr>
          <w:u w:val="single"/>
        </w:rPr>
      </w:pPr>
      <w:r>
        <w:rPr>
          <w:u w:val="single"/>
        </w:rPr>
        <w:t>§ 8-903 Amended, supplemental and untimely statements.</w:t>
      </w:r>
    </w:p>
    <w:p w14:paraId="0011F26D" w14:textId="77777777" w:rsidR="00CD69AD" w:rsidRDefault="00CD69AD" w:rsidP="00CD69AD">
      <w:pPr>
        <w:ind w:left="1440"/>
        <w:rPr>
          <w:u w:val="single"/>
        </w:rPr>
      </w:pPr>
      <w:r>
        <w:rPr>
          <w:u w:val="single"/>
        </w:rPr>
        <w:t>§ 8-904 Liability for failure to provide statement.</w:t>
      </w:r>
    </w:p>
    <w:p w14:paraId="4B8DE97B" w14:textId="77777777" w:rsidR="00CD69AD" w:rsidRPr="00BA0F7F" w:rsidRDefault="00CD69AD" w:rsidP="00CD69AD">
      <w:pPr>
        <w:ind w:left="1440"/>
        <w:rPr>
          <w:u w:val="single"/>
        </w:rPr>
      </w:pPr>
      <w:r>
        <w:rPr>
          <w:u w:val="single"/>
        </w:rPr>
        <w:t xml:space="preserve">§ 8-905 Procedure for asserting violation. </w:t>
      </w:r>
    </w:p>
    <w:p w14:paraId="1E430222" w14:textId="77777777" w:rsidR="00CD69AD" w:rsidRPr="00BA0F7F" w:rsidRDefault="00CD69AD" w:rsidP="00CD69AD">
      <w:pPr>
        <w:ind w:left="720" w:firstLine="720"/>
        <w:rPr>
          <w:u w:val="single"/>
        </w:rPr>
      </w:pPr>
      <w:r>
        <w:rPr>
          <w:u w:val="single"/>
        </w:rPr>
        <w:t>§ 8-906 Preclusive effect of statement.</w:t>
      </w:r>
    </w:p>
    <w:p w14:paraId="0BB5896D" w14:textId="77777777" w:rsidR="00CD69AD" w:rsidRDefault="00CD69AD" w:rsidP="00CD69AD">
      <w:pPr>
        <w:ind w:left="720" w:firstLine="720"/>
        <w:rPr>
          <w:u w:val="single"/>
        </w:rPr>
      </w:pPr>
      <w:r>
        <w:rPr>
          <w:u w:val="single"/>
        </w:rPr>
        <w:t xml:space="preserve">§ </w:t>
      </w:r>
      <w:r w:rsidRPr="00BA0F7F">
        <w:rPr>
          <w:u w:val="single"/>
        </w:rPr>
        <w:t>8-</w:t>
      </w:r>
      <w:r>
        <w:rPr>
          <w:u w:val="single"/>
        </w:rPr>
        <w:t>907</w:t>
      </w:r>
      <w:r w:rsidRPr="00BA0F7F">
        <w:rPr>
          <w:u w:val="single"/>
        </w:rPr>
        <w:t xml:space="preserve"> </w:t>
      </w:r>
      <w:r>
        <w:rPr>
          <w:u w:val="single"/>
        </w:rPr>
        <w:t>No estoppel or res judicata</w:t>
      </w:r>
      <w:r w:rsidRPr="00BA0F7F">
        <w:rPr>
          <w:u w:val="single"/>
        </w:rPr>
        <w:t>.</w:t>
      </w:r>
    </w:p>
    <w:p w14:paraId="4E65E17B" w14:textId="77777777" w:rsidR="00CD69AD" w:rsidRDefault="00CD69AD" w:rsidP="00CD69AD">
      <w:pPr>
        <w:ind w:left="720" w:firstLine="720"/>
        <w:rPr>
          <w:u w:val="single"/>
        </w:rPr>
      </w:pPr>
      <w:r>
        <w:rPr>
          <w:u w:val="single"/>
        </w:rPr>
        <w:t>§ 8-908 Powers of the commission.</w:t>
      </w:r>
    </w:p>
    <w:p w14:paraId="3587FF14" w14:textId="77777777" w:rsidR="00CD69AD" w:rsidRPr="00BA0F7F" w:rsidRDefault="00CD69AD" w:rsidP="00CD69AD">
      <w:pPr>
        <w:ind w:left="720" w:firstLine="720"/>
        <w:rPr>
          <w:u w:val="single"/>
        </w:rPr>
      </w:pPr>
      <w:r>
        <w:rPr>
          <w:u w:val="single"/>
        </w:rPr>
        <w:t>§ 8-909 Construction.</w:t>
      </w:r>
    </w:p>
    <w:p w14:paraId="3D518279" w14:textId="77777777" w:rsidR="00CD69AD" w:rsidRDefault="00CD69AD" w:rsidP="00CD69AD">
      <w:pPr>
        <w:spacing w:line="480" w:lineRule="auto"/>
        <w:ind w:firstLine="720"/>
        <w:rPr>
          <w:u w:val="single"/>
        </w:rPr>
      </w:pPr>
    </w:p>
    <w:p w14:paraId="7B073E7C" w14:textId="77777777" w:rsidR="00CD69AD" w:rsidRPr="00BA0F7F" w:rsidRDefault="00CD69AD" w:rsidP="00CD6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rPr>
          <w:u w:val="single"/>
        </w:rPr>
      </w:pPr>
      <w:r>
        <w:rPr>
          <w:u w:val="single"/>
        </w:rPr>
        <w:t xml:space="preserve">§ 8-901 </w:t>
      </w:r>
      <w:r w:rsidRPr="00D47E32">
        <w:rPr>
          <w:bCs/>
          <w:u w:val="single"/>
        </w:rPr>
        <w:t>Definitions</w:t>
      </w:r>
      <w:r w:rsidRPr="00D47E32">
        <w:rPr>
          <w:u w:val="single"/>
        </w:rPr>
        <w:t>.</w:t>
      </w:r>
      <w:r>
        <w:rPr>
          <w:u w:val="single"/>
        </w:rPr>
        <w:t xml:space="preserve"> As used in this chapter, the following terms have the following meanings:</w:t>
      </w:r>
    </w:p>
    <w:p w14:paraId="5FF515C7" w14:textId="77777777" w:rsidR="00CD69AD" w:rsidRDefault="00CD69AD" w:rsidP="00CD6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rPr>
          <w:u w:val="single"/>
        </w:rPr>
      </w:pPr>
      <w:r>
        <w:rPr>
          <w:u w:val="single"/>
        </w:rPr>
        <w:t>Application. The term “application” means both the request of a prospective seller or a prospective purchaser to a cooperative corporation for that cooperative corporation to provide its unconditional consent to a sale of certificates of stock, a proprietary lease or other evidence of an ownership interest in such cooperative corporation, and the information and documents acquired by the cooperative corporation in connection with its determination as to whether or not to grant unconditional consent to the sale of certificates of stock, a proprietary lease or other evidence of an ownership interest in such cooperative corporation.</w:t>
      </w:r>
    </w:p>
    <w:p w14:paraId="58516183" w14:textId="77777777" w:rsidR="00CD69AD" w:rsidRDefault="00CD69AD" w:rsidP="00CD6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rPr>
          <w:u w:val="single"/>
        </w:rPr>
      </w:pPr>
      <w:r>
        <w:rPr>
          <w:u w:val="single"/>
        </w:rPr>
        <w:t>Commission. The term “commission” means the New York city commission on human rights.</w:t>
      </w:r>
    </w:p>
    <w:p w14:paraId="4516BFD9" w14:textId="77777777" w:rsidR="00CD69AD" w:rsidRDefault="00CD69AD" w:rsidP="00CD6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rPr>
          <w:u w:val="single"/>
        </w:rPr>
      </w:pPr>
      <w:r>
        <w:rPr>
          <w:u w:val="single"/>
        </w:rPr>
        <w:t>Cooperative corporation. The term “cooperative corporation” means any corporation that grants persons the right to reside in a cooperative apartment, that right existing by such person’s ownership of certificates of stock, proprietary lease or other evidence of ownership of an interest in such entity, but shall not include a cooperative corporation containing less than 10 dwelling units.</w:t>
      </w:r>
    </w:p>
    <w:p w14:paraId="14CAB8D5" w14:textId="77777777" w:rsidR="00CD69AD" w:rsidRDefault="00CD69AD" w:rsidP="00CD69AD">
      <w:pPr>
        <w:spacing w:line="480" w:lineRule="auto"/>
        <w:ind w:firstLine="720"/>
        <w:rPr>
          <w:u w:val="single"/>
        </w:rPr>
      </w:pPr>
      <w:r>
        <w:rPr>
          <w:u w:val="single"/>
        </w:rPr>
        <w:t>Prospective purchaser. The term “prospective purchaser” means a person who has entered into a contract of sale to purchase the proprietary lease and the ownership interest in a cooperative corporation from a prospective seller.</w:t>
      </w:r>
    </w:p>
    <w:p w14:paraId="4021846B" w14:textId="77777777" w:rsidR="00CD69AD" w:rsidRDefault="00CD69AD" w:rsidP="00CD69AD">
      <w:pPr>
        <w:spacing w:line="480" w:lineRule="auto"/>
        <w:ind w:firstLine="720"/>
        <w:rPr>
          <w:u w:val="single"/>
        </w:rPr>
      </w:pPr>
      <w:r>
        <w:rPr>
          <w:u w:val="single"/>
        </w:rPr>
        <w:t>Prospective seller. The term “prospective seller” means a person who has a proprietary lease and an ownership interest in a cooperative corporation and who has entered into a contract of sale to sell the person’s proprietary lease and ownership interest in a cooperative corporation to a prospective purchaser.</w:t>
      </w:r>
    </w:p>
    <w:p w14:paraId="60E1C9D2" w14:textId="77777777" w:rsidR="00CD69AD" w:rsidRPr="00212E02" w:rsidRDefault="00CD69AD" w:rsidP="00CD69AD">
      <w:pPr>
        <w:spacing w:line="480" w:lineRule="auto"/>
        <w:ind w:firstLine="720"/>
        <w:rPr>
          <w:u w:val="single"/>
        </w:rPr>
      </w:pPr>
      <w:r>
        <w:rPr>
          <w:u w:val="single"/>
        </w:rPr>
        <w:t>Sale. The term “sale” means the transfer of a person’s ownership interest in a cooperative corporation and that person’s proprietary lease to another person.</w:t>
      </w:r>
    </w:p>
    <w:p w14:paraId="51086C08" w14:textId="77777777" w:rsidR="00CD69AD" w:rsidRDefault="00CD69AD" w:rsidP="00CD69AD">
      <w:pPr>
        <w:spacing w:line="480" w:lineRule="auto"/>
        <w:ind w:firstLine="720"/>
        <w:rPr>
          <w:u w:val="single"/>
        </w:rPr>
      </w:pPr>
      <w:r>
        <w:rPr>
          <w:u w:val="single"/>
        </w:rPr>
        <w:t>§ 8-902 Mandatory statement. a. If a prospective purchaser is disapproved, the cooperative corporation shall provide the prospective purchaser with a written statement of each and all of its reasons for withholding consent no later than five business days after it has made its decision to withhold consent</w:t>
      </w:r>
      <w:r w:rsidRPr="005C0F35">
        <w:rPr>
          <w:u w:val="single"/>
        </w:rPr>
        <w:t>.</w:t>
      </w:r>
    </w:p>
    <w:p w14:paraId="4B255A94" w14:textId="77777777" w:rsidR="00CD69AD" w:rsidRDefault="00CD69AD" w:rsidP="00CD69AD">
      <w:pPr>
        <w:spacing w:line="480" w:lineRule="auto"/>
        <w:ind w:firstLine="720"/>
        <w:rPr>
          <w:u w:val="single"/>
        </w:rPr>
      </w:pPr>
      <w:r>
        <w:rPr>
          <w:u w:val="single"/>
        </w:rPr>
        <w:t>b. The statement required by this section must set forth each reason for withholding consent with specificity. This requirement includes identifying each element of the prospective purchaser’s application which was found by the cooperative corporation to be deficient; any specific ways that the application failed to meet any specific policies, standards or requirements of the cooperative corporation; and the source of any negative information relied upon by the cooperative corporation in connection with any of its reasons for withholding consent to the proposed purchase. The statement must convey sufficient information to enable a prospective purchaser to take specific steps to remedy any specific deficiencies in that application</w:t>
      </w:r>
      <w:r w:rsidRPr="005C0F35">
        <w:rPr>
          <w:u w:val="single"/>
        </w:rPr>
        <w:t>.</w:t>
      </w:r>
    </w:p>
    <w:p w14:paraId="7310BA47" w14:textId="77777777" w:rsidR="00CD69AD" w:rsidRDefault="00CD69AD" w:rsidP="00CD69AD">
      <w:pPr>
        <w:spacing w:line="480" w:lineRule="auto"/>
        <w:ind w:firstLine="720"/>
        <w:rPr>
          <w:u w:val="single"/>
        </w:rPr>
      </w:pPr>
      <w:r>
        <w:rPr>
          <w:u w:val="single"/>
        </w:rPr>
        <w:t>c. The statement required by this section must set forth the number of applications that have been received by the cooperative corporation in the period commencing three years prior to the date of the submission of the application that is the subject of the statement and continuing through and including the date of the statement. The statement must also set forth for the same period of time the number of applications for which the cooperative corporation withheld consent and the number of applications for which the cooperative corporation did not make a decision on such applications.</w:t>
      </w:r>
    </w:p>
    <w:p w14:paraId="63C71FD1" w14:textId="77777777" w:rsidR="00CD69AD" w:rsidRDefault="00CD69AD" w:rsidP="00CD69AD">
      <w:pPr>
        <w:spacing w:line="480" w:lineRule="auto"/>
        <w:ind w:firstLine="720"/>
        <w:rPr>
          <w:u w:val="single"/>
        </w:rPr>
      </w:pPr>
      <w:r>
        <w:rPr>
          <w:u w:val="single"/>
        </w:rPr>
        <w:t>d. The statement required by this section shall include a certification by an officer of the cooperative corporation, sworn or affirmed under penalties of perjury, that the statement is a true, complete and specific recitation of each and all of the cooperative corporation’s reasons for withholding consent; that each person who participated in the decision to withhold consent has stated to the certifying officer that such person had no reasons for withholding consent other than those set forth in the statement; and that the statement is a true and complete recitation of total applications, applications for which consent was withheld and applications in which no decision was made, as required by this chapter.</w:t>
      </w:r>
    </w:p>
    <w:p w14:paraId="691C6FA9" w14:textId="77777777" w:rsidR="00CD69AD" w:rsidRDefault="00CD69AD" w:rsidP="00CD69AD">
      <w:pPr>
        <w:spacing w:line="480" w:lineRule="auto"/>
        <w:ind w:firstLine="720"/>
        <w:rPr>
          <w:u w:val="single"/>
        </w:rPr>
      </w:pPr>
      <w:r>
        <w:rPr>
          <w:u w:val="single"/>
        </w:rPr>
        <w:t>§ 8-903 Amended, supplemental and untimely statements. a. Amendments or supplements to timely statements required by section 8-902 of this chapter shall also be considered timely if such amendments or supplements are provided to a prospective purchaser within 10 business days after the cooperative corporation has disapproved a prospective purchaser.</w:t>
      </w:r>
    </w:p>
    <w:p w14:paraId="02F4A554" w14:textId="77777777" w:rsidR="00CD69AD" w:rsidRDefault="00CD69AD" w:rsidP="00CD69AD">
      <w:pPr>
        <w:spacing w:line="480" w:lineRule="auto"/>
        <w:ind w:firstLine="720"/>
        <w:rPr>
          <w:u w:val="single"/>
        </w:rPr>
      </w:pPr>
      <w:r>
        <w:rPr>
          <w:u w:val="single"/>
        </w:rPr>
        <w:t>b. If a cooperative corporation seeks to provide a prospective purchaser with an untimely statement, amendment or supplement, the untimely statement, amendment or supplement must be accompanied by a statement of reasons for untimeliness.</w:t>
      </w:r>
      <w:r w:rsidRPr="00E3658E">
        <w:t xml:space="preserve"> </w:t>
      </w:r>
      <w:r w:rsidRPr="00E3658E">
        <w:rPr>
          <w:u w:val="single"/>
        </w:rPr>
        <w:t>If no more than twenty days have elapsed since the cooperative corporation’s decision to withhold consent and no proper party has initiated an action or proceeding pursuant to this chapter or pursuant to any other chapter of this title, the untimely statement, amendment or supplement shall be permitted to be considered in mitigation of the scope of non-compliance should an action or proceeding subsequently be commenced pursuant to this chapter, and shall be permitted to be considered in determining the scope of permissible evidence pursuant to section 8-</w:t>
      </w:r>
      <w:r>
        <w:rPr>
          <w:u w:val="single"/>
        </w:rPr>
        <w:t>90</w:t>
      </w:r>
      <w:r w:rsidRPr="00E3658E">
        <w:rPr>
          <w:u w:val="single"/>
        </w:rPr>
        <w:t>7 of this chapter, provided that the cooperative corporation can demonstrate that the reasons provided for untimeliness were true and can demonstrate that those reasons establish good cause for the untimeliness.  In the event that more than twenty days have elapsed since the cooperative corporation’s decision to withhold consent, or a proper party has initiated an action or proceeding pursuant to this chapter or pursuant to any other chapter of this title, then such untimely statement or amendment or supplement shall not be permitted to be considered in mitigation of the scope of non-compliance in an action or proceeding commenced pursuant to this chapter, and shall not be permitted to be considered for determining the scope of permissible evidence pursuant to section 8-</w:t>
      </w:r>
      <w:r>
        <w:rPr>
          <w:u w:val="single"/>
        </w:rPr>
        <w:t>907</w:t>
      </w:r>
      <w:r w:rsidRPr="00E3658E">
        <w:rPr>
          <w:u w:val="single"/>
        </w:rPr>
        <w:t xml:space="preserve"> of this chapter.</w:t>
      </w:r>
    </w:p>
    <w:p w14:paraId="7E772F73" w14:textId="77777777" w:rsidR="00CD69AD" w:rsidRDefault="00CD69AD" w:rsidP="00CD69AD">
      <w:pPr>
        <w:spacing w:line="480" w:lineRule="auto"/>
        <w:ind w:firstLine="720"/>
        <w:rPr>
          <w:u w:val="single"/>
        </w:rPr>
      </w:pPr>
      <w:r w:rsidRPr="00F948DE">
        <w:rPr>
          <w:u w:val="single"/>
        </w:rPr>
        <w:t>§ 8-</w:t>
      </w:r>
      <w:r>
        <w:rPr>
          <w:u w:val="single"/>
        </w:rPr>
        <w:t>9</w:t>
      </w:r>
      <w:r w:rsidRPr="00F948DE">
        <w:rPr>
          <w:u w:val="single"/>
        </w:rPr>
        <w:t xml:space="preserve">04 </w:t>
      </w:r>
      <w:r>
        <w:rPr>
          <w:u w:val="single"/>
        </w:rPr>
        <w:t>Liability for failure to provide statement. In addition to any other penalties or sanctions which may be imposed pursuant to this chapter or any other applicable provision of law, any cooperative corporation that is determined to have failed to timely comply with any of the requirements of sections 8-902 of this chapter shall be liable for statutory damages to each prospective purchaser or prospective seller who commences or joins in an action alleging a failure to have timely complied with such requirements in an amount no less than $1,000 and no more than $25,000, in addition to liability as provided by section 8-905 of this chapter. In determining the appropriate statutory damages to be imposed pursuant to this section, a finder of fact shall take into account both the scope of non-compliance and the resources of the cooperative corporation.</w:t>
      </w:r>
    </w:p>
    <w:p w14:paraId="3D6447DD" w14:textId="77777777" w:rsidR="00CD69AD" w:rsidRDefault="00CD69AD" w:rsidP="00CD69AD">
      <w:pPr>
        <w:spacing w:line="480" w:lineRule="auto"/>
        <w:ind w:firstLine="720"/>
        <w:rPr>
          <w:u w:val="single"/>
        </w:rPr>
      </w:pPr>
      <w:r w:rsidRPr="009604DD">
        <w:rPr>
          <w:u w:val="single"/>
        </w:rPr>
        <w:t>§ 8-</w:t>
      </w:r>
      <w:r>
        <w:rPr>
          <w:u w:val="single"/>
        </w:rPr>
        <w:t>9</w:t>
      </w:r>
      <w:r w:rsidRPr="009604DD">
        <w:rPr>
          <w:u w:val="single"/>
        </w:rPr>
        <w:t>0</w:t>
      </w:r>
      <w:r>
        <w:rPr>
          <w:u w:val="single"/>
        </w:rPr>
        <w:t>5</w:t>
      </w:r>
      <w:r w:rsidRPr="009604DD">
        <w:rPr>
          <w:u w:val="single"/>
        </w:rPr>
        <w:t xml:space="preserve"> </w:t>
      </w:r>
      <w:r>
        <w:rPr>
          <w:u w:val="single"/>
        </w:rPr>
        <w:t xml:space="preserve">Procedure for asserting violation. Any prospective purchaser or prospective seller may commence an action in any court of competent jurisdiction alleging a failure to comply with the requirements of this chapter. Such action must be commenced within six months of the time when compliance was required. The prevailing party in such an action may be awarded costs and reasonable attorneys’ fees. The court shall also order an appropriate equitable remedy, provided that such remedy shall not include a grant of property or </w:t>
      </w:r>
      <w:r w:rsidRPr="005C6985">
        <w:rPr>
          <w:u w:val="single"/>
        </w:rPr>
        <w:t>an order directing the cooperative corporation to reconsider an application or to grant its consent to a sale</w:t>
      </w:r>
      <w:r>
        <w:rPr>
          <w:u w:val="single"/>
        </w:rPr>
        <w:t xml:space="preserve">. In the event that the finder of fact determines that non-compliance was willful, the finder of fact shall award punitive damages, </w:t>
      </w:r>
      <w:r w:rsidRPr="00930748">
        <w:rPr>
          <w:u w:val="single"/>
        </w:rPr>
        <w:t xml:space="preserve">but such damages shall not exceed twice the amount awarded under section </w:t>
      </w:r>
      <w:r>
        <w:rPr>
          <w:u w:val="single"/>
        </w:rPr>
        <w:t>8-9</w:t>
      </w:r>
      <w:r w:rsidRPr="00930748">
        <w:rPr>
          <w:u w:val="single"/>
        </w:rPr>
        <w:t>0</w:t>
      </w:r>
      <w:r>
        <w:rPr>
          <w:u w:val="single"/>
        </w:rPr>
        <w:t>4</w:t>
      </w:r>
      <w:r w:rsidRPr="00930748">
        <w:rPr>
          <w:u w:val="single"/>
        </w:rPr>
        <w:t xml:space="preserve"> of this chapter</w:t>
      </w:r>
      <w:r>
        <w:rPr>
          <w:u w:val="single"/>
        </w:rPr>
        <w:t>.</w:t>
      </w:r>
      <w:r w:rsidRPr="00930748">
        <w:t xml:space="preserve"> </w:t>
      </w:r>
    </w:p>
    <w:p w14:paraId="4B25C838" w14:textId="77777777" w:rsidR="00CD69AD" w:rsidRDefault="00CD69AD" w:rsidP="00CD69AD">
      <w:pPr>
        <w:spacing w:line="480" w:lineRule="auto"/>
        <w:ind w:firstLine="720"/>
        <w:rPr>
          <w:u w:val="single"/>
        </w:rPr>
      </w:pPr>
      <w:r>
        <w:rPr>
          <w:u w:val="single"/>
        </w:rPr>
        <w:t xml:space="preserve">§ 8-906 Preclusive effect of statement. a. In any action or proceeding commenced against a cooperative corporation pursuant to any chapter of this title, neither the cooperative corporation nor any of its directors, </w:t>
      </w:r>
      <w:r w:rsidRPr="005C6985">
        <w:rPr>
          <w:u w:val="single"/>
        </w:rPr>
        <w:t xml:space="preserve">officers, employees, or agents </w:t>
      </w:r>
      <w:r>
        <w:rPr>
          <w:u w:val="single"/>
        </w:rPr>
        <w:t>shall be permitted to introduce any evidence concerning reasons for having withheld consent that were not set forth in a statement fully compliant with the requirements of this chapter.</w:t>
      </w:r>
    </w:p>
    <w:p w14:paraId="037EEB82" w14:textId="77777777" w:rsidR="00CD69AD" w:rsidRDefault="00CD69AD" w:rsidP="00CD69AD">
      <w:pPr>
        <w:spacing w:line="480" w:lineRule="auto"/>
        <w:ind w:firstLine="720"/>
        <w:rPr>
          <w:u w:val="single"/>
        </w:rPr>
      </w:pPr>
      <w:r>
        <w:rPr>
          <w:u w:val="single"/>
        </w:rPr>
        <w:t>b. A person commencing an action or proceeding as described in paragraph a of this section is under no obligation to commence an action under section 8-905 of this chapter in order for such person to gain preclusion of non-compliant statements. The court before which the allegation of an unlawful discriminatory practice is pending shall determine which statements, if any, fully complied with the requirements of section 8-902 of this chapter, unless such a judgment has already been rendered pursuant to an action commenced pursuant to section 8-905 of this chapter.</w:t>
      </w:r>
    </w:p>
    <w:p w14:paraId="371D8191" w14:textId="77777777" w:rsidR="00CD69AD" w:rsidRDefault="00CD69AD" w:rsidP="00CD69AD">
      <w:pPr>
        <w:spacing w:line="480" w:lineRule="auto"/>
        <w:ind w:firstLine="720"/>
        <w:rPr>
          <w:u w:val="single"/>
        </w:rPr>
      </w:pPr>
      <w:r>
        <w:rPr>
          <w:u w:val="single"/>
        </w:rPr>
        <w:t>§ 8-907 No estoppel or res judicata. No action commenced pursuant to this chapter shall determine or purport to determine either the genuineness of the reasons provided in the statement required by section 8-902 of this chapter or any question of whether any person has committed an unlawful discriminatory practice as defined by chapter 1 of this title. If a judgment rendered pursuant to an action commenced pursuant to this chapter purports to do so, a person shall nevertheless retain all rights to commence an action or proceeding alleging that an unlawful discriminatory act has been committed, and insofar as any judgment rendered pursuant to this chapter purports to make findings regarding either genuineness or whether an unlawful discriminatory practice has been committed, such purported findings shall not be given any force or effect in any other action or proceeding.</w:t>
      </w:r>
    </w:p>
    <w:p w14:paraId="02005904" w14:textId="77777777" w:rsidR="00CD69AD" w:rsidRDefault="00CD69AD" w:rsidP="00CD69AD">
      <w:pPr>
        <w:spacing w:line="480" w:lineRule="auto"/>
        <w:ind w:firstLine="720"/>
      </w:pPr>
      <w:r>
        <w:rPr>
          <w:u w:val="single"/>
        </w:rPr>
        <w:t xml:space="preserve">§ 8-908 Powers of the commission. The commission may </w:t>
      </w:r>
      <w:r>
        <w:rPr>
          <w:color w:val="000000"/>
          <w:u w:val="single"/>
          <w:shd w:val="clear" w:color="auto" w:fill="FFFFFF"/>
        </w:rPr>
        <w:t xml:space="preserve">initiate investigations </w:t>
      </w:r>
      <w:r>
        <w:rPr>
          <w:u w:val="single"/>
        </w:rPr>
        <w:t>in connection with a failure to have timely complied with the requirements of section 8-902 of this chapter. In the event that the commission determines that a violation occurred, it may award civil penalties in an amount no less than $1,000 and no more than $25,000.</w:t>
      </w:r>
    </w:p>
    <w:p w14:paraId="6263B0EA" w14:textId="77777777" w:rsidR="00CD69AD" w:rsidRDefault="00CD69AD" w:rsidP="00CD69AD">
      <w:pPr>
        <w:spacing w:line="480" w:lineRule="auto"/>
        <w:ind w:firstLine="720"/>
        <w:rPr>
          <w:u w:val="single"/>
        </w:rPr>
      </w:pPr>
      <w:r>
        <w:rPr>
          <w:u w:val="single"/>
        </w:rPr>
        <w:t>§ 8-909 Construction. a. The provisions of this chapter shall be construed in a manner to make certain that a prospective purchaser has been provided with sufficient information to learn why a cooperative corporation has withheld consent to such purchase, and to deter attempts to evade or delay compliance with the provisions of this chapter.</w:t>
      </w:r>
    </w:p>
    <w:p w14:paraId="2586DF46" w14:textId="77777777" w:rsidR="00CD69AD" w:rsidRDefault="00CD69AD" w:rsidP="00CD69AD">
      <w:pPr>
        <w:spacing w:line="480" w:lineRule="auto"/>
        <w:ind w:firstLine="720"/>
      </w:pPr>
      <w:r>
        <w:rPr>
          <w:u w:val="single"/>
        </w:rPr>
        <w:t>b. No provision of this chapter shall be construed or interpreted to restrict or expand the reasons for which a cooperative corporation may lawfully withhold consent.</w:t>
      </w:r>
      <w:r>
        <w:t xml:space="preserve"> </w:t>
      </w:r>
    </w:p>
    <w:p w14:paraId="423037E0" w14:textId="77777777" w:rsidR="00CD69AD" w:rsidRDefault="00CD69AD" w:rsidP="00CD69AD">
      <w:pPr>
        <w:spacing w:line="480" w:lineRule="auto"/>
        <w:ind w:firstLine="720"/>
      </w:pPr>
      <w:r>
        <w:t>§ 2. This local law takes effect 120 days after it becomes law.</w:t>
      </w:r>
    </w:p>
    <w:p w14:paraId="4EDC7619" w14:textId="77777777" w:rsidR="00CD69AD" w:rsidRDefault="00CD69AD" w:rsidP="00CD69AD">
      <w:pPr>
        <w:suppressLineNumbers/>
        <w:rPr>
          <w:sz w:val="20"/>
          <w:u w:val="single"/>
        </w:rPr>
      </w:pPr>
    </w:p>
    <w:p w14:paraId="7AAB823B" w14:textId="77777777" w:rsidR="00CD69AD" w:rsidRDefault="00CD69AD" w:rsidP="00CD69AD">
      <w:pPr>
        <w:suppressLineNumbers/>
        <w:rPr>
          <w:sz w:val="20"/>
          <w:u w:val="single"/>
        </w:rPr>
      </w:pPr>
    </w:p>
    <w:p w14:paraId="20B019E1" w14:textId="77777777" w:rsidR="00CD69AD" w:rsidRDefault="00CD69AD" w:rsidP="00CD69AD">
      <w:pPr>
        <w:suppressLineNumbers/>
        <w:rPr>
          <w:sz w:val="20"/>
          <w:u w:val="single"/>
        </w:rPr>
      </w:pPr>
    </w:p>
    <w:p w14:paraId="1EDD9DBD" w14:textId="77777777" w:rsidR="00CD69AD" w:rsidRDefault="00CD69AD" w:rsidP="00CD69AD">
      <w:pPr>
        <w:suppressLineNumbers/>
        <w:rPr>
          <w:sz w:val="20"/>
          <w:u w:val="single"/>
        </w:rPr>
      </w:pPr>
      <w:r w:rsidRPr="74A4F8D0">
        <w:rPr>
          <w:sz w:val="20"/>
          <w:u w:val="single"/>
        </w:rPr>
        <w:t>Session 13</w:t>
      </w:r>
    </w:p>
    <w:p w14:paraId="36F91CB3" w14:textId="77777777" w:rsidR="00CD69AD" w:rsidRDefault="00CD69AD" w:rsidP="00CD69AD">
      <w:pPr>
        <w:suppressLineNumbers/>
        <w:rPr>
          <w:sz w:val="20"/>
        </w:rPr>
      </w:pPr>
      <w:r>
        <w:rPr>
          <w:sz w:val="20"/>
        </w:rPr>
        <w:t>JJ/WAE</w:t>
      </w:r>
    </w:p>
    <w:p w14:paraId="0DCECBFB" w14:textId="77777777" w:rsidR="00CD69AD" w:rsidRDefault="00CD69AD" w:rsidP="00CD69AD">
      <w:pPr>
        <w:suppressLineNumbers/>
        <w:rPr>
          <w:sz w:val="20"/>
        </w:rPr>
      </w:pPr>
      <w:r w:rsidRPr="16B84027">
        <w:rPr>
          <w:sz w:val="20"/>
        </w:rPr>
        <w:t>LS #7796</w:t>
      </w:r>
    </w:p>
    <w:p w14:paraId="51742490" w14:textId="77777777" w:rsidR="00CD69AD" w:rsidRDefault="00CD69AD" w:rsidP="00CD69AD">
      <w:pPr>
        <w:suppressLineNumbers/>
        <w:rPr>
          <w:sz w:val="20"/>
        </w:rPr>
      </w:pPr>
      <w:r>
        <w:rPr>
          <w:sz w:val="20"/>
        </w:rPr>
        <w:t>11/21/25 12:11 p.m.</w:t>
      </w:r>
    </w:p>
    <w:p w14:paraId="6FAB93FB" w14:textId="77777777" w:rsidR="00CD69AD" w:rsidRDefault="00CD69AD" w:rsidP="00CD69AD">
      <w:pPr>
        <w:suppressLineNumbers/>
        <w:rPr>
          <w:sz w:val="20"/>
        </w:rPr>
      </w:pPr>
    </w:p>
    <w:p w14:paraId="24590510" w14:textId="77777777" w:rsidR="00CD69AD" w:rsidRPr="00377E3C" w:rsidRDefault="00CD69AD" w:rsidP="00CD69AD">
      <w:pPr>
        <w:suppressLineNumbers/>
        <w:rPr>
          <w:sz w:val="20"/>
          <w:u w:val="single"/>
        </w:rPr>
      </w:pPr>
      <w:r w:rsidRPr="00377E3C">
        <w:rPr>
          <w:sz w:val="20"/>
          <w:u w:val="single"/>
        </w:rPr>
        <w:t>Session 12</w:t>
      </w:r>
    </w:p>
    <w:p w14:paraId="0623FA7A" w14:textId="77777777" w:rsidR="00CD69AD" w:rsidRPr="00377E3C" w:rsidRDefault="00CD69AD" w:rsidP="00CD69AD">
      <w:pPr>
        <w:suppressLineNumbers/>
        <w:rPr>
          <w:sz w:val="20"/>
        </w:rPr>
      </w:pPr>
      <w:r w:rsidRPr="00377E3C">
        <w:rPr>
          <w:sz w:val="20"/>
        </w:rPr>
        <w:t>JJ</w:t>
      </w:r>
    </w:p>
    <w:p w14:paraId="2D4CCE9F" w14:textId="77777777" w:rsidR="00CD69AD" w:rsidRPr="00377E3C" w:rsidRDefault="00CD69AD" w:rsidP="00CD69AD">
      <w:pPr>
        <w:suppressLineNumbers/>
        <w:rPr>
          <w:sz w:val="20"/>
        </w:rPr>
      </w:pPr>
      <w:r w:rsidRPr="00377E3C">
        <w:rPr>
          <w:sz w:val="20"/>
        </w:rPr>
        <w:t>LS #7796</w:t>
      </w:r>
    </w:p>
    <w:p w14:paraId="769F7B5B" w14:textId="77777777" w:rsidR="00CD69AD" w:rsidRDefault="00CD69AD" w:rsidP="00CD69AD">
      <w:pPr>
        <w:suppressLineNumbers/>
        <w:rPr>
          <w:sz w:val="20"/>
        </w:rPr>
      </w:pPr>
      <w:r w:rsidRPr="74A4F8D0">
        <w:rPr>
          <w:sz w:val="20"/>
        </w:rPr>
        <w:t>09/08/2022 10:32 a.m.</w:t>
      </w:r>
    </w:p>
    <w:p w14:paraId="03DDCFEC" w14:textId="77777777" w:rsidR="00CD69AD" w:rsidRDefault="00CD69AD">
      <w:pPr>
        <w:spacing w:after="160" w:line="259" w:lineRule="auto"/>
        <w:jc w:val="left"/>
      </w:pPr>
      <w:r>
        <w:br w:type="page"/>
      </w:r>
    </w:p>
    <w:p w14:paraId="766B37CD" w14:textId="77777777" w:rsidR="00CD69AD" w:rsidRDefault="00CD69AD" w:rsidP="00CD69AD">
      <w:pPr>
        <w:suppressLineNumbers/>
        <w:jc w:val="center"/>
        <w:rPr>
          <w:szCs w:val="24"/>
        </w:rPr>
      </w:pPr>
    </w:p>
    <w:p w14:paraId="0A48B481" w14:textId="77777777" w:rsidR="00CD69AD" w:rsidRDefault="00CD69AD" w:rsidP="00CD69AD">
      <w:pPr>
        <w:suppressLineNumbers/>
        <w:jc w:val="center"/>
        <w:rPr>
          <w:szCs w:val="24"/>
        </w:rPr>
      </w:pPr>
    </w:p>
    <w:p w14:paraId="22416440" w14:textId="77777777" w:rsidR="00CD69AD" w:rsidRDefault="00CD69AD" w:rsidP="00CD69AD">
      <w:pPr>
        <w:suppressLineNumbers/>
        <w:jc w:val="center"/>
        <w:rPr>
          <w:szCs w:val="24"/>
        </w:rPr>
      </w:pPr>
    </w:p>
    <w:p w14:paraId="41AFA53F" w14:textId="77777777" w:rsidR="00CD69AD" w:rsidRDefault="00CD69AD" w:rsidP="00CD69AD">
      <w:pPr>
        <w:suppressLineNumbers/>
        <w:jc w:val="center"/>
        <w:rPr>
          <w:szCs w:val="24"/>
        </w:rPr>
      </w:pPr>
    </w:p>
    <w:p w14:paraId="0A632BFF" w14:textId="77777777" w:rsidR="00CD69AD" w:rsidRDefault="00CD69AD" w:rsidP="00CD69AD">
      <w:pPr>
        <w:suppressLineNumbers/>
        <w:jc w:val="center"/>
        <w:rPr>
          <w:szCs w:val="24"/>
        </w:rPr>
      </w:pPr>
    </w:p>
    <w:p w14:paraId="199B7B67" w14:textId="77777777" w:rsidR="00CD69AD" w:rsidRDefault="00CD69AD" w:rsidP="00CD69AD">
      <w:pPr>
        <w:suppressLineNumbers/>
        <w:jc w:val="center"/>
        <w:rPr>
          <w:szCs w:val="24"/>
        </w:rPr>
      </w:pPr>
    </w:p>
    <w:p w14:paraId="7CD9E6DF" w14:textId="77777777" w:rsidR="00CD69AD" w:rsidRDefault="00CD69AD" w:rsidP="00CD69AD">
      <w:pPr>
        <w:suppressLineNumbers/>
        <w:jc w:val="center"/>
        <w:rPr>
          <w:szCs w:val="24"/>
        </w:rPr>
      </w:pPr>
    </w:p>
    <w:p w14:paraId="4E7AEBA7" w14:textId="77777777" w:rsidR="00CD69AD" w:rsidRDefault="00CD69AD" w:rsidP="00CD69AD">
      <w:pPr>
        <w:suppressLineNumbers/>
        <w:jc w:val="center"/>
        <w:rPr>
          <w:szCs w:val="24"/>
        </w:rPr>
      </w:pPr>
    </w:p>
    <w:p w14:paraId="5CAF3C35" w14:textId="77777777" w:rsidR="00CD69AD" w:rsidRDefault="00CD69AD" w:rsidP="00CD69AD">
      <w:pPr>
        <w:suppressLineNumbers/>
        <w:jc w:val="center"/>
        <w:rPr>
          <w:szCs w:val="24"/>
        </w:rPr>
      </w:pPr>
    </w:p>
    <w:p w14:paraId="49A5B597" w14:textId="77777777" w:rsidR="00CD69AD" w:rsidRDefault="00CD69AD" w:rsidP="00CD69AD">
      <w:pPr>
        <w:suppressLineNumbers/>
        <w:jc w:val="center"/>
        <w:rPr>
          <w:szCs w:val="24"/>
        </w:rPr>
      </w:pPr>
    </w:p>
    <w:p w14:paraId="753430C1" w14:textId="77777777" w:rsidR="00CD69AD" w:rsidRDefault="00CD69AD" w:rsidP="00CD69AD">
      <w:pPr>
        <w:suppressLineNumbers/>
        <w:jc w:val="center"/>
        <w:rPr>
          <w:szCs w:val="24"/>
        </w:rPr>
      </w:pPr>
    </w:p>
    <w:p w14:paraId="6E3F4037" w14:textId="77777777" w:rsidR="00CD69AD" w:rsidRDefault="00CD69AD" w:rsidP="00CD69AD">
      <w:pPr>
        <w:suppressLineNumbers/>
        <w:jc w:val="center"/>
        <w:rPr>
          <w:szCs w:val="24"/>
        </w:rPr>
      </w:pPr>
    </w:p>
    <w:p w14:paraId="0B8F7199" w14:textId="77777777" w:rsidR="00CD69AD" w:rsidRDefault="00CD69AD" w:rsidP="00CD69AD">
      <w:pPr>
        <w:suppressLineNumbers/>
        <w:jc w:val="center"/>
        <w:rPr>
          <w:szCs w:val="24"/>
        </w:rPr>
      </w:pPr>
    </w:p>
    <w:p w14:paraId="1905B88D" w14:textId="77777777" w:rsidR="00CD69AD" w:rsidRDefault="00CD69AD" w:rsidP="00CD69AD">
      <w:pPr>
        <w:suppressLineNumbers/>
        <w:jc w:val="center"/>
        <w:rPr>
          <w:szCs w:val="24"/>
        </w:rPr>
      </w:pPr>
    </w:p>
    <w:p w14:paraId="0B85B505" w14:textId="77777777" w:rsidR="00CD69AD" w:rsidRDefault="00CD69AD" w:rsidP="00CD69AD">
      <w:pPr>
        <w:suppressLineNumbers/>
        <w:jc w:val="center"/>
        <w:rPr>
          <w:szCs w:val="24"/>
        </w:rPr>
      </w:pPr>
    </w:p>
    <w:p w14:paraId="237E3259" w14:textId="77777777" w:rsidR="00CD69AD" w:rsidRDefault="00CD69AD" w:rsidP="00CD69AD">
      <w:pPr>
        <w:suppressLineNumbers/>
        <w:jc w:val="center"/>
        <w:rPr>
          <w:szCs w:val="24"/>
        </w:rPr>
      </w:pPr>
    </w:p>
    <w:p w14:paraId="3B5E3648" w14:textId="77777777" w:rsidR="00CD69AD" w:rsidRDefault="00CD69AD" w:rsidP="00CD69AD">
      <w:pPr>
        <w:suppressLineNumbers/>
        <w:jc w:val="center"/>
        <w:rPr>
          <w:szCs w:val="24"/>
        </w:rPr>
      </w:pPr>
    </w:p>
    <w:p w14:paraId="2855399B" w14:textId="77777777" w:rsidR="00CD69AD" w:rsidRDefault="00CD69AD" w:rsidP="00CD69AD">
      <w:pPr>
        <w:suppressLineNumbers/>
        <w:jc w:val="center"/>
        <w:rPr>
          <w:szCs w:val="24"/>
        </w:rPr>
      </w:pPr>
      <w:r>
        <w:rPr>
          <w:szCs w:val="24"/>
        </w:rPr>
        <w:t>THIS PAGE INTENTIONALLY BLANK</w:t>
      </w:r>
    </w:p>
    <w:p w14:paraId="688FB3CA" w14:textId="77777777" w:rsidR="00CD69AD" w:rsidRDefault="00CD69AD" w:rsidP="00CD69AD">
      <w:pPr>
        <w:suppressLineNumbers/>
        <w:spacing w:after="160" w:line="259" w:lineRule="auto"/>
        <w:jc w:val="left"/>
        <w:rPr>
          <w:szCs w:val="24"/>
        </w:rPr>
      </w:pPr>
      <w:r>
        <w:rPr>
          <w:szCs w:val="24"/>
        </w:rPr>
        <w:br w:type="page"/>
      </w:r>
    </w:p>
    <w:p w14:paraId="6110FCA8" w14:textId="77777777" w:rsidR="00FA0F5F" w:rsidRDefault="00FA0F5F" w:rsidP="00FA0F5F">
      <w:pPr>
        <w:suppressLineNumbers/>
        <w:autoSpaceDE w:val="0"/>
        <w:autoSpaceDN w:val="0"/>
        <w:adjustRightInd w:val="0"/>
        <w:jc w:val="center"/>
        <w:rPr>
          <w:color w:val="000000"/>
          <w:sz w:val="27"/>
          <w:szCs w:val="27"/>
          <w:highlight w:val="white"/>
          <w:lang w:val="en"/>
        </w:rPr>
      </w:pPr>
      <w:r w:rsidRPr="000AD7F4">
        <w:rPr>
          <w:color w:val="000000" w:themeColor="text1"/>
          <w:highlight w:val="white"/>
          <w:lang w:val="en"/>
        </w:rPr>
        <w:t xml:space="preserve">Int. No. </w:t>
      </w:r>
      <w:r>
        <w:rPr>
          <w:color w:val="000000" w:themeColor="text1"/>
          <w:highlight w:val="white"/>
          <w:lang w:val="en"/>
        </w:rPr>
        <w:t>438</w:t>
      </w:r>
    </w:p>
    <w:p w14:paraId="63B9A91F" w14:textId="77777777" w:rsidR="00FA0F5F" w:rsidRDefault="00FA0F5F" w:rsidP="00FA0F5F">
      <w:pPr>
        <w:suppressLineNumbers/>
        <w:autoSpaceDE w:val="0"/>
        <w:autoSpaceDN w:val="0"/>
        <w:adjustRightInd w:val="0"/>
        <w:rPr>
          <w:color w:val="000000"/>
          <w:highlight w:val="white"/>
          <w:lang w:val="en"/>
        </w:rPr>
      </w:pPr>
    </w:p>
    <w:p w14:paraId="649A0046" w14:textId="77777777" w:rsidR="00FA0F5F" w:rsidRDefault="00FA0F5F" w:rsidP="00FA0F5F">
      <w:pPr>
        <w:autoSpaceDE w:val="0"/>
        <w:autoSpaceDN w:val="0"/>
        <w:adjustRightInd w:val="0"/>
        <w:rPr>
          <w:rFonts w:eastAsia="Calibri"/>
        </w:rPr>
      </w:pPr>
      <w:r>
        <w:rPr>
          <w:rFonts w:eastAsia="Calibri"/>
        </w:rPr>
        <w:t>By Council Members Sanchez, the Public Advocate (Mr. Williams), Restler, Won, Farías, Cabán, Ayala, Louis, Salaam, Hudson, Avilés, Nurse, Stevens, Gutiérrez and Williams</w:t>
      </w:r>
    </w:p>
    <w:p w14:paraId="03095A7F" w14:textId="77777777" w:rsidR="00FA0F5F" w:rsidRDefault="00FA0F5F" w:rsidP="00FA0F5F">
      <w:pPr>
        <w:pStyle w:val="NormalWeb"/>
        <w:shd w:val="clear" w:color="auto" w:fill="FFFFFF"/>
        <w:spacing w:before="0" w:beforeAutospacing="0" w:after="0" w:afterAutospacing="0"/>
        <w:rPr>
          <w:color w:val="000000"/>
          <w:lang w:val="en"/>
        </w:rPr>
      </w:pPr>
    </w:p>
    <w:p w14:paraId="18E15E2E" w14:textId="77777777" w:rsidR="00FA0F5F" w:rsidRPr="00947125" w:rsidRDefault="00FA0F5F" w:rsidP="00FA0F5F">
      <w:pPr>
        <w:pStyle w:val="NormalWeb"/>
        <w:shd w:val="clear" w:color="auto" w:fill="FFFFFF"/>
        <w:spacing w:before="0" w:beforeAutospacing="0" w:after="0" w:afterAutospacing="0"/>
        <w:rPr>
          <w:vanish/>
          <w:color w:val="000000"/>
          <w:lang w:val="en"/>
        </w:rPr>
      </w:pPr>
      <w:r w:rsidRPr="00947125">
        <w:rPr>
          <w:vanish/>
          <w:color w:val="000000"/>
          <w:lang w:val="en"/>
        </w:rPr>
        <w:t>..Title</w:t>
      </w:r>
    </w:p>
    <w:p w14:paraId="18E6CC5A" w14:textId="77777777" w:rsidR="00FA0F5F" w:rsidRDefault="00FA0F5F" w:rsidP="00FA0F5F">
      <w:pPr>
        <w:pStyle w:val="NormalWeb"/>
        <w:shd w:val="clear" w:color="auto" w:fill="FFFFFF"/>
        <w:spacing w:before="0" w:beforeAutospacing="0" w:after="0" w:afterAutospacing="0"/>
        <w:rPr>
          <w:color w:val="000000"/>
        </w:rPr>
      </w:pPr>
      <w:r>
        <w:rPr>
          <w:color w:val="000000"/>
          <w:lang w:val="en"/>
        </w:rPr>
        <w:t>A Local Law to amend</w:t>
      </w:r>
      <w:r w:rsidRPr="00F355AB">
        <w:rPr>
          <w:color w:val="000000"/>
          <w:lang w:val="en"/>
        </w:rPr>
        <w:t xml:space="preserve"> </w:t>
      </w:r>
      <w:r w:rsidRPr="0055752E">
        <w:rPr>
          <w:color w:val="000000"/>
        </w:rPr>
        <w:t>the administrative code of the c</w:t>
      </w:r>
      <w:r>
        <w:rPr>
          <w:color w:val="000000"/>
        </w:rPr>
        <w:t>ity of New York, in relation to requiring cooperative corporations to provide financial information to prospective purchasers of cooperative apartments</w:t>
      </w:r>
    </w:p>
    <w:p w14:paraId="693A67AB" w14:textId="77777777" w:rsidR="00FA0F5F" w:rsidRPr="00947125" w:rsidRDefault="00FA0F5F" w:rsidP="00FA0F5F">
      <w:pPr>
        <w:pStyle w:val="NormalWeb"/>
        <w:shd w:val="clear" w:color="auto" w:fill="FFFFFF"/>
        <w:spacing w:before="0" w:beforeAutospacing="0" w:after="0" w:afterAutospacing="0"/>
        <w:rPr>
          <w:vanish/>
          <w:sz w:val="27"/>
          <w:szCs w:val="27"/>
        </w:rPr>
      </w:pPr>
      <w:r w:rsidRPr="00947125">
        <w:rPr>
          <w:vanish/>
          <w:color w:val="000000"/>
        </w:rPr>
        <w:t>..Body</w:t>
      </w:r>
    </w:p>
    <w:p w14:paraId="00A7F633" w14:textId="77777777" w:rsidR="00FA0F5F" w:rsidRPr="00CB0747" w:rsidRDefault="00FA0F5F" w:rsidP="00FA0F5F">
      <w:pPr>
        <w:pStyle w:val="BodyText"/>
        <w:spacing w:line="240" w:lineRule="auto"/>
        <w:ind w:firstLine="0"/>
        <w:rPr>
          <w:u w:val="single"/>
        </w:rPr>
      </w:pPr>
    </w:p>
    <w:p w14:paraId="469CA54B" w14:textId="77777777" w:rsidR="00FA0F5F" w:rsidRPr="00CB0747" w:rsidRDefault="00FA0F5F" w:rsidP="00FA0F5F">
      <w:r w:rsidRPr="00CB0747">
        <w:rPr>
          <w:u w:val="single"/>
        </w:rPr>
        <w:t>Be it enacted by the Council as follows:</w:t>
      </w:r>
    </w:p>
    <w:p w14:paraId="027E12E1" w14:textId="77777777" w:rsidR="00FA0F5F" w:rsidRPr="00CB0747" w:rsidRDefault="00FA0F5F" w:rsidP="00FA0F5F"/>
    <w:p w14:paraId="39A6FE81" w14:textId="77777777" w:rsidR="00FA0F5F" w:rsidRPr="00CB0747" w:rsidRDefault="00FA0F5F" w:rsidP="00FA0F5F">
      <w:pPr>
        <w:spacing w:line="480" w:lineRule="auto"/>
        <w:sectPr w:rsidR="00FA0F5F" w:rsidRPr="00CB0747" w:rsidSect="00BD00C1">
          <w:headerReference w:type="default" r:id="rId13"/>
          <w:footerReference w:type="default" r:id="rId14"/>
          <w:headerReference w:type="first" r:id="rId15"/>
          <w:footerReference w:type="first" r:id="rId16"/>
          <w:pgSz w:w="12240" w:h="15840"/>
          <w:pgMar w:top="1440" w:right="1440" w:bottom="1440" w:left="1440" w:header="720" w:footer="720" w:gutter="0"/>
          <w:lnNumType w:countBy="1"/>
          <w:cols w:space="720"/>
          <w:titlePg/>
          <w:docGrid w:linePitch="360"/>
        </w:sectPr>
      </w:pPr>
    </w:p>
    <w:p w14:paraId="567E809E" w14:textId="77777777" w:rsidR="00FA0F5F" w:rsidRDefault="00FA0F5F" w:rsidP="00FA0F5F">
      <w:pPr>
        <w:pStyle w:val="NormalWeb"/>
        <w:spacing w:before="0" w:beforeAutospacing="0" w:after="0" w:afterAutospacing="0" w:line="480" w:lineRule="auto"/>
        <w:ind w:firstLine="720"/>
      </w:pPr>
      <w:r>
        <w:t>Section 1. Title 26 of the administrative code of the city of New York is amended by adding a new chapter 35 to read as follows:</w:t>
      </w:r>
    </w:p>
    <w:p w14:paraId="4E191181" w14:textId="77777777" w:rsidR="00FA0F5F" w:rsidRDefault="00FA0F5F" w:rsidP="00FA0F5F">
      <w:pPr>
        <w:pStyle w:val="NormalWeb"/>
        <w:spacing w:before="0" w:beforeAutospacing="0" w:after="0" w:afterAutospacing="0" w:line="480" w:lineRule="auto"/>
        <w:jc w:val="center"/>
      </w:pPr>
      <w:r>
        <w:rPr>
          <w:color w:val="000000"/>
          <w:u w:val="single"/>
        </w:rPr>
        <w:t>CHAPTER 35</w:t>
      </w:r>
    </w:p>
    <w:p w14:paraId="32C14F1E" w14:textId="77777777" w:rsidR="00FA0F5F" w:rsidRDefault="00FA0F5F" w:rsidP="00FA0F5F">
      <w:pPr>
        <w:pStyle w:val="NormalWeb"/>
        <w:spacing w:before="0" w:beforeAutospacing="0" w:after="0" w:afterAutospacing="0" w:line="480" w:lineRule="auto"/>
        <w:jc w:val="center"/>
      </w:pPr>
      <w:r>
        <w:rPr>
          <w:color w:val="000000"/>
          <w:u w:val="single"/>
        </w:rPr>
        <w:t xml:space="preserve">SALES OF </w:t>
      </w:r>
      <w:r w:rsidRPr="00784174">
        <w:rPr>
          <w:color w:val="000000"/>
          <w:u w:val="single"/>
        </w:rPr>
        <w:t>COOPERATIVE APARTMENTS</w:t>
      </w:r>
    </w:p>
    <w:p w14:paraId="3D04EFCA" w14:textId="77777777" w:rsidR="00FA0F5F" w:rsidRDefault="00FA0F5F" w:rsidP="00FA0F5F">
      <w:pPr>
        <w:pStyle w:val="NormalWeb"/>
        <w:spacing w:before="0" w:beforeAutospacing="0" w:after="0" w:afterAutospacing="0" w:line="480" w:lineRule="auto"/>
        <w:ind w:firstLine="720"/>
        <w:rPr>
          <w:color w:val="000000"/>
          <w:u w:val="single"/>
        </w:rPr>
      </w:pPr>
      <w:r>
        <w:rPr>
          <w:color w:val="000000"/>
          <w:u w:val="single"/>
        </w:rPr>
        <w:t>§ 26-3501 Definitions. As used in this chapter, the following terms have the following meanings:</w:t>
      </w:r>
    </w:p>
    <w:p w14:paraId="016FF393" w14:textId="77777777" w:rsidR="00FA0F5F" w:rsidRPr="00CB47D6" w:rsidRDefault="00FA0F5F" w:rsidP="00BD00C1">
      <w:pPr>
        <w:spacing w:line="480" w:lineRule="auto"/>
        <w:ind w:firstLine="720"/>
      </w:pPr>
      <w:r w:rsidRPr="00CB47D6">
        <w:rPr>
          <w:color w:val="000000"/>
          <w:u w:val="single"/>
        </w:rPr>
        <w:t>Cooperative corporation. The term “cooperative corporation” means any corporation that grants persons the right to reside in a cooperative apartment, that right existing by such person’s ownership of certificates of stock, proprietary lease, or other evidence of ownership of an interest in su</w:t>
      </w:r>
      <w:r>
        <w:rPr>
          <w:color w:val="000000"/>
          <w:u w:val="single"/>
        </w:rPr>
        <w:t>ch entity</w:t>
      </w:r>
      <w:r w:rsidRPr="00CB47D6">
        <w:rPr>
          <w:color w:val="000000"/>
          <w:u w:val="single"/>
        </w:rPr>
        <w:t>.</w:t>
      </w:r>
    </w:p>
    <w:p w14:paraId="3EE0040D" w14:textId="77777777" w:rsidR="00FA0F5F" w:rsidRPr="00CB47D6" w:rsidRDefault="00FA0F5F" w:rsidP="00BD00C1">
      <w:pPr>
        <w:spacing w:line="480" w:lineRule="auto"/>
        <w:ind w:firstLine="720"/>
      </w:pPr>
      <w:r w:rsidRPr="00CB47D6">
        <w:rPr>
          <w:color w:val="000000"/>
          <w:u w:val="single"/>
        </w:rPr>
        <w:t xml:space="preserve">Prospective purchaser. The term “prospective purchaser” means a person </w:t>
      </w:r>
      <w:r>
        <w:rPr>
          <w:color w:val="000000"/>
          <w:u w:val="single"/>
        </w:rPr>
        <w:t xml:space="preserve">who has made an offer to </w:t>
      </w:r>
      <w:r w:rsidRPr="00CB47D6">
        <w:rPr>
          <w:color w:val="000000"/>
          <w:u w:val="single"/>
        </w:rPr>
        <w:t>purchase the proprietary lease and the ownership interest in a cooperative corporation from a prospective seller.</w:t>
      </w:r>
    </w:p>
    <w:p w14:paraId="330842A9" w14:textId="77777777" w:rsidR="00FA0F5F" w:rsidRPr="00CB47D6" w:rsidRDefault="00FA0F5F" w:rsidP="00BD00C1">
      <w:pPr>
        <w:spacing w:line="480" w:lineRule="auto"/>
        <w:ind w:firstLine="720"/>
      </w:pPr>
      <w:r w:rsidRPr="00CB47D6">
        <w:rPr>
          <w:color w:val="000000"/>
          <w:u w:val="single"/>
        </w:rPr>
        <w:t xml:space="preserve">Prospective seller. The term “prospective seller” means a person who has a proprietary lease and an ownership interest in a cooperative corporation and who </w:t>
      </w:r>
      <w:r>
        <w:rPr>
          <w:color w:val="000000"/>
          <w:u w:val="single"/>
        </w:rPr>
        <w:t xml:space="preserve">is offering to </w:t>
      </w:r>
      <w:r w:rsidRPr="00CB47D6">
        <w:rPr>
          <w:color w:val="000000"/>
          <w:u w:val="single"/>
        </w:rPr>
        <w:t xml:space="preserve">sell </w:t>
      </w:r>
      <w:r>
        <w:rPr>
          <w:color w:val="000000"/>
          <w:u w:val="single"/>
        </w:rPr>
        <w:t xml:space="preserve">such </w:t>
      </w:r>
      <w:r w:rsidRPr="00CB47D6">
        <w:rPr>
          <w:color w:val="000000"/>
          <w:u w:val="single"/>
        </w:rPr>
        <w:t>proprietary lease and ownership interest.</w:t>
      </w:r>
    </w:p>
    <w:p w14:paraId="5EF22DD3" w14:textId="77777777" w:rsidR="00FA0F5F" w:rsidRDefault="00FA0F5F" w:rsidP="00BD00C1">
      <w:pPr>
        <w:spacing w:line="480" w:lineRule="auto"/>
        <w:ind w:firstLine="720"/>
        <w:rPr>
          <w:color w:val="000000"/>
          <w:u w:val="single"/>
        </w:rPr>
      </w:pPr>
      <w:r>
        <w:rPr>
          <w:color w:val="000000"/>
          <w:u w:val="single"/>
        </w:rPr>
        <w:t xml:space="preserve">§ 26-3502 </w:t>
      </w:r>
      <w:r>
        <w:rPr>
          <w:u w:val="single"/>
        </w:rPr>
        <w:t xml:space="preserve">Financial disclosure by a cooperative corporation. a. After an offer to purchase a </w:t>
      </w:r>
      <w:r w:rsidRPr="00CB47D6">
        <w:rPr>
          <w:color w:val="000000"/>
          <w:u w:val="single"/>
        </w:rPr>
        <w:t xml:space="preserve">proprietary lease and </w:t>
      </w:r>
      <w:r>
        <w:rPr>
          <w:color w:val="000000"/>
          <w:u w:val="single"/>
        </w:rPr>
        <w:t>an</w:t>
      </w:r>
      <w:r w:rsidRPr="00CB47D6">
        <w:rPr>
          <w:color w:val="000000"/>
          <w:u w:val="single"/>
        </w:rPr>
        <w:t xml:space="preserve"> ownership interest in a cooperative corporation from a prospective seller</w:t>
      </w:r>
      <w:r>
        <w:rPr>
          <w:color w:val="000000"/>
          <w:u w:val="single"/>
        </w:rPr>
        <w:t xml:space="preserve"> by a prospective purchaser has been accepted by the prospective seller, the cooperative corporation must provide disclosure of its finances to the prospective purchaser within 14 days of a request for such information by the prospective purchaser or an agent of the prospective purchaser. Such financial disclosure must include, at a minimum:</w:t>
      </w:r>
    </w:p>
    <w:p w14:paraId="0BD4EF17" w14:textId="77777777" w:rsidR="00FA0F5F" w:rsidRDefault="00FA0F5F" w:rsidP="00BD00C1">
      <w:pPr>
        <w:spacing w:line="480" w:lineRule="auto"/>
        <w:ind w:firstLine="720"/>
        <w:rPr>
          <w:color w:val="000000"/>
          <w:u w:val="single"/>
        </w:rPr>
      </w:pPr>
      <w:r>
        <w:rPr>
          <w:color w:val="000000"/>
          <w:u w:val="single"/>
        </w:rPr>
        <w:t>1. The assets and liabilities of the cooperative corporation, including current cash flow, debt and operating expenses;</w:t>
      </w:r>
    </w:p>
    <w:p w14:paraId="02E50D5E" w14:textId="77777777" w:rsidR="00FA0F5F" w:rsidRDefault="00FA0F5F" w:rsidP="00BD00C1">
      <w:pPr>
        <w:spacing w:line="480" w:lineRule="auto"/>
        <w:ind w:firstLine="720"/>
        <w:rPr>
          <w:color w:val="000000"/>
          <w:u w:val="single"/>
        </w:rPr>
      </w:pPr>
      <w:r>
        <w:rPr>
          <w:color w:val="000000"/>
          <w:u w:val="single"/>
        </w:rPr>
        <w:t>2. Any capital improvements underway or planned, and the cost of such improvements;</w:t>
      </w:r>
    </w:p>
    <w:p w14:paraId="283E719E" w14:textId="77777777" w:rsidR="00FA0F5F" w:rsidRDefault="00FA0F5F" w:rsidP="00BD00C1">
      <w:pPr>
        <w:spacing w:line="480" w:lineRule="auto"/>
        <w:ind w:firstLine="720"/>
        <w:rPr>
          <w:u w:val="single"/>
        </w:rPr>
      </w:pPr>
      <w:r>
        <w:rPr>
          <w:u w:val="single"/>
        </w:rPr>
        <w:t>3. The amount in the reserve fund, if any; and</w:t>
      </w:r>
    </w:p>
    <w:p w14:paraId="7E998327" w14:textId="77777777" w:rsidR="00FA0F5F" w:rsidRDefault="00FA0F5F" w:rsidP="00BD00C1">
      <w:pPr>
        <w:spacing w:line="480" w:lineRule="auto"/>
        <w:ind w:firstLine="720"/>
        <w:rPr>
          <w:u w:val="single"/>
        </w:rPr>
      </w:pPr>
      <w:r>
        <w:rPr>
          <w:u w:val="single"/>
        </w:rPr>
        <w:t>4. The most recent budget, or a statement that the cooperative corporation does not prepare a budget.</w:t>
      </w:r>
    </w:p>
    <w:p w14:paraId="62496E52" w14:textId="77777777" w:rsidR="00FA0F5F" w:rsidRDefault="00FA0F5F" w:rsidP="00BD00C1">
      <w:pPr>
        <w:spacing w:line="480" w:lineRule="auto"/>
        <w:ind w:firstLine="720"/>
        <w:rPr>
          <w:u w:val="single"/>
        </w:rPr>
      </w:pPr>
      <w:r>
        <w:rPr>
          <w:u w:val="single"/>
        </w:rPr>
        <w:t xml:space="preserve">b. </w:t>
      </w:r>
      <w:r w:rsidRPr="00F201AF">
        <w:rPr>
          <w:u w:val="single"/>
        </w:rPr>
        <w:t>A</w:t>
      </w:r>
      <w:r>
        <w:rPr>
          <w:u w:val="single"/>
        </w:rPr>
        <w:t xml:space="preserve">ny cooperative corporation that fails to provide financial disclosure to a prospective </w:t>
      </w:r>
      <w:r w:rsidRPr="00F201AF">
        <w:rPr>
          <w:u w:val="single"/>
        </w:rPr>
        <w:t>purchaser</w:t>
      </w:r>
      <w:r>
        <w:rPr>
          <w:u w:val="single"/>
        </w:rPr>
        <w:t xml:space="preserve"> in accordance with subdivision a of this section </w:t>
      </w:r>
      <w:r w:rsidRPr="00F201AF">
        <w:rPr>
          <w:u w:val="single"/>
        </w:rPr>
        <w:t>shall be liable for a civil penalty in the amou</w:t>
      </w:r>
      <w:r>
        <w:rPr>
          <w:u w:val="single"/>
        </w:rPr>
        <w:t>nt of $500. The civil penalty</w:t>
      </w:r>
      <w:r w:rsidRPr="0084141E">
        <w:rPr>
          <w:u w:val="single"/>
        </w:rPr>
        <w:t xml:space="preserve"> established by this section </w:t>
      </w:r>
      <w:r>
        <w:rPr>
          <w:u w:val="single"/>
        </w:rPr>
        <w:t>may</w:t>
      </w:r>
      <w:r w:rsidRPr="0084141E">
        <w:rPr>
          <w:u w:val="single"/>
        </w:rPr>
        <w:t xml:space="preserve"> be recovered in a proceeding before the office of administrative trials and hearings.</w:t>
      </w:r>
    </w:p>
    <w:p w14:paraId="336EE3BC" w14:textId="47D4C053" w:rsidR="00FA0F5F" w:rsidRDefault="00FA0F5F" w:rsidP="00BD00C1">
      <w:pPr>
        <w:suppressLineNumbers/>
        <w:spacing w:line="480" w:lineRule="auto"/>
      </w:pPr>
      <w:r>
        <w:t>§ 2. This local law takes effect 60 days after it becomes law.</w:t>
      </w:r>
    </w:p>
    <w:p w14:paraId="02ED8692" w14:textId="77777777" w:rsidR="001546C3" w:rsidRDefault="001546C3" w:rsidP="00BD00C1">
      <w:pPr>
        <w:suppressLineNumbers/>
        <w:rPr>
          <w:sz w:val="20"/>
          <w:u w:val="single"/>
        </w:rPr>
      </w:pPr>
      <w:r w:rsidRPr="000AD7F4">
        <w:rPr>
          <w:sz w:val="20"/>
          <w:u w:val="single"/>
        </w:rPr>
        <w:t>Session 13</w:t>
      </w:r>
    </w:p>
    <w:p w14:paraId="6D503C38" w14:textId="77777777" w:rsidR="001546C3" w:rsidRDefault="001546C3" w:rsidP="00BD00C1">
      <w:pPr>
        <w:suppressLineNumbers/>
        <w:rPr>
          <w:sz w:val="20"/>
        </w:rPr>
      </w:pPr>
      <w:r w:rsidRPr="0BB1FFEB">
        <w:rPr>
          <w:sz w:val="20"/>
        </w:rPr>
        <w:t>LS #8956</w:t>
      </w:r>
    </w:p>
    <w:p w14:paraId="3A231E7E" w14:textId="77777777" w:rsidR="001546C3" w:rsidRDefault="001546C3" w:rsidP="00BD00C1">
      <w:pPr>
        <w:suppressLineNumbers/>
        <w:rPr>
          <w:sz w:val="20"/>
        </w:rPr>
      </w:pPr>
      <w:r w:rsidRPr="0BB1FFEB">
        <w:rPr>
          <w:sz w:val="20"/>
        </w:rPr>
        <w:t>01/18/24</w:t>
      </w:r>
    </w:p>
    <w:p w14:paraId="705592C6" w14:textId="77777777" w:rsidR="001546C3" w:rsidRDefault="001546C3" w:rsidP="00BD00C1">
      <w:pPr>
        <w:suppressLineNumbers/>
        <w:rPr>
          <w:sz w:val="20"/>
        </w:rPr>
      </w:pPr>
    </w:p>
    <w:p w14:paraId="1DECAF51" w14:textId="77777777" w:rsidR="001546C3" w:rsidRDefault="001546C3" w:rsidP="00BD00C1">
      <w:pPr>
        <w:suppressLineNumbers/>
        <w:rPr>
          <w:sz w:val="20"/>
          <w:u w:val="single"/>
        </w:rPr>
      </w:pPr>
      <w:r w:rsidRPr="0BB1FFEB">
        <w:rPr>
          <w:sz w:val="20"/>
          <w:u w:val="single"/>
        </w:rPr>
        <w:t>Session 12</w:t>
      </w:r>
    </w:p>
    <w:p w14:paraId="1C0E73CB" w14:textId="77777777" w:rsidR="001546C3" w:rsidRDefault="001546C3" w:rsidP="00BD00C1">
      <w:pPr>
        <w:suppressLineNumbers/>
        <w:rPr>
          <w:sz w:val="20"/>
        </w:rPr>
      </w:pPr>
      <w:r w:rsidRPr="0BB1FFEB">
        <w:rPr>
          <w:sz w:val="20"/>
        </w:rPr>
        <w:t>NAB</w:t>
      </w:r>
    </w:p>
    <w:p w14:paraId="717D0384" w14:textId="77777777" w:rsidR="001546C3" w:rsidRPr="001533C9" w:rsidRDefault="001546C3" w:rsidP="00BD00C1">
      <w:pPr>
        <w:suppressLineNumbers/>
        <w:rPr>
          <w:sz w:val="20"/>
        </w:rPr>
      </w:pPr>
      <w:r>
        <w:rPr>
          <w:sz w:val="20"/>
        </w:rPr>
        <w:t>LS #8956</w:t>
      </w:r>
    </w:p>
    <w:p w14:paraId="63FCD7D0" w14:textId="77777777" w:rsidR="001546C3" w:rsidRDefault="001546C3" w:rsidP="00BD00C1">
      <w:pPr>
        <w:suppressLineNumbers/>
        <w:rPr>
          <w:sz w:val="18"/>
          <w:szCs w:val="18"/>
        </w:rPr>
      </w:pPr>
      <w:r>
        <w:rPr>
          <w:sz w:val="20"/>
        </w:rPr>
        <w:t>06/15/22 11:05AM</w:t>
      </w:r>
    </w:p>
    <w:p w14:paraId="23C036DE" w14:textId="77777777" w:rsidR="001546C3" w:rsidRPr="00A001DA" w:rsidRDefault="001546C3" w:rsidP="001546C3">
      <w:pPr>
        <w:spacing w:line="480" w:lineRule="auto"/>
        <w:sectPr w:rsidR="001546C3" w:rsidRPr="00A001DA" w:rsidSect="00FA0F5F">
          <w:type w:val="continuous"/>
          <w:pgSz w:w="12240" w:h="15840"/>
          <w:pgMar w:top="1440" w:right="1440" w:bottom="1440" w:left="1440" w:header="720" w:footer="720" w:gutter="0"/>
          <w:lnNumType w:countBy="1"/>
          <w:cols w:space="720"/>
          <w:docGrid w:linePitch="360"/>
        </w:sectPr>
      </w:pPr>
    </w:p>
    <w:p w14:paraId="1A097BEA" w14:textId="4CD4EB8C" w:rsidR="00FA0F5F" w:rsidRDefault="00FA0F5F" w:rsidP="00FA0F5F">
      <w:pPr>
        <w:spacing w:after="160" w:line="259" w:lineRule="auto"/>
        <w:jc w:val="center"/>
      </w:pPr>
      <w:r>
        <w:t>Int. No.</w:t>
      </w:r>
      <w:r w:rsidRPr="002464C9">
        <w:t xml:space="preserve"> 1120</w:t>
      </w:r>
    </w:p>
    <w:p w14:paraId="78E37488" w14:textId="77777777" w:rsidR="00FA0F5F" w:rsidRDefault="00FA0F5F" w:rsidP="00FA0F5F">
      <w:pPr>
        <w:jc w:val="center"/>
      </w:pPr>
    </w:p>
    <w:p w14:paraId="48FA6BE8" w14:textId="77777777" w:rsidR="00FA0F5F" w:rsidRDefault="00FA0F5F" w:rsidP="00FA0F5F">
      <w:pPr>
        <w:autoSpaceDE w:val="0"/>
        <w:autoSpaceDN w:val="0"/>
        <w:adjustRightInd w:val="0"/>
        <w:rPr>
          <w:rFonts w:eastAsiaTheme="minorHAnsi"/>
        </w:rPr>
      </w:pPr>
      <w:r>
        <w:rPr>
          <w:rFonts w:eastAsiaTheme="minorHAnsi"/>
        </w:rPr>
        <w:t>By Council Members Farías, Williams, Louis, Banks, Narcisse, Holden, Feliz, Joseph, Salamanca, Zhuang and Avilés</w:t>
      </w:r>
    </w:p>
    <w:p w14:paraId="4A0A8FB4" w14:textId="77777777" w:rsidR="00FA0F5F" w:rsidRDefault="00FA0F5F" w:rsidP="00FA0F5F">
      <w:pPr>
        <w:pStyle w:val="BodyText"/>
        <w:spacing w:line="240" w:lineRule="auto"/>
        <w:ind w:firstLine="0"/>
      </w:pPr>
    </w:p>
    <w:p w14:paraId="1237BFDD" w14:textId="77777777" w:rsidR="00FA0F5F" w:rsidRPr="00E01AC8" w:rsidRDefault="00FA0F5F" w:rsidP="00FA0F5F">
      <w:pPr>
        <w:pStyle w:val="BodyText"/>
        <w:spacing w:line="240" w:lineRule="auto"/>
        <w:ind w:firstLine="0"/>
        <w:rPr>
          <w:vanish/>
        </w:rPr>
      </w:pPr>
      <w:r w:rsidRPr="00E01AC8">
        <w:rPr>
          <w:vanish/>
        </w:rPr>
        <w:t>..Title</w:t>
      </w:r>
    </w:p>
    <w:p w14:paraId="7FC84218" w14:textId="77777777" w:rsidR="00FA0F5F" w:rsidRDefault="00FA0F5F" w:rsidP="00FA0F5F">
      <w:pPr>
        <w:pStyle w:val="BodyText"/>
        <w:spacing w:line="240" w:lineRule="auto"/>
        <w:ind w:firstLine="0"/>
      </w:pPr>
      <w:r>
        <w:t>A Local Law to amend the administrative code of the city of New York, in relation to establishing timelines for cooperative corporations to approve or deny the sale of cooperative apartments</w:t>
      </w:r>
    </w:p>
    <w:p w14:paraId="409C977E" w14:textId="77777777" w:rsidR="00FA0F5F" w:rsidRPr="00E01AC8" w:rsidRDefault="00FA0F5F" w:rsidP="00FA0F5F">
      <w:pPr>
        <w:pStyle w:val="BodyText"/>
        <w:spacing w:line="240" w:lineRule="auto"/>
        <w:ind w:firstLine="0"/>
        <w:rPr>
          <w:vanish/>
        </w:rPr>
      </w:pPr>
      <w:r w:rsidRPr="00E01AC8">
        <w:rPr>
          <w:vanish/>
        </w:rPr>
        <w:t>..Body</w:t>
      </w:r>
    </w:p>
    <w:p w14:paraId="526C9184" w14:textId="77777777" w:rsidR="00FA0F5F" w:rsidRDefault="00FA0F5F" w:rsidP="00FA0F5F">
      <w:pPr>
        <w:pStyle w:val="BodyText"/>
        <w:spacing w:line="240" w:lineRule="auto"/>
        <w:ind w:firstLine="0"/>
        <w:rPr>
          <w:u w:val="single"/>
        </w:rPr>
      </w:pPr>
    </w:p>
    <w:p w14:paraId="2A175F81" w14:textId="77777777" w:rsidR="00FA0F5F" w:rsidRDefault="00FA0F5F" w:rsidP="00FA0F5F">
      <w:r>
        <w:rPr>
          <w:u w:val="single"/>
        </w:rPr>
        <w:t>Be it enacted by the Council as follows</w:t>
      </w:r>
      <w:r w:rsidRPr="005B5DE4">
        <w:rPr>
          <w:u w:val="single"/>
        </w:rPr>
        <w:t>:</w:t>
      </w:r>
    </w:p>
    <w:p w14:paraId="5DB79694" w14:textId="77777777" w:rsidR="00FA0F5F" w:rsidRDefault="00FA0F5F" w:rsidP="00FA0F5F"/>
    <w:p w14:paraId="671886E0" w14:textId="77777777" w:rsidR="00FA0F5F" w:rsidRDefault="00FA0F5F" w:rsidP="00FA0F5F">
      <w:pPr>
        <w:spacing w:line="480" w:lineRule="auto"/>
        <w:sectPr w:rsidR="00FA0F5F" w:rsidSect="00FA0F5F">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pPr>
    </w:p>
    <w:p w14:paraId="32FB3AC8" w14:textId="77777777" w:rsidR="00FA0F5F" w:rsidRDefault="00FA0F5F" w:rsidP="00FA0F5F">
      <w:pPr>
        <w:pStyle w:val="NormalWeb"/>
        <w:spacing w:before="0" w:beforeAutospacing="0" w:after="0" w:afterAutospacing="0" w:line="480" w:lineRule="auto"/>
        <w:ind w:firstLine="720"/>
      </w:pPr>
      <w:r>
        <w:t>Section 1. Title 26 of the administrative code of the city of New York is amended by adding a new chapter 36 to read as follows:</w:t>
      </w:r>
    </w:p>
    <w:p w14:paraId="6B0AEAB6" w14:textId="77777777" w:rsidR="00FA0F5F" w:rsidRDefault="00FA0F5F" w:rsidP="00FA0F5F">
      <w:pPr>
        <w:pStyle w:val="NormalWeb"/>
        <w:spacing w:before="0" w:beforeAutospacing="0" w:after="0" w:afterAutospacing="0" w:line="480" w:lineRule="auto"/>
        <w:jc w:val="center"/>
      </w:pPr>
      <w:r>
        <w:rPr>
          <w:color w:val="000000"/>
          <w:u w:val="single"/>
        </w:rPr>
        <w:t>CHAPTER 36</w:t>
      </w:r>
    </w:p>
    <w:p w14:paraId="1CDB4314" w14:textId="77777777" w:rsidR="00FA0F5F" w:rsidRDefault="00FA0F5F" w:rsidP="00FA0F5F">
      <w:pPr>
        <w:pStyle w:val="NormalWeb"/>
        <w:spacing w:before="0" w:beforeAutospacing="0" w:after="0" w:afterAutospacing="0" w:line="480" w:lineRule="auto"/>
        <w:jc w:val="center"/>
      </w:pPr>
      <w:r>
        <w:rPr>
          <w:color w:val="000000"/>
          <w:u w:val="single"/>
        </w:rPr>
        <w:t xml:space="preserve">SALES OF </w:t>
      </w:r>
      <w:r w:rsidRPr="00784174">
        <w:rPr>
          <w:color w:val="000000"/>
          <w:u w:val="single"/>
        </w:rPr>
        <w:t>COOPERATIVE APARTMENTS</w:t>
      </w:r>
    </w:p>
    <w:p w14:paraId="22A90C97" w14:textId="77777777" w:rsidR="00FA0F5F" w:rsidRDefault="00FA0F5F" w:rsidP="00FA0F5F">
      <w:pPr>
        <w:spacing w:line="480" w:lineRule="auto"/>
        <w:rPr>
          <w:u w:val="single"/>
        </w:rPr>
      </w:pPr>
      <w:r>
        <w:rPr>
          <w:u w:val="single"/>
        </w:rPr>
        <w:t xml:space="preserve">§ 26-3601 </w:t>
      </w:r>
      <w:r w:rsidRPr="00D47E32">
        <w:rPr>
          <w:bCs/>
          <w:u w:val="single"/>
        </w:rPr>
        <w:t>Definitions</w:t>
      </w:r>
      <w:r w:rsidRPr="00D47E32">
        <w:rPr>
          <w:u w:val="single"/>
        </w:rPr>
        <w:t>.</w:t>
      </w:r>
      <w:r>
        <w:rPr>
          <w:u w:val="single"/>
        </w:rPr>
        <w:t xml:space="preserve"> For the purposes of this chapter, the following terms have the following meanings:</w:t>
      </w:r>
    </w:p>
    <w:p w14:paraId="4A54CAC8" w14:textId="77777777" w:rsidR="00FA0F5F" w:rsidRDefault="00FA0F5F" w:rsidP="00BD00C1">
      <w:pPr>
        <w:spacing w:line="480" w:lineRule="auto"/>
        <w:ind w:firstLine="720"/>
        <w:rPr>
          <w:u w:val="single"/>
        </w:rPr>
      </w:pPr>
      <w:r>
        <w:rPr>
          <w:u w:val="single"/>
        </w:rPr>
        <w:t>Application. The term “application” means the set of documents utilized by a cooperative corporation to facilitate a prospective purchaser’s acquisition of certificates of stock, a proprietary lease, or other evidence of an ownership interest in such cooperative corporation.</w:t>
      </w:r>
    </w:p>
    <w:p w14:paraId="31F430E6" w14:textId="77777777" w:rsidR="00FA0F5F" w:rsidRDefault="00FA0F5F" w:rsidP="00BD00C1">
      <w:pPr>
        <w:spacing w:line="480" w:lineRule="auto"/>
        <w:ind w:firstLine="720"/>
        <w:rPr>
          <w:u w:val="single"/>
        </w:rPr>
      </w:pPr>
      <w:r>
        <w:rPr>
          <w:u w:val="single"/>
        </w:rPr>
        <w:t>Cooperative corporation. The term</w:t>
      </w:r>
      <w:r w:rsidDel="00CB0A30">
        <w:rPr>
          <w:u w:val="single"/>
        </w:rPr>
        <w:t xml:space="preserve"> </w:t>
      </w:r>
      <w:r>
        <w:rPr>
          <w:u w:val="single"/>
        </w:rPr>
        <w:t>“cooperative corporation” means any corporation governed by the requirements of the state cooperative corporation law or general business law that, among other things, grants persons the right to reside in a cooperative apartment, that right existing by such person’s ownership of certificates of stock, proprietary lease, or other evidence of ownership of an interest in such entity but shall not include either a cooperative corporation organized pursuant to the private housing finance law for which a purchase is subject to review and approval by a state or city agency or to a cooperative corporation containing less than 10 dwelling units.</w:t>
      </w:r>
    </w:p>
    <w:p w14:paraId="0004C405" w14:textId="77777777" w:rsidR="00FA0F5F" w:rsidRDefault="00FA0F5F" w:rsidP="00BD00C1">
      <w:pPr>
        <w:spacing w:line="480" w:lineRule="auto"/>
        <w:ind w:firstLine="720"/>
        <w:rPr>
          <w:color w:val="000000"/>
          <w:u w:val="single"/>
        </w:rPr>
      </w:pPr>
      <w:r>
        <w:rPr>
          <w:u w:val="single"/>
        </w:rPr>
        <w:t>Proprietary lease. The term “proprietary lease” means the</w:t>
      </w:r>
      <w:r>
        <w:rPr>
          <w:color w:val="000000"/>
          <w:u w:val="single"/>
        </w:rPr>
        <w:t xml:space="preserve"> lease or occupancy agreement by which a cooperative corporation permits a person to occupy an apartment in the premises owned by the cooperative corporation.</w:t>
      </w:r>
    </w:p>
    <w:p w14:paraId="51E0ACD6" w14:textId="77777777" w:rsidR="00FA0F5F" w:rsidRDefault="00FA0F5F" w:rsidP="00BD00C1">
      <w:pPr>
        <w:spacing w:line="480" w:lineRule="auto"/>
        <w:ind w:firstLine="720"/>
        <w:rPr>
          <w:u w:val="single"/>
        </w:rPr>
      </w:pPr>
      <w:r>
        <w:rPr>
          <w:u w:val="single"/>
        </w:rPr>
        <w:t>Prospective purchaser. The term “prospective purchaser” means a person or persons who has entered into a contract of sale to purchase the proprietary lease and the ownership interest in a cooperative corporation from a prospective seller.</w:t>
      </w:r>
    </w:p>
    <w:p w14:paraId="3353705A" w14:textId="77777777" w:rsidR="00FA0F5F" w:rsidRDefault="00FA0F5F" w:rsidP="00BD00C1">
      <w:pPr>
        <w:spacing w:line="480" w:lineRule="auto"/>
        <w:ind w:firstLine="720"/>
        <w:rPr>
          <w:u w:val="single"/>
        </w:rPr>
      </w:pPr>
      <w:r>
        <w:rPr>
          <w:u w:val="single"/>
        </w:rPr>
        <w:t>Prospective seller. The term “prospective seller” means a person or persons who has a proprietary lease and an ownership interest in a cooperative corporation and who has entered into a contract of sale to sell their proprietary lease and ownership interest in a cooperative corporation to a prospective purchaser subject to approval of the cooperative corporation’s board of directors.</w:t>
      </w:r>
    </w:p>
    <w:p w14:paraId="2309EF89" w14:textId="77777777" w:rsidR="00FA0F5F" w:rsidRPr="00212E02" w:rsidRDefault="00FA0F5F" w:rsidP="00BD00C1">
      <w:pPr>
        <w:spacing w:line="480" w:lineRule="auto"/>
        <w:ind w:firstLine="720"/>
        <w:rPr>
          <w:u w:val="single"/>
        </w:rPr>
      </w:pPr>
      <w:r>
        <w:rPr>
          <w:u w:val="single"/>
        </w:rPr>
        <w:t>Sale. The term “sale” means the transfer of a person’s ownership interest in a cooperative corporation and that person’s proprietary lease to another person.</w:t>
      </w:r>
    </w:p>
    <w:p w14:paraId="4F370F25" w14:textId="77777777" w:rsidR="00FA0F5F" w:rsidRDefault="00FA0F5F" w:rsidP="00BD00C1">
      <w:pPr>
        <w:spacing w:line="480" w:lineRule="auto"/>
        <w:ind w:firstLine="720"/>
        <w:rPr>
          <w:u w:val="single"/>
        </w:rPr>
      </w:pPr>
      <w:r>
        <w:rPr>
          <w:u w:val="single"/>
        </w:rPr>
        <w:t>§ 26-3602 Requirements for determination. a. The board of directors or managing agent of each cooperative corporation shall maintain a standardized application and list of requirements for all cooperative apartments subject to the by-laws or proprietary lease of such cooperative corporation.</w:t>
      </w:r>
    </w:p>
    <w:p w14:paraId="0E4CD703" w14:textId="77777777" w:rsidR="00FA0F5F" w:rsidRDefault="00FA0F5F" w:rsidP="00BD00C1">
      <w:pPr>
        <w:spacing w:line="480" w:lineRule="auto"/>
        <w:ind w:firstLine="720"/>
        <w:rPr>
          <w:u w:val="single"/>
        </w:rPr>
      </w:pPr>
      <w:r>
        <w:rPr>
          <w:u w:val="single"/>
        </w:rPr>
        <w:t>b. The board of directors or managing agent of any cooperative corporation shall provide the corporation’s standardized application and list of requirements to any prospective purchasers and prospective sellers promptly upon request, and shall include instructions as to where and how to submit the required materials, including the mailing address and designated e-mail address for the cooperative corporation.</w:t>
      </w:r>
    </w:p>
    <w:p w14:paraId="34E13607" w14:textId="77777777" w:rsidR="00FA0F5F" w:rsidRDefault="00FA0F5F" w:rsidP="00BD00C1">
      <w:pPr>
        <w:spacing w:line="480" w:lineRule="auto"/>
        <w:ind w:firstLine="720"/>
        <w:rPr>
          <w:u w:val="single"/>
        </w:rPr>
      </w:pPr>
      <w:r>
        <w:rPr>
          <w:u w:val="single"/>
        </w:rPr>
        <w:t>§ 26-3603 Acknowledgment of receipt of materials. a. Within 10 days of receiving materials from a prospective purchaser, a cooperative corporation shall provide to a prospective purchaser via e-mail and, if available, registered mail, a written acknowledgement of materials received. The requirements of this section apply both to a prospective purchaser’s initial submission and to any subsequent submissions the prospective purchaser may make.</w:t>
      </w:r>
    </w:p>
    <w:p w14:paraId="3EE27D44" w14:textId="77777777" w:rsidR="00FA0F5F" w:rsidRDefault="00FA0F5F" w:rsidP="00BD00C1">
      <w:pPr>
        <w:spacing w:line="480" w:lineRule="auto"/>
        <w:ind w:firstLine="720"/>
        <w:rPr>
          <w:u w:val="single"/>
        </w:rPr>
      </w:pPr>
      <w:r>
        <w:rPr>
          <w:u w:val="single"/>
        </w:rPr>
        <w:t xml:space="preserve">b. A written acknowledgment provided pursuant to subdivision a of this section shall clearly state: </w:t>
      </w:r>
    </w:p>
    <w:p w14:paraId="11EC6190" w14:textId="77777777" w:rsidR="00FA0F5F" w:rsidRDefault="00FA0F5F" w:rsidP="00BD00C1">
      <w:pPr>
        <w:spacing w:line="480" w:lineRule="auto"/>
        <w:ind w:firstLine="720"/>
        <w:rPr>
          <w:u w:val="single"/>
        </w:rPr>
      </w:pPr>
      <w:r>
        <w:rPr>
          <w:u w:val="single"/>
        </w:rPr>
        <w:t>1. Whether the cooperative corporation’s board of directors considers the application complete;</w:t>
      </w:r>
    </w:p>
    <w:p w14:paraId="34678C35" w14:textId="77777777" w:rsidR="00FA0F5F" w:rsidRDefault="00FA0F5F" w:rsidP="00BD00C1">
      <w:pPr>
        <w:spacing w:line="480" w:lineRule="auto"/>
        <w:ind w:firstLine="720"/>
        <w:rPr>
          <w:u w:val="single"/>
        </w:rPr>
      </w:pPr>
      <w:r>
        <w:rPr>
          <w:u w:val="single"/>
        </w:rPr>
        <w:t>2. If the application is not considered complete, the specific ways in which the materials submitted failed to comply with the cooperative corporation’s list of requirements provided pursuant to section 26-3602; and</w:t>
      </w:r>
    </w:p>
    <w:p w14:paraId="037A9E41" w14:textId="77777777" w:rsidR="00FA0F5F" w:rsidRDefault="00FA0F5F" w:rsidP="00BD00C1">
      <w:pPr>
        <w:spacing w:line="480" w:lineRule="auto"/>
        <w:ind w:firstLine="720"/>
        <w:rPr>
          <w:u w:val="single"/>
        </w:rPr>
      </w:pPr>
      <w:r>
        <w:rPr>
          <w:u w:val="single"/>
        </w:rPr>
        <w:t xml:space="preserve">3. If applicable, any additional materials requested for clarification of previously submitted materials. </w:t>
      </w:r>
    </w:p>
    <w:p w14:paraId="1215E4A7" w14:textId="77777777" w:rsidR="00FA0F5F" w:rsidRDefault="00FA0F5F" w:rsidP="00BD00C1">
      <w:pPr>
        <w:spacing w:line="480" w:lineRule="auto"/>
        <w:ind w:firstLine="720"/>
        <w:rPr>
          <w:u w:val="single"/>
        </w:rPr>
      </w:pPr>
      <w:r>
        <w:rPr>
          <w:u w:val="single"/>
        </w:rPr>
        <w:t>c. An application shall be deemed complete if the cooperative corporation fails to provide a written acknowledgment in accordance with the requirements of this section.</w:t>
      </w:r>
    </w:p>
    <w:p w14:paraId="6CF1A79E" w14:textId="77777777" w:rsidR="00FA0F5F" w:rsidRDefault="00FA0F5F" w:rsidP="00BD00C1">
      <w:pPr>
        <w:spacing w:line="480" w:lineRule="auto"/>
        <w:ind w:firstLine="720"/>
        <w:rPr>
          <w:u w:val="single"/>
        </w:rPr>
      </w:pPr>
      <w:r>
        <w:rPr>
          <w:u w:val="single"/>
        </w:rPr>
        <w:t>d. If a cooperative corporation’s board of directors has placed a memorandum or other writing in its files stating that such board does not ordinarily meet in the months of July and August, such cooperative cooperation shall not be required to provide written acknowledgements pursuant to this section during such months. For any materials received during the months of July and August, such cooperative cooperation shall provide written acknowledgement to the prospective purchaser no later than September 10.</w:t>
      </w:r>
    </w:p>
    <w:p w14:paraId="0DB84725" w14:textId="77777777" w:rsidR="00FA0F5F" w:rsidRDefault="00FA0F5F" w:rsidP="00BD00C1">
      <w:pPr>
        <w:spacing w:line="480" w:lineRule="auto"/>
        <w:ind w:firstLine="720"/>
        <w:rPr>
          <w:u w:val="single"/>
        </w:rPr>
      </w:pPr>
      <w:r>
        <w:rPr>
          <w:u w:val="single"/>
        </w:rPr>
        <w:t xml:space="preserve">§ 26-3604 Time for determination. a. Within 45 days following acknowledgement of receipt of a complete application or the date that an application is deemed complete pursuant to subdivision c of section 26-3603, a cooperative corporation shall notify the prospective purchaser via e-mail and, if available, registered mail, whether its consent to a sale is granted unconditionally, whether its consent to a sale is granted conditionally, or whether its consent to a sale is denied. </w:t>
      </w:r>
    </w:p>
    <w:p w14:paraId="718E1BE6" w14:textId="77777777" w:rsidR="00FA0F5F" w:rsidRDefault="00FA0F5F" w:rsidP="00BD00C1">
      <w:pPr>
        <w:spacing w:line="480" w:lineRule="auto"/>
        <w:ind w:firstLine="720"/>
        <w:rPr>
          <w:u w:val="single"/>
        </w:rPr>
      </w:pPr>
      <w:r>
        <w:rPr>
          <w:u w:val="single"/>
        </w:rPr>
        <w:t xml:space="preserve">b. Such time for determination may be extended at any time with the consent of the prospective purchaser. </w:t>
      </w:r>
    </w:p>
    <w:p w14:paraId="73D12F00" w14:textId="77777777" w:rsidR="00FA0F5F" w:rsidRDefault="00FA0F5F" w:rsidP="00BD00C1">
      <w:pPr>
        <w:spacing w:line="480" w:lineRule="auto"/>
        <w:ind w:firstLine="720"/>
        <w:rPr>
          <w:u w:val="single"/>
        </w:rPr>
      </w:pPr>
      <w:r>
        <w:rPr>
          <w:u w:val="single"/>
        </w:rPr>
        <w:t xml:space="preserve">c. The cooperative corporation shall be entitled to a single 14-day extension without the consent of the purchaser if the cooperative corporation provides notice of such extension to the prospective purchaser via e-mail and, if available, registered mail, within the determination period set forth in subdivision a. </w:t>
      </w:r>
    </w:p>
    <w:p w14:paraId="3B051B4C" w14:textId="77777777" w:rsidR="00FA0F5F" w:rsidRDefault="00FA0F5F" w:rsidP="00BD00C1">
      <w:pPr>
        <w:spacing w:line="480" w:lineRule="auto"/>
        <w:ind w:firstLine="720"/>
        <w:rPr>
          <w:u w:val="single"/>
        </w:rPr>
      </w:pPr>
      <w:r>
        <w:rPr>
          <w:u w:val="single"/>
        </w:rPr>
        <w:t xml:space="preserve">d. If, after the 45-day period for determination and any applicable extensions, the cooperative corporation has not notified the prospective purchaser as to whether its consent to the sale is granted, the prospective purchaser may send notice to the cooperative corporation’s board of directors via e-mail and, if available, registered mail, that the cooperative cooperation shall be deemed to consent to the sale if the cooperative corporation does not inform the prospective purchaser of its determination within 10 business days. Such notice shall clearly state the date on which the 10-business-day period begins, which shall be no earlier than the date the prospective purchaser sends the notice. </w:t>
      </w:r>
    </w:p>
    <w:p w14:paraId="4DF4F5AB" w14:textId="77777777" w:rsidR="00FA0F5F" w:rsidRDefault="00FA0F5F" w:rsidP="00BD00C1">
      <w:pPr>
        <w:spacing w:line="480" w:lineRule="auto"/>
        <w:ind w:firstLine="720"/>
        <w:rPr>
          <w:u w:val="single"/>
        </w:rPr>
      </w:pPr>
      <w:r>
        <w:rPr>
          <w:u w:val="single"/>
        </w:rPr>
        <w:t>e. If the cooperative corporation does notify the prospective purchaser whether its consent to a sale is granted unconditionally, whether its consent to a sale is granted conditionally, or whether its consent to a sale is denied by the end of the 10-business-day notice period pursuant to subdivision d of this section, the cooperative corporation shall be deemed to consent to the sale.</w:t>
      </w:r>
    </w:p>
    <w:p w14:paraId="498190C4" w14:textId="77777777" w:rsidR="00FA0F5F" w:rsidRDefault="00FA0F5F" w:rsidP="00BD00C1">
      <w:pPr>
        <w:spacing w:line="480" w:lineRule="auto"/>
        <w:ind w:firstLine="720"/>
        <w:rPr>
          <w:u w:val="single"/>
        </w:rPr>
      </w:pPr>
      <w:r>
        <w:rPr>
          <w:u w:val="single"/>
        </w:rPr>
        <w:t xml:space="preserve">f. If the 45-day period for determination and any applicable extensions ends in July or August for a cooperative corporation whose board of directors has placed a memorandum or other writing in its files stating that such board does not ordinarily meet in the months of July and August, then such cooperative corporation shall have until October 15 to notify the prospective purchaser whether its consent to a sale is granted unconditionally, whether its consent to a sale is granted conditionally, or whether its consent to a sale is denied. Such time for determination may be extended pursuant to subdivisions b and c of this section. </w:t>
      </w:r>
    </w:p>
    <w:p w14:paraId="0A9B7B69" w14:textId="77777777" w:rsidR="00FA0F5F" w:rsidRDefault="00FA0F5F" w:rsidP="00BD00C1">
      <w:pPr>
        <w:spacing w:line="480" w:lineRule="auto"/>
        <w:ind w:firstLine="720"/>
        <w:rPr>
          <w:u w:val="single"/>
        </w:rPr>
      </w:pPr>
      <w:r>
        <w:rPr>
          <w:u w:val="single"/>
        </w:rPr>
        <w:t>g. If a cooperative corporation that has been deemed to consent to a sale pursuant to subdivision e of this section interferes in any manner with the ability of a prospective purchaser to assume an ownership interest in such cooperative corporation or assume residency in such cooperative corporation, the prospective purchaser may bring an action in a court of competent jurisdiction to assert their rights under this chapter. A plaintiff who prevails on a claim alleging a violation of this chapter shall be entitled to recover attorney’s fees related to the cost of bringing such action.</w:t>
      </w:r>
    </w:p>
    <w:p w14:paraId="09DA1435" w14:textId="77777777" w:rsidR="00FA0F5F" w:rsidRDefault="00FA0F5F" w:rsidP="00BD00C1">
      <w:pPr>
        <w:spacing w:line="480" w:lineRule="auto"/>
        <w:ind w:firstLine="720"/>
        <w:rPr>
          <w:u w:val="single"/>
        </w:rPr>
      </w:pPr>
      <w:r>
        <w:rPr>
          <w:u w:val="single"/>
        </w:rPr>
        <w:t>h. Nothing in this section shall be construed to prohibit a cooperative corporation from lawfully denying its consent to a sale at any time prior to the expiration of the 45-day determination period, the 14-day extension period, and the 10-business-day notice period.</w:t>
      </w:r>
    </w:p>
    <w:p w14:paraId="0E45FD6A" w14:textId="77777777" w:rsidR="00FA0F5F" w:rsidRDefault="00FA0F5F" w:rsidP="00BD00C1">
      <w:pPr>
        <w:spacing w:line="480" w:lineRule="auto"/>
        <w:ind w:firstLine="720"/>
        <w:rPr>
          <w:u w:val="single"/>
        </w:rPr>
      </w:pPr>
      <w:r>
        <w:rPr>
          <w:u w:val="single"/>
        </w:rPr>
        <w:t>§ 26-3605</w:t>
      </w:r>
      <w:r w:rsidRPr="009604DD">
        <w:rPr>
          <w:u w:val="single"/>
        </w:rPr>
        <w:t xml:space="preserve"> </w:t>
      </w:r>
      <w:r>
        <w:rPr>
          <w:u w:val="single"/>
        </w:rPr>
        <w:t>Construction. Nothing in this chapter shall be construed or interpreted to limit or restrict the rights and remedies granted by any other applicable law.</w:t>
      </w:r>
    </w:p>
    <w:p w14:paraId="4D22A34C" w14:textId="77777777" w:rsidR="00FA0F5F" w:rsidRDefault="00FA0F5F" w:rsidP="001546C3">
      <w:pPr>
        <w:spacing w:line="480" w:lineRule="auto"/>
        <w:ind w:firstLine="720"/>
      </w:pPr>
      <w:r>
        <w:t>§ 2. This local law takes effect 120 days after it becomes law.</w:t>
      </w:r>
    </w:p>
    <w:p w14:paraId="290B996C" w14:textId="77777777" w:rsidR="001546C3" w:rsidRDefault="001546C3" w:rsidP="00BD00C1">
      <w:pPr>
        <w:suppressLineNumbers/>
        <w:spacing w:line="480" w:lineRule="auto"/>
        <w:ind w:firstLine="720"/>
      </w:pPr>
    </w:p>
    <w:p w14:paraId="1B053CBA" w14:textId="77777777" w:rsidR="001546C3" w:rsidRDefault="001546C3" w:rsidP="00BD00C1">
      <w:pPr>
        <w:suppressLineNumbers/>
        <w:rPr>
          <w:sz w:val="18"/>
          <w:szCs w:val="18"/>
        </w:rPr>
      </w:pPr>
      <w:r>
        <w:rPr>
          <w:sz w:val="18"/>
          <w:szCs w:val="18"/>
        </w:rPr>
        <w:t>EH/MLL</w:t>
      </w:r>
    </w:p>
    <w:p w14:paraId="32F768DD" w14:textId="77777777" w:rsidR="001546C3" w:rsidRDefault="001546C3" w:rsidP="00BD00C1">
      <w:pPr>
        <w:suppressLineNumbers/>
        <w:rPr>
          <w:sz w:val="18"/>
          <w:szCs w:val="18"/>
        </w:rPr>
      </w:pPr>
      <w:r>
        <w:rPr>
          <w:sz w:val="18"/>
          <w:szCs w:val="18"/>
        </w:rPr>
        <w:t>LS #8376</w:t>
      </w:r>
    </w:p>
    <w:p w14:paraId="587EB017" w14:textId="77777777" w:rsidR="001546C3" w:rsidRDefault="001546C3" w:rsidP="00BD00C1">
      <w:pPr>
        <w:suppressLineNumbers/>
        <w:rPr>
          <w:sz w:val="18"/>
          <w:szCs w:val="18"/>
        </w:rPr>
      </w:pPr>
      <w:r>
        <w:rPr>
          <w:sz w:val="18"/>
          <w:szCs w:val="18"/>
        </w:rPr>
        <w:t>10/17/24 1:18PM</w:t>
      </w:r>
    </w:p>
    <w:p w14:paraId="2E177BEA" w14:textId="77777777" w:rsidR="001546C3" w:rsidRPr="003201DE" w:rsidRDefault="001546C3" w:rsidP="00BD00C1">
      <w:pPr>
        <w:spacing w:line="480" w:lineRule="auto"/>
        <w:ind w:firstLine="720"/>
        <w:sectPr w:rsidR="001546C3" w:rsidRPr="003201DE" w:rsidSect="00FA0F5F">
          <w:type w:val="continuous"/>
          <w:pgSz w:w="12240" w:h="15840"/>
          <w:pgMar w:top="1440" w:right="1440" w:bottom="1440" w:left="1440" w:header="720" w:footer="720" w:gutter="0"/>
          <w:lnNumType w:countBy="1"/>
          <w:cols w:space="720"/>
          <w:titlePg/>
          <w:docGrid w:linePitch="360"/>
        </w:sectPr>
      </w:pPr>
    </w:p>
    <w:p w14:paraId="60E2236D" w14:textId="77777777" w:rsidR="005A1AC5" w:rsidRDefault="005A1AC5" w:rsidP="005A1AC5">
      <w:pPr>
        <w:jc w:val="center"/>
      </w:pPr>
      <w:r>
        <w:t>Int. No. 1475</w:t>
      </w:r>
    </w:p>
    <w:p w14:paraId="5E760275" w14:textId="77777777" w:rsidR="005A1AC5" w:rsidRDefault="005A1AC5" w:rsidP="005A1AC5">
      <w:pPr>
        <w:jc w:val="center"/>
      </w:pPr>
    </w:p>
    <w:p w14:paraId="704937FD" w14:textId="77777777" w:rsidR="005A1AC5" w:rsidRDefault="005A1AC5" w:rsidP="005A1AC5">
      <w:pPr>
        <w:autoSpaceDE w:val="0"/>
        <w:autoSpaceDN w:val="0"/>
        <w:adjustRightInd w:val="0"/>
        <w:rPr>
          <w:rFonts w:eastAsia="Calibri"/>
        </w:rPr>
      </w:pPr>
      <w:r>
        <w:rPr>
          <w:rFonts w:eastAsia="Calibri"/>
        </w:rPr>
        <w:t>By Council Members Bottcher and Restler</w:t>
      </w:r>
    </w:p>
    <w:p w14:paraId="43F5DDEB" w14:textId="77777777" w:rsidR="005A1AC5" w:rsidRDefault="005A1AC5" w:rsidP="005A1AC5">
      <w:pPr>
        <w:pStyle w:val="BodyText"/>
        <w:spacing w:line="240" w:lineRule="auto"/>
        <w:ind w:firstLine="0"/>
      </w:pPr>
    </w:p>
    <w:p w14:paraId="4A4F67B2" w14:textId="77777777" w:rsidR="005A1AC5" w:rsidRPr="003C7B92" w:rsidRDefault="005A1AC5" w:rsidP="005A1AC5">
      <w:pPr>
        <w:pStyle w:val="BodyText"/>
        <w:spacing w:line="240" w:lineRule="auto"/>
        <w:ind w:firstLine="0"/>
        <w:rPr>
          <w:vanish/>
        </w:rPr>
      </w:pPr>
      <w:r w:rsidRPr="003C7B92">
        <w:rPr>
          <w:vanish/>
        </w:rPr>
        <w:t>..Title</w:t>
      </w:r>
    </w:p>
    <w:p w14:paraId="634A0402" w14:textId="77777777" w:rsidR="005A1AC5" w:rsidRDefault="005A1AC5" w:rsidP="005A1AC5">
      <w:pPr>
        <w:pStyle w:val="BodyText"/>
        <w:spacing w:line="240" w:lineRule="auto"/>
        <w:ind w:firstLine="0"/>
      </w:pPr>
      <w:r>
        <w:t xml:space="preserve">A Local Law to amend </w:t>
      </w:r>
      <w:r w:rsidRPr="009448E1">
        <w:t>the administrative code of the city of New York</w:t>
      </w:r>
      <w:r>
        <w:t>,</w:t>
      </w:r>
      <w:r w:rsidRPr="009448E1">
        <w:t xml:space="preserve"> the New York</w:t>
      </w:r>
      <w:r>
        <w:t xml:space="preserve"> </w:t>
      </w:r>
      <w:bookmarkStart w:id="1" w:name="_Hlk214371439"/>
      <w:r>
        <w:t xml:space="preserve">city </w:t>
      </w:r>
      <w:r w:rsidRPr="009448E1">
        <w:t>building code</w:t>
      </w:r>
      <w:bookmarkEnd w:id="1"/>
      <w:r w:rsidRPr="009448E1">
        <w:t xml:space="preserve">, </w:t>
      </w:r>
      <w:r>
        <w:t xml:space="preserve">and the New York city fire code, </w:t>
      </w:r>
      <w:r w:rsidRPr="009448E1">
        <w:t>in relation to shared housing</w:t>
      </w:r>
    </w:p>
    <w:p w14:paraId="2988B398" w14:textId="77777777" w:rsidR="005A1AC5" w:rsidRPr="003C7B92" w:rsidRDefault="005A1AC5" w:rsidP="005A1AC5">
      <w:pPr>
        <w:pStyle w:val="BodyText"/>
        <w:spacing w:line="240" w:lineRule="auto"/>
        <w:ind w:firstLine="0"/>
        <w:rPr>
          <w:vanish/>
        </w:rPr>
      </w:pPr>
      <w:r w:rsidRPr="003C7B92">
        <w:rPr>
          <w:vanish/>
        </w:rPr>
        <w:t>..Body</w:t>
      </w:r>
    </w:p>
    <w:p w14:paraId="7C5E9326" w14:textId="77777777" w:rsidR="005A1AC5" w:rsidRDefault="005A1AC5" w:rsidP="005A1AC5">
      <w:pPr>
        <w:pStyle w:val="BodyText"/>
        <w:spacing w:line="240" w:lineRule="auto"/>
        <w:ind w:firstLine="0"/>
        <w:rPr>
          <w:u w:val="single"/>
        </w:rPr>
      </w:pPr>
    </w:p>
    <w:p w14:paraId="53401D34" w14:textId="77777777" w:rsidR="005A1AC5" w:rsidRDefault="005A1AC5" w:rsidP="005A1AC5">
      <w:r>
        <w:rPr>
          <w:u w:val="single"/>
        </w:rPr>
        <w:t>Be it enacted by the Council as follows</w:t>
      </w:r>
      <w:r w:rsidRPr="005B5DE4">
        <w:rPr>
          <w:u w:val="single"/>
        </w:rPr>
        <w:t>:</w:t>
      </w:r>
    </w:p>
    <w:p w14:paraId="62EFCD86" w14:textId="77777777" w:rsidR="00107C48" w:rsidRDefault="00107C48" w:rsidP="00107C48">
      <w:pPr>
        <w:pStyle w:val="DoubleSpaceParagaph"/>
        <w:ind w:firstLine="0"/>
      </w:pPr>
    </w:p>
    <w:p w14:paraId="65953DE2" w14:textId="504ADC3C" w:rsidR="005A1AC5" w:rsidRPr="009448E1" w:rsidRDefault="00107C48" w:rsidP="00107C48">
      <w:pPr>
        <w:pStyle w:val="DoubleSpaceParagaph"/>
        <w:ind w:firstLine="720"/>
        <w:rPr>
          <w:szCs w:val="24"/>
        </w:rPr>
      </w:pPr>
      <w:r>
        <w:t>S</w:t>
      </w:r>
      <w:r w:rsidR="005A1AC5">
        <w:t xml:space="preserve">ection 1. </w:t>
      </w:r>
      <w:r w:rsidR="005A1AC5" w:rsidRPr="009448E1">
        <w:rPr>
          <w:szCs w:val="24"/>
        </w:rPr>
        <w:t xml:space="preserve">Subdivision a of section 27-2004 of the administrative code of the city of New York is amended </w:t>
      </w:r>
      <w:r w:rsidR="005A1AC5">
        <w:rPr>
          <w:szCs w:val="24"/>
        </w:rPr>
        <w:t>by</w:t>
      </w:r>
      <w:r w:rsidR="005A1AC5" w:rsidRPr="009448E1">
        <w:rPr>
          <w:szCs w:val="24"/>
        </w:rPr>
        <w:t xml:space="preserve"> add</w:t>
      </w:r>
      <w:r w:rsidR="005A1AC5">
        <w:rPr>
          <w:szCs w:val="24"/>
        </w:rPr>
        <w:t>ing</w:t>
      </w:r>
      <w:r w:rsidR="005A1AC5" w:rsidRPr="009448E1">
        <w:rPr>
          <w:szCs w:val="24"/>
        </w:rPr>
        <w:t xml:space="preserve"> new paragraphs 14-a, 15-a</w:t>
      </w:r>
      <w:r w:rsidR="005A1AC5">
        <w:rPr>
          <w:szCs w:val="24"/>
        </w:rPr>
        <w:t>,</w:t>
      </w:r>
      <w:r w:rsidR="005A1AC5" w:rsidRPr="009448E1">
        <w:rPr>
          <w:szCs w:val="24"/>
        </w:rPr>
        <w:t xml:space="preserve"> and 15-b to read as follows:</w:t>
      </w:r>
    </w:p>
    <w:p w14:paraId="2973F433" w14:textId="77777777" w:rsidR="005A1AC5" w:rsidRPr="009448E1" w:rsidRDefault="005A1AC5" w:rsidP="005A1AC5">
      <w:pPr>
        <w:pStyle w:val="DoubleSpaceParagaph"/>
        <w:ind w:firstLine="720"/>
        <w:rPr>
          <w:szCs w:val="24"/>
        </w:rPr>
      </w:pPr>
      <w:r w:rsidRPr="009448E1">
        <w:rPr>
          <w:szCs w:val="24"/>
          <w:u w:val="single"/>
        </w:rPr>
        <w:t xml:space="preserve">14-a. </w:t>
      </w:r>
      <w:r>
        <w:rPr>
          <w:szCs w:val="24"/>
          <w:u w:val="single"/>
        </w:rPr>
        <w:t>The term “s</w:t>
      </w:r>
      <w:r w:rsidRPr="009448E1">
        <w:rPr>
          <w:szCs w:val="24"/>
          <w:u w:val="single"/>
        </w:rPr>
        <w:t>hared housing suite</w:t>
      </w:r>
      <w:r>
        <w:rPr>
          <w:szCs w:val="24"/>
          <w:u w:val="single"/>
        </w:rPr>
        <w:t>”</w:t>
      </w:r>
      <w:r w:rsidRPr="009448E1">
        <w:rPr>
          <w:szCs w:val="24"/>
          <w:u w:val="single"/>
        </w:rPr>
        <w:t xml:space="preserve"> mean</w:t>
      </w:r>
      <w:r>
        <w:rPr>
          <w:szCs w:val="24"/>
          <w:u w:val="single"/>
        </w:rPr>
        <w:t>s</w:t>
      </w:r>
      <w:r w:rsidRPr="009448E1">
        <w:rPr>
          <w:szCs w:val="24"/>
          <w:u w:val="single"/>
        </w:rPr>
        <w:t xml:space="preserve"> a set of rooms within a class A multiple dwelling, separated from other rooms in such dwelling, that </w:t>
      </w:r>
      <w:r>
        <w:rPr>
          <w:szCs w:val="24"/>
          <w:u w:val="single"/>
        </w:rPr>
        <w:t xml:space="preserve">(i) </w:t>
      </w:r>
      <w:r w:rsidRPr="009448E1">
        <w:rPr>
          <w:szCs w:val="24"/>
          <w:u w:val="single"/>
        </w:rPr>
        <w:t xml:space="preserve">consists of </w:t>
      </w:r>
      <w:r>
        <w:rPr>
          <w:szCs w:val="24"/>
          <w:u w:val="single"/>
        </w:rPr>
        <w:t xml:space="preserve">at least two </w:t>
      </w:r>
      <w:r w:rsidRPr="009448E1">
        <w:rPr>
          <w:szCs w:val="24"/>
          <w:u w:val="single"/>
        </w:rPr>
        <w:t>rooming units and bathroom facilities for the exclusive use of the occupants of such rooming units</w:t>
      </w:r>
      <w:r>
        <w:rPr>
          <w:szCs w:val="24"/>
          <w:u w:val="single"/>
        </w:rPr>
        <w:t xml:space="preserve"> and (ii) was created pursuant to section 27-2079.1</w:t>
      </w:r>
      <w:r w:rsidRPr="009448E1">
        <w:rPr>
          <w:szCs w:val="24"/>
          <w:u w:val="single"/>
        </w:rPr>
        <w:t xml:space="preserve">. </w:t>
      </w:r>
      <w:bookmarkStart w:id="2" w:name="_Hlk211859121"/>
    </w:p>
    <w:p w14:paraId="606C0DFC" w14:textId="77777777" w:rsidR="005A1AC5" w:rsidRPr="009448E1" w:rsidRDefault="005A1AC5" w:rsidP="005A1AC5">
      <w:pPr>
        <w:pStyle w:val="DoubleSpaceParagaph"/>
        <w:ind w:firstLine="720"/>
        <w:rPr>
          <w:szCs w:val="24"/>
          <w:u w:val="single"/>
        </w:rPr>
      </w:pPr>
      <w:r w:rsidRPr="009448E1">
        <w:rPr>
          <w:szCs w:val="24"/>
          <w:u w:val="single"/>
        </w:rPr>
        <w:t xml:space="preserve">15-a. </w:t>
      </w:r>
      <w:r>
        <w:rPr>
          <w:szCs w:val="24"/>
          <w:u w:val="single"/>
        </w:rPr>
        <w:t>The term “s</w:t>
      </w:r>
      <w:r w:rsidRPr="009448E1">
        <w:rPr>
          <w:szCs w:val="24"/>
          <w:u w:val="single"/>
        </w:rPr>
        <w:t>hared housing rooming unit</w:t>
      </w:r>
      <w:r>
        <w:rPr>
          <w:szCs w:val="24"/>
          <w:u w:val="single"/>
        </w:rPr>
        <w:t>”</w:t>
      </w:r>
      <w:r w:rsidRPr="009448E1">
        <w:rPr>
          <w:szCs w:val="24"/>
          <w:u w:val="single"/>
        </w:rPr>
        <w:t xml:space="preserve"> mean</w:t>
      </w:r>
      <w:r>
        <w:rPr>
          <w:szCs w:val="24"/>
          <w:u w:val="single"/>
        </w:rPr>
        <w:t>s</w:t>
      </w:r>
      <w:r w:rsidRPr="009448E1">
        <w:rPr>
          <w:szCs w:val="24"/>
          <w:u w:val="single"/>
        </w:rPr>
        <w:t xml:space="preserve"> a rooming unit in a shared housing suite. </w:t>
      </w:r>
      <w:bookmarkEnd w:id="2"/>
    </w:p>
    <w:p w14:paraId="2C616500" w14:textId="77777777" w:rsidR="005A1AC5" w:rsidRDefault="005A1AC5" w:rsidP="005A1AC5">
      <w:pPr>
        <w:pStyle w:val="DoubleSpaceParagaph"/>
        <w:ind w:firstLine="720"/>
        <w:rPr>
          <w:szCs w:val="24"/>
        </w:rPr>
      </w:pPr>
      <w:r w:rsidRPr="009448E1">
        <w:rPr>
          <w:szCs w:val="24"/>
          <w:u w:val="single"/>
        </w:rPr>
        <w:t xml:space="preserve">15-b. </w:t>
      </w:r>
      <w:r>
        <w:rPr>
          <w:szCs w:val="24"/>
          <w:u w:val="single"/>
        </w:rPr>
        <w:t>The term “s</w:t>
      </w:r>
      <w:r w:rsidRPr="009448E1">
        <w:rPr>
          <w:szCs w:val="24"/>
          <w:u w:val="single"/>
        </w:rPr>
        <w:t>hared housing dwelling</w:t>
      </w:r>
      <w:r>
        <w:rPr>
          <w:szCs w:val="24"/>
          <w:u w:val="single"/>
        </w:rPr>
        <w:t>”</w:t>
      </w:r>
      <w:r w:rsidRPr="009448E1">
        <w:rPr>
          <w:szCs w:val="24"/>
          <w:u w:val="single"/>
        </w:rPr>
        <w:t xml:space="preserve"> </w:t>
      </w:r>
      <w:r>
        <w:rPr>
          <w:szCs w:val="24"/>
          <w:u w:val="single"/>
        </w:rPr>
        <w:t xml:space="preserve">has </w:t>
      </w:r>
      <w:r w:rsidRPr="009448E1">
        <w:rPr>
          <w:szCs w:val="24"/>
          <w:u w:val="single"/>
        </w:rPr>
        <w:t xml:space="preserve">the same meaning as </w:t>
      </w:r>
      <w:r>
        <w:rPr>
          <w:szCs w:val="24"/>
          <w:u w:val="single"/>
        </w:rPr>
        <w:t xml:space="preserve">set forth </w:t>
      </w:r>
      <w:r w:rsidRPr="009448E1">
        <w:rPr>
          <w:szCs w:val="24"/>
          <w:u w:val="single"/>
        </w:rPr>
        <w:t xml:space="preserve">in </w:t>
      </w:r>
      <w:r>
        <w:rPr>
          <w:szCs w:val="24"/>
          <w:u w:val="single"/>
        </w:rPr>
        <w:t>Section T201.1.2 of a</w:t>
      </w:r>
      <w:r w:rsidRPr="009448E1">
        <w:rPr>
          <w:szCs w:val="24"/>
          <w:u w:val="single"/>
        </w:rPr>
        <w:t>ppendix T of the New York city building code.</w:t>
      </w:r>
    </w:p>
    <w:p w14:paraId="2F6C6C6B" w14:textId="77777777" w:rsidR="005A1AC5" w:rsidRDefault="005A1AC5" w:rsidP="005A1AC5">
      <w:pPr>
        <w:pStyle w:val="DoubleSpaceParagaph"/>
        <w:ind w:firstLine="720"/>
        <w:rPr>
          <w:szCs w:val="24"/>
        </w:rPr>
      </w:pPr>
      <w:r w:rsidRPr="009448E1">
        <w:rPr>
          <w:szCs w:val="24"/>
        </w:rPr>
        <w:t xml:space="preserve">§ 2. </w:t>
      </w:r>
      <w:r>
        <w:rPr>
          <w:szCs w:val="24"/>
        </w:rPr>
        <w:t>Article 4 of subchapter 3 of chapter 2 of title 27 of t</w:t>
      </w:r>
      <w:r w:rsidRPr="009448E1">
        <w:rPr>
          <w:szCs w:val="24"/>
        </w:rPr>
        <w:t>he administrative code of the city of New York is amended by adding a new section 27-2079.1 to read as follows:</w:t>
      </w:r>
    </w:p>
    <w:p w14:paraId="6D882048" w14:textId="77777777" w:rsidR="005A1AC5" w:rsidRDefault="005A1AC5" w:rsidP="005A1AC5">
      <w:pPr>
        <w:pStyle w:val="DoubleSpaceParagaph"/>
        <w:ind w:firstLine="720"/>
        <w:rPr>
          <w:szCs w:val="24"/>
        </w:rPr>
      </w:pPr>
      <w:r w:rsidRPr="009448E1">
        <w:rPr>
          <w:szCs w:val="24"/>
          <w:u w:val="single"/>
        </w:rPr>
        <w:t xml:space="preserve">§ 27-2079.1 Shared housing rooming units. </w:t>
      </w:r>
      <w:r>
        <w:rPr>
          <w:szCs w:val="24"/>
          <w:u w:val="single"/>
        </w:rPr>
        <w:t xml:space="preserve">a. </w:t>
      </w:r>
      <w:r w:rsidRPr="009448E1">
        <w:rPr>
          <w:szCs w:val="24"/>
          <w:u w:val="single"/>
        </w:rPr>
        <w:t xml:space="preserve">Notwithstanding </w:t>
      </w:r>
      <w:r>
        <w:rPr>
          <w:szCs w:val="24"/>
          <w:u w:val="single"/>
        </w:rPr>
        <w:t>subdivision a of section</w:t>
      </w:r>
      <w:r w:rsidRPr="009448E1">
        <w:rPr>
          <w:szCs w:val="24"/>
          <w:u w:val="single"/>
        </w:rPr>
        <w:t xml:space="preserve"> 27-2077, on and after January 1, 2027, shared housing rooming units </w:t>
      </w:r>
      <w:r>
        <w:rPr>
          <w:szCs w:val="24"/>
          <w:u w:val="single"/>
        </w:rPr>
        <w:t xml:space="preserve">may be created </w:t>
      </w:r>
      <w:r w:rsidRPr="009448E1">
        <w:rPr>
          <w:szCs w:val="24"/>
          <w:u w:val="single"/>
        </w:rPr>
        <w:t>within a new class A multiple dwelling or within an existing building converted to a class A multiple dwelling</w:t>
      </w:r>
      <w:r>
        <w:rPr>
          <w:szCs w:val="24"/>
          <w:u w:val="single"/>
        </w:rPr>
        <w:t xml:space="preserve">. </w:t>
      </w:r>
    </w:p>
    <w:p w14:paraId="1A4B5B13" w14:textId="77777777" w:rsidR="005A1AC5" w:rsidRPr="004E2305" w:rsidRDefault="005A1AC5" w:rsidP="005A1AC5">
      <w:pPr>
        <w:pStyle w:val="DoubleSpaceParagaph"/>
        <w:ind w:firstLine="720"/>
        <w:rPr>
          <w:szCs w:val="24"/>
        </w:rPr>
      </w:pPr>
      <w:r>
        <w:rPr>
          <w:szCs w:val="24"/>
          <w:u w:val="single"/>
        </w:rPr>
        <w:t>b</w:t>
      </w:r>
      <w:r w:rsidRPr="009448E1">
        <w:rPr>
          <w:szCs w:val="24"/>
          <w:u w:val="single"/>
        </w:rPr>
        <w:t>.</w:t>
      </w:r>
      <w:r>
        <w:rPr>
          <w:szCs w:val="24"/>
          <w:u w:val="single"/>
        </w:rPr>
        <w:t xml:space="preserve"> Shared housing rooming units and shared housing suites are </w:t>
      </w:r>
      <w:r w:rsidRPr="009448E1">
        <w:rPr>
          <w:szCs w:val="24"/>
          <w:u w:val="single"/>
        </w:rPr>
        <w:t xml:space="preserve">subject to the </w:t>
      </w:r>
      <w:r>
        <w:rPr>
          <w:szCs w:val="24"/>
          <w:u w:val="single"/>
        </w:rPr>
        <w:t>following:</w:t>
      </w:r>
    </w:p>
    <w:p w14:paraId="57F1B78D" w14:textId="77777777" w:rsidR="005A1AC5" w:rsidRDefault="005A1AC5" w:rsidP="005A1AC5">
      <w:pPr>
        <w:pStyle w:val="DoubleSpaceParagaph"/>
        <w:ind w:firstLine="720"/>
        <w:rPr>
          <w:szCs w:val="24"/>
        </w:rPr>
      </w:pPr>
      <w:r>
        <w:rPr>
          <w:szCs w:val="24"/>
          <w:u w:val="single"/>
        </w:rPr>
        <w:t>1.</w:t>
      </w:r>
      <w:r w:rsidRPr="009448E1">
        <w:rPr>
          <w:szCs w:val="24"/>
          <w:u w:val="single"/>
        </w:rPr>
        <w:t xml:space="preserve"> Shared housing suites and shared housing rooming units shall comply with appendix T of the New York city building code</w:t>
      </w:r>
      <w:r>
        <w:rPr>
          <w:szCs w:val="24"/>
          <w:u w:val="single"/>
        </w:rPr>
        <w:t>;</w:t>
      </w:r>
    </w:p>
    <w:p w14:paraId="6F1B7948" w14:textId="77777777" w:rsidR="005A1AC5" w:rsidRDefault="005A1AC5" w:rsidP="005A1AC5">
      <w:pPr>
        <w:pStyle w:val="DoubleSpaceParagaph"/>
        <w:ind w:firstLine="720"/>
        <w:rPr>
          <w:szCs w:val="24"/>
          <w:u w:val="single"/>
        </w:rPr>
      </w:pPr>
      <w:r>
        <w:rPr>
          <w:szCs w:val="24"/>
          <w:u w:val="single"/>
        </w:rPr>
        <w:t>2</w:t>
      </w:r>
      <w:r w:rsidRPr="009448E1">
        <w:rPr>
          <w:szCs w:val="24"/>
          <w:u w:val="single"/>
        </w:rPr>
        <w:t xml:space="preserve">. </w:t>
      </w:r>
      <w:r>
        <w:rPr>
          <w:szCs w:val="24"/>
          <w:u w:val="single"/>
        </w:rPr>
        <w:t>Notwithstanding subdivision b of section 27-2076, a child under the age of 16 years may occupy a shared housing rooming unit;</w:t>
      </w:r>
    </w:p>
    <w:p w14:paraId="0C08AFED" w14:textId="77777777" w:rsidR="005A1AC5" w:rsidRDefault="005A1AC5" w:rsidP="005A1AC5">
      <w:pPr>
        <w:pStyle w:val="DoubleSpaceParagaph"/>
        <w:ind w:firstLine="720"/>
        <w:rPr>
          <w:szCs w:val="24"/>
          <w:u w:val="single"/>
        </w:rPr>
      </w:pPr>
      <w:r w:rsidRPr="006D6E1F">
        <w:rPr>
          <w:szCs w:val="24"/>
          <w:u w:val="single"/>
        </w:rPr>
        <w:t>3. A shared housing rooming unit shall not be occupied by more than two individuals, except that</w:t>
      </w:r>
      <w:bookmarkStart w:id="3" w:name="_Hlk213343007"/>
      <w:r w:rsidRPr="006D6E1F">
        <w:rPr>
          <w:szCs w:val="24"/>
          <w:u w:val="single"/>
        </w:rPr>
        <w:t xml:space="preserve"> a child born to, adopted, or fostered by an occupant of a shared housing rooming unit is not considered an occupant of a shared housing rooming unit for purposes of this paragraph until one year after the birth, adoption, or fostering of such child;</w:t>
      </w:r>
      <w:r w:rsidRPr="009448E1">
        <w:rPr>
          <w:szCs w:val="24"/>
          <w:u w:val="single"/>
        </w:rPr>
        <w:t xml:space="preserve"> </w:t>
      </w:r>
      <w:bookmarkEnd w:id="3"/>
    </w:p>
    <w:p w14:paraId="4451D8CF" w14:textId="77777777" w:rsidR="005A1AC5" w:rsidRDefault="005A1AC5" w:rsidP="005A1AC5">
      <w:pPr>
        <w:pStyle w:val="DoubleSpaceParagaph"/>
        <w:ind w:firstLine="720"/>
        <w:rPr>
          <w:szCs w:val="24"/>
        </w:rPr>
      </w:pPr>
      <w:r>
        <w:rPr>
          <w:szCs w:val="24"/>
          <w:u w:val="single"/>
        </w:rPr>
        <w:t>4</w:t>
      </w:r>
      <w:r w:rsidRPr="009448E1">
        <w:rPr>
          <w:szCs w:val="24"/>
          <w:u w:val="single"/>
        </w:rPr>
        <w:t>. A shared housing rooming unit shall not be constructed in a frame multiple dwelling</w:t>
      </w:r>
      <w:r>
        <w:rPr>
          <w:szCs w:val="24"/>
          <w:u w:val="single"/>
        </w:rPr>
        <w:t>, as defined in subdivision 28 of section 4 of the multiple dwelling law;</w:t>
      </w:r>
      <w:r w:rsidRPr="009448E1">
        <w:rPr>
          <w:szCs w:val="24"/>
          <w:u w:val="single"/>
        </w:rPr>
        <w:t xml:space="preserve"> </w:t>
      </w:r>
    </w:p>
    <w:p w14:paraId="12F76281" w14:textId="77777777" w:rsidR="005A1AC5" w:rsidRDefault="005A1AC5" w:rsidP="005A1AC5">
      <w:pPr>
        <w:pStyle w:val="DoubleSpaceParagaph"/>
        <w:ind w:firstLine="720"/>
        <w:rPr>
          <w:szCs w:val="24"/>
        </w:rPr>
      </w:pPr>
      <w:r w:rsidRPr="00114273">
        <w:rPr>
          <w:szCs w:val="24"/>
          <w:u w:val="single"/>
        </w:rPr>
        <w:t xml:space="preserve">5. The </w:t>
      </w:r>
      <w:r>
        <w:rPr>
          <w:szCs w:val="24"/>
          <w:u w:val="single"/>
        </w:rPr>
        <w:t xml:space="preserve">department may establish rules that require the owner of a shared housing dwelling to clean and maintain shared housing suites </w:t>
      </w:r>
      <w:r w:rsidRPr="00114273">
        <w:rPr>
          <w:szCs w:val="24"/>
          <w:u w:val="single"/>
        </w:rPr>
        <w:t>so as to ensure proper cleanliness</w:t>
      </w:r>
      <w:r>
        <w:rPr>
          <w:szCs w:val="24"/>
          <w:u w:val="single"/>
        </w:rPr>
        <w:t xml:space="preserve">, and such rules may supersede or alter the requirements of </w:t>
      </w:r>
      <w:r w:rsidRPr="00114273">
        <w:rPr>
          <w:szCs w:val="24"/>
          <w:u w:val="single"/>
        </w:rPr>
        <w:t>section 27-2012;</w:t>
      </w:r>
    </w:p>
    <w:p w14:paraId="378AB885" w14:textId="77777777" w:rsidR="005A1AC5" w:rsidRDefault="005A1AC5" w:rsidP="005A1AC5">
      <w:pPr>
        <w:pStyle w:val="DoubleSpaceParagaph"/>
        <w:ind w:firstLine="720"/>
        <w:rPr>
          <w:szCs w:val="24"/>
        </w:rPr>
      </w:pPr>
      <w:r>
        <w:rPr>
          <w:szCs w:val="24"/>
          <w:u w:val="single"/>
        </w:rPr>
        <w:t>6</w:t>
      </w:r>
      <w:r w:rsidRPr="009448E1">
        <w:rPr>
          <w:szCs w:val="24"/>
          <w:u w:val="single"/>
        </w:rPr>
        <w:t xml:space="preserve">. </w:t>
      </w:r>
      <w:r>
        <w:rPr>
          <w:szCs w:val="24"/>
          <w:u w:val="single"/>
        </w:rPr>
        <w:t>Notwithstanding section 27-2051, a manager is not required to reside in a shared housing dwelling if the owner provides management services for the shared housing dwelling on a 24-hour basis in accordance with rules established by the department;</w:t>
      </w:r>
    </w:p>
    <w:p w14:paraId="5FD58EFF" w14:textId="77777777" w:rsidR="005A1AC5" w:rsidRDefault="005A1AC5" w:rsidP="005A1AC5">
      <w:pPr>
        <w:pStyle w:val="DoubleSpaceParagaph"/>
        <w:ind w:firstLine="720"/>
        <w:rPr>
          <w:szCs w:val="24"/>
          <w:u w:val="single"/>
        </w:rPr>
      </w:pPr>
      <w:r>
        <w:rPr>
          <w:szCs w:val="24"/>
          <w:u w:val="single"/>
        </w:rPr>
        <w:t>7</w:t>
      </w:r>
      <w:r w:rsidRPr="009448E1">
        <w:rPr>
          <w:szCs w:val="24"/>
          <w:u w:val="single"/>
        </w:rPr>
        <w:t xml:space="preserve">. </w:t>
      </w:r>
      <w:bookmarkStart w:id="4" w:name="_Hlk213343591"/>
      <w:r w:rsidRPr="009448E1">
        <w:rPr>
          <w:szCs w:val="24"/>
          <w:u w:val="single"/>
        </w:rPr>
        <w:t xml:space="preserve">Notwithstanding paragraph </w:t>
      </w:r>
      <w:r>
        <w:rPr>
          <w:szCs w:val="24"/>
          <w:u w:val="single"/>
        </w:rPr>
        <w:t>(</w:t>
      </w:r>
      <w:r w:rsidRPr="009448E1">
        <w:rPr>
          <w:szCs w:val="24"/>
          <w:u w:val="single"/>
        </w:rPr>
        <w:t>2</w:t>
      </w:r>
      <w:r>
        <w:rPr>
          <w:szCs w:val="24"/>
          <w:u w:val="single"/>
        </w:rPr>
        <w:t>)</w:t>
      </w:r>
      <w:r w:rsidRPr="009448E1">
        <w:rPr>
          <w:szCs w:val="24"/>
          <w:u w:val="single"/>
        </w:rPr>
        <w:t xml:space="preserve"> of subdivision a of section 27-2075, a shared housing rooming unit occupied by one individual shall have a minimum floor area of 100 square feet and </w:t>
      </w:r>
      <w:bookmarkEnd w:id="4"/>
      <w:r w:rsidRPr="009448E1">
        <w:rPr>
          <w:szCs w:val="24"/>
          <w:u w:val="single"/>
        </w:rPr>
        <w:t>a shared housing unit occupied by two individuals shall have a minimum floor area of 150 square feet</w:t>
      </w:r>
      <w:r>
        <w:rPr>
          <w:szCs w:val="24"/>
          <w:u w:val="single"/>
        </w:rPr>
        <w:t>;</w:t>
      </w:r>
    </w:p>
    <w:p w14:paraId="1EDBADD2" w14:textId="77777777" w:rsidR="005A1AC5" w:rsidRDefault="005A1AC5" w:rsidP="005A1AC5">
      <w:pPr>
        <w:pStyle w:val="DoubleSpaceParagaph"/>
        <w:ind w:firstLine="720"/>
        <w:rPr>
          <w:szCs w:val="24"/>
        </w:rPr>
      </w:pPr>
      <w:r>
        <w:rPr>
          <w:szCs w:val="24"/>
          <w:u w:val="single"/>
        </w:rPr>
        <w:t xml:space="preserve">8. A shared housing suite shall include </w:t>
      </w:r>
      <w:r w:rsidRPr="009448E1">
        <w:rPr>
          <w:szCs w:val="24"/>
          <w:u w:val="single"/>
        </w:rPr>
        <w:t xml:space="preserve">kitchen facilities for the exclusive use of the occupants of </w:t>
      </w:r>
      <w:r>
        <w:rPr>
          <w:szCs w:val="24"/>
          <w:u w:val="single"/>
        </w:rPr>
        <w:t>the shared housing suite</w:t>
      </w:r>
      <w:r w:rsidRPr="009448E1">
        <w:rPr>
          <w:szCs w:val="24"/>
          <w:u w:val="single"/>
        </w:rPr>
        <w:t xml:space="preserve"> unless kitchen facilities for the use of </w:t>
      </w:r>
      <w:r>
        <w:rPr>
          <w:szCs w:val="24"/>
          <w:u w:val="single"/>
        </w:rPr>
        <w:t xml:space="preserve">such </w:t>
      </w:r>
      <w:r w:rsidRPr="009448E1">
        <w:rPr>
          <w:szCs w:val="24"/>
          <w:u w:val="single"/>
        </w:rPr>
        <w:t>occupants are provided elsewhere in the shared housing dwelling</w:t>
      </w:r>
      <w:r>
        <w:rPr>
          <w:szCs w:val="24"/>
          <w:u w:val="single"/>
        </w:rPr>
        <w:t>;</w:t>
      </w:r>
    </w:p>
    <w:p w14:paraId="6CA81B51" w14:textId="77777777" w:rsidR="005A1AC5" w:rsidRDefault="005A1AC5" w:rsidP="005A1AC5">
      <w:pPr>
        <w:pStyle w:val="DoubleSpaceParagaph"/>
        <w:ind w:firstLine="720"/>
        <w:rPr>
          <w:szCs w:val="24"/>
        </w:rPr>
      </w:pPr>
      <w:r>
        <w:rPr>
          <w:szCs w:val="24"/>
          <w:u w:val="single"/>
        </w:rPr>
        <w:t>9</w:t>
      </w:r>
      <w:r w:rsidRPr="009448E1">
        <w:rPr>
          <w:szCs w:val="24"/>
          <w:u w:val="single"/>
        </w:rPr>
        <w:t xml:space="preserve">. </w:t>
      </w:r>
      <w:r>
        <w:rPr>
          <w:szCs w:val="24"/>
          <w:u w:val="single"/>
        </w:rPr>
        <w:t>No</w:t>
      </w:r>
      <w:r w:rsidRPr="009448E1">
        <w:rPr>
          <w:szCs w:val="24"/>
          <w:u w:val="single"/>
        </w:rPr>
        <w:t xml:space="preserve"> movable cooking apparatus or movable heating apparatus </w:t>
      </w:r>
      <w:r>
        <w:rPr>
          <w:szCs w:val="24"/>
          <w:u w:val="single"/>
        </w:rPr>
        <w:t xml:space="preserve">shall be used in </w:t>
      </w:r>
      <w:r w:rsidRPr="009448E1">
        <w:rPr>
          <w:szCs w:val="24"/>
          <w:u w:val="single"/>
        </w:rPr>
        <w:t>a shared housing rooming</w:t>
      </w:r>
      <w:r>
        <w:rPr>
          <w:szCs w:val="24"/>
          <w:u w:val="single"/>
        </w:rPr>
        <w:t xml:space="preserve"> unit</w:t>
      </w:r>
      <w:r w:rsidRPr="009448E1">
        <w:rPr>
          <w:szCs w:val="24"/>
          <w:u w:val="single"/>
        </w:rPr>
        <w:t>, except that the department may adopt rules authorizing the use of a specified apparatus where the department, in consultation with the fire department, determines that such apparatus does not create a fire hazard</w:t>
      </w:r>
      <w:r>
        <w:rPr>
          <w:szCs w:val="24"/>
          <w:u w:val="single"/>
        </w:rPr>
        <w:t>; and</w:t>
      </w:r>
    </w:p>
    <w:p w14:paraId="082CDDF4" w14:textId="77777777" w:rsidR="005A1AC5" w:rsidRDefault="005A1AC5" w:rsidP="005A1AC5">
      <w:pPr>
        <w:pStyle w:val="DoubleSpaceParagaph"/>
        <w:ind w:firstLine="720"/>
        <w:rPr>
          <w:szCs w:val="24"/>
          <w:u w:val="single"/>
        </w:rPr>
      </w:pPr>
      <w:r>
        <w:rPr>
          <w:szCs w:val="24"/>
          <w:u w:val="single"/>
        </w:rPr>
        <w:t>10</w:t>
      </w:r>
      <w:r w:rsidRPr="009448E1">
        <w:rPr>
          <w:szCs w:val="24"/>
          <w:u w:val="single"/>
        </w:rPr>
        <w:t>.</w:t>
      </w:r>
      <w:r>
        <w:rPr>
          <w:szCs w:val="24"/>
          <w:u w:val="single"/>
        </w:rPr>
        <w:t xml:space="preserve"> </w:t>
      </w:r>
      <w:r w:rsidRPr="009448E1">
        <w:rPr>
          <w:szCs w:val="24"/>
          <w:u w:val="single"/>
        </w:rPr>
        <w:t>In accordance with subdivision f of section 26-3102, no short-term rental registration shall be issued for a shared housing rooming unit.</w:t>
      </w:r>
    </w:p>
    <w:p w14:paraId="3C4B7FEE" w14:textId="77777777" w:rsidR="005A1AC5" w:rsidRDefault="005A1AC5" w:rsidP="005A1AC5">
      <w:pPr>
        <w:pStyle w:val="DoubleSpaceParagaph"/>
        <w:ind w:firstLine="720"/>
        <w:rPr>
          <w:szCs w:val="24"/>
        </w:rPr>
      </w:pPr>
      <w:r>
        <w:rPr>
          <w:szCs w:val="24"/>
          <w:u w:val="single"/>
        </w:rPr>
        <w:t xml:space="preserve">c. This section does not apply to rooming units created prior to </w:t>
      </w:r>
      <w:r w:rsidRPr="009448E1">
        <w:rPr>
          <w:szCs w:val="24"/>
          <w:u w:val="single"/>
        </w:rPr>
        <w:t>January 1, 2027</w:t>
      </w:r>
      <w:r>
        <w:rPr>
          <w:szCs w:val="24"/>
          <w:u w:val="single"/>
        </w:rPr>
        <w:t xml:space="preserve"> or pursuant to section </w:t>
      </w:r>
      <w:r w:rsidRPr="009448E1">
        <w:rPr>
          <w:szCs w:val="24"/>
          <w:u w:val="single"/>
        </w:rPr>
        <w:t>27-2077</w:t>
      </w:r>
      <w:r>
        <w:rPr>
          <w:szCs w:val="24"/>
          <w:u w:val="single"/>
        </w:rPr>
        <w:t>.</w:t>
      </w:r>
    </w:p>
    <w:p w14:paraId="3777A055" w14:textId="77777777" w:rsidR="005A1AC5" w:rsidRDefault="005A1AC5" w:rsidP="005A1AC5">
      <w:pPr>
        <w:pStyle w:val="DoubleSpaceParagaph"/>
        <w:ind w:firstLine="720"/>
        <w:rPr>
          <w:szCs w:val="24"/>
        </w:rPr>
      </w:pPr>
      <w:r w:rsidRPr="009448E1">
        <w:rPr>
          <w:szCs w:val="24"/>
        </w:rPr>
        <w:t>§ 3. Section 28-101.4.3 of the administrative code of the city of New York is amended to add a new exception 21 to read as follows:</w:t>
      </w:r>
    </w:p>
    <w:p w14:paraId="034EB2AD" w14:textId="77777777" w:rsidR="005A1AC5" w:rsidRDefault="005A1AC5" w:rsidP="005A1AC5">
      <w:pPr>
        <w:pStyle w:val="DoubleSpaceParagaph"/>
        <w:spacing w:after="240" w:line="240" w:lineRule="auto"/>
        <w:ind w:firstLine="720"/>
        <w:rPr>
          <w:szCs w:val="24"/>
        </w:rPr>
      </w:pPr>
      <w:r w:rsidRPr="009448E1">
        <w:rPr>
          <w:szCs w:val="24"/>
          <w:u w:val="single"/>
        </w:rPr>
        <w:t xml:space="preserve">21. Shared housing dwellings. Alteration of a building </w:t>
      </w:r>
      <w:bookmarkStart w:id="5" w:name="_Hlk213342781"/>
      <w:r w:rsidRPr="009448E1">
        <w:rPr>
          <w:szCs w:val="24"/>
          <w:u w:val="single"/>
        </w:rPr>
        <w:t>involving the creation or alteration of shared housing rooming units</w:t>
      </w:r>
      <w:r>
        <w:rPr>
          <w:szCs w:val="24"/>
          <w:u w:val="single"/>
        </w:rPr>
        <w:t>,</w:t>
      </w:r>
      <w:r w:rsidRPr="009448E1">
        <w:rPr>
          <w:szCs w:val="24"/>
          <w:u w:val="single"/>
        </w:rPr>
        <w:t xml:space="preserve"> as defined in</w:t>
      </w:r>
      <w:r>
        <w:rPr>
          <w:szCs w:val="24"/>
          <w:u w:val="single"/>
        </w:rPr>
        <w:t xml:space="preserve"> paragraph 15-a of subdivision a of section 27-2004,</w:t>
      </w:r>
      <w:r w:rsidRPr="009448E1">
        <w:rPr>
          <w:szCs w:val="24"/>
          <w:u w:val="single"/>
        </w:rPr>
        <w:t xml:space="preserve"> shall be governed by appendix T</w:t>
      </w:r>
      <w:bookmarkEnd w:id="5"/>
      <w:r>
        <w:rPr>
          <w:szCs w:val="24"/>
          <w:u w:val="single"/>
        </w:rPr>
        <w:t xml:space="preserve"> of the New York city building code</w:t>
      </w:r>
      <w:r w:rsidRPr="009448E1">
        <w:rPr>
          <w:szCs w:val="24"/>
          <w:u w:val="single"/>
        </w:rPr>
        <w:t>.</w:t>
      </w:r>
    </w:p>
    <w:p w14:paraId="7D29497F" w14:textId="77777777" w:rsidR="005A1AC5" w:rsidRPr="00497233" w:rsidRDefault="005A1AC5" w:rsidP="005A1AC5">
      <w:pPr>
        <w:spacing w:line="480" w:lineRule="auto"/>
        <w:rPr>
          <w:u w:val="single"/>
        </w:rPr>
      </w:pPr>
      <w:r w:rsidRPr="009448E1">
        <w:t xml:space="preserve">§ 4. The New York city building code is amended </w:t>
      </w:r>
      <w:r>
        <w:t>by</w:t>
      </w:r>
      <w:r w:rsidRPr="009448E1">
        <w:t xml:space="preserve"> add</w:t>
      </w:r>
      <w:r>
        <w:t>ing</w:t>
      </w:r>
      <w:r w:rsidRPr="009448E1">
        <w:t xml:space="preserve"> a new appendix T to read as follows</w:t>
      </w:r>
      <w:r>
        <w:t>:</w:t>
      </w:r>
    </w:p>
    <w:p w14:paraId="33F58540" w14:textId="77777777" w:rsidR="005A1AC5" w:rsidRPr="00601FDC" w:rsidRDefault="005A1AC5" w:rsidP="005A1AC5">
      <w:pPr>
        <w:jc w:val="center"/>
        <w:rPr>
          <w:b/>
          <w:bCs/>
        </w:rPr>
      </w:pPr>
      <w:r w:rsidRPr="00601FDC">
        <w:rPr>
          <w:b/>
          <w:bCs/>
        </w:rPr>
        <w:t>APPENDIX T</w:t>
      </w:r>
    </w:p>
    <w:p w14:paraId="6D05B93F" w14:textId="77777777" w:rsidR="005A1AC5" w:rsidRPr="00601FDC" w:rsidRDefault="005A1AC5" w:rsidP="005A1AC5">
      <w:pPr>
        <w:jc w:val="center"/>
        <w:rPr>
          <w:b/>
          <w:bCs/>
        </w:rPr>
      </w:pPr>
      <w:r w:rsidRPr="00601FDC">
        <w:rPr>
          <w:b/>
          <w:bCs/>
        </w:rPr>
        <w:t>SHARED HOUSING PROGRAM</w:t>
      </w:r>
    </w:p>
    <w:p w14:paraId="0FA08D4B" w14:textId="77777777" w:rsidR="005A1AC5" w:rsidRPr="00601FDC" w:rsidRDefault="005A1AC5" w:rsidP="005A1AC5">
      <w:pPr>
        <w:jc w:val="center"/>
        <w:rPr>
          <w:b/>
          <w:bCs/>
        </w:rPr>
      </w:pPr>
    </w:p>
    <w:p w14:paraId="1D591CD6" w14:textId="77777777" w:rsidR="005A1AC5" w:rsidRPr="00601FDC" w:rsidRDefault="005A1AC5" w:rsidP="005A1AC5">
      <w:pPr>
        <w:keepNext/>
        <w:suppressAutoHyphens/>
        <w:spacing w:after="240"/>
        <w:jc w:val="center"/>
        <w:outlineLvl w:val="0"/>
        <w:rPr>
          <w:b/>
          <w:bCs/>
          <w:u w:val="single"/>
        </w:rPr>
      </w:pPr>
      <w:r w:rsidRPr="00601FDC">
        <w:rPr>
          <w:b/>
          <w:bCs/>
          <w:u w:val="single"/>
        </w:rPr>
        <w:t>SECTION BC T101</w:t>
      </w:r>
      <w:r w:rsidRPr="00601FDC">
        <w:rPr>
          <w:b/>
          <w:bCs/>
          <w:u w:val="single"/>
        </w:rPr>
        <w:br/>
        <w:t>GENERAL</w:t>
      </w:r>
    </w:p>
    <w:p w14:paraId="7EB4061F" w14:textId="77777777" w:rsidR="005A1AC5" w:rsidRPr="00601FDC" w:rsidRDefault="005A1AC5" w:rsidP="005A1AC5">
      <w:pPr>
        <w:spacing w:before="240" w:after="240" w:line="259" w:lineRule="auto"/>
        <w:rPr>
          <w:u w:val="single"/>
        </w:rPr>
      </w:pPr>
      <w:r w:rsidRPr="00601FDC">
        <w:rPr>
          <w:b/>
          <w:bCs/>
          <w:u w:val="single"/>
        </w:rPr>
        <w:t>T101.1 Scope.</w:t>
      </w:r>
      <w:r w:rsidRPr="00601FDC">
        <w:rPr>
          <w:u w:val="single"/>
        </w:rPr>
        <w:t xml:space="preserve"> Except as modified by the express provisions of this appendix, shared housing dwellings shall be constructed in accordance with all applicable requirements in the </w:t>
      </w:r>
      <w:r w:rsidRPr="00601FDC">
        <w:rPr>
          <w:i/>
          <w:iCs/>
          <w:u w:val="single"/>
        </w:rPr>
        <w:t>New York City Construction Codes</w:t>
      </w:r>
      <w:r w:rsidRPr="00601FDC">
        <w:rPr>
          <w:u w:val="single"/>
        </w:rPr>
        <w:t xml:space="preserve">. Each shared housing rooming unit shall be considered as one dwelling unit except as otherwise stated in this appendix. On or after January 1, 2027, no room in any multiple dwelling shall be used as a shared housing rooming unit unless such room complies with this appendix and the </w:t>
      </w:r>
      <w:r w:rsidRPr="00601FDC">
        <w:rPr>
          <w:i/>
          <w:iCs/>
          <w:u w:val="single"/>
        </w:rPr>
        <w:t>New York City Construction Codes</w:t>
      </w:r>
      <w:r w:rsidRPr="00601FDC">
        <w:rPr>
          <w:u w:val="single"/>
        </w:rPr>
        <w:t>.</w:t>
      </w:r>
    </w:p>
    <w:p w14:paraId="5B5BBEEF" w14:textId="77777777" w:rsidR="005A1AC5" w:rsidRPr="00601FDC" w:rsidRDefault="005A1AC5" w:rsidP="005A1AC5">
      <w:pPr>
        <w:spacing w:before="240" w:after="240" w:line="259" w:lineRule="auto"/>
        <w:ind w:left="360"/>
        <w:rPr>
          <w:u w:val="single"/>
        </w:rPr>
      </w:pPr>
      <w:r w:rsidRPr="00601FDC">
        <w:rPr>
          <w:b/>
          <w:bCs/>
          <w:u w:val="single"/>
        </w:rPr>
        <w:t>T101.1.1 Locations of shared housing rooming units within the building.</w:t>
      </w:r>
      <w:r w:rsidRPr="00601FDC">
        <w:rPr>
          <w:u w:val="single"/>
        </w:rPr>
        <w:t xml:space="preserve"> Where one or more shared housing rooming units are provided on any floor, the residential portion of the entire floor of such building shall be designated as Group R-2 shared housing dwelling. Dwelling units that are not shared housing rooming units shall not be permitted on the same floor as a shared housing rooming unit</w:t>
      </w:r>
      <w:r>
        <w:rPr>
          <w:u w:val="single"/>
        </w:rPr>
        <w:t>.</w:t>
      </w:r>
    </w:p>
    <w:p w14:paraId="69B8B169" w14:textId="77777777" w:rsidR="005A1AC5" w:rsidRPr="00601FDC" w:rsidRDefault="005A1AC5" w:rsidP="005A1AC5">
      <w:pPr>
        <w:snapToGrid w:val="0"/>
        <w:spacing w:before="240" w:after="240"/>
        <w:ind w:left="360"/>
        <w:rPr>
          <w:u w:val="single"/>
        </w:rPr>
      </w:pPr>
      <w:r w:rsidRPr="00601FDC">
        <w:rPr>
          <w:b/>
          <w:bCs/>
          <w:u w:val="single"/>
        </w:rPr>
        <w:t>T101.1.2 Existing buildings.</w:t>
      </w:r>
      <w:r w:rsidRPr="00601FDC">
        <w:rPr>
          <w:u w:val="single"/>
        </w:rPr>
        <w:t xml:space="preserve"> Where permitted by Section 27-2079.1 of the </w:t>
      </w:r>
      <w:r w:rsidRPr="00601FDC">
        <w:rPr>
          <w:i/>
          <w:iCs/>
          <w:u w:val="single"/>
        </w:rPr>
        <w:t>New York City Housing Maintenance Code</w:t>
      </w:r>
      <w:r w:rsidRPr="00601FDC">
        <w:rPr>
          <w:u w:val="single"/>
        </w:rPr>
        <w:t>, the creation of shared housing rooming units in an existing building shall comply with all applicable provisions of this appendix and the following:</w:t>
      </w:r>
    </w:p>
    <w:p w14:paraId="6D7AFA22" w14:textId="77777777" w:rsidR="005A1AC5" w:rsidRPr="00601FDC" w:rsidRDefault="005A1AC5" w:rsidP="005A1AC5">
      <w:pPr>
        <w:snapToGrid w:val="0"/>
        <w:spacing w:before="240" w:after="240"/>
        <w:ind w:left="720"/>
        <w:rPr>
          <w:rFonts w:eastAsia="Calibri"/>
          <w:kern w:val="2"/>
          <w:u w:val="single"/>
        </w:rPr>
      </w:pPr>
      <w:r w:rsidRPr="00601FDC">
        <w:rPr>
          <w:rFonts w:eastAsia="Calibri"/>
          <w:kern w:val="2"/>
          <w:u w:val="single"/>
        </w:rPr>
        <w:t>1.</w:t>
      </w:r>
      <w:r>
        <w:rPr>
          <w:rFonts w:eastAsia="Calibri"/>
          <w:kern w:val="2"/>
          <w:u w:val="single"/>
        </w:rPr>
        <w:tab/>
      </w:r>
      <w:r w:rsidRPr="00601FDC">
        <w:rPr>
          <w:rFonts w:eastAsia="Calibri"/>
          <w:kern w:val="2"/>
          <w:u w:val="single"/>
        </w:rPr>
        <w:t xml:space="preserve">A building or portion of a building converted or altered to a shared housing dwelling shall be subject to all provisions of the </w:t>
      </w:r>
      <w:r w:rsidRPr="00601FDC">
        <w:rPr>
          <w:rFonts w:eastAsia="Calibri"/>
          <w:i/>
          <w:iCs/>
          <w:kern w:val="2"/>
          <w:u w:val="single"/>
        </w:rPr>
        <w:t>New York State Multiple Dwelling Law</w:t>
      </w:r>
      <w:r w:rsidRPr="00601FDC">
        <w:rPr>
          <w:rFonts w:eastAsia="Calibri"/>
          <w:kern w:val="2"/>
          <w:u w:val="single"/>
        </w:rPr>
        <w:t xml:space="preserve"> applicable to a Class A multiple dwelling erected on or after December 6, 1969. </w:t>
      </w:r>
    </w:p>
    <w:p w14:paraId="21DAE742" w14:textId="77777777" w:rsidR="005A1AC5" w:rsidRPr="00601FDC" w:rsidRDefault="005A1AC5" w:rsidP="005A1AC5">
      <w:pPr>
        <w:snapToGrid w:val="0"/>
        <w:spacing w:before="240" w:after="240"/>
        <w:ind w:left="720"/>
        <w:rPr>
          <w:rFonts w:eastAsia="Calibri"/>
          <w:kern w:val="2"/>
          <w:u w:val="single"/>
        </w:rPr>
      </w:pPr>
      <w:r w:rsidRPr="00601FDC">
        <w:rPr>
          <w:rFonts w:eastAsia="Calibri"/>
          <w:kern w:val="2"/>
          <w:u w:val="single"/>
        </w:rPr>
        <w:t>2.</w:t>
      </w:r>
      <w:r>
        <w:rPr>
          <w:rFonts w:eastAsia="Calibri"/>
          <w:kern w:val="2"/>
          <w:u w:val="single"/>
        </w:rPr>
        <w:tab/>
        <w:t>A f</w:t>
      </w:r>
      <w:r w:rsidRPr="00601FDC">
        <w:rPr>
          <w:rFonts w:eastAsia="Calibri"/>
          <w:kern w:val="2"/>
          <w:u w:val="single"/>
        </w:rPr>
        <w:t>ire escape or exterior screened stairway</w:t>
      </w:r>
      <w:r>
        <w:rPr>
          <w:rFonts w:eastAsia="Calibri"/>
          <w:kern w:val="2"/>
          <w:u w:val="single"/>
        </w:rPr>
        <w:t>,</w:t>
      </w:r>
      <w:r w:rsidRPr="00601FDC">
        <w:rPr>
          <w:rFonts w:eastAsia="Calibri"/>
          <w:kern w:val="2"/>
          <w:u w:val="single"/>
        </w:rPr>
        <w:t xml:space="preserve"> </w:t>
      </w:r>
      <w:r>
        <w:rPr>
          <w:rFonts w:eastAsia="Calibri"/>
          <w:kern w:val="2"/>
          <w:u w:val="single"/>
        </w:rPr>
        <w:t xml:space="preserve">as defined in </w:t>
      </w:r>
      <w:r w:rsidRPr="00601FDC">
        <w:rPr>
          <w:rFonts w:eastAsia="Calibri"/>
          <w:kern w:val="2"/>
          <w:u w:val="single"/>
        </w:rPr>
        <w:t xml:space="preserve">Section 268 of the </w:t>
      </w:r>
      <w:r w:rsidRPr="00601FDC">
        <w:rPr>
          <w:rFonts w:eastAsia="Calibri"/>
          <w:i/>
          <w:iCs/>
          <w:kern w:val="2"/>
          <w:u w:val="single"/>
        </w:rPr>
        <w:t>New York State Labor Law</w:t>
      </w:r>
      <w:r>
        <w:rPr>
          <w:rFonts w:eastAsia="Calibri"/>
          <w:kern w:val="2"/>
          <w:u w:val="single"/>
        </w:rPr>
        <w:t>,</w:t>
      </w:r>
      <w:r w:rsidRPr="00601FDC">
        <w:rPr>
          <w:rFonts w:eastAsia="Calibri"/>
          <w:kern w:val="2"/>
          <w:u w:val="single"/>
        </w:rPr>
        <w:t xml:space="preserve"> </w:t>
      </w:r>
      <w:r>
        <w:rPr>
          <w:rFonts w:eastAsia="Calibri"/>
          <w:kern w:val="2"/>
          <w:u w:val="single"/>
        </w:rPr>
        <w:t xml:space="preserve">is not </w:t>
      </w:r>
      <w:r w:rsidRPr="00601FDC">
        <w:rPr>
          <w:rFonts w:eastAsia="Calibri"/>
          <w:kern w:val="2"/>
          <w:u w:val="single"/>
        </w:rPr>
        <w:t>a means of egress for a shared housing dwelling.</w:t>
      </w:r>
    </w:p>
    <w:p w14:paraId="65E6A105" w14:textId="77777777" w:rsidR="005A1AC5" w:rsidRPr="00601FDC" w:rsidRDefault="005A1AC5" w:rsidP="005A1AC5">
      <w:pPr>
        <w:snapToGrid w:val="0"/>
        <w:spacing w:before="240" w:after="240"/>
        <w:ind w:left="720"/>
        <w:rPr>
          <w:rFonts w:eastAsia="Calibri"/>
          <w:kern w:val="2"/>
          <w:u w:val="single"/>
        </w:rPr>
      </w:pPr>
      <w:r w:rsidRPr="00601FDC">
        <w:rPr>
          <w:rFonts w:eastAsia="Calibri"/>
          <w:kern w:val="2"/>
          <w:u w:val="single"/>
        </w:rPr>
        <w:t>3.</w:t>
      </w:r>
      <w:r>
        <w:rPr>
          <w:rFonts w:eastAsia="Calibri"/>
          <w:kern w:val="2"/>
          <w:u w:val="single"/>
        </w:rPr>
        <w:tab/>
      </w:r>
      <w:r w:rsidRPr="00601FDC">
        <w:rPr>
          <w:rFonts w:eastAsia="Calibri"/>
          <w:kern w:val="2"/>
          <w:u w:val="single"/>
        </w:rPr>
        <w:t>No building or portion of the building shall be altered or converted to a shared housing dwelling unless the number of exits and the capacity of existing means of egress comply with Chapter 10 and Section T304.</w:t>
      </w:r>
    </w:p>
    <w:p w14:paraId="5BBC390C" w14:textId="77777777" w:rsidR="005A1AC5" w:rsidRPr="00601FDC" w:rsidRDefault="005A1AC5" w:rsidP="005A1AC5">
      <w:pPr>
        <w:snapToGrid w:val="0"/>
        <w:spacing w:before="240" w:after="240"/>
        <w:ind w:left="720"/>
        <w:rPr>
          <w:rFonts w:eastAsia="Calibri"/>
          <w:kern w:val="2"/>
          <w:u w:val="single"/>
        </w:rPr>
      </w:pPr>
      <w:r w:rsidRPr="00601FDC">
        <w:rPr>
          <w:rFonts w:eastAsia="Calibri"/>
          <w:kern w:val="2"/>
          <w:u w:val="single"/>
        </w:rPr>
        <w:t>4.</w:t>
      </w:r>
      <w:r>
        <w:rPr>
          <w:rFonts w:eastAsia="Calibri"/>
          <w:kern w:val="2"/>
          <w:u w:val="single"/>
        </w:rPr>
        <w:tab/>
      </w:r>
      <w:r w:rsidRPr="00601FDC">
        <w:rPr>
          <w:rFonts w:eastAsia="Calibri"/>
          <w:kern w:val="2"/>
          <w:u w:val="single"/>
        </w:rPr>
        <w:t>No building shall be enlarged beyond that permitted under the applicable provisions of Chapter 5.</w:t>
      </w:r>
    </w:p>
    <w:p w14:paraId="5EE56157" w14:textId="77777777" w:rsidR="005A1AC5" w:rsidRPr="00601FDC" w:rsidRDefault="005A1AC5" w:rsidP="005A1AC5">
      <w:pPr>
        <w:snapToGrid w:val="0"/>
        <w:spacing w:before="240" w:after="240"/>
        <w:rPr>
          <w:u w:val="single"/>
        </w:rPr>
      </w:pPr>
      <w:r w:rsidRPr="00601FDC">
        <w:rPr>
          <w:b/>
          <w:bCs/>
          <w:u w:val="single"/>
        </w:rPr>
        <w:t>T101.2 Multiple dwelling classifications.</w:t>
      </w:r>
      <w:r w:rsidRPr="00601FDC">
        <w:rPr>
          <w:u w:val="single"/>
        </w:rPr>
        <w:t xml:space="preserve"> Shared housing dwellings shall be classified as Hereafter Erected Class A Multiple Dwelling - Shared Housing (HAEA-SH).</w:t>
      </w:r>
    </w:p>
    <w:p w14:paraId="20D43A99" w14:textId="77777777" w:rsidR="005A1AC5" w:rsidRPr="00601FDC" w:rsidRDefault="005A1AC5" w:rsidP="005A1AC5">
      <w:pPr>
        <w:snapToGrid w:val="0"/>
        <w:spacing w:before="240" w:after="240"/>
        <w:rPr>
          <w:u w:val="single"/>
        </w:rPr>
      </w:pPr>
      <w:r w:rsidRPr="00601FDC">
        <w:rPr>
          <w:b/>
          <w:bCs/>
          <w:u w:val="single"/>
        </w:rPr>
        <w:t>T101.3 Certificate of occupancy.</w:t>
      </w:r>
      <w:r w:rsidRPr="00601FDC">
        <w:rPr>
          <w:u w:val="single"/>
        </w:rPr>
        <w:t xml:space="preserve"> No shared housing rooming units shall be used for dwelling purposes without a certificate of occupancy issued by the commissioner in accordance with Section 28-118.6 of the </w:t>
      </w:r>
      <w:r w:rsidRPr="00601FDC">
        <w:rPr>
          <w:i/>
          <w:iCs/>
          <w:u w:val="single"/>
        </w:rPr>
        <w:t>New York City Administrative Code</w:t>
      </w:r>
      <w:r w:rsidRPr="00601FDC">
        <w:rPr>
          <w:u w:val="single"/>
        </w:rPr>
        <w:t xml:space="preserve">. In addition to the information required by Section 28-118.6 of the </w:t>
      </w:r>
      <w:r w:rsidRPr="00601FDC">
        <w:rPr>
          <w:i/>
          <w:iCs/>
          <w:u w:val="single"/>
        </w:rPr>
        <w:t>New York City Administrative Code</w:t>
      </w:r>
      <w:r w:rsidRPr="00601FDC">
        <w:rPr>
          <w:u w:val="single"/>
        </w:rPr>
        <w:t>, such certificate of occupancy shall also contain the following:</w:t>
      </w:r>
    </w:p>
    <w:p w14:paraId="08D8B9F4" w14:textId="77777777" w:rsidR="005A1AC5" w:rsidRPr="00601FDC" w:rsidRDefault="005A1AC5" w:rsidP="005A1AC5">
      <w:pPr>
        <w:snapToGrid w:val="0"/>
        <w:spacing w:before="240" w:after="240"/>
        <w:ind w:left="720"/>
        <w:rPr>
          <w:rFonts w:eastAsia="Calibri"/>
          <w:kern w:val="2"/>
          <w:u w:val="single"/>
        </w:rPr>
      </w:pPr>
      <w:r w:rsidRPr="00601FDC">
        <w:rPr>
          <w:rFonts w:eastAsia="Calibri"/>
          <w:kern w:val="2"/>
          <w:u w:val="single"/>
        </w:rPr>
        <w:t>1.</w:t>
      </w:r>
      <w:r>
        <w:rPr>
          <w:rFonts w:eastAsia="Calibri"/>
          <w:kern w:val="2"/>
          <w:u w:val="single"/>
        </w:rPr>
        <w:tab/>
        <w:t>The n</w:t>
      </w:r>
      <w:r w:rsidRPr="00601FDC">
        <w:rPr>
          <w:rFonts w:eastAsia="Calibri"/>
          <w:kern w:val="2"/>
          <w:u w:val="single"/>
        </w:rPr>
        <w:t>umber of shared housing rooming units for the entire building and each floor.</w:t>
      </w:r>
    </w:p>
    <w:p w14:paraId="7D628C38" w14:textId="77777777" w:rsidR="005A1AC5" w:rsidRDefault="005A1AC5" w:rsidP="005A1AC5">
      <w:pPr>
        <w:snapToGrid w:val="0"/>
        <w:spacing w:before="240" w:after="240"/>
        <w:ind w:left="720"/>
        <w:rPr>
          <w:rFonts w:eastAsia="Calibri"/>
          <w:kern w:val="2"/>
          <w:u w:val="single"/>
        </w:rPr>
      </w:pPr>
      <w:r w:rsidRPr="00601FDC">
        <w:rPr>
          <w:rFonts w:eastAsia="Calibri"/>
          <w:kern w:val="2"/>
          <w:u w:val="single"/>
        </w:rPr>
        <w:t>2.</w:t>
      </w:r>
      <w:r>
        <w:rPr>
          <w:rFonts w:eastAsia="Calibri"/>
          <w:kern w:val="2"/>
          <w:u w:val="single"/>
        </w:rPr>
        <w:tab/>
      </w:r>
      <w:r w:rsidRPr="00601FDC">
        <w:rPr>
          <w:rFonts w:eastAsia="Calibri"/>
          <w:kern w:val="2"/>
          <w:u w:val="single"/>
        </w:rPr>
        <w:t>The following statement: “Shared housing rooming units are constructed in accordance with HMC 27-2079.1 and BC Appendix T, the occupancy of each shared housing rooming unit shall not exceed the limit set forth in HMC 27-2079.1</w:t>
      </w:r>
      <w:r>
        <w:rPr>
          <w:rFonts w:eastAsia="Calibri"/>
          <w:kern w:val="2"/>
          <w:u w:val="single"/>
        </w:rPr>
        <w:t>.”</w:t>
      </w:r>
    </w:p>
    <w:p w14:paraId="48AA4498" w14:textId="77777777" w:rsidR="005A1AC5" w:rsidRPr="00601FDC" w:rsidRDefault="005A1AC5" w:rsidP="005A1AC5">
      <w:pPr>
        <w:snapToGrid w:val="0"/>
        <w:spacing w:before="240" w:after="240"/>
        <w:rPr>
          <w:rFonts w:eastAsia="Calibri"/>
          <w:kern w:val="2"/>
          <w:u w:val="single"/>
        </w:rPr>
      </w:pPr>
      <w:r w:rsidRPr="00601FDC">
        <w:rPr>
          <w:b/>
          <w:bCs/>
          <w:u w:val="single"/>
        </w:rPr>
        <w:t>T101.4 Identification of shared housing rooming units and shared housing suites</w:t>
      </w:r>
      <w:r w:rsidRPr="00601FDC">
        <w:rPr>
          <w:u w:val="single"/>
        </w:rPr>
        <w:t>. All shared housing rooming units and shared housing suites shall be identified in accordance with</w:t>
      </w:r>
      <w:r>
        <w:rPr>
          <w:u w:val="single"/>
        </w:rPr>
        <w:t xml:space="preserve"> Section 505.3 of</w:t>
      </w:r>
      <w:r w:rsidRPr="00601FDC">
        <w:rPr>
          <w:u w:val="single"/>
        </w:rPr>
        <w:t xml:space="preserve"> the </w:t>
      </w:r>
      <w:r w:rsidRPr="00601FDC">
        <w:rPr>
          <w:i/>
          <w:iCs/>
          <w:u w:val="single"/>
        </w:rPr>
        <w:t>New York City Fire Code.</w:t>
      </w:r>
    </w:p>
    <w:p w14:paraId="4716459F" w14:textId="77777777" w:rsidR="005A1AC5" w:rsidRPr="00601FDC" w:rsidRDefault="005A1AC5" w:rsidP="005A1AC5">
      <w:pPr>
        <w:keepNext/>
        <w:suppressAutoHyphens/>
        <w:snapToGrid w:val="0"/>
        <w:spacing w:before="120" w:after="120"/>
        <w:jc w:val="center"/>
        <w:outlineLvl w:val="0"/>
        <w:rPr>
          <w:b/>
          <w:bCs/>
          <w:u w:val="single"/>
        </w:rPr>
      </w:pPr>
      <w:r w:rsidRPr="00601FDC">
        <w:rPr>
          <w:b/>
          <w:bCs/>
          <w:u w:val="single"/>
        </w:rPr>
        <w:t>SECTION BC T201</w:t>
      </w:r>
      <w:r w:rsidRPr="00601FDC">
        <w:rPr>
          <w:b/>
          <w:bCs/>
          <w:u w:val="single"/>
        </w:rPr>
        <w:br/>
        <w:t>DEFINITIONS</w:t>
      </w:r>
    </w:p>
    <w:p w14:paraId="3C79CCC3" w14:textId="77777777" w:rsidR="005A1AC5" w:rsidRPr="00601FDC" w:rsidRDefault="005A1AC5" w:rsidP="005A1AC5">
      <w:pPr>
        <w:snapToGrid w:val="0"/>
        <w:spacing w:before="240" w:after="240"/>
        <w:rPr>
          <w:b/>
          <w:bCs/>
          <w:u w:val="single"/>
        </w:rPr>
      </w:pPr>
      <w:r w:rsidRPr="00601FDC">
        <w:rPr>
          <w:b/>
          <w:bCs/>
          <w:u w:val="single"/>
        </w:rPr>
        <w:t xml:space="preserve">T201.1 Definitions. </w:t>
      </w:r>
      <w:r w:rsidRPr="00601FDC">
        <w:rPr>
          <w:u w:val="single"/>
        </w:rPr>
        <w:t>This section contains terms defined elsewhere in this code, and terms with definitions that are specific to this appendix.</w:t>
      </w:r>
    </w:p>
    <w:p w14:paraId="27B1332D" w14:textId="77777777" w:rsidR="005A1AC5" w:rsidRPr="00601FDC" w:rsidRDefault="005A1AC5" w:rsidP="005A1AC5">
      <w:pPr>
        <w:snapToGrid w:val="0"/>
        <w:spacing w:before="240" w:after="240"/>
        <w:ind w:left="360"/>
        <w:rPr>
          <w:u w:val="single"/>
        </w:rPr>
      </w:pPr>
      <w:r w:rsidRPr="00601FDC">
        <w:rPr>
          <w:b/>
          <w:bCs/>
          <w:u w:val="single"/>
        </w:rPr>
        <w:t xml:space="preserve">T201.1.1 Terms defined elsewhere in this code. </w:t>
      </w:r>
      <w:r w:rsidRPr="00601FDC">
        <w:rPr>
          <w:u w:val="single"/>
        </w:rPr>
        <w:t>The following terms are defined in Chapter 2:</w:t>
      </w:r>
    </w:p>
    <w:p w14:paraId="5405131F" w14:textId="77777777" w:rsidR="005A1AC5" w:rsidRPr="00601FDC" w:rsidRDefault="005A1AC5" w:rsidP="005A1AC5">
      <w:pPr>
        <w:snapToGrid w:val="0"/>
        <w:spacing w:before="240" w:after="240"/>
        <w:ind w:left="360"/>
        <w:rPr>
          <w:b/>
          <w:bCs/>
          <w:u w:val="single"/>
        </w:rPr>
      </w:pPr>
      <w:r w:rsidRPr="00601FDC">
        <w:rPr>
          <w:b/>
          <w:bCs/>
          <w:u w:val="single"/>
        </w:rPr>
        <w:t>ACCESSIBLE.</w:t>
      </w:r>
    </w:p>
    <w:p w14:paraId="61BB7AEE" w14:textId="77777777" w:rsidR="005A1AC5" w:rsidRPr="00601FDC" w:rsidRDefault="005A1AC5" w:rsidP="005A1AC5">
      <w:pPr>
        <w:snapToGrid w:val="0"/>
        <w:spacing w:before="240" w:after="240"/>
        <w:ind w:left="360"/>
        <w:rPr>
          <w:b/>
          <w:bCs/>
          <w:u w:val="single"/>
        </w:rPr>
      </w:pPr>
      <w:r w:rsidRPr="00601FDC">
        <w:rPr>
          <w:b/>
          <w:bCs/>
          <w:u w:val="single"/>
        </w:rPr>
        <w:t>ACCESSIBLE UNIT.</w:t>
      </w:r>
    </w:p>
    <w:p w14:paraId="7067E129" w14:textId="77777777" w:rsidR="005A1AC5" w:rsidRPr="00601FDC" w:rsidRDefault="005A1AC5" w:rsidP="005A1AC5">
      <w:pPr>
        <w:snapToGrid w:val="0"/>
        <w:spacing w:before="240" w:after="240"/>
        <w:ind w:left="360"/>
        <w:rPr>
          <w:b/>
          <w:bCs/>
          <w:u w:val="single"/>
        </w:rPr>
      </w:pPr>
      <w:r w:rsidRPr="00601FDC">
        <w:rPr>
          <w:b/>
          <w:bCs/>
          <w:u w:val="single"/>
        </w:rPr>
        <w:t>DWELLING.</w:t>
      </w:r>
    </w:p>
    <w:p w14:paraId="5C35E6E4" w14:textId="77777777" w:rsidR="005A1AC5" w:rsidRPr="00601FDC" w:rsidRDefault="005A1AC5" w:rsidP="005A1AC5">
      <w:pPr>
        <w:snapToGrid w:val="0"/>
        <w:spacing w:before="240" w:after="240"/>
        <w:ind w:left="360"/>
        <w:rPr>
          <w:b/>
          <w:bCs/>
          <w:u w:val="single"/>
        </w:rPr>
      </w:pPr>
      <w:r w:rsidRPr="00601FDC">
        <w:rPr>
          <w:b/>
          <w:bCs/>
          <w:u w:val="single"/>
        </w:rPr>
        <w:t>DWELLING, MULTIPLE.</w:t>
      </w:r>
    </w:p>
    <w:p w14:paraId="1AE7A28E" w14:textId="77777777" w:rsidR="005A1AC5" w:rsidRPr="00601FDC" w:rsidRDefault="005A1AC5" w:rsidP="005A1AC5">
      <w:pPr>
        <w:snapToGrid w:val="0"/>
        <w:spacing w:before="240" w:after="240"/>
        <w:ind w:left="360"/>
        <w:rPr>
          <w:b/>
          <w:bCs/>
          <w:u w:val="single"/>
        </w:rPr>
      </w:pPr>
      <w:r w:rsidRPr="00601FDC">
        <w:rPr>
          <w:b/>
          <w:bCs/>
          <w:u w:val="single"/>
        </w:rPr>
        <w:t>DWELLING UNIT.</w:t>
      </w:r>
    </w:p>
    <w:p w14:paraId="4353E060" w14:textId="77777777" w:rsidR="005A1AC5" w:rsidRPr="00601FDC" w:rsidRDefault="005A1AC5" w:rsidP="005A1AC5">
      <w:pPr>
        <w:snapToGrid w:val="0"/>
        <w:spacing w:before="240" w:after="240"/>
        <w:ind w:left="360"/>
        <w:rPr>
          <w:b/>
          <w:bCs/>
          <w:u w:val="single"/>
        </w:rPr>
      </w:pPr>
      <w:r w:rsidRPr="00601FDC">
        <w:rPr>
          <w:b/>
          <w:bCs/>
          <w:u w:val="single"/>
        </w:rPr>
        <w:t>DWELLING UNIT (ACCESSIBILITY).</w:t>
      </w:r>
    </w:p>
    <w:p w14:paraId="03D3A4F6" w14:textId="77777777" w:rsidR="005A1AC5" w:rsidRPr="00601FDC" w:rsidRDefault="005A1AC5" w:rsidP="005A1AC5">
      <w:pPr>
        <w:snapToGrid w:val="0"/>
        <w:spacing w:before="240" w:after="240"/>
        <w:ind w:left="360"/>
        <w:rPr>
          <w:b/>
          <w:bCs/>
          <w:u w:val="single"/>
        </w:rPr>
      </w:pPr>
      <w:r w:rsidRPr="00601FDC">
        <w:rPr>
          <w:b/>
          <w:bCs/>
          <w:u w:val="single"/>
        </w:rPr>
        <w:t>EXIT.</w:t>
      </w:r>
    </w:p>
    <w:p w14:paraId="696C1BED" w14:textId="77777777" w:rsidR="005A1AC5" w:rsidRPr="00601FDC" w:rsidRDefault="005A1AC5" w:rsidP="005A1AC5">
      <w:pPr>
        <w:snapToGrid w:val="0"/>
        <w:spacing w:before="240" w:after="240"/>
        <w:ind w:left="360"/>
        <w:rPr>
          <w:b/>
          <w:bCs/>
          <w:u w:val="single"/>
        </w:rPr>
      </w:pPr>
      <w:r w:rsidRPr="00601FDC">
        <w:rPr>
          <w:b/>
          <w:bCs/>
          <w:u w:val="single"/>
        </w:rPr>
        <w:t>HABITABLE SPACE.</w:t>
      </w:r>
    </w:p>
    <w:p w14:paraId="73783387" w14:textId="77777777" w:rsidR="005A1AC5" w:rsidRPr="00601FDC" w:rsidRDefault="005A1AC5" w:rsidP="005A1AC5">
      <w:pPr>
        <w:snapToGrid w:val="0"/>
        <w:spacing w:before="240" w:after="240"/>
        <w:ind w:left="360"/>
        <w:rPr>
          <w:b/>
          <w:bCs/>
          <w:u w:val="single"/>
        </w:rPr>
      </w:pPr>
      <w:r w:rsidRPr="00601FDC">
        <w:rPr>
          <w:b/>
          <w:bCs/>
          <w:u w:val="single"/>
        </w:rPr>
        <w:t>TYPE B UNIT.</w:t>
      </w:r>
    </w:p>
    <w:p w14:paraId="655DB97A" w14:textId="77777777" w:rsidR="005A1AC5" w:rsidRPr="00601FDC" w:rsidRDefault="005A1AC5" w:rsidP="005A1AC5">
      <w:pPr>
        <w:snapToGrid w:val="0"/>
        <w:spacing w:before="240" w:after="240"/>
        <w:ind w:left="360"/>
        <w:rPr>
          <w:b/>
          <w:bCs/>
          <w:u w:val="single"/>
        </w:rPr>
      </w:pPr>
      <w:r w:rsidRPr="00601FDC">
        <w:rPr>
          <w:b/>
          <w:bCs/>
          <w:u w:val="single"/>
        </w:rPr>
        <w:t>TYPE B+NYC UNIT.</w:t>
      </w:r>
    </w:p>
    <w:p w14:paraId="57A16BD7" w14:textId="77777777" w:rsidR="005A1AC5" w:rsidRPr="00601FDC" w:rsidRDefault="005A1AC5" w:rsidP="005A1AC5">
      <w:pPr>
        <w:snapToGrid w:val="0"/>
        <w:spacing w:before="240" w:after="240"/>
        <w:ind w:left="360"/>
        <w:rPr>
          <w:u w:val="single"/>
        </w:rPr>
      </w:pPr>
      <w:r w:rsidRPr="00601FDC">
        <w:rPr>
          <w:b/>
          <w:bCs/>
          <w:u w:val="single"/>
        </w:rPr>
        <w:t xml:space="preserve">T201.1.2 Definitions specific to this appendix. </w:t>
      </w:r>
      <w:r w:rsidRPr="00601FDC">
        <w:rPr>
          <w:u w:val="single"/>
        </w:rPr>
        <w:t>The following words and terms shall, for the purposes of this appendix, have the meanings shown herein:</w:t>
      </w:r>
    </w:p>
    <w:p w14:paraId="66B2EDDF" w14:textId="77777777" w:rsidR="005A1AC5" w:rsidRPr="00601FDC" w:rsidRDefault="005A1AC5" w:rsidP="005A1AC5">
      <w:pPr>
        <w:snapToGrid w:val="0"/>
        <w:spacing w:before="240" w:after="240"/>
        <w:ind w:left="360"/>
        <w:rPr>
          <w:b/>
          <w:bCs/>
          <w:u w:val="single"/>
        </w:rPr>
      </w:pPr>
      <w:r w:rsidRPr="00601FDC">
        <w:rPr>
          <w:b/>
          <w:bCs/>
          <w:u w:val="single"/>
        </w:rPr>
        <w:t>DWELLING, SHARED HOUSING.</w:t>
      </w:r>
      <w:r w:rsidRPr="00601FDC">
        <w:rPr>
          <w:u w:val="single"/>
        </w:rPr>
        <w:t xml:space="preserve"> A building or a portion of a building containing shared housing suites and spaces for shared housing accessory uses, as such term is defined in the </w:t>
      </w:r>
      <w:r w:rsidRPr="00601FDC">
        <w:rPr>
          <w:i/>
          <w:iCs/>
          <w:u w:val="single"/>
        </w:rPr>
        <w:t>New York City Zoning Resolution</w:t>
      </w:r>
      <w:r w:rsidRPr="00601FDC">
        <w:rPr>
          <w:u w:val="single"/>
        </w:rPr>
        <w:t xml:space="preserve">. </w:t>
      </w:r>
    </w:p>
    <w:p w14:paraId="795C6AE3" w14:textId="77777777" w:rsidR="005A1AC5" w:rsidRPr="00601FDC" w:rsidRDefault="005A1AC5" w:rsidP="005A1AC5">
      <w:pPr>
        <w:snapToGrid w:val="0"/>
        <w:spacing w:before="240" w:after="240"/>
        <w:ind w:left="360"/>
        <w:rPr>
          <w:u w:val="single"/>
        </w:rPr>
      </w:pPr>
      <w:bookmarkStart w:id="6" w:name="_Hlk211859138"/>
      <w:r w:rsidRPr="00601FDC">
        <w:rPr>
          <w:b/>
          <w:bCs/>
          <w:u w:val="single"/>
        </w:rPr>
        <w:t xml:space="preserve">ROOMING UNIT, SHARED HOUSING. </w:t>
      </w:r>
      <w:r w:rsidRPr="00601FDC">
        <w:rPr>
          <w:u w:val="single"/>
        </w:rPr>
        <w:t xml:space="preserve">Shall have the same meaning as such term is defined in paragraph 15-a of subdivision a of section 27-2004 of the </w:t>
      </w:r>
      <w:r w:rsidRPr="00601FDC">
        <w:rPr>
          <w:i/>
          <w:iCs/>
          <w:u w:val="single"/>
        </w:rPr>
        <w:t>New York City Housing Maintenance Code</w:t>
      </w:r>
      <w:r w:rsidRPr="00601FDC">
        <w:rPr>
          <w:u w:val="single"/>
        </w:rPr>
        <w:t xml:space="preserve">. </w:t>
      </w:r>
    </w:p>
    <w:bookmarkEnd w:id="6"/>
    <w:p w14:paraId="697D6F5D" w14:textId="77777777" w:rsidR="005A1AC5" w:rsidRPr="00601FDC" w:rsidRDefault="005A1AC5" w:rsidP="005A1AC5">
      <w:pPr>
        <w:snapToGrid w:val="0"/>
        <w:spacing w:before="240" w:after="240"/>
        <w:ind w:left="360"/>
        <w:rPr>
          <w:u w:val="single"/>
        </w:rPr>
      </w:pPr>
      <w:r w:rsidRPr="00601FDC">
        <w:rPr>
          <w:b/>
          <w:bCs/>
          <w:u w:val="single"/>
        </w:rPr>
        <w:t xml:space="preserve">SHARED HOUSING SUITE. </w:t>
      </w:r>
      <w:r w:rsidRPr="00601FDC">
        <w:rPr>
          <w:u w:val="single"/>
        </w:rPr>
        <w:t xml:space="preserve">Shall have the same meaning as such term is defined in paragraph 14-a of subdivision a of section 27-2004 of the </w:t>
      </w:r>
      <w:r w:rsidRPr="00601FDC">
        <w:rPr>
          <w:i/>
          <w:iCs/>
          <w:u w:val="single"/>
        </w:rPr>
        <w:t>New York City Housing Maintenance Code</w:t>
      </w:r>
      <w:r w:rsidRPr="00601FDC">
        <w:rPr>
          <w:u w:val="single"/>
        </w:rPr>
        <w:t xml:space="preserve">. </w:t>
      </w:r>
    </w:p>
    <w:p w14:paraId="0C262804" w14:textId="77777777" w:rsidR="005A1AC5" w:rsidRPr="00C07C64" w:rsidRDefault="005A1AC5" w:rsidP="005A1AC5">
      <w:pPr>
        <w:keepNext/>
        <w:suppressAutoHyphens/>
        <w:snapToGrid w:val="0"/>
        <w:spacing w:before="120" w:after="240"/>
        <w:jc w:val="center"/>
        <w:outlineLvl w:val="0"/>
        <w:rPr>
          <w:b/>
          <w:bCs/>
          <w:u w:val="single"/>
        </w:rPr>
      </w:pPr>
      <w:r w:rsidRPr="00C07C64">
        <w:rPr>
          <w:b/>
          <w:bCs/>
          <w:u w:val="single"/>
        </w:rPr>
        <w:t>SECTION BC T301</w:t>
      </w:r>
      <w:r w:rsidRPr="00C07C64">
        <w:rPr>
          <w:b/>
          <w:bCs/>
          <w:u w:val="single"/>
        </w:rPr>
        <w:br/>
        <w:t>USE AND OCCUPANCY</w:t>
      </w:r>
    </w:p>
    <w:p w14:paraId="2ED9E424" w14:textId="77777777" w:rsidR="005A1AC5" w:rsidRPr="00C07C64" w:rsidRDefault="005A1AC5" w:rsidP="005A1AC5">
      <w:pPr>
        <w:snapToGrid w:val="0"/>
        <w:spacing w:before="240" w:after="240"/>
        <w:rPr>
          <w:u w:val="single"/>
        </w:rPr>
      </w:pPr>
      <w:r w:rsidRPr="00C07C64">
        <w:rPr>
          <w:b/>
          <w:bCs/>
          <w:u w:val="single"/>
        </w:rPr>
        <w:t xml:space="preserve">T301.1 Occupancy classification. </w:t>
      </w:r>
      <w:r w:rsidRPr="00C07C64">
        <w:rPr>
          <w:u w:val="single"/>
        </w:rPr>
        <w:t xml:space="preserve">Shared housing dwellings shall be classified as Residential Group R-2 occupancy in accordance with Section 310.4. Accessory parking facilities shall be classified </w:t>
      </w:r>
      <w:r>
        <w:rPr>
          <w:u w:val="single"/>
        </w:rPr>
        <w:t xml:space="preserve">as low-hazard storage, Group S-2, </w:t>
      </w:r>
      <w:r w:rsidRPr="00C07C64">
        <w:rPr>
          <w:u w:val="single"/>
        </w:rPr>
        <w:t>in accordance with Section 311.3.</w:t>
      </w:r>
    </w:p>
    <w:p w14:paraId="781205E0" w14:textId="77777777" w:rsidR="005A1AC5" w:rsidRPr="00C07C64" w:rsidRDefault="005A1AC5" w:rsidP="005A1AC5">
      <w:pPr>
        <w:snapToGrid w:val="0"/>
        <w:spacing w:before="240" w:after="240"/>
        <w:ind w:left="360"/>
        <w:rPr>
          <w:u w:val="single"/>
        </w:rPr>
      </w:pPr>
      <w:r w:rsidRPr="00C07C64">
        <w:rPr>
          <w:b/>
          <w:bCs/>
          <w:u w:val="single"/>
        </w:rPr>
        <w:t>Exception:</w:t>
      </w:r>
      <w:r w:rsidRPr="00C07C64">
        <w:rPr>
          <w:u w:val="single"/>
        </w:rPr>
        <w:t xml:space="preserve"> Common spaces classified in accordance with Section T301.2.</w:t>
      </w:r>
    </w:p>
    <w:p w14:paraId="6678698B" w14:textId="77777777" w:rsidR="005A1AC5" w:rsidRPr="00C07C64" w:rsidRDefault="005A1AC5" w:rsidP="005A1AC5">
      <w:pPr>
        <w:snapToGrid w:val="0"/>
        <w:spacing w:before="240" w:after="240"/>
        <w:rPr>
          <w:u w:val="single"/>
        </w:rPr>
      </w:pPr>
      <w:r w:rsidRPr="00C07C64">
        <w:rPr>
          <w:b/>
          <w:bCs/>
          <w:u w:val="single"/>
        </w:rPr>
        <w:t>T301.2 Common spaces shared by all residential occupants.</w:t>
      </w:r>
      <w:r w:rsidRPr="00C07C64">
        <w:rPr>
          <w:u w:val="single"/>
        </w:rPr>
        <w:t xml:space="preserve"> Interior or exterior space made for the exclusive use of all the residential occupants of the shared housing dwelling, constructed as occupiable spaces, such as fitness centers, pools, wellness services, sports courts, game rooms, outdoor spaces, child play spaces</w:t>
      </w:r>
      <w:r>
        <w:rPr>
          <w:u w:val="single"/>
        </w:rPr>
        <w:t>,</w:t>
      </w:r>
      <w:r w:rsidRPr="00C07C64">
        <w:rPr>
          <w:u w:val="single"/>
        </w:rPr>
        <w:t xml:space="preserve"> or similar spaces, shall be classified in accordance with Section 303.1 and Section 1004.1.1.2.Where provided, commercial kitchens constructed in accordance with Section T301.5 shall be classified as</w:t>
      </w:r>
      <w:r>
        <w:rPr>
          <w:u w:val="single"/>
        </w:rPr>
        <w:t xml:space="preserve"> low-hazard factory industrial,</w:t>
      </w:r>
      <w:r w:rsidRPr="00C07C64">
        <w:rPr>
          <w:u w:val="single"/>
        </w:rPr>
        <w:t xml:space="preserve"> Group F-2</w:t>
      </w:r>
      <w:r>
        <w:rPr>
          <w:u w:val="single"/>
        </w:rPr>
        <w:t>,</w:t>
      </w:r>
      <w:r w:rsidRPr="00C07C64">
        <w:rPr>
          <w:u w:val="single"/>
        </w:rPr>
        <w:t xml:space="preserve"> occupancy in accordance with Section 306.3.</w:t>
      </w:r>
    </w:p>
    <w:p w14:paraId="3475ED69" w14:textId="77777777" w:rsidR="005A1AC5" w:rsidRPr="00C07C64" w:rsidRDefault="005A1AC5" w:rsidP="005A1AC5">
      <w:pPr>
        <w:snapToGrid w:val="0"/>
        <w:spacing w:before="240" w:after="240"/>
        <w:rPr>
          <w:u w:val="single"/>
        </w:rPr>
      </w:pPr>
      <w:r w:rsidRPr="00C07C64">
        <w:rPr>
          <w:b/>
          <w:bCs/>
          <w:u w:val="single"/>
        </w:rPr>
        <w:t>T301.3 Minimum cooking facilities.</w:t>
      </w:r>
      <w:r w:rsidRPr="00C07C64">
        <w:rPr>
          <w:u w:val="single"/>
        </w:rPr>
        <w:t xml:space="preserve"> Permanent cooking facilities shall be provided and maintained in accordance with Section 27-2070 of the </w:t>
      </w:r>
      <w:r w:rsidRPr="00C07C64">
        <w:rPr>
          <w:i/>
          <w:iCs/>
          <w:u w:val="single"/>
        </w:rPr>
        <w:t>New York City Housing Maintenance Code</w:t>
      </w:r>
      <w:r w:rsidRPr="00C07C64">
        <w:rPr>
          <w:u w:val="single"/>
        </w:rPr>
        <w:t xml:space="preserve"> and this section and constructed in accordance with Section T301.4 and Section T301.5.</w:t>
      </w:r>
    </w:p>
    <w:p w14:paraId="2B21AEE9" w14:textId="77777777" w:rsidR="005A1AC5" w:rsidRPr="00C07C64" w:rsidRDefault="005A1AC5" w:rsidP="005A1AC5">
      <w:pPr>
        <w:snapToGrid w:val="0"/>
        <w:spacing w:before="240" w:after="240"/>
        <w:ind w:left="360"/>
        <w:rPr>
          <w:u w:val="single"/>
        </w:rPr>
      </w:pPr>
      <w:r>
        <w:rPr>
          <w:u w:val="single"/>
        </w:rPr>
        <w:t>1.</w:t>
      </w:r>
      <w:r>
        <w:rPr>
          <w:u w:val="single"/>
        </w:rPr>
        <w:tab/>
      </w:r>
      <w:r w:rsidRPr="00C07C64">
        <w:rPr>
          <w:u w:val="single"/>
        </w:rPr>
        <w:t xml:space="preserve">A kitchen or kitchenette shall be provided for each three shared housing rooming units and for any remainder of less than three shared housing rooming units. </w:t>
      </w:r>
    </w:p>
    <w:p w14:paraId="463FEB59" w14:textId="77777777" w:rsidR="005A1AC5" w:rsidRDefault="005A1AC5" w:rsidP="005A1AC5">
      <w:pPr>
        <w:snapToGrid w:val="0"/>
        <w:spacing w:before="240" w:after="240"/>
        <w:ind w:left="360"/>
        <w:rPr>
          <w:u w:val="single"/>
        </w:rPr>
      </w:pPr>
      <w:r>
        <w:rPr>
          <w:u w:val="single"/>
        </w:rPr>
        <w:t>2.</w:t>
      </w:r>
      <w:r>
        <w:rPr>
          <w:u w:val="single"/>
        </w:rPr>
        <w:tab/>
      </w:r>
      <w:r w:rsidRPr="00C07C64">
        <w:rPr>
          <w:u w:val="single"/>
        </w:rPr>
        <w:t>At least 50% of the required kitchens or kitchenettes shall be located on the same floor containing shared housing rooming units,</w:t>
      </w:r>
      <w:r>
        <w:rPr>
          <w:u w:val="single"/>
        </w:rPr>
        <w:t xml:space="preserve"> and</w:t>
      </w:r>
      <w:r w:rsidRPr="00C07C64">
        <w:rPr>
          <w:u w:val="single"/>
        </w:rPr>
        <w:t xml:space="preserve"> the remaining kitchens or kitchenettes may be located no more than one story above or below</w:t>
      </w:r>
      <w:r>
        <w:rPr>
          <w:u w:val="single"/>
        </w:rPr>
        <w:t>.</w:t>
      </w:r>
      <w:r w:rsidRPr="00C07C64">
        <w:rPr>
          <w:u w:val="single"/>
        </w:rPr>
        <w:t xml:space="preserve"> </w:t>
      </w:r>
      <w:r>
        <w:rPr>
          <w:u w:val="single"/>
        </w:rPr>
        <w:t>T</w:t>
      </w:r>
      <w:r w:rsidRPr="00C07C64">
        <w:rPr>
          <w:u w:val="single"/>
        </w:rPr>
        <w:t xml:space="preserve">he path of travel from the shared housing rooming units to such facilities shall not exceed the distance of 300 feet (91 440 mm). </w:t>
      </w:r>
    </w:p>
    <w:p w14:paraId="1D3492D8" w14:textId="77777777" w:rsidR="005A1AC5" w:rsidRPr="00C07C64" w:rsidRDefault="005A1AC5" w:rsidP="005A1AC5">
      <w:pPr>
        <w:snapToGrid w:val="0"/>
        <w:spacing w:before="240" w:after="240"/>
        <w:ind w:left="360"/>
        <w:rPr>
          <w:u w:val="single"/>
        </w:rPr>
      </w:pPr>
      <w:r>
        <w:rPr>
          <w:u w:val="single"/>
        </w:rPr>
        <w:t xml:space="preserve">3. Domestic </w:t>
      </w:r>
      <w:r w:rsidRPr="006D6E1F">
        <w:rPr>
          <w:u w:val="single"/>
        </w:rPr>
        <w:t>cooking appliances in shared housing dwellings shall not be installed or used outside of a kitchen or kitchenette.</w:t>
      </w:r>
    </w:p>
    <w:p w14:paraId="04F23653" w14:textId="77777777" w:rsidR="005A1AC5" w:rsidRPr="00C07C64" w:rsidRDefault="005A1AC5" w:rsidP="005A1AC5">
      <w:pPr>
        <w:snapToGrid w:val="0"/>
        <w:spacing w:before="240" w:after="240"/>
        <w:rPr>
          <w:u w:val="single"/>
        </w:rPr>
      </w:pPr>
      <w:r w:rsidRPr="00C07C64">
        <w:rPr>
          <w:b/>
          <w:bCs/>
          <w:u w:val="single"/>
        </w:rPr>
        <w:t xml:space="preserve">T301.4 Kitchen or kitchenette in a shared housing suite. </w:t>
      </w:r>
      <w:r w:rsidRPr="00C07C64">
        <w:rPr>
          <w:u w:val="single"/>
        </w:rPr>
        <w:t xml:space="preserve">Only domestic kitchens or kitchenettes </w:t>
      </w:r>
      <w:r>
        <w:rPr>
          <w:u w:val="single"/>
        </w:rPr>
        <w:t>may</w:t>
      </w:r>
      <w:r w:rsidRPr="00C07C64">
        <w:rPr>
          <w:u w:val="single"/>
        </w:rPr>
        <w:t xml:space="preserve"> be provided in a shared housing suite</w:t>
      </w:r>
      <w:r>
        <w:rPr>
          <w:u w:val="single"/>
        </w:rPr>
        <w:t xml:space="preserve">. Such domestic kitchens or kitchenettes </w:t>
      </w:r>
      <w:r w:rsidRPr="00C07C64">
        <w:rPr>
          <w:u w:val="single"/>
        </w:rPr>
        <w:t>shall comply with all of the following:</w:t>
      </w:r>
    </w:p>
    <w:p w14:paraId="5B1AB710" w14:textId="77777777" w:rsidR="005A1AC5" w:rsidRPr="00C07C64" w:rsidRDefault="005A1AC5" w:rsidP="005A1AC5">
      <w:pPr>
        <w:snapToGrid w:val="0"/>
        <w:spacing w:before="240" w:after="240"/>
        <w:ind w:left="360"/>
        <w:rPr>
          <w:rFonts w:eastAsia="Calibri"/>
          <w:kern w:val="2"/>
          <w:u w:val="single"/>
        </w:rPr>
      </w:pPr>
      <w:r w:rsidRPr="00C07C64">
        <w:rPr>
          <w:rFonts w:eastAsia="Calibri"/>
          <w:kern w:val="2"/>
          <w:u w:val="single"/>
        </w:rPr>
        <w:t>1.</w:t>
      </w:r>
      <w:r>
        <w:rPr>
          <w:rFonts w:eastAsia="Calibri"/>
          <w:kern w:val="2"/>
          <w:u w:val="single"/>
        </w:rPr>
        <w:tab/>
      </w:r>
      <w:r w:rsidRPr="00C07C64">
        <w:rPr>
          <w:rFonts w:eastAsia="Calibri"/>
          <w:kern w:val="2"/>
          <w:u w:val="single"/>
        </w:rPr>
        <w:t>Only the following domestic cooking appliances shall be permitted: ovens, cooktops, ranges, microwaves, and electrical countertop appliances.</w:t>
      </w:r>
    </w:p>
    <w:p w14:paraId="2AEDC166" w14:textId="77777777" w:rsidR="005A1AC5" w:rsidRPr="00C07C64" w:rsidRDefault="005A1AC5" w:rsidP="005A1AC5">
      <w:pPr>
        <w:snapToGrid w:val="0"/>
        <w:spacing w:before="240" w:after="240"/>
        <w:ind w:left="360"/>
        <w:rPr>
          <w:rFonts w:eastAsia="Calibri"/>
          <w:kern w:val="2"/>
          <w:u w:val="single"/>
        </w:rPr>
      </w:pPr>
      <w:r w:rsidRPr="00C07C64">
        <w:rPr>
          <w:rFonts w:eastAsia="Calibri"/>
          <w:kern w:val="2"/>
          <w:u w:val="single"/>
        </w:rPr>
        <w:t>2.</w:t>
      </w:r>
      <w:r>
        <w:rPr>
          <w:rFonts w:eastAsia="Calibri"/>
          <w:kern w:val="2"/>
          <w:u w:val="single"/>
        </w:rPr>
        <w:tab/>
      </w:r>
      <w:r w:rsidRPr="00C07C64">
        <w:rPr>
          <w:rFonts w:eastAsia="Calibri"/>
          <w:kern w:val="2"/>
          <w:u w:val="single"/>
        </w:rPr>
        <w:t>Kitchens or kitchenettes with more than two cooktops shall be enclosed with 1 hour fire-partition in accordance with Section 708 and shall be sprinklered in accordance with Section 903.</w:t>
      </w:r>
    </w:p>
    <w:p w14:paraId="7E211EB2" w14:textId="77777777" w:rsidR="005A1AC5" w:rsidRPr="00C07C64" w:rsidRDefault="005A1AC5" w:rsidP="005A1AC5">
      <w:pPr>
        <w:snapToGrid w:val="0"/>
        <w:spacing w:before="240" w:after="240"/>
        <w:ind w:left="360"/>
        <w:rPr>
          <w:rFonts w:eastAsia="Calibri"/>
          <w:kern w:val="2"/>
          <w:u w:val="single"/>
        </w:rPr>
      </w:pPr>
      <w:r w:rsidRPr="00C07C64">
        <w:rPr>
          <w:rFonts w:eastAsia="Calibri"/>
          <w:kern w:val="2"/>
          <w:u w:val="single"/>
        </w:rPr>
        <w:t>3.</w:t>
      </w:r>
      <w:r>
        <w:rPr>
          <w:rFonts w:eastAsia="Calibri"/>
          <w:kern w:val="2"/>
          <w:u w:val="single"/>
        </w:rPr>
        <w:tab/>
      </w:r>
      <w:r w:rsidRPr="00C07C64">
        <w:rPr>
          <w:rFonts w:eastAsia="Calibri"/>
          <w:kern w:val="2"/>
          <w:u w:val="single"/>
        </w:rPr>
        <w:t xml:space="preserve">Cooktops and ranges shall be provided with a domestic cooking hood installed and constructed in accordance with Section 505 of the </w:t>
      </w:r>
      <w:r w:rsidRPr="00C07C64">
        <w:rPr>
          <w:rFonts w:eastAsia="Calibri"/>
          <w:i/>
          <w:iCs/>
          <w:kern w:val="2"/>
          <w:u w:val="single"/>
        </w:rPr>
        <w:t>New York City Mechanical Code</w:t>
      </w:r>
      <w:r w:rsidRPr="00C07C64">
        <w:rPr>
          <w:rFonts w:eastAsia="Calibri"/>
          <w:kern w:val="2"/>
          <w:u w:val="single"/>
        </w:rPr>
        <w:t>.</w:t>
      </w:r>
    </w:p>
    <w:p w14:paraId="57A39F27" w14:textId="77777777" w:rsidR="005A1AC5" w:rsidRPr="00C07C64" w:rsidRDefault="005A1AC5" w:rsidP="005A1AC5">
      <w:pPr>
        <w:snapToGrid w:val="0"/>
        <w:spacing w:before="240" w:after="240"/>
        <w:ind w:left="360"/>
        <w:rPr>
          <w:rFonts w:eastAsia="Calibri"/>
          <w:kern w:val="2"/>
          <w:u w:val="single"/>
        </w:rPr>
      </w:pPr>
      <w:r>
        <w:rPr>
          <w:rFonts w:eastAsia="Calibri"/>
          <w:kern w:val="2"/>
          <w:u w:val="single"/>
        </w:rPr>
        <w:t>4</w:t>
      </w:r>
      <w:r w:rsidRPr="00C07C64">
        <w:rPr>
          <w:rFonts w:eastAsia="Calibri"/>
          <w:kern w:val="2"/>
          <w:u w:val="single"/>
        </w:rPr>
        <w:t>.</w:t>
      </w:r>
      <w:r>
        <w:rPr>
          <w:rFonts w:eastAsia="Calibri"/>
          <w:kern w:val="2"/>
          <w:u w:val="single"/>
        </w:rPr>
        <w:tab/>
      </w:r>
      <w:r w:rsidRPr="00C07C64">
        <w:rPr>
          <w:rFonts w:eastAsia="Calibri"/>
          <w:kern w:val="2"/>
          <w:u w:val="single"/>
        </w:rPr>
        <w:t>Cooktops, ranges</w:t>
      </w:r>
      <w:r>
        <w:rPr>
          <w:rFonts w:eastAsia="Calibri"/>
          <w:kern w:val="2"/>
          <w:u w:val="single"/>
        </w:rPr>
        <w:t>,</w:t>
      </w:r>
      <w:r w:rsidRPr="00C07C64">
        <w:rPr>
          <w:rFonts w:eastAsia="Calibri"/>
          <w:kern w:val="2"/>
          <w:u w:val="single"/>
        </w:rPr>
        <w:t xml:space="preserve"> and ovens shall not be installed or used in a shared housing rooming unit.</w:t>
      </w:r>
    </w:p>
    <w:p w14:paraId="3B1D8B30" w14:textId="77777777" w:rsidR="005A1AC5" w:rsidRPr="00C07C64" w:rsidRDefault="005A1AC5" w:rsidP="005A1AC5">
      <w:pPr>
        <w:snapToGrid w:val="0"/>
        <w:spacing w:before="240" w:after="240"/>
        <w:ind w:left="360"/>
        <w:rPr>
          <w:rFonts w:eastAsia="Calibri"/>
          <w:kern w:val="2"/>
          <w:u w:val="single"/>
        </w:rPr>
      </w:pPr>
      <w:r>
        <w:rPr>
          <w:rFonts w:eastAsia="Calibri"/>
          <w:kern w:val="2"/>
          <w:u w:val="single"/>
        </w:rPr>
        <w:t>5</w:t>
      </w:r>
      <w:r w:rsidRPr="00C07C64">
        <w:rPr>
          <w:rFonts w:eastAsia="Calibri"/>
          <w:kern w:val="2"/>
          <w:u w:val="single"/>
        </w:rPr>
        <w:t>.</w:t>
      </w:r>
      <w:r>
        <w:rPr>
          <w:rFonts w:eastAsia="Calibri"/>
          <w:kern w:val="2"/>
          <w:u w:val="single"/>
        </w:rPr>
        <w:tab/>
      </w:r>
      <w:r w:rsidRPr="00C07C64">
        <w:rPr>
          <w:rFonts w:eastAsia="Calibri"/>
          <w:kern w:val="2"/>
          <w:u w:val="single"/>
        </w:rPr>
        <w:t xml:space="preserve">No toilet room or bathroom shall open to such kitchen or kitchenette. </w:t>
      </w:r>
    </w:p>
    <w:p w14:paraId="7771791D" w14:textId="77777777" w:rsidR="005A1AC5" w:rsidRPr="00C07C64" w:rsidRDefault="005A1AC5" w:rsidP="005A1AC5">
      <w:pPr>
        <w:snapToGrid w:val="0"/>
        <w:spacing w:before="240" w:after="240"/>
        <w:rPr>
          <w:u w:val="single"/>
        </w:rPr>
      </w:pPr>
      <w:r w:rsidRPr="00C07C64">
        <w:rPr>
          <w:b/>
          <w:bCs/>
          <w:u w:val="single"/>
        </w:rPr>
        <w:t>T301.5 Kitchens outside of shared housing suites.</w:t>
      </w:r>
      <w:r w:rsidRPr="00C07C64">
        <w:rPr>
          <w:u w:val="single"/>
        </w:rPr>
        <w:t xml:space="preserve"> Kitchens and kitchenettes provided outside of all shared housing suites and within the common space constructed in accordance with Section T301.2 shall comply with one of the following:</w:t>
      </w:r>
    </w:p>
    <w:p w14:paraId="57405514" w14:textId="77777777" w:rsidR="005A1AC5" w:rsidRPr="00C07C64" w:rsidRDefault="005A1AC5" w:rsidP="005A1AC5">
      <w:pPr>
        <w:snapToGrid w:val="0"/>
        <w:spacing w:before="240" w:after="240"/>
        <w:ind w:left="360"/>
        <w:rPr>
          <w:rFonts w:eastAsia="Calibri"/>
          <w:kern w:val="2"/>
          <w:u w:val="single"/>
        </w:rPr>
      </w:pPr>
      <w:r w:rsidRPr="00C07C64">
        <w:rPr>
          <w:rFonts w:eastAsia="Calibri"/>
          <w:kern w:val="2"/>
          <w:u w:val="single"/>
        </w:rPr>
        <w:t>1.</w:t>
      </w:r>
      <w:r>
        <w:rPr>
          <w:rFonts w:eastAsia="Calibri"/>
          <w:kern w:val="2"/>
          <w:u w:val="single"/>
        </w:rPr>
        <w:tab/>
      </w:r>
      <w:r w:rsidRPr="00C07C64">
        <w:rPr>
          <w:rFonts w:eastAsia="Calibri"/>
          <w:kern w:val="2"/>
          <w:u w:val="single"/>
        </w:rPr>
        <w:t>Commercial kitchens complying with all of the following:</w:t>
      </w:r>
    </w:p>
    <w:p w14:paraId="5A0CD0BB" w14:textId="77777777" w:rsidR="005A1AC5" w:rsidRPr="00C07C64" w:rsidRDefault="005A1AC5" w:rsidP="005A1AC5">
      <w:pPr>
        <w:tabs>
          <w:tab w:val="left" w:pos="900"/>
        </w:tabs>
        <w:snapToGrid w:val="0"/>
        <w:spacing w:before="240" w:after="240"/>
        <w:ind w:left="720"/>
        <w:rPr>
          <w:u w:val="single"/>
        </w:rPr>
      </w:pPr>
      <w:r w:rsidRPr="00C07C64">
        <w:rPr>
          <w:u w:val="single"/>
        </w:rPr>
        <w:t>1.1</w:t>
      </w:r>
      <w:r>
        <w:rPr>
          <w:u w:val="single"/>
        </w:rPr>
        <w:t>.</w:t>
      </w:r>
      <w:r>
        <w:rPr>
          <w:u w:val="single"/>
        </w:rPr>
        <w:tab/>
      </w:r>
      <w:r w:rsidRPr="00C07C64">
        <w:rPr>
          <w:u w:val="single"/>
        </w:rPr>
        <w:t>Such kitchen is classified as Group F-2 occupancy in accordance with Section 306.3;</w:t>
      </w:r>
    </w:p>
    <w:p w14:paraId="38B0886D" w14:textId="77777777" w:rsidR="005A1AC5" w:rsidRPr="00C07C64" w:rsidRDefault="005A1AC5" w:rsidP="005A1AC5">
      <w:pPr>
        <w:snapToGrid w:val="0"/>
        <w:spacing w:before="240" w:after="240"/>
        <w:ind w:left="720"/>
        <w:rPr>
          <w:u w:val="single"/>
        </w:rPr>
      </w:pPr>
      <w:r w:rsidRPr="00C07C64">
        <w:rPr>
          <w:u w:val="single"/>
        </w:rPr>
        <w:t>1.2.</w:t>
      </w:r>
      <w:r>
        <w:rPr>
          <w:u w:val="single"/>
        </w:rPr>
        <w:tab/>
      </w:r>
      <w:r w:rsidRPr="00C07C64">
        <w:rPr>
          <w:u w:val="single"/>
        </w:rPr>
        <w:t>Such kitchen does not exceed 250 square feet in net floor area;</w:t>
      </w:r>
    </w:p>
    <w:p w14:paraId="676E860D" w14:textId="77777777" w:rsidR="005A1AC5" w:rsidRPr="00C07C64" w:rsidRDefault="005A1AC5" w:rsidP="005A1AC5">
      <w:pPr>
        <w:snapToGrid w:val="0"/>
        <w:spacing w:before="240" w:after="240"/>
        <w:ind w:left="720"/>
        <w:rPr>
          <w:u w:val="single"/>
        </w:rPr>
      </w:pPr>
      <w:r w:rsidRPr="00C07C64">
        <w:rPr>
          <w:u w:val="single"/>
        </w:rPr>
        <w:t>1.3.</w:t>
      </w:r>
      <w:r>
        <w:rPr>
          <w:u w:val="single"/>
        </w:rPr>
        <w:tab/>
      </w:r>
      <w:r w:rsidRPr="00C07C64">
        <w:rPr>
          <w:u w:val="single"/>
        </w:rPr>
        <w:t>No toilet room or bathroom directly opens into such kitchen;</w:t>
      </w:r>
    </w:p>
    <w:p w14:paraId="1619935E" w14:textId="77777777" w:rsidR="005A1AC5" w:rsidRPr="00C07C64" w:rsidRDefault="005A1AC5" w:rsidP="005A1AC5">
      <w:pPr>
        <w:snapToGrid w:val="0"/>
        <w:spacing w:before="240" w:after="240"/>
        <w:ind w:left="720"/>
        <w:rPr>
          <w:u w:val="single"/>
        </w:rPr>
      </w:pPr>
      <w:r w:rsidRPr="00C07C64">
        <w:rPr>
          <w:u w:val="single"/>
        </w:rPr>
        <w:t>1.4.</w:t>
      </w:r>
      <w:r>
        <w:rPr>
          <w:u w:val="single"/>
        </w:rPr>
        <w:tab/>
      </w:r>
      <w:r w:rsidRPr="00C07C64">
        <w:rPr>
          <w:u w:val="single"/>
        </w:rPr>
        <w:t>Such kitchen complies with all commercial kitchen requirements in this code; or</w:t>
      </w:r>
    </w:p>
    <w:p w14:paraId="6E372D2D" w14:textId="77777777" w:rsidR="005A1AC5" w:rsidRPr="00C07C64" w:rsidRDefault="005A1AC5" w:rsidP="005A1AC5">
      <w:pPr>
        <w:snapToGrid w:val="0"/>
        <w:spacing w:before="240" w:after="240"/>
        <w:ind w:left="360"/>
        <w:rPr>
          <w:rFonts w:eastAsia="Calibri"/>
          <w:kern w:val="2"/>
          <w:u w:val="single"/>
        </w:rPr>
      </w:pPr>
      <w:r w:rsidRPr="00C07C64">
        <w:rPr>
          <w:rFonts w:eastAsia="Calibri"/>
          <w:kern w:val="2"/>
          <w:u w:val="single"/>
        </w:rPr>
        <w:t>2.</w:t>
      </w:r>
      <w:r>
        <w:rPr>
          <w:rFonts w:eastAsia="Calibri"/>
          <w:kern w:val="2"/>
          <w:u w:val="single"/>
        </w:rPr>
        <w:tab/>
      </w:r>
      <w:r w:rsidRPr="00C07C64">
        <w:rPr>
          <w:rFonts w:eastAsia="Calibri"/>
          <w:kern w:val="2"/>
          <w:u w:val="single"/>
        </w:rPr>
        <w:t>Domestic kitchens or kitchenettes complying with all of the following:</w:t>
      </w:r>
    </w:p>
    <w:p w14:paraId="55CD01BF" w14:textId="77777777" w:rsidR="005A1AC5" w:rsidRPr="00C07C64" w:rsidRDefault="005A1AC5" w:rsidP="005A1AC5">
      <w:pPr>
        <w:snapToGrid w:val="0"/>
        <w:spacing w:before="240" w:after="240"/>
        <w:ind w:left="720"/>
        <w:rPr>
          <w:u w:val="single"/>
        </w:rPr>
      </w:pPr>
      <w:r w:rsidRPr="00C07C64">
        <w:rPr>
          <w:u w:val="single"/>
        </w:rPr>
        <w:t>2.1.</w:t>
      </w:r>
      <w:r>
        <w:rPr>
          <w:u w:val="single"/>
        </w:rPr>
        <w:tab/>
      </w:r>
      <w:r w:rsidRPr="00C07C64">
        <w:rPr>
          <w:u w:val="single"/>
        </w:rPr>
        <w:t>Only the following domestic cooking appliances shall be permitted: ovens, cooktops, ranges, microwaves, and electrical countertop appliances;</w:t>
      </w:r>
    </w:p>
    <w:p w14:paraId="34C8D388" w14:textId="77777777" w:rsidR="005A1AC5" w:rsidRPr="00C07C64" w:rsidRDefault="005A1AC5" w:rsidP="005A1AC5">
      <w:pPr>
        <w:snapToGrid w:val="0"/>
        <w:spacing w:before="240" w:after="240"/>
        <w:ind w:left="720"/>
        <w:rPr>
          <w:u w:val="single"/>
        </w:rPr>
      </w:pPr>
      <w:r w:rsidRPr="00C07C64">
        <w:rPr>
          <w:u w:val="single"/>
        </w:rPr>
        <w:t>2.2.</w:t>
      </w:r>
      <w:r>
        <w:rPr>
          <w:u w:val="single"/>
        </w:rPr>
        <w:tab/>
      </w:r>
      <w:r w:rsidRPr="00C07C64">
        <w:rPr>
          <w:u w:val="single"/>
        </w:rPr>
        <w:t>The appliances shall not include open top broilers or fryers;</w:t>
      </w:r>
    </w:p>
    <w:p w14:paraId="1767C567" w14:textId="77777777" w:rsidR="005A1AC5" w:rsidRPr="00C07C64" w:rsidRDefault="005A1AC5" w:rsidP="005A1AC5">
      <w:pPr>
        <w:snapToGrid w:val="0"/>
        <w:spacing w:before="240" w:after="240"/>
        <w:ind w:left="720"/>
        <w:rPr>
          <w:u w:val="single"/>
        </w:rPr>
      </w:pPr>
      <w:r w:rsidRPr="00C07C64">
        <w:rPr>
          <w:u w:val="single"/>
        </w:rPr>
        <w:t>2.3.</w:t>
      </w:r>
      <w:r>
        <w:rPr>
          <w:u w:val="single"/>
        </w:rPr>
        <w:tab/>
      </w:r>
      <w:r w:rsidRPr="00C07C64">
        <w:rPr>
          <w:u w:val="single"/>
        </w:rPr>
        <w:t>Each appliance shall have electric or gas connections and nameplate ratings not to exceed 10kW for electric appliances or 75,000 Btu/h for gas appliances. Branch gas connections shall not be larger than ¾ inch (19.1 mm) pipe;</w:t>
      </w:r>
    </w:p>
    <w:p w14:paraId="030CAE5A" w14:textId="77777777" w:rsidR="005A1AC5" w:rsidRPr="00C07C64" w:rsidRDefault="005A1AC5" w:rsidP="005A1AC5">
      <w:pPr>
        <w:snapToGrid w:val="0"/>
        <w:spacing w:before="240" w:after="240"/>
        <w:ind w:left="720"/>
        <w:rPr>
          <w:u w:val="single"/>
        </w:rPr>
      </w:pPr>
      <w:r w:rsidRPr="00C07C64">
        <w:rPr>
          <w:u w:val="single"/>
        </w:rPr>
        <w:t>2.4.</w:t>
      </w:r>
      <w:r>
        <w:rPr>
          <w:u w:val="single"/>
        </w:rPr>
        <w:tab/>
      </w:r>
      <w:r w:rsidRPr="00C07C64">
        <w:rPr>
          <w:u w:val="single"/>
        </w:rPr>
        <w:t>Kitchens with more than two cooktops shall be enclosed with 1 hour fire-partition in accordance with Section 708 and shall be sprinklered in accordance with Section 903;</w:t>
      </w:r>
    </w:p>
    <w:p w14:paraId="18897370" w14:textId="77777777" w:rsidR="005A1AC5" w:rsidRPr="00C07C64" w:rsidRDefault="005A1AC5" w:rsidP="005A1AC5">
      <w:pPr>
        <w:snapToGrid w:val="0"/>
        <w:spacing w:before="240" w:after="240"/>
        <w:ind w:left="720"/>
        <w:rPr>
          <w:u w:val="single"/>
        </w:rPr>
      </w:pPr>
      <w:r w:rsidRPr="00C07C64">
        <w:rPr>
          <w:u w:val="single"/>
        </w:rPr>
        <w:t>2.5.</w:t>
      </w:r>
      <w:r>
        <w:rPr>
          <w:u w:val="single"/>
        </w:rPr>
        <w:tab/>
      </w:r>
      <w:r w:rsidRPr="00C07C64">
        <w:rPr>
          <w:u w:val="single"/>
        </w:rPr>
        <w:t xml:space="preserve">Cooktops and ranges shall be provided with a domestic cooking hood installed and constructed in accordance with Section 505 of the </w:t>
      </w:r>
      <w:r w:rsidRPr="00C07C64">
        <w:rPr>
          <w:i/>
          <w:iCs/>
          <w:u w:val="single"/>
        </w:rPr>
        <w:t>New York City Mechanical Code</w:t>
      </w:r>
      <w:r w:rsidRPr="00C07C64">
        <w:rPr>
          <w:u w:val="single"/>
        </w:rPr>
        <w:t>;</w:t>
      </w:r>
    </w:p>
    <w:p w14:paraId="6C1E40C4" w14:textId="77777777" w:rsidR="005A1AC5" w:rsidRPr="00C07C64" w:rsidRDefault="005A1AC5" w:rsidP="005A1AC5">
      <w:pPr>
        <w:snapToGrid w:val="0"/>
        <w:spacing w:before="240" w:after="240"/>
        <w:ind w:left="720"/>
        <w:rPr>
          <w:u w:val="single"/>
        </w:rPr>
      </w:pPr>
      <w:r w:rsidRPr="00C07C64">
        <w:rPr>
          <w:u w:val="single"/>
        </w:rPr>
        <w:t>2.</w:t>
      </w:r>
      <w:r>
        <w:rPr>
          <w:u w:val="single"/>
        </w:rPr>
        <w:t>6</w:t>
      </w:r>
      <w:r w:rsidRPr="00C07C64">
        <w:rPr>
          <w:u w:val="single"/>
        </w:rPr>
        <w:t>.</w:t>
      </w:r>
      <w:r>
        <w:rPr>
          <w:u w:val="single"/>
        </w:rPr>
        <w:tab/>
      </w:r>
      <w:r w:rsidRPr="00C07C64">
        <w:rPr>
          <w:u w:val="single"/>
        </w:rPr>
        <w:t>Cooktops and ranges shall be protected with same requirements of an I-2 occupancy in accordance with Section 904.13, 904.13.1 and 904.13.2; and</w:t>
      </w:r>
    </w:p>
    <w:p w14:paraId="5FA78F12" w14:textId="77777777" w:rsidR="005A1AC5" w:rsidRPr="004D6826" w:rsidRDefault="005A1AC5" w:rsidP="005A1AC5">
      <w:pPr>
        <w:snapToGrid w:val="0"/>
        <w:spacing w:before="240" w:after="240"/>
        <w:ind w:left="720"/>
        <w:rPr>
          <w:u w:val="single"/>
        </w:rPr>
      </w:pPr>
      <w:r w:rsidRPr="00C07C64">
        <w:rPr>
          <w:u w:val="single"/>
        </w:rPr>
        <w:t>2.</w:t>
      </w:r>
      <w:r>
        <w:rPr>
          <w:u w:val="single"/>
        </w:rPr>
        <w:t>7</w:t>
      </w:r>
      <w:r w:rsidRPr="00C07C64">
        <w:rPr>
          <w:u w:val="single"/>
        </w:rPr>
        <w:t>.</w:t>
      </w:r>
      <w:r>
        <w:rPr>
          <w:u w:val="single"/>
        </w:rPr>
        <w:tab/>
      </w:r>
      <w:r w:rsidRPr="00C07C64">
        <w:rPr>
          <w:u w:val="single"/>
        </w:rPr>
        <w:t>No toilet room or bathroom directly opens into such kitchen or kitchenette.</w:t>
      </w:r>
    </w:p>
    <w:p w14:paraId="3A2886B9" w14:textId="77777777" w:rsidR="005A1AC5" w:rsidRPr="004D6826" w:rsidRDefault="005A1AC5" w:rsidP="005A1AC5">
      <w:pPr>
        <w:keepNext/>
        <w:suppressAutoHyphens/>
        <w:snapToGrid w:val="0"/>
        <w:spacing w:before="120" w:after="240"/>
        <w:jc w:val="center"/>
        <w:outlineLvl w:val="0"/>
        <w:rPr>
          <w:b/>
          <w:bCs/>
          <w:u w:val="single"/>
        </w:rPr>
      </w:pPr>
      <w:r w:rsidRPr="004D6826">
        <w:rPr>
          <w:b/>
          <w:bCs/>
          <w:u w:val="single"/>
        </w:rPr>
        <w:t>SECTION BC T302</w:t>
      </w:r>
      <w:r w:rsidRPr="004D6826">
        <w:rPr>
          <w:b/>
          <w:bCs/>
          <w:u w:val="single"/>
        </w:rPr>
        <w:br/>
        <w:t>FIRE AND SMOKE PROTECTION FEATURES</w:t>
      </w:r>
    </w:p>
    <w:p w14:paraId="3FC5313D" w14:textId="77777777" w:rsidR="005A1AC5" w:rsidRPr="004D6826" w:rsidRDefault="005A1AC5" w:rsidP="005A1AC5">
      <w:pPr>
        <w:snapToGrid w:val="0"/>
        <w:spacing w:before="240" w:after="240"/>
        <w:rPr>
          <w:u w:val="single"/>
        </w:rPr>
      </w:pPr>
      <w:r w:rsidRPr="004D6826">
        <w:rPr>
          <w:b/>
          <w:bCs/>
          <w:u w:val="single"/>
        </w:rPr>
        <w:t xml:space="preserve">T302.1 General. </w:t>
      </w:r>
      <w:r w:rsidRPr="004D6826">
        <w:rPr>
          <w:u w:val="single"/>
        </w:rPr>
        <w:t xml:space="preserve">A shared housing dwelling shall comply with Chapter 7, except as set forth in Section T302.2 and T302.3. </w:t>
      </w:r>
    </w:p>
    <w:p w14:paraId="0AFEB653" w14:textId="77777777" w:rsidR="005A1AC5" w:rsidRPr="004D6826" w:rsidRDefault="005A1AC5" w:rsidP="005A1AC5">
      <w:pPr>
        <w:snapToGrid w:val="0"/>
        <w:spacing w:before="240" w:after="240"/>
        <w:rPr>
          <w:u w:val="single"/>
        </w:rPr>
      </w:pPr>
      <w:r w:rsidRPr="004D6826">
        <w:rPr>
          <w:b/>
          <w:bCs/>
          <w:u w:val="single"/>
        </w:rPr>
        <w:t>T302.2 Vertical opening within individual shared housing suites</w:t>
      </w:r>
      <w:r>
        <w:rPr>
          <w:b/>
          <w:bCs/>
          <w:u w:val="single"/>
        </w:rPr>
        <w:t>.</w:t>
      </w:r>
      <w:r w:rsidRPr="004D6826">
        <w:rPr>
          <w:u w:val="single"/>
        </w:rPr>
        <w:t xml:space="preserve"> Notwithstanding Section 712.1.2, unconcealed vertical openings totally within a shared housing suite, connecting two stories or less, shall be permitted.</w:t>
      </w:r>
    </w:p>
    <w:p w14:paraId="68A5345D" w14:textId="77777777" w:rsidR="005A1AC5" w:rsidRPr="004D6826" w:rsidRDefault="005A1AC5" w:rsidP="005A1AC5">
      <w:pPr>
        <w:snapToGrid w:val="0"/>
        <w:spacing w:before="240" w:after="240"/>
        <w:rPr>
          <w:u w:val="single"/>
        </w:rPr>
      </w:pPr>
      <w:bookmarkStart w:id="7" w:name="_Hlk207964612"/>
      <w:r w:rsidRPr="004D6826">
        <w:rPr>
          <w:b/>
          <w:bCs/>
          <w:u w:val="single"/>
        </w:rPr>
        <w:t>T302.3 Separation of different tenancies.</w:t>
      </w:r>
      <w:r w:rsidRPr="004D6826">
        <w:rPr>
          <w:u w:val="single"/>
        </w:rPr>
        <w:t xml:space="preserve"> For the purpose of applying Section 510.10, each shared housing rooming unit and each shared housing suite shall be deemed to be dwelling units occupied by different tenants.</w:t>
      </w:r>
      <w:bookmarkEnd w:id="7"/>
    </w:p>
    <w:p w14:paraId="24D6C60E" w14:textId="77777777" w:rsidR="005A1AC5" w:rsidRPr="004D6826" w:rsidRDefault="005A1AC5" w:rsidP="005A1AC5">
      <w:pPr>
        <w:keepNext/>
        <w:suppressAutoHyphens/>
        <w:snapToGrid w:val="0"/>
        <w:spacing w:before="120" w:after="240"/>
        <w:jc w:val="center"/>
        <w:outlineLvl w:val="0"/>
        <w:rPr>
          <w:b/>
          <w:bCs/>
          <w:u w:val="single"/>
        </w:rPr>
      </w:pPr>
      <w:r w:rsidRPr="004D6826">
        <w:rPr>
          <w:b/>
          <w:bCs/>
          <w:u w:val="single"/>
        </w:rPr>
        <w:t>SECTION BC T303</w:t>
      </w:r>
      <w:r w:rsidRPr="004D6826">
        <w:rPr>
          <w:b/>
          <w:bCs/>
          <w:u w:val="single"/>
        </w:rPr>
        <w:br/>
        <w:t>FIRE PROTECTION SYSTEMS</w:t>
      </w:r>
    </w:p>
    <w:p w14:paraId="5E78BAA3" w14:textId="77777777" w:rsidR="005A1AC5" w:rsidRPr="004D6826" w:rsidRDefault="005A1AC5" w:rsidP="005A1AC5">
      <w:pPr>
        <w:snapToGrid w:val="0"/>
        <w:spacing w:before="240" w:after="240"/>
        <w:rPr>
          <w:u w:val="single"/>
        </w:rPr>
      </w:pPr>
      <w:r w:rsidRPr="004D6826">
        <w:rPr>
          <w:b/>
          <w:bCs/>
          <w:u w:val="single"/>
        </w:rPr>
        <w:t xml:space="preserve">T303.1 General. </w:t>
      </w:r>
      <w:r w:rsidRPr="004D6826">
        <w:rPr>
          <w:u w:val="single"/>
        </w:rPr>
        <w:t xml:space="preserve">A shared housing dwelling shall comply with Chapter 9, except as set forth in Section T303.2 through T303.4. </w:t>
      </w:r>
    </w:p>
    <w:p w14:paraId="589CD7DB" w14:textId="77777777" w:rsidR="005A1AC5" w:rsidRDefault="005A1AC5" w:rsidP="005A1AC5">
      <w:pPr>
        <w:snapToGrid w:val="0"/>
        <w:spacing w:before="240" w:after="240"/>
        <w:rPr>
          <w:u w:val="single"/>
        </w:rPr>
      </w:pPr>
      <w:r w:rsidRPr="004D6826">
        <w:rPr>
          <w:b/>
          <w:bCs/>
          <w:u w:val="single"/>
        </w:rPr>
        <w:t>T303.2 Sprinkler system.</w:t>
      </w:r>
      <w:r w:rsidRPr="004D6826">
        <w:rPr>
          <w:u w:val="single"/>
        </w:rPr>
        <w:t xml:space="preserve"> All shared housing dwellings shall be equipped throughout with an automatic sprinkler system in accordance with Section 903. </w:t>
      </w:r>
    </w:p>
    <w:p w14:paraId="1411C1D4" w14:textId="77777777" w:rsidR="005A1AC5" w:rsidRPr="004D6826" w:rsidRDefault="005A1AC5" w:rsidP="005A1AC5">
      <w:pPr>
        <w:snapToGrid w:val="0"/>
        <w:spacing w:before="240" w:after="240"/>
        <w:rPr>
          <w:u w:val="single"/>
        </w:rPr>
      </w:pPr>
      <w:r w:rsidRPr="004D6826">
        <w:rPr>
          <w:b/>
          <w:bCs/>
          <w:u w:val="single"/>
        </w:rPr>
        <w:t>T303.3 Fire alarm and detection systems</w:t>
      </w:r>
      <w:r w:rsidRPr="004D6826">
        <w:rPr>
          <w:u w:val="single"/>
        </w:rPr>
        <w:t>. Group R-2 shared housing dwellings shall be equipped with fire alarm and detection systems in accordance with Section 907.2.8, including all requirements contained in Section 907.2.8.4.</w:t>
      </w:r>
      <w:r w:rsidRPr="004D6826">
        <w:rPr>
          <w:b/>
          <w:bCs/>
          <w:u w:val="single"/>
        </w:rPr>
        <w:t xml:space="preserve"> </w:t>
      </w:r>
      <w:r w:rsidRPr="004D6826">
        <w:rPr>
          <w:u w:val="single"/>
        </w:rPr>
        <w:t xml:space="preserve">Section 907.2.9 shall not be applicable to shared housing dwellings. </w:t>
      </w:r>
    </w:p>
    <w:p w14:paraId="0845B09E" w14:textId="77777777" w:rsidR="005A1AC5" w:rsidRPr="004D6826" w:rsidRDefault="005A1AC5" w:rsidP="005A1AC5">
      <w:pPr>
        <w:snapToGrid w:val="0"/>
        <w:spacing w:before="240" w:after="240"/>
        <w:rPr>
          <w:u w:val="single"/>
        </w:rPr>
      </w:pPr>
      <w:r w:rsidRPr="004D6826">
        <w:rPr>
          <w:b/>
          <w:bCs/>
          <w:u w:val="single"/>
        </w:rPr>
        <w:t>T303.4 Carbon monoxide detection</w:t>
      </w:r>
      <w:r w:rsidRPr="004D6826">
        <w:rPr>
          <w:u w:val="single"/>
        </w:rPr>
        <w:t xml:space="preserve">. Group R-2 shared housing dwellings shall be provided with listed carbon monoxide alarm or detectors in accordance with Item 1 of Section 915.1.1. </w:t>
      </w:r>
    </w:p>
    <w:p w14:paraId="749565A0" w14:textId="77777777" w:rsidR="005A1AC5" w:rsidRPr="004D6826" w:rsidRDefault="005A1AC5" w:rsidP="005A1AC5">
      <w:pPr>
        <w:snapToGrid w:val="0"/>
        <w:spacing w:before="240" w:after="240"/>
      </w:pPr>
      <w:r w:rsidRPr="004D6826">
        <w:rPr>
          <w:b/>
          <w:bCs/>
          <w:u w:val="single"/>
        </w:rPr>
        <w:t>T303.5 Interconnection of alarms and detection systems</w:t>
      </w:r>
      <w:r w:rsidRPr="004D6826">
        <w:rPr>
          <w:u w:val="single"/>
        </w:rPr>
        <w:t>. All fire and carbon monoxide alarms and detection systems within the same shared housing suite shall be interconnected in such a manner that the activation of one alarm or detector will activate all of the alarms or detectors located within such suite.</w:t>
      </w:r>
    </w:p>
    <w:p w14:paraId="2268AF3A" w14:textId="77777777" w:rsidR="005A1AC5" w:rsidRPr="004D6826" w:rsidRDefault="005A1AC5" w:rsidP="005A1AC5">
      <w:pPr>
        <w:keepNext/>
        <w:suppressAutoHyphens/>
        <w:snapToGrid w:val="0"/>
        <w:spacing w:before="240" w:after="120"/>
        <w:jc w:val="center"/>
        <w:outlineLvl w:val="0"/>
        <w:rPr>
          <w:b/>
          <w:bCs/>
          <w:u w:val="single"/>
        </w:rPr>
      </w:pPr>
      <w:r w:rsidRPr="004D6826">
        <w:rPr>
          <w:b/>
          <w:bCs/>
          <w:u w:val="single"/>
        </w:rPr>
        <w:t>SECTION BC T304</w:t>
      </w:r>
      <w:r w:rsidRPr="004D6826">
        <w:rPr>
          <w:b/>
          <w:bCs/>
          <w:u w:val="single"/>
        </w:rPr>
        <w:br/>
        <w:t>MEANS OF EGRESS</w:t>
      </w:r>
    </w:p>
    <w:p w14:paraId="2517008A" w14:textId="77777777" w:rsidR="005A1AC5" w:rsidRPr="004D6826" w:rsidRDefault="005A1AC5" w:rsidP="005A1AC5">
      <w:pPr>
        <w:snapToGrid w:val="0"/>
        <w:spacing w:before="240" w:after="240"/>
        <w:rPr>
          <w:u w:val="single"/>
        </w:rPr>
      </w:pPr>
      <w:r w:rsidRPr="004D6826">
        <w:rPr>
          <w:b/>
          <w:bCs/>
          <w:u w:val="single"/>
        </w:rPr>
        <w:t xml:space="preserve">T304.1 General. </w:t>
      </w:r>
      <w:r w:rsidRPr="004D6826">
        <w:rPr>
          <w:u w:val="single"/>
        </w:rPr>
        <w:t>A shared housing dwelling shall comply with Chapter 10, except as set forth in Section</w:t>
      </w:r>
      <w:r>
        <w:rPr>
          <w:u w:val="single"/>
        </w:rPr>
        <w:t>s</w:t>
      </w:r>
      <w:r w:rsidRPr="004D6826">
        <w:rPr>
          <w:u w:val="single"/>
        </w:rPr>
        <w:t xml:space="preserve"> T304.2 through T304.</w:t>
      </w:r>
      <w:r>
        <w:rPr>
          <w:u w:val="single"/>
        </w:rPr>
        <w:t>10</w:t>
      </w:r>
      <w:r w:rsidRPr="004D6826">
        <w:rPr>
          <w:i/>
          <w:iCs/>
          <w:u w:val="single"/>
        </w:rPr>
        <w:t>.</w:t>
      </w:r>
    </w:p>
    <w:p w14:paraId="7E7C7802" w14:textId="77777777" w:rsidR="005A1AC5" w:rsidRPr="004D6826" w:rsidRDefault="005A1AC5" w:rsidP="005A1AC5">
      <w:pPr>
        <w:snapToGrid w:val="0"/>
        <w:spacing w:before="240" w:after="240"/>
        <w:rPr>
          <w:u w:val="single"/>
        </w:rPr>
      </w:pPr>
      <w:r w:rsidRPr="004D6826">
        <w:rPr>
          <w:b/>
          <w:bCs/>
          <w:u w:val="single"/>
        </w:rPr>
        <w:t xml:space="preserve">T304.2 Occupant load factor. </w:t>
      </w:r>
      <w:r w:rsidRPr="004D6826">
        <w:rPr>
          <w:u w:val="single"/>
        </w:rPr>
        <w:t>Notwithstanding the occupant load factor for residential units and space in Table 1004.1.3, the maximum floor allowances per occupant of a shared housing dwelling shall be computed at the rate of one occupant per unit of area in accordance with Table T304.2:</w:t>
      </w:r>
    </w:p>
    <w:p w14:paraId="0814E8AE" w14:textId="77777777" w:rsidR="005A1AC5" w:rsidRPr="004D6826" w:rsidRDefault="005A1AC5" w:rsidP="005A1AC5">
      <w:pPr>
        <w:snapToGrid w:val="0"/>
        <w:spacing w:before="240"/>
        <w:jc w:val="center"/>
        <w:rPr>
          <w:b/>
          <w:bCs/>
          <w:u w:val="single"/>
        </w:rPr>
      </w:pPr>
      <w:r w:rsidRPr="004D6826">
        <w:rPr>
          <w:b/>
          <w:bCs/>
          <w:u w:val="single"/>
        </w:rPr>
        <w:t>TABLE T304.2</w:t>
      </w:r>
    </w:p>
    <w:p w14:paraId="252F09BE" w14:textId="77777777" w:rsidR="005A1AC5" w:rsidRPr="004D6826" w:rsidRDefault="005A1AC5" w:rsidP="005A1AC5">
      <w:pPr>
        <w:snapToGrid w:val="0"/>
        <w:spacing w:after="240"/>
        <w:jc w:val="center"/>
        <w:rPr>
          <w:b/>
          <w:bCs/>
          <w:u w:val="single"/>
        </w:rPr>
      </w:pPr>
      <w:r w:rsidRPr="004D6826">
        <w:rPr>
          <w:b/>
          <w:bCs/>
          <w:u w:val="single"/>
        </w:rPr>
        <w:t>MAXIMUM FLOOR AREA ALLOWANCES PER OCCUPANT OF SHARED HOUSING DWELLING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2155"/>
      </w:tblGrid>
      <w:tr w:rsidR="005A1AC5" w:rsidRPr="004D6826" w14:paraId="54F557A7" w14:textId="77777777" w:rsidTr="00204944">
        <w:tc>
          <w:tcPr>
            <w:tcW w:w="7195" w:type="dxa"/>
            <w:vAlign w:val="center"/>
          </w:tcPr>
          <w:p w14:paraId="18959026" w14:textId="77777777" w:rsidR="005A1AC5" w:rsidRPr="004D6826" w:rsidRDefault="005A1AC5" w:rsidP="00204944">
            <w:pPr>
              <w:snapToGrid w:val="0"/>
              <w:spacing w:before="120" w:after="120"/>
              <w:jc w:val="center"/>
              <w:rPr>
                <w:rFonts w:eastAsia="Calibri"/>
                <w:b/>
                <w:bCs/>
                <w:kern w:val="2"/>
                <w:u w:val="single"/>
              </w:rPr>
            </w:pPr>
            <w:r w:rsidRPr="004D6826">
              <w:rPr>
                <w:rFonts w:eastAsia="Calibri"/>
                <w:b/>
                <w:bCs/>
                <w:kern w:val="2"/>
                <w:u w:val="single"/>
              </w:rPr>
              <w:t>FUNCTION OF SPACE</w:t>
            </w:r>
          </w:p>
        </w:tc>
        <w:tc>
          <w:tcPr>
            <w:tcW w:w="2155" w:type="dxa"/>
          </w:tcPr>
          <w:p w14:paraId="3CC7B847" w14:textId="77777777" w:rsidR="005A1AC5" w:rsidRPr="004D6826" w:rsidRDefault="005A1AC5" w:rsidP="00204944">
            <w:pPr>
              <w:snapToGrid w:val="0"/>
              <w:spacing w:before="120" w:after="120"/>
              <w:jc w:val="center"/>
              <w:rPr>
                <w:rFonts w:eastAsia="Calibri"/>
                <w:b/>
                <w:bCs/>
                <w:kern w:val="2"/>
                <w:u w:val="single"/>
                <w:vertAlign w:val="superscript"/>
              </w:rPr>
            </w:pPr>
            <w:r w:rsidRPr="004D6826">
              <w:rPr>
                <w:rFonts w:eastAsia="Calibri"/>
                <w:b/>
                <w:bCs/>
                <w:kern w:val="2"/>
                <w:u w:val="single"/>
              </w:rPr>
              <w:t xml:space="preserve">OCCUPANT LOAD FACTOR </w:t>
            </w:r>
            <w:r w:rsidRPr="004D6826">
              <w:rPr>
                <w:rFonts w:eastAsia="Calibri"/>
                <w:b/>
                <w:bCs/>
                <w:kern w:val="2"/>
                <w:u w:val="single"/>
                <w:vertAlign w:val="superscript"/>
              </w:rPr>
              <w:t>a</w:t>
            </w:r>
          </w:p>
        </w:tc>
      </w:tr>
      <w:tr w:rsidR="005A1AC5" w:rsidRPr="004D6826" w14:paraId="2F70ED3D" w14:textId="77777777" w:rsidTr="00204944">
        <w:tc>
          <w:tcPr>
            <w:tcW w:w="7195" w:type="dxa"/>
            <w:tcBorders>
              <w:bottom w:val="single" w:sz="4" w:space="0" w:color="FFFFFF"/>
            </w:tcBorders>
          </w:tcPr>
          <w:p w14:paraId="63309608" w14:textId="77777777" w:rsidR="005A1AC5" w:rsidRPr="004D6826" w:rsidRDefault="005A1AC5" w:rsidP="00204944">
            <w:pPr>
              <w:snapToGrid w:val="0"/>
              <w:rPr>
                <w:rFonts w:eastAsia="Calibri"/>
                <w:kern w:val="2"/>
                <w:u w:val="single"/>
              </w:rPr>
            </w:pPr>
            <w:r w:rsidRPr="004D6826">
              <w:rPr>
                <w:rFonts w:eastAsia="Calibri"/>
                <w:kern w:val="2"/>
                <w:u w:val="single"/>
              </w:rPr>
              <w:t>Residential</w:t>
            </w:r>
          </w:p>
        </w:tc>
        <w:tc>
          <w:tcPr>
            <w:tcW w:w="2155" w:type="dxa"/>
            <w:tcBorders>
              <w:bottom w:val="single" w:sz="4" w:space="0" w:color="FFFFFF"/>
            </w:tcBorders>
          </w:tcPr>
          <w:p w14:paraId="59F88E1E" w14:textId="77777777" w:rsidR="005A1AC5" w:rsidRPr="004D6826" w:rsidRDefault="005A1AC5" w:rsidP="00204944">
            <w:pPr>
              <w:snapToGrid w:val="0"/>
              <w:rPr>
                <w:rFonts w:eastAsia="Calibri"/>
                <w:kern w:val="2"/>
                <w:u w:val="single"/>
              </w:rPr>
            </w:pPr>
          </w:p>
        </w:tc>
      </w:tr>
      <w:tr w:rsidR="005A1AC5" w:rsidRPr="004D6826" w14:paraId="5DB6493C" w14:textId="77777777" w:rsidTr="00204944">
        <w:tc>
          <w:tcPr>
            <w:tcW w:w="7195" w:type="dxa"/>
            <w:tcBorders>
              <w:top w:val="single" w:sz="4" w:space="0" w:color="FFFFFF"/>
              <w:bottom w:val="single" w:sz="4" w:space="0" w:color="FFFFFF"/>
            </w:tcBorders>
          </w:tcPr>
          <w:p w14:paraId="1A4A1CEC" w14:textId="77777777" w:rsidR="005A1AC5" w:rsidRPr="004D6826" w:rsidRDefault="005A1AC5" w:rsidP="00204944">
            <w:pPr>
              <w:snapToGrid w:val="0"/>
              <w:ind w:firstLine="420"/>
              <w:rPr>
                <w:rFonts w:eastAsia="Calibri"/>
                <w:kern w:val="2"/>
                <w:u w:val="single"/>
              </w:rPr>
            </w:pPr>
            <w:r w:rsidRPr="004D6826">
              <w:rPr>
                <w:rFonts w:eastAsia="Calibri"/>
                <w:kern w:val="2"/>
                <w:u w:val="single"/>
              </w:rPr>
              <w:t>Within shared housing rooming units</w:t>
            </w:r>
          </w:p>
        </w:tc>
        <w:tc>
          <w:tcPr>
            <w:tcW w:w="2155" w:type="dxa"/>
            <w:tcBorders>
              <w:top w:val="single" w:sz="4" w:space="0" w:color="FFFFFF"/>
              <w:bottom w:val="single" w:sz="4" w:space="0" w:color="FFFFFF"/>
            </w:tcBorders>
          </w:tcPr>
          <w:p w14:paraId="28444275" w14:textId="77777777" w:rsidR="005A1AC5" w:rsidRPr="004D6826" w:rsidRDefault="005A1AC5" w:rsidP="00204944">
            <w:pPr>
              <w:snapToGrid w:val="0"/>
              <w:rPr>
                <w:rFonts w:eastAsia="Calibri"/>
                <w:kern w:val="2"/>
                <w:u w:val="single"/>
              </w:rPr>
            </w:pPr>
            <w:r w:rsidRPr="004D6826">
              <w:rPr>
                <w:rFonts w:eastAsia="Calibri"/>
                <w:kern w:val="2"/>
                <w:u w:val="single"/>
              </w:rPr>
              <w:t>50 net</w:t>
            </w:r>
          </w:p>
        </w:tc>
      </w:tr>
      <w:tr w:rsidR="005A1AC5" w:rsidRPr="004D6826" w14:paraId="1665E59E" w14:textId="77777777" w:rsidTr="00204944">
        <w:tc>
          <w:tcPr>
            <w:tcW w:w="7195" w:type="dxa"/>
            <w:tcBorders>
              <w:top w:val="single" w:sz="4" w:space="0" w:color="FFFFFF"/>
              <w:bottom w:val="single" w:sz="4" w:space="0" w:color="FFFFFF"/>
            </w:tcBorders>
          </w:tcPr>
          <w:p w14:paraId="35246E9F" w14:textId="77777777" w:rsidR="005A1AC5" w:rsidRPr="004D6826" w:rsidRDefault="005A1AC5" w:rsidP="00204944">
            <w:pPr>
              <w:snapToGrid w:val="0"/>
              <w:ind w:left="780" w:hanging="360"/>
              <w:rPr>
                <w:rFonts w:eastAsia="Calibri"/>
                <w:kern w:val="2"/>
                <w:u w:val="single"/>
              </w:rPr>
            </w:pPr>
            <w:r w:rsidRPr="004D6826">
              <w:rPr>
                <w:rFonts w:eastAsia="Calibri"/>
                <w:kern w:val="2"/>
                <w:u w:val="single"/>
              </w:rPr>
              <w:t>Within shared housing suites but outside all the shared housing rooming units</w:t>
            </w:r>
          </w:p>
        </w:tc>
        <w:tc>
          <w:tcPr>
            <w:tcW w:w="2155" w:type="dxa"/>
            <w:tcBorders>
              <w:top w:val="single" w:sz="4" w:space="0" w:color="FFFFFF"/>
              <w:bottom w:val="single" w:sz="4" w:space="0" w:color="FFFFFF"/>
            </w:tcBorders>
          </w:tcPr>
          <w:p w14:paraId="51B48BD9" w14:textId="77777777" w:rsidR="005A1AC5" w:rsidRPr="004D6826" w:rsidRDefault="005A1AC5" w:rsidP="00204944">
            <w:pPr>
              <w:snapToGrid w:val="0"/>
              <w:rPr>
                <w:rFonts w:eastAsia="Calibri"/>
                <w:kern w:val="2"/>
                <w:u w:val="single"/>
              </w:rPr>
            </w:pPr>
            <w:r w:rsidRPr="004D6826">
              <w:rPr>
                <w:rFonts w:eastAsia="Calibri"/>
                <w:kern w:val="2"/>
                <w:u w:val="single"/>
              </w:rPr>
              <w:t>30 net</w:t>
            </w:r>
          </w:p>
        </w:tc>
      </w:tr>
      <w:tr w:rsidR="005A1AC5" w:rsidRPr="004D6826" w14:paraId="7DB62573" w14:textId="77777777" w:rsidTr="00204944">
        <w:tc>
          <w:tcPr>
            <w:tcW w:w="7195" w:type="dxa"/>
            <w:tcBorders>
              <w:top w:val="single" w:sz="4" w:space="0" w:color="FFFFFF"/>
              <w:bottom w:val="single" w:sz="4" w:space="0" w:color="FFFFFF"/>
            </w:tcBorders>
          </w:tcPr>
          <w:p w14:paraId="5E269372" w14:textId="77777777" w:rsidR="005A1AC5" w:rsidRPr="004D6826" w:rsidRDefault="005A1AC5" w:rsidP="00204944">
            <w:pPr>
              <w:snapToGrid w:val="0"/>
              <w:ind w:left="780" w:hanging="420"/>
              <w:rPr>
                <w:rFonts w:eastAsia="Calibri"/>
                <w:kern w:val="2"/>
                <w:u w:val="single"/>
              </w:rPr>
            </w:pPr>
            <w:r w:rsidRPr="004D6826">
              <w:rPr>
                <w:rFonts w:eastAsia="Calibri"/>
                <w:kern w:val="2"/>
                <w:u w:val="single"/>
              </w:rPr>
              <w:t>Outdoor accessory common area, including yards, courts, rooftops and terraces or similar</w:t>
            </w:r>
          </w:p>
        </w:tc>
        <w:tc>
          <w:tcPr>
            <w:tcW w:w="2155" w:type="dxa"/>
            <w:tcBorders>
              <w:top w:val="single" w:sz="4" w:space="0" w:color="FFFFFF"/>
              <w:bottom w:val="single" w:sz="4" w:space="0" w:color="FFFFFF"/>
            </w:tcBorders>
          </w:tcPr>
          <w:p w14:paraId="08F36D56" w14:textId="77777777" w:rsidR="005A1AC5" w:rsidRPr="004D6826" w:rsidRDefault="005A1AC5" w:rsidP="00204944">
            <w:pPr>
              <w:snapToGrid w:val="0"/>
              <w:rPr>
                <w:rFonts w:eastAsia="Calibri"/>
                <w:kern w:val="2"/>
                <w:u w:val="single"/>
              </w:rPr>
            </w:pPr>
            <w:r w:rsidRPr="004D6826">
              <w:rPr>
                <w:rFonts w:eastAsia="Calibri"/>
                <w:kern w:val="2"/>
                <w:u w:val="single"/>
              </w:rPr>
              <w:t xml:space="preserve">200 gross </w:t>
            </w:r>
            <w:r w:rsidRPr="004D6826">
              <w:rPr>
                <w:rFonts w:eastAsia="Calibri"/>
                <w:kern w:val="2"/>
                <w:u w:val="single"/>
                <w:vertAlign w:val="superscript"/>
              </w:rPr>
              <w:t>b,c,d</w:t>
            </w:r>
          </w:p>
        </w:tc>
      </w:tr>
      <w:tr w:rsidR="005A1AC5" w:rsidRPr="004D6826" w14:paraId="50D7DE49" w14:textId="77777777" w:rsidTr="00204944">
        <w:tc>
          <w:tcPr>
            <w:tcW w:w="7195" w:type="dxa"/>
            <w:tcBorders>
              <w:top w:val="single" w:sz="4" w:space="0" w:color="FFFFFF"/>
              <w:bottom w:val="single" w:sz="4" w:space="0" w:color="FFFFFF"/>
            </w:tcBorders>
          </w:tcPr>
          <w:p w14:paraId="4FC7A93C" w14:textId="77777777" w:rsidR="005A1AC5" w:rsidRPr="004D6826" w:rsidRDefault="005A1AC5" w:rsidP="00204944">
            <w:pPr>
              <w:snapToGrid w:val="0"/>
              <w:ind w:left="690" w:hanging="330"/>
              <w:rPr>
                <w:rFonts w:eastAsia="Calibri"/>
                <w:kern w:val="2"/>
                <w:u w:val="single"/>
              </w:rPr>
            </w:pPr>
            <w:r w:rsidRPr="004D6826">
              <w:rPr>
                <w:rFonts w:eastAsia="Calibri"/>
                <w:kern w:val="2"/>
                <w:u w:val="single"/>
              </w:rPr>
              <w:t xml:space="preserve">Indoor accessory common area shared by all residents of the shared housing dwelling (concentrated) </w:t>
            </w:r>
            <w:r w:rsidRPr="004D6826">
              <w:rPr>
                <w:rFonts w:eastAsia="Calibri"/>
                <w:kern w:val="2"/>
                <w:u w:val="single"/>
                <w:vertAlign w:val="superscript"/>
              </w:rPr>
              <w:t>e</w:t>
            </w:r>
          </w:p>
        </w:tc>
        <w:tc>
          <w:tcPr>
            <w:tcW w:w="2155" w:type="dxa"/>
            <w:tcBorders>
              <w:top w:val="single" w:sz="4" w:space="0" w:color="FFFFFF"/>
              <w:bottom w:val="single" w:sz="4" w:space="0" w:color="FFFFFF"/>
            </w:tcBorders>
          </w:tcPr>
          <w:p w14:paraId="39B43166" w14:textId="77777777" w:rsidR="005A1AC5" w:rsidRPr="004D6826" w:rsidRDefault="005A1AC5" w:rsidP="00204944">
            <w:pPr>
              <w:snapToGrid w:val="0"/>
              <w:rPr>
                <w:rFonts w:eastAsia="Calibri"/>
                <w:kern w:val="2"/>
                <w:u w:val="single"/>
              </w:rPr>
            </w:pPr>
            <w:r w:rsidRPr="004D6826">
              <w:rPr>
                <w:rFonts w:eastAsia="Calibri"/>
                <w:kern w:val="2"/>
                <w:u w:val="single"/>
              </w:rPr>
              <w:t>15 net</w:t>
            </w:r>
          </w:p>
        </w:tc>
      </w:tr>
      <w:tr w:rsidR="005A1AC5" w:rsidRPr="004D6826" w14:paraId="0C81336D" w14:textId="77777777" w:rsidTr="00204944">
        <w:tc>
          <w:tcPr>
            <w:tcW w:w="7195" w:type="dxa"/>
            <w:tcBorders>
              <w:top w:val="single" w:sz="4" w:space="0" w:color="FFFFFF"/>
            </w:tcBorders>
          </w:tcPr>
          <w:p w14:paraId="04777442" w14:textId="77777777" w:rsidR="005A1AC5" w:rsidRPr="004D6826" w:rsidRDefault="005A1AC5" w:rsidP="00204944">
            <w:pPr>
              <w:snapToGrid w:val="0"/>
              <w:ind w:left="780" w:hanging="420"/>
              <w:rPr>
                <w:rFonts w:eastAsia="Calibri"/>
                <w:kern w:val="2"/>
                <w:u w:val="single"/>
              </w:rPr>
            </w:pPr>
            <w:r w:rsidRPr="004D6826">
              <w:rPr>
                <w:rFonts w:eastAsia="Calibri"/>
                <w:kern w:val="2"/>
                <w:u w:val="single"/>
              </w:rPr>
              <w:t xml:space="preserve">Indoor accessory common area shared by all residents of the shared housing dwelling (unconcentrated) </w:t>
            </w:r>
            <w:r w:rsidRPr="004D6826">
              <w:rPr>
                <w:rFonts w:eastAsia="Calibri"/>
                <w:kern w:val="2"/>
                <w:u w:val="single"/>
                <w:vertAlign w:val="superscript"/>
              </w:rPr>
              <w:t>e</w:t>
            </w:r>
          </w:p>
        </w:tc>
        <w:tc>
          <w:tcPr>
            <w:tcW w:w="2155" w:type="dxa"/>
            <w:tcBorders>
              <w:top w:val="single" w:sz="4" w:space="0" w:color="FFFFFF"/>
            </w:tcBorders>
          </w:tcPr>
          <w:p w14:paraId="75B3C45E" w14:textId="77777777" w:rsidR="005A1AC5" w:rsidRPr="004D6826" w:rsidRDefault="005A1AC5" w:rsidP="00204944">
            <w:pPr>
              <w:snapToGrid w:val="0"/>
              <w:rPr>
                <w:rFonts w:eastAsia="Calibri"/>
                <w:kern w:val="2"/>
                <w:u w:val="single"/>
              </w:rPr>
            </w:pPr>
            <w:r w:rsidRPr="004D6826">
              <w:rPr>
                <w:rFonts w:eastAsia="Calibri"/>
                <w:kern w:val="2"/>
                <w:u w:val="single"/>
              </w:rPr>
              <w:t>50 net</w:t>
            </w:r>
          </w:p>
        </w:tc>
      </w:tr>
    </w:tbl>
    <w:p w14:paraId="539E9804" w14:textId="77777777" w:rsidR="005A1AC5" w:rsidRPr="004D6826" w:rsidRDefault="005A1AC5" w:rsidP="005A1AC5">
      <w:pPr>
        <w:snapToGrid w:val="0"/>
        <w:spacing w:before="240" w:after="240"/>
        <w:rPr>
          <w:sz w:val="20"/>
          <w:u w:val="single"/>
        </w:rPr>
      </w:pPr>
      <w:r w:rsidRPr="004D6826">
        <w:rPr>
          <w:sz w:val="20"/>
          <w:u w:val="single"/>
        </w:rPr>
        <w:t>For SI: 1 square foot = 0.0929 m</w:t>
      </w:r>
      <w:r w:rsidRPr="004D6826">
        <w:rPr>
          <w:sz w:val="20"/>
          <w:u w:val="single"/>
          <w:vertAlign w:val="superscript"/>
        </w:rPr>
        <w:t>2</w:t>
      </w:r>
      <w:r w:rsidRPr="004D6826">
        <w:rPr>
          <w:sz w:val="20"/>
          <w:u w:val="single"/>
        </w:rPr>
        <w:t>, 1 foot = 304.8 mm.</w:t>
      </w:r>
    </w:p>
    <w:p w14:paraId="063AACDF" w14:textId="77777777" w:rsidR="005A1AC5" w:rsidRPr="004D6826" w:rsidRDefault="005A1AC5" w:rsidP="005A1AC5">
      <w:pPr>
        <w:snapToGrid w:val="0"/>
        <w:spacing w:before="240" w:after="240"/>
        <w:rPr>
          <w:sz w:val="20"/>
          <w:u w:val="single"/>
        </w:rPr>
      </w:pPr>
      <w:r w:rsidRPr="004D6826">
        <w:rPr>
          <w:sz w:val="20"/>
          <w:u w:val="single"/>
        </w:rPr>
        <w:t>a. Floor area in square feet per occupant.</w:t>
      </w:r>
    </w:p>
    <w:p w14:paraId="14068B35" w14:textId="77777777" w:rsidR="005A1AC5" w:rsidRPr="004D6826" w:rsidRDefault="005A1AC5" w:rsidP="005A1AC5">
      <w:pPr>
        <w:snapToGrid w:val="0"/>
        <w:spacing w:before="240" w:after="240"/>
        <w:rPr>
          <w:sz w:val="20"/>
          <w:u w:val="single"/>
        </w:rPr>
      </w:pPr>
      <w:r w:rsidRPr="004D6826">
        <w:rPr>
          <w:sz w:val="20"/>
          <w:u w:val="single"/>
        </w:rPr>
        <w:t>b. For the purposes of occupant load calculation, permanent fixtures and amenities such as shrubs, decorative pools, non-walkable paving surfaces, etc. may be deducted from the total floor area.</w:t>
      </w:r>
    </w:p>
    <w:p w14:paraId="5A171977" w14:textId="77777777" w:rsidR="005A1AC5" w:rsidRPr="004D6826" w:rsidRDefault="005A1AC5" w:rsidP="005A1AC5">
      <w:pPr>
        <w:snapToGrid w:val="0"/>
        <w:spacing w:before="240" w:after="240"/>
        <w:rPr>
          <w:sz w:val="20"/>
          <w:u w:val="single"/>
        </w:rPr>
      </w:pPr>
      <w:r w:rsidRPr="004D6826">
        <w:rPr>
          <w:sz w:val="20"/>
          <w:u w:val="single"/>
        </w:rPr>
        <w:t>c. A rooftop or terrace in Group R-2 occupancies that is provided for the incidental, recreational use by the residential tenants residing in the</w:t>
      </w:r>
      <w:r>
        <w:rPr>
          <w:sz w:val="20"/>
          <w:u w:val="single"/>
        </w:rPr>
        <w:t xml:space="preserve"> </w:t>
      </w:r>
      <w:r w:rsidRPr="004D6826">
        <w:rPr>
          <w:sz w:val="20"/>
          <w:u w:val="single"/>
        </w:rPr>
        <w:t>same residential building.</w:t>
      </w:r>
    </w:p>
    <w:p w14:paraId="4338C053" w14:textId="77777777" w:rsidR="005A1AC5" w:rsidRPr="004D6826" w:rsidRDefault="005A1AC5" w:rsidP="005A1AC5">
      <w:pPr>
        <w:snapToGrid w:val="0"/>
        <w:spacing w:before="240" w:after="240"/>
        <w:rPr>
          <w:sz w:val="20"/>
          <w:u w:val="single"/>
        </w:rPr>
      </w:pPr>
      <w:r w:rsidRPr="004D6826">
        <w:rPr>
          <w:sz w:val="20"/>
          <w:u w:val="single"/>
        </w:rPr>
        <w:t>d. Where the maximum occupant load of the rooftop or terrace exceeds 74 persons based on occupant load calculations, a Place of Assembly</w:t>
      </w:r>
      <w:r>
        <w:rPr>
          <w:sz w:val="20"/>
          <w:u w:val="single"/>
        </w:rPr>
        <w:t xml:space="preserve"> </w:t>
      </w:r>
      <w:r w:rsidRPr="004D6826">
        <w:rPr>
          <w:sz w:val="20"/>
          <w:u w:val="single"/>
        </w:rPr>
        <w:t>Certificate of Operation is required pursuant to Section 28-117.1 of the Administrative Code and Item 1 of Section 303.7 of this code.</w:t>
      </w:r>
    </w:p>
    <w:p w14:paraId="7336FEAD" w14:textId="77777777" w:rsidR="005A1AC5" w:rsidRPr="004D6826" w:rsidRDefault="005A1AC5" w:rsidP="005A1AC5">
      <w:pPr>
        <w:snapToGrid w:val="0"/>
        <w:spacing w:before="240" w:after="240"/>
        <w:rPr>
          <w:sz w:val="20"/>
          <w:u w:val="single"/>
        </w:rPr>
      </w:pPr>
      <w:r w:rsidRPr="004D6826">
        <w:rPr>
          <w:sz w:val="20"/>
          <w:u w:val="single"/>
        </w:rPr>
        <w:t>e. To be used only when the occupant load for the function of the space is not listed elsewhere in Table 1004.1.3.</w:t>
      </w:r>
    </w:p>
    <w:p w14:paraId="1FD51A7A" w14:textId="77777777" w:rsidR="005A1AC5" w:rsidRPr="00DD4D24" w:rsidRDefault="005A1AC5" w:rsidP="005A1AC5">
      <w:pPr>
        <w:snapToGrid w:val="0"/>
        <w:spacing w:before="240" w:after="240"/>
        <w:rPr>
          <w:u w:val="single"/>
        </w:rPr>
      </w:pPr>
      <w:r w:rsidRPr="00DD4D24">
        <w:rPr>
          <w:b/>
          <w:bCs/>
          <w:u w:val="single"/>
        </w:rPr>
        <w:t xml:space="preserve">T304.3 Number of exits. </w:t>
      </w:r>
      <w:r w:rsidRPr="00DD4D24">
        <w:rPr>
          <w:u w:val="single"/>
        </w:rPr>
        <w:t>Each shared housing rooming unit shall be provided with exit access to a minimum of two independent exits. Such exits shall be located in accordance with Section 1007.</w:t>
      </w:r>
    </w:p>
    <w:p w14:paraId="4D6575E3" w14:textId="77777777" w:rsidR="005A1AC5" w:rsidRPr="00DD4D24" w:rsidRDefault="005A1AC5" w:rsidP="005A1AC5">
      <w:pPr>
        <w:snapToGrid w:val="0"/>
        <w:spacing w:before="240" w:after="240"/>
        <w:rPr>
          <w:u w:val="single"/>
        </w:rPr>
      </w:pPr>
      <w:r w:rsidRPr="00DD4D24">
        <w:rPr>
          <w:b/>
          <w:bCs/>
          <w:u w:val="single"/>
        </w:rPr>
        <w:t>T304.4 Exit access.</w:t>
      </w:r>
      <w:r w:rsidRPr="00DD4D24">
        <w:rPr>
          <w:u w:val="single"/>
        </w:rPr>
        <w:t xml:space="preserve"> Each habitable room shall be provided with access to each required means of egress without passing through any sleeping rooms, toilet rooms or bathrooms. Where such access to a required means of egress is provided through a room, such access to such room shall be through a clear opening at least 30 inches (762 mm) wide extending from floor to ceiling and such opening shall not be equipped with any door or door frame, or with any device by means of which the opening may be closed, concealed or obstructed.</w:t>
      </w:r>
    </w:p>
    <w:p w14:paraId="48686ED0" w14:textId="77777777" w:rsidR="005A1AC5" w:rsidRPr="00DD4D24" w:rsidRDefault="005A1AC5" w:rsidP="005A1AC5">
      <w:pPr>
        <w:snapToGrid w:val="0"/>
        <w:spacing w:before="240" w:after="240"/>
        <w:rPr>
          <w:u w:val="single"/>
        </w:rPr>
      </w:pPr>
      <w:r w:rsidRPr="00DD4D24">
        <w:rPr>
          <w:b/>
          <w:bCs/>
          <w:u w:val="single"/>
        </w:rPr>
        <w:t xml:space="preserve">T304.5 Intervening public hall. </w:t>
      </w:r>
      <w:r w:rsidRPr="00DD4D24">
        <w:rPr>
          <w:u w:val="single"/>
        </w:rPr>
        <w:t>Notwithstanding Section 1016.3, shared housing dwellings shall comply with the following requirements:</w:t>
      </w:r>
    </w:p>
    <w:p w14:paraId="69700A3C" w14:textId="77777777" w:rsidR="005A1AC5" w:rsidRPr="00DD4D24" w:rsidRDefault="005A1AC5" w:rsidP="005A1AC5">
      <w:pPr>
        <w:snapToGrid w:val="0"/>
        <w:spacing w:before="240" w:after="240"/>
        <w:ind w:left="360"/>
        <w:rPr>
          <w:rFonts w:eastAsia="Calibri"/>
          <w:kern w:val="2"/>
          <w:u w:val="single"/>
        </w:rPr>
      </w:pPr>
      <w:r w:rsidRPr="00DD4D24">
        <w:rPr>
          <w:rFonts w:eastAsia="Calibri"/>
          <w:kern w:val="2"/>
          <w:u w:val="single"/>
        </w:rPr>
        <w:t>1.</w:t>
      </w:r>
      <w:r>
        <w:rPr>
          <w:rFonts w:eastAsia="Calibri"/>
          <w:kern w:val="2"/>
          <w:u w:val="single"/>
        </w:rPr>
        <w:tab/>
      </w:r>
      <w:r w:rsidRPr="00DD4D24">
        <w:rPr>
          <w:rFonts w:eastAsia="Calibri"/>
          <w:kern w:val="2"/>
          <w:u w:val="single"/>
        </w:rPr>
        <w:t>I</w:t>
      </w:r>
      <w:bookmarkStart w:id="8" w:name="_Hlk213344190"/>
      <w:r w:rsidRPr="00DD4D24">
        <w:rPr>
          <w:rFonts w:eastAsia="Calibri"/>
          <w:kern w:val="2"/>
          <w:u w:val="single"/>
        </w:rPr>
        <w:t>n all shared housing dwellings, the door of each shared housing rooming unit and each shared housing suite shall open into an intervening public hall constructed as a public corridor in accordance with Section 1020. Opening protectives in accordance with Exception 3 of Section 707.6 shall not be permitted.</w:t>
      </w:r>
      <w:bookmarkEnd w:id="8"/>
    </w:p>
    <w:p w14:paraId="0A45967D" w14:textId="77777777" w:rsidR="005A1AC5" w:rsidRPr="00DD4D24" w:rsidRDefault="005A1AC5" w:rsidP="005A1AC5">
      <w:pPr>
        <w:snapToGrid w:val="0"/>
        <w:spacing w:before="240" w:after="240"/>
        <w:ind w:left="360"/>
        <w:rPr>
          <w:rFonts w:eastAsia="Calibri"/>
          <w:kern w:val="2"/>
          <w:u w:val="single"/>
        </w:rPr>
      </w:pPr>
      <w:r w:rsidRPr="00DD4D24">
        <w:rPr>
          <w:rFonts w:eastAsia="Calibri"/>
          <w:kern w:val="2"/>
          <w:u w:val="single"/>
        </w:rPr>
        <w:t>2.</w:t>
      </w:r>
      <w:r>
        <w:rPr>
          <w:rFonts w:eastAsia="Calibri"/>
          <w:kern w:val="2"/>
          <w:u w:val="single"/>
        </w:rPr>
        <w:tab/>
      </w:r>
      <w:r w:rsidRPr="00DD4D24">
        <w:rPr>
          <w:rFonts w:eastAsia="Calibri"/>
          <w:kern w:val="2"/>
          <w:u w:val="single"/>
        </w:rPr>
        <w:t>In high-rise buildings subject to Section 403, such intervening public hall shall provide access to at least two exits.</w:t>
      </w:r>
    </w:p>
    <w:p w14:paraId="2AAAE219" w14:textId="77777777" w:rsidR="005A1AC5" w:rsidRPr="00DD4D24" w:rsidRDefault="005A1AC5" w:rsidP="005A1AC5">
      <w:pPr>
        <w:snapToGrid w:val="0"/>
        <w:spacing w:before="240" w:after="240"/>
        <w:ind w:left="360"/>
        <w:rPr>
          <w:u w:val="single"/>
        </w:rPr>
      </w:pPr>
      <w:r w:rsidRPr="00DD4D24">
        <w:rPr>
          <w:b/>
          <w:bCs/>
          <w:u w:val="single"/>
        </w:rPr>
        <w:t>Exception:</w:t>
      </w:r>
      <w:r w:rsidRPr="00DD4D24">
        <w:rPr>
          <w:u w:val="single"/>
        </w:rPr>
        <w:t xml:space="preserve"> In buildings not subject to Section 403, no intervening public hall shall be required where the doors opening to the shared housing rooming units are smoke and draft controlled doors complying with UL 1784 without artificial bottom seals, in accordance with Sections 716.5 and 716.5.7.3. </w:t>
      </w:r>
    </w:p>
    <w:p w14:paraId="78B0A4C2" w14:textId="77777777" w:rsidR="005A1AC5" w:rsidRPr="00DD4D24" w:rsidRDefault="005A1AC5" w:rsidP="005A1AC5">
      <w:pPr>
        <w:snapToGrid w:val="0"/>
        <w:spacing w:before="240" w:after="240"/>
        <w:rPr>
          <w:u w:val="single"/>
        </w:rPr>
      </w:pPr>
      <w:r w:rsidRPr="00DD4D24">
        <w:rPr>
          <w:b/>
          <w:bCs/>
          <w:u w:val="single"/>
        </w:rPr>
        <w:t xml:space="preserve">T304.6 Exit access stairways. </w:t>
      </w:r>
      <w:r w:rsidRPr="00DD4D24">
        <w:rPr>
          <w:u w:val="single"/>
        </w:rPr>
        <w:t>Exception 3 of Section 1019.3 shall not be applicable to shared housing dwellings. Unenclosed access stairways shall be permitted in accordance with Section T302.2.</w:t>
      </w:r>
    </w:p>
    <w:p w14:paraId="2BAD91DA" w14:textId="77777777" w:rsidR="005A1AC5" w:rsidRPr="00DD4D24" w:rsidRDefault="005A1AC5" w:rsidP="005A1AC5">
      <w:pPr>
        <w:snapToGrid w:val="0"/>
        <w:spacing w:before="240" w:after="240"/>
        <w:rPr>
          <w:u w:val="single"/>
        </w:rPr>
      </w:pPr>
      <w:r w:rsidRPr="00DD4D24">
        <w:rPr>
          <w:b/>
          <w:bCs/>
          <w:u w:val="single"/>
        </w:rPr>
        <w:t>T304.7 Exit signs.</w:t>
      </w:r>
      <w:r w:rsidRPr="00DD4D24">
        <w:rPr>
          <w:u w:val="single"/>
        </w:rPr>
        <w:t xml:space="preserve"> The door of each shared housing suite shall be provided with an exit sign in accordance with Section 1013. </w:t>
      </w:r>
    </w:p>
    <w:p w14:paraId="3CC116E9" w14:textId="77777777" w:rsidR="005A1AC5" w:rsidRPr="00DD4D24" w:rsidRDefault="005A1AC5" w:rsidP="005A1AC5">
      <w:pPr>
        <w:snapToGrid w:val="0"/>
        <w:spacing w:before="240" w:after="240"/>
        <w:rPr>
          <w:u w:val="single"/>
        </w:rPr>
      </w:pPr>
      <w:r w:rsidRPr="00DD4D24">
        <w:rPr>
          <w:b/>
          <w:bCs/>
          <w:u w:val="single"/>
        </w:rPr>
        <w:t>T304.8 Exit stairway access to roof.</w:t>
      </w:r>
      <w:r w:rsidRPr="00DD4D24">
        <w:rPr>
          <w:u w:val="single"/>
        </w:rPr>
        <w:t xml:space="preserve"> Regardless of the height of the shared housing dwelling, at least one exit stairway shall extend to the roof surface through a stairway bulkhead complying with Section 1011.12.</w:t>
      </w:r>
    </w:p>
    <w:p w14:paraId="5698C3C2" w14:textId="77777777" w:rsidR="005A1AC5" w:rsidRPr="00DD4D24" w:rsidRDefault="005A1AC5" w:rsidP="005A1AC5">
      <w:pPr>
        <w:snapToGrid w:val="0"/>
        <w:spacing w:before="240" w:after="240"/>
        <w:rPr>
          <w:u w:val="single"/>
        </w:rPr>
      </w:pPr>
      <w:r w:rsidRPr="00DD4D24">
        <w:rPr>
          <w:b/>
          <w:bCs/>
          <w:u w:val="single"/>
        </w:rPr>
        <w:t>T304.9 Doors within a shared housing suite.</w:t>
      </w:r>
      <w:r w:rsidRPr="00DD4D24">
        <w:rPr>
          <w:u w:val="single"/>
        </w:rPr>
        <w:t xml:space="preserve"> The door entering a shared housing rooming unit and shared housing suite shall be provided in accordance with Section 1010 as a Group R-2 dwelling unit.</w:t>
      </w:r>
    </w:p>
    <w:p w14:paraId="3D9ABE85" w14:textId="77777777" w:rsidR="005A1AC5" w:rsidRPr="00DD4D24" w:rsidRDefault="005A1AC5" w:rsidP="005A1AC5">
      <w:pPr>
        <w:snapToGrid w:val="0"/>
        <w:spacing w:before="240" w:after="240"/>
        <w:ind w:left="360"/>
        <w:rPr>
          <w:u w:val="single"/>
        </w:rPr>
      </w:pPr>
      <w:r w:rsidRPr="00DD4D24">
        <w:rPr>
          <w:b/>
          <w:bCs/>
          <w:u w:val="single"/>
        </w:rPr>
        <w:t>Exception:</w:t>
      </w:r>
      <w:r w:rsidRPr="00DD4D24">
        <w:rPr>
          <w:u w:val="single"/>
        </w:rPr>
        <w:t xml:space="preserve"> </w:t>
      </w:r>
      <w:r>
        <w:rPr>
          <w:u w:val="single"/>
        </w:rPr>
        <w:t>A c</w:t>
      </w:r>
      <w:r w:rsidRPr="00DD4D24">
        <w:rPr>
          <w:u w:val="single"/>
        </w:rPr>
        <w:t>hain guard shall not be installed on the door entering a shared housing suite.</w:t>
      </w:r>
    </w:p>
    <w:p w14:paraId="748BD45F" w14:textId="77777777" w:rsidR="005A1AC5" w:rsidRPr="00DD4D24" w:rsidRDefault="005A1AC5" w:rsidP="005A1AC5">
      <w:pPr>
        <w:snapToGrid w:val="0"/>
        <w:spacing w:before="240" w:after="240"/>
        <w:rPr>
          <w:u w:val="single"/>
        </w:rPr>
      </w:pPr>
      <w:r w:rsidRPr="00DD4D24">
        <w:rPr>
          <w:b/>
          <w:bCs/>
          <w:u w:val="single"/>
        </w:rPr>
        <w:t>T304.10 Intercommunication system.</w:t>
      </w:r>
      <w:r w:rsidRPr="00DD4D24">
        <w:rPr>
          <w:u w:val="single"/>
        </w:rPr>
        <w:t xml:space="preserve"> In a building where the total number of shared housing rooming units and other dwelling units equals or exceeds eight, an intercommunication system shall be provided in accordance with Section 1010.4.4.</w:t>
      </w:r>
    </w:p>
    <w:p w14:paraId="335F3B78" w14:textId="77777777" w:rsidR="005A1AC5" w:rsidRPr="00DD4D24" w:rsidRDefault="005A1AC5" w:rsidP="005A1AC5">
      <w:pPr>
        <w:keepNext/>
        <w:suppressAutoHyphens/>
        <w:snapToGrid w:val="0"/>
        <w:spacing w:before="120" w:after="120"/>
        <w:jc w:val="center"/>
        <w:outlineLvl w:val="0"/>
        <w:rPr>
          <w:b/>
          <w:bCs/>
          <w:u w:val="single"/>
        </w:rPr>
      </w:pPr>
      <w:r w:rsidRPr="00DD4D24">
        <w:rPr>
          <w:b/>
          <w:bCs/>
          <w:u w:val="single"/>
        </w:rPr>
        <w:t>SECTION BC T305</w:t>
      </w:r>
      <w:r w:rsidRPr="00DD4D24">
        <w:rPr>
          <w:b/>
          <w:bCs/>
          <w:u w:val="single"/>
        </w:rPr>
        <w:br/>
        <w:t>ACCESSIBILITY</w:t>
      </w:r>
    </w:p>
    <w:p w14:paraId="67794747" w14:textId="77777777" w:rsidR="005A1AC5" w:rsidRPr="00DD4D24" w:rsidRDefault="005A1AC5" w:rsidP="005A1AC5">
      <w:pPr>
        <w:snapToGrid w:val="0"/>
        <w:spacing w:before="240" w:after="240"/>
        <w:rPr>
          <w:u w:val="single"/>
        </w:rPr>
      </w:pPr>
      <w:r w:rsidRPr="00DD4D24">
        <w:rPr>
          <w:b/>
          <w:bCs/>
          <w:u w:val="single"/>
        </w:rPr>
        <w:t>T305.1 General.</w:t>
      </w:r>
      <w:r w:rsidRPr="00DD4D24">
        <w:rPr>
          <w:u w:val="single"/>
        </w:rPr>
        <w:t xml:space="preserve"> In addition to the other requirements of Chapter 11, shared housing dwellings shall be provided with accessible features in accordance with Section</w:t>
      </w:r>
      <w:r>
        <w:rPr>
          <w:u w:val="single"/>
        </w:rPr>
        <w:t>s</w:t>
      </w:r>
      <w:r w:rsidRPr="00DD4D24">
        <w:rPr>
          <w:u w:val="single"/>
        </w:rPr>
        <w:t xml:space="preserve"> T305.2 through T305.6.</w:t>
      </w:r>
    </w:p>
    <w:p w14:paraId="32B06315" w14:textId="77777777" w:rsidR="005A1AC5" w:rsidRPr="00DD4D24" w:rsidRDefault="005A1AC5" w:rsidP="005A1AC5">
      <w:pPr>
        <w:snapToGrid w:val="0"/>
        <w:spacing w:before="240" w:after="240"/>
        <w:rPr>
          <w:u w:val="single"/>
        </w:rPr>
      </w:pPr>
      <w:r w:rsidRPr="00DD4D24">
        <w:rPr>
          <w:b/>
          <w:bCs/>
          <w:u w:val="single"/>
        </w:rPr>
        <w:t>T305.2 Design.</w:t>
      </w:r>
      <w:r w:rsidRPr="00DD4D24">
        <w:rPr>
          <w:u w:val="single"/>
        </w:rPr>
        <w:t xml:space="preserve"> Shared housing rooming units which are required to be Accessible units or Type B+NYC units shall comply with this code, Section</w:t>
      </w:r>
      <w:r>
        <w:rPr>
          <w:u w:val="single"/>
        </w:rPr>
        <w:t>s</w:t>
      </w:r>
      <w:r w:rsidRPr="00DD4D24">
        <w:rPr>
          <w:u w:val="single"/>
        </w:rPr>
        <w:t xml:space="preserve"> T305.2 through T305.5 and the applicable provisions of Chapter 10 of ICC A117.1. Shared housing suites containing shared housing rooming units that are Type B+NYC units shall further comply with Section 1004 (Type B Units) of ICC A117.1, including any modifications made by Sections 1107.2.1 through 1107.2.8. Units required to be Type B+NYC units are permitted to be designed and constructed as Accessible units.</w:t>
      </w:r>
    </w:p>
    <w:p w14:paraId="33D5F2DF" w14:textId="77777777" w:rsidR="005A1AC5" w:rsidRPr="00DD4D24" w:rsidRDefault="005A1AC5" w:rsidP="005A1AC5">
      <w:pPr>
        <w:snapToGrid w:val="0"/>
        <w:spacing w:before="240" w:after="240"/>
        <w:ind w:left="360"/>
        <w:rPr>
          <w:u w:val="single"/>
        </w:rPr>
      </w:pPr>
      <w:r w:rsidRPr="00DD4D24">
        <w:rPr>
          <w:b/>
          <w:bCs/>
          <w:u w:val="single"/>
        </w:rPr>
        <w:t>T305.2.1 Accessible spaces.</w:t>
      </w:r>
      <w:r w:rsidRPr="00DD4D24">
        <w:rPr>
          <w:u w:val="single"/>
        </w:rPr>
        <w:t xml:space="preserve"> Common rooms and spaces available for use by residents and serving Accessible units or Type B+NYC units shall be accessible in accordance with Section 1107.3.</w:t>
      </w:r>
    </w:p>
    <w:p w14:paraId="31D33179" w14:textId="77777777" w:rsidR="005A1AC5" w:rsidRPr="00DD4D24" w:rsidRDefault="005A1AC5" w:rsidP="005A1AC5">
      <w:pPr>
        <w:snapToGrid w:val="0"/>
        <w:spacing w:before="240" w:after="240"/>
        <w:ind w:left="360"/>
        <w:rPr>
          <w:u w:val="single"/>
        </w:rPr>
      </w:pPr>
      <w:r w:rsidRPr="00DD4D24">
        <w:rPr>
          <w:b/>
          <w:bCs/>
          <w:u w:val="single"/>
        </w:rPr>
        <w:t>T305.2.2 Accessible route.</w:t>
      </w:r>
      <w:r w:rsidRPr="00DD4D24">
        <w:rPr>
          <w:u w:val="single"/>
        </w:rPr>
        <w:t xml:space="preserve"> Accessible route serving Accessible units or Type B+NYC units shall be provided in accordance with Section 1107.4.</w:t>
      </w:r>
    </w:p>
    <w:p w14:paraId="0E1DCE58" w14:textId="77777777" w:rsidR="005A1AC5" w:rsidRPr="00DD4D24" w:rsidRDefault="005A1AC5" w:rsidP="005A1AC5">
      <w:pPr>
        <w:snapToGrid w:val="0"/>
        <w:spacing w:before="240" w:after="240"/>
        <w:rPr>
          <w:u w:val="single"/>
        </w:rPr>
      </w:pPr>
      <w:r w:rsidRPr="00DD4D24">
        <w:rPr>
          <w:b/>
          <w:bCs/>
          <w:u w:val="single"/>
        </w:rPr>
        <w:t>T305.3 Accessible units scope.</w:t>
      </w:r>
      <w:r w:rsidRPr="00DD4D24">
        <w:rPr>
          <w:u w:val="single"/>
        </w:rPr>
        <w:t xml:space="preserve"> The number of accessible shared housing rooming units shall be provided in accordance with Section 1107.6.1.1. </w:t>
      </w:r>
      <w:r>
        <w:rPr>
          <w:u w:val="single"/>
        </w:rPr>
        <w:t>O</w:t>
      </w:r>
      <w:r w:rsidRPr="00DD4D24">
        <w:rPr>
          <w:u w:val="single"/>
        </w:rPr>
        <w:t xml:space="preserve">nly one shared housing rooming unit in each shared housing suite shall be permitted to count toward the number of required Accessible units. Accessible units shall be distributed throughout the floors and locations on the floor of the shared housing dwelling. </w:t>
      </w:r>
    </w:p>
    <w:p w14:paraId="2881C236" w14:textId="77777777" w:rsidR="005A1AC5" w:rsidRPr="00DD4D24" w:rsidRDefault="005A1AC5" w:rsidP="005A1AC5">
      <w:pPr>
        <w:snapToGrid w:val="0"/>
        <w:spacing w:before="240" w:after="240"/>
        <w:ind w:left="360"/>
        <w:rPr>
          <w:u w:val="single"/>
        </w:rPr>
      </w:pPr>
      <w:r w:rsidRPr="00DD4D24">
        <w:rPr>
          <w:b/>
          <w:bCs/>
          <w:u w:val="single"/>
        </w:rPr>
        <w:t>Exception:</w:t>
      </w:r>
      <w:r w:rsidRPr="00DD4D24">
        <w:rPr>
          <w:u w:val="single"/>
        </w:rPr>
        <w:t xml:space="preserve"> Where the</w:t>
      </w:r>
      <w:r>
        <w:rPr>
          <w:u w:val="single"/>
        </w:rPr>
        <w:t xml:space="preserve"> number of</w:t>
      </w:r>
      <w:r w:rsidRPr="00DD4D24">
        <w:rPr>
          <w:u w:val="single"/>
        </w:rPr>
        <w:t xml:space="preserve"> required Accessible shared housing rooming units exceeds the number of shared housing suites combined, the remaining accessible shared housing rooming units shall be distributed throughout the floors and locations on the floor of the shared housing dwelling.</w:t>
      </w:r>
    </w:p>
    <w:p w14:paraId="15046CF5" w14:textId="77777777" w:rsidR="005A1AC5" w:rsidRPr="00DD4D24" w:rsidRDefault="005A1AC5" w:rsidP="005A1AC5">
      <w:pPr>
        <w:snapToGrid w:val="0"/>
        <w:spacing w:before="240" w:after="240"/>
        <w:rPr>
          <w:u w:val="single"/>
        </w:rPr>
      </w:pPr>
      <w:r w:rsidRPr="00DD4D24">
        <w:rPr>
          <w:b/>
          <w:bCs/>
          <w:u w:val="single"/>
        </w:rPr>
        <w:t xml:space="preserve">T305.4 Type B+NYC units scope. </w:t>
      </w:r>
      <w:r w:rsidRPr="00DD4D24">
        <w:rPr>
          <w:u w:val="single"/>
        </w:rPr>
        <w:t xml:space="preserve">In buildings containing four or more dwelling units or sleeping units, shared housing rooming units included, shared housing rooming units not required to be an Accessible unit shall be a Type B+NYC units unless the number of Type B+NYC units is permitted to be reduced in accordance with Section T305.5. </w:t>
      </w:r>
    </w:p>
    <w:p w14:paraId="65D4B696" w14:textId="77777777" w:rsidR="005A1AC5" w:rsidRPr="00DD4D24" w:rsidRDefault="005A1AC5" w:rsidP="005A1AC5">
      <w:pPr>
        <w:snapToGrid w:val="0"/>
        <w:spacing w:before="240" w:after="240"/>
        <w:rPr>
          <w:u w:val="single"/>
        </w:rPr>
      </w:pPr>
      <w:r w:rsidRPr="00DD4D24">
        <w:rPr>
          <w:b/>
          <w:bCs/>
          <w:u w:val="single"/>
        </w:rPr>
        <w:t xml:space="preserve">T305.5 General exceptions for Type B+NYC units. </w:t>
      </w:r>
      <w:r w:rsidRPr="00DD4D24">
        <w:rPr>
          <w:u w:val="single"/>
        </w:rPr>
        <w:t>Where specifically permitted by this section, the required number of Type B+NYC units is permitted to be reduced in accordance with Sections T305.5.1 through T305.5.2.</w:t>
      </w:r>
    </w:p>
    <w:p w14:paraId="2C6D928D" w14:textId="77777777" w:rsidR="005A1AC5" w:rsidRPr="00DD4D24" w:rsidRDefault="005A1AC5" w:rsidP="005A1AC5">
      <w:pPr>
        <w:snapToGrid w:val="0"/>
        <w:spacing w:before="240" w:after="240"/>
        <w:ind w:left="360"/>
        <w:rPr>
          <w:b/>
          <w:bCs/>
          <w:u w:val="single"/>
        </w:rPr>
      </w:pPr>
      <w:r w:rsidRPr="00DD4D24">
        <w:rPr>
          <w:b/>
          <w:bCs/>
          <w:u w:val="single"/>
        </w:rPr>
        <w:t>T305.5.1 Buildings or structures without elevator service where Type B+NYC units are required.</w:t>
      </w:r>
      <w:r w:rsidRPr="00DD4D24">
        <w:rPr>
          <w:u w:val="single"/>
        </w:rPr>
        <w:t xml:space="preserve"> In buildings or structures where no elevator service is provided or required by other sections of this code, only the shared housing rooming units that are located on stories indicated in Section T305.5.1.1 are required to be Type B+NYC units.</w:t>
      </w:r>
    </w:p>
    <w:p w14:paraId="029C00F2" w14:textId="77777777" w:rsidR="005A1AC5" w:rsidRPr="00DD4D24" w:rsidRDefault="005A1AC5" w:rsidP="005A1AC5">
      <w:pPr>
        <w:snapToGrid w:val="0"/>
        <w:spacing w:before="240" w:after="240"/>
        <w:ind w:left="720"/>
        <w:rPr>
          <w:b/>
          <w:bCs/>
          <w:u w:val="single"/>
        </w:rPr>
      </w:pPr>
      <w:r w:rsidRPr="00DD4D24">
        <w:rPr>
          <w:b/>
          <w:bCs/>
          <w:u w:val="single"/>
        </w:rPr>
        <w:t>T305.5.1.1 One story with Type B+NYC units required.</w:t>
      </w:r>
      <w:r w:rsidRPr="00DD4D24">
        <w:rPr>
          <w:u w:val="single"/>
        </w:rPr>
        <w:t xml:space="preserve"> At least one story containing shared housing rooming units shall be provided with an accessible entrance and accessible route from the exterior of the structure and all units intended to be used as a residence on that story shall be Type B+NYC units.</w:t>
      </w:r>
    </w:p>
    <w:p w14:paraId="35DCEF99" w14:textId="77777777" w:rsidR="005A1AC5" w:rsidRPr="00DD4D24" w:rsidRDefault="005A1AC5" w:rsidP="005A1AC5">
      <w:pPr>
        <w:snapToGrid w:val="0"/>
        <w:spacing w:before="240" w:after="240"/>
        <w:ind w:left="720"/>
        <w:rPr>
          <w:b/>
          <w:bCs/>
          <w:u w:val="single"/>
        </w:rPr>
      </w:pPr>
      <w:r w:rsidRPr="00DD4D24">
        <w:rPr>
          <w:b/>
          <w:bCs/>
          <w:u w:val="single"/>
        </w:rPr>
        <w:t xml:space="preserve">T305.5.1.2 Other stories with Type B+NYC units required. </w:t>
      </w:r>
      <w:r w:rsidRPr="00DD4D24">
        <w:rPr>
          <w:u w:val="single"/>
        </w:rPr>
        <w:t>If other stories containing shared housing rooming units are served by a building entrance that is in proximity to arrival points as indicated in Items 1 and 2, such building entrance shall be accessible and all shared housing rooming units served by that entrance on that story shall be Type B+NYC units.</w:t>
      </w:r>
      <w:r w:rsidRPr="00DD4D24">
        <w:rPr>
          <w:b/>
          <w:bCs/>
          <w:u w:val="single"/>
        </w:rPr>
        <w:t xml:space="preserve"> </w:t>
      </w:r>
    </w:p>
    <w:p w14:paraId="77E09673" w14:textId="77777777" w:rsidR="005A1AC5" w:rsidRDefault="005A1AC5" w:rsidP="005A1AC5">
      <w:pPr>
        <w:snapToGrid w:val="0"/>
        <w:spacing w:before="240" w:after="240"/>
        <w:ind w:left="1080"/>
        <w:rPr>
          <w:u w:val="single"/>
        </w:rPr>
      </w:pPr>
      <w:r w:rsidRPr="00DD4D24">
        <w:rPr>
          <w:u w:val="single"/>
        </w:rPr>
        <w:t>1.</w:t>
      </w:r>
      <w:r>
        <w:rPr>
          <w:u w:val="single"/>
        </w:rPr>
        <w:tab/>
      </w:r>
      <w:r w:rsidRPr="00DD4D24">
        <w:rPr>
          <w:u w:val="single"/>
        </w:rPr>
        <w:t xml:space="preserve">Where the slopes of the undisturbed site measured between the planned entrance and all vehicular or pedestrian arrival points within 50 feet (15 240 mm) of the planned entrance are 10 percent or less, and </w:t>
      </w:r>
    </w:p>
    <w:p w14:paraId="7DF8B0C3" w14:textId="77777777" w:rsidR="005A1AC5" w:rsidRPr="00DD4D24" w:rsidRDefault="005A1AC5" w:rsidP="005A1AC5">
      <w:pPr>
        <w:snapToGrid w:val="0"/>
        <w:spacing w:before="240" w:after="240"/>
        <w:ind w:left="1080"/>
        <w:rPr>
          <w:u w:val="single"/>
        </w:rPr>
      </w:pPr>
      <w:r w:rsidRPr="00DD4D24">
        <w:rPr>
          <w:u w:val="single"/>
        </w:rPr>
        <w:t>2.</w:t>
      </w:r>
      <w:r>
        <w:rPr>
          <w:u w:val="single"/>
        </w:rPr>
        <w:tab/>
      </w:r>
      <w:r w:rsidRPr="00DD4D24">
        <w:rPr>
          <w:u w:val="single"/>
        </w:rPr>
        <w:t xml:space="preserve">Where the slopes of the planned finished grade measured between the entrance and all vehicular or pedestrian arrival points within 50 feet (15 240 mm) of the planned entrance are 10 percent or less. </w:t>
      </w:r>
    </w:p>
    <w:p w14:paraId="48A213C3" w14:textId="77777777" w:rsidR="005A1AC5" w:rsidRPr="00DD4D24" w:rsidRDefault="005A1AC5" w:rsidP="005A1AC5">
      <w:pPr>
        <w:snapToGrid w:val="0"/>
        <w:spacing w:before="240" w:after="240"/>
        <w:ind w:left="720"/>
        <w:rPr>
          <w:u w:val="single"/>
        </w:rPr>
      </w:pPr>
      <w:r w:rsidRPr="00DD4D24">
        <w:rPr>
          <w:u w:val="single"/>
        </w:rPr>
        <w:t>Where no such arrival points are within 50 feet (15 240 mm) of the entrance, the closest arrival point shall be used unless that arrival point serves the story required by Section T305.1.1.</w:t>
      </w:r>
    </w:p>
    <w:p w14:paraId="0CDD017A" w14:textId="77777777" w:rsidR="005A1AC5" w:rsidRPr="00DD4D24" w:rsidRDefault="005A1AC5" w:rsidP="005A1AC5">
      <w:pPr>
        <w:snapToGrid w:val="0"/>
        <w:spacing w:before="240" w:after="240"/>
        <w:ind w:left="360"/>
        <w:rPr>
          <w:u w:val="single"/>
        </w:rPr>
      </w:pPr>
      <w:r w:rsidRPr="00DD4D24">
        <w:rPr>
          <w:b/>
          <w:bCs/>
          <w:u w:val="single"/>
        </w:rPr>
        <w:t xml:space="preserve">T305.5.2 Elevator service to the lowest story with Type B+NYC units. </w:t>
      </w:r>
      <w:r w:rsidRPr="00DD4D24">
        <w:rPr>
          <w:u w:val="single"/>
        </w:rPr>
        <w:t>Where elevator service in the building is provided for the sole purpose of complying with the provisions of Section T305.5.1.1 to serve as an accessible route only to the lowest story containing shared housing rooming units intended to be used as a residence, only the units intended to be used as a residence on the lowest story served by the elevator are required to be Type B+NYC units.</w:t>
      </w:r>
    </w:p>
    <w:p w14:paraId="158E4C70" w14:textId="77777777" w:rsidR="005A1AC5" w:rsidRPr="00DD4D24" w:rsidRDefault="005A1AC5" w:rsidP="005A1AC5">
      <w:pPr>
        <w:snapToGrid w:val="0"/>
        <w:spacing w:before="240" w:after="240"/>
        <w:rPr>
          <w:u w:val="single"/>
        </w:rPr>
      </w:pPr>
      <w:r w:rsidRPr="00DD4D24">
        <w:rPr>
          <w:b/>
          <w:bCs/>
          <w:u w:val="single"/>
        </w:rPr>
        <w:t xml:space="preserve">T305.6 Existing buildings with existing elevators. </w:t>
      </w:r>
      <w:r w:rsidRPr="00DD4D24">
        <w:rPr>
          <w:u w:val="single"/>
        </w:rPr>
        <w:t xml:space="preserve">Where elevators are provided in an existing building that is otherwise not required to provide elevators by this code, such existing elevators shall remain and shall comply with the following: </w:t>
      </w:r>
    </w:p>
    <w:p w14:paraId="0F171120" w14:textId="77777777" w:rsidR="005A1AC5" w:rsidRPr="00DD4D24" w:rsidRDefault="005A1AC5" w:rsidP="005A1AC5">
      <w:pPr>
        <w:snapToGrid w:val="0"/>
        <w:spacing w:before="240" w:after="240"/>
        <w:ind w:left="360"/>
        <w:rPr>
          <w:kern w:val="2"/>
          <w:u w:val="single"/>
        </w:rPr>
      </w:pPr>
      <w:r w:rsidRPr="00DD4D24">
        <w:rPr>
          <w:kern w:val="2"/>
          <w:u w:val="single"/>
        </w:rPr>
        <w:t>1.</w:t>
      </w:r>
      <w:r>
        <w:rPr>
          <w:kern w:val="2"/>
          <w:u w:val="single"/>
        </w:rPr>
        <w:tab/>
      </w:r>
      <w:r w:rsidRPr="00DD4D24">
        <w:rPr>
          <w:kern w:val="2"/>
          <w:u w:val="single"/>
        </w:rPr>
        <w:t xml:space="preserve">Existing passenger elevator complying with inside dimensions in accordance with Section 407.4.1 (Inside Dimensions) of ICC A117.1 shall not be eliminated or reduced in size. </w:t>
      </w:r>
    </w:p>
    <w:p w14:paraId="02F8A117" w14:textId="77777777" w:rsidR="005A1AC5" w:rsidRPr="00DD4D24" w:rsidRDefault="005A1AC5" w:rsidP="005A1AC5">
      <w:pPr>
        <w:snapToGrid w:val="0"/>
        <w:spacing w:before="240" w:after="240"/>
        <w:ind w:left="360"/>
        <w:rPr>
          <w:kern w:val="2"/>
          <w:u w:val="single"/>
        </w:rPr>
      </w:pPr>
      <w:r w:rsidRPr="00DD4D24">
        <w:rPr>
          <w:kern w:val="2"/>
          <w:u w:val="single"/>
        </w:rPr>
        <w:t>2.</w:t>
      </w:r>
      <w:r>
        <w:rPr>
          <w:kern w:val="2"/>
          <w:u w:val="single"/>
        </w:rPr>
        <w:tab/>
      </w:r>
      <w:r w:rsidRPr="00DD4D24">
        <w:rPr>
          <w:kern w:val="2"/>
          <w:u w:val="single"/>
        </w:rPr>
        <w:t>Where existing freight elevator is the only elevator of the building, such elevator shall be converted to a passenger elevator in accordance with Section 407 (Elevators) of ICC A117.1. Such passenger elevator installed in the existing shaft shall be installed in accordance with Section 3001.11.</w:t>
      </w:r>
    </w:p>
    <w:p w14:paraId="1748A622" w14:textId="77777777" w:rsidR="005A1AC5" w:rsidRPr="00DD4D24" w:rsidRDefault="005A1AC5" w:rsidP="005A1AC5">
      <w:pPr>
        <w:snapToGrid w:val="0"/>
        <w:spacing w:before="240" w:after="240"/>
        <w:ind w:left="360"/>
        <w:rPr>
          <w:kern w:val="2"/>
          <w:u w:val="single"/>
        </w:rPr>
      </w:pPr>
      <w:r w:rsidRPr="00DD4D24">
        <w:rPr>
          <w:b/>
          <w:bCs/>
          <w:kern w:val="2"/>
          <w:u w:val="single"/>
        </w:rPr>
        <w:t>Exception:</w:t>
      </w:r>
      <w:r w:rsidRPr="00DD4D24">
        <w:rPr>
          <w:kern w:val="2"/>
          <w:u w:val="single"/>
        </w:rPr>
        <w:t xml:space="preserve"> Where existing non-residential building is converted to a shared housing dwelling, existing passenger or freight elevators completely within an individual non-residential tenant space, and such building was used by more than one non-residential tenant prior to such conversion.</w:t>
      </w:r>
    </w:p>
    <w:p w14:paraId="591A115D" w14:textId="77777777" w:rsidR="005A1AC5" w:rsidRPr="00DD4D24" w:rsidRDefault="005A1AC5" w:rsidP="005A1AC5">
      <w:pPr>
        <w:keepNext/>
        <w:suppressAutoHyphens/>
        <w:snapToGrid w:val="0"/>
        <w:spacing w:before="240" w:after="240"/>
        <w:jc w:val="center"/>
        <w:outlineLvl w:val="0"/>
        <w:rPr>
          <w:b/>
          <w:bCs/>
          <w:u w:val="single"/>
        </w:rPr>
      </w:pPr>
      <w:r w:rsidRPr="00DD4D24">
        <w:rPr>
          <w:b/>
          <w:bCs/>
          <w:u w:val="single"/>
        </w:rPr>
        <w:t>SECTION BC T306</w:t>
      </w:r>
      <w:r w:rsidRPr="00DD4D24">
        <w:rPr>
          <w:b/>
          <w:bCs/>
          <w:u w:val="single"/>
        </w:rPr>
        <w:br/>
        <w:t>INTERIOR ENVIRONMENT</w:t>
      </w:r>
    </w:p>
    <w:p w14:paraId="5818F14E" w14:textId="77777777" w:rsidR="005A1AC5" w:rsidRPr="00DD4D24" w:rsidRDefault="005A1AC5" w:rsidP="005A1AC5">
      <w:pPr>
        <w:snapToGrid w:val="0"/>
        <w:spacing w:before="240" w:after="240"/>
        <w:rPr>
          <w:u w:val="single"/>
        </w:rPr>
      </w:pPr>
      <w:r w:rsidRPr="00DD4D24">
        <w:rPr>
          <w:b/>
          <w:bCs/>
          <w:u w:val="single"/>
        </w:rPr>
        <w:t xml:space="preserve">T306.1 General. </w:t>
      </w:r>
      <w:r w:rsidRPr="00DD4D24">
        <w:rPr>
          <w:u w:val="single"/>
        </w:rPr>
        <w:t>Chapter 12 shall apply to shared housing dwelling, except as provided by Sections T306.1 through T306.4.</w:t>
      </w:r>
    </w:p>
    <w:p w14:paraId="4FEE12FA" w14:textId="77777777" w:rsidR="005A1AC5" w:rsidRPr="00DD4D24" w:rsidRDefault="005A1AC5" w:rsidP="005A1AC5">
      <w:pPr>
        <w:snapToGrid w:val="0"/>
        <w:spacing w:before="240" w:after="240"/>
        <w:rPr>
          <w:u w:val="single"/>
        </w:rPr>
      </w:pPr>
      <w:r w:rsidRPr="00DD4D24">
        <w:rPr>
          <w:b/>
          <w:bCs/>
          <w:u w:val="single"/>
        </w:rPr>
        <w:t>T306.2 Interior space dimensions.</w:t>
      </w:r>
      <w:r w:rsidRPr="00DD4D24">
        <w:rPr>
          <w:u w:val="single"/>
        </w:rPr>
        <w:t xml:space="preserve"> Sections 1208.3.2, 1208.3.2.1</w:t>
      </w:r>
      <w:r>
        <w:rPr>
          <w:u w:val="single"/>
        </w:rPr>
        <w:t>,</w:t>
      </w:r>
      <w:r w:rsidRPr="00DD4D24">
        <w:rPr>
          <w:u w:val="single"/>
        </w:rPr>
        <w:t xml:space="preserve"> and 1208.3.2.2 shall not be applicable to shared housing dwellings. Shared housing rooming units shall comply with the minimum floor area requirement set forth in section 27-2079.1 of the </w:t>
      </w:r>
      <w:r w:rsidRPr="00DD4D24">
        <w:rPr>
          <w:i/>
          <w:iCs/>
          <w:u w:val="single"/>
        </w:rPr>
        <w:t>New York City Housing Maintenance Code</w:t>
      </w:r>
      <w:r w:rsidRPr="00DD4D24">
        <w:rPr>
          <w:u w:val="single"/>
        </w:rPr>
        <w:t>.</w:t>
      </w:r>
    </w:p>
    <w:p w14:paraId="7B5AF242" w14:textId="77777777" w:rsidR="005A1AC5" w:rsidRPr="00DD4D24" w:rsidRDefault="005A1AC5" w:rsidP="005A1AC5">
      <w:pPr>
        <w:snapToGrid w:val="0"/>
        <w:spacing w:before="240" w:after="240"/>
        <w:rPr>
          <w:u w:val="single"/>
        </w:rPr>
      </w:pPr>
      <w:r w:rsidRPr="00DD4D24">
        <w:rPr>
          <w:b/>
          <w:bCs/>
          <w:u w:val="single"/>
        </w:rPr>
        <w:t>T306.3 Toilet and bathroom requirements</w:t>
      </w:r>
      <w:r w:rsidRPr="00DD4D24">
        <w:rPr>
          <w:u w:val="single"/>
        </w:rPr>
        <w:t>. Exception 1 of Section 1210.2.2 shall not be applicable to walls and partitions in the toilet and bathrooms in shared housing dwellings.</w:t>
      </w:r>
    </w:p>
    <w:p w14:paraId="6B0CCE54" w14:textId="77777777" w:rsidR="005A1AC5" w:rsidRPr="00DD4D24" w:rsidRDefault="005A1AC5" w:rsidP="005A1AC5">
      <w:pPr>
        <w:snapToGrid w:val="0"/>
        <w:spacing w:before="240" w:after="240"/>
        <w:rPr>
          <w:u w:val="single"/>
        </w:rPr>
      </w:pPr>
      <w:r w:rsidRPr="00DD4D24">
        <w:rPr>
          <w:b/>
          <w:bCs/>
          <w:u w:val="single"/>
        </w:rPr>
        <w:t>T306.4 Habitable space.</w:t>
      </w:r>
      <w:r w:rsidRPr="00DD4D24">
        <w:rPr>
          <w:u w:val="single"/>
        </w:rPr>
        <w:t xml:space="preserve"> A room or space in a shared housing dwelling that is not a public part of the building shall be deemed a habitable space.</w:t>
      </w:r>
    </w:p>
    <w:p w14:paraId="65544C32" w14:textId="77777777" w:rsidR="005A1AC5" w:rsidRPr="00DD4D24" w:rsidRDefault="005A1AC5" w:rsidP="005A1AC5">
      <w:pPr>
        <w:snapToGrid w:val="0"/>
        <w:spacing w:before="240" w:after="240"/>
        <w:ind w:left="360"/>
        <w:rPr>
          <w:u w:val="single"/>
        </w:rPr>
      </w:pPr>
      <w:r w:rsidRPr="00DD4D24">
        <w:rPr>
          <w:b/>
          <w:bCs/>
          <w:u w:val="single"/>
        </w:rPr>
        <w:t>Exception:</w:t>
      </w:r>
      <w:r w:rsidRPr="00DD4D24">
        <w:rPr>
          <w:u w:val="single"/>
        </w:rPr>
        <w:t xml:space="preserve"> Rooms or spaces excluded from </w:t>
      </w:r>
      <w:r>
        <w:rPr>
          <w:u w:val="single"/>
        </w:rPr>
        <w:t xml:space="preserve">the definition of </w:t>
      </w:r>
      <w:r w:rsidRPr="00DD4D24">
        <w:rPr>
          <w:u w:val="single"/>
        </w:rPr>
        <w:t>habitable space in Section 202.</w:t>
      </w:r>
    </w:p>
    <w:p w14:paraId="6DFC18B7" w14:textId="77777777" w:rsidR="005A1AC5" w:rsidRPr="00DD4D24" w:rsidRDefault="005A1AC5" w:rsidP="005A1AC5">
      <w:pPr>
        <w:keepNext/>
        <w:suppressAutoHyphens/>
        <w:snapToGrid w:val="0"/>
        <w:spacing w:before="240" w:after="240"/>
        <w:jc w:val="center"/>
        <w:outlineLvl w:val="0"/>
        <w:rPr>
          <w:b/>
          <w:bCs/>
          <w:u w:val="single"/>
        </w:rPr>
      </w:pPr>
      <w:r w:rsidRPr="00DD4D24">
        <w:rPr>
          <w:b/>
          <w:bCs/>
          <w:u w:val="single"/>
        </w:rPr>
        <w:t>SECTION BC T401</w:t>
      </w:r>
      <w:r w:rsidRPr="00DD4D24">
        <w:rPr>
          <w:b/>
          <w:bCs/>
          <w:u w:val="single"/>
        </w:rPr>
        <w:br/>
        <w:t xml:space="preserve">PLUMBING </w:t>
      </w:r>
    </w:p>
    <w:p w14:paraId="7B4D1CAA" w14:textId="77777777" w:rsidR="005A1AC5" w:rsidRPr="00DD4D24" w:rsidRDefault="005A1AC5" w:rsidP="005A1AC5">
      <w:pPr>
        <w:snapToGrid w:val="0"/>
        <w:spacing w:before="240" w:after="240"/>
        <w:rPr>
          <w:u w:val="single"/>
        </w:rPr>
      </w:pPr>
      <w:r w:rsidRPr="00DD4D24">
        <w:rPr>
          <w:b/>
          <w:bCs/>
          <w:u w:val="single"/>
        </w:rPr>
        <w:t xml:space="preserve">T401.1 General. </w:t>
      </w:r>
      <w:r w:rsidRPr="00DD4D24">
        <w:rPr>
          <w:u w:val="single"/>
        </w:rPr>
        <w:t xml:space="preserve">Shared housing dwellings shall comply with the </w:t>
      </w:r>
      <w:r w:rsidRPr="00DD4D24">
        <w:rPr>
          <w:i/>
          <w:iCs/>
          <w:u w:val="single"/>
        </w:rPr>
        <w:t>New York City Plumbing Code</w:t>
      </w:r>
      <w:r w:rsidRPr="00DD4D24">
        <w:rPr>
          <w:u w:val="single"/>
        </w:rPr>
        <w:t xml:space="preserve"> as modified by Sections T401.2 through T401.4. </w:t>
      </w:r>
    </w:p>
    <w:p w14:paraId="58518D15" w14:textId="77777777" w:rsidR="005A1AC5" w:rsidRPr="00DD4D24" w:rsidRDefault="005A1AC5" w:rsidP="005A1AC5">
      <w:pPr>
        <w:snapToGrid w:val="0"/>
        <w:spacing w:before="240" w:after="240"/>
        <w:rPr>
          <w:u w:val="single"/>
        </w:rPr>
      </w:pPr>
      <w:r w:rsidRPr="00DD4D24">
        <w:rPr>
          <w:b/>
          <w:bCs/>
          <w:u w:val="single"/>
        </w:rPr>
        <w:t>T401.2 Fixtures, faucets</w:t>
      </w:r>
      <w:r>
        <w:rPr>
          <w:b/>
          <w:bCs/>
          <w:u w:val="single"/>
        </w:rPr>
        <w:t>,</w:t>
      </w:r>
      <w:r w:rsidRPr="00DD4D24">
        <w:rPr>
          <w:b/>
          <w:bCs/>
          <w:u w:val="single"/>
        </w:rPr>
        <w:t xml:space="preserve"> and fixture fittings.</w:t>
      </w:r>
      <w:r w:rsidRPr="00DD4D24">
        <w:rPr>
          <w:u w:val="single"/>
        </w:rPr>
        <w:t xml:space="preserve"> Shared housing dwelling shall provide materials, design</w:t>
      </w:r>
      <w:r>
        <w:rPr>
          <w:u w:val="single"/>
        </w:rPr>
        <w:t>,</w:t>
      </w:r>
      <w:r w:rsidRPr="00DD4D24">
        <w:rPr>
          <w:u w:val="single"/>
        </w:rPr>
        <w:t xml:space="preserve"> and installation of plumbing fixtures, faucets</w:t>
      </w:r>
      <w:r>
        <w:rPr>
          <w:u w:val="single"/>
        </w:rPr>
        <w:t>,</w:t>
      </w:r>
      <w:r w:rsidRPr="00DD4D24">
        <w:rPr>
          <w:u w:val="single"/>
        </w:rPr>
        <w:t xml:space="preserve"> and fixture fitting</w:t>
      </w:r>
      <w:r>
        <w:rPr>
          <w:u w:val="single"/>
        </w:rPr>
        <w:t>s</w:t>
      </w:r>
      <w:r w:rsidRPr="00DD4D24">
        <w:rPr>
          <w:u w:val="single"/>
        </w:rPr>
        <w:t xml:space="preserve"> in accordance with Chapter 4 of the </w:t>
      </w:r>
      <w:r w:rsidRPr="00DD4D24">
        <w:rPr>
          <w:i/>
          <w:iCs/>
          <w:u w:val="single"/>
        </w:rPr>
        <w:t>New York City Plumbing Code</w:t>
      </w:r>
      <w:r w:rsidRPr="00DD4D24">
        <w:rPr>
          <w:u w:val="single"/>
        </w:rPr>
        <w:t xml:space="preserve"> as modified by Sections T401.2.1 through T401.2.5.</w:t>
      </w:r>
    </w:p>
    <w:p w14:paraId="4B9E4B0D" w14:textId="77777777" w:rsidR="005A1AC5" w:rsidRDefault="005A1AC5" w:rsidP="005A1AC5">
      <w:pPr>
        <w:snapToGrid w:val="0"/>
        <w:spacing w:before="240" w:after="240"/>
        <w:ind w:left="360"/>
        <w:rPr>
          <w:u w:val="single"/>
        </w:rPr>
      </w:pPr>
      <w:r w:rsidRPr="00DD4D24">
        <w:rPr>
          <w:b/>
          <w:bCs/>
          <w:u w:val="single"/>
        </w:rPr>
        <w:t>T401.2.1 Minimum plumbing facilities.</w:t>
      </w:r>
      <w:r w:rsidRPr="00DD4D24">
        <w:rPr>
          <w:u w:val="single"/>
        </w:rPr>
        <w:t xml:space="preserve"> The minimum number of fixtures required for Group R-2 occupancy in Table 403.1 of the </w:t>
      </w:r>
      <w:r w:rsidRPr="00DD4D24">
        <w:rPr>
          <w:i/>
          <w:iCs/>
          <w:u w:val="single"/>
        </w:rPr>
        <w:t>New York City Plumbing Code</w:t>
      </w:r>
      <w:r w:rsidRPr="00DD4D24">
        <w:rPr>
          <w:u w:val="single"/>
        </w:rPr>
        <w:t xml:space="preserve"> shall not apply to shared housing dwellings. There shall be at least one water closet, lavatory</w:t>
      </w:r>
      <w:r>
        <w:rPr>
          <w:u w:val="single"/>
        </w:rPr>
        <w:t>,</w:t>
      </w:r>
      <w:r w:rsidRPr="00DD4D24">
        <w:rPr>
          <w:u w:val="single"/>
        </w:rPr>
        <w:t xml:space="preserve"> and bath or shower for each three shared housing rooming units therein, and for any remainder of less than three shared housing rooming units, at least one water closet, one lavatory</w:t>
      </w:r>
      <w:r>
        <w:rPr>
          <w:u w:val="single"/>
        </w:rPr>
        <w:t>,</w:t>
      </w:r>
      <w:r w:rsidRPr="00DD4D24">
        <w:rPr>
          <w:u w:val="single"/>
        </w:rPr>
        <w:t xml:space="preserve"> and one bath or shower shall be located on any floor containing a shared housing rooming unit.</w:t>
      </w:r>
    </w:p>
    <w:p w14:paraId="12B20532" w14:textId="77777777" w:rsidR="005A1AC5" w:rsidRPr="00DD4D24" w:rsidRDefault="005A1AC5" w:rsidP="005A1AC5">
      <w:pPr>
        <w:snapToGrid w:val="0"/>
        <w:spacing w:before="240" w:after="240"/>
        <w:ind w:left="720"/>
        <w:rPr>
          <w:u w:val="single"/>
        </w:rPr>
      </w:pPr>
      <w:r w:rsidRPr="00FD2523">
        <w:rPr>
          <w:b/>
          <w:bCs/>
          <w:u w:val="single"/>
        </w:rPr>
        <w:t>T401.2.1.1 Access to shared sanitary facilities.</w:t>
      </w:r>
      <w:r w:rsidRPr="00FD2523">
        <w:rPr>
          <w:u w:val="single"/>
        </w:rPr>
        <w:t xml:space="preserve"> </w:t>
      </w:r>
      <w:r w:rsidRPr="00A04FAE">
        <w:rPr>
          <w:u w:val="single"/>
        </w:rPr>
        <w:t>There shall be access to each required</w:t>
      </w:r>
      <w:r w:rsidRPr="006E10EA">
        <w:rPr>
          <w:u w:val="single"/>
        </w:rPr>
        <w:t xml:space="preserve"> water closet and bathroom without passing through any shared housing rooming units, except that any water closet, lavatory</w:t>
      </w:r>
      <w:r>
        <w:rPr>
          <w:u w:val="single"/>
        </w:rPr>
        <w:t>,</w:t>
      </w:r>
      <w:r w:rsidRPr="006E10EA">
        <w:rPr>
          <w:u w:val="single"/>
        </w:rPr>
        <w:t xml:space="preserve"> or bathroom which connects directly with any shared housing rooming unit shall be deemed to be available only to the occupants of such rooming unit and shall not be included in the computations for the required number of plumbing facilities in accordance with Section T401.2.1.</w:t>
      </w:r>
    </w:p>
    <w:p w14:paraId="527E0FFA" w14:textId="77777777" w:rsidR="005A1AC5" w:rsidRPr="00DD4D24" w:rsidRDefault="005A1AC5" w:rsidP="005A1AC5">
      <w:pPr>
        <w:spacing w:before="240" w:after="240" w:line="259" w:lineRule="auto"/>
        <w:ind w:left="720"/>
        <w:rPr>
          <w:rFonts w:eastAsia="Calibri"/>
          <w:kern w:val="2"/>
          <w:u w:val="single"/>
        </w:rPr>
      </w:pPr>
      <w:r w:rsidRPr="00DD4D24">
        <w:rPr>
          <w:rFonts w:eastAsia="Calibri"/>
          <w:b/>
          <w:bCs/>
          <w:kern w:val="2"/>
          <w:u w:val="single"/>
        </w:rPr>
        <w:t>T401.2.1.2 Location of plumbing facilities.</w:t>
      </w:r>
      <w:r w:rsidRPr="00DD4D24">
        <w:rPr>
          <w:rFonts w:eastAsia="Calibri"/>
          <w:kern w:val="2"/>
          <w:u w:val="single"/>
        </w:rPr>
        <w:t xml:space="preserve"> At least 50% of the water closets, lavatories</w:t>
      </w:r>
      <w:r>
        <w:rPr>
          <w:rFonts w:eastAsia="Calibri"/>
          <w:kern w:val="2"/>
          <w:u w:val="single"/>
        </w:rPr>
        <w:t>,</w:t>
      </w:r>
      <w:r w:rsidRPr="00DD4D24">
        <w:rPr>
          <w:rFonts w:eastAsia="Calibri"/>
          <w:kern w:val="2"/>
          <w:u w:val="single"/>
        </w:rPr>
        <w:t xml:space="preserve"> and bathtub or showers required by Section T401.2.1 shall be located in the shared housing suite containing shared housing rooming units. The remaining plumbing facilities may be located no more than one story above or below, and the path of travel from the shared housing rooming units to such facilities shall not exceed the distance of 300 feet. </w:t>
      </w:r>
      <w:r w:rsidRPr="00DD4D24">
        <w:rPr>
          <w:u w:val="single"/>
        </w:rPr>
        <w:t>Where a shared housing suite is on more than one floor, occupants of shared housing rooming units within such suite shall have access to plumbing facilities on the same floor as such units.</w:t>
      </w:r>
    </w:p>
    <w:p w14:paraId="4937C83B" w14:textId="77777777" w:rsidR="005A1AC5" w:rsidRPr="00DD4D24" w:rsidRDefault="005A1AC5" w:rsidP="005A1AC5">
      <w:pPr>
        <w:snapToGrid w:val="0"/>
        <w:spacing w:before="240" w:after="240"/>
        <w:ind w:left="360"/>
        <w:rPr>
          <w:u w:val="single"/>
        </w:rPr>
      </w:pPr>
      <w:r w:rsidRPr="00DD4D24">
        <w:rPr>
          <w:b/>
          <w:bCs/>
          <w:u w:val="single"/>
        </w:rPr>
        <w:t>T401.2.2 Minimum plumbing facilities in common spaces.</w:t>
      </w:r>
      <w:r w:rsidRPr="00DD4D24">
        <w:rPr>
          <w:u w:val="single"/>
        </w:rPr>
        <w:t xml:space="preserve"> In addition to the plumbing facilities required in accordance with Section T401.2.1, common spaces constructed in accordance with Section T301.2 shall be provided with plumbing fixtures in accordance with Table 403.1 of the </w:t>
      </w:r>
      <w:r w:rsidRPr="00DD4D24">
        <w:rPr>
          <w:i/>
          <w:iCs/>
          <w:u w:val="single"/>
        </w:rPr>
        <w:t>New York City Plumbing Code</w:t>
      </w:r>
      <w:r w:rsidRPr="00DD4D24">
        <w:rPr>
          <w:u w:val="single"/>
        </w:rPr>
        <w:t xml:space="preserve"> for assembly occupancies. Such plumbing facilities shall directly open to such common spaces.</w:t>
      </w:r>
    </w:p>
    <w:p w14:paraId="7C09542D" w14:textId="77777777" w:rsidR="005A1AC5" w:rsidRPr="00DD4D24" w:rsidRDefault="005A1AC5" w:rsidP="005A1AC5">
      <w:pPr>
        <w:snapToGrid w:val="0"/>
        <w:spacing w:before="240" w:after="240"/>
        <w:ind w:left="360"/>
        <w:rPr>
          <w:u w:val="single"/>
        </w:rPr>
      </w:pPr>
      <w:r w:rsidRPr="00DD4D24">
        <w:rPr>
          <w:b/>
          <w:bCs/>
          <w:u w:val="single"/>
        </w:rPr>
        <w:t>T401.2.3 Laundry facilities.</w:t>
      </w:r>
      <w:r w:rsidRPr="00DD4D24">
        <w:rPr>
          <w:u w:val="single"/>
        </w:rPr>
        <w:t xml:space="preserve"> When the number of occupants of a multiple dwelling containing shared housing rooming units is 11 or more, at least 1 automatic clothes washer and dryer for the exclusive use for the residential occupants of the multiple dwelling, shall be provided for every 20 shared housing rooming units, and fractional numbers shall be rounded up to the next whole number. </w:t>
      </w:r>
    </w:p>
    <w:p w14:paraId="0CEF2CE6" w14:textId="77777777" w:rsidR="005A1AC5" w:rsidRPr="00DD4D24" w:rsidRDefault="005A1AC5" w:rsidP="005A1AC5">
      <w:pPr>
        <w:snapToGrid w:val="0"/>
        <w:spacing w:before="240" w:after="240"/>
        <w:ind w:left="360"/>
        <w:rPr>
          <w:u w:val="single"/>
        </w:rPr>
      </w:pPr>
      <w:r w:rsidRPr="00DD4D24">
        <w:rPr>
          <w:b/>
          <w:bCs/>
          <w:u w:val="single"/>
        </w:rPr>
        <w:t>T401.2.4 Floor drain.</w:t>
      </w:r>
      <w:r w:rsidRPr="00DD4D24">
        <w:rPr>
          <w:u w:val="single"/>
        </w:rPr>
        <w:t xml:space="preserve"> Where the total number of plumbing facilities in the bathroom or toilet room exceeds 6, at least one floor drain shall be provided in accordance with Section 412 of the </w:t>
      </w:r>
      <w:r w:rsidRPr="00DD4D24">
        <w:rPr>
          <w:i/>
          <w:iCs/>
          <w:u w:val="single"/>
        </w:rPr>
        <w:t>New York City Plumbing Code</w:t>
      </w:r>
      <w:r w:rsidRPr="00DD4D24">
        <w:rPr>
          <w:u w:val="single"/>
        </w:rPr>
        <w:t>.</w:t>
      </w:r>
    </w:p>
    <w:p w14:paraId="4E9A326B" w14:textId="77777777" w:rsidR="005A1AC5" w:rsidRPr="00DD4D24" w:rsidRDefault="005A1AC5" w:rsidP="005A1AC5">
      <w:pPr>
        <w:snapToGrid w:val="0"/>
        <w:spacing w:before="240" w:after="240"/>
        <w:ind w:left="360"/>
        <w:rPr>
          <w:u w:val="single"/>
        </w:rPr>
      </w:pPr>
      <w:r w:rsidRPr="00DD4D24">
        <w:rPr>
          <w:b/>
          <w:bCs/>
          <w:u w:val="single"/>
        </w:rPr>
        <w:t>T401.2.5 Separate facilities.</w:t>
      </w:r>
      <w:r w:rsidRPr="00DD4D24">
        <w:rPr>
          <w:u w:val="single"/>
        </w:rPr>
        <w:t xml:space="preserve"> Exception 1 of Section 403.2 of the </w:t>
      </w:r>
      <w:r w:rsidRPr="00DD4D24">
        <w:rPr>
          <w:i/>
          <w:iCs/>
          <w:u w:val="single"/>
        </w:rPr>
        <w:t>New York City Plumbing Code</w:t>
      </w:r>
      <w:r w:rsidRPr="00DD4D24">
        <w:rPr>
          <w:u w:val="single"/>
        </w:rPr>
        <w:t xml:space="preserve"> shall not be applicable to shared housing dwellings. </w:t>
      </w:r>
      <w:r>
        <w:rPr>
          <w:u w:val="single"/>
        </w:rPr>
        <w:t>S</w:t>
      </w:r>
      <w:r w:rsidRPr="00DD4D24">
        <w:rPr>
          <w:u w:val="single"/>
        </w:rPr>
        <w:t xml:space="preserve">eparate facilities shall be provided for each sex in a shared housing dwelling. </w:t>
      </w:r>
    </w:p>
    <w:p w14:paraId="0C8D1BED" w14:textId="77777777" w:rsidR="005A1AC5" w:rsidRPr="00DD4D24" w:rsidRDefault="005A1AC5" w:rsidP="005A1AC5">
      <w:pPr>
        <w:snapToGrid w:val="0"/>
        <w:spacing w:before="240" w:after="240"/>
        <w:ind w:left="720"/>
        <w:rPr>
          <w:u w:val="single"/>
        </w:rPr>
      </w:pPr>
      <w:r w:rsidRPr="00DD4D24">
        <w:rPr>
          <w:b/>
          <w:bCs/>
          <w:u w:val="single"/>
        </w:rPr>
        <w:t>Exception</w:t>
      </w:r>
      <w:r w:rsidRPr="00DD4D24">
        <w:rPr>
          <w:u w:val="single"/>
        </w:rPr>
        <w:t xml:space="preserve">: Single-occupant toilet room or bathroom constructed in accordance with Section 403.2.2 of the </w:t>
      </w:r>
      <w:r w:rsidRPr="00DD4D24">
        <w:rPr>
          <w:i/>
          <w:iCs/>
          <w:u w:val="single"/>
        </w:rPr>
        <w:t>New York City Plumbing Code</w:t>
      </w:r>
      <w:r w:rsidRPr="00DD4D24">
        <w:rPr>
          <w:u w:val="single"/>
        </w:rPr>
        <w:t>.</w:t>
      </w:r>
    </w:p>
    <w:p w14:paraId="1C74F98A" w14:textId="77777777" w:rsidR="005A1AC5" w:rsidRPr="00DD4D24" w:rsidRDefault="005A1AC5" w:rsidP="005A1AC5">
      <w:pPr>
        <w:tabs>
          <w:tab w:val="left" w:pos="1575"/>
        </w:tabs>
        <w:snapToGrid w:val="0"/>
        <w:spacing w:before="240" w:after="240"/>
        <w:rPr>
          <w:u w:val="single"/>
        </w:rPr>
      </w:pPr>
      <w:r w:rsidRPr="00DD4D24">
        <w:rPr>
          <w:b/>
          <w:bCs/>
          <w:u w:val="single"/>
        </w:rPr>
        <w:t>T401.3 Food waste disposal units.</w:t>
      </w:r>
      <w:r w:rsidRPr="00DD4D24">
        <w:rPr>
          <w:u w:val="single"/>
        </w:rPr>
        <w:t xml:space="preserve"> Notwithstanding Section 413.1 of the </w:t>
      </w:r>
      <w:r w:rsidRPr="00DD4D24">
        <w:rPr>
          <w:i/>
          <w:iCs/>
          <w:u w:val="single"/>
        </w:rPr>
        <w:t>New York City Plumbing Code</w:t>
      </w:r>
      <w:r w:rsidRPr="00DD4D24">
        <w:rPr>
          <w:u w:val="single"/>
        </w:rPr>
        <w:t xml:space="preserve">, food waste disposers shall not be permitted within shared housing dwellings. </w:t>
      </w:r>
    </w:p>
    <w:p w14:paraId="4E95DD94" w14:textId="77777777" w:rsidR="005A1AC5" w:rsidRPr="00DD4D24" w:rsidRDefault="005A1AC5" w:rsidP="005A1AC5">
      <w:pPr>
        <w:snapToGrid w:val="0"/>
        <w:spacing w:before="240" w:after="240"/>
        <w:rPr>
          <w:u w:val="single"/>
        </w:rPr>
      </w:pPr>
      <w:r w:rsidRPr="00DD4D24">
        <w:rPr>
          <w:b/>
          <w:bCs/>
          <w:u w:val="single"/>
        </w:rPr>
        <w:t>T401.4 Emergency drinking water access.</w:t>
      </w:r>
      <w:r w:rsidRPr="00DD4D24">
        <w:rPr>
          <w:u w:val="single"/>
        </w:rPr>
        <w:t xml:space="preserve"> </w:t>
      </w:r>
      <w:r>
        <w:rPr>
          <w:u w:val="single"/>
        </w:rPr>
        <w:t>A</w:t>
      </w:r>
      <w:r w:rsidRPr="00DD4D24">
        <w:rPr>
          <w:u w:val="single"/>
        </w:rPr>
        <w:t xml:space="preserve"> shared housing dwelling shall provide fixtures in accordance with Section 614 of the </w:t>
      </w:r>
      <w:r w:rsidRPr="00DD4D24">
        <w:rPr>
          <w:i/>
          <w:iCs/>
          <w:u w:val="single"/>
        </w:rPr>
        <w:t>New York City Plumbing Code</w:t>
      </w:r>
      <w:r w:rsidRPr="00DD4D24">
        <w:rPr>
          <w:u w:val="single"/>
        </w:rPr>
        <w:t xml:space="preserve"> for emergency drinking water access.</w:t>
      </w:r>
    </w:p>
    <w:p w14:paraId="66624450" w14:textId="77777777" w:rsidR="005A1AC5" w:rsidRPr="00FD2523" w:rsidRDefault="005A1AC5" w:rsidP="005A1AC5">
      <w:pPr>
        <w:snapToGrid w:val="0"/>
        <w:spacing w:line="480" w:lineRule="auto"/>
      </w:pPr>
      <w:r w:rsidRPr="00FD2523">
        <w:t>§ 5. Section FC 202 of</w:t>
      </w:r>
      <w:r>
        <w:t xml:space="preserve"> New York city fire code</w:t>
      </w:r>
      <w:r w:rsidRPr="00FD2523">
        <w:t xml:space="preserve"> is amended by adding new definitions of “shared housing</w:t>
      </w:r>
      <w:r>
        <w:t xml:space="preserve"> </w:t>
      </w:r>
      <w:r w:rsidRPr="00FD2523">
        <w:t>dwelling,”</w:t>
      </w:r>
      <w:r>
        <w:t xml:space="preserve"> “</w:t>
      </w:r>
      <w:r w:rsidRPr="00FD2523">
        <w:t>shared housing</w:t>
      </w:r>
      <w:r>
        <w:t xml:space="preserve"> </w:t>
      </w:r>
      <w:r w:rsidRPr="00FD2523">
        <w:t>rooming unit,” and “shared housing suite” in alphabetical order to read as follows:</w:t>
      </w:r>
    </w:p>
    <w:p w14:paraId="62E3B130" w14:textId="77777777" w:rsidR="005A1AC5" w:rsidRDefault="005A1AC5" w:rsidP="005A1AC5">
      <w:pPr>
        <w:snapToGrid w:val="0"/>
        <w:spacing w:after="240"/>
        <w:rPr>
          <w:u w:val="single"/>
        </w:rPr>
      </w:pPr>
      <w:r w:rsidRPr="00FD2523">
        <w:rPr>
          <w:b/>
          <w:bCs/>
          <w:u w:val="single"/>
        </w:rPr>
        <w:t>DWELLING, SHARED HOUSING.</w:t>
      </w:r>
      <w:r w:rsidRPr="00FD2523">
        <w:rPr>
          <w:u w:val="single"/>
        </w:rPr>
        <w:t xml:space="preserve"> </w:t>
      </w:r>
      <w:r>
        <w:rPr>
          <w:u w:val="single"/>
        </w:rPr>
        <w:t>A shared housing dwelling, as defined in</w:t>
      </w:r>
      <w:r w:rsidRPr="00565E49">
        <w:rPr>
          <w:u w:val="single"/>
        </w:rPr>
        <w:t xml:space="preserve"> </w:t>
      </w:r>
      <w:r>
        <w:rPr>
          <w:u w:val="single"/>
        </w:rPr>
        <w:t>A</w:t>
      </w:r>
      <w:r w:rsidRPr="009448E1">
        <w:rPr>
          <w:u w:val="single"/>
        </w:rPr>
        <w:t xml:space="preserve">ppendix T of the </w:t>
      </w:r>
      <w:r>
        <w:rPr>
          <w:u w:val="single"/>
        </w:rPr>
        <w:t>Building Code</w:t>
      </w:r>
      <w:r w:rsidRPr="00FD2523">
        <w:rPr>
          <w:u w:val="single"/>
        </w:rPr>
        <w:t xml:space="preserve">. </w:t>
      </w:r>
    </w:p>
    <w:p w14:paraId="54116F81" w14:textId="77777777" w:rsidR="005A1AC5" w:rsidRDefault="005A1AC5" w:rsidP="005A1AC5">
      <w:pPr>
        <w:snapToGrid w:val="0"/>
        <w:spacing w:before="240" w:after="240"/>
        <w:rPr>
          <w:u w:val="single"/>
        </w:rPr>
      </w:pPr>
      <w:r w:rsidRPr="00FD2523">
        <w:rPr>
          <w:b/>
          <w:bCs/>
          <w:u w:val="single"/>
        </w:rPr>
        <w:t>ROOMING UNIT, SHARED HOUSING.</w:t>
      </w:r>
      <w:r w:rsidRPr="00FD2523">
        <w:rPr>
          <w:u w:val="single"/>
        </w:rPr>
        <w:t xml:space="preserve"> </w:t>
      </w:r>
      <w:r>
        <w:rPr>
          <w:u w:val="single"/>
        </w:rPr>
        <w:t>A shared housing rooming unit, as defined</w:t>
      </w:r>
      <w:r w:rsidRPr="00FD2523">
        <w:rPr>
          <w:u w:val="single"/>
        </w:rPr>
        <w:t xml:space="preserve"> in paragraph 15-a of subdivision a of </w:t>
      </w:r>
      <w:r>
        <w:rPr>
          <w:u w:val="single"/>
        </w:rPr>
        <w:t>S</w:t>
      </w:r>
      <w:r w:rsidRPr="00FD2523">
        <w:rPr>
          <w:u w:val="single"/>
        </w:rPr>
        <w:t xml:space="preserve">ection 27-2004 of the </w:t>
      </w:r>
      <w:r w:rsidRPr="001D3C40">
        <w:rPr>
          <w:u w:val="single"/>
        </w:rPr>
        <w:t>New York City Administrative Code</w:t>
      </w:r>
      <w:r w:rsidRPr="00FD2523">
        <w:rPr>
          <w:u w:val="single"/>
        </w:rPr>
        <w:t xml:space="preserve">. </w:t>
      </w:r>
    </w:p>
    <w:p w14:paraId="3BEF8560" w14:textId="77777777" w:rsidR="005A1AC5" w:rsidRPr="00DD4D24" w:rsidRDefault="005A1AC5" w:rsidP="005A1AC5">
      <w:pPr>
        <w:snapToGrid w:val="0"/>
        <w:spacing w:before="240" w:after="240"/>
        <w:rPr>
          <w:u w:val="single"/>
        </w:rPr>
      </w:pPr>
      <w:r w:rsidRPr="00FD2523">
        <w:rPr>
          <w:b/>
          <w:bCs/>
          <w:u w:val="single"/>
        </w:rPr>
        <w:t>SHARED HOUSING SUITE.</w:t>
      </w:r>
      <w:r w:rsidRPr="00FD2523">
        <w:rPr>
          <w:u w:val="single"/>
        </w:rPr>
        <w:t xml:space="preserve"> </w:t>
      </w:r>
      <w:r>
        <w:rPr>
          <w:u w:val="single"/>
        </w:rPr>
        <w:t xml:space="preserve">A shared housing suite, as defined in </w:t>
      </w:r>
      <w:r w:rsidRPr="00FD2523">
        <w:rPr>
          <w:u w:val="single"/>
        </w:rPr>
        <w:t xml:space="preserve">paragraph 14-a of subdivision a of </w:t>
      </w:r>
      <w:r>
        <w:rPr>
          <w:u w:val="single"/>
        </w:rPr>
        <w:t>S</w:t>
      </w:r>
      <w:r w:rsidRPr="00FD2523">
        <w:rPr>
          <w:u w:val="single"/>
        </w:rPr>
        <w:t xml:space="preserve">ection 27-2004 of the </w:t>
      </w:r>
      <w:r w:rsidRPr="001D3C40">
        <w:rPr>
          <w:u w:val="single"/>
        </w:rPr>
        <w:t>New York City Administrative Code</w:t>
      </w:r>
      <w:r w:rsidRPr="00FD2523">
        <w:rPr>
          <w:u w:val="single"/>
        </w:rPr>
        <w:t>.</w:t>
      </w:r>
    </w:p>
    <w:p w14:paraId="6EDC81B9" w14:textId="77777777" w:rsidR="005A1AC5" w:rsidRDefault="005A1AC5" w:rsidP="005A1AC5">
      <w:pPr>
        <w:spacing w:line="480" w:lineRule="auto"/>
      </w:pPr>
      <w:r w:rsidRPr="0067567E">
        <w:t>§ 6. Section 406.2.4</w:t>
      </w:r>
      <w:r>
        <w:t xml:space="preserve"> of the New York city fire code</w:t>
      </w:r>
      <w:r w:rsidRPr="0067567E">
        <w:t xml:space="preserve">, as amended by local law number 47 for the year 2022, is amended to read as follows: </w:t>
      </w:r>
    </w:p>
    <w:p w14:paraId="1C698BD9" w14:textId="77777777" w:rsidR="005A1AC5" w:rsidRDefault="005A1AC5" w:rsidP="005A1AC5">
      <w:pPr>
        <w:spacing w:after="240"/>
      </w:pPr>
      <w:r w:rsidRPr="0067567E">
        <w:rPr>
          <w:b/>
          <w:bCs/>
        </w:rPr>
        <w:t>406.2.4 Fire and emergency preparedness plan (Level 2) and fire and emergency preparedness staff.</w:t>
      </w:r>
      <w:r w:rsidRPr="0067567E">
        <w:t xml:space="preserve"> [A] </w:t>
      </w:r>
      <w:r w:rsidRPr="0067567E">
        <w:rPr>
          <w:u w:val="single"/>
        </w:rPr>
        <w:t>Except as otherwise provided in FC 406.2.5, a</w:t>
      </w:r>
      <w:r w:rsidRPr="0067567E">
        <w:t xml:space="preserve"> fire and emergency preparedness plan in accordance with FC401.5 shall be prepared for Group R-2 high-rise megastructure buildings and occupancies, in addition to compliance with the requirements of FC401.6. There shall be present during regular business hours one or more members of the FEP staff required pursuant to FC401.5.5 who hold a certificate of fitness for emergency announcements and other fire safety duties. </w:t>
      </w:r>
    </w:p>
    <w:p w14:paraId="1826BE34" w14:textId="77777777" w:rsidR="005A1AC5" w:rsidRDefault="005A1AC5" w:rsidP="005A1AC5">
      <w:pPr>
        <w:spacing w:line="480" w:lineRule="auto"/>
      </w:pPr>
      <w:r w:rsidRPr="0067567E">
        <w:t>§ 7. Section FC 406</w:t>
      </w:r>
      <w:r>
        <w:t xml:space="preserve"> of the New York city fire code</w:t>
      </w:r>
      <w:r w:rsidRPr="0067567E">
        <w:t xml:space="preserve"> is amended </w:t>
      </w:r>
      <w:r>
        <w:t>by</w:t>
      </w:r>
      <w:r w:rsidRPr="0067567E">
        <w:t xml:space="preserve"> add</w:t>
      </w:r>
      <w:r>
        <w:t>ing</w:t>
      </w:r>
      <w:r w:rsidRPr="0067567E">
        <w:t xml:space="preserve"> a new section 406.2.</w:t>
      </w:r>
      <w:r>
        <w:t>5</w:t>
      </w:r>
      <w:r w:rsidRPr="0067567E">
        <w:t xml:space="preserve"> to read as follows: </w:t>
      </w:r>
    </w:p>
    <w:p w14:paraId="215B977A" w14:textId="77777777" w:rsidR="005A1AC5" w:rsidRPr="0067567E" w:rsidRDefault="005A1AC5" w:rsidP="005A1AC5">
      <w:pPr>
        <w:spacing w:after="240"/>
        <w:rPr>
          <w:u w:val="single"/>
        </w:rPr>
      </w:pPr>
      <w:r w:rsidRPr="0067567E">
        <w:rPr>
          <w:b/>
          <w:bCs/>
          <w:u w:val="single"/>
        </w:rPr>
        <w:t>406.2.5 Comprehensive fire safety/emergency action plan (Level 1) and fire and emergency preparedness staff.</w:t>
      </w:r>
      <w:r w:rsidRPr="0067567E">
        <w:rPr>
          <w:u w:val="single"/>
        </w:rPr>
        <w:t xml:space="preserve"> A comprehensive fire safety/emergency preparedness plan in accordance with FC 401.4 shall be prepared for Group R-2 shared housing dwellings in high-rise buildings and occupancies with a fire alarm system that is programmed for staged evacuation. </w:t>
      </w:r>
    </w:p>
    <w:p w14:paraId="51CEDAD7" w14:textId="77777777" w:rsidR="005A1AC5" w:rsidRDefault="005A1AC5" w:rsidP="005A1AC5">
      <w:pPr>
        <w:spacing w:line="480" w:lineRule="auto"/>
      </w:pPr>
      <w:r w:rsidRPr="0067567E">
        <w:t>§ 8. Sections 505.3, 505.3.1, and 505.3.2</w:t>
      </w:r>
      <w:r>
        <w:t xml:space="preserve"> of the New York city fire code</w:t>
      </w:r>
      <w:r w:rsidRPr="0067567E">
        <w:t xml:space="preserve">, as amended by local law number 47 for the year 2022, are amended to read as follows: </w:t>
      </w:r>
    </w:p>
    <w:p w14:paraId="07AE5ACD" w14:textId="77777777" w:rsidR="005A1AC5" w:rsidRDefault="005A1AC5" w:rsidP="005A1AC5">
      <w:pPr>
        <w:spacing w:after="240"/>
      </w:pPr>
      <w:r w:rsidRPr="0067567E">
        <w:rPr>
          <w:b/>
          <w:bCs/>
        </w:rPr>
        <w:t>505.3 Identification of apartment and guest rooms.</w:t>
      </w:r>
      <w:r w:rsidRPr="0067567E">
        <w:t xml:space="preserve"> The location of, and entrance to, each dwelling unit (guest room or sleeping room) in a Group R-1 building or occupancy, and each dwelling unit</w:t>
      </w:r>
      <w:r w:rsidRPr="0067567E">
        <w:rPr>
          <w:u w:val="single"/>
        </w:rPr>
        <w:t>, shared housing rooming unit, and shared housing suite</w:t>
      </w:r>
      <w:r w:rsidRPr="0067567E">
        <w:t xml:space="preserve"> in a Group R-2 building or occupancy, shall be identified in accordance with this section and the rules to assist emergency response personnel responding to fires, medical emergencies and other emergencies at the premises. </w:t>
      </w:r>
    </w:p>
    <w:p w14:paraId="46DE2524" w14:textId="77777777" w:rsidR="005A1AC5" w:rsidRDefault="005A1AC5" w:rsidP="005A1AC5">
      <w:pPr>
        <w:spacing w:before="240" w:after="240"/>
        <w:ind w:left="360"/>
      </w:pPr>
      <w:r w:rsidRPr="0067567E">
        <w:rPr>
          <w:b/>
          <w:bCs/>
        </w:rPr>
        <w:t>505.3.1 Apartment and guest room numbers.</w:t>
      </w:r>
      <w:r w:rsidRPr="0067567E">
        <w:t xml:space="preserve"> Each dwelling unit</w:t>
      </w:r>
      <w:r w:rsidRPr="0067567E">
        <w:rPr>
          <w:u w:val="single"/>
        </w:rPr>
        <w:t>, shared housing rooming unit, and shared housing suite</w:t>
      </w:r>
      <w:r w:rsidRPr="0067567E">
        <w:t xml:space="preserve"> shall be identified on the public corridor side of the door by a room number and/or letter marking or sign conspicuously and durably printed or posted on or adjacent to at least one entrance door. </w:t>
      </w:r>
    </w:p>
    <w:p w14:paraId="5343B888" w14:textId="77777777" w:rsidR="005A1AC5" w:rsidRDefault="005A1AC5" w:rsidP="005A1AC5">
      <w:pPr>
        <w:spacing w:before="240" w:after="240"/>
        <w:ind w:left="360"/>
      </w:pPr>
      <w:r w:rsidRPr="0067567E">
        <w:rPr>
          <w:b/>
          <w:bCs/>
        </w:rPr>
        <w:t>505.3.2 Public entry and corridor signage.</w:t>
      </w:r>
      <w:r w:rsidRPr="0067567E">
        <w:t xml:space="preserve"> In a Group R-1 or R-2 building or occupancy with more than eight dwelling units on a floor, a sign shall be conspicuously posted in the elevator lobby or other public entry on each floor, and in the public corridor opposite each stairwell entrance, identifying by directional arrows and dwelling unit numbers and/or letters, the direction to each dwelling unit. Such signage need not be provided in the public entry or opposite any stairwell entrance in any building or on any floor where the entrances to dwelling units are located in a single direction from such entry or stairwell entrance. </w:t>
      </w:r>
      <w:r w:rsidRPr="0067567E">
        <w:rPr>
          <w:u w:val="single"/>
        </w:rPr>
        <w:t>Notwithstanding the provisions of this section, the department may establish by rule standards, procedures, and requirements for signage in Group R-2 shared housing dwellings.</w:t>
      </w:r>
      <w:r w:rsidRPr="0067567E">
        <w:t xml:space="preserve"> </w:t>
      </w:r>
    </w:p>
    <w:p w14:paraId="680B2D2B" w14:textId="77777777" w:rsidR="005A1AC5" w:rsidRDefault="005A1AC5" w:rsidP="005A1AC5">
      <w:pPr>
        <w:spacing w:line="480" w:lineRule="auto"/>
      </w:pPr>
      <w:r w:rsidRPr="0067567E">
        <w:t>§ 9. Section 505.4.2</w:t>
      </w:r>
      <w:r>
        <w:t xml:space="preserve"> of the New York city fire code</w:t>
      </w:r>
      <w:r w:rsidRPr="0067567E">
        <w:t xml:space="preserve">, as amended by local law number 47 for the year 2022, is amended to read as follows: </w:t>
      </w:r>
    </w:p>
    <w:p w14:paraId="0FD0BCD1" w14:textId="77777777" w:rsidR="005A1AC5" w:rsidRPr="0067567E" w:rsidRDefault="005A1AC5" w:rsidP="005A1AC5">
      <w:pPr>
        <w:spacing w:after="240"/>
        <w:ind w:left="360"/>
        <w:rPr>
          <w:u w:val="single"/>
        </w:rPr>
      </w:pPr>
      <w:r w:rsidRPr="0067567E">
        <w:rPr>
          <w:b/>
          <w:bCs/>
        </w:rPr>
        <w:t>505.4.2 Apartment and sleeping rooms.</w:t>
      </w:r>
      <w:r w:rsidRPr="0067567E">
        <w:t xml:space="preserve"> Except as otherwise provided in FC505.4.1 </w:t>
      </w:r>
      <w:r w:rsidRPr="0067567E">
        <w:rPr>
          <w:u w:val="single"/>
        </w:rPr>
        <w:t>and this section</w:t>
      </w:r>
      <w:r w:rsidRPr="0067567E">
        <w:t xml:space="preserve">, and except in buildings protected throughout by a sprinkler system, in a Group R-1 or R-2 building or occupancy with more than eight dwelling units on a floor, each dwelling unit shall be identified on the door jamb on the public corridor side of the door by an approved fire emergency marking, not more than 12 inches (305 mm) from the bottom of the door, indicating the dwelling unit number and/or letter. </w:t>
      </w:r>
      <w:r w:rsidRPr="0067567E">
        <w:rPr>
          <w:u w:val="single"/>
        </w:rPr>
        <w:t xml:space="preserve">Notwithstanding the provisions of this section, the department may establish by rule standards, procedures, and requirements for fire emergency markings in Group R-2 shared housing dwellings. </w:t>
      </w:r>
    </w:p>
    <w:p w14:paraId="55E84A82" w14:textId="77777777" w:rsidR="005A1AC5" w:rsidRDefault="005A1AC5" w:rsidP="005A1AC5">
      <w:pPr>
        <w:spacing w:line="480" w:lineRule="auto"/>
      </w:pPr>
      <w:r w:rsidRPr="0067567E">
        <w:t>§ 10.</w:t>
      </w:r>
      <w:r>
        <w:t xml:space="preserve"> </w:t>
      </w:r>
      <w:r w:rsidRPr="0067567E">
        <w:t xml:space="preserve">The provisions of this local law shall not be construed to prohibit the lawful construction or use of rooming units in class A multiple dwellings pursuant to section 27-2077 of the administrative code of the city of New York or any other law. </w:t>
      </w:r>
    </w:p>
    <w:p w14:paraId="40FAD821" w14:textId="77777777" w:rsidR="005A1AC5" w:rsidRDefault="005A1AC5" w:rsidP="005A1AC5">
      <w:pPr>
        <w:spacing w:line="480" w:lineRule="auto"/>
        <w:ind w:left="360" w:firstLine="360"/>
        <w:rPr>
          <w:sz w:val="18"/>
          <w:szCs w:val="18"/>
        </w:rPr>
      </w:pPr>
      <w:r w:rsidRPr="0067567E">
        <w:t>§ 11. This local law takes effect immediately</w:t>
      </w:r>
      <w:r>
        <w:t>.</w:t>
      </w:r>
      <w:r w:rsidRPr="00DF457B">
        <w:rPr>
          <w:sz w:val="18"/>
          <w:szCs w:val="18"/>
        </w:rPr>
        <w:t xml:space="preserve"> </w:t>
      </w:r>
    </w:p>
    <w:p w14:paraId="06D0D152" w14:textId="77777777" w:rsidR="005A1AC5" w:rsidRDefault="005A1AC5" w:rsidP="004973D0">
      <w:pPr>
        <w:rPr>
          <w:sz w:val="18"/>
          <w:szCs w:val="18"/>
        </w:rPr>
      </w:pPr>
      <w:r w:rsidRPr="00DF457B">
        <w:rPr>
          <w:sz w:val="18"/>
          <w:szCs w:val="18"/>
        </w:rPr>
        <w:t xml:space="preserve">FO </w:t>
      </w:r>
    </w:p>
    <w:p w14:paraId="7778E9F7" w14:textId="1096DE0A" w:rsidR="005A1AC5" w:rsidRPr="00DF457B" w:rsidRDefault="005A1AC5" w:rsidP="005A1AC5">
      <w:pPr>
        <w:rPr>
          <w:sz w:val="18"/>
          <w:szCs w:val="18"/>
        </w:rPr>
      </w:pPr>
      <w:r w:rsidRPr="00DF457B">
        <w:rPr>
          <w:sz w:val="18"/>
          <w:szCs w:val="18"/>
        </w:rPr>
        <w:t>LS # 19706</w:t>
      </w:r>
    </w:p>
    <w:p w14:paraId="74B49D17" w14:textId="77777777" w:rsidR="005A1AC5" w:rsidRDefault="005A1AC5" w:rsidP="005A1AC5">
      <w:pPr>
        <w:rPr>
          <w:sz w:val="18"/>
          <w:szCs w:val="18"/>
        </w:rPr>
      </w:pPr>
      <w:r w:rsidRPr="00DF457B">
        <w:rPr>
          <w:sz w:val="18"/>
          <w:szCs w:val="18"/>
        </w:rPr>
        <w:t>11/</w:t>
      </w:r>
      <w:r>
        <w:rPr>
          <w:sz w:val="18"/>
          <w:szCs w:val="18"/>
        </w:rPr>
        <w:t>19</w:t>
      </w:r>
      <w:r w:rsidRPr="00DF457B">
        <w:rPr>
          <w:sz w:val="18"/>
          <w:szCs w:val="18"/>
        </w:rPr>
        <w:t xml:space="preserve">/2025 </w:t>
      </w:r>
      <w:r>
        <w:rPr>
          <w:sz w:val="18"/>
          <w:szCs w:val="18"/>
        </w:rPr>
        <w:t>4</w:t>
      </w:r>
      <w:r w:rsidRPr="00DF457B">
        <w:rPr>
          <w:sz w:val="18"/>
          <w:szCs w:val="18"/>
        </w:rPr>
        <w:t>:</w:t>
      </w:r>
      <w:r>
        <w:rPr>
          <w:sz w:val="18"/>
          <w:szCs w:val="18"/>
        </w:rPr>
        <w:t>10</w:t>
      </w:r>
      <w:r w:rsidRPr="00DF457B">
        <w:rPr>
          <w:sz w:val="18"/>
          <w:szCs w:val="18"/>
        </w:rPr>
        <w:t xml:space="preserve"> </w:t>
      </w:r>
      <w:r>
        <w:rPr>
          <w:sz w:val="18"/>
          <w:szCs w:val="18"/>
        </w:rPr>
        <w:t>P</w:t>
      </w:r>
      <w:r w:rsidRPr="00DF457B">
        <w:rPr>
          <w:sz w:val="18"/>
          <w:szCs w:val="18"/>
        </w:rPr>
        <w:t>M</w:t>
      </w:r>
    </w:p>
    <w:p w14:paraId="4FFB7F01" w14:textId="77777777" w:rsidR="005A1AC5" w:rsidRDefault="005A1AC5" w:rsidP="005A1AC5">
      <w:pPr>
        <w:rPr>
          <w:sz w:val="18"/>
          <w:szCs w:val="18"/>
        </w:rPr>
      </w:pPr>
    </w:p>
    <w:p w14:paraId="7D44DD22" w14:textId="77777777" w:rsidR="00FA0F5F" w:rsidRDefault="00FA0F5F" w:rsidP="00FA0F5F">
      <w:pPr>
        <w:rPr>
          <w:sz w:val="18"/>
          <w:szCs w:val="18"/>
        </w:rPr>
      </w:pPr>
    </w:p>
    <w:p w14:paraId="55E46885" w14:textId="77777777" w:rsidR="00FA0F5F" w:rsidRDefault="00FA0F5F" w:rsidP="00FA0F5F">
      <w:pPr>
        <w:rPr>
          <w:sz w:val="18"/>
          <w:szCs w:val="18"/>
        </w:rPr>
      </w:pPr>
    </w:p>
    <w:p w14:paraId="368AAA3B" w14:textId="77777777" w:rsidR="00FA0F5F" w:rsidRDefault="00FA0F5F" w:rsidP="00FA0F5F"/>
    <w:p w14:paraId="00B17334" w14:textId="77777777" w:rsidR="00FA0F5F" w:rsidRDefault="00FA0F5F" w:rsidP="00FA0F5F"/>
    <w:p w14:paraId="329D363B" w14:textId="77777777" w:rsidR="00FA0F5F" w:rsidRDefault="00FA0F5F" w:rsidP="00FA0F5F"/>
    <w:p w14:paraId="224A039F" w14:textId="77777777" w:rsidR="00333249" w:rsidRPr="005A3A11" w:rsidRDefault="00333249" w:rsidP="00FA0F5F">
      <w:pPr>
        <w:suppressLineNumbers/>
        <w:rPr>
          <w:color w:val="000000"/>
          <w:szCs w:val="24"/>
          <w:shd w:val="clear" w:color="auto" w:fill="FFFFFF"/>
        </w:rPr>
      </w:pPr>
    </w:p>
    <w:sectPr w:rsidR="00333249" w:rsidRPr="005A3A11">
      <w:footerReference w:type="defaul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9E662" w14:textId="77777777" w:rsidR="00067639" w:rsidRDefault="00067639" w:rsidP="00BA6D2B">
      <w:r>
        <w:separator/>
      </w:r>
    </w:p>
  </w:endnote>
  <w:endnote w:type="continuationSeparator" w:id="0">
    <w:p w14:paraId="0C486685" w14:textId="77777777" w:rsidR="00067639" w:rsidRDefault="00067639" w:rsidP="00BA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124846"/>
      <w:docPartObj>
        <w:docPartGallery w:val="Page Numbers (Bottom of Page)"/>
        <w:docPartUnique/>
      </w:docPartObj>
    </w:sdtPr>
    <w:sdtEndPr>
      <w:rPr>
        <w:noProof/>
      </w:rPr>
    </w:sdtEndPr>
    <w:sdtContent>
      <w:p w14:paraId="775961C8" w14:textId="013EFC99" w:rsidR="00CE1646" w:rsidRDefault="00CE1646">
        <w:pPr>
          <w:pStyle w:val="Footer"/>
          <w:jc w:val="center"/>
        </w:pPr>
        <w:r>
          <w:fldChar w:fldCharType="begin"/>
        </w:r>
        <w:r>
          <w:instrText xml:space="preserve"> PAGE   \* MERGEFORMAT </w:instrText>
        </w:r>
        <w:r>
          <w:fldChar w:fldCharType="separate"/>
        </w:r>
        <w:r w:rsidR="009A4C0D">
          <w:rPr>
            <w:noProof/>
          </w:rPr>
          <w:t>1</w:t>
        </w:r>
        <w:r>
          <w:rPr>
            <w:noProof/>
          </w:rPr>
          <w:fldChar w:fldCharType="end"/>
        </w:r>
      </w:p>
    </w:sdtContent>
  </w:sdt>
  <w:p w14:paraId="1165EF8E" w14:textId="77777777" w:rsidR="00CE1646" w:rsidRDefault="00CE1646" w:rsidP="004E0C5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BDBDB" w14:textId="77777777" w:rsidR="00FA0F5F" w:rsidRDefault="00FA0F5F" w:rsidP="00212C10">
    <w:pPr>
      <w:pStyle w:val="Footer"/>
      <w:jc w:val="center"/>
    </w:pPr>
    <w:r>
      <w:fldChar w:fldCharType="begin"/>
    </w:r>
    <w:r>
      <w:instrText xml:space="preserve"> PAGE   \* MERGEFORMAT </w:instrText>
    </w:r>
    <w:r>
      <w:fldChar w:fldCharType="separate"/>
    </w:r>
    <w:r>
      <w:rPr>
        <w:noProof/>
      </w:rPr>
      <w:t>2</w:t>
    </w:r>
    <w:r>
      <w:rPr>
        <w:noProof/>
      </w:rPr>
      <w:fldChar w:fldCharType="end"/>
    </w:r>
  </w:p>
  <w:p w14:paraId="381E05CC" w14:textId="77777777" w:rsidR="00FA0F5F" w:rsidRDefault="00FA0F5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550CE" w14:textId="77777777" w:rsidR="00FA0F5F" w:rsidRDefault="00FA0F5F" w:rsidP="0084555A">
    <w:pPr>
      <w:pStyle w:val="Footer"/>
      <w:jc w:val="center"/>
    </w:pPr>
    <w:r>
      <w:fldChar w:fldCharType="begin"/>
    </w:r>
    <w:r>
      <w:instrText xml:space="preserve"> PAGE   \* MERGEFORMAT </w:instrText>
    </w:r>
    <w:r>
      <w:fldChar w:fldCharType="separate"/>
    </w:r>
    <w:r>
      <w:rPr>
        <w:noProof/>
      </w:rPr>
      <w:t>1</w:t>
    </w:r>
    <w:r>
      <w:rPr>
        <w:noProof/>
      </w:rPr>
      <w:fldChar w:fldCharType="end"/>
    </w:r>
  </w:p>
  <w:p w14:paraId="0169DF28" w14:textId="77777777" w:rsidR="00FA0F5F" w:rsidRDefault="00FA0F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EB600" w14:textId="77777777" w:rsidR="00FA0F5F" w:rsidRDefault="00FA0F5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7881F778" w14:textId="77777777" w:rsidR="00FA0F5F" w:rsidRDefault="00FA0F5F">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2CFFBAB2" w14:textId="77777777" w:rsidR="00FA0F5F" w:rsidRDefault="00FA0F5F"/>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B1CAEA2" w14:textId="77777777" w:rsidR="00FA0F5F" w:rsidRDefault="00FA0F5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6646E5F" w14:textId="77777777" w:rsidR="00FA0F5F" w:rsidRDefault="00FA0F5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12488"/>
      <w:docPartObj>
        <w:docPartGallery w:val="Page Numbers (Bottom of Page)"/>
        <w:docPartUnique/>
      </w:docPartObj>
    </w:sdtPr>
    <w:sdtEndPr>
      <w:rPr>
        <w:noProof/>
      </w:rPr>
    </w:sdtEndPr>
    <w:sdtContent>
      <w:p w14:paraId="15E7CA90" w14:textId="7AD6C16C" w:rsidR="00CE1646" w:rsidRDefault="00CE1646">
        <w:pPr>
          <w:pStyle w:val="Footer"/>
          <w:jc w:val="center"/>
        </w:pPr>
        <w:r>
          <w:fldChar w:fldCharType="begin"/>
        </w:r>
        <w:r>
          <w:instrText xml:space="preserve"> PAGE   \* MERGEFORMAT </w:instrText>
        </w:r>
        <w:r>
          <w:fldChar w:fldCharType="separate"/>
        </w:r>
        <w:r w:rsidR="00D72D5D">
          <w:rPr>
            <w:noProof/>
          </w:rPr>
          <w:t>83</w:t>
        </w:r>
        <w:r>
          <w:rPr>
            <w:noProof/>
          </w:rPr>
          <w:fldChar w:fldCharType="end"/>
        </w:r>
      </w:p>
    </w:sdtContent>
  </w:sdt>
  <w:p w14:paraId="7852A97C" w14:textId="77777777" w:rsidR="00CE1646" w:rsidRDefault="00CE1646"/>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554053"/>
      <w:docPartObj>
        <w:docPartGallery w:val="Page Numbers (Bottom of Page)"/>
        <w:docPartUnique/>
      </w:docPartObj>
    </w:sdtPr>
    <w:sdtEndPr>
      <w:rPr>
        <w:noProof/>
      </w:rPr>
    </w:sdtEndPr>
    <w:sdtContent>
      <w:p w14:paraId="3CB25710" w14:textId="5FB8C282" w:rsidR="00CE1646" w:rsidRDefault="00CE1646">
        <w:pPr>
          <w:pStyle w:val="Footer"/>
          <w:jc w:val="center"/>
        </w:pPr>
        <w:r>
          <w:fldChar w:fldCharType="begin"/>
        </w:r>
        <w:r>
          <w:instrText xml:space="preserve"> PAGE   \* MERGEFORMAT </w:instrText>
        </w:r>
        <w:r>
          <w:fldChar w:fldCharType="separate"/>
        </w:r>
        <w:r w:rsidR="00D72D5D">
          <w:rPr>
            <w:noProof/>
          </w:rPr>
          <w:t>79</w:t>
        </w:r>
        <w:r>
          <w:rPr>
            <w:noProof/>
          </w:rPr>
          <w:fldChar w:fldCharType="end"/>
        </w:r>
      </w:p>
    </w:sdtContent>
  </w:sdt>
  <w:p w14:paraId="20C2DB7A" w14:textId="77777777" w:rsidR="00CE1646" w:rsidRDefault="00CE1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BC5AA" w14:textId="77777777" w:rsidR="00067639" w:rsidRDefault="00067639" w:rsidP="00BA6D2B">
      <w:r>
        <w:separator/>
      </w:r>
    </w:p>
  </w:footnote>
  <w:footnote w:type="continuationSeparator" w:id="0">
    <w:p w14:paraId="560D7752" w14:textId="77777777" w:rsidR="00067639" w:rsidRDefault="00067639" w:rsidP="00BA6D2B">
      <w:r>
        <w:continuationSeparator/>
      </w:r>
    </w:p>
  </w:footnote>
  <w:footnote w:id="1">
    <w:p w14:paraId="73315273" w14:textId="77777777" w:rsidR="00F034F0" w:rsidRDefault="00F034F0" w:rsidP="00F034F0">
      <w:pPr>
        <w:pStyle w:val="FootnoteText"/>
      </w:pPr>
      <w:r>
        <w:rPr>
          <w:rStyle w:val="FootnoteReference"/>
        </w:rPr>
        <w:footnoteRef/>
      </w:r>
      <w:r>
        <w:t xml:space="preserve"> </w:t>
      </w:r>
      <w:r w:rsidRPr="00A37ED4">
        <w:t xml:space="preserve">MH Schill, I Voicu, and J Miller, </w:t>
      </w:r>
      <w:r w:rsidRPr="00BD00C1">
        <w:rPr>
          <w:i/>
          <w:iCs/>
        </w:rPr>
        <w:t>The Condominium versus Cooperative Puzzle: An Empirical Analysis of Housing in New York City</w:t>
      </w:r>
      <w:r w:rsidRPr="00A37ED4">
        <w:t xml:space="preserve">, Chicago Journals (2007), </w:t>
      </w:r>
      <w:r w:rsidRPr="002B0369">
        <w:rPr>
          <w:i/>
          <w:iCs/>
        </w:rPr>
        <w:t>available at</w:t>
      </w:r>
      <w:r w:rsidRPr="00A37ED4">
        <w:t>: https://www.journals.uchicago.edu/doi/epdf/10.1086/519421</w:t>
      </w:r>
    </w:p>
  </w:footnote>
  <w:footnote w:id="2">
    <w:p w14:paraId="2DAB55D2" w14:textId="0086FC73" w:rsidR="00F956F2" w:rsidRPr="00FC1C07" w:rsidRDefault="00F956F2" w:rsidP="00F956F2">
      <w:pPr>
        <w:pStyle w:val="FootnoteText"/>
      </w:pPr>
      <w:r>
        <w:rPr>
          <w:rStyle w:val="FootnoteReference"/>
        </w:rPr>
        <w:footnoteRef/>
      </w:r>
      <w:r>
        <w:t xml:space="preserve"> </w:t>
      </w:r>
      <w:r w:rsidR="00FC1C07">
        <w:rPr>
          <w:i/>
          <w:iCs/>
        </w:rPr>
        <w:t xml:space="preserve">Id. </w:t>
      </w:r>
    </w:p>
  </w:footnote>
  <w:footnote w:id="3">
    <w:p w14:paraId="2F841DB3" w14:textId="77777777" w:rsidR="00C1693F" w:rsidRDefault="00C1693F" w:rsidP="00C1693F">
      <w:pPr>
        <w:pStyle w:val="FootnoteText"/>
      </w:pPr>
      <w:r>
        <w:rPr>
          <w:rStyle w:val="FootnoteReference"/>
        </w:rPr>
        <w:footnoteRef/>
      </w:r>
      <w:r>
        <w:t xml:space="preserve"> </w:t>
      </w:r>
      <w:r w:rsidRPr="00BD00C1">
        <w:rPr>
          <w:i/>
          <w:iCs/>
        </w:rPr>
        <w:t>Id</w:t>
      </w:r>
      <w:r>
        <w:t>.</w:t>
      </w:r>
    </w:p>
  </w:footnote>
  <w:footnote w:id="4">
    <w:p w14:paraId="74DE8722" w14:textId="77777777" w:rsidR="00D47651" w:rsidRDefault="00D47651" w:rsidP="00D47651">
      <w:pPr>
        <w:pStyle w:val="FootnoteText"/>
      </w:pPr>
      <w:r>
        <w:rPr>
          <w:rStyle w:val="FootnoteReference"/>
        </w:rPr>
        <w:footnoteRef/>
      </w:r>
      <w:r>
        <w:rPr>
          <w:i/>
          <w:iCs/>
        </w:rPr>
        <w:t xml:space="preserve">See </w:t>
      </w:r>
      <w:r>
        <w:t xml:space="preserve">Office of the New York State Attorney General, Letitia James. </w:t>
      </w:r>
      <w:r>
        <w:rPr>
          <w:i/>
          <w:iCs/>
        </w:rPr>
        <w:t>Condominiums</w:t>
      </w:r>
      <w:r>
        <w:t xml:space="preserve">.(last accessed November 18, 2025), </w:t>
      </w:r>
      <w:r>
        <w:rPr>
          <w:i/>
          <w:iCs/>
        </w:rPr>
        <w:t xml:space="preserve">available at: </w:t>
      </w:r>
      <w:hyperlink r:id="rId1" w:anchor=":~:text=Condominiums-,Tenants%20&amp;%20Homeowners,common%20elements%20of%20the%20building" w:history="1">
        <w:r w:rsidRPr="00710271">
          <w:rPr>
            <w:rStyle w:val="Hyperlink"/>
            <w:i/>
            <w:iCs/>
          </w:rPr>
          <w:t>https://ag.ny.gov/resources/individuals/tenants-homeowners/condominiums#:~:text=Condominiums-,Tenants%20&amp;%20Homeowners,common%20elements%20of%20the%20building</w:t>
        </w:r>
      </w:hyperlink>
      <w:r>
        <w:rPr>
          <w:i/>
          <w:iCs/>
        </w:rPr>
        <w:t xml:space="preserve"> </w:t>
      </w:r>
    </w:p>
  </w:footnote>
  <w:footnote w:id="5">
    <w:p w14:paraId="0D5045D3" w14:textId="633EEFDE" w:rsidR="00A37ED4" w:rsidRPr="00A37ED4" w:rsidRDefault="00A37ED4">
      <w:pPr>
        <w:pStyle w:val="FootnoteText"/>
      </w:pPr>
      <w:r>
        <w:rPr>
          <w:rStyle w:val="FootnoteReference"/>
        </w:rPr>
        <w:footnoteRef/>
      </w:r>
      <w:r>
        <w:t xml:space="preserve"> </w:t>
      </w:r>
      <w:r w:rsidR="00F956F2">
        <w:t xml:space="preserve">Schill et. al. </w:t>
      </w:r>
      <w:r w:rsidR="00F956F2">
        <w:rPr>
          <w:i/>
          <w:iCs/>
        </w:rPr>
        <w:t>supra n. 1.</w:t>
      </w:r>
    </w:p>
  </w:footnote>
  <w:footnote w:id="6">
    <w:p w14:paraId="6321C6FF" w14:textId="52BD2A04" w:rsidR="00A37ED4" w:rsidRDefault="00A37ED4">
      <w:pPr>
        <w:pStyle w:val="FootnoteText"/>
      </w:pPr>
      <w:r>
        <w:rPr>
          <w:rStyle w:val="FootnoteReference"/>
        </w:rPr>
        <w:footnoteRef/>
      </w:r>
      <w:r>
        <w:t xml:space="preserve"> </w:t>
      </w:r>
      <w:r>
        <w:rPr>
          <w:i/>
          <w:iCs/>
        </w:rPr>
        <w:t>Id</w:t>
      </w:r>
      <w:r>
        <w:t>.</w:t>
      </w:r>
    </w:p>
  </w:footnote>
  <w:footnote w:id="7">
    <w:p w14:paraId="6C73569C" w14:textId="77777777" w:rsidR="00F956F2" w:rsidRPr="00A37ED4" w:rsidRDefault="00F956F2" w:rsidP="00F956F2">
      <w:pPr>
        <w:pStyle w:val="FootnoteText"/>
      </w:pPr>
      <w:r>
        <w:rPr>
          <w:rStyle w:val="FootnoteReference"/>
        </w:rPr>
        <w:footnoteRef/>
      </w:r>
      <w:r>
        <w:t xml:space="preserve"> </w:t>
      </w:r>
      <w:r>
        <w:rPr>
          <w:i/>
          <w:iCs/>
        </w:rPr>
        <w:t>2023 New York City Housing and Vacancy Survey Selected Initial Findings</w:t>
      </w:r>
      <w:r>
        <w:t xml:space="preserve">, </w:t>
      </w:r>
      <w:r w:rsidRPr="00A37ED4">
        <w:t>U.S. Census Bureau on behalf of the City of New York</w:t>
      </w:r>
      <w:r>
        <w:t xml:space="preserve"> (2023), pg. 7, </w:t>
      </w:r>
      <w:r w:rsidRPr="00994C2B">
        <w:rPr>
          <w:i/>
          <w:iCs/>
        </w:rPr>
        <w:t>available at</w:t>
      </w:r>
      <w:r>
        <w:t xml:space="preserve">: </w:t>
      </w:r>
      <w:r w:rsidRPr="00A37ED4">
        <w:t>https://www.nyc.gov/assets/hpd/downloads/pdfs/about/2023-nychvs-selected-initial-findings.pdf</w:t>
      </w:r>
    </w:p>
  </w:footnote>
  <w:footnote w:id="8">
    <w:p w14:paraId="1FCE8507" w14:textId="77777777" w:rsidR="00F956F2" w:rsidRPr="00994C2B" w:rsidRDefault="00F956F2" w:rsidP="00F956F2">
      <w:pPr>
        <w:pStyle w:val="FootnoteText"/>
        <w:rPr>
          <w:i/>
          <w:iCs/>
        </w:rPr>
      </w:pPr>
      <w:r>
        <w:rPr>
          <w:rStyle w:val="FootnoteReference"/>
        </w:rPr>
        <w:footnoteRef/>
      </w:r>
      <w:r>
        <w:t xml:space="preserve"> </w:t>
      </w:r>
      <w:r>
        <w:rPr>
          <w:i/>
          <w:iCs/>
        </w:rPr>
        <w:t>Id.</w:t>
      </w:r>
    </w:p>
  </w:footnote>
  <w:footnote w:id="9">
    <w:p w14:paraId="7D42873B" w14:textId="0A61755B" w:rsidR="00A37ED4" w:rsidRDefault="00A37ED4">
      <w:pPr>
        <w:pStyle w:val="FootnoteText"/>
      </w:pPr>
      <w:r>
        <w:rPr>
          <w:rStyle w:val="FootnoteReference"/>
        </w:rPr>
        <w:footnoteRef/>
      </w:r>
      <w:r>
        <w:t xml:space="preserve"> </w:t>
      </w:r>
      <w:r w:rsidRPr="0076139A">
        <w:rPr>
          <w:i/>
          <w:iCs/>
        </w:rPr>
        <w:t>Supra</w:t>
      </w:r>
      <w:r>
        <w:rPr>
          <w:i/>
          <w:iCs/>
        </w:rPr>
        <w:t xml:space="preserve"> </w:t>
      </w:r>
      <w:r>
        <w:t>n</w:t>
      </w:r>
      <w:r w:rsidR="00F956F2">
        <w:t>. 10.</w:t>
      </w:r>
    </w:p>
  </w:footnote>
  <w:footnote w:id="10">
    <w:p w14:paraId="0FC55469" w14:textId="77777777" w:rsidR="00CE1ED6" w:rsidRPr="00A37ED4" w:rsidRDefault="00CE1ED6" w:rsidP="00CE1ED6">
      <w:pPr>
        <w:pStyle w:val="FootnoteText"/>
      </w:pPr>
      <w:r>
        <w:rPr>
          <w:rStyle w:val="FootnoteReference"/>
        </w:rPr>
        <w:footnoteRef/>
      </w:r>
      <w:r>
        <w:t xml:space="preserve"> </w:t>
      </w:r>
      <w:r>
        <w:rPr>
          <w:i/>
          <w:iCs/>
        </w:rPr>
        <w:t>Id</w:t>
      </w:r>
      <w:r>
        <w:t>.</w:t>
      </w:r>
    </w:p>
  </w:footnote>
  <w:footnote w:id="11">
    <w:p w14:paraId="0F89DFC1" w14:textId="57DFE9F7" w:rsidR="00A37ED4" w:rsidRPr="00A37ED4" w:rsidRDefault="00A37ED4">
      <w:pPr>
        <w:pStyle w:val="FootnoteText"/>
      </w:pPr>
      <w:r>
        <w:rPr>
          <w:rStyle w:val="FootnoteReference"/>
        </w:rPr>
        <w:footnoteRef/>
      </w:r>
      <w:r w:rsidRPr="00A37ED4">
        <w:rPr>
          <w:i/>
          <w:iCs/>
        </w:rPr>
        <w:t>AN ASSESSMENT OF NYC COOPERATIVE HOUSING’S CLIMATE VULNERABILITY AND BARRIERS TO ADAPTATION</w:t>
      </w:r>
      <w:r>
        <w:t xml:space="preserve">, Environmental Defense Fund (2024), </w:t>
      </w:r>
      <w:r w:rsidR="00CD69AD" w:rsidRPr="004973D0">
        <w:rPr>
          <w:i/>
          <w:iCs/>
        </w:rPr>
        <w:t xml:space="preserve">available </w:t>
      </w:r>
      <w:r w:rsidRPr="004973D0">
        <w:rPr>
          <w:i/>
          <w:iCs/>
        </w:rPr>
        <w:t>at</w:t>
      </w:r>
      <w:r>
        <w:t xml:space="preserve">: </w:t>
      </w:r>
      <w:r w:rsidRPr="00A37ED4">
        <w:t>https://blogs.edf.org/growingreturns/wp-content/blogs.dir/52/files//CASA-Report.pdf</w:t>
      </w:r>
    </w:p>
  </w:footnote>
  <w:footnote w:id="12">
    <w:p w14:paraId="71067F6A" w14:textId="6BA1B93F" w:rsidR="00A37ED4" w:rsidRDefault="00A37ED4">
      <w:pPr>
        <w:pStyle w:val="FootnoteText"/>
      </w:pPr>
      <w:r>
        <w:rPr>
          <w:rStyle w:val="FootnoteReference"/>
        </w:rPr>
        <w:footnoteRef/>
      </w:r>
      <w:r>
        <w:t xml:space="preserve"> </w:t>
      </w:r>
      <w:r w:rsidRPr="00BD00C1">
        <w:rPr>
          <w:i/>
          <w:iCs/>
        </w:rPr>
        <w:t>Id</w:t>
      </w:r>
      <w:r>
        <w:t>.</w:t>
      </w:r>
    </w:p>
  </w:footnote>
  <w:footnote w:id="13">
    <w:p w14:paraId="15C66A3B" w14:textId="21EE6BD0" w:rsidR="00A37ED4" w:rsidRDefault="00A37ED4">
      <w:pPr>
        <w:pStyle w:val="FootnoteText"/>
      </w:pPr>
      <w:r>
        <w:rPr>
          <w:rStyle w:val="FootnoteReference"/>
        </w:rPr>
        <w:footnoteRef/>
      </w:r>
      <w:r>
        <w:t xml:space="preserve"> </w:t>
      </w:r>
      <w:r w:rsidRPr="00BD00C1">
        <w:rPr>
          <w:i/>
          <w:iCs/>
        </w:rPr>
        <w:t>Id</w:t>
      </w:r>
      <w:r>
        <w:t>.</w:t>
      </w:r>
    </w:p>
  </w:footnote>
  <w:footnote w:id="14">
    <w:p w14:paraId="1B3B5196" w14:textId="49618C27" w:rsidR="00A37ED4" w:rsidRPr="00A37ED4" w:rsidRDefault="00A37ED4">
      <w:pPr>
        <w:pStyle w:val="FootnoteText"/>
      </w:pPr>
      <w:r>
        <w:rPr>
          <w:rStyle w:val="FootnoteReference"/>
        </w:rPr>
        <w:footnoteRef/>
      </w:r>
      <w:r>
        <w:t xml:space="preserve"> </w:t>
      </w:r>
      <w:r w:rsidRPr="00BD00C1">
        <w:rPr>
          <w:i/>
          <w:iCs/>
        </w:rPr>
        <w:t>NYC Condo vs. Co-op Closings: Key Timelines and What to Expect</w:t>
      </w:r>
      <w:r>
        <w:t xml:space="preserve">, Ben James Taylor (accessed 2025), available at: </w:t>
      </w:r>
      <w:r w:rsidRPr="00A37ED4">
        <w:t>https://www.benjamestaylor.com/resources-and-insights/the-timeline-to-close-nyc-condos-vs-co-ops</w:t>
      </w:r>
      <w:r>
        <w:t xml:space="preserve"> </w:t>
      </w:r>
    </w:p>
  </w:footnote>
  <w:footnote w:id="15">
    <w:p w14:paraId="6CEC5DF1" w14:textId="2DF83B9A" w:rsidR="00A37ED4" w:rsidRDefault="00A37ED4">
      <w:pPr>
        <w:pStyle w:val="FootnoteText"/>
      </w:pPr>
      <w:r>
        <w:rPr>
          <w:rStyle w:val="FootnoteReference"/>
        </w:rPr>
        <w:footnoteRef/>
      </w:r>
      <w:r>
        <w:t xml:space="preserve"> </w:t>
      </w:r>
      <w:r w:rsidRPr="007E3777">
        <w:rPr>
          <w:i/>
          <w:iCs/>
        </w:rPr>
        <w:t>Id</w:t>
      </w:r>
      <w:r>
        <w:t>.</w:t>
      </w:r>
    </w:p>
  </w:footnote>
  <w:footnote w:id="16">
    <w:p w14:paraId="084EEF2B" w14:textId="77777777" w:rsidR="003C34BB" w:rsidRPr="00A152C0" w:rsidRDefault="003C34BB" w:rsidP="003C34BB">
      <w:pPr>
        <w:pStyle w:val="FootnoteText"/>
      </w:pPr>
      <w:r>
        <w:rPr>
          <w:rStyle w:val="FootnoteReference"/>
        </w:rPr>
        <w:footnoteRef/>
      </w:r>
      <w:r>
        <w:t xml:space="preserve"> </w:t>
      </w:r>
      <w:r>
        <w:rPr>
          <w:i/>
          <w:iCs/>
        </w:rPr>
        <w:t xml:space="preserve">See </w:t>
      </w:r>
      <w:r>
        <w:t xml:space="preserve">C Smith, </w:t>
      </w:r>
      <w:r w:rsidRPr="00BD00C1">
        <w:rPr>
          <w:i/>
          <w:iCs/>
        </w:rPr>
        <w:t>The Board Approval Process Staying On the Right Side of the Law</w:t>
      </w:r>
      <w:r w:rsidRPr="00BD00C1">
        <w:t xml:space="preserve">, Cooperator News (2023), </w:t>
      </w:r>
      <w:r w:rsidRPr="00994C2B">
        <w:rPr>
          <w:i/>
          <w:iCs/>
        </w:rPr>
        <w:t>available at</w:t>
      </w:r>
      <w:r>
        <w:t xml:space="preserve">: </w:t>
      </w:r>
      <w:hyperlink r:id="rId2" w:history="1">
        <w:r w:rsidRPr="00710271">
          <w:rPr>
            <w:rStyle w:val="Hyperlink"/>
          </w:rPr>
          <w:t>https://cooperatornews.com/article/the-board-approval-process</w:t>
        </w:r>
      </w:hyperlink>
      <w:r>
        <w:t xml:space="preserve">; Brett Ari Fischer, </w:t>
      </w:r>
      <w:r w:rsidRPr="00994C2B">
        <w:rPr>
          <w:i/>
          <w:iCs/>
        </w:rPr>
        <w:t>A Co-op Buyer’s Comprehensive Guide To Board Package and Interview</w:t>
      </w:r>
      <w:r>
        <w:t xml:space="preserve">, New York City Broker (last accessed Nov. 18, 2025), </w:t>
      </w:r>
      <w:r>
        <w:rPr>
          <w:i/>
          <w:iCs/>
        </w:rPr>
        <w:t>available at</w:t>
      </w:r>
      <w:r>
        <w:t xml:space="preserve">: </w:t>
      </w:r>
      <w:hyperlink r:id="rId3" w:history="1">
        <w:r w:rsidRPr="006A7AF0">
          <w:rPr>
            <w:rStyle w:val="Hyperlink"/>
          </w:rPr>
          <w:t>https://thenewyorkcitybroker.com/a-co-op-buyers-comprehensive-guide-to-board-package-and-interview/</w:t>
        </w:r>
      </w:hyperlink>
      <w:r>
        <w:t xml:space="preserve"> </w:t>
      </w:r>
    </w:p>
  </w:footnote>
  <w:footnote w:id="17">
    <w:p w14:paraId="646F96A8" w14:textId="70B28938" w:rsidR="00CE1ED6" w:rsidRPr="00CE1ED6" w:rsidRDefault="00CE1ED6">
      <w:pPr>
        <w:pStyle w:val="FootnoteText"/>
      </w:pPr>
      <w:r>
        <w:rPr>
          <w:rStyle w:val="FootnoteReference"/>
        </w:rPr>
        <w:footnoteRef/>
      </w:r>
      <w:r>
        <w:t xml:space="preserve"> D.W. Gibson, “</w:t>
      </w:r>
      <w:r w:rsidRPr="00CE1ED6">
        <w:t>‘All kinds of discrimination’: inside the secretive world of New York housing co-ops</w:t>
      </w:r>
      <w:r>
        <w:t xml:space="preserve">”, </w:t>
      </w:r>
      <w:r>
        <w:rPr>
          <w:i/>
          <w:iCs/>
        </w:rPr>
        <w:t>The Guardian</w:t>
      </w:r>
      <w:r>
        <w:t xml:space="preserve"> (Feb. 8, 2022), </w:t>
      </w:r>
      <w:r>
        <w:rPr>
          <w:i/>
          <w:iCs/>
        </w:rPr>
        <w:t>available at</w:t>
      </w:r>
      <w:r>
        <w:t xml:space="preserve">: </w:t>
      </w:r>
      <w:hyperlink r:id="rId4" w:history="1">
        <w:r w:rsidRPr="000851B2">
          <w:rPr>
            <w:rStyle w:val="Hyperlink"/>
          </w:rPr>
          <w:t>https://www.theguardian.com/lifeandstyle/2022/feb/08/new-york-housing-co-ops-apartments-discrimination</w:t>
        </w:r>
      </w:hyperlink>
      <w:r>
        <w:t xml:space="preserve"> , </w:t>
      </w:r>
      <w:r>
        <w:rPr>
          <w:i/>
          <w:iCs/>
        </w:rPr>
        <w:t xml:space="preserve">citing </w:t>
      </w:r>
      <w:r>
        <w:t xml:space="preserve">Matthew Gordon Lasner, </w:t>
      </w:r>
      <w:r w:rsidRPr="00EE5708">
        <w:rPr>
          <w:i/>
          <w:iCs/>
        </w:rPr>
        <w:t>High Life: Condo Living in the Suburban Century</w:t>
      </w:r>
      <w:r>
        <w:t>. Yale Univ. Press (Jan. 2012)</w:t>
      </w:r>
    </w:p>
  </w:footnote>
  <w:footnote w:id="18">
    <w:p w14:paraId="377D033F" w14:textId="1605CBFB" w:rsidR="00BC2896" w:rsidRPr="00BC2896" w:rsidRDefault="00BC2896">
      <w:pPr>
        <w:pStyle w:val="FootnoteText"/>
      </w:pPr>
      <w:r>
        <w:rPr>
          <w:rStyle w:val="FootnoteReference"/>
        </w:rPr>
        <w:footnoteRef/>
      </w:r>
      <w:r>
        <w:t xml:space="preserve"> D.W. Gibson, </w:t>
      </w:r>
      <w:r>
        <w:rPr>
          <w:i/>
          <w:iCs/>
        </w:rPr>
        <w:t>supra</w:t>
      </w:r>
      <w:r>
        <w:t xml:space="preserve"> n.19.</w:t>
      </w:r>
    </w:p>
  </w:footnote>
  <w:footnote w:id="19">
    <w:p w14:paraId="732F21DF" w14:textId="77777777" w:rsidR="00FD702C" w:rsidRDefault="00FD702C" w:rsidP="00FD702C">
      <w:pPr>
        <w:pStyle w:val="FootnoteText"/>
      </w:pPr>
      <w:r>
        <w:rPr>
          <w:rStyle w:val="FootnoteReference"/>
        </w:rPr>
        <w:footnoteRef/>
      </w:r>
      <w:r>
        <w:t xml:space="preserve"> </w:t>
      </w:r>
      <w:r w:rsidRPr="00994C2B">
        <w:rPr>
          <w:i/>
          <w:iCs/>
        </w:rPr>
        <w:t>Id.</w:t>
      </w:r>
      <w:r>
        <w:t xml:space="preserve">; </w:t>
      </w:r>
      <w:r>
        <w:rPr>
          <w:i/>
          <w:iCs/>
        </w:rPr>
        <w:t xml:space="preserve">See also </w:t>
      </w:r>
      <w:r w:rsidRPr="000133B2">
        <w:rPr>
          <w:i/>
          <w:iCs/>
        </w:rPr>
        <w:t>Fair Hous. Just. Ctr., Inc. v. Silver Beach Gardens Corp</w:t>
      </w:r>
      <w:r w:rsidRPr="000133B2">
        <w:t>., No. 10 CIV. 912 RPP, 2010 WL 3341907, at *5 (S.D.N.Y. Aug. 13, 2010)</w:t>
      </w:r>
      <w:r>
        <w:t>.</w:t>
      </w:r>
    </w:p>
  </w:footnote>
  <w:footnote w:id="20">
    <w:p w14:paraId="72335388" w14:textId="77777777" w:rsidR="00FD702C" w:rsidRPr="00994C2B" w:rsidRDefault="00FD702C" w:rsidP="00FD702C">
      <w:pPr>
        <w:pStyle w:val="FootnoteText"/>
        <w:rPr>
          <w:i/>
          <w:iCs/>
        </w:rPr>
      </w:pPr>
      <w:r>
        <w:rPr>
          <w:rStyle w:val="FootnoteReference"/>
        </w:rPr>
        <w:footnoteRef/>
      </w:r>
      <w:r>
        <w:t xml:space="preserve"> </w:t>
      </w:r>
      <w:r>
        <w:rPr>
          <w:i/>
          <w:iCs/>
        </w:rPr>
        <w:t>Id.</w:t>
      </w:r>
    </w:p>
  </w:footnote>
  <w:footnote w:id="21">
    <w:p w14:paraId="0639C9CA" w14:textId="77777777" w:rsidR="00A37ED4" w:rsidRPr="000133B2" w:rsidRDefault="00A37ED4" w:rsidP="00A37ED4">
      <w:pPr>
        <w:pStyle w:val="FootnoteText"/>
      </w:pPr>
      <w:r w:rsidRPr="000133B2">
        <w:rPr>
          <w:rStyle w:val="FootnoteReference"/>
        </w:rPr>
        <w:footnoteRef/>
      </w:r>
      <w:r w:rsidRPr="000133B2">
        <w:t xml:space="preserve"> 42 U.S.C. 3601 et seq.</w:t>
      </w:r>
    </w:p>
  </w:footnote>
  <w:footnote w:id="22">
    <w:p w14:paraId="71FF0D24" w14:textId="77777777" w:rsidR="00A37ED4" w:rsidRPr="000133B2" w:rsidRDefault="00A37ED4" w:rsidP="00A37ED4">
      <w:pPr>
        <w:pStyle w:val="FootnoteText"/>
      </w:pPr>
      <w:r w:rsidRPr="000133B2">
        <w:rPr>
          <w:rStyle w:val="FootnoteReference"/>
        </w:rPr>
        <w:footnoteRef/>
      </w:r>
      <w:r w:rsidRPr="000133B2">
        <w:t xml:space="preserve"> N.Y.S. Exec. Law, Ch. 8 Art. 15.</w:t>
      </w:r>
    </w:p>
  </w:footnote>
  <w:footnote w:id="23">
    <w:p w14:paraId="60A81836" w14:textId="77777777" w:rsidR="00A37ED4" w:rsidRPr="000133B2" w:rsidRDefault="00A37ED4" w:rsidP="00A37ED4">
      <w:pPr>
        <w:pStyle w:val="FootnoteText"/>
      </w:pPr>
      <w:r w:rsidRPr="000133B2">
        <w:rPr>
          <w:rStyle w:val="FootnoteReference"/>
        </w:rPr>
        <w:footnoteRef/>
      </w:r>
      <w:r w:rsidRPr="000133B2">
        <w:t xml:space="preserve"> N.Y.C. Admin. Code Title 8.</w:t>
      </w:r>
    </w:p>
  </w:footnote>
  <w:footnote w:id="24">
    <w:p w14:paraId="2BB5AC74" w14:textId="77777777" w:rsidR="00A37ED4" w:rsidRPr="000133B2" w:rsidRDefault="00A37ED4" w:rsidP="00A37ED4">
      <w:pPr>
        <w:pStyle w:val="FootnoteText"/>
        <w:rPr>
          <w:i/>
          <w:iCs/>
        </w:rPr>
      </w:pPr>
      <w:r w:rsidRPr="000133B2">
        <w:rPr>
          <w:rStyle w:val="FootnoteReference"/>
        </w:rPr>
        <w:footnoteRef/>
      </w:r>
      <w:r w:rsidRPr="000133B2">
        <w:t xml:space="preserve"> </w:t>
      </w:r>
      <w:r w:rsidRPr="000133B2">
        <w:rPr>
          <w:i/>
          <w:iCs/>
        </w:rPr>
        <w:t>See, e.g. Pinchback v. Armistead Homes Corp</w:t>
      </w:r>
      <w:r w:rsidRPr="000133B2">
        <w:t>., 907 F.2d 1447, 1450 (4th Cir. 1990) (finding that one need not make the “futile gesture” of making an application that one credibly believes will be rejected in order to  be discriminated against, in the context of housing.)</w:t>
      </w:r>
    </w:p>
  </w:footnote>
  <w:footnote w:id="25">
    <w:p w14:paraId="73A5BA00" w14:textId="77777777" w:rsidR="00A37ED4" w:rsidRPr="000133B2" w:rsidRDefault="00A37ED4" w:rsidP="00A37ED4">
      <w:pPr>
        <w:pStyle w:val="FootnoteText"/>
      </w:pPr>
      <w:r w:rsidRPr="000133B2">
        <w:rPr>
          <w:rStyle w:val="FootnoteReference"/>
        </w:rPr>
        <w:footnoteRef/>
      </w:r>
      <w:r w:rsidRPr="000133B2">
        <w:t xml:space="preserve"> </w:t>
      </w:r>
      <w:r w:rsidRPr="00682A19">
        <w:rPr>
          <w:i/>
          <w:iCs/>
        </w:rPr>
        <w:t>300 Gramatan Ave. Assocs. v. State Div. of Hum. Rts.</w:t>
      </w:r>
      <w:r w:rsidRPr="00682A19">
        <w:t>, 45 N.Y.2d 176, 183, 379 N.E.2d 1183 (1978)</w:t>
      </w:r>
    </w:p>
  </w:footnote>
  <w:footnote w:id="26">
    <w:p w14:paraId="37DD865D" w14:textId="77777777" w:rsidR="00A37ED4" w:rsidRPr="000133B2" w:rsidRDefault="00A37ED4" w:rsidP="00A37ED4">
      <w:pPr>
        <w:pStyle w:val="FootnoteText"/>
      </w:pPr>
      <w:r w:rsidRPr="000133B2">
        <w:rPr>
          <w:rStyle w:val="FootnoteReference"/>
        </w:rPr>
        <w:footnoteRef/>
      </w:r>
      <w:r w:rsidRPr="000133B2">
        <w:t xml:space="preserve"> 24 CFR § 146.45.</w:t>
      </w:r>
    </w:p>
  </w:footnote>
  <w:footnote w:id="27">
    <w:p w14:paraId="48787B12" w14:textId="77777777" w:rsidR="00A37ED4" w:rsidRPr="000133B2" w:rsidRDefault="00A37ED4" w:rsidP="00A37ED4">
      <w:pPr>
        <w:pStyle w:val="FootnoteText"/>
      </w:pPr>
      <w:r w:rsidRPr="000133B2">
        <w:rPr>
          <w:rStyle w:val="FootnoteReference"/>
        </w:rPr>
        <w:footnoteRef/>
      </w:r>
      <w:r w:rsidRPr="000133B2">
        <w:t xml:space="preserve"> U.S. Dept. of Housing and Urban Dev., </w:t>
      </w:r>
      <w:r w:rsidRPr="000133B2">
        <w:rPr>
          <w:i/>
          <w:iCs/>
        </w:rPr>
        <w:t xml:space="preserve">State of Fair Housing: FY 22 Annual Report to Congress, </w:t>
      </w:r>
      <w:r w:rsidRPr="000133B2">
        <w:t xml:space="preserve">at 65, 68, </w:t>
      </w:r>
      <w:r w:rsidRPr="000133B2">
        <w:rPr>
          <w:i/>
          <w:iCs/>
        </w:rPr>
        <w:t xml:space="preserve">available at: </w:t>
      </w:r>
      <w:hyperlink r:id="rId5" w:history="1">
        <w:r w:rsidRPr="000133B2">
          <w:rPr>
            <w:rStyle w:val="Hyperlink"/>
          </w:rPr>
          <w:t>https://www.hud.gov/sites/dfiles/FHEO/documents/FHEO%20Annual%20Report%20FY%202022.pdf</w:t>
        </w:r>
      </w:hyperlink>
      <w:r w:rsidRPr="000133B2">
        <w:t xml:space="preserve"> </w:t>
      </w:r>
    </w:p>
  </w:footnote>
  <w:footnote w:id="28">
    <w:p w14:paraId="2A59056D" w14:textId="77777777" w:rsidR="00B442EE" w:rsidRPr="0092022F" w:rsidRDefault="00B442EE" w:rsidP="00B442EE">
      <w:pPr>
        <w:pStyle w:val="FootnoteText"/>
      </w:pPr>
      <w:r>
        <w:rPr>
          <w:rStyle w:val="FootnoteReference"/>
        </w:rPr>
        <w:footnoteRef/>
      </w:r>
      <w:r>
        <w:t xml:space="preserve"> </w:t>
      </w:r>
      <w:r>
        <w:rPr>
          <w:i/>
          <w:iCs/>
        </w:rPr>
        <w:t>Id.</w:t>
      </w:r>
      <w:r>
        <w:t xml:space="preserve"> at 68.</w:t>
      </w:r>
    </w:p>
  </w:footnote>
  <w:footnote w:id="29">
    <w:p w14:paraId="511640D9" w14:textId="77777777" w:rsidR="00A37ED4" w:rsidRPr="000133B2" w:rsidRDefault="00A37ED4" w:rsidP="00A37ED4">
      <w:pPr>
        <w:pStyle w:val="FootnoteText"/>
      </w:pPr>
      <w:r w:rsidRPr="000133B2">
        <w:rPr>
          <w:rStyle w:val="FootnoteReference"/>
        </w:rPr>
        <w:footnoteRef/>
      </w:r>
      <w:r w:rsidRPr="000133B2">
        <w:t xml:space="preserve"> </w:t>
      </w:r>
      <w:r w:rsidRPr="000133B2">
        <w:rPr>
          <w:i/>
          <w:iCs/>
        </w:rPr>
        <w:t xml:space="preserve">See </w:t>
      </w:r>
      <w:r w:rsidRPr="000133B2">
        <w:t>N.Y.S. Exec. Law § 297(9).</w:t>
      </w:r>
    </w:p>
  </w:footnote>
  <w:footnote w:id="30">
    <w:p w14:paraId="5DC2A078" w14:textId="77777777" w:rsidR="00A37ED4" w:rsidRPr="000133B2" w:rsidRDefault="00A37ED4" w:rsidP="00A37ED4">
      <w:pPr>
        <w:pStyle w:val="FootnoteText"/>
      </w:pPr>
      <w:r w:rsidRPr="000133B2">
        <w:rPr>
          <w:rStyle w:val="FootnoteReference"/>
        </w:rPr>
        <w:footnoteRef/>
      </w:r>
      <w:r w:rsidRPr="000133B2">
        <w:t xml:space="preserve"> Office of New York State Comptroller: Thomas P. DiNapoli, </w:t>
      </w:r>
      <w:r w:rsidRPr="000133B2">
        <w:rPr>
          <w:i/>
          <w:iCs/>
        </w:rPr>
        <w:t>Division of Human Rights: Investigation of Housing Discrimination Complaints</w:t>
      </w:r>
      <w:r w:rsidRPr="000133B2">
        <w:t xml:space="preserve">, (Oct. 2024), </w:t>
      </w:r>
      <w:r w:rsidRPr="000133B2">
        <w:rPr>
          <w:i/>
          <w:iCs/>
        </w:rPr>
        <w:t xml:space="preserve">available at: </w:t>
      </w:r>
      <w:hyperlink r:id="rId6" w:history="1">
        <w:r w:rsidRPr="000133B2">
          <w:rPr>
            <w:rStyle w:val="Hyperlink"/>
          </w:rPr>
          <w:t>https://www.osc.ny.gov/files/state-agencies/audits/pdf/sga-2025-23s26.pdf?utm_medium=email&amp;utm_source=govdelivery</w:t>
        </w:r>
      </w:hyperlink>
      <w:r w:rsidRPr="000133B2">
        <w:t xml:space="preserve"> </w:t>
      </w:r>
    </w:p>
  </w:footnote>
  <w:footnote w:id="31">
    <w:p w14:paraId="0E92FB0E" w14:textId="77777777" w:rsidR="00A37ED4" w:rsidRPr="000133B2" w:rsidRDefault="00A37ED4" w:rsidP="00A37ED4">
      <w:pPr>
        <w:pStyle w:val="FootnoteText"/>
      </w:pPr>
      <w:r w:rsidRPr="000133B2">
        <w:rPr>
          <w:rStyle w:val="FootnoteReference"/>
        </w:rPr>
        <w:footnoteRef/>
      </w:r>
      <w:r w:rsidRPr="000133B2">
        <w:t xml:space="preserve"> </w:t>
      </w:r>
      <w:r w:rsidRPr="000133B2">
        <w:rPr>
          <w:i/>
          <w:iCs/>
        </w:rPr>
        <w:t>Id.</w:t>
      </w:r>
    </w:p>
  </w:footnote>
  <w:footnote w:id="32">
    <w:p w14:paraId="5EBAB4BB" w14:textId="77777777" w:rsidR="00CD69AD" w:rsidRDefault="00CD69AD" w:rsidP="00CD69AD">
      <w:pPr>
        <w:pStyle w:val="FootnoteText"/>
      </w:pPr>
      <w:r>
        <w:rPr>
          <w:rStyle w:val="FootnoteReference"/>
        </w:rPr>
        <w:footnoteRef/>
      </w:r>
      <w:r>
        <w:t xml:space="preserve"> N.Y.S. Div. of Human Rights. </w:t>
      </w:r>
      <w:r>
        <w:rPr>
          <w:i/>
          <w:iCs/>
        </w:rPr>
        <w:t xml:space="preserve">Annual Report: Fiscal Year 2023 </w:t>
      </w:r>
      <w:r>
        <w:t xml:space="preserve">(Jul. 2021), at 17, </w:t>
      </w:r>
      <w:r>
        <w:rPr>
          <w:i/>
          <w:iCs/>
        </w:rPr>
        <w:t xml:space="preserve">available at: </w:t>
      </w:r>
      <w:hyperlink r:id="rId7" w:history="1">
        <w:r w:rsidRPr="006A7AF0">
          <w:rPr>
            <w:rStyle w:val="Hyperlink"/>
          </w:rPr>
          <w:t>https://dhr.ny.gov/system/files/documents/2023/12/nysdhr-annual-report-fy2023.pdf</w:t>
        </w:r>
      </w:hyperlink>
      <w:r>
        <w:t xml:space="preserve"> </w:t>
      </w:r>
    </w:p>
  </w:footnote>
  <w:footnote w:id="33">
    <w:p w14:paraId="3BB44233" w14:textId="77777777" w:rsidR="00CD69AD" w:rsidRPr="008A422B" w:rsidRDefault="00CD69AD" w:rsidP="00CD69AD">
      <w:pPr>
        <w:pStyle w:val="FootnoteText"/>
      </w:pPr>
      <w:r>
        <w:rPr>
          <w:rStyle w:val="FootnoteReference"/>
        </w:rPr>
        <w:footnoteRef/>
      </w:r>
      <w:r>
        <w:t xml:space="preserve"> N.Y.S. Div. of Human Rights. </w:t>
      </w:r>
      <w:r>
        <w:rPr>
          <w:i/>
          <w:iCs/>
        </w:rPr>
        <w:t xml:space="preserve">Annual Report: Fiscal Year 2020 &amp; 2021 </w:t>
      </w:r>
      <w:r>
        <w:t xml:space="preserve">(Jul. 2021), at 20, </w:t>
      </w:r>
      <w:r>
        <w:rPr>
          <w:i/>
          <w:iCs/>
        </w:rPr>
        <w:t xml:space="preserve">available at: </w:t>
      </w:r>
      <w:hyperlink r:id="rId8" w:history="1">
        <w:r w:rsidRPr="006A7AF0">
          <w:rPr>
            <w:rStyle w:val="Hyperlink"/>
          </w:rPr>
          <w:t>https://dhr.ny.gov/system/files/documents/2022/04/nysdhr-annual-report-2019-2021.pdf</w:t>
        </w:r>
      </w:hyperlink>
      <w:r>
        <w:t xml:space="preserve"> </w:t>
      </w:r>
    </w:p>
  </w:footnote>
  <w:footnote w:id="34">
    <w:p w14:paraId="37B60B4C" w14:textId="77777777" w:rsidR="00A37ED4" w:rsidRPr="000133B2" w:rsidRDefault="00A37ED4" w:rsidP="00A37ED4">
      <w:pPr>
        <w:pStyle w:val="FootnoteText"/>
      </w:pPr>
      <w:r w:rsidRPr="000133B2">
        <w:rPr>
          <w:rStyle w:val="FootnoteReference"/>
        </w:rPr>
        <w:footnoteRef/>
      </w:r>
      <w:r w:rsidRPr="000133B2">
        <w:t xml:space="preserve"> § N.Y.C. Admin. Code § 8-803.</w:t>
      </w:r>
    </w:p>
  </w:footnote>
  <w:footnote w:id="35">
    <w:p w14:paraId="5DDC39D3" w14:textId="77777777" w:rsidR="00A37ED4" w:rsidRPr="000133B2" w:rsidRDefault="00A37ED4" w:rsidP="00A37ED4">
      <w:pPr>
        <w:pStyle w:val="FootnoteText"/>
      </w:pPr>
      <w:r w:rsidRPr="000133B2">
        <w:rPr>
          <w:rStyle w:val="FootnoteReference"/>
        </w:rPr>
        <w:footnoteRef/>
      </w:r>
      <w:r w:rsidRPr="000133B2">
        <w:t xml:space="preserve"> N.Y.C. Commission on Human Rights. </w:t>
      </w:r>
      <w:r w:rsidRPr="000133B2">
        <w:rPr>
          <w:i/>
          <w:iCs/>
        </w:rPr>
        <w:t xml:space="preserve">Fiscal Year 2025 Annual Report </w:t>
      </w:r>
      <w:r w:rsidRPr="000133B2">
        <w:t xml:space="preserve">(2025), </w:t>
      </w:r>
      <w:r w:rsidRPr="000133B2">
        <w:rPr>
          <w:i/>
          <w:iCs/>
        </w:rPr>
        <w:t>at</w:t>
      </w:r>
      <w:r w:rsidRPr="000133B2">
        <w:t xml:space="preserve"> 31-32, </w:t>
      </w:r>
      <w:r w:rsidRPr="000133B2">
        <w:rPr>
          <w:i/>
          <w:iCs/>
        </w:rPr>
        <w:t xml:space="preserve">available at: </w:t>
      </w:r>
      <w:r w:rsidRPr="000133B2">
        <w:t xml:space="preserve"> </w:t>
      </w:r>
      <w:hyperlink r:id="rId9" w:history="1">
        <w:r w:rsidRPr="000133B2">
          <w:rPr>
            <w:rStyle w:val="Hyperlink"/>
          </w:rPr>
          <w:t>https://www.nyc.gov/assets/cchr/downloads/pdf/publications/AnnualReport2025.pdf</w:t>
        </w:r>
      </w:hyperlink>
      <w:r w:rsidRPr="000133B2">
        <w:t xml:space="preserve"> </w:t>
      </w:r>
    </w:p>
  </w:footnote>
  <w:footnote w:id="36">
    <w:p w14:paraId="64A33DF9" w14:textId="77777777" w:rsidR="00A37ED4" w:rsidRPr="000133B2" w:rsidRDefault="00A37ED4" w:rsidP="00A37ED4">
      <w:pPr>
        <w:pStyle w:val="FootnoteText"/>
      </w:pPr>
      <w:r w:rsidRPr="000133B2">
        <w:rPr>
          <w:rStyle w:val="FootnoteReference"/>
        </w:rPr>
        <w:footnoteRef/>
      </w:r>
      <w:r w:rsidRPr="000133B2">
        <w:t xml:space="preserve"> </w:t>
      </w:r>
      <w:r w:rsidRPr="000133B2">
        <w:rPr>
          <w:i/>
          <w:iCs/>
        </w:rPr>
        <w:t>Id.</w:t>
      </w:r>
    </w:p>
  </w:footnote>
  <w:footnote w:id="37">
    <w:p w14:paraId="323059A0" w14:textId="77777777" w:rsidR="00CD69AD" w:rsidRPr="00816F83" w:rsidRDefault="00CD69AD" w:rsidP="00CD69AD">
      <w:pPr>
        <w:pStyle w:val="FootnoteText"/>
      </w:pPr>
      <w:r>
        <w:rPr>
          <w:rStyle w:val="FootnoteReference"/>
        </w:rPr>
        <w:footnoteRef/>
      </w:r>
      <w:r>
        <w:t xml:space="preserve"> </w:t>
      </w:r>
      <w:r>
        <w:rPr>
          <w:i/>
          <w:iCs/>
        </w:rPr>
        <w:t>Id.</w:t>
      </w:r>
      <w:r>
        <w:t xml:space="preserve"> at 42.</w:t>
      </w:r>
    </w:p>
  </w:footnote>
  <w:footnote w:id="38">
    <w:p w14:paraId="61D339BE" w14:textId="77777777" w:rsidR="00A37ED4" w:rsidRDefault="00A37ED4" w:rsidP="00A37ED4">
      <w:pPr>
        <w:pStyle w:val="FootnoteText"/>
      </w:pPr>
      <w:r>
        <w:rPr>
          <w:rStyle w:val="FootnoteReference"/>
        </w:rPr>
        <w:footnoteRef/>
      </w:r>
      <w:r>
        <w:t xml:space="preserve"> Ronda Kaysen. “</w:t>
      </w:r>
      <w:r w:rsidRPr="00645B48">
        <w:t>How Do I Hold a Co-op Board Accountable for Discrimination?</w:t>
      </w:r>
      <w:r>
        <w:t xml:space="preserve">” </w:t>
      </w:r>
      <w:r>
        <w:rPr>
          <w:i/>
          <w:iCs/>
        </w:rPr>
        <w:t xml:space="preserve">N.Y. Times </w:t>
      </w:r>
      <w:r>
        <w:t xml:space="preserve">(Sept. 4, 2021), </w:t>
      </w:r>
      <w:r>
        <w:rPr>
          <w:i/>
          <w:iCs/>
        </w:rPr>
        <w:t>available at</w:t>
      </w:r>
      <w:r>
        <w:t>:</w:t>
      </w:r>
      <w:r>
        <w:rPr>
          <w:i/>
          <w:iCs/>
        </w:rPr>
        <w:t xml:space="preserve"> </w:t>
      </w:r>
      <w:hyperlink r:id="rId10" w:history="1">
        <w:r w:rsidRPr="00205746">
          <w:rPr>
            <w:rStyle w:val="Hyperlink"/>
          </w:rPr>
          <w:t>https://www.nytimes.com/2021/09/04/realestate/co-op-board-discrimination.html</w:t>
        </w:r>
      </w:hyperlink>
      <w:r>
        <w:t xml:space="preserve"> </w:t>
      </w:r>
    </w:p>
  </w:footnote>
  <w:footnote w:id="39">
    <w:p w14:paraId="3EC2AE19" w14:textId="4E7233C2" w:rsidR="00CD69AD" w:rsidRPr="005847F4" w:rsidRDefault="00CD69AD" w:rsidP="00CD69AD">
      <w:pPr>
        <w:pStyle w:val="FootnoteText"/>
      </w:pPr>
      <w:r>
        <w:rPr>
          <w:rStyle w:val="FootnoteReference"/>
        </w:rPr>
        <w:footnoteRef/>
      </w:r>
      <w:r>
        <w:t xml:space="preserve"> </w:t>
      </w:r>
      <w:r>
        <w:rPr>
          <w:i/>
          <w:iCs/>
        </w:rPr>
        <w:t xml:space="preserve">See, e.g. </w:t>
      </w:r>
      <w:r w:rsidRPr="000133B2">
        <w:rPr>
          <w:i/>
          <w:iCs/>
        </w:rPr>
        <w:t xml:space="preserve">Bachman v. State Div. of Hum. Rts., </w:t>
      </w:r>
      <w:r w:rsidRPr="000133B2">
        <w:t>104 A.D.2d 111, 112, 481 N.Y.S.2d 858, 859 (1984)</w:t>
      </w:r>
      <w:r>
        <w:t xml:space="preserve"> (reversing DHR’s “no probable cause” determination where two unmarried women demonstrated that the reason provided, by the board, for their rejection was pretextual.</w:t>
      </w:r>
    </w:p>
  </w:footnote>
  <w:footnote w:id="40">
    <w:p w14:paraId="3F4060E3" w14:textId="4348590A" w:rsidR="00A37ED4" w:rsidRPr="00A37ED4" w:rsidRDefault="00A37ED4" w:rsidP="00A37ED4">
      <w:pPr>
        <w:pStyle w:val="FootnoteText"/>
      </w:pPr>
      <w:r>
        <w:rPr>
          <w:rStyle w:val="FootnoteReference"/>
        </w:rPr>
        <w:footnoteRef/>
      </w:r>
      <w:r>
        <w:t xml:space="preserve"> CJ Alfred, </w:t>
      </w:r>
      <w:r w:rsidRPr="00BD00C1">
        <w:rPr>
          <w:i/>
          <w:iCs/>
        </w:rPr>
        <w:t>Breaking the Cycle of Abandonment Using a Tax Enforcement Tool to Return Distressed Properties to Sound Private Ownership</w:t>
      </w:r>
      <w:r>
        <w:t xml:space="preserve">, HPD (2000), available at: </w:t>
      </w:r>
      <w:r w:rsidRPr="00A37ED4">
        <w:t>https://www.nyc.gov/assets/hpd/downloads/pdfs/services/bgc_winner.pdf</w:t>
      </w:r>
    </w:p>
  </w:footnote>
  <w:footnote w:id="41">
    <w:p w14:paraId="758FDAB0" w14:textId="7301EB07" w:rsidR="00A37ED4" w:rsidRPr="00A37ED4" w:rsidRDefault="00A37ED4">
      <w:pPr>
        <w:pStyle w:val="FootnoteText"/>
      </w:pPr>
      <w:r>
        <w:rPr>
          <w:rStyle w:val="FootnoteReference"/>
        </w:rPr>
        <w:footnoteRef/>
      </w:r>
      <w:r>
        <w:t xml:space="preserve"> </w:t>
      </w:r>
      <w:r>
        <w:rPr>
          <w:i/>
          <w:iCs/>
        </w:rPr>
        <w:t>HDFC Cooperatives</w:t>
      </w:r>
      <w:r>
        <w:t xml:space="preserve">, HPD (accessed 2025), available at: </w:t>
      </w:r>
      <w:r w:rsidRPr="00A37ED4">
        <w:t>https://www.nyc.gov/site/hpd/services-and-information/hdfc.page</w:t>
      </w:r>
    </w:p>
  </w:footnote>
  <w:footnote w:id="42">
    <w:p w14:paraId="2A8AC1F1" w14:textId="59091B62" w:rsidR="00A37ED4" w:rsidRPr="00BD00C1" w:rsidRDefault="00A37ED4">
      <w:pPr>
        <w:pStyle w:val="FootnoteText"/>
        <w:rPr>
          <w:i/>
          <w:iCs/>
        </w:rPr>
      </w:pPr>
      <w:r>
        <w:rPr>
          <w:rStyle w:val="FootnoteReference"/>
        </w:rPr>
        <w:footnoteRef/>
      </w:r>
      <w:r>
        <w:t xml:space="preserve"> </w:t>
      </w:r>
      <w:r>
        <w:rPr>
          <w:i/>
          <w:iCs/>
        </w:rPr>
        <w:t>Id.</w:t>
      </w:r>
    </w:p>
  </w:footnote>
  <w:footnote w:id="43">
    <w:p w14:paraId="127EE905" w14:textId="7017FEC1" w:rsidR="00A37ED4" w:rsidRDefault="00A37ED4">
      <w:pPr>
        <w:pStyle w:val="FootnoteText"/>
      </w:pPr>
      <w:r>
        <w:rPr>
          <w:rStyle w:val="FootnoteReference"/>
        </w:rPr>
        <w:footnoteRef/>
      </w:r>
      <w:r>
        <w:t xml:space="preserve"> </w:t>
      </w:r>
      <w:r>
        <w:rPr>
          <w:i/>
          <w:iCs/>
        </w:rPr>
        <w:t>Id.</w:t>
      </w:r>
    </w:p>
  </w:footnote>
  <w:footnote w:id="44">
    <w:p w14:paraId="0210AD2B" w14:textId="209DE5A3" w:rsidR="00A37ED4" w:rsidRDefault="00A37ED4">
      <w:pPr>
        <w:pStyle w:val="FootnoteText"/>
      </w:pPr>
      <w:r>
        <w:rPr>
          <w:rStyle w:val="FootnoteReference"/>
        </w:rPr>
        <w:footnoteRef/>
      </w:r>
      <w:r>
        <w:t xml:space="preserve"> </w:t>
      </w:r>
      <w:r>
        <w:rPr>
          <w:i/>
          <w:iCs/>
        </w:rPr>
        <w:t>Id.</w:t>
      </w:r>
    </w:p>
  </w:footnote>
  <w:footnote w:id="45">
    <w:p w14:paraId="6EABC13E" w14:textId="21442EEC" w:rsidR="00A37ED4" w:rsidRPr="00A37ED4" w:rsidRDefault="00A37ED4" w:rsidP="00A37ED4">
      <w:pPr>
        <w:pStyle w:val="FootnoteText"/>
      </w:pPr>
      <w:r>
        <w:rPr>
          <w:rStyle w:val="FootnoteReference"/>
        </w:rPr>
        <w:footnoteRef/>
      </w:r>
      <w:r>
        <w:t xml:space="preserve"> A Zimmer, </w:t>
      </w:r>
      <w:r w:rsidRPr="00BD00C1">
        <w:rPr>
          <w:i/>
          <w:iCs/>
        </w:rPr>
        <w:t>Board of Affordable Housing Co-Op Accused of Using Building as Piggy Bank</w:t>
      </w:r>
      <w:r>
        <w:t xml:space="preserve">, dnainfo (2015), available at: </w:t>
      </w:r>
      <w:r w:rsidRPr="00A37ED4">
        <w:t>https://www.dnainfo.com/new-york/20150727/upper-west-side/board-of-affordable-housing-co-op-accused-of-using-building-as-piggy-bank/</w:t>
      </w:r>
    </w:p>
  </w:footnote>
  <w:footnote w:id="46">
    <w:p w14:paraId="21C6A422" w14:textId="0AF65EC4" w:rsidR="00A37ED4" w:rsidRPr="00A37ED4" w:rsidRDefault="00A37ED4">
      <w:pPr>
        <w:pStyle w:val="FootnoteText"/>
      </w:pPr>
      <w:r>
        <w:rPr>
          <w:rStyle w:val="FootnoteReference"/>
        </w:rPr>
        <w:footnoteRef/>
      </w:r>
      <w:r>
        <w:t xml:space="preserve"> </w:t>
      </w:r>
      <w:r>
        <w:rPr>
          <w:i/>
          <w:iCs/>
        </w:rPr>
        <w:t>Id</w:t>
      </w:r>
      <w:r>
        <w:t>.</w:t>
      </w:r>
    </w:p>
  </w:footnote>
  <w:footnote w:id="47">
    <w:p w14:paraId="2BB0F86C" w14:textId="594E0D56" w:rsidR="00A37ED4" w:rsidRPr="00A37ED4" w:rsidRDefault="00A37ED4" w:rsidP="00A37ED4">
      <w:pPr>
        <w:pStyle w:val="FootnoteText"/>
      </w:pPr>
      <w:r>
        <w:rPr>
          <w:rStyle w:val="FootnoteReference"/>
        </w:rPr>
        <w:footnoteRef/>
      </w:r>
      <w:r>
        <w:t xml:space="preserve"> G Solis, </w:t>
      </w:r>
      <w:r w:rsidRPr="00BD00C1">
        <w:rPr>
          <w:i/>
          <w:iCs/>
        </w:rPr>
        <w:t>Mismanaged Co-ops Uptown Owe the City More Than $21M, Records Show</w:t>
      </w:r>
      <w:r>
        <w:t xml:space="preserve">, dnainfo (2015), available at: </w:t>
      </w:r>
      <w:r w:rsidRPr="00A37ED4">
        <w:t>https://www.dnainfo.com/new-york/20150605/hamilton-heights/mismanaged-co-ops-uptown-owe-city-more-than-21m-records-show/</w:t>
      </w:r>
    </w:p>
  </w:footnote>
  <w:footnote w:id="48">
    <w:p w14:paraId="43CA596C" w14:textId="568FD4F6" w:rsidR="00A37ED4" w:rsidRPr="00A37ED4" w:rsidRDefault="00A37ED4">
      <w:pPr>
        <w:pStyle w:val="FootnoteText"/>
      </w:pPr>
      <w:r>
        <w:rPr>
          <w:rStyle w:val="FootnoteReference"/>
        </w:rPr>
        <w:footnoteRef/>
      </w:r>
      <w:r>
        <w:t xml:space="preserve"> </w:t>
      </w:r>
      <w:r>
        <w:rPr>
          <w:i/>
          <w:iCs/>
        </w:rPr>
        <w:t>Id</w:t>
      </w:r>
      <w:r>
        <w:t>.</w:t>
      </w:r>
    </w:p>
  </w:footnote>
  <w:footnote w:id="49">
    <w:p w14:paraId="1E708761" w14:textId="77777777" w:rsidR="003B5D34" w:rsidRPr="006E7663" w:rsidRDefault="003B5D34" w:rsidP="003B5D34">
      <w:pPr>
        <w:pStyle w:val="FootnoteText"/>
      </w:pPr>
      <w:r w:rsidRPr="006E7663">
        <w:rPr>
          <w:rStyle w:val="FootnoteReference"/>
        </w:rPr>
        <w:footnoteRef/>
      </w:r>
      <w:r w:rsidRPr="006E7663">
        <w:t xml:space="preserve"> 2023 Housing and Vacancy Survey, </w:t>
      </w:r>
      <w:r w:rsidRPr="006E7663">
        <w:rPr>
          <w:i/>
          <w:iCs/>
        </w:rPr>
        <w:t>available at</w:t>
      </w:r>
      <w:r w:rsidRPr="006E7663">
        <w:t xml:space="preserve">: </w:t>
      </w:r>
      <w:hyperlink r:id="rId11" w:history="1">
        <w:r w:rsidRPr="006E7663">
          <w:rPr>
            <w:rStyle w:val="Hyperlink"/>
          </w:rPr>
          <w:t>https://www.nyc.gov/assets/hpd/downloads/pdfs/about/2023-nychvs-selected-initial-findings.pdf</w:t>
        </w:r>
      </w:hyperlink>
      <w:r w:rsidRPr="006E7663">
        <w:t xml:space="preserve"> </w:t>
      </w:r>
    </w:p>
  </w:footnote>
  <w:footnote w:id="50">
    <w:p w14:paraId="5E06495C" w14:textId="77777777" w:rsidR="003B5D34" w:rsidRPr="00DB6646" w:rsidRDefault="003B5D34" w:rsidP="003B5D34">
      <w:pPr>
        <w:pStyle w:val="FootnoteText"/>
      </w:pPr>
      <w:r w:rsidRPr="00DB6646">
        <w:rPr>
          <w:rStyle w:val="FootnoteReference"/>
        </w:rPr>
        <w:footnoteRef/>
      </w:r>
      <w:r w:rsidRPr="00DB6646">
        <w:t xml:space="preserve"> NYC Department of Housing Preservation and Development Office of Neighborhood Strategies, New York’s Shared Housing Roadmap, October 2025</w:t>
      </w:r>
    </w:p>
  </w:footnote>
  <w:footnote w:id="51">
    <w:p w14:paraId="3239464F" w14:textId="77777777" w:rsidR="003B5D34" w:rsidRPr="00807D56" w:rsidRDefault="003B5D34" w:rsidP="003B5D34">
      <w:pPr>
        <w:pStyle w:val="FootnoteText"/>
      </w:pPr>
      <w:r w:rsidRPr="00807D56">
        <w:rPr>
          <w:rStyle w:val="FootnoteReference"/>
        </w:rPr>
        <w:footnoteRef/>
      </w:r>
      <w:r w:rsidRPr="00807D56">
        <w:t xml:space="preserve"> </w:t>
      </w:r>
      <w:r w:rsidRPr="00807D56">
        <w:rPr>
          <w:i/>
          <w:iCs/>
        </w:rPr>
        <w:t>Id</w:t>
      </w:r>
      <w:r w:rsidRPr="00807D56">
        <w:t>.</w:t>
      </w:r>
    </w:p>
  </w:footnote>
  <w:footnote w:id="52">
    <w:p w14:paraId="5A4B1027" w14:textId="77777777" w:rsidR="003B5D34" w:rsidRPr="00807D56" w:rsidRDefault="003B5D34" w:rsidP="003B5D34">
      <w:pPr>
        <w:pStyle w:val="FootnoteText"/>
      </w:pPr>
      <w:r w:rsidRPr="00807D56">
        <w:rPr>
          <w:rStyle w:val="FootnoteReference"/>
        </w:rPr>
        <w:footnoteRef/>
      </w:r>
      <w:r w:rsidRPr="00807D56">
        <w:t xml:space="preserve"> </w:t>
      </w:r>
      <w:r w:rsidRPr="00807D56">
        <w:rPr>
          <w:i/>
          <w:iCs/>
        </w:rPr>
        <w:t>Id</w:t>
      </w:r>
      <w:r w:rsidRPr="00807D56">
        <w:t>.</w:t>
      </w:r>
    </w:p>
  </w:footnote>
  <w:footnote w:id="53">
    <w:p w14:paraId="0CB77EA4" w14:textId="77777777" w:rsidR="003B5D34" w:rsidRDefault="003B5D34" w:rsidP="003B5D34">
      <w:pPr>
        <w:pStyle w:val="FootnoteText"/>
      </w:pPr>
      <w:r w:rsidRPr="00807D56">
        <w:rPr>
          <w:rStyle w:val="FootnoteReference"/>
        </w:rPr>
        <w:footnoteRef/>
      </w:r>
      <w:r w:rsidRPr="00807D56">
        <w:t xml:space="preserve"> </w:t>
      </w:r>
      <w:r w:rsidRPr="00807D56">
        <w:rPr>
          <w:i/>
          <w:iCs/>
        </w:rPr>
        <w:t>Id</w:t>
      </w:r>
      <w:r w:rsidRPr="00807D56">
        <w:t>.</w:t>
      </w:r>
    </w:p>
  </w:footnote>
  <w:footnote w:id="54">
    <w:p w14:paraId="7681FE37" w14:textId="77777777" w:rsidR="003B5D34" w:rsidRPr="00807D56" w:rsidRDefault="003B5D34" w:rsidP="003B5D34">
      <w:pPr>
        <w:pStyle w:val="FootnoteText"/>
      </w:pPr>
      <w:r w:rsidRPr="00807D56">
        <w:rPr>
          <w:rStyle w:val="FootnoteReference"/>
        </w:rPr>
        <w:footnoteRef/>
      </w:r>
      <w:r w:rsidRPr="00807D56">
        <w:t xml:space="preserve"> </w:t>
      </w:r>
      <w:r w:rsidRPr="00807D56">
        <w:rPr>
          <w:i/>
          <w:iCs/>
        </w:rPr>
        <w:t>Id</w:t>
      </w:r>
      <w:r w:rsidRPr="00807D56">
        <w:t>.</w:t>
      </w:r>
    </w:p>
  </w:footnote>
  <w:footnote w:id="55">
    <w:p w14:paraId="74027D5D" w14:textId="77777777" w:rsidR="003B5D34" w:rsidRPr="00807D56" w:rsidRDefault="003B5D34" w:rsidP="003B5D34">
      <w:pPr>
        <w:pStyle w:val="FootnoteText"/>
      </w:pPr>
      <w:r w:rsidRPr="00807D56">
        <w:rPr>
          <w:rStyle w:val="FootnoteReference"/>
        </w:rPr>
        <w:footnoteRef/>
      </w:r>
      <w:r w:rsidRPr="00807D56">
        <w:t xml:space="preserve"> </w:t>
      </w:r>
      <w:r w:rsidRPr="00807D56">
        <w:rPr>
          <w:i/>
          <w:iCs/>
        </w:rPr>
        <w:t>Id</w:t>
      </w:r>
      <w:r w:rsidRPr="00807D56">
        <w:t>.</w:t>
      </w:r>
    </w:p>
  </w:footnote>
  <w:footnote w:id="56">
    <w:p w14:paraId="1E903C84" w14:textId="77777777" w:rsidR="003B5D34" w:rsidRDefault="003B5D34" w:rsidP="003B5D34">
      <w:pPr>
        <w:pStyle w:val="FootnoteText"/>
      </w:pPr>
      <w:r w:rsidRPr="00807D56">
        <w:rPr>
          <w:rStyle w:val="FootnoteReference"/>
        </w:rPr>
        <w:footnoteRef/>
      </w:r>
      <w:r w:rsidRPr="00807D56">
        <w:t xml:space="preserve"> </w:t>
      </w:r>
      <w:r w:rsidRPr="00807D56">
        <w:rPr>
          <w:i/>
          <w:iCs/>
        </w:rPr>
        <w:t>Id</w:t>
      </w:r>
      <w:r w:rsidRPr="00807D56">
        <w:t>.</w:t>
      </w:r>
    </w:p>
  </w:footnote>
  <w:footnote w:id="57">
    <w:p w14:paraId="1E6E64CE" w14:textId="77777777" w:rsidR="003B5D34" w:rsidRPr="00FA0C43" w:rsidRDefault="003B5D34" w:rsidP="003B5D34">
      <w:pPr>
        <w:pStyle w:val="FootnoteText"/>
      </w:pPr>
      <w:r w:rsidRPr="00FA0C43">
        <w:rPr>
          <w:rStyle w:val="FootnoteReference"/>
        </w:rPr>
        <w:footnoteRef/>
      </w:r>
      <w:r w:rsidRPr="00FA0C43">
        <w:t xml:space="preserve"> City of Yes for Housing Opportunity zoning amendment, </w:t>
      </w:r>
      <w:r w:rsidRPr="00FA0C43">
        <w:rPr>
          <w:i/>
          <w:iCs/>
        </w:rPr>
        <w:t>available at</w:t>
      </w:r>
      <w:r w:rsidRPr="00FA0C43">
        <w:t xml:space="preserve">: </w:t>
      </w:r>
      <w:hyperlink r:id="rId12" w:history="1">
        <w:r w:rsidRPr="00FA0C43">
          <w:rPr>
            <w:rStyle w:val="Hyperlink"/>
          </w:rPr>
          <w:t>https://nyc.legistar.com/LegislationDetail.aspx?ID=6888427&amp;GUID=4B132BCA-7483-462C-8588-B6B921596C48&amp;Options=&amp;Search=%5D</w:t>
        </w:r>
      </w:hyperlink>
      <w:r w:rsidRPr="00FA0C43">
        <w:t xml:space="preserve"> </w:t>
      </w:r>
    </w:p>
  </w:footnote>
  <w:footnote w:id="58">
    <w:p w14:paraId="0C1DE5F1" w14:textId="77777777" w:rsidR="003B5D34" w:rsidRPr="002720EA" w:rsidRDefault="003B5D34" w:rsidP="003B5D34">
      <w:pPr>
        <w:pStyle w:val="FootnoteText"/>
      </w:pPr>
      <w:r w:rsidRPr="002720EA">
        <w:rPr>
          <w:rStyle w:val="FootnoteReference"/>
        </w:rPr>
        <w:footnoteRef/>
      </w:r>
      <w:r w:rsidRPr="002720EA">
        <w:t xml:space="preserve"> </w:t>
      </w:r>
      <w:r w:rsidRPr="002720EA">
        <w:rPr>
          <w:i/>
          <w:iCs/>
        </w:rPr>
        <w:t>Id</w:t>
      </w:r>
      <w:r w:rsidRPr="002720E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6E789" w14:textId="77777777" w:rsidR="00FA0F5F" w:rsidRDefault="00FA0F5F" w:rsidP="0020284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155B6" w14:textId="77777777" w:rsidR="00FA0F5F" w:rsidRDefault="00FA0F5F" w:rsidP="00D74AD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652F2" w14:textId="77777777" w:rsidR="00FA0F5F" w:rsidRDefault="00FA0F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CF9AA" w14:textId="77777777" w:rsidR="00FA0F5F" w:rsidRDefault="00FA0F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4113B" w14:textId="77777777" w:rsidR="00FA0F5F" w:rsidRDefault="00FA0F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40A9"/>
    <w:multiLevelType w:val="hybridMultilevel"/>
    <w:tmpl w:val="C2B8B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C0466"/>
    <w:multiLevelType w:val="hybridMultilevel"/>
    <w:tmpl w:val="0D42E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FF6E0E"/>
    <w:multiLevelType w:val="hybridMultilevel"/>
    <w:tmpl w:val="BE60DB0A"/>
    <w:lvl w:ilvl="0" w:tplc="2E2C9F4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1A7F63"/>
    <w:multiLevelType w:val="hybridMultilevel"/>
    <w:tmpl w:val="7FBA97CE"/>
    <w:lvl w:ilvl="0" w:tplc="AC3ACB1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C5563A"/>
    <w:multiLevelType w:val="hybridMultilevel"/>
    <w:tmpl w:val="CC56A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175" w:hanging="1095"/>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FD0594"/>
    <w:multiLevelType w:val="hybridMultilevel"/>
    <w:tmpl w:val="61B84DA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826EFA"/>
    <w:multiLevelType w:val="hybridMultilevel"/>
    <w:tmpl w:val="707A6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F2081A"/>
    <w:multiLevelType w:val="hybridMultilevel"/>
    <w:tmpl w:val="7414C17C"/>
    <w:lvl w:ilvl="0" w:tplc="4AAE6932">
      <w:start w:val="1"/>
      <w:numFmt w:val="upp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1F060D0"/>
    <w:multiLevelType w:val="hybridMultilevel"/>
    <w:tmpl w:val="96B4103C"/>
    <w:lvl w:ilvl="0" w:tplc="8DB4B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991B14"/>
    <w:multiLevelType w:val="hybridMultilevel"/>
    <w:tmpl w:val="5BDA2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AC07AF8"/>
    <w:multiLevelType w:val="hybridMultilevel"/>
    <w:tmpl w:val="B0FC5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307948"/>
    <w:multiLevelType w:val="hybridMultilevel"/>
    <w:tmpl w:val="DB828F54"/>
    <w:lvl w:ilvl="0" w:tplc="4AAE6932">
      <w:start w:val="1"/>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56594ED7"/>
    <w:multiLevelType w:val="hybridMultilevel"/>
    <w:tmpl w:val="BABA2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EBD4241"/>
    <w:multiLevelType w:val="hybridMultilevel"/>
    <w:tmpl w:val="BBFAF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0086DC5"/>
    <w:multiLevelType w:val="hybridMultilevel"/>
    <w:tmpl w:val="3E92B2CE"/>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65A35B49"/>
    <w:multiLevelType w:val="hybridMultilevel"/>
    <w:tmpl w:val="A3568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3"/>
  </w:num>
  <w:num w:numId="3">
    <w:abstractNumId w:val="2"/>
  </w:num>
  <w:num w:numId="4">
    <w:abstractNumId w:val="15"/>
  </w:num>
  <w:num w:numId="5">
    <w:abstractNumId w:val="10"/>
  </w:num>
  <w:num w:numId="6">
    <w:abstractNumId w:val="0"/>
  </w:num>
  <w:num w:numId="7">
    <w:abstractNumId w:val="4"/>
  </w:num>
  <w:num w:numId="8">
    <w:abstractNumId w:val="14"/>
  </w:num>
  <w:num w:numId="9">
    <w:abstractNumId w:val="13"/>
  </w:num>
  <w:num w:numId="10">
    <w:abstractNumId w:val="9"/>
  </w:num>
  <w:num w:numId="11">
    <w:abstractNumId w:val="11"/>
  </w:num>
  <w:num w:numId="12">
    <w:abstractNumId w:val="7"/>
  </w:num>
  <w:num w:numId="13">
    <w:abstractNumId w:val="6"/>
  </w:num>
  <w:num w:numId="14">
    <w:abstractNumId w:val="12"/>
  </w:num>
  <w:num w:numId="15">
    <w:abstractNumId w:val="5"/>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2B"/>
    <w:rsid w:val="0000250D"/>
    <w:rsid w:val="000056D0"/>
    <w:rsid w:val="0000629A"/>
    <w:rsid w:val="000064F2"/>
    <w:rsid w:val="00011213"/>
    <w:rsid w:val="000128B5"/>
    <w:rsid w:val="000153C5"/>
    <w:rsid w:val="0001598A"/>
    <w:rsid w:val="000217A6"/>
    <w:rsid w:val="000334DE"/>
    <w:rsid w:val="000335D5"/>
    <w:rsid w:val="00034C58"/>
    <w:rsid w:val="000366D1"/>
    <w:rsid w:val="00041764"/>
    <w:rsid w:val="000423F1"/>
    <w:rsid w:val="00045F3E"/>
    <w:rsid w:val="00051878"/>
    <w:rsid w:val="00054F52"/>
    <w:rsid w:val="0005758D"/>
    <w:rsid w:val="00067124"/>
    <w:rsid w:val="00067639"/>
    <w:rsid w:val="0006776A"/>
    <w:rsid w:val="00073552"/>
    <w:rsid w:val="00076113"/>
    <w:rsid w:val="0008162C"/>
    <w:rsid w:val="00081740"/>
    <w:rsid w:val="00081D53"/>
    <w:rsid w:val="000916BE"/>
    <w:rsid w:val="00091D3A"/>
    <w:rsid w:val="00096632"/>
    <w:rsid w:val="000A17B3"/>
    <w:rsid w:val="000A63B3"/>
    <w:rsid w:val="000B4D9F"/>
    <w:rsid w:val="000B686B"/>
    <w:rsid w:val="000B7122"/>
    <w:rsid w:val="000C1983"/>
    <w:rsid w:val="000C2686"/>
    <w:rsid w:val="000C37A8"/>
    <w:rsid w:val="000C4FB1"/>
    <w:rsid w:val="000C608F"/>
    <w:rsid w:val="000E1303"/>
    <w:rsid w:val="000E1DD5"/>
    <w:rsid w:val="000E4D67"/>
    <w:rsid w:val="000F3718"/>
    <w:rsid w:val="000F3796"/>
    <w:rsid w:val="000F6A9B"/>
    <w:rsid w:val="001004A6"/>
    <w:rsid w:val="00107229"/>
    <w:rsid w:val="00107C48"/>
    <w:rsid w:val="00111406"/>
    <w:rsid w:val="00116AFA"/>
    <w:rsid w:val="001222A3"/>
    <w:rsid w:val="00122FB3"/>
    <w:rsid w:val="0013043F"/>
    <w:rsid w:val="0013046A"/>
    <w:rsid w:val="00133407"/>
    <w:rsid w:val="0013656A"/>
    <w:rsid w:val="0014113A"/>
    <w:rsid w:val="001428D5"/>
    <w:rsid w:val="001445A9"/>
    <w:rsid w:val="001457BC"/>
    <w:rsid w:val="00152476"/>
    <w:rsid w:val="001546C3"/>
    <w:rsid w:val="00154BD0"/>
    <w:rsid w:val="001554AE"/>
    <w:rsid w:val="00160C67"/>
    <w:rsid w:val="00161B6F"/>
    <w:rsid w:val="001639F2"/>
    <w:rsid w:val="00165412"/>
    <w:rsid w:val="001657F8"/>
    <w:rsid w:val="00171FDE"/>
    <w:rsid w:val="00173B22"/>
    <w:rsid w:val="00175F08"/>
    <w:rsid w:val="00181DDD"/>
    <w:rsid w:val="0018454F"/>
    <w:rsid w:val="00191002"/>
    <w:rsid w:val="001912C6"/>
    <w:rsid w:val="00193982"/>
    <w:rsid w:val="00193A1C"/>
    <w:rsid w:val="001950C6"/>
    <w:rsid w:val="00195335"/>
    <w:rsid w:val="00196DB8"/>
    <w:rsid w:val="00197701"/>
    <w:rsid w:val="001A6878"/>
    <w:rsid w:val="001B14D5"/>
    <w:rsid w:val="001B69B5"/>
    <w:rsid w:val="001C1581"/>
    <w:rsid w:val="001C2984"/>
    <w:rsid w:val="001D2AF1"/>
    <w:rsid w:val="001D59F8"/>
    <w:rsid w:val="001D6141"/>
    <w:rsid w:val="001E381E"/>
    <w:rsid w:val="001F5F04"/>
    <w:rsid w:val="00200DFD"/>
    <w:rsid w:val="002017B2"/>
    <w:rsid w:val="00204B51"/>
    <w:rsid w:val="00206670"/>
    <w:rsid w:val="00206C21"/>
    <w:rsid w:val="00211567"/>
    <w:rsid w:val="002135DA"/>
    <w:rsid w:val="00217195"/>
    <w:rsid w:val="00226A9A"/>
    <w:rsid w:val="00226CD1"/>
    <w:rsid w:val="0023210B"/>
    <w:rsid w:val="00236564"/>
    <w:rsid w:val="00242688"/>
    <w:rsid w:val="00243DE1"/>
    <w:rsid w:val="00250744"/>
    <w:rsid w:val="0025368E"/>
    <w:rsid w:val="0025582F"/>
    <w:rsid w:val="00255DB5"/>
    <w:rsid w:val="002561F3"/>
    <w:rsid w:val="002562E7"/>
    <w:rsid w:val="002574EF"/>
    <w:rsid w:val="0026129C"/>
    <w:rsid w:val="00265525"/>
    <w:rsid w:val="00266C7F"/>
    <w:rsid w:val="002754BD"/>
    <w:rsid w:val="002818CB"/>
    <w:rsid w:val="0028361F"/>
    <w:rsid w:val="002840A2"/>
    <w:rsid w:val="0028448F"/>
    <w:rsid w:val="0028663C"/>
    <w:rsid w:val="00286649"/>
    <w:rsid w:val="00290643"/>
    <w:rsid w:val="00290F34"/>
    <w:rsid w:val="002913D6"/>
    <w:rsid w:val="002A2F92"/>
    <w:rsid w:val="002A6FC1"/>
    <w:rsid w:val="002B1714"/>
    <w:rsid w:val="002B2258"/>
    <w:rsid w:val="002B39FF"/>
    <w:rsid w:val="002B7165"/>
    <w:rsid w:val="002C229D"/>
    <w:rsid w:val="002C327F"/>
    <w:rsid w:val="002C3E31"/>
    <w:rsid w:val="002D4389"/>
    <w:rsid w:val="002D6DF3"/>
    <w:rsid w:val="00301F4B"/>
    <w:rsid w:val="00315365"/>
    <w:rsid w:val="00316416"/>
    <w:rsid w:val="003251FC"/>
    <w:rsid w:val="00325C18"/>
    <w:rsid w:val="003272D8"/>
    <w:rsid w:val="00327D05"/>
    <w:rsid w:val="00331915"/>
    <w:rsid w:val="00333249"/>
    <w:rsid w:val="0033360E"/>
    <w:rsid w:val="00336463"/>
    <w:rsid w:val="00336F07"/>
    <w:rsid w:val="0033796D"/>
    <w:rsid w:val="00340033"/>
    <w:rsid w:val="00340C04"/>
    <w:rsid w:val="00341196"/>
    <w:rsid w:val="00346FB0"/>
    <w:rsid w:val="00347A06"/>
    <w:rsid w:val="00350269"/>
    <w:rsid w:val="00364576"/>
    <w:rsid w:val="00370B00"/>
    <w:rsid w:val="00375D00"/>
    <w:rsid w:val="003764C0"/>
    <w:rsid w:val="003778AD"/>
    <w:rsid w:val="0038230D"/>
    <w:rsid w:val="00385773"/>
    <w:rsid w:val="003862B7"/>
    <w:rsid w:val="003879A0"/>
    <w:rsid w:val="003924F6"/>
    <w:rsid w:val="003943BE"/>
    <w:rsid w:val="00396259"/>
    <w:rsid w:val="003979BD"/>
    <w:rsid w:val="003A4F27"/>
    <w:rsid w:val="003A5105"/>
    <w:rsid w:val="003A5369"/>
    <w:rsid w:val="003A6811"/>
    <w:rsid w:val="003B471A"/>
    <w:rsid w:val="003B5D34"/>
    <w:rsid w:val="003C253F"/>
    <w:rsid w:val="003C34BB"/>
    <w:rsid w:val="003C65A7"/>
    <w:rsid w:val="003C7CA9"/>
    <w:rsid w:val="003D1269"/>
    <w:rsid w:val="003D40DF"/>
    <w:rsid w:val="003D5140"/>
    <w:rsid w:val="003D75D3"/>
    <w:rsid w:val="003E2E1C"/>
    <w:rsid w:val="003E3CAF"/>
    <w:rsid w:val="003E3D4B"/>
    <w:rsid w:val="003E530B"/>
    <w:rsid w:val="00404890"/>
    <w:rsid w:val="00410034"/>
    <w:rsid w:val="00423E66"/>
    <w:rsid w:val="00425951"/>
    <w:rsid w:val="004318E6"/>
    <w:rsid w:val="00442552"/>
    <w:rsid w:val="00444323"/>
    <w:rsid w:val="0044655B"/>
    <w:rsid w:val="00446B40"/>
    <w:rsid w:val="00450541"/>
    <w:rsid w:val="00451792"/>
    <w:rsid w:val="00451A22"/>
    <w:rsid w:val="00452260"/>
    <w:rsid w:val="0045455F"/>
    <w:rsid w:val="00461798"/>
    <w:rsid w:val="0046291D"/>
    <w:rsid w:val="00466792"/>
    <w:rsid w:val="00476C7C"/>
    <w:rsid w:val="004800B6"/>
    <w:rsid w:val="00490637"/>
    <w:rsid w:val="004973D0"/>
    <w:rsid w:val="004A657A"/>
    <w:rsid w:val="004A6661"/>
    <w:rsid w:val="004B01E5"/>
    <w:rsid w:val="004B3FE1"/>
    <w:rsid w:val="004D448C"/>
    <w:rsid w:val="004D6A4E"/>
    <w:rsid w:val="004E0C55"/>
    <w:rsid w:val="004E4BEB"/>
    <w:rsid w:val="004E4CF6"/>
    <w:rsid w:val="00500B1C"/>
    <w:rsid w:val="00505AE5"/>
    <w:rsid w:val="00505C93"/>
    <w:rsid w:val="00506CFF"/>
    <w:rsid w:val="005133A2"/>
    <w:rsid w:val="00514214"/>
    <w:rsid w:val="005143AC"/>
    <w:rsid w:val="00515492"/>
    <w:rsid w:val="00526387"/>
    <w:rsid w:val="00532524"/>
    <w:rsid w:val="00535288"/>
    <w:rsid w:val="00535620"/>
    <w:rsid w:val="00540A2C"/>
    <w:rsid w:val="00543822"/>
    <w:rsid w:val="00562EA2"/>
    <w:rsid w:val="00563DBB"/>
    <w:rsid w:val="005655DD"/>
    <w:rsid w:val="00565A1F"/>
    <w:rsid w:val="00566F0E"/>
    <w:rsid w:val="005701D6"/>
    <w:rsid w:val="00571333"/>
    <w:rsid w:val="00572791"/>
    <w:rsid w:val="005727F5"/>
    <w:rsid w:val="0058161A"/>
    <w:rsid w:val="00584266"/>
    <w:rsid w:val="00584555"/>
    <w:rsid w:val="00584F78"/>
    <w:rsid w:val="00593BB0"/>
    <w:rsid w:val="005963AD"/>
    <w:rsid w:val="005A06F2"/>
    <w:rsid w:val="005A1AC5"/>
    <w:rsid w:val="005A3A11"/>
    <w:rsid w:val="005A47C2"/>
    <w:rsid w:val="005A5B2F"/>
    <w:rsid w:val="005A6F7E"/>
    <w:rsid w:val="005B5012"/>
    <w:rsid w:val="005C594F"/>
    <w:rsid w:val="005C7017"/>
    <w:rsid w:val="005D0356"/>
    <w:rsid w:val="005D0F10"/>
    <w:rsid w:val="005E3C4B"/>
    <w:rsid w:val="005E4B19"/>
    <w:rsid w:val="005F0099"/>
    <w:rsid w:val="005F4CFB"/>
    <w:rsid w:val="005F6D15"/>
    <w:rsid w:val="0060259D"/>
    <w:rsid w:val="00602996"/>
    <w:rsid w:val="00614A3A"/>
    <w:rsid w:val="006157B6"/>
    <w:rsid w:val="0061751A"/>
    <w:rsid w:val="00632F5E"/>
    <w:rsid w:val="0063356C"/>
    <w:rsid w:val="006350A7"/>
    <w:rsid w:val="0063537E"/>
    <w:rsid w:val="00644C8B"/>
    <w:rsid w:val="006471CB"/>
    <w:rsid w:val="006506EE"/>
    <w:rsid w:val="00651E90"/>
    <w:rsid w:val="00653F21"/>
    <w:rsid w:val="0065583A"/>
    <w:rsid w:val="006566CA"/>
    <w:rsid w:val="006577C2"/>
    <w:rsid w:val="006635A6"/>
    <w:rsid w:val="00666172"/>
    <w:rsid w:val="00672DBD"/>
    <w:rsid w:val="0067543D"/>
    <w:rsid w:val="006754E0"/>
    <w:rsid w:val="006815CD"/>
    <w:rsid w:val="00683091"/>
    <w:rsid w:val="00694AD3"/>
    <w:rsid w:val="00696A36"/>
    <w:rsid w:val="00697244"/>
    <w:rsid w:val="006A3704"/>
    <w:rsid w:val="006C1F46"/>
    <w:rsid w:val="006C5B01"/>
    <w:rsid w:val="006C6FDD"/>
    <w:rsid w:val="006E24CA"/>
    <w:rsid w:val="006E393F"/>
    <w:rsid w:val="006E420E"/>
    <w:rsid w:val="006E56DB"/>
    <w:rsid w:val="006F3AF5"/>
    <w:rsid w:val="007026A1"/>
    <w:rsid w:val="0070334E"/>
    <w:rsid w:val="00703C85"/>
    <w:rsid w:val="00710F71"/>
    <w:rsid w:val="00712D5D"/>
    <w:rsid w:val="00716AEF"/>
    <w:rsid w:val="007241B0"/>
    <w:rsid w:val="00725759"/>
    <w:rsid w:val="00727E2E"/>
    <w:rsid w:val="00731DF6"/>
    <w:rsid w:val="0073528B"/>
    <w:rsid w:val="0074170F"/>
    <w:rsid w:val="00741F74"/>
    <w:rsid w:val="00750746"/>
    <w:rsid w:val="007549EE"/>
    <w:rsid w:val="00754A98"/>
    <w:rsid w:val="00755103"/>
    <w:rsid w:val="0076085B"/>
    <w:rsid w:val="00771782"/>
    <w:rsid w:val="00771E65"/>
    <w:rsid w:val="00773BA7"/>
    <w:rsid w:val="007800CC"/>
    <w:rsid w:val="00782B1E"/>
    <w:rsid w:val="00782C19"/>
    <w:rsid w:val="00782DF1"/>
    <w:rsid w:val="00791F72"/>
    <w:rsid w:val="007A3BB8"/>
    <w:rsid w:val="007A54D3"/>
    <w:rsid w:val="007A64F8"/>
    <w:rsid w:val="007A71F9"/>
    <w:rsid w:val="007B102D"/>
    <w:rsid w:val="007C3F8F"/>
    <w:rsid w:val="007C5110"/>
    <w:rsid w:val="007C51B9"/>
    <w:rsid w:val="007D7270"/>
    <w:rsid w:val="007E1B9A"/>
    <w:rsid w:val="007E50C9"/>
    <w:rsid w:val="007F0168"/>
    <w:rsid w:val="007F1D9E"/>
    <w:rsid w:val="00811F10"/>
    <w:rsid w:val="00813BB9"/>
    <w:rsid w:val="00821AA3"/>
    <w:rsid w:val="00821F03"/>
    <w:rsid w:val="0082225F"/>
    <w:rsid w:val="00830058"/>
    <w:rsid w:val="00832B65"/>
    <w:rsid w:val="00835139"/>
    <w:rsid w:val="00840274"/>
    <w:rsid w:val="0084101D"/>
    <w:rsid w:val="00852338"/>
    <w:rsid w:val="00853D82"/>
    <w:rsid w:val="008553D6"/>
    <w:rsid w:val="00860762"/>
    <w:rsid w:val="0086308F"/>
    <w:rsid w:val="008636D8"/>
    <w:rsid w:val="008703C4"/>
    <w:rsid w:val="00875CE4"/>
    <w:rsid w:val="00877043"/>
    <w:rsid w:val="008801A6"/>
    <w:rsid w:val="008841A4"/>
    <w:rsid w:val="0088498E"/>
    <w:rsid w:val="00891E0A"/>
    <w:rsid w:val="0089338E"/>
    <w:rsid w:val="008933B2"/>
    <w:rsid w:val="00894587"/>
    <w:rsid w:val="00894E69"/>
    <w:rsid w:val="008A0ADD"/>
    <w:rsid w:val="008A3A07"/>
    <w:rsid w:val="008A5109"/>
    <w:rsid w:val="008B155E"/>
    <w:rsid w:val="008B15FE"/>
    <w:rsid w:val="008B1D1C"/>
    <w:rsid w:val="008C308B"/>
    <w:rsid w:val="008C7C24"/>
    <w:rsid w:val="008D7400"/>
    <w:rsid w:val="008E1463"/>
    <w:rsid w:val="008E195F"/>
    <w:rsid w:val="008E6B25"/>
    <w:rsid w:val="008E7ACB"/>
    <w:rsid w:val="008F3A8C"/>
    <w:rsid w:val="008F3A8D"/>
    <w:rsid w:val="008F56C3"/>
    <w:rsid w:val="008F5DE5"/>
    <w:rsid w:val="00900614"/>
    <w:rsid w:val="00901F7C"/>
    <w:rsid w:val="00902230"/>
    <w:rsid w:val="009022AF"/>
    <w:rsid w:val="009072EC"/>
    <w:rsid w:val="00911277"/>
    <w:rsid w:val="009230BC"/>
    <w:rsid w:val="00923FCE"/>
    <w:rsid w:val="009251BE"/>
    <w:rsid w:val="00926FB7"/>
    <w:rsid w:val="009316D3"/>
    <w:rsid w:val="00932252"/>
    <w:rsid w:val="00942E79"/>
    <w:rsid w:val="00946C38"/>
    <w:rsid w:val="00947DD7"/>
    <w:rsid w:val="009520EB"/>
    <w:rsid w:val="0095320D"/>
    <w:rsid w:val="00956E8A"/>
    <w:rsid w:val="00965182"/>
    <w:rsid w:val="00970946"/>
    <w:rsid w:val="00971447"/>
    <w:rsid w:val="00972148"/>
    <w:rsid w:val="00975422"/>
    <w:rsid w:val="00980088"/>
    <w:rsid w:val="00981956"/>
    <w:rsid w:val="00981988"/>
    <w:rsid w:val="00983F0A"/>
    <w:rsid w:val="00987A4F"/>
    <w:rsid w:val="00991D55"/>
    <w:rsid w:val="00993DAA"/>
    <w:rsid w:val="00997D18"/>
    <w:rsid w:val="009A06DA"/>
    <w:rsid w:val="009A0734"/>
    <w:rsid w:val="009A0C69"/>
    <w:rsid w:val="009A3261"/>
    <w:rsid w:val="009A4C0D"/>
    <w:rsid w:val="009A51A7"/>
    <w:rsid w:val="009A7715"/>
    <w:rsid w:val="009B0842"/>
    <w:rsid w:val="009B0D92"/>
    <w:rsid w:val="009C4908"/>
    <w:rsid w:val="009C6D6B"/>
    <w:rsid w:val="009D233B"/>
    <w:rsid w:val="009D26FE"/>
    <w:rsid w:val="009D385F"/>
    <w:rsid w:val="009D60C9"/>
    <w:rsid w:val="009E5A93"/>
    <w:rsid w:val="009E6F2E"/>
    <w:rsid w:val="009E7E8E"/>
    <w:rsid w:val="009F0A8A"/>
    <w:rsid w:val="009F3728"/>
    <w:rsid w:val="00A02DC4"/>
    <w:rsid w:val="00A03042"/>
    <w:rsid w:val="00A031B8"/>
    <w:rsid w:val="00A057FB"/>
    <w:rsid w:val="00A07B2B"/>
    <w:rsid w:val="00A10C9F"/>
    <w:rsid w:val="00A12949"/>
    <w:rsid w:val="00A14255"/>
    <w:rsid w:val="00A21D5D"/>
    <w:rsid w:val="00A22014"/>
    <w:rsid w:val="00A22270"/>
    <w:rsid w:val="00A22C99"/>
    <w:rsid w:val="00A25C74"/>
    <w:rsid w:val="00A2766A"/>
    <w:rsid w:val="00A301FA"/>
    <w:rsid w:val="00A3475B"/>
    <w:rsid w:val="00A36A93"/>
    <w:rsid w:val="00A37ED4"/>
    <w:rsid w:val="00A43D98"/>
    <w:rsid w:val="00A45836"/>
    <w:rsid w:val="00A509BF"/>
    <w:rsid w:val="00A57879"/>
    <w:rsid w:val="00A643E0"/>
    <w:rsid w:val="00A64807"/>
    <w:rsid w:val="00A66B6B"/>
    <w:rsid w:val="00A712F0"/>
    <w:rsid w:val="00A7191B"/>
    <w:rsid w:val="00A72485"/>
    <w:rsid w:val="00A73CCA"/>
    <w:rsid w:val="00A82759"/>
    <w:rsid w:val="00A84250"/>
    <w:rsid w:val="00A86B98"/>
    <w:rsid w:val="00A93639"/>
    <w:rsid w:val="00A94589"/>
    <w:rsid w:val="00A95E0C"/>
    <w:rsid w:val="00A95F2B"/>
    <w:rsid w:val="00AA18A5"/>
    <w:rsid w:val="00AA31FA"/>
    <w:rsid w:val="00AA6F60"/>
    <w:rsid w:val="00AB6228"/>
    <w:rsid w:val="00AB65F8"/>
    <w:rsid w:val="00AC585D"/>
    <w:rsid w:val="00AD68D3"/>
    <w:rsid w:val="00AE0641"/>
    <w:rsid w:val="00AE2CA9"/>
    <w:rsid w:val="00AF5584"/>
    <w:rsid w:val="00AF6C77"/>
    <w:rsid w:val="00AF779B"/>
    <w:rsid w:val="00B01D11"/>
    <w:rsid w:val="00B06279"/>
    <w:rsid w:val="00B11AAB"/>
    <w:rsid w:val="00B123D0"/>
    <w:rsid w:val="00B1302C"/>
    <w:rsid w:val="00B16386"/>
    <w:rsid w:val="00B26DEC"/>
    <w:rsid w:val="00B3364E"/>
    <w:rsid w:val="00B34A5F"/>
    <w:rsid w:val="00B34C44"/>
    <w:rsid w:val="00B35FF5"/>
    <w:rsid w:val="00B36DB9"/>
    <w:rsid w:val="00B43907"/>
    <w:rsid w:val="00B442EE"/>
    <w:rsid w:val="00B51A44"/>
    <w:rsid w:val="00B5236A"/>
    <w:rsid w:val="00B574ED"/>
    <w:rsid w:val="00B577BE"/>
    <w:rsid w:val="00B641E6"/>
    <w:rsid w:val="00B65ACB"/>
    <w:rsid w:val="00B73BE3"/>
    <w:rsid w:val="00B74F36"/>
    <w:rsid w:val="00B94F36"/>
    <w:rsid w:val="00BA3F30"/>
    <w:rsid w:val="00BA6D2B"/>
    <w:rsid w:val="00BB0A74"/>
    <w:rsid w:val="00BB5DD0"/>
    <w:rsid w:val="00BC2896"/>
    <w:rsid w:val="00BC4A58"/>
    <w:rsid w:val="00BC6923"/>
    <w:rsid w:val="00BC7E64"/>
    <w:rsid w:val="00BD00C1"/>
    <w:rsid w:val="00BD74C7"/>
    <w:rsid w:val="00BE0C1A"/>
    <w:rsid w:val="00BF01A7"/>
    <w:rsid w:val="00BF07E6"/>
    <w:rsid w:val="00C04EA3"/>
    <w:rsid w:val="00C05741"/>
    <w:rsid w:val="00C13EB1"/>
    <w:rsid w:val="00C15D0D"/>
    <w:rsid w:val="00C16650"/>
    <w:rsid w:val="00C1693F"/>
    <w:rsid w:val="00C169AE"/>
    <w:rsid w:val="00C3056D"/>
    <w:rsid w:val="00C34926"/>
    <w:rsid w:val="00C42DDB"/>
    <w:rsid w:val="00C44BCC"/>
    <w:rsid w:val="00C44C8E"/>
    <w:rsid w:val="00C46245"/>
    <w:rsid w:val="00C470EC"/>
    <w:rsid w:val="00C52B7B"/>
    <w:rsid w:val="00C5637F"/>
    <w:rsid w:val="00C56469"/>
    <w:rsid w:val="00C5668C"/>
    <w:rsid w:val="00C57348"/>
    <w:rsid w:val="00C57B5D"/>
    <w:rsid w:val="00C66240"/>
    <w:rsid w:val="00C6631C"/>
    <w:rsid w:val="00C663DD"/>
    <w:rsid w:val="00C700BB"/>
    <w:rsid w:val="00C70221"/>
    <w:rsid w:val="00C82F24"/>
    <w:rsid w:val="00C96696"/>
    <w:rsid w:val="00C9729E"/>
    <w:rsid w:val="00CA2015"/>
    <w:rsid w:val="00CA25EA"/>
    <w:rsid w:val="00CA2C59"/>
    <w:rsid w:val="00CB1766"/>
    <w:rsid w:val="00CB70CD"/>
    <w:rsid w:val="00CC187A"/>
    <w:rsid w:val="00CC460B"/>
    <w:rsid w:val="00CD3B6B"/>
    <w:rsid w:val="00CD401C"/>
    <w:rsid w:val="00CD69AD"/>
    <w:rsid w:val="00CD7753"/>
    <w:rsid w:val="00CE1646"/>
    <w:rsid w:val="00CE1ED6"/>
    <w:rsid w:val="00CE2CE2"/>
    <w:rsid w:val="00CE435C"/>
    <w:rsid w:val="00CE7971"/>
    <w:rsid w:val="00CE7C4D"/>
    <w:rsid w:val="00CF423D"/>
    <w:rsid w:val="00CF49E3"/>
    <w:rsid w:val="00D02703"/>
    <w:rsid w:val="00D1085F"/>
    <w:rsid w:val="00D12122"/>
    <w:rsid w:val="00D17BE0"/>
    <w:rsid w:val="00D23334"/>
    <w:rsid w:val="00D24655"/>
    <w:rsid w:val="00D31F4E"/>
    <w:rsid w:val="00D36A04"/>
    <w:rsid w:val="00D40C5C"/>
    <w:rsid w:val="00D42BDA"/>
    <w:rsid w:val="00D44494"/>
    <w:rsid w:val="00D47651"/>
    <w:rsid w:val="00D51D47"/>
    <w:rsid w:val="00D52913"/>
    <w:rsid w:val="00D63479"/>
    <w:rsid w:val="00D67524"/>
    <w:rsid w:val="00D72D5D"/>
    <w:rsid w:val="00D72ECF"/>
    <w:rsid w:val="00D73766"/>
    <w:rsid w:val="00D745AD"/>
    <w:rsid w:val="00D778D0"/>
    <w:rsid w:val="00D77E24"/>
    <w:rsid w:val="00D82308"/>
    <w:rsid w:val="00D87451"/>
    <w:rsid w:val="00D919B6"/>
    <w:rsid w:val="00D93964"/>
    <w:rsid w:val="00DB0E1A"/>
    <w:rsid w:val="00DB17A0"/>
    <w:rsid w:val="00DB340B"/>
    <w:rsid w:val="00DB5BEA"/>
    <w:rsid w:val="00DB72CF"/>
    <w:rsid w:val="00DC0E56"/>
    <w:rsid w:val="00DC6F6E"/>
    <w:rsid w:val="00DC74EC"/>
    <w:rsid w:val="00DD28A0"/>
    <w:rsid w:val="00DE1615"/>
    <w:rsid w:val="00DE1AC7"/>
    <w:rsid w:val="00DF0A02"/>
    <w:rsid w:val="00DF193C"/>
    <w:rsid w:val="00DF1A66"/>
    <w:rsid w:val="00DF495C"/>
    <w:rsid w:val="00DF4E4F"/>
    <w:rsid w:val="00DF6618"/>
    <w:rsid w:val="00E07896"/>
    <w:rsid w:val="00E20F7B"/>
    <w:rsid w:val="00E27C31"/>
    <w:rsid w:val="00E30EAD"/>
    <w:rsid w:val="00E32137"/>
    <w:rsid w:val="00E3282A"/>
    <w:rsid w:val="00E33175"/>
    <w:rsid w:val="00E33653"/>
    <w:rsid w:val="00E36544"/>
    <w:rsid w:val="00E36B1E"/>
    <w:rsid w:val="00E43049"/>
    <w:rsid w:val="00E4741A"/>
    <w:rsid w:val="00E573F8"/>
    <w:rsid w:val="00E6411A"/>
    <w:rsid w:val="00E64427"/>
    <w:rsid w:val="00E65726"/>
    <w:rsid w:val="00E65EF9"/>
    <w:rsid w:val="00E70463"/>
    <w:rsid w:val="00E764C5"/>
    <w:rsid w:val="00E809C3"/>
    <w:rsid w:val="00E84E77"/>
    <w:rsid w:val="00E860CD"/>
    <w:rsid w:val="00E86915"/>
    <w:rsid w:val="00E8795A"/>
    <w:rsid w:val="00E87DF7"/>
    <w:rsid w:val="00E90111"/>
    <w:rsid w:val="00E90B6B"/>
    <w:rsid w:val="00E9133F"/>
    <w:rsid w:val="00E91D9C"/>
    <w:rsid w:val="00E91E0F"/>
    <w:rsid w:val="00E94D81"/>
    <w:rsid w:val="00E94D91"/>
    <w:rsid w:val="00EA0FDD"/>
    <w:rsid w:val="00EA1F4A"/>
    <w:rsid w:val="00EA6A8F"/>
    <w:rsid w:val="00EB01D8"/>
    <w:rsid w:val="00EB1CFF"/>
    <w:rsid w:val="00EB4A66"/>
    <w:rsid w:val="00EB55C1"/>
    <w:rsid w:val="00EB57BD"/>
    <w:rsid w:val="00EC426B"/>
    <w:rsid w:val="00EC67C2"/>
    <w:rsid w:val="00ED2429"/>
    <w:rsid w:val="00ED32D7"/>
    <w:rsid w:val="00EE4F6C"/>
    <w:rsid w:val="00EE5708"/>
    <w:rsid w:val="00EE6C1B"/>
    <w:rsid w:val="00EF3C4D"/>
    <w:rsid w:val="00EF6DFC"/>
    <w:rsid w:val="00F02D01"/>
    <w:rsid w:val="00F034F0"/>
    <w:rsid w:val="00F05F29"/>
    <w:rsid w:val="00F07B97"/>
    <w:rsid w:val="00F1019D"/>
    <w:rsid w:val="00F10AEE"/>
    <w:rsid w:val="00F10D6E"/>
    <w:rsid w:val="00F155FB"/>
    <w:rsid w:val="00F21AB7"/>
    <w:rsid w:val="00F22021"/>
    <w:rsid w:val="00F23667"/>
    <w:rsid w:val="00F2409A"/>
    <w:rsid w:val="00F25DAB"/>
    <w:rsid w:val="00F33B21"/>
    <w:rsid w:val="00F34A16"/>
    <w:rsid w:val="00F35065"/>
    <w:rsid w:val="00F4021C"/>
    <w:rsid w:val="00F4381E"/>
    <w:rsid w:val="00F45BEE"/>
    <w:rsid w:val="00F50733"/>
    <w:rsid w:val="00F51217"/>
    <w:rsid w:val="00F51718"/>
    <w:rsid w:val="00F615EE"/>
    <w:rsid w:val="00F638B0"/>
    <w:rsid w:val="00F65B43"/>
    <w:rsid w:val="00F74DBC"/>
    <w:rsid w:val="00F7552D"/>
    <w:rsid w:val="00F759D8"/>
    <w:rsid w:val="00F87360"/>
    <w:rsid w:val="00F901E1"/>
    <w:rsid w:val="00F90B0E"/>
    <w:rsid w:val="00F91CA1"/>
    <w:rsid w:val="00F91E72"/>
    <w:rsid w:val="00F92E60"/>
    <w:rsid w:val="00F956F2"/>
    <w:rsid w:val="00F95924"/>
    <w:rsid w:val="00F9747B"/>
    <w:rsid w:val="00F97F56"/>
    <w:rsid w:val="00FA0F5F"/>
    <w:rsid w:val="00FA1AFB"/>
    <w:rsid w:val="00FA634E"/>
    <w:rsid w:val="00FB2948"/>
    <w:rsid w:val="00FB7DB1"/>
    <w:rsid w:val="00FC136C"/>
    <w:rsid w:val="00FC1C07"/>
    <w:rsid w:val="00FC1DD9"/>
    <w:rsid w:val="00FC2132"/>
    <w:rsid w:val="00FD702C"/>
    <w:rsid w:val="00FE2FFA"/>
    <w:rsid w:val="00FE38BD"/>
    <w:rsid w:val="00FE70B4"/>
    <w:rsid w:val="00FF5AE4"/>
    <w:rsid w:val="00FF600C"/>
    <w:rsid w:val="055123F0"/>
    <w:rsid w:val="0641A892"/>
    <w:rsid w:val="08DDA097"/>
    <w:rsid w:val="09211A56"/>
    <w:rsid w:val="0ABB5087"/>
    <w:rsid w:val="0BF8768C"/>
    <w:rsid w:val="0D4B7A5C"/>
    <w:rsid w:val="0E33921A"/>
    <w:rsid w:val="101167C9"/>
    <w:rsid w:val="10793651"/>
    <w:rsid w:val="108DE673"/>
    <w:rsid w:val="16469185"/>
    <w:rsid w:val="179060E7"/>
    <w:rsid w:val="17A92392"/>
    <w:rsid w:val="17FE5667"/>
    <w:rsid w:val="188DBFBD"/>
    <w:rsid w:val="1A597E72"/>
    <w:rsid w:val="1D85AD17"/>
    <w:rsid w:val="1E4E835D"/>
    <w:rsid w:val="1F269060"/>
    <w:rsid w:val="1FED73CB"/>
    <w:rsid w:val="2440AA03"/>
    <w:rsid w:val="24A7BC91"/>
    <w:rsid w:val="261E46F6"/>
    <w:rsid w:val="26A22ED0"/>
    <w:rsid w:val="29945611"/>
    <w:rsid w:val="2DE78C49"/>
    <w:rsid w:val="30DE322B"/>
    <w:rsid w:val="32932AE9"/>
    <w:rsid w:val="35B1A34E"/>
    <w:rsid w:val="37311C90"/>
    <w:rsid w:val="3A6FA973"/>
    <w:rsid w:val="3D21E1CE"/>
    <w:rsid w:val="3E66BBDA"/>
    <w:rsid w:val="4115510D"/>
    <w:rsid w:val="41EB8C40"/>
    <w:rsid w:val="436AC0EC"/>
    <w:rsid w:val="43BD1FB4"/>
    <w:rsid w:val="4471766E"/>
    <w:rsid w:val="45B68C41"/>
    <w:rsid w:val="487F2CEF"/>
    <w:rsid w:val="48937484"/>
    <w:rsid w:val="4910D8E0"/>
    <w:rsid w:val="4918414E"/>
    <w:rsid w:val="49CB1D91"/>
    <w:rsid w:val="4DE16CF2"/>
    <w:rsid w:val="4F272352"/>
    <w:rsid w:val="5051317A"/>
    <w:rsid w:val="517E79C0"/>
    <w:rsid w:val="51ED01DB"/>
    <w:rsid w:val="52F0BF54"/>
    <w:rsid w:val="53F08325"/>
    <w:rsid w:val="5430DFAA"/>
    <w:rsid w:val="546D726C"/>
    <w:rsid w:val="558C30BF"/>
    <w:rsid w:val="55C688ED"/>
    <w:rsid w:val="561C4A24"/>
    <w:rsid w:val="57DEA9F7"/>
    <w:rsid w:val="585A9BE2"/>
    <w:rsid w:val="58DA8754"/>
    <w:rsid w:val="58FE63A3"/>
    <w:rsid w:val="59F0263A"/>
    <w:rsid w:val="5A4B6831"/>
    <w:rsid w:val="5CAC2E5B"/>
    <w:rsid w:val="5E095FEF"/>
    <w:rsid w:val="5E2463D4"/>
    <w:rsid w:val="6196FD82"/>
    <w:rsid w:val="622AF828"/>
    <w:rsid w:val="656298EA"/>
    <w:rsid w:val="65B7781A"/>
    <w:rsid w:val="66B3910A"/>
    <w:rsid w:val="66CAC994"/>
    <w:rsid w:val="68726729"/>
    <w:rsid w:val="688E5B38"/>
    <w:rsid w:val="68FBEE00"/>
    <w:rsid w:val="6B472342"/>
    <w:rsid w:val="6CC59D61"/>
    <w:rsid w:val="6DA88749"/>
    <w:rsid w:val="6E616DC2"/>
    <w:rsid w:val="6ED06DD6"/>
    <w:rsid w:val="706450B1"/>
    <w:rsid w:val="71990E84"/>
    <w:rsid w:val="7219496F"/>
    <w:rsid w:val="72E621BC"/>
    <w:rsid w:val="72F3E405"/>
    <w:rsid w:val="7402301B"/>
    <w:rsid w:val="747C23AB"/>
    <w:rsid w:val="74B786E9"/>
    <w:rsid w:val="75695FD3"/>
    <w:rsid w:val="77260352"/>
    <w:rsid w:val="7AE5CD8D"/>
    <w:rsid w:val="7B094F2A"/>
    <w:rsid w:val="7BAEF0DE"/>
    <w:rsid w:val="7D7B2FB9"/>
    <w:rsid w:val="7E20C7B1"/>
    <w:rsid w:val="7E8DC491"/>
    <w:rsid w:val="7EF0ABC2"/>
    <w:rsid w:val="7F2CE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47E92"/>
  <w15:chartTrackingRefBased/>
  <w15:docId w15:val="{4B533407-EBFF-4FE4-B5FC-79AB2918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D2B"/>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A37ED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37ED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semiHidden/>
    <w:unhideWhenUsed/>
    <w:qFormat/>
    <w:rsid w:val="00BA6D2B"/>
    <w:pPr>
      <w:spacing w:before="240" w:after="60"/>
      <w:jc w:val="left"/>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BA6D2B"/>
    <w:rPr>
      <w:rFonts w:ascii="Calibri" w:eastAsia="Times New Roman" w:hAnsi="Calibri" w:cs="Times New Roman"/>
      <w:b/>
      <w:bCs/>
      <w:i/>
      <w:iCs/>
      <w:sz w:val="26"/>
      <w:szCs w:val="26"/>
    </w:rPr>
  </w:style>
  <w:style w:type="character" w:styleId="Hyperlink">
    <w:name w:val="Hyperlink"/>
    <w:uiPriority w:val="99"/>
    <w:unhideWhenUsed/>
    <w:rsid w:val="00BA6D2B"/>
    <w:rPr>
      <w:color w:val="0000FF"/>
      <w:u w:val="single"/>
    </w:rPr>
  </w:style>
  <w:style w:type="paragraph" w:styleId="NormalWeb">
    <w:name w:val="Normal (Web)"/>
    <w:basedOn w:val="Normal"/>
    <w:uiPriority w:val="99"/>
    <w:unhideWhenUsed/>
    <w:rsid w:val="00BA6D2B"/>
    <w:pPr>
      <w:spacing w:before="100" w:beforeAutospacing="1" w:after="100" w:afterAutospacing="1"/>
    </w:pPr>
    <w:rPr>
      <w:szCs w:val="24"/>
    </w:rPr>
  </w:style>
  <w:style w:type="character" w:customStyle="1" w:styleId="FootnoteTextChar">
    <w:name w:val="Footnote Text Char"/>
    <w:aliases w:val="FT Char"/>
    <w:basedOn w:val="DefaultParagraphFont"/>
    <w:link w:val="FootnoteText"/>
    <w:uiPriority w:val="99"/>
    <w:locked/>
    <w:rsid w:val="00BA6D2B"/>
    <w:rPr>
      <w:rFonts w:ascii="Times New Roman" w:eastAsia="Times New Roman" w:hAnsi="Times New Roman" w:cs="Times New Roman"/>
      <w:sz w:val="20"/>
      <w:szCs w:val="20"/>
    </w:rPr>
  </w:style>
  <w:style w:type="paragraph" w:styleId="FootnoteText">
    <w:name w:val="footnote text"/>
    <w:aliases w:val="FT"/>
    <w:basedOn w:val="Normal"/>
    <w:link w:val="FootnoteTextChar"/>
    <w:uiPriority w:val="99"/>
    <w:unhideWhenUsed/>
    <w:qFormat/>
    <w:rsid w:val="00BA6D2B"/>
    <w:rPr>
      <w:sz w:val="20"/>
    </w:rPr>
  </w:style>
  <w:style w:type="character" w:customStyle="1" w:styleId="FootnoteTextChar1">
    <w:name w:val="Footnote Text Char1"/>
    <w:basedOn w:val="DefaultParagraphFont"/>
    <w:uiPriority w:val="99"/>
    <w:semiHidden/>
    <w:rsid w:val="00BA6D2B"/>
    <w:rPr>
      <w:rFonts w:ascii="Times New Roman" w:eastAsia="Times New Roman" w:hAnsi="Times New Roman" w:cs="Times New Roman"/>
      <w:sz w:val="20"/>
      <w:szCs w:val="20"/>
    </w:rPr>
  </w:style>
  <w:style w:type="paragraph" w:styleId="ListParagraph">
    <w:name w:val="List Paragraph"/>
    <w:basedOn w:val="Normal"/>
    <w:uiPriority w:val="34"/>
    <w:qFormat/>
    <w:rsid w:val="00BA6D2B"/>
    <w:pPr>
      <w:ind w:left="720"/>
      <w:contextualSpacing/>
    </w:pPr>
  </w:style>
  <w:style w:type="paragraph" w:customStyle="1" w:styleId="Body">
    <w:name w:val="Body"/>
    <w:uiPriority w:val="99"/>
    <w:rsid w:val="00BA6D2B"/>
    <w:pPr>
      <w:spacing w:after="200" w:line="276" w:lineRule="auto"/>
    </w:pPr>
    <w:rPr>
      <w:rFonts w:ascii="Calibri" w:eastAsia="Calibri" w:hAnsi="Calibri" w:cs="Calibri"/>
      <w:color w:val="000000"/>
      <w:u w:color="000000"/>
    </w:rPr>
  </w:style>
  <w:style w:type="character" w:styleId="FootnoteReference">
    <w:name w:val="footnote reference"/>
    <w:uiPriority w:val="99"/>
    <w:unhideWhenUsed/>
    <w:rsid w:val="00BA6D2B"/>
    <w:rPr>
      <w:vertAlign w:val="superscript"/>
    </w:rPr>
  </w:style>
  <w:style w:type="character" w:customStyle="1" w:styleId="normaltextrun">
    <w:name w:val="normaltextrun"/>
    <w:basedOn w:val="DefaultParagraphFont"/>
    <w:rsid w:val="00BA6D2B"/>
  </w:style>
  <w:style w:type="paragraph" w:styleId="Header">
    <w:name w:val="header"/>
    <w:basedOn w:val="Normal"/>
    <w:link w:val="HeaderChar"/>
    <w:uiPriority w:val="99"/>
    <w:unhideWhenUsed/>
    <w:rsid w:val="008841A4"/>
    <w:pPr>
      <w:tabs>
        <w:tab w:val="center" w:pos="4680"/>
        <w:tab w:val="right" w:pos="9360"/>
      </w:tabs>
    </w:pPr>
  </w:style>
  <w:style w:type="character" w:customStyle="1" w:styleId="HeaderChar">
    <w:name w:val="Header Char"/>
    <w:basedOn w:val="DefaultParagraphFont"/>
    <w:link w:val="Header"/>
    <w:uiPriority w:val="99"/>
    <w:rsid w:val="008841A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841A4"/>
    <w:pPr>
      <w:tabs>
        <w:tab w:val="center" w:pos="4680"/>
        <w:tab w:val="right" w:pos="9360"/>
      </w:tabs>
    </w:pPr>
  </w:style>
  <w:style w:type="character" w:customStyle="1" w:styleId="FooterChar">
    <w:name w:val="Footer Char"/>
    <w:basedOn w:val="DefaultParagraphFont"/>
    <w:link w:val="Footer"/>
    <w:uiPriority w:val="99"/>
    <w:rsid w:val="008841A4"/>
    <w:rPr>
      <w:rFonts w:ascii="Times New Roman" w:eastAsia="Times New Roman" w:hAnsi="Times New Roman" w:cs="Times New Roman"/>
      <w:sz w:val="24"/>
      <w:szCs w:val="20"/>
    </w:rPr>
  </w:style>
  <w:style w:type="character" w:styleId="LineNumber">
    <w:name w:val="line number"/>
    <w:basedOn w:val="DefaultParagraphFont"/>
    <w:uiPriority w:val="99"/>
    <w:semiHidden/>
    <w:unhideWhenUsed/>
    <w:rsid w:val="0028361F"/>
  </w:style>
  <w:style w:type="character" w:styleId="CommentReference">
    <w:name w:val="annotation reference"/>
    <w:basedOn w:val="DefaultParagraphFont"/>
    <w:uiPriority w:val="99"/>
    <w:semiHidden/>
    <w:unhideWhenUsed/>
    <w:rsid w:val="0074170F"/>
    <w:rPr>
      <w:sz w:val="16"/>
      <w:szCs w:val="16"/>
    </w:rPr>
  </w:style>
  <w:style w:type="paragraph" w:styleId="CommentText">
    <w:name w:val="annotation text"/>
    <w:basedOn w:val="Normal"/>
    <w:link w:val="CommentTextChar"/>
    <w:uiPriority w:val="99"/>
    <w:unhideWhenUsed/>
    <w:rsid w:val="0074170F"/>
    <w:rPr>
      <w:sz w:val="20"/>
    </w:rPr>
  </w:style>
  <w:style w:type="character" w:customStyle="1" w:styleId="CommentTextChar">
    <w:name w:val="Comment Text Char"/>
    <w:basedOn w:val="DefaultParagraphFont"/>
    <w:link w:val="CommentText"/>
    <w:uiPriority w:val="99"/>
    <w:rsid w:val="007417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170F"/>
    <w:rPr>
      <w:b/>
      <w:bCs/>
    </w:rPr>
  </w:style>
  <w:style w:type="character" w:customStyle="1" w:styleId="CommentSubjectChar">
    <w:name w:val="Comment Subject Char"/>
    <w:basedOn w:val="CommentTextChar"/>
    <w:link w:val="CommentSubject"/>
    <w:uiPriority w:val="99"/>
    <w:semiHidden/>
    <w:rsid w:val="007417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417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70F"/>
    <w:rPr>
      <w:rFonts w:ascii="Segoe UI" w:eastAsia="Times New Roman" w:hAnsi="Segoe UI" w:cs="Segoe UI"/>
      <w:sz w:val="18"/>
      <w:szCs w:val="18"/>
    </w:rPr>
  </w:style>
  <w:style w:type="paragraph" w:styleId="Revision">
    <w:name w:val="Revision"/>
    <w:hidden/>
    <w:uiPriority w:val="99"/>
    <w:semiHidden/>
    <w:rsid w:val="00DF1A66"/>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DB17A0"/>
    <w:rPr>
      <w:color w:val="954F72" w:themeColor="followedHyperlink"/>
      <w:u w:val="single"/>
    </w:rPr>
  </w:style>
  <w:style w:type="character" w:styleId="PlaceholderText">
    <w:name w:val="Placeholder Text"/>
    <w:basedOn w:val="DefaultParagraphFont"/>
    <w:uiPriority w:val="99"/>
    <w:semiHidden/>
    <w:rsid w:val="00290F34"/>
    <w:rPr>
      <w:color w:val="808080"/>
    </w:rPr>
  </w:style>
  <w:style w:type="character" w:customStyle="1" w:styleId="eop">
    <w:name w:val="eop"/>
    <w:basedOn w:val="DefaultParagraphFont"/>
    <w:rsid w:val="00A94589"/>
  </w:style>
  <w:style w:type="paragraph" w:styleId="BodyText">
    <w:name w:val="Body Text"/>
    <w:basedOn w:val="Normal"/>
    <w:link w:val="BodyTextChar"/>
    <w:uiPriority w:val="99"/>
    <w:rsid w:val="0061751A"/>
    <w:pPr>
      <w:spacing w:line="480" w:lineRule="auto"/>
      <w:ind w:firstLine="720"/>
    </w:pPr>
    <w:rPr>
      <w:szCs w:val="24"/>
    </w:rPr>
  </w:style>
  <w:style w:type="character" w:customStyle="1" w:styleId="BodyTextChar">
    <w:name w:val="Body Text Char"/>
    <w:basedOn w:val="DefaultParagraphFont"/>
    <w:link w:val="BodyText"/>
    <w:uiPriority w:val="99"/>
    <w:rsid w:val="0061751A"/>
    <w:rPr>
      <w:rFonts w:ascii="Times New Roman" w:eastAsia="Times New Roman" w:hAnsi="Times New Roman" w:cs="Times New Roman"/>
      <w:sz w:val="24"/>
      <w:szCs w:val="24"/>
    </w:rPr>
  </w:style>
  <w:style w:type="character" w:customStyle="1" w:styleId="apple-converted-space">
    <w:name w:val="apple-converted-space"/>
    <w:basedOn w:val="DefaultParagraphFont"/>
    <w:rsid w:val="0061751A"/>
  </w:style>
  <w:style w:type="paragraph" w:customStyle="1" w:styleId="paragraph">
    <w:name w:val="paragraph"/>
    <w:basedOn w:val="Normal"/>
    <w:rsid w:val="00771E65"/>
    <w:pPr>
      <w:spacing w:before="100" w:beforeAutospacing="1" w:after="100" w:afterAutospacing="1"/>
      <w:jc w:val="left"/>
    </w:pPr>
    <w:rPr>
      <w:szCs w:val="24"/>
    </w:rPr>
  </w:style>
  <w:style w:type="character" w:customStyle="1" w:styleId="superscript">
    <w:name w:val="superscript"/>
    <w:basedOn w:val="DefaultParagraphFont"/>
    <w:rsid w:val="00771E65"/>
  </w:style>
  <w:style w:type="paragraph" w:customStyle="1" w:styleId="DoubleSpaceParagaph">
    <w:name w:val="Double Space Paragaph"/>
    <w:aliases w:val="DS"/>
    <w:basedOn w:val="Normal"/>
    <w:rsid w:val="001639F2"/>
    <w:pPr>
      <w:suppressAutoHyphens/>
      <w:spacing w:line="480" w:lineRule="auto"/>
      <w:ind w:firstLine="1440"/>
    </w:pPr>
  </w:style>
  <w:style w:type="paragraph" w:styleId="NoSpacing">
    <w:name w:val="No Spacing"/>
    <w:uiPriority w:val="1"/>
    <w:qFormat/>
    <w:rsid w:val="0082225F"/>
    <w:pPr>
      <w:spacing w:after="0" w:line="240" w:lineRule="auto"/>
    </w:pPr>
  </w:style>
  <w:style w:type="character" w:styleId="Emphasis">
    <w:name w:val="Emphasis"/>
    <w:basedOn w:val="DefaultParagraphFont"/>
    <w:uiPriority w:val="20"/>
    <w:qFormat/>
    <w:rsid w:val="00D02703"/>
    <w:rPr>
      <w:i/>
      <w:iCs/>
    </w:rPr>
  </w:style>
  <w:style w:type="character" w:styleId="PageNumber">
    <w:name w:val="page number"/>
    <w:basedOn w:val="DefaultParagraphFont"/>
    <w:uiPriority w:val="99"/>
    <w:semiHidden/>
    <w:unhideWhenUsed/>
    <w:rsid w:val="0005758D"/>
  </w:style>
  <w:style w:type="character" w:customStyle="1" w:styleId="Heading1Char">
    <w:name w:val="Heading 1 Char"/>
    <w:basedOn w:val="DefaultParagraphFont"/>
    <w:link w:val="Heading1"/>
    <w:uiPriority w:val="9"/>
    <w:rsid w:val="00A37ED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37ED4"/>
    <w:rPr>
      <w:rFonts w:asciiTheme="majorHAnsi" w:eastAsiaTheme="majorEastAsia" w:hAnsiTheme="majorHAnsi" w:cstheme="majorBidi"/>
      <w:color w:val="2E74B5" w:themeColor="accent1" w:themeShade="BF"/>
      <w:sz w:val="26"/>
      <w:szCs w:val="26"/>
    </w:rPr>
  </w:style>
  <w:style w:type="character" w:customStyle="1" w:styleId="UnresolvedMention">
    <w:name w:val="Unresolved Mention"/>
    <w:basedOn w:val="DefaultParagraphFont"/>
    <w:uiPriority w:val="99"/>
    <w:semiHidden/>
    <w:unhideWhenUsed/>
    <w:rsid w:val="00A37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1738">
      <w:bodyDiv w:val="1"/>
      <w:marLeft w:val="0"/>
      <w:marRight w:val="0"/>
      <w:marTop w:val="0"/>
      <w:marBottom w:val="0"/>
      <w:divBdr>
        <w:top w:val="none" w:sz="0" w:space="0" w:color="auto"/>
        <w:left w:val="none" w:sz="0" w:space="0" w:color="auto"/>
        <w:bottom w:val="none" w:sz="0" w:space="0" w:color="auto"/>
        <w:right w:val="none" w:sz="0" w:space="0" w:color="auto"/>
      </w:divBdr>
    </w:div>
    <w:div w:id="255677868">
      <w:bodyDiv w:val="1"/>
      <w:marLeft w:val="0"/>
      <w:marRight w:val="0"/>
      <w:marTop w:val="0"/>
      <w:marBottom w:val="0"/>
      <w:divBdr>
        <w:top w:val="none" w:sz="0" w:space="0" w:color="auto"/>
        <w:left w:val="none" w:sz="0" w:space="0" w:color="auto"/>
        <w:bottom w:val="none" w:sz="0" w:space="0" w:color="auto"/>
        <w:right w:val="none" w:sz="0" w:space="0" w:color="auto"/>
      </w:divBdr>
    </w:div>
    <w:div w:id="399060982">
      <w:bodyDiv w:val="1"/>
      <w:marLeft w:val="0"/>
      <w:marRight w:val="0"/>
      <w:marTop w:val="0"/>
      <w:marBottom w:val="0"/>
      <w:divBdr>
        <w:top w:val="none" w:sz="0" w:space="0" w:color="auto"/>
        <w:left w:val="none" w:sz="0" w:space="0" w:color="auto"/>
        <w:bottom w:val="none" w:sz="0" w:space="0" w:color="auto"/>
        <w:right w:val="none" w:sz="0" w:space="0" w:color="auto"/>
      </w:divBdr>
    </w:div>
    <w:div w:id="463695619">
      <w:bodyDiv w:val="1"/>
      <w:marLeft w:val="0"/>
      <w:marRight w:val="0"/>
      <w:marTop w:val="0"/>
      <w:marBottom w:val="0"/>
      <w:divBdr>
        <w:top w:val="none" w:sz="0" w:space="0" w:color="auto"/>
        <w:left w:val="none" w:sz="0" w:space="0" w:color="auto"/>
        <w:bottom w:val="none" w:sz="0" w:space="0" w:color="auto"/>
        <w:right w:val="none" w:sz="0" w:space="0" w:color="auto"/>
      </w:divBdr>
    </w:div>
    <w:div w:id="488405204">
      <w:bodyDiv w:val="1"/>
      <w:marLeft w:val="0"/>
      <w:marRight w:val="0"/>
      <w:marTop w:val="0"/>
      <w:marBottom w:val="0"/>
      <w:divBdr>
        <w:top w:val="none" w:sz="0" w:space="0" w:color="auto"/>
        <w:left w:val="none" w:sz="0" w:space="0" w:color="auto"/>
        <w:bottom w:val="none" w:sz="0" w:space="0" w:color="auto"/>
        <w:right w:val="none" w:sz="0" w:space="0" w:color="auto"/>
      </w:divBdr>
    </w:div>
    <w:div w:id="585382120">
      <w:bodyDiv w:val="1"/>
      <w:marLeft w:val="0"/>
      <w:marRight w:val="0"/>
      <w:marTop w:val="0"/>
      <w:marBottom w:val="0"/>
      <w:divBdr>
        <w:top w:val="none" w:sz="0" w:space="0" w:color="auto"/>
        <w:left w:val="none" w:sz="0" w:space="0" w:color="auto"/>
        <w:bottom w:val="none" w:sz="0" w:space="0" w:color="auto"/>
        <w:right w:val="none" w:sz="0" w:space="0" w:color="auto"/>
      </w:divBdr>
    </w:div>
    <w:div w:id="586965442">
      <w:bodyDiv w:val="1"/>
      <w:marLeft w:val="0"/>
      <w:marRight w:val="0"/>
      <w:marTop w:val="0"/>
      <w:marBottom w:val="0"/>
      <w:divBdr>
        <w:top w:val="none" w:sz="0" w:space="0" w:color="auto"/>
        <w:left w:val="none" w:sz="0" w:space="0" w:color="auto"/>
        <w:bottom w:val="none" w:sz="0" w:space="0" w:color="auto"/>
        <w:right w:val="none" w:sz="0" w:space="0" w:color="auto"/>
      </w:divBdr>
    </w:div>
    <w:div w:id="672727044">
      <w:bodyDiv w:val="1"/>
      <w:marLeft w:val="0"/>
      <w:marRight w:val="0"/>
      <w:marTop w:val="0"/>
      <w:marBottom w:val="0"/>
      <w:divBdr>
        <w:top w:val="none" w:sz="0" w:space="0" w:color="auto"/>
        <w:left w:val="none" w:sz="0" w:space="0" w:color="auto"/>
        <w:bottom w:val="none" w:sz="0" w:space="0" w:color="auto"/>
        <w:right w:val="none" w:sz="0" w:space="0" w:color="auto"/>
      </w:divBdr>
    </w:div>
    <w:div w:id="756512332">
      <w:bodyDiv w:val="1"/>
      <w:marLeft w:val="0"/>
      <w:marRight w:val="0"/>
      <w:marTop w:val="0"/>
      <w:marBottom w:val="0"/>
      <w:divBdr>
        <w:top w:val="none" w:sz="0" w:space="0" w:color="auto"/>
        <w:left w:val="none" w:sz="0" w:space="0" w:color="auto"/>
        <w:bottom w:val="none" w:sz="0" w:space="0" w:color="auto"/>
        <w:right w:val="none" w:sz="0" w:space="0" w:color="auto"/>
      </w:divBdr>
    </w:div>
    <w:div w:id="823082996">
      <w:bodyDiv w:val="1"/>
      <w:marLeft w:val="0"/>
      <w:marRight w:val="0"/>
      <w:marTop w:val="0"/>
      <w:marBottom w:val="0"/>
      <w:divBdr>
        <w:top w:val="none" w:sz="0" w:space="0" w:color="auto"/>
        <w:left w:val="none" w:sz="0" w:space="0" w:color="auto"/>
        <w:bottom w:val="none" w:sz="0" w:space="0" w:color="auto"/>
        <w:right w:val="none" w:sz="0" w:space="0" w:color="auto"/>
      </w:divBdr>
    </w:div>
    <w:div w:id="826752996">
      <w:bodyDiv w:val="1"/>
      <w:marLeft w:val="0"/>
      <w:marRight w:val="0"/>
      <w:marTop w:val="0"/>
      <w:marBottom w:val="0"/>
      <w:divBdr>
        <w:top w:val="none" w:sz="0" w:space="0" w:color="auto"/>
        <w:left w:val="none" w:sz="0" w:space="0" w:color="auto"/>
        <w:bottom w:val="none" w:sz="0" w:space="0" w:color="auto"/>
        <w:right w:val="none" w:sz="0" w:space="0" w:color="auto"/>
      </w:divBdr>
    </w:div>
    <w:div w:id="879823049">
      <w:bodyDiv w:val="1"/>
      <w:marLeft w:val="0"/>
      <w:marRight w:val="0"/>
      <w:marTop w:val="0"/>
      <w:marBottom w:val="0"/>
      <w:divBdr>
        <w:top w:val="none" w:sz="0" w:space="0" w:color="auto"/>
        <w:left w:val="none" w:sz="0" w:space="0" w:color="auto"/>
        <w:bottom w:val="none" w:sz="0" w:space="0" w:color="auto"/>
        <w:right w:val="none" w:sz="0" w:space="0" w:color="auto"/>
      </w:divBdr>
    </w:div>
    <w:div w:id="887911696">
      <w:bodyDiv w:val="1"/>
      <w:marLeft w:val="0"/>
      <w:marRight w:val="0"/>
      <w:marTop w:val="0"/>
      <w:marBottom w:val="0"/>
      <w:divBdr>
        <w:top w:val="none" w:sz="0" w:space="0" w:color="auto"/>
        <w:left w:val="none" w:sz="0" w:space="0" w:color="auto"/>
        <w:bottom w:val="none" w:sz="0" w:space="0" w:color="auto"/>
        <w:right w:val="none" w:sz="0" w:space="0" w:color="auto"/>
      </w:divBdr>
    </w:div>
    <w:div w:id="920989905">
      <w:bodyDiv w:val="1"/>
      <w:marLeft w:val="0"/>
      <w:marRight w:val="0"/>
      <w:marTop w:val="0"/>
      <w:marBottom w:val="0"/>
      <w:divBdr>
        <w:top w:val="none" w:sz="0" w:space="0" w:color="auto"/>
        <w:left w:val="none" w:sz="0" w:space="0" w:color="auto"/>
        <w:bottom w:val="none" w:sz="0" w:space="0" w:color="auto"/>
        <w:right w:val="none" w:sz="0" w:space="0" w:color="auto"/>
      </w:divBdr>
    </w:div>
    <w:div w:id="946548873">
      <w:bodyDiv w:val="1"/>
      <w:marLeft w:val="0"/>
      <w:marRight w:val="0"/>
      <w:marTop w:val="0"/>
      <w:marBottom w:val="0"/>
      <w:divBdr>
        <w:top w:val="none" w:sz="0" w:space="0" w:color="auto"/>
        <w:left w:val="none" w:sz="0" w:space="0" w:color="auto"/>
        <w:bottom w:val="none" w:sz="0" w:space="0" w:color="auto"/>
        <w:right w:val="none" w:sz="0" w:space="0" w:color="auto"/>
      </w:divBdr>
    </w:div>
    <w:div w:id="1019163343">
      <w:bodyDiv w:val="1"/>
      <w:marLeft w:val="0"/>
      <w:marRight w:val="0"/>
      <w:marTop w:val="0"/>
      <w:marBottom w:val="0"/>
      <w:divBdr>
        <w:top w:val="none" w:sz="0" w:space="0" w:color="auto"/>
        <w:left w:val="none" w:sz="0" w:space="0" w:color="auto"/>
        <w:bottom w:val="none" w:sz="0" w:space="0" w:color="auto"/>
        <w:right w:val="none" w:sz="0" w:space="0" w:color="auto"/>
      </w:divBdr>
      <w:divsChild>
        <w:div w:id="7293602">
          <w:marLeft w:val="0"/>
          <w:marRight w:val="0"/>
          <w:marTop w:val="360"/>
          <w:marBottom w:val="0"/>
          <w:divBdr>
            <w:top w:val="none" w:sz="0" w:space="0" w:color="auto"/>
            <w:left w:val="none" w:sz="0" w:space="0" w:color="auto"/>
            <w:bottom w:val="none" w:sz="0" w:space="0" w:color="auto"/>
            <w:right w:val="none" w:sz="0" w:space="0" w:color="auto"/>
          </w:divBdr>
        </w:div>
      </w:divsChild>
    </w:div>
    <w:div w:id="1021930129">
      <w:bodyDiv w:val="1"/>
      <w:marLeft w:val="0"/>
      <w:marRight w:val="0"/>
      <w:marTop w:val="0"/>
      <w:marBottom w:val="0"/>
      <w:divBdr>
        <w:top w:val="none" w:sz="0" w:space="0" w:color="auto"/>
        <w:left w:val="none" w:sz="0" w:space="0" w:color="auto"/>
        <w:bottom w:val="none" w:sz="0" w:space="0" w:color="auto"/>
        <w:right w:val="none" w:sz="0" w:space="0" w:color="auto"/>
      </w:divBdr>
    </w:div>
    <w:div w:id="1029062581">
      <w:bodyDiv w:val="1"/>
      <w:marLeft w:val="0"/>
      <w:marRight w:val="0"/>
      <w:marTop w:val="0"/>
      <w:marBottom w:val="0"/>
      <w:divBdr>
        <w:top w:val="none" w:sz="0" w:space="0" w:color="auto"/>
        <w:left w:val="none" w:sz="0" w:space="0" w:color="auto"/>
        <w:bottom w:val="none" w:sz="0" w:space="0" w:color="auto"/>
        <w:right w:val="none" w:sz="0" w:space="0" w:color="auto"/>
      </w:divBdr>
    </w:div>
    <w:div w:id="1041319396">
      <w:bodyDiv w:val="1"/>
      <w:marLeft w:val="0"/>
      <w:marRight w:val="0"/>
      <w:marTop w:val="0"/>
      <w:marBottom w:val="0"/>
      <w:divBdr>
        <w:top w:val="none" w:sz="0" w:space="0" w:color="auto"/>
        <w:left w:val="none" w:sz="0" w:space="0" w:color="auto"/>
        <w:bottom w:val="none" w:sz="0" w:space="0" w:color="auto"/>
        <w:right w:val="none" w:sz="0" w:space="0" w:color="auto"/>
      </w:divBdr>
    </w:div>
    <w:div w:id="1044602984">
      <w:bodyDiv w:val="1"/>
      <w:marLeft w:val="0"/>
      <w:marRight w:val="0"/>
      <w:marTop w:val="0"/>
      <w:marBottom w:val="0"/>
      <w:divBdr>
        <w:top w:val="none" w:sz="0" w:space="0" w:color="auto"/>
        <w:left w:val="none" w:sz="0" w:space="0" w:color="auto"/>
        <w:bottom w:val="none" w:sz="0" w:space="0" w:color="auto"/>
        <w:right w:val="none" w:sz="0" w:space="0" w:color="auto"/>
      </w:divBdr>
    </w:div>
    <w:div w:id="1279869099">
      <w:bodyDiv w:val="1"/>
      <w:marLeft w:val="0"/>
      <w:marRight w:val="0"/>
      <w:marTop w:val="0"/>
      <w:marBottom w:val="0"/>
      <w:divBdr>
        <w:top w:val="none" w:sz="0" w:space="0" w:color="auto"/>
        <w:left w:val="none" w:sz="0" w:space="0" w:color="auto"/>
        <w:bottom w:val="none" w:sz="0" w:space="0" w:color="auto"/>
        <w:right w:val="none" w:sz="0" w:space="0" w:color="auto"/>
      </w:divBdr>
    </w:div>
    <w:div w:id="1327243792">
      <w:bodyDiv w:val="1"/>
      <w:marLeft w:val="0"/>
      <w:marRight w:val="0"/>
      <w:marTop w:val="0"/>
      <w:marBottom w:val="0"/>
      <w:divBdr>
        <w:top w:val="none" w:sz="0" w:space="0" w:color="auto"/>
        <w:left w:val="none" w:sz="0" w:space="0" w:color="auto"/>
        <w:bottom w:val="none" w:sz="0" w:space="0" w:color="auto"/>
        <w:right w:val="none" w:sz="0" w:space="0" w:color="auto"/>
      </w:divBdr>
      <w:divsChild>
        <w:div w:id="2138445978">
          <w:marLeft w:val="0"/>
          <w:marRight w:val="0"/>
          <w:marTop w:val="360"/>
          <w:marBottom w:val="0"/>
          <w:divBdr>
            <w:top w:val="none" w:sz="0" w:space="0" w:color="auto"/>
            <w:left w:val="none" w:sz="0" w:space="0" w:color="auto"/>
            <w:bottom w:val="none" w:sz="0" w:space="0" w:color="auto"/>
            <w:right w:val="none" w:sz="0" w:space="0" w:color="auto"/>
          </w:divBdr>
        </w:div>
      </w:divsChild>
    </w:div>
    <w:div w:id="1373654997">
      <w:bodyDiv w:val="1"/>
      <w:marLeft w:val="0"/>
      <w:marRight w:val="0"/>
      <w:marTop w:val="0"/>
      <w:marBottom w:val="0"/>
      <w:divBdr>
        <w:top w:val="none" w:sz="0" w:space="0" w:color="auto"/>
        <w:left w:val="none" w:sz="0" w:space="0" w:color="auto"/>
        <w:bottom w:val="none" w:sz="0" w:space="0" w:color="auto"/>
        <w:right w:val="none" w:sz="0" w:space="0" w:color="auto"/>
      </w:divBdr>
    </w:div>
    <w:div w:id="1383409761">
      <w:bodyDiv w:val="1"/>
      <w:marLeft w:val="0"/>
      <w:marRight w:val="0"/>
      <w:marTop w:val="0"/>
      <w:marBottom w:val="0"/>
      <w:divBdr>
        <w:top w:val="none" w:sz="0" w:space="0" w:color="auto"/>
        <w:left w:val="none" w:sz="0" w:space="0" w:color="auto"/>
        <w:bottom w:val="none" w:sz="0" w:space="0" w:color="auto"/>
        <w:right w:val="none" w:sz="0" w:space="0" w:color="auto"/>
      </w:divBdr>
      <w:divsChild>
        <w:div w:id="1276517105">
          <w:marLeft w:val="0"/>
          <w:marRight w:val="0"/>
          <w:marTop w:val="0"/>
          <w:marBottom w:val="0"/>
          <w:divBdr>
            <w:top w:val="none" w:sz="0" w:space="0" w:color="auto"/>
            <w:left w:val="none" w:sz="0" w:space="0" w:color="auto"/>
            <w:bottom w:val="none" w:sz="0" w:space="0" w:color="auto"/>
            <w:right w:val="none" w:sz="0" w:space="0" w:color="auto"/>
          </w:divBdr>
        </w:div>
        <w:div w:id="417947649">
          <w:marLeft w:val="0"/>
          <w:marRight w:val="0"/>
          <w:marTop w:val="0"/>
          <w:marBottom w:val="0"/>
          <w:divBdr>
            <w:top w:val="none" w:sz="0" w:space="0" w:color="auto"/>
            <w:left w:val="none" w:sz="0" w:space="0" w:color="auto"/>
            <w:bottom w:val="none" w:sz="0" w:space="0" w:color="auto"/>
            <w:right w:val="none" w:sz="0" w:space="0" w:color="auto"/>
          </w:divBdr>
        </w:div>
        <w:div w:id="787159603">
          <w:marLeft w:val="0"/>
          <w:marRight w:val="0"/>
          <w:marTop w:val="0"/>
          <w:marBottom w:val="0"/>
          <w:divBdr>
            <w:top w:val="none" w:sz="0" w:space="0" w:color="auto"/>
            <w:left w:val="none" w:sz="0" w:space="0" w:color="auto"/>
            <w:bottom w:val="none" w:sz="0" w:space="0" w:color="auto"/>
            <w:right w:val="none" w:sz="0" w:space="0" w:color="auto"/>
          </w:divBdr>
        </w:div>
        <w:div w:id="862135346">
          <w:marLeft w:val="0"/>
          <w:marRight w:val="0"/>
          <w:marTop w:val="0"/>
          <w:marBottom w:val="0"/>
          <w:divBdr>
            <w:top w:val="none" w:sz="0" w:space="0" w:color="auto"/>
            <w:left w:val="none" w:sz="0" w:space="0" w:color="auto"/>
            <w:bottom w:val="none" w:sz="0" w:space="0" w:color="auto"/>
            <w:right w:val="none" w:sz="0" w:space="0" w:color="auto"/>
          </w:divBdr>
        </w:div>
        <w:div w:id="912617862">
          <w:marLeft w:val="0"/>
          <w:marRight w:val="0"/>
          <w:marTop w:val="0"/>
          <w:marBottom w:val="0"/>
          <w:divBdr>
            <w:top w:val="none" w:sz="0" w:space="0" w:color="auto"/>
            <w:left w:val="none" w:sz="0" w:space="0" w:color="auto"/>
            <w:bottom w:val="none" w:sz="0" w:space="0" w:color="auto"/>
            <w:right w:val="none" w:sz="0" w:space="0" w:color="auto"/>
          </w:divBdr>
        </w:div>
        <w:div w:id="1047140149">
          <w:marLeft w:val="0"/>
          <w:marRight w:val="0"/>
          <w:marTop w:val="0"/>
          <w:marBottom w:val="0"/>
          <w:divBdr>
            <w:top w:val="none" w:sz="0" w:space="0" w:color="auto"/>
            <w:left w:val="none" w:sz="0" w:space="0" w:color="auto"/>
            <w:bottom w:val="none" w:sz="0" w:space="0" w:color="auto"/>
            <w:right w:val="none" w:sz="0" w:space="0" w:color="auto"/>
          </w:divBdr>
        </w:div>
        <w:div w:id="1781489862">
          <w:marLeft w:val="0"/>
          <w:marRight w:val="0"/>
          <w:marTop w:val="0"/>
          <w:marBottom w:val="0"/>
          <w:divBdr>
            <w:top w:val="none" w:sz="0" w:space="0" w:color="auto"/>
            <w:left w:val="none" w:sz="0" w:space="0" w:color="auto"/>
            <w:bottom w:val="none" w:sz="0" w:space="0" w:color="auto"/>
            <w:right w:val="none" w:sz="0" w:space="0" w:color="auto"/>
          </w:divBdr>
        </w:div>
        <w:div w:id="898904816">
          <w:marLeft w:val="0"/>
          <w:marRight w:val="0"/>
          <w:marTop w:val="0"/>
          <w:marBottom w:val="0"/>
          <w:divBdr>
            <w:top w:val="none" w:sz="0" w:space="0" w:color="auto"/>
            <w:left w:val="none" w:sz="0" w:space="0" w:color="auto"/>
            <w:bottom w:val="none" w:sz="0" w:space="0" w:color="auto"/>
            <w:right w:val="none" w:sz="0" w:space="0" w:color="auto"/>
          </w:divBdr>
        </w:div>
        <w:div w:id="909770853">
          <w:marLeft w:val="0"/>
          <w:marRight w:val="0"/>
          <w:marTop w:val="0"/>
          <w:marBottom w:val="0"/>
          <w:divBdr>
            <w:top w:val="none" w:sz="0" w:space="0" w:color="auto"/>
            <w:left w:val="none" w:sz="0" w:space="0" w:color="auto"/>
            <w:bottom w:val="none" w:sz="0" w:space="0" w:color="auto"/>
            <w:right w:val="none" w:sz="0" w:space="0" w:color="auto"/>
          </w:divBdr>
        </w:div>
        <w:div w:id="902301780">
          <w:marLeft w:val="0"/>
          <w:marRight w:val="0"/>
          <w:marTop w:val="0"/>
          <w:marBottom w:val="0"/>
          <w:divBdr>
            <w:top w:val="none" w:sz="0" w:space="0" w:color="auto"/>
            <w:left w:val="none" w:sz="0" w:space="0" w:color="auto"/>
            <w:bottom w:val="none" w:sz="0" w:space="0" w:color="auto"/>
            <w:right w:val="none" w:sz="0" w:space="0" w:color="auto"/>
          </w:divBdr>
        </w:div>
        <w:div w:id="103230301">
          <w:marLeft w:val="0"/>
          <w:marRight w:val="0"/>
          <w:marTop w:val="0"/>
          <w:marBottom w:val="0"/>
          <w:divBdr>
            <w:top w:val="none" w:sz="0" w:space="0" w:color="auto"/>
            <w:left w:val="none" w:sz="0" w:space="0" w:color="auto"/>
            <w:bottom w:val="none" w:sz="0" w:space="0" w:color="auto"/>
            <w:right w:val="none" w:sz="0" w:space="0" w:color="auto"/>
          </w:divBdr>
        </w:div>
        <w:div w:id="526917836">
          <w:marLeft w:val="0"/>
          <w:marRight w:val="0"/>
          <w:marTop w:val="0"/>
          <w:marBottom w:val="0"/>
          <w:divBdr>
            <w:top w:val="none" w:sz="0" w:space="0" w:color="auto"/>
            <w:left w:val="none" w:sz="0" w:space="0" w:color="auto"/>
            <w:bottom w:val="none" w:sz="0" w:space="0" w:color="auto"/>
            <w:right w:val="none" w:sz="0" w:space="0" w:color="auto"/>
          </w:divBdr>
        </w:div>
        <w:div w:id="1373261530">
          <w:marLeft w:val="0"/>
          <w:marRight w:val="0"/>
          <w:marTop w:val="0"/>
          <w:marBottom w:val="0"/>
          <w:divBdr>
            <w:top w:val="none" w:sz="0" w:space="0" w:color="auto"/>
            <w:left w:val="none" w:sz="0" w:space="0" w:color="auto"/>
            <w:bottom w:val="none" w:sz="0" w:space="0" w:color="auto"/>
            <w:right w:val="none" w:sz="0" w:space="0" w:color="auto"/>
          </w:divBdr>
        </w:div>
        <w:div w:id="683358707">
          <w:marLeft w:val="0"/>
          <w:marRight w:val="0"/>
          <w:marTop w:val="0"/>
          <w:marBottom w:val="0"/>
          <w:divBdr>
            <w:top w:val="none" w:sz="0" w:space="0" w:color="auto"/>
            <w:left w:val="none" w:sz="0" w:space="0" w:color="auto"/>
            <w:bottom w:val="none" w:sz="0" w:space="0" w:color="auto"/>
            <w:right w:val="none" w:sz="0" w:space="0" w:color="auto"/>
          </w:divBdr>
        </w:div>
        <w:div w:id="1103111516">
          <w:marLeft w:val="0"/>
          <w:marRight w:val="0"/>
          <w:marTop w:val="0"/>
          <w:marBottom w:val="0"/>
          <w:divBdr>
            <w:top w:val="none" w:sz="0" w:space="0" w:color="auto"/>
            <w:left w:val="none" w:sz="0" w:space="0" w:color="auto"/>
            <w:bottom w:val="none" w:sz="0" w:space="0" w:color="auto"/>
            <w:right w:val="none" w:sz="0" w:space="0" w:color="auto"/>
          </w:divBdr>
        </w:div>
        <w:div w:id="1316183477">
          <w:marLeft w:val="0"/>
          <w:marRight w:val="0"/>
          <w:marTop w:val="0"/>
          <w:marBottom w:val="0"/>
          <w:divBdr>
            <w:top w:val="none" w:sz="0" w:space="0" w:color="auto"/>
            <w:left w:val="none" w:sz="0" w:space="0" w:color="auto"/>
            <w:bottom w:val="none" w:sz="0" w:space="0" w:color="auto"/>
            <w:right w:val="none" w:sz="0" w:space="0" w:color="auto"/>
          </w:divBdr>
        </w:div>
        <w:div w:id="2132940638">
          <w:marLeft w:val="0"/>
          <w:marRight w:val="0"/>
          <w:marTop w:val="0"/>
          <w:marBottom w:val="0"/>
          <w:divBdr>
            <w:top w:val="none" w:sz="0" w:space="0" w:color="auto"/>
            <w:left w:val="none" w:sz="0" w:space="0" w:color="auto"/>
            <w:bottom w:val="none" w:sz="0" w:space="0" w:color="auto"/>
            <w:right w:val="none" w:sz="0" w:space="0" w:color="auto"/>
          </w:divBdr>
        </w:div>
        <w:div w:id="111636411">
          <w:marLeft w:val="0"/>
          <w:marRight w:val="0"/>
          <w:marTop w:val="0"/>
          <w:marBottom w:val="0"/>
          <w:divBdr>
            <w:top w:val="none" w:sz="0" w:space="0" w:color="auto"/>
            <w:left w:val="none" w:sz="0" w:space="0" w:color="auto"/>
            <w:bottom w:val="none" w:sz="0" w:space="0" w:color="auto"/>
            <w:right w:val="none" w:sz="0" w:space="0" w:color="auto"/>
          </w:divBdr>
        </w:div>
        <w:div w:id="175534950">
          <w:marLeft w:val="0"/>
          <w:marRight w:val="0"/>
          <w:marTop w:val="0"/>
          <w:marBottom w:val="0"/>
          <w:divBdr>
            <w:top w:val="none" w:sz="0" w:space="0" w:color="auto"/>
            <w:left w:val="none" w:sz="0" w:space="0" w:color="auto"/>
            <w:bottom w:val="none" w:sz="0" w:space="0" w:color="auto"/>
            <w:right w:val="none" w:sz="0" w:space="0" w:color="auto"/>
          </w:divBdr>
        </w:div>
        <w:div w:id="819421890">
          <w:marLeft w:val="0"/>
          <w:marRight w:val="0"/>
          <w:marTop w:val="0"/>
          <w:marBottom w:val="0"/>
          <w:divBdr>
            <w:top w:val="none" w:sz="0" w:space="0" w:color="auto"/>
            <w:left w:val="none" w:sz="0" w:space="0" w:color="auto"/>
            <w:bottom w:val="none" w:sz="0" w:space="0" w:color="auto"/>
            <w:right w:val="none" w:sz="0" w:space="0" w:color="auto"/>
          </w:divBdr>
        </w:div>
        <w:div w:id="1074474256">
          <w:marLeft w:val="0"/>
          <w:marRight w:val="0"/>
          <w:marTop w:val="0"/>
          <w:marBottom w:val="0"/>
          <w:divBdr>
            <w:top w:val="none" w:sz="0" w:space="0" w:color="auto"/>
            <w:left w:val="none" w:sz="0" w:space="0" w:color="auto"/>
            <w:bottom w:val="none" w:sz="0" w:space="0" w:color="auto"/>
            <w:right w:val="none" w:sz="0" w:space="0" w:color="auto"/>
          </w:divBdr>
        </w:div>
        <w:div w:id="1356149594">
          <w:marLeft w:val="0"/>
          <w:marRight w:val="0"/>
          <w:marTop w:val="0"/>
          <w:marBottom w:val="0"/>
          <w:divBdr>
            <w:top w:val="none" w:sz="0" w:space="0" w:color="auto"/>
            <w:left w:val="none" w:sz="0" w:space="0" w:color="auto"/>
            <w:bottom w:val="none" w:sz="0" w:space="0" w:color="auto"/>
            <w:right w:val="none" w:sz="0" w:space="0" w:color="auto"/>
          </w:divBdr>
        </w:div>
        <w:div w:id="314920055">
          <w:marLeft w:val="0"/>
          <w:marRight w:val="0"/>
          <w:marTop w:val="0"/>
          <w:marBottom w:val="0"/>
          <w:divBdr>
            <w:top w:val="none" w:sz="0" w:space="0" w:color="auto"/>
            <w:left w:val="none" w:sz="0" w:space="0" w:color="auto"/>
            <w:bottom w:val="none" w:sz="0" w:space="0" w:color="auto"/>
            <w:right w:val="none" w:sz="0" w:space="0" w:color="auto"/>
          </w:divBdr>
        </w:div>
        <w:div w:id="2106801245">
          <w:marLeft w:val="0"/>
          <w:marRight w:val="0"/>
          <w:marTop w:val="0"/>
          <w:marBottom w:val="0"/>
          <w:divBdr>
            <w:top w:val="none" w:sz="0" w:space="0" w:color="auto"/>
            <w:left w:val="none" w:sz="0" w:space="0" w:color="auto"/>
            <w:bottom w:val="none" w:sz="0" w:space="0" w:color="auto"/>
            <w:right w:val="none" w:sz="0" w:space="0" w:color="auto"/>
          </w:divBdr>
        </w:div>
        <w:div w:id="1559592284">
          <w:marLeft w:val="0"/>
          <w:marRight w:val="0"/>
          <w:marTop w:val="0"/>
          <w:marBottom w:val="0"/>
          <w:divBdr>
            <w:top w:val="none" w:sz="0" w:space="0" w:color="auto"/>
            <w:left w:val="none" w:sz="0" w:space="0" w:color="auto"/>
            <w:bottom w:val="none" w:sz="0" w:space="0" w:color="auto"/>
            <w:right w:val="none" w:sz="0" w:space="0" w:color="auto"/>
          </w:divBdr>
        </w:div>
      </w:divsChild>
    </w:div>
    <w:div w:id="1475370215">
      <w:bodyDiv w:val="1"/>
      <w:marLeft w:val="0"/>
      <w:marRight w:val="0"/>
      <w:marTop w:val="0"/>
      <w:marBottom w:val="0"/>
      <w:divBdr>
        <w:top w:val="none" w:sz="0" w:space="0" w:color="auto"/>
        <w:left w:val="none" w:sz="0" w:space="0" w:color="auto"/>
        <w:bottom w:val="none" w:sz="0" w:space="0" w:color="auto"/>
        <w:right w:val="none" w:sz="0" w:space="0" w:color="auto"/>
      </w:divBdr>
      <w:divsChild>
        <w:div w:id="329602461">
          <w:marLeft w:val="0"/>
          <w:marRight w:val="0"/>
          <w:marTop w:val="0"/>
          <w:marBottom w:val="0"/>
          <w:divBdr>
            <w:top w:val="none" w:sz="0" w:space="0" w:color="auto"/>
            <w:left w:val="none" w:sz="0" w:space="0" w:color="auto"/>
            <w:bottom w:val="none" w:sz="0" w:space="0" w:color="auto"/>
            <w:right w:val="none" w:sz="0" w:space="0" w:color="auto"/>
          </w:divBdr>
        </w:div>
        <w:div w:id="96024108">
          <w:marLeft w:val="0"/>
          <w:marRight w:val="0"/>
          <w:marTop w:val="0"/>
          <w:marBottom w:val="0"/>
          <w:divBdr>
            <w:top w:val="none" w:sz="0" w:space="0" w:color="auto"/>
            <w:left w:val="none" w:sz="0" w:space="0" w:color="auto"/>
            <w:bottom w:val="none" w:sz="0" w:space="0" w:color="auto"/>
            <w:right w:val="none" w:sz="0" w:space="0" w:color="auto"/>
          </w:divBdr>
        </w:div>
      </w:divsChild>
    </w:div>
    <w:div w:id="1555238218">
      <w:bodyDiv w:val="1"/>
      <w:marLeft w:val="0"/>
      <w:marRight w:val="0"/>
      <w:marTop w:val="0"/>
      <w:marBottom w:val="0"/>
      <w:divBdr>
        <w:top w:val="none" w:sz="0" w:space="0" w:color="auto"/>
        <w:left w:val="none" w:sz="0" w:space="0" w:color="auto"/>
        <w:bottom w:val="none" w:sz="0" w:space="0" w:color="auto"/>
        <w:right w:val="none" w:sz="0" w:space="0" w:color="auto"/>
      </w:divBdr>
    </w:div>
    <w:div w:id="1601522268">
      <w:bodyDiv w:val="1"/>
      <w:marLeft w:val="0"/>
      <w:marRight w:val="0"/>
      <w:marTop w:val="0"/>
      <w:marBottom w:val="0"/>
      <w:divBdr>
        <w:top w:val="none" w:sz="0" w:space="0" w:color="auto"/>
        <w:left w:val="none" w:sz="0" w:space="0" w:color="auto"/>
        <w:bottom w:val="none" w:sz="0" w:space="0" w:color="auto"/>
        <w:right w:val="none" w:sz="0" w:space="0" w:color="auto"/>
      </w:divBdr>
    </w:div>
    <w:div w:id="1602027977">
      <w:bodyDiv w:val="1"/>
      <w:marLeft w:val="0"/>
      <w:marRight w:val="0"/>
      <w:marTop w:val="0"/>
      <w:marBottom w:val="0"/>
      <w:divBdr>
        <w:top w:val="none" w:sz="0" w:space="0" w:color="auto"/>
        <w:left w:val="none" w:sz="0" w:space="0" w:color="auto"/>
        <w:bottom w:val="none" w:sz="0" w:space="0" w:color="auto"/>
        <w:right w:val="none" w:sz="0" w:space="0" w:color="auto"/>
      </w:divBdr>
    </w:div>
    <w:div w:id="1610042917">
      <w:bodyDiv w:val="1"/>
      <w:marLeft w:val="0"/>
      <w:marRight w:val="0"/>
      <w:marTop w:val="0"/>
      <w:marBottom w:val="0"/>
      <w:divBdr>
        <w:top w:val="none" w:sz="0" w:space="0" w:color="auto"/>
        <w:left w:val="none" w:sz="0" w:space="0" w:color="auto"/>
        <w:bottom w:val="none" w:sz="0" w:space="0" w:color="auto"/>
        <w:right w:val="none" w:sz="0" w:space="0" w:color="auto"/>
      </w:divBdr>
      <w:divsChild>
        <w:div w:id="1463772651">
          <w:marLeft w:val="0"/>
          <w:marRight w:val="0"/>
          <w:marTop w:val="0"/>
          <w:marBottom w:val="0"/>
          <w:divBdr>
            <w:top w:val="none" w:sz="0" w:space="0" w:color="auto"/>
            <w:left w:val="none" w:sz="0" w:space="0" w:color="auto"/>
            <w:bottom w:val="none" w:sz="0" w:space="0" w:color="auto"/>
            <w:right w:val="none" w:sz="0" w:space="0" w:color="auto"/>
          </w:divBdr>
        </w:div>
        <w:div w:id="569509218">
          <w:marLeft w:val="0"/>
          <w:marRight w:val="0"/>
          <w:marTop w:val="0"/>
          <w:marBottom w:val="0"/>
          <w:divBdr>
            <w:top w:val="none" w:sz="0" w:space="0" w:color="auto"/>
            <w:left w:val="none" w:sz="0" w:space="0" w:color="auto"/>
            <w:bottom w:val="none" w:sz="0" w:space="0" w:color="auto"/>
            <w:right w:val="none" w:sz="0" w:space="0" w:color="auto"/>
          </w:divBdr>
        </w:div>
        <w:div w:id="268971414">
          <w:marLeft w:val="0"/>
          <w:marRight w:val="0"/>
          <w:marTop w:val="0"/>
          <w:marBottom w:val="0"/>
          <w:divBdr>
            <w:top w:val="none" w:sz="0" w:space="0" w:color="auto"/>
            <w:left w:val="none" w:sz="0" w:space="0" w:color="auto"/>
            <w:bottom w:val="none" w:sz="0" w:space="0" w:color="auto"/>
            <w:right w:val="none" w:sz="0" w:space="0" w:color="auto"/>
          </w:divBdr>
        </w:div>
        <w:div w:id="1449659207">
          <w:marLeft w:val="0"/>
          <w:marRight w:val="0"/>
          <w:marTop w:val="0"/>
          <w:marBottom w:val="0"/>
          <w:divBdr>
            <w:top w:val="none" w:sz="0" w:space="0" w:color="auto"/>
            <w:left w:val="none" w:sz="0" w:space="0" w:color="auto"/>
            <w:bottom w:val="none" w:sz="0" w:space="0" w:color="auto"/>
            <w:right w:val="none" w:sz="0" w:space="0" w:color="auto"/>
          </w:divBdr>
        </w:div>
        <w:div w:id="801463250">
          <w:marLeft w:val="0"/>
          <w:marRight w:val="0"/>
          <w:marTop w:val="0"/>
          <w:marBottom w:val="0"/>
          <w:divBdr>
            <w:top w:val="none" w:sz="0" w:space="0" w:color="auto"/>
            <w:left w:val="none" w:sz="0" w:space="0" w:color="auto"/>
            <w:bottom w:val="none" w:sz="0" w:space="0" w:color="auto"/>
            <w:right w:val="none" w:sz="0" w:space="0" w:color="auto"/>
          </w:divBdr>
        </w:div>
        <w:div w:id="1147746082">
          <w:marLeft w:val="0"/>
          <w:marRight w:val="0"/>
          <w:marTop w:val="0"/>
          <w:marBottom w:val="0"/>
          <w:divBdr>
            <w:top w:val="none" w:sz="0" w:space="0" w:color="auto"/>
            <w:left w:val="none" w:sz="0" w:space="0" w:color="auto"/>
            <w:bottom w:val="none" w:sz="0" w:space="0" w:color="auto"/>
            <w:right w:val="none" w:sz="0" w:space="0" w:color="auto"/>
          </w:divBdr>
          <w:divsChild>
            <w:div w:id="1020276362">
              <w:marLeft w:val="0"/>
              <w:marRight w:val="0"/>
              <w:marTop w:val="0"/>
              <w:marBottom w:val="0"/>
              <w:divBdr>
                <w:top w:val="none" w:sz="0" w:space="0" w:color="auto"/>
                <w:left w:val="none" w:sz="0" w:space="0" w:color="auto"/>
                <w:bottom w:val="none" w:sz="0" w:space="0" w:color="auto"/>
                <w:right w:val="none" w:sz="0" w:space="0" w:color="auto"/>
              </w:divBdr>
            </w:div>
            <w:div w:id="1762338160">
              <w:marLeft w:val="0"/>
              <w:marRight w:val="0"/>
              <w:marTop w:val="0"/>
              <w:marBottom w:val="0"/>
              <w:divBdr>
                <w:top w:val="none" w:sz="0" w:space="0" w:color="auto"/>
                <w:left w:val="none" w:sz="0" w:space="0" w:color="auto"/>
                <w:bottom w:val="none" w:sz="0" w:space="0" w:color="auto"/>
                <w:right w:val="none" w:sz="0" w:space="0" w:color="auto"/>
              </w:divBdr>
            </w:div>
          </w:divsChild>
        </w:div>
        <w:div w:id="1501235068">
          <w:marLeft w:val="0"/>
          <w:marRight w:val="0"/>
          <w:marTop w:val="0"/>
          <w:marBottom w:val="0"/>
          <w:divBdr>
            <w:top w:val="none" w:sz="0" w:space="0" w:color="auto"/>
            <w:left w:val="none" w:sz="0" w:space="0" w:color="auto"/>
            <w:bottom w:val="none" w:sz="0" w:space="0" w:color="auto"/>
            <w:right w:val="none" w:sz="0" w:space="0" w:color="auto"/>
          </w:divBdr>
          <w:divsChild>
            <w:div w:id="1714773492">
              <w:marLeft w:val="0"/>
              <w:marRight w:val="0"/>
              <w:marTop w:val="0"/>
              <w:marBottom w:val="0"/>
              <w:divBdr>
                <w:top w:val="none" w:sz="0" w:space="0" w:color="auto"/>
                <w:left w:val="none" w:sz="0" w:space="0" w:color="auto"/>
                <w:bottom w:val="none" w:sz="0" w:space="0" w:color="auto"/>
                <w:right w:val="none" w:sz="0" w:space="0" w:color="auto"/>
              </w:divBdr>
            </w:div>
            <w:div w:id="2131704637">
              <w:marLeft w:val="0"/>
              <w:marRight w:val="0"/>
              <w:marTop w:val="0"/>
              <w:marBottom w:val="0"/>
              <w:divBdr>
                <w:top w:val="none" w:sz="0" w:space="0" w:color="auto"/>
                <w:left w:val="none" w:sz="0" w:space="0" w:color="auto"/>
                <w:bottom w:val="none" w:sz="0" w:space="0" w:color="auto"/>
                <w:right w:val="none" w:sz="0" w:space="0" w:color="auto"/>
              </w:divBdr>
            </w:div>
            <w:div w:id="722942889">
              <w:marLeft w:val="0"/>
              <w:marRight w:val="0"/>
              <w:marTop w:val="0"/>
              <w:marBottom w:val="0"/>
              <w:divBdr>
                <w:top w:val="none" w:sz="0" w:space="0" w:color="auto"/>
                <w:left w:val="none" w:sz="0" w:space="0" w:color="auto"/>
                <w:bottom w:val="none" w:sz="0" w:space="0" w:color="auto"/>
                <w:right w:val="none" w:sz="0" w:space="0" w:color="auto"/>
              </w:divBdr>
            </w:div>
            <w:div w:id="1243946828">
              <w:marLeft w:val="0"/>
              <w:marRight w:val="0"/>
              <w:marTop w:val="0"/>
              <w:marBottom w:val="0"/>
              <w:divBdr>
                <w:top w:val="none" w:sz="0" w:space="0" w:color="auto"/>
                <w:left w:val="none" w:sz="0" w:space="0" w:color="auto"/>
                <w:bottom w:val="none" w:sz="0" w:space="0" w:color="auto"/>
                <w:right w:val="none" w:sz="0" w:space="0" w:color="auto"/>
              </w:divBdr>
            </w:div>
            <w:div w:id="1088503648">
              <w:marLeft w:val="0"/>
              <w:marRight w:val="0"/>
              <w:marTop w:val="0"/>
              <w:marBottom w:val="0"/>
              <w:divBdr>
                <w:top w:val="none" w:sz="0" w:space="0" w:color="auto"/>
                <w:left w:val="none" w:sz="0" w:space="0" w:color="auto"/>
                <w:bottom w:val="none" w:sz="0" w:space="0" w:color="auto"/>
                <w:right w:val="none" w:sz="0" w:space="0" w:color="auto"/>
              </w:divBdr>
            </w:div>
          </w:divsChild>
        </w:div>
        <w:div w:id="1245411577">
          <w:marLeft w:val="0"/>
          <w:marRight w:val="0"/>
          <w:marTop w:val="0"/>
          <w:marBottom w:val="0"/>
          <w:divBdr>
            <w:top w:val="none" w:sz="0" w:space="0" w:color="auto"/>
            <w:left w:val="none" w:sz="0" w:space="0" w:color="auto"/>
            <w:bottom w:val="none" w:sz="0" w:space="0" w:color="auto"/>
            <w:right w:val="none" w:sz="0" w:space="0" w:color="auto"/>
          </w:divBdr>
          <w:divsChild>
            <w:div w:id="525946224">
              <w:marLeft w:val="0"/>
              <w:marRight w:val="0"/>
              <w:marTop w:val="0"/>
              <w:marBottom w:val="0"/>
              <w:divBdr>
                <w:top w:val="none" w:sz="0" w:space="0" w:color="auto"/>
                <w:left w:val="none" w:sz="0" w:space="0" w:color="auto"/>
                <w:bottom w:val="none" w:sz="0" w:space="0" w:color="auto"/>
                <w:right w:val="none" w:sz="0" w:space="0" w:color="auto"/>
              </w:divBdr>
            </w:div>
            <w:div w:id="1849518988">
              <w:marLeft w:val="0"/>
              <w:marRight w:val="0"/>
              <w:marTop w:val="0"/>
              <w:marBottom w:val="0"/>
              <w:divBdr>
                <w:top w:val="none" w:sz="0" w:space="0" w:color="auto"/>
                <w:left w:val="none" w:sz="0" w:space="0" w:color="auto"/>
                <w:bottom w:val="none" w:sz="0" w:space="0" w:color="auto"/>
                <w:right w:val="none" w:sz="0" w:space="0" w:color="auto"/>
              </w:divBdr>
            </w:div>
            <w:div w:id="1935161082">
              <w:marLeft w:val="0"/>
              <w:marRight w:val="0"/>
              <w:marTop w:val="0"/>
              <w:marBottom w:val="0"/>
              <w:divBdr>
                <w:top w:val="none" w:sz="0" w:space="0" w:color="auto"/>
                <w:left w:val="none" w:sz="0" w:space="0" w:color="auto"/>
                <w:bottom w:val="none" w:sz="0" w:space="0" w:color="auto"/>
                <w:right w:val="none" w:sz="0" w:space="0" w:color="auto"/>
              </w:divBdr>
            </w:div>
            <w:div w:id="781995822">
              <w:marLeft w:val="0"/>
              <w:marRight w:val="0"/>
              <w:marTop w:val="0"/>
              <w:marBottom w:val="0"/>
              <w:divBdr>
                <w:top w:val="none" w:sz="0" w:space="0" w:color="auto"/>
                <w:left w:val="none" w:sz="0" w:space="0" w:color="auto"/>
                <w:bottom w:val="none" w:sz="0" w:space="0" w:color="auto"/>
                <w:right w:val="none" w:sz="0" w:space="0" w:color="auto"/>
              </w:divBdr>
            </w:div>
          </w:divsChild>
        </w:div>
        <w:div w:id="1615214750">
          <w:marLeft w:val="0"/>
          <w:marRight w:val="0"/>
          <w:marTop w:val="0"/>
          <w:marBottom w:val="0"/>
          <w:divBdr>
            <w:top w:val="none" w:sz="0" w:space="0" w:color="auto"/>
            <w:left w:val="none" w:sz="0" w:space="0" w:color="auto"/>
            <w:bottom w:val="none" w:sz="0" w:space="0" w:color="auto"/>
            <w:right w:val="none" w:sz="0" w:space="0" w:color="auto"/>
          </w:divBdr>
          <w:divsChild>
            <w:div w:id="1966571227">
              <w:marLeft w:val="0"/>
              <w:marRight w:val="0"/>
              <w:marTop w:val="0"/>
              <w:marBottom w:val="0"/>
              <w:divBdr>
                <w:top w:val="none" w:sz="0" w:space="0" w:color="auto"/>
                <w:left w:val="none" w:sz="0" w:space="0" w:color="auto"/>
                <w:bottom w:val="none" w:sz="0" w:space="0" w:color="auto"/>
                <w:right w:val="none" w:sz="0" w:space="0" w:color="auto"/>
              </w:divBdr>
            </w:div>
            <w:div w:id="1246959840">
              <w:marLeft w:val="0"/>
              <w:marRight w:val="0"/>
              <w:marTop w:val="0"/>
              <w:marBottom w:val="0"/>
              <w:divBdr>
                <w:top w:val="none" w:sz="0" w:space="0" w:color="auto"/>
                <w:left w:val="none" w:sz="0" w:space="0" w:color="auto"/>
                <w:bottom w:val="none" w:sz="0" w:space="0" w:color="auto"/>
                <w:right w:val="none" w:sz="0" w:space="0" w:color="auto"/>
              </w:divBdr>
            </w:div>
          </w:divsChild>
        </w:div>
        <w:div w:id="1059329312">
          <w:marLeft w:val="0"/>
          <w:marRight w:val="0"/>
          <w:marTop w:val="0"/>
          <w:marBottom w:val="0"/>
          <w:divBdr>
            <w:top w:val="none" w:sz="0" w:space="0" w:color="auto"/>
            <w:left w:val="none" w:sz="0" w:space="0" w:color="auto"/>
            <w:bottom w:val="none" w:sz="0" w:space="0" w:color="auto"/>
            <w:right w:val="none" w:sz="0" w:space="0" w:color="auto"/>
          </w:divBdr>
          <w:divsChild>
            <w:div w:id="277565759">
              <w:marLeft w:val="0"/>
              <w:marRight w:val="0"/>
              <w:marTop w:val="0"/>
              <w:marBottom w:val="0"/>
              <w:divBdr>
                <w:top w:val="none" w:sz="0" w:space="0" w:color="auto"/>
                <w:left w:val="none" w:sz="0" w:space="0" w:color="auto"/>
                <w:bottom w:val="none" w:sz="0" w:space="0" w:color="auto"/>
                <w:right w:val="none" w:sz="0" w:space="0" w:color="auto"/>
              </w:divBdr>
            </w:div>
            <w:div w:id="1993213655">
              <w:marLeft w:val="0"/>
              <w:marRight w:val="0"/>
              <w:marTop w:val="0"/>
              <w:marBottom w:val="0"/>
              <w:divBdr>
                <w:top w:val="none" w:sz="0" w:space="0" w:color="auto"/>
                <w:left w:val="none" w:sz="0" w:space="0" w:color="auto"/>
                <w:bottom w:val="none" w:sz="0" w:space="0" w:color="auto"/>
                <w:right w:val="none" w:sz="0" w:space="0" w:color="auto"/>
              </w:divBdr>
            </w:div>
            <w:div w:id="1875772494">
              <w:marLeft w:val="0"/>
              <w:marRight w:val="0"/>
              <w:marTop w:val="0"/>
              <w:marBottom w:val="0"/>
              <w:divBdr>
                <w:top w:val="none" w:sz="0" w:space="0" w:color="auto"/>
                <w:left w:val="none" w:sz="0" w:space="0" w:color="auto"/>
                <w:bottom w:val="none" w:sz="0" w:space="0" w:color="auto"/>
                <w:right w:val="none" w:sz="0" w:space="0" w:color="auto"/>
              </w:divBdr>
            </w:div>
          </w:divsChild>
        </w:div>
        <w:div w:id="1411152655">
          <w:marLeft w:val="0"/>
          <w:marRight w:val="0"/>
          <w:marTop w:val="0"/>
          <w:marBottom w:val="0"/>
          <w:divBdr>
            <w:top w:val="none" w:sz="0" w:space="0" w:color="auto"/>
            <w:left w:val="none" w:sz="0" w:space="0" w:color="auto"/>
            <w:bottom w:val="none" w:sz="0" w:space="0" w:color="auto"/>
            <w:right w:val="none" w:sz="0" w:space="0" w:color="auto"/>
          </w:divBdr>
          <w:divsChild>
            <w:div w:id="2019576856">
              <w:marLeft w:val="0"/>
              <w:marRight w:val="0"/>
              <w:marTop w:val="0"/>
              <w:marBottom w:val="0"/>
              <w:divBdr>
                <w:top w:val="none" w:sz="0" w:space="0" w:color="auto"/>
                <w:left w:val="none" w:sz="0" w:space="0" w:color="auto"/>
                <w:bottom w:val="none" w:sz="0" w:space="0" w:color="auto"/>
                <w:right w:val="none" w:sz="0" w:space="0" w:color="auto"/>
              </w:divBdr>
            </w:div>
            <w:div w:id="1434471237">
              <w:marLeft w:val="0"/>
              <w:marRight w:val="0"/>
              <w:marTop w:val="0"/>
              <w:marBottom w:val="0"/>
              <w:divBdr>
                <w:top w:val="none" w:sz="0" w:space="0" w:color="auto"/>
                <w:left w:val="none" w:sz="0" w:space="0" w:color="auto"/>
                <w:bottom w:val="none" w:sz="0" w:space="0" w:color="auto"/>
                <w:right w:val="none" w:sz="0" w:space="0" w:color="auto"/>
              </w:divBdr>
            </w:div>
            <w:div w:id="58990740">
              <w:marLeft w:val="0"/>
              <w:marRight w:val="0"/>
              <w:marTop w:val="0"/>
              <w:marBottom w:val="0"/>
              <w:divBdr>
                <w:top w:val="none" w:sz="0" w:space="0" w:color="auto"/>
                <w:left w:val="none" w:sz="0" w:space="0" w:color="auto"/>
                <w:bottom w:val="none" w:sz="0" w:space="0" w:color="auto"/>
                <w:right w:val="none" w:sz="0" w:space="0" w:color="auto"/>
              </w:divBdr>
            </w:div>
          </w:divsChild>
        </w:div>
        <w:div w:id="549847077">
          <w:marLeft w:val="0"/>
          <w:marRight w:val="0"/>
          <w:marTop w:val="0"/>
          <w:marBottom w:val="0"/>
          <w:divBdr>
            <w:top w:val="none" w:sz="0" w:space="0" w:color="auto"/>
            <w:left w:val="none" w:sz="0" w:space="0" w:color="auto"/>
            <w:bottom w:val="none" w:sz="0" w:space="0" w:color="auto"/>
            <w:right w:val="none" w:sz="0" w:space="0" w:color="auto"/>
          </w:divBdr>
        </w:div>
        <w:div w:id="83496910">
          <w:marLeft w:val="0"/>
          <w:marRight w:val="0"/>
          <w:marTop w:val="0"/>
          <w:marBottom w:val="0"/>
          <w:divBdr>
            <w:top w:val="none" w:sz="0" w:space="0" w:color="auto"/>
            <w:left w:val="none" w:sz="0" w:space="0" w:color="auto"/>
            <w:bottom w:val="none" w:sz="0" w:space="0" w:color="auto"/>
            <w:right w:val="none" w:sz="0" w:space="0" w:color="auto"/>
          </w:divBdr>
        </w:div>
        <w:div w:id="1717853981">
          <w:marLeft w:val="0"/>
          <w:marRight w:val="0"/>
          <w:marTop w:val="0"/>
          <w:marBottom w:val="0"/>
          <w:divBdr>
            <w:top w:val="none" w:sz="0" w:space="0" w:color="auto"/>
            <w:left w:val="none" w:sz="0" w:space="0" w:color="auto"/>
            <w:bottom w:val="none" w:sz="0" w:space="0" w:color="auto"/>
            <w:right w:val="none" w:sz="0" w:space="0" w:color="auto"/>
          </w:divBdr>
        </w:div>
        <w:div w:id="2106263938">
          <w:marLeft w:val="0"/>
          <w:marRight w:val="0"/>
          <w:marTop w:val="0"/>
          <w:marBottom w:val="0"/>
          <w:divBdr>
            <w:top w:val="none" w:sz="0" w:space="0" w:color="auto"/>
            <w:left w:val="none" w:sz="0" w:space="0" w:color="auto"/>
            <w:bottom w:val="none" w:sz="0" w:space="0" w:color="auto"/>
            <w:right w:val="none" w:sz="0" w:space="0" w:color="auto"/>
          </w:divBdr>
        </w:div>
        <w:div w:id="1547452707">
          <w:marLeft w:val="0"/>
          <w:marRight w:val="0"/>
          <w:marTop w:val="0"/>
          <w:marBottom w:val="0"/>
          <w:divBdr>
            <w:top w:val="none" w:sz="0" w:space="0" w:color="auto"/>
            <w:left w:val="none" w:sz="0" w:space="0" w:color="auto"/>
            <w:bottom w:val="none" w:sz="0" w:space="0" w:color="auto"/>
            <w:right w:val="none" w:sz="0" w:space="0" w:color="auto"/>
          </w:divBdr>
          <w:divsChild>
            <w:div w:id="975984752">
              <w:marLeft w:val="-75"/>
              <w:marRight w:val="0"/>
              <w:marTop w:val="30"/>
              <w:marBottom w:val="30"/>
              <w:divBdr>
                <w:top w:val="none" w:sz="0" w:space="0" w:color="auto"/>
                <w:left w:val="none" w:sz="0" w:space="0" w:color="auto"/>
                <w:bottom w:val="none" w:sz="0" w:space="0" w:color="auto"/>
                <w:right w:val="none" w:sz="0" w:space="0" w:color="auto"/>
              </w:divBdr>
              <w:divsChild>
                <w:div w:id="1772974159">
                  <w:marLeft w:val="0"/>
                  <w:marRight w:val="0"/>
                  <w:marTop w:val="0"/>
                  <w:marBottom w:val="0"/>
                  <w:divBdr>
                    <w:top w:val="none" w:sz="0" w:space="0" w:color="auto"/>
                    <w:left w:val="none" w:sz="0" w:space="0" w:color="auto"/>
                    <w:bottom w:val="none" w:sz="0" w:space="0" w:color="auto"/>
                    <w:right w:val="none" w:sz="0" w:space="0" w:color="auto"/>
                  </w:divBdr>
                  <w:divsChild>
                    <w:div w:id="1555392255">
                      <w:marLeft w:val="0"/>
                      <w:marRight w:val="0"/>
                      <w:marTop w:val="0"/>
                      <w:marBottom w:val="0"/>
                      <w:divBdr>
                        <w:top w:val="none" w:sz="0" w:space="0" w:color="auto"/>
                        <w:left w:val="none" w:sz="0" w:space="0" w:color="auto"/>
                        <w:bottom w:val="none" w:sz="0" w:space="0" w:color="auto"/>
                        <w:right w:val="none" w:sz="0" w:space="0" w:color="auto"/>
                      </w:divBdr>
                    </w:div>
                  </w:divsChild>
                </w:div>
                <w:div w:id="436174223">
                  <w:marLeft w:val="0"/>
                  <w:marRight w:val="0"/>
                  <w:marTop w:val="0"/>
                  <w:marBottom w:val="0"/>
                  <w:divBdr>
                    <w:top w:val="none" w:sz="0" w:space="0" w:color="auto"/>
                    <w:left w:val="none" w:sz="0" w:space="0" w:color="auto"/>
                    <w:bottom w:val="none" w:sz="0" w:space="0" w:color="auto"/>
                    <w:right w:val="none" w:sz="0" w:space="0" w:color="auto"/>
                  </w:divBdr>
                  <w:divsChild>
                    <w:div w:id="701394238">
                      <w:marLeft w:val="0"/>
                      <w:marRight w:val="0"/>
                      <w:marTop w:val="0"/>
                      <w:marBottom w:val="0"/>
                      <w:divBdr>
                        <w:top w:val="none" w:sz="0" w:space="0" w:color="auto"/>
                        <w:left w:val="none" w:sz="0" w:space="0" w:color="auto"/>
                        <w:bottom w:val="none" w:sz="0" w:space="0" w:color="auto"/>
                        <w:right w:val="none" w:sz="0" w:space="0" w:color="auto"/>
                      </w:divBdr>
                    </w:div>
                  </w:divsChild>
                </w:div>
                <w:div w:id="837353533">
                  <w:marLeft w:val="0"/>
                  <w:marRight w:val="0"/>
                  <w:marTop w:val="0"/>
                  <w:marBottom w:val="0"/>
                  <w:divBdr>
                    <w:top w:val="none" w:sz="0" w:space="0" w:color="auto"/>
                    <w:left w:val="none" w:sz="0" w:space="0" w:color="auto"/>
                    <w:bottom w:val="none" w:sz="0" w:space="0" w:color="auto"/>
                    <w:right w:val="none" w:sz="0" w:space="0" w:color="auto"/>
                  </w:divBdr>
                  <w:divsChild>
                    <w:div w:id="390495342">
                      <w:marLeft w:val="0"/>
                      <w:marRight w:val="0"/>
                      <w:marTop w:val="0"/>
                      <w:marBottom w:val="0"/>
                      <w:divBdr>
                        <w:top w:val="none" w:sz="0" w:space="0" w:color="auto"/>
                        <w:left w:val="none" w:sz="0" w:space="0" w:color="auto"/>
                        <w:bottom w:val="none" w:sz="0" w:space="0" w:color="auto"/>
                        <w:right w:val="none" w:sz="0" w:space="0" w:color="auto"/>
                      </w:divBdr>
                    </w:div>
                  </w:divsChild>
                </w:div>
                <w:div w:id="1992321344">
                  <w:marLeft w:val="0"/>
                  <w:marRight w:val="0"/>
                  <w:marTop w:val="0"/>
                  <w:marBottom w:val="0"/>
                  <w:divBdr>
                    <w:top w:val="none" w:sz="0" w:space="0" w:color="auto"/>
                    <w:left w:val="none" w:sz="0" w:space="0" w:color="auto"/>
                    <w:bottom w:val="none" w:sz="0" w:space="0" w:color="auto"/>
                    <w:right w:val="none" w:sz="0" w:space="0" w:color="auto"/>
                  </w:divBdr>
                  <w:divsChild>
                    <w:div w:id="895313353">
                      <w:marLeft w:val="0"/>
                      <w:marRight w:val="0"/>
                      <w:marTop w:val="0"/>
                      <w:marBottom w:val="0"/>
                      <w:divBdr>
                        <w:top w:val="none" w:sz="0" w:space="0" w:color="auto"/>
                        <w:left w:val="none" w:sz="0" w:space="0" w:color="auto"/>
                        <w:bottom w:val="none" w:sz="0" w:space="0" w:color="auto"/>
                        <w:right w:val="none" w:sz="0" w:space="0" w:color="auto"/>
                      </w:divBdr>
                    </w:div>
                  </w:divsChild>
                </w:div>
                <w:div w:id="566308428">
                  <w:marLeft w:val="0"/>
                  <w:marRight w:val="0"/>
                  <w:marTop w:val="0"/>
                  <w:marBottom w:val="0"/>
                  <w:divBdr>
                    <w:top w:val="none" w:sz="0" w:space="0" w:color="auto"/>
                    <w:left w:val="none" w:sz="0" w:space="0" w:color="auto"/>
                    <w:bottom w:val="none" w:sz="0" w:space="0" w:color="auto"/>
                    <w:right w:val="none" w:sz="0" w:space="0" w:color="auto"/>
                  </w:divBdr>
                  <w:divsChild>
                    <w:div w:id="1691177544">
                      <w:marLeft w:val="0"/>
                      <w:marRight w:val="0"/>
                      <w:marTop w:val="0"/>
                      <w:marBottom w:val="0"/>
                      <w:divBdr>
                        <w:top w:val="none" w:sz="0" w:space="0" w:color="auto"/>
                        <w:left w:val="none" w:sz="0" w:space="0" w:color="auto"/>
                        <w:bottom w:val="none" w:sz="0" w:space="0" w:color="auto"/>
                        <w:right w:val="none" w:sz="0" w:space="0" w:color="auto"/>
                      </w:divBdr>
                    </w:div>
                  </w:divsChild>
                </w:div>
                <w:div w:id="1492520663">
                  <w:marLeft w:val="0"/>
                  <w:marRight w:val="0"/>
                  <w:marTop w:val="0"/>
                  <w:marBottom w:val="0"/>
                  <w:divBdr>
                    <w:top w:val="none" w:sz="0" w:space="0" w:color="auto"/>
                    <w:left w:val="none" w:sz="0" w:space="0" w:color="auto"/>
                    <w:bottom w:val="none" w:sz="0" w:space="0" w:color="auto"/>
                    <w:right w:val="none" w:sz="0" w:space="0" w:color="auto"/>
                  </w:divBdr>
                  <w:divsChild>
                    <w:div w:id="751660165">
                      <w:marLeft w:val="0"/>
                      <w:marRight w:val="0"/>
                      <w:marTop w:val="0"/>
                      <w:marBottom w:val="0"/>
                      <w:divBdr>
                        <w:top w:val="none" w:sz="0" w:space="0" w:color="auto"/>
                        <w:left w:val="none" w:sz="0" w:space="0" w:color="auto"/>
                        <w:bottom w:val="none" w:sz="0" w:space="0" w:color="auto"/>
                        <w:right w:val="none" w:sz="0" w:space="0" w:color="auto"/>
                      </w:divBdr>
                    </w:div>
                  </w:divsChild>
                </w:div>
                <w:div w:id="1100561938">
                  <w:marLeft w:val="0"/>
                  <w:marRight w:val="0"/>
                  <w:marTop w:val="0"/>
                  <w:marBottom w:val="0"/>
                  <w:divBdr>
                    <w:top w:val="none" w:sz="0" w:space="0" w:color="auto"/>
                    <w:left w:val="none" w:sz="0" w:space="0" w:color="auto"/>
                    <w:bottom w:val="none" w:sz="0" w:space="0" w:color="auto"/>
                    <w:right w:val="none" w:sz="0" w:space="0" w:color="auto"/>
                  </w:divBdr>
                  <w:divsChild>
                    <w:div w:id="1701052718">
                      <w:marLeft w:val="0"/>
                      <w:marRight w:val="0"/>
                      <w:marTop w:val="0"/>
                      <w:marBottom w:val="0"/>
                      <w:divBdr>
                        <w:top w:val="none" w:sz="0" w:space="0" w:color="auto"/>
                        <w:left w:val="none" w:sz="0" w:space="0" w:color="auto"/>
                        <w:bottom w:val="none" w:sz="0" w:space="0" w:color="auto"/>
                        <w:right w:val="none" w:sz="0" w:space="0" w:color="auto"/>
                      </w:divBdr>
                    </w:div>
                  </w:divsChild>
                </w:div>
                <w:div w:id="320348785">
                  <w:marLeft w:val="0"/>
                  <w:marRight w:val="0"/>
                  <w:marTop w:val="0"/>
                  <w:marBottom w:val="0"/>
                  <w:divBdr>
                    <w:top w:val="none" w:sz="0" w:space="0" w:color="auto"/>
                    <w:left w:val="none" w:sz="0" w:space="0" w:color="auto"/>
                    <w:bottom w:val="none" w:sz="0" w:space="0" w:color="auto"/>
                    <w:right w:val="none" w:sz="0" w:space="0" w:color="auto"/>
                  </w:divBdr>
                  <w:divsChild>
                    <w:div w:id="1537422040">
                      <w:marLeft w:val="0"/>
                      <w:marRight w:val="0"/>
                      <w:marTop w:val="0"/>
                      <w:marBottom w:val="0"/>
                      <w:divBdr>
                        <w:top w:val="none" w:sz="0" w:space="0" w:color="auto"/>
                        <w:left w:val="none" w:sz="0" w:space="0" w:color="auto"/>
                        <w:bottom w:val="none" w:sz="0" w:space="0" w:color="auto"/>
                        <w:right w:val="none" w:sz="0" w:space="0" w:color="auto"/>
                      </w:divBdr>
                    </w:div>
                  </w:divsChild>
                </w:div>
                <w:div w:id="621229546">
                  <w:marLeft w:val="0"/>
                  <w:marRight w:val="0"/>
                  <w:marTop w:val="0"/>
                  <w:marBottom w:val="0"/>
                  <w:divBdr>
                    <w:top w:val="none" w:sz="0" w:space="0" w:color="auto"/>
                    <w:left w:val="none" w:sz="0" w:space="0" w:color="auto"/>
                    <w:bottom w:val="none" w:sz="0" w:space="0" w:color="auto"/>
                    <w:right w:val="none" w:sz="0" w:space="0" w:color="auto"/>
                  </w:divBdr>
                  <w:divsChild>
                    <w:div w:id="1407806082">
                      <w:marLeft w:val="0"/>
                      <w:marRight w:val="0"/>
                      <w:marTop w:val="0"/>
                      <w:marBottom w:val="0"/>
                      <w:divBdr>
                        <w:top w:val="none" w:sz="0" w:space="0" w:color="auto"/>
                        <w:left w:val="none" w:sz="0" w:space="0" w:color="auto"/>
                        <w:bottom w:val="none" w:sz="0" w:space="0" w:color="auto"/>
                        <w:right w:val="none" w:sz="0" w:space="0" w:color="auto"/>
                      </w:divBdr>
                    </w:div>
                  </w:divsChild>
                </w:div>
                <w:div w:id="725104202">
                  <w:marLeft w:val="0"/>
                  <w:marRight w:val="0"/>
                  <w:marTop w:val="0"/>
                  <w:marBottom w:val="0"/>
                  <w:divBdr>
                    <w:top w:val="none" w:sz="0" w:space="0" w:color="auto"/>
                    <w:left w:val="none" w:sz="0" w:space="0" w:color="auto"/>
                    <w:bottom w:val="none" w:sz="0" w:space="0" w:color="auto"/>
                    <w:right w:val="none" w:sz="0" w:space="0" w:color="auto"/>
                  </w:divBdr>
                  <w:divsChild>
                    <w:div w:id="1601184108">
                      <w:marLeft w:val="0"/>
                      <w:marRight w:val="0"/>
                      <w:marTop w:val="0"/>
                      <w:marBottom w:val="0"/>
                      <w:divBdr>
                        <w:top w:val="none" w:sz="0" w:space="0" w:color="auto"/>
                        <w:left w:val="none" w:sz="0" w:space="0" w:color="auto"/>
                        <w:bottom w:val="none" w:sz="0" w:space="0" w:color="auto"/>
                        <w:right w:val="none" w:sz="0" w:space="0" w:color="auto"/>
                      </w:divBdr>
                    </w:div>
                  </w:divsChild>
                </w:div>
                <w:div w:id="582763047">
                  <w:marLeft w:val="0"/>
                  <w:marRight w:val="0"/>
                  <w:marTop w:val="0"/>
                  <w:marBottom w:val="0"/>
                  <w:divBdr>
                    <w:top w:val="none" w:sz="0" w:space="0" w:color="auto"/>
                    <w:left w:val="none" w:sz="0" w:space="0" w:color="auto"/>
                    <w:bottom w:val="none" w:sz="0" w:space="0" w:color="auto"/>
                    <w:right w:val="none" w:sz="0" w:space="0" w:color="auto"/>
                  </w:divBdr>
                  <w:divsChild>
                    <w:div w:id="1543207021">
                      <w:marLeft w:val="0"/>
                      <w:marRight w:val="0"/>
                      <w:marTop w:val="0"/>
                      <w:marBottom w:val="0"/>
                      <w:divBdr>
                        <w:top w:val="none" w:sz="0" w:space="0" w:color="auto"/>
                        <w:left w:val="none" w:sz="0" w:space="0" w:color="auto"/>
                        <w:bottom w:val="none" w:sz="0" w:space="0" w:color="auto"/>
                        <w:right w:val="none" w:sz="0" w:space="0" w:color="auto"/>
                      </w:divBdr>
                    </w:div>
                  </w:divsChild>
                </w:div>
                <w:div w:id="252445971">
                  <w:marLeft w:val="0"/>
                  <w:marRight w:val="0"/>
                  <w:marTop w:val="0"/>
                  <w:marBottom w:val="0"/>
                  <w:divBdr>
                    <w:top w:val="none" w:sz="0" w:space="0" w:color="auto"/>
                    <w:left w:val="none" w:sz="0" w:space="0" w:color="auto"/>
                    <w:bottom w:val="none" w:sz="0" w:space="0" w:color="auto"/>
                    <w:right w:val="none" w:sz="0" w:space="0" w:color="auto"/>
                  </w:divBdr>
                  <w:divsChild>
                    <w:div w:id="1794056194">
                      <w:marLeft w:val="0"/>
                      <w:marRight w:val="0"/>
                      <w:marTop w:val="0"/>
                      <w:marBottom w:val="0"/>
                      <w:divBdr>
                        <w:top w:val="none" w:sz="0" w:space="0" w:color="auto"/>
                        <w:left w:val="none" w:sz="0" w:space="0" w:color="auto"/>
                        <w:bottom w:val="none" w:sz="0" w:space="0" w:color="auto"/>
                        <w:right w:val="none" w:sz="0" w:space="0" w:color="auto"/>
                      </w:divBdr>
                    </w:div>
                  </w:divsChild>
                </w:div>
                <w:div w:id="623585907">
                  <w:marLeft w:val="0"/>
                  <w:marRight w:val="0"/>
                  <w:marTop w:val="0"/>
                  <w:marBottom w:val="0"/>
                  <w:divBdr>
                    <w:top w:val="none" w:sz="0" w:space="0" w:color="auto"/>
                    <w:left w:val="none" w:sz="0" w:space="0" w:color="auto"/>
                    <w:bottom w:val="none" w:sz="0" w:space="0" w:color="auto"/>
                    <w:right w:val="none" w:sz="0" w:space="0" w:color="auto"/>
                  </w:divBdr>
                  <w:divsChild>
                    <w:div w:id="748888437">
                      <w:marLeft w:val="0"/>
                      <w:marRight w:val="0"/>
                      <w:marTop w:val="0"/>
                      <w:marBottom w:val="0"/>
                      <w:divBdr>
                        <w:top w:val="none" w:sz="0" w:space="0" w:color="auto"/>
                        <w:left w:val="none" w:sz="0" w:space="0" w:color="auto"/>
                        <w:bottom w:val="none" w:sz="0" w:space="0" w:color="auto"/>
                        <w:right w:val="none" w:sz="0" w:space="0" w:color="auto"/>
                      </w:divBdr>
                    </w:div>
                  </w:divsChild>
                </w:div>
                <w:div w:id="1422684375">
                  <w:marLeft w:val="0"/>
                  <w:marRight w:val="0"/>
                  <w:marTop w:val="0"/>
                  <w:marBottom w:val="0"/>
                  <w:divBdr>
                    <w:top w:val="none" w:sz="0" w:space="0" w:color="auto"/>
                    <w:left w:val="none" w:sz="0" w:space="0" w:color="auto"/>
                    <w:bottom w:val="none" w:sz="0" w:space="0" w:color="auto"/>
                    <w:right w:val="none" w:sz="0" w:space="0" w:color="auto"/>
                  </w:divBdr>
                  <w:divsChild>
                    <w:div w:id="61218824">
                      <w:marLeft w:val="0"/>
                      <w:marRight w:val="0"/>
                      <w:marTop w:val="0"/>
                      <w:marBottom w:val="0"/>
                      <w:divBdr>
                        <w:top w:val="none" w:sz="0" w:space="0" w:color="auto"/>
                        <w:left w:val="none" w:sz="0" w:space="0" w:color="auto"/>
                        <w:bottom w:val="none" w:sz="0" w:space="0" w:color="auto"/>
                        <w:right w:val="none" w:sz="0" w:space="0" w:color="auto"/>
                      </w:divBdr>
                    </w:div>
                  </w:divsChild>
                </w:div>
                <w:div w:id="806973606">
                  <w:marLeft w:val="0"/>
                  <w:marRight w:val="0"/>
                  <w:marTop w:val="0"/>
                  <w:marBottom w:val="0"/>
                  <w:divBdr>
                    <w:top w:val="none" w:sz="0" w:space="0" w:color="auto"/>
                    <w:left w:val="none" w:sz="0" w:space="0" w:color="auto"/>
                    <w:bottom w:val="none" w:sz="0" w:space="0" w:color="auto"/>
                    <w:right w:val="none" w:sz="0" w:space="0" w:color="auto"/>
                  </w:divBdr>
                  <w:divsChild>
                    <w:div w:id="460731517">
                      <w:marLeft w:val="0"/>
                      <w:marRight w:val="0"/>
                      <w:marTop w:val="0"/>
                      <w:marBottom w:val="0"/>
                      <w:divBdr>
                        <w:top w:val="none" w:sz="0" w:space="0" w:color="auto"/>
                        <w:left w:val="none" w:sz="0" w:space="0" w:color="auto"/>
                        <w:bottom w:val="none" w:sz="0" w:space="0" w:color="auto"/>
                        <w:right w:val="none" w:sz="0" w:space="0" w:color="auto"/>
                      </w:divBdr>
                    </w:div>
                  </w:divsChild>
                </w:div>
                <w:div w:id="383220257">
                  <w:marLeft w:val="0"/>
                  <w:marRight w:val="0"/>
                  <w:marTop w:val="0"/>
                  <w:marBottom w:val="0"/>
                  <w:divBdr>
                    <w:top w:val="none" w:sz="0" w:space="0" w:color="auto"/>
                    <w:left w:val="none" w:sz="0" w:space="0" w:color="auto"/>
                    <w:bottom w:val="none" w:sz="0" w:space="0" w:color="auto"/>
                    <w:right w:val="none" w:sz="0" w:space="0" w:color="auto"/>
                  </w:divBdr>
                  <w:divsChild>
                    <w:div w:id="1094518028">
                      <w:marLeft w:val="0"/>
                      <w:marRight w:val="0"/>
                      <w:marTop w:val="0"/>
                      <w:marBottom w:val="0"/>
                      <w:divBdr>
                        <w:top w:val="none" w:sz="0" w:space="0" w:color="auto"/>
                        <w:left w:val="none" w:sz="0" w:space="0" w:color="auto"/>
                        <w:bottom w:val="none" w:sz="0" w:space="0" w:color="auto"/>
                        <w:right w:val="none" w:sz="0" w:space="0" w:color="auto"/>
                      </w:divBdr>
                    </w:div>
                  </w:divsChild>
                </w:div>
                <w:div w:id="665405326">
                  <w:marLeft w:val="0"/>
                  <w:marRight w:val="0"/>
                  <w:marTop w:val="0"/>
                  <w:marBottom w:val="0"/>
                  <w:divBdr>
                    <w:top w:val="none" w:sz="0" w:space="0" w:color="auto"/>
                    <w:left w:val="none" w:sz="0" w:space="0" w:color="auto"/>
                    <w:bottom w:val="none" w:sz="0" w:space="0" w:color="auto"/>
                    <w:right w:val="none" w:sz="0" w:space="0" w:color="auto"/>
                  </w:divBdr>
                  <w:divsChild>
                    <w:div w:id="1657614293">
                      <w:marLeft w:val="0"/>
                      <w:marRight w:val="0"/>
                      <w:marTop w:val="0"/>
                      <w:marBottom w:val="0"/>
                      <w:divBdr>
                        <w:top w:val="none" w:sz="0" w:space="0" w:color="auto"/>
                        <w:left w:val="none" w:sz="0" w:space="0" w:color="auto"/>
                        <w:bottom w:val="none" w:sz="0" w:space="0" w:color="auto"/>
                        <w:right w:val="none" w:sz="0" w:space="0" w:color="auto"/>
                      </w:divBdr>
                    </w:div>
                  </w:divsChild>
                </w:div>
                <w:div w:id="87433239">
                  <w:marLeft w:val="0"/>
                  <w:marRight w:val="0"/>
                  <w:marTop w:val="0"/>
                  <w:marBottom w:val="0"/>
                  <w:divBdr>
                    <w:top w:val="none" w:sz="0" w:space="0" w:color="auto"/>
                    <w:left w:val="none" w:sz="0" w:space="0" w:color="auto"/>
                    <w:bottom w:val="none" w:sz="0" w:space="0" w:color="auto"/>
                    <w:right w:val="none" w:sz="0" w:space="0" w:color="auto"/>
                  </w:divBdr>
                  <w:divsChild>
                    <w:div w:id="998849430">
                      <w:marLeft w:val="0"/>
                      <w:marRight w:val="0"/>
                      <w:marTop w:val="0"/>
                      <w:marBottom w:val="0"/>
                      <w:divBdr>
                        <w:top w:val="none" w:sz="0" w:space="0" w:color="auto"/>
                        <w:left w:val="none" w:sz="0" w:space="0" w:color="auto"/>
                        <w:bottom w:val="none" w:sz="0" w:space="0" w:color="auto"/>
                        <w:right w:val="none" w:sz="0" w:space="0" w:color="auto"/>
                      </w:divBdr>
                    </w:div>
                  </w:divsChild>
                </w:div>
                <w:div w:id="789203597">
                  <w:marLeft w:val="0"/>
                  <w:marRight w:val="0"/>
                  <w:marTop w:val="0"/>
                  <w:marBottom w:val="0"/>
                  <w:divBdr>
                    <w:top w:val="none" w:sz="0" w:space="0" w:color="auto"/>
                    <w:left w:val="none" w:sz="0" w:space="0" w:color="auto"/>
                    <w:bottom w:val="none" w:sz="0" w:space="0" w:color="auto"/>
                    <w:right w:val="none" w:sz="0" w:space="0" w:color="auto"/>
                  </w:divBdr>
                  <w:divsChild>
                    <w:div w:id="320278387">
                      <w:marLeft w:val="0"/>
                      <w:marRight w:val="0"/>
                      <w:marTop w:val="0"/>
                      <w:marBottom w:val="0"/>
                      <w:divBdr>
                        <w:top w:val="none" w:sz="0" w:space="0" w:color="auto"/>
                        <w:left w:val="none" w:sz="0" w:space="0" w:color="auto"/>
                        <w:bottom w:val="none" w:sz="0" w:space="0" w:color="auto"/>
                        <w:right w:val="none" w:sz="0" w:space="0" w:color="auto"/>
                      </w:divBdr>
                    </w:div>
                  </w:divsChild>
                </w:div>
                <w:div w:id="378480619">
                  <w:marLeft w:val="0"/>
                  <w:marRight w:val="0"/>
                  <w:marTop w:val="0"/>
                  <w:marBottom w:val="0"/>
                  <w:divBdr>
                    <w:top w:val="none" w:sz="0" w:space="0" w:color="auto"/>
                    <w:left w:val="none" w:sz="0" w:space="0" w:color="auto"/>
                    <w:bottom w:val="none" w:sz="0" w:space="0" w:color="auto"/>
                    <w:right w:val="none" w:sz="0" w:space="0" w:color="auto"/>
                  </w:divBdr>
                  <w:divsChild>
                    <w:div w:id="388844166">
                      <w:marLeft w:val="0"/>
                      <w:marRight w:val="0"/>
                      <w:marTop w:val="0"/>
                      <w:marBottom w:val="0"/>
                      <w:divBdr>
                        <w:top w:val="none" w:sz="0" w:space="0" w:color="auto"/>
                        <w:left w:val="none" w:sz="0" w:space="0" w:color="auto"/>
                        <w:bottom w:val="none" w:sz="0" w:space="0" w:color="auto"/>
                        <w:right w:val="none" w:sz="0" w:space="0" w:color="auto"/>
                      </w:divBdr>
                    </w:div>
                  </w:divsChild>
                </w:div>
                <w:div w:id="1664703773">
                  <w:marLeft w:val="0"/>
                  <w:marRight w:val="0"/>
                  <w:marTop w:val="0"/>
                  <w:marBottom w:val="0"/>
                  <w:divBdr>
                    <w:top w:val="none" w:sz="0" w:space="0" w:color="auto"/>
                    <w:left w:val="none" w:sz="0" w:space="0" w:color="auto"/>
                    <w:bottom w:val="none" w:sz="0" w:space="0" w:color="auto"/>
                    <w:right w:val="none" w:sz="0" w:space="0" w:color="auto"/>
                  </w:divBdr>
                  <w:divsChild>
                    <w:div w:id="2056998593">
                      <w:marLeft w:val="0"/>
                      <w:marRight w:val="0"/>
                      <w:marTop w:val="0"/>
                      <w:marBottom w:val="0"/>
                      <w:divBdr>
                        <w:top w:val="none" w:sz="0" w:space="0" w:color="auto"/>
                        <w:left w:val="none" w:sz="0" w:space="0" w:color="auto"/>
                        <w:bottom w:val="none" w:sz="0" w:space="0" w:color="auto"/>
                        <w:right w:val="none" w:sz="0" w:space="0" w:color="auto"/>
                      </w:divBdr>
                    </w:div>
                  </w:divsChild>
                </w:div>
                <w:div w:id="318001683">
                  <w:marLeft w:val="0"/>
                  <w:marRight w:val="0"/>
                  <w:marTop w:val="0"/>
                  <w:marBottom w:val="0"/>
                  <w:divBdr>
                    <w:top w:val="none" w:sz="0" w:space="0" w:color="auto"/>
                    <w:left w:val="none" w:sz="0" w:space="0" w:color="auto"/>
                    <w:bottom w:val="none" w:sz="0" w:space="0" w:color="auto"/>
                    <w:right w:val="none" w:sz="0" w:space="0" w:color="auto"/>
                  </w:divBdr>
                  <w:divsChild>
                    <w:div w:id="1144346667">
                      <w:marLeft w:val="0"/>
                      <w:marRight w:val="0"/>
                      <w:marTop w:val="0"/>
                      <w:marBottom w:val="0"/>
                      <w:divBdr>
                        <w:top w:val="none" w:sz="0" w:space="0" w:color="auto"/>
                        <w:left w:val="none" w:sz="0" w:space="0" w:color="auto"/>
                        <w:bottom w:val="none" w:sz="0" w:space="0" w:color="auto"/>
                        <w:right w:val="none" w:sz="0" w:space="0" w:color="auto"/>
                      </w:divBdr>
                    </w:div>
                  </w:divsChild>
                </w:div>
                <w:div w:id="616181782">
                  <w:marLeft w:val="0"/>
                  <w:marRight w:val="0"/>
                  <w:marTop w:val="0"/>
                  <w:marBottom w:val="0"/>
                  <w:divBdr>
                    <w:top w:val="none" w:sz="0" w:space="0" w:color="auto"/>
                    <w:left w:val="none" w:sz="0" w:space="0" w:color="auto"/>
                    <w:bottom w:val="none" w:sz="0" w:space="0" w:color="auto"/>
                    <w:right w:val="none" w:sz="0" w:space="0" w:color="auto"/>
                  </w:divBdr>
                  <w:divsChild>
                    <w:div w:id="1101800565">
                      <w:marLeft w:val="0"/>
                      <w:marRight w:val="0"/>
                      <w:marTop w:val="0"/>
                      <w:marBottom w:val="0"/>
                      <w:divBdr>
                        <w:top w:val="none" w:sz="0" w:space="0" w:color="auto"/>
                        <w:left w:val="none" w:sz="0" w:space="0" w:color="auto"/>
                        <w:bottom w:val="none" w:sz="0" w:space="0" w:color="auto"/>
                        <w:right w:val="none" w:sz="0" w:space="0" w:color="auto"/>
                      </w:divBdr>
                    </w:div>
                  </w:divsChild>
                </w:div>
                <w:div w:id="566837809">
                  <w:marLeft w:val="0"/>
                  <w:marRight w:val="0"/>
                  <w:marTop w:val="0"/>
                  <w:marBottom w:val="0"/>
                  <w:divBdr>
                    <w:top w:val="none" w:sz="0" w:space="0" w:color="auto"/>
                    <w:left w:val="none" w:sz="0" w:space="0" w:color="auto"/>
                    <w:bottom w:val="none" w:sz="0" w:space="0" w:color="auto"/>
                    <w:right w:val="none" w:sz="0" w:space="0" w:color="auto"/>
                  </w:divBdr>
                  <w:divsChild>
                    <w:div w:id="1398940555">
                      <w:marLeft w:val="0"/>
                      <w:marRight w:val="0"/>
                      <w:marTop w:val="0"/>
                      <w:marBottom w:val="0"/>
                      <w:divBdr>
                        <w:top w:val="none" w:sz="0" w:space="0" w:color="auto"/>
                        <w:left w:val="none" w:sz="0" w:space="0" w:color="auto"/>
                        <w:bottom w:val="none" w:sz="0" w:space="0" w:color="auto"/>
                        <w:right w:val="none" w:sz="0" w:space="0" w:color="auto"/>
                      </w:divBdr>
                    </w:div>
                  </w:divsChild>
                </w:div>
                <w:div w:id="615333979">
                  <w:marLeft w:val="0"/>
                  <w:marRight w:val="0"/>
                  <w:marTop w:val="0"/>
                  <w:marBottom w:val="0"/>
                  <w:divBdr>
                    <w:top w:val="none" w:sz="0" w:space="0" w:color="auto"/>
                    <w:left w:val="none" w:sz="0" w:space="0" w:color="auto"/>
                    <w:bottom w:val="none" w:sz="0" w:space="0" w:color="auto"/>
                    <w:right w:val="none" w:sz="0" w:space="0" w:color="auto"/>
                  </w:divBdr>
                  <w:divsChild>
                    <w:div w:id="1891066841">
                      <w:marLeft w:val="0"/>
                      <w:marRight w:val="0"/>
                      <w:marTop w:val="0"/>
                      <w:marBottom w:val="0"/>
                      <w:divBdr>
                        <w:top w:val="none" w:sz="0" w:space="0" w:color="auto"/>
                        <w:left w:val="none" w:sz="0" w:space="0" w:color="auto"/>
                        <w:bottom w:val="none" w:sz="0" w:space="0" w:color="auto"/>
                        <w:right w:val="none" w:sz="0" w:space="0" w:color="auto"/>
                      </w:divBdr>
                    </w:div>
                  </w:divsChild>
                </w:div>
                <w:div w:id="590433430">
                  <w:marLeft w:val="0"/>
                  <w:marRight w:val="0"/>
                  <w:marTop w:val="0"/>
                  <w:marBottom w:val="0"/>
                  <w:divBdr>
                    <w:top w:val="none" w:sz="0" w:space="0" w:color="auto"/>
                    <w:left w:val="none" w:sz="0" w:space="0" w:color="auto"/>
                    <w:bottom w:val="none" w:sz="0" w:space="0" w:color="auto"/>
                    <w:right w:val="none" w:sz="0" w:space="0" w:color="auto"/>
                  </w:divBdr>
                  <w:divsChild>
                    <w:div w:id="2104908620">
                      <w:marLeft w:val="0"/>
                      <w:marRight w:val="0"/>
                      <w:marTop w:val="0"/>
                      <w:marBottom w:val="0"/>
                      <w:divBdr>
                        <w:top w:val="none" w:sz="0" w:space="0" w:color="auto"/>
                        <w:left w:val="none" w:sz="0" w:space="0" w:color="auto"/>
                        <w:bottom w:val="none" w:sz="0" w:space="0" w:color="auto"/>
                        <w:right w:val="none" w:sz="0" w:space="0" w:color="auto"/>
                      </w:divBdr>
                    </w:div>
                  </w:divsChild>
                </w:div>
                <w:div w:id="1762683411">
                  <w:marLeft w:val="0"/>
                  <w:marRight w:val="0"/>
                  <w:marTop w:val="0"/>
                  <w:marBottom w:val="0"/>
                  <w:divBdr>
                    <w:top w:val="none" w:sz="0" w:space="0" w:color="auto"/>
                    <w:left w:val="none" w:sz="0" w:space="0" w:color="auto"/>
                    <w:bottom w:val="none" w:sz="0" w:space="0" w:color="auto"/>
                    <w:right w:val="none" w:sz="0" w:space="0" w:color="auto"/>
                  </w:divBdr>
                  <w:divsChild>
                    <w:div w:id="1065375025">
                      <w:marLeft w:val="0"/>
                      <w:marRight w:val="0"/>
                      <w:marTop w:val="0"/>
                      <w:marBottom w:val="0"/>
                      <w:divBdr>
                        <w:top w:val="none" w:sz="0" w:space="0" w:color="auto"/>
                        <w:left w:val="none" w:sz="0" w:space="0" w:color="auto"/>
                        <w:bottom w:val="none" w:sz="0" w:space="0" w:color="auto"/>
                        <w:right w:val="none" w:sz="0" w:space="0" w:color="auto"/>
                      </w:divBdr>
                    </w:div>
                  </w:divsChild>
                </w:div>
                <w:div w:id="1101954957">
                  <w:marLeft w:val="0"/>
                  <w:marRight w:val="0"/>
                  <w:marTop w:val="0"/>
                  <w:marBottom w:val="0"/>
                  <w:divBdr>
                    <w:top w:val="none" w:sz="0" w:space="0" w:color="auto"/>
                    <w:left w:val="none" w:sz="0" w:space="0" w:color="auto"/>
                    <w:bottom w:val="none" w:sz="0" w:space="0" w:color="auto"/>
                    <w:right w:val="none" w:sz="0" w:space="0" w:color="auto"/>
                  </w:divBdr>
                  <w:divsChild>
                    <w:div w:id="1907688737">
                      <w:marLeft w:val="0"/>
                      <w:marRight w:val="0"/>
                      <w:marTop w:val="0"/>
                      <w:marBottom w:val="0"/>
                      <w:divBdr>
                        <w:top w:val="none" w:sz="0" w:space="0" w:color="auto"/>
                        <w:left w:val="none" w:sz="0" w:space="0" w:color="auto"/>
                        <w:bottom w:val="none" w:sz="0" w:space="0" w:color="auto"/>
                        <w:right w:val="none" w:sz="0" w:space="0" w:color="auto"/>
                      </w:divBdr>
                    </w:div>
                  </w:divsChild>
                </w:div>
                <w:div w:id="923301916">
                  <w:marLeft w:val="0"/>
                  <w:marRight w:val="0"/>
                  <w:marTop w:val="0"/>
                  <w:marBottom w:val="0"/>
                  <w:divBdr>
                    <w:top w:val="none" w:sz="0" w:space="0" w:color="auto"/>
                    <w:left w:val="none" w:sz="0" w:space="0" w:color="auto"/>
                    <w:bottom w:val="none" w:sz="0" w:space="0" w:color="auto"/>
                    <w:right w:val="none" w:sz="0" w:space="0" w:color="auto"/>
                  </w:divBdr>
                  <w:divsChild>
                    <w:div w:id="8565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3212">
          <w:marLeft w:val="0"/>
          <w:marRight w:val="0"/>
          <w:marTop w:val="0"/>
          <w:marBottom w:val="0"/>
          <w:divBdr>
            <w:top w:val="none" w:sz="0" w:space="0" w:color="auto"/>
            <w:left w:val="none" w:sz="0" w:space="0" w:color="auto"/>
            <w:bottom w:val="none" w:sz="0" w:space="0" w:color="auto"/>
            <w:right w:val="none" w:sz="0" w:space="0" w:color="auto"/>
          </w:divBdr>
        </w:div>
        <w:div w:id="698971883">
          <w:marLeft w:val="0"/>
          <w:marRight w:val="0"/>
          <w:marTop w:val="0"/>
          <w:marBottom w:val="0"/>
          <w:divBdr>
            <w:top w:val="none" w:sz="0" w:space="0" w:color="auto"/>
            <w:left w:val="none" w:sz="0" w:space="0" w:color="auto"/>
            <w:bottom w:val="none" w:sz="0" w:space="0" w:color="auto"/>
            <w:right w:val="none" w:sz="0" w:space="0" w:color="auto"/>
          </w:divBdr>
        </w:div>
        <w:div w:id="1642298447">
          <w:marLeft w:val="0"/>
          <w:marRight w:val="0"/>
          <w:marTop w:val="0"/>
          <w:marBottom w:val="0"/>
          <w:divBdr>
            <w:top w:val="none" w:sz="0" w:space="0" w:color="auto"/>
            <w:left w:val="none" w:sz="0" w:space="0" w:color="auto"/>
            <w:bottom w:val="none" w:sz="0" w:space="0" w:color="auto"/>
            <w:right w:val="none" w:sz="0" w:space="0" w:color="auto"/>
          </w:divBdr>
          <w:divsChild>
            <w:div w:id="349646490">
              <w:marLeft w:val="-75"/>
              <w:marRight w:val="0"/>
              <w:marTop w:val="30"/>
              <w:marBottom w:val="30"/>
              <w:divBdr>
                <w:top w:val="none" w:sz="0" w:space="0" w:color="auto"/>
                <w:left w:val="none" w:sz="0" w:space="0" w:color="auto"/>
                <w:bottom w:val="none" w:sz="0" w:space="0" w:color="auto"/>
                <w:right w:val="none" w:sz="0" w:space="0" w:color="auto"/>
              </w:divBdr>
              <w:divsChild>
                <w:div w:id="527185283">
                  <w:marLeft w:val="0"/>
                  <w:marRight w:val="0"/>
                  <w:marTop w:val="0"/>
                  <w:marBottom w:val="0"/>
                  <w:divBdr>
                    <w:top w:val="none" w:sz="0" w:space="0" w:color="auto"/>
                    <w:left w:val="none" w:sz="0" w:space="0" w:color="auto"/>
                    <w:bottom w:val="none" w:sz="0" w:space="0" w:color="auto"/>
                    <w:right w:val="none" w:sz="0" w:space="0" w:color="auto"/>
                  </w:divBdr>
                  <w:divsChild>
                    <w:div w:id="1060981449">
                      <w:marLeft w:val="0"/>
                      <w:marRight w:val="0"/>
                      <w:marTop w:val="0"/>
                      <w:marBottom w:val="0"/>
                      <w:divBdr>
                        <w:top w:val="none" w:sz="0" w:space="0" w:color="auto"/>
                        <w:left w:val="none" w:sz="0" w:space="0" w:color="auto"/>
                        <w:bottom w:val="none" w:sz="0" w:space="0" w:color="auto"/>
                        <w:right w:val="none" w:sz="0" w:space="0" w:color="auto"/>
                      </w:divBdr>
                    </w:div>
                  </w:divsChild>
                </w:div>
                <w:div w:id="641885479">
                  <w:marLeft w:val="0"/>
                  <w:marRight w:val="0"/>
                  <w:marTop w:val="0"/>
                  <w:marBottom w:val="0"/>
                  <w:divBdr>
                    <w:top w:val="none" w:sz="0" w:space="0" w:color="auto"/>
                    <w:left w:val="none" w:sz="0" w:space="0" w:color="auto"/>
                    <w:bottom w:val="none" w:sz="0" w:space="0" w:color="auto"/>
                    <w:right w:val="none" w:sz="0" w:space="0" w:color="auto"/>
                  </w:divBdr>
                  <w:divsChild>
                    <w:div w:id="2123303264">
                      <w:marLeft w:val="0"/>
                      <w:marRight w:val="0"/>
                      <w:marTop w:val="0"/>
                      <w:marBottom w:val="0"/>
                      <w:divBdr>
                        <w:top w:val="none" w:sz="0" w:space="0" w:color="auto"/>
                        <w:left w:val="none" w:sz="0" w:space="0" w:color="auto"/>
                        <w:bottom w:val="none" w:sz="0" w:space="0" w:color="auto"/>
                        <w:right w:val="none" w:sz="0" w:space="0" w:color="auto"/>
                      </w:divBdr>
                    </w:div>
                  </w:divsChild>
                </w:div>
                <w:div w:id="2073653127">
                  <w:marLeft w:val="0"/>
                  <w:marRight w:val="0"/>
                  <w:marTop w:val="0"/>
                  <w:marBottom w:val="0"/>
                  <w:divBdr>
                    <w:top w:val="none" w:sz="0" w:space="0" w:color="auto"/>
                    <w:left w:val="none" w:sz="0" w:space="0" w:color="auto"/>
                    <w:bottom w:val="none" w:sz="0" w:space="0" w:color="auto"/>
                    <w:right w:val="none" w:sz="0" w:space="0" w:color="auto"/>
                  </w:divBdr>
                  <w:divsChild>
                    <w:div w:id="676540960">
                      <w:marLeft w:val="0"/>
                      <w:marRight w:val="0"/>
                      <w:marTop w:val="0"/>
                      <w:marBottom w:val="0"/>
                      <w:divBdr>
                        <w:top w:val="none" w:sz="0" w:space="0" w:color="auto"/>
                        <w:left w:val="none" w:sz="0" w:space="0" w:color="auto"/>
                        <w:bottom w:val="none" w:sz="0" w:space="0" w:color="auto"/>
                        <w:right w:val="none" w:sz="0" w:space="0" w:color="auto"/>
                      </w:divBdr>
                    </w:div>
                  </w:divsChild>
                </w:div>
                <w:div w:id="2104914920">
                  <w:marLeft w:val="0"/>
                  <w:marRight w:val="0"/>
                  <w:marTop w:val="0"/>
                  <w:marBottom w:val="0"/>
                  <w:divBdr>
                    <w:top w:val="none" w:sz="0" w:space="0" w:color="auto"/>
                    <w:left w:val="none" w:sz="0" w:space="0" w:color="auto"/>
                    <w:bottom w:val="none" w:sz="0" w:space="0" w:color="auto"/>
                    <w:right w:val="none" w:sz="0" w:space="0" w:color="auto"/>
                  </w:divBdr>
                  <w:divsChild>
                    <w:div w:id="1055469995">
                      <w:marLeft w:val="0"/>
                      <w:marRight w:val="0"/>
                      <w:marTop w:val="0"/>
                      <w:marBottom w:val="0"/>
                      <w:divBdr>
                        <w:top w:val="none" w:sz="0" w:space="0" w:color="auto"/>
                        <w:left w:val="none" w:sz="0" w:space="0" w:color="auto"/>
                        <w:bottom w:val="none" w:sz="0" w:space="0" w:color="auto"/>
                        <w:right w:val="none" w:sz="0" w:space="0" w:color="auto"/>
                      </w:divBdr>
                    </w:div>
                  </w:divsChild>
                </w:div>
                <w:div w:id="573470874">
                  <w:marLeft w:val="0"/>
                  <w:marRight w:val="0"/>
                  <w:marTop w:val="0"/>
                  <w:marBottom w:val="0"/>
                  <w:divBdr>
                    <w:top w:val="none" w:sz="0" w:space="0" w:color="auto"/>
                    <w:left w:val="none" w:sz="0" w:space="0" w:color="auto"/>
                    <w:bottom w:val="none" w:sz="0" w:space="0" w:color="auto"/>
                    <w:right w:val="none" w:sz="0" w:space="0" w:color="auto"/>
                  </w:divBdr>
                  <w:divsChild>
                    <w:div w:id="638655294">
                      <w:marLeft w:val="0"/>
                      <w:marRight w:val="0"/>
                      <w:marTop w:val="0"/>
                      <w:marBottom w:val="0"/>
                      <w:divBdr>
                        <w:top w:val="none" w:sz="0" w:space="0" w:color="auto"/>
                        <w:left w:val="none" w:sz="0" w:space="0" w:color="auto"/>
                        <w:bottom w:val="none" w:sz="0" w:space="0" w:color="auto"/>
                        <w:right w:val="none" w:sz="0" w:space="0" w:color="auto"/>
                      </w:divBdr>
                    </w:div>
                  </w:divsChild>
                </w:div>
                <w:div w:id="1778988724">
                  <w:marLeft w:val="0"/>
                  <w:marRight w:val="0"/>
                  <w:marTop w:val="0"/>
                  <w:marBottom w:val="0"/>
                  <w:divBdr>
                    <w:top w:val="none" w:sz="0" w:space="0" w:color="auto"/>
                    <w:left w:val="none" w:sz="0" w:space="0" w:color="auto"/>
                    <w:bottom w:val="none" w:sz="0" w:space="0" w:color="auto"/>
                    <w:right w:val="none" w:sz="0" w:space="0" w:color="auto"/>
                  </w:divBdr>
                  <w:divsChild>
                    <w:div w:id="1392072132">
                      <w:marLeft w:val="0"/>
                      <w:marRight w:val="0"/>
                      <w:marTop w:val="0"/>
                      <w:marBottom w:val="0"/>
                      <w:divBdr>
                        <w:top w:val="none" w:sz="0" w:space="0" w:color="auto"/>
                        <w:left w:val="none" w:sz="0" w:space="0" w:color="auto"/>
                        <w:bottom w:val="none" w:sz="0" w:space="0" w:color="auto"/>
                        <w:right w:val="none" w:sz="0" w:space="0" w:color="auto"/>
                      </w:divBdr>
                    </w:div>
                  </w:divsChild>
                </w:div>
                <w:div w:id="1693647320">
                  <w:marLeft w:val="0"/>
                  <w:marRight w:val="0"/>
                  <w:marTop w:val="0"/>
                  <w:marBottom w:val="0"/>
                  <w:divBdr>
                    <w:top w:val="none" w:sz="0" w:space="0" w:color="auto"/>
                    <w:left w:val="none" w:sz="0" w:space="0" w:color="auto"/>
                    <w:bottom w:val="none" w:sz="0" w:space="0" w:color="auto"/>
                    <w:right w:val="none" w:sz="0" w:space="0" w:color="auto"/>
                  </w:divBdr>
                  <w:divsChild>
                    <w:div w:id="958804000">
                      <w:marLeft w:val="0"/>
                      <w:marRight w:val="0"/>
                      <w:marTop w:val="0"/>
                      <w:marBottom w:val="0"/>
                      <w:divBdr>
                        <w:top w:val="none" w:sz="0" w:space="0" w:color="auto"/>
                        <w:left w:val="none" w:sz="0" w:space="0" w:color="auto"/>
                        <w:bottom w:val="none" w:sz="0" w:space="0" w:color="auto"/>
                        <w:right w:val="none" w:sz="0" w:space="0" w:color="auto"/>
                      </w:divBdr>
                    </w:div>
                  </w:divsChild>
                </w:div>
                <w:div w:id="167991392">
                  <w:marLeft w:val="0"/>
                  <w:marRight w:val="0"/>
                  <w:marTop w:val="0"/>
                  <w:marBottom w:val="0"/>
                  <w:divBdr>
                    <w:top w:val="none" w:sz="0" w:space="0" w:color="auto"/>
                    <w:left w:val="none" w:sz="0" w:space="0" w:color="auto"/>
                    <w:bottom w:val="none" w:sz="0" w:space="0" w:color="auto"/>
                    <w:right w:val="none" w:sz="0" w:space="0" w:color="auto"/>
                  </w:divBdr>
                  <w:divsChild>
                    <w:div w:id="890464387">
                      <w:marLeft w:val="0"/>
                      <w:marRight w:val="0"/>
                      <w:marTop w:val="0"/>
                      <w:marBottom w:val="0"/>
                      <w:divBdr>
                        <w:top w:val="none" w:sz="0" w:space="0" w:color="auto"/>
                        <w:left w:val="none" w:sz="0" w:space="0" w:color="auto"/>
                        <w:bottom w:val="none" w:sz="0" w:space="0" w:color="auto"/>
                        <w:right w:val="none" w:sz="0" w:space="0" w:color="auto"/>
                      </w:divBdr>
                    </w:div>
                  </w:divsChild>
                </w:div>
                <w:div w:id="2141413600">
                  <w:marLeft w:val="0"/>
                  <w:marRight w:val="0"/>
                  <w:marTop w:val="0"/>
                  <w:marBottom w:val="0"/>
                  <w:divBdr>
                    <w:top w:val="none" w:sz="0" w:space="0" w:color="auto"/>
                    <w:left w:val="none" w:sz="0" w:space="0" w:color="auto"/>
                    <w:bottom w:val="none" w:sz="0" w:space="0" w:color="auto"/>
                    <w:right w:val="none" w:sz="0" w:space="0" w:color="auto"/>
                  </w:divBdr>
                  <w:divsChild>
                    <w:div w:id="1855606239">
                      <w:marLeft w:val="0"/>
                      <w:marRight w:val="0"/>
                      <w:marTop w:val="0"/>
                      <w:marBottom w:val="0"/>
                      <w:divBdr>
                        <w:top w:val="none" w:sz="0" w:space="0" w:color="auto"/>
                        <w:left w:val="none" w:sz="0" w:space="0" w:color="auto"/>
                        <w:bottom w:val="none" w:sz="0" w:space="0" w:color="auto"/>
                        <w:right w:val="none" w:sz="0" w:space="0" w:color="auto"/>
                      </w:divBdr>
                    </w:div>
                  </w:divsChild>
                </w:div>
                <w:div w:id="372465528">
                  <w:marLeft w:val="0"/>
                  <w:marRight w:val="0"/>
                  <w:marTop w:val="0"/>
                  <w:marBottom w:val="0"/>
                  <w:divBdr>
                    <w:top w:val="none" w:sz="0" w:space="0" w:color="auto"/>
                    <w:left w:val="none" w:sz="0" w:space="0" w:color="auto"/>
                    <w:bottom w:val="none" w:sz="0" w:space="0" w:color="auto"/>
                    <w:right w:val="none" w:sz="0" w:space="0" w:color="auto"/>
                  </w:divBdr>
                  <w:divsChild>
                    <w:div w:id="195386418">
                      <w:marLeft w:val="0"/>
                      <w:marRight w:val="0"/>
                      <w:marTop w:val="0"/>
                      <w:marBottom w:val="0"/>
                      <w:divBdr>
                        <w:top w:val="none" w:sz="0" w:space="0" w:color="auto"/>
                        <w:left w:val="none" w:sz="0" w:space="0" w:color="auto"/>
                        <w:bottom w:val="none" w:sz="0" w:space="0" w:color="auto"/>
                        <w:right w:val="none" w:sz="0" w:space="0" w:color="auto"/>
                      </w:divBdr>
                    </w:div>
                  </w:divsChild>
                </w:div>
                <w:div w:id="1019284284">
                  <w:marLeft w:val="0"/>
                  <w:marRight w:val="0"/>
                  <w:marTop w:val="0"/>
                  <w:marBottom w:val="0"/>
                  <w:divBdr>
                    <w:top w:val="none" w:sz="0" w:space="0" w:color="auto"/>
                    <w:left w:val="none" w:sz="0" w:space="0" w:color="auto"/>
                    <w:bottom w:val="none" w:sz="0" w:space="0" w:color="auto"/>
                    <w:right w:val="none" w:sz="0" w:space="0" w:color="auto"/>
                  </w:divBdr>
                  <w:divsChild>
                    <w:div w:id="565651110">
                      <w:marLeft w:val="0"/>
                      <w:marRight w:val="0"/>
                      <w:marTop w:val="0"/>
                      <w:marBottom w:val="0"/>
                      <w:divBdr>
                        <w:top w:val="none" w:sz="0" w:space="0" w:color="auto"/>
                        <w:left w:val="none" w:sz="0" w:space="0" w:color="auto"/>
                        <w:bottom w:val="none" w:sz="0" w:space="0" w:color="auto"/>
                        <w:right w:val="none" w:sz="0" w:space="0" w:color="auto"/>
                      </w:divBdr>
                    </w:div>
                  </w:divsChild>
                </w:div>
                <w:div w:id="1195192310">
                  <w:marLeft w:val="0"/>
                  <w:marRight w:val="0"/>
                  <w:marTop w:val="0"/>
                  <w:marBottom w:val="0"/>
                  <w:divBdr>
                    <w:top w:val="none" w:sz="0" w:space="0" w:color="auto"/>
                    <w:left w:val="none" w:sz="0" w:space="0" w:color="auto"/>
                    <w:bottom w:val="none" w:sz="0" w:space="0" w:color="auto"/>
                    <w:right w:val="none" w:sz="0" w:space="0" w:color="auto"/>
                  </w:divBdr>
                  <w:divsChild>
                    <w:div w:id="14697178">
                      <w:marLeft w:val="0"/>
                      <w:marRight w:val="0"/>
                      <w:marTop w:val="0"/>
                      <w:marBottom w:val="0"/>
                      <w:divBdr>
                        <w:top w:val="none" w:sz="0" w:space="0" w:color="auto"/>
                        <w:left w:val="none" w:sz="0" w:space="0" w:color="auto"/>
                        <w:bottom w:val="none" w:sz="0" w:space="0" w:color="auto"/>
                        <w:right w:val="none" w:sz="0" w:space="0" w:color="auto"/>
                      </w:divBdr>
                    </w:div>
                  </w:divsChild>
                </w:div>
                <w:div w:id="1679889634">
                  <w:marLeft w:val="0"/>
                  <w:marRight w:val="0"/>
                  <w:marTop w:val="0"/>
                  <w:marBottom w:val="0"/>
                  <w:divBdr>
                    <w:top w:val="none" w:sz="0" w:space="0" w:color="auto"/>
                    <w:left w:val="none" w:sz="0" w:space="0" w:color="auto"/>
                    <w:bottom w:val="none" w:sz="0" w:space="0" w:color="auto"/>
                    <w:right w:val="none" w:sz="0" w:space="0" w:color="auto"/>
                  </w:divBdr>
                  <w:divsChild>
                    <w:div w:id="305860892">
                      <w:marLeft w:val="0"/>
                      <w:marRight w:val="0"/>
                      <w:marTop w:val="0"/>
                      <w:marBottom w:val="0"/>
                      <w:divBdr>
                        <w:top w:val="none" w:sz="0" w:space="0" w:color="auto"/>
                        <w:left w:val="none" w:sz="0" w:space="0" w:color="auto"/>
                        <w:bottom w:val="none" w:sz="0" w:space="0" w:color="auto"/>
                        <w:right w:val="none" w:sz="0" w:space="0" w:color="auto"/>
                      </w:divBdr>
                    </w:div>
                  </w:divsChild>
                </w:div>
                <w:div w:id="983855140">
                  <w:marLeft w:val="0"/>
                  <w:marRight w:val="0"/>
                  <w:marTop w:val="0"/>
                  <w:marBottom w:val="0"/>
                  <w:divBdr>
                    <w:top w:val="none" w:sz="0" w:space="0" w:color="auto"/>
                    <w:left w:val="none" w:sz="0" w:space="0" w:color="auto"/>
                    <w:bottom w:val="none" w:sz="0" w:space="0" w:color="auto"/>
                    <w:right w:val="none" w:sz="0" w:space="0" w:color="auto"/>
                  </w:divBdr>
                  <w:divsChild>
                    <w:div w:id="1112744150">
                      <w:marLeft w:val="0"/>
                      <w:marRight w:val="0"/>
                      <w:marTop w:val="0"/>
                      <w:marBottom w:val="0"/>
                      <w:divBdr>
                        <w:top w:val="none" w:sz="0" w:space="0" w:color="auto"/>
                        <w:left w:val="none" w:sz="0" w:space="0" w:color="auto"/>
                        <w:bottom w:val="none" w:sz="0" w:space="0" w:color="auto"/>
                        <w:right w:val="none" w:sz="0" w:space="0" w:color="auto"/>
                      </w:divBdr>
                    </w:div>
                  </w:divsChild>
                </w:div>
                <w:div w:id="1241403410">
                  <w:marLeft w:val="0"/>
                  <w:marRight w:val="0"/>
                  <w:marTop w:val="0"/>
                  <w:marBottom w:val="0"/>
                  <w:divBdr>
                    <w:top w:val="none" w:sz="0" w:space="0" w:color="auto"/>
                    <w:left w:val="none" w:sz="0" w:space="0" w:color="auto"/>
                    <w:bottom w:val="none" w:sz="0" w:space="0" w:color="auto"/>
                    <w:right w:val="none" w:sz="0" w:space="0" w:color="auto"/>
                  </w:divBdr>
                  <w:divsChild>
                    <w:div w:id="1000814978">
                      <w:marLeft w:val="0"/>
                      <w:marRight w:val="0"/>
                      <w:marTop w:val="0"/>
                      <w:marBottom w:val="0"/>
                      <w:divBdr>
                        <w:top w:val="none" w:sz="0" w:space="0" w:color="auto"/>
                        <w:left w:val="none" w:sz="0" w:space="0" w:color="auto"/>
                        <w:bottom w:val="none" w:sz="0" w:space="0" w:color="auto"/>
                        <w:right w:val="none" w:sz="0" w:space="0" w:color="auto"/>
                      </w:divBdr>
                    </w:div>
                  </w:divsChild>
                </w:div>
                <w:div w:id="1594823177">
                  <w:marLeft w:val="0"/>
                  <w:marRight w:val="0"/>
                  <w:marTop w:val="0"/>
                  <w:marBottom w:val="0"/>
                  <w:divBdr>
                    <w:top w:val="none" w:sz="0" w:space="0" w:color="auto"/>
                    <w:left w:val="none" w:sz="0" w:space="0" w:color="auto"/>
                    <w:bottom w:val="none" w:sz="0" w:space="0" w:color="auto"/>
                    <w:right w:val="none" w:sz="0" w:space="0" w:color="auto"/>
                  </w:divBdr>
                  <w:divsChild>
                    <w:div w:id="1352680238">
                      <w:marLeft w:val="0"/>
                      <w:marRight w:val="0"/>
                      <w:marTop w:val="0"/>
                      <w:marBottom w:val="0"/>
                      <w:divBdr>
                        <w:top w:val="none" w:sz="0" w:space="0" w:color="auto"/>
                        <w:left w:val="none" w:sz="0" w:space="0" w:color="auto"/>
                        <w:bottom w:val="none" w:sz="0" w:space="0" w:color="auto"/>
                        <w:right w:val="none" w:sz="0" w:space="0" w:color="auto"/>
                      </w:divBdr>
                    </w:div>
                  </w:divsChild>
                </w:div>
                <w:div w:id="936983709">
                  <w:marLeft w:val="0"/>
                  <w:marRight w:val="0"/>
                  <w:marTop w:val="0"/>
                  <w:marBottom w:val="0"/>
                  <w:divBdr>
                    <w:top w:val="none" w:sz="0" w:space="0" w:color="auto"/>
                    <w:left w:val="none" w:sz="0" w:space="0" w:color="auto"/>
                    <w:bottom w:val="none" w:sz="0" w:space="0" w:color="auto"/>
                    <w:right w:val="none" w:sz="0" w:space="0" w:color="auto"/>
                  </w:divBdr>
                  <w:divsChild>
                    <w:div w:id="1707558618">
                      <w:marLeft w:val="0"/>
                      <w:marRight w:val="0"/>
                      <w:marTop w:val="0"/>
                      <w:marBottom w:val="0"/>
                      <w:divBdr>
                        <w:top w:val="none" w:sz="0" w:space="0" w:color="auto"/>
                        <w:left w:val="none" w:sz="0" w:space="0" w:color="auto"/>
                        <w:bottom w:val="none" w:sz="0" w:space="0" w:color="auto"/>
                        <w:right w:val="none" w:sz="0" w:space="0" w:color="auto"/>
                      </w:divBdr>
                    </w:div>
                  </w:divsChild>
                </w:div>
                <w:div w:id="288243277">
                  <w:marLeft w:val="0"/>
                  <w:marRight w:val="0"/>
                  <w:marTop w:val="0"/>
                  <w:marBottom w:val="0"/>
                  <w:divBdr>
                    <w:top w:val="none" w:sz="0" w:space="0" w:color="auto"/>
                    <w:left w:val="none" w:sz="0" w:space="0" w:color="auto"/>
                    <w:bottom w:val="none" w:sz="0" w:space="0" w:color="auto"/>
                    <w:right w:val="none" w:sz="0" w:space="0" w:color="auto"/>
                  </w:divBdr>
                  <w:divsChild>
                    <w:div w:id="2073774292">
                      <w:marLeft w:val="0"/>
                      <w:marRight w:val="0"/>
                      <w:marTop w:val="0"/>
                      <w:marBottom w:val="0"/>
                      <w:divBdr>
                        <w:top w:val="none" w:sz="0" w:space="0" w:color="auto"/>
                        <w:left w:val="none" w:sz="0" w:space="0" w:color="auto"/>
                        <w:bottom w:val="none" w:sz="0" w:space="0" w:color="auto"/>
                        <w:right w:val="none" w:sz="0" w:space="0" w:color="auto"/>
                      </w:divBdr>
                    </w:div>
                  </w:divsChild>
                </w:div>
                <w:div w:id="713625084">
                  <w:marLeft w:val="0"/>
                  <w:marRight w:val="0"/>
                  <w:marTop w:val="0"/>
                  <w:marBottom w:val="0"/>
                  <w:divBdr>
                    <w:top w:val="none" w:sz="0" w:space="0" w:color="auto"/>
                    <w:left w:val="none" w:sz="0" w:space="0" w:color="auto"/>
                    <w:bottom w:val="none" w:sz="0" w:space="0" w:color="auto"/>
                    <w:right w:val="none" w:sz="0" w:space="0" w:color="auto"/>
                  </w:divBdr>
                  <w:divsChild>
                    <w:div w:id="771163804">
                      <w:marLeft w:val="0"/>
                      <w:marRight w:val="0"/>
                      <w:marTop w:val="0"/>
                      <w:marBottom w:val="0"/>
                      <w:divBdr>
                        <w:top w:val="none" w:sz="0" w:space="0" w:color="auto"/>
                        <w:left w:val="none" w:sz="0" w:space="0" w:color="auto"/>
                        <w:bottom w:val="none" w:sz="0" w:space="0" w:color="auto"/>
                        <w:right w:val="none" w:sz="0" w:space="0" w:color="auto"/>
                      </w:divBdr>
                    </w:div>
                  </w:divsChild>
                </w:div>
                <w:div w:id="48311464">
                  <w:marLeft w:val="0"/>
                  <w:marRight w:val="0"/>
                  <w:marTop w:val="0"/>
                  <w:marBottom w:val="0"/>
                  <w:divBdr>
                    <w:top w:val="none" w:sz="0" w:space="0" w:color="auto"/>
                    <w:left w:val="none" w:sz="0" w:space="0" w:color="auto"/>
                    <w:bottom w:val="none" w:sz="0" w:space="0" w:color="auto"/>
                    <w:right w:val="none" w:sz="0" w:space="0" w:color="auto"/>
                  </w:divBdr>
                  <w:divsChild>
                    <w:div w:id="2063169164">
                      <w:marLeft w:val="0"/>
                      <w:marRight w:val="0"/>
                      <w:marTop w:val="0"/>
                      <w:marBottom w:val="0"/>
                      <w:divBdr>
                        <w:top w:val="none" w:sz="0" w:space="0" w:color="auto"/>
                        <w:left w:val="none" w:sz="0" w:space="0" w:color="auto"/>
                        <w:bottom w:val="none" w:sz="0" w:space="0" w:color="auto"/>
                        <w:right w:val="none" w:sz="0" w:space="0" w:color="auto"/>
                      </w:divBdr>
                    </w:div>
                  </w:divsChild>
                </w:div>
                <w:div w:id="1415971736">
                  <w:marLeft w:val="0"/>
                  <w:marRight w:val="0"/>
                  <w:marTop w:val="0"/>
                  <w:marBottom w:val="0"/>
                  <w:divBdr>
                    <w:top w:val="none" w:sz="0" w:space="0" w:color="auto"/>
                    <w:left w:val="none" w:sz="0" w:space="0" w:color="auto"/>
                    <w:bottom w:val="none" w:sz="0" w:space="0" w:color="auto"/>
                    <w:right w:val="none" w:sz="0" w:space="0" w:color="auto"/>
                  </w:divBdr>
                  <w:divsChild>
                    <w:div w:id="1248614578">
                      <w:marLeft w:val="0"/>
                      <w:marRight w:val="0"/>
                      <w:marTop w:val="0"/>
                      <w:marBottom w:val="0"/>
                      <w:divBdr>
                        <w:top w:val="none" w:sz="0" w:space="0" w:color="auto"/>
                        <w:left w:val="none" w:sz="0" w:space="0" w:color="auto"/>
                        <w:bottom w:val="none" w:sz="0" w:space="0" w:color="auto"/>
                        <w:right w:val="none" w:sz="0" w:space="0" w:color="auto"/>
                      </w:divBdr>
                    </w:div>
                  </w:divsChild>
                </w:div>
                <w:div w:id="2112628664">
                  <w:marLeft w:val="0"/>
                  <w:marRight w:val="0"/>
                  <w:marTop w:val="0"/>
                  <w:marBottom w:val="0"/>
                  <w:divBdr>
                    <w:top w:val="none" w:sz="0" w:space="0" w:color="auto"/>
                    <w:left w:val="none" w:sz="0" w:space="0" w:color="auto"/>
                    <w:bottom w:val="none" w:sz="0" w:space="0" w:color="auto"/>
                    <w:right w:val="none" w:sz="0" w:space="0" w:color="auto"/>
                  </w:divBdr>
                  <w:divsChild>
                    <w:div w:id="1539656666">
                      <w:marLeft w:val="0"/>
                      <w:marRight w:val="0"/>
                      <w:marTop w:val="0"/>
                      <w:marBottom w:val="0"/>
                      <w:divBdr>
                        <w:top w:val="none" w:sz="0" w:space="0" w:color="auto"/>
                        <w:left w:val="none" w:sz="0" w:space="0" w:color="auto"/>
                        <w:bottom w:val="none" w:sz="0" w:space="0" w:color="auto"/>
                        <w:right w:val="none" w:sz="0" w:space="0" w:color="auto"/>
                      </w:divBdr>
                    </w:div>
                  </w:divsChild>
                </w:div>
                <w:div w:id="228076771">
                  <w:marLeft w:val="0"/>
                  <w:marRight w:val="0"/>
                  <w:marTop w:val="0"/>
                  <w:marBottom w:val="0"/>
                  <w:divBdr>
                    <w:top w:val="none" w:sz="0" w:space="0" w:color="auto"/>
                    <w:left w:val="none" w:sz="0" w:space="0" w:color="auto"/>
                    <w:bottom w:val="none" w:sz="0" w:space="0" w:color="auto"/>
                    <w:right w:val="none" w:sz="0" w:space="0" w:color="auto"/>
                  </w:divBdr>
                  <w:divsChild>
                    <w:div w:id="1625036021">
                      <w:marLeft w:val="0"/>
                      <w:marRight w:val="0"/>
                      <w:marTop w:val="0"/>
                      <w:marBottom w:val="0"/>
                      <w:divBdr>
                        <w:top w:val="none" w:sz="0" w:space="0" w:color="auto"/>
                        <w:left w:val="none" w:sz="0" w:space="0" w:color="auto"/>
                        <w:bottom w:val="none" w:sz="0" w:space="0" w:color="auto"/>
                        <w:right w:val="none" w:sz="0" w:space="0" w:color="auto"/>
                      </w:divBdr>
                    </w:div>
                  </w:divsChild>
                </w:div>
                <w:div w:id="841630442">
                  <w:marLeft w:val="0"/>
                  <w:marRight w:val="0"/>
                  <w:marTop w:val="0"/>
                  <w:marBottom w:val="0"/>
                  <w:divBdr>
                    <w:top w:val="none" w:sz="0" w:space="0" w:color="auto"/>
                    <w:left w:val="none" w:sz="0" w:space="0" w:color="auto"/>
                    <w:bottom w:val="none" w:sz="0" w:space="0" w:color="auto"/>
                    <w:right w:val="none" w:sz="0" w:space="0" w:color="auto"/>
                  </w:divBdr>
                  <w:divsChild>
                    <w:div w:id="510606098">
                      <w:marLeft w:val="0"/>
                      <w:marRight w:val="0"/>
                      <w:marTop w:val="0"/>
                      <w:marBottom w:val="0"/>
                      <w:divBdr>
                        <w:top w:val="none" w:sz="0" w:space="0" w:color="auto"/>
                        <w:left w:val="none" w:sz="0" w:space="0" w:color="auto"/>
                        <w:bottom w:val="none" w:sz="0" w:space="0" w:color="auto"/>
                        <w:right w:val="none" w:sz="0" w:space="0" w:color="auto"/>
                      </w:divBdr>
                    </w:div>
                  </w:divsChild>
                </w:div>
                <w:div w:id="395126811">
                  <w:marLeft w:val="0"/>
                  <w:marRight w:val="0"/>
                  <w:marTop w:val="0"/>
                  <w:marBottom w:val="0"/>
                  <w:divBdr>
                    <w:top w:val="none" w:sz="0" w:space="0" w:color="auto"/>
                    <w:left w:val="none" w:sz="0" w:space="0" w:color="auto"/>
                    <w:bottom w:val="none" w:sz="0" w:space="0" w:color="auto"/>
                    <w:right w:val="none" w:sz="0" w:space="0" w:color="auto"/>
                  </w:divBdr>
                  <w:divsChild>
                    <w:div w:id="810709471">
                      <w:marLeft w:val="0"/>
                      <w:marRight w:val="0"/>
                      <w:marTop w:val="0"/>
                      <w:marBottom w:val="0"/>
                      <w:divBdr>
                        <w:top w:val="none" w:sz="0" w:space="0" w:color="auto"/>
                        <w:left w:val="none" w:sz="0" w:space="0" w:color="auto"/>
                        <w:bottom w:val="none" w:sz="0" w:space="0" w:color="auto"/>
                        <w:right w:val="none" w:sz="0" w:space="0" w:color="auto"/>
                      </w:divBdr>
                    </w:div>
                  </w:divsChild>
                </w:div>
                <w:div w:id="1799493218">
                  <w:marLeft w:val="0"/>
                  <w:marRight w:val="0"/>
                  <w:marTop w:val="0"/>
                  <w:marBottom w:val="0"/>
                  <w:divBdr>
                    <w:top w:val="none" w:sz="0" w:space="0" w:color="auto"/>
                    <w:left w:val="none" w:sz="0" w:space="0" w:color="auto"/>
                    <w:bottom w:val="none" w:sz="0" w:space="0" w:color="auto"/>
                    <w:right w:val="none" w:sz="0" w:space="0" w:color="auto"/>
                  </w:divBdr>
                  <w:divsChild>
                    <w:div w:id="424034671">
                      <w:marLeft w:val="0"/>
                      <w:marRight w:val="0"/>
                      <w:marTop w:val="0"/>
                      <w:marBottom w:val="0"/>
                      <w:divBdr>
                        <w:top w:val="none" w:sz="0" w:space="0" w:color="auto"/>
                        <w:left w:val="none" w:sz="0" w:space="0" w:color="auto"/>
                        <w:bottom w:val="none" w:sz="0" w:space="0" w:color="auto"/>
                        <w:right w:val="none" w:sz="0" w:space="0" w:color="auto"/>
                      </w:divBdr>
                    </w:div>
                  </w:divsChild>
                </w:div>
                <w:div w:id="2076658717">
                  <w:marLeft w:val="0"/>
                  <w:marRight w:val="0"/>
                  <w:marTop w:val="0"/>
                  <w:marBottom w:val="0"/>
                  <w:divBdr>
                    <w:top w:val="none" w:sz="0" w:space="0" w:color="auto"/>
                    <w:left w:val="none" w:sz="0" w:space="0" w:color="auto"/>
                    <w:bottom w:val="none" w:sz="0" w:space="0" w:color="auto"/>
                    <w:right w:val="none" w:sz="0" w:space="0" w:color="auto"/>
                  </w:divBdr>
                  <w:divsChild>
                    <w:div w:id="1187065662">
                      <w:marLeft w:val="0"/>
                      <w:marRight w:val="0"/>
                      <w:marTop w:val="0"/>
                      <w:marBottom w:val="0"/>
                      <w:divBdr>
                        <w:top w:val="none" w:sz="0" w:space="0" w:color="auto"/>
                        <w:left w:val="none" w:sz="0" w:space="0" w:color="auto"/>
                        <w:bottom w:val="none" w:sz="0" w:space="0" w:color="auto"/>
                        <w:right w:val="none" w:sz="0" w:space="0" w:color="auto"/>
                      </w:divBdr>
                    </w:div>
                  </w:divsChild>
                </w:div>
                <w:div w:id="1212959108">
                  <w:marLeft w:val="0"/>
                  <w:marRight w:val="0"/>
                  <w:marTop w:val="0"/>
                  <w:marBottom w:val="0"/>
                  <w:divBdr>
                    <w:top w:val="none" w:sz="0" w:space="0" w:color="auto"/>
                    <w:left w:val="none" w:sz="0" w:space="0" w:color="auto"/>
                    <w:bottom w:val="none" w:sz="0" w:space="0" w:color="auto"/>
                    <w:right w:val="none" w:sz="0" w:space="0" w:color="auto"/>
                  </w:divBdr>
                  <w:divsChild>
                    <w:div w:id="356394182">
                      <w:marLeft w:val="0"/>
                      <w:marRight w:val="0"/>
                      <w:marTop w:val="0"/>
                      <w:marBottom w:val="0"/>
                      <w:divBdr>
                        <w:top w:val="none" w:sz="0" w:space="0" w:color="auto"/>
                        <w:left w:val="none" w:sz="0" w:space="0" w:color="auto"/>
                        <w:bottom w:val="none" w:sz="0" w:space="0" w:color="auto"/>
                        <w:right w:val="none" w:sz="0" w:space="0" w:color="auto"/>
                      </w:divBdr>
                    </w:div>
                  </w:divsChild>
                </w:div>
                <w:div w:id="853302469">
                  <w:marLeft w:val="0"/>
                  <w:marRight w:val="0"/>
                  <w:marTop w:val="0"/>
                  <w:marBottom w:val="0"/>
                  <w:divBdr>
                    <w:top w:val="none" w:sz="0" w:space="0" w:color="auto"/>
                    <w:left w:val="none" w:sz="0" w:space="0" w:color="auto"/>
                    <w:bottom w:val="none" w:sz="0" w:space="0" w:color="auto"/>
                    <w:right w:val="none" w:sz="0" w:space="0" w:color="auto"/>
                  </w:divBdr>
                  <w:divsChild>
                    <w:div w:id="157130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3958">
          <w:marLeft w:val="0"/>
          <w:marRight w:val="0"/>
          <w:marTop w:val="0"/>
          <w:marBottom w:val="0"/>
          <w:divBdr>
            <w:top w:val="none" w:sz="0" w:space="0" w:color="auto"/>
            <w:left w:val="none" w:sz="0" w:space="0" w:color="auto"/>
            <w:bottom w:val="none" w:sz="0" w:space="0" w:color="auto"/>
            <w:right w:val="none" w:sz="0" w:space="0" w:color="auto"/>
          </w:divBdr>
        </w:div>
        <w:div w:id="1633711694">
          <w:marLeft w:val="0"/>
          <w:marRight w:val="0"/>
          <w:marTop w:val="0"/>
          <w:marBottom w:val="0"/>
          <w:divBdr>
            <w:top w:val="none" w:sz="0" w:space="0" w:color="auto"/>
            <w:left w:val="none" w:sz="0" w:space="0" w:color="auto"/>
            <w:bottom w:val="none" w:sz="0" w:space="0" w:color="auto"/>
            <w:right w:val="none" w:sz="0" w:space="0" w:color="auto"/>
          </w:divBdr>
        </w:div>
        <w:div w:id="1113019340">
          <w:marLeft w:val="0"/>
          <w:marRight w:val="0"/>
          <w:marTop w:val="0"/>
          <w:marBottom w:val="0"/>
          <w:divBdr>
            <w:top w:val="none" w:sz="0" w:space="0" w:color="auto"/>
            <w:left w:val="none" w:sz="0" w:space="0" w:color="auto"/>
            <w:bottom w:val="none" w:sz="0" w:space="0" w:color="auto"/>
            <w:right w:val="none" w:sz="0" w:space="0" w:color="auto"/>
          </w:divBdr>
        </w:div>
        <w:div w:id="1372682194">
          <w:marLeft w:val="0"/>
          <w:marRight w:val="0"/>
          <w:marTop w:val="0"/>
          <w:marBottom w:val="0"/>
          <w:divBdr>
            <w:top w:val="none" w:sz="0" w:space="0" w:color="auto"/>
            <w:left w:val="none" w:sz="0" w:space="0" w:color="auto"/>
            <w:bottom w:val="none" w:sz="0" w:space="0" w:color="auto"/>
            <w:right w:val="none" w:sz="0" w:space="0" w:color="auto"/>
          </w:divBdr>
        </w:div>
        <w:div w:id="1309362134">
          <w:marLeft w:val="0"/>
          <w:marRight w:val="0"/>
          <w:marTop w:val="0"/>
          <w:marBottom w:val="0"/>
          <w:divBdr>
            <w:top w:val="none" w:sz="0" w:space="0" w:color="auto"/>
            <w:left w:val="none" w:sz="0" w:space="0" w:color="auto"/>
            <w:bottom w:val="none" w:sz="0" w:space="0" w:color="auto"/>
            <w:right w:val="none" w:sz="0" w:space="0" w:color="auto"/>
          </w:divBdr>
        </w:div>
        <w:div w:id="1421878328">
          <w:marLeft w:val="0"/>
          <w:marRight w:val="0"/>
          <w:marTop w:val="0"/>
          <w:marBottom w:val="0"/>
          <w:divBdr>
            <w:top w:val="none" w:sz="0" w:space="0" w:color="auto"/>
            <w:left w:val="none" w:sz="0" w:space="0" w:color="auto"/>
            <w:bottom w:val="none" w:sz="0" w:space="0" w:color="auto"/>
            <w:right w:val="none" w:sz="0" w:space="0" w:color="auto"/>
          </w:divBdr>
          <w:divsChild>
            <w:div w:id="1763213150">
              <w:marLeft w:val="0"/>
              <w:marRight w:val="0"/>
              <w:marTop w:val="0"/>
              <w:marBottom w:val="0"/>
              <w:divBdr>
                <w:top w:val="none" w:sz="0" w:space="0" w:color="auto"/>
                <w:left w:val="none" w:sz="0" w:space="0" w:color="auto"/>
                <w:bottom w:val="none" w:sz="0" w:space="0" w:color="auto"/>
                <w:right w:val="none" w:sz="0" w:space="0" w:color="auto"/>
              </w:divBdr>
            </w:div>
          </w:divsChild>
        </w:div>
        <w:div w:id="1765567113">
          <w:marLeft w:val="0"/>
          <w:marRight w:val="0"/>
          <w:marTop w:val="0"/>
          <w:marBottom w:val="0"/>
          <w:divBdr>
            <w:top w:val="none" w:sz="0" w:space="0" w:color="auto"/>
            <w:left w:val="none" w:sz="0" w:space="0" w:color="auto"/>
            <w:bottom w:val="none" w:sz="0" w:space="0" w:color="auto"/>
            <w:right w:val="none" w:sz="0" w:space="0" w:color="auto"/>
          </w:divBdr>
          <w:divsChild>
            <w:div w:id="947467931">
              <w:marLeft w:val="0"/>
              <w:marRight w:val="0"/>
              <w:marTop w:val="0"/>
              <w:marBottom w:val="0"/>
              <w:divBdr>
                <w:top w:val="none" w:sz="0" w:space="0" w:color="auto"/>
                <w:left w:val="none" w:sz="0" w:space="0" w:color="auto"/>
                <w:bottom w:val="none" w:sz="0" w:space="0" w:color="auto"/>
                <w:right w:val="none" w:sz="0" w:space="0" w:color="auto"/>
              </w:divBdr>
            </w:div>
            <w:div w:id="1767850165">
              <w:marLeft w:val="0"/>
              <w:marRight w:val="0"/>
              <w:marTop w:val="0"/>
              <w:marBottom w:val="0"/>
              <w:divBdr>
                <w:top w:val="none" w:sz="0" w:space="0" w:color="auto"/>
                <w:left w:val="none" w:sz="0" w:space="0" w:color="auto"/>
                <w:bottom w:val="none" w:sz="0" w:space="0" w:color="auto"/>
                <w:right w:val="none" w:sz="0" w:space="0" w:color="auto"/>
              </w:divBdr>
            </w:div>
          </w:divsChild>
        </w:div>
        <w:div w:id="942225611">
          <w:marLeft w:val="0"/>
          <w:marRight w:val="0"/>
          <w:marTop w:val="0"/>
          <w:marBottom w:val="0"/>
          <w:divBdr>
            <w:top w:val="none" w:sz="0" w:space="0" w:color="auto"/>
            <w:left w:val="none" w:sz="0" w:space="0" w:color="auto"/>
            <w:bottom w:val="none" w:sz="0" w:space="0" w:color="auto"/>
            <w:right w:val="none" w:sz="0" w:space="0" w:color="auto"/>
          </w:divBdr>
        </w:div>
        <w:div w:id="1498497555">
          <w:marLeft w:val="0"/>
          <w:marRight w:val="0"/>
          <w:marTop w:val="0"/>
          <w:marBottom w:val="0"/>
          <w:divBdr>
            <w:top w:val="none" w:sz="0" w:space="0" w:color="auto"/>
            <w:left w:val="none" w:sz="0" w:space="0" w:color="auto"/>
            <w:bottom w:val="none" w:sz="0" w:space="0" w:color="auto"/>
            <w:right w:val="none" w:sz="0" w:space="0" w:color="auto"/>
          </w:divBdr>
        </w:div>
        <w:div w:id="1820728523">
          <w:marLeft w:val="0"/>
          <w:marRight w:val="0"/>
          <w:marTop w:val="0"/>
          <w:marBottom w:val="0"/>
          <w:divBdr>
            <w:top w:val="none" w:sz="0" w:space="0" w:color="auto"/>
            <w:left w:val="none" w:sz="0" w:space="0" w:color="auto"/>
            <w:bottom w:val="none" w:sz="0" w:space="0" w:color="auto"/>
            <w:right w:val="none" w:sz="0" w:space="0" w:color="auto"/>
          </w:divBdr>
        </w:div>
        <w:div w:id="687954016">
          <w:marLeft w:val="0"/>
          <w:marRight w:val="0"/>
          <w:marTop w:val="0"/>
          <w:marBottom w:val="0"/>
          <w:divBdr>
            <w:top w:val="none" w:sz="0" w:space="0" w:color="auto"/>
            <w:left w:val="none" w:sz="0" w:space="0" w:color="auto"/>
            <w:bottom w:val="none" w:sz="0" w:space="0" w:color="auto"/>
            <w:right w:val="none" w:sz="0" w:space="0" w:color="auto"/>
          </w:divBdr>
        </w:div>
        <w:div w:id="271983186">
          <w:marLeft w:val="0"/>
          <w:marRight w:val="0"/>
          <w:marTop w:val="0"/>
          <w:marBottom w:val="0"/>
          <w:divBdr>
            <w:top w:val="none" w:sz="0" w:space="0" w:color="auto"/>
            <w:left w:val="none" w:sz="0" w:space="0" w:color="auto"/>
            <w:bottom w:val="none" w:sz="0" w:space="0" w:color="auto"/>
            <w:right w:val="none" w:sz="0" w:space="0" w:color="auto"/>
          </w:divBdr>
        </w:div>
        <w:div w:id="860823820">
          <w:marLeft w:val="0"/>
          <w:marRight w:val="0"/>
          <w:marTop w:val="0"/>
          <w:marBottom w:val="0"/>
          <w:divBdr>
            <w:top w:val="none" w:sz="0" w:space="0" w:color="auto"/>
            <w:left w:val="none" w:sz="0" w:space="0" w:color="auto"/>
            <w:bottom w:val="none" w:sz="0" w:space="0" w:color="auto"/>
            <w:right w:val="none" w:sz="0" w:space="0" w:color="auto"/>
          </w:divBdr>
          <w:divsChild>
            <w:div w:id="1032606781">
              <w:marLeft w:val="0"/>
              <w:marRight w:val="0"/>
              <w:marTop w:val="0"/>
              <w:marBottom w:val="0"/>
              <w:divBdr>
                <w:top w:val="none" w:sz="0" w:space="0" w:color="auto"/>
                <w:left w:val="none" w:sz="0" w:space="0" w:color="auto"/>
                <w:bottom w:val="none" w:sz="0" w:space="0" w:color="auto"/>
                <w:right w:val="none" w:sz="0" w:space="0" w:color="auto"/>
              </w:divBdr>
            </w:div>
            <w:div w:id="939526259">
              <w:marLeft w:val="0"/>
              <w:marRight w:val="0"/>
              <w:marTop w:val="0"/>
              <w:marBottom w:val="0"/>
              <w:divBdr>
                <w:top w:val="none" w:sz="0" w:space="0" w:color="auto"/>
                <w:left w:val="none" w:sz="0" w:space="0" w:color="auto"/>
                <w:bottom w:val="none" w:sz="0" w:space="0" w:color="auto"/>
                <w:right w:val="none" w:sz="0" w:space="0" w:color="auto"/>
              </w:divBdr>
            </w:div>
            <w:div w:id="897477158">
              <w:marLeft w:val="0"/>
              <w:marRight w:val="0"/>
              <w:marTop w:val="0"/>
              <w:marBottom w:val="0"/>
              <w:divBdr>
                <w:top w:val="none" w:sz="0" w:space="0" w:color="auto"/>
                <w:left w:val="none" w:sz="0" w:space="0" w:color="auto"/>
                <w:bottom w:val="none" w:sz="0" w:space="0" w:color="auto"/>
                <w:right w:val="none" w:sz="0" w:space="0" w:color="auto"/>
              </w:divBdr>
            </w:div>
            <w:div w:id="637490050">
              <w:marLeft w:val="0"/>
              <w:marRight w:val="0"/>
              <w:marTop w:val="0"/>
              <w:marBottom w:val="0"/>
              <w:divBdr>
                <w:top w:val="none" w:sz="0" w:space="0" w:color="auto"/>
                <w:left w:val="none" w:sz="0" w:space="0" w:color="auto"/>
                <w:bottom w:val="none" w:sz="0" w:space="0" w:color="auto"/>
                <w:right w:val="none" w:sz="0" w:space="0" w:color="auto"/>
              </w:divBdr>
            </w:div>
          </w:divsChild>
        </w:div>
        <w:div w:id="155850670">
          <w:marLeft w:val="0"/>
          <w:marRight w:val="0"/>
          <w:marTop w:val="0"/>
          <w:marBottom w:val="0"/>
          <w:divBdr>
            <w:top w:val="none" w:sz="0" w:space="0" w:color="auto"/>
            <w:left w:val="none" w:sz="0" w:space="0" w:color="auto"/>
            <w:bottom w:val="none" w:sz="0" w:space="0" w:color="auto"/>
            <w:right w:val="none" w:sz="0" w:space="0" w:color="auto"/>
          </w:divBdr>
          <w:divsChild>
            <w:div w:id="1777405575">
              <w:marLeft w:val="0"/>
              <w:marRight w:val="0"/>
              <w:marTop w:val="0"/>
              <w:marBottom w:val="0"/>
              <w:divBdr>
                <w:top w:val="none" w:sz="0" w:space="0" w:color="auto"/>
                <w:left w:val="none" w:sz="0" w:space="0" w:color="auto"/>
                <w:bottom w:val="none" w:sz="0" w:space="0" w:color="auto"/>
                <w:right w:val="none" w:sz="0" w:space="0" w:color="auto"/>
              </w:divBdr>
            </w:div>
            <w:div w:id="1819883395">
              <w:marLeft w:val="0"/>
              <w:marRight w:val="0"/>
              <w:marTop w:val="0"/>
              <w:marBottom w:val="0"/>
              <w:divBdr>
                <w:top w:val="none" w:sz="0" w:space="0" w:color="auto"/>
                <w:left w:val="none" w:sz="0" w:space="0" w:color="auto"/>
                <w:bottom w:val="none" w:sz="0" w:space="0" w:color="auto"/>
                <w:right w:val="none" w:sz="0" w:space="0" w:color="auto"/>
              </w:divBdr>
            </w:div>
            <w:div w:id="694885173">
              <w:marLeft w:val="0"/>
              <w:marRight w:val="0"/>
              <w:marTop w:val="0"/>
              <w:marBottom w:val="0"/>
              <w:divBdr>
                <w:top w:val="none" w:sz="0" w:space="0" w:color="auto"/>
                <w:left w:val="none" w:sz="0" w:space="0" w:color="auto"/>
                <w:bottom w:val="none" w:sz="0" w:space="0" w:color="auto"/>
                <w:right w:val="none" w:sz="0" w:space="0" w:color="auto"/>
              </w:divBdr>
            </w:div>
            <w:div w:id="16664401">
              <w:marLeft w:val="0"/>
              <w:marRight w:val="0"/>
              <w:marTop w:val="0"/>
              <w:marBottom w:val="0"/>
              <w:divBdr>
                <w:top w:val="none" w:sz="0" w:space="0" w:color="auto"/>
                <w:left w:val="none" w:sz="0" w:space="0" w:color="auto"/>
                <w:bottom w:val="none" w:sz="0" w:space="0" w:color="auto"/>
                <w:right w:val="none" w:sz="0" w:space="0" w:color="auto"/>
              </w:divBdr>
            </w:div>
          </w:divsChild>
        </w:div>
        <w:div w:id="291250390">
          <w:marLeft w:val="0"/>
          <w:marRight w:val="0"/>
          <w:marTop w:val="0"/>
          <w:marBottom w:val="0"/>
          <w:divBdr>
            <w:top w:val="none" w:sz="0" w:space="0" w:color="auto"/>
            <w:left w:val="none" w:sz="0" w:space="0" w:color="auto"/>
            <w:bottom w:val="none" w:sz="0" w:space="0" w:color="auto"/>
            <w:right w:val="none" w:sz="0" w:space="0" w:color="auto"/>
          </w:divBdr>
          <w:divsChild>
            <w:div w:id="2141069657">
              <w:marLeft w:val="0"/>
              <w:marRight w:val="0"/>
              <w:marTop w:val="0"/>
              <w:marBottom w:val="0"/>
              <w:divBdr>
                <w:top w:val="none" w:sz="0" w:space="0" w:color="auto"/>
                <w:left w:val="none" w:sz="0" w:space="0" w:color="auto"/>
                <w:bottom w:val="none" w:sz="0" w:space="0" w:color="auto"/>
                <w:right w:val="none" w:sz="0" w:space="0" w:color="auto"/>
              </w:divBdr>
            </w:div>
            <w:div w:id="1879387310">
              <w:marLeft w:val="0"/>
              <w:marRight w:val="0"/>
              <w:marTop w:val="0"/>
              <w:marBottom w:val="0"/>
              <w:divBdr>
                <w:top w:val="none" w:sz="0" w:space="0" w:color="auto"/>
                <w:left w:val="none" w:sz="0" w:space="0" w:color="auto"/>
                <w:bottom w:val="none" w:sz="0" w:space="0" w:color="auto"/>
                <w:right w:val="none" w:sz="0" w:space="0" w:color="auto"/>
              </w:divBdr>
            </w:div>
            <w:div w:id="322662127">
              <w:marLeft w:val="0"/>
              <w:marRight w:val="0"/>
              <w:marTop w:val="0"/>
              <w:marBottom w:val="0"/>
              <w:divBdr>
                <w:top w:val="none" w:sz="0" w:space="0" w:color="auto"/>
                <w:left w:val="none" w:sz="0" w:space="0" w:color="auto"/>
                <w:bottom w:val="none" w:sz="0" w:space="0" w:color="auto"/>
                <w:right w:val="none" w:sz="0" w:space="0" w:color="auto"/>
              </w:divBdr>
            </w:div>
            <w:div w:id="1716813012">
              <w:marLeft w:val="0"/>
              <w:marRight w:val="0"/>
              <w:marTop w:val="0"/>
              <w:marBottom w:val="0"/>
              <w:divBdr>
                <w:top w:val="none" w:sz="0" w:space="0" w:color="auto"/>
                <w:left w:val="none" w:sz="0" w:space="0" w:color="auto"/>
                <w:bottom w:val="none" w:sz="0" w:space="0" w:color="auto"/>
                <w:right w:val="none" w:sz="0" w:space="0" w:color="auto"/>
              </w:divBdr>
            </w:div>
          </w:divsChild>
        </w:div>
        <w:div w:id="1107771048">
          <w:marLeft w:val="0"/>
          <w:marRight w:val="0"/>
          <w:marTop w:val="0"/>
          <w:marBottom w:val="0"/>
          <w:divBdr>
            <w:top w:val="none" w:sz="0" w:space="0" w:color="auto"/>
            <w:left w:val="none" w:sz="0" w:space="0" w:color="auto"/>
            <w:bottom w:val="none" w:sz="0" w:space="0" w:color="auto"/>
            <w:right w:val="none" w:sz="0" w:space="0" w:color="auto"/>
          </w:divBdr>
        </w:div>
        <w:div w:id="1164129730">
          <w:marLeft w:val="0"/>
          <w:marRight w:val="0"/>
          <w:marTop w:val="0"/>
          <w:marBottom w:val="0"/>
          <w:divBdr>
            <w:top w:val="none" w:sz="0" w:space="0" w:color="auto"/>
            <w:left w:val="none" w:sz="0" w:space="0" w:color="auto"/>
            <w:bottom w:val="none" w:sz="0" w:space="0" w:color="auto"/>
            <w:right w:val="none" w:sz="0" w:space="0" w:color="auto"/>
          </w:divBdr>
        </w:div>
        <w:div w:id="1677685009">
          <w:marLeft w:val="0"/>
          <w:marRight w:val="0"/>
          <w:marTop w:val="0"/>
          <w:marBottom w:val="0"/>
          <w:divBdr>
            <w:top w:val="none" w:sz="0" w:space="0" w:color="auto"/>
            <w:left w:val="none" w:sz="0" w:space="0" w:color="auto"/>
            <w:bottom w:val="none" w:sz="0" w:space="0" w:color="auto"/>
            <w:right w:val="none" w:sz="0" w:space="0" w:color="auto"/>
          </w:divBdr>
        </w:div>
        <w:div w:id="1007827961">
          <w:marLeft w:val="0"/>
          <w:marRight w:val="0"/>
          <w:marTop w:val="0"/>
          <w:marBottom w:val="0"/>
          <w:divBdr>
            <w:top w:val="none" w:sz="0" w:space="0" w:color="auto"/>
            <w:left w:val="none" w:sz="0" w:space="0" w:color="auto"/>
            <w:bottom w:val="none" w:sz="0" w:space="0" w:color="auto"/>
            <w:right w:val="none" w:sz="0" w:space="0" w:color="auto"/>
          </w:divBdr>
        </w:div>
      </w:divsChild>
    </w:div>
    <w:div w:id="1707366075">
      <w:bodyDiv w:val="1"/>
      <w:marLeft w:val="0"/>
      <w:marRight w:val="0"/>
      <w:marTop w:val="0"/>
      <w:marBottom w:val="0"/>
      <w:divBdr>
        <w:top w:val="none" w:sz="0" w:space="0" w:color="auto"/>
        <w:left w:val="none" w:sz="0" w:space="0" w:color="auto"/>
        <w:bottom w:val="none" w:sz="0" w:space="0" w:color="auto"/>
        <w:right w:val="none" w:sz="0" w:space="0" w:color="auto"/>
      </w:divBdr>
      <w:divsChild>
        <w:div w:id="1221019492">
          <w:marLeft w:val="0"/>
          <w:marRight w:val="0"/>
          <w:marTop w:val="360"/>
          <w:marBottom w:val="0"/>
          <w:divBdr>
            <w:top w:val="none" w:sz="0" w:space="0" w:color="auto"/>
            <w:left w:val="none" w:sz="0" w:space="0" w:color="auto"/>
            <w:bottom w:val="none" w:sz="0" w:space="0" w:color="auto"/>
            <w:right w:val="none" w:sz="0" w:space="0" w:color="auto"/>
          </w:divBdr>
        </w:div>
      </w:divsChild>
    </w:div>
    <w:div w:id="1875657318">
      <w:bodyDiv w:val="1"/>
      <w:marLeft w:val="0"/>
      <w:marRight w:val="0"/>
      <w:marTop w:val="0"/>
      <w:marBottom w:val="0"/>
      <w:divBdr>
        <w:top w:val="none" w:sz="0" w:space="0" w:color="auto"/>
        <w:left w:val="none" w:sz="0" w:space="0" w:color="auto"/>
        <w:bottom w:val="none" w:sz="0" w:space="0" w:color="auto"/>
        <w:right w:val="none" w:sz="0" w:space="0" w:color="auto"/>
      </w:divBdr>
      <w:divsChild>
        <w:div w:id="245726353">
          <w:marLeft w:val="0"/>
          <w:marRight w:val="0"/>
          <w:marTop w:val="360"/>
          <w:marBottom w:val="0"/>
          <w:divBdr>
            <w:top w:val="none" w:sz="0" w:space="0" w:color="auto"/>
            <w:left w:val="none" w:sz="0" w:space="0" w:color="auto"/>
            <w:bottom w:val="none" w:sz="0" w:space="0" w:color="auto"/>
            <w:right w:val="none" w:sz="0" w:space="0" w:color="auto"/>
          </w:divBdr>
        </w:div>
      </w:divsChild>
    </w:div>
    <w:div w:id="1948388144">
      <w:bodyDiv w:val="1"/>
      <w:marLeft w:val="0"/>
      <w:marRight w:val="0"/>
      <w:marTop w:val="0"/>
      <w:marBottom w:val="0"/>
      <w:divBdr>
        <w:top w:val="none" w:sz="0" w:space="0" w:color="auto"/>
        <w:left w:val="none" w:sz="0" w:space="0" w:color="auto"/>
        <w:bottom w:val="none" w:sz="0" w:space="0" w:color="auto"/>
        <w:right w:val="none" w:sz="0" w:space="0" w:color="auto"/>
      </w:divBdr>
    </w:div>
    <w:div w:id="1957132699">
      <w:bodyDiv w:val="1"/>
      <w:marLeft w:val="0"/>
      <w:marRight w:val="0"/>
      <w:marTop w:val="0"/>
      <w:marBottom w:val="0"/>
      <w:divBdr>
        <w:top w:val="none" w:sz="0" w:space="0" w:color="auto"/>
        <w:left w:val="none" w:sz="0" w:space="0" w:color="auto"/>
        <w:bottom w:val="none" w:sz="0" w:space="0" w:color="auto"/>
        <w:right w:val="none" w:sz="0" w:space="0" w:color="auto"/>
      </w:divBdr>
    </w:div>
    <w:div w:id="2038264672">
      <w:bodyDiv w:val="1"/>
      <w:marLeft w:val="0"/>
      <w:marRight w:val="0"/>
      <w:marTop w:val="0"/>
      <w:marBottom w:val="0"/>
      <w:divBdr>
        <w:top w:val="none" w:sz="0" w:space="0" w:color="auto"/>
        <w:left w:val="none" w:sz="0" w:space="0" w:color="auto"/>
        <w:bottom w:val="none" w:sz="0" w:space="0" w:color="auto"/>
        <w:right w:val="none" w:sz="0" w:space="0" w:color="auto"/>
      </w:divBdr>
    </w:div>
    <w:div w:id="2039502077">
      <w:bodyDiv w:val="1"/>
      <w:marLeft w:val="0"/>
      <w:marRight w:val="0"/>
      <w:marTop w:val="0"/>
      <w:marBottom w:val="0"/>
      <w:divBdr>
        <w:top w:val="none" w:sz="0" w:space="0" w:color="auto"/>
        <w:left w:val="none" w:sz="0" w:space="0" w:color="auto"/>
        <w:bottom w:val="none" w:sz="0" w:space="0" w:color="auto"/>
        <w:right w:val="none" w:sz="0" w:space="0" w:color="auto"/>
      </w:divBdr>
    </w:div>
    <w:div w:id="212726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hr.ny.gov/system/files/documents/2022/04/nysdhr-annual-report-2019-2021.pdf" TargetMode="External"/><Relationship Id="rId3" Type="http://schemas.openxmlformats.org/officeDocument/2006/relationships/hyperlink" Target="https://thenewyorkcitybroker.com/a-co-op-buyers-comprehensive-guide-to-board-package-and-interview/" TargetMode="External"/><Relationship Id="rId7" Type="http://schemas.openxmlformats.org/officeDocument/2006/relationships/hyperlink" Target="https://dhr.ny.gov/system/files/documents/2023/12/nysdhr-annual-report-fy2023.pdf" TargetMode="External"/><Relationship Id="rId12" Type="http://schemas.openxmlformats.org/officeDocument/2006/relationships/hyperlink" Target="https://nyc.legistar.com/LegislationDetail.aspx?ID=6888427&amp;GUID=4B132BCA-7483-462C-8588-B6B921596C48&amp;Options=&amp;Search=%5D" TargetMode="External"/><Relationship Id="rId2" Type="http://schemas.openxmlformats.org/officeDocument/2006/relationships/hyperlink" Target="https://cooperatornews.com/article/the-board-approval-process" TargetMode="External"/><Relationship Id="rId1" Type="http://schemas.openxmlformats.org/officeDocument/2006/relationships/hyperlink" Target="https://ag.ny.gov/resources/individuals/tenants-homeowners/condominiums" TargetMode="External"/><Relationship Id="rId6" Type="http://schemas.openxmlformats.org/officeDocument/2006/relationships/hyperlink" Target="https://www.osc.ny.gov/files/state-agencies/audits/pdf/sga-2025-23s26.pdf?utm_medium=email&amp;utm_source=govdelivery" TargetMode="External"/><Relationship Id="rId11" Type="http://schemas.openxmlformats.org/officeDocument/2006/relationships/hyperlink" Target="https://www.nyc.gov/assets/hpd/downloads/pdfs/about/2023-nychvs-selected-initial-findings.pdf" TargetMode="External"/><Relationship Id="rId5" Type="http://schemas.openxmlformats.org/officeDocument/2006/relationships/hyperlink" Target="https://www.hud.gov/sites/dfiles/FHEO/documents/FHEO%20Annual%20Report%20FY%202022.pdf" TargetMode="External"/><Relationship Id="rId10" Type="http://schemas.openxmlformats.org/officeDocument/2006/relationships/hyperlink" Target="https://www.nytimes.com/2021/09/04/realestate/co-op-board-discrimination.html" TargetMode="External"/><Relationship Id="rId4" Type="http://schemas.openxmlformats.org/officeDocument/2006/relationships/hyperlink" Target="https://www.theguardian.com/lifeandstyle/2022/feb/08/new-york-housing-co-ops-apartments-discrimination" TargetMode="External"/><Relationship Id="rId9" Type="http://schemas.openxmlformats.org/officeDocument/2006/relationships/hyperlink" Target="https://www.nyc.gov/assets/cchr/downloads/pdf/publications/AnnualReport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1888D-B965-42BF-817E-2C27B740EF3D}">
  <ds:schemaRef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c66f7040-da4e-4e4b-b586-62eb2c5c6722"/>
    <ds:schemaRef ds:uri="http://schemas.microsoft.com/office/2006/metadata/properties"/>
    <ds:schemaRef ds:uri="http://schemas.openxmlformats.org/package/2006/metadata/core-properties"/>
    <ds:schemaRef ds:uri="4a40a8ad-34f3-44c1-b402-bec622f40e54"/>
    <ds:schemaRef ds:uri="http://purl.org/dc/terms/"/>
  </ds:schemaRefs>
</ds:datastoreItem>
</file>

<file path=customXml/itemProps2.xml><?xml version="1.0" encoding="utf-8"?>
<ds:datastoreItem xmlns:ds="http://schemas.openxmlformats.org/officeDocument/2006/customXml" ds:itemID="{64159D80-CAEF-4E5F-BE66-B24638643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1ABE41-B981-4EDE-A40A-8834F7C2ED54}">
  <ds:schemaRefs>
    <ds:schemaRef ds:uri="http://schemas.microsoft.com/sharepoint/v3/contenttype/forms"/>
  </ds:schemaRefs>
</ds:datastoreItem>
</file>

<file path=customXml/itemProps4.xml><?xml version="1.0" encoding="utf-8"?>
<ds:datastoreItem xmlns:ds="http://schemas.openxmlformats.org/officeDocument/2006/customXml" ds:itemID="{52E5D5CB-8AB7-4B2F-B1CD-71007C64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11808</Words>
  <Characters>67311</Characters>
  <Application>Microsoft Office Word</Application>
  <DocSecurity>4</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Kim</dc:creator>
  <cp:keywords/>
  <dc:description/>
  <cp:lastModifiedBy>Jeffries, Jillian</cp:lastModifiedBy>
  <cp:revision>2</cp:revision>
  <cp:lastPrinted>2023-02-22T22:54:00Z</cp:lastPrinted>
  <dcterms:created xsi:type="dcterms:W3CDTF">2025-12-02T14:03:00Z</dcterms:created>
  <dcterms:modified xsi:type="dcterms:W3CDTF">2025-12-02T14:03:00Z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