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5F8B9" w14:textId="77777777" w:rsidR="00407E04" w:rsidRPr="00E11784" w:rsidRDefault="00407E04" w:rsidP="00407E04">
      <w:pPr>
        <w:pBdr>
          <w:top w:val="nil"/>
          <w:left w:val="nil"/>
          <w:bottom w:val="nil"/>
          <w:right w:val="nil"/>
          <w:between w:val="nil"/>
        </w:pBdr>
        <w:tabs>
          <w:tab w:val="left" w:pos="0"/>
        </w:tabs>
        <w:spacing w:after="0" w:line="276" w:lineRule="auto"/>
        <w:ind w:left="360"/>
        <w:jc w:val="right"/>
        <w:rPr>
          <w:rFonts w:asciiTheme="majorHAnsi" w:eastAsia="Arial" w:hAnsiTheme="majorHAnsi" w:cstheme="majorHAnsi"/>
          <w:b/>
          <w:smallCaps/>
          <w:color w:val="000000"/>
          <w:sz w:val="24"/>
          <w:szCs w:val="24"/>
          <w:u w:val="single"/>
        </w:rPr>
      </w:pPr>
      <w:bookmarkStart w:id="0" w:name="_GoBack"/>
      <w:bookmarkEnd w:id="0"/>
      <w:r w:rsidRPr="00E11784">
        <w:rPr>
          <w:rFonts w:asciiTheme="majorHAnsi" w:eastAsia="Arial" w:hAnsiTheme="majorHAnsi" w:cstheme="majorHAnsi"/>
          <w:b/>
          <w:smallCaps/>
          <w:color w:val="000000"/>
          <w:sz w:val="24"/>
          <w:szCs w:val="24"/>
          <w:u w:val="single"/>
        </w:rPr>
        <w:t>Aging Committee Staff</w:t>
      </w:r>
    </w:p>
    <w:p w14:paraId="104395C5" w14:textId="77777777" w:rsidR="00407E04" w:rsidRPr="00E11784" w:rsidRDefault="00407E04" w:rsidP="00407E04">
      <w:pPr>
        <w:suppressLineNumbers/>
        <w:tabs>
          <w:tab w:val="left" w:pos="7517"/>
        </w:tabs>
        <w:spacing w:after="0" w:line="240" w:lineRule="auto"/>
        <w:ind w:left="360"/>
        <w:jc w:val="right"/>
        <w:rPr>
          <w:rFonts w:asciiTheme="majorHAnsi" w:eastAsia="Arial Unicode MS" w:hAnsiTheme="majorHAnsi" w:cstheme="majorHAnsi"/>
          <w:color w:val="000000"/>
          <w:sz w:val="24"/>
          <w:szCs w:val="24"/>
          <w:bdr w:val="nil"/>
        </w:rPr>
      </w:pPr>
      <w:r w:rsidRPr="00E11784">
        <w:rPr>
          <w:rFonts w:asciiTheme="majorHAnsi" w:eastAsia="Arial Unicode MS" w:hAnsiTheme="majorHAnsi" w:cstheme="majorHAnsi"/>
          <w:color w:val="000000"/>
          <w:sz w:val="24"/>
          <w:szCs w:val="24"/>
        </w:rPr>
        <w:t xml:space="preserve">Christopher Pepe, </w:t>
      </w:r>
      <w:r w:rsidRPr="00E11784">
        <w:rPr>
          <w:rFonts w:asciiTheme="majorHAnsi" w:eastAsia="Arial Unicode MS" w:hAnsiTheme="majorHAnsi" w:cstheme="majorHAnsi"/>
          <w:i/>
          <w:iCs/>
          <w:color w:val="000000"/>
          <w:sz w:val="24"/>
          <w:szCs w:val="24"/>
        </w:rPr>
        <w:t xml:space="preserve">Senior </w:t>
      </w:r>
      <w:r w:rsidRPr="00E11784">
        <w:rPr>
          <w:rFonts w:asciiTheme="majorHAnsi" w:eastAsia="Arial Unicode MS" w:hAnsiTheme="majorHAnsi" w:cstheme="majorHAnsi"/>
          <w:i/>
          <w:color w:val="000000"/>
          <w:sz w:val="24"/>
          <w:szCs w:val="24"/>
        </w:rPr>
        <w:t>Legislative Counsel</w:t>
      </w:r>
    </w:p>
    <w:p w14:paraId="0BD561C3" w14:textId="77777777" w:rsidR="00407E04" w:rsidRPr="00E11784" w:rsidRDefault="00407E04" w:rsidP="00407E04">
      <w:pPr>
        <w:suppressLineNumbers/>
        <w:tabs>
          <w:tab w:val="left" w:pos="7517"/>
        </w:tabs>
        <w:spacing w:after="0" w:line="240" w:lineRule="auto"/>
        <w:ind w:left="360"/>
        <w:jc w:val="right"/>
        <w:rPr>
          <w:rFonts w:asciiTheme="majorHAnsi" w:eastAsia="Times New Roman" w:hAnsiTheme="majorHAnsi" w:cstheme="majorHAnsi"/>
          <w:i/>
          <w:color w:val="000000"/>
          <w:sz w:val="24"/>
          <w:szCs w:val="24"/>
        </w:rPr>
      </w:pPr>
      <w:r w:rsidRPr="00E11784">
        <w:rPr>
          <w:rFonts w:asciiTheme="majorHAnsi" w:eastAsia="Arial Unicode MS" w:hAnsiTheme="majorHAnsi" w:cstheme="majorHAnsi"/>
          <w:color w:val="000000"/>
          <w:sz w:val="24"/>
          <w:szCs w:val="24"/>
        </w:rPr>
        <w:t xml:space="preserve">Chloë Rivera, </w:t>
      </w:r>
      <w:r w:rsidRPr="00E11784">
        <w:rPr>
          <w:rFonts w:asciiTheme="majorHAnsi" w:eastAsia="Arial Unicode MS" w:hAnsiTheme="majorHAnsi" w:cstheme="majorHAnsi"/>
          <w:i/>
          <w:color w:val="000000"/>
          <w:sz w:val="24"/>
          <w:szCs w:val="24"/>
        </w:rPr>
        <w:t>Senior</w:t>
      </w:r>
      <w:r w:rsidRPr="00E11784">
        <w:rPr>
          <w:rFonts w:asciiTheme="majorHAnsi" w:eastAsia="Arial Unicode MS" w:hAnsiTheme="majorHAnsi" w:cstheme="majorHAnsi"/>
          <w:color w:val="000000"/>
          <w:sz w:val="24"/>
          <w:szCs w:val="24"/>
        </w:rPr>
        <w:t xml:space="preserve"> </w:t>
      </w:r>
      <w:r w:rsidRPr="00E11784">
        <w:rPr>
          <w:rFonts w:asciiTheme="majorHAnsi" w:eastAsia="Times New Roman" w:hAnsiTheme="majorHAnsi" w:cstheme="majorHAnsi"/>
          <w:i/>
          <w:color w:val="000000"/>
          <w:sz w:val="24"/>
          <w:szCs w:val="24"/>
        </w:rPr>
        <w:t>Policy Analyst</w:t>
      </w:r>
    </w:p>
    <w:p w14:paraId="14143C5A" w14:textId="77777777" w:rsidR="00407E04" w:rsidRPr="00E11784" w:rsidRDefault="00407E04" w:rsidP="00407E04">
      <w:pPr>
        <w:pBdr>
          <w:top w:val="nil"/>
          <w:left w:val="nil"/>
          <w:bottom w:val="nil"/>
          <w:right w:val="nil"/>
          <w:between w:val="nil"/>
        </w:pBdr>
        <w:spacing w:after="0" w:line="276" w:lineRule="auto"/>
        <w:ind w:left="360"/>
        <w:jc w:val="right"/>
        <w:rPr>
          <w:rFonts w:asciiTheme="majorHAnsi" w:eastAsia="Arial" w:hAnsiTheme="majorHAnsi" w:cstheme="majorHAnsi"/>
          <w:i/>
          <w:iCs/>
          <w:color w:val="000000"/>
          <w:sz w:val="24"/>
          <w:szCs w:val="24"/>
        </w:rPr>
      </w:pPr>
      <w:r w:rsidRPr="00E11784">
        <w:rPr>
          <w:rFonts w:asciiTheme="majorHAnsi" w:eastAsia="Arial" w:hAnsiTheme="majorHAnsi" w:cstheme="majorHAnsi"/>
          <w:iCs/>
          <w:color w:val="000000"/>
          <w:sz w:val="24"/>
          <w:szCs w:val="24"/>
        </w:rPr>
        <w:t>Saiyemul Hamid</w:t>
      </w:r>
      <w:r w:rsidRPr="00E11784">
        <w:rPr>
          <w:rFonts w:asciiTheme="majorHAnsi" w:eastAsia="Arial" w:hAnsiTheme="majorHAnsi" w:cstheme="majorHAnsi"/>
          <w:i/>
          <w:iCs/>
          <w:color w:val="000000"/>
          <w:sz w:val="24"/>
          <w:szCs w:val="24"/>
        </w:rPr>
        <w:t>, Financial Analyst</w:t>
      </w:r>
    </w:p>
    <w:p w14:paraId="675BF93F" w14:textId="77777777" w:rsidR="00407E04" w:rsidRPr="00E11784" w:rsidRDefault="00407E04" w:rsidP="00407E04">
      <w:pPr>
        <w:suppressLineNumbers/>
        <w:spacing w:after="0" w:line="240" w:lineRule="auto"/>
        <w:ind w:left="5040"/>
        <w:jc w:val="right"/>
        <w:rPr>
          <w:rFonts w:asciiTheme="majorHAnsi" w:eastAsia="Times New Roman" w:hAnsiTheme="majorHAnsi" w:cstheme="majorHAnsi"/>
          <w:spacing w:val="-3"/>
          <w:sz w:val="24"/>
          <w:szCs w:val="24"/>
        </w:rPr>
      </w:pPr>
    </w:p>
    <w:p w14:paraId="4E75DAB3" w14:textId="0A2A1BEB" w:rsidR="00407E04" w:rsidRPr="00E11784" w:rsidRDefault="00407E04" w:rsidP="00407E04">
      <w:pPr>
        <w:pBdr>
          <w:top w:val="nil"/>
          <w:left w:val="nil"/>
          <w:bottom w:val="nil"/>
          <w:right w:val="nil"/>
          <w:between w:val="nil"/>
        </w:pBdr>
        <w:tabs>
          <w:tab w:val="left" w:pos="0"/>
        </w:tabs>
        <w:spacing w:after="0" w:line="276" w:lineRule="auto"/>
        <w:ind w:left="360"/>
        <w:jc w:val="right"/>
        <w:rPr>
          <w:rFonts w:asciiTheme="majorHAnsi" w:eastAsia="Arial" w:hAnsiTheme="majorHAnsi" w:cstheme="majorHAnsi"/>
          <w:b/>
          <w:smallCaps/>
          <w:color w:val="000000"/>
          <w:sz w:val="24"/>
          <w:szCs w:val="24"/>
          <w:u w:val="single"/>
        </w:rPr>
      </w:pPr>
      <w:r w:rsidRPr="00E11784">
        <w:rPr>
          <w:rFonts w:asciiTheme="majorHAnsi" w:eastAsia="Arial" w:hAnsiTheme="majorHAnsi" w:cstheme="majorHAnsi"/>
          <w:b/>
          <w:smallCaps/>
          <w:color w:val="000000"/>
          <w:sz w:val="24"/>
          <w:szCs w:val="24"/>
          <w:u w:val="single"/>
        </w:rPr>
        <w:t xml:space="preserve">Public </w:t>
      </w:r>
      <w:r w:rsidR="00CF0694">
        <w:rPr>
          <w:rFonts w:asciiTheme="majorHAnsi" w:eastAsia="Arial" w:hAnsiTheme="majorHAnsi" w:cstheme="majorHAnsi"/>
          <w:b/>
          <w:smallCaps/>
          <w:color w:val="000000"/>
          <w:sz w:val="24"/>
          <w:szCs w:val="24"/>
          <w:u w:val="single"/>
        </w:rPr>
        <w:t>Housing</w:t>
      </w:r>
      <w:r w:rsidRPr="00E11784">
        <w:rPr>
          <w:rFonts w:asciiTheme="majorHAnsi" w:eastAsia="Arial" w:hAnsiTheme="majorHAnsi" w:cstheme="majorHAnsi"/>
          <w:b/>
          <w:smallCaps/>
          <w:color w:val="000000"/>
          <w:sz w:val="24"/>
          <w:szCs w:val="24"/>
          <w:u w:val="single"/>
        </w:rPr>
        <w:t xml:space="preserve"> Committee Staff</w:t>
      </w:r>
    </w:p>
    <w:p w14:paraId="69BEDCE6" w14:textId="78BCD4E8" w:rsidR="00CF0694" w:rsidRPr="00CF0694" w:rsidRDefault="00CF0694" w:rsidP="00CF0694">
      <w:pPr>
        <w:keepNext/>
        <w:suppressLineNumbers/>
        <w:tabs>
          <w:tab w:val="center" w:pos="4680"/>
        </w:tabs>
        <w:suppressAutoHyphens/>
        <w:spacing w:after="0" w:line="240" w:lineRule="auto"/>
        <w:jc w:val="right"/>
        <w:outlineLvl w:val="3"/>
        <w:rPr>
          <w:rFonts w:asciiTheme="majorHAnsi" w:eastAsia="Arial" w:hAnsiTheme="majorHAnsi" w:cstheme="majorHAnsi"/>
          <w:color w:val="000000"/>
          <w:sz w:val="24"/>
          <w:szCs w:val="24"/>
        </w:rPr>
      </w:pPr>
      <w:r w:rsidRPr="00CF0694">
        <w:rPr>
          <w:rFonts w:asciiTheme="majorHAnsi" w:eastAsia="Arial" w:hAnsiTheme="majorHAnsi" w:cstheme="majorHAnsi"/>
          <w:color w:val="000000"/>
          <w:sz w:val="24"/>
          <w:szCs w:val="24"/>
        </w:rPr>
        <w:t xml:space="preserve">Sierra Townsend, </w:t>
      </w:r>
      <w:r w:rsidR="00462FE1" w:rsidRPr="0000584C">
        <w:rPr>
          <w:rFonts w:asciiTheme="majorHAnsi" w:eastAsia="Arial" w:hAnsiTheme="majorHAnsi" w:cstheme="majorHAnsi"/>
          <w:i/>
          <w:color w:val="000000"/>
          <w:sz w:val="24"/>
          <w:szCs w:val="24"/>
        </w:rPr>
        <w:t>Legislative</w:t>
      </w:r>
      <w:r w:rsidR="00462FE1">
        <w:rPr>
          <w:rFonts w:asciiTheme="majorHAnsi" w:eastAsia="Arial" w:hAnsiTheme="majorHAnsi" w:cstheme="majorHAnsi"/>
          <w:color w:val="000000"/>
          <w:sz w:val="24"/>
          <w:szCs w:val="24"/>
        </w:rPr>
        <w:t xml:space="preserve"> </w:t>
      </w:r>
      <w:r w:rsidRPr="00CF0694">
        <w:rPr>
          <w:rFonts w:asciiTheme="majorHAnsi" w:eastAsia="Arial" w:hAnsiTheme="majorHAnsi" w:cstheme="majorHAnsi"/>
          <w:i/>
          <w:color w:val="000000"/>
          <w:sz w:val="24"/>
          <w:szCs w:val="24"/>
        </w:rPr>
        <w:t>Counsel</w:t>
      </w:r>
    </w:p>
    <w:p w14:paraId="5A2D4051" w14:textId="77777777" w:rsidR="00CF0694" w:rsidRPr="00CF0694" w:rsidRDefault="00CF0694" w:rsidP="00CF0694">
      <w:pPr>
        <w:keepNext/>
        <w:suppressLineNumbers/>
        <w:tabs>
          <w:tab w:val="center" w:pos="4680"/>
        </w:tabs>
        <w:suppressAutoHyphens/>
        <w:spacing w:after="0" w:line="240" w:lineRule="auto"/>
        <w:jc w:val="right"/>
        <w:outlineLvl w:val="3"/>
        <w:rPr>
          <w:rFonts w:asciiTheme="majorHAnsi" w:eastAsia="Arial" w:hAnsiTheme="majorHAnsi" w:cstheme="majorHAnsi"/>
          <w:color w:val="000000"/>
          <w:sz w:val="24"/>
          <w:szCs w:val="24"/>
        </w:rPr>
      </w:pPr>
      <w:r w:rsidRPr="00CF0694">
        <w:rPr>
          <w:rFonts w:asciiTheme="majorHAnsi" w:eastAsia="Arial" w:hAnsiTheme="majorHAnsi" w:cstheme="majorHAnsi"/>
          <w:color w:val="000000"/>
          <w:sz w:val="24"/>
          <w:szCs w:val="24"/>
        </w:rPr>
        <w:t xml:space="preserve">Jose Conde, </w:t>
      </w:r>
      <w:r w:rsidRPr="00CF0694">
        <w:rPr>
          <w:rFonts w:asciiTheme="majorHAnsi" w:eastAsia="Arial" w:hAnsiTheme="majorHAnsi" w:cstheme="majorHAnsi"/>
          <w:i/>
          <w:color w:val="000000"/>
          <w:sz w:val="24"/>
          <w:szCs w:val="24"/>
        </w:rPr>
        <w:t>Senior Policy Analyst</w:t>
      </w:r>
    </w:p>
    <w:p w14:paraId="15093853" w14:textId="77777777" w:rsidR="00CF0694" w:rsidRPr="00CF0694" w:rsidRDefault="00CF0694" w:rsidP="00CF0694">
      <w:pPr>
        <w:keepNext/>
        <w:suppressLineNumbers/>
        <w:tabs>
          <w:tab w:val="center" w:pos="4680"/>
        </w:tabs>
        <w:suppressAutoHyphens/>
        <w:spacing w:after="0" w:line="240" w:lineRule="auto"/>
        <w:jc w:val="right"/>
        <w:outlineLvl w:val="3"/>
        <w:rPr>
          <w:rFonts w:asciiTheme="majorHAnsi" w:eastAsia="Arial" w:hAnsiTheme="majorHAnsi" w:cstheme="majorHAnsi"/>
          <w:i/>
          <w:color w:val="000000"/>
          <w:sz w:val="24"/>
          <w:szCs w:val="24"/>
        </w:rPr>
      </w:pPr>
      <w:r w:rsidRPr="00CF0694">
        <w:rPr>
          <w:rFonts w:asciiTheme="majorHAnsi" w:eastAsia="Arial" w:hAnsiTheme="majorHAnsi" w:cstheme="majorHAnsi"/>
          <w:color w:val="000000"/>
          <w:sz w:val="24"/>
          <w:szCs w:val="24"/>
        </w:rPr>
        <w:t xml:space="preserve">Charles Kim, </w:t>
      </w:r>
      <w:r w:rsidRPr="00CF0694">
        <w:rPr>
          <w:rFonts w:asciiTheme="majorHAnsi" w:eastAsia="Arial" w:hAnsiTheme="majorHAnsi" w:cstheme="majorHAnsi"/>
          <w:i/>
          <w:color w:val="000000"/>
          <w:sz w:val="24"/>
          <w:szCs w:val="24"/>
        </w:rPr>
        <w:t>Policy Analyst</w:t>
      </w:r>
    </w:p>
    <w:p w14:paraId="1DC273EA" w14:textId="77777777" w:rsidR="00CF0694" w:rsidRPr="00CF0694" w:rsidRDefault="00CF0694" w:rsidP="00CF0694">
      <w:pPr>
        <w:keepNext/>
        <w:suppressLineNumbers/>
        <w:tabs>
          <w:tab w:val="center" w:pos="4680"/>
        </w:tabs>
        <w:suppressAutoHyphens/>
        <w:spacing w:after="0" w:line="240" w:lineRule="auto"/>
        <w:jc w:val="right"/>
        <w:outlineLvl w:val="3"/>
        <w:rPr>
          <w:rFonts w:asciiTheme="majorHAnsi" w:eastAsia="Arial" w:hAnsiTheme="majorHAnsi" w:cstheme="majorHAnsi"/>
          <w:i/>
          <w:color w:val="000000"/>
          <w:sz w:val="24"/>
          <w:szCs w:val="24"/>
        </w:rPr>
      </w:pPr>
      <w:r w:rsidRPr="00CF0694">
        <w:rPr>
          <w:rFonts w:asciiTheme="majorHAnsi" w:eastAsia="Arial" w:hAnsiTheme="majorHAnsi" w:cstheme="majorHAnsi"/>
          <w:color w:val="000000"/>
          <w:sz w:val="24"/>
          <w:szCs w:val="24"/>
        </w:rPr>
        <w:t xml:space="preserve">Dan Kroop, </w:t>
      </w:r>
      <w:r w:rsidRPr="00CF0694">
        <w:rPr>
          <w:rFonts w:asciiTheme="majorHAnsi" w:eastAsia="Arial" w:hAnsiTheme="majorHAnsi" w:cstheme="majorHAnsi"/>
          <w:i/>
          <w:color w:val="000000"/>
          <w:sz w:val="24"/>
          <w:szCs w:val="24"/>
        </w:rPr>
        <w:t>Senior Financial Analyst</w:t>
      </w:r>
    </w:p>
    <w:p w14:paraId="53652285" w14:textId="77777777" w:rsidR="00407E04" w:rsidRPr="00E11784" w:rsidRDefault="00407E04" w:rsidP="00407E04">
      <w:pPr>
        <w:keepNext/>
        <w:suppressLineNumbers/>
        <w:tabs>
          <w:tab w:val="center" w:pos="4680"/>
        </w:tabs>
        <w:suppressAutoHyphens/>
        <w:spacing w:after="0" w:line="240" w:lineRule="auto"/>
        <w:jc w:val="center"/>
        <w:outlineLvl w:val="3"/>
        <w:rPr>
          <w:rFonts w:asciiTheme="majorHAnsi" w:eastAsia="Times New Roman" w:hAnsiTheme="majorHAnsi" w:cstheme="majorHAnsi"/>
          <w:b/>
          <w:spacing w:val="-3"/>
          <w:sz w:val="24"/>
          <w:szCs w:val="24"/>
          <w:u w:val="single"/>
        </w:rPr>
      </w:pPr>
    </w:p>
    <w:p w14:paraId="69EA1903" w14:textId="77777777" w:rsidR="00407E04" w:rsidRPr="00E11784" w:rsidRDefault="00407E04" w:rsidP="00407E04">
      <w:pPr>
        <w:suppressLineNumbers/>
        <w:spacing w:after="0" w:line="240" w:lineRule="auto"/>
        <w:ind w:left="360"/>
        <w:jc w:val="center"/>
        <w:rPr>
          <w:rFonts w:asciiTheme="majorHAnsi" w:eastAsia="Times New Roman" w:hAnsiTheme="majorHAnsi" w:cstheme="majorHAnsi"/>
          <w:sz w:val="24"/>
          <w:szCs w:val="24"/>
        </w:rPr>
      </w:pPr>
      <w:r w:rsidRPr="00E11784">
        <w:rPr>
          <w:rFonts w:asciiTheme="majorHAnsi" w:hAnsiTheme="majorHAnsi" w:cstheme="majorHAnsi"/>
          <w:noProof/>
          <w:sz w:val="24"/>
          <w:szCs w:val="24"/>
        </w:rPr>
        <w:drawing>
          <wp:inline distT="0" distB="0" distL="0" distR="0" wp14:anchorId="6357D37B" wp14:editId="3B590C85">
            <wp:extent cx="1508760" cy="1627632"/>
            <wp:effectExtent l="0" t="0" r="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54CE79FB" w14:textId="77777777" w:rsidR="00407E04" w:rsidRPr="00E11784" w:rsidRDefault="00407E04" w:rsidP="00407E04">
      <w:pPr>
        <w:suppressLineNumbers/>
        <w:spacing w:after="0" w:line="240" w:lineRule="auto"/>
        <w:rPr>
          <w:rFonts w:asciiTheme="majorHAnsi" w:eastAsia="Times New Roman" w:hAnsiTheme="majorHAnsi" w:cstheme="majorHAnsi"/>
          <w:sz w:val="24"/>
          <w:szCs w:val="24"/>
        </w:rPr>
      </w:pPr>
    </w:p>
    <w:p w14:paraId="102A6F9F" w14:textId="77777777" w:rsidR="00407E04" w:rsidRPr="00E11784" w:rsidRDefault="00407E04" w:rsidP="00407E04">
      <w:pPr>
        <w:keepNext/>
        <w:suppressLineNumbers/>
        <w:tabs>
          <w:tab w:val="center" w:pos="4680"/>
        </w:tabs>
        <w:suppressAutoHyphens/>
        <w:spacing w:after="0" w:line="240" w:lineRule="auto"/>
        <w:ind w:left="360"/>
        <w:jc w:val="center"/>
        <w:outlineLvl w:val="3"/>
        <w:rPr>
          <w:rFonts w:asciiTheme="majorHAnsi" w:eastAsia="Times New Roman" w:hAnsiTheme="majorHAnsi" w:cstheme="majorHAnsi"/>
          <w:b/>
          <w:smallCaps/>
          <w:spacing w:val="-3"/>
          <w:sz w:val="24"/>
          <w:szCs w:val="24"/>
        </w:rPr>
      </w:pPr>
      <w:r w:rsidRPr="00E11784">
        <w:rPr>
          <w:rFonts w:asciiTheme="majorHAnsi" w:eastAsia="Times New Roman" w:hAnsiTheme="majorHAnsi" w:cstheme="majorHAnsi"/>
          <w:b/>
          <w:smallCaps/>
          <w:spacing w:val="-3"/>
          <w:sz w:val="24"/>
          <w:szCs w:val="24"/>
        </w:rPr>
        <w:t>The Council of the City of New York</w:t>
      </w:r>
    </w:p>
    <w:p w14:paraId="4708EDA5" w14:textId="77777777" w:rsidR="00407E04" w:rsidRPr="00E11784" w:rsidRDefault="00407E04" w:rsidP="00407E04">
      <w:pPr>
        <w:suppressLineNumbers/>
        <w:tabs>
          <w:tab w:val="center" w:pos="4680"/>
        </w:tabs>
        <w:suppressAutoHyphens/>
        <w:spacing w:after="0" w:line="240" w:lineRule="auto"/>
        <w:jc w:val="center"/>
        <w:rPr>
          <w:rFonts w:asciiTheme="majorHAnsi" w:eastAsia="Times New Roman" w:hAnsiTheme="majorHAnsi" w:cstheme="majorHAnsi"/>
          <w:spacing w:val="-3"/>
          <w:sz w:val="24"/>
          <w:szCs w:val="24"/>
        </w:rPr>
      </w:pPr>
    </w:p>
    <w:p w14:paraId="3C91A656" w14:textId="2D2F31DB" w:rsidR="00407E04" w:rsidRPr="0000584C" w:rsidRDefault="00407E04" w:rsidP="00407E04">
      <w:pPr>
        <w:suppressLineNumbers/>
        <w:tabs>
          <w:tab w:val="center" w:pos="4680"/>
        </w:tabs>
        <w:suppressAutoHyphens/>
        <w:spacing w:after="0" w:line="240" w:lineRule="auto"/>
        <w:ind w:left="360"/>
        <w:jc w:val="center"/>
        <w:rPr>
          <w:rFonts w:asciiTheme="majorHAnsi" w:eastAsia="Times New Roman" w:hAnsiTheme="majorHAnsi" w:cstheme="majorHAnsi"/>
          <w:b/>
          <w:smallCaps/>
          <w:sz w:val="24"/>
          <w:szCs w:val="24"/>
        </w:rPr>
      </w:pPr>
      <w:r w:rsidRPr="0000584C">
        <w:rPr>
          <w:rFonts w:asciiTheme="majorHAnsi" w:eastAsia="Times New Roman" w:hAnsiTheme="majorHAnsi" w:cstheme="majorHAnsi"/>
          <w:b/>
          <w:smallCaps/>
          <w:sz w:val="24"/>
          <w:szCs w:val="24"/>
        </w:rPr>
        <w:t>Briefing Paper of the Legislative Division</w:t>
      </w:r>
    </w:p>
    <w:p w14:paraId="3AA71173" w14:textId="23E49CC7" w:rsidR="00407E04" w:rsidRPr="00E11784" w:rsidRDefault="00407E04" w:rsidP="00407E04">
      <w:pPr>
        <w:suppressLineNumbers/>
        <w:tabs>
          <w:tab w:val="center" w:pos="4680"/>
        </w:tabs>
        <w:suppressAutoHyphens/>
        <w:spacing w:after="0" w:line="240" w:lineRule="auto"/>
        <w:ind w:left="360"/>
        <w:jc w:val="center"/>
        <w:rPr>
          <w:rFonts w:asciiTheme="majorHAnsi" w:eastAsia="Times New Roman" w:hAnsiTheme="majorHAnsi" w:cstheme="majorHAnsi"/>
          <w:bCs/>
          <w:sz w:val="24"/>
          <w:szCs w:val="24"/>
        </w:rPr>
      </w:pPr>
      <w:r w:rsidRPr="00E11784">
        <w:rPr>
          <w:rFonts w:asciiTheme="majorHAnsi" w:eastAsia="Times New Roman" w:hAnsiTheme="majorHAnsi" w:cstheme="majorHAnsi"/>
          <w:bCs/>
          <w:sz w:val="24"/>
          <w:szCs w:val="24"/>
        </w:rPr>
        <w:t xml:space="preserve">Andrea Vasquez, </w:t>
      </w:r>
      <w:r w:rsidRPr="00CF0694">
        <w:rPr>
          <w:rFonts w:asciiTheme="majorHAnsi" w:eastAsia="Times New Roman" w:hAnsiTheme="majorHAnsi" w:cstheme="majorHAnsi"/>
          <w:bCs/>
          <w:i/>
          <w:sz w:val="24"/>
          <w:szCs w:val="24"/>
        </w:rPr>
        <w:t>Director</w:t>
      </w:r>
    </w:p>
    <w:p w14:paraId="36554B4F" w14:textId="77777777" w:rsidR="00407E04" w:rsidRPr="00E11784" w:rsidRDefault="00407E04" w:rsidP="00407E04">
      <w:pPr>
        <w:suppressLineNumbers/>
        <w:tabs>
          <w:tab w:val="center" w:pos="4680"/>
        </w:tabs>
        <w:suppressAutoHyphens/>
        <w:spacing w:after="0" w:line="240" w:lineRule="auto"/>
        <w:ind w:left="360"/>
        <w:jc w:val="center"/>
        <w:rPr>
          <w:rFonts w:asciiTheme="majorHAnsi" w:eastAsia="Times New Roman" w:hAnsiTheme="majorHAnsi" w:cstheme="majorHAnsi"/>
          <w:bCs/>
          <w:iCs/>
          <w:sz w:val="24"/>
          <w:szCs w:val="24"/>
        </w:rPr>
      </w:pPr>
      <w:r w:rsidRPr="00E11784">
        <w:rPr>
          <w:rFonts w:asciiTheme="majorHAnsi" w:eastAsia="Times New Roman" w:hAnsiTheme="majorHAnsi" w:cstheme="majorHAnsi"/>
          <w:bCs/>
          <w:sz w:val="24"/>
          <w:szCs w:val="24"/>
        </w:rPr>
        <w:t xml:space="preserve">Smita Deshmukh, </w:t>
      </w:r>
      <w:r w:rsidRPr="00CF0694">
        <w:rPr>
          <w:rFonts w:asciiTheme="majorHAnsi" w:eastAsia="Times New Roman" w:hAnsiTheme="majorHAnsi" w:cstheme="majorHAnsi"/>
          <w:bCs/>
          <w:i/>
          <w:iCs/>
          <w:sz w:val="24"/>
          <w:szCs w:val="24"/>
        </w:rPr>
        <w:t>Deputy Director, Human Services Division</w:t>
      </w:r>
    </w:p>
    <w:p w14:paraId="0136EA13" w14:textId="6FD0F4E7" w:rsidR="00407E04" w:rsidRPr="00E11784" w:rsidRDefault="00CF0694" w:rsidP="1FCE5CEB">
      <w:pPr>
        <w:suppressLineNumbers/>
        <w:tabs>
          <w:tab w:val="center" w:pos="4680"/>
        </w:tabs>
        <w:suppressAutoHyphens/>
        <w:spacing w:after="0" w:line="240" w:lineRule="auto"/>
        <w:ind w:left="360"/>
        <w:jc w:val="center"/>
        <w:rPr>
          <w:rFonts w:asciiTheme="majorHAnsi" w:eastAsia="Times New Roman" w:hAnsiTheme="majorHAnsi" w:cstheme="majorBidi"/>
          <w:b/>
          <w:bCs/>
          <w:sz w:val="24"/>
          <w:szCs w:val="24"/>
        </w:rPr>
      </w:pPr>
      <w:r w:rsidRPr="1FCE5CEB">
        <w:rPr>
          <w:rFonts w:asciiTheme="majorHAnsi" w:eastAsia="Times New Roman" w:hAnsiTheme="majorHAnsi" w:cstheme="majorBidi"/>
          <w:sz w:val="24"/>
          <w:szCs w:val="24"/>
        </w:rPr>
        <w:t xml:space="preserve">Bradley Reid, </w:t>
      </w:r>
      <w:r w:rsidRPr="1FCE5CEB">
        <w:rPr>
          <w:rFonts w:asciiTheme="majorHAnsi" w:eastAsia="Times New Roman" w:hAnsiTheme="majorHAnsi" w:cstheme="majorBidi"/>
          <w:i/>
          <w:iCs/>
          <w:sz w:val="24"/>
          <w:szCs w:val="24"/>
        </w:rPr>
        <w:t>Deputy Director, Infrastructure Division</w:t>
      </w:r>
    </w:p>
    <w:p w14:paraId="32BE7C3F" w14:textId="77777777" w:rsidR="00407E04" w:rsidRPr="00E11784" w:rsidRDefault="00407E04" w:rsidP="00407E04">
      <w:pPr>
        <w:keepNext/>
        <w:suppressLineNumbers/>
        <w:spacing w:after="0" w:line="240" w:lineRule="auto"/>
        <w:outlineLvl w:val="4"/>
        <w:rPr>
          <w:rFonts w:asciiTheme="majorHAnsi" w:eastAsia="Times New Roman" w:hAnsiTheme="majorHAnsi" w:cstheme="majorHAnsi"/>
          <w:b/>
          <w:sz w:val="24"/>
          <w:szCs w:val="24"/>
        </w:rPr>
      </w:pPr>
    </w:p>
    <w:p w14:paraId="50B15035" w14:textId="77777777" w:rsidR="00407E04" w:rsidRPr="00E11784" w:rsidRDefault="00407E04" w:rsidP="00407E04">
      <w:pPr>
        <w:keepNext/>
        <w:suppressLineNumbers/>
        <w:spacing w:after="0" w:line="240" w:lineRule="auto"/>
        <w:ind w:left="360"/>
        <w:jc w:val="center"/>
        <w:outlineLvl w:val="4"/>
        <w:rPr>
          <w:rFonts w:asciiTheme="majorHAnsi" w:eastAsia="Times New Roman" w:hAnsiTheme="majorHAnsi" w:cstheme="majorHAnsi"/>
          <w:b/>
          <w:smallCaps/>
          <w:sz w:val="24"/>
          <w:szCs w:val="24"/>
          <w:u w:val="single"/>
        </w:rPr>
      </w:pPr>
      <w:r w:rsidRPr="00E11784">
        <w:rPr>
          <w:rFonts w:asciiTheme="majorHAnsi" w:eastAsia="Times New Roman" w:hAnsiTheme="majorHAnsi" w:cstheme="majorHAnsi"/>
          <w:b/>
          <w:smallCaps/>
          <w:sz w:val="24"/>
          <w:szCs w:val="24"/>
          <w:u w:val="single"/>
        </w:rPr>
        <w:t>Committee on Aging</w:t>
      </w:r>
    </w:p>
    <w:p w14:paraId="3D5EE5FF" w14:textId="77777777" w:rsidR="00407E04" w:rsidRPr="00E11784" w:rsidRDefault="00407E04" w:rsidP="00407E04">
      <w:pPr>
        <w:keepNext/>
        <w:suppressLineNumbers/>
        <w:spacing w:after="0" w:line="240" w:lineRule="auto"/>
        <w:ind w:left="360"/>
        <w:jc w:val="center"/>
        <w:outlineLvl w:val="4"/>
        <w:rPr>
          <w:rFonts w:asciiTheme="majorHAnsi" w:eastAsia="Times New Roman" w:hAnsiTheme="majorHAnsi" w:cstheme="majorHAnsi"/>
          <w:sz w:val="24"/>
          <w:szCs w:val="24"/>
        </w:rPr>
      </w:pPr>
      <w:r w:rsidRPr="00E11784">
        <w:rPr>
          <w:rFonts w:asciiTheme="majorHAnsi" w:eastAsia="Times New Roman" w:hAnsiTheme="majorHAnsi" w:cstheme="majorHAnsi"/>
          <w:sz w:val="24"/>
          <w:szCs w:val="24"/>
        </w:rPr>
        <w:t>Hon. Crystal Hudson, Chair</w:t>
      </w:r>
    </w:p>
    <w:p w14:paraId="7CAA369C" w14:textId="77777777" w:rsidR="00407E04" w:rsidRPr="00E11784" w:rsidRDefault="00407E04" w:rsidP="00407E04">
      <w:pPr>
        <w:keepNext/>
        <w:suppressLineNumbers/>
        <w:spacing w:after="0" w:line="240" w:lineRule="auto"/>
        <w:jc w:val="center"/>
        <w:outlineLvl w:val="4"/>
        <w:rPr>
          <w:rFonts w:asciiTheme="majorHAnsi" w:eastAsia="Times New Roman" w:hAnsiTheme="majorHAnsi" w:cstheme="majorHAnsi"/>
          <w:sz w:val="24"/>
          <w:szCs w:val="24"/>
        </w:rPr>
      </w:pPr>
    </w:p>
    <w:p w14:paraId="28FDE9BF" w14:textId="64202227" w:rsidR="00407E04" w:rsidRPr="00E11784" w:rsidRDefault="00407E04" w:rsidP="00407E04">
      <w:pPr>
        <w:keepNext/>
        <w:suppressLineNumbers/>
        <w:spacing w:after="0" w:line="240" w:lineRule="auto"/>
        <w:ind w:left="360"/>
        <w:jc w:val="center"/>
        <w:outlineLvl w:val="4"/>
        <w:rPr>
          <w:rFonts w:asciiTheme="majorHAnsi" w:eastAsia="Times New Roman" w:hAnsiTheme="majorHAnsi" w:cstheme="majorHAnsi"/>
          <w:b/>
          <w:smallCaps/>
          <w:sz w:val="24"/>
          <w:szCs w:val="24"/>
          <w:u w:val="single"/>
        </w:rPr>
      </w:pPr>
      <w:r w:rsidRPr="00E11784">
        <w:rPr>
          <w:rFonts w:asciiTheme="majorHAnsi" w:eastAsia="Times New Roman" w:hAnsiTheme="majorHAnsi" w:cstheme="majorHAnsi"/>
          <w:b/>
          <w:smallCaps/>
          <w:sz w:val="24"/>
          <w:szCs w:val="24"/>
          <w:u w:val="single"/>
        </w:rPr>
        <w:t xml:space="preserve">Committee on Public </w:t>
      </w:r>
      <w:r w:rsidR="00CF0694">
        <w:rPr>
          <w:rFonts w:asciiTheme="majorHAnsi" w:eastAsia="Times New Roman" w:hAnsiTheme="majorHAnsi" w:cstheme="majorHAnsi"/>
          <w:b/>
          <w:smallCaps/>
          <w:sz w:val="24"/>
          <w:szCs w:val="24"/>
          <w:u w:val="single"/>
        </w:rPr>
        <w:t>Housing</w:t>
      </w:r>
    </w:p>
    <w:p w14:paraId="2FFD0D98" w14:textId="57920B50" w:rsidR="00407E04" w:rsidRPr="00E11784" w:rsidRDefault="00407E04" w:rsidP="00407E04">
      <w:pPr>
        <w:keepNext/>
        <w:suppressLineNumbers/>
        <w:spacing w:after="0" w:line="240" w:lineRule="auto"/>
        <w:ind w:left="360"/>
        <w:jc w:val="center"/>
        <w:outlineLvl w:val="4"/>
        <w:rPr>
          <w:rFonts w:asciiTheme="majorHAnsi" w:eastAsia="Times New Roman" w:hAnsiTheme="majorHAnsi" w:cstheme="majorHAnsi"/>
          <w:sz w:val="24"/>
          <w:szCs w:val="24"/>
        </w:rPr>
      </w:pPr>
      <w:r w:rsidRPr="00E11784">
        <w:rPr>
          <w:rFonts w:asciiTheme="majorHAnsi" w:eastAsia="Times New Roman" w:hAnsiTheme="majorHAnsi" w:cstheme="majorHAnsi"/>
          <w:sz w:val="24"/>
          <w:szCs w:val="24"/>
        </w:rPr>
        <w:t xml:space="preserve">Hon. </w:t>
      </w:r>
      <w:r w:rsidR="00CF0694">
        <w:rPr>
          <w:rFonts w:asciiTheme="majorHAnsi" w:eastAsia="Times New Roman" w:hAnsiTheme="majorHAnsi" w:cstheme="majorHAnsi"/>
          <w:sz w:val="24"/>
          <w:szCs w:val="24"/>
        </w:rPr>
        <w:t>Chris Banks</w:t>
      </w:r>
      <w:r w:rsidRPr="00E11784">
        <w:rPr>
          <w:rFonts w:asciiTheme="majorHAnsi" w:eastAsia="Times New Roman" w:hAnsiTheme="majorHAnsi" w:cstheme="majorHAnsi"/>
          <w:sz w:val="24"/>
          <w:szCs w:val="24"/>
        </w:rPr>
        <w:t>, Chair</w:t>
      </w:r>
    </w:p>
    <w:p w14:paraId="19FF4575" w14:textId="77777777" w:rsidR="00407E04" w:rsidRPr="00E11784" w:rsidRDefault="00407E04" w:rsidP="00407E04">
      <w:pPr>
        <w:keepNext/>
        <w:suppressLineNumbers/>
        <w:spacing w:after="0" w:line="240" w:lineRule="auto"/>
        <w:jc w:val="center"/>
        <w:outlineLvl w:val="4"/>
        <w:rPr>
          <w:rFonts w:asciiTheme="majorHAnsi" w:eastAsia="Times New Roman" w:hAnsiTheme="majorHAnsi" w:cstheme="majorHAnsi"/>
          <w:b/>
          <w:sz w:val="24"/>
          <w:szCs w:val="24"/>
        </w:rPr>
      </w:pPr>
    </w:p>
    <w:p w14:paraId="711846AF" w14:textId="6C11747D" w:rsidR="00407E04" w:rsidRPr="00E11784" w:rsidRDefault="00CF0694" w:rsidP="00407E04">
      <w:pPr>
        <w:keepNext/>
        <w:suppressLineNumbers/>
        <w:spacing w:after="0" w:line="240" w:lineRule="auto"/>
        <w:ind w:left="360"/>
        <w:jc w:val="center"/>
        <w:outlineLvl w:val="4"/>
        <w:rPr>
          <w:rFonts w:asciiTheme="majorHAnsi" w:eastAsia="Times New Roman" w:hAnsiTheme="majorHAnsi" w:cstheme="majorHAnsi"/>
          <w:sz w:val="24"/>
          <w:szCs w:val="24"/>
        </w:rPr>
      </w:pPr>
      <w:r>
        <w:rPr>
          <w:rFonts w:asciiTheme="majorHAnsi" w:eastAsia="Times New Roman" w:hAnsiTheme="majorHAnsi" w:cstheme="majorHAnsi"/>
          <w:sz w:val="24"/>
          <w:szCs w:val="24"/>
        </w:rPr>
        <w:t>January 28, 2025</w:t>
      </w:r>
    </w:p>
    <w:p w14:paraId="4B5C95B8" w14:textId="77777777" w:rsidR="00407E04" w:rsidRPr="00E11784" w:rsidRDefault="00407E04" w:rsidP="00407E04">
      <w:pPr>
        <w:keepNext/>
        <w:suppressLineNumbers/>
        <w:spacing w:after="0" w:line="240" w:lineRule="auto"/>
        <w:jc w:val="center"/>
        <w:outlineLvl w:val="4"/>
        <w:rPr>
          <w:rFonts w:asciiTheme="majorHAnsi" w:eastAsia="Times New Roman" w:hAnsiTheme="majorHAnsi" w:cstheme="majorHAnsi"/>
          <w:b/>
          <w:smallCaps/>
          <w:sz w:val="24"/>
          <w:szCs w:val="24"/>
        </w:rPr>
      </w:pPr>
    </w:p>
    <w:p w14:paraId="39E88E48" w14:textId="5B02E3AA" w:rsidR="00407E04" w:rsidRPr="00E11784" w:rsidRDefault="00407E04" w:rsidP="00407E04">
      <w:pPr>
        <w:keepNext/>
        <w:suppressLineNumbers/>
        <w:spacing w:after="0" w:line="240" w:lineRule="auto"/>
        <w:ind w:left="360"/>
        <w:jc w:val="center"/>
        <w:outlineLvl w:val="4"/>
        <w:rPr>
          <w:rFonts w:asciiTheme="majorHAnsi" w:eastAsia="Times New Roman" w:hAnsiTheme="majorHAnsi" w:cstheme="majorHAnsi"/>
          <w:b/>
          <w:smallCaps/>
          <w:sz w:val="24"/>
          <w:szCs w:val="24"/>
        </w:rPr>
      </w:pPr>
      <w:r w:rsidRPr="00E11784">
        <w:rPr>
          <w:rFonts w:asciiTheme="majorHAnsi" w:eastAsia="Times New Roman" w:hAnsiTheme="majorHAnsi" w:cstheme="majorHAnsi"/>
          <w:b/>
          <w:smallCaps/>
          <w:sz w:val="24"/>
          <w:szCs w:val="24"/>
        </w:rPr>
        <w:t xml:space="preserve">Oversight: </w:t>
      </w:r>
      <w:r w:rsidR="00CF0694">
        <w:rPr>
          <w:rFonts w:asciiTheme="majorHAnsi" w:eastAsia="Times New Roman" w:hAnsiTheme="majorHAnsi" w:cstheme="majorHAnsi"/>
          <w:b/>
          <w:smallCaps/>
          <w:sz w:val="24"/>
          <w:szCs w:val="24"/>
        </w:rPr>
        <w:t>Older Adult Centers at NYCHA Facilities</w:t>
      </w:r>
    </w:p>
    <w:p w14:paraId="29A74337" w14:textId="77777777" w:rsidR="00407E04" w:rsidRDefault="00407E04" w:rsidP="00407E04">
      <w:pPr>
        <w:keepNext/>
        <w:suppressLineNumbers/>
        <w:spacing w:after="0" w:line="240" w:lineRule="auto"/>
        <w:ind w:left="360"/>
        <w:jc w:val="center"/>
        <w:outlineLvl w:val="4"/>
        <w:rPr>
          <w:rFonts w:asciiTheme="majorHAnsi" w:eastAsia="Times New Roman" w:hAnsiTheme="majorHAnsi" w:cstheme="majorHAnsi"/>
          <w:smallCaps/>
          <w:sz w:val="24"/>
          <w:szCs w:val="24"/>
        </w:rPr>
      </w:pPr>
    </w:p>
    <w:p w14:paraId="49F68B57" w14:textId="77777777" w:rsidR="00CF0694" w:rsidRDefault="00CF0694" w:rsidP="00CF0694">
      <w:pPr>
        <w:pStyle w:val="ListParagraph"/>
        <w:suppressLineNumbers/>
        <w:spacing w:after="0"/>
        <w:ind w:left="1080"/>
        <w:jc w:val="both"/>
        <w:rPr>
          <w:rFonts w:asciiTheme="majorHAnsi" w:hAnsiTheme="majorHAnsi" w:cstheme="majorHAnsi"/>
          <w:b/>
          <w:smallCaps/>
          <w:sz w:val="24"/>
          <w:szCs w:val="24"/>
        </w:rPr>
      </w:pPr>
    </w:p>
    <w:p w14:paraId="77A71FF0" w14:textId="77777777" w:rsidR="00CF0694" w:rsidRPr="00CF0694" w:rsidRDefault="00CF0694" w:rsidP="00CF0694">
      <w:pPr>
        <w:suppressLineNumbers/>
        <w:spacing w:after="0"/>
        <w:ind w:left="360"/>
        <w:jc w:val="both"/>
        <w:rPr>
          <w:rFonts w:asciiTheme="majorHAnsi" w:hAnsiTheme="majorHAnsi" w:cstheme="majorHAnsi"/>
          <w:b/>
          <w:smallCaps/>
          <w:sz w:val="24"/>
          <w:szCs w:val="24"/>
        </w:rPr>
      </w:pPr>
    </w:p>
    <w:p w14:paraId="03746161" w14:textId="77777777" w:rsidR="00CF0694" w:rsidRDefault="00CF0694" w:rsidP="00CF0694">
      <w:pPr>
        <w:pStyle w:val="ListParagraph"/>
        <w:suppressLineNumbers/>
        <w:spacing w:after="0"/>
        <w:ind w:left="1080"/>
        <w:jc w:val="both"/>
        <w:rPr>
          <w:rFonts w:asciiTheme="majorHAnsi" w:hAnsiTheme="majorHAnsi" w:cstheme="majorHAnsi"/>
          <w:b/>
          <w:smallCaps/>
          <w:sz w:val="24"/>
          <w:szCs w:val="24"/>
        </w:rPr>
      </w:pPr>
    </w:p>
    <w:p w14:paraId="46E1BCFE" w14:textId="77777777" w:rsidR="00CF0694" w:rsidRDefault="00CF0694" w:rsidP="00CF0694">
      <w:pPr>
        <w:pStyle w:val="ListParagraph"/>
        <w:suppressLineNumbers/>
        <w:spacing w:after="0"/>
        <w:ind w:left="1080"/>
        <w:jc w:val="both"/>
        <w:rPr>
          <w:rFonts w:asciiTheme="majorHAnsi" w:hAnsiTheme="majorHAnsi" w:cstheme="majorHAnsi"/>
          <w:b/>
          <w:smallCaps/>
          <w:sz w:val="24"/>
          <w:szCs w:val="24"/>
        </w:rPr>
      </w:pPr>
    </w:p>
    <w:p w14:paraId="6D52E1B8" w14:textId="5D6646AD" w:rsidR="00407E04" w:rsidRPr="00DC3EFA" w:rsidRDefault="00407E04" w:rsidP="00462FE1">
      <w:pPr>
        <w:pStyle w:val="ListParagraph"/>
        <w:numPr>
          <w:ilvl w:val="0"/>
          <w:numId w:val="21"/>
        </w:numPr>
        <w:suppressLineNumbers/>
        <w:spacing w:after="0"/>
        <w:contextualSpacing w:val="0"/>
        <w:jc w:val="both"/>
        <w:rPr>
          <w:rFonts w:cstheme="minorHAnsi"/>
          <w:b/>
          <w:smallCaps/>
          <w:sz w:val="24"/>
          <w:szCs w:val="24"/>
        </w:rPr>
      </w:pPr>
      <w:r w:rsidRPr="00DC3EFA">
        <w:rPr>
          <w:rFonts w:cstheme="minorHAnsi"/>
          <w:b/>
          <w:smallCaps/>
          <w:sz w:val="24"/>
          <w:szCs w:val="24"/>
        </w:rPr>
        <w:lastRenderedPageBreak/>
        <w:t>Introduction</w:t>
      </w:r>
    </w:p>
    <w:p w14:paraId="5970312F" w14:textId="2459433C" w:rsidR="00407E04" w:rsidRPr="00837A9C" w:rsidRDefault="00CF0694" w:rsidP="003F1F20">
      <w:pPr>
        <w:spacing w:after="0"/>
        <w:ind w:firstLine="720"/>
        <w:contextualSpacing/>
        <w:rPr>
          <w:sz w:val="24"/>
          <w:szCs w:val="24"/>
        </w:rPr>
      </w:pPr>
      <w:r w:rsidRPr="00837A9C">
        <w:rPr>
          <w:sz w:val="24"/>
          <w:szCs w:val="24"/>
        </w:rPr>
        <w:t>On Tuesday, January 28, 2025</w:t>
      </w:r>
      <w:r w:rsidR="00407E04" w:rsidRPr="00837A9C">
        <w:rPr>
          <w:sz w:val="24"/>
          <w:szCs w:val="24"/>
        </w:rPr>
        <w:t xml:space="preserve">, the Committee on Aging, chaired by Council Member Crystal Hudson, and the Committee on Public </w:t>
      </w:r>
      <w:r w:rsidRPr="00837A9C">
        <w:rPr>
          <w:sz w:val="24"/>
          <w:szCs w:val="24"/>
        </w:rPr>
        <w:t>Housing</w:t>
      </w:r>
      <w:r w:rsidR="00407E04" w:rsidRPr="00837A9C">
        <w:rPr>
          <w:sz w:val="24"/>
          <w:szCs w:val="24"/>
        </w:rPr>
        <w:t xml:space="preserve">, chaired by Council Member </w:t>
      </w:r>
      <w:r w:rsidRPr="00837A9C">
        <w:rPr>
          <w:sz w:val="24"/>
          <w:szCs w:val="24"/>
        </w:rPr>
        <w:t>Chris Banks</w:t>
      </w:r>
      <w:r w:rsidR="00407E04" w:rsidRPr="00837A9C">
        <w:rPr>
          <w:sz w:val="24"/>
          <w:szCs w:val="24"/>
        </w:rPr>
        <w:t xml:space="preserve">, will hold a joint oversight hearing on </w:t>
      </w:r>
      <w:r w:rsidRPr="00837A9C">
        <w:rPr>
          <w:i/>
          <w:iCs/>
          <w:sz w:val="24"/>
          <w:szCs w:val="24"/>
        </w:rPr>
        <w:t>Older Adult Centers at NYCHA Facilities</w:t>
      </w:r>
      <w:r w:rsidRPr="00837A9C">
        <w:rPr>
          <w:sz w:val="24"/>
          <w:szCs w:val="24"/>
        </w:rPr>
        <w:t xml:space="preserve">. </w:t>
      </w:r>
      <w:r w:rsidR="002E2889" w:rsidRPr="00837A9C">
        <w:rPr>
          <w:sz w:val="24"/>
          <w:szCs w:val="24"/>
        </w:rPr>
        <w:t xml:space="preserve">The Committees last held a joint oversight hearing, </w:t>
      </w:r>
      <w:r w:rsidR="45DD2CF0" w:rsidRPr="00837A9C">
        <w:rPr>
          <w:i/>
          <w:iCs/>
          <w:sz w:val="24"/>
          <w:szCs w:val="24"/>
        </w:rPr>
        <w:t>Doors, Locks, and Lights</w:t>
      </w:r>
      <w:r w:rsidR="0AB53216" w:rsidRPr="00837A9C">
        <w:rPr>
          <w:i/>
          <w:iCs/>
          <w:sz w:val="24"/>
          <w:szCs w:val="24"/>
        </w:rPr>
        <w:t>: The Infrastructure of Resident Safety at NYCHA</w:t>
      </w:r>
      <w:r w:rsidR="002E2889" w:rsidRPr="00837A9C">
        <w:rPr>
          <w:sz w:val="24"/>
          <w:szCs w:val="24"/>
        </w:rPr>
        <w:t xml:space="preserve">, on </w:t>
      </w:r>
      <w:r w:rsidR="038E9CCA" w:rsidRPr="00837A9C">
        <w:rPr>
          <w:sz w:val="24"/>
          <w:szCs w:val="24"/>
        </w:rPr>
        <w:t>November</w:t>
      </w:r>
      <w:r w:rsidR="002E2889" w:rsidRPr="00837A9C">
        <w:rPr>
          <w:sz w:val="24"/>
          <w:szCs w:val="24"/>
        </w:rPr>
        <w:t xml:space="preserve"> </w:t>
      </w:r>
      <w:r w:rsidR="65A31AD7" w:rsidRPr="00837A9C">
        <w:rPr>
          <w:sz w:val="24"/>
          <w:szCs w:val="24"/>
        </w:rPr>
        <w:t>30</w:t>
      </w:r>
      <w:r w:rsidR="002E2889" w:rsidRPr="00837A9C">
        <w:rPr>
          <w:sz w:val="24"/>
          <w:szCs w:val="24"/>
        </w:rPr>
        <w:t>, 202</w:t>
      </w:r>
      <w:r w:rsidR="56C6BB1F" w:rsidRPr="00837A9C">
        <w:rPr>
          <w:sz w:val="24"/>
          <w:szCs w:val="24"/>
        </w:rPr>
        <w:t>3</w:t>
      </w:r>
      <w:r w:rsidR="002E2889" w:rsidRPr="00837A9C">
        <w:rPr>
          <w:sz w:val="24"/>
          <w:szCs w:val="24"/>
        </w:rPr>
        <w:t xml:space="preserve">. </w:t>
      </w:r>
      <w:r w:rsidR="004C3661" w:rsidRPr="00837A9C">
        <w:rPr>
          <w:sz w:val="24"/>
          <w:szCs w:val="24"/>
        </w:rPr>
        <w:t>Witnesses</w:t>
      </w:r>
      <w:r w:rsidR="00407E04" w:rsidRPr="00837A9C">
        <w:rPr>
          <w:sz w:val="24"/>
          <w:szCs w:val="24"/>
        </w:rPr>
        <w:t xml:space="preserve"> invited to testify include representatives from the New York City (“NYC” or “City”) Department for the Aging (“DFTA”) and the N</w:t>
      </w:r>
      <w:r w:rsidRPr="00837A9C">
        <w:rPr>
          <w:sz w:val="24"/>
          <w:szCs w:val="24"/>
        </w:rPr>
        <w:t xml:space="preserve">YC Housing Authority </w:t>
      </w:r>
      <w:r w:rsidR="00407E04" w:rsidRPr="00837A9C">
        <w:rPr>
          <w:sz w:val="24"/>
          <w:szCs w:val="24"/>
        </w:rPr>
        <w:t>(“</w:t>
      </w:r>
      <w:r w:rsidRPr="00837A9C">
        <w:rPr>
          <w:sz w:val="24"/>
          <w:szCs w:val="24"/>
        </w:rPr>
        <w:t>NYCHA”</w:t>
      </w:r>
      <w:r w:rsidR="00407E04" w:rsidRPr="00837A9C">
        <w:rPr>
          <w:sz w:val="24"/>
          <w:szCs w:val="24"/>
        </w:rPr>
        <w:t xml:space="preserve">), as well as </w:t>
      </w:r>
      <w:r w:rsidRPr="00837A9C">
        <w:rPr>
          <w:sz w:val="24"/>
          <w:szCs w:val="24"/>
        </w:rPr>
        <w:t xml:space="preserve">older </w:t>
      </w:r>
      <w:r w:rsidR="00137BFF" w:rsidRPr="00837A9C">
        <w:rPr>
          <w:sz w:val="24"/>
          <w:szCs w:val="24"/>
        </w:rPr>
        <w:t>NYCHA residents</w:t>
      </w:r>
      <w:r w:rsidRPr="00837A9C">
        <w:rPr>
          <w:sz w:val="24"/>
          <w:szCs w:val="24"/>
        </w:rPr>
        <w:t xml:space="preserve">, </w:t>
      </w:r>
      <w:r w:rsidR="00137BFF" w:rsidRPr="00837A9C">
        <w:rPr>
          <w:sz w:val="24"/>
          <w:szCs w:val="24"/>
        </w:rPr>
        <w:t xml:space="preserve">NYCHA resident associations, </w:t>
      </w:r>
      <w:r w:rsidR="00407E04" w:rsidRPr="00837A9C">
        <w:rPr>
          <w:sz w:val="24"/>
          <w:szCs w:val="24"/>
        </w:rPr>
        <w:t>advocacy groups, community-based organizations, and other interested stakeholders.</w:t>
      </w:r>
    </w:p>
    <w:p w14:paraId="26A1D94A" w14:textId="744984AC" w:rsidR="006319F4" w:rsidRPr="00837A9C" w:rsidRDefault="002F456D" w:rsidP="003F1F20">
      <w:pPr>
        <w:pStyle w:val="ListParagraph"/>
        <w:numPr>
          <w:ilvl w:val="0"/>
          <w:numId w:val="21"/>
        </w:numPr>
        <w:suppressLineNumbers/>
        <w:spacing w:before="120" w:after="0"/>
        <w:rPr>
          <w:rFonts w:cstheme="minorHAnsi"/>
          <w:b/>
          <w:smallCaps/>
          <w:sz w:val="24"/>
          <w:szCs w:val="24"/>
        </w:rPr>
      </w:pPr>
      <w:r w:rsidRPr="00837A9C">
        <w:rPr>
          <w:rFonts w:cstheme="minorHAnsi"/>
          <w:b/>
          <w:smallCaps/>
          <w:sz w:val="24"/>
          <w:szCs w:val="24"/>
        </w:rPr>
        <w:t>Background</w:t>
      </w:r>
      <w:r w:rsidR="00DB2571" w:rsidRPr="00837A9C">
        <w:rPr>
          <w:rFonts w:cstheme="minorHAnsi"/>
          <w:b/>
          <w:smallCaps/>
          <w:sz w:val="24"/>
          <w:szCs w:val="24"/>
        </w:rPr>
        <w:t xml:space="preserve"> </w:t>
      </w:r>
    </w:p>
    <w:p w14:paraId="1B4F669F" w14:textId="4166D3F2" w:rsidR="00E95240" w:rsidRPr="00837A9C" w:rsidRDefault="009D39FA" w:rsidP="003F1F20">
      <w:pPr>
        <w:suppressLineNumbers/>
        <w:spacing w:after="0"/>
        <w:ind w:firstLine="720"/>
        <w:contextualSpacing/>
        <w:rPr>
          <w:sz w:val="24"/>
          <w:szCs w:val="24"/>
        </w:rPr>
      </w:pPr>
      <w:r w:rsidRPr="00837A9C">
        <w:rPr>
          <w:sz w:val="24"/>
          <w:szCs w:val="24"/>
        </w:rPr>
        <w:t>The Older Americans Act, the primary federal statu</w:t>
      </w:r>
      <w:r w:rsidR="4DEFDE0E" w:rsidRPr="00837A9C">
        <w:rPr>
          <w:sz w:val="24"/>
          <w:szCs w:val="24"/>
        </w:rPr>
        <w:t>t</w:t>
      </w:r>
      <w:r w:rsidRPr="00837A9C">
        <w:rPr>
          <w:sz w:val="24"/>
          <w:szCs w:val="24"/>
        </w:rPr>
        <w:t xml:space="preserve">e for the delivery of social and nutrition services for older </w:t>
      </w:r>
      <w:r w:rsidR="006724E1" w:rsidRPr="00837A9C">
        <w:rPr>
          <w:sz w:val="24"/>
          <w:szCs w:val="24"/>
        </w:rPr>
        <w:t>adults</w:t>
      </w:r>
      <w:r w:rsidRPr="00837A9C">
        <w:rPr>
          <w:sz w:val="24"/>
          <w:szCs w:val="24"/>
        </w:rPr>
        <w:t xml:space="preserve">, </w:t>
      </w:r>
      <w:r w:rsidR="00CF41D7" w:rsidRPr="00837A9C">
        <w:rPr>
          <w:sz w:val="24"/>
          <w:szCs w:val="24"/>
        </w:rPr>
        <w:t>defines older adult center</w:t>
      </w:r>
      <w:r w:rsidR="00B80D20" w:rsidRPr="00837A9C">
        <w:rPr>
          <w:sz w:val="24"/>
          <w:szCs w:val="24"/>
        </w:rPr>
        <w:t>s</w:t>
      </w:r>
      <w:r w:rsidR="001B669F" w:rsidRPr="00837A9C">
        <w:rPr>
          <w:sz w:val="24"/>
          <w:szCs w:val="24"/>
        </w:rPr>
        <w:t xml:space="preserve"> (OAC</w:t>
      </w:r>
      <w:r w:rsidR="00B80D20" w:rsidRPr="00837A9C">
        <w:rPr>
          <w:sz w:val="24"/>
          <w:szCs w:val="24"/>
        </w:rPr>
        <w:t>s</w:t>
      </w:r>
      <w:r w:rsidR="00CF41D7" w:rsidRPr="00837A9C">
        <w:rPr>
          <w:sz w:val="24"/>
          <w:szCs w:val="24"/>
        </w:rPr>
        <w:t>), also known as senior center</w:t>
      </w:r>
      <w:r w:rsidR="00B80D20" w:rsidRPr="00837A9C">
        <w:rPr>
          <w:sz w:val="24"/>
          <w:szCs w:val="24"/>
        </w:rPr>
        <w:t>s</w:t>
      </w:r>
      <w:r w:rsidR="001B669F" w:rsidRPr="00837A9C">
        <w:rPr>
          <w:sz w:val="24"/>
          <w:szCs w:val="24"/>
        </w:rPr>
        <w:t>,</w:t>
      </w:r>
      <w:r w:rsidR="00CF41D7" w:rsidRPr="00837A9C">
        <w:rPr>
          <w:sz w:val="24"/>
          <w:szCs w:val="24"/>
        </w:rPr>
        <w:t xml:space="preserve"> as </w:t>
      </w:r>
      <w:r w:rsidR="001B669F" w:rsidRPr="00837A9C">
        <w:rPr>
          <w:sz w:val="24"/>
          <w:szCs w:val="24"/>
        </w:rPr>
        <w:t>community hubs that act as a point of access for various community services aimed at the older adult population.</w:t>
      </w:r>
      <w:r w:rsidR="00430A08" w:rsidRPr="00837A9C">
        <w:rPr>
          <w:rStyle w:val="FootnoteReference"/>
          <w:sz w:val="24"/>
          <w:szCs w:val="24"/>
        </w:rPr>
        <w:footnoteReference w:id="2"/>
      </w:r>
      <w:r w:rsidR="00E95240" w:rsidRPr="00837A9C">
        <w:rPr>
          <w:sz w:val="24"/>
          <w:szCs w:val="24"/>
        </w:rPr>
        <w:t xml:space="preserve"> </w:t>
      </w:r>
      <w:r w:rsidR="00B80D20" w:rsidRPr="00837A9C">
        <w:rPr>
          <w:sz w:val="24"/>
          <w:szCs w:val="24"/>
        </w:rPr>
        <w:t>A</w:t>
      </w:r>
      <w:r w:rsidR="00517802" w:rsidRPr="00837A9C">
        <w:rPr>
          <w:sz w:val="24"/>
          <w:szCs w:val="24"/>
        </w:rPr>
        <w:t xml:space="preserve">ccessing benefits, building community, and daily tasks </w:t>
      </w:r>
      <w:r w:rsidR="00B80D20" w:rsidRPr="00837A9C">
        <w:rPr>
          <w:sz w:val="24"/>
          <w:szCs w:val="24"/>
        </w:rPr>
        <w:t xml:space="preserve">can become increasingly </w:t>
      </w:r>
      <w:r w:rsidR="00F770A8" w:rsidRPr="00837A9C">
        <w:rPr>
          <w:sz w:val="24"/>
          <w:szCs w:val="24"/>
        </w:rPr>
        <w:t xml:space="preserve">challenging </w:t>
      </w:r>
      <w:r w:rsidR="00B80D20" w:rsidRPr="00837A9C">
        <w:rPr>
          <w:sz w:val="24"/>
          <w:szCs w:val="24"/>
        </w:rPr>
        <w:t>with age</w:t>
      </w:r>
      <w:r w:rsidR="02E71227" w:rsidRPr="00837A9C">
        <w:rPr>
          <w:sz w:val="24"/>
          <w:szCs w:val="24"/>
        </w:rPr>
        <w:t>,</w:t>
      </w:r>
      <w:r w:rsidR="00B80D20" w:rsidRPr="00837A9C">
        <w:rPr>
          <w:sz w:val="24"/>
          <w:szCs w:val="24"/>
        </w:rPr>
        <w:t xml:space="preserve"> </w:t>
      </w:r>
      <w:r w:rsidR="00F770A8" w:rsidRPr="00837A9C">
        <w:rPr>
          <w:sz w:val="24"/>
          <w:szCs w:val="24"/>
        </w:rPr>
        <w:t xml:space="preserve">and OACs provide </w:t>
      </w:r>
      <w:r w:rsidR="00DE28F3" w:rsidRPr="00837A9C">
        <w:rPr>
          <w:sz w:val="24"/>
          <w:szCs w:val="24"/>
        </w:rPr>
        <w:t xml:space="preserve">older adults with </w:t>
      </w:r>
      <w:r w:rsidR="00F770A8" w:rsidRPr="00837A9C">
        <w:rPr>
          <w:sz w:val="24"/>
          <w:szCs w:val="24"/>
        </w:rPr>
        <w:t xml:space="preserve">access to activities, resources, and social engagement </w:t>
      </w:r>
      <w:r w:rsidR="007342D8" w:rsidRPr="00837A9C">
        <w:rPr>
          <w:sz w:val="24"/>
          <w:szCs w:val="24"/>
        </w:rPr>
        <w:t>while also working</w:t>
      </w:r>
      <w:r w:rsidR="00E95240" w:rsidRPr="00837A9C">
        <w:rPr>
          <w:sz w:val="24"/>
          <w:szCs w:val="24"/>
        </w:rPr>
        <w:t xml:space="preserve"> in partnership with other community agencies</w:t>
      </w:r>
      <w:r w:rsidR="007342D8" w:rsidRPr="00837A9C">
        <w:rPr>
          <w:sz w:val="24"/>
          <w:szCs w:val="24"/>
        </w:rPr>
        <w:t>,</w:t>
      </w:r>
      <w:r w:rsidR="00E95240" w:rsidRPr="00837A9C">
        <w:rPr>
          <w:sz w:val="24"/>
          <w:szCs w:val="24"/>
        </w:rPr>
        <w:t xml:space="preserve"> organizations</w:t>
      </w:r>
      <w:r w:rsidR="007342D8" w:rsidRPr="00837A9C">
        <w:rPr>
          <w:sz w:val="24"/>
          <w:szCs w:val="24"/>
        </w:rPr>
        <w:t>,</w:t>
      </w:r>
      <w:r w:rsidR="00E95240" w:rsidRPr="00837A9C">
        <w:rPr>
          <w:sz w:val="24"/>
          <w:szCs w:val="24"/>
        </w:rPr>
        <w:t xml:space="preserve"> and businesses to </w:t>
      </w:r>
      <w:r w:rsidR="00A770BD" w:rsidRPr="00837A9C">
        <w:rPr>
          <w:sz w:val="24"/>
          <w:szCs w:val="24"/>
        </w:rPr>
        <w:t xml:space="preserve">offer </w:t>
      </w:r>
      <w:r w:rsidR="00E95240" w:rsidRPr="00837A9C">
        <w:rPr>
          <w:sz w:val="24"/>
          <w:szCs w:val="24"/>
        </w:rPr>
        <w:t>opportunities t</w:t>
      </w:r>
      <w:r w:rsidR="00517802" w:rsidRPr="00837A9C">
        <w:rPr>
          <w:sz w:val="24"/>
          <w:szCs w:val="24"/>
        </w:rPr>
        <w:t>o stay active, healthy, and safe</w:t>
      </w:r>
      <w:r w:rsidR="00E95240" w:rsidRPr="00837A9C">
        <w:rPr>
          <w:sz w:val="24"/>
          <w:szCs w:val="24"/>
        </w:rPr>
        <w:t>.</w:t>
      </w:r>
      <w:r w:rsidR="00E95240" w:rsidRPr="00837A9C">
        <w:rPr>
          <w:rStyle w:val="FootnoteReference"/>
          <w:sz w:val="24"/>
          <w:szCs w:val="24"/>
        </w:rPr>
        <w:footnoteReference w:id="3"/>
      </w:r>
      <w:r w:rsidR="006A2A0F" w:rsidRPr="00837A9C">
        <w:rPr>
          <w:sz w:val="24"/>
          <w:szCs w:val="24"/>
        </w:rPr>
        <w:t xml:space="preserve"> </w:t>
      </w:r>
      <w:r w:rsidR="003D7497" w:rsidRPr="00837A9C">
        <w:rPr>
          <w:sz w:val="24"/>
          <w:szCs w:val="24"/>
        </w:rPr>
        <w:t>According to the National Council on Aging, compared to non-participants, older adults who participate in OAC programs experience better psychological well-being across several measures, including greater life satisfaction, higher levels of health, and increased social interaction.</w:t>
      </w:r>
      <w:r w:rsidR="003D7497" w:rsidRPr="00837A9C">
        <w:rPr>
          <w:rStyle w:val="FootnoteReference"/>
          <w:sz w:val="24"/>
          <w:szCs w:val="24"/>
        </w:rPr>
        <w:footnoteReference w:id="4"/>
      </w:r>
      <w:r w:rsidR="003D7497" w:rsidRPr="00837A9C">
        <w:rPr>
          <w:sz w:val="24"/>
          <w:szCs w:val="24"/>
        </w:rPr>
        <w:t xml:space="preserve"> Moreover, research shows OAC program participants can learn to manage and delay the onset of chronic disease and experience measurable improvements in their economic, emotional, mental, physical, social, and spiritual well-being.</w:t>
      </w:r>
      <w:r w:rsidR="003D7497" w:rsidRPr="00837A9C">
        <w:rPr>
          <w:rStyle w:val="FootnoteReference"/>
          <w:sz w:val="24"/>
          <w:szCs w:val="24"/>
        </w:rPr>
        <w:footnoteReference w:id="5"/>
      </w:r>
      <w:r w:rsidR="00E46568" w:rsidRPr="00837A9C">
        <w:rPr>
          <w:sz w:val="24"/>
          <w:szCs w:val="24"/>
        </w:rPr>
        <w:t xml:space="preserve"> </w:t>
      </w:r>
      <w:r w:rsidR="00970148" w:rsidRPr="00837A9C">
        <w:rPr>
          <w:sz w:val="24"/>
          <w:szCs w:val="24"/>
        </w:rPr>
        <w:t>That</w:t>
      </w:r>
      <w:r w:rsidR="00050BE4" w:rsidRPr="00837A9C">
        <w:rPr>
          <w:sz w:val="24"/>
          <w:szCs w:val="24"/>
        </w:rPr>
        <w:t xml:space="preserve"> is, OACs can be </w:t>
      </w:r>
      <w:r w:rsidR="00327C0A" w:rsidRPr="00837A9C">
        <w:rPr>
          <w:sz w:val="24"/>
          <w:szCs w:val="24"/>
        </w:rPr>
        <w:t xml:space="preserve">instrumental in helping older adults </w:t>
      </w:r>
      <w:r w:rsidR="00260A87" w:rsidRPr="00837A9C">
        <w:rPr>
          <w:sz w:val="24"/>
          <w:szCs w:val="24"/>
        </w:rPr>
        <w:t xml:space="preserve">stay healthy and independent, </w:t>
      </w:r>
      <w:r w:rsidR="00DE5BD3" w:rsidRPr="00837A9C">
        <w:rPr>
          <w:sz w:val="24"/>
          <w:szCs w:val="24"/>
        </w:rPr>
        <w:t xml:space="preserve">allowing them to </w:t>
      </w:r>
      <w:r w:rsidR="00260A87" w:rsidRPr="00837A9C">
        <w:rPr>
          <w:sz w:val="24"/>
          <w:szCs w:val="24"/>
        </w:rPr>
        <w:t>age in place.</w:t>
      </w:r>
      <w:r w:rsidR="00260A87" w:rsidRPr="00837A9C">
        <w:rPr>
          <w:rStyle w:val="FootnoteReference"/>
          <w:sz w:val="24"/>
          <w:szCs w:val="24"/>
        </w:rPr>
        <w:footnoteReference w:id="6"/>
      </w:r>
    </w:p>
    <w:p w14:paraId="59073956" w14:textId="1D3D1892" w:rsidR="006E4B36" w:rsidRPr="00837A9C" w:rsidRDefault="00D4330A" w:rsidP="003F1F20">
      <w:pPr>
        <w:suppressLineNumbers/>
        <w:spacing w:after="0"/>
        <w:ind w:firstLine="720"/>
        <w:contextualSpacing/>
        <w:rPr>
          <w:rFonts w:cstheme="minorHAnsi"/>
          <w:sz w:val="24"/>
          <w:szCs w:val="24"/>
        </w:rPr>
      </w:pPr>
      <w:r w:rsidRPr="00837A9C">
        <w:rPr>
          <w:rFonts w:cstheme="minorHAnsi"/>
          <w:sz w:val="24"/>
          <w:szCs w:val="24"/>
        </w:rPr>
        <w:t xml:space="preserve">In NYC, </w:t>
      </w:r>
      <w:r w:rsidR="00CC5FC5" w:rsidRPr="00837A9C">
        <w:rPr>
          <w:rFonts w:cstheme="minorHAnsi"/>
          <w:sz w:val="24"/>
          <w:szCs w:val="24"/>
        </w:rPr>
        <w:t>OACs</w:t>
      </w:r>
      <w:r w:rsidR="000F236C" w:rsidRPr="00837A9C">
        <w:rPr>
          <w:rFonts w:cstheme="minorHAnsi"/>
          <w:sz w:val="24"/>
          <w:szCs w:val="24"/>
        </w:rPr>
        <w:t xml:space="preserve"> </w:t>
      </w:r>
      <w:r w:rsidRPr="00837A9C">
        <w:rPr>
          <w:rFonts w:cstheme="minorHAnsi"/>
          <w:sz w:val="24"/>
          <w:szCs w:val="24"/>
        </w:rPr>
        <w:t xml:space="preserve">offer “healthy meals, fun activities, classes, fitness programs and social services” </w:t>
      </w:r>
      <w:r w:rsidR="000F236C" w:rsidRPr="00837A9C">
        <w:rPr>
          <w:rFonts w:cstheme="minorHAnsi"/>
          <w:sz w:val="24"/>
          <w:szCs w:val="24"/>
        </w:rPr>
        <w:t>to all New Yorkers ages 60 and older.</w:t>
      </w:r>
      <w:r w:rsidR="000F236C" w:rsidRPr="00837A9C">
        <w:rPr>
          <w:rStyle w:val="FootnoteReference"/>
          <w:rFonts w:cstheme="minorHAnsi"/>
          <w:sz w:val="24"/>
          <w:szCs w:val="24"/>
        </w:rPr>
        <w:footnoteReference w:id="7"/>
      </w:r>
      <w:r w:rsidRPr="00837A9C">
        <w:rPr>
          <w:rFonts w:cstheme="minorHAnsi"/>
          <w:sz w:val="24"/>
          <w:szCs w:val="24"/>
        </w:rPr>
        <w:t xml:space="preserve"> </w:t>
      </w:r>
      <w:r w:rsidR="00617A80" w:rsidRPr="00837A9C">
        <w:rPr>
          <w:rFonts w:cstheme="minorHAnsi"/>
          <w:sz w:val="24"/>
          <w:szCs w:val="24"/>
        </w:rPr>
        <w:t>OAC membership is free and both in-person and virtual activities are designed to meet the needs of members.</w:t>
      </w:r>
      <w:r w:rsidR="00617A80" w:rsidRPr="00837A9C">
        <w:rPr>
          <w:rStyle w:val="FootnoteReference"/>
          <w:rFonts w:cstheme="minorHAnsi"/>
          <w:sz w:val="24"/>
          <w:szCs w:val="24"/>
        </w:rPr>
        <w:footnoteReference w:id="8"/>
      </w:r>
      <w:r w:rsidR="006B4650" w:rsidRPr="00837A9C">
        <w:rPr>
          <w:rFonts w:cstheme="minorHAnsi"/>
          <w:sz w:val="24"/>
          <w:szCs w:val="24"/>
        </w:rPr>
        <w:t xml:space="preserve"> </w:t>
      </w:r>
      <w:r w:rsidR="00AC5CF5" w:rsidRPr="00837A9C">
        <w:rPr>
          <w:rFonts w:cstheme="minorHAnsi"/>
          <w:sz w:val="24"/>
          <w:szCs w:val="24"/>
        </w:rPr>
        <w:t xml:space="preserve">OAC staff help members access benefits and entitlements, including </w:t>
      </w:r>
      <w:r w:rsidR="004B4A20" w:rsidRPr="00837A9C">
        <w:rPr>
          <w:rFonts w:cstheme="minorHAnsi"/>
          <w:sz w:val="24"/>
          <w:szCs w:val="24"/>
        </w:rPr>
        <w:t xml:space="preserve">Medicare/Medicaid, the Senior Citizen Rent Increase Exemption program, and </w:t>
      </w:r>
      <w:r w:rsidR="00C22186" w:rsidRPr="00837A9C">
        <w:rPr>
          <w:rFonts w:cstheme="minorHAnsi"/>
          <w:sz w:val="24"/>
          <w:szCs w:val="24"/>
        </w:rPr>
        <w:t>the Supplemental Nutrition Assistance Program.</w:t>
      </w:r>
      <w:r w:rsidR="00C22186" w:rsidRPr="00837A9C">
        <w:rPr>
          <w:rStyle w:val="FootnoteReference"/>
          <w:rFonts w:cstheme="minorHAnsi"/>
          <w:sz w:val="24"/>
          <w:szCs w:val="24"/>
        </w:rPr>
        <w:footnoteReference w:id="9"/>
      </w:r>
      <w:r w:rsidR="00C22186" w:rsidRPr="00837A9C">
        <w:rPr>
          <w:rFonts w:cstheme="minorHAnsi"/>
          <w:sz w:val="24"/>
          <w:szCs w:val="24"/>
        </w:rPr>
        <w:t xml:space="preserve"> </w:t>
      </w:r>
      <w:r w:rsidR="00373769" w:rsidRPr="00837A9C">
        <w:rPr>
          <w:rFonts w:cstheme="minorHAnsi"/>
          <w:sz w:val="24"/>
          <w:szCs w:val="24"/>
        </w:rPr>
        <w:t xml:space="preserve">Some OACs also offer </w:t>
      </w:r>
      <w:r w:rsidR="00C50F3E" w:rsidRPr="00837A9C">
        <w:rPr>
          <w:rFonts w:cstheme="minorHAnsi"/>
          <w:sz w:val="24"/>
          <w:szCs w:val="24"/>
        </w:rPr>
        <w:t xml:space="preserve">older adults who lack access to transportation, or cannot use public transportation, </w:t>
      </w:r>
      <w:r w:rsidR="00373769" w:rsidRPr="00837A9C">
        <w:rPr>
          <w:rFonts w:cstheme="minorHAnsi"/>
          <w:sz w:val="24"/>
          <w:szCs w:val="24"/>
        </w:rPr>
        <w:t>transportation services for essential medical and social service appointments.</w:t>
      </w:r>
      <w:r w:rsidR="00373769" w:rsidRPr="00837A9C">
        <w:rPr>
          <w:rStyle w:val="FootnoteReference"/>
          <w:rFonts w:cstheme="minorHAnsi"/>
          <w:sz w:val="24"/>
          <w:szCs w:val="24"/>
        </w:rPr>
        <w:footnoteReference w:id="10"/>
      </w:r>
      <w:r w:rsidR="00585204" w:rsidRPr="00837A9C">
        <w:rPr>
          <w:rFonts w:cstheme="minorHAnsi"/>
          <w:sz w:val="24"/>
          <w:szCs w:val="24"/>
        </w:rPr>
        <w:t xml:space="preserve"> Through DFTA’s Mental Health Initiative, </w:t>
      </w:r>
      <w:r w:rsidR="003B7ADC" w:rsidRPr="00837A9C">
        <w:rPr>
          <w:rFonts w:cstheme="minorHAnsi"/>
          <w:sz w:val="24"/>
          <w:szCs w:val="24"/>
        </w:rPr>
        <w:t xml:space="preserve">over 80 OACs offer </w:t>
      </w:r>
      <w:r w:rsidR="00AF7538" w:rsidRPr="00837A9C">
        <w:rPr>
          <w:rFonts w:cstheme="minorHAnsi"/>
          <w:sz w:val="24"/>
          <w:szCs w:val="24"/>
        </w:rPr>
        <w:t>on-site and</w:t>
      </w:r>
      <w:r w:rsidR="003B7ADC" w:rsidRPr="00837A9C">
        <w:rPr>
          <w:rFonts w:cstheme="minorHAnsi"/>
          <w:sz w:val="24"/>
          <w:szCs w:val="24"/>
        </w:rPr>
        <w:t xml:space="preserve"> virtual mental health services</w:t>
      </w:r>
      <w:r w:rsidR="00AF7538" w:rsidRPr="00837A9C">
        <w:rPr>
          <w:rFonts w:cstheme="minorHAnsi"/>
          <w:sz w:val="24"/>
          <w:szCs w:val="24"/>
        </w:rPr>
        <w:t>.</w:t>
      </w:r>
      <w:r w:rsidR="00AF7538" w:rsidRPr="00837A9C">
        <w:rPr>
          <w:rStyle w:val="FootnoteReference"/>
          <w:rFonts w:cstheme="minorHAnsi"/>
          <w:sz w:val="24"/>
          <w:szCs w:val="24"/>
        </w:rPr>
        <w:footnoteReference w:id="11"/>
      </w:r>
    </w:p>
    <w:p w14:paraId="2979A0F7" w14:textId="1D145DC3" w:rsidR="00D91FDA" w:rsidRPr="00837A9C" w:rsidRDefault="005F380E" w:rsidP="003F1F20">
      <w:pPr>
        <w:suppressLineNumbers/>
        <w:spacing w:after="0"/>
        <w:ind w:firstLine="720"/>
        <w:contextualSpacing/>
        <w:rPr>
          <w:rFonts w:cstheme="minorHAnsi"/>
          <w:sz w:val="24"/>
          <w:szCs w:val="24"/>
        </w:rPr>
      </w:pPr>
      <w:r w:rsidRPr="00837A9C">
        <w:rPr>
          <w:rFonts w:cstheme="minorHAnsi"/>
          <w:sz w:val="24"/>
          <w:szCs w:val="24"/>
        </w:rPr>
        <w:t xml:space="preserve">With regard to food and nutrition, </w:t>
      </w:r>
      <w:r w:rsidR="006B4650" w:rsidRPr="00837A9C">
        <w:rPr>
          <w:rFonts w:cstheme="minorHAnsi"/>
          <w:sz w:val="24"/>
          <w:szCs w:val="24"/>
        </w:rPr>
        <w:t xml:space="preserve">OACs offer healthy and nutritious meals and, in neighborhoods with diverse populations, they provide </w:t>
      </w:r>
      <w:r w:rsidR="00CE5278" w:rsidRPr="00837A9C">
        <w:rPr>
          <w:rFonts w:cstheme="minorHAnsi"/>
          <w:sz w:val="24"/>
          <w:szCs w:val="24"/>
        </w:rPr>
        <w:t>“culturally aligned meals that are representative of the community.”</w:t>
      </w:r>
      <w:r w:rsidR="00CE5278" w:rsidRPr="00837A9C">
        <w:rPr>
          <w:rStyle w:val="FootnoteReference"/>
          <w:rFonts w:cstheme="minorHAnsi"/>
          <w:sz w:val="24"/>
          <w:szCs w:val="24"/>
        </w:rPr>
        <w:footnoteReference w:id="12"/>
      </w:r>
      <w:r w:rsidR="00623AD7" w:rsidRPr="00837A9C">
        <w:rPr>
          <w:rFonts w:cstheme="minorHAnsi"/>
          <w:sz w:val="24"/>
          <w:szCs w:val="24"/>
        </w:rPr>
        <w:t xml:space="preserve"> Some OACs also offer breakfast, dinner, and grab-and-go options, as well as host workshops and trainings on nutrition and healthy cooking.</w:t>
      </w:r>
      <w:r w:rsidR="00623AD7" w:rsidRPr="00837A9C">
        <w:rPr>
          <w:rStyle w:val="FootnoteReference"/>
          <w:rFonts w:cstheme="minorHAnsi"/>
          <w:sz w:val="24"/>
          <w:szCs w:val="24"/>
        </w:rPr>
        <w:footnoteReference w:id="13"/>
      </w:r>
      <w:r w:rsidR="00B05D11" w:rsidRPr="00837A9C">
        <w:rPr>
          <w:rFonts w:cstheme="minorHAnsi"/>
          <w:sz w:val="24"/>
          <w:szCs w:val="24"/>
        </w:rPr>
        <w:t xml:space="preserve"> </w:t>
      </w:r>
      <w:r w:rsidR="00CD7A6A" w:rsidRPr="00837A9C">
        <w:rPr>
          <w:rFonts w:cstheme="minorHAnsi"/>
          <w:sz w:val="24"/>
          <w:szCs w:val="24"/>
        </w:rPr>
        <w:t xml:space="preserve">In addition to classes that teach new skills and learning, </w:t>
      </w:r>
      <w:r w:rsidR="007A1635" w:rsidRPr="00837A9C">
        <w:rPr>
          <w:rFonts w:cstheme="minorHAnsi"/>
          <w:sz w:val="24"/>
          <w:szCs w:val="24"/>
        </w:rPr>
        <w:t>OACs also offer activities such as</w:t>
      </w:r>
      <w:r w:rsidR="008838E1" w:rsidRPr="00837A9C">
        <w:rPr>
          <w:rFonts w:cstheme="minorHAnsi"/>
          <w:sz w:val="24"/>
          <w:szCs w:val="24"/>
        </w:rPr>
        <w:t xml:space="preserve"> arts and crafts, compute</w:t>
      </w:r>
      <w:r w:rsidR="00696BC6" w:rsidRPr="00837A9C">
        <w:rPr>
          <w:rFonts w:cstheme="minorHAnsi"/>
          <w:sz w:val="24"/>
          <w:szCs w:val="24"/>
        </w:rPr>
        <w:t xml:space="preserve">r classes, gardening, </w:t>
      </w:r>
      <w:r w:rsidR="00C923C2" w:rsidRPr="00837A9C">
        <w:rPr>
          <w:rFonts w:cstheme="minorHAnsi"/>
          <w:sz w:val="24"/>
          <w:szCs w:val="24"/>
        </w:rPr>
        <w:t xml:space="preserve">music and theater arts, </w:t>
      </w:r>
      <w:r w:rsidR="00696BC6" w:rsidRPr="00837A9C">
        <w:rPr>
          <w:rFonts w:cstheme="minorHAnsi"/>
          <w:sz w:val="24"/>
          <w:szCs w:val="24"/>
        </w:rPr>
        <w:t>recreational day trips, holiday and birthday celebrations</w:t>
      </w:r>
      <w:r w:rsidR="00FA1E06" w:rsidRPr="00837A9C">
        <w:rPr>
          <w:rFonts w:cstheme="minorHAnsi"/>
          <w:sz w:val="24"/>
          <w:szCs w:val="24"/>
        </w:rPr>
        <w:t xml:space="preserve">, and games like </w:t>
      </w:r>
      <w:r w:rsidR="00696BC6" w:rsidRPr="00837A9C">
        <w:rPr>
          <w:rFonts w:cstheme="minorHAnsi"/>
          <w:sz w:val="24"/>
          <w:szCs w:val="24"/>
        </w:rPr>
        <w:t xml:space="preserve">bingo, chess, </w:t>
      </w:r>
      <w:r w:rsidR="00332AFC" w:rsidRPr="00837A9C">
        <w:rPr>
          <w:rFonts w:cstheme="minorHAnsi"/>
          <w:sz w:val="24"/>
          <w:szCs w:val="24"/>
        </w:rPr>
        <w:t xml:space="preserve">dominoes, </w:t>
      </w:r>
      <w:r w:rsidR="001E6C50" w:rsidRPr="00837A9C">
        <w:rPr>
          <w:rFonts w:cstheme="minorHAnsi"/>
          <w:sz w:val="24"/>
          <w:szCs w:val="24"/>
        </w:rPr>
        <w:t>and ping-</w:t>
      </w:r>
      <w:r w:rsidR="00696BC6" w:rsidRPr="00837A9C">
        <w:rPr>
          <w:rFonts w:cstheme="minorHAnsi"/>
          <w:sz w:val="24"/>
          <w:szCs w:val="24"/>
        </w:rPr>
        <w:t>pong.</w:t>
      </w:r>
      <w:r w:rsidR="00696BC6" w:rsidRPr="00837A9C">
        <w:rPr>
          <w:rStyle w:val="FootnoteReference"/>
          <w:rFonts w:cstheme="minorHAnsi"/>
          <w:sz w:val="24"/>
          <w:szCs w:val="24"/>
        </w:rPr>
        <w:footnoteReference w:id="14"/>
      </w:r>
      <w:r w:rsidR="00F75473" w:rsidRPr="00837A9C">
        <w:rPr>
          <w:rFonts w:cstheme="minorHAnsi"/>
          <w:sz w:val="24"/>
          <w:szCs w:val="24"/>
        </w:rPr>
        <w:t xml:space="preserve"> Other </w:t>
      </w:r>
      <w:r w:rsidR="003A10F5" w:rsidRPr="00837A9C">
        <w:rPr>
          <w:rFonts w:cstheme="minorHAnsi"/>
          <w:sz w:val="24"/>
          <w:szCs w:val="24"/>
        </w:rPr>
        <w:t xml:space="preserve">OAC activities </w:t>
      </w:r>
      <w:r w:rsidR="00234150" w:rsidRPr="00837A9C">
        <w:rPr>
          <w:rFonts w:cstheme="minorHAnsi"/>
          <w:sz w:val="24"/>
          <w:szCs w:val="24"/>
        </w:rPr>
        <w:t>promote fitness and health</w:t>
      </w:r>
      <w:r w:rsidR="000C78F3" w:rsidRPr="00837A9C">
        <w:rPr>
          <w:rFonts w:cstheme="minorHAnsi"/>
          <w:sz w:val="24"/>
          <w:szCs w:val="24"/>
        </w:rPr>
        <w:t xml:space="preserve"> by</w:t>
      </w:r>
      <w:r w:rsidR="00234150" w:rsidRPr="00837A9C">
        <w:rPr>
          <w:rFonts w:cstheme="minorHAnsi"/>
          <w:sz w:val="24"/>
          <w:szCs w:val="24"/>
        </w:rPr>
        <w:t xml:space="preserve"> engaging</w:t>
      </w:r>
      <w:r w:rsidR="003A10F5" w:rsidRPr="00837A9C">
        <w:rPr>
          <w:rFonts w:cstheme="minorHAnsi"/>
          <w:sz w:val="24"/>
          <w:szCs w:val="24"/>
        </w:rPr>
        <w:t xml:space="preserve"> members </w:t>
      </w:r>
      <w:r w:rsidR="000C78F3" w:rsidRPr="00837A9C">
        <w:rPr>
          <w:rFonts w:cstheme="minorHAnsi"/>
          <w:sz w:val="24"/>
          <w:szCs w:val="24"/>
        </w:rPr>
        <w:t>in</w:t>
      </w:r>
      <w:r w:rsidR="003A10F5" w:rsidRPr="00837A9C">
        <w:rPr>
          <w:rFonts w:cstheme="minorHAnsi"/>
          <w:sz w:val="24"/>
          <w:szCs w:val="24"/>
        </w:rPr>
        <w:t xml:space="preserve"> </w:t>
      </w:r>
      <w:r w:rsidR="000C78F3" w:rsidRPr="00837A9C">
        <w:rPr>
          <w:rFonts w:cstheme="minorHAnsi"/>
          <w:sz w:val="24"/>
          <w:szCs w:val="24"/>
        </w:rPr>
        <w:t xml:space="preserve">lifestyle and </w:t>
      </w:r>
      <w:r w:rsidR="003A10F5" w:rsidRPr="00837A9C">
        <w:rPr>
          <w:rFonts w:cstheme="minorHAnsi"/>
          <w:sz w:val="24"/>
          <w:szCs w:val="24"/>
        </w:rPr>
        <w:t>exercise programs</w:t>
      </w:r>
      <w:r w:rsidR="000C78F3" w:rsidRPr="00837A9C">
        <w:rPr>
          <w:rFonts w:cstheme="minorHAnsi"/>
          <w:sz w:val="24"/>
          <w:szCs w:val="24"/>
        </w:rPr>
        <w:t xml:space="preserve"> such as</w:t>
      </w:r>
      <w:r w:rsidR="00735650" w:rsidRPr="00837A9C">
        <w:rPr>
          <w:rFonts w:cstheme="minorHAnsi"/>
          <w:sz w:val="24"/>
          <w:szCs w:val="24"/>
        </w:rPr>
        <w:t xml:space="preserve"> chair exercises,</w:t>
      </w:r>
      <w:r w:rsidR="000975F2" w:rsidRPr="00837A9C">
        <w:rPr>
          <w:rFonts w:cstheme="minorHAnsi"/>
          <w:sz w:val="24"/>
          <w:szCs w:val="24"/>
        </w:rPr>
        <w:t xml:space="preserve"> dance classes, tai chi,</w:t>
      </w:r>
      <w:r w:rsidR="00735650" w:rsidRPr="00837A9C">
        <w:rPr>
          <w:rFonts w:cstheme="minorHAnsi"/>
          <w:sz w:val="24"/>
          <w:szCs w:val="24"/>
        </w:rPr>
        <w:t xml:space="preserve"> walking clubs, yoga, </w:t>
      </w:r>
      <w:r w:rsidR="00AB3C66" w:rsidRPr="00837A9C">
        <w:rPr>
          <w:rFonts w:cstheme="minorHAnsi"/>
          <w:sz w:val="24"/>
          <w:szCs w:val="24"/>
        </w:rPr>
        <w:t xml:space="preserve">and </w:t>
      </w:r>
      <w:r w:rsidR="000975F2" w:rsidRPr="00837A9C">
        <w:rPr>
          <w:rFonts w:cstheme="minorHAnsi"/>
          <w:sz w:val="24"/>
          <w:szCs w:val="24"/>
        </w:rPr>
        <w:t>Zumba</w:t>
      </w:r>
      <w:r w:rsidR="000C78F3" w:rsidRPr="00837A9C">
        <w:rPr>
          <w:rFonts w:cstheme="minorHAnsi"/>
          <w:sz w:val="24"/>
          <w:szCs w:val="24"/>
        </w:rPr>
        <w:t xml:space="preserve"> as well as</w:t>
      </w:r>
      <w:r w:rsidR="00AB3C66" w:rsidRPr="00837A9C">
        <w:rPr>
          <w:rFonts w:cstheme="minorHAnsi"/>
          <w:sz w:val="24"/>
          <w:szCs w:val="24"/>
        </w:rPr>
        <w:t xml:space="preserve"> trainings and workshops on health prevention and how to manage chronic illnesses and preventing falls at home.</w:t>
      </w:r>
      <w:r w:rsidR="00AB3C66" w:rsidRPr="00837A9C">
        <w:rPr>
          <w:rStyle w:val="FootnoteReference"/>
          <w:rFonts w:cstheme="minorHAnsi"/>
          <w:sz w:val="24"/>
          <w:szCs w:val="24"/>
        </w:rPr>
        <w:footnoteReference w:id="15"/>
      </w:r>
    </w:p>
    <w:p w14:paraId="62FBA5D1" w14:textId="7F041F7D" w:rsidR="00882AA7" w:rsidRPr="00837A9C" w:rsidRDefault="005938A4" w:rsidP="003F1F20">
      <w:pPr>
        <w:suppressLineNumbers/>
        <w:spacing w:after="0"/>
        <w:ind w:firstLine="720"/>
        <w:contextualSpacing/>
        <w:rPr>
          <w:sz w:val="24"/>
          <w:szCs w:val="24"/>
        </w:rPr>
      </w:pPr>
      <w:r w:rsidRPr="00837A9C">
        <w:rPr>
          <w:sz w:val="24"/>
          <w:szCs w:val="24"/>
        </w:rPr>
        <w:t>According to its website, DFTA is</w:t>
      </w:r>
      <w:r w:rsidR="004B1B8C" w:rsidRPr="00837A9C">
        <w:rPr>
          <w:sz w:val="24"/>
          <w:szCs w:val="24"/>
        </w:rPr>
        <w:t xml:space="preserve"> “committed to building a co</w:t>
      </w:r>
      <w:r w:rsidR="00BE0EA5" w:rsidRPr="00837A9C">
        <w:rPr>
          <w:sz w:val="24"/>
          <w:szCs w:val="24"/>
        </w:rPr>
        <w:t>mmunity of inclusion and equity” and, to that end, fund</w:t>
      </w:r>
      <w:r w:rsidR="006E3D35" w:rsidRPr="00837A9C">
        <w:rPr>
          <w:sz w:val="24"/>
          <w:szCs w:val="24"/>
        </w:rPr>
        <w:t>s</w:t>
      </w:r>
      <w:r w:rsidR="00BE0EA5" w:rsidRPr="00837A9C">
        <w:rPr>
          <w:sz w:val="24"/>
          <w:szCs w:val="24"/>
        </w:rPr>
        <w:t xml:space="preserve"> OACs</w:t>
      </w:r>
      <w:r w:rsidR="006E3D35" w:rsidRPr="00837A9C">
        <w:rPr>
          <w:sz w:val="24"/>
          <w:szCs w:val="24"/>
        </w:rPr>
        <w:t xml:space="preserve"> for special populations</w:t>
      </w:r>
      <w:r w:rsidR="000C78F3" w:rsidRPr="00837A9C">
        <w:rPr>
          <w:sz w:val="24"/>
          <w:szCs w:val="24"/>
        </w:rPr>
        <w:t>.</w:t>
      </w:r>
      <w:r w:rsidR="0000584C" w:rsidRPr="00837A9C">
        <w:rPr>
          <w:rStyle w:val="FootnoteReference"/>
          <w:sz w:val="24"/>
          <w:szCs w:val="24"/>
        </w:rPr>
        <w:footnoteReference w:id="16"/>
      </w:r>
      <w:r w:rsidR="000C78F3" w:rsidRPr="00837A9C">
        <w:rPr>
          <w:sz w:val="24"/>
          <w:szCs w:val="24"/>
        </w:rPr>
        <w:t xml:space="preserve"> Programs funded for this purpose</w:t>
      </w:r>
      <w:r w:rsidR="006E3D35" w:rsidRPr="00837A9C">
        <w:rPr>
          <w:sz w:val="24"/>
          <w:szCs w:val="24"/>
        </w:rPr>
        <w:t xml:space="preserve"> includ</w:t>
      </w:r>
      <w:r w:rsidR="000C78F3" w:rsidRPr="00837A9C">
        <w:rPr>
          <w:sz w:val="24"/>
          <w:szCs w:val="24"/>
        </w:rPr>
        <w:t>e</w:t>
      </w:r>
      <w:r w:rsidR="006E3D35" w:rsidRPr="00837A9C">
        <w:rPr>
          <w:sz w:val="24"/>
          <w:szCs w:val="24"/>
        </w:rPr>
        <w:t xml:space="preserve"> SAGE Centers and the </w:t>
      </w:r>
      <w:r w:rsidR="00B37D0D" w:rsidRPr="00837A9C">
        <w:rPr>
          <w:sz w:val="24"/>
          <w:szCs w:val="24"/>
        </w:rPr>
        <w:t>Queens</w:t>
      </w:r>
      <w:r w:rsidR="006E3D35" w:rsidRPr="00837A9C">
        <w:rPr>
          <w:sz w:val="24"/>
          <w:szCs w:val="24"/>
        </w:rPr>
        <w:t xml:space="preserve"> Center for Gay Seniors, whic</w:t>
      </w:r>
      <w:r w:rsidR="00446246" w:rsidRPr="00837A9C">
        <w:rPr>
          <w:sz w:val="24"/>
          <w:szCs w:val="24"/>
        </w:rPr>
        <w:t>h service LGBTQ+</w:t>
      </w:r>
      <w:r w:rsidR="006E3D35" w:rsidRPr="00837A9C">
        <w:rPr>
          <w:sz w:val="24"/>
          <w:szCs w:val="24"/>
        </w:rPr>
        <w:t xml:space="preserve"> older adults, and VISIONS at Selis Manor Senior Center, which serves blind and visually impaired older adults.</w:t>
      </w:r>
      <w:r w:rsidR="00B37D0D" w:rsidRPr="00837A9C">
        <w:rPr>
          <w:rStyle w:val="FootnoteReference"/>
          <w:sz w:val="24"/>
          <w:szCs w:val="24"/>
        </w:rPr>
        <w:footnoteReference w:id="17"/>
      </w:r>
      <w:r w:rsidR="00B37D0D" w:rsidRPr="00837A9C">
        <w:rPr>
          <w:sz w:val="24"/>
          <w:szCs w:val="24"/>
        </w:rPr>
        <w:t xml:space="preserve"> </w:t>
      </w:r>
      <w:r w:rsidR="00861D18" w:rsidRPr="00837A9C">
        <w:rPr>
          <w:sz w:val="24"/>
          <w:szCs w:val="24"/>
        </w:rPr>
        <w:t xml:space="preserve">Older adults may locate their local OAC </w:t>
      </w:r>
      <w:r w:rsidR="008567D9" w:rsidRPr="00837A9C">
        <w:rPr>
          <w:sz w:val="24"/>
          <w:szCs w:val="24"/>
        </w:rPr>
        <w:t>through</w:t>
      </w:r>
      <w:r w:rsidR="00BA08AC" w:rsidRPr="00837A9C">
        <w:rPr>
          <w:sz w:val="24"/>
          <w:szCs w:val="24"/>
        </w:rPr>
        <w:t xml:space="preserve"> Aging Connect, which is DFTA’s information and referral contact center for older adults and their families, </w:t>
      </w:r>
      <w:r w:rsidR="008567D9" w:rsidRPr="00837A9C">
        <w:rPr>
          <w:sz w:val="24"/>
          <w:szCs w:val="24"/>
        </w:rPr>
        <w:t>by calling</w:t>
      </w:r>
      <w:r w:rsidR="00A67C4A" w:rsidRPr="00837A9C">
        <w:rPr>
          <w:sz w:val="24"/>
          <w:szCs w:val="24"/>
        </w:rPr>
        <w:t xml:space="preserve"> 212-AGING-NYC (212-244-6</w:t>
      </w:r>
      <w:r w:rsidR="00B25073" w:rsidRPr="00837A9C">
        <w:rPr>
          <w:sz w:val="24"/>
          <w:szCs w:val="24"/>
        </w:rPr>
        <w:t>4</w:t>
      </w:r>
      <w:r w:rsidR="00A67C4A" w:rsidRPr="00837A9C">
        <w:rPr>
          <w:sz w:val="24"/>
          <w:szCs w:val="24"/>
        </w:rPr>
        <w:t>69),</w:t>
      </w:r>
      <w:r w:rsidR="008567D9" w:rsidRPr="00837A9C">
        <w:rPr>
          <w:sz w:val="24"/>
          <w:szCs w:val="24"/>
        </w:rPr>
        <w:t xml:space="preserve"> sending a message </w:t>
      </w:r>
      <w:r w:rsidR="00A67C4A" w:rsidRPr="00837A9C">
        <w:rPr>
          <w:sz w:val="24"/>
          <w:szCs w:val="24"/>
        </w:rPr>
        <w:t xml:space="preserve">via </w:t>
      </w:r>
      <w:hyperlink r:id="rId9" w:history="1">
        <w:r w:rsidR="00A67C4A" w:rsidRPr="00837A9C">
          <w:rPr>
            <w:rStyle w:val="Hyperlink"/>
            <w:sz w:val="24"/>
            <w:szCs w:val="24"/>
          </w:rPr>
          <w:t>https://www.nyc.gov/site/dfta/about/contact-aging-connect.page</w:t>
        </w:r>
      </w:hyperlink>
      <w:r w:rsidR="00A67C4A" w:rsidRPr="00837A9C">
        <w:rPr>
          <w:sz w:val="24"/>
          <w:szCs w:val="24"/>
        </w:rPr>
        <w:t xml:space="preserve">, or </w:t>
      </w:r>
      <w:r w:rsidR="001F15B8" w:rsidRPr="00837A9C">
        <w:rPr>
          <w:sz w:val="24"/>
          <w:szCs w:val="24"/>
        </w:rPr>
        <w:t xml:space="preserve">using DFTA’s services finder online via </w:t>
      </w:r>
      <w:hyperlink r:id="rId10" w:history="1">
        <w:r w:rsidR="008A7C42" w:rsidRPr="00837A9C">
          <w:rPr>
            <w:rStyle w:val="Hyperlink"/>
            <w:sz w:val="24"/>
            <w:szCs w:val="24"/>
          </w:rPr>
          <w:t>https://www.nyc.gov/site/dfta/services/find-help.page</w:t>
        </w:r>
      </w:hyperlink>
      <w:r w:rsidR="008A7C42" w:rsidRPr="00837A9C">
        <w:rPr>
          <w:sz w:val="24"/>
          <w:szCs w:val="24"/>
        </w:rPr>
        <w:t>.</w:t>
      </w:r>
      <w:r w:rsidR="008A7C42" w:rsidRPr="00837A9C">
        <w:rPr>
          <w:rStyle w:val="FootnoteReference"/>
          <w:sz w:val="24"/>
          <w:szCs w:val="24"/>
        </w:rPr>
        <w:footnoteReference w:id="18"/>
      </w:r>
      <w:r w:rsidR="008A7C42" w:rsidRPr="00837A9C">
        <w:rPr>
          <w:sz w:val="24"/>
          <w:szCs w:val="24"/>
        </w:rPr>
        <w:t xml:space="preserve"> </w:t>
      </w:r>
      <w:r w:rsidR="00010AAE" w:rsidRPr="00837A9C">
        <w:rPr>
          <w:sz w:val="24"/>
          <w:szCs w:val="24"/>
        </w:rPr>
        <w:t>DFTA’s services finder offers both</w:t>
      </w:r>
      <w:r w:rsidR="005D530F" w:rsidRPr="00837A9C">
        <w:rPr>
          <w:sz w:val="24"/>
          <w:szCs w:val="24"/>
        </w:rPr>
        <w:t xml:space="preserve"> map and sortable list</w:t>
      </w:r>
      <w:r w:rsidR="00010AAE" w:rsidRPr="00837A9C">
        <w:rPr>
          <w:sz w:val="24"/>
          <w:szCs w:val="24"/>
        </w:rPr>
        <w:t xml:space="preserve"> views </w:t>
      </w:r>
      <w:r w:rsidR="005D530F" w:rsidRPr="00837A9C">
        <w:rPr>
          <w:sz w:val="24"/>
          <w:szCs w:val="24"/>
        </w:rPr>
        <w:t>of OACs.</w:t>
      </w:r>
      <w:r w:rsidR="006B3120" w:rsidRPr="00837A9C">
        <w:rPr>
          <w:rStyle w:val="FootnoteReference"/>
          <w:sz w:val="24"/>
          <w:szCs w:val="24"/>
        </w:rPr>
        <w:footnoteReference w:id="19"/>
      </w:r>
      <w:r w:rsidR="003F7343" w:rsidRPr="00837A9C">
        <w:rPr>
          <w:sz w:val="24"/>
          <w:szCs w:val="24"/>
        </w:rPr>
        <w:t xml:space="preserve"> Since services, classes, virtual programs, and schedules differ at individual OACs, it is recommended that older adults contact their local OAC for more information.</w:t>
      </w:r>
      <w:r w:rsidR="003F7343" w:rsidRPr="00837A9C">
        <w:rPr>
          <w:rStyle w:val="FootnoteReference"/>
          <w:sz w:val="24"/>
          <w:szCs w:val="24"/>
        </w:rPr>
        <w:footnoteReference w:id="20"/>
      </w:r>
    </w:p>
    <w:p w14:paraId="31168C6F" w14:textId="003CAF70" w:rsidR="000B66B6" w:rsidRDefault="000B66B6" w:rsidP="003F1F20">
      <w:pPr>
        <w:suppressLineNumbers/>
        <w:spacing w:after="0"/>
        <w:rPr>
          <w:sz w:val="24"/>
          <w:szCs w:val="24"/>
        </w:rPr>
      </w:pPr>
    </w:p>
    <w:p w14:paraId="0E89D649" w14:textId="77777777" w:rsidR="00F34898" w:rsidRDefault="00F34898" w:rsidP="003F1F20">
      <w:pPr>
        <w:suppressLineNumbers/>
        <w:spacing w:after="0"/>
        <w:rPr>
          <w:sz w:val="24"/>
          <w:szCs w:val="24"/>
        </w:rPr>
      </w:pPr>
    </w:p>
    <w:p w14:paraId="3D5FF1BF" w14:textId="1E819E37" w:rsidR="00932D06" w:rsidRPr="00882AA7" w:rsidRDefault="006319F4" w:rsidP="003F1F20">
      <w:pPr>
        <w:pStyle w:val="ListParagraph"/>
        <w:numPr>
          <w:ilvl w:val="0"/>
          <w:numId w:val="21"/>
        </w:numPr>
        <w:suppressLineNumbers/>
        <w:spacing w:after="0"/>
        <w:rPr>
          <w:sz w:val="24"/>
          <w:szCs w:val="24"/>
        </w:rPr>
      </w:pPr>
      <w:r w:rsidRPr="00882AA7">
        <w:rPr>
          <w:b/>
          <w:bCs/>
          <w:smallCaps/>
          <w:sz w:val="24"/>
          <w:szCs w:val="24"/>
        </w:rPr>
        <w:t xml:space="preserve">Older Adult Centers at NYCHA </w:t>
      </w:r>
      <w:r w:rsidR="00000F1E" w:rsidRPr="00882AA7">
        <w:rPr>
          <w:b/>
          <w:bCs/>
          <w:smallCaps/>
          <w:sz w:val="24"/>
          <w:szCs w:val="24"/>
        </w:rPr>
        <w:t>Facilities</w:t>
      </w:r>
    </w:p>
    <w:p w14:paraId="507C8C1C" w14:textId="20F306A9" w:rsidR="00686AEC" w:rsidRDefault="08000909" w:rsidP="003F1F20">
      <w:pPr>
        <w:suppressLineNumbers/>
        <w:spacing w:after="0"/>
        <w:ind w:firstLine="720"/>
        <w:rPr>
          <w:sz w:val="24"/>
          <w:szCs w:val="24"/>
        </w:rPr>
      </w:pPr>
      <w:r w:rsidRPr="1FCE5CEB">
        <w:rPr>
          <w:rFonts w:ascii="Times New Roman" w:eastAsia="Times New Roman" w:hAnsi="Times New Roman" w:cs="Times New Roman"/>
          <w:sz w:val="24"/>
          <w:szCs w:val="24"/>
        </w:rPr>
        <w:t>NYCHA serves a substantial population of older adult residents, who live across NYCHA’s portfolio in regular developments, as well as seniors-only developments and buildings that only allow residents aged 62 years and older.</w:t>
      </w:r>
      <w:r w:rsidR="00686AEC" w:rsidRPr="1FCE5CEB">
        <w:rPr>
          <w:rStyle w:val="FootnoteReference"/>
          <w:rFonts w:ascii="Times New Roman" w:eastAsia="Times New Roman" w:hAnsi="Times New Roman" w:cs="Times New Roman"/>
          <w:sz w:val="24"/>
          <w:szCs w:val="24"/>
        </w:rPr>
        <w:footnoteReference w:id="21"/>
      </w:r>
      <w:r w:rsidRPr="1FCE5CEB">
        <w:rPr>
          <w:rFonts w:ascii="Times New Roman" w:eastAsia="Times New Roman" w:hAnsi="Times New Roman" w:cs="Times New Roman"/>
          <w:sz w:val="24"/>
          <w:szCs w:val="24"/>
        </w:rPr>
        <w:t xml:space="preserve"> </w:t>
      </w:r>
      <w:r w:rsidR="00686AEC" w:rsidRPr="1FCE5CEB">
        <w:rPr>
          <w:sz w:val="24"/>
          <w:szCs w:val="24"/>
        </w:rPr>
        <w:t>NYC is home to 32</w:t>
      </w:r>
      <w:r w:rsidR="6D98543F" w:rsidRPr="1FCE5CEB">
        <w:rPr>
          <w:sz w:val="24"/>
          <w:szCs w:val="24"/>
        </w:rPr>
        <w:t>2</w:t>
      </w:r>
      <w:r w:rsidR="00686AEC" w:rsidRPr="1FCE5CEB">
        <w:rPr>
          <w:sz w:val="24"/>
          <w:szCs w:val="24"/>
        </w:rPr>
        <w:t xml:space="preserve"> </w:t>
      </w:r>
      <w:r w:rsidR="005C3389" w:rsidRPr="1FCE5CEB">
        <w:rPr>
          <w:sz w:val="24"/>
          <w:szCs w:val="24"/>
        </w:rPr>
        <w:t>OACs</w:t>
      </w:r>
      <w:r w:rsidR="00686AEC" w:rsidRPr="1FCE5CEB">
        <w:rPr>
          <w:sz w:val="24"/>
          <w:szCs w:val="24"/>
        </w:rPr>
        <w:t xml:space="preserve"> and affiliated sites, of which 108 are located on property owned by NYCHA.</w:t>
      </w:r>
      <w:r w:rsidR="00686AEC" w:rsidRPr="1FCE5CEB">
        <w:rPr>
          <w:rStyle w:val="FootnoteReference"/>
          <w:sz w:val="24"/>
          <w:szCs w:val="24"/>
        </w:rPr>
        <w:footnoteReference w:id="22"/>
      </w:r>
      <w:r w:rsidR="25FD59F7" w:rsidRPr="1FCE5CEB">
        <w:rPr>
          <w:sz w:val="24"/>
          <w:szCs w:val="24"/>
        </w:rPr>
        <w:t xml:space="preserve"> According to the latest Report on Older Adult Center Metrics</w:t>
      </w:r>
      <w:r w:rsidR="28C750FF" w:rsidRPr="1FCE5CEB">
        <w:rPr>
          <w:sz w:val="24"/>
          <w:szCs w:val="24"/>
        </w:rPr>
        <w:t xml:space="preserve"> (“Report”)</w:t>
      </w:r>
      <w:r w:rsidR="25FD59F7" w:rsidRPr="1FCE5CEB">
        <w:rPr>
          <w:sz w:val="24"/>
          <w:szCs w:val="24"/>
        </w:rPr>
        <w:t>, OACs in NYCHA facilities served</w:t>
      </w:r>
      <w:r w:rsidR="41BDD95B" w:rsidRPr="1FCE5CEB">
        <w:rPr>
          <w:sz w:val="24"/>
          <w:szCs w:val="24"/>
        </w:rPr>
        <w:t xml:space="preserve"> 6,325 daily participants in 2024 out of a total of 25,952 OAC participants in NYC, or </w:t>
      </w:r>
      <w:r w:rsidR="00A91EE9" w:rsidRPr="1FCE5CEB">
        <w:rPr>
          <w:sz w:val="24"/>
          <w:szCs w:val="24"/>
        </w:rPr>
        <w:t>about 24 percent of daily OAC participants</w:t>
      </w:r>
      <w:r w:rsidR="00722CA5">
        <w:rPr>
          <w:sz w:val="24"/>
          <w:szCs w:val="24"/>
        </w:rPr>
        <w:t xml:space="preserve"> citywide</w:t>
      </w:r>
      <w:r w:rsidR="41BDD95B" w:rsidRPr="1FCE5CEB">
        <w:rPr>
          <w:sz w:val="24"/>
          <w:szCs w:val="24"/>
        </w:rPr>
        <w:t>.</w:t>
      </w:r>
      <w:r w:rsidR="00686AEC" w:rsidRPr="1FCE5CEB">
        <w:rPr>
          <w:rStyle w:val="FootnoteReference"/>
          <w:sz w:val="24"/>
          <w:szCs w:val="24"/>
        </w:rPr>
        <w:footnoteReference w:id="23"/>
      </w:r>
      <w:r w:rsidR="2947EA07" w:rsidRPr="1FCE5CEB">
        <w:rPr>
          <w:sz w:val="24"/>
          <w:szCs w:val="24"/>
        </w:rPr>
        <w:t xml:space="preserve"> </w:t>
      </w:r>
      <w:r w:rsidR="1775449B" w:rsidRPr="1FCE5CEB">
        <w:rPr>
          <w:sz w:val="24"/>
          <w:szCs w:val="24"/>
        </w:rPr>
        <w:t xml:space="preserve">The Report also tracks the number of complaints about NYCHA facilities. In 2024, </w:t>
      </w:r>
      <w:r w:rsidR="2EA7F424" w:rsidRPr="1FCE5CEB">
        <w:rPr>
          <w:sz w:val="24"/>
          <w:szCs w:val="24"/>
        </w:rPr>
        <w:t>DFTA reported 27 such complaints regarding NYCHA facility issues at OACs.</w:t>
      </w:r>
      <w:r w:rsidR="00686AEC" w:rsidRPr="1FCE5CEB">
        <w:rPr>
          <w:rStyle w:val="FootnoteReference"/>
          <w:sz w:val="24"/>
          <w:szCs w:val="24"/>
        </w:rPr>
        <w:footnoteReference w:id="24"/>
      </w:r>
      <w:r w:rsidR="75450AB1" w:rsidRPr="1FCE5CEB">
        <w:rPr>
          <w:sz w:val="24"/>
          <w:szCs w:val="24"/>
        </w:rPr>
        <w:t xml:space="preserve"> In</w:t>
      </w:r>
      <w:r w:rsidR="1ECF7614" w:rsidRPr="1FCE5CEB">
        <w:rPr>
          <w:sz w:val="24"/>
          <w:szCs w:val="24"/>
        </w:rPr>
        <w:t xml:space="preserve"> </w:t>
      </w:r>
      <w:r w:rsidR="000C78F3">
        <w:rPr>
          <w:sz w:val="24"/>
          <w:szCs w:val="24"/>
        </w:rPr>
        <w:t>the majority of</w:t>
      </w:r>
      <w:r w:rsidR="1ECF7614" w:rsidRPr="1FCE5CEB">
        <w:rPr>
          <w:sz w:val="24"/>
          <w:szCs w:val="24"/>
        </w:rPr>
        <w:t xml:space="preserve"> such cases, DFTA’s NYCHA liaison escalated the </w:t>
      </w:r>
      <w:r w:rsidR="00722CA5">
        <w:rPr>
          <w:sz w:val="24"/>
          <w:szCs w:val="24"/>
        </w:rPr>
        <w:t xml:space="preserve">facility </w:t>
      </w:r>
      <w:r w:rsidR="1ECF7614" w:rsidRPr="1FCE5CEB">
        <w:rPr>
          <w:sz w:val="24"/>
          <w:szCs w:val="24"/>
        </w:rPr>
        <w:t>complaint to NYCHA management for resolution</w:t>
      </w:r>
      <w:r w:rsidR="5AED550E" w:rsidRPr="1FCE5CEB">
        <w:rPr>
          <w:sz w:val="24"/>
          <w:szCs w:val="24"/>
        </w:rPr>
        <w:t xml:space="preserve">; however, the Report does not detail whether such complaints or issues were </w:t>
      </w:r>
      <w:r w:rsidR="00FF5F19" w:rsidRPr="1FCE5CEB">
        <w:rPr>
          <w:sz w:val="24"/>
          <w:szCs w:val="24"/>
        </w:rPr>
        <w:t>resolved</w:t>
      </w:r>
      <w:r w:rsidR="1ECF7614" w:rsidRPr="1FCE5CEB">
        <w:rPr>
          <w:sz w:val="24"/>
          <w:szCs w:val="24"/>
        </w:rPr>
        <w:t>.</w:t>
      </w:r>
      <w:r w:rsidR="00686AEC" w:rsidRPr="1FCE5CEB">
        <w:rPr>
          <w:rStyle w:val="FootnoteReference"/>
          <w:sz w:val="24"/>
          <w:szCs w:val="24"/>
        </w:rPr>
        <w:footnoteReference w:id="25"/>
      </w:r>
    </w:p>
    <w:p w14:paraId="0AF50BE5" w14:textId="7D66BB64" w:rsidR="00686AEC" w:rsidRDefault="493D54CA" w:rsidP="003F1F20">
      <w:pPr>
        <w:suppressLineNumbers/>
        <w:spacing w:after="0"/>
        <w:ind w:firstLine="720"/>
        <w:rPr>
          <w:sz w:val="24"/>
          <w:szCs w:val="24"/>
        </w:rPr>
      </w:pPr>
      <w:r w:rsidRPr="1FCE5CEB">
        <w:rPr>
          <w:sz w:val="24"/>
          <w:szCs w:val="24"/>
        </w:rPr>
        <w:t xml:space="preserve">OACs where </w:t>
      </w:r>
      <w:r w:rsidR="00722CA5">
        <w:rPr>
          <w:sz w:val="24"/>
          <w:szCs w:val="24"/>
        </w:rPr>
        <w:t>DFTA escalated complaints</w:t>
      </w:r>
      <w:r w:rsidRPr="1FCE5CEB">
        <w:rPr>
          <w:sz w:val="24"/>
          <w:szCs w:val="24"/>
        </w:rPr>
        <w:t xml:space="preserve"> to NYCHA</w:t>
      </w:r>
      <w:r w:rsidR="00722CA5">
        <w:rPr>
          <w:sz w:val="24"/>
          <w:szCs w:val="24"/>
        </w:rPr>
        <w:t xml:space="preserve"> management</w:t>
      </w:r>
      <w:r w:rsidR="1680060F" w:rsidRPr="1FCE5CEB">
        <w:rPr>
          <w:sz w:val="24"/>
          <w:szCs w:val="24"/>
        </w:rPr>
        <w:t xml:space="preserve"> in 2024</w:t>
      </w:r>
      <w:r w:rsidRPr="1FCE5CEB">
        <w:rPr>
          <w:sz w:val="24"/>
          <w:szCs w:val="24"/>
        </w:rPr>
        <w:t xml:space="preserve"> </w:t>
      </w:r>
      <w:r w:rsidR="515BA41D" w:rsidRPr="1FCE5CEB">
        <w:rPr>
          <w:sz w:val="24"/>
          <w:szCs w:val="24"/>
        </w:rPr>
        <w:t>are as follows</w:t>
      </w:r>
      <w:r w:rsidRPr="1FCE5CEB">
        <w:rPr>
          <w:sz w:val="24"/>
          <w:szCs w:val="24"/>
        </w:rPr>
        <w:t xml:space="preserve">: </w:t>
      </w:r>
    </w:p>
    <w:p w14:paraId="4EBA20C5" w14:textId="521352F7" w:rsidR="00686AEC" w:rsidRDefault="493D54CA" w:rsidP="00F34898">
      <w:pPr>
        <w:pStyle w:val="ListParagraph"/>
        <w:numPr>
          <w:ilvl w:val="0"/>
          <w:numId w:val="1"/>
        </w:numPr>
        <w:suppressLineNumbers/>
        <w:spacing w:after="0" w:line="300" w:lineRule="auto"/>
        <w:rPr>
          <w:sz w:val="24"/>
          <w:szCs w:val="24"/>
        </w:rPr>
      </w:pPr>
      <w:r w:rsidRPr="1FCE5CEB">
        <w:rPr>
          <w:sz w:val="24"/>
          <w:szCs w:val="24"/>
        </w:rPr>
        <w:t>Central Harlem St. Nick in Bethune Gardens, Manhatt</w:t>
      </w:r>
      <w:r w:rsidR="26609DDB" w:rsidRPr="1FCE5CEB">
        <w:rPr>
          <w:sz w:val="24"/>
          <w:szCs w:val="24"/>
        </w:rPr>
        <w:t xml:space="preserve">an; </w:t>
      </w:r>
    </w:p>
    <w:p w14:paraId="3E6463BE" w14:textId="12BE456C" w:rsidR="00686AEC" w:rsidRDefault="6F40DD99" w:rsidP="00F34898">
      <w:pPr>
        <w:pStyle w:val="ListParagraph"/>
        <w:numPr>
          <w:ilvl w:val="0"/>
          <w:numId w:val="1"/>
        </w:numPr>
        <w:suppressLineNumbers/>
        <w:spacing w:after="0" w:line="300" w:lineRule="auto"/>
        <w:rPr>
          <w:sz w:val="24"/>
          <w:szCs w:val="24"/>
        </w:rPr>
      </w:pPr>
      <w:r w:rsidRPr="1FCE5CEB">
        <w:rPr>
          <w:sz w:val="24"/>
          <w:szCs w:val="24"/>
        </w:rPr>
        <w:t>Goddard Riverside OAC in Amsterdam Addition, Manhattan;</w:t>
      </w:r>
    </w:p>
    <w:p w14:paraId="6B5C5899" w14:textId="485244CF" w:rsidR="00686AEC" w:rsidRDefault="62431512" w:rsidP="00F34898">
      <w:pPr>
        <w:pStyle w:val="ListParagraph"/>
        <w:numPr>
          <w:ilvl w:val="0"/>
          <w:numId w:val="1"/>
        </w:numPr>
        <w:suppressLineNumbers/>
        <w:spacing w:after="0" w:line="300" w:lineRule="auto"/>
        <w:rPr>
          <w:sz w:val="24"/>
          <w:szCs w:val="24"/>
        </w:rPr>
      </w:pPr>
      <w:r w:rsidRPr="1FCE5CEB">
        <w:rPr>
          <w:sz w:val="24"/>
          <w:szCs w:val="24"/>
        </w:rPr>
        <w:t xml:space="preserve">Polo Grounds Towers, Manhattan; </w:t>
      </w:r>
    </w:p>
    <w:p w14:paraId="2EE7A620" w14:textId="7728BC55" w:rsidR="00686AEC" w:rsidRDefault="62431512" w:rsidP="00F34898">
      <w:pPr>
        <w:pStyle w:val="ListParagraph"/>
        <w:numPr>
          <w:ilvl w:val="0"/>
          <w:numId w:val="1"/>
        </w:numPr>
        <w:suppressLineNumbers/>
        <w:spacing w:after="0" w:line="300" w:lineRule="auto"/>
        <w:rPr>
          <w:sz w:val="24"/>
          <w:szCs w:val="24"/>
        </w:rPr>
      </w:pPr>
      <w:r w:rsidRPr="1FCE5CEB">
        <w:rPr>
          <w:sz w:val="24"/>
          <w:szCs w:val="24"/>
        </w:rPr>
        <w:t xml:space="preserve">Marshall Plaza, Manhattan; </w:t>
      </w:r>
    </w:p>
    <w:p w14:paraId="0736EF93" w14:textId="5CBD909F" w:rsidR="00686AEC" w:rsidRDefault="5381365F" w:rsidP="00F34898">
      <w:pPr>
        <w:pStyle w:val="ListParagraph"/>
        <w:numPr>
          <w:ilvl w:val="0"/>
          <w:numId w:val="1"/>
        </w:numPr>
        <w:suppressLineNumbers/>
        <w:spacing w:after="0" w:line="300" w:lineRule="auto"/>
        <w:rPr>
          <w:sz w:val="24"/>
          <w:szCs w:val="24"/>
        </w:rPr>
      </w:pPr>
      <w:r w:rsidRPr="1FCE5CEB">
        <w:rPr>
          <w:sz w:val="24"/>
          <w:szCs w:val="24"/>
        </w:rPr>
        <w:t xml:space="preserve">Jackie Robinson OAC in Grant Houses, Manhattan; </w:t>
      </w:r>
    </w:p>
    <w:p w14:paraId="7B1E526B" w14:textId="42A4F6AA" w:rsidR="00686AEC" w:rsidRDefault="5381365F" w:rsidP="00F34898">
      <w:pPr>
        <w:pStyle w:val="ListParagraph"/>
        <w:numPr>
          <w:ilvl w:val="0"/>
          <w:numId w:val="1"/>
        </w:numPr>
        <w:suppressLineNumbers/>
        <w:spacing w:after="0" w:line="300" w:lineRule="auto"/>
        <w:rPr>
          <w:sz w:val="24"/>
          <w:szCs w:val="24"/>
        </w:rPr>
      </w:pPr>
      <w:r w:rsidRPr="1FCE5CEB">
        <w:rPr>
          <w:sz w:val="24"/>
          <w:szCs w:val="24"/>
        </w:rPr>
        <w:t>Carver OAC in Manhattan;</w:t>
      </w:r>
    </w:p>
    <w:p w14:paraId="12DA3D2F" w14:textId="23742533" w:rsidR="00686AEC" w:rsidRDefault="5381365F" w:rsidP="00F34898">
      <w:pPr>
        <w:pStyle w:val="ListParagraph"/>
        <w:numPr>
          <w:ilvl w:val="0"/>
          <w:numId w:val="1"/>
        </w:numPr>
        <w:suppressLineNumbers/>
        <w:spacing w:after="0" w:line="300" w:lineRule="auto"/>
        <w:rPr>
          <w:sz w:val="24"/>
          <w:szCs w:val="24"/>
        </w:rPr>
      </w:pPr>
      <w:r w:rsidRPr="1FCE5CEB">
        <w:rPr>
          <w:sz w:val="24"/>
          <w:szCs w:val="24"/>
        </w:rPr>
        <w:t>Corsi OAC in Manhattan;</w:t>
      </w:r>
    </w:p>
    <w:p w14:paraId="781909C1" w14:textId="692FD43A" w:rsidR="00686AEC" w:rsidRDefault="62431512" w:rsidP="00F34898">
      <w:pPr>
        <w:pStyle w:val="ListParagraph"/>
        <w:numPr>
          <w:ilvl w:val="0"/>
          <w:numId w:val="1"/>
        </w:numPr>
        <w:suppressLineNumbers/>
        <w:spacing w:after="0" w:line="300" w:lineRule="auto"/>
        <w:rPr>
          <w:sz w:val="24"/>
          <w:szCs w:val="24"/>
        </w:rPr>
      </w:pPr>
      <w:r w:rsidRPr="1FCE5CEB">
        <w:rPr>
          <w:sz w:val="24"/>
          <w:szCs w:val="24"/>
        </w:rPr>
        <w:t>Seth Low Social Club in Low Houses</w:t>
      </w:r>
      <w:r w:rsidR="4A3B6DCA" w:rsidRPr="1FCE5CEB">
        <w:rPr>
          <w:sz w:val="24"/>
          <w:szCs w:val="24"/>
        </w:rPr>
        <w:t>, Brooklyn</w:t>
      </w:r>
      <w:r w:rsidR="00722CA5">
        <w:rPr>
          <w:sz w:val="24"/>
          <w:szCs w:val="24"/>
        </w:rPr>
        <w:t>;</w:t>
      </w:r>
    </w:p>
    <w:p w14:paraId="7B2CDE02" w14:textId="12C4E2A1" w:rsidR="00686AEC" w:rsidRDefault="175311AE" w:rsidP="00F34898">
      <w:pPr>
        <w:pStyle w:val="ListParagraph"/>
        <w:numPr>
          <w:ilvl w:val="0"/>
          <w:numId w:val="1"/>
        </w:numPr>
        <w:suppressLineNumbers/>
        <w:spacing w:after="0" w:line="300" w:lineRule="auto"/>
        <w:rPr>
          <w:sz w:val="24"/>
          <w:szCs w:val="24"/>
        </w:rPr>
      </w:pPr>
      <w:r w:rsidRPr="1FCE5CEB">
        <w:rPr>
          <w:sz w:val="24"/>
          <w:szCs w:val="24"/>
        </w:rPr>
        <w:t xml:space="preserve">Maria Lawton OAC in Roosevelt II, Brooklyn; </w:t>
      </w:r>
    </w:p>
    <w:p w14:paraId="202BA520" w14:textId="6AC0EFBB" w:rsidR="00686AEC" w:rsidRDefault="081D38FD" w:rsidP="00F34898">
      <w:pPr>
        <w:pStyle w:val="ListParagraph"/>
        <w:numPr>
          <w:ilvl w:val="0"/>
          <w:numId w:val="1"/>
        </w:numPr>
        <w:suppressLineNumbers/>
        <w:spacing w:after="0" w:line="300" w:lineRule="auto"/>
        <w:rPr>
          <w:sz w:val="24"/>
          <w:szCs w:val="24"/>
        </w:rPr>
      </w:pPr>
      <w:r w:rsidRPr="1FCE5CEB">
        <w:rPr>
          <w:sz w:val="24"/>
          <w:szCs w:val="24"/>
        </w:rPr>
        <w:t>Wayside Out Van Dyke II Senior Center, Brooklyn;</w:t>
      </w:r>
    </w:p>
    <w:p w14:paraId="2E587752" w14:textId="128E0F7D" w:rsidR="00686AEC" w:rsidRDefault="175311AE" w:rsidP="00F34898">
      <w:pPr>
        <w:pStyle w:val="ListParagraph"/>
        <w:numPr>
          <w:ilvl w:val="0"/>
          <w:numId w:val="1"/>
        </w:numPr>
        <w:suppressLineNumbers/>
        <w:spacing w:after="0" w:line="300" w:lineRule="auto"/>
        <w:rPr>
          <w:sz w:val="24"/>
          <w:szCs w:val="24"/>
        </w:rPr>
      </w:pPr>
      <w:r w:rsidRPr="1FCE5CEB">
        <w:rPr>
          <w:sz w:val="24"/>
          <w:szCs w:val="24"/>
        </w:rPr>
        <w:t xml:space="preserve">JCCGCI Marlboro OAC in </w:t>
      </w:r>
      <w:r w:rsidR="5105C7B4" w:rsidRPr="1FCE5CEB">
        <w:rPr>
          <w:sz w:val="24"/>
          <w:szCs w:val="24"/>
        </w:rPr>
        <w:t xml:space="preserve">Brooklyn; </w:t>
      </w:r>
    </w:p>
    <w:p w14:paraId="32C76831" w14:textId="38ACAC69" w:rsidR="00686AEC" w:rsidRDefault="5105C7B4" w:rsidP="00F34898">
      <w:pPr>
        <w:pStyle w:val="ListParagraph"/>
        <w:numPr>
          <w:ilvl w:val="0"/>
          <w:numId w:val="1"/>
        </w:numPr>
        <w:suppressLineNumbers/>
        <w:spacing w:after="0" w:line="300" w:lineRule="auto"/>
        <w:rPr>
          <w:sz w:val="24"/>
          <w:szCs w:val="24"/>
        </w:rPr>
      </w:pPr>
      <w:r w:rsidRPr="1FCE5CEB">
        <w:rPr>
          <w:sz w:val="24"/>
          <w:szCs w:val="24"/>
        </w:rPr>
        <w:t xml:space="preserve">Pomonok OAC, Queens; </w:t>
      </w:r>
    </w:p>
    <w:p w14:paraId="41E81416" w14:textId="6EDBDA53" w:rsidR="00686AEC" w:rsidRDefault="354A9878" w:rsidP="00F34898">
      <w:pPr>
        <w:pStyle w:val="ListParagraph"/>
        <w:numPr>
          <w:ilvl w:val="0"/>
          <w:numId w:val="1"/>
        </w:numPr>
        <w:suppressLineNumbers/>
        <w:spacing w:after="0" w:line="300" w:lineRule="auto"/>
        <w:rPr>
          <w:sz w:val="24"/>
          <w:szCs w:val="24"/>
        </w:rPr>
      </w:pPr>
      <w:r w:rsidRPr="1FCE5CEB">
        <w:rPr>
          <w:sz w:val="24"/>
          <w:szCs w:val="24"/>
        </w:rPr>
        <w:t>Selfhelp Latimer in Latimer Gardens, Queens;</w:t>
      </w:r>
    </w:p>
    <w:p w14:paraId="3B07AB71" w14:textId="0A17AF34" w:rsidR="00686AEC" w:rsidRDefault="5105C7B4" w:rsidP="00F34898">
      <w:pPr>
        <w:pStyle w:val="ListParagraph"/>
        <w:numPr>
          <w:ilvl w:val="0"/>
          <w:numId w:val="1"/>
        </w:numPr>
        <w:suppressLineNumbers/>
        <w:spacing w:after="0" w:line="300" w:lineRule="auto"/>
        <w:rPr>
          <w:sz w:val="24"/>
          <w:szCs w:val="24"/>
        </w:rPr>
      </w:pPr>
      <w:r w:rsidRPr="1FCE5CEB">
        <w:rPr>
          <w:sz w:val="24"/>
          <w:szCs w:val="24"/>
        </w:rPr>
        <w:t xml:space="preserve">Todt Hill OAC, Staten Island; </w:t>
      </w:r>
    </w:p>
    <w:p w14:paraId="0A3B3224" w14:textId="01225C15" w:rsidR="00686AEC" w:rsidRDefault="5105C7B4" w:rsidP="00F34898">
      <w:pPr>
        <w:pStyle w:val="ListParagraph"/>
        <w:numPr>
          <w:ilvl w:val="0"/>
          <w:numId w:val="1"/>
        </w:numPr>
        <w:suppressLineNumbers/>
        <w:spacing w:after="0" w:line="300" w:lineRule="auto"/>
        <w:rPr>
          <w:sz w:val="24"/>
          <w:szCs w:val="24"/>
        </w:rPr>
      </w:pPr>
      <w:r w:rsidRPr="1FCE5CEB">
        <w:rPr>
          <w:sz w:val="24"/>
          <w:szCs w:val="24"/>
        </w:rPr>
        <w:t>SHOPP Thomas Guess OAC</w:t>
      </w:r>
      <w:r w:rsidR="670CD0DA" w:rsidRPr="1FCE5CEB">
        <w:rPr>
          <w:sz w:val="24"/>
          <w:szCs w:val="24"/>
        </w:rPr>
        <w:t xml:space="preserve"> in Twin Parks East, Bronx; </w:t>
      </w:r>
    </w:p>
    <w:p w14:paraId="744AEE54" w14:textId="5E8FECD8" w:rsidR="00686AEC" w:rsidRDefault="33FE6B2F" w:rsidP="00F34898">
      <w:pPr>
        <w:pStyle w:val="ListParagraph"/>
        <w:numPr>
          <w:ilvl w:val="0"/>
          <w:numId w:val="1"/>
        </w:numPr>
        <w:suppressLineNumbers/>
        <w:spacing w:after="0" w:line="300" w:lineRule="auto"/>
        <w:rPr>
          <w:sz w:val="24"/>
          <w:szCs w:val="24"/>
        </w:rPr>
      </w:pPr>
      <w:r w:rsidRPr="1FCE5CEB">
        <w:rPr>
          <w:sz w:val="24"/>
          <w:szCs w:val="24"/>
        </w:rPr>
        <w:t>MMCC-CDC OAC in Marble Hill, Bronx;</w:t>
      </w:r>
      <w:r w:rsidR="5744C8F9" w:rsidRPr="1FCE5CEB">
        <w:rPr>
          <w:sz w:val="24"/>
          <w:szCs w:val="24"/>
        </w:rPr>
        <w:t xml:space="preserve"> and</w:t>
      </w:r>
    </w:p>
    <w:p w14:paraId="753ADC01" w14:textId="6E8545A7" w:rsidR="00686AEC" w:rsidRDefault="33FE6B2F" w:rsidP="00F34898">
      <w:pPr>
        <w:pStyle w:val="ListParagraph"/>
        <w:numPr>
          <w:ilvl w:val="0"/>
          <w:numId w:val="1"/>
        </w:numPr>
        <w:suppressLineNumbers/>
        <w:spacing w:after="240" w:line="300" w:lineRule="auto"/>
        <w:contextualSpacing w:val="0"/>
        <w:rPr>
          <w:sz w:val="24"/>
          <w:szCs w:val="24"/>
        </w:rPr>
      </w:pPr>
      <w:r w:rsidRPr="1FCE5CEB">
        <w:rPr>
          <w:sz w:val="24"/>
          <w:szCs w:val="24"/>
        </w:rPr>
        <w:t>Arturo Schomburg OAC in the Bronx</w:t>
      </w:r>
      <w:r w:rsidR="57EB820C" w:rsidRPr="1FCE5CEB">
        <w:rPr>
          <w:sz w:val="24"/>
          <w:szCs w:val="24"/>
        </w:rPr>
        <w:t>.</w:t>
      </w:r>
      <w:r w:rsidR="00686AEC" w:rsidRPr="1FCE5CEB">
        <w:rPr>
          <w:rStyle w:val="FootnoteReference"/>
          <w:sz w:val="24"/>
          <w:szCs w:val="24"/>
        </w:rPr>
        <w:footnoteReference w:id="26"/>
      </w:r>
    </w:p>
    <w:p w14:paraId="38578069" w14:textId="26535325" w:rsidR="00686AEC" w:rsidRDefault="1421DA0E" w:rsidP="003F1F20">
      <w:pPr>
        <w:suppressLineNumbers/>
        <w:spacing w:after="0"/>
        <w:ind w:firstLine="720"/>
        <w:rPr>
          <w:sz w:val="24"/>
          <w:szCs w:val="24"/>
        </w:rPr>
      </w:pPr>
      <w:r w:rsidRPr="1FCE5CEB">
        <w:rPr>
          <w:sz w:val="24"/>
          <w:szCs w:val="24"/>
        </w:rPr>
        <w:t xml:space="preserve">In other </w:t>
      </w:r>
      <w:r w:rsidR="245A98A3" w:rsidRPr="1FCE5CEB">
        <w:rPr>
          <w:sz w:val="24"/>
          <w:szCs w:val="24"/>
        </w:rPr>
        <w:t xml:space="preserve">reported </w:t>
      </w:r>
      <w:r w:rsidRPr="1FCE5CEB">
        <w:rPr>
          <w:sz w:val="24"/>
          <w:szCs w:val="24"/>
        </w:rPr>
        <w:t xml:space="preserve">cases, complaints </w:t>
      </w:r>
      <w:r w:rsidR="318FB2F2" w:rsidRPr="1FCE5CEB">
        <w:rPr>
          <w:sz w:val="24"/>
          <w:szCs w:val="24"/>
        </w:rPr>
        <w:t>inclu</w:t>
      </w:r>
      <w:r w:rsidR="1F981F55" w:rsidRPr="1FCE5CEB">
        <w:rPr>
          <w:sz w:val="24"/>
          <w:szCs w:val="24"/>
        </w:rPr>
        <w:t>d</w:t>
      </w:r>
      <w:r w:rsidR="318FB2F2" w:rsidRPr="1FCE5CEB">
        <w:rPr>
          <w:sz w:val="24"/>
          <w:szCs w:val="24"/>
        </w:rPr>
        <w:t>ed</w:t>
      </w:r>
      <w:r w:rsidRPr="1FCE5CEB">
        <w:rPr>
          <w:sz w:val="24"/>
          <w:szCs w:val="24"/>
        </w:rPr>
        <w:t xml:space="preserve"> </w:t>
      </w:r>
      <w:r w:rsidR="46C480B6" w:rsidRPr="1FCE5CEB">
        <w:rPr>
          <w:sz w:val="24"/>
          <w:szCs w:val="24"/>
        </w:rPr>
        <w:t xml:space="preserve">requesting </w:t>
      </w:r>
      <w:r w:rsidRPr="1FCE5CEB">
        <w:rPr>
          <w:sz w:val="24"/>
          <w:szCs w:val="24"/>
        </w:rPr>
        <w:t xml:space="preserve">the reprogramming of a key card, a boiler leak issue, </w:t>
      </w:r>
      <w:r w:rsidR="7528FD85" w:rsidRPr="1FCE5CEB">
        <w:rPr>
          <w:sz w:val="24"/>
          <w:szCs w:val="24"/>
        </w:rPr>
        <w:t xml:space="preserve">and </w:t>
      </w:r>
      <w:r w:rsidR="517F93CA" w:rsidRPr="1FCE5CEB">
        <w:rPr>
          <w:sz w:val="24"/>
          <w:szCs w:val="24"/>
        </w:rPr>
        <w:t>request</w:t>
      </w:r>
      <w:r w:rsidR="000C78F3">
        <w:rPr>
          <w:sz w:val="24"/>
          <w:szCs w:val="24"/>
        </w:rPr>
        <w:t>ing</w:t>
      </w:r>
      <w:r w:rsidRPr="1FCE5CEB">
        <w:rPr>
          <w:sz w:val="24"/>
          <w:szCs w:val="24"/>
        </w:rPr>
        <w:t xml:space="preserve"> </w:t>
      </w:r>
      <w:r w:rsidR="464266FB" w:rsidRPr="1FCE5CEB">
        <w:rPr>
          <w:sz w:val="24"/>
          <w:szCs w:val="24"/>
        </w:rPr>
        <w:t>tile replacement caused by water damage</w:t>
      </w:r>
      <w:r w:rsidR="1C32DF9E" w:rsidRPr="1FCE5CEB">
        <w:rPr>
          <w:sz w:val="24"/>
          <w:szCs w:val="24"/>
        </w:rPr>
        <w:t>; these issues are reported as resolved</w:t>
      </w:r>
      <w:r w:rsidR="464266FB" w:rsidRPr="1FCE5CEB">
        <w:rPr>
          <w:sz w:val="24"/>
          <w:szCs w:val="24"/>
        </w:rPr>
        <w:t>.</w:t>
      </w:r>
      <w:r w:rsidR="00686AEC" w:rsidRPr="1FCE5CEB">
        <w:rPr>
          <w:rStyle w:val="FootnoteReference"/>
          <w:sz w:val="24"/>
          <w:szCs w:val="24"/>
        </w:rPr>
        <w:footnoteReference w:id="27"/>
      </w:r>
    </w:p>
    <w:p w14:paraId="4ACD8363" w14:textId="41EAD8FE" w:rsidR="000445F3" w:rsidRPr="00DC3EFA" w:rsidRDefault="00686AEC" w:rsidP="003F1F20">
      <w:pPr>
        <w:pStyle w:val="ListParagraph"/>
        <w:numPr>
          <w:ilvl w:val="0"/>
          <w:numId w:val="21"/>
        </w:numPr>
        <w:spacing w:before="120" w:after="0"/>
        <w:contextualSpacing w:val="0"/>
        <w:rPr>
          <w:rFonts w:cstheme="minorHAnsi"/>
          <w:b/>
          <w:smallCaps/>
          <w:sz w:val="24"/>
          <w:szCs w:val="24"/>
        </w:rPr>
      </w:pPr>
      <w:r w:rsidRPr="00DC3EFA">
        <w:rPr>
          <w:rFonts w:cstheme="minorHAnsi"/>
          <w:b/>
          <w:smallCaps/>
          <w:sz w:val="24"/>
          <w:szCs w:val="24"/>
        </w:rPr>
        <w:t xml:space="preserve"> </w:t>
      </w:r>
      <w:r w:rsidR="000445F3" w:rsidRPr="00DC3EFA">
        <w:rPr>
          <w:rFonts w:cstheme="minorHAnsi"/>
          <w:b/>
          <w:smallCaps/>
          <w:sz w:val="24"/>
          <w:szCs w:val="24"/>
        </w:rPr>
        <w:t>Finance</w:t>
      </w:r>
      <w:r w:rsidR="00722CA5">
        <w:rPr>
          <w:rFonts w:cstheme="minorHAnsi"/>
          <w:b/>
          <w:smallCaps/>
          <w:sz w:val="24"/>
          <w:szCs w:val="24"/>
        </w:rPr>
        <w:t xml:space="preserve"> </w:t>
      </w:r>
      <w:r w:rsidR="00C20D4B">
        <w:rPr>
          <w:rFonts w:cstheme="minorHAnsi"/>
          <w:b/>
          <w:smallCaps/>
          <w:sz w:val="24"/>
          <w:szCs w:val="24"/>
        </w:rPr>
        <w:t>–</w:t>
      </w:r>
      <w:r w:rsidR="00722CA5">
        <w:rPr>
          <w:rFonts w:cstheme="minorHAnsi"/>
          <w:b/>
          <w:smallCaps/>
          <w:sz w:val="24"/>
          <w:szCs w:val="24"/>
        </w:rPr>
        <w:t xml:space="preserve"> DFTA</w:t>
      </w:r>
      <w:r w:rsidR="00C20D4B">
        <w:rPr>
          <w:rFonts w:cstheme="minorHAnsi"/>
          <w:b/>
          <w:smallCaps/>
          <w:sz w:val="24"/>
          <w:szCs w:val="24"/>
        </w:rPr>
        <w:t xml:space="preserve"> </w:t>
      </w:r>
    </w:p>
    <w:p w14:paraId="1F52C91E" w14:textId="4C658070" w:rsidR="00DB7CC6" w:rsidRPr="00DB7CC6" w:rsidRDefault="00DB7CC6" w:rsidP="003F1F20">
      <w:pPr>
        <w:spacing w:after="0"/>
        <w:ind w:firstLine="720"/>
        <w:rPr>
          <w:rFonts w:cstheme="minorHAnsi"/>
          <w:sz w:val="24"/>
          <w:szCs w:val="24"/>
        </w:rPr>
      </w:pPr>
      <w:r w:rsidRPr="00DB7CC6">
        <w:rPr>
          <w:rFonts w:cstheme="minorHAnsi"/>
          <w:sz w:val="24"/>
          <w:szCs w:val="24"/>
        </w:rPr>
        <w:t xml:space="preserve">As of the Fiscal </w:t>
      </w:r>
      <w:r w:rsidR="000B66B6">
        <w:rPr>
          <w:rFonts w:cstheme="minorHAnsi"/>
          <w:sz w:val="24"/>
          <w:szCs w:val="24"/>
        </w:rPr>
        <w:t>2026 Preliminary Plan, DFTA</w:t>
      </w:r>
      <w:r w:rsidRPr="00DB7CC6">
        <w:rPr>
          <w:rFonts w:cstheme="minorHAnsi"/>
          <w:sz w:val="24"/>
          <w:szCs w:val="24"/>
        </w:rPr>
        <w:t>’s budget totals $550.7 million in Fiscal 2025, dropping to $426.2 million in Fiscal 2026, which i</w:t>
      </w:r>
      <w:r w:rsidR="000B66B6">
        <w:rPr>
          <w:rFonts w:cstheme="minorHAnsi"/>
          <w:sz w:val="24"/>
          <w:szCs w:val="24"/>
        </w:rPr>
        <w:t>s $124.5 million less. DFTA</w:t>
      </w:r>
      <w:r w:rsidRPr="00DB7CC6">
        <w:rPr>
          <w:rFonts w:cstheme="minorHAnsi"/>
          <w:sz w:val="24"/>
          <w:szCs w:val="24"/>
        </w:rPr>
        <w:t>’s budget in Fiscal 2027 and in the outyears drops to approximately $420 million</w:t>
      </w:r>
      <w:r w:rsidR="00FF5F19" w:rsidRPr="00DB7CC6">
        <w:rPr>
          <w:rFonts w:cstheme="minorHAnsi"/>
          <w:sz w:val="24"/>
          <w:szCs w:val="24"/>
        </w:rPr>
        <w:t xml:space="preserve">. </w:t>
      </w:r>
      <w:r w:rsidR="000B66B6">
        <w:rPr>
          <w:rFonts w:cstheme="minorHAnsi"/>
          <w:sz w:val="24"/>
          <w:szCs w:val="24"/>
        </w:rPr>
        <w:t>DFTA</w:t>
      </w:r>
      <w:r w:rsidRPr="00DB7CC6">
        <w:rPr>
          <w:rFonts w:cstheme="minorHAnsi"/>
          <w:sz w:val="24"/>
          <w:szCs w:val="24"/>
        </w:rPr>
        <w:t xml:space="preserve">’s budget continues to represent less than </w:t>
      </w:r>
      <w:r w:rsidR="00912624">
        <w:rPr>
          <w:rFonts w:cstheme="minorHAnsi"/>
          <w:sz w:val="24"/>
          <w:szCs w:val="24"/>
        </w:rPr>
        <w:t>1</w:t>
      </w:r>
      <w:r w:rsidRPr="00DB7CC6">
        <w:rPr>
          <w:rFonts w:cstheme="minorHAnsi"/>
          <w:sz w:val="24"/>
          <w:szCs w:val="24"/>
        </w:rPr>
        <w:t xml:space="preserve"> percent of the City’s overall expense budget. For </w:t>
      </w:r>
      <w:r w:rsidR="00722CA5">
        <w:rPr>
          <w:rFonts w:cstheme="minorHAnsi"/>
          <w:sz w:val="24"/>
          <w:szCs w:val="24"/>
        </w:rPr>
        <w:t>OACs</w:t>
      </w:r>
      <w:r w:rsidRPr="00DB7CC6">
        <w:rPr>
          <w:rFonts w:cstheme="minorHAnsi"/>
          <w:sz w:val="24"/>
          <w:szCs w:val="24"/>
        </w:rPr>
        <w:t xml:space="preserve"> the Fiscal 2026 Preliminary Plan includes $237.2 million in Fiscal 2025, $177.7 million in Fiscal 2026, and approximately $164 million in the outye</w:t>
      </w:r>
      <w:r w:rsidR="000B66B6">
        <w:rPr>
          <w:rFonts w:cstheme="minorHAnsi"/>
          <w:sz w:val="24"/>
          <w:szCs w:val="24"/>
        </w:rPr>
        <w:t>ars. It is unclear how DFTA</w:t>
      </w:r>
      <w:r w:rsidRPr="00DB7CC6">
        <w:rPr>
          <w:rFonts w:cstheme="minorHAnsi"/>
          <w:sz w:val="24"/>
          <w:szCs w:val="24"/>
        </w:rPr>
        <w:t xml:space="preserve"> would be able to continue the current level of overall agency operations, including OAC operations, in Fiscal 2026 and beyond without increasing</w:t>
      </w:r>
      <w:r w:rsidR="000B66B6">
        <w:rPr>
          <w:rFonts w:cstheme="minorHAnsi"/>
          <w:sz w:val="24"/>
          <w:szCs w:val="24"/>
        </w:rPr>
        <w:t xml:space="preserve"> the baseline budget. DFTA</w:t>
      </w:r>
      <w:r w:rsidRPr="00DB7CC6">
        <w:rPr>
          <w:rFonts w:cstheme="minorHAnsi"/>
          <w:sz w:val="24"/>
          <w:szCs w:val="24"/>
        </w:rPr>
        <w:t>’s Adopted Capital Commitment Plan totals $78.2 million across Fiscals 2025 to 2029, the smallest City agency Capital Plan.</w:t>
      </w:r>
    </w:p>
    <w:p w14:paraId="04CDE252" w14:textId="245DE256" w:rsidR="460344B3" w:rsidRDefault="00DB7CC6" w:rsidP="00837A9C">
      <w:pPr>
        <w:spacing w:after="0"/>
        <w:ind w:firstLine="720"/>
        <w:rPr>
          <w:sz w:val="24"/>
          <w:szCs w:val="24"/>
        </w:rPr>
      </w:pPr>
      <w:r w:rsidRPr="00DB7CC6">
        <w:rPr>
          <w:rFonts w:cstheme="minorHAnsi"/>
          <w:sz w:val="24"/>
          <w:szCs w:val="24"/>
        </w:rPr>
        <w:t xml:space="preserve">In the Fiscal 2025 Preliminary Budget Response, the Council called on the Administration to increase capital funding for </w:t>
      </w:r>
      <w:r w:rsidR="00722CA5">
        <w:rPr>
          <w:rFonts w:cstheme="minorHAnsi"/>
          <w:sz w:val="24"/>
          <w:szCs w:val="24"/>
        </w:rPr>
        <w:t>OACs</w:t>
      </w:r>
      <w:r w:rsidRPr="00DB7CC6">
        <w:rPr>
          <w:rFonts w:cstheme="minorHAnsi"/>
          <w:sz w:val="24"/>
          <w:szCs w:val="24"/>
        </w:rPr>
        <w:t xml:space="preserve"> by</w:t>
      </w:r>
      <w:r w:rsidR="000B66B6">
        <w:rPr>
          <w:rFonts w:cstheme="minorHAnsi"/>
          <w:sz w:val="24"/>
          <w:szCs w:val="24"/>
        </w:rPr>
        <w:t xml:space="preserve"> adding $50 million to DFTA</w:t>
      </w:r>
      <w:r w:rsidRPr="00DB7CC6">
        <w:rPr>
          <w:rFonts w:cstheme="minorHAnsi"/>
          <w:sz w:val="24"/>
          <w:szCs w:val="24"/>
        </w:rPr>
        <w:t>’s Capital Plan, $10 million of this funding would be specifically dedicated for centers that predominately serve older adults who are immigrants</w:t>
      </w:r>
      <w:r w:rsidR="000B66B6">
        <w:rPr>
          <w:rFonts w:cstheme="minorHAnsi"/>
          <w:sz w:val="24"/>
          <w:szCs w:val="24"/>
        </w:rPr>
        <w:t>. Investing further in DFTA</w:t>
      </w:r>
      <w:r w:rsidRPr="00DB7CC6">
        <w:rPr>
          <w:rFonts w:cstheme="minorHAnsi"/>
          <w:sz w:val="24"/>
          <w:szCs w:val="24"/>
        </w:rPr>
        <w:t>’s Capital Plan would ensure the agency’s ability to effectively deliver much</w:t>
      </w:r>
      <w:r w:rsidR="00FF5F19">
        <w:rPr>
          <w:rFonts w:cstheme="minorHAnsi"/>
          <w:sz w:val="24"/>
          <w:szCs w:val="24"/>
        </w:rPr>
        <w:t>-</w:t>
      </w:r>
      <w:r w:rsidRPr="00DB7CC6">
        <w:rPr>
          <w:rFonts w:cstheme="minorHAnsi"/>
          <w:sz w:val="24"/>
          <w:szCs w:val="24"/>
        </w:rPr>
        <w:t>needed services and programming to the City’s growing older adult population. Additional capital funding</w:t>
      </w:r>
      <w:r w:rsidR="000B66B6">
        <w:rPr>
          <w:rFonts w:cstheme="minorHAnsi"/>
          <w:sz w:val="24"/>
          <w:szCs w:val="24"/>
        </w:rPr>
        <w:t xml:space="preserve"> has not been added to DFTA</w:t>
      </w:r>
      <w:r w:rsidRPr="00DB7CC6">
        <w:rPr>
          <w:rFonts w:cstheme="minorHAnsi"/>
          <w:sz w:val="24"/>
          <w:szCs w:val="24"/>
        </w:rPr>
        <w:t>’s Capital Plan to address these concerns</w:t>
      </w:r>
      <w:r w:rsidR="00FF5F19" w:rsidRPr="00DB7CC6">
        <w:rPr>
          <w:rFonts w:cstheme="minorHAnsi"/>
          <w:sz w:val="24"/>
          <w:szCs w:val="24"/>
        </w:rPr>
        <w:t>.</w:t>
      </w:r>
    </w:p>
    <w:p w14:paraId="45C447D3" w14:textId="57BFB0DC" w:rsidR="00300566" w:rsidRPr="00DC3EFA" w:rsidRDefault="03768259" w:rsidP="003F1F20">
      <w:pPr>
        <w:pStyle w:val="ListParagraph"/>
        <w:numPr>
          <w:ilvl w:val="0"/>
          <w:numId w:val="21"/>
        </w:numPr>
        <w:suppressLineNumbers/>
        <w:spacing w:before="120" w:after="0"/>
        <w:contextualSpacing w:val="0"/>
        <w:rPr>
          <w:rFonts w:cstheme="minorHAnsi"/>
          <w:b/>
          <w:bCs/>
          <w:smallCaps/>
          <w:sz w:val="24"/>
          <w:szCs w:val="24"/>
        </w:rPr>
      </w:pPr>
      <w:r w:rsidRPr="3E1795EE">
        <w:rPr>
          <w:b/>
          <w:bCs/>
          <w:smallCaps/>
          <w:sz w:val="24"/>
          <w:szCs w:val="24"/>
        </w:rPr>
        <w:t>Issues &amp; Concerns</w:t>
      </w:r>
      <w:r w:rsidR="05F75900" w:rsidRPr="3E1795EE">
        <w:rPr>
          <w:b/>
          <w:bCs/>
          <w:smallCaps/>
          <w:sz w:val="24"/>
          <w:szCs w:val="24"/>
        </w:rPr>
        <w:t xml:space="preserve"> – Public Housing </w:t>
      </w:r>
    </w:p>
    <w:p w14:paraId="3BE65220" w14:textId="7E34495C" w:rsidR="5FA6B57F" w:rsidRDefault="5FA6B57F" w:rsidP="003F1F20">
      <w:pPr>
        <w:pStyle w:val="ListParagraph"/>
        <w:spacing w:before="120" w:after="0"/>
        <w:ind w:left="0" w:firstLine="720"/>
        <w:rPr>
          <w:i/>
          <w:iCs/>
          <w:sz w:val="24"/>
          <w:szCs w:val="24"/>
        </w:rPr>
      </w:pPr>
      <w:r w:rsidRPr="1FCE5CEB">
        <w:rPr>
          <w:i/>
          <w:iCs/>
          <w:sz w:val="24"/>
          <w:szCs w:val="24"/>
        </w:rPr>
        <w:t xml:space="preserve">Capital </w:t>
      </w:r>
      <w:r w:rsidR="369FBC18" w:rsidRPr="1FCE5CEB">
        <w:rPr>
          <w:i/>
          <w:iCs/>
          <w:sz w:val="24"/>
          <w:szCs w:val="24"/>
        </w:rPr>
        <w:t>N</w:t>
      </w:r>
      <w:r w:rsidRPr="1FCE5CEB">
        <w:rPr>
          <w:i/>
          <w:iCs/>
          <w:sz w:val="24"/>
          <w:szCs w:val="24"/>
        </w:rPr>
        <w:t>eeds</w:t>
      </w:r>
    </w:p>
    <w:p w14:paraId="62919FB0" w14:textId="458555EE" w:rsidR="00D87FB8" w:rsidRDefault="00D87FB8" w:rsidP="003F1F20">
      <w:pPr>
        <w:spacing w:after="0"/>
        <w:ind w:firstLine="720"/>
        <w:rPr>
          <w:rFonts w:ascii="Times New Roman" w:eastAsia="Times New Roman" w:hAnsi="Times New Roman" w:cs="Times New Roman"/>
          <w:sz w:val="24"/>
          <w:szCs w:val="24"/>
        </w:rPr>
      </w:pPr>
      <w:r w:rsidRPr="1A20D94F">
        <w:rPr>
          <w:rFonts w:ascii="Times New Roman" w:eastAsia="Times New Roman" w:hAnsi="Times New Roman" w:cs="Times New Roman"/>
          <w:sz w:val="24"/>
          <w:szCs w:val="24"/>
        </w:rPr>
        <w:t>Older adults who live in NYCHA housing and/or use OACs on NYCHA campuses face a variety of unsafe conditions that neither NYCHA nor DFTA has satisfactorily addressed. For example, older NYCHA residents ha</w:t>
      </w:r>
      <w:r w:rsidRPr="3E1795EE">
        <w:rPr>
          <w:rFonts w:ascii="Times New Roman" w:eastAsia="Times New Roman" w:hAnsi="Times New Roman" w:cs="Times New Roman"/>
          <w:sz w:val="24"/>
          <w:szCs w:val="24"/>
        </w:rPr>
        <w:t>ve complained about untreated mold that aggravates medical conditions</w:t>
      </w:r>
      <w:r w:rsidRPr="3E1795EE">
        <w:rPr>
          <w:rStyle w:val="FootnoteReference"/>
        </w:rPr>
        <w:footnoteReference w:id="28"/>
      </w:r>
      <w:r w:rsidRPr="3E1795EE">
        <w:rPr>
          <w:rFonts w:ascii="Times New Roman" w:eastAsia="Times New Roman" w:hAnsi="Times New Roman" w:cs="Times New Roman"/>
          <w:sz w:val="24"/>
          <w:szCs w:val="24"/>
        </w:rPr>
        <w:t xml:space="preserve"> and unfixed bathr</w:t>
      </w:r>
      <w:r>
        <w:rPr>
          <w:rFonts w:ascii="Times New Roman" w:eastAsia="Times New Roman" w:hAnsi="Times New Roman" w:cs="Times New Roman"/>
          <w:sz w:val="24"/>
          <w:szCs w:val="24"/>
        </w:rPr>
        <w:t xml:space="preserve">ooms and toilets that leak </w:t>
      </w:r>
      <w:r w:rsidRPr="3E1795EE">
        <w:rPr>
          <w:rFonts w:ascii="Times New Roman" w:eastAsia="Times New Roman" w:hAnsi="Times New Roman" w:cs="Times New Roman"/>
          <w:sz w:val="24"/>
          <w:szCs w:val="24"/>
        </w:rPr>
        <w:t>in NYCHA housing.</w:t>
      </w:r>
      <w:r w:rsidRPr="3E1795EE">
        <w:rPr>
          <w:rStyle w:val="FootnoteReference"/>
        </w:rPr>
        <w:footnoteReference w:id="29"/>
      </w:r>
      <w:r w:rsidRPr="3E1795EE">
        <w:rPr>
          <w:rFonts w:ascii="Times New Roman" w:eastAsia="Times New Roman" w:hAnsi="Times New Roman" w:cs="Times New Roman"/>
          <w:sz w:val="24"/>
          <w:szCs w:val="24"/>
        </w:rPr>
        <w:t xml:space="preserve">  </w:t>
      </w:r>
      <w:r w:rsidRPr="1A20D94F">
        <w:rPr>
          <w:rFonts w:ascii="Times New Roman" w:eastAsia="Times New Roman" w:hAnsi="Times New Roman" w:cs="Times New Roman"/>
          <w:sz w:val="24"/>
          <w:szCs w:val="24"/>
        </w:rPr>
        <w:t>Additionally, many older residents and residents with disabilities experience accessibility issues, as NYCHA lags far behind on its accessibility obligations; as of 2017, the agency had upgraded just one third of the apartments it committed to upgrading in its 1996 agreement with the federal government.</w:t>
      </w:r>
      <w:r w:rsidRPr="1A20D94F">
        <w:rPr>
          <w:rStyle w:val="FootnoteReference"/>
          <w:rFonts w:ascii="Times New Roman" w:eastAsia="Times New Roman" w:hAnsi="Times New Roman" w:cs="Times New Roman"/>
          <w:sz w:val="24"/>
          <w:szCs w:val="24"/>
        </w:rPr>
        <w:footnoteReference w:id="30"/>
      </w:r>
      <w:r w:rsidRPr="3E1795EE">
        <w:rPr>
          <w:rFonts w:ascii="Times New Roman" w:eastAsia="Times New Roman" w:hAnsi="Times New Roman" w:cs="Times New Roman"/>
          <w:sz w:val="24"/>
          <w:szCs w:val="24"/>
        </w:rPr>
        <w:t xml:space="preserve"> NYCHA’s history of failing to adequately maintain its buildings led to the creation of a federal monitorship in January 2019, under which the U.S. Department of Housing and Urban Development oversees NYCHA’s operational response to heat, mold, pests, and other critical issues </w:t>
      </w:r>
      <w:r w:rsidR="76DAEC57" w:rsidRPr="3E1795EE">
        <w:rPr>
          <w:rFonts w:ascii="Times New Roman" w:eastAsia="Times New Roman" w:hAnsi="Times New Roman" w:cs="Times New Roman"/>
          <w:sz w:val="24"/>
          <w:szCs w:val="24"/>
        </w:rPr>
        <w:t xml:space="preserve">affecting </w:t>
      </w:r>
      <w:r w:rsidRPr="3E1795EE">
        <w:rPr>
          <w:rFonts w:ascii="Times New Roman" w:eastAsia="Times New Roman" w:hAnsi="Times New Roman" w:cs="Times New Roman"/>
          <w:sz w:val="24"/>
          <w:szCs w:val="24"/>
        </w:rPr>
        <w:t>NYCHA developments.</w:t>
      </w:r>
      <w:r w:rsidRPr="1FCE5CEB">
        <w:rPr>
          <w:rStyle w:val="FootnoteReference"/>
          <w:rFonts w:ascii="Times New Roman" w:eastAsia="Times New Roman" w:hAnsi="Times New Roman" w:cs="Times New Roman"/>
          <w:sz w:val="24"/>
          <w:szCs w:val="24"/>
        </w:rPr>
        <w:footnoteReference w:id="31"/>
      </w:r>
      <w:r w:rsidRPr="3E1795EE">
        <w:rPr>
          <w:rFonts w:ascii="Times New Roman" w:eastAsia="Times New Roman" w:hAnsi="Times New Roman" w:cs="Times New Roman"/>
          <w:sz w:val="24"/>
          <w:szCs w:val="24"/>
        </w:rPr>
        <w:t xml:space="preserve"> </w:t>
      </w:r>
      <w:r w:rsidR="290D8E72" w:rsidRPr="3E1795EE">
        <w:rPr>
          <w:rFonts w:ascii="Times New Roman" w:eastAsia="Times New Roman" w:hAnsi="Times New Roman" w:cs="Times New Roman"/>
          <w:sz w:val="24"/>
          <w:szCs w:val="24"/>
        </w:rPr>
        <w:t>Importantly</w:t>
      </w:r>
      <w:r w:rsidRPr="3E1795EE">
        <w:rPr>
          <w:rFonts w:ascii="Times New Roman" w:eastAsia="Times New Roman" w:hAnsi="Times New Roman" w:cs="Times New Roman"/>
          <w:sz w:val="24"/>
          <w:szCs w:val="24"/>
        </w:rPr>
        <w:t xml:space="preserve">, these problems extend to OACs on NYCHA campuses, with </w:t>
      </w:r>
      <w:r w:rsidRPr="1A20D94F">
        <w:rPr>
          <w:rFonts w:ascii="Times New Roman" w:eastAsia="Times New Roman" w:hAnsi="Times New Roman" w:cs="Times New Roman"/>
          <w:sz w:val="24"/>
          <w:szCs w:val="24"/>
        </w:rPr>
        <w:t xml:space="preserve">providers </w:t>
      </w:r>
      <w:r w:rsidRPr="3E1795EE">
        <w:rPr>
          <w:rFonts w:ascii="Times New Roman" w:eastAsia="Times New Roman" w:hAnsi="Times New Roman" w:cs="Times New Roman"/>
          <w:sz w:val="24"/>
          <w:szCs w:val="24"/>
        </w:rPr>
        <w:t>complaining about infestations of cockroaches,</w:t>
      </w:r>
      <w:r w:rsidRPr="3E1795EE">
        <w:rPr>
          <w:rStyle w:val="FootnoteReference"/>
          <w:rFonts w:ascii="Times New Roman" w:eastAsia="Times New Roman" w:hAnsi="Times New Roman" w:cs="Times New Roman"/>
          <w:sz w:val="24"/>
          <w:szCs w:val="24"/>
        </w:rPr>
        <w:footnoteReference w:id="32"/>
      </w:r>
      <w:r w:rsidRPr="3E1795EE">
        <w:rPr>
          <w:rFonts w:ascii="Times New Roman" w:eastAsia="Times New Roman" w:hAnsi="Times New Roman" w:cs="Times New Roman"/>
          <w:sz w:val="24"/>
          <w:szCs w:val="24"/>
        </w:rPr>
        <w:t xml:space="preserve"> moldy ceiling tiles,</w:t>
      </w:r>
      <w:r w:rsidRPr="3E1795EE">
        <w:rPr>
          <w:rStyle w:val="FootnoteReference"/>
          <w:rFonts w:ascii="Times New Roman" w:eastAsia="Times New Roman" w:hAnsi="Times New Roman" w:cs="Times New Roman"/>
          <w:sz w:val="24"/>
          <w:szCs w:val="24"/>
        </w:rPr>
        <w:footnoteReference w:id="33"/>
      </w:r>
      <w:r w:rsidRPr="3E1795EE">
        <w:rPr>
          <w:rFonts w:ascii="Times New Roman" w:eastAsia="Times New Roman" w:hAnsi="Times New Roman" w:cs="Times New Roman"/>
          <w:sz w:val="24"/>
          <w:szCs w:val="24"/>
        </w:rPr>
        <w:t xml:space="preserve"> and lack of heat during the coldest months of the year.</w:t>
      </w:r>
      <w:r w:rsidRPr="3E1795EE">
        <w:rPr>
          <w:rStyle w:val="FootnoteReference"/>
          <w:rFonts w:ascii="Times New Roman" w:eastAsia="Times New Roman" w:hAnsi="Times New Roman" w:cs="Times New Roman"/>
          <w:sz w:val="24"/>
          <w:szCs w:val="24"/>
        </w:rPr>
        <w:footnoteReference w:id="34"/>
      </w:r>
    </w:p>
    <w:p w14:paraId="07A80386" w14:textId="77777777" w:rsidR="00D87FB8" w:rsidRDefault="00D87FB8" w:rsidP="003F1F20">
      <w:pPr>
        <w:spacing w:after="0"/>
        <w:ind w:firstLine="720"/>
        <w:rPr>
          <w:rFonts w:ascii="Times New Roman" w:eastAsia="Times New Roman" w:hAnsi="Times New Roman" w:cs="Times New Roman"/>
          <w:sz w:val="24"/>
          <w:szCs w:val="24"/>
        </w:rPr>
      </w:pPr>
      <w:r w:rsidRPr="3E1795EE">
        <w:rPr>
          <w:rFonts w:ascii="Times New Roman" w:eastAsia="Times New Roman" w:hAnsi="Times New Roman" w:cs="Times New Roman"/>
          <w:sz w:val="24"/>
          <w:szCs w:val="24"/>
        </w:rPr>
        <w:t xml:space="preserve">Some of these problems stem from old infrastructure in dire need of renovation. </w:t>
      </w:r>
      <w:r w:rsidRPr="1FCE5CEB">
        <w:rPr>
          <w:rFonts w:ascii="Times New Roman" w:eastAsia="Times New Roman" w:hAnsi="Times New Roman" w:cs="Times New Roman"/>
          <w:sz w:val="24"/>
          <w:szCs w:val="24"/>
        </w:rPr>
        <w:t>One OAC, located on NYCHA property on Staten Island, has been around since the 1970s and needs a new roof, among other renovations.</w:t>
      </w:r>
      <w:r w:rsidRPr="1FCE5CEB">
        <w:rPr>
          <w:rStyle w:val="FootnoteReference"/>
          <w:rFonts w:ascii="Times New Roman" w:eastAsia="Times New Roman" w:hAnsi="Times New Roman" w:cs="Times New Roman"/>
          <w:sz w:val="24"/>
          <w:szCs w:val="24"/>
        </w:rPr>
        <w:footnoteReference w:id="35"/>
      </w:r>
      <w:r w:rsidRPr="3E1795EE">
        <w:rPr>
          <w:rFonts w:ascii="Times New Roman" w:eastAsia="Times New Roman" w:hAnsi="Times New Roman" w:cs="Times New Roman"/>
          <w:sz w:val="24"/>
          <w:szCs w:val="24"/>
        </w:rPr>
        <w:t xml:space="preserve"> Another </w:t>
      </w:r>
      <w:r w:rsidRPr="7F4DC82F">
        <w:rPr>
          <w:rFonts w:ascii="Times New Roman" w:eastAsia="Times New Roman" w:hAnsi="Times New Roman" w:cs="Times New Roman"/>
          <w:sz w:val="24"/>
          <w:szCs w:val="24"/>
        </w:rPr>
        <w:t>OAC on a NYCHA campus in Chelsea, which cooks and serves 42,000 meals a year, has not been renovated since 1965; a</w:t>
      </w:r>
      <w:r w:rsidRPr="3E1795EE">
        <w:rPr>
          <w:rFonts w:ascii="Times New Roman" w:eastAsia="Times New Roman" w:hAnsi="Times New Roman" w:cs="Times New Roman"/>
          <w:sz w:val="24"/>
          <w:szCs w:val="24"/>
        </w:rPr>
        <w:t>ccording to the provider, it needs new bathrooms, new kitchens, and new electrical, heating, and air conditioning systems.</w:t>
      </w:r>
      <w:r w:rsidRPr="1A20D94F">
        <w:rPr>
          <w:rStyle w:val="FootnoteReference"/>
          <w:rFonts w:ascii="Times New Roman" w:eastAsia="Times New Roman" w:hAnsi="Times New Roman" w:cs="Times New Roman"/>
          <w:sz w:val="24"/>
          <w:szCs w:val="24"/>
        </w:rPr>
        <w:footnoteReference w:id="36"/>
      </w:r>
      <w:r w:rsidRPr="1A20D94F">
        <w:rPr>
          <w:rFonts w:ascii="Times New Roman" w:eastAsia="Times New Roman" w:hAnsi="Times New Roman" w:cs="Times New Roman"/>
          <w:sz w:val="24"/>
          <w:szCs w:val="24"/>
        </w:rPr>
        <w:t xml:space="preserve"> </w:t>
      </w:r>
      <w:r w:rsidRPr="6A546933">
        <w:rPr>
          <w:rFonts w:ascii="Times New Roman" w:eastAsia="Times New Roman" w:hAnsi="Times New Roman" w:cs="Times New Roman"/>
          <w:color w:val="000000" w:themeColor="text1"/>
          <w:sz w:val="24"/>
          <w:szCs w:val="24"/>
        </w:rPr>
        <w:t xml:space="preserve">At a hearing before the Committee on Aging in April 2024, DFTA testified that it was actively working to </w:t>
      </w:r>
      <w:r w:rsidRPr="1A20D94F">
        <w:rPr>
          <w:rFonts w:ascii="Times New Roman" w:eastAsia="Times New Roman" w:hAnsi="Times New Roman" w:cs="Times New Roman"/>
          <w:sz w:val="24"/>
          <w:szCs w:val="24"/>
        </w:rPr>
        <w:t>identify capital needs in OAC kitchens and bring those kitchens up to code, but that identifying funding for such work was a significant hurdle.</w:t>
      </w:r>
      <w:r w:rsidRPr="1A20D94F">
        <w:rPr>
          <w:rStyle w:val="FootnoteReference"/>
          <w:rFonts w:ascii="Times New Roman" w:eastAsia="Times New Roman" w:hAnsi="Times New Roman" w:cs="Times New Roman"/>
          <w:sz w:val="24"/>
          <w:szCs w:val="24"/>
        </w:rPr>
        <w:footnoteReference w:id="37"/>
      </w:r>
      <w:r w:rsidRPr="1A20D94F">
        <w:rPr>
          <w:rFonts w:ascii="Times New Roman" w:eastAsia="Times New Roman" w:hAnsi="Times New Roman" w:cs="Times New Roman"/>
          <w:sz w:val="24"/>
          <w:szCs w:val="24"/>
        </w:rPr>
        <w:t xml:space="preserve"> A</w:t>
      </w:r>
      <w:r w:rsidRPr="6A546933">
        <w:rPr>
          <w:rFonts w:ascii="Times New Roman" w:eastAsia="Times New Roman" w:hAnsi="Times New Roman" w:cs="Times New Roman"/>
          <w:color w:val="000000" w:themeColor="text1"/>
          <w:sz w:val="24"/>
          <w:szCs w:val="24"/>
        </w:rPr>
        <w:t>s a result, OAC providers are sometimes tasked with identi</w:t>
      </w:r>
      <w:r w:rsidRPr="1A20D94F">
        <w:rPr>
          <w:rFonts w:ascii="Times New Roman" w:eastAsia="Times New Roman" w:hAnsi="Times New Roman" w:cs="Times New Roman"/>
          <w:sz w:val="24"/>
          <w:szCs w:val="24"/>
        </w:rPr>
        <w:t>fying savings in their own budgets to cover such costs.</w:t>
      </w:r>
    </w:p>
    <w:p w14:paraId="507775E0" w14:textId="672C6869" w:rsidR="00722CA5" w:rsidRPr="00882EFD" w:rsidRDefault="00D87FB8" w:rsidP="003F1F20">
      <w:pPr>
        <w:spacing w:after="0"/>
        <w:ind w:firstLine="720"/>
        <w:rPr>
          <w:rFonts w:ascii="Times New Roman" w:eastAsia="Times New Roman" w:hAnsi="Times New Roman" w:cs="Times New Roman"/>
          <w:sz w:val="24"/>
          <w:szCs w:val="24"/>
        </w:rPr>
      </w:pPr>
      <w:r w:rsidRPr="1A20D94F">
        <w:rPr>
          <w:rFonts w:ascii="Times New Roman" w:eastAsia="Times New Roman" w:hAnsi="Times New Roman" w:cs="Times New Roman"/>
          <w:sz w:val="24"/>
          <w:szCs w:val="24"/>
        </w:rPr>
        <w:t>Other problems are caused or exacerbated by agency delays in making necessary repairs. A 2017 audit by Comptroller Scott Stringer found that many OACs located on NYCHA campuses had safety problems, structural damage, and cleanliness or maintenance issues.</w:t>
      </w:r>
      <w:r w:rsidRPr="1A20D94F">
        <w:rPr>
          <w:rStyle w:val="FootnoteReference"/>
          <w:rFonts w:ascii="Times New Roman" w:eastAsia="Times New Roman" w:hAnsi="Times New Roman" w:cs="Times New Roman"/>
          <w:sz w:val="24"/>
          <w:szCs w:val="24"/>
        </w:rPr>
        <w:footnoteReference w:id="38"/>
      </w:r>
      <w:r w:rsidRPr="1A20D94F">
        <w:rPr>
          <w:rFonts w:ascii="Times New Roman" w:eastAsia="Times New Roman" w:hAnsi="Times New Roman" w:cs="Times New Roman"/>
          <w:sz w:val="24"/>
          <w:szCs w:val="24"/>
        </w:rPr>
        <w:t xml:space="preserve"> For example, one-third of the centers identified as having cleanliness or maintenance issues were located on NYCHA campuses.</w:t>
      </w:r>
      <w:r w:rsidRPr="1A20D94F">
        <w:rPr>
          <w:rStyle w:val="FootnoteReference"/>
          <w:rFonts w:ascii="Times New Roman" w:eastAsia="Times New Roman" w:hAnsi="Times New Roman" w:cs="Times New Roman"/>
          <w:sz w:val="24"/>
          <w:szCs w:val="24"/>
        </w:rPr>
        <w:footnoteReference w:id="39"/>
      </w:r>
      <w:r w:rsidRPr="1A20D94F">
        <w:rPr>
          <w:rFonts w:ascii="Times New Roman" w:eastAsia="Times New Roman" w:hAnsi="Times New Roman" w:cs="Times New Roman"/>
          <w:sz w:val="24"/>
          <w:szCs w:val="24"/>
        </w:rPr>
        <w:t xml:space="preserve"> Providers of OACs on NYCHA campuses reported great difficulty receiving the necessary repairs from NYCHA, some waiting months or even years for issues to be addressed.</w:t>
      </w:r>
      <w:r w:rsidRPr="1A20D94F">
        <w:rPr>
          <w:rStyle w:val="FootnoteReference"/>
          <w:rFonts w:ascii="Times New Roman" w:eastAsia="Times New Roman" w:hAnsi="Times New Roman" w:cs="Times New Roman"/>
          <w:sz w:val="24"/>
          <w:szCs w:val="24"/>
        </w:rPr>
        <w:footnoteReference w:id="40"/>
      </w:r>
      <w:r w:rsidRPr="1A20D94F">
        <w:rPr>
          <w:rFonts w:ascii="Times New Roman" w:eastAsia="Times New Roman" w:hAnsi="Times New Roman" w:cs="Times New Roman"/>
          <w:sz w:val="24"/>
          <w:szCs w:val="24"/>
        </w:rPr>
        <w:t xml:space="preserve"> One OAC in the report waited five years for a cracked window to be fixed.</w:t>
      </w:r>
      <w:r w:rsidRPr="1A20D94F">
        <w:rPr>
          <w:rStyle w:val="FootnoteReference"/>
          <w:rFonts w:ascii="Times New Roman" w:eastAsia="Times New Roman" w:hAnsi="Times New Roman" w:cs="Times New Roman"/>
          <w:sz w:val="24"/>
          <w:szCs w:val="24"/>
        </w:rPr>
        <w:footnoteReference w:id="41"/>
      </w:r>
      <w:r w:rsidRPr="1A20D94F">
        <w:rPr>
          <w:rFonts w:ascii="Times New Roman" w:eastAsia="Times New Roman" w:hAnsi="Times New Roman" w:cs="Times New Roman"/>
          <w:sz w:val="24"/>
          <w:szCs w:val="24"/>
        </w:rPr>
        <w:t xml:space="preserve"> During visual inspections of these sites, the Comptroller’s office observed considerable physical damage and disrepair, including signs of water damage, peeling paint, and cracked plaster on the walls and ceilings.</w:t>
      </w:r>
      <w:r w:rsidRPr="1A20D94F">
        <w:rPr>
          <w:rStyle w:val="FootnoteReference"/>
          <w:rFonts w:ascii="Times New Roman" w:eastAsia="Times New Roman" w:hAnsi="Times New Roman" w:cs="Times New Roman"/>
          <w:sz w:val="24"/>
          <w:szCs w:val="24"/>
        </w:rPr>
        <w:footnoteReference w:id="42"/>
      </w:r>
    </w:p>
    <w:p w14:paraId="71EBA157" w14:textId="6032B328" w:rsidR="41EBB56F" w:rsidRDefault="41EBB56F" w:rsidP="003F1F20">
      <w:pPr>
        <w:spacing w:after="0"/>
        <w:ind w:firstLine="720"/>
        <w:rPr>
          <w:i/>
          <w:iCs/>
          <w:sz w:val="24"/>
          <w:szCs w:val="24"/>
        </w:rPr>
      </w:pPr>
      <w:r w:rsidRPr="1FCE5CEB">
        <w:rPr>
          <w:i/>
          <w:iCs/>
          <w:sz w:val="24"/>
          <w:szCs w:val="24"/>
        </w:rPr>
        <w:t xml:space="preserve">Interagency </w:t>
      </w:r>
      <w:r w:rsidR="0365DB64" w:rsidRPr="1FCE5CEB">
        <w:rPr>
          <w:i/>
          <w:iCs/>
          <w:sz w:val="24"/>
          <w:szCs w:val="24"/>
        </w:rPr>
        <w:t>B</w:t>
      </w:r>
      <w:r w:rsidRPr="1FCE5CEB">
        <w:rPr>
          <w:i/>
          <w:iCs/>
          <w:sz w:val="24"/>
          <w:szCs w:val="24"/>
        </w:rPr>
        <w:t>ureaucracy</w:t>
      </w:r>
    </w:p>
    <w:p w14:paraId="153E12D7" w14:textId="6CFEF959" w:rsidR="2942664C" w:rsidRDefault="00FF5F19" w:rsidP="003F1F20">
      <w:pPr>
        <w:spacing w:after="0"/>
        <w:ind w:firstLine="720"/>
        <w:rPr>
          <w:sz w:val="24"/>
          <w:szCs w:val="24"/>
        </w:rPr>
      </w:pPr>
      <w:r>
        <w:rPr>
          <w:sz w:val="24"/>
          <w:szCs w:val="24"/>
        </w:rPr>
        <w:t>I</w:t>
      </w:r>
      <w:r w:rsidRPr="1A20D94F">
        <w:rPr>
          <w:sz w:val="24"/>
          <w:szCs w:val="24"/>
        </w:rPr>
        <w:t>nteragency bureaucracy</w:t>
      </w:r>
      <w:r>
        <w:rPr>
          <w:sz w:val="24"/>
          <w:szCs w:val="24"/>
        </w:rPr>
        <w:t xml:space="preserve"> often exacerbates</w:t>
      </w:r>
      <w:r w:rsidRPr="1A20D94F">
        <w:rPr>
          <w:sz w:val="24"/>
          <w:szCs w:val="24"/>
        </w:rPr>
        <w:t xml:space="preserve"> </w:t>
      </w:r>
      <w:r>
        <w:rPr>
          <w:sz w:val="24"/>
          <w:szCs w:val="24"/>
        </w:rPr>
        <w:t>e</w:t>
      </w:r>
      <w:r w:rsidR="2942664C" w:rsidRPr="1A20D94F">
        <w:rPr>
          <w:sz w:val="24"/>
          <w:szCs w:val="24"/>
        </w:rPr>
        <w:t xml:space="preserve">xisting </w:t>
      </w:r>
      <w:r w:rsidR="4C43DB17" w:rsidRPr="1A20D94F">
        <w:rPr>
          <w:sz w:val="24"/>
          <w:szCs w:val="24"/>
        </w:rPr>
        <w:t>infrastructural</w:t>
      </w:r>
      <w:r w:rsidR="2809301A" w:rsidRPr="1A20D94F">
        <w:rPr>
          <w:sz w:val="24"/>
          <w:szCs w:val="24"/>
        </w:rPr>
        <w:t xml:space="preserve"> and capital</w:t>
      </w:r>
      <w:r w:rsidR="4C43DB17" w:rsidRPr="1A20D94F">
        <w:rPr>
          <w:sz w:val="24"/>
          <w:szCs w:val="24"/>
        </w:rPr>
        <w:t xml:space="preserve"> defici</w:t>
      </w:r>
      <w:r w:rsidR="45334318" w:rsidRPr="1A20D94F">
        <w:rPr>
          <w:sz w:val="24"/>
          <w:szCs w:val="24"/>
        </w:rPr>
        <w:t xml:space="preserve">encies </w:t>
      </w:r>
      <w:r w:rsidR="1D553273" w:rsidRPr="1A20D94F">
        <w:rPr>
          <w:sz w:val="24"/>
          <w:szCs w:val="24"/>
        </w:rPr>
        <w:t>at OACs</w:t>
      </w:r>
      <w:r w:rsidR="45334318" w:rsidRPr="1A20D94F">
        <w:rPr>
          <w:sz w:val="24"/>
          <w:szCs w:val="24"/>
        </w:rPr>
        <w:t>. While DFTA overs</w:t>
      </w:r>
      <w:r w:rsidR="2B7D1817" w:rsidRPr="1A20D94F">
        <w:rPr>
          <w:sz w:val="24"/>
          <w:szCs w:val="24"/>
        </w:rPr>
        <w:t>ees all OACs, NYCHA does play a role in maintaining the 108 centers on its campuses</w:t>
      </w:r>
      <w:r w:rsidR="572A3CF6" w:rsidRPr="1A20D94F">
        <w:rPr>
          <w:sz w:val="24"/>
          <w:szCs w:val="24"/>
        </w:rPr>
        <w:t xml:space="preserve">, although the extent of that role is often unclear. </w:t>
      </w:r>
      <w:r w:rsidR="320953BE" w:rsidRPr="1A20D94F">
        <w:rPr>
          <w:sz w:val="24"/>
          <w:szCs w:val="24"/>
        </w:rPr>
        <w:t>At hearings before the Committee on Aging</w:t>
      </w:r>
      <w:r w:rsidR="64EF81F6" w:rsidRPr="1A20D94F">
        <w:rPr>
          <w:sz w:val="24"/>
          <w:szCs w:val="24"/>
        </w:rPr>
        <w:t xml:space="preserve"> and the Committee on Public Housing</w:t>
      </w:r>
      <w:r w:rsidR="320953BE" w:rsidRPr="1A20D94F">
        <w:rPr>
          <w:sz w:val="24"/>
          <w:szCs w:val="24"/>
        </w:rPr>
        <w:t xml:space="preserve">, </w:t>
      </w:r>
      <w:r w:rsidR="775696E0" w:rsidRPr="1A20D94F">
        <w:rPr>
          <w:sz w:val="24"/>
          <w:szCs w:val="24"/>
        </w:rPr>
        <w:t>DFTA has testified that NYCHA is responsible for “everything inside the wall or above the ceiling”</w:t>
      </w:r>
      <w:r w:rsidR="2942664C" w:rsidRPr="1A20D94F">
        <w:rPr>
          <w:rStyle w:val="FootnoteReference"/>
          <w:sz w:val="24"/>
          <w:szCs w:val="24"/>
        </w:rPr>
        <w:footnoteReference w:id="43"/>
      </w:r>
      <w:r w:rsidR="775696E0" w:rsidRPr="1A20D94F">
        <w:rPr>
          <w:sz w:val="24"/>
          <w:szCs w:val="24"/>
        </w:rPr>
        <w:t xml:space="preserve">—that is, </w:t>
      </w:r>
      <w:r w:rsidR="0FB5DFE4" w:rsidRPr="1A20D94F">
        <w:rPr>
          <w:sz w:val="24"/>
          <w:szCs w:val="24"/>
        </w:rPr>
        <w:t>repairs and maintenance to the facility envelope and building system</w:t>
      </w:r>
      <w:r w:rsidR="107649B1" w:rsidRPr="1A20D94F">
        <w:rPr>
          <w:sz w:val="24"/>
          <w:szCs w:val="24"/>
        </w:rPr>
        <w:t>s</w:t>
      </w:r>
      <w:r w:rsidR="58DDBB15" w:rsidRPr="1A20D94F">
        <w:rPr>
          <w:sz w:val="24"/>
          <w:szCs w:val="24"/>
        </w:rPr>
        <w:t xml:space="preserve">, </w:t>
      </w:r>
      <w:r w:rsidR="0FB5DFE4" w:rsidRPr="1A20D94F">
        <w:rPr>
          <w:sz w:val="24"/>
          <w:szCs w:val="24"/>
        </w:rPr>
        <w:t>including any roof leaks, sewage back-ups, and heating problems.</w:t>
      </w:r>
      <w:r w:rsidR="2942664C" w:rsidRPr="1A20D94F">
        <w:rPr>
          <w:rStyle w:val="FootnoteReference"/>
          <w:sz w:val="24"/>
          <w:szCs w:val="24"/>
        </w:rPr>
        <w:footnoteReference w:id="44"/>
      </w:r>
      <w:r w:rsidR="56BEAD86" w:rsidRPr="1A20D94F">
        <w:rPr>
          <w:sz w:val="24"/>
          <w:szCs w:val="24"/>
        </w:rPr>
        <w:t xml:space="preserve"> DFTA and the OAC providers handle maintenance and minor repairs inside the program space.</w:t>
      </w:r>
      <w:r w:rsidR="2942664C" w:rsidRPr="1A20D94F">
        <w:rPr>
          <w:rStyle w:val="FootnoteReference"/>
          <w:sz w:val="24"/>
          <w:szCs w:val="24"/>
        </w:rPr>
        <w:footnoteReference w:id="45"/>
      </w:r>
      <w:r w:rsidR="2C941A98" w:rsidRPr="1A20D94F">
        <w:rPr>
          <w:sz w:val="24"/>
          <w:szCs w:val="24"/>
        </w:rPr>
        <w:t xml:space="preserve"> When OAC providers identify a need for external repairs, they submit tickets to NYCHA</w:t>
      </w:r>
      <w:r w:rsidR="0862F080" w:rsidRPr="1A20D94F">
        <w:rPr>
          <w:sz w:val="24"/>
          <w:szCs w:val="24"/>
        </w:rPr>
        <w:t xml:space="preserve"> for resolution</w:t>
      </w:r>
      <w:r w:rsidR="2C941A98" w:rsidRPr="1A20D94F">
        <w:rPr>
          <w:sz w:val="24"/>
          <w:szCs w:val="24"/>
        </w:rPr>
        <w:t>.</w:t>
      </w:r>
      <w:r w:rsidR="2942664C" w:rsidRPr="1A20D94F">
        <w:rPr>
          <w:rStyle w:val="FootnoteReference"/>
          <w:sz w:val="24"/>
          <w:szCs w:val="24"/>
        </w:rPr>
        <w:footnoteReference w:id="46"/>
      </w:r>
      <w:r w:rsidR="34D4400C" w:rsidRPr="1A20D94F">
        <w:rPr>
          <w:sz w:val="24"/>
          <w:szCs w:val="24"/>
        </w:rPr>
        <w:t xml:space="preserve"> </w:t>
      </w:r>
      <w:r w:rsidR="18B94ED0" w:rsidRPr="1A20D94F">
        <w:rPr>
          <w:sz w:val="24"/>
          <w:szCs w:val="24"/>
        </w:rPr>
        <w:t>DFTA has testified that it follows up on the status of each ticket to ensure that it is fulfilled, in addition to meeting biweekly with NYCHA to discuss and prioritize complaints relating to OACs.</w:t>
      </w:r>
      <w:r w:rsidR="2942664C" w:rsidRPr="1A20D94F">
        <w:rPr>
          <w:rStyle w:val="FootnoteReference"/>
          <w:sz w:val="24"/>
          <w:szCs w:val="24"/>
        </w:rPr>
        <w:footnoteReference w:id="47"/>
      </w:r>
      <w:r w:rsidR="520C4C8C" w:rsidRPr="1A20D94F">
        <w:rPr>
          <w:sz w:val="24"/>
          <w:szCs w:val="24"/>
        </w:rPr>
        <w:t xml:space="preserve"> Since 2021, this process has been facilitated by designated liaisons </w:t>
      </w:r>
      <w:r w:rsidR="64C94F80" w:rsidRPr="1A20D94F">
        <w:rPr>
          <w:sz w:val="24"/>
          <w:szCs w:val="24"/>
        </w:rPr>
        <w:t>tasked with processing and escalating complaints about OACs on NYCHA campuses.</w:t>
      </w:r>
      <w:r w:rsidR="2942664C" w:rsidRPr="1A20D94F">
        <w:rPr>
          <w:rStyle w:val="FootnoteReference"/>
          <w:sz w:val="24"/>
          <w:szCs w:val="24"/>
        </w:rPr>
        <w:footnoteReference w:id="48"/>
      </w:r>
    </w:p>
    <w:p w14:paraId="2E06B271" w14:textId="617577E6" w:rsidR="2D0D680A" w:rsidRDefault="3EBD52F2">
      <w:pPr>
        <w:spacing w:after="0"/>
        <w:ind w:firstLine="720"/>
        <w:rPr>
          <w:sz w:val="24"/>
          <w:szCs w:val="24"/>
        </w:rPr>
      </w:pPr>
      <w:r w:rsidRPr="6A7E1946">
        <w:rPr>
          <w:sz w:val="24"/>
          <w:szCs w:val="24"/>
        </w:rPr>
        <w:t>However</w:t>
      </w:r>
      <w:r w:rsidR="2D0D680A" w:rsidRPr="1A20D94F">
        <w:rPr>
          <w:sz w:val="24"/>
          <w:szCs w:val="24"/>
        </w:rPr>
        <w:t>, t</w:t>
      </w:r>
      <w:r w:rsidR="19EFD5FF" w:rsidRPr="1A20D94F">
        <w:rPr>
          <w:sz w:val="24"/>
          <w:szCs w:val="24"/>
        </w:rPr>
        <w:t xml:space="preserve">he </w:t>
      </w:r>
      <w:r w:rsidR="2D0D680A" w:rsidRPr="1A20D94F">
        <w:rPr>
          <w:sz w:val="24"/>
          <w:szCs w:val="24"/>
        </w:rPr>
        <w:t xml:space="preserve">delineation of responsibility </w:t>
      </w:r>
      <w:r w:rsidR="55C7528C" w:rsidRPr="1A20D94F">
        <w:rPr>
          <w:sz w:val="24"/>
          <w:szCs w:val="24"/>
        </w:rPr>
        <w:t xml:space="preserve">between the two agencies </w:t>
      </w:r>
      <w:r w:rsidR="2D0D680A" w:rsidRPr="1A20D94F">
        <w:rPr>
          <w:sz w:val="24"/>
          <w:szCs w:val="24"/>
        </w:rPr>
        <w:t>is not always</w:t>
      </w:r>
      <w:r w:rsidR="2E886DB7" w:rsidRPr="1A20D94F">
        <w:rPr>
          <w:sz w:val="24"/>
          <w:szCs w:val="24"/>
        </w:rPr>
        <w:t xml:space="preserve"> </w:t>
      </w:r>
      <w:r w:rsidR="2D0D680A" w:rsidRPr="1A20D94F">
        <w:rPr>
          <w:sz w:val="24"/>
          <w:szCs w:val="24"/>
        </w:rPr>
        <w:t>clear</w:t>
      </w:r>
      <w:r w:rsidR="794E6E37" w:rsidRPr="1A20D94F">
        <w:rPr>
          <w:sz w:val="24"/>
          <w:szCs w:val="24"/>
        </w:rPr>
        <w:t xml:space="preserve"> in practice</w:t>
      </w:r>
      <w:r w:rsidR="5275D7DE" w:rsidRPr="1A20D94F">
        <w:rPr>
          <w:sz w:val="24"/>
          <w:szCs w:val="24"/>
        </w:rPr>
        <w:t xml:space="preserve">. </w:t>
      </w:r>
      <w:r w:rsidR="4CC94379" w:rsidRPr="1A20D94F">
        <w:rPr>
          <w:sz w:val="24"/>
          <w:szCs w:val="24"/>
        </w:rPr>
        <w:t xml:space="preserve">Repair needs </w:t>
      </w:r>
      <w:r w:rsidR="2D0D680A" w:rsidRPr="1A20D94F">
        <w:rPr>
          <w:sz w:val="24"/>
          <w:szCs w:val="24"/>
        </w:rPr>
        <w:t>in t</w:t>
      </w:r>
      <w:r w:rsidR="6674A12D" w:rsidRPr="1A20D94F">
        <w:rPr>
          <w:sz w:val="24"/>
          <w:szCs w:val="24"/>
        </w:rPr>
        <w:t xml:space="preserve">he interior of a building </w:t>
      </w:r>
      <w:r w:rsidR="55BC3DFD" w:rsidRPr="1A20D94F">
        <w:rPr>
          <w:sz w:val="24"/>
          <w:szCs w:val="24"/>
        </w:rPr>
        <w:t xml:space="preserve">can be manifestations of underlying exterior issues, such as </w:t>
      </w:r>
      <w:r w:rsidR="00258757" w:rsidRPr="1A20D94F">
        <w:rPr>
          <w:sz w:val="24"/>
          <w:szCs w:val="24"/>
        </w:rPr>
        <w:t>deteriorating facades or roofs</w:t>
      </w:r>
      <w:r w:rsidR="3F758B5F" w:rsidRPr="1A20D94F">
        <w:rPr>
          <w:sz w:val="24"/>
          <w:szCs w:val="24"/>
        </w:rPr>
        <w:t xml:space="preserve">, and this ambiguity can result in </w:t>
      </w:r>
      <w:r w:rsidR="388D0F43" w:rsidRPr="1A20D94F">
        <w:rPr>
          <w:sz w:val="24"/>
          <w:szCs w:val="24"/>
        </w:rPr>
        <w:t>work orders being delayed or overlooked</w:t>
      </w:r>
      <w:r w:rsidR="3F758B5F" w:rsidRPr="1A20D94F">
        <w:rPr>
          <w:sz w:val="24"/>
          <w:szCs w:val="24"/>
        </w:rPr>
        <w:t xml:space="preserve">. </w:t>
      </w:r>
      <w:r w:rsidR="74635276" w:rsidRPr="1A20D94F">
        <w:rPr>
          <w:sz w:val="24"/>
          <w:szCs w:val="24"/>
        </w:rPr>
        <w:t xml:space="preserve">In one instance shared by an OAC provider in </w:t>
      </w:r>
      <w:r w:rsidR="4A2C3DCF" w:rsidRPr="1A20D94F">
        <w:rPr>
          <w:sz w:val="24"/>
          <w:szCs w:val="24"/>
        </w:rPr>
        <w:t xml:space="preserve">Flushing, </w:t>
      </w:r>
      <w:r w:rsidR="74635276" w:rsidRPr="1A20D94F">
        <w:rPr>
          <w:sz w:val="24"/>
          <w:szCs w:val="24"/>
        </w:rPr>
        <w:t xml:space="preserve">Queens, DFTA and NYCHA failed </w:t>
      </w:r>
      <w:r w:rsidR="07639D77" w:rsidRPr="1A20D94F">
        <w:rPr>
          <w:sz w:val="24"/>
          <w:szCs w:val="24"/>
        </w:rPr>
        <w:t xml:space="preserve">for months </w:t>
      </w:r>
      <w:r w:rsidR="74635276" w:rsidRPr="1A20D94F">
        <w:rPr>
          <w:sz w:val="24"/>
          <w:szCs w:val="24"/>
        </w:rPr>
        <w:t xml:space="preserve">to agree on which agency was responsible for </w:t>
      </w:r>
      <w:r w:rsidR="7610865E" w:rsidRPr="1A20D94F">
        <w:rPr>
          <w:sz w:val="24"/>
          <w:szCs w:val="24"/>
        </w:rPr>
        <w:t>fixing a gym’s leaking roof</w:t>
      </w:r>
      <w:r w:rsidR="74635276" w:rsidRPr="1A20D94F">
        <w:rPr>
          <w:sz w:val="24"/>
          <w:szCs w:val="24"/>
        </w:rPr>
        <w:t xml:space="preserve">, </w:t>
      </w:r>
      <w:r w:rsidR="5900BD94" w:rsidRPr="1A20D94F">
        <w:rPr>
          <w:sz w:val="24"/>
          <w:szCs w:val="24"/>
        </w:rPr>
        <w:t>leaving the space unusable by community members in the meantime</w:t>
      </w:r>
      <w:r w:rsidR="7CE881DD" w:rsidRPr="1A20D94F">
        <w:rPr>
          <w:sz w:val="24"/>
          <w:szCs w:val="24"/>
        </w:rPr>
        <w:t>.</w:t>
      </w:r>
      <w:r w:rsidR="2D0D680A" w:rsidRPr="1A20D94F">
        <w:rPr>
          <w:rStyle w:val="FootnoteReference"/>
          <w:sz w:val="24"/>
          <w:szCs w:val="24"/>
        </w:rPr>
        <w:footnoteReference w:id="49"/>
      </w:r>
      <w:r w:rsidR="40CE5024" w:rsidRPr="1A20D94F">
        <w:rPr>
          <w:sz w:val="24"/>
          <w:szCs w:val="24"/>
        </w:rPr>
        <w:t xml:space="preserve"> There ha</w:t>
      </w:r>
      <w:r w:rsidR="357FA491" w:rsidRPr="1A20D94F">
        <w:rPr>
          <w:sz w:val="24"/>
          <w:szCs w:val="24"/>
        </w:rPr>
        <w:t xml:space="preserve">ve been several other complaints from OAC providers that NYCHA </w:t>
      </w:r>
      <w:r w:rsidR="5093757B" w:rsidRPr="1A20D94F">
        <w:rPr>
          <w:sz w:val="24"/>
          <w:szCs w:val="24"/>
        </w:rPr>
        <w:t xml:space="preserve">prematurely closes tickets or otherwise </w:t>
      </w:r>
      <w:r w:rsidR="357FA491" w:rsidRPr="1A20D94F">
        <w:rPr>
          <w:sz w:val="24"/>
          <w:szCs w:val="24"/>
        </w:rPr>
        <w:t>fails to timely address them,</w:t>
      </w:r>
      <w:r w:rsidR="2D0D680A" w:rsidRPr="1FCE5CEB">
        <w:rPr>
          <w:rStyle w:val="FootnoteReference"/>
          <w:sz w:val="24"/>
          <w:szCs w:val="24"/>
        </w:rPr>
        <w:footnoteReference w:id="50"/>
      </w:r>
      <w:r w:rsidR="63B2E994" w:rsidRPr="1A20D94F">
        <w:rPr>
          <w:sz w:val="24"/>
          <w:szCs w:val="24"/>
        </w:rPr>
        <w:t xml:space="preserve"> </w:t>
      </w:r>
      <w:r w:rsidR="5DEDE48A" w:rsidRPr="1A20D94F">
        <w:rPr>
          <w:sz w:val="24"/>
          <w:szCs w:val="24"/>
        </w:rPr>
        <w:t xml:space="preserve">a problem made worse by NYCHA’s </w:t>
      </w:r>
      <w:r w:rsidR="5DEDE48A" w:rsidRPr="1FCE5CEB">
        <w:rPr>
          <w:sz w:val="24"/>
          <w:szCs w:val="24"/>
        </w:rPr>
        <w:t>rules prohibiting providers from making repairs on their own.</w:t>
      </w:r>
      <w:r w:rsidR="2D0D680A" w:rsidRPr="1FCE5CEB">
        <w:rPr>
          <w:rStyle w:val="FootnoteReference"/>
          <w:sz w:val="24"/>
          <w:szCs w:val="24"/>
        </w:rPr>
        <w:footnoteReference w:id="51"/>
      </w:r>
      <w:r w:rsidR="5DEDE48A" w:rsidRPr="1FCE5CEB">
        <w:rPr>
          <w:sz w:val="24"/>
          <w:szCs w:val="24"/>
        </w:rPr>
        <w:t xml:space="preserve"> </w:t>
      </w:r>
      <w:r w:rsidR="63B2E994" w:rsidRPr="1A20D94F">
        <w:rPr>
          <w:sz w:val="24"/>
          <w:szCs w:val="24"/>
        </w:rPr>
        <w:t>Confusion about who is responsible for a given repair has also resulted in some OAC providers being cited and fined for persisting violations, even where the providers have already reported the issues to NYCHA.</w:t>
      </w:r>
      <w:r w:rsidR="2D0D680A" w:rsidRPr="1A20D94F">
        <w:rPr>
          <w:rStyle w:val="FootnoteReference"/>
          <w:sz w:val="24"/>
          <w:szCs w:val="24"/>
        </w:rPr>
        <w:footnoteReference w:id="52"/>
      </w:r>
      <w:r w:rsidR="00837A9C">
        <w:t xml:space="preserve"> </w:t>
      </w:r>
      <w:r w:rsidR="2BE81913" w:rsidRPr="1A20D94F">
        <w:rPr>
          <w:sz w:val="24"/>
          <w:szCs w:val="24"/>
        </w:rPr>
        <w:t>Much of this bureaucracy could be streamlined, or at least clarified, by a Memorandum of Understanding (MO</w:t>
      </w:r>
      <w:r w:rsidR="1CB89845" w:rsidRPr="1A20D94F">
        <w:rPr>
          <w:sz w:val="24"/>
          <w:szCs w:val="24"/>
        </w:rPr>
        <w:t>U</w:t>
      </w:r>
      <w:r w:rsidR="2BE81913" w:rsidRPr="1A20D94F">
        <w:rPr>
          <w:sz w:val="24"/>
          <w:szCs w:val="24"/>
        </w:rPr>
        <w:t xml:space="preserve">) between DFTA and NYCHA. </w:t>
      </w:r>
      <w:r w:rsidR="215D084E" w:rsidRPr="1A20D94F">
        <w:rPr>
          <w:sz w:val="24"/>
          <w:szCs w:val="24"/>
        </w:rPr>
        <w:t>W</w:t>
      </w:r>
      <w:r w:rsidR="16AEE36D" w:rsidRPr="1A20D94F">
        <w:rPr>
          <w:sz w:val="24"/>
          <w:szCs w:val="24"/>
        </w:rPr>
        <w:t xml:space="preserve">hile non-binding, </w:t>
      </w:r>
      <w:r w:rsidR="5263C87A" w:rsidRPr="1A20D94F">
        <w:rPr>
          <w:sz w:val="24"/>
          <w:szCs w:val="24"/>
        </w:rPr>
        <w:t>an MO</w:t>
      </w:r>
      <w:r w:rsidR="00722CA5">
        <w:rPr>
          <w:sz w:val="24"/>
          <w:szCs w:val="24"/>
        </w:rPr>
        <w:t>U</w:t>
      </w:r>
      <w:r w:rsidR="5263C87A" w:rsidRPr="1A20D94F">
        <w:rPr>
          <w:sz w:val="24"/>
          <w:szCs w:val="24"/>
        </w:rPr>
        <w:t xml:space="preserve"> </w:t>
      </w:r>
      <w:r w:rsidR="16AEE36D" w:rsidRPr="1A20D94F">
        <w:rPr>
          <w:sz w:val="24"/>
          <w:szCs w:val="24"/>
        </w:rPr>
        <w:t>would</w:t>
      </w:r>
      <w:r w:rsidR="5AA1BC9A" w:rsidRPr="1A20D94F">
        <w:rPr>
          <w:sz w:val="24"/>
          <w:szCs w:val="24"/>
        </w:rPr>
        <w:t xml:space="preserve"> </w:t>
      </w:r>
      <w:r w:rsidR="1BBEF152" w:rsidRPr="1A20D94F">
        <w:rPr>
          <w:sz w:val="24"/>
          <w:szCs w:val="24"/>
        </w:rPr>
        <w:t xml:space="preserve">represent a formal agreement </w:t>
      </w:r>
      <w:r w:rsidR="2D60D79F" w:rsidRPr="1FCE5CEB">
        <w:rPr>
          <w:sz w:val="24"/>
          <w:szCs w:val="24"/>
        </w:rPr>
        <w:t xml:space="preserve">setting forth the specific obligations of each agency, </w:t>
      </w:r>
      <w:r w:rsidR="2B88B832" w:rsidRPr="1A20D94F">
        <w:rPr>
          <w:sz w:val="24"/>
          <w:szCs w:val="24"/>
        </w:rPr>
        <w:t xml:space="preserve">providing clarity and transparency </w:t>
      </w:r>
      <w:r w:rsidR="5AA1BC9A" w:rsidRPr="1A20D94F">
        <w:rPr>
          <w:sz w:val="24"/>
          <w:szCs w:val="24"/>
        </w:rPr>
        <w:t>to OAC providers, older adults who use OACs,</w:t>
      </w:r>
      <w:r w:rsidR="07AD84B8" w:rsidRPr="1A20D94F">
        <w:rPr>
          <w:sz w:val="24"/>
          <w:szCs w:val="24"/>
        </w:rPr>
        <w:t xml:space="preserve"> and other stakeholders</w:t>
      </w:r>
      <w:r w:rsidR="53438949" w:rsidRPr="1A20D94F">
        <w:rPr>
          <w:sz w:val="24"/>
          <w:szCs w:val="24"/>
        </w:rPr>
        <w:t xml:space="preserve">. </w:t>
      </w:r>
      <w:r w:rsidR="3E20300E" w:rsidRPr="1A20D94F">
        <w:rPr>
          <w:sz w:val="24"/>
          <w:szCs w:val="24"/>
        </w:rPr>
        <w:t xml:space="preserve">DFTA and NYCHA have not had an MOU </w:t>
      </w:r>
      <w:r w:rsidR="72F5000A" w:rsidRPr="1A20D94F">
        <w:rPr>
          <w:sz w:val="24"/>
          <w:szCs w:val="24"/>
        </w:rPr>
        <w:t>since July 2008.</w:t>
      </w:r>
      <w:r w:rsidR="2D0D680A" w:rsidRPr="1FCE5CEB">
        <w:rPr>
          <w:rStyle w:val="FootnoteReference"/>
          <w:sz w:val="24"/>
          <w:szCs w:val="24"/>
        </w:rPr>
        <w:footnoteReference w:id="53"/>
      </w:r>
      <w:r w:rsidR="72F5000A" w:rsidRPr="1A20D94F">
        <w:rPr>
          <w:sz w:val="24"/>
          <w:szCs w:val="24"/>
        </w:rPr>
        <w:t xml:space="preserve"> </w:t>
      </w:r>
      <w:r w:rsidR="7E8824F9" w:rsidRPr="1A20D94F">
        <w:rPr>
          <w:sz w:val="24"/>
          <w:szCs w:val="24"/>
        </w:rPr>
        <w:t xml:space="preserve">According to DFTA, </w:t>
      </w:r>
      <w:r w:rsidR="2BE81913" w:rsidRPr="1A20D94F">
        <w:rPr>
          <w:sz w:val="24"/>
          <w:szCs w:val="24"/>
        </w:rPr>
        <w:t>a</w:t>
      </w:r>
      <w:r w:rsidR="1A00ED4F" w:rsidRPr="1A20D94F">
        <w:rPr>
          <w:sz w:val="24"/>
          <w:szCs w:val="24"/>
        </w:rPr>
        <w:t xml:space="preserve"> new</w:t>
      </w:r>
      <w:r w:rsidR="2BE81913" w:rsidRPr="1A20D94F">
        <w:rPr>
          <w:sz w:val="24"/>
          <w:szCs w:val="24"/>
        </w:rPr>
        <w:t xml:space="preserve"> MO</w:t>
      </w:r>
      <w:r w:rsidR="1A6EDE1E" w:rsidRPr="1A20D94F">
        <w:rPr>
          <w:sz w:val="24"/>
          <w:szCs w:val="24"/>
        </w:rPr>
        <w:t>U</w:t>
      </w:r>
      <w:r w:rsidR="2BE81913" w:rsidRPr="1A20D94F">
        <w:rPr>
          <w:sz w:val="24"/>
          <w:szCs w:val="24"/>
        </w:rPr>
        <w:t xml:space="preserve"> </w:t>
      </w:r>
      <w:r w:rsidR="34D51209" w:rsidRPr="1A20D94F">
        <w:rPr>
          <w:sz w:val="24"/>
          <w:szCs w:val="24"/>
        </w:rPr>
        <w:t>between</w:t>
      </w:r>
      <w:r w:rsidR="6BC297ED" w:rsidRPr="1A20D94F">
        <w:rPr>
          <w:sz w:val="24"/>
          <w:szCs w:val="24"/>
        </w:rPr>
        <w:t xml:space="preserve"> DFTA and NYCHA</w:t>
      </w:r>
      <w:r w:rsidR="34D51209" w:rsidRPr="1A20D94F">
        <w:rPr>
          <w:sz w:val="24"/>
          <w:szCs w:val="24"/>
        </w:rPr>
        <w:t xml:space="preserve"> h</w:t>
      </w:r>
      <w:r w:rsidR="2BE81913" w:rsidRPr="1A20D94F">
        <w:rPr>
          <w:sz w:val="24"/>
          <w:szCs w:val="24"/>
        </w:rPr>
        <w:t xml:space="preserve">as been </w:t>
      </w:r>
      <w:r w:rsidR="66F03992" w:rsidRPr="1A20D94F">
        <w:rPr>
          <w:sz w:val="24"/>
          <w:szCs w:val="24"/>
        </w:rPr>
        <w:t>“in process”</w:t>
      </w:r>
      <w:r w:rsidR="2BE81913" w:rsidRPr="1A20D94F">
        <w:rPr>
          <w:sz w:val="24"/>
          <w:szCs w:val="24"/>
        </w:rPr>
        <w:t xml:space="preserve"> </w:t>
      </w:r>
      <w:r w:rsidR="21DA8237" w:rsidRPr="1A20D94F">
        <w:rPr>
          <w:sz w:val="24"/>
          <w:szCs w:val="24"/>
        </w:rPr>
        <w:t>since</w:t>
      </w:r>
      <w:r w:rsidR="31C0ED99" w:rsidRPr="1A20D94F">
        <w:rPr>
          <w:sz w:val="24"/>
          <w:szCs w:val="24"/>
        </w:rPr>
        <w:t xml:space="preserve"> </w:t>
      </w:r>
      <w:r w:rsidR="47349F7F" w:rsidRPr="1A20D94F">
        <w:rPr>
          <w:sz w:val="24"/>
          <w:szCs w:val="24"/>
        </w:rPr>
        <w:t>around 2013</w:t>
      </w:r>
      <w:r w:rsidR="31C0ED99" w:rsidRPr="1A20D94F">
        <w:rPr>
          <w:sz w:val="24"/>
          <w:szCs w:val="24"/>
        </w:rPr>
        <w:t xml:space="preserve">, when NYCHA </w:t>
      </w:r>
      <w:r w:rsidR="22A98D0F" w:rsidRPr="1A20D94F">
        <w:rPr>
          <w:sz w:val="24"/>
          <w:szCs w:val="24"/>
        </w:rPr>
        <w:t>began to t</w:t>
      </w:r>
      <w:r w:rsidR="31C0ED99" w:rsidRPr="1A20D94F">
        <w:rPr>
          <w:sz w:val="24"/>
          <w:szCs w:val="24"/>
        </w:rPr>
        <w:t>ransfer control of its older adult centers to DFTA</w:t>
      </w:r>
      <w:r w:rsidR="21DA8237" w:rsidRPr="1A20D94F">
        <w:rPr>
          <w:sz w:val="24"/>
          <w:szCs w:val="24"/>
        </w:rPr>
        <w:t>.</w:t>
      </w:r>
      <w:r w:rsidR="2D0D680A" w:rsidRPr="1A20D94F">
        <w:rPr>
          <w:rStyle w:val="FootnoteReference"/>
          <w:sz w:val="24"/>
          <w:szCs w:val="24"/>
        </w:rPr>
        <w:footnoteReference w:id="54"/>
      </w:r>
      <w:r w:rsidR="43EAD3A0" w:rsidRPr="1A20D94F">
        <w:rPr>
          <w:sz w:val="24"/>
          <w:szCs w:val="24"/>
        </w:rPr>
        <w:t xml:space="preserve"> </w:t>
      </w:r>
      <w:r w:rsidR="3F8A23AE" w:rsidRPr="1A20D94F">
        <w:rPr>
          <w:sz w:val="24"/>
          <w:szCs w:val="24"/>
        </w:rPr>
        <w:t xml:space="preserve">At a </w:t>
      </w:r>
      <w:r w:rsidR="6FF573CE" w:rsidRPr="1A20D94F">
        <w:rPr>
          <w:sz w:val="24"/>
          <w:szCs w:val="24"/>
        </w:rPr>
        <w:t xml:space="preserve">joint </w:t>
      </w:r>
      <w:r w:rsidR="3F8A23AE" w:rsidRPr="1A20D94F">
        <w:rPr>
          <w:sz w:val="24"/>
          <w:szCs w:val="24"/>
        </w:rPr>
        <w:t>hearing before the Committee on Aging</w:t>
      </w:r>
      <w:r w:rsidR="66ED0F8C" w:rsidRPr="1A20D94F">
        <w:rPr>
          <w:sz w:val="24"/>
          <w:szCs w:val="24"/>
        </w:rPr>
        <w:t xml:space="preserve"> and Committee on Public Housing</w:t>
      </w:r>
      <w:r w:rsidR="3F8A23AE" w:rsidRPr="1A20D94F">
        <w:rPr>
          <w:sz w:val="24"/>
          <w:szCs w:val="24"/>
        </w:rPr>
        <w:t xml:space="preserve"> in </w:t>
      </w:r>
      <w:r w:rsidR="2AD7CC70" w:rsidRPr="1A20D94F">
        <w:rPr>
          <w:sz w:val="24"/>
          <w:szCs w:val="24"/>
        </w:rPr>
        <w:t xml:space="preserve">April </w:t>
      </w:r>
      <w:r w:rsidR="3F8A23AE" w:rsidRPr="1A20D94F">
        <w:rPr>
          <w:sz w:val="24"/>
          <w:szCs w:val="24"/>
        </w:rPr>
        <w:t>2021, DFTA testified that the agencies were</w:t>
      </w:r>
      <w:r w:rsidR="5E93D8C2" w:rsidRPr="1A20D94F">
        <w:rPr>
          <w:sz w:val="24"/>
          <w:szCs w:val="24"/>
        </w:rPr>
        <w:t xml:space="preserve"> “</w:t>
      </w:r>
      <w:r w:rsidR="3F8A23AE" w:rsidRPr="1A20D94F">
        <w:rPr>
          <w:sz w:val="24"/>
          <w:szCs w:val="24"/>
        </w:rPr>
        <w:t>well positioned” to finalize the MOU</w:t>
      </w:r>
      <w:r w:rsidR="14C4DD06" w:rsidRPr="1A20D94F">
        <w:rPr>
          <w:sz w:val="24"/>
          <w:szCs w:val="24"/>
        </w:rPr>
        <w:t xml:space="preserve"> at that time, since </w:t>
      </w:r>
      <w:r w:rsidR="4FC768FF" w:rsidRPr="1A20D94F">
        <w:rPr>
          <w:sz w:val="24"/>
          <w:szCs w:val="24"/>
        </w:rPr>
        <w:t>a major sticking point in negotiations—obtaining funding for repairs—had been resolved by DFTA’s receipt of $4 million in baseline funding for repairs</w:t>
      </w:r>
      <w:r w:rsidR="14C4DD06" w:rsidRPr="1A20D94F">
        <w:rPr>
          <w:sz w:val="24"/>
          <w:szCs w:val="24"/>
        </w:rPr>
        <w:t>.</w:t>
      </w:r>
      <w:r w:rsidR="2D0D680A" w:rsidRPr="1A20D94F">
        <w:rPr>
          <w:rStyle w:val="FootnoteReference"/>
          <w:sz w:val="24"/>
          <w:szCs w:val="24"/>
        </w:rPr>
        <w:footnoteReference w:id="55"/>
      </w:r>
      <w:r w:rsidR="5E5B791C" w:rsidRPr="1A20D94F">
        <w:rPr>
          <w:sz w:val="24"/>
          <w:szCs w:val="24"/>
        </w:rPr>
        <w:t xml:space="preserve"> Since then, however, Committee Staff have not been made aware of any progress on the MOU.</w:t>
      </w:r>
    </w:p>
    <w:p w14:paraId="72858F3D" w14:textId="458901D1" w:rsidR="00837A9C" w:rsidRDefault="00837A9C">
      <w:pPr>
        <w:spacing w:after="0"/>
        <w:ind w:firstLine="720"/>
        <w:rPr>
          <w:sz w:val="24"/>
          <w:szCs w:val="24"/>
        </w:rPr>
      </w:pPr>
    </w:p>
    <w:p w14:paraId="3417937B" w14:textId="77777777" w:rsidR="00837A9C" w:rsidRDefault="00837A9C">
      <w:pPr>
        <w:spacing w:after="0"/>
        <w:ind w:firstLine="720"/>
        <w:rPr>
          <w:sz w:val="24"/>
          <w:szCs w:val="24"/>
        </w:rPr>
      </w:pPr>
    </w:p>
    <w:p w14:paraId="013E9DDD" w14:textId="6A53EA1B" w:rsidR="2AE4B42B" w:rsidRDefault="2AE4B42B" w:rsidP="003F1F20">
      <w:pPr>
        <w:spacing w:after="0"/>
        <w:ind w:firstLine="720"/>
        <w:rPr>
          <w:i/>
          <w:iCs/>
          <w:sz w:val="24"/>
          <w:szCs w:val="24"/>
        </w:rPr>
      </w:pPr>
      <w:r w:rsidRPr="3E1795EE">
        <w:rPr>
          <w:i/>
          <w:iCs/>
          <w:sz w:val="24"/>
          <w:szCs w:val="24"/>
        </w:rPr>
        <w:t xml:space="preserve">RAD/PACT </w:t>
      </w:r>
      <w:r w:rsidR="00DB39AD">
        <w:rPr>
          <w:i/>
          <w:iCs/>
          <w:sz w:val="24"/>
          <w:szCs w:val="24"/>
        </w:rPr>
        <w:t>C</w:t>
      </w:r>
      <w:r w:rsidRPr="3E1795EE">
        <w:rPr>
          <w:i/>
          <w:iCs/>
          <w:sz w:val="24"/>
          <w:szCs w:val="24"/>
        </w:rPr>
        <w:t>oncerns</w:t>
      </w:r>
    </w:p>
    <w:p w14:paraId="77980CF9" w14:textId="432B41A8" w:rsidR="00DB39AD" w:rsidRPr="00EE35FD" w:rsidRDefault="00DB39AD" w:rsidP="003F1F20">
      <w:pPr>
        <w:ind w:firstLine="720"/>
        <w:contextualSpacing/>
        <w:rPr>
          <w:sz w:val="24"/>
          <w:szCs w:val="24"/>
        </w:rPr>
      </w:pPr>
      <w:r w:rsidRPr="00EE35FD">
        <w:rPr>
          <w:sz w:val="24"/>
          <w:szCs w:val="24"/>
        </w:rPr>
        <w:t>Rental Assistance Demonstration (“RAD”) is a federal program created in 2011 that converts Section 9 public housing into Project-Based Section 8 housing, allowing private developers to take over management of existing buildings, and consequently, gain access to funding that is normally not available under the Section 9 program.</w:t>
      </w:r>
      <w:r w:rsidRPr="00EE35FD">
        <w:rPr>
          <w:rStyle w:val="FootnoteReference"/>
          <w:sz w:val="24"/>
          <w:szCs w:val="24"/>
        </w:rPr>
        <w:footnoteReference w:id="56"/>
      </w:r>
      <w:r w:rsidRPr="00EE35FD">
        <w:rPr>
          <w:sz w:val="24"/>
          <w:szCs w:val="24"/>
        </w:rPr>
        <w:t xml:space="preserve"> The Permanent Affordability Commitment Together (“PACT”) program was started in 2015 under NYCHA as the local iteration of the RAD program, commencing with the conversion of the Ocean Bay (Bayside) Apartments in Queens.</w:t>
      </w:r>
      <w:r w:rsidRPr="00EE35FD">
        <w:rPr>
          <w:rStyle w:val="FootnoteReference"/>
          <w:sz w:val="24"/>
          <w:szCs w:val="24"/>
        </w:rPr>
        <w:footnoteReference w:id="57"/>
      </w:r>
      <w:r w:rsidRPr="00EE35FD">
        <w:rPr>
          <w:sz w:val="24"/>
          <w:szCs w:val="24"/>
        </w:rPr>
        <w:t xml:space="preserve"> According to NYCHA’s website on January, 23, 2025, there are presently 139 developments in the PACT program that are </w:t>
      </w:r>
      <w:r w:rsidR="007C6966">
        <w:rPr>
          <w:sz w:val="24"/>
          <w:szCs w:val="24"/>
        </w:rPr>
        <w:t>in</w:t>
      </w:r>
      <w:r w:rsidRPr="00EE35FD">
        <w:rPr>
          <w:sz w:val="24"/>
          <w:szCs w:val="24"/>
        </w:rPr>
        <w:t xml:space="preserve"> “Planning and Resident Engagement” or “Construction in Progress or Complete” statuses.</w:t>
      </w:r>
      <w:r w:rsidRPr="00EE35FD">
        <w:rPr>
          <w:rStyle w:val="FootnoteReference"/>
          <w:sz w:val="24"/>
          <w:szCs w:val="24"/>
        </w:rPr>
        <w:footnoteReference w:id="58"/>
      </w:r>
      <w:r w:rsidRPr="00EE35FD">
        <w:rPr>
          <w:sz w:val="24"/>
          <w:szCs w:val="24"/>
        </w:rPr>
        <w:t xml:space="preserve"> NYCHA has also announced in a December, 2024 press release that they are on track to have 62,000 apartments in the PACT program, with 38,000 apartments already included, echoing an agency goal to have 62,000 apartments converted to PACT by 2028.</w:t>
      </w:r>
      <w:r w:rsidRPr="00EE35FD">
        <w:rPr>
          <w:rStyle w:val="FootnoteReference"/>
          <w:sz w:val="24"/>
          <w:szCs w:val="24"/>
        </w:rPr>
        <w:footnoteReference w:id="59"/>
      </w:r>
      <w:r w:rsidRPr="00EE35FD">
        <w:rPr>
          <w:sz w:val="24"/>
          <w:szCs w:val="24"/>
        </w:rPr>
        <w:t xml:space="preserve"> However, the transition process of converting NYCHA’s Section 9 developments into PACT developments has seen a litany of reported concerns from NYCHA residents and tenant advocates. These concerns have included unclear communication from NYCHA and private developers on PACT conversion details;</w:t>
      </w:r>
      <w:r w:rsidRPr="00EE35FD">
        <w:rPr>
          <w:rStyle w:val="FootnoteReference"/>
          <w:sz w:val="24"/>
          <w:szCs w:val="24"/>
        </w:rPr>
        <w:footnoteReference w:id="60"/>
      </w:r>
      <w:r w:rsidRPr="00EE35FD">
        <w:rPr>
          <w:sz w:val="24"/>
          <w:szCs w:val="24"/>
        </w:rPr>
        <w:t xml:space="preserve"> the continued experience of poor living conditions like adverse heat, hot water, and mold conditions, even after converting to private management;</w:t>
      </w:r>
      <w:r w:rsidRPr="00EE35FD">
        <w:rPr>
          <w:rStyle w:val="FootnoteReference"/>
          <w:sz w:val="24"/>
          <w:szCs w:val="24"/>
        </w:rPr>
        <w:footnoteReference w:id="61"/>
      </w:r>
      <w:r w:rsidRPr="00EE35FD">
        <w:rPr>
          <w:sz w:val="24"/>
          <w:szCs w:val="24"/>
        </w:rPr>
        <w:t xml:space="preserve"> disruptive contractor practices and low-quality or unfinished repairs;</w:t>
      </w:r>
      <w:r w:rsidRPr="00EE35FD">
        <w:rPr>
          <w:rStyle w:val="FootnoteReference"/>
          <w:sz w:val="24"/>
          <w:szCs w:val="24"/>
        </w:rPr>
        <w:footnoteReference w:id="62"/>
      </w:r>
      <w:r w:rsidRPr="00EE35FD">
        <w:rPr>
          <w:sz w:val="24"/>
          <w:szCs w:val="24"/>
        </w:rPr>
        <w:t xml:space="preserve"> an absence of effective work order tracking where NYCHA does not maintain a record of work orders once a development has been converted;</w:t>
      </w:r>
      <w:r w:rsidRPr="00EE35FD">
        <w:rPr>
          <w:rStyle w:val="FootnoteReference"/>
          <w:sz w:val="24"/>
          <w:szCs w:val="24"/>
        </w:rPr>
        <w:footnoteReference w:id="63"/>
      </w:r>
      <w:r w:rsidRPr="00EE35FD">
        <w:rPr>
          <w:sz w:val="24"/>
          <w:szCs w:val="24"/>
        </w:rPr>
        <w:t xml:space="preserve">  and minimal NYCHA oversight of private management operations.</w:t>
      </w:r>
      <w:r w:rsidRPr="00EE35FD">
        <w:rPr>
          <w:rStyle w:val="FootnoteReference"/>
          <w:sz w:val="24"/>
          <w:szCs w:val="24"/>
        </w:rPr>
        <w:footnoteReference w:id="64"/>
      </w:r>
    </w:p>
    <w:p w14:paraId="51EF7349" w14:textId="0A178172" w:rsidR="00E71AE5" w:rsidRDefault="00DB39AD" w:rsidP="00837A9C">
      <w:pPr>
        <w:ind w:firstLine="720"/>
        <w:contextualSpacing/>
        <w:rPr>
          <w:sz w:val="24"/>
          <w:szCs w:val="24"/>
        </w:rPr>
      </w:pPr>
      <w:r w:rsidRPr="00EE35FD">
        <w:rPr>
          <w:sz w:val="24"/>
          <w:szCs w:val="24"/>
        </w:rPr>
        <w:t xml:space="preserve">Another concern has been how PACT properties would experience increased rates of eviction under private management, a concern that was corroborated by the </w:t>
      </w:r>
      <w:r w:rsidR="00912624">
        <w:rPr>
          <w:sz w:val="24"/>
          <w:szCs w:val="24"/>
        </w:rPr>
        <w:t xml:space="preserve">NYC </w:t>
      </w:r>
      <w:r w:rsidRPr="00EE35FD">
        <w:rPr>
          <w:sz w:val="24"/>
          <w:szCs w:val="24"/>
        </w:rPr>
        <w:t>Comptroller in an audit released in December 2024.</w:t>
      </w:r>
      <w:r w:rsidRPr="00EE35FD">
        <w:rPr>
          <w:rStyle w:val="FootnoteReference"/>
          <w:sz w:val="24"/>
          <w:szCs w:val="24"/>
        </w:rPr>
        <w:footnoteReference w:id="65"/>
      </w:r>
      <w:r w:rsidRPr="00EE35FD">
        <w:rPr>
          <w:sz w:val="24"/>
          <w:szCs w:val="24"/>
        </w:rPr>
        <w:t xml:space="preserve"> Crucially, the audit found that in addition to higher eviction rates, PACT property managers did not perform adequate outreach to residents at risk of eviction and did not report all eviction and pre-eviction activity.</w:t>
      </w:r>
      <w:r w:rsidRPr="00EE35FD">
        <w:rPr>
          <w:rStyle w:val="FootnoteReference"/>
          <w:sz w:val="24"/>
          <w:szCs w:val="24"/>
        </w:rPr>
        <w:footnoteReference w:id="66"/>
      </w:r>
      <w:r w:rsidRPr="00EE35FD">
        <w:rPr>
          <w:sz w:val="24"/>
          <w:szCs w:val="24"/>
        </w:rPr>
        <w:t xml:space="preserve"> The audit also found that NYCHA asset managers did not adequately review reports that were submitted to ensure accuracy, thus becoming unable to verify whether PACT property managers sufficiently conducted outreach efforts.</w:t>
      </w:r>
      <w:r w:rsidRPr="00EE35FD">
        <w:rPr>
          <w:rStyle w:val="FootnoteReference"/>
          <w:sz w:val="24"/>
          <w:szCs w:val="24"/>
        </w:rPr>
        <w:footnoteReference w:id="67"/>
      </w:r>
      <w:r w:rsidRPr="00EE35FD">
        <w:rPr>
          <w:sz w:val="24"/>
          <w:szCs w:val="24"/>
        </w:rPr>
        <w:t xml:space="preserve"> Further, NYCHA apparently did not ensure that PACT property managers developed standard operating procedures around pre-eviction outreach, eviction filings and notices, and evictions, with the audit specifically mentioning that NYCHA did not set parameters for non-payment thresholds to initiate formal rent demands, thereby resulting in considerably variable practices between PACT property managers.</w:t>
      </w:r>
      <w:r w:rsidRPr="00EE35FD">
        <w:rPr>
          <w:rStyle w:val="FootnoteReference"/>
          <w:sz w:val="24"/>
          <w:szCs w:val="24"/>
        </w:rPr>
        <w:footnoteReference w:id="68"/>
      </w:r>
    </w:p>
    <w:p w14:paraId="4C6E8F5E" w14:textId="72BCD976" w:rsidR="4C639606" w:rsidRDefault="4C639606" w:rsidP="00837A9C">
      <w:pPr>
        <w:spacing w:after="0"/>
        <w:ind w:firstLine="720"/>
        <w:rPr>
          <w:i/>
          <w:iCs/>
          <w:sz w:val="24"/>
          <w:szCs w:val="24"/>
        </w:rPr>
      </w:pPr>
      <w:r w:rsidRPr="3E1795EE">
        <w:rPr>
          <w:i/>
          <w:iCs/>
          <w:sz w:val="24"/>
          <w:szCs w:val="24"/>
        </w:rPr>
        <w:t xml:space="preserve">Engagement and </w:t>
      </w:r>
      <w:r w:rsidR="009C40FE">
        <w:rPr>
          <w:i/>
          <w:iCs/>
          <w:sz w:val="24"/>
          <w:szCs w:val="24"/>
        </w:rPr>
        <w:t>T</w:t>
      </w:r>
      <w:r w:rsidRPr="3E1795EE">
        <w:rPr>
          <w:i/>
          <w:iCs/>
          <w:sz w:val="24"/>
          <w:szCs w:val="24"/>
        </w:rPr>
        <w:t>ransparency</w:t>
      </w:r>
    </w:p>
    <w:p w14:paraId="450B188C" w14:textId="02B19EFC" w:rsidR="007161DF" w:rsidRPr="00EE35FD" w:rsidRDefault="007161DF" w:rsidP="003F1F20">
      <w:pPr>
        <w:ind w:firstLine="720"/>
        <w:contextualSpacing/>
        <w:rPr>
          <w:sz w:val="24"/>
          <w:szCs w:val="24"/>
        </w:rPr>
      </w:pPr>
      <w:r w:rsidRPr="00EE35FD">
        <w:rPr>
          <w:sz w:val="24"/>
          <w:szCs w:val="24"/>
        </w:rPr>
        <w:t>NYCHA has a history of engagement and transparency concerns</w:t>
      </w:r>
      <w:r w:rsidRPr="00EE35FD">
        <w:rPr>
          <w:rStyle w:val="FootnoteReference"/>
          <w:sz w:val="24"/>
          <w:szCs w:val="24"/>
        </w:rPr>
        <w:footnoteReference w:id="69"/>
      </w:r>
      <w:r w:rsidRPr="00EE35FD">
        <w:rPr>
          <w:sz w:val="24"/>
          <w:szCs w:val="24"/>
        </w:rPr>
        <w:t xml:space="preserve"> that, for tenants and advocates, </w:t>
      </w:r>
      <w:r w:rsidR="00FF5F19">
        <w:rPr>
          <w:sz w:val="24"/>
          <w:szCs w:val="24"/>
        </w:rPr>
        <w:t>is</w:t>
      </w:r>
      <w:r w:rsidRPr="00EE35FD">
        <w:rPr>
          <w:sz w:val="24"/>
          <w:szCs w:val="24"/>
        </w:rPr>
        <w:t xml:space="preserve"> reflected in the RAD/PACT process. Tenants and advocates have emphasized that they see distinct problems with the process that determines whether their development would undergo PACT conversion.</w:t>
      </w:r>
      <w:r w:rsidRPr="00EE35FD">
        <w:rPr>
          <w:rStyle w:val="FootnoteReference"/>
          <w:sz w:val="24"/>
          <w:szCs w:val="24"/>
        </w:rPr>
        <w:footnoteReference w:id="70"/>
      </w:r>
      <w:r w:rsidRPr="00EE35FD">
        <w:rPr>
          <w:sz w:val="24"/>
          <w:szCs w:val="24"/>
        </w:rPr>
        <w:t xml:space="preserve"> Some tenants shared that they did not have an option to decide whether their development would undergo PACT conversion, and at a May 2022 NYC Council </w:t>
      </w:r>
      <w:r w:rsidR="003F1F20">
        <w:rPr>
          <w:sz w:val="24"/>
          <w:szCs w:val="24"/>
        </w:rPr>
        <w:t xml:space="preserve">Committee on Public Housing </w:t>
      </w:r>
      <w:r w:rsidRPr="00EE35FD">
        <w:rPr>
          <w:sz w:val="24"/>
          <w:szCs w:val="24"/>
        </w:rPr>
        <w:t>Oversight hearing, NYCHA leadership clarified that the federal law creating RAD does not require a resident vote to begin the conversion process, although they claimed to take resident feedback into account when selecting a development for PACT conversion.</w:t>
      </w:r>
      <w:r w:rsidRPr="00EE35FD">
        <w:rPr>
          <w:rStyle w:val="FootnoteReference"/>
          <w:sz w:val="24"/>
          <w:szCs w:val="24"/>
        </w:rPr>
        <w:footnoteReference w:id="71"/>
      </w:r>
      <w:r w:rsidRPr="00EE35FD">
        <w:rPr>
          <w:sz w:val="24"/>
          <w:szCs w:val="24"/>
        </w:rPr>
        <w:t xml:space="preserve"> Tenants also testified that the voting processes that have taken place suffered from misleading language from private developers on what the options would entail for their apartments, poor engagement from NYCHA officials, and a low threshold of 20 percent of Heads of Household to certify a vote determining a development’s future.</w:t>
      </w:r>
      <w:r w:rsidRPr="00EE35FD">
        <w:rPr>
          <w:rStyle w:val="FootnoteReference"/>
          <w:sz w:val="24"/>
          <w:szCs w:val="24"/>
        </w:rPr>
        <w:footnoteReference w:id="72"/>
      </w:r>
      <w:r w:rsidRPr="00EE35FD">
        <w:rPr>
          <w:sz w:val="24"/>
          <w:szCs w:val="24"/>
        </w:rPr>
        <w:t xml:space="preserve"> </w:t>
      </w:r>
    </w:p>
    <w:p w14:paraId="75A6C79E" w14:textId="1A9BE242" w:rsidR="48B21F7E" w:rsidRDefault="007161DF" w:rsidP="003F1F20">
      <w:pPr>
        <w:spacing w:after="0"/>
        <w:ind w:firstLine="720"/>
        <w:contextualSpacing/>
        <w:rPr>
          <w:sz w:val="24"/>
          <w:szCs w:val="24"/>
        </w:rPr>
      </w:pPr>
      <w:r w:rsidRPr="00EE35FD">
        <w:rPr>
          <w:sz w:val="24"/>
          <w:szCs w:val="24"/>
        </w:rPr>
        <w:t>NYCHA has made efforts as part of their federal monitorship to improve on their transparency and engagement issues, such as creating a Resident Roundtable and a NYCHA Capital Tracker.</w:t>
      </w:r>
      <w:r w:rsidRPr="00EE35FD">
        <w:rPr>
          <w:rStyle w:val="FootnoteReference"/>
          <w:sz w:val="24"/>
          <w:szCs w:val="24"/>
        </w:rPr>
        <w:footnoteReference w:id="73"/>
      </w:r>
      <w:r w:rsidRPr="00EE35FD">
        <w:rPr>
          <w:sz w:val="24"/>
          <w:szCs w:val="24"/>
        </w:rPr>
        <w:t xml:space="preserve"> However, the NYCHA Monitor’s most recent quarterly report, released in December 2024, has shared that NYCHA continues to struggle to respond to resident complaints and that NYCHA has agreed that it needs to increase its frequency and modes of contact to allow for more back-and-forth communication with tenants.</w:t>
      </w:r>
      <w:r w:rsidRPr="00EE35FD">
        <w:rPr>
          <w:rStyle w:val="FootnoteReference"/>
          <w:sz w:val="24"/>
          <w:szCs w:val="24"/>
        </w:rPr>
        <w:footnoteReference w:id="74"/>
      </w:r>
      <w:r w:rsidRPr="00EE35FD">
        <w:rPr>
          <w:sz w:val="24"/>
          <w:szCs w:val="24"/>
        </w:rPr>
        <w:t xml:space="preserve"> The report also mentioned a continued struggle with NYCHA workers continually missing repair appointments, repair wait times, and failure to communicate with tenants around work order details.</w:t>
      </w:r>
      <w:r w:rsidRPr="00EE35FD">
        <w:rPr>
          <w:rStyle w:val="FootnoteReference"/>
          <w:sz w:val="24"/>
          <w:szCs w:val="24"/>
        </w:rPr>
        <w:footnoteReference w:id="75"/>
      </w:r>
      <w:r w:rsidRPr="00EE35FD">
        <w:rPr>
          <w:sz w:val="24"/>
          <w:szCs w:val="24"/>
        </w:rPr>
        <w:t xml:space="preserve"> Further, NYCHA tenants and advocates have emphasized the need to have more standardized engagement procedures within NYCHA’s outreach efforts, and shared frustrations around lacking insight into NYCHA’s decision-making processes, such as for contractor selection.</w:t>
      </w:r>
      <w:r w:rsidRPr="00EE35FD">
        <w:rPr>
          <w:rStyle w:val="FootnoteReference"/>
          <w:sz w:val="24"/>
          <w:szCs w:val="24"/>
        </w:rPr>
        <w:footnoteReference w:id="76"/>
      </w:r>
    </w:p>
    <w:p w14:paraId="0394273F" w14:textId="3314222A" w:rsidR="00623ABE" w:rsidRPr="00DC3EFA" w:rsidRDefault="00425441" w:rsidP="003F1F20">
      <w:pPr>
        <w:pStyle w:val="ListParagraph"/>
        <w:numPr>
          <w:ilvl w:val="0"/>
          <w:numId w:val="21"/>
        </w:numPr>
        <w:suppressLineNumbers/>
        <w:spacing w:before="120" w:after="0"/>
        <w:contextualSpacing w:val="0"/>
        <w:rPr>
          <w:rFonts w:cstheme="minorHAnsi"/>
          <w:b/>
          <w:smallCaps/>
          <w:sz w:val="24"/>
          <w:szCs w:val="24"/>
        </w:rPr>
      </w:pPr>
      <w:r w:rsidRPr="00DC3EFA">
        <w:rPr>
          <w:rFonts w:cstheme="minorHAnsi"/>
          <w:b/>
          <w:smallCaps/>
          <w:sz w:val="24"/>
          <w:szCs w:val="24"/>
        </w:rPr>
        <w:t>Conclusion</w:t>
      </w:r>
    </w:p>
    <w:p w14:paraId="2DF7074D" w14:textId="6865597F" w:rsidR="009C4E9E" w:rsidRPr="00DC3EFA" w:rsidRDefault="009A4A2F" w:rsidP="003F1F20">
      <w:pPr>
        <w:spacing w:after="0"/>
        <w:rPr>
          <w:sz w:val="24"/>
          <w:szCs w:val="24"/>
        </w:rPr>
      </w:pPr>
      <w:r w:rsidRPr="00DC3EFA">
        <w:rPr>
          <w:rFonts w:cstheme="minorHAnsi"/>
          <w:sz w:val="24"/>
          <w:szCs w:val="24"/>
        </w:rPr>
        <w:tab/>
      </w:r>
      <w:r w:rsidR="00CF0694" w:rsidRPr="1FCE5CEB">
        <w:rPr>
          <w:sz w:val="24"/>
          <w:szCs w:val="24"/>
        </w:rPr>
        <w:t>At this hearing, the Committees</w:t>
      </w:r>
      <w:r w:rsidR="002E2889" w:rsidRPr="1FCE5CEB">
        <w:rPr>
          <w:sz w:val="24"/>
          <w:szCs w:val="24"/>
        </w:rPr>
        <w:t xml:space="preserve"> </w:t>
      </w:r>
      <w:r w:rsidR="31A2EF84" w:rsidRPr="1FCE5CEB">
        <w:rPr>
          <w:sz w:val="24"/>
          <w:szCs w:val="24"/>
        </w:rPr>
        <w:t>seek</w:t>
      </w:r>
      <w:r w:rsidR="002E2889" w:rsidRPr="1FCE5CEB">
        <w:rPr>
          <w:sz w:val="24"/>
          <w:szCs w:val="24"/>
        </w:rPr>
        <w:t xml:space="preserve"> an overview of OACs at NYCHA facilities. This includes information and data related to the </w:t>
      </w:r>
      <w:r w:rsidR="009301DC" w:rsidRPr="1FCE5CEB">
        <w:rPr>
          <w:sz w:val="24"/>
          <w:szCs w:val="24"/>
        </w:rPr>
        <w:t xml:space="preserve">existence, </w:t>
      </w:r>
      <w:r w:rsidR="002E2040" w:rsidRPr="1FCE5CEB">
        <w:rPr>
          <w:sz w:val="24"/>
          <w:szCs w:val="24"/>
        </w:rPr>
        <w:t xml:space="preserve">utilization, and status of older adult centers located at NYCHA facilities. The Committees are also interested in understanding the collaboration between DFTA and NYCHA to address older adult and OAC needs, as well as any steps the agencies are taking to improve </w:t>
      </w:r>
      <w:r w:rsidR="00912624" w:rsidRPr="1FCE5CEB">
        <w:rPr>
          <w:sz w:val="24"/>
          <w:szCs w:val="24"/>
        </w:rPr>
        <w:t>efficiency</w:t>
      </w:r>
      <w:r w:rsidR="002E2040" w:rsidRPr="1FCE5CEB">
        <w:rPr>
          <w:sz w:val="24"/>
          <w:szCs w:val="24"/>
        </w:rPr>
        <w:t xml:space="preserve"> </w:t>
      </w:r>
      <w:r w:rsidR="46A32EF9" w:rsidRPr="1FCE5CEB">
        <w:rPr>
          <w:sz w:val="24"/>
          <w:szCs w:val="24"/>
        </w:rPr>
        <w:t>regarding</w:t>
      </w:r>
      <w:r w:rsidR="002E2040" w:rsidRPr="1FCE5CEB">
        <w:rPr>
          <w:sz w:val="24"/>
          <w:szCs w:val="24"/>
        </w:rPr>
        <w:t xml:space="preserve"> equipment installation and infrastructure improvements.</w:t>
      </w:r>
    </w:p>
    <w:sectPr w:rsidR="009C4E9E" w:rsidRPr="00DC3EFA" w:rsidSect="00F23602">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1EBEE" w14:textId="77777777" w:rsidR="001425B5" w:rsidRDefault="001425B5">
      <w:pPr>
        <w:spacing w:after="0" w:line="240" w:lineRule="auto"/>
      </w:pPr>
      <w:r>
        <w:separator/>
      </w:r>
    </w:p>
  </w:endnote>
  <w:endnote w:type="continuationSeparator" w:id="0">
    <w:p w14:paraId="735710A9" w14:textId="77777777" w:rsidR="001425B5" w:rsidRDefault="001425B5">
      <w:pPr>
        <w:spacing w:after="0" w:line="240" w:lineRule="auto"/>
      </w:pPr>
      <w:r>
        <w:continuationSeparator/>
      </w:r>
    </w:p>
  </w:endnote>
  <w:endnote w:type="continuationNotice" w:id="1">
    <w:p w14:paraId="6F0910D7" w14:textId="77777777" w:rsidR="001425B5" w:rsidRDefault="001425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12361746"/>
      <w:docPartObj>
        <w:docPartGallery w:val="Page Numbers (Bottom of Page)"/>
        <w:docPartUnique/>
      </w:docPartObj>
    </w:sdtPr>
    <w:sdtEndPr>
      <w:rPr>
        <w:rStyle w:val="PageNumber"/>
      </w:rPr>
    </w:sdtEndPr>
    <w:sdtContent>
      <w:p w14:paraId="6459FDF1" w14:textId="389E9A0B" w:rsidR="00C56B7D" w:rsidRDefault="00C56B7D" w:rsidP="00C56B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6B6FE136" w14:textId="77777777" w:rsidR="00C56B7D" w:rsidRDefault="00C56B7D">
    <w:pPr>
      <w:pStyle w:val="Footer"/>
    </w:pPr>
  </w:p>
  <w:p w14:paraId="584F2FB2" w14:textId="77777777" w:rsidR="00C56B7D" w:rsidRDefault="00C56B7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750756"/>
      <w:docPartObj>
        <w:docPartGallery w:val="Page Numbers (Bottom of Page)"/>
        <w:docPartUnique/>
      </w:docPartObj>
    </w:sdtPr>
    <w:sdtEndPr>
      <w:rPr>
        <w:noProof/>
      </w:rPr>
    </w:sdtEndPr>
    <w:sdtContent>
      <w:p w14:paraId="64F81C42" w14:textId="4053C7FE" w:rsidR="00C56B7D" w:rsidRPr="00F34898" w:rsidRDefault="00EE35FD" w:rsidP="00F34898">
        <w:pPr>
          <w:pStyle w:val="Footer"/>
          <w:jc w:val="center"/>
        </w:pPr>
        <w:r>
          <w:fldChar w:fldCharType="begin"/>
        </w:r>
        <w:r>
          <w:instrText xml:space="preserve"> PAGE   \* MERGEFORMAT </w:instrText>
        </w:r>
        <w:r>
          <w:fldChar w:fldCharType="separate"/>
        </w:r>
        <w:r w:rsidR="00E916B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EAB49" w14:textId="77777777" w:rsidR="001425B5" w:rsidRDefault="001425B5">
      <w:pPr>
        <w:spacing w:after="0" w:line="240" w:lineRule="auto"/>
      </w:pPr>
      <w:r>
        <w:separator/>
      </w:r>
    </w:p>
  </w:footnote>
  <w:footnote w:type="continuationSeparator" w:id="0">
    <w:p w14:paraId="0DF79200" w14:textId="77777777" w:rsidR="001425B5" w:rsidRDefault="001425B5">
      <w:pPr>
        <w:spacing w:after="0" w:line="240" w:lineRule="auto"/>
      </w:pPr>
      <w:r>
        <w:continuationSeparator/>
      </w:r>
    </w:p>
  </w:footnote>
  <w:footnote w:type="continuationNotice" w:id="1">
    <w:p w14:paraId="7F14D07F" w14:textId="77777777" w:rsidR="001425B5" w:rsidRDefault="001425B5">
      <w:pPr>
        <w:spacing w:after="0" w:line="240" w:lineRule="auto"/>
      </w:pPr>
    </w:p>
  </w:footnote>
  <w:footnote w:id="2">
    <w:p w14:paraId="0B91B44D" w14:textId="3DAED8BF" w:rsidR="00430A08" w:rsidRPr="003F1F20" w:rsidRDefault="00430A08">
      <w:pPr>
        <w:pStyle w:val="FootnoteText"/>
        <w:rPr>
          <w:rFonts w:cstheme="minorHAnsi"/>
        </w:rPr>
      </w:pPr>
      <w:r w:rsidRPr="003F1F20">
        <w:rPr>
          <w:rStyle w:val="FootnoteReference"/>
          <w:rFonts w:cstheme="minorHAnsi"/>
        </w:rPr>
        <w:footnoteRef/>
      </w:r>
      <w:r w:rsidRPr="003F1F20">
        <w:rPr>
          <w:rFonts w:cstheme="minorHAnsi"/>
        </w:rPr>
        <w:t xml:space="preserve"> </w:t>
      </w:r>
      <w:r w:rsidR="00CF41D7" w:rsidRPr="003F1F20">
        <w:rPr>
          <w:rFonts w:cstheme="minorHAnsi"/>
        </w:rPr>
        <w:t>42 U.S.C. Chapter 35</w:t>
      </w:r>
      <w:r w:rsidR="003F1F20" w:rsidRPr="003F1F20">
        <w:rPr>
          <w:rFonts w:cstheme="minorHAnsi"/>
        </w:rPr>
        <w:t>.</w:t>
      </w:r>
    </w:p>
  </w:footnote>
  <w:footnote w:id="3">
    <w:p w14:paraId="1CFFE7D3" w14:textId="292BF0AE" w:rsidR="00E95240" w:rsidRPr="003F1F20" w:rsidRDefault="00E95240">
      <w:pPr>
        <w:pStyle w:val="FootnoteText"/>
        <w:rPr>
          <w:rFonts w:cstheme="minorHAnsi"/>
        </w:rPr>
      </w:pPr>
      <w:r w:rsidRPr="003F1F20">
        <w:rPr>
          <w:rStyle w:val="FootnoteReference"/>
          <w:rFonts w:cstheme="minorHAnsi"/>
        </w:rPr>
        <w:footnoteRef/>
      </w:r>
      <w:r w:rsidRPr="003F1F20">
        <w:rPr>
          <w:rFonts w:cstheme="minorHAnsi"/>
        </w:rPr>
        <w:t xml:space="preserve"> National Council on Aging, Aging in America: Get the Facts on Senior Centers (Aug. 15, 2024), </w:t>
      </w:r>
      <w:r w:rsidRPr="003F1F20">
        <w:rPr>
          <w:rFonts w:cstheme="minorHAnsi"/>
          <w:i/>
        </w:rPr>
        <w:t xml:space="preserve">accessed at </w:t>
      </w:r>
      <w:hyperlink r:id="rId1" w:history="1">
        <w:r w:rsidRPr="003F1F20">
          <w:rPr>
            <w:rStyle w:val="Hyperlink"/>
            <w:rFonts w:cstheme="minorHAnsi"/>
          </w:rPr>
          <w:t>https://www.ncoa.org/article/get-the-facts-on-senior-centers/</w:t>
        </w:r>
      </w:hyperlink>
      <w:r w:rsidRPr="003F1F20">
        <w:rPr>
          <w:rFonts w:cstheme="minorHAnsi"/>
        </w:rPr>
        <w:t xml:space="preserve">. </w:t>
      </w:r>
    </w:p>
  </w:footnote>
  <w:footnote w:id="4">
    <w:p w14:paraId="1EBA0378" w14:textId="69103BBE" w:rsidR="003D7497" w:rsidRPr="00837A9C" w:rsidRDefault="003D7497">
      <w:pPr>
        <w:pStyle w:val="FootnoteText"/>
        <w:rPr>
          <w:rFonts w:cstheme="minorHAnsi"/>
        </w:rPr>
      </w:pPr>
      <w:r w:rsidRPr="003F1F20">
        <w:rPr>
          <w:rStyle w:val="FootnoteReference"/>
          <w:rFonts w:cstheme="minorHAnsi"/>
        </w:rPr>
        <w:footnoteRef/>
      </w:r>
      <w:r w:rsidRPr="003F1F20">
        <w:rPr>
          <w:rFonts w:cstheme="minorHAnsi"/>
        </w:rPr>
        <w:t xml:space="preserve"> </w:t>
      </w:r>
      <w:r w:rsidR="00837A9C" w:rsidRPr="003F1F20">
        <w:rPr>
          <w:rFonts w:cstheme="minorHAnsi"/>
        </w:rPr>
        <w:t xml:space="preserve">National Council on Aging, Aging in America: Get the Facts on Senior Centers (Aug. 15, 2024), </w:t>
      </w:r>
      <w:r w:rsidR="00837A9C" w:rsidRPr="003F1F20">
        <w:rPr>
          <w:rFonts w:cstheme="minorHAnsi"/>
          <w:i/>
        </w:rPr>
        <w:t xml:space="preserve">accessed at </w:t>
      </w:r>
      <w:hyperlink r:id="rId2" w:history="1">
        <w:r w:rsidR="00837A9C" w:rsidRPr="003F1F20">
          <w:rPr>
            <w:rStyle w:val="Hyperlink"/>
            <w:rFonts w:cstheme="minorHAnsi"/>
          </w:rPr>
          <w:t>https://www.ncoa.org/article/get-the-facts-on-senior-centers/</w:t>
        </w:r>
      </w:hyperlink>
      <w:r w:rsidR="00837A9C" w:rsidRPr="003F1F20">
        <w:rPr>
          <w:rFonts w:cstheme="minorHAnsi"/>
        </w:rPr>
        <w:t>.</w:t>
      </w:r>
    </w:p>
  </w:footnote>
  <w:footnote w:id="5">
    <w:p w14:paraId="3E4C625F" w14:textId="2E86DFE3" w:rsidR="003D7497" w:rsidRPr="003F1F20" w:rsidRDefault="003D7497">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6">
    <w:p w14:paraId="083B64C0" w14:textId="13BB3E67" w:rsidR="00260A87" w:rsidRPr="003F1F20" w:rsidRDefault="00260A87">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7">
    <w:p w14:paraId="2BA67C10" w14:textId="64CBE6B5" w:rsidR="000F236C" w:rsidRPr="003F1F20" w:rsidRDefault="000F236C">
      <w:pPr>
        <w:pStyle w:val="FootnoteText"/>
        <w:rPr>
          <w:rFonts w:cstheme="minorHAnsi"/>
        </w:rPr>
      </w:pPr>
      <w:r w:rsidRPr="003F1F20">
        <w:rPr>
          <w:rStyle w:val="FootnoteReference"/>
          <w:rFonts w:cstheme="minorHAnsi"/>
        </w:rPr>
        <w:footnoteRef/>
      </w:r>
      <w:r w:rsidR="00837A9C">
        <w:rPr>
          <w:rFonts w:cstheme="minorHAnsi"/>
        </w:rPr>
        <w:t xml:space="preserve"> NYC Dep’</w:t>
      </w:r>
      <w:r w:rsidRPr="003F1F20">
        <w:rPr>
          <w:rFonts w:cstheme="minorHAnsi"/>
        </w:rPr>
        <w:t>t for the Aging,</w:t>
      </w:r>
      <w:r w:rsidR="0017670B" w:rsidRPr="003F1F20">
        <w:rPr>
          <w:rFonts w:cstheme="minorHAnsi"/>
        </w:rPr>
        <w:t xml:space="preserve"> Older Adult Centers (n.d.), </w:t>
      </w:r>
      <w:r w:rsidR="0017670B" w:rsidRPr="003F1F20">
        <w:rPr>
          <w:rFonts w:cstheme="minorHAnsi"/>
          <w:i/>
        </w:rPr>
        <w:t xml:space="preserve">accessed at </w:t>
      </w:r>
      <w:hyperlink r:id="rId3" w:history="1">
        <w:r w:rsidR="0017670B" w:rsidRPr="003F1F20">
          <w:rPr>
            <w:rStyle w:val="Hyperlink"/>
            <w:rFonts w:cstheme="minorHAnsi"/>
          </w:rPr>
          <w:t>https://www.nyc.gov/site/dfta/services/older-adult-center.page</w:t>
        </w:r>
      </w:hyperlink>
      <w:r w:rsidR="0017670B" w:rsidRPr="003F1F20">
        <w:rPr>
          <w:rFonts w:cstheme="minorHAnsi"/>
        </w:rPr>
        <w:t xml:space="preserve">. </w:t>
      </w:r>
    </w:p>
  </w:footnote>
  <w:footnote w:id="8">
    <w:p w14:paraId="142810ED" w14:textId="6F355D51" w:rsidR="00617A80" w:rsidRPr="003F1F20" w:rsidRDefault="00617A80">
      <w:pPr>
        <w:pStyle w:val="FootnoteText"/>
        <w:rPr>
          <w:rFonts w:cstheme="minorHAnsi"/>
        </w:rPr>
      </w:pPr>
      <w:r w:rsidRPr="003F1F20">
        <w:rPr>
          <w:rStyle w:val="FootnoteReference"/>
          <w:rFonts w:cstheme="minorHAnsi"/>
        </w:rPr>
        <w:footnoteRef/>
      </w:r>
      <w:r w:rsidRPr="003F1F20">
        <w:rPr>
          <w:rFonts w:cstheme="minorHAnsi"/>
        </w:rPr>
        <w:t xml:space="preserve"> </w:t>
      </w:r>
      <w:r w:rsidR="00414255" w:rsidRPr="003F1F20">
        <w:rPr>
          <w:rFonts w:cstheme="minorHAnsi"/>
          <w:i/>
        </w:rPr>
        <w:t>Id.</w:t>
      </w:r>
    </w:p>
  </w:footnote>
  <w:footnote w:id="9">
    <w:p w14:paraId="3EF0E784" w14:textId="5740761E" w:rsidR="00C22186" w:rsidRPr="003F1F20" w:rsidRDefault="00C22186">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0">
    <w:p w14:paraId="4A33C947" w14:textId="6E33F374" w:rsidR="00373769" w:rsidRPr="003F1F20" w:rsidRDefault="00373769">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1">
    <w:p w14:paraId="4202103A" w14:textId="038F6157" w:rsidR="00AF7538" w:rsidRPr="003F1F20" w:rsidRDefault="00AF7538">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2">
    <w:p w14:paraId="0C238CA5" w14:textId="1229CDAE" w:rsidR="00CE5278" w:rsidRPr="003F1F20" w:rsidRDefault="00CE5278">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3">
    <w:p w14:paraId="05C8FD14" w14:textId="3EFB70F0" w:rsidR="00623AD7" w:rsidRPr="00837A9C" w:rsidRDefault="00623AD7">
      <w:pPr>
        <w:pStyle w:val="FootnoteText"/>
        <w:rPr>
          <w:rFonts w:cstheme="minorHAnsi"/>
        </w:rPr>
      </w:pPr>
      <w:r w:rsidRPr="003F1F20">
        <w:rPr>
          <w:rStyle w:val="FootnoteReference"/>
          <w:rFonts w:cstheme="minorHAnsi"/>
        </w:rPr>
        <w:footnoteRef/>
      </w:r>
      <w:r w:rsidRPr="003F1F20">
        <w:rPr>
          <w:rFonts w:cstheme="minorHAnsi"/>
        </w:rPr>
        <w:t xml:space="preserve"> </w:t>
      </w:r>
      <w:r w:rsidR="00837A9C">
        <w:rPr>
          <w:rFonts w:cstheme="minorHAnsi"/>
        </w:rPr>
        <w:t>NYC Dep’</w:t>
      </w:r>
      <w:r w:rsidR="00837A9C" w:rsidRPr="003F1F20">
        <w:rPr>
          <w:rFonts w:cstheme="minorHAnsi"/>
        </w:rPr>
        <w:t xml:space="preserve">t for the Aging, Older Adult Centers (n.d.), </w:t>
      </w:r>
      <w:r w:rsidR="00837A9C" w:rsidRPr="003F1F20">
        <w:rPr>
          <w:rFonts w:cstheme="minorHAnsi"/>
          <w:i/>
        </w:rPr>
        <w:t xml:space="preserve">accessed at </w:t>
      </w:r>
      <w:hyperlink r:id="rId4" w:history="1">
        <w:r w:rsidR="00837A9C" w:rsidRPr="003F1F20">
          <w:rPr>
            <w:rStyle w:val="Hyperlink"/>
            <w:rFonts w:cstheme="minorHAnsi"/>
          </w:rPr>
          <w:t>https://www.nyc.gov/site/dfta/services/older-adult-center.page</w:t>
        </w:r>
      </w:hyperlink>
      <w:r w:rsidR="00837A9C" w:rsidRPr="003F1F20">
        <w:rPr>
          <w:rFonts w:cstheme="minorHAnsi"/>
        </w:rPr>
        <w:t>.</w:t>
      </w:r>
    </w:p>
  </w:footnote>
  <w:footnote w:id="14">
    <w:p w14:paraId="0FA2701F" w14:textId="0427E912" w:rsidR="00696BC6" w:rsidRPr="00837A9C" w:rsidRDefault="00696BC6">
      <w:pPr>
        <w:pStyle w:val="FootnoteText"/>
        <w:rPr>
          <w:rFonts w:cstheme="minorHAnsi"/>
        </w:rPr>
      </w:pPr>
      <w:r w:rsidRPr="003F1F20">
        <w:rPr>
          <w:rStyle w:val="FootnoteReference"/>
          <w:rFonts w:cstheme="minorHAnsi"/>
        </w:rPr>
        <w:footnoteRef/>
      </w:r>
      <w:r w:rsidRPr="003F1F20">
        <w:rPr>
          <w:rFonts w:cstheme="minorHAnsi"/>
        </w:rPr>
        <w:t xml:space="preserve"> </w:t>
      </w:r>
      <w:r w:rsidR="00837A9C">
        <w:rPr>
          <w:rFonts w:cstheme="minorHAnsi"/>
        </w:rPr>
        <w:t>NYC Dep’</w:t>
      </w:r>
      <w:r w:rsidR="00837A9C" w:rsidRPr="003F1F20">
        <w:rPr>
          <w:rFonts w:cstheme="minorHAnsi"/>
        </w:rPr>
        <w:t xml:space="preserve">t for the Aging, Older Adult Centers (n.d.), </w:t>
      </w:r>
      <w:r w:rsidR="00837A9C" w:rsidRPr="003F1F20">
        <w:rPr>
          <w:rFonts w:cstheme="minorHAnsi"/>
          <w:i/>
        </w:rPr>
        <w:t xml:space="preserve">accessed at </w:t>
      </w:r>
      <w:hyperlink r:id="rId5" w:history="1">
        <w:r w:rsidR="00837A9C" w:rsidRPr="003F1F20">
          <w:rPr>
            <w:rStyle w:val="Hyperlink"/>
            <w:rFonts w:cstheme="minorHAnsi"/>
          </w:rPr>
          <w:t>https://www.nyc.gov/site/dfta/services/older-adult-center.page</w:t>
        </w:r>
      </w:hyperlink>
      <w:r w:rsidR="00837A9C" w:rsidRPr="003F1F20">
        <w:rPr>
          <w:rFonts w:cstheme="minorHAnsi"/>
        </w:rPr>
        <w:t>.</w:t>
      </w:r>
    </w:p>
  </w:footnote>
  <w:footnote w:id="15">
    <w:p w14:paraId="256F8540" w14:textId="154E4B58" w:rsidR="00AB3C66" w:rsidRPr="003F1F20" w:rsidRDefault="00AB3C66">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6">
    <w:p w14:paraId="5C38EF1A" w14:textId="59CD0C23" w:rsidR="0000584C" w:rsidRPr="003F1F20" w:rsidRDefault="0000584C">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7">
    <w:p w14:paraId="72E30440" w14:textId="61CC79E2" w:rsidR="00B37D0D" w:rsidRPr="003F1F20" w:rsidRDefault="00B37D0D">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8">
    <w:p w14:paraId="24025F74" w14:textId="45B63E83" w:rsidR="008A7C42" w:rsidRPr="003F1F20" w:rsidRDefault="008A7C42">
      <w:pPr>
        <w:pStyle w:val="FootnoteText"/>
        <w:rPr>
          <w:rFonts w:cstheme="minorHAnsi"/>
        </w:rPr>
      </w:pPr>
      <w:r w:rsidRPr="003F1F20">
        <w:rPr>
          <w:rStyle w:val="FootnoteReference"/>
          <w:rFonts w:cstheme="minorHAnsi"/>
        </w:rPr>
        <w:footnoteRef/>
      </w:r>
      <w:r w:rsidRPr="003F1F20">
        <w:rPr>
          <w:rFonts w:cstheme="minorHAnsi"/>
        </w:rPr>
        <w:t xml:space="preserve"> </w:t>
      </w:r>
      <w:r w:rsidR="00837A9C">
        <w:rPr>
          <w:rFonts w:cstheme="minorHAnsi"/>
        </w:rPr>
        <w:t>NYC Dep’</w:t>
      </w:r>
      <w:r w:rsidR="00096658" w:rsidRPr="003F1F20">
        <w:rPr>
          <w:rFonts w:cstheme="minorHAnsi"/>
        </w:rPr>
        <w:t xml:space="preserve">t for the Aging, Find Services (n.d.), </w:t>
      </w:r>
      <w:r w:rsidR="00096658" w:rsidRPr="003F1F20">
        <w:rPr>
          <w:rFonts w:cstheme="minorHAnsi"/>
          <w:i/>
        </w:rPr>
        <w:t>accessed at</w:t>
      </w:r>
      <w:r w:rsidR="00096658" w:rsidRPr="003F1F20">
        <w:rPr>
          <w:rFonts w:cstheme="minorHAnsi"/>
        </w:rPr>
        <w:t xml:space="preserve"> </w:t>
      </w:r>
      <w:hyperlink r:id="rId6" w:history="1">
        <w:r w:rsidR="00096658" w:rsidRPr="003F1F20">
          <w:rPr>
            <w:rStyle w:val="Hyperlink"/>
            <w:rFonts w:cstheme="minorHAnsi"/>
          </w:rPr>
          <w:t>https://www.nyc.gov/site/dfta/services/find-help.page</w:t>
        </w:r>
      </w:hyperlink>
      <w:r w:rsidR="00096658" w:rsidRPr="003F1F20">
        <w:rPr>
          <w:rFonts w:cstheme="minorHAnsi"/>
        </w:rPr>
        <w:t xml:space="preserve">. </w:t>
      </w:r>
    </w:p>
  </w:footnote>
  <w:footnote w:id="19">
    <w:p w14:paraId="7212C9E3" w14:textId="08FF75A2" w:rsidR="006B3120" w:rsidRPr="003F1F20" w:rsidRDefault="006B3120">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20">
    <w:p w14:paraId="34D040F6" w14:textId="68A107AB" w:rsidR="003F7343" w:rsidRPr="003F1F20" w:rsidRDefault="003F7343">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21">
    <w:p w14:paraId="3EBF2AA5" w14:textId="2DABD772" w:rsidR="1FCE5CEB" w:rsidRPr="003F1F20" w:rsidRDefault="1FCE5CEB" w:rsidP="1FCE5CEB">
      <w:pPr>
        <w:pStyle w:val="FootnoteText"/>
        <w:rPr>
          <w:rFonts w:eastAsiaTheme="minorEastAsia" w:cstheme="minorHAnsi"/>
        </w:rPr>
      </w:pPr>
      <w:r w:rsidRPr="003F1F20">
        <w:rPr>
          <w:rStyle w:val="FootnoteReference"/>
          <w:rFonts w:eastAsiaTheme="minorEastAsia" w:cstheme="minorHAnsi"/>
        </w:rPr>
        <w:footnoteRef/>
      </w:r>
      <w:r w:rsidRPr="003F1F20">
        <w:rPr>
          <w:rFonts w:eastAsiaTheme="minorEastAsia" w:cstheme="minorHAnsi"/>
        </w:rPr>
        <w:t xml:space="preserve"> </w:t>
      </w:r>
      <w:r w:rsidRPr="003F1F20">
        <w:rPr>
          <w:rFonts w:eastAsiaTheme="minorEastAsia" w:cstheme="minorHAnsi"/>
          <w:i/>
          <w:iCs/>
        </w:rPr>
        <w:t>See</w:t>
      </w:r>
      <w:r w:rsidRPr="003F1F20">
        <w:rPr>
          <w:rFonts w:eastAsiaTheme="minorEastAsia" w:cstheme="minorHAnsi"/>
        </w:rPr>
        <w:t xml:space="preserve"> NYCHA Fact Sheet, last accessed on 11/21/2023, </w:t>
      </w:r>
      <w:r w:rsidRPr="003F1F20">
        <w:rPr>
          <w:rFonts w:eastAsiaTheme="minorEastAsia" w:cstheme="minorHAnsi"/>
          <w:i/>
          <w:iCs/>
        </w:rPr>
        <w:t>available at https://www.nyc.gov/assets/nycha/downloads/pdf/NYCHA-Fact-Sheet-2023.pdf.</w:t>
      </w:r>
    </w:p>
  </w:footnote>
  <w:footnote w:id="22">
    <w:p w14:paraId="7CACA289" w14:textId="77777777" w:rsidR="00686AEC" w:rsidRPr="003F1F20" w:rsidRDefault="00686AEC" w:rsidP="00686AEC">
      <w:pPr>
        <w:pStyle w:val="FootnoteText"/>
        <w:rPr>
          <w:rFonts w:cstheme="minorHAnsi"/>
        </w:rPr>
      </w:pPr>
      <w:r w:rsidRPr="003F1F20">
        <w:rPr>
          <w:rStyle w:val="FootnoteReference"/>
          <w:rFonts w:cstheme="minorHAnsi"/>
        </w:rPr>
        <w:footnoteRef/>
      </w:r>
      <w:r w:rsidRPr="003F1F20">
        <w:rPr>
          <w:rFonts w:cstheme="minorHAnsi"/>
        </w:rPr>
        <w:t xml:space="preserve"> NYC Records &amp; Information Services, Annual Report on Senior Center Metrics per Local Law 140 of 2018 (Jan. 13, 2025), </w:t>
      </w:r>
      <w:r w:rsidRPr="003F1F20">
        <w:rPr>
          <w:rFonts w:cstheme="minorHAnsi"/>
          <w:i/>
        </w:rPr>
        <w:t xml:space="preserve">accessed at </w:t>
      </w:r>
      <w:hyperlink r:id="rId7" w:history="1">
        <w:r w:rsidRPr="003F1F20">
          <w:rPr>
            <w:rStyle w:val="Hyperlink"/>
            <w:rFonts w:cstheme="minorHAnsi"/>
          </w:rPr>
          <w:t>https://a860-gpp.nyc.gov/concern/nyc_government_publications/pz50h078m?locale=en</w:t>
        </w:r>
      </w:hyperlink>
      <w:r w:rsidRPr="003F1F20">
        <w:rPr>
          <w:rFonts w:cstheme="minorHAnsi"/>
        </w:rPr>
        <w:t xml:space="preserve">. </w:t>
      </w:r>
    </w:p>
  </w:footnote>
  <w:footnote w:id="23">
    <w:p w14:paraId="051FE09D" w14:textId="4607195E" w:rsidR="1FCE5CEB" w:rsidRPr="003F1F20" w:rsidRDefault="1FCE5CEB" w:rsidP="1FCE5CEB">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iCs/>
        </w:rPr>
        <w:t>Id.</w:t>
      </w:r>
    </w:p>
  </w:footnote>
  <w:footnote w:id="24">
    <w:p w14:paraId="6B72E7B0" w14:textId="5D571639" w:rsidR="1FCE5CEB" w:rsidRPr="003F1F20" w:rsidRDefault="1FCE5CEB" w:rsidP="1FCE5CEB">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iCs/>
        </w:rPr>
        <w:t>Id.</w:t>
      </w:r>
    </w:p>
  </w:footnote>
  <w:footnote w:id="25">
    <w:p w14:paraId="4B86B396" w14:textId="2692232E" w:rsidR="1FCE5CEB" w:rsidRPr="003F1F20" w:rsidRDefault="1FCE5CEB" w:rsidP="1FCE5CEB">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iCs/>
        </w:rPr>
        <w:t>Id.</w:t>
      </w:r>
    </w:p>
  </w:footnote>
  <w:footnote w:id="26">
    <w:p w14:paraId="5C6BA0B6" w14:textId="47552DA4" w:rsidR="1FCE5CEB" w:rsidRPr="00837A9C" w:rsidRDefault="1FCE5CEB" w:rsidP="1FCE5CEB">
      <w:pPr>
        <w:pStyle w:val="FootnoteText"/>
        <w:rPr>
          <w:rFonts w:cstheme="minorHAnsi"/>
        </w:rPr>
      </w:pPr>
      <w:r w:rsidRPr="003F1F20">
        <w:rPr>
          <w:rStyle w:val="FootnoteReference"/>
          <w:rFonts w:cstheme="minorHAnsi"/>
        </w:rPr>
        <w:footnoteRef/>
      </w:r>
      <w:r w:rsidRPr="003F1F20">
        <w:rPr>
          <w:rFonts w:cstheme="minorHAnsi"/>
        </w:rPr>
        <w:t xml:space="preserve"> </w:t>
      </w:r>
      <w:r w:rsidR="00837A9C" w:rsidRPr="003F1F20">
        <w:rPr>
          <w:rFonts w:cstheme="minorHAnsi"/>
        </w:rPr>
        <w:t xml:space="preserve">NYC Records &amp; Information Services, Annual Report on Senior Center Metrics per Local Law 140 of 2018 (Jan. 13, 2025), </w:t>
      </w:r>
      <w:r w:rsidR="00837A9C" w:rsidRPr="003F1F20">
        <w:rPr>
          <w:rFonts w:cstheme="minorHAnsi"/>
          <w:i/>
        </w:rPr>
        <w:t xml:space="preserve">accessed at </w:t>
      </w:r>
      <w:hyperlink r:id="rId8" w:history="1">
        <w:r w:rsidR="00837A9C" w:rsidRPr="003F1F20">
          <w:rPr>
            <w:rStyle w:val="Hyperlink"/>
            <w:rFonts w:cstheme="minorHAnsi"/>
          </w:rPr>
          <w:t>https://a860-gpp.nyc.gov/concern/nyc_government_publications/pz50h078m?locale=en</w:t>
        </w:r>
      </w:hyperlink>
      <w:r w:rsidR="00837A9C" w:rsidRPr="003F1F20">
        <w:rPr>
          <w:rFonts w:cstheme="minorHAnsi"/>
        </w:rPr>
        <w:t>.</w:t>
      </w:r>
    </w:p>
  </w:footnote>
  <w:footnote w:id="27">
    <w:p w14:paraId="5B610D09" w14:textId="23B113B6" w:rsidR="1FCE5CEB" w:rsidRPr="003F1F20" w:rsidRDefault="1FCE5CEB" w:rsidP="1FCE5CEB">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iCs/>
        </w:rPr>
        <w:t>Id.</w:t>
      </w:r>
    </w:p>
  </w:footnote>
  <w:footnote w:id="28">
    <w:p w14:paraId="1E932A48" w14:textId="77777777" w:rsidR="00D87FB8" w:rsidRPr="003F1F20" w:rsidRDefault="00D87FB8" w:rsidP="00D87FB8">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Lorena Mongelli and Yoav Gonen, “This senior citizen has been waiting 3 years for NYCHA to fix her mold-infested apartment,” The New York Post, Mar. 9, 2018, </w:t>
      </w:r>
      <w:r w:rsidRPr="003F1F20">
        <w:rPr>
          <w:rFonts w:eastAsia="Times New Roman" w:cstheme="minorHAnsi"/>
          <w:i/>
          <w:iCs/>
        </w:rPr>
        <w:t>available at</w:t>
      </w:r>
      <w:r w:rsidRPr="003F1F20">
        <w:rPr>
          <w:rFonts w:eastAsia="Times New Roman" w:cstheme="minorHAnsi"/>
        </w:rPr>
        <w:t xml:space="preserve"> </w:t>
      </w:r>
      <w:hyperlink r:id="rId9">
        <w:r w:rsidRPr="003F1F20">
          <w:rPr>
            <w:rStyle w:val="Hyperlink"/>
            <w:rFonts w:eastAsia="Times New Roman" w:cstheme="minorHAnsi"/>
            <w:color w:val="0000FF"/>
          </w:rPr>
          <w:t>https://nypost.com/2018/03/09/this-senior-citizen-has-been-waiting-3-years-for-nycha-to-fix-her-mold-infested-apartment/</w:t>
        </w:r>
      </w:hyperlink>
      <w:r w:rsidRPr="003F1F20">
        <w:rPr>
          <w:rFonts w:eastAsia="Times New Roman" w:cstheme="minorHAnsi"/>
        </w:rPr>
        <w:t>.</w:t>
      </w:r>
    </w:p>
  </w:footnote>
  <w:footnote w:id="29">
    <w:p w14:paraId="4A7EB437" w14:textId="77777777" w:rsidR="00D87FB8" w:rsidRPr="003F1F20" w:rsidRDefault="00D87FB8" w:rsidP="00D87FB8">
      <w:pPr>
        <w:pStyle w:val="FootnoteText"/>
        <w:rPr>
          <w:rFonts w:cstheme="minorHAnsi"/>
          <w:i/>
          <w:iCs/>
        </w:rPr>
      </w:pPr>
      <w:r w:rsidRPr="003F1F20">
        <w:rPr>
          <w:rStyle w:val="FootnoteReference"/>
          <w:rFonts w:cstheme="minorHAnsi"/>
        </w:rPr>
        <w:footnoteRef/>
      </w:r>
      <w:r w:rsidRPr="003F1F20">
        <w:rPr>
          <w:rFonts w:cstheme="minorHAnsi"/>
        </w:rPr>
        <w:t xml:space="preserve"> </w:t>
      </w:r>
      <w:r w:rsidRPr="003F1F20">
        <w:rPr>
          <w:rFonts w:cstheme="minorHAnsi"/>
          <w:i/>
          <w:iCs/>
        </w:rPr>
        <w:t>Id.</w:t>
      </w:r>
    </w:p>
  </w:footnote>
  <w:footnote w:id="30">
    <w:p w14:paraId="7019755F" w14:textId="77777777" w:rsidR="00D87FB8" w:rsidRPr="003F1F20" w:rsidRDefault="00D87FB8" w:rsidP="00D87FB8">
      <w:pPr>
        <w:pStyle w:val="FootnoteText"/>
        <w:rPr>
          <w:rFonts w:eastAsia="Times New Roman" w:cstheme="minorHAnsi"/>
          <w:i/>
          <w:iCs/>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Erin Durkin and Greg B. Smith, “EXCLUSIVE: NYCHA way behind on wheelchair accessibility 20 years after deal with federal government,” The New York Daily News, Jan. 30, 2017, </w:t>
      </w:r>
      <w:r w:rsidRPr="003F1F20">
        <w:rPr>
          <w:rFonts w:eastAsia="Times New Roman" w:cstheme="minorHAnsi"/>
          <w:i/>
          <w:iCs/>
        </w:rPr>
        <w:t xml:space="preserve">available at </w:t>
      </w:r>
      <w:hyperlink r:id="rId10">
        <w:r w:rsidRPr="003F1F20">
          <w:rPr>
            <w:rStyle w:val="Hyperlink"/>
            <w:rFonts w:eastAsia="Times New Roman" w:cstheme="minorHAnsi"/>
            <w:color w:val="0000FF"/>
          </w:rPr>
          <w:t>https://www.nydailynews.com/new-york/nycha-behind-wheelchair-accessibility-20-years-fed-deal-article-1.2959167</w:t>
        </w:r>
      </w:hyperlink>
      <w:r w:rsidRPr="003F1F20">
        <w:rPr>
          <w:rFonts w:eastAsia="Times New Roman" w:cstheme="minorHAnsi"/>
        </w:rPr>
        <w:t>.</w:t>
      </w:r>
    </w:p>
  </w:footnote>
  <w:footnote w:id="31">
    <w:p w14:paraId="1BB8A2D1" w14:textId="2ACCD29C" w:rsidR="00D87FB8" w:rsidRPr="003F1F20" w:rsidRDefault="00D87FB8" w:rsidP="00D87FB8">
      <w:pPr>
        <w:pStyle w:val="FootnoteText"/>
        <w:rPr>
          <w:rFonts w:cstheme="minorHAnsi"/>
        </w:rPr>
      </w:pPr>
      <w:r w:rsidRPr="003F1F20">
        <w:rPr>
          <w:rStyle w:val="FootnoteReference"/>
          <w:rFonts w:cstheme="minorHAnsi"/>
        </w:rPr>
        <w:footnoteRef/>
      </w:r>
      <w:r w:rsidRPr="003F1F20">
        <w:rPr>
          <w:rFonts w:cstheme="minorHAnsi"/>
        </w:rPr>
        <w:t xml:space="preserve"> Tatyana Turner, “What Does NYCHA’s Federal Monitor Do, Anyway?,” City Limits, Nov. 14, 2024, </w:t>
      </w:r>
      <w:r w:rsidRPr="003F1F20">
        <w:rPr>
          <w:rFonts w:cstheme="minorHAnsi"/>
          <w:i/>
          <w:iCs/>
        </w:rPr>
        <w:t>available at</w:t>
      </w:r>
      <w:r w:rsidRPr="003F1F20">
        <w:rPr>
          <w:rFonts w:cstheme="minorHAnsi"/>
        </w:rPr>
        <w:t xml:space="preserve"> </w:t>
      </w:r>
      <w:hyperlink r:id="rId11" w:history="1">
        <w:r w:rsidR="00925591" w:rsidRPr="00092EBB">
          <w:rPr>
            <w:rStyle w:val="Hyperlink"/>
            <w:rFonts w:cstheme="minorHAnsi"/>
          </w:rPr>
          <w:t>https://citylimits.org/2024/11/14/what-does-nychas-federal-monitor-do-anyway/</w:t>
        </w:r>
      </w:hyperlink>
      <w:r w:rsidR="00925591">
        <w:rPr>
          <w:rFonts w:cstheme="minorHAnsi"/>
        </w:rPr>
        <w:t xml:space="preserve">. </w:t>
      </w:r>
    </w:p>
  </w:footnote>
  <w:footnote w:id="32">
    <w:p w14:paraId="154AF595" w14:textId="77777777" w:rsidR="00D87FB8" w:rsidRPr="003F1F20" w:rsidRDefault="00D87FB8" w:rsidP="00D87FB8">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“Bronx senior center directors want NYCHA to make necessary repairs,” News 12, Oct. 27, 2006, </w:t>
      </w:r>
      <w:r w:rsidRPr="003F1F20">
        <w:rPr>
          <w:rFonts w:eastAsia="Times New Roman" w:cstheme="minorHAnsi"/>
          <w:i/>
          <w:iCs/>
        </w:rPr>
        <w:t>available at</w:t>
      </w:r>
      <w:r w:rsidRPr="003F1F20">
        <w:rPr>
          <w:rFonts w:eastAsia="Times New Roman" w:cstheme="minorHAnsi"/>
        </w:rPr>
        <w:t xml:space="preserve"> </w:t>
      </w:r>
      <w:hyperlink r:id="rId12">
        <w:r w:rsidRPr="003F1F20">
          <w:rPr>
            <w:rStyle w:val="Hyperlink"/>
            <w:rFonts w:eastAsia="Times New Roman" w:cstheme="minorHAnsi"/>
            <w:color w:val="0000FF"/>
          </w:rPr>
          <w:t>http://www.news12.com/story/34823852/bronx-senior-center-directors-want-nycha-to-make-necessary-repairs</w:t>
        </w:r>
      </w:hyperlink>
      <w:r w:rsidRPr="003F1F20">
        <w:rPr>
          <w:rFonts w:eastAsia="Times New Roman" w:cstheme="minorHAnsi"/>
        </w:rPr>
        <w:t>.</w:t>
      </w:r>
    </w:p>
  </w:footnote>
  <w:footnote w:id="33">
    <w:p w14:paraId="77BC1DCE" w14:textId="77777777" w:rsidR="00D87FB8" w:rsidRPr="003F1F20" w:rsidRDefault="00D87FB8" w:rsidP="00D87FB8">
      <w:pPr>
        <w:pStyle w:val="FootnoteText"/>
        <w:rPr>
          <w:rFonts w:cstheme="minorHAnsi"/>
          <w:i/>
          <w:iCs/>
        </w:rPr>
      </w:pPr>
      <w:r w:rsidRPr="003F1F20">
        <w:rPr>
          <w:rStyle w:val="FootnoteReference"/>
          <w:rFonts w:cstheme="minorHAnsi"/>
        </w:rPr>
        <w:footnoteRef/>
      </w:r>
      <w:r w:rsidRPr="003F1F20">
        <w:rPr>
          <w:rFonts w:cstheme="minorHAnsi"/>
        </w:rPr>
        <w:t xml:space="preserve"> </w:t>
      </w:r>
      <w:r w:rsidRPr="003F1F20">
        <w:rPr>
          <w:rFonts w:cstheme="minorHAnsi"/>
          <w:i/>
          <w:iCs/>
        </w:rPr>
        <w:t>Id.</w:t>
      </w:r>
    </w:p>
  </w:footnote>
  <w:footnote w:id="34">
    <w:p w14:paraId="06D06F63" w14:textId="77777777" w:rsidR="00D87FB8" w:rsidRPr="003F1F20" w:rsidRDefault="00D87FB8" w:rsidP="00D87FB8">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Magee Hickey, “NYCHA senior center residents complain there is not heat,” Pix 11 New York News, Jan. 13, 2018, </w:t>
      </w:r>
      <w:r w:rsidRPr="003F1F20">
        <w:rPr>
          <w:rFonts w:eastAsia="Times New Roman" w:cstheme="minorHAnsi"/>
          <w:i/>
          <w:iCs/>
        </w:rPr>
        <w:t>available at</w:t>
      </w:r>
      <w:r w:rsidRPr="003F1F20">
        <w:rPr>
          <w:rFonts w:eastAsia="Times New Roman" w:cstheme="minorHAnsi"/>
        </w:rPr>
        <w:t xml:space="preserve"> </w:t>
      </w:r>
      <w:hyperlink r:id="rId13">
        <w:r w:rsidRPr="003F1F20">
          <w:rPr>
            <w:rStyle w:val="Hyperlink"/>
            <w:rFonts w:eastAsia="Times New Roman" w:cstheme="minorHAnsi"/>
            <w:color w:val="0000FF"/>
          </w:rPr>
          <w:t>https://pix11.com/2018/01/13/nycha-senior-center-residents-complain-there-is-no-heat/</w:t>
        </w:r>
      </w:hyperlink>
      <w:r w:rsidRPr="003F1F20">
        <w:rPr>
          <w:rFonts w:eastAsia="Times New Roman" w:cstheme="minorHAnsi"/>
        </w:rPr>
        <w:t>.</w:t>
      </w:r>
    </w:p>
  </w:footnote>
  <w:footnote w:id="35">
    <w:p w14:paraId="054DCCB6" w14:textId="77777777" w:rsidR="00D87FB8" w:rsidRPr="003F1F20" w:rsidRDefault="00D87FB8" w:rsidP="00D87FB8">
      <w:pPr>
        <w:pStyle w:val="FootnoteText"/>
        <w:rPr>
          <w:rFonts w:eastAsia="Times New Roman"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Comptroller Scott M. Stringer, “Audit Report on the Department for the Aging’s Monitoring of Senior Centers,” Office of the Comptroller, June 27, 2017, </w:t>
      </w:r>
      <w:r w:rsidRPr="003F1F20">
        <w:rPr>
          <w:rFonts w:eastAsia="Times New Roman" w:cstheme="minorHAnsi"/>
          <w:i/>
          <w:iCs/>
        </w:rPr>
        <w:t>available at</w:t>
      </w:r>
      <w:r w:rsidRPr="003F1F20">
        <w:rPr>
          <w:rFonts w:eastAsia="Times New Roman" w:cstheme="minorHAnsi"/>
        </w:rPr>
        <w:t xml:space="preserve"> </w:t>
      </w:r>
      <w:hyperlink r:id="rId14">
        <w:r w:rsidRPr="003F1F20">
          <w:rPr>
            <w:rStyle w:val="Hyperlink"/>
            <w:rFonts w:eastAsia="Times New Roman" w:cstheme="minorHAnsi"/>
          </w:rPr>
          <w:t>https://comptroller.nyc.gov/wp-content/uploads/documents/MG16_111A.pdf</w:t>
        </w:r>
      </w:hyperlink>
      <w:r w:rsidRPr="003F1F20">
        <w:rPr>
          <w:rFonts w:eastAsia="Times New Roman" w:cstheme="minorHAnsi"/>
        </w:rPr>
        <w:t xml:space="preserve"> at p. 14.</w:t>
      </w:r>
    </w:p>
  </w:footnote>
  <w:footnote w:id="36">
    <w:p w14:paraId="14B307E2" w14:textId="77777777" w:rsidR="00D87FB8" w:rsidRPr="003F1F20" w:rsidRDefault="00D87FB8" w:rsidP="00D87FB8">
      <w:pPr>
        <w:pStyle w:val="FootnoteText"/>
        <w:rPr>
          <w:rFonts w:cstheme="minorHAnsi"/>
          <w:i/>
          <w:iCs/>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“Add it to the list: NYCHA needs $500M for senior housing, community center repairs,” The Real Deal, Sept. 28, 2018, </w:t>
      </w:r>
      <w:r w:rsidRPr="003F1F20">
        <w:rPr>
          <w:rFonts w:eastAsia="Times New Roman" w:cstheme="minorHAnsi"/>
          <w:i/>
          <w:iCs/>
        </w:rPr>
        <w:t xml:space="preserve">available at </w:t>
      </w:r>
      <w:hyperlink r:id="rId15">
        <w:r w:rsidRPr="003F1F20">
          <w:rPr>
            <w:rStyle w:val="Hyperlink"/>
            <w:rFonts w:eastAsia="Times New Roman" w:cstheme="minorHAnsi"/>
            <w:color w:val="0000FF"/>
          </w:rPr>
          <w:t>https://therealdeal.com/2018/09/28/add-it-to-the-list-nycha-needs-500m-for-senior-housing-community-center-repairs/</w:t>
        </w:r>
      </w:hyperlink>
      <w:r w:rsidRPr="003F1F20">
        <w:rPr>
          <w:rFonts w:eastAsia="Times New Roman" w:cstheme="minorHAnsi"/>
        </w:rPr>
        <w:t>.</w:t>
      </w:r>
    </w:p>
  </w:footnote>
  <w:footnote w:id="37">
    <w:p w14:paraId="3342318F" w14:textId="77777777" w:rsidR="00D87FB8" w:rsidRPr="003F1F20" w:rsidRDefault="00D87FB8" w:rsidP="00D87FB8">
      <w:pPr>
        <w:pStyle w:val="FootnoteText"/>
        <w:rPr>
          <w:rFonts w:eastAsia="Times New Roman"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Committee on Aging Hearing Transcript, Apr. 4, 2024, </w:t>
      </w:r>
      <w:r w:rsidRPr="003F1F20">
        <w:rPr>
          <w:rFonts w:eastAsia="Times New Roman" w:cstheme="minorHAnsi"/>
          <w:i/>
          <w:iCs/>
        </w:rPr>
        <w:t>available at</w:t>
      </w:r>
      <w:r w:rsidRPr="003F1F20">
        <w:rPr>
          <w:rFonts w:eastAsia="Times New Roman" w:cstheme="minorHAnsi"/>
        </w:rPr>
        <w:t xml:space="preserve"> </w:t>
      </w:r>
      <w:hyperlink r:id="rId16">
        <w:r w:rsidRPr="003F1F20">
          <w:rPr>
            <w:rStyle w:val="Hyperlink"/>
            <w:rFonts w:eastAsia="Times New Roman" w:cstheme="minorHAnsi"/>
          </w:rPr>
          <w:t>https://legistar.council.nyc.gov/LegislationDetail.aspx?ID=6563211&amp;GUID=1F1F6CBE-C1D8-4476-9AF3-A124BF5D54D0&amp;Options=&amp;Search=</w:t>
        </w:r>
      </w:hyperlink>
      <w:r w:rsidRPr="003F1F20">
        <w:rPr>
          <w:rFonts w:eastAsia="Times New Roman" w:cstheme="minorHAnsi"/>
        </w:rPr>
        <w:t xml:space="preserve"> at pp. 38, 48.</w:t>
      </w:r>
    </w:p>
  </w:footnote>
  <w:footnote w:id="38">
    <w:p w14:paraId="0D74073B" w14:textId="77777777" w:rsidR="00D87FB8" w:rsidRPr="003F1F20" w:rsidRDefault="00D87FB8" w:rsidP="00D87FB8">
      <w:pPr>
        <w:pStyle w:val="FootnoteText"/>
        <w:rPr>
          <w:rFonts w:eastAsia="Times New Roman"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Comptroller Scott M. Stringer, “Audit Report on the Department for the Aging’s Monitoring of Senior Centers,” Office of the Comptroller, June 27, 2017, </w:t>
      </w:r>
      <w:r w:rsidRPr="003F1F20">
        <w:rPr>
          <w:rFonts w:eastAsia="Times New Roman" w:cstheme="minorHAnsi"/>
          <w:i/>
          <w:iCs/>
        </w:rPr>
        <w:t>available at</w:t>
      </w:r>
      <w:r w:rsidRPr="003F1F20">
        <w:rPr>
          <w:rFonts w:eastAsia="Times New Roman" w:cstheme="minorHAnsi"/>
        </w:rPr>
        <w:t xml:space="preserve"> </w:t>
      </w:r>
      <w:hyperlink r:id="rId17">
        <w:r w:rsidRPr="003F1F20">
          <w:rPr>
            <w:rStyle w:val="Hyperlink"/>
            <w:rFonts w:eastAsia="Times New Roman" w:cstheme="minorHAnsi"/>
          </w:rPr>
          <w:t>https://comptroller.nyc.gov/wp-content/uploads/documents/MG16_111A.pdf</w:t>
        </w:r>
      </w:hyperlink>
      <w:r w:rsidRPr="003F1F20">
        <w:rPr>
          <w:rFonts w:eastAsia="Times New Roman" w:cstheme="minorHAnsi"/>
        </w:rPr>
        <w:t>.</w:t>
      </w:r>
    </w:p>
  </w:footnote>
  <w:footnote w:id="39">
    <w:p w14:paraId="37461277" w14:textId="4CEF0036" w:rsidR="00D87FB8" w:rsidRPr="003F1F20" w:rsidRDefault="00D87FB8" w:rsidP="00D87FB8">
      <w:pPr>
        <w:pStyle w:val="FootnoteText"/>
        <w:rPr>
          <w:rFonts w:cstheme="minorHAnsi"/>
        </w:rPr>
      </w:pPr>
      <w:r w:rsidRPr="003F1F20">
        <w:rPr>
          <w:rStyle w:val="FootnoteReference"/>
          <w:rFonts w:cstheme="minorHAnsi"/>
        </w:rPr>
        <w:footnoteRef/>
      </w:r>
      <w:r w:rsidRPr="003F1F20">
        <w:rPr>
          <w:rFonts w:cstheme="minorHAnsi"/>
        </w:rPr>
        <w:t xml:space="preserve"> </w:t>
      </w:r>
      <w:r w:rsidR="00837A9C" w:rsidRPr="003F1F20">
        <w:rPr>
          <w:rFonts w:eastAsia="Times New Roman" w:cstheme="minorHAnsi"/>
        </w:rPr>
        <w:t xml:space="preserve">Comptroller Scott M. Stringer, “Audit Report on the Department for the Aging’s Monitoring of Senior Centers,” Office of the Comptroller, June 27, 2017, </w:t>
      </w:r>
      <w:r w:rsidR="00837A9C" w:rsidRPr="003F1F20">
        <w:rPr>
          <w:rFonts w:eastAsia="Times New Roman" w:cstheme="minorHAnsi"/>
          <w:i/>
          <w:iCs/>
        </w:rPr>
        <w:t>available at</w:t>
      </w:r>
      <w:r w:rsidR="00837A9C" w:rsidRPr="003F1F20">
        <w:rPr>
          <w:rFonts w:eastAsia="Times New Roman" w:cstheme="minorHAnsi"/>
        </w:rPr>
        <w:t xml:space="preserve"> </w:t>
      </w:r>
      <w:hyperlink r:id="rId18">
        <w:r w:rsidR="00837A9C" w:rsidRPr="003F1F20">
          <w:rPr>
            <w:rStyle w:val="Hyperlink"/>
            <w:rFonts w:eastAsia="Times New Roman" w:cstheme="minorHAnsi"/>
          </w:rPr>
          <w:t>https://comptroller.nyc.gov/wp-content/uploads/documents/MG16_111A.pdf</w:t>
        </w:r>
      </w:hyperlink>
      <w:r w:rsidR="00837A9C">
        <w:rPr>
          <w:rFonts w:eastAsia="Times New Roman" w:cstheme="minorHAnsi"/>
        </w:rPr>
        <w:t xml:space="preserve">, </w:t>
      </w:r>
      <w:r w:rsidRPr="003F1F20">
        <w:rPr>
          <w:rFonts w:cstheme="minorHAnsi"/>
        </w:rPr>
        <w:t>at p. 14.</w:t>
      </w:r>
    </w:p>
  </w:footnote>
  <w:footnote w:id="40">
    <w:p w14:paraId="163F2345" w14:textId="77777777" w:rsidR="00D87FB8" w:rsidRPr="003F1F20" w:rsidRDefault="00D87FB8" w:rsidP="00D87FB8">
      <w:pPr>
        <w:pStyle w:val="FootnoteText"/>
        <w:rPr>
          <w:rFonts w:cstheme="minorHAnsi"/>
          <w:i/>
          <w:iCs/>
        </w:rPr>
      </w:pPr>
      <w:r w:rsidRPr="003F1F20">
        <w:rPr>
          <w:rStyle w:val="FootnoteReference"/>
          <w:rFonts w:cstheme="minorHAnsi"/>
        </w:rPr>
        <w:footnoteRef/>
      </w:r>
      <w:r w:rsidRPr="003F1F20">
        <w:rPr>
          <w:rFonts w:cstheme="minorHAnsi"/>
        </w:rPr>
        <w:t xml:space="preserve"> </w:t>
      </w:r>
      <w:r w:rsidRPr="003F1F20">
        <w:rPr>
          <w:rFonts w:cstheme="minorHAnsi"/>
          <w:i/>
          <w:iCs/>
        </w:rPr>
        <w:t>Id.</w:t>
      </w:r>
    </w:p>
  </w:footnote>
  <w:footnote w:id="41">
    <w:p w14:paraId="0F38BED9" w14:textId="77777777" w:rsidR="00D87FB8" w:rsidRPr="003F1F20" w:rsidRDefault="00D87FB8" w:rsidP="00D87FB8">
      <w:pPr>
        <w:pStyle w:val="FootnoteText"/>
        <w:rPr>
          <w:rFonts w:cstheme="minorHAnsi"/>
          <w:i/>
          <w:iCs/>
        </w:rPr>
      </w:pPr>
      <w:r w:rsidRPr="003F1F20">
        <w:rPr>
          <w:rStyle w:val="FootnoteReference"/>
          <w:rFonts w:cstheme="minorHAnsi"/>
        </w:rPr>
        <w:footnoteRef/>
      </w:r>
      <w:r w:rsidRPr="003F1F20">
        <w:rPr>
          <w:rFonts w:cstheme="minorHAnsi"/>
        </w:rPr>
        <w:t xml:space="preserve"> </w:t>
      </w:r>
      <w:r w:rsidRPr="003F1F20">
        <w:rPr>
          <w:rFonts w:cstheme="minorHAnsi"/>
          <w:i/>
          <w:iCs/>
        </w:rPr>
        <w:t>Id.</w:t>
      </w:r>
    </w:p>
  </w:footnote>
  <w:footnote w:id="42">
    <w:p w14:paraId="0EFE47D4" w14:textId="77777777" w:rsidR="00D87FB8" w:rsidRPr="003F1F20" w:rsidRDefault="00D87FB8" w:rsidP="00D87FB8">
      <w:pPr>
        <w:pStyle w:val="FootnoteText"/>
        <w:rPr>
          <w:rFonts w:cstheme="minorHAnsi"/>
          <w:i/>
          <w:iCs/>
        </w:rPr>
      </w:pPr>
      <w:r w:rsidRPr="003F1F20">
        <w:rPr>
          <w:rStyle w:val="FootnoteReference"/>
          <w:rFonts w:cstheme="minorHAnsi"/>
        </w:rPr>
        <w:footnoteRef/>
      </w:r>
      <w:r w:rsidRPr="003F1F20">
        <w:rPr>
          <w:rFonts w:cstheme="minorHAnsi"/>
        </w:rPr>
        <w:t xml:space="preserve"> </w:t>
      </w:r>
      <w:r w:rsidRPr="003F1F20">
        <w:rPr>
          <w:rFonts w:cstheme="minorHAnsi"/>
          <w:i/>
          <w:iCs/>
        </w:rPr>
        <w:t>Id.</w:t>
      </w:r>
    </w:p>
  </w:footnote>
  <w:footnote w:id="43">
    <w:p w14:paraId="579CB866" w14:textId="717E5315" w:rsidR="3E1795EE" w:rsidRPr="003F1F20" w:rsidRDefault="3E1795EE" w:rsidP="3E1795EE">
      <w:pPr>
        <w:pStyle w:val="FootnoteText"/>
        <w:rPr>
          <w:rFonts w:eastAsia="Times New Roman"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Committee on Aging Hearing Transcript, Apr. 4, 2024, </w:t>
      </w:r>
      <w:r w:rsidRPr="003F1F20">
        <w:rPr>
          <w:rFonts w:eastAsia="Times New Roman" w:cstheme="minorHAnsi"/>
          <w:i/>
          <w:iCs/>
        </w:rPr>
        <w:t>available at</w:t>
      </w:r>
      <w:r w:rsidRPr="003F1F20">
        <w:rPr>
          <w:rFonts w:eastAsia="Times New Roman" w:cstheme="minorHAnsi"/>
        </w:rPr>
        <w:t xml:space="preserve"> </w:t>
      </w:r>
      <w:hyperlink r:id="rId19">
        <w:r w:rsidRPr="003F1F20">
          <w:rPr>
            <w:rStyle w:val="Hyperlink"/>
            <w:rFonts w:eastAsia="Times New Roman" w:cstheme="minorHAnsi"/>
          </w:rPr>
          <w:t>https://legistar.council.nyc.gov/LegislationDetail.aspx?ID=6563211&amp;GUID=1F1F6CBE-C1D8-4476-9AF3-A124BF5D54D0&amp;Options=&amp;Search=</w:t>
        </w:r>
      </w:hyperlink>
      <w:r w:rsidRPr="003F1F20">
        <w:rPr>
          <w:rFonts w:eastAsia="Times New Roman" w:cstheme="minorHAnsi"/>
        </w:rPr>
        <w:t xml:space="preserve"> at p. 38.</w:t>
      </w:r>
    </w:p>
  </w:footnote>
  <w:footnote w:id="44">
    <w:p w14:paraId="430A9B66" w14:textId="694F8C6A" w:rsidR="3E1795EE" w:rsidRPr="003F1F20" w:rsidRDefault="3E1795EE" w:rsidP="3E1795EE">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Committee on Aging Hearing Transcript, Oct. 29, 2018, </w:t>
      </w:r>
      <w:r w:rsidRPr="003F1F20">
        <w:rPr>
          <w:rFonts w:eastAsia="Times New Roman" w:cstheme="minorHAnsi"/>
          <w:i/>
          <w:iCs/>
        </w:rPr>
        <w:t xml:space="preserve">available at </w:t>
      </w:r>
      <w:hyperlink r:id="rId20">
        <w:r w:rsidRPr="003F1F20">
          <w:rPr>
            <w:rStyle w:val="Hyperlink"/>
            <w:rFonts w:eastAsia="Times New Roman" w:cstheme="minorHAnsi"/>
            <w:color w:val="0000FF"/>
          </w:rPr>
          <w:t>https://legistar.council.nyc.gov/LegislationDetail.aspx?ID=3685465&amp;GUID=759F4528-850A-45DA-88E6-5DB55F6A29D6&amp;Options=&amp;Search</w:t>
        </w:r>
      </w:hyperlink>
      <w:r w:rsidRPr="003F1F20">
        <w:rPr>
          <w:rFonts w:eastAsia="Times New Roman" w:cstheme="minorHAnsi"/>
        </w:rPr>
        <w:t>= at p. 10.</w:t>
      </w:r>
    </w:p>
  </w:footnote>
  <w:footnote w:id="45">
    <w:p w14:paraId="4969A19B" w14:textId="41079086" w:rsidR="3E1795EE" w:rsidRPr="003F1F20" w:rsidRDefault="3E1795EE" w:rsidP="3E1795EE">
      <w:pPr>
        <w:pStyle w:val="FootnoteText"/>
        <w:rPr>
          <w:rFonts w:eastAsia="Times New Roman" w:cstheme="minorHAnsi"/>
        </w:rPr>
      </w:pPr>
      <w:r w:rsidRPr="003F1F20">
        <w:rPr>
          <w:rStyle w:val="FootnoteReference"/>
          <w:rFonts w:cstheme="minorHAnsi"/>
        </w:rPr>
        <w:footnoteRef/>
      </w:r>
      <w:r w:rsidRPr="003F1F20">
        <w:rPr>
          <w:rFonts w:cstheme="minorHAnsi"/>
        </w:rPr>
        <w:t xml:space="preserve"> </w:t>
      </w:r>
      <w:r w:rsidRPr="003F1F20">
        <w:rPr>
          <w:rFonts w:cstheme="minorHAnsi"/>
          <w:i/>
          <w:iCs/>
        </w:rPr>
        <w:t xml:space="preserve">Id; </w:t>
      </w:r>
      <w:r w:rsidRPr="003F1F20">
        <w:rPr>
          <w:rFonts w:eastAsia="Times New Roman" w:cstheme="minorHAnsi"/>
        </w:rPr>
        <w:t xml:space="preserve">Committee on Aging Hearing Transcript, Apr. 4, 2024, </w:t>
      </w:r>
      <w:r w:rsidRPr="003F1F20">
        <w:rPr>
          <w:rFonts w:eastAsia="Times New Roman" w:cstheme="minorHAnsi"/>
          <w:i/>
          <w:iCs/>
        </w:rPr>
        <w:t>available at</w:t>
      </w:r>
      <w:r w:rsidRPr="003F1F20">
        <w:rPr>
          <w:rFonts w:eastAsia="Times New Roman" w:cstheme="minorHAnsi"/>
        </w:rPr>
        <w:t xml:space="preserve"> </w:t>
      </w:r>
      <w:hyperlink r:id="rId21">
        <w:r w:rsidRPr="003F1F20">
          <w:rPr>
            <w:rStyle w:val="Hyperlink"/>
            <w:rFonts w:eastAsia="Times New Roman" w:cstheme="minorHAnsi"/>
          </w:rPr>
          <w:t>https://legistar.council.nyc.gov/LegislationDetail.aspx?ID=6563211&amp;GUID=1F1F6CBE-C1D8-4476-9AF3-A124BF5D54D0&amp;Options=&amp;Search=</w:t>
        </w:r>
      </w:hyperlink>
      <w:r w:rsidRPr="003F1F20">
        <w:rPr>
          <w:rFonts w:eastAsia="Times New Roman" w:cstheme="minorHAnsi"/>
        </w:rPr>
        <w:t xml:space="preserve"> at p. 38.</w:t>
      </w:r>
    </w:p>
  </w:footnote>
  <w:footnote w:id="46">
    <w:p w14:paraId="0061D839" w14:textId="0B0E44F1" w:rsidR="3E1795EE" w:rsidRPr="003F1F20" w:rsidRDefault="3E1795EE" w:rsidP="3E1795EE">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Committee on Aging Hearing Transcript, Oct. 29, 2018, </w:t>
      </w:r>
      <w:r w:rsidRPr="003F1F20">
        <w:rPr>
          <w:rFonts w:eastAsia="Times New Roman" w:cstheme="minorHAnsi"/>
          <w:i/>
          <w:iCs/>
        </w:rPr>
        <w:t xml:space="preserve">available at </w:t>
      </w:r>
      <w:hyperlink r:id="rId22">
        <w:r w:rsidRPr="003F1F20">
          <w:rPr>
            <w:rStyle w:val="Hyperlink"/>
            <w:rFonts w:eastAsia="Times New Roman" w:cstheme="minorHAnsi"/>
            <w:color w:val="0000FF"/>
          </w:rPr>
          <w:t>https://legistar.council.nyc.gov/LegislationDetail.aspx?ID=3685465&amp;GUID=759F4528-850A-45DA-88E6-5DB55F6A29D6&amp;Options=&amp;Search</w:t>
        </w:r>
      </w:hyperlink>
      <w:r w:rsidRPr="003F1F20">
        <w:rPr>
          <w:rFonts w:eastAsia="Times New Roman" w:cstheme="minorHAnsi"/>
        </w:rPr>
        <w:t>= at p. 10.</w:t>
      </w:r>
    </w:p>
  </w:footnote>
  <w:footnote w:id="47">
    <w:p w14:paraId="204A3F70" w14:textId="31D98F87" w:rsidR="3E1795EE" w:rsidRPr="003F1F20" w:rsidRDefault="3E1795EE" w:rsidP="3E1795EE">
      <w:pPr>
        <w:pStyle w:val="FootnoteText"/>
        <w:rPr>
          <w:rFonts w:eastAsia="Times New Roman"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Committee on Aging Hearing Transcript, Apr. 4, 2024, </w:t>
      </w:r>
      <w:r w:rsidRPr="003F1F20">
        <w:rPr>
          <w:rFonts w:eastAsia="Times New Roman" w:cstheme="minorHAnsi"/>
          <w:i/>
          <w:iCs/>
        </w:rPr>
        <w:t>available at</w:t>
      </w:r>
      <w:r w:rsidRPr="003F1F20">
        <w:rPr>
          <w:rFonts w:eastAsia="Times New Roman" w:cstheme="minorHAnsi"/>
        </w:rPr>
        <w:t xml:space="preserve"> </w:t>
      </w:r>
      <w:hyperlink r:id="rId23">
        <w:r w:rsidRPr="003F1F20">
          <w:rPr>
            <w:rStyle w:val="Hyperlink"/>
            <w:rFonts w:eastAsia="Times New Roman" w:cstheme="minorHAnsi"/>
          </w:rPr>
          <w:t>https://legistar.council.nyc.gov/LegislationDetail.aspx?ID=6563211&amp;GUID=1F1F6CBE-C1D8-4476-9AF3-A124BF5D54D0&amp;Options=&amp;Search=</w:t>
        </w:r>
      </w:hyperlink>
      <w:r w:rsidRPr="003F1F20">
        <w:rPr>
          <w:rFonts w:eastAsia="Times New Roman" w:cstheme="minorHAnsi"/>
        </w:rPr>
        <w:t xml:space="preserve"> at p. 38-9.</w:t>
      </w:r>
    </w:p>
  </w:footnote>
  <w:footnote w:id="48">
    <w:p w14:paraId="5D0D4875" w14:textId="3DF79AF3" w:rsidR="3E1795EE" w:rsidRPr="003F1F20" w:rsidRDefault="3E1795EE" w:rsidP="3E1795EE">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iCs/>
        </w:rPr>
        <w:t>Id;</w:t>
      </w:r>
      <w:r w:rsidRPr="003F1F20">
        <w:rPr>
          <w:rFonts w:cstheme="minorHAnsi"/>
        </w:rPr>
        <w:t xml:space="preserve"> Local Law 75 of 2021.</w:t>
      </w:r>
    </w:p>
  </w:footnote>
  <w:footnote w:id="49">
    <w:p w14:paraId="31BEC1E0" w14:textId="292B886B" w:rsidR="3E1795EE" w:rsidRPr="003F1F20" w:rsidRDefault="3E1795EE" w:rsidP="3E1795EE">
      <w:pPr>
        <w:pStyle w:val="FootnoteText"/>
        <w:rPr>
          <w:rFonts w:eastAsia="Times New Roman"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Committee on Aging Hearing Transcript, Apr. 4, 2024, </w:t>
      </w:r>
      <w:r w:rsidRPr="003F1F20">
        <w:rPr>
          <w:rFonts w:eastAsia="Times New Roman" w:cstheme="minorHAnsi"/>
          <w:i/>
          <w:iCs/>
        </w:rPr>
        <w:t>available at</w:t>
      </w:r>
      <w:r w:rsidRPr="003F1F20">
        <w:rPr>
          <w:rFonts w:eastAsia="Times New Roman" w:cstheme="minorHAnsi"/>
        </w:rPr>
        <w:t xml:space="preserve"> </w:t>
      </w:r>
      <w:hyperlink r:id="rId24">
        <w:r w:rsidRPr="003F1F20">
          <w:rPr>
            <w:rStyle w:val="Hyperlink"/>
            <w:rFonts w:eastAsia="Times New Roman" w:cstheme="minorHAnsi"/>
          </w:rPr>
          <w:t>https://legistar.council.nyc.gov/LegislationDetail.aspx?ID=6563211&amp;GUID=1F1F6CBE-C1D8-4476-9AF3-A124BF5D54D0&amp;Options=&amp;Search=</w:t>
        </w:r>
      </w:hyperlink>
      <w:r w:rsidRPr="003F1F20">
        <w:rPr>
          <w:rFonts w:eastAsia="Times New Roman" w:cstheme="minorHAnsi"/>
        </w:rPr>
        <w:t xml:space="preserve"> at pp. 7-9.</w:t>
      </w:r>
    </w:p>
  </w:footnote>
  <w:footnote w:id="50">
    <w:p w14:paraId="3671AEE8" w14:textId="7D9D8864" w:rsidR="1FCE5CEB" w:rsidRPr="003F1F20" w:rsidRDefault="1FCE5CEB" w:rsidP="1FCE5CEB">
      <w:pPr>
        <w:pStyle w:val="FootnoteText"/>
        <w:rPr>
          <w:rFonts w:cstheme="minorHAnsi"/>
          <w:i/>
          <w:iCs/>
        </w:rPr>
      </w:pPr>
      <w:r w:rsidRPr="003F1F20">
        <w:rPr>
          <w:rStyle w:val="FootnoteReference"/>
          <w:rFonts w:cstheme="minorHAnsi"/>
        </w:rPr>
        <w:footnoteRef/>
      </w:r>
      <w:r w:rsidRPr="003F1F20">
        <w:rPr>
          <w:rFonts w:cstheme="minorHAnsi"/>
        </w:rPr>
        <w:t xml:space="preserve"> </w:t>
      </w:r>
      <w:r w:rsidRPr="003F1F20">
        <w:rPr>
          <w:rFonts w:cstheme="minorHAnsi"/>
          <w:i/>
          <w:iCs/>
        </w:rPr>
        <w:t>Id.</w:t>
      </w:r>
    </w:p>
  </w:footnote>
  <w:footnote w:id="51">
    <w:p w14:paraId="46C4E41A" w14:textId="77457101" w:rsidR="1FCE5CEB" w:rsidRPr="003F1F20" w:rsidRDefault="1FCE5CEB" w:rsidP="1FCE5CEB">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Comptroller Scott M. Stringer, “Audit Report on the Department for the Aging’s Monitoring of Senior Centers,” Office of the Comptroller, June 27, 2017, </w:t>
      </w:r>
      <w:r w:rsidRPr="003F1F20">
        <w:rPr>
          <w:rFonts w:eastAsia="Times New Roman" w:cstheme="minorHAnsi"/>
          <w:i/>
          <w:iCs/>
        </w:rPr>
        <w:t>available at</w:t>
      </w:r>
      <w:r w:rsidRPr="003F1F20">
        <w:rPr>
          <w:rFonts w:eastAsia="Times New Roman" w:cstheme="minorHAnsi"/>
        </w:rPr>
        <w:t xml:space="preserve"> </w:t>
      </w:r>
      <w:hyperlink r:id="rId25">
        <w:r w:rsidRPr="003F1F20">
          <w:rPr>
            <w:rStyle w:val="Hyperlink"/>
            <w:rFonts w:eastAsia="Times New Roman" w:cstheme="minorHAnsi"/>
          </w:rPr>
          <w:t>https://comptroller.nyc.gov/wp-content/uploads/documents/MG16_111A.pdf</w:t>
        </w:r>
      </w:hyperlink>
      <w:r w:rsidR="00837A9C">
        <w:rPr>
          <w:rStyle w:val="Hyperlink"/>
          <w:rFonts w:eastAsia="Times New Roman" w:cstheme="minorHAnsi"/>
        </w:rPr>
        <w:t>,</w:t>
      </w:r>
      <w:r w:rsidRPr="003F1F20">
        <w:rPr>
          <w:rFonts w:eastAsia="Times New Roman" w:cstheme="minorHAnsi"/>
        </w:rPr>
        <w:t xml:space="preserve"> at pp. 15-16.</w:t>
      </w:r>
    </w:p>
  </w:footnote>
  <w:footnote w:id="52">
    <w:p w14:paraId="195EABE6" w14:textId="16449F0B" w:rsidR="3E1795EE" w:rsidRPr="003F1F20" w:rsidRDefault="3E1795EE" w:rsidP="3E1795EE">
      <w:pPr>
        <w:pStyle w:val="FootnoteText"/>
        <w:rPr>
          <w:rFonts w:eastAsia="Times New Roman" w:cstheme="minorHAnsi"/>
        </w:rPr>
      </w:pPr>
      <w:r w:rsidRPr="003F1F20">
        <w:rPr>
          <w:rStyle w:val="FootnoteReference"/>
          <w:rFonts w:cstheme="minorHAnsi"/>
        </w:rPr>
        <w:footnoteRef/>
      </w:r>
      <w:r w:rsidR="1FCE5CEB" w:rsidRPr="003F1F20">
        <w:rPr>
          <w:rFonts w:cstheme="minorHAnsi"/>
        </w:rPr>
        <w:t xml:space="preserve"> </w:t>
      </w:r>
      <w:r w:rsidR="1FCE5CEB" w:rsidRPr="003F1F20">
        <w:rPr>
          <w:rFonts w:eastAsia="Times New Roman" w:cstheme="minorHAnsi"/>
        </w:rPr>
        <w:t xml:space="preserve">Committee on Aging Hearing Transcript, Apr. 7, 2021, </w:t>
      </w:r>
      <w:r w:rsidR="1FCE5CEB" w:rsidRPr="003F1F20">
        <w:rPr>
          <w:rFonts w:eastAsia="Times New Roman" w:cstheme="minorHAnsi"/>
          <w:i/>
          <w:iCs/>
        </w:rPr>
        <w:t>available at</w:t>
      </w:r>
      <w:r w:rsidR="1FCE5CEB" w:rsidRPr="003F1F20">
        <w:rPr>
          <w:rFonts w:eastAsia="Times New Roman" w:cstheme="minorHAnsi"/>
        </w:rPr>
        <w:t xml:space="preserve"> </w:t>
      </w:r>
      <w:hyperlink r:id="rId26">
        <w:r w:rsidR="1FCE5CEB" w:rsidRPr="003F1F20">
          <w:rPr>
            <w:rStyle w:val="Hyperlink"/>
            <w:rFonts w:eastAsia="Times New Roman" w:cstheme="minorHAnsi"/>
          </w:rPr>
          <w:t>https://legistar.council.nyc.gov/LegislationDetail.aspx?ID=4890296&amp;GUID=CF2BE48E-947A-4201-AD77-F47A1AD8E489&amp;Options=&amp;Search=</w:t>
        </w:r>
      </w:hyperlink>
      <w:r w:rsidR="1FCE5CEB" w:rsidRPr="003F1F20">
        <w:rPr>
          <w:rFonts w:eastAsia="Times New Roman" w:cstheme="minorHAnsi"/>
        </w:rPr>
        <w:t xml:space="preserve"> at pp. 125-6; Comptroller Scott M. Stringer, “Audit Report on the Department for the Aging’s Monitoring of Senior Centers,” Office of the Comptroller, June 27, 2017, </w:t>
      </w:r>
      <w:r w:rsidR="1FCE5CEB" w:rsidRPr="003F1F20">
        <w:rPr>
          <w:rFonts w:eastAsia="Times New Roman" w:cstheme="minorHAnsi"/>
          <w:i/>
          <w:iCs/>
        </w:rPr>
        <w:t>available at</w:t>
      </w:r>
      <w:r w:rsidR="1FCE5CEB" w:rsidRPr="003F1F20">
        <w:rPr>
          <w:rFonts w:eastAsia="Times New Roman" w:cstheme="minorHAnsi"/>
        </w:rPr>
        <w:t xml:space="preserve"> </w:t>
      </w:r>
      <w:hyperlink r:id="rId27">
        <w:r w:rsidR="1FCE5CEB" w:rsidRPr="003F1F20">
          <w:rPr>
            <w:rStyle w:val="Hyperlink"/>
            <w:rFonts w:eastAsia="Times New Roman" w:cstheme="minorHAnsi"/>
          </w:rPr>
          <w:t>https://comptroller.nyc.gov/wp-content/uploads/documents/MG16_111A.pdf</w:t>
        </w:r>
      </w:hyperlink>
      <w:r w:rsidR="1FCE5CEB" w:rsidRPr="003F1F20">
        <w:rPr>
          <w:rFonts w:eastAsia="Times New Roman" w:cstheme="minorHAnsi"/>
        </w:rPr>
        <w:t xml:space="preserve"> at p. 14.</w:t>
      </w:r>
    </w:p>
  </w:footnote>
  <w:footnote w:id="53">
    <w:p w14:paraId="1E6A5C96" w14:textId="7FB7B839" w:rsidR="1FCE5CEB" w:rsidRPr="003F1F20" w:rsidRDefault="1FCE5CEB" w:rsidP="1FCE5CEB">
      <w:pPr>
        <w:pStyle w:val="FootnoteText"/>
        <w:rPr>
          <w:rFonts w:eastAsia="Times New Roman"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Comptroller Scott M. Stringer, “Audit Report on the Department for the Aging’s Monitoring of Senior Centers,” Office of the Comptroller, June 27, 2017, </w:t>
      </w:r>
      <w:r w:rsidRPr="003F1F20">
        <w:rPr>
          <w:rFonts w:eastAsia="Times New Roman" w:cstheme="minorHAnsi"/>
          <w:i/>
          <w:iCs/>
        </w:rPr>
        <w:t>available at</w:t>
      </w:r>
      <w:r w:rsidRPr="003F1F20">
        <w:rPr>
          <w:rFonts w:eastAsia="Times New Roman" w:cstheme="minorHAnsi"/>
        </w:rPr>
        <w:t xml:space="preserve"> </w:t>
      </w:r>
      <w:hyperlink r:id="rId28">
        <w:r w:rsidRPr="003F1F20">
          <w:rPr>
            <w:rStyle w:val="Hyperlink"/>
            <w:rFonts w:eastAsia="Times New Roman" w:cstheme="minorHAnsi"/>
          </w:rPr>
          <w:t>https://comptroller.nyc.gov/wp-content/uploads/documents/MG16_111A.pdf</w:t>
        </w:r>
      </w:hyperlink>
      <w:r w:rsidRPr="003F1F20">
        <w:rPr>
          <w:rFonts w:eastAsia="Times New Roman" w:cstheme="minorHAnsi"/>
        </w:rPr>
        <w:t xml:space="preserve"> at p. 16.</w:t>
      </w:r>
    </w:p>
  </w:footnote>
  <w:footnote w:id="54">
    <w:p w14:paraId="70653123" w14:textId="14A4AA59" w:rsidR="3E1795EE" w:rsidRPr="003F1F20" w:rsidRDefault="3E1795EE" w:rsidP="3E1795EE">
      <w:pPr>
        <w:pStyle w:val="FootnoteText"/>
        <w:rPr>
          <w:rFonts w:eastAsia="Times New Roman" w:cstheme="minorHAnsi"/>
        </w:rPr>
      </w:pPr>
      <w:r w:rsidRPr="003F1F20">
        <w:rPr>
          <w:rStyle w:val="FootnoteReference"/>
          <w:rFonts w:cstheme="minorHAnsi"/>
        </w:rPr>
        <w:footnoteRef/>
      </w:r>
      <w:r w:rsidR="1FCE5CEB" w:rsidRPr="003F1F20">
        <w:rPr>
          <w:rFonts w:cstheme="minorHAnsi"/>
        </w:rPr>
        <w:t xml:space="preserve"> </w:t>
      </w:r>
      <w:r w:rsidR="1FCE5CEB" w:rsidRPr="003F1F20">
        <w:rPr>
          <w:rFonts w:eastAsia="Times New Roman" w:cstheme="minorHAnsi"/>
        </w:rPr>
        <w:t xml:space="preserve">Committee on Aging Hearing Transcript, Dec. 5, 2018, </w:t>
      </w:r>
      <w:r w:rsidR="1FCE5CEB" w:rsidRPr="003F1F20">
        <w:rPr>
          <w:rFonts w:eastAsia="Times New Roman" w:cstheme="minorHAnsi"/>
          <w:i/>
          <w:iCs/>
        </w:rPr>
        <w:t>available at</w:t>
      </w:r>
      <w:r w:rsidR="1FCE5CEB" w:rsidRPr="003F1F20">
        <w:rPr>
          <w:rFonts w:eastAsia="Times New Roman" w:cstheme="minorHAnsi"/>
        </w:rPr>
        <w:t xml:space="preserve"> </w:t>
      </w:r>
      <w:hyperlink r:id="rId29">
        <w:r w:rsidR="1FCE5CEB" w:rsidRPr="003F1F20">
          <w:rPr>
            <w:rStyle w:val="Hyperlink"/>
            <w:rFonts w:eastAsia="Times New Roman" w:cstheme="minorHAnsi"/>
          </w:rPr>
          <w:t>https://legistar.council.nyc.gov/LegislationDetail.aspx?ID=3758525&amp;GUID=AF3EF4D3-7A49-47BE-AFE7-4971C031DDF6&amp;Options=&amp;Search=</w:t>
        </w:r>
      </w:hyperlink>
      <w:r w:rsidR="1FCE5CEB" w:rsidRPr="003F1F20">
        <w:rPr>
          <w:rFonts w:eastAsia="Times New Roman" w:cstheme="minorHAnsi"/>
        </w:rPr>
        <w:t xml:space="preserve"> at p. 101; Abigail Savitch-Lew, ”NYCHA Responds to Fiscal Crisis With Embrace of Private Sector,“ CityLimits, Jun. 20, 2016, </w:t>
      </w:r>
      <w:r w:rsidR="1FCE5CEB" w:rsidRPr="003F1F20">
        <w:rPr>
          <w:rFonts w:eastAsia="Times New Roman" w:cstheme="minorHAnsi"/>
          <w:i/>
          <w:iCs/>
        </w:rPr>
        <w:t xml:space="preserve">available at </w:t>
      </w:r>
      <w:hyperlink r:id="rId30">
        <w:r w:rsidR="1FCE5CEB" w:rsidRPr="003F1F20">
          <w:rPr>
            <w:rStyle w:val="Hyperlink"/>
            <w:rFonts w:eastAsia="Times New Roman" w:cstheme="minorHAnsi"/>
          </w:rPr>
          <w:t>https://citylimits.org/2016/06/20/nycha-responds-to-fiscal-crisis-with-embrace-of-private-sector/</w:t>
        </w:r>
      </w:hyperlink>
      <w:r w:rsidR="1FCE5CEB" w:rsidRPr="003F1F20">
        <w:rPr>
          <w:rFonts w:eastAsia="Times New Roman" w:cstheme="minorHAnsi"/>
        </w:rPr>
        <w:t>.</w:t>
      </w:r>
    </w:p>
  </w:footnote>
  <w:footnote w:id="55">
    <w:p w14:paraId="4D3AB3C2" w14:textId="24087AB4" w:rsidR="3E1795EE" w:rsidRPr="003F1F20" w:rsidRDefault="3E1795EE" w:rsidP="00CB071C">
      <w:pPr>
        <w:pStyle w:val="FootnoteText"/>
        <w:rPr>
          <w:rFonts w:eastAsia="Times New Roman" w:cstheme="minorHAnsi"/>
        </w:rPr>
      </w:pPr>
      <w:r w:rsidRPr="003F1F20">
        <w:rPr>
          <w:rStyle w:val="FootnoteReference"/>
          <w:rFonts w:cstheme="minorHAnsi"/>
        </w:rPr>
        <w:footnoteRef/>
      </w:r>
      <w:r w:rsidRPr="003F1F20">
        <w:rPr>
          <w:rFonts w:cstheme="minorHAnsi"/>
        </w:rPr>
        <w:t xml:space="preserve"> </w:t>
      </w:r>
      <w:r w:rsidRPr="003F1F20">
        <w:rPr>
          <w:rFonts w:eastAsia="Times New Roman" w:cstheme="minorHAnsi"/>
        </w:rPr>
        <w:t xml:space="preserve">Committee on Aging Hearing Transcript, Apr. 7, 2021, </w:t>
      </w:r>
      <w:r w:rsidRPr="003F1F20">
        <w:rPr>
          <w:rFonts w:eastAsia="Times New Roman" w:cstheme="minorHAnsi"/>
          <w:i/>
          <w:iCs/>
        </w:rPr>
        <w:t>available at</w:t>
      </w:r>
      <w:r w:rsidRPr="003F1F20">
        <w:rPr>
          <w:rFonts w:eastAsia="Times New Roman" w:cstheme="minorHAnsi"/>
        </w:rPr>
        <w:t xml:space="preserve"> </w:t>
      </w:r>
      <w:hyperlink r:id="rId31">
        <w:r w:rsidRPr="003F1F20">
          <w:rPr>
            <w:rStyle w:val="Hyperlink"/>
            <w:rFonts w:eastAsia="Times New Roman" w:cstheme="minorHAnsi"/>
          </w:rPr>
          <w:t>https://legistar.council.nyc.gov/LegislationDetail.aspx?ID=4890296&amp;GUID=CF2BE48E-947A-4201-AD77-F47A1AD8E489&amp;Options=&amp;Search=</w:t>
        </w:r>
      </w:hyperlink>
      <w:r w:rsidRPr="003F1F20">
        <w:rPr>
          <w:rFonts w:eastAsia="Times New Roman" w:cstheme="minorHAnsi"/>
        </w:rPr>
        <w:t xml:space="preserve"> at p. 79.</w:t>
      </w:r>
    </w:p>
  </w:footnote>
  <w:footnote w:id="56">
    <w:p w14:paraId="7BF5EDF8" w14:textId="77777777" w:rsidR="00DB39AD" w:rsidRPr="003F1F20" w:rsidRDefault="00DB39AD" w:rsidP="00EE35FD">
      <w:pPr>
        <w:spacing w:after="0" w:line="240" w:lineRule="auto"/>
        <w:rPr>
          <w:rFonts w:cstheme="minorHAnsi"/>
          <w:sz w:val="20"/>
          <w:szCs w:val="20"/>
        </w:rPr>
      </w:pPr>
      <w:r w:rsidRPr="003F1F20">
        <w:rPr>
          <w:rStyle w:val="FootnoteReference"/>
          <w:rFonts w:cstheme="minorHAnsi"/>
          <w:sz w:val="20"/>
          <w:szCs w:val="20"/>
        </w:rPr>
        <w:footnoteRef/>
      </w:r>
      <w:r w:rsidRPr="003F1F20">
        <w:rPr>
          <w:rFonts w:cstheme="minorHAnsi"/>
          <w:sz w:val="20"/>
          <w:szCs w:val="20"/>
        </w:rPr>
        <w:t xml:space="preserve"> </w:t>
      </w:r>
      <w:r w:rsidRPr="003F1F20">
        <w:rPr>
          <w:rStyle w:val="normaltextrun"/>
          <w:rFonts w:cstheme="minorHAnsi"/>
          <w:color w:val="000000"/>
          <w:sz w:val="20"/>
          <w:szCs w:val="20"/>
          <w:shd w:val="clear" w:color="auto" w:fill="FFFFFF"/>
        </w:rPr>
        <w:t>Tatyana Turner, NYCHA’s RAD/PACT and Preservation Trust Plans, Explained (Aug. 15, 2023), </w:t>
      </w:r>
      <w:r w:rsidRPr="003F1F20">
        <w:rPr>
          <w:rStyle w:val="normaltextrun"/>
          <w:rFonts w:cstheme="minorHAnsi"/>
          <w:i/>
          <w:iCs/>
          <w:color w:val="000000"/>
          <w:sz w:val="20"/>
          <w:szCs w:val="20"/>
          <w:shd w:val="clear" w:color="auto" w:fill="FFFFFF"/>
        </w:rPr>
        <w:t>accessed at </w:t>
      </w:r>
      <w:hyperlink r:id="rId32" w:history="1">
        <w:r w:rsidRPr="003F1F20">
          <w:rPr>
            <w:rStyle w:val="Hyperlink"/>
            <w:rFonts w:cstheme="minorHAnsi"/>
            <w:sz w:val="20"/>
            <w:szCs w:val="20"/>
          </w:rPr>
          <w:t>https://citylimits.org/2023/08/15/nychas-rad-pact-and-preservation-trust-plans-explained/</w:t>
        </w:r>
      </w:hyperlink>
      <w:r w:rsidRPr="003F1F20">
        <w:rPr>
          <w:rStyle w:val="normaltextrun"/>
          <w:rFonts w:cstheme="minorHAnsi"/>
          <w:color w:val="000000"/>
          <w:sz w:val="20"/>
          <w:szCs w:val="20"/>
          <w:shd w:val="clear" w:color="auto" w:fill="FFFFFF"/>
        </w:rPr>
        <w:t xml:space="preserve">; NYCHA, Permanent Affordability Commitment Together (PACT) (n.d.), </w:t>
      </w:r>
      <w:r w:rsidRPr="003F1F20">
        <w:rPr>
          <w:rStyle w:val="normaltextrun"/>
          <w:rFonts w:cstheme="minorHAnsi"/>
          <w:i/>
          <w:color w:val="000000"/>
          <w:sz w:val="20"/>
          <w:szCs w:val="20"/>
          <w:shd w:val="clear" w:color="auto" w:fill="FFFFFF"/>
        </w:rPr>
        <w:t>accessed at</w:t>
      </w:r>
      <w:r w:rsidRPr="003F1F20">
        <w:rPr>
          <w:rStyle w:val="normaltextrun"/>
          <w:rFonts w:cstheme="minorHAnsi"/>
          <w:color w:val="000000"/>
          <w:sz w:val="20"/>
          <w:szCs w:val="20"/>
          <w:shd w:val="clear" w:color="auto" w:fill="FFFFFF"/>
        </w:rPr>
        <w:t xml:space="preserve"> </w:t>
      </w:r>
      <w:hyperlink r:id="rId33" w:history="1">
        <w:r w:rsidRPr="003F1F20">
          <w:rPr>
            <w:rStyle w:val="Hyperlink"/>
            <w:rFonts w:cstheme="minorHAnsi"/>
            <w:sz w:val="20"/>
            <w:szCs w:val="20"/>
            <w:shd w:val="clear" w:color="auto" w:fill="FFFFFF"/>
          </w:rPr>
          <w:t>https://www.nyc.gov/site/nycha/about/pact.page</w:t>
        </w:r>
      </w:hyperlink>
      <w:r w:rsidRPr="003F1F20">
        <w:rPr>
          <w:rStyle w:val="normaltextrun"/>
          <w:rFonts w:cstheme="minorHAnsi"/>
          <w:color w:val="000000"/>
          <w:sz w:val="20"/>
          <w:szCs w:val="20"/>
          <w:shd w:val="clear" w:color="auto" w:fill="FFFFFF"/>
        </w:rPr>
        <w:t>.   </w:t>
      </w:r>
    </w:p>
  </w:footnote>
  <w:footnote w:id="57">
    <w:p w14:paraId="24B74D57" w14:textId="77777777" w:rsidR="00DB39AD" w:rsidRPr="003F1F20" w:rsidRDefault="00DB39AD">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58">
    <w:p w14:paraId="271EBB07" w14:textId="77777777" w:rsidR="00DB39AD" w:rsidRPr="003F1F20" w:rsidRDefault="00DB39AD" w:rsidP="00DB39AD">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59">
    <w:p w14:paraId="60F9CCC3" w14:textId="77777777" w:rsidR="00DB39AD" w:rsidRPr="003F1F20" w:rsidRDefault="00DB39AD" w:rsidP="00DB39AD">
      <w:pPr>
        <w:pStyle w:val="FootnoteText"/>
        <w:rPr>
          <w:rFonts w:cstheme="minorHAnsi"/>
        </w:rPr>
      </w:pPr>
      <w:r w:rsidRPr="003F1F20">
        <w:rPr>
          <w:rStyle w:val="FootnoteReference"/>
          <w:rFonts w:cstheme="minorHAnsi"/>
        </w:rPr>
        <w:footnoteRef/>
      </w:r>
      <w:r w:rsidRPr="003F1F20">
        <w:rPr>
          <w:rFonts w:cstheme="minorHAnsi"/>
        </w:rPr>
        <w:t xml:space="preserve"> NYCHA, NYCHA Celebrates Landmark Year Improving Residents’ Quality of Life, Bringing Total Investment Through PACT to Nearly $7 Billion to Date (Dec. 17, 2024), </w:t>
      </w:r>
      <w:r w:rsidRPr="003F1F20">
        <w:rPr>
          <w:rFonts w:cstheme="minorHAnsi"/>
          <w:i/>
        </w:rPr>
        <w:t>accessed at</w:t>
      </w:r>
      <w:r w:rsidRPr="003F1F20">
        <w:rPr>
          <w:rFonts w:cstheme="minorHAnsi"/>
        </w:rPr>
        <w:t xml:space="preserve"> </w:t>
      </w:r>
      <w:hyperlink r:id="rId34" w:history="1">
        <w:r w:rsidRPr="003F1F20">
          <w:rPr>
            <w:rStyle w:val="Hyperlink"/>
            <w:rFonts w:cstheme="minorHAnsi"/>
          </w:rPr>
          <w:t>https://www.nyc.gov/site/nycha/about/press/pr-2024/pr-20241217.page</w:t>
        </w:r>
      </w:hyperlink>
      <w:r w:rsidRPr="003F1F20">
        <w:rPr>
          <w:rFonts w:cstheme="minorHAnsi"/>
        </w:rPr>
        <w:t xml:space="preserve">; Office of the Mayor of the City of New York, Mayor de Blasio Announces 62,000 NYCHA Apartments To Receive Comprehensive Repairs (Nov. 19, 2018), </w:t>
      </w:r>
      <w:r w:rsidRPr="003F1F20">
        <w:rPr>
          <w:rFonts w:cstheme="minorHAnsi"/>
          <w:i/>
        </w:rPr>
        <w:t xml:space="preserve">accessed at </w:t>
      </w:r>
      <w:hyperlink r:id="rId35" w:anchor="/0" w:history="1">
        <w:r w:rsidRPr="003F1F20">
          <w:rPr>
            <w:rStyle w:val="Hyperlink"/>
            <w:rFonts w:cstheme="minorHAnsi"/>
          </w:rPr>
          <w:t>https://www.nyc.gov/office-of-the-mayor/news/565-18/mayor-de-blasio-62-000-nycha-apartments-receive-comprehensive-repairs#/0</w:t>
        </w:r>
      </w:hyperlink>
      <w:r w:rsidRPr="003F1F20">
        <w:rPr>
          <w:rFonts w:cstheme="minorHAnsi"/>
        </w:rPr>
        <w:t xml:space="preserve">.  </w:t>
      </w:r>
    </w:p>
  </w:footnote>
  <w:footnote w:id="60">
    <w:p w14:paraId="6A315125" w14:textId="3BAB7290" w:rsidR="00DB39AD" w:rsidRPr="003F1F20" w:rsidRDefault="00DB39AD" w:rsidP="00DB39AD">
      <w:pPr>
        <w:pStyle w:val="FootnoteText"/>
        <w:rPr>
          <w:rFonts w:cstheme="minorHAnsi"/>
        </w:rPr>
      </w:pPr>
      <w:r w:rsidRPr="003F1F20">
        <w:rPr>
          <w:rStyle w:val="FootnoteReference"/>
          <w:rFonts w:cstheme="minorHAnsi"/>
        </w:rPr>
        <w:footnoteRef/>
      </w:r>
      <w:r w:rsidR="00837A9C">
        <w:rPr>
          <w:rFonts w:cstheme="minorHAnsi"/>
        </w:rPr>
        <w:t xml:space="preserve"> NYC Council</w:t>
      </w:r>
      <w:r w:rsidRPr="003F1F20">
        <w:rPr>
          <w:rFonts w:cstheme="minorHAnsi"/>
        </w:rPr>
        <w:t xml:space="preserve">, Oversight: The Impact of PACT/RAD (May 3, 2022), </w:t>
      </w:r>
      <w:r w:rsidRPr="003F1F20">
        <w:rPr>
          <w:rFonts w:cstheme="minorHAnsi"/>
          <w:i/>
        </w:rPr>
        <w:t xml:space="preserve">accessed at </w:t>
      </w:r>
      <w:hyperlink r:id="rId36" w:history="1">
        <w:r w:rsidRPr="003F1F20">
          <w:rPr>
            <w:rStyle w:val="Hyperlink"/>
            <w:rFonts w:cstheme="minorHAnsi"/>
          </w:rPr>
          <w:t>https://legistar.council.nyc.gov/LegislationDetail.aspx?ID=5559582&amp;GUID=383DE9F4-57B6-4887-A96E-1DB95EE8ADB7&amp;Options=ID|Text|&amp;Search=PACT</w:t>
        </w:r>
      </w:hyperlink>
      <w:r w:rsidRPr="003F1F20">
        <w:rPr>
          <w:rFonts w:cstheme="minorHAnsi"/>
        </w:rPr>
        <w:t xml:space="preserve">; The New York City Council, Oversight: RAD/PACT Conversions: Smoothing Transitions and Providing Clarity (Apr. 19, 2024), </w:t>
      </w:r>
      <w:r w:rsidRPr="003F1F20">
        <w:rPr>
          <w:rFonts w:cstheme="minorHAnsi"/>
          <w:i/>
        </w:rPr>
        <w:t xml:space="preserve">accessed at </w:t>
      </w:r>
      <w:hyperlink r:id="rId37" w:history="1">
        <w:r w:rsidRPr="003F1F20">
          <w:rPr>
            <w:rStyle w:val="Hyperlink"/>
            <w:rFonts w:cstheme="minorHAnsi"/>
          </w:rPr>
          <w:t>https://legistar.council.nyc.gov/MeetingDetail.aspx?ID=1187271&amp;GUID=52D42EE8-06AA-4755-9E12-9455B84A8208&amp;Options=info|&amp;Search</w:t>
        </w:r>
      </w:hyperlink>
      <w:r w:rsidRPr="003F1F20">
        <w:rPr>
          <w:rFonts w:cstheme="minorHAnsi"/>
        </w:rPr>
        <w:t>=.</w:t>
      </w:r>
    </w:p>
  </w:footnote>
  <w:footnote w:id="61">
    <w:p w14:paraId="0102DF66" w14:textId="7E62EE53" w:rsidR="00DB39AD" w:rsidRPr="003F1F20" w:rsidRDefault="00DB39AD" w:rsidP="00DB39AD">
      <w:pPr>
        <w:pStyle w:val="FootnoteText"/>
        <w:rPr>
          <w:rFonts w:cstheme="minorHAnsi"/>
        </w:rPr>
      </w:pPr>
      <w:r w:rsidRPr="003F1F20">
        <w:rPr>
          <w:rStyle w:val="FootnoteReference"/>
          <w:rFonts w:cstheme="minorHAnsi"/>
        </w:rPr>
        <w:footnoteRef/>
      </w:r>
      <w:r w:rsidR="00837A9C">
        <w:rPr>
          <w:rFonts w:cstheme="minorHAnsi"/>
        </w:rPr>
        <w:t xml:space="preserve"> NYC Council</w:t>
      </w:r>
      <w:r w:rsidRPr="003F1F20">
        <w:rPr>
          <w:rFonts w:cstheme="minorHAnsi"/>
        </w:rPr>
        <w:t xml:space="preserve">, Oversight: RAD/PACT Conversions: Smoothing Transitions and </w:t>
      </w:r>
    </w:p>
    <w:p w14:paraId="6640EF32" w14:textId="77777777" w:rsidR="00DB39AD" w:rsidRPr="003F1F20" w:rsidRDefault="00DB39AD" w:rsidP="00DB39AD">
      <w:pPr>
        <w:pStyle w:val="FootnoteText"/>
        <w:rPr>
          <w:rFonts w:cstheme="minorHAnsi"/>
        </w:rPr>
      </w:pPr>
      <w:r w:rsidRPr="003F1F20">
        <w:rPr>
          <w:rFonts w:cstheme="minorHAnsi"/>
        </w:rPr>
        <w:t xml:space="preserve">Providing Clarity (Apr. 19, 2024), </w:t>
      </w:r>
      <w:r w:rsidRPr="003F1F20">
        <w:rPr>
          <w:rFonts w:cstheme="minorHAnsi"/>
          <w:i/>
        </w:rPr>
        <w:t xml:space="preserve">accessed at </w:t>
      </w:r>
      <w:hyperlink r:id="rId38" w:history="1">
        <w:r w:rsidRPr="003F1F20">
          <w:rPr>
            <w:rStyle w:val="Hyperlink"/>
            <w:rFonts w:cstheme="minorHAnsi"/>
          </w:rPr>
          <w:t>https://legistar.council.nyc.gov/MeetingDetail.aspx?ID=1187271&amp;GUID=52D42EE8-06AA-4755-9E12-9455B84A8208&amp;Options=info|&amp;Search</w:t>
        </w:r>
      </w:hyperlink>
      <w:r w:rsidRPr="003F1F20">
        <w:rPr>
          <w:rFonts w:cstheme="minorHAnsi"/>
        </w:rPr>
        <w:t xml:space="preserve">=. </w:t>
      </w:r>
    </w:p>
  </w:footnote>
  <w:footnote w:id="62">
    <w:p w14:paraId="64253245" w14:textId="529B88F2" w:rsidR="00DB39AD" w:rsidRPr="003F1F20" w:rsidRDefault="00DB39AD" w:rsidP="00DB39AD">
      <w:pPr>
        <w:pStyle w:val="FootnoteText"/>
        <w:rPr>
          <w:rFonts w:cstheme="minorHAnsi"/>
        </w:rPr>
      </w:pPr>
      <w:r w:rsidRPr="003F1F20">
        <w:rPr>
          <w:rStyle w:val="FootnoteReference"/>
          <w:rFonts w:cstheme="minorHAnsi"/>
        </w:rPr>
        <w:footnoteRef/>
      </w:r>
      <w:r w:rsidR="00837A9C">
        <w:rPr>
          <w:rFonts w:cstheme="minorHAnsi"/>
        </w:rPr>
        <w:t xml:space="preserve"> NYC Council</w:t>
      </w:r>
      <w:r w:rsidRPr="003F1F20">
        <w:rPr>
          <w:rFonts w:cstheme="minorHAnsi"/>
        </w:rPr>
        <w:t xml:space="preserve">, Oversight: The Impact of PACT/RAD (May 3, 2022), </w:t>
      </w:r>
      <w:r w:rsidRPr="003F1F20">
        <w:rPr>
          <w:rFonts w:cstheme="minorHAnsi"/>
          <w:i/>
        </w:rPr>
        <w:t xml:space="preserve">accessed at </w:t>
      </w:r>
      <w:hyperlink r:id="rId39" w:history="1">
        <w:r w:rsidRPr="003F1F20">
          <w:rPr>
            <w:rStyle w:val="Hyperlink"/>
            <w:rFonts w:cstheme="minorHAnsi"/>
          </w:rPr>
          <w:t>https://legistar.council.nyc.gov/LegislationDetail.aspx?ID=5559582&amp;GUID=383DE9F4-57B6-4887-A96E-1DB95EE8ADB7&amp;Options=ID|Text|&amp;Search=PACT</w:t>
        </w:r>
      </w:hyperlink>
      <w:r w:rsidRPr="003F1F20">
        <w:rPr>
          <w:rFonts w:cstheme="minorHAnsi"/>
        </w:rPr>
        <w:t xml:space="preserve">. </w:t>
      </w:r>
    </w:p>
  </w:footnote>
  <w:footnote w:id="63">
    <w:p w14:paraId="020675F5" w14:textId="77777777" w:rsidR="00DB39AD" w:rsidRPr="003F1F20" w:rsidRDefault="00DB39AD" w:rsidP="00DB39AD">
      <w:pPr>
        <w:pStyle w:val="FootnoteText"/>
        <w:rPr>
          <w:rFonts w:cstheme="minorHAnsi"/>
        </w:rPr>
      </w:pPr>
      <w:r w:rsidRPr="003F1F20">
        <w:rPr>
          <w:rStyle w:val="FootnoteReference"/>
          <w:rFonts w:cstheme="minorHAnsi"/>
        </w:rPr>
        <w:footnoteRef/>
      </w:r>
      <w:r w:rsidRPr="003F1F20">
        <w:rPr>
          <w:rFonts w:cstheme="minorHAnsi"/>
        </w:rPr>
        <w:t xml:space="preserve"> Greg Smith, How NYCHA Allegedly Closed the Book on Repairs It Didn’t Do (Dec. 22, 2020), </w:t>
      </w:r>
      <w:r w:rsidRPr="003F1F20">
        <w:rPr>
          <w:rFonts w:cstheme="minorHAnsi"/>
          <w:i/>
        </w:rPr>
        <w:t>accessed at</w:t>
      </w:r>
      <w:r w:rsidRPr="003F1F20">
        <w:rPr>
          <w:rFonts w:cstheme="minorHAnsi"/>
          <w:i/>
          <w:u w:val="single"/>
        </w:rPr>
        <w:t xml:space="preserve"> </w:t>
      </w:r>
      <w:hyperlink r:id="rId40" w:history="1">
        <w:r w:rsidRPr="003F1F20">
          <w:rPr>
            <w:rStyle w:val="Hyperlink"/>
            <w:rFonts w:cstheme="minorHAnsi"/>
          </w:rPr>
          <w:t>https://www.thecity.nyc/2020/12/22/nycha-open-repairs-mold-rad-privatization-public-housing/</w:t>
        </w:r>
      </w:hyperlink>
      <w:r w:rsidRPr="003F1F20">
        <w:rPr>
          <w:rFonts w:cstheme="minorHAnsi"/>
        </w:rPr>
        <w:t xml:space="preserve">. </w:t>
      </w:r>
    </w:p>
  </w:footnote>
  <w:footnote w:id="64">
    <w:p w14:paraId="4CE7F944" w14:textId="77777777" w:rsidR="00DB39AD" w:rsidRPr="003F1F20" w:rsidRDefault="00DB39AD" w:rsidP="00DB39AD">
      <w:pPr>
        <w:pStyle w:val="FootnoteText"/>
        <w:rPr>
          <w:rFonts w:cstheme="minorHAnsi"/>
        </w:rPr>
      </w:pPr>
      <w:r w:rsidRPr="003F1F20">
        <w:rPr>
          <w:rStyle w:val="FootnoteReference"/>
          <w:rFonts w:cstheme="minorHAnsi"/>
        </w:rPr>
        <w:footnoteRef/>
      </w:r>
      <w:r w:rsidRPr="003F1F20">
        <w:rPr>
          <w:rFonts w:cstheme="minorHAnsi"/>
        </w:rPr>
        <w:t xml:space="preserve"> Office of the New York City Comptroller, NYC Comptroller Audit Finds that Evictions in NYCHA’s PACT Properties Take Place at a Significantly Higher Rate than Traditional NYCHA Developments (Dec. 18, 2024), </w:t>
      </w:r>
      <w:r w:rsidRPr="003F1F20">
        <w:rPr>
          <w:rFonts w:cstheme="minorHAnsi"/>
          <w:i/>
        </w:rPr>
        <w:t xml:space="preserve">accessed at </w:t>
      </w:r>
      <w:hyperlink r:id="rId41" w:history="1">
        <w:r w:rsidRPr="003F1F20">
          <w:rPr>
            <w:rStyle w:val="Hyperlink"/>
            <w:rFonts w:cstheme="minorHAnsi"/>
          </w:rPr>
          <w:t>https://comptroller.nyc.gov/newsroom/nyc-comptroller-audit-finds-that-evictions-in-nychas-pact-properties-take-place-at-a-significantly-higher-rate-than-traditional-nycha-developments/</w:t>
        </w:r>
      </w:hyperlink>
      <w:r w:rsidRPr="003F1F20">
        <w:rPr>
          <w:rFonts w:cstheme="minorHAnsi"/>
        </w:rPr>
        <w:t xml:space="preserve">. </w:t>
      </w:r>
    </w:p>
  </w:footnote>
  <w:footnote w:id="65">
    <w:p w14:paraId="7A52878F" w14:textId="77777777" w:rsidR="00DB39AD" w:rsidRPr="003F1F20" w:rsidRDefault="00DB39AD" w:rsidP="00DB39AD">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66">
    <w:p w14:paraId="4B277255" w14:textId="77777777" w:rsidR="00DB39AD" w:rsidRPr="003F1F20" w:rsidRDefault="00DB39AD" w:rsidP="00DB39AD">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67">
    <w:p w14:paraId="435A0A9C" w14:textId="77777777" w:rsidR="00DB39AD" w:rsidRPr="003F1F20" w:rsidRDefault="00DB39AD" w:rsidP="00DB39AD">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r w:rsidRPr="003F1F20">
        <w:rPr>
          <w:rFonts w:cstheme="minorHAnsi"/>
        </w:rPr>
        <w:t xml:space="preserve">. </w:t>
      </w:r>
    </w:p>
  </w:footnote>
  <w:footnote w:id="68">
    <w:p w14:paraId="7055D371" w14:textId="2BE97904" w:rsidR="00DB39AD" w:rsidRPr="00837A9C" w:rsidRDefault="00DB39AD" w:rsidP="00DB39AD">
      <w:pPr>
        <w:pStyle w:val="FootnoteText"/>
        <w:rPr>
          <w:rFonts w:cstheme="minorHAnsi"/>
        </w:rPr>
      </w:pPr>
      <w:r w:rsidRPr="003F1F20">
        <w:rPr>
          <w:rStyle w:val="FootnoteReference"/>
          <w:rFonts w:cstheme="minorHAnsi"/>
        </w:rPr>
        <w:footnoteRef/>
      </w:r>
      <w:r w:rsidRPr="003F1F20">
        <w:rPr>
          <w:rFonts w:cstheme="minorHAnsi"/>
        </w:rPr>
        <w:t xml:space="preserve"> </w:t>
      </w:r>
      <w:r w:rsidR="00837A9C" w:rsidRPr="003F1F20">
        <w:rPr>
          <w:rFonts w:cstheme="minorHAnsi"/>
        </w:rPr>
        <w:t xml:space="preserve">Office of the New York City Comptroller, NYC Comptroller Audit Finds that Evictions in NYCHA’s PACT Properties Take Place at a Significantly Higher Rate than Traditional NYCHA Developments (Dec. 18, 2024), </w:t>
      </w:r>
      <w:r w:rsidR="00837A9C" w:rsidRPr="003F1F20">
        <w:rPr>
          <w:rFonts w:cstheme="minorHAnsi"/>
          <w:i/>
        </w:rPr>
        <w:t xml:space="preserve">accessed at </w:t>
      </w:r>
      <w:hyperlink r:id="rId42" w:history="1">
        <w:r w:rsidR="00837A9C" w:rsidRPr="003F1F20">
          <w:rPr>
            <w:rStyle w:val="Hyperlink"/>
            <w:rFonts w:cstheme="minorHAnsi"/>
          </w:rPr>
          <w:t>https://comptroller.nyc.gov/newsroom/nyc-comptroller-audit-finds-that-evictions-in-nychas-pact-properties-take-place-at-a-significantly-higher-rate-than-traditional-nycha-developments/</w:t>
        </w:r>
      </w:hyperlink>
      <w:r w:rsidR="00837A9C" w:rsidRPr="003F1F20">
        <w:rPr>
          <w:rFonts w:cstheme="minorHAnsi"/>
        </w:rPr>
        <w:t>.</w:t>
      </w:r>
    </w:p>
  </w:footnote>
  <w:footnote w:id="69">
    <w:p w14:paraId="4AE45A5D" w14:textId="77777777" w:rsidR="007161DF" w:rsidRPr="003F1F20" w:rsidRDefault="007161DF" w:rsidP="007161DF">
      <w:pPr>
        <w:pStyle w:val="FootnoteText"/>
        <w:rPr>
          <w:rFonts w:cstheme="minorHAnsi"/>
        </w:rPr>
      </w:pPr>
      <w:r w:rsidRPr="003F1F20">
        <w:rPr>
          <w:rStyle w:val="FootnoteReference"/>
          <w:rFonts w:cstheme="minorHAnsi"/>
        </w:rPr>
        <w:footnoteRef/>
      </w:r>
      <w:r w:rsidRPr="003F1F20">
        <w:rPr>
          <w:rFonts w:cstheme="minorHAnsi"/>
        </w:rPr>
        <w:t xml:space="preserve"> The 2018 federal complaint leading to the creation of the NYCHA Monitorship Agreement referenced a culture of cover-ups at NYCHA where actions to minimize problems or make false statements were frequent, </w:t>
      </w:r>
      <w:r w:rsidRPr="003F1F20">
        <w:rPr>
          <w:rFonts w:cstheme="minorHAnsi"/>
          <w:i/>
        </w:rPr>
        <w:t xml:space="preserve">see </w:t>
      </w:r>
      <w:hyperlink r:id="rId43" w:history="1">
        <w:r w:rsidRPr="003F1F20">
          <w:rPr>
            <w:rStyle w:val="Hyperlink"/>
            <w:rFonts w:cstheme="minorHAnsi"/>
          </w:rPr>
          <w:t>https://www.justice.gov/usao-sdny/page/file/1074866/dl?inline</w:t>
        </w:r>
      </w:hyperlink>
      <w:r w:rsidRPr="003F1F20">
        <w:rPr>
          <w:rFonts w:cstheme="minorHAnsi"/>
        </w:rPr>
        <w:t xml:space="preserve">=; 70 current and former NYCHA employees were also charged in February, 2024, with bribery and extortion offenses, </w:t>
      </w:r>
      <w:r w:rsidRPr="003F1F20">
        <w:rPr>
          <w:rFonts w:cstheme="minorHAnsi"/>
          <w:i/>
        </w:rPr>
        <w:t xml:space="preserve">see </w:t>
      </w:r>
      <w:hyperlink r:id="rId44" w:history="1">
        <w:r w:rsidRPr="003F1F20">
          <w:rPr>
            <w:rStyle w:val="Hyperlink"/>
            <w:rFonts w:cstheme="minorHAnsi"/>
          </w:rPr>
          <w:t>https://www.justice.gov/usao-sdny/pr/70-current-and-former-nycha-employees-charged-bribery-and-extortion-offenses</w:t>
        </w:r>
      </w:hyperlink>
      <w:r w:rsidRPr="003F1F20">
        <w:rPr>
          <w:rFonts w:cstheme="minorHAnsi"/>
        </w:rPr>
        <w:t xml:space="preserve">.  </w:t>
      </w:r>
    </w:p>
  </w:footnote>
  <w:footnote w:id="70">
    <w:p w14:paraId="356B710F" w14:textId="6FE36110" w:rsidR="007161DF" w:rsidRPr="003F1F20" w:rsidRDefault="007161DF" w:rsidP="007161DF">
      <w:pPr>
        <w:pStyle w:val="FootnoteText"/>
        <w:rPr>
          <w:rFonts w:cstheme="minorHAnsi"/>
        </w:rPr>
      </w:pPr>
      <w:r w:rsidRPr="003F1F20">
        <w:rPr>
          <w:rStyle w:val="FootnoteReference"/>
          <w:rFonts w:cstheme="minorHAnsi"/>
        </w:rPr>
        <w:footnoteRef/>
      </w:r>
      <w:r w:rsidR="00837A9C">
        <w:rPr>
          <w:rFonts w:cstheme="minorHAnsi"/>
        </w:rPr>
        <w:t xml:space="preserve"> NYC Council</w:t>
      </w:r>
      <w:r w:rsidRPr="003F1F20">
        <w:rPr>
          <w:rFonts w:cstheme="minorHAnsi"/>
        </w:rPr>
        <w:t xml:space="preserve">, Oversight: The Impact of PACT/RAD (May 3, 2022), </w:t>
      </w:r>
      <w:r w:rsidRPr="003F1F20">
        <w:rPr>
          <w:rFonts w:cstheme="minorHAnsi"/>
          <w:i/>
        </w:rPr>
        <w:t xml:space="preserve">accessed at </w:t>
      </w:r>
      <w:hyperlink r:id="rId45" w:history="1">
        <w:r w:rsidRPr="003F1F20">
          <w:rPr>
            <w:rStyle w:val="Hyperlink"/>
            <w:rFonts w:cstheme="minorHAnsi"/>
          </w:rPr>
          <w:t>https://legistar.council.nyc.gov/LegislationDetail.aspx?ID=5559582&amp;GUID=383DE9F4-57B6-4887-A96E-1DB95EE8ADB7&amp;Options=ID|Text|&amp;Search=PACT</w:t>
        </w:r>
      </w:hyperlink>
      <w:r w:rsidRPr="003F1F20">
        <w:rPr>
          <w:rFonts w:cstheme="minorHAnsi"/>
        </w:rPr>
        <w:t xml:space="preserve">; The New York City Council, Oversight: RAD/PACT Conversions: Smoothing Transitions and Providing Clarity (Apr. 19, 2024), </w:t>
      </w:r>
      <w:r w:rsidRPr="003F1F20">
        <w:rPr>
          <w:rFonts w:cstheme="minorHAnsi"/>
          <w:i/>
        </w:rPr>
        <w:t xml:space="preserve">accessed at </w:t>
      </w:r>
      <w:hyperlink r:id="rId46" w:history="1">
        <w:r w:rsidRPr="003F1F20">
          <w:rPr>
            <w:rStyle w:val="Hyperlink"/>
            <w:rFonts w:cstheme="minorHAnsi"/>
          </w:rPr>
          <w:t>https://legistar.council.nyc.gov/MeetingDetail.aspx?ID=1187271&amp;GUID=52D42EE8-06AA-4755-9E12-9455B84A8208&amp;Options=info|&amp;Search</w:t>
        </w:r>
      </w:hyperlink>
      <w:r w:rsidRPr="003F1F20">
        <w:rPr>
          <w:rFonts w:cstheme="minorHAnsi"/>
        </w:rPr>
        <w:t xml:space="preserve">=; Tatyana Turner, Concerns About PACT Private Management Program Take the Spotlight at Annual NYCHA Hearing (Aug. 15, 2024), </w:t>
      </w:r>
      <w:r w:rsidRPr="003F1F20">
        <w:rPr>
          <w:rFonts w:cstheme="minorHAnsi"/>
          <w:i/>
        </w:rPr>
        <w:t xml:space="preserve">accessed at </w:t>
      </w:r>
      <w:hyperlink r:id="rId47" w:history="1">
        <w:r w:rsidRPr="003F1F20">
          <w:rPr>
            <w:rStyle w:val="Hyperlink"/>
            <w:rFonts w:cstheme="minorHAnsi"/>
          </w:rPr>
          <w:t>https://citylimits.org/2024/08/15/concerns-about-pact-private-management-program-take-the-spotlight-at-annual-nycha-hearing/</w:t>
        </w:r>
      </w:hyperlink>
      <w:r w:rsidRPr="003F1F20">
        <w:rPr>
          <w:rFonts w:cstheme="minorHAnsi"/>
        </w:rPr>
        <w:t>.</w:t>
      </w:r>
    </w:p>
  </w:footnote>
  <w:footnote w:id="71">
    <w:p w14:paraId="75DD2D07" w14:textId="77777777" w:rsidR="007161DF" w:rsidRPr="003F1F20" w:rsidRDefault="007161DF" w:rsidP="007161DF">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r w:rsidRPr="003F1F20">
        <w:rPr>
          <w:rFonts w:cstheme="minorHAnsi"/>
        </w:rPr>
        <w:t>.</w:t>
      </w:r>
    </w:p>
  </w:footnote>
  <w:footnote w:id="72">
    <w:p w14:paraId="41156AEA" w14:textId="547ECBA6" w:rsidR="007161DF" w:rsidRPr="00837A9C" w:rsidRDefault="007161DF" w:rsidP="007161DF">
      <w:pPr>
        <w:pStyle w:val="FootnoteText"/>
        <w:rPr>
          <w:rFonts w:cstheme="minorHAnsi"/>
        </w:rPr>
      </w:pPr>
      <w:r w:rsidRPr="003F1F20">
        <w:rPr>
          <w:rStyle w:val="FootnoteReference"/>
          <w:rFonts w:cstheme="minorHAnsi"/>
        </w:rPr>
        <w:footnoteRef/>
      </w:r>
      <w:r w:rsidRPr="003F1F20">
        <w:rPr>
          <w:rFonts w:cstheme="minorHAnsi"/>
        </w:rPr>
        <w:t xml:space="preserve"> </w:t>
      </w:r>
      <w:r w:rsidR="00837A9C">
        <w:rPr>
          <w:rFonts w:cstheme="minorHAnsi"/>
        </w:rPr>
        <w:t>NYC Council</w:t>
      </w:r>
      <w:r w:rsidR="00837A9C" w:rsidRPr="003F1F20">
        <w:rPr>
          <w:rFonts w:cstheme="minorHAnsi"/>
        </w:rPr>
        <w:t xml:space="preserve">, Oversight: The Impact of PACT/RAD (May 3, 2022), </w:t>
      </w:r>
      <w:r w:rsidR="00837A9C" w:rsidRPr="003F1F20">
        <w:rPr>
          <w:rFonts w:cstheme="minorHAnsi"/>
          <w:i/>
        </w:rPr>
        <w:t xml:space="preserve">accessed at </w:t>
      </w:r>
      <w:hyperlink r:id="rId48" w:history="1">
        <w:r w:rsidR="00837A9C" w:rsidRPr="003F1F20">
          <w:rPr>
            <w:rStyle w:val="Hyperlink"/>
            <w:rFonts w:cstheme="minorHAnsi"/>
          </w:rPr>
          <w:t>https://legistar.council.nyc.gov/LegislationDetail.aspx?ID=5559582&amp;GUID=383DE9F4-57B6-4887-A96E-1DB95EE8ADB7&amp;Options=ID|Text|&amp;Search=PACT</w:t>
        </w:r>
      </w:hyperlink>
      <w:r w:rsidR="00837A9C" w:rsidRPr="003F1F20">
        <w:rPr>
          <w:rFonts w:cstheme="minorHAnsi"/>
        </w:rPr>
        <w:t xml:space="preserve">; The New York City Council, Oversight: RAD/PACT Conversions: Smoothing Transitions and Providing Clarity (Apr. 19, 2024), </w:t>
      </w:r>
      <w:r w:rsidR="00837A9C" w:rsidRPr="003F1F20">
        <w:rPr>
          <w:rFonts w:cstheme="minorHAnsi"/>
          <w:i/>
        </w:rPr>
        <w:t xml:space="preserve">accessed at </w:t>
      </w:r>
      <w:hyperlink r:id="rId49" w:history="1">
        <w:r w:rsidR="00837A9C" w:rsidRPr="003F1F20">
          <w:rPr>
            <w:rStyle w:val="Hyperlink"/>
            <w:rFonts w:cstheme="minorHAnsi"/>
          </w:rPr>
          <w:t>https://legistar.council.nyc.gov/MeetingDetail.aspx?ID=1187271&amp;GUID=52D42EE8-06AA-4755-9E12-9455B84A8208&amp;Options=info|&amp;Search</w:t>
        </w:r>
      </w:hyperlink>
      <w:r w:rsidR="00837A9C" w:rsidRPr="003F1F20">
        <w:rPr>
          <w:rFonts w:cstheme="minorHAnsi"/>
        </w:rPr>
        <w:t xml:space="preserve">=; Tatyana Turner, Concerns About PACT Private Management Program Take the Spotlight at Annual NYCHA Hearing (Aug. 15, 2024), </w:t>
      </w:r>
      <w:r w:rsidR="00837A9C" w:rsidRPr="003F1F20">
        <w:rPr>
          <w:rFonts w:cstheme="minorHAnsi"/>
          <w:i/>
        </w:rPr>
        <w:t xml:space="preserve">accessed at </w:t>
      </w:r>
      <w:hyperlink r:id="rId50" w:history="1">
        <w:r w:rsidR="00837A9C" w:rsidRPr="003F1F20">
          <w:rPr>
            <w:rStyle w:val="Hyperlink"/>
            <w:rFonts w:cstheme="minorHAnsi"/>
          </w:rPr>
          <w:t>https://citylimits.org/2024/08/15/concerns-about-pact-private-management-program-take-the-spotlight-at-annual-nycha-hearing/</w:t>
        </w:r>
      </w:hyperlink>
      <w:r w:rsidR="00837A9C" w:rsidRPr="003F1F20">
        <w:rPr>
          <w:rFonts w:cstheme="minorHAnsi"/>
        </w:rPr>
        <w:t>.</w:t>
      </w:r>
    </w:p>
  </w:footnote>
  <w:footnote w:id="73">
    <w:p w14:paraId="6DB37922" w14:textId="3821EBED" w:rsidR="007161DF" w:rsidRPr="003F1F20" w:rsidRDefault="007161DF" w:rsidP="007161DF">
      <w:pPr>
        <w:pStyle w:val="FootnoteText"/>
        <w:rPr>
          <w:rFonts w:cstheme="minorHAnsi"/>
        </w:rPr>
      </w:pPr>
      <w:r w:rsidRPr="003F1F20">
        <w:rPr>
          <w:rStyle w:val="FootnoteReference"/>
          <w:rFonts w:cstheme="minorHAnsi"/>
        </w:rPr>
        <w:footnoteRef/>
      </w:r>
      <w:r w:rsidRPr="003F1F20">
        <w:rPr>
          <w:rFonts w:cstheme="minorHAnsi"/>
        </w:rPr>
        <w:t xml:space="preserve"> </w:t>
      </w:r>
      <w:r w:rsidR="00D6775B" w:rsidRPr="003F1F20">
        <w:rPr>
          <w:rFonts w:cstheme="minorHAnsi"/>
        </w:rPr>
        <w:t xml:space="preserve">NYCHA First Monitor Letter and Final Report (Mar. 19, 2024), </w:t>
      </w:r>
      <w:r w:rsidR="00D6775B" w:rsidRPr="003F1F20">
        <w:rPr>
          <w:rFonts w:cstheme="minorHAnsi"/>
          <w:i/>
        </w:rPr>
        <w:t xml:space="preserve">accessed at </w:t>
      </w:r>
      <w:hyperlink r:id="rId51" w:history="1">
        <w:r w:rsidRPr="003F1F20">
          <w:rPr>
            <w:rStyle w:val="Hyperlink"/>
            <w:rFonts w:cstheme="minorHAnsi"/>
          </w:rPr>
          <w:t>https://www.nyc.gov/assets/nycha/downloads/pdf/NYCHA-Monitor-Letter-and-Final-Report-3.19.2024.pdf</w:t>
        </w:r>
      </w:hyperlink>
      <w:r w:rsidRPr="003F1F20">
        <w:rPr>
          <w:rFonts w:cstheme="minorHAnsi"/>
        </w:rPr>
        <w:t xml:space="preserve">. </w:t>
      </w:r>
    </w:p>
  </w:footnote>
  <w:footnote w:id="74">
    <w:p w14:paraId="193AFD4C" w14:textId="7C0824C6" w:rsidR="007161DF" w:rsidRPr="003F1F20" w:rsidRDefault="007161DF" w:rsidP="007161DF">
      <w:pPr>
        <w:pStyle w:val="FootnoteText"/>
        <w:rPr>
          <w:rFonts w:cstheme="minorHAnsi"/>
        </w:rPr>
      </w:pPr>
      <w:r w:rsidRPr="003F1F20">
        <w:rPr>
          <w:rStyle w:val="FootnoteReference"/>
          <w:rFonts w:cstheme="minorHAnsi"/>
        </w:rPr>
        <w:footnoteRef/>
      </w:r>
      <w:r w:rsidRPr="003F1F20">
        <w:rPr>
          <w:rFonts w:cstheme="minorHAnsi"/>
        </w:rPr>
        <w:t xml:space="preserve"> </w:t>
      </w:r>
      <w:r w:rsidR="00D6775B" w:rsidRPr="003F1F20">
        <w:rPr>
          <w:rFonts w:cstheme="minorHAnsi"/>
        </w:rPr>
        <w:t xml:space="preserve">NYCHA Monitor Second Quarterly Report (Dec. 19, 2024), </w:t>
      </w:r>
      <w:r w:rsidR="00D6775B" w:rsidRPr="003F1F20">
        <w:rPr>
          <w:rFonts w:cstheme="minorHAnsi"/>
          <w:i/>
        </w:rPr>
        <w:t xml:space="preserve">accessed at </w:t>
      </w:r>
      <w:hyperlink r:id="rId52" w:history="1">
        <w:r w:rsidRPr="003F1F20">
          <w:rPr>
            <w:rStyle w:val="Hyperlink"/>
            <w:rFonts w:cstheme="minorHAnsi"/>
          </w:rPr>
          <w:t>https://www.nyc.gov/assets/nycha/downloads/pdf/NYCHA-Monitorship-Report-12.19.2024.pdf</w:t>
        </w:r>
      </w:hyperlink>
      <w:r w:rsidRPr="003F1F20">
        <w:rPr>
          <w:rFonts w:cstheme="minorHAnsi"/>
        </w:rPr>
        <w:t xml:space="preserve">. </w:t>
      </w:r>
    </w:p>
  </w:footnote>
  <w:footnote w:id="75">
    <w:p w14:paraId="07140E7A" w14:textId="77777777" w:rsidR="007161DF" w:rsidRPr="003F1F20" w:rsidRDefault="007161DF" w:rsidP="007161DF">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r w:rsidRPr="003F1F20">
        <w:rPr>
          <w:rFonts w:cstheme="minorHAnsi"/>
        </w:rPr>
        <w:t xml:space="preserve">. </w:t>
      </w:r>
    </w:p>
  </w:footnote>
  <w:footnote w:id="76">
    <w:p w14:paraId="277C04D6" w14:textId="77777777" w:rsidR="007161DF" w:rsidRPr="003F1F20" w:rsidRDefault="007161DF" w:rsidP="007161DF">
      <w:pPr>
        <w:pStyle w:val="FootnoteText"/>
        <w:rPr>
          <w:rFonts w:cstheme="minorHAnsi"/>
        </w:rPr>
      </w:pPr>
      <w:r w:rsidRPr="003F1F20">
        <w:rPr>
          <w:rStyle w:val="FootnoteReference"/>
          <w:rFonts w:cstheme="minorHAnsi"/>
        </w:rPr>
        <w:footnoteRef/>
      </w:r>
      <w:r w:rsidRPr="003F1F20">
        <w:rPr>
          <w:rFonts w:cstheme="minorHAnsi"/>
        </w:rPr>
        <w:t xml:space="preserve"> WE ACT for Environmental Justice and Members of WE ACT’s NYCHA Healthy Homes Working Group Respond to the New York City Council’s Oversight Hearing on RAD/PACT, the Trust, &amp; the Future of the New York City Housing Authority (Nov. 15, 2023), </w:t>
      </w:r>
      <w:r w:rsidRPr="003F1F20">
        <w:rPr>
          <w:rFonts w:cstheme="minorHAnsi"/>
          <w:i/>
        </w:rPr>
        <w:t xml:space="preserve">accessed at </w:t>
      </w:r>
      <w:hyperlink r:id="rId53" w:history="1">
        <w:r w:rsidRPr="003F1F20">
          <w:rPr>
            <w:rStyle w:val="Hyperlink"/>
            <w:rFonts w:cstheme="minorHAnsi"/>
          </w:rPr>
          <w:t>https://www.weact.org/2023/11/we-act-for-environmental-justice-and-members-of-we-acts-nycha-healthy-homes-working-group-respond-to-the-new-york-city-councils-oversight-hearing-on-rad-pact-the-trust-the-future/</w:t>
        </w:r>
      </w:hyperlink>
      <w:r w:rsidRPr="003F1F20">
        <w:rPr>
          <w:rFonts w:cstheme="minorHAnsi"/>
        </w:rPr>
        <w:t xml:space="preserve">; The New York City Council, Oversight: RAD/PACT Conversions: Smoothing Transitions and Providing Clarity (Apr. 19, 2024), </w:t>
      </w:r>
      <w:r w:rsidRPr="003F1F20">
        <w:rPr>
          <w:rFonts w:cstheme="minorHAnsi"/>
          <w:i/>
        </w:rPr>
        <w:t xml:space="preserve">accessed at </w:t>
      </w:r>
      <w:hyperlink r:id="rId54" w:history="1">
        <w:r w:rsidRPr="003F1F20">
          <w:rPr>
            <w:rStyle w:val="Hyperlink"/>
            <w:rFonts w:cstheme="minorHAnsi"/>
          </w:rPr>
          <w:t>https://legistar.council.nyc.gov/MeetingDetail.aspx?ID=1187271&amp;GUID=52D42EE8-06AA-4755-9E12-9455B84A8208&amp;Options=info|&amp;Search</w:t>
        </w:r>
      </w:hyperlink>
      <w:r w:rsidRPr="003F1F20">
        <w:rPr>
          <w:rFonts w:cstheme="minorHAnsi"/>
        </w:rPr>
        <w:t xml:space="preserve">=; Office of the New York City Comptroller, Repairs, Reviews, and Resident Voice (Nov. 20, 2024), </w:t>
      </w:r>
      <w:r w:rsidRPr="003F1F20">
        <w:rPr>
          <w:rFonts w:cstheme="minorHAnsi"/>
          <w:i/>
        </w:rPr>
        <w:t>accessed at</w:t>
      </w:r>
      <w:r w:rsidRPr="003F1F20">
        <w:rPr>
          <w:rFonts w:cstheme="minorHAnsi"/>
        </w:rPr>
        <w:t xml:space="preserve"> </w:t>
      </w:r>
      <w:hyperlink r:id="rId55" w:history="1">
        <w:r w:rsidRPr="003F1F20">
          <w:rPr>
            <w:rStyle w:val="Hyperlink"/>
            <w:rFonts w:cstheme="minorHAnsi"/>
          </w:rPr>
          <w:t>https://comptroller.nyc.gov/reports/repairs-reviews-and-resident-voice/</w:t>
        </w:r>
      </w:hyperlink>
      <w:r w:rsidRPr="003F1F20">
        <w:rPr>
          <w:rFonts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1FCE5CEB" w14:paraId="49EF2A64" w14:textId="77777777" w:rsidTr="1FCE5CEB">
      <w:trPr>
        <w:trHeight w:val="300"/>
      </w:trPr>
      <w:tc>
        <w:tcPr>
          <w:tcW w:w="3120" w:type="dxa"/>
        </w:tcPr>
        <w:p w14:paraId="233664B4" w14:textId="21588B97" w:rsidR="1FCE5CEB" w:rsidRDefault="1FCE5CEB" w:rsidP="1FCE5CEB">
          <w:pPr>
            <w:pStyle w:val="Header"/>
            <w:ind w:left="-115"/>
          </w:pPr>
        </w:p>
      </w:tc>
      <w:tc>
        <w:tcPr>
          <w:tcW w:w="3120" w:type="dxa"/>
        </w:tcPr>
        <w:p w14:paraId="527DD7AC" w14:textId="69546D3C" w:rsidR="1FCE5CEB" w:rsidRDefault="1FCE5CEB" w:rsidP="1FCE5CEB">
          <w:pPr>
            <w:pStyle w:val="Header"/>
            <w:jc w:val="center"/>
          </w:pPr>
        </w:p>
      </w:tc>
      <w:tc>
        <w:tcPr>
          <w:tcW w:w="3120" w:type="dxa"/>
        </w:tcPr>
        <w:p w14:paraId="7207D17A" w14:textId="338CD7D0" w:rsidR="1FCE5CEB" w:rsidRDefault="1FCE5CEB" w:rsidP="1FCE5CEB">
          <w:pPr>
            <w:pStyle w:val="Header"/>
            <w:ind w:right="-115"/>
            <w:jc w:val="right"/>
          </w:pPr>
        </w:p>
      </w:tc>
    </w:tr>
  </w:tbl>
  <w:p w14:paraId="14C15138" w14:textId="50579AE7" w:rsidR="1FCE5CEB" w:rsidRDefault="1FCE5CEB" w:rsidP="1FCE5CE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D6E2D"/>
    <w:multiLevelType w:val="hybridMultilevel"/>
    <w:tmpl w:val="1A2446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535D8"/>
    <w:multiLevelType w:val="hybridMultilevel"/>
    <w:tmpl w:val="7ADCA6E0"/>
    <w:lvl w:ilvl="0" w:tplc="BACEF99C">
      <w:start w:val="467"/>
      <w:numFmt w:val="bullet"/>
      <w:lvlText w:val="-"/>
      <w:lvlJc w:val="left"/>
      <w:pPr>
        <w:ind w:left="720" w:hanging="360"/>
      </w:pPr>
      <w:rPr>
        <w:rFonts w:ascii="Times New Roman Bold" w:eastAsiaTheme="minorHAnsi" w:hAnsi="Times New Roman Bold"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C2124"/>
    <w:multiLevelType w:val="hybridMultilevel"/>
    <w:tmpl w:val="612C3B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A4058"/>
    <w:multiLevelType w:val="hybridMultilevel"/>
    <w:tmpl w:val="888A97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001B0"/>
    <w:multiLevelType w:val="hybridMultilevel"/>
    <w:tmpl w:val="9502026C"/>
    <w:lvl w:ilvl="0" w:tplc="6232AEBA">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C30AA"/>
    <w:multiLevelType w:val="hybridMultilevel"/>
    <w:tmpl w:val="BC12907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034D9D"/>
    <w:multiLevelType w:val="hybridMultilevel"/>
    <w:tmpl w:val="AB882998"/>
    <w:lvl w:ilvl="0" w:tplc="3278AF54">
      <w:start w:val="1"/>
      <w:numFmt w:val="lowerLetter"/>
      <w:lvlText w:val="%1."/>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756675"/>
    <w:multiLevelType w:val="multilevel"/>
    <w:tmpl w:val="C408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B7709E"/>
    <w:multiLevelType w:val="hybridMultilevel"/>
    <w:tmpl w:val="A43C0126"/>
    <w:lvl w:ilvl="0" w:tplc="101EAB82">
      <w:start w:val="1"/>
      <w:numFmt w:val="lowerLetter"/>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A042C6"/>
    <w:multiLevelType w:val="hybridMultilevel"/>
    <w:tmpl w:val="EA8E0C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D00DC5"/>
    <w:multiLevelType w:val="hybridMultilevel"/>
    <w:tmpl w:val="DD769B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2100D7"/>
    <w:multiLevelType w:val="hybridMultilevel"/>
    <w:tmpl w:val="14E01E42"/>
    <w:lvl w:ilvl="0" w:tplc="53488330">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14D4D"/>
    <w:multiLevelType w:val="hybridMultilevel"/>
    <w:tmpl w:val="F804770E"/>
    <w:lvl w:ilvl="0" w:tplc="BE72B980">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E879AF"/>
    <w:multiLevelType w:val="hybridMultilevel"/>
    <w:tmpl w:val="FA9A7BA0"/>
    <w:lvl w:ilvl="0" w:tplc="E00E25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5D101E"/>
    <w:multiLevelType w:val="hybridMultilevel"/>
    <w:tmpl w:val="7D98ABB4"/>
    <w:lvl w:ilvl="0" w:tplc="639A6112">
      <w:numFmt w:val="bullet"/>
      <w:lvlText w:val="-"/>
      <w:lvlJc w:val="left"/>
      <w:pPr>
        <w:ind w:left="720" w:hanging="360"/>
      </w:pPr>
      <w:rPr>
        <w:rFonts w:ascii="Times New Roman Bold" w:eastAsiaTheme="minorHAnsi" w:hAnsi="Times New Roman Bo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45E76"/>
    <w:multiLevelType w:val="hybridMultilevel"/>
    <w:tmpl w:val="A3B8765C"/>
    <w:lvl w:ilvl="0" w:tplc="FDF068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842BAA"/>
    <w:multiLevelType w:val="multilevel"/>
    <w:tmpl w:val="434E7212"/>
    <w:styleLink w:val="CurrentList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46660D07"/>
    <w:multiLevelType w:val="hybridMultilevel"/>
    <w:tmpl w:val="251E7386"/>
    <w:lvl w:ilvl="0" w:tplc="389C49E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372340"/>
    <w:multiLevelType w:val="hybridMultilevel"/>
    <w:tmpl w:val="FBCEC7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0A391D"/>
    <w:multiLevelType w:val="hybridMultilevel"/>
    <w:tmpl w:val="A890515A"/>
    <w:lvl w:ilvl="0" w:tplc="49ACD7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5E3135"/>
    <w:multiLevelType w:val="hybridMultilevel"/>
    <w:tmpl w:val="FB8CDC7E"/>
    <w:lvl w:ilvl="0" w:tplc="E4621FE6">
      <w:start w:val="1"/>
      <w:numFmt w:val="upperRoman"/>
      <w:lvlText w:val="%1."/>
      <w:lvlJc w:val="left"/>
      <w:pPr>
        <w:ind w:left="720" w:hanging="576"/>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34058F"/>
    <w:multiLevelType w:val="hybridMultilevel"/>
    <w:tmpl w:val="3D3C7FE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9638D5"/>
    <w:multiLevelType w:val="hybridMultilevel"/>
    <w:tmpl w:val="908CCACA"/>
    <w:lvl w:ilvl="0" w:tplc="42AC31F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BDA7E3"/>
    <w:multiLevelType w:val="hybridMultilevel"/>
    <w:tmpl w:val="434E7212"/>
    <w:lvl w:ilvl="0" w:tplc="C00628C0">
      <w:start w:val="1"/>
      <w:numFmt w:val="decimal"/>
      <w:lvlText w:val="%1."/>
      <w:lvlJc w:val="left"/>
      <w:pPr>
        <w:ind w:left="1080" w:hanging="360"/>
      </w:pPr>
    </w:lvl>
    <w:lvl w:ilvl="1" w:tplc="95AA0DD8">
      <w:start w:val="1"/>
      <w:numFmt w:val="lowerLetter"/>
      <w:lvlText w:val="%2."/>
      <w:lvlJc w:val="left"/>
      <w:pPr>
        <w:ind w:left="1800" w:hanging="360"/>
      </w:pPr>
    </w:lvl>
    <w:lvl w:ilvl="2" w:tplc="84EE045C">
      <w:start w:val="1"/>
      <w:numFmt w:val="lowerRoman"/>
      <w:lvlText w:val="%3."/>
      <w:lvlJc w:val="right"/>
      <w:pPr>
        <w:ind w:left="2520" w:hanging="180"/>
      </w:pPr>
    </w:lvl>
    <w:lvl w:ilvl="3" w:tplc="A4387B64">
      <w:start w:val="1"/>
      <w:numFmt w:val="decimal"/>
      <w:lvlText w:val="%4."/>
      <w:lvlJc w:val="left"/>
      <w:pPr>
        <w:ind w:left="3240" w:hanging="360"/>
      </w:pPr>
    </w:lvl>
    <w:lvl w:ilvl="4" w:tplc="2E62C37E">
      <w:start w:val="1"/>
      <w:numFmt w:val="lowerLetter"/>
      <w:lvlText w:val="%5."/>
      <w:lvlJc w:val="left"/>
      <w:pPr>
        <w:ind w:left="3960" w:hanging="360"/>
      </w:pPr>
    </w:lvl>
    <w:lvl w:ilvl="5" w:tplc="51C09A4A">
      <w:start w:val="1"/>
      <w:numFmt w:val="lowerRoman"/>
      <w:lvlText w:val="%6."/>
      <w:lvlJc w:val="right"/>
      <w:pPr>
        <w:ind w:left="4680" w:hanging="180"/>
      </w:pPr>
    </w:lvl>
    <w:lvl w:ilvl="6" w:tplc="7312F04A">
      <w:start w:val="1"/>
      <w:numFmt w:val="decimal"/>
      <w:lvlText w:val="%7."/>
      <w:lvlJc w:val="left"/>
      <w:pPr>
        <w:ind w:left="5400" w:hanging="360"/>
      </w:pPr>
    </w:lvl>
    <w:lvl w:ilvl="7" w:tplc="CF4651F6">
      <w:start w:val="1"/>
      <w:numFmt w:val="lowerLetter"/>
      <w:lvlText w:val="%8."/>
      <w:lvlJc w:val="left"/>
      <w:pPr>
        <w:ind w:left="6120" w:hanging="360"/>
      </w:pPr>
    </w:lvl>
    <w:lvl w:ilvl="8" w:tplc="D9A40D8E">
      <w:start w:val="1"/>
      <w:numFmt w:val="lowerRoman"/>
      <w:lvlText w:val="%9."/>
      <w:lvlJc w:val="right"/>
      <w:pPr>
        <w:ind w:left="6840" w:hanging="180"/>
      </w:pPr>
    </w:lvl>
  </w:abstractNum>
  <w:abstractNum w:abstractNumId="24" w15:restartNumberingAfterBreak="0">
    <w:nsid w:val="73572F4A"/>
    <w:multiLevelType w:val="hybridMultilevel"/>
    <w:tmpl w:val="1A2446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3"/>
  </w:num>
  <w:num w:numId="2">
    <w:abstractNumId w:val="20"/>
  </w:num>
  <w:num w:numId="3">
    <w:abstractNumId w:val="4"/>
  </w:num>
  <w:num w:numId="4">
    <w:abstractNumId w:val="1"/>
  </w:num>
  <w:num w:numId="5">
    <w:abstractNumId w:val="0"/>
  </w:num>
  <w:num w:numId="6">
    <w:abstractNumId w:val="24"/>
  </w:num>
  <w:num w:numId="7">
    <w:abstractNumId w:val="21"/>
  </w:num>
  <w:num w:numId="8">
    <w:abstractNumId w:val="10"/>
  </w:num>
  <w:num w:numId="9">
    <w:abstractNumId w:val="3"/>
  </w:num>
  <w:num w:numId="10">
    <w:abstractNumId w:val="5"/>
  </w:num>
  <w:num w:numId="11">
    <w:abstractNumId w:val="9"/>
  </w:num>
  <w:num w:numId="12">
    <w:abstractNumId w:val="18"/>
  </w:num>
  <w:num w:numId="13">
    <w:abstractNumId w:val="11"/>
  </w:num>
  <w:num w:numId="14">
    <w:abstractNumId w:val="17"/>
  </w:num>
  <w:num w:numId="15">
    <w:abstractNumId w:val="7"/>
  </w:num>
  <w:num w:numId="16">
    <w:abstractNumId w:val="13"/>
  </w:num>
  <w:num w:numId="17">
    <w:abstractNumId w:val="15"/>
  </w:num>
  <w:num w:numId="18">
    <w:abstractNumId w:val="8"/>
  </w:num>
  <w:num w:numId="19">
    <w:abstractNumId w:val="2"/>
  </w:num>
  <w:num w:numId="20">
    <w:abstractNumId w:val="6"/>
  </w:num>
  <w:num w:numId="21">
    <w:abstractNumId w:val="12"/>
  </w:num>
  <w:num w:numId="22">
    <w:abstractNumId w:val="22"/>
  </w:num>
  <w:num w:numId="23">
    <w:abstractNumId w:val="19"/>
  </w:num>
  <w:num w:numId="24">
    <w:abstractNumId w:val="1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553"/>
    <w:rsid w:val="00000517"/>
    <w:rsid w:val="00000F1E"/>
    <w:rsid w:val="000017BD"/>
    <w:rsid w:val="0000584C"/>
    <w:rsid w:val="00010AAE"/>
    <w:rsid w:val="00021CF5"/>
    <w:rsid w:val="00021E3B"/>
    <w:rsid w:val="00021F33"/>
    <w:rsid w:val="000264B7"/>
    <w:rsid w:val="00031950"/>
    <w:rsid w:val="00040837"/>
    <w:rsid w:val="000445F3"/>
    <w:rsid w:val="00045DF7"/>
    <w:rsid w:val="00046CA7"/>
    <w:rsid w:val="00050BE4"/>
    <w:rsid w:val="00072AD9"/>
    <w:rsid w:val="00077509"/>
    <w:rsid w:val="000916E1"/>
    <w:rsid w:val="000965EA"/>
    <w:rsid w:val="00096658"/>
    <w:rsid w:val="000975F2"/>
    <w:rsid w:val="000A4ACA"/>
    <w:rsid w:val="000A4BED"/>
    <w:rsid w:val="000B66B6"/>
    <w:rsid w:val="000C59BD"/>
    <w:rsid w:val="000C75FD"/>
    <w:rsid w:val="000C78F3"/>
    <w:rsid w:val="000D2B76"/>
    <w:rsid w:val="000D5DB4"/>
    <w:rsid w:val="000F236C"/>
    <w:rsid w:val="001043A6"/>
    <w:rsid w:val="00111D65"/>
    <w:rsid w:val="00114EB1"/>
    <w:rsid w:val="00132BB9"/>
    <w:rsid w:val="00137BFF"/>
    <w:rsid w:val="00137F91"/>
    <w:rsid w:val="001415F6"/>
    <w:rsid w:val="001425B5"/>
    <w:rsid w:val="00143AEB"/>
    <w:rsid w:val="00145DD9"/>
    <w:rsid w:val="00154619"/>
    <w:rsid w:val="00164704"/>
    <w:rsid w:val="00167B89"/>
    <w:rsid w:val="001722E0"/>
    <w:rsid w:val="001737F4"/>
    <w:rsid w:val="0017670B"/>
    <w:rsid w:val="00176ACC"/>
    <w:rsid w:val="00177CCE"/>
    <w:rsid w:val="00182B8C"/>
    <w:rsid w:val="00184AD8"/>
    <w:rsid w:val="001854DE"/>
    <w:rsid w:val="00192B00"/>
    <w:rsid w:val="001A4560"/>
    <w:rsid w:val="001B2678"/>
    <w:rsid w:val="001B3214"/>
    <w:rsid w:val="001B669F"/>
    <w:rsid w:val="001C5FB7"/>
    <w:rsid w:val="001D473C"/>
    <w:rsid w:val="001D6232"/>
    <w:rsid w:val="001D7238"/>
    <w:rsid w:val="001E2ADB"/>
    <w:rsid w:val="001E6C50"/>
    <w:rsid w:val="001F15B8"/>
    <w:rsid w:val="001F32AA"/>
    <w:rsid w:val="00200181"/>
    <w:rsid w:val="0021011B"/>
    <w:rsid w:val="00212B88"/>
    <w:rsid w:val="00220CEF"/>
    <w:rsid w:val="00225AEC"/>
    <w:rsid w:val="00234150"/>
    <w:rsid w:val="00235D3C"/>
    <w:rsid w:val="00247B96"/>
    <w:rsid w:val="0025055A"/>
    <w:rsid w:val="0025755A"/>
    <w:rsid w:val="00258757"/>
    <w:rsid w:val="00260A87"/>
    <w:rsid w:val="00260B28"/>
    <w:rsid w:val="00261D60"/>
    <w:rsid w:val="00271B1D"/>
    <w:rsid w:val="00275201"/>
    <w:rsid w:val="00280CB7"/>
    <w:rsid w:val="002817BD"/>
    <w:rsid w:val="002855D3"/>
    <w:rsid w:val="002979A5"/>
    <w:rsid w:val="002A740F"/>
    <w:rsid w:val="002B0075"/>
    <w:rsid w:val="002B1C62"/>
    <w:rsid w:val="002B3EDB"/>
    <w:rsid w:val="002C0510"/>
    <w:rsid w:val="002C4A01"/>
    <w:rsid w:val="002C4A1E"/>
    <w:rsid w:val="002D2277"/>
    <w:rsid w:val="002D4481"/>
    <w:rsid w:val="002D4669"/>
    <w:rsid w:val="002D6573"/>
    <w:rsid w:val="002E2040"/>
    <w:rsid w:val="002E2889"/>
    <w:rsid w:val="002E7332"/>
    <w:rsid w:val="002F456D"/>
    <w:rsid w:val="002F56C0"/>
    <w:rsid w:val="002F6553"/>
    <w:rsid w:val="002FED06"/>
    <w:rsid w:val="00300566"/>
    <w:rsid w:val="0031303A"/>
    <w:rsid w:val="003203E5"/>
    <w:rsid w:val="00322B2A"/>
    <w:rsid w:val="00327C0A"/>
    <w:rsid w:val="00332AFC"/>
    <w:rsid w:val="00333AE6"/>
    <w:rsid w:val="00333C03"/>
    <w:rsid w:val="0034017A"/>
    <w:rsid w:val="00347ACF"/>
    <w:rsid w:val="00347D1D"/>
    <w:rsid w:val="00350F0D"/>
    <w:rsid w:val="00357EDB"/>
    <w:rsid w:val="00366F1F"/>
    <w:rsid w:val="0036746D"/>
    <w:rsid w:val="00373363"/>
    <w:rsid w:val="00373769"/>
    <w:rsid w:val="003766E5"/>
    <w:rsid w:val="003828E3"/>
    <w:rsid w:val="00386FA4"/>
    <w:rsid w:val="003931F0"/>
    <w:rsid w:val="003933CF"/>
    <w:rsid w:val="00397CEF"/>
    <w:rsid w:val="003A10F5"/>
    <w:rsid w:val="003A6986"/>
    <w:rsid w:val="003A76A1"/>
    <w:rsid w:val="003B7ADC"/>
    <w:rsid w:val="003B7AE0"/>
    <w:rsid w:val="003C1CF3"/>
    <w:rsid w:val="003C2E4D"/>
    <w:rsid w:val="003D512D"/>
    <w:rsid w:val="003D7497"/>
    <w:rsid w:val="003E0471"/>
    <w:rsid w:val="003E0A51"/>
    <w:rsid w:val="003E1303"/>
    <w:rsid w:val="003E2CAE"/>
    <w:rsid w:val="003E3AD2"/>
    <w:rsid w:val="003E4C66"/>
    <w:rsid w:val="003F1F20"/>
    <w:rsid w:val="003F2CB7"/>
    <w:rsid w:val="003F7343"/>
    <w:rsid w:val="00405CF4"/>
    <w:rsid w:val="0040654D"/>
    <w:rsid w:val="00407E04"/>
    <w:rsid w:val="0041112A"/>
    <w:rsid w:val="00414255"/>
    <w:rsid w:val="0041672F"/>
    <w:rsid w:val="004204E5"/>
    <w:rsid w:val="00423180"/>
    <w:rsid w:val="00423D46"/>
    <w:rsid w:val="00425441"/>
    <w:rsid w:val="00427327"/>
    <w:rsid w:val="00430A08"/>
    <w:rsid w:val="0043589B"/>
    <w:rsid w:val="00435D61"/>
    <w:rsid w:val="00442440"/>
    <w:rsid w:val="00446246"/>
    <w:rsid w:val="00462FE1"/>
    <w:rsid w:val="004635F2"/>
    <w:rsid w:val="00463E53"/>
    <w:rsid w:val="0046474A"/>
    <w:rsid w:val="004712F2"/>
    <w:rsid w:val="00473D95"/>
    <w:rsid w:val="004851C1"/>
    <w:rsid w:val="004A341E"/>
    <w:rsid w:val="004A37D3"/>
    <w:rsid w:val="004A39EB"/>
    <w:rsid w:val="004A4F5A"/>
    <w:rsid w:val="004A649C"/>
    <w:rsid w:val="004B1B8C"/>
    <w:rsid w:val="004B4A20"/>
    <w:rsid w:val="004B5D17"/>
    <w:rsid w:val="004B66A7"/>
    <w:rsid w:val="004C3661"/>
    <w:rsid w:val="004C3ED1"/>
    <w:rsid w:val="004C5055"/>
    <w:rsid w:val="004D0AD0"/>
    <w:rsid w:val="004D4724"/>
    <w:rsid w:val="004D648A"/>
    <w:rsid w:val="004E624E"/>
    <w:rsid w:val="004E6F9A"/>
    <w:rsid w:val="005011A9"/>
    <w:rsid w:val="00501CED"/>
    <w:rsid w:val="0050550D"/>
    <w:rsid w:val="00506E51"/>
    <w:rsid w:val="005127C5"/>
    <w:rsid w:val="00515A21"/>
    <w:rsid w:val="00515DF0"/>
    <w:rsid w:val="00517802"/>
    <w:rsid w:val="005229DB"/>
    <w:rsid w:val="00523D87"/>
    <w:rsid w:val="0053291E"/>
    <w:rsid w:val="00537F3A"/>
    <w:rsid w:val="00543CD6"/>
    <w:rsid w:val="00563D4A"/>
    <w:rsid w:val="00572516"/>
    <w:rsid w:val="00572A68"/>
    <w:rsid w:val="00585204"/>
    <w:rsid w:val="0059199D"/>
    <w:rsid w:val="005938A4"/>
    <w:rsid w:val="005C3389"/>
    <w:rsid w:val="005C38F8"/>
    <w:rsid w:val="005C505C"/>
    <w:rsid w:val="005D530F"/>
    <w:rsid w:val="005D58B0"/>
    <w:rsid w:val="005D7BD4"/>
    <w:rsid w:val="005E3A14"/>
    <w:rsid w:val="005F1E38"/>
    <w:rsid w:val="005F380E"/>
    <w:rsid w:val="005F76EB"/>
    <w:rsid w:val="00602FA2"/>
    <w:rsid w:val="006047D3"/>
    <w:rsid w:val="0061297C"/>
    <w:rsid w:val="006131A0"/>
    <w:rsid w:val="00617A80"/>
    <w:rsid w:val="00620D35"/>
    <w:rsid w:val="00620EDF"/>
    <w:rsid w:val="00621026"/>
    <w:rsid w:val="00621F22"/>
    <w:rsid w:val="00623ABE"/>
    <w:rsid w:val="00623AD7"/>
    <w:rsid w:val="006319F4"/>
    <w:rsid w:val="00644AD5"/>
    <w:rsid w:val="00650635"/>
    <w:rsid w:val="00661492"/>
    <w:rsid w:val="00662FE8"/>
    <w:rsid w:val="0066480C"/>
    <w:rsid w:val="00665E43"/>
    <w:rsid w:val="006724E1"/>
    <w:rsid w:val="0067793A"/>
    <w:rsid w:val="00681197"/>
    <w:rsid w:val="00681A9B"/>
    <w:rsid w:val="00686AEC"/>
    <w:rsid w:val="00687691"/>
    <w:rsid w:val="00696BC6"/>
    <w:rsid w:val="00697DB1"/>
    <w:rsid w:val="006A1489"/>
    <w:rsid w:val="006A2A0F"/>
    <w:rsid w:val="006B1FA2"/>
    <w:rsid w:val="006B3120"/>
    <w:rsid w:val="006B4650"/>
    <w:rsid w:val="006C4D89"/>
    <w:rsid w:val="006E396A"/>
    <w:rsid w:val="006E3D35"/>
    <w:rsid w:val="006E4B36"/>
    <w:rsid w:val="006E67E2"/>
    <w:rsid w:val="006E7F6F"/>
    <w:rsid w:val="006F55BB"/>
    <w:rsid w:val="006F78EA"/>
    <w:rsid w:val="00715F5D"/>
    <w:rsid w:val="007161DF"/>
    <w:rsid w:val="00716BDF"/>
    <w:rsid w:val="00722CA5"/>
    <w:rsid w:val="00722DAE"/>
    <w:rsid w:val="0072372B"/>
    <w:rsid w:val="007248F3"/>
    <w:rsid w:val="00730B35"/>
    <w:rsid w:val="007342D8"/>
    <w:rsid w:val="00735650"/>
    <w:rsid w:val="007408AB"/>
    <w:rsid w:val="00747856"/>
    <w:rsid w:val="00763FDD"/>
    <w:rsid w:val="00780B37"/>
    <w:rsid w:val="00793F68"/>
    <w:rsid w:val="007A1635"/>
    <w:rsid w:val="007B45A1"/>
    <w:rsid w:val="007C0DDA"/>
    <w:rsid w:val="007C4D3B"/>
    <w:rsid w:val="007C6966"/>
    <w:rsid w:val="007C78A5"/>
    <w:rsid w:val="007D1213"/>
    <w:rsid w:val="007D3BC6"/>
    <w:rsid w:val="007D4E43"/>
    <w:rsid w:val="007D5E13"/>
    <w:rsid w:val="007E7ADF"/>
    <w:rsid w:val="007F4CA2"/>
    <w:rsid w:val="007F4FE3"/>
    <w:rsid w:val="00801889"/>
    <w:rsid w:val="008069EC"/>
    <w:rsid w:val="00811386"/>
    <w:rsid w:val="00811CA8"/>
    <w:rsid w:val="00823071"/>
    <w:rsid w:val="008236AA"/>
    <w:rsid w:val="008277B0"/>
    <w:rsid w:val="00837A9C"/>
    <w:rsid w:val="008421B3"/>
    <w:rsid w:val="00844454"/>
    <w:rsid w:val="00846E3E"/>
    <w:rsid w:val="008505B4"/>
    <w:rsid w:val="008567D9"/>
    <w:rsid w:val="00861D18"/>
    <w:rsid w:val="00877583"/>
    <w:rsid w:val="00882AA7"/>
    <w:rsid w:val="00882EFD"/>
    <w:rsid w:val="008838E1"/>
    <w:rsid w:val="00884889"/>
    <w:rsid w:val="00886DB4"/>
    <w:rsid w:val="00887A52"/>
    <w:rsid w:val="0089550F"/>
    <w:rsid w:val="008A2879"/>
    <w:rsid w:val="008A7C42"/>
    <w:rsid w:val="008B7245"/>
    <w:rsid w:val="008C7A97"/>
    <w:rsid w:val="008D5E4C"/>
    <w:rsid w:val="008E6B18"/>
    <w:rsid w:val="00911FC9"/>
    <w:rsid w:val="00912624"/>
    <w:rsid w:val="00920B66"/>
    <w:rsid w:val="00925591"/>
    <w:rsid w:val="00927549"/>
    <w:rsid w:val="009301DC"/>
    <w:rsid w:val="009305B1"/>
    <w:rsid w:val="009309D7"/>
    <w:rsid w:val="009327E1"/>
    <w:rsid w:val="00932D06"/>
    <w:rsid w:val="00935FF1"/>
    <w:rsid w:val="0094028C"/>
    <w:rsid w:val="00942BF7"/>
    <w:rsid w:val="00942CD3"/>
    <w:rsid w:val="009441D2"/>
    <w:rsid w:val="0094786A"/>
    <w:rsid w:val="00952B97"/>
    <w:rsid w:val="009578BC"/>
    <w:rsid w:val="00970148"/>
    <w:rsid w:val="00970C7C"/>
    <w:rsid w:val="00971565"/>
    <w:rsid w:val="009777C5"/>
    <w:rsid w:val="00977CC0"/>
    <w:rsid w:val="00977FF6"/>
    <w:rsid w:val="009841DC"/>
    <w:rsid w:val="009848D2"/>
    <w:rsid w:val="009A4A2F"/>
    <w:rsid w:val="009B7A5D"/>
    <w:rsid w:val="009C04E7"/>
    <w:rsid w:val="009C1598"/>
    <w:rsid w:val="009C1B6B"/>
    <w:rsid w:val="009C40FE"/>
    <w:rsid w:val="009C4E9E"/>
    <w:rsid w:val="009C628C"/>
    <w:rsid w:val="009C67D8"/>
    <w:rsid w:val="009D3246"/>
    <w:rsid w:val="009D39FA"/>
    <w:rsid w:val="009D3A4A"/>
    <w:rsid w:val="009D4F86"/>
    <w:rsid w:val="009D6726"/>
    <w:rsid w:val="009D6FDA"/>
    <w:rsid w:val="009D7C3B"/>
    <w:rsid w:val="009E0750"/>
    <w:rsid w:val="009E5C96"/>
    <w:rsid w:val="009F4E2F"/>
    <w:rsid w:val="009F5FF4"/>
    <w:rsid w:val="009F7981"/>
    <w:rsid w:val="009F7F77"/>
    <w:rsid w:val="00A02253"/>
    <w:rsid w:val="00A071D4"/>
    <w:rsid w:val="00A10FA0"/>
    <w:rsid w:val="00A12E15"/>
    <w:rsid w:val="00A153E4"/>
    <w:rsid w:val="00A1685C"/>
    <w:rsid w:val="00A17ACD"/>
    <w:rsid w:val="00A234E0"/>
    <w:rsid w:val="00A25E9C"/>
    <w:rsid w:val="00A40BC0"/>
    <w:rsid w:val="00A42CA4"/>
    <w:rsid w:val="00A44DB2"/>
    <w:rsid w:val="00A454C4"/>
    <w:rsid w:val="00A52CCB"/>
    <w:rsid w:val="00A67C4A"/>
    <w:rsid w:val="00A770BD"/>
    <w:rsid w:val="00A84C38"/>
    <w:rsid w:val="00A84EEA"/>
    <w:rsid w:val="00A87E0F"/>
    <w:rsid w:val="00A90DAC"/>
    <w:rsid w:val="00A9150F"/>
    <w:rsid w:val="00A91EE9"/>
    <w:rsid w:val="00A9754A"/>
    <w:rsid w:val="00AB0B7D"/>
    <w:rsid w:val="00AB3C66"/>
    <w:rsid w:val="00AB7951"/>
    <w:rsid w:val="00AC5CF5"/>
    <w:rsid w:val="00AC6785"/>
    <w:rsid w:val="00AD5D8C"/>
    <w:rsid w:val="00AF7538"/>
    <w:rsid w:val="00B01B82"/>
    <w:rsid w:val="00B052F4"/>
    <w:rsid w:val="00B05D11"/>
    <w:rsid w:val="00B1118E"/>
    <w:rsid w:val="00B11C72"/>
    <w:rsid w:val="00B14470"/>
    <w:rsid w:val="00B14EDB"/>
    <w:rsid w:val="00B23FFB"/>
    <w:rsid w:val="00B25073"/>
    <w:rsid w:val="00B318D7"/>
    <w:rsid w:val="00B37D0D"/>
    <w:rsid w:val="00B41FB4"/>
    <w:rsid w:val="00B442C8"/>
    <w:rsid w:val="00B4554E"/>
    <w:rsid w:val="00B6426F"/>
    <w:rsid w:val="00B70C18"/>
    <w:rsid w:val="00B80D20"/>
    <w:rsid w:val="00B80EA2"/>
    <w:rsid w:val="00B82681"/>
    <w:rsid w:val="00B8697C"/>
    <w:rsid w:val="00B93C2C"/>
    <w:rsid w:val="00BA08AC"/>
    <w:rsid w:val="00BA35A5"/>
    <w:rsid w:val="00BA3DEA"/>
    <w:rsid w:val="00BA531F"/>
    <w:rsid w:val="00BA5BB6"/>
    <w:rsid w:val="00BB0D33"/>
    <w:rsid w:val="00BB4594"/>
    <w:rsid w:val="00BB5917"/>
    <w:rsid w:val="00BD0C27"/>
    <w:rsid w:val="00BD370D"/>
    <w:rsid w:val="00BD3E54"/>
    <w:rsid w:val="00BD7C48"/>
    <w:rsid w:val="00BE0EA5"/>
    <w:rsid w:val="00BE2E2D"/>
    <w:rsid w:val="00BE324D"/>
    <w:rsid w:val="00BE6B25"/>
    <w:rsid w:val="00BE72BD"/>
    <w:rsid w:val="00BF510E"/>
    <w:rsid w:val="00BF73D7"/>
    <w:rsid w:val="00C00201"/>
    <w:rsid w:val="00C01149"/>
    <w:rsid w:val="00C07B00"/>
    <w:rsid w:val="00C119A3"/>
    <w:rsid w:val="00C16BAF"/>
    <w:rsid w:val="00C20D4B"/>
    <w:rsid w:val="00C2112F"/>
    <w:rsid w:val="00C22186"/>
    <w:rsid w:val="00C3221A"/>
    <w:rsid w:val="00C50F3E"/>
    <w:rsid w:val="00C56B7D"/>
    <w:rsid w:val="00C71E76"/>
    <w:rsid w:val="00C73848"/>
    <w:rsid w:val="00C81463"/>
    <w:rsid w:val="00C923C2"/>
    <w:rsid w:val="00C97906"/>
    <w:rsid w:val="00CA3002"/>
    <w:rsid w:val="00CB071C"/>
    <w:rsid w:val="00CB7385"/>
    <w:rsid w:val="00CC0974"/>
    <w:rsid w:val="00CC5FC5"/>
    <w:rsid w:val="00CD7A6A"/>
    <w:rsid w:val="00CE16CD"/>
    <w:rsid w:val="00CE5278"/>
    <w:rsid w:val="00CF0694"/>
    <w:rsid w:val="00CF0C83"/>
    <w:rsid w:val="00CF41D7"/>
    <w:rsid w:val="00CF47A1"/>
    <w:rsid w:val="00CF48EE"/>
    <w:rsid w:val="00CF5CB0"/>
    <w:rsid w:val="00D06656"/>
    <w:rsid w:val="00D11AAA"/>
    <w:rsid w:val="00D141B2"/>
    <w:rsid w:val="00D164A0"/>
    <w:rsid w:val="00D201DD"/>
    <w:rsid w:val="00D20B99"/>
    <w:rsid w:val="00D21616"/>
    <w:rsid w:val="00D365B7"/>
    <w:rsid w:val="00D40ACF"/>
    <w:rsid w:val="00D4330A"/>
    <w:rsid w:val="00D4530C"/>
    <w:rsid w:val="00D468DB"/>
    <w:rsid w:val="00D557CB"/>
    <w:rsid w:val="00D55B50"/>
    <w:rsid w:val="00D6775B"/>
    <w:rsid w:val="00D76426"/>
    <w:rsid w:val="00D84634"/>
    <w:rsid w:val="00D84BB6"/>
    <w:rsid w:val="00D87FB8"/>
    <w:rsid w:val="00D91FDA"/>
    <w:rsid w:val="00D93CC6"/>
    <w:rsid w:val="00D95F99"/>
    <w:rsid w:val="00D96595"/>
    <w:rsid w:val="00DA2825"/>
    <w:rsid w:val="00DA2A43"/>
    <w:rsid w:val="00DA2D9D"/>
    <w:rsid w:val="00DB2571"/>
    <w:rsid w:val="00DB39AD"/>
    <w:rsid w:val="00DB4A89"/>
    <w:rsid w:val="00DB7CC6"/>
    <w:rsid w:val="00DC106C"/>
    <w:rsid w:val="00DC16B7"/>
    <w:rsid w:val="00DC3EFA"/>
    <w:rsid w:val="00DD1270"/>
    <w:rsid w:val="00DD5CD5"/>
    <w:rsid w:val="00DD6501"/>
    <w:rsid w:val="00DD7DAD"/>
    <w:rsid w:val="00DE11C8"/>
    <w:rsid w:val="00DE28F3"/>
    <w:rsid w:val="00DE5BD3"/>
    <w:rsid w:val="00DF32B6"/>
    <w:rsid w:val="00DF7C9D"/>
    <w:rsid w:val="00E017BC"/>
    <w:rsid w:val="00E14049"/>
    <w:rsid w:val="00E14769"/>
    <w:rsid w:val="00E14A27"/>
    <w:rsid w:val="00E1767E"/>
    <w:rsid w:val="00E21E26"/>
    <w:rsid w:val="00E24002"/>
    <w:rsid w:val="00E309A5"/>
    <w:rsid w:val="00E3221B"/>
    <w:rsid w:val="00E374FA"/>
    <w:rsid w:val="00E44057"/>
    <w:rsid w:val="00E45D2C"/>
    <w:rsid w:val="00E46568"/>
    <w:rsid w:val="00E520BF"/>
    <w:rsid w:val="00E7018E"/>
    <w:rsid w:val="00E710D9"/>
    <w:rsid w:val="00E71AE5"/>
    <w:rsid w:val="00E72759"/>
    <w:rsid w:val="00E81A6D"/>
    <w:rsid w:val="00E82A0D"/>
    <w:rsid w:val="00E842ED"/>
    <w:rsid w:val="00E916B6"/>
    <w:rsid w:val="00E95240"/>
    <w:rsid w:val="00E964FB"/>
    <w:rsid w:val="00E97527"/>
    <w:rsid w:val="00EA2B06"/>
    <w:rsid w:val="00EA6247"/>
    <w:rsid w:val="00EB3614"/>
    <w:rsid w:val="00EC2449"/>
    <w:rsid w:val="00ED5556"/>
    <w:rsid w:val="00ED5D84"/>
    <w:rsid w:val="00ED69D0"/>
    <w:rsid w:val="00EE13C8"/>
    <w:rsid w:val="00EE35FD"/>
    <w:rsid w:val="00EE6F4B"/>
    <w:rsid w:val="00EF02CF"/>
    <w:rsid w:val="00EF3AB8"/>
    <w:rsid w:val="00EF72AB"/>
    <w:rsid w:val="00F01D04"/>
    <w:rsid w:val="00F02C06"/>
    <w:rsid w:val="00F042B9"/>
    <w:rsid w:val="00F16B9E"/>
    <w:rsid w:val="00F23602"/>
    <w:rsid w:val="00F24A99"/>
    <w:rsid w:val="00F345B5"/>
    <w:rsid w:val="00F34898"/>
    <w:rsid w:val="00F40608"/>
    <w:rsid w:val="00F54127"/>
    <w:rsid w:val="00F55982"/>
    <w:rsid w:val="00F66AD3"/>
    <w:rsid w:val="00F75473"/>
    <w:rsid w:val="00F770A8"/>
    <w:rsid w:val="00F85132"/>
    <w:rsid w:val="00F86386"/>
    <w:rsid w:val="00F87717"/>
    <w:rsid w:val="00FA1E06"/>
    <w:rsid w:val="00FB2DE2"/>
    <w:rsid w:val="00FD5963"/>
    <w:rsid w:val="00FD799C"/>
    <w:rsid w:val="00FE294C"/>
    <w:rsid w:val="00FF5F19"/>
    <w:rsid w:val="00FF65FA"/>
    <w:rsid w:val="011FEBA2"/>
    <w:rsid w:val="0122D744"/>
    <w:rsid w:val="014F7BB3"/>
    <w:rsid w:val="019752FB"/>
    <w:rsid w:val="019E4377"/>
    <w:rsid w:val="01BC805C"/>
    <w:rsid w:val="01C22396"/>
    <w:rsid w:val="01C7FBCD"/>
    <w:rsid w:val="02444CBA"/>
    <w:rsid w:val="0298969A"/>
    <w:rsid w:val="02D4C70B"/>
    <w:rsid w:val="02E71227"/>
    <w:rsid w:val="02E82605"/>
    <w:rsid w:val="0305B7CF"/>
    <w:rsid w:val="0335D179"/>
    <w:rsid w:val="0365DB64"/>
    <w:rsid w:val="0367DEDE"/>
    <w:rsid w:val="03768259"/>
    <w:rsid w:val="037DD83F"/>
    <w:rsid w:val="038E9CCA"/>
    <w:rsid w:val="03D19C1C"/>
    <w:rsid w:val="03DB0A02"/>
    <w:rsid w:val="03F93B6D"/>
    <w:rsid w:val="0401CA34"/>
    <w:rsid w:val="040DC02A"/>
    <w:rsid w:val="04735062"/>
    <w:rsid w:val="04B3AE09"/>
    <w:rsid w:val="04FDD575"/>
    <w:rsid w:val="051CFF0D"/>
    <w:rsid w:val="0590C35C"/>
    <w:rsid w:val="0597E2DE"/>
    <w:rsid w:val="05A739E7"/>
    <w:rsid w:val="05F75900"/>
    <w:rsid w:val="05FED86F"/>
    <w:rsid w:val="060A2D04"/>
    <w:rsid w:val="062C40B8"/>
    <w:rsid w:val="066F25F9"/>
    <w:rsid w:val="06941F6D"/>
    <w:rsid w:val="07504967"/>
    <w:rsid w:val="07639D77"/>
    <w:rsid w:val="07AD84B8"/>
    <w:rsid w:val="07C1818F"/>
    <w:rsid w:val="07E33830"/>
    <w:rsid w:val="08000909"/>
    <w:rsid w:val="0801D5F8"/>
    <w:rsid w:val="0813AD81"/>
    <w:rsid w:val="0819CF0D"/>
    <w:rsid w:val="081D38FD"/>
    <w:rsid w:val="0838A9DB"/>
    <w:rsid w:val="084ACFBA"/>
    <w:rsid w:val="0862F080"/>
    <w:rsid w:val="08A21649"/>
    <w:rsid w:val="08A29B05"/>
    <w:rsid w:val="08A90D5E"/>
    <w:rsid w:val="099C2892"/>
    <w:rsid w:val="09A79F58"/>
    <w:rsid w:val="09AB217F"/>
    <w:rsid w:val="09BC42D8"/>
    <w:rsid w:val="0A6BE941"/>
    <w:rsid w:val="0A71008A"/>
    <w:rsid w:val="0AAAF4E4"/>
    <w:rsid w:val="0AB53216"/>
    <w:rsid w:val="0B5BCC2D"/>
    <w:rsid w:val="0B65EADB"/>
    <w:rsid w:val="0B892664"/>
    <w:rsid w:val="0B9551A8"/>
    <w:rsid w:val="0BD6943C"/>
    <w:rsid w:val="0BD816EA"/>
    <w:rsid w:val="0C22E2D3"/>
    <w:rsid w:val="0C297911"/>
    <w:rsid w:val="0C5C5D2B"/>
    <w:rsid w:val="0C8CB2F3"/>
    <w:rsid w:val="0CA5028A"/>
    <w:rsid w:val="0D07B6C2"/>
    <w:rsid w:val="0D8143C5"/>
    <w:rsid w:val="0DE031CA"/>
    <w:rsid w:val="0E09F8E7"/>
    <w:rsid w:val="0E2178A3"/>
    <w:rsid w:val="0E5A3EA0"/>
    <w:rsid w:val="0E7EEEE2"/>
    <w:rsid w:val="0EC5316D"/>
    <w:rsid w:val="0F3F6DB4"/>
    <w:rsid w:val="0F599907"/>
    <w:rsid w:val="0F8E86E9"/>
    <w:rsid w:val="0FB5DFE4"/>
    <w:rsid w:val="0FB8DC91"/>
    <w:rsid w:val="10366EDB"/>
    <w:rsid w:val="107649B1"/>
    <w:rsid w:val="10C7ED28"/>
    <w:rsid w:val="113000B5"/>
    <w:rsid w:val="11356104"/>
    <w:rsid w:val="1135D105"/>
    <w:rsid w:val="115CFC14"/>
    <w:rsid w:val="11DA71E6"/>
    <w:rsid w:val="11F70695"/>
    <w:rsid w:val="1214D3DC"/>
    <w:rsid w:val="124B4CC4"/>
    <w:rsid w:val="124C7D6D"/>
    <w:rsid w:val="124D816D"/>
    <w:rsid w:val="125074AA"/>
    <w:rsid w:val="128ACA21"/>
    <w:rsid w:val="12B75E1E"/>
    <w:rsid w:val="12E5BB8B"/>
    <w:rsid w:val="13D6F2EA"/>
    <w:rsid w:val="1421DA0E"/>
    <w:rsid w:val="14314A42"/>
    <w:rsid w:val="146EB09C"/>
    <w:rsid w:val="14767B7B"/>
    <w:rsid w:val="14A08285"/>
    <w:rsid w:val="14C4DD06"/>
    <w:rsid w:val="1512242C"/>
    <w:rsid w:val="152A9379"/>
    <w:rsid w:val="153F0E45"/>
    <w:rsid w:val="15672BF7"/>
    <w:rsid w:val="160CEE50"/>
    <w:rsid w:val="1650D2C2"/>
    <w:rsid w:val="16626739"/>
    <w:rsid w:val="1680060F"/>
    <w:rsid w:val="16AEE36D"/>
    <w:rsid w:val="16BEF39B"/>
    <w:rsid w:val="17379CB3"/>
    <w:rsid w:val="174B7272"/>
    <w:rsid w:val="175311AE"/>
    <w:rsid w:val="1775449B"/>
    <w:rsid w:val="18175BC7"/>
    <w:rsid w:val="1817D542"/>
    <w:rsid w:val="181D2924"/>
    <w:rsid w:val="181EE726"/>
    <w:rsid w:val="183DD2CA"/>
    <w:rsid w:val="186CE24A"/>
    <w:rsid w:val="18B94ED0"/>
    <w:rsid w:val="18E42FFD"/>
    <w:rsid w:val="19059013"/>
    <w:rsid w:val="1956D913"/>
    <w:rsid w:val="195EEF24"/>
    <w:rsid w:val="198FCD72"/>
    <w:rsid w:val="19CB12F4"/>
    <w:rsid w:val="19EFD5FF"/>
    <w:rsid w:val="1A00ED4F"/>
    <w:rsid w:val="1A10DAB3"/>
    <w:rsid w:val="1A151841"/>
    <w:rsid w:val="1A20D94F"/>
    <w:rsid w:val="1A4D1A85"/>
    <w:rsid w:val="1A5B4805"/>
    <w:rsid w:val="1A6EDE1E"/>
    <w:rsid w:val="1A72413B"/>
    <w:rsid w:val="1AB1EFCA"/>
    <w:rsid w:val="1B2D23B1"/>
    <w:rsid w:val="1B4FAB7F"/>
    <w:rsid w:val="1B53E707"/>
    <w:rsid w:val="1B656EBC"/>
    <w:rsid w:val="1BB49E70"/>
    <w:rsid w:val="1BBEF152"/>
    <w:rsid w:val="1C32DF9E"/>
    <w:rsid w:val="1C4300CB"/>
    <w:rsid w:val="1C4DEB7B"/>
    <w:rsid w:val="1C9E60CC"/>
    <w:rsid w:val="1CB89845"/>
    <w:rsid w:val="1CC102A4"/>
    <w:rsid w:val="1CDC50EB"/>
    <w:rsid w:val="1CFFE6EE"/>
    <w:rsid w:val="1D020807"/>
    <w:rsid w:val="1D3B07CE"/>
    <w:rsid w:val="1D3B2B53"/>
    <w:rsid w:val="1D553273"/>
    <w:rsid w:val="1D675A20"/>
    <w:rsid w:val="1DAFB09B"/>
    <w:rsid w:val="1DCBCFEB"/>
    <w:rsid w:val="1E1D93A1"/>
    <w:rsid w:val="1E3317E6"/>
    <w:rsid w:val="1ECF7614"/>
    <w:rsid w:val="1F1C238D"/>
    <w:rsid w:val="1F303ABD"/>
    <w:rsid w:val="1F981F55"/>
    <w:rsid w:val="1FA7E526"/>
    <w:rsid w:val="1FAF8497"/>
    <w:rsid w:val="1FCE5CEB"/>
    <w:rsid w:val="1FD891FD"/>
    <w:rsid w:val="1FF3C60A"/>
    <w:rsid w:val="1FF8ED28"/>
    <w:rsid w:val="202F29F3"/>
    <w:rsid w:val="20834D69"/>
    <w:rsid w:val="209AC068"/>
    <w:rsid w:val="20BCF766"/>
    <w:rsid w:val="21036B6C"/>
    <w:rsid w:val="2114BD02"/>
    <w:rsid w:val="21246DA3"/>
    <w:rsid w:val="215D084E"/>
    <w:rsid w:val="219FD78B"/>
    <w:rsid w:val="21DA8237"/>
    <w:rsid w:val="21DBD6F5"/>
    <w:rsid w:val="2214A9BC"/>
    <w:rsid w:val="221E46A2"/>
    <w:rsid w:val="2243C39E"/>
    <w:rsid w:val="2244F3C8"/>
    <w:rsid w:val="224D751C"/>
    <w:rsid w:val="228813BB"/>
    <w:rsid w:val="2294CCDD"/>
    <w:rsid w:val="22A98D0F"/>
    <w:rsid w:val="22EC3114"/>
    <w:rsid w:val="2395B52E"/>
    <w:rsid w:val="23D62F26"/>
    <w:rsid w:val="245A98A3"/>
    <w:rsid w:val="2472FFE4"/>
    <w:rsid w:val="247C1B35"/>
    <w:rsid w:val="247DAD46"/>
    <w:rsid w:val="24937BBF"/>
    <w:rsid w:val="251506D8"/>
    <w:rsid w:val="255DADCA"/>
    <w:rsid w:val="257C3B6F"/>
    <w:rsid w:val="25944757"/>
    <w:rsid w:val="25FD59F7"/>
    <w:rsid w:val="2614F3FB"/>
    <w:rsid w:val="261953CE"/>
    <w:rsid w:val="263BC010"/>
    <w:rsid w:val="265012CD"/>
    <w:rsid w:val="26609DDB"/>
    <w:rsid w:val="26AFCB8E"/>
    <w:rsid w:val="26B63AD7"/>
    <w:rsid w:val="26CDAE25"/>
    <w:rsid w:val="26D89338"/>
    <w:rsid w:val="26F572F9"/>
    <w:rsid w:val="2740527F"/>
    <w:rsid w:val="2762ACBA"/>
    <w:rsid w:val="2768CFDA"/>
    <w:rsid w:val="27711390"/>
    <w:rsid w:val="27D3F97A"/>
    <w:rsid w:val="27E5E195"/>
    <w:rsid w:val="27EE95BD"/>
    <w:rsid w:val="2809301A"/>
    <w:rsid w:val="28413172"/>
    <w:rsid w:val="2868DE14"/>
    <w:rsid w:val="286FF531"/>
    <w:rsid w:val="287C0E43"/>
    <w:rsid w:val="288F91E4"/>
    <w:rsid w:val="28C750FF"/>
    <w:rsid w:val="290D8E72"/>
    <w:rsid w:val="2942664C"/>
    <w:rsid w:val="2947EA07"/>
    <w:rsid w:val="296D9CCD"/>
    <w:rsid w:val="2988093A"/>
    <w:rsid w:val="2A1FD874"/>
    <w:rsid w:val="2A592A5F"/>
    <w:rsid w:val="2A6673B3"/>
    <w:rsid w:val="2A85DE68"/>
    <w:rsid w:val="2A8C5204"/>
    <w:rsid w:val="2AD60152"/>
    <w:rsid w:val="2AD7CC70"/>
    <w:rsid w:val="2AE2EBF5"/>
    <w:rsid w:val="2AE4B42B"/>
    <w:rsid w:val="2B3910E8"/>
    <w:rsid w:val="2B7D1817"/>
    <w:rsid w:val="2B88B832"/>
    <w:rsid w:val="2B8CDCFC"/>
    <w:rsid w:val="2B903E82"/>
    <w:rsid w:val="2BCA7C04"/>
    <w:rsid w:val="2BE69495"/>
    <w:rsid w:val="2BE81913"/>
    <w:rsid w:val="2BEB3534"/>
    <w:rsid w:val="2C0EAE6D"/>
    <w:rsid w:val="2C7BCAA2"/>
    <w:rsid w:val="2C8CA172"/>
    <w:rsid w:val="2C941A98"/>
    <w:rsid w:val="2CADB5B3"/>
    <w:rsid w:val="2CB19DBA"/>
    <w:rsid w:val="2CFF21E2"/>
    <w:rsid w:val="2D0D680A"/>
    <w:rsid w:val="2D3448AC"/>
    <w:rsid w:val="2D60D79F"/>
    <w:rsid w:val="2D7DDB81"/>
    <w:rsid w:val="2DB56BC1"/>
    <w:rsid w:val="2DEF5421"/>
    <w:rsid w:val="2DF1D473"/>
    <w:rsid w:val="2DF2696D"/>
    <w:rsid w:val="2E0B13D7"/>
    <w:rsid w:val="2E573243"/>
    <w:rsid w:val="2E868419"/>
    <w:rsid w:val="2E886DB7"/>
    <w:rsid w:val="2E8D225B"/>
    <w:rsid w:val="2E9CD75D"/>
    <w:rsid w:val="2EA7F424"/>
    <w:rsid w:val="2EE92BDA"/>
    <w:rsid w:val="2EEFC1CD"/>
    <w:rsid w:val="2F340862"/>
    <w:rsid w:val="2F9CE4FA"/>
    <w:rsid w:val="2FA29900"/>
    <w:rsid w:val="2FC6E5B2"/>
    <w:rsid w:val="301ADC66"/>
    <w:rsid w:val="30650CDF"/>
    <w:rsid w:val="3070C2FF"/>
    <w:rsid w:val="30829A5E"/>
    <w:rsid w:val="30EABE2C"/>
    <w:rsid w:val="3135B2AB"/>
    <w:rsid w:val="31367086"/>
    <w:rsid w:val="315995AF"/>
    <w:rsid w:val="318FB2F2"/>
    <w:rsid w:val="31A2EF84"/>
    <w:rsid w:val="31C0ED99"/>
    <w:rsid w:val="31D01483"/>
    <w:rsid w:val="31E7F63B"/>
    <w:rsid w:val="320953BE"/>
    <w:rsid w:val="320CA95C"/>
    <w:rsid w:val="321B2CE8"/>
    <w:rsid w:val="325D07E1"/>
    <w:rsid w:val="326CA761"/>
    <w:rsid w:val="3395E2C5"/>
    <w:rsid w:val="33C4FE59"/>
    <w:rsid w:val="33FB93ED"/>
    <w:rsid w:val="33FC8929"/>
    <w:rsid w:val="33FE4015"/>
    <w:rsid w:val="33FE6B2F"/>
    <w:rsid w:val="3421EF29"/>
    <w:rsid w:val="345F0F00"/>
    <w:rsid w:val="3494ED2F"/>
    <w:rsid w:val="34D4400C"/>
    <w:rsid w:val="34D51209"/>
    <w:rsid w:val="35232FFC"/>
    <w:rsid w:val="354A9878"/>
    <w:rsid w:val="3561C726"/>
    <w:rsid w:val="357FA491"/>
    <w:rsid w:val="35991A23"/>
    <w:rsid w:val="35A4696C"/>
    <w:rsid w:val="35B6F878"/>
    <w:rsid w:val="368B5E5C"/>
    <w:rsid w:val="369FBC18"/>
    <w:rsid w:val="36AB5FC1"/>
    <w:rsid w:val="36B4DE04"/>
    <w:rsid w:val="36F9AEEB"/>
    <w:rsid w:val="37A1AD9D"/>
    <w:rsid w:val="37CC2FF8"/>
    <w:rsid w:val="37D7B964"/>
    <w:rsid w:val="380CE07A"/>
    <w:rsid w:val="3873B1DB"/>
    <w:rsid w:val="387E4E4E"/>
    <w:rsid w:val="388D0F43"/>
    <w:rsid w:val="38902161"/>
    <w:rsid w:val="38EFF590"/>
    <w:rsid w:val="39EBBCCB"/>
    <w:rsid w:val="3A078089"/>
    <w:rsid w:val="3A3D828C"/>
    <w:rsid w:val="3A731BCE"/>
    <w:rsid w:val="3A7E4F16"/>
    <w:rsid w:val="3ACA2121"/>
    <w:rsid w:val="3AE4B424"/>
    <w:rsid w:val="3B0BB6C7"/>
    <w:rsid w:val="3B0D8C7E"/>
    <w:rsid w:val="3B8FA55B"/>
    <w:rsid w:val="3B985290"/>
    <w:rsid w:val="3BCE9395"/>
    <w:rsid w:val="3C2C8993"/>
    <w:rsid w:val="3C681B42"/>
    <w:rsid w:val="3C7AB277"/>
    <w:rsid w:val="3C8F9947"/>
    <w:rsid w:val="3CB3C2CA"/>
    <w:rsid w:val="3D792F03"/>
    <w:rsid w:val="3DB4AB98"/>
    <w:rsid w:val="3DE2EE4E"/>
    <w:rsid w:val="3E127F1C"/>
    <w:rsid w:val="3E1795EE"/>
    <w:rsid w:val="3E20300E"/>
    <w:rsid w:val="3E662377"/>
    <w:rsid w:val="3EBD52F2"/>
    <w:rsid w:val="3EC48DA8"/>
    <w:rsid w:val="3EE37510"/>
    <w:rsid w:val="3F02EB91"/>
    <w:rsid w:val="3F4A2418"/>
    <w:rsid w:val="3F5A6C37"/>
    <w:rsid w:val="3F758B5F"/>
    <w:rsid w:val="3F81939A"/>
    <w:rsid w:val="3F8A23AE"/>
    <w:rsid w:val="40B3825E"/>
    <w:rsid w:val="40CE5024"/>
    <w:rsid w:val="410FF3CE"/>
    <w:rsid w:val="413FCAFC"/>
    <w:rsid w:val="4153440A"/>
    <w:rsid w:val="41BDD95B"/>
    <w:rsid w:val="41EA47AC"/>
    <w:rsid w:val="41EBB56F"/>
    <w:rsid w:val="42157E26"/>
    <w:rsid w:val="421A885A"/>
    <w:rsid w:val="428F8834"/>
    <w:rsid w:val="42CCF242"/>
    <w:rsid w:val="4305023C"/>
    <w:rsid w:val="43357732"/>
    <w:rsid w:val="43553FE9"/>
    <w:rsid w:val="436F887F"/>
    <w:rsid w:val="43ABAAD1"/>
    <w:rsid w:val="43DBC165"/>
    <w:rsid w:val="43EAD3A0"/>
    <w:rsid w:val="44129039"/>
    <w:rsid w:val="4416E76A"/>
    <w:rsid w:val="44771072"/>
    <w:rsid w:val="45334318"/>
    <w:rsid w:val="458D297E"/>
    <w:rsid w:val="45A3D6C7"/>
    <w:rsid w:val="45DD2CF0"/>
    <w:rsid w:val="460344B3"/>
    <w:rsid w:val="4625BF0E"/>
    <w:rsid w:val="464266FB"/>
    <w:rsid w:val="46A32EF9"/>
    <w:rsid w:val="46B8F30C"/>
    <w:rsid w:val="46C480B6"/>
    <w:rsid w:val="46F6F482"/>
    <w:rsid w:val="47349F7F"/>
    <w:rsid w:val="47653549"/>
    <w:rsid w:val="47B1445F"/>
    <w:rsid w:val="47D9E004"/>
    <w:rsid w:val="47DB58AB"/>
    <w:rsid w:val="48056FAD"/>
    <w:rsid w:val="480876BA"/>
    <w:rsid w:val="48110A05"/>
    <w:rsid w:val="484891D6"/>
    <w:rsid w:val="4864FA2F"/>
    <w:rsid w:val="48B21F7E"/>
    <w:rsid w:val="49278D03"/>
    <w:rsid w:val="493D54CA"/>
    <w:rsid w:val="495F152D"/>
    <w:rsid w:val="49ACF89C"/>
    <w:rsid w:val="49FCB53F"/>
    <w:rsid w:val="4A2C3DCF"/>
    <w:rsid w:val="4A3B6DCA"/>
    <w:rsid w:val="4A6ECF40"/>
    <w:rsid w:val="4AA20A2D"/>
    <w:rsid w:val="4AC27D90"/>
    <w:rsid w:val="4ADD4A7B"/>
    <w:rsid w:val="4AF7A7D5"/>
    <w:rsid w:val="4B88FFB2"/>
    <w:rsid w:val="4B96C3B5"/>
    <w:rsid w:val="4C0DAED0"/>
    <w:rsid w:val="4C20BFE9"/>
    <w:rsid w:val="4C43DB17"/>
    <w:rsid w:val="4C5AE7ED"/>
    <w:rsid w:val="4C639606"/>
    <w:rsid w:val="4C80A8B9"/>
    <w:rsid w:val="4CB1CECC"/>
    <w:rsid w:val="4CC94379"/>
    <w:rsid w:val="4CD606AA"/>
    <w:rsid w:val="4D38A720"/>
    <w:rsid w:val="4D678603"/>
    <w:rsid w:val="4DD2AF49"/>
    <w:rsid w:val="4DEFDE0E"/>
    <w:rsid w:val="4E5BD70B"/>
    <w:rsid w:val="4EA8696B"/>
    <w:rsid w:val="4EAA34CF"/>
    <w:rsid w:val="4EC69E7C"/>
    <w:rsid w:val="4F03391C"/>
    <w:rsid w:val="4F17BFB5"/>
    <w:rsid w:val="4F499F16"/>
    <w:rsid w:val="4F82439E"/>
    <w:rsid w:val="4FAB4B0D"/>
    <w:rsid w:val="4FC768FF"/>
    <w:rsid w:val="4FED0102"/>
    <w:rsid w:val="5028B223"/>
    <w:rsid w:val="503C94B2"/>
    <w:rsid w:val="50416C57"/>
    <w:rsid w:val="5093757B"/>
    <w:rsid w:val="50FEA7FE"/>
    <w:rsid w:val="5105C7B4"/>
    <w:rsid w:val="51131A55"/>
    <w:rsid w:val="51300020"/>
    <w:rsid w:val="5139235C"/>
    <w:rsid w:val="515BA41D"/>
    <w:rsid w:val="517F93CA"/>
    <w:rsid w:val="51C45C2B"/>
    <w:rsid w:val="520C4C8C"/>
    <w:rsid w:val="524C077D"/>
    <w:rsid w:val="5263C87A"/>
    <w:rsid w:val="5275D7DE"/>
    <w:rsid w:val="528B4FF6"/>
    <w:rsid w:val="5293AF21"/>
    <w:rsid w:val="52A660D3"/>
    <w:rsid w:val="52B5C022"/>
    <w:rsid w:val="52C3FA91"/>
    <w:rsid w:val="52EC0D7C"/>
    <w:rsid w:val="52F9B2AB"/>
    <w:rsid w:val="53438949"/>
    <w:rsid w:val="5381365F"/>
    <w:rsid w:val="53A44735"/>
    <w:rsid w:val="53DE7355"/>
    <w:rsid w:val="53DF0258"/>
    <w:rsid w:val="53E35F7E"/>
    <w:rsid w:val="542282D7"/>
    <w:rsid w:val="545EA330"/>
    <w:rsid w:val="54744243"/>
    <w:rsid w:val="547C4262"/>
    <w:rsid w:val="54BDB96E"/>
    <w:rsid w:val="54F49827"/>
    <w:rsid w:val="54F9F647"/>
    <w:rsid w:val="55092E86"/>
    <w:rsid w:val="55A3454E"/>
    <w:rsid w:val="55B70F83"/>
    <w:rsid w:val="55BC3DFD"/>
    <w:rsid w:val="55C2003F"/>
    <w:rsid w:val="55C7528C"/>
    <w:rsid w:val="56284AB0"/>
    <w:rsid w:val="56670326"/>
    <w:rsid w:val="56705852"/>
    <w:rsid w:val="568F2877"/>
    <w:rsid w:val="569F4797"/>
    <w:rsid w:val="56BEAD86"/>
    <w:rsid w:val="56C6BB1F"/>
    <w:rsid w:val="572A3CF6"/>
    <w:rsid w:val="5744C8F9"/>
    <w:rsid w:val="57460C1F"/>
    <w:rsid w:val="575D682C"/>
    <w:rsid w:val="57D584C1"/>
    <w:rsid w:val="57EB820C"/>
    <w:rsid w:val="584C6E9F"/>
    <w:rsid w:val="58D6C7B6"/>
    <w:rsid w:val="58DDBB15"/>
    <w:rsid w:val="5900BD94"/>
    <w:rsid w:val="595968FC"/>
    <w:rsid w:val="59DD6288"/>
    <w:rsid w:val="59FBA817"/>
    <w:rsid w:val="59FFBA4E"/>
    <w:rsid w:val="5A12EDF5"/>
    <w:rsid w:val="5A72527E"/>
    <w:rsid w:val="5AA1BC9A"/>
    <w:rsid w:val="5AAD9C73"/>
    <w:rsid w:val="5AB305FB"/>
    <w:rsid w:val="5ABD2926"/>
    <w:rsid w:val="5AED550E"/>
    <w:rsid w:val="5B4F262E"/>
    <w:rsid w:val="5B862318"/>
    <w:rsid w:val="5C0BB81A"/>
    <w:rsid w:val="5C25BCDD"/>
    <w:rsid w:val="5C656BC5"/>
    <w:rsid w:val="5C839713"/>
    <w:rsid w:val="5CC2A151"/>
    <w:rsid w:val="5CCD1237"/>
    <w:rsid w:val="5CD6CDC6"/>
    <w:rsid w:val="5D39EE03"/>
    <w:rsid w:val="5D9F14D9"/>
    <w:rsid w:val="5DB03059"/>
    <w:rsid w:val="5DD6618D"/>
    <w:rsid w:val="5DE31CE9"/>
    <w:rsid w:val="5DEBDBA3"/>
    <w:rsid w:val="5DEDE48A"/>
    <w:rsid w:val="5E3C3A25"/>
    <w:rsid w:val="5E5B791C"/>
    <w:rsid w:val="5E60ECCF"/>
    <w:rsid w:val="5E93D8C2"/>
    <w:rsid w:val="5E9DF38F"/>
    <w:rsid w:val="5EAC5321"/>
    <w:rsid w:val="5EB49AA2"/>
    <w:rsid w:val="5EEB46AE"/>
    <w:rsid w:val="5F2EF4D9"/>
    <w:rsid w:val="5F5C368D"/>
    <w:rsid w:val="5FA6B57F"/>
    <w:rsid w:val="5FBBF36C"/>
    <w:rsid w:val="601532AB"/>
    <w:rsid w:val="6063F1F3"/>
    <w:rsid w:val="60979B5F"/>
    <w:rsid w:val="60C05D67"/>
    <w:rsid w:val="6180E681"/>
    <w:rsid w:val="61B72487"/>
    <w:rsid w:val="6208E5EF"/>
    <w:rsid w:val="62352A48"/>
    <w:rsid w:val="62431512"/>
    <w:rsid w:val="62CA4595"/>
    <w:rsid w:val="635317C1"/>
    <w:rsid w:val="636F2CF5"/>
    <w:rsid w:val="63844618"/>
    <w:rsid w:val="63894078"/>
    <w:rsid w:val="63A59CB6"/>
    <w:rsid w:val="63B2E994"/>
    <w:rsid w:val="63BE0CD1"/>
    <w:rsid w:val="63F09073"/>
    <w:rsid w:val="63FF9EC5"/>
    <w:rsid w:val="64816177"/>
    <w:rsid w:val="649942D0"/>
    <w:rsid w:val="64B31DF5"/>
    <w:rsid w:val="64C94F80"/>
    <w:rsid w:val="64EF81F6"/>
    <w:rsid w:val="64F5C9FA"/>
    <w:rsid w:val="64FECF82"/>
    <w:rsid w:val="65019999"/>
    <w:rsid w:val="65396C4E"/>
    <w:rsid w:val="655A4804"/>
    <w:rsid w:val="657674CA"/>
    <w:rsid w:val="65850066"/>
    <w:rsid w:val="658E693D"/>
    <w:rsid w:val="659577E9"/>
    <w:rsid w:val="65A31AD7"/>
    <w:rsid w:val="6604ECFC"/>
    <w:rsid w:val="663DF86F"/>
    <w:rsid w:val="6674A12D"/>
    <w:rsid w:val="66BF53A1"/>
    <w:rsid w:val="66CDE9F6"/>
    <w:rsid w:val="66D043CD"/>
    <w:rsid w:val="66ED0F8C"/>
    <w:rsid w:val="66F03992"/>
    <w:rsid w:val="670CD0DA"/>
    <w:rsid w:val="6734A579"/>
    <w:rsid w:val="6759D4F6"/>
    <w:rsid w:val="676D8EBA"/>
    <w:rsid w:val="679FFD41"/>
    <w:rsid w:val="680CF5C0"/>
    <w:rsid w:val="6823943D"/>
    <w:rsid w:val="6830436D"/>
    <w:rsid w:val="68716963"/>
    <w:rsid w:val="68754977"/>
    <w:rsid w:val="688B20E3"/>
    <w:rsid w:val="692568BB"/>
    <w:rsid w:val="6965AD75"/>
    <w:rsid w:val="6992625E"/>
    <w:rsid w:val="69A53DA5"/>
    <w:rsid w:val="69A753F0"/>
    <w:rsid w:val="69DC0C24"/>
    <w:rsid w:val="6A378AE4"/>
    <w:rsid w:val="6A4103FB"/>
    <w:rsid w:val="6A7E1946"/>
    <w:rsid w:val="6B28405D"/>
    <w:rsid w:val="6B5B40C2"/>
    <w:rsid w:val="6B69112C"/>
    <w:rsid w:val="6B9D7359"/>
    <w:rsid w:val="6BBCA783"/>
    <w:rsid w:val="6BC297ED"/>
    <w:rsid w:val="6BD53971"/>
    <w:rsid w:val="6BE423E8"/>
    <w:rsid w:val="6BE64052"/>
    <w:rsid w:val="6C6541A2"/>
    <w:rsid w:val="6C6CD418"/>
    <w:rsid w:val="6C723B6C"/>
    <w:rsid w:val="6C7E55F0"/>
    <w:rsid w:val="6CB21688"/>
    <w:rsid w:val="6CCDBC60"/>
    <w:rsid w:val="6D22C5E6"/>
    <w:rsid w:val="6D3F513D"/>
    <w:rsid w:val="6D5F2EEA"/>
    <w:rsid w:val="6D98543F"/>
    <w:rsid w:val="6DC1C0F5"/>
    <w:rsid w:val="6E2ED95C"/>
    <w:rsid w:val="6E32E13B"/>
    <w:rsid w:val="6E50E5D8"/>
    <w:rsid w:val="6E753F37"/>
    <w:rsid w:val="6EA5DC5A"/>
    <w:rsid w:val="6EAD50AF"/>
    <w:rsid w:val="6F15461B"/>
    <w:rsid w:val="6F17BCF4"/>
    <w:rsid w:val="6F40DD99"/>
    <w:rsid w:val="6FF573CE"/>
    <w:rsid w:val="712F75C6"/>
    <w:rsid w:val="713BC719"/>
    <w:rsid w:val="713D3A6C"/>
    <w:rsid w:val="7146A6E6"/>
    <w:rsid w:val="71488AF4"/>
    <w:rsid w:val="715ECE06"/>
    <w:rsid w:val="71A7AA98"/>
    <w:rsid w:val="71BAC078"/>
    <w:rsid w:val="71C13F61"/>
    <w:rsid w:val="7237E367"/>
    <w:rsid w:val="727CBB25"/>
    <w:rsid w:val="7286A531"/>
    <w:rsid w:val="72A13CFE"/>
    <w:rsid w:val="72DE9F83"/>
    <w:rsid w:val="72E370B1"/>
    <w:rsid w:val="72F5000A"/>
    <w:rsid w:val="7328207D"/>
    <w:rsid w:val="73CF4C70"/>
    <w:rsid w:val="74027B97"/>
    <w:rsid w:val="7447A360"/>
    <w:rsid w:val="74635276"/>
    <w:rsid w:val="748CF6E7"/>
    <w:rsid w:val="74A28536"/>
    <w:rsid w:val="7523D16F"/>
    <w:rsid w:val="7528FD85"/>
    <w:rsid w:val="75450AB1"/>
    <w:rsid w:val="754537F5"/>
    <w:rsid w:val="757E8670"/>
    <w:rsid w:val="7604DEE6"/>
    <w:rsid w:val="7610865E"/>
    <w:rsid w:val="76DAEC57"/>
    <w:rsid w:val="7755A388"/>
    <w:rsid w:val="775696E0"/>
    <w:rsid w:val="776289C1"/>
    <w:rsid w:val="77B1D282"/>
    <w:rsid w:val="77C14D53"/>
    <w:rsid w:val="77F0665F"/>
    <w:rsid w:val="78066BB0"/>
    <w:rsid w:val="7835F972"/>
    <w:rsid w:val="7883B959"/>
    <w:rsid w:val="7897DCAF"/>
    <w:rsid w:val="78B0467B"/>
    <w:rsid w:val="78BDB435"/>
    <w:rsid w:val="78BDE486"/>
    <w:rsid w:val="78F43A96"/>
    <w:rsid w:val="78FB0888"/>
    <w:rsid w:val="794E6E37"/>
    <w:rsid w:val="79B13C22"/>
    <w:rsid w:val="79E68540"/>
    <w:rsid w:val="7A689EBF"/>
    <w:rsid w:val="7A7549F0"/>
    <w:rsid w:val="7B10C61B"/>
    <w:rsid w:val="7B5C47AF"/>
    <w:rsid w:val="7B95BF9F"/>
    <w:rsid w:val="7BE52850"/>
    <w:rsid w:val="7BF812EE"/>
    <w:rsid w:val="7BFAEEB9"/>
    <w:rsid w:val="7C005293"/>
    <w:rsid w:val="7C0D161B"/>
    <w:rsid w:val="7C36FBDD"/>
    <w:rsid w:val="7C8B4537"/>
    <w:rsid w:val="7CE881DD"/>
    <w:rsid w:val="7D0BE32D"/>
    <w:rsid w:val="7D188819"/>
    <w:rsid w:val="7D7999B1"/>
    <w:rsid w:val="7DC4EB77"/>
    <w:rsid w:val="7DF22A49"/>
    <w:rsid w:val="7DF3A20E"/>
    <w:rsid w:val="7E52889C"/>
    <w:rsid w:val="7E642A9A"/>
    <w:rsid w:val="7E8824F9"/>
    <w:rsid w:val="7E946848"/>
    <w:rsid w:val="7EB04F52"/>
    <w:rsid w:val="7EFA7652"/>
    <w:rsid w:val="7F01FC66"/>
    <w:rsid w:val="7F1893EE"/>
    <w:rsid w:val="7F4DC82F"/>
    <w:rsid w:val="7F75402B"/>
    <w:rsid w:val="7F84213D"/>
    <w:rsid w:val="7FDE7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65871D"/>
  <w15:chartTrackingRefBased/>
  <w15:docId w15:val="{9E3F32F6-458C-43B1-8C55-72FF12D3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6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6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53"/>
  </w:style>
  <w:style w:type="paragraph" w:styleId="ListParagraph">
    <w:name w:val="List Paragraph"/>
    <w:basedOn w:val="Normal"/>
    <w:uiPriority w:val="34"/>
    <w:qFormat/>
    <w:rsid w:val="002F6553"/>
    <w:pPr>
      <w:ind w:left="720"/>
      <w:contextualSpacing/>
    </w:pPr>
  </w:style>
  <w:style w:type="character" w:styleId="PageNumber">
    <w:name w:val="page number"/>
    <w:basedOn w:val="DefaultParagraphFont"/>
    <w:uiPriority w:val="99"/>
    <w:semiHidden/>
    <w:unhideWhenUsed/>
    <w:rsid w:val="002F6553"/>
  </w:style>
  <w:style w:type="paragraph" w:styleId="NormalWeb">
    <w:name w:val="Normal (Web)"/>
    <w:basedOn w:val="Normal"/>
    <w:uiPriority w:val="99"/>
    <w:unhideWhenUsed/>
    <w:rsid w:val="002F456D"/>
    <w:rPr>
      <w:rFonts w:ascii="Times New Roman" w:hAnsi="Times New Roman" w:cs="Times New Roman"/>
      <w:sz w:val="24"/>
      <w:szCs w:val="24"/>
    </w:rPr>
  </w:style>
  <w:style w:type="paragraph" w:styleId="FootnoteText">
    <w:name w:val="footnote text"/>
    <w:basedOn w:val="Normal"/>
    <w:link w:val="FootnoteTextChar"/>
    <w:uiPriority w:val="99"/>
    <w:unhideWhenUsed/>
    <w:rsid w:val="001415F6"/>
    <w:pPr>
      <w:spacing w:after="0" w:line="240" w:lineRule="auto"/>
    </w:pPr>
    <w:rPr>
      <w:sz w:val="20"/>
      <w:szCs w:val="20"/>
    </w:rPr>
  </w:style>
  <w:style w:type="character" w:customStyle="1" w:styleId="FootnoteTextChar">
    <w:name w:val="Footnote Text Char"/>
    <w:basedOn w:val="DefaultParagraphFont"/>
    <w:link w:val="FootnoteText"/>
    <w:uiPriority w:val="99"/>
    <w:rsid w:val="001415F6"/>
    <w:rPr>
      <w:sz w:val="20"/>
      <w:szCs w:val="20"/>
    </w:rPr>
  </w:style>
  <w:style w:type="character" w:styleId="FootnoteReference">
    <w:name w:val="footnote reference"/>
    <w:basedOn w:val="DefaultParagraphFont"/>
    <w:uiPriority w:val="99"/>
    <w:semiHidden/>
    <w:unhideWhenUsed/>
    <w:rsid w:val="001415F6"/>
    <w:rPr>
      <w:vertAlign w:val="superscript"/>
    </w:rPr>
  </w:style>
  <w:style w:type="paragraph" w:styleId="Header">
    <w:name w:val="header"/>
    <w:basedOn w:val="Normal"/>
    <w:link w:val="HeaderChar"/>
    <w:uiPriority w:val="99"/>
    <w:unhideWhenUsed/>
    <w:rsid w:val="009D6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726"/>
  </w:style>
  <w:style w:type="character" w:styleId="Hyperlink">
    <w:name w:val="Hyperlink"/>
    <w:basedOn w:val="DefaultParagraphFont"/>
    <w:uiPriority w:val="99"/>
    <w:unhideWhenUsed/>
    <w:rsid w:val="004712F2"/>
    <w:rPr>
      <w:color w:val="0563C1" w:themeColor="hyperlink"/>
      <w:u w:val="single"/>
    </w:rPr>
  </w:style>
  <w:style w:type="paragraph" w:styleId="BalloonText">
    <w:name w:val="Balloon Text"/>
    <w:basedOn w:val="Normal"/>
    <w:link w:val="BalloonTextChar"/>
    <w:uiPriority w:val="99"/>
    <w:semiHidden/>
    <w:unhideWhenUsed/>
    <w:rsid w:val="009777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7C5"/>
    <w:rPr>
      <w:rFonts w:ascii="Segoe UI" w:hAnsi="Segoe UI" w:cs="Segoe UI"/>
      <w:sz w:val="18"/>
      <w:szCs w:val="18"/>
    </w:rPr>
  </w:style>
  <w:style w:type="character" w:styleId="CommentReference">
    <w:name w:val="annotation reference"/>
    <w:basedOn w:val="DefaultParagraphFont"/>
    <w:uiPriority w:val="99"/>
    <w:semiHidden/>
    <w:unhideWhenUsed/>
    <w:rsid w:val="00932D06"/>
    <w:rPr>
      <w:sz w:val="16"/>
      <w:szCs w:val="16"/>
    </w:rPr>
  </w:style>
  <w:style w:type="paragraph" w:styleId="CommentText">
    <w:name w:val="annotation text"/>
    <w:basedOn w:val="Normal"/>
    <w:link w:val="CommentTextChar"/>
    <w:uiPriority w:val="99"/>
    <w:unhideWhenUsed/>
    <w:rsid w:val="00932D06"/>
    <w:pPr>
      <w:spacing w:line="240" w:lineRule="auto"/>
    </w:pPr>
    <w:rPr>
      <w:sz w:val="20"/>
      <w:szCs w:val="20"/>
    </w:rPr>
  </w:style>
  <w:style w:type="character" w:customStyle="1" w:styleId="CommentTextChar">
    <w:name w:val="Comment Text Char"/>
    <w:basedOn w:val="DefaultParagraphFont"/>
    <w:link w:val="CommentText"/>
    <w:uiPriority w:val="99"/>
    <w:rsid w:val="00932D06"/>
    <w:rPr>
      <w:sz w:val="20"/>
      <w:szCs w:val="20"/>
    </w:rPr>
  </w:style>
  <w:style w:type="paragraph" w:styleId="CommentSubject">
    <w:name w:val="annotation subject"/>
    <w:basedOn w:val="CommentText"/>
    <w:next w:val="CommentText"/>
    <w:link w:val="CommentSubjectChar"/>
    <w:uiPriority w:val="99"/>
    <w:semiHidden/>
    <w:unhideWhenUsed/>
    <w:rsid w:val="00932D06"/>
    <w:rPr>
      <w:b/>
      <w:bCs/>
    </w:rPr>
  </w:style>
  <w:style w:type="character" w:customStyle="1" w:styleId="CommentSubjectChar">
    <w:name w:val="Comment Subject Char"/>
    <w:basedOn w:val="CommentTextChar"/>
    <w:link w:val="CommentSubject"/>
    <w:uiPriority w:val="99"/>
    <w:semiHidden/>
    <w:rsid w:val="00932D06"/>
    <w:rPr>
      <w:b/>
      <w:bCs/>
      <w:sz w:val="20"/>
      <w:szCs w:val="20"/>
    </w:rPr>
  </w:style>
  <w:style w:type="character" w:customStyle="1" w:styleId="UnresolvedMention1">
    <w:name w:val="Unresolved Mention1"/>
    <w:basedOn w:val="DefaultParagraphFont"/>
    <w:uiPriority w:val="99"/>
    <w:semiHidden/>
    <w:unhideWhenUsed/>
    <w:rsid w:val="00932D06"/>
    <w:rPr>
      <w:color w:val="605E5C"/>
      <w:shd w:val="clear" w:color="auto" w:fill="E1DFDD"/>
    </w:rPr>
  </w:style>
  <w:style w:type="character" w:styleId="LineNumber">
    <w:name w:val="line number"/>
    <w:basedOn w:val="DefaultParagraphFont"/>
    <w:uiPriority w:val="99"/>
    <w:semiHidden/>
    <w:unhideWhenUsed/>
    <w:rsid w:val="00B41FB4"/>
  </w:style>
  <w:style w:type="table" w:styleId="TableGridLight">
    <w:name w:val="Grid Table Light"/>
    <w:basedOn w:val="TableNormal"/>
    <w:uiPriority w:val="40"/>
    <w:rsid w:val="00C3221A"/>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300566"/>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DB39AD"/>
  </w:style>
  <w:style w:type="paragraph" w:styleId="Revision">
    <w:name w:val="Revision"/>
    <w:hidden/>
    <w:uiPriority w:val="99"/>
    <w:semiHidden/>
    <w:rsid w:val="002E7332"/>
    <w:pPr>
      <w:spacing w:after="0" w:line="240" w:lineRule="auto"/>
    </w:pPr>
  </w:style>
  <w:style w:type="numbering" w:customStyle="1" w:styleId="CurrentList1">
    <w:name w:val="Current List1"/>
    <w:uiPriority w:val="99"/>
    <w:rsid w:val="00F34898"/>
    <w:pPr>
      <w:numPr>
        <w:numId w:val="25"/>
      </w:numPr>
    </w:pPr>
  </w:style>
  <w:style w:type="character" w:customStyle="1" w:styleId="UnresolvedMention">
    <w:name w:val="Unresolved Mention"/>
    <w:basedOn w:val="DefaultParagraphFont"/>
    <w:uiPriority w:val="99"/>
    <w:semiHidden/>
    <w:unhideWhenUsed/>
    <w:rsid w:val="00925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87986">
      <w:bodyDiv w:val="1"/>
      <w:marLeft w:val="0"/>
      <w:marRight w:val="0"/>
      <w:marTop w:val="0"/>
      <w:marBottom w:val="0"/>
      <w:divBdr>
        <w:top w:val="none" w:sz="0" w:space="0" w:color="auto"/>
        <w:left w:val="none" w:sz="0" w:space="0" w:color="auto"/>
        <w:bottom w:val="none" w:sz="0" w:space="0" w:color="auto"/>
        <w:right w:val="none" w:sz="0" w:space="0" w:color="auto"/>
      </w:divBdr>
      <w:divsChild>
        <w:div w:id="432744022">
          <w:marLeft w:val="0"/>
          <w:marRight w:val="0"/>
          <w:marTop w:val="0"/>
          <w:marBottom w:val="0"/>
          <w:divBdr>
            <w:top w:val="none" w:sz="0" w:space="0" w:color="auto"/>
            <w:left w:val="none" w:sz="0" w:space="0" w:color="auto"/>
            <w:bottom w:val="none" w:sz="0" w:space="0" w:color="auto"/>
            <w:right w:val="none" w:sz="0" w:space="0" w:color="auto"/>
          </w:divBdr>
        </w:div>
        <w:div w:id="1019237172">
          <w:marLeft w:val="0"/>
          <w:marRight w:val="0"/>
          <w:marTop w:val="0"/>
          <w:marBottom w:val="0"/>
          <w:divBdr>
            <w:top w:val="none" w:sz="0" w:space="0" w:color="auto"/>
            <w:left w:val="none" w:sz="0" w:space="0" w:color="auto"/>
            <w:bottom w:val="none" w:sz="0" w:space="0" w:color="auto"/>
            <w:right w:val="none" w:sz="0" w:space="0" w:color="auto"/>
          </w:divBdr>
        </w:div>
        <w:div w:id="1112087484">
          <w:marLeft w:val="0"/>
          <w:marRight w:val="0"/>
          <w:marTop w:val="0"/>
          <w:marBottom w:val="0"/>
          <w:divBdr>
            <w:top w:val="none" w:sz="0" w:space="0" w:color="auto"/>
            <w:left w:val="none" w:sz="0" w:space="0" w:color="auto"/>
            <w:bottom w:val="none" w:sz="0" w:space="0" w:color="auto"/>
            <w:right w:val="none" w:sz="0" w:space="0" w:color="auto"/>
          </w:divBdr>
        </w:div>
      </w:divsChild>
    </w:div>
    <w:div w:id="71004903">
      <w:bodyDiv w:val="1"/>
      <w:marLeft w:val="0"/>
      <w:marRight w:val="0"/>
      <w:marTop w:val="0"/>
      <w:marBottom w:val="0"/>
      <w:divBdr>
        <w:top w:val="none" w:sz="0" w:space="0" w:color="auto"/>
        <w:left w:val="none" w:sz="0" w:space="0" w:color="auto"/>
        <w:bottom w:val="none" w:sz="0" w:space="0" w:color="auto"/>
        <w:right w:val="none" w:sz="0" w:space="0" w:color="auto"/>
      </w:divBdr>
    </w:div>
    <w:div w:id="112945056">
      <w:bodyDiv w:val="1"/>
      <w:marLeft w:val="0"/>
      <w:marRight w:val="0"/>
      <w:marTop w:val="0"/>
      <w:marBottom w:val="0"/>
      <w:divBdr>
        <w:top w:val="none" w:sz="0" w:space="0" w:color="auto"/>
        <w:left w:val="none" w:sz="0" w:space="0" w:color="auto"/>
        <w:bottom w:val="none" w:sz="0" w:space="0" w:color="auto"/>
        <w:right w:val="none" w:sz="0" w:space="0" w:color="auto"/>
      </w:divBdr>
    </w:div>
    <w:div w:id="136995743">
      <w:bodyDiv w:val="1"/>
      <w:marLeft w:val="0"/>
      <w:marRight w:val="0"/>
      <w:marTop w:val="0"/>
      <w:marBottom w:val="0"/>
      <w:divBdr>
        <w:top w:val="none" w:sz="0" w:space="0" w:color="auto"/>
        <w:left w:val="none" w:sz="0" w:space="0" w:color="auto"/>
        <w:bottom w:val="none" w:sz="0" w:space="0" w:color="auto"/>
        <w:right w:val="none" w:sz="0" w:space="0" w:color="auto"/>
      </w:divBdr>
      <w:divsChild>
        <w:div w:id="1317682234">
          <w:marLeft w:val="0"/>
          <w:marRight w:val="0"/>
          <w:marTop w:val="0"/>
          <w:marBottom w:val="0"/>
          <w:divBdr>
            <w:top w:val="none" w:sz="0" w:space="0" w:color="auto"/>
            <w:left w:val="none" w:sz="0" w:space="0" w:color="auto"/>
            <w:bottom w:val="none" w:sz="0" w:space="0" w:color="auto"/>
            <w:right w:val="none" w:sz="0" w:space="0" w:color="auto"/>
          </w:divBdr>
          <w:divsChild>
            <w:div w:id="544952948">
              <w:marLeft w:val="150"/>
              <w:marRight w:val="150"/>
              <w:marTop w:val="150"/>
              <w:marBottom w:val="150"/>
              <w:divBdr>
                <w:top w:val="none" w:sz="0" w:space="0" w:color="auto"/>
                <w:left w:val="none" w:sz="0" w:space="0" w:color="auto"/>
                <w:bottom w:val="none" w:sz="0" w:space="0" w:color="auto"/>
                <w:right w:val="none" w:sz="0" w:space="0" w:color="auto"/>
              </w:divBdr>
              <w:divsChild>
                <w:div w:id="575940475">
                  <w:marLeft w:val="0"/>
                  <w:marRight w:val="0"/>
                  <w:marTop w:val="0"/>
                  <w:marBottom w:val="0"/>
                  <w:divBdr>
                    <w:top w:val="none" w:sz="0" w:space="0" w:color="auto"/>
                    <w:left w:val="none" w:sz="0" w:space="0" w:color="auto"/>
                    <w:bottom w:val="none" w:sz="0" w:space="0" w:color="auto"/>
                    <w:right w:val="none" w:sz="0" w:space="0" w:color="auto"/>
                  </w:divBdr>
                  <w:divsChild>
                    <w:div w:id="16940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17443">
      <w:bodyDiv w:val="1"/>
      <w:marLeft w:val="0"/>
      <w:marRight w:val="0"/>
      <w:marTop w:val="0"/>
      <w:marBottom w:val="0"/>
      <w:divBdr>
        <w:top w:val="none" w:sz="0" w:space="0" w:color="auto"/>
        <w:left w:val="none" w:sz="0" w:space="0" w:color="auto"/>
        <w:bottom w:val="none" w:sz="0" w:space="0" w:color="auto"/>
        <w:right w:val="none" w:sz="0" w:space="0" w:color="auto"/>
      </w:divBdr>
      <w:divsChild>
        <w:div w:id="1007364352">
          <w:marLeft w:val="-720"/>
          <w:marRight w:val="0"/>
          <w:marTop w:val="0"/>
          <w:marBottom w:val="0"/>
          <w:divBdr>
            <w:top w:val="none" w:sz="0" w:space="0" w:color="auto"/>
            <w:left w:val="none" w:sz="0" w:space="0" w:color="auto"/>
            <w:bottom w:val="none" w:sz="0" w:space="0" w:color="auto"/>
            <w:right w:val="none" w:sz="0" w:space="0" w:color="auto"/>
          </w:divBdr>
        </w:div>
      </w:divsChild>
    </w:div>
    <w:div w:id="330185399">
      <w:bodyDiv w:val="1"/>
      <w:marLeft w:val="0"/>
      <w:marRight w:val="0"/>
      <w:marTop w:val="0"/>
      <w:marBottom w:val="0"/>
      <w:divBdr>
        <w:top w:val="none" w:sz="0" w:space="0" w:color="auto"/>
        <w:left w:val="none" w:sz="0" w:space="0" w:color="auto"/>
        <w:bottom w:val="none" w:sz="0" w:space="0" w:color="auto"/>
        <w:right w:val="none" w:sz="0" w:space="0" w:color="auto"/>
      </w:divBdr>
    </w:div>
    <w:div w:id="422843879">
      <w:bodyDiv w:val="1"/>
      <w:marLeft w:val="0"/>
      <w:marRight w:val="0"/>
      <w:marTop w:val="0"/>
      <w:marBottom w:val="0"/>
      <w:divBdr>
        <w:top w:val="none" w:sz="0" w:space="0" w:color="auto"/>
        <w:left w:val="none" w:sz="0" w:space="0" w:color="auto"/>
        <w:bottom w:val="none" w:sz="0" w:space="0" w:color="auto"/>
        <w:right w:val="none" w:sz="0" w:space="0" w:color="auto"/>
      </w:divBdr>
      <w:divsChild>
        <w:div w:id="1493062058">
          <w:marLeft w:val="-720"/>
          <w:marRight w:val="0"/>
          <w:marTop w:val="0"/>
          <w:marBottom w:val="0"/>
          <w:divBdr>
            <w:top w:val="none" w:sz="0" w:space="0" w:color="auto"/>
            <w:left w:val="none" w:sz="0" w:space="0" w:color="auto"/>
            <w:bottom w:val="none" w:sz="0" w:space="0" w:color="auto"/>
            <w:right w:val="none" w:sz="0" w:space="0" w:color="auto"/>
          </w:divBdr>
        </w:div>
      </w:divsChild>
    </w:div>
    <w:div w:id="503472295">
      <w:bodyDiv w:val="1"/>
      <w:marLeft w:val="0"/>
      <w:marRight w:val="0"/>
      <w:marTop w:val="0"/>
      <w:marBottom w:val="0"/>
      <w:divBdr>
        <w:top w:val="none" w:sz="0" w:space="0" w:color="auto"/>
        <w:left w:val="none" w:sz="0" w:space="0" w:color="auto"/>
        <w:bottom w:val="none" w:sz="0" w:space="0" w:color="auto"/>
        <w:right w:val="none" w:sz="0" w:space="0" w:color="auto"/>
      </w:divBdr>
    </w:div>
    <w:div w:id="550270481">
      <w:bodyDiv w:val="1"/>
      <w:marLeft w:val="0"/>
      <w:marRight w:val="0"/>
      <w:marTop w:val="0"/>
      <w:marBottom w:val="0"/>
      <w:divBdr>
        <w:top w:val="none" w:sz="0" w:space="0" w:color="auto"/>
        <w:left w:val="none" w:sz="0" w:space="0" w:color="auto"/>
        <w:bottom w:val="none" w:sz="0" w:space="0" w:color="auto"/>
        <w:right w:val="none" w:sz="0" w:space="0" w:color="auto"/>
      </w:divBdr>
      <w:divsChild>
        <w:div w:id="1235316254">
          <w:marLeft w:val="-720"/>
          <w:marRight w:val="0"/>
          <w:marTop w:val="0"/>
          <w:marBottom w:val="0"/>
          <w:divBdr>
            <w:top w:val="none" w:sz="0" w:space="0" w:color="auto"/>
            <w:left w:val="none" w:sz="0" w:space="0" w:color="auto"/>
            <w:bottom w:val="none" w:sz="0" w:space="0" w:color="auto"/>
            <w:right w:val="none" w:sz="0" w:space="0" w:color="auto"/>
          </w:divBdr>
        </w:div>
      </w:divsChild>
    </w:div>
    <w:div w:id="667757643">
      <w:bodyDiv w:val="1"/>
      <w:marLeft w:val="0"/>
      <w:marRight w:val="0"/>
      <w:marTop w:val="0"/>
      <w:marBottom w:val="0"/>
      <w:divBdr>
        <w:top w:val="none" w:sz="0" w:space="0" w:color="auto"/>
        <w:left w:val="none" w:sz="0" w:space="0" w:color="auto"/>
        <w:bottom w:val="none" w:sz="0" w:space="0" w:color="auto"/>
        <w:right w:val="none" w:sz="0" w:space="0" w:color="auto"/>
      </w:divBdr>
      <w:divsChild>
        <w:div w:id="1976258236">
          <w:marLeft w:val="-720"/>
          <w:marRight w:val="0"/>
          <w:marTop w:val="0"/>
          <w:marBottom w:val="0"/>
          <w:divBdr>
            <w:top w:val="none" w:sz="0" w:space="0" w:color="auto"/>
            <w:left w:val="none" w:sz="0" w:space="0" w:color="auto"/>
            <w:bottom w:val="none" w:sz="0" w:space="0" w:color="auto"/>
            <w:right w:val="none" w:sz="0" w:space="0" w:color="auto"/>
          </w:divBdr>
        </w:div>
      </w:divsChild>
    </w:div>
    <w:div w:id="690301257">
      <w:bodyDiv w:val="1"/>
      <w:marLeft w:val="0"/>
      <w:marRight w:val="0"/>
      <w:marTop w:val="0"/>
      <w:marBottom w:val="0"/>
      <w:divBdr>
        <w:top w:val="none" w:sz="0" w:space="0" w:color="auto"/>
        <w:left w:val="none" w:sz="0" w:space="0" w:color="auto"/>
        <w:bottom w:val="none" w:sz="0" w:space="0" w:color="auto"/>
        <w:right w:val="none" w:sz="0" w:space="0" w:color="auto"/>
      </w:divBdr>
      <w:divsChild>
        <w:div w:id="754279125">
          <w:marLeft w:val="-720"/>
          <w:marRight w:val="0"/>
          <w:marTop w:val="0"/>
          <w:marBottom w:val="0"/>
          <w:divBdr>
            <w:top w:val="none" w:sz="0" w:space="0" w:color="auto"/>
            <w:left w:val="none" w:sz="0" w:space="0" w:color="auto"/>
            <w:bottom w:val="none" w:sz="0" w:space="0" w:color="auto"/>
            <w:right w:val="none" w:sz="0" w:space="0" w:color="auto"/>
          </w:divBdr>
        </w:div>
      </w:divsChild>
    </w:div>
    <w:div w:id="758873215">
      <w:bodyDiv w:val="1"/>
      <w:marLeft w:val="0"/>
      <w:marRight w:val="0"/>
      <w:marTop w:val="0"/>
      <w:marBottom w:val="0"/>
      <w:divBdr>
        <w:top w:val="none" w:sz="0" w:space="0" w:color="auto"/>
        <w:left w:val="none" w:sz="0" w:space="0" w:color="auto"/>
        <w:bottom w:val="none" w:sz="0" w:space="0" w:color="auto"/>
        <w:right w:val="none" w:sz="0" w:space="0" w:color="auto"/>
      </w:divBdr>
      <w:divsChild>
        <w:div w:id="1830098993">
          <w:marLeft w:val="-720"/>
          <w:marRight w:val="0"/>
          <w:marTop w:val="0"/>
          <w:marBottom w:val="0"/>
          <w:divBdr>
            <w:top w:val="none" w:sz="0" w:space="0" w:color="auto"/>
            <w:left w:val="none" w:sz="0" w:space="0" w:color="auto"/>
            <w:bottom w:val="none" w:sz="0" w:space="0" w:color="auto"/>
            <w:right w:val="none" w:sz="0" w:space="0" w:color="auto"/>
          </w:divBdr>
        </w:div>
      </w:divsChild>
    </w:div>
    <w:div w:id="778986321">
      <w:bodyDiv w:val="1"/>
      <w:marLeft w:val="0"/>
      <w:marRight w:val="0"/>
      <w:marTop w:val="0"/>
      <w:marBottom w:val="0"/>
      <w:divBdr>
        <w:top w:val="none" w:sz="0" w:space="0" w:color="auto"/>
        <w:left w:val="none" w:sz="0" w:space="0" w:color="auto"/>
        <w:bottom w:val="none" w:sz="0" w:space="0" w:color="auto"/>
        <w:right w:val="none" w:sz="0" w:space="0" w:color="auto"/>
      </w:divBdr>
    </w:div>
    <w:div w:id="820073425">
      <w:bodyDiv w:val="1"/>
      <w:marLeft w:val="0"/>
      <w:marRight w:val="0"/>
      <w:marTop w:val="0"/>
      <w:marBottom w:val="0"/>
      <w:divBdr>
        <w:top w:val="none" w:sz="0" w:space="0" w:color="auto"/>
        <w:left w:val="none" w:sz="0" w:space="0" w:color="auto"/>
        <w:bottom w:val="none" w:sz="0" w:space="0" w:color="auto"/>
        <w:right w:val="none" w:sz="0" w:space="0" w:color="auto"/>
      </w:divBdr>
      <w:divsChild>
        <w:div w:id="85880020">
          <w:marLeft w:val="0"/>
          <w:marRight w:val="0"/>
          <w:marTop w:val="0"/>
          <w:marBottom w:val="0"/>
          <w:divBdr>
            <w:top w:val="none" w:sz="0" w:space="0" w:color="auto"/>
            <w:left w:val="none" w:sz="0" w:space="0" w:color="auto"/>
            <w:bottom w:val="none" w:sz="0" w:space="0" w:color="auto"/>
            <w:right w:val="none" w:sz="0" w:space="0" w:color="auto"/>
          </w:divBdr>
        </w:div>
        <w:div w:id="368378514">
          <w:marLeft w:val="0"/>
          <w:marRight w:val="0"/>
          <w:marTop w:val="0"/>
          <w:marBottom w:val="0"/>
          <w:divBdr>
            <w:top w:val="none" w:sz="0" w:space="0" w:color="auto"/>
            <w:left w:val="none" w:sz="0" w:space="0" w:color="auto"/>
            <w:bottom w:val="none" w:sz="0" w:space="0" w:color="auto"/>
            <w:right w:val="none" w:sz="0" w:space="0" w:color="auto"/>
          </w:divBdr>
        </w:div>
        <w:div w:id="400562575">
          <w:marLeft w:val="0"/>
          <w:marRight w:val="0"/>
          <w:marTop w:val="0"/>
          <w:marBottom w:val="0"/>
          <w:divBdr>
            <w:top w:val="none" w:sz="0" w:space="0" w:color="auto"/>
            <w:left w:val="none" w:sz="0" w:space="0" w:color="auto"/>
            <w:bottom w:val="none" w:sz="0" w:space="0" w:color="auto"/>
            <w:right w:val="none" w:sz="0" w:space="0" w:color="auto"/>
          </w:divBdr>
        </w:div>
      </w:divsChild>
    </w:div>
    <w:div w:id="845022682">
      <w:bodyDiv w:val="1"/>
      <w:marLeft w:val="0"/>
      <w:marRight w:val="0"/>
      <w:marTop w:val="0"/>
      <w:marBottom w:val="0"/>
      <w:divBdr>
        <w:top w:val="none" w:sz="0" w:space="0" w:color="auto"/>
        <w:left w:val="none" w:sz="0" w:space="0" w:color="auto"/>
        <w:bottom w:val="none" w:sz="0" w:space="0" w:color="auto"/>
        <w:right w:val="none" w:sz="0" w:space="0" w:color="auto"/>
      </w:divBdr>
      <w:divsChild>
        <w:div w:id="1865434031">
          <w:marLeft w:val="0"/>
          <w:marRight w:val="0"/>
          <w:marTop w:val="0"/>
          <w:marBottom w:val="0"/>
          <w:divBdr>
            <w:top w:val="none" w:sz="0" w:space="0" w:color="auto"/>
            <w:left w:val="none" w:sz="0" w:space="0" w:color="auto"/>
            <w:bottom w:val="none" w:sz="0" w:space="0" w:color="auto"/>
            <w:right w:val="none" w:sz="0" w:space="0" w:color="auto"/>
          </w:divBdr>
          <w:divsChild>
            <w:div w:id="1641422022">
              <w:marLeft w:val="150"/>
              <w:marRight w:val="150"/>
              <w:marTop w:val="150"/>
              <w:marBottom w:val="150"/>
              <w:divBdr>
                <w:top w:val="none" w:sz="0" w:space="0" w:color="auto"/>
                <w:left w:val="none" w:sz="0" w:space="0" w:color="auto"/>
                <w:bottom w:val="none" w:sz="0" w:space="0" w:color="auto"/>
                <w:right w:val="none" w:sz="0" w:space="0" w:color="auto"/>
              </w:divBdr>
              <w:divsChild>
                <w:div w:id="491140012">
                  <w:marLeft w:val="0"/>
                  <w:marRight w:val="0"/>
                  <w:marTop w:val="0"/>
                  <w:marBottom w:val="0"/>
                  <w:divBdr>
                    <w:top w:val="none" w:sz="0" w:space="0" w:color="auto"/>
                    <w:left w:val="none" w:sz="0" w:space="0" w:color="auto"/>
                    <w:bottom w:val="none" w:sz="0" w:space="0" w:color="auto"/>
                    <w:right w:val="none" w:sz="0" w:space="0" w:color="auto"/>
                  </w:divBdr>
                  <w:divsChild>
                    <w:div w:id="187546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090187">
      <w:bodyDiv w:val="1"/>
      <w:marLeft w:val="0"/>
      <w:marRight w:val="0"/>
      <w:marTop w:val="0"/>
      <w:marBottom w:val="0"/>
      <w:divBdr>
        <w:top w:val="none" w:sz="0" w:space="0" w:color="auto"/>
        <w:left w:val="none" w:sz="0" w:space="0" w:color="auto"/>
        <w:bottom w:val="none" w:sz="0" w:space="0" w:color="auto"/>
        <w:right w:val="none" w:sz="0" w:space="0" w:color="auto"/>
      </w:divBdr>
    </w:div>
    <w:div w:id="989745584">
      <w:bodyDiv w:val="1"/>
      <w:marLeft w:val="0"/>
      <w:marRight w:val="0"/>
      <w:marTop w:val="0"/>
      <w:marBottom w:val="0"/>
      <w:divBdr>
        <w:top w:val="none" w:sz="0" w:space="0" w:color="auto"/>
        <w:left w:val="none" w:sz="0" w:space="0" w:color="auto"/>
        <w:bottom w:val="none" w:sz="0" w:space="0" w:color="auto"/>
        <w:right w:val="none" w:sz="0" w:space="0" w:color="auto"/>
      </w:divBdr>
      <w:divsChild>
        <w:div w:id="328874763">
          <w:marLeft w:val="-720"/>
          <w:marRight w:val="0"/>
          <w:marTop w:val="0"/>
          <w:marBottom w:val="0"/>
          <w:divBdr>
            <w:top w:val="none" w:sz="0" w:space="0" w:color="auto"/>
            <w:left w:val="none" w:sz="0" w:space="0" w:color="auto"/>
            <w:bottom w:val="none" w:sz="0" w:space="0" w:color="auto"/>
            <w:right w:val="none" w:sz="0" w:space="0" w:color="auto"/>
          </w:divBdr>
        </w:div>
      </w:divsChild>
    </w:div>
    <w:div w:id="990137527">
      <w:bodyDiv w:val="1"/>
      <w:marLeft w:val="0"/>
      <w:marRight w:val="0"/>
      <w:marTop w:val="0"/>
      <w:marBottom w:val="0"/>
      <w:divBdr>
        <w:top w:val="none" w:sz="0" w:space="0" w:color="auto"/>
        <w:left w:val="none" w:sz="0" w:space="0" w:color="auto"/>
        <w:bottom w:val="none" w:sz="0" w:space="0" w:color="auto"/>
        <w:right w:val="none" w:sz="0" w:space="0" w:color="auto"/>
      </w:divBdr>
    </w:div>
    <w:div w:id="1079131787">
      <w:bodyDiv w:val="1"/>
      <w:marLeft w:val="0"/>
      <w:marRight w:val="0"/>
      <w:marTop w:val="0"/>
      <w:marBottom w:val="0"/>
      <w:divBdr>
        <w:top w:val="none" w:sz="0" w:space="0" w:color="auto"/>
        <w:left w:val="none" w:sz="0" w:space="0" w:color="auto"/>
        <w:bottom w:val="none" w:sz="0" w:space="0" w:color="auto"/>
        <w:right w:val="none" w:sz="0" w:space="0" w:color="auto"/>
      </w:divBdr>
      <w:divsChild>
        <w:div w:id="743718788">
          <w:marLeft w:val="0"/>
          <w:marRight w:val="0"/>
          <w:marTop w:val="0"/>
          <w:marBottom w:val="0"/>
          <w:divBdr>
            <w:top w:val="none" w:sz="0" w:space="0" w:color="auto"/>
            <w:left w:val="none" w:sz="0" w:space="0" w:color="auto"/>
            <w:bottom w:val="none" w:sz="0" w:space="0" w:color="auto"/>
            <w:right w:val="none" w:sz="0" w:space="0" w:color="auto"/>
          </w:divBdr>
          <w:divsChild>
            <w:div w:id="1404136450">
              <w:marLeft w:val="150"/>
              <w:marRight w:val="150"/>
              <w:marTop w:val="150"/>
              <w:marBottom w:val="150"/>
              <w:divBdr>
                <w:top w:val="none" w:sz="0" w:space="0" w:color="auto"/>
                <w:left w:val="none" w:sz="0" w:space="0" w:color="auto"/>
                <w:bottom w:val="none" w:sz="0" w:space="0" w:color="auto"/>
                <w:right w:val="none" w:sz="0" w:space="0" w:color="auto"/>
              </w:divBdr>
              <w:divsChild>
                <w:div w:id="625434626">
                  <w:marLeft w:val="0"/>
                  <w:marRight w:val="0"/>
                  <w:marTop w:val="0"/>
                  <w:marBottom w:val="0"/>
                  <w:divBdr>
                    <w:top w:val="none" w:sz="0" w:space="0" w:color="auto"/>
                    <w:left w:val="none" w:sz="0" w:space="0" w:color="auto"/>
                    <w:bottom w:val="none" w:sz="0" w:space="0" w:color="auto"/>
                    <w:right w:val="none" w:sz="0" w:space="0" w:color="auto"/>
                  </w:divBdr>
                  <w:divsChild>
                    <w:div w:id="49441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988616">
      <w:bodyDiv w:val="1"/>
      <w:marLeft w:val="0"/>
      <w:marRight w:val="0"/>
      <w:marTop w:val="0"/>
      <w:marBottom w:val="0"/>
      <w:divBdr>
        <w:top w:val="none" w:sz="0" w:space="0" w:color="auto"/>
        <w:left w:val="none" w:sz="0" w:space="0" w:color="auto"/>
        <w:bottom w:val="none" w:sz="0" w:space="0" w:color="auto"/>
        <w:right w:val="none" w:sz="0" w:space="0" w:color="auto"/>
      </w:divBdr>
    </w:div>
    <w:div w:id="1143044521">
      <w:bodyDiv w:val="1"/>
      <w:marLeft w:val="0"/>
      <w:marRight w:val="0"/>
      <w:marTop w:val="0"/>
      <w:marBottom w:val="0"/>
      <w:divBdr>
        <w:top w:val="none" w:sz="0" w:space="0" w:color="auto"/>
        <w:left w:val="none" w:sz="0" w:space="0" w:color="auto"/>
        <w:bottom w:val="none" w:sz="0" w:space="0" w:color="auto"/>
        <w:right w:val="none" w:sz="0" w:space="0" w:color="auto"/>
      </w:divBdr>
      <w:divsChild>
        <w:div w:id="142239895">
          <w:marLeft w:val="0"/>
          <w:marRight w:val="0"/>
          <w:marTop w:val="0"/>
          <w:marBottom w:val="0"/>
          <w:divBdr>
            <w:top w:val="none" w:sz="0" w:space="0" w:color="auto"/>
            <w:left w:val="none" w:sz="0" w:space="0" w:color="auto"/>
            <w:bottom w:val="none" w:sz="0" w:space="0" w:color="auto"/>
            <w:right w:val="none" w:sz="0" w:space="0" w:color="auto"/>
          </w:divBdr>
        </w:div>
        <w:div w:id="533351039">
          <w:marLeft w:val="0"/>
          <w:marRight w:val="0"/>
          <w:marTop w:val="0"/>
          <w:marBottom w:val="0"/>
          <w:divBdr>
            <w:top w:val="none" w:sz="0" w:space="0" w:color="auto"/>
            <w:left w:val="none" w:sz="0" w:space="0" w:color="auto"/>
            <w:bottom w:val="none" w:sz="0" w:space="0" w:color="auto"/>
            <w:right w:val="none" w:sz="0" w:space="0" w:color="auto"/>
          </w:divBdr>
        </w:div>
        <w:div w:id="2139103476">
          <w:marLeft w:val="0"/>
          <w:marRight w:val="0"/>
          <w:marTop w:val="0"/>
          <w:marBottom w:val="0"/>
          <w:divBdr>
            <w:top w:val="none" w:sz="0" w:space="0" w:color="auto"/>
            <w:left w:val="none" w:sz="0" w:space="0" w:color="auto"/>
            <w:bottom w:val="none" w:sz="0" w:space="0" w:color="auto"/>
            <w:right w:val="none" w:sz="0" w:space="0" w:color="auto"/>
          </w:divBdr>
        </w:div>
      </w:divsChild>
    </w:div>
    <w:div w:id="1173690417">
      <w:bodyDiv w:val="1"/>
      <w:marLeft w:val="0"/>
      <w:marRight w:val="0"/>
      <w:marTop w:val="0"/>
      <w:marBottom w:val="0"/>
      <w:divBdr>
        <w:top w:val="none" w:sz="0" w:space="0" w:color="auto"/>
        <w:left w:val="none" w:sz="0" w:space="0" w:color="auto"/>
        <w:bottom w:val="none" w:sz="0" w:space="0" w:color="auto"/>
        <w:right w:val="none" w:sz="0" w:space="0" w:color="auto"/>
      </w:divBdr>
      <w:divsChild>
        <w:div w:id="856305923">
          <w:marLeft w:val="-720"/>
          <w:marRight w:val="0"/>
          <w:marTop w:val="0"/>
          <w:marBottom w:val="0"/>
          <w:divBdr>
            <w:top w:val="none" w:sz="0" w:space="0" w:color="auto"/>
            <w:left w:val="none" w:sz="0" w:space="0" w:color="auto"/>
            <w:bottom w:val="none" w:sz="0" w:space="0" w:color="auto"/>
            <w:right w:val="none" w:sz="0" w:space="0" w:color="auto"/>
          </w:divBdr>
        </w:div>
      </w:divsChild>
    </w:div>
    <w:div w:id="1179736121">
      <w:bodyDiv w:val="1"/>
      <w:marLeft w:val="0"/>
      <w:marRight w:val="0"/>
      <w:marTop w:val="0"/>
      <w:marBottom w:val="0"/>
      <w:divBdr>
        <w:top w:val="none" w:sz="0" w:space="0" w:color="auto"/>
        <w:left w:val="none" w:sz="0" w:space="0" w:color="auto"/>
        <w:bottom w:val="none" w:sz="0" w:space="0" w:color="auto"/>
        <w:right w:val="none" w:sz="0" w:space="0" w:color="auto"/>
      </w:divBdr>
    </w:div>
    <w:div w:id="1186939739">
      <w:bodyDiv w:val="1"/>
      <w:marLeft w:val="0"/>
      <w:marRight w:val="0"/>
      <w:marTop w:val="0"/>
      <w:marBottom w:val="0"/>
      <w:divBdr>
        <w:top w:val="none" w:sz="0" w:space="0" w:color="auto"/>
        <w:left w:val="none" w:sz="0" w:space="0" w:color="auto"/>
        <w:bottom w:val="none" w:sz="0" w:space="0" w:color="auto"/>
        <w:right w:val="none" w:sz="0" w:space="0" w:color="auto"/>
      </w:divBdr>
    </w:div>
    <w:div w:id="1217668315">
      <w:bodyDiv w:val="1"/>
      <w:marLeft w:val="0"/>
      <w:marRight w:val="0"/>
      <w:marTop w:val="0"/>
      <w:marBottom w:val="0"/>
      <w:divBdr>
        <w:top w:val="none" w:sz="0" w:space="0" w:color="auto"/>
        <w:left w:val="none" w:sz="0" w:space="0" w:color="auto"/>
        <w:bottom w:val="none" w:sz="0" w:space="0" w:color="auto"/>
        <w:right w:val="none" w:sz="0" w:space="0" w:color="auto"/>
      </w:divBdr>
    </w:div>
    <w:div w:id="1224217555">
      <w:bodyDiv w:val="1"/>
      <w:marLeft w:val="0"/>
      <w:marRight w:val="0"/>
      <w:marTop w:val="0"/>
      <w:marBottom w:val="0"/>
      <w:divBdr>
        <w:top w:val="none" w:sz="0" w:space="0" w:color="auto"/>
        <w:left w:val="none" w:sz="0" w:space="0" w:color="auto"/>
        <w:bottom w:val="none" w:sz="0" w:space="0" w:color="auto"/>
        <w:right w:val="none" w:sz="0" w:space="0" w:color="auto"/>
      </w:divBdr>
      <w:divsChild>
        <w:div w:id="1054502264">
          <w:marLeft w:val="-720"/>
          <w:marRight w:val="0"/>
          <w:marTop w:val="0"/>
          <w:marBottom w:val="0"/>
          <w:divBdr>
            <w:top w:val="none" w:sz="0" w:space="0" w:color="auto"/>
            <w:left w:val="none" w:sz="0" w:space="0" w:color="auto"/>
            <w:bottom w:val="none" w:sz="0" w:space="0" w:color="auto"/>
            <w:right w:val="none" w:sz="0" w:space="0" w:color="auto"/>
          </w:divBdr>
        </w:div>
      </w:divsChild>
    </w:div>
    <w:div w:id="1416972272">
      <w:bodyDiv w:val="1"/>
      <w:marLeft w:val="0"/>
      <w:marRight w:val="0"/>
      <w:marTop w:val="0"/>
      <w:marBottom w:val="0"/>
      <w:divBdr>
        <w:top w:val="none" w:sz="0" w:space="0" w:color="auto"/>
        <w:left w:val="none" w:sz="0" w:space="0" w:color="auto"/>
        <w:bottom w:val="none" w:sz="0" w:space="0" w:color="auto"/>
        <w:right w:val="none" w:sz="0" w:space="0" w:color="auto"/>
      </w:divBdr>
      <w:divsChild>
        <w:div w:id="1136071420">
          <w:marLeft w:val="0"/>
          <w:marRight w:val="0"/>
          <w:marTop w:val="0"/>
          <w:marBottom w:val="0"/>
          <w:divBdr>
            <w:top w:val="none" w:sz="0" w:space="0" w:color="auto"/>
            <w:left w:val="none" w:sz="0" w:space="0" w:color="auto"/>
            <w:bottom w:val="none" w:sz="0" w:space="0" w:color="auto"/>
            <w:right w:val="none" w:sz="0" w:space="0" w:color="auto"/>
          </w:divBdr>
        </w:div>
        <w:div w:id="1784575503">
          <w:marLeft w:val="0"/>
          <w:marRight w:val="0"/>
          <w:marTop w:val="0"/>
          <w:marBottom w:val="0"/>
          <w:divBdr>
            <w:top w:val="none" w:sz="0" w:space="0" w:color="auto"/>
            <w:left w:val="none" w:sz="0" w:space="0" w:color="auto"/>
            <w:bottom w:val="none" w:sz="0" w:space="0" w:color="auto"/>
            <w:right w:val="none" w:sz="0" w:space="0" w:color="auto"/>
          </w:divBdr>
        </w:div>
        <w:div w:id="2060860969">
          <w:marLeft w:val="0"/>
          <w:marRight w:val="0"/>
          <w:marTop w:val="0"/>
          <w:marBottom w:val="0"/>
          <w:divBdr>
            <w:top w:val="none" w:sz="0" w:space="0" w:color="auto"/>
            <w:left w:val="none" w:sz="0" w:space="0" w:color="auto"/>
            <w:bottom w:val="none" w:sz="0" w:space="0" w:color="auto"/>
            <w:right w:val="none" w:sz="0" w:space="0" w:color="auto"/>
          </w:divBdr>
        </w:div>
      </w:divsChild>
    </w:div>
    <w:div w:id="1467812900">
      <w:bodyDiv w:val="1"/>
      <w:marLeft w:val="0"/>
      <w:marRight w:val="0"/>
      <w:marTop w:val="0"/>
      <w:marBottom w:val="0"/>
      <w:divBdr>
        <w:top w:val="none" w:sz="0" w:space="0" w:color="auto"/>
        <w:left w:val="none" w:sz="0" w:space="0" w:color="auto"/>
        <w:bottom w:val="none" w:sz="0" w:space="0" w:color="auto"/>
        <w:right w:val="none" w:sz="0" w:space="0" w:color="auto"/>
      </w:divBdr>
    </w:div>
    <w:div w:id="1475877247">
      <w:bodyDiv w:val="1"/>
      <w:marLeft w:val="0"/>
      <w:marRight w:val="0"/>
      <w:marTop w:val="0"/>
      <w:marBottom w:val="0"/>
      <w:divBdr>
        <w:top w:val="none" w:sz="0" w:space="0" w:color="auto"/>
        <w:left w:val="none" w:sz="0" w:space="0" w:color="auto"/>
        <w:bottom w:val="none" w:sz="0" w:space="0" w:color="auto"/>
        <w:right w:val="none" w:sz="0" w:space="0" w:color="auto"/>
      </w:divBdr>
    </w:div>
    <w:div w:id="1490052281">
      <w:bodyDiv w:val="1"/>
      <w:marLeft w:val="0"/>
      <w:marRight w:val="0"/>
      <w:marTop w:val="0"/>
      <w:marBottom w:val="0"/>
      <w:divBdr>
        <w:top w:val="none" w:sz="0" w:space="0" w:color="auto"/>
        <w:left w:val="none" w:sz="0" w:space="0" w:color="auto"/>
        <w:bottom w:val="none" w:sz="0" w:space="0" w:color="auto"/>
        <w:right w:val="none" w:sz="0" w:space="0" w:color="auto"/>
      </w:divBdr>
      <w:divsChild>
        <w:div w:id="1040283271">
          <w:marLeft w:val="0"/>
          <w:marRight w:val="0"/>
          <w:marTop w:val="0"/>
          <w:marBottom w:val="0"/>
          <w:divBdr>
            <w:top w:val="none" w:sz="0" w:space="0" w:color="auto"/>
            <w:left w:val="none" w:sz="0" w:space="0" w:color="auto"/>
            <w:bottom w:val="none" w:sz="0" w:space="0" w:color="auto"/>
            <w:right w:val="none" w:sz="0" w:space="0" w:color="auto"/>
          </w:divBdr>
        </w:div>
        <w:div w:id="1077747537">
          <w:marLeft w:val="0"/>
          <w:marRight w:val="0"/>
          <w:marTop w:val="0"/>
          <w:marBottom w:val="0"/>
          <w:divBdr>
            <w:top w:val="none" w:sz="0" w:space="0" w:color="auto"/>
            <w:left w:val="none" w:sz="0" w:space="0" w:color="auto"/>
            <w:bottom w:val="none" w:sz="0" w:space="0" w:color="auto"/>
            <w:right w:val="none" w:sz="0" w:space="0" w:color="auto"/>
          </w:divBdr>
        </w:div>
        <w:div w:id="1962765031">
          <w:marLeft w:val="0"/>
          <w:marRight w:val="0"/>
          <w:marTop w:val="0"/>
          <w:marBottom w:val="0"/>
          <w:divBdr>
            <w:top w:val="none" w:sz="0" w:space="0" w:color="auto"/>
            <w:left w:val="none" w:sz="0" w:space="0" w:color="auto"/>
            <w:bottom w:val="none" w:sz="0" w:space="0" w:color="auto"/>
            <w:right w:val="none" w:sz="0" w:space="0" w:color="auto"/>
          </w:divBdr>
        </w:div>
      </w:divsChild>
    </w:div>
    <w:div w:id="1513228628">
      <w:bodyDiv w:val="1"/>
      <w:marLeft w:val="0"/>
      <w:marRight w:val="0"/>
      <w:marTop w:val="0"/>
      <w:marBottom w:val="0"/>
      <w:divBdr>
        <w:top w:val="none" w:sz="0" w:space="0" w:color="auto"/>
        <w:left w:val="none" w:sz="0" w:space="0" w:color="auto"/>
        <w:bottom w:val="none" w:sz="0" w:space="0" w:color="auto"/>
        <w:right w:val="none" w:sz="0" w:space="0" w:color="auto"/>
      </w:divBdr>
      <w:divsChild>
        <w:div w:id="1684625363">
          <w:marLeft w:val="-720"/>
          <w:marRight w:val="0"/>
          <w:marTop w:val="0"/>
          <w:marBottom w:val="0"/>
          <w:divBdr>
            <w:top w:val="none" w:sz="0" w:space="0" w:color="auto"/>
            <w:left w:val="none" w:sz="0" w:space="0" w:color="auto"/>
            <w:bottom w:val="none" w:sz="0" w:space="0" w:color="auto"/>
            <w:right w:val="none" w:sz="0" w:space="0" w:color="auto"/>
          </w:divBdr>
        </w:div>
      </w:divsChild>
    </w:div>
    <w:div w:id="1538473364">
      <w:bodyDiv w:val="1"/>
      <w:marLeft w:val="0"/>
      <w:marRight w:val="0"/>
      <w:marTop w:val="0"/>
      <w:marBottom w:val="0"/>
      <w:divBdr>
        <w:top w:val="none" w:sz="0" w:space="0" w:color="auto"/>
        <w:left w:val="none" w:sz="0" w:space="0" w:color="auto"/>
        <w:bottom w:val="none" w:sz="0" w:space="0" w:color="auto"/>
        <w:right w:val="none" w:sz="0" w:space="0" w:color="auto"/>
      </w:divBdr>
      <w:divsChild>
        <w:div w:id="2131363893">
          <w:marLeft w:val="-720"/>
          <w:marRight w:val="0"/>
          <w:marTop w:val="0"/>
          <w:marBottom w:val="0"/>
          <w:divBdr>
            <w:top w:val="none" w:sz="0" w:space="0" w:color="auto"/>
            <w:left w:val="none" w:sz="0" w:space="0" w:color="auto"/>
            <w:bottom w:val="none" w:sz="0" w:space="0" w:color="auto"/>
            <w:right w:val="none" w:sz="0" w:space="0" w:color="auto"/>
          </w:divBdr>
        </w:div>
      </w:divsChild>
    </w:div>
    <w:div w:id="1566378890">
      <w:bodyDiv w:val="1"/>
      <w:marLeft w:val="0"/>
      <w:marRight w:val="0"/>
      <w:marTop w:val="0"/>
      <w:marBottom w:val="0"/>
      <w:divBdr>
        <w:top w:val="none" w:sz="0" w:space="0" w:color="auto"/>
        <w:left w:val="none" w:sz="0" w:space="0" w:color="auto"/>
        <w:bottom w:val="none" w:sz="0" w:space="0" w:color="auto"/>
        <w:right w:val="none" w:sz="0" w:space="0" w:color="auto"/>
      </w:divBdr>
      <w:divsChild>
        <w:div w:id="580678083">
          <w:marLeft w:val="-720"/>
          <w:marRight w:val="0"/>
          <w:marTop w:val="0"/>
          <w:marBottom w:val="0"/>
          <w:divBdr>
            <w:top w:val="none" w:sz="0" w:space="0" w:color="auto"/>
            <w:left w:val="none" w:sz="0" w:space="0" w:color="auto"/>
            <w:bottom w:val="none" w:sz="0" w:space="0" w:color="auto"/>
            <w:right w:val="none" w:sz="0" w:space="0" w:color="auto"/>
          </w:divBdr>
        </w:div>
      </w:divsChild>
    </w:div>
    <w:div w:id="1611624693">
      <w:bodyDiv w:val="1"/>
      <w:marLeft w:val="0"/>
      <w:marRight w:val="0"/>
      <w:marTop w:val="0"/>
      <w:marBottom w:val="0"/>
      <w:divBdr>
        <w:top w:val="none" w:sz="0" w:space="0" w:color="auto"/>
        <w:left w:val="none" w:sz="0" w:space="0" w:color="auto"/>
        <w:bottom w:val="none" w:sz="0" w:space="0" w:color="auto"/>
        <w:right w:val="none" w:sz="0" w:space="0" w:color="auto"/>
      </w:divBdr>
      <w:divsChild>
        <w:div w:id="381565725">
          <w:marLeft w:val="-720"/>
          <w:marRight w:val="0"/>
          <w:marTop w:val="0"/>
          <w:marBottom w:val="0"/>
          <w:divBdr>
            <w:top w:val="none" w:sz="0" w:space="0" w:color="auto"/>
            <w:left w:val="none" w:sz="0" w:space="0" w:color="auto"/>
            <w:bottom w:val="none" w:sz="0" w:space="0" w:color="auto"/>
            <w:right w:val="none" w:sz="0" w:space="0" w:color="auto"/>
          </w:divBdr>
        </w:div>
      </w:divsChild>
    </w:div>
    <w:div w:id="1666854838">
      <w:bodyDiv w:val="1"/>
      <w:marLeft w:val="0"/>
      <w:marRight w:val="0"/>
      <w:marTop w:val="0"/>
      <w:marBottom w:val="0"/>
      <w:divBdr>
        <w:top w:val="none" w:sz="0" w:space="0" w:color="auto"/>
        <w:left w:val="none" w:sz="0" w:space="0" w:color="auto"/>
        <w:bottom w:val="none" w:sz="0" w:space="0" w:color="auto"/>
        <w:right w:val="none" w:sz="0" w:space="0" w:color="auto"/>
      </w:divBdr>
      <w:divsChild>
        <w:div w:id="2032946327">
          <w:marLeft w:val="-720"/>
          <w:marRight w:val="0"/>
          <w:marTop w:val="0"/>
          <w:marBottom w:val="0"/>
          <w:divBdr>
            <w:top w:val="none" w:sz="0" w:space="0" w:color="auto"/>
            <w:left w:val="none" w:sz="0" w:space="0" w:color="auto"/>
            <w:bottom w:val="none" w:sz="0" w:space="0" w:color="auto"/>
            <w:right w:val="none" w:sz="0" w:space="0" w:color="auto"/>
          </w:divBdr>
        </w:div>
      </w:divsChild>
    </w:div>
    <w:div w:id="1668289326">
      <w:bodyDiv w:val="1"/>
      <w:marLeft w:val="0"/>
      <w:marRight w:val="0"/>
      <w:marTop w:val="0"/>
      <w:marBottom w:val="0"/>
      <w:divBdr>
        <w:top w:val="none" w:sz="0" w:space="0" w:color="auto"/>
        <w:left w:val="none" w:sz="0" w:space="0" w:color="auto"/>
        <w:bottom w:val="none" w:sz="0" w:space="0" w:color="auto"/>
        <w:right w:val="none" w:sz="0" w:space="0" w:color="auto"/>
      </w:divBdr>
    </w:div>
    <w:div w:id="1704088355">
      <w:bodyDiv w:val="1"/>
      <w:marLeft w:val="0"/>
      <w:marRight w:val="0"/>
      <w:marTop w:val="0"/>
      <w:marBottom w:val="0"/>
      <w:divBdr>
        <w:top w:val="none" w:sz="0" w:space="0" w:color="auto"/>
        <w:left w:val="none" w:sz="0" w:space="0" w:color="auto"/>
        <w:bottom w:val="none" w:sz="0" w:space="0" w:color="auto"/>
        <w:right w:val="none" w:sz="0" w:space="0" w:color="auto"/>
      </w:divBdr>
      <w:divsChild>
        <w:div w:id="684021322">
          <w:marLeft w:val="-720"/>
          <w:marRight w:val="0"/>
          <w:marTop w:val="0"/>
          <w:marBottom w:val="0"/>
          <w:divBdr>
            <w:top w:val="none" w:sz="0" w:space="0" w:color="auto"/>
            <w:left w:val="none" w:sz="0" w:space="0" w:color="auto"/>
            <w:bottom w:val="none" w:sz="0" w:space="0" w:color="auto"/>
            <w:right w:val="none" w:sz="0" w:space="0" w:color="auto"/>
          </w:divBdr>
        </w:div>
      </w:divsChild>
    </w:div>
    <w:div w:id="1865048801">
      <w:bodyDiv w:val="1"/>
      <w:marLeft w:val="0"/>
      <w:marRight w:val="0"/>
      <w:marTop w:val="0"/>
      <w:marBottom w:val="0"/>
      <w:divBdr>
        <w:top w:val="none" w:sz="0" w:space="0" w:color="auto"/>
        <w:left w:val="none" w:sz="0" w:space="0" w:color="auto"/>
        <w:bottom w:val="none" w:sz="0" w:space="0" w:color="auto"/>
        <w:right w:val="none" w:sz="0" w:space="0" w:color="auto"/>
      </w:divBdr>
    </w:div>
    <w:div w:id="1935042615">
      <w:bodyDiv w:val="1"/>
      <w:marLeft w:val="0"/>
      <w:marRight w:val="0"/>
      <w:marTop w:val="0"/>
      <w:marBottom w:val="0"/>
      <w:divBdr>
        <w:top w:val="none" w:sz="0" w:space="0" w:color="auto"/>
        <w:left w:val="none" w:sz="0" w:space="0" w:color="auto"/>
        <w:bottom w:val="none" w:sz="0" w:space="0" w:color="auto"/>
        <w:right w:val="none" w:sz="0" w:space="0" w:color="auto"/>
      </w:divBdr>
      <w:divsChild>
        <w:div w:id="532307953">
          <w:marLeft w:val="0"/>
          <w:marRight w:val="0"/>
          <w:marTop w:val="0"/>
          <w:marBottom w:val="0"/>
          <w:divBdr>
            <w:top w:val="none" w:sz="0" w:space="0" w:color="auto"/>
            <w:left w:val="none" w:sz="0" w:space="0" w:color="auto"/>
            <w:bottom w:val="none" w:sz="0" w:space="0" w:color="auto"/>
            <w:right w:val="none" w:sz="0" w:space="0" w:color="auto"/>
          </w:divBdr>
        </w:div>
        <w:div w:id="919098033">
          <w:marLeft w:val="0"/>
          <w:marRight w:val="0"/>
          <w:marTop w:val="0"/>
          <w:marBottom w:val="0"/>
          <w:divBdr>
            <w:top w:val="none" w:sz="0" w:space="0" w:color="auto"/>
            <w:left w:val="none" w:sz="0" w:space="0" w:color="auto"/>
            <w:bottom w:val="none" w:sz="0" w:space="0" w:color="auto"/>
            <w:right w:val="none" w:sz="0" w:space="0" w:color="auto"/>
          </w:divBdr>
        </w:div>
        <w:div w:id="1644696130">
          <w:marLeft w:val="0"/>
          <w:marRight w:val="0"/>
          <w:marTop w:val="0"/>
          <w:marBottom w:val="0"/>
          <w:divBdr>
            <w:top w:val="none" w:sz="0" w:space="0" w:color="auto"/>
            <w:left w:val="none" w:sz="0" w:space="0" w:color="auto"/>
            <w:bottom w:val="none" w:sz="0" w:space="0" w:color="auto"/>
            <w:right w:val="none" w:sz="0" w:space="0" w:color="auto"/>
          </w:divBdr>
        </w:div>
      </w:divsChild>
    </w:div>
    <w:div w:id="1981643439">
      <w:bodyDiv w:val="1"/>
      <w:marLeft w:val="0"/>
      <w:marRight w:val="0"/>
      <w:marTop w:val="0"/>
      <w:marBottom w:val="0"/>
      <w:divBdr>
        <w:top w:val="none" w:sz="0" w:space="0" w:color="auto"/>
        <w:left w:val="none" w:sz="0" w:space="0" w:color="auto"/>
        <w:bottom w:val="none" w:sz="0" w:space="0" w:color="auto"/>
        <w:right w:val="none" w:sz="0" w:space="0" w:color="auto"/>
      </w:divBdr>
      <w:divsChild>
        <w:div w:id="128283135">
          <w:marLeft w:val="-720"/>
          <w:marRight w:val="0"/>
          <w:marTop w:val="0"/>
          <w:marBottom w:val="0"/>
          <w:divBdr>
            <w:top w:val="none" w:sz="0" w:space="0" w:color="auto"/>
            <w:left w:val="none" w:sz="0" w:space="0" w:color="auto"/>
            <w:bottom w:val="none" w:sz="0" w:space="0" w:color="auto"/>
            <w:right w:val="none" w:sz="0" w:space="0" w:color="auto"/>
          </w:divBdr>
        </w:div>
      </w:divsChild>
    </w:div>
    <w:div w:id="212464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yc.gov/site/dfta/services/find-help.page" TargetMode="External"/><Relationship Id="rId4" Type="http://schemas.openxmlformats.org/officeDocument/2006/relationships/settings" Target="settings.xml"/><Relationship Id="rId9" Type="http://schemas.openxmlformats.org/officeDocument/2006/relationships/hyperlink" Target="https://www.nyc.gov/site/dfta/about/contact-aging-connect.pag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pix11.com/2018/01/13/nycha-senior-center-residents-complain-there-is-no-heat/" TargetMode="External"/><Relationship Id="rId18" Type="http://schemas.openxmlformats.org/officeDocument/2006/relationships/hyperlink" Target="https://comptroller.nyc.gov/wp-content/uploads/documents/MG16_111A.pdf" TargetMode="External"/><Relationship Id="rId26" Type="http://schemas.openxmlformats.org/officeDocument/2006/relationships/hyperlink" Target="https://legistar.council.nyc.gov/LegislationDetail.aspx?ID=4890296&amp;GUID=CF2BE48E-947A-4201-AD77-F47A1AD8E489&amp;Options=&amp;Search=" TargetMode="External"/><Relationship Id="rId39" Type="http://schemas.openxmlformats.org/officeDocument/2006/relationships/hyperlink" Target="https://legistar.council.nyc.gov/LegislationDetail.aspx?ID=5559582&amp;GUID=383DE9F4-57B6-4887-A96E-1DB95EE8ADB7&amp;Options=ID|Text|&amp;Search=PACT" TargetMode="External"/><Relationship Id="rId21" Type="http://schemas.openxmlformats.org/officeDocument/2006/relationships/hyperlink" Target="https://legistar.council.nyc.gov/LegislationDetail.aspx?ID=6563211&amp;GUID=1F1F6CBE-C1D8-4476-9AF3-A124BF5D54D0&amp;Options=&amp;Search=" TargetMode="External"/><Relationship Id="rId34" Type="http://schemas.openxmlformats.org/officeDocument/2006/relationships/hyperlink" Target="https://www.nyc.gov/site/nycha/about/press/pr-2024/pr-20241217.page" TargetMode="External"/><Relationship Id="rId42" Type="http://schemas.openxmlformats.org/officeDocument/2006/relationships/hyperlink" Target="https://comptroller.nyc.gov/newsroom/nyc-comptroller-audit-finds-that-evictions-in-nychas-pact-properties-take-place-at-a-significantly-higher-rate-than-traditional-nycha-developments/" TargetMode="External"/><Relationship Id="rId47" Type="http://schemas.openxmlformats.org/officeDocument/2006/relationships/hyperlink" Target="https://citylimits.org/2024/08/15/concerns-about-pact-private-management-program-take-the-spotlight-at-annual-nycha-hearing/" TargetMode="External"/><Relationship Id="rId50" Type="http://schemas.openxmlformats.org/officeDocument/2006/relationships/hyperlink" Target="https://citylimits.org/2024/08/15/concerns-about-pact-private-management-program-take-the-spotlight-at-annual-nycha-hearing/" TargetMode="External"/><Relationship Id="rId55" Type="http://schemas.openxmlformats.org/officeDocument/2006/relationships/hyperlink" Target="https://comptroller.nyc.gov/reports/repairs-reviews-and-resident-voice/" TargetMode="External"/><Relationship Id="rId7" Type="http://schemas.openxmlformats.org/officeDocument/2006/relationships/hyperlink" Target="https://a860-gpp.nyc.gov/concern/nyc_government_publications/pz50h078m?locale=en" TargetMode="External"/><Relationship Id="rId2" Type="http://schemas.openxmlformats.org/officeDocument/2006/relationships/hyperlink" Target="https://www.ncoa.org/article/get-the-facts-on-senior-centers/" TargetMode="External"/><Relationship Id="rId16" Type="http://schemas.openxmlformats.org/officeDocument/2006/relationships/hyperlink" Target="https://legistar.council.nyc.gov/LegislationDetail.aspx?ID=6563211&amp;GUID=1F1F6CBE-C1D8-4476-9AF3-A124BF5D54D0&amp;Options=&amp;Search=" TargetMode="External"/><Relationship Id="rId29" Type="http://schemas.openxmlformats.org/officeDocument/2006/relationships/hyperlink" Target="https://legistar.council.nyc.gov/LegislationDetail.aspx?ID=3758525&amp;GUID=AF3EF4D3-7A49-47BE-AFE7-4971C031DDF6&amp;Options=&amp;Search=" TargetMode="External"/><Relationship Id="rId11" Type="http://schemas.openxmlformats.org/officeDocument/2006/relationships/hyperlink" Target="https://citylimits.org/2024/11/14/what-does-nychas-federal-monitor-do-anyway/" TargetMode="External"/><Relationship Id="rId24" Type="http://schemas.openxmlformats.org/officeDocument/2006/relationships/hyperlink" Target="https://legistar.council.nyc.gov/LegislationDetail.aspx?ID=6563211&amp;GUID=1F1F6CBE-C1D8-4476-9AF3-A124BF5D54D0&amp;Options=&amp;Search=" TargetMode="External"/><Relationship Id="rId32" Type="http://schemas.openxmlformats.org/officeDocument/2006/relationships/hyperlink" Target="https://citylimits.org/2023/08/15/nychas-rad-pact-and-preservation-trust-plans-explained/" TargetMode="External"/><Relationship Id="rId37" Type="http://schemas.openxmlformats.org/officeDocument/2006/relationships/hyperlink" Target="https://legistar.council.nyc.gov/MeetingDetail.aspx?ID=1187271&amp;GUID=52D42EE8-06AA-4755-9E12-9455B84A8208&amp;Options=info|&amp;Search" TargetMode="External"/><Relationship Id="rId40" Type="http://schemas.openxmlformats.org/officeDocument/2006/relationships/hyperlink" Target="https://www.thecity.nyc/2020/12/22/nycha-open-repairs-mold-rad-privatization-public-housing/" TargetMode="External"/><Relationship Id="rId45" Type="http://schemas.openxmlformats.org/officeDocument/2006/relationships/hyperlink" Target="https://legistar.council.nyc.gov/LegislationDetail.aspx?ID=5559582&amp;GUID=383DE9F4-57B6-4887-A96E-1DB95EE8ADB7&amp;Options=ID|Text|&amp;Search=PACT" TargetMode="External"/><Relationship Id="rId53" Type="http://schemas.openxmlformats.org/officeDocument/2006/relationships/hyperlink" Target="https://www.weact.org/2023/11/we-act-for-environmental-justice-and-members-of-we-acts-nycha-healthy-homes-working-group-respond-to-the-new-york-city-councils-oversight-hearing-on-rad-pact-the-trust-the-future/" TargetMode="External"/><Relationship Id="rId5" Type="http://schemas.openxmlformats.org/officeDocument/2006/relationships/hyperlink" Target="https://www.nyc.gov/site/dfta/services/older-adult-center.page" TargetMode="External"/><Relationship Id="rId10" Type="http://schemas.openxmlformats.org/officeDocument/2006/relationships/hyperlink" Target="https://www.nydailynews.com/new-york/nycha-behind-wheelchair-accessibility-20-years-fed-deal-article-1.2959167" TargetMode="External"/><Relationship Id="rId19" Type="http://schemas.openxmlformats.org/officeDocument/2006/relationships/hyperlink" Target="https://legistar.council.nyc.gov/LegislationDetail.aspx?ID=6563211&amp;GUID=1F1F6CBE-C1D8-4476-9AF3-A124BF5D54D0&amp;Options=&amp;Search=" TargetMode="External"/><Relationship Id="rId31" Type="http://schemas.openxmlformats.org/officeDocument/2006/relationships/hyperlink" Target="https://legistar.council.nyc.gov/LegislationDetail.aspx?ID=4890296&amp;GUID=CF2BE48E-947A-4201-AD77-F47A1AD8E489&amp;Options=&amp;Search=" TargetMode="External"/><Relationship Id="rId44" Type="http://schemas.openxmlformats.org/officeDocument/2006/relationships/hyperlink" Target="https://www.justice.gov/usao-sdny/pr/70-current-and-former-nycha-employees-charged-bribery-and-extortion-offenses" TargetMode="External"/><Relationship Id="rId52" Type="http://schemas.openxmlformats.org/officeDocument/2006/relationships/hyperlink" Target="https://www.nyc.gov/assets/nycha/downloads/pdf/NYCHA-Monitorship-Report-12.19.2024.pdf" TargetMode="External"/><Relationship Id="rId4" Type="http://schemas.openxmlformats.org/officeDocument/2006/relationships/hyperlink" Target="https://www.nyc.gov/site/dfta/services/older-adult-center.page" TargetMode="External"/><Relationship Id="rId9" Type="http://schemas.openxmlformats.org/officeDocument/2006/relationships/hyperlink" Target="https://nypost.com/2018/03/09/this-senior-citizen-has-been-waiting-3-years-for-nycha-to-fix-her-mold-infested-apartment/" TargetMode="External"/><Relationship Id="rId14" Type="http://schemas.openxmlformats.org/officeDocument/2006/relationships/hyperlink" Target="https://comptroller.nyc.gov/wp-content/uploads/documents/MG16_111A.pdf" TargetMode="External"/><Relationship Id="rId22" Type="http://schemas.openxmlformats.org/officeDocument/2006/relationships/hyperlink" Target="https://legistar.council.nyc.gov/LegislationDetail.aspx?ID=3685465&amp;GUID=759F4528-850A-45DA-88E6-5DB55F6A29D6&amp;Options=&amp;Search" TargetMode="External"/><Relationship Id="rId27" Type="http://schemas.openxmlformats.org/officeDocument/2006/relationships/hyperlink" Target="https://comptroller.nyc.gov/wp-content/uploads/documents/MG16_111A.pdf" TargetMode="External"/><Relationship Id="rId30" Type="http://schemas.openxmlformats.org/officeDocument/2006/relationships/hyperlink" Target="https://citylimits.org/2016/06/20/nycha-responds-to-fiscal-crisis-with-embrace-of-private-sector/" TargetMode="External"/><Relationship Id="rId35" Type="http://schemas.openxmlformats.org/officeDocument/2006/relationships/hyperlink" Target="https://www.nyc.gov/office-of-the-mayor/news/565-18/mayor-de-blasio-62-000-nycha-apartments-receive-comprehensive-repairs" TargetMode="External"/><Relationship Id="rId43" Type="http://schemas.openxmlformats.org/officeDocument/2006/relationships/hyperlink" Target="https://www.justice.gov/usao-sdny/page/file/1074866/dl?inline" TargetMode="External"/><Relationship Id="rId48" Type="http://schemas.openxmlformats.org/officeDocument/2006/relationships/hyperlink" Target="https://legistar.council.nyc.gov/LegislationDetail.aspx?ID=5559582&amp;GUID=383DE9F4-57B6-4887-A96E-1DB95EE8ADB7&amp;Options=ID|Text|&amp;Search=PACT" TargetMode="External"/><Relationship Id="rId8" Type="http://schemas.openxmlformats.org/officeDocument/2006/relationships/hyperlink" Target="https://a860-gpp.nyc.gov/concern/nyc_government_publications/pz50h078m?locale=en" TargetMode="External"/><Relationship Id="rId51" Type="http://schemas.openxmlformats.org/officeDocument/2006/relationships/hyperlink" Target="https://www.nyc.gov/assets/nycha/downloads/pdf/NYCHA-Monitor-Letter-and-Final-Report-3.19.2024.pdf" TargetMode="External"/><Relationship Id="rId3" Type="http://schemas.openxmlformats.org/officeDocument/2006/relationships/hyperlink" Target="https://www.nyc.gov/site/dfta/services/older-adult-center.page" TargetMode="External"/><Relationship Id="rId12" Type="http://schemas.openxmlformats.org/officeDocument/2006/relationships/hyperlink" Target="http://www.news12.com/story/34823852/bronx-senior-center-directors-want-nycha-to-make-necessary-repairs" TargetMode="External"/><Relationship Id="rId17" Type="http://schemas.openxmlformats.org/officeDocument/2006/relationships/hyperlink" Target="https://comptroller.nyc.gov/wp-content/uploads/documents/MG16_111A.pdf" TargetMode="External"/><Relationship Id="rId25" Type="http://schemas.openxmlformats.org/officeDocument/2006/relationships/hyperlink" Target="https://comptroller.nyc.gov/wp-content/uploads/documents/MG16_111A.pdf" TargetMode="External"/><Relationship Id="rId33" Type="http://schemas.openxmlformats.org/officeDocument/2006/relationships/hyperlink" Target="https://www.nyc.gov/site/nycha/about/pact.page" TargetMode="External"/><Relationship Id="rId38" Type="http://schemas.openxmlformats.org/officeDocument/2006/relationships/hyperlink" Target="https://legistar.council.nyc.gov/MeetingDetail.aspx?ID=1187271&amp;GUID=52D42EE8-06AA-4755-9E12-9455B84A8208&amp;Options=info|&amp;Search" TargetMode="External"/><Relationship Id="rId46" Type="http://schemas.openxmlformats.org/officeDocument/2006/relationships/hyperlink" Target="https://legistar.council.nyc.gov/MeetingDetail.aspx?ID=1187271&amp;GUID=52D42EE8-06AA-4755-9E12-9455B84A8208&amp;Options=info|&amp;Search" TargetMode="External"/><Relationship Id="rId20" Type="http://schemas.openxmlformats.org/officeDocument/2006/relationships/hyperlink" Target="https://legistar.council.nyc.gov/LegislationDetail.aspx?ID=3685465&amp;GUID=759F4528-850A-45DA-88E6-5DB55F6A29D6&amp;Options=&amp;Search" TargetMode="External"/><Relationship Id="rId41" Type="http://schemas.openxmlformats.org/officeDocument/2006/relationships/hyperlink" Target="https://comptroller.nyc.gov/newsroom/nyc-comptroller-audit-finds-that-evictions-in-nychas-pact-properties-take-place-at-a-significantly-higher-rate-than-traditional-nycha-developments/" TargetMode="External"/><Relationship Id="rId54" Type="http://schemas.openxmlformats.org/officeDocument/2006/relationships/hyperlink" Target="https://legistar.council.nyc.gov/MeetingDetail.aspx?ID=1187271&amp;GUID=52D42EE8-06AA-4755-9E12-9455B84A8208&amp;Options=info|&amp;Search" TargetMode="External"/><Relationship Id="rId1" Type="http://schemas.openxmlformats.org/officeDocument/2006/relationships/hyperlink" Target="https://www.ncoa.org/article/get-the-facts-on-senior-centers/" TargetMode="External"/><Relationship Id="rId6" Type="http://schemas.openxmlformats.org/officeDocument/2006/relationships/hyperlink" Target="https://www.nyc.gov/site/dfta/services/find-help.page" TargetMode="External"/><Relationship Id="rId15" Type="http://schemas.openxmlformats.org/officeDocument/2006/relationships/hyperlink" Target="https://therealdeal.com/2018/09/28/add-it-to-the-list-nycha-needs-500m-for-senior-housing-community-center-repairs/" TargetMode="External"/><Relationship Id="rId23" Type="http://schemas.openxmlformats.org/officeDocument/2006/relationships/hyperlink" Target="https://legistar.council.nyc.gov/LegislationDetail.aspx?ID=6563211&amp;GUID=1F1F6CBE-C1D8-4476-9AF3-A124BF5D54D0&amp;Options=&amp;Search=" TargetMode="External"/><Relationship Id="rId28" Type="http://schemas.openxmlformats.org/officeDocument/2006/relationships/hyperlink" Target="https://comptroller.nyc.gov/wp-content/uploads/documents/MG16_111A.pdf" TargetMode="External"/><Relationship Id="rId36" Type="http://schemas.openxmlformats.org/officeDocument/2006/relationships/hyperlink" Target="https://legistar.council.nyc.gov/LegislationDetail.aspx?ID=5559582&amp;GUID=383DE9F4-57B6-4887-A96E-1DB95EE8ADB7&amp;Options=ID|Text|&amp;Search=PACT" TargetMode="External"/><Relationship Id="rId49" Type="http://schemas.openxmlformats.org/officeDocument/2006/relationships/hyperlink" Target="https://legistar.council.nyc.gov/MeetingDetail.aspx?ID=1187271&amp;GUID=52D42EE8-06AA-4755-9E12-9455B84A8208&amp;Options=info|&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68A1E-3A57-4C88-B0BF-96E7436B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3021</Words>
  <Characters>17226</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20207</CharactersWithSpaces>
  <SharedDoc>false</SharedDoc>
  <HLinks>
    <vt:vector size="288" baseType="variant">
      <vt:variant>
        <vt:i4>4718615</vt:i4>
      </vt:variant>
      <vt:variant>
        <vt:i4>3</vt:i4>
      </vt:variant>
      <vt:variant>
        <vt:i4>0</vt:i4>
      </vt:variant>
      <vt:variant>
        <vt:i4>5</vt:i4>
      </vt:variant>
      <vt:variant>
        <vt:lpwstr>https://www.nyc.gov/site/dfta/services/find-help.page</vt:lpwstr>
      </vt:variant>
      <vt:variant>
        <vt:lpwstr/>
      </vt:variant>
      <vt:variant>
        <vt:i4>7143541</vt:i4>
      </vt:variant>
      <vt:variant>
        <vt:i4>0</vt:i4>
      </vt:variant>
      <vt:variant>
        <vt:i4>0</vt:i4>
      </vt:variant>
      <vt:variant>
        <vt:i4>5</vt:i4>
      </vt:variant>
      <vt:variant>
        <vt:lpwstr>https://www.nyc.gov/site/dfta/about/contact-aging-connect.page</vt:lpwstr>
      </vt:variant>
      <vt:variant>
        <vt:lpwstr/>
      </vt:variant>
      <vt:variant>
        <vt:i4>3407985</vt:i4>
      </vt:variant>
      <vt:variant>
        <vt:i4>135</vt:i4>
      </vt:variant>
      <vt:variant>
        <vt:i4>0</vt:i4>
      </vt:variant>
      <vt:variant>
        <vt:i4>5</vt:i4>
      </vt:variant>
      <vt:variant>
        <vt:lpwstr>https://comptroller.nyc.gov/reports/repairs-reviews-and-resident-voice/</vt:lpwstr>
      </vt:variant>
      <vt:variant>
        <vt:lpwstr/>
      </vt:variant>
      <vt:variant>
        <vt:i4>5505118</vt:i4>
      </vt:variant>
      <vt:variant>
        <vt:i4>132</vt:i4>
      </vt:variant>
      <vt:variant>
        <vt:i4>0</vt:i4>
      </vt:variant>
      <vt:variant>
        <vt:i4>5</vt:i4>
      </vt:variant>
      <vt:variant>
        <vt:lpwstr>https://legistar.council.nyc.gov/MeetingDetail.aspx?ID=1187271&amp;GUID=52D42EE8-06AA-4755-9E12-9455B84A8208&amp;Options=info|&amp;Search</vt:lpwstr>
      </vt:variant>
      <vt:variant>
        <vt:lpwstr/>
      </vt:variant>
      <vt:variant>
        <vt:i4>5570632</vt:i4>
      </vt:variant>
      <vt:variant>
        <vt:i4>129</vt:i4>
      </vt:variant>
      <vt:variant>
        <vt:i4>0</vt:i4>
      </vt:variant>
      <vt:variant>
        <vt:i4>5</vt:i4>
      </vt:variant>
      <vt:variant>
        <vt:lpwstr>https://www.weact.org/2023/11/we-act-for-environmental-justice-and-members-of-we-acts-nycha-healthy-homes-working-group-respond-to-the-new-york-city-councils-oversight-hearing-on-rad-pact-the-trust-the-future/</vt:lpwstr>
      </vt:variant>
      <vt:variant>
        <vt:lpwstr/>
      </vt:variant>
      <vt:variant>
        <vt:i4>4063285</vt:i4>
      </vt:variant>
      <vt:variant>
        <vt:i4>126</vt:i4>
      </vt:variant>
      <vt:variant>
        <vt:i4>0</vt:i4>
      </vt:variant>
      <vt:variant>
        <vt:i4>5</vt:i4>
      </vt:variant>
      <vt:variant>
        <vt:lpwstr>https://www.nyc.gov/assets/nycha/downloads/pdf/NYCHA-Monitorship-Report-12.19.2024.pdf</vt:lpwstr>
      </vt:variant>
      <vt:variant>
        <vt:lpwstr/>
      </vt:variant>
      <vt:variant>
        <vt:i4>3276863</vt:i4>
      </vt:variant>
      <vt:variant>
        <vt:i4>123</vt:i4>
      </vt:variant>
      <vt:variant>
        <vt:i4>0</vt:i4>
      </vt:variant>
      <vt:variant>
        <vt:i4>5</vt:i4>
      </vt:variant>
      <vt:variant>
        <vt:lpwstr>https://www.nyc.gov/assets/nycha/downloads/pdf/NYCHA-Monitor-Letter-and-Final-Report-3.19.2024.pdf</vt:lpwstr>
      </vt:variant>
      <vt:variant>
        <vt:lpwstr/>
      </vt:variant>
      <vt:variant>
        <vt:i4>1114195</vt:i4>
      </vt:variant>
      <vt:variant>
        <vt:i4>120</vt:i4>
      </vt:variant>
      <vt:variant>
        <vt:i4>0</vt:i4>
      </vt:variant>
      <vt:variant>
        <vt:i4>5</vt:i4>
      </vt:variant>
      <vt:variant>
        <vt:lpwstr>https://citylimits.org/2024/08/15/concerns-about-pact-private-management-program-take-the-spotlight-at-annual-nycha-hearing/</vt:lpwstr>
      </vt:variant>
      <vt:variant>
        <vt:lpwstr/>
      </vt:variant>
      <vt:variant>
        <vt:i4>5505118</vt:i4>
      </vt:variant>
      <vt:variant>
        <vt:i4>117</vt:i4>
      </vt:variant>
      <vt:variant>
        <vt:i4>0</vt:i4>
      </vt:variant>
      <vt:variant>
        <vt:i4>5</vt:i4>
      </vt:variant>
      <vt:variant>
        <vt:lpwstr>https://legistar.council.nyc.gov/MeetingDetail.aspx?ID=1187271&amp;GUID=52D42EE8-06AA-4755-9E12-9455B84A8208&amp;Options=info|&amp;Search</vt:lpwstr>
      </vt:variant>
      <vt:variant>
        <vt:lpwstr/>
      </vt:variant>
      <vt:variant>
        <vt:i4>5374033</vt:i4>
      </vt:variant>
      <vt:variant>
        <vt:i4>114</vt:i4>
      </vt:variant>
      <vt:variant>
        <vt:i4>0</vt:i4>
      </vt:variant>
      <vt:variant>
        <vt:i4>5</vt:i4>
      </vt:variant>
      <vt:variant>
        <vt:lpwstr>https://legistar.council.nyc.gov/LegislationDetail.aspx?ID=5559582&amp;GUID=383DE9F4-57B6-4887-A96E-1DB95EE8ADB7&amp;Options=ID|Text|&amp;Search=PACT</vt:lpwstr>
      </vt:variant>
      <vt:variant>
        <vt:lpwstr/>
      </vt:variant>
      <vt:variant>
        <vt:i4>85</vt:i4>
      </vt:variant>
      <vt:variant>
        <vt:i4>111</vt:i4>
      </vt:variant>
      <vt:variant>
        <vt:i4>0</vt:i4>
      </vt:variant>
      <vt:variant>
        <vt:i4>5</vt:i4>
      </vt:variant>
      <vt:variant>
        <vt:lpwstr>https://www.justice.gov/usao-sdny/pr/70-current-and-former-nycha-employees-charged-bribery-and-extortion-offenses</vt:lpwstr>
      </vt:variant>
      <vt:variant>
        <vt:lpwstr/>
      </vt:variant>
      <vt:variant>
        <vt:i4>5308416</vt:i4>
      </vt:variant>
      <vt:variant>
        <vt:i4>108</vt:i4>
      </vt:variant>
      <vt:variant>
        <vt:i4>0</vt:i4>
      </vt:variant>
      <vt:variant>
        <vt:i4>5</vt:i4>
      </vt:variant>
      <vt:variant>
        <vt:lpwstr>https://www.justice.gov/usao-sdny/page/file/1074866/dl?inline</vt:lpwstr>
      </vt:variant>
      <vt:variant>
        <vt:lpwstr/>
      </vt:variant>
      <vt:variant>
        <vt:i4>393246</vt:i4>
      </vt:variant>
      <vt:variant>
        <vt:i4>105</vt:i4>
      </vt:variant>
      <vt:variant>
        <vt:i4>0</vt:i4>
      </vt:variant>
      <vt:variant>
        <vt:i4>5</vt:i4>
      </vt:variant>
      <vt:variant>
        <vt:lpwstr>https://comptroller.nyc.gov/newsroom/nyc-comptroller-audit-finds-that-evictions-in-nychas-pact-properties-take-place-at-a-significantly-higher-rate-than-traditional-nycha-developments/</vt:lpwstr>
      </vt:variant>
      <vt:variant>
        <vt:lpwstr/>
      </vt:variant>
      <vt:variant>
        <vt:i4>1179715</vt:i4>
      </vt:variant>
      <vt:variant>
        <vt:i4>102</vt:i4>
      </vt:variant>
      <vt:variant>
        <vt:i4>0</vt:i4>
      </vt:variant>
      <vt:variant>
        <vt:i4>5</vt:i4>
      </vt:variant>
      <vt:variant>
        <vt:lpwstr>https://www.thecity.nyc/2020/12/22/nycha-open-repairs-mold-rad-privatization-public-housing/</vt:lpwstr>
      </vt:variant>
      <vt:variant>
        <vt:lpwstr/>
      </vt:variant>
      <vt:variant>
        <vt:i4>5374033</vt:i4>
      </vt:variant>
      <vt:variant>
        <vt:i4>99</vt:i4>
      </vt:variant>
      <vt:variant>
        <vt:i4>0</vt:i4>
      </vt:variant>
      <vt:variant>
        <vt:i4>5</vt:i4>
      </vt:variant>
      <vt:variant>
        <vt:lpwstr>https://legistar.council.nyc.gov/LegislationDetail.aspx?ID=5559582&amp;GUID=383DE9F4-57B6-4887-A96E-1DB95EE8ADB7&amp;Options=ID|Text|&amp;Search=PACT</vt:lpwstr>
      </vt:variant>
      <vt:variant>
        <vt:lpwstr/>
      </vt:variant>
      <vt:variant>
        <vt:i4>5505118</vt:i4>
      </vt:variant>
      <vt:variant>
        <vt:i4>96</vt:i4>
      </vt:variant>
      <vt:variant>
        <vt:i4>0</vt:i4>
      </vt:variant>
      <vt:variant>
        <vt:i4>5</vt:i4>
      </vt:variant>
      <vt:variant>
        <vt:lpwstr>https://legistar.council.nyc.gov/MeetingDetail.aspx?ID=1187271&amp;GUID=52D42EE8-06AA-4755-9E12-9455B84A8208&amp;Options=info|&amp;Search</vt:lpwstr>
      </vt:variant>
      <vt:variant>
        <vt:lpwstr/>
      </vt:variant>
      <vt:variant>
        <vt:i4>5505118</vt:i4>
      </vt:variant>
      <vt:variant>
        <vt:i4>93</vt:i4>
      </vt:variant>
      <vt:variant>
        <vt:i4>0</vt:i4>
      </vt:variant>
      <vt:variant>
        <vt:i4>5</vt:i4>
      </vt:variant>
      <vt:variant>
        <vt:lpwstr>https://legistar.council.nyc.gov/MeetingDetail.aspx?ID=1187271&amp;GUID=52D42EE8-06AA-4755-9E12-9455B84A8208&amp;Options=info|&amp;Search</vt:lpwstr>
      </vt:variant>
      <vt:variant>
        <vt:lpwstr/>
      </vt:variant>
      <vt:variant>
        <vt:i4>5374033</vt:i4>
      </vt:variant>
      <vt:variant>
        <vt:i4>90</vt:i4>
      </vt:variant>
      <vt:variant>
        <vt:i4>0</vt:i4>
      </vt:variant>
      <vt:variant>
        <vt:i4>5</vt:i4>
      </vt:variant>
      <vt:variant>
        <vt:lpwstr>https://legistar.council.nyc.gov/LegislationDetail.aspx?ID=5559582&amp;GUID=383DE9F4-57B6-4887-A96E-1DB95EE8ADB7&amp;Options=ID|Text|&amp;Search=PACT</vt:lpwstr>
      </vt:variant>
      <vt:variant>
        <vt:lpwstr/>
      </vt:variant>
      <vt:variant>
        <vt:i4>2490407</vt:i4>
      </vt:variant>
      <vt:variant>
        <vt:i4>87</vt:i4>
      </vt:variant>
      <vt:variant>
        <vt:i4>0</vt:i4>
      </vt:variant>
      <vt:variant>
        <vt:i4>5</vt:i4>
      </vt:variant>
      <vt:variant>
        <vt:lpwstr>https://www.nyc.gov/office-of-the-mayor/news/565-18/mayor-de-blasio-62-000-nycha-apartments-receive-comprehensive-repairs</vt:lpwstr>
      </vt:variant>
      <vt:variant>
        <vt:lpwstr>/0</vt:lpwstr>
      </vt:variant>
      <vt:variant>
        <vt:i4>3211324</vt:i4>
      </vt:variant>
      <vt:variant>
        <vt:i4>84</vt:i4>
      </vt:variant>
      <vt:variant>
        <vt:i4>0</vt:i4>
      </vt:variant>
      <vt:variant>
        <vt:i4>5</vt:i4>
      </vt:variant>
      <vt:variant>
        <vt:lpwstr>https://www.nyc.gov/site/nycha/about/press/pr-2024/pr-20241217.page</vt:lpwstr>
      </vt:variant>
      <vt:variant>
        <vt:lpwstr/>
      </vt:variant>
      <vt:variant>
        <vt:i4>8126576</vt:i4>
      </vt:variant>
      <vt:variant>
        <vt:i4>81</vt:i4>
      </vt:variant>
      <vt:variant>
        <vt:i4>0</vt:i4>
      </vt:variant>
      <vt:variant>
        <vt:i4>5</vt:i4>
      </vt:variant>
      <vt:variant>
        <vt:lpwstr>https://www.nyc.gov/site/nycha/about/pact.page</vt:lpwstr>
      </vt:variant>
      <vt:variant>
        <vt:lpwstr/>
      </vt:variant>
      <vt:variant>
        <vt:i4>393294</vt:i4>
      </vt:variant>
      <vt:variant>
        <vt:i4>78</vt:i4>
      </vt:variant>
      <vt:variant>
        <vt:i4>0</vt:i4>
      </vt:variant>
      <vt:variant>
        <vt:i4>5</vt:i4>
      </vt:variant>
      <vt:variant>
        <vt:lpwstr>https://citylimits.org/2023/08/15/nychas-rad-pact-and-preservation-trust-plans-explained/</vt:lpwstr>
      </vt:variant>
      <vt:variant>
        <vt:lpwstr/>
      </vt:variant>
      <vt:variant>
        <vt:i4>4784153</vt:i4>
      </vt:variant>
      <vt:variant>
        <vt:i4>75</vt:i4>
      </vt:variant>
      <vt:variant>
        <vt:i4>0</vt:i4>
      </vt:variant>
      <vt:variant>
        <vt:i4>5</vt:i4>
      </vt:variant>
      <vt:variant>
        <vt:lpwstr>https://legistar.council.nyc.gov/LegislationDetail.aspx?ID=4890296&amp;GUID=CF2BE48E-947A-4201-AD77-F47A1AD8E489&amp;Options=&amp;Search=</vt:lpwstr>
      </vt:variant>
      <vt:variant>
        <vt:lpwstr/>
      </vt:variant>
      <vt:variant>
        <vt:i4>4587532</vt:i4>
      </vt:variant>
      <vt:variant>
        <vt:i4>72</vt:i4>
      </vt:variant>
      <vt:variant>
        <vt:i4>0</vt:i4>
      </vt:variant>
      <vt:variant>
        <vt:i4>5</vt:i4>
      </vt:variant>
      <vt:variant>
        <vt:lpwstr>https://citylimits.org/2016/06/20/nycha-responds-to-fiscal-crisis-with-embrace-of-private-sector/</vt:lpwstr>
      </vt:variant>
      <vt:variant>
        <vt:lpwstr/>
      </vt:variant>
      <vt:variant>
        <vt:i4>4390940</vt:i4>
      </vt:variant>
      <vt:variant>
        <vt:i4>69</vt:i4>
      </vt:variant>
      <vt:variant>
        <vt:i4>0</vt:i4>
      </vt:variant>
      <vt:variant>
        <vt:i4>5</vt:i4>
      </vt:variant>
      <vt:variant>
        <vt:lpwstr>https://legistar.council.nyc.gov/LegislationDetail.aspx?ID=3758525&amp;GUID=AF3EF4D3-7A49-47BE-AFE7-4971C031DDF6&amp;Options=&amp;Search=</vt:lpwstr>
      </vt:variant>
      <vt:variant>
        <vt:lpwstr/>
      </vt:variant>
      <vt:variant>
        <vt:i4>1638460</vt:i4>
      </vt:variant>
      <vt:variant>
        <vt:i4>66</vt:i4>
      </vt:variant>
      <vt:variant>
        <vt:i4>0</vt:i4>
      </vt:variant>
      <vt:variant>
        <vt:i4>5</vt:i4>
      </vt:variant>
      <vt:variant>
        <vt:lpwstr>https://comptroller.nyc.gov/wp-content/uploads/documents/MG16_111A.pdf</vt:lpwstr>
      </vt:variant>
      <vt:variant>
        <vt:lpwstr/>
      </vt:variant>
      <vt:variant>
        <vt:i4>1638460</vt:i4>
      </vt:variant>
      <vt:variant>
        <vt:i4>63</vt:i4>
      </vt:variant>
      <vt:variant>
        <vt:i4>0</vt:i4>
      </vt:variant>
      <vt:variant>
        <vt:i4>5</vt:i4>
      </vt:variant>
      <vt:variant>
        <vt:lpwstr>https://comptroller.nyc.gov/wp-content/uploads/documents/MG16_111A.pdf</vt:lpwstr>
      </vt:variant>
      <vt:variant>
        <vt:lpwstr/>
      </vt:variant>
      <vt:variant>
        <vt:i4>4784153</vt:i4>
      </vt:variant>
      <vt:variant>
        <vt:i4>60</vt:i4>
      </vt:variant>
      <vt:variant>
        <vt:i4>0</vt:i4>
      </vt:variant>
      <vt:variant>
        <vt:i4>5</vt:i4>
      </vt:variant>
      <vt:variant>
        <vt:lpwstr>https://legistar.council.nyc.gov/LegislationDetail.aspx?ID=4890296&amp;GUID=CF2BE48E-947A-4201-AD77-F47A1AD8E489&amp;Options=&amp;Search=</vt:lpwstr>
      </vt:variant>
      <vt:variant>
        <vt:lpwstr/>
      </vt:variant>
      <vt:variant>
        <vt:i4>1638460</vt:i4>
      </vt:variant>
      <vt:variant>
        <vt:i4>57</vt:i4>
      </vt:variant>
      <vt:variant>
        <vt:i4>0</vt:i4>
      </vt:variant>
      <vt:variant>
        <vt:i4>5</vt:i4>
      </vt:variant>
      <vt:variant>
        <vt:lpwstr>https://comptroller.nyc.gov/wp-content/uploads/documents/MG16_111A.pdf</vt:lpwstr>
      </vt:variant>
      <vt:variant>
        <vt:lpwstr/>
      </vt:variant>
      <vt:variant>
        <vt:i4>1245201</vt:i4>
      </vt:variant>
      <vt:variant>
        <vt:i4>54</vt:i4>
      </vt:variant>
      <vt:variant>
        <vt:i4>0</vt:i4>
      </vt:variant>
      <vt:variant>
        <vt:i4>5</vt:i4>
      </vt:variant>
      <vt:variant>
        <vt:lpwstr>https://legistar.council.nyc.gov/LegislationDetail.aspx?ID=6563211&amp;GUID=1F1F6CBE-C1D8-4476-9AF3-A124BF5D54D0&amp;Options=&amp;Search=</vt:lpwstr>
      </vt:variant>
      <vt:variant>
        <vt:lpwstr/>
      </vt:variant>
      <vt:variant>
        <vt:i4>1245201</vt:i4>
      </vt:variant>
      <vt:variant>
        <vt:i4>51</vt:i4>
      </vt:variant>
      <vt:variant>
        <vt:i4>0</vt:i4>
      </vt:variant>
      <vt:variant>
        <vt:i4>5</vt:i4>
      </vt:variant>
      <vt:variant>
        <vt:lpwstr>https://legistar.council.nyc.gov/LegislationDetail.aspx?ID=6563211&amp;GUID=1F1F6CBE-C1D8-4476-9AF3-A124BF5D54D0&amp;Options=&amp;Search=</vt:lpwstr>
      </vt:variant>
      <vt:variant>
        <vt:lpwstr/>
      </vt:variant>
      <vt:variant>
        <vt:i4>4390986</vt:i4>
      </vt:variant>
      <vt:variant>
        <vt:i4>48</vt:i4>
      </vt:variant>
      <vt:variant>
        <vt:i4>0</vt:i4>
      </vt:variant>
      <vt:variant>
        <vt:i4>5</vt:i4>
      </vt:variant>
      <vt:variant>
        <vt:lpwstr>https://legistar.council.nyc.gov/LegislationDetail.aspx?ID=3685465&amp;GUID=759F4528-850A-45DA-88E6-5DB55F6A29D6&amp;Options=&amp;Search</vt:lpwstr>
      </vt:variant>
      <vt:variant>
        <vt:lpwstr/>
      </vt:variant>
      <vt:variant>
        <vt:i4>1245201</vt:i4>
      </vt:variant>
      <vt:variant>
        <vt:i4>45</vt:i4>
      </vt:variant>
      <vt:variant>
        <vt:i4>0</vt:i4>
      </vt:variant>
      <vt:variant>
        <vt:i4>5</vt:i4>
      </vt:variant>
      <vt:variant>
        <vt:lpwstr>https://legistar.council.nyc.gov/LegislationDetail.aspx?ID=6563211&amp;GUID=1F1F6CBE-C1D8-4476-9AF3-A124BF5D54D0&amp;Options=&amp;Search=</vt:lpwstr>
      </vt:variant>
      <vt:variant>
        <vt:lpwstr/>
      </vt:variant>
      <vt:variant>
        <vt:i4>4390986</vt:i4>
      </vt:variant>
      <vt:variant>
        <vt:i4>42</vt:i4>
      </vt:variant>
      <vt:variant>
        <vt:i4>0</vt:i4>
      </vt:variant>
      <vt:variant>
        <vt:i4>5</vt:i4>
      </vt:variant>
      <vt:variant>
        <vt:lpwstr>https://legistar.council.nyc.gov/LegislationDetail.aspx?ID=3685465&amp;GUID=759F4528-850A-45DA-88E6-5DB55F6A29D6&amp;Options=&amp;Search</vt:lpwstr>
      </vt:variant>
      <vt:variant>
        <vt:lpwstr/>
      </vt:variant>
      <vt:variant>
        <vt:i4>1245201</vt:i4>
      </vt:variant>
      <vt:variant>
        <vt:i4>39</vt:i4>
      </vt:variant>
      <vt:variant>
        <vt:i4>0</vt:i4>
      </vt:variant>
      <vt:variant>
        <vt:i4>5</vt:i4>
      </vt:variant>
      <vt:variant>
        <vt:lpwstr>https://legistar.council.nyc.gov/LegislationDetail.aspx?ID=6563211&amp;GUID=1F1F6CBE-C1D8-4476-9AF3-A124BF5D54D0&amp;Options=&amp;Search=</vt:lpwstr>
      </vt:variant>
      <vt:variant>
        <vt:lpwstr/>
      </vt:variant>
      <vt:variant>
        <vt:i4>1638460</vt:i4>
      </vt:variant>
      <vt:variant>
        <vt:i4>36</vt:i4>
      </vt:variant>
      <vt:variant>
        <vt:i4>0</vt:i4>
      </vt:variant>
      <vt:variant>
        <vt:i4>5</vt:i4>
      </vt:variant>
      <vt:variant>
        <vt:lpwstr>https://comptroller.nyc.gov/wp-content/uploads/documents/MG16_111A.pdf</vt:lpwstr>
      </vt:variant>
      <vt:variant>
        <vt:lpwstr/>
      </vt:variant>
      <vt:variant>
        <vt:i4>1245201</vt:i4>
      </vt:variant>
      <vt:variant>
        <vt:i4>33</vt:i4>
      </vt:variant>
      <vt:variant>
        <vt:i4>0</vt:i4>
      </vt:variant>
      <vt:variant>
        <vt:i4>5</vt:i4>
      </vt:variant>
      <vt:variant>
        <vt:lpwstr>https://legistar.council.nyc.gov/LegislationDetail.aspx?ID=6563211&amp;GUID=1F1F6CBE-C1D8-4476-9AF3-A124BF5D54D0&amp;Options=&amp;Search=</vt:lpwstr>
      </vt:variant>
      <vt:variant>
        <vt:lpwstr/>
      </vt:variant>
      <vt:variant>
        <vt:i4>3407904</vt:i4>
      </vt:variant>
      <vt:variant>
        <vt:i4>30</vt:i4>
      </vt:variant>
      <vt:variant>
        <vt:i4>0</vt:i4>
      </vt:variant>
      <vt:variant>
        <vt:i4>5</vt:i4>
      </vt:variant>
      <vt:variant>
        <vt:lpwstr>https://therealdeal.com/2018/09/28/add-it-to-the-list-nycha-needs-500m-for-senior-housing-community-center-repairs/</vt:lpwstr>
      </vt:variant>
      <vt:variant>
        <vt:lpwstr/>
      </vt:variant>
      <vt:variant>
        <vt:i4>1638460</vt:i4>
      </vt:variant>
      <vt:variant>
        <vt:i4>27</vt:i4>
      </vt:variant>
      <vt:variant>
        <vt:i4>0</vt:i4>
      </vt:variant>
      <vt:variant>
        <vt:i4>5</vt:i4>
      </vt:variant>
      <vt:variant>
        <vt:lpwstr>https://comptroller.nyc.gov/wp-content/uploads/documents/MG16_111A.pdf</vt:lpwstr>
      </vt:variant>
      <vt:variant>
        <vt:lpwstr/>
      </vt:variant>
      <vt:variant>
        <vt:i4>1769477</vt:i4>
      </vt:variant>
      <vt:variant>
        <vt:i4>24</vt:i4>
      </vt:variant>
      <vt:variant>
        <vt:i4>0</vt:i4>
      </vt:variant>
      <vt:variant>
        <vt:i4>5</vt:i4>
      </vt:variant>
      <vt:variant>
        <vt:lpwstr>https://pix11.com/2018/01/13/nycha-senior-center-residents-complain-there-is-no-heat/</vt:lpwstr>
      </vt:variant>
      <vt:variant>
        <vt:lpwstr/>
      </vt:variant>
      <vt:variant>
        <vt:i4>8257593</vt:i4>
      </vt:variant>
      <vt:variant>
        <vt:i4>21</vt:i4>
      </vt:variant>
      <vt:variant>
        <vt:i4>0</vt:i4>
      </vt:variant>
      <vt:variant>
        <vt:i4>5</vt:i4>
      </vt:variant>
      <vt:variant>
        <vt:lpwstr>http://www.news12.com/story/34823852/bronx-senior-center-directors-want-nycha-to-make-necessary-repairs</vt:lpwstr>
      </vt:variant>
      <vt:variant>
        <vt:lpwstr/>
      </vt:variant>
      <vt:variant>
        <vt:i4>1572871</vt:i4>
      </vt:variant>
      <vt:variant>
        <vt:i4>18</vt:i4>
      </vt:variant>
      <vt:variant>
        <vt:i4>0</vt:i4>
      </vt:variant>
      <vt:variant>
        <vt:i4>5</vt:i4>
      </vt:variant>
      <vt:variant>
        <vt:lpwstr>https://citylimits.org/2024/11/14/what-does-nychas-federal-monitor-do-anyway/</vt:lpwstr>
      </vt:variant>
      <vt:variant>
        <vt:lpwstr/>
      </vt:variant>
      <vt:variant>
        <vt:i4>7929960</vt:i4>
      </vt:variant>
      <vt:variant>
        <vt:i4>15</vt:i4>
      </vt:variant>
      <vt:variant>
        <vt:i4>0</vt:i4>
      </vt:variant>
      <vt:variant>
        <vt:i4>5</vt:i4>
      </vt:variant>
      <vt:variant>
        <vt:lpwstr>https://www.nydailynews.com/new-york/nycha-behind-wheelchair-accessibility-20-years-fed-deal-article-1.2959167</vt:lpwstr>
      </vt:variant>
      <vt:variant>
        <vt:lpwstr/>
      </vt:variant>
      <vt:variant>
        <vt:i4>4325399</vt:i4>
      </vt:variant>
      <vt:variant>
        <vt:i4>12</vt:i4>
      </vt:variant>
      <vt:variant>
        <vt:i4>0</vt:i4>
      </vt:variant>
      <vt:variant>
        <vt:i4>5</vt:i4>
      </vt:variant>
      <vt:variant>
        <vt:lpwstr>https://nypost.com/2018/03/09/this-senior-citizen-has-been-waiting-3-years-for-nycha-to-fix-her-mold-infested-apartment/</vt:lpwstr>
      </vt:variant>
      <vt:variant>
        <vt:lpwstr/>
      </vt:variant>
      <vt:variant>
        <vt:i4>7536688</vt:i4>
      </vt:variant>
      <vt:variant>
        <vt:i4>9</vt:i4>
      </vt:variant>
      <vt:variant>
        <vt:i4>0</vt:i4>
      </vt:variant>
      <vt:variant>
        <vt:i4>5</vt:i4>
      </vt:variant>
      <vt:variant>
        <vt:lpwstr>https://a860-gpp.nyc.gov/concern/nyc_government_publications/pz50h078m?locale=en</vt:lpwstr>
      </vt:variant>
      <vt:variant>
        <vt:lpwstr/>
      </vt:variant>
      <vt:variant>
        <vt:i4>4718615</vt:i4>
      </vt:variant>
      <vt:variant>
        <vt:i4>6</vt:i4>
      </vt:variant>
      <vt:variant>
        <vt:i4>0</vt:i4>
      </vt:variant>
      <vt:variant>
        <vt:i4>5</vt:i4>
      </vt:variant>
      <vt:variant>
        <vt:lpwstr>https://www.nyc.gov/site/dfta/services/find-help.page</vt:lpwstr>
      </vt:variant>
      <vt:variant>
        <vt:lpwstr/>
      </vt:variant>
      <vt:variant>
        <vt:i4>3407908</vt:i4>
      </vt:variant>
      <vt:variant>
        <vt:i4>3</vt:i4>
      </vt:variant>
      <vt:variant>
        <vt:i4>0</vt:i4>
      </vt:variant>
      <vt:variant>
        <vt:i4>5</vt:i4>
      </vt:variant>
      <vt:variant>
        <vt:lpwstr>https://www.nyc.gov/site/dfta/services/older-adult-center.page</vt:lpwstr>
      </vt:variant>
      <vt:variant>
        <vt:lpwstr/>
      </vt:variant>
      <vt:variant>
        <vt:i4>131085</vt:i4>
      </vt:variant>
      <vt:variant>
        <vt:i4>0</vt:i4>
      </vt:variant>
      <vt:variant>
        <vt:i4>0</vt:i4>
      </vt:variant>
      <vt:variant>
        <vt:i4>5</vt:i4>
      </vt:variant>
      <vt:variant>
        <vt:lpwstr>https://www.ncoa.org/article/get-the-facts-on-senior-centers/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Jean-Francois</dc:creator>
  <cp:keywords/>
  <dc:description/>
  <cp:lastModifiedBy>Jeffries, Jillian</cp:lastModifiedBy>
  <cp:revision>2</cp:revision>
  <cp:lastPrinted>2025-01-24T19:08:00Z</cp:lastPrinted>
  <dcterms:created xsi:type="dcterms:W3CDTF">2025-01-27T16:30:00Z</dcterms:created>
  <dcterms:modified xsi:type="dcterms:W3CDTF">2025-01-27T16:30:00Z</dcterms:modified>
</cp:coreProperties>
</file>