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CA256" w14:textId="3E28438D" w:rsidR="004E1CF2" w:rsidRDefault="004E1CF2" w:rsidP="00E97376">
      <w:pPr>
        <w:ind w:firstLine="0"/>
        <w:jc w:val="center"/>
      </w:pPr>
      <w:bookmarkStart w:id="0" w:name="_GoBack"/>
      <w:bookmarkEnd w:id="0"/>
      <w:r>
        <w:t>Int. No.</w:t>
      </w:r>
      <w:r w:rsidR="00AE482E" w:rsidRPr="003266C2">
        <w:t xml:space="preserve"> </w:t>
      </w:r>
      <w:r w:rsidR="00E41DC6" w:rsidRPr="003266C2">
        <w:t>1251</w:t>
      </w:r>
      <w:r w:rsidR="00450A72">
        <w:t>-A</w:t>
      </w:r>
    </w:p>
    <w:p w14:paraId="166C84A7" w14:textId="77777777" w:rsidR="00E97376" w:rsidRDefault="00E97376" w:rsidP="00E97376">
      <w:pPr>
        <w:ind w:firstLine="0"/>
        <w:jc w:val="center"/>
      </w:pPr>
    </w:p>
    <w:p w14:paraId="08FD80C3" w14:textId="77777777" w:rsidR="005B4C75" w:rsidRDefault="005B4C75" w:rsidP="005B4C75">
      <w:pPr>
        <w:autoSpaceDE w:val="0"/>
        <w:autoSpaceDN w:val="0"/>
        <w:adjustRightInd w:val="0"/>
        <w:ind w:firstLine="0"/>
        <w:jc w:val="both"/>
        <w:rPr>
          <w:rFonts w:eastAsia="Calibri"/>
        </w:rPr>
      </w:pPr>
      <w:r>
        <w:rPr>
          <w:rFonts w:eastAsia="Calibri"/>
        </w:rPr>
        <w:t>By Council Members Farías, Louis, Banks, Joseph, Sanchez and the Public Advocate (Mr. Williams)</w:t>
      </w:r>
    </w:p>
    <w:p w14:paraId="46A2EC42" w14:textId="77777777" w:rsidR="00E97376" w:rsidRDefault="00E97376" w:rsidP="007101A2">
      <w:pPr>
        <w:pStyle w:val="BodyText"/>
        <w:spacing w:line="240" w:lineRule="auto"/>
        <w:ind w:firstLine="0"/>
        <w:jc w:val="center"/>
      </w:pPr>
    </w:p>
    <w:p w14:paraId="1D62C200" w14:textId="77777777" w:rsidR="00AE482E" w:rsidRPr="00AE482E" w:rsidRDefault="00AE482E" w:rsidP="007101A2">
      <w:pPr>
        <w:pStyle w:val="BodyText"/>
        <w:spacing w:line="240" w:lineRule="auto"/>
        <w:ind w:firstLine="0"/>
        <w:rPr>
          <w:vanish/>
        </w:rPr>
      </w:pPr>
      <w:r w:rsidRPr="00AE482E">
        <w:rPr>
          <w:vanish/>
        </w:rPr>
        <w:t>..Title</w:t>
      </w:r>
    </w:p>
    <w:p w14:paraId="51D8F489" w14:textId="68AC0E65" w:rsidR="004E1CF2" w:rsidRDefault="00AE482E" w:rsidP="007101A2">
      <w:pPr>
        <w:pStyle w:val="BodyText"/>
        <w:spacing w:line="240" w:lineRule="auto"/>
        <w:ind w:firstLine="0"/>
      </w:pPr>
      <w:r>
        <w:t>A Local Law t</w:t>
      </w:r>
      <w:r w:rsidR="004E1CF2">
        <w:t xml:space="preserve">o </w:t>
      </w:r>
      <w:r w:rsidR="00E310B4">
        <w:t>amend the</w:t>
      </w:r>
      <w:r w:rsidR="00FC547E">
        <w:t xml:space="preserve"> </w:t>
      </w:r>
      <w:r w:rsidR="0031232C">
        <w:t>administrative code of the city of New York</w:t>
      </w:r>
      <w:r w:rsidR="004E1CF2">
        <w:t>, in relation to</w:t>
      </w:r>
      <w:r w:rsidR="00873B26">
        <w:t xml:space="preserve"> </w:t>
      </w:r>
      <w:r w:rsidR="00D72E83">
        <w:t xml:space="preserve">issuing licenses to mobile food </w:t>
      </w:r>
      <w:r w:rsidR="00131840">
        <w:t>and general vendors</w:t>
      </w:r>
    </w:p>
    <w:p w14:paraId="45CE2D44" w14:textId="07C0C23E" w:rsidR="00AE482E" w:rsidRPr="00AE482E" w:rsidRDefault="00AE482E" w:rsidP="007101A2">
      <w:pPr>
        <w:pStyle w:val="BodyText"/>
        <w:spacing w:line="240" w:lineRule="auto"/>
        <w:ind w:firstLine="0"/>
        <w:rPr>
          <w:vanish/>
        </w:rPr>
      </w:pPr>
      <w:r w:rsidRPr="00AE482E">
        <w:rPr>
          <w:vanish/>
        </w:rPr>
        <w:t>..Body</w:t>
      </w:r>
    </w:p>
    <w:p w14:paraId="0B2A132D" w14:textId="77777777" w:rsidR="004E1CF2" w:rsidRDefault="004E1CF2" w:rsidP="007101A2">
      <w:pPr>
        <w:pStyle w:val="BodyText"/>
        <w:spacing w:line="240" w:lineRule="auto"/>
        <w:ind w:firstLine="0"/>
        <w:rPr>
          <w:u w:val="single"/>
        </w:rPr>
      </w:pPr>
    </w:p>
    <w:p w14:paraId="682E4BEF" w14:textId="126F8935" w:rsidR="004E1CF2" w:rsidRDefault="004E1CF2" w:rsidP="007101A2">
      <w:pPr>
        <w:ind w:firstLine="0"/>
        <w:jc w:val="both"/>
        <w:rPr>
          <w:u w:val="single"/>
        </w:rPr>
      </w:pPr>
      <w:r w:rsidRPr="7F17A317">
        <w:rPr>
          <w:u w:val="single"/>
        </w:rPr>
        <w:t>Be it enacted by the Council as follows:</w:t>
      </w:r>
    </w:p>
    <w:p w14:paraId="5323FE91" w14:textId="77777777" w:rsidR="004E1CF2" w:rsidRDefault="004E1CF2" w:rsidP="006662DF">
      <w:pPr>
        <w:jc w:val="both"/>
      </w:pPr>
    </w:p>
    <w:p w14:paraId="26E9EC59"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16D6D07C" w14:textId="70384EFA" w:rsidR="007408F7" w:rsidRDefault="007101A2" w:rsidP="00595589">
      <w:pPr>
        <w:spacing w:line="480" w:lineRule="auto"/>
        <w:jc w:val="both"/>
      </w:pPr>
      <w:r>
        <w:t>S</w:t>
      </w:r>
      <w:r w:rsidR="004E1CF2">
        <w:t>ection 1.</w:t>
      </w:r>
      <w:r w:rsidR="007E79D5">
        <w:t xml:space="preserve"> </w:t>
      </w:r>
      <w:r w:rsidR="007408F7">
        <w:t xml:space="preserve">Paragraph 3 of subdivision b of section 17-307 of the administrative code of the city of New York, </w:t>
      </w:r>
      <w:r w:rsidR="00FE7ACF">
        <w:t xml:space="preserve">subparagraph (a) of such subdivision </w:t>
      </w:r>
      <w:r w:rsidR="007408F7">
        <w:t xml:space="preserve">as amended by </w:t>
      </w:r>
      <w:r w:rsidR="00450A72">
        <w:t xml:space="preserve">a </w:t>
      </w:r>
      <w:r w:rsidR="007408F7">
        <w:t xml:space="preserve">local law </w:t>
      </w:r>
      <w:r w:rsidR="00450A72">
        <w:t xml:space="preserve">for the year 2025 </w:t>
      </w:r>
      <w:bookmarkStart w:id="1" w:name="_Hlk214355260"/>
      <w:r w:rsidR="00450A72">
        <w:t>amending the administrative code of the city of New York, relating to expanding business licensing and regulatory compliance of all mobile food and general vendors, as propo</w:t>
      </w:r>
      <w:r w:rsidR="0016650A">
        <w:t>sed in introduction number 431-B</w:t>
      </w:r>
      <w:r w:rsidR="00450A72">
        <w:t xml:space="preserve"> for the year 202</w:t>
      </w:r>
      <w:r w:rsidR="002B52E6">
        <w:t>4</w:t>
      </w:r>
      <w:r w:rsidR="007408F7">
        <w:t xml:space="preserve">, </w:t>
      </w:r>
      <w:r w:rsidR="00FE7ACF">
        <w:t>subparagraph (b) of such subdivision as amended by local law number 80 for the year 2021, subparagraph (c) of such subdivi</w:t>
      </w:r>
      <w:r w:rsidR="009E20C3">
        <w:t>si</w:t>
      </w:r>
      <w:r w:rsidR="00FE7ACF">
        <w:t xml:space="preserve">on as </w:t>
      </w:r>
      <w:r w:rsidR="009E20C3">
        <w:t>added</w:t>
      </w:r>
      <w:r w:rsidR="00FE7ACF">
        <w:t xml:space="preserve"> by </w:t>
      </w:r>
      <w:r w:rsidR="009E20C3">
        <w:t>local law number 9 for the year 2008 a</w:t>
      </w:r>
      <w:r w:rsidR="00FE7ACF">
        <w:t xml:space="preserve">nd redesignated by local law number 18 for the year 2021 </w:t>
      </w:r>
      <w:r w:rsidR="007408F7">
        <w:t>is amended to read as follows</w:t>
      </w:r>
      <w:bookmarkEnd w:id="1"/>
      <w:r w:rsidR="007408F7">
        <w:t>:</w:t>
      </w:r>
    </w:p>
    <w:p w14:paraId="678E639D" w14:textId="78EED6D6" w:rsidR="007408F7" w:rsidRDefault="00677BB7" w:rsidP="007408F7">
      <w:pPr>
        <w:spacing w:line="480" w:lineRule="auto"/>
        <w:jc w:val="both"/>
      </w:pPr>
      <w:r>
        <w:t xml:space="preserve">3. </w:t>
      </w:r>
      <w:r w:rsidR="007408F7">
        <w:t>(a)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454B02FA" w14:textId="38DB5E71" w:rsidR="007408F7" w:rsidRDefault="007408F7" w:rsidP="007408F7">
      <w:pPr>
        <w:spacing w:line="480" w:lineRule="auto"/>
        <w:jc w:val="both"/>
      </w:pPr>
      <w:r>
        <w:t>(ii) The department shall make available for application</w:t>
      </w:r>
      <w:r w:rsidR="00085C98">
        <w:t xml:space="preserve"> </w:t>
      </w:r>
      <w:r w:rsidR="00433B38" w:rsidRPr="3B6D3B07">
        <w:rPr>
          <w:u w:val="single"/>
        </w:rPr>
        <w:t>at least</w:t>
      </w:r>
      <w:r w:rsidR="00433B38">
        <w:t xml:space="preserve"> </w:t>
      </w:r>
      <w:r w:rsidR="00450A72">
        <w:t xml:space="preserve">200 </w:t>
      </w:r>
      <w:r>
        <w:t xml:space="preserve">supervisory licenses per twelve-month period for </w:t>
      </w:r>
      <w:r w:rsidR="00450A72">
        <w:t xml:space="preserve">five </w:t>
      </w:r>
      <w:r>
        <w:t>consecutive years beginning on July 1, 202</w:t>
      </w:r>
      <w:r w:rsidR="00450A72">
        <w:t>6</w:t>
      </w:r>
      <w:r>
        <w:t>.</w:t>
      </w:r>
      <w:r w:rsidR="009E0E23">
        <w:t xml:space="preserve"> </w:t>
      </w:r>
      <w:r w:rsidR="00EC7794" w:rsidRPr="3B6D3B07">
        <w:rPr>
          <w:u w:val="single"/>
        </w:rPr>
        <w:t xml:space="preserve">Where the number of supervisory licenses issued </w:t>
      </w:r>
      <w:r w:rsidR="005955C3" w:rsidRPr="3B6D3B07">
        <w:rPr>
          <w:u w:val="single"/>
        </w:rPr>
        <w:t>in such</w:t>
      </w:r>
      <w:r w:rsidR="0015198E" w:rsidRPr="3B6D3B07">
        <w:rPr>
          <w:u w:val="single"/>
        </w:rPr>
        <w:t xml:space="preserve"> twelve-month period </w:t>
      </w:r>
      <w:r w:rsidR="00EC7794" w:rsidRPr="3B6D3B07">
        <w:rPr>
          <w:u w:val="single"/>
        </w:rPr>
        <w:t xml:space="preserve">is less than </w:t>
      </w:r>
      <w:r w:rsidR="00450A72" w:rsidRPr="3B6D3B07">
        <w:rPr>
          <w:u w:val="single"/>
        </w:rPr>
        <w:t>200</w:t>
      </w:r>
      <w:r w:rsidR="00EC7794" w:rsidRPr="3B6D3B07">
        <w:rPr>
          <w:u w:val="single"/>
        </w:rPr>
        <w:t xml:space="preserve">, the department may make additional supervisory licenses available for application </w:t>
      </w:r>
      <w:r w:rsidR="00A83584" w:rsidRPr="3B6D3B07">
        <w:rPr>
          <w:u w:val="single"/>
        </w:rPr>
        <w:t xml:space="preserve">such that the total number of </w:t>
      </w:r>
      <w:r w:rsidR="00FC137D" w:rsidRPr="3B6D3B07">
        <w:rPr>
          <w:u w:val="single"/>
        </w:rPr>
        <w:t xml:space="preserve">supervisory </w:t>
      </w:r>
      <w:r w:rsidR="00A83584" w:rsidRPr="3B6D3B07">
        <w:rPr>
          <w:u w:val="single"/>
        </w:rPr>
        <w:t>licenses issued per twelve-month period beginning on July 1, 202</w:t>
      </w:r>
      <w:r w:rsidR="00C45192" w:rsidRPr="3B6D3B07">
        <w:rPr>
          <w:u w:val="single"/>
        </w:rPr>
        <w:t>6</w:t>
      </w:r>
      <w:r w:rsidR="00A83584" w:rsidRPr="3B6D3B07">
        <w:rPr>
          <w:u w:val="single"/>
        </w:rPr>
        <w:t xml:space="preserve"> is up to </w:t>
      </w:r>
      <w:r w:rsidR="00C45192" w:rsidRPr="3B6D3B07">
        <w:rPr>
          <w:u w:val="single"/>
        </w:rPr>
        <w:t>200</w:t>
      </w:r>
      <w:r w:rsidR="00A83584" w:rsidRPr="3B6D3B07">
        <w:rPr>
          <w:u w:val="single"/>
        </w:rPr>
        <w:t xml:space="preserve"> and </w:t>
      </w:r>
      <w:r w:rsidR="00A83584" w:rsidRPr="3B6D3B07">
        <w:rPr>
          <w:u w:val="single"/>
        </w:rPr>
        <w:lastRenderedPageBreak/>
        <w:t xml:space="preserve">the cumulative </w:t>
      </w:r>
      <w:r w:rsidR="00FF0294" w:rsidRPr="3B6D3B07">
        <w:rPr>
          <w:u w:val="single"/>
        </w:rPr>
        <w:t xml:space="preserve">total </w:t>
      </w:r>
      <w:r w:rsidR="00A83584" w:rsidRPr="3B6D3B07">
        <w:rPr>
          <w:u w:val="single"/>
        </w:rPr>
        <w:t xml:space="preserve">number of </w:t>
      </w:r>
      <w:r w:rsidR="00C845CF">
        <w:rPr>
          <w:u w:val="single"/>
        </w:rPr>
        <w:t xml:space="preserve">supervisory </w:t>
      </w:r>
      <w:r w:rsidR="00A83584" w:rsidRPr="3B6D3B07">
        <w:rPr>
          <w:u w:val="single"/>
        </w:rPr>
        <w:t>licenses issued</w:t>
      </w:r>
      <w:r w:rsidR="008039D7">
        <w:rPr>
          <w:u w:val="single"/>
        </w:rPr>
        <w:t xml:space="preserve"> pursuant to this paragraph</w:t>
      </w:r>
      <w:r w:rsidR="00A83584" w:rsidRPr="3B6D3B07">
        <w:rPr>
          <w:u w:val="single"/>
        </w:rPr>
        <w:t xml:space="preserve"> by July 1, 203</w:t>
      </w:r>
      <w:r w:rsidR="00C45192" w:rsidRPr="3B6D3B07">
        <w:rPr>
          <w:u w:val="single"/>
        </w:rPr>
        <w:t>1</w:t>
      </w:r>
      <w:r w:rsidR="00A83584" w:rsidRPr="3B6D3B07">
        <w:rPr>
          <w:u w:val="single"/>
        </w:rPr>
        <w:t xml:space="preserve"> is up to </w:t>
      </w:r>
      <w:r w:rsidR="00C45192" w:rsidRPr="3B6D3B07">
        <w:rPr>
          <w:u w:val="single"/>
        </w:rPr>
        <w:t>1,</w:t>
      </w:r>
      <w:r w:rsidR="00441086">
        <w:rPr>
          <w:u w:val="single"/>
        </w:rPr>
        <w:t>18</w:t>
      </w:r>
      <w:r w:rsidR="00C45192" w:rsidRPr="3B6D3B07">
        <w:rPr>
          <w:u w:val="single"/>
        </w:rPr>
        <w:t>0</w:t>
      </w:r>
      <w:r w:rsidR="00A83584" w:rsidRPr="3B6D3B07">
        <w:rPr>
          <w:u w:val="single"/>
        </w:rPr>
        <w:t>.</w:t>
      </w:r>
      <w:r w:rsidR="00A83584">
        <w:t xml:space="preserve"> </w:t>
      </w:r>
      <w:r>
        <w:t>In addition to the 100 permits authorized to be issued by clause (i) of this subparagraph, and notwithstanding the provisions of paragraph two of this subdivision limiting the number of full-term permits authorized to be issued, the department shall make available for application</w:t>
      </w:r>
      <w:r w:rsidR="00085C98">
        <w:t xml:space="preserve"> </w:t>
      </w:r>
      <w:r>
        <w:t xml:space="preserve">to applicants who comply with the requirements for such supervisory licenses an additional </w:t>
      </w:r>
      <w:r w:rsidR="00C45192">
        <w:t>200</w:t>
      </w:r>
      <w:r>
        <w:t xml:space="preserve"> permits per twelve-month period for </w:t>
      </w:r>
      <w:r w:rsidR="00C45192">
        <w:t xml:space="preserve">five </w:t>
      </w:r>
      <w:r>
        <w:t>consecutive years beginning on July 1, 202</w:t>
      </w:r>
      <w:r w:rsidR="00C45192">
        <w:t>6</w:t>
      </w:r>
      <w:r>
        <w:t xml:space="preserve"> and issue a permit to each applicant who complies with the requirements for such permit.</w:t>
      </w:r>
    </w:p>
    <w:p w14:paraId="2F2688C6" w14:textId="77777777" w:rsidR="007408F7" w:rsidRDefault="007408F7" w:rsidP="007408F7">
      <w:pPr>
        <w:spacing w:line="480" w:lineRule="auto"/>
        <w:jc w:val="both"/>
      </w:pPr>
      <w:r>
        <w:t>(iii) Supervisory licenses available pursuant to this paragraph shall be made available for application in accordance with the preferences specified in subparagraph (b) of this paragraph and the procedures established by the commissioner.</w:t>
      </w:r>
    </w:p>
    <w:p w14:paraId="026967A8" w14:textId="615D8924" w:rsidR="007408F7" w:rsidRDefault="007408F7" w:rsidP="007408F7">
      <w:pPr>
        <w:spacing w:line="480" w:lineRule="auto"/>
        <w:jc w:val="both"/>
      </w:pPr>
      <w:r>
        <w:t>(iv) The commissioner shall establish a waiting list</w:t>
      </w:r>
      <w:r w:rsidR="0017154E">
        <w:t xml:space="preserve"> </w:t>
      </w:r>
      <w:r>
        <w:t>to be administered in accordance with procedures to be established by rules of the commissioner.</w:t>
      </w:r>
    </w:p>
    <w:p w14:paraId="1B90DCF1" w14:textId="77777777" w:rsidR="007408F7" w:rsidRDefault="007408F7" w:rsidP="007408F7">
      <w:pPr>
        <w:spacing w:line="480" w:lineRule="auto"/>
        <w:jc w:val="both"/>
      </w:pPr>
      <w:r>
        <w:t>(b) Preferences shall be given in the issuance of permits pursuant to this paragraph and in the placement on such waiting list to the following categories of persons in the following order:</w:t>
      </w:r>
    </w:p>
    <w:p w14:paraId="751835A5" w14:textId="2FD78174" w:rsidR="007408F7" w:rsidRDefault="007408F7" w:rsidP="007408F7">
      <w:pPr>
        <w:spacing w:line="480" w:lineRule="auto"/>
        <w:jc w:val="both"/>
      </w:pPr>
      <w:r>
        <w:t>(i) Veterans who on August second, nineteen hundred ninety-one held a valid general vendor's license issued by the department of consumer and worker protection pursuant to subchapter twenty-seven of chapter two of title twenty of the code by virtue of having claimed a disability.</w:t>
      </w:r>
    </w:p>
    <w:p w14:paraId="35283C20" w14:textId="77777777" w:rsidR="007408F7" w:rsidRDefault="007408F7" w:rsidP="007408F7">
      <w:pPr>
        <w:spacing w:line="480" w:lineRule="auto"/>
        <w:jc w:val="both"/>
      </w:pPr>
      <w:r>
        <w:t>(ii) Disabled veterans.</w:t>
      </w:r>
    </w:p>
    <w:p w14:paraId="568D2DF9" w14:textId="77777777" w:rsidR="007408F7" w:rsidRDefault="007408F7" w:rsidP="007408F7">
      <w:pPr>
        <w:spacing w:line="480" w:lineRule="auto"/>
        <w:jc w:val="both"/>
      </w:pPr>
      <w:r>
        <w:t>(iii) Disabled persons.</w:t>
      </w:r>
    </w:p>
    <w:p w14:paraId="287FB984" w14:textId="77777777" w:rsidR="007408F7" w:rsidRDefault="007408F7" w:rsidP="007408F7">
      <w:pPr>
        <w:spacing w:line="480" w:lineRule="auto"/>
        <w:jc w:val="both"/>
      </w:pPr>
      <w:r>
        <w:t>(iv) Veterans.</w:t>
      </w:r>
    </w:p>
    <w:p w14:paraId="78B48D9D" w14:textId="014E00C2" w:rsidR="007408F7" w:rsidRDefault="007408F7" w:rsidP="007408F7">
      <w:pPr>
        <w:spacing w:line="480" w:lineRule="auto"/>
        <w:jc w:val="both"/>
      </w:pPr>
      <w:r>
        <w:t>(c) This paragraph shall not apply to fresh fruits and vegetables permits.</w:t>
      </w:r>
    </w:p>
    <w:p w14:paraId="5BD3E2DB" w14:textId="7ECF002E" w:rsidR="00D75EC4" w:rsidRDefault="007408F7" w:rsidP="00595589">
      <w:pPr>
        <w:spacing w:line="480" w:lineRule="auto"/>
        <w:jc w:val="both"/>
      </w:pPr>
      <w:r>
        <w:t xml:space="preserve">§ 2. </w:t>
      </w:r>
      <w:r w:rsidR="00AE5486">
        <w:t xml:space="preserve">Paragraph 5 of </w:t>
      </w:r>
      <w:r w:rsidR="0069317D">
        <w:t xml:space="preserve">subdivision </w:t>
      </w:r>
      <w:r>
        <w:t>b</w:t>
      </w:r>
      <w:r w:rsidR="0069317D">
        <w:t xml:space="preserve"> of s</w:t>
      </w:r>
      <w:r w:rsidR="00D75EC4">
        <w:t xml:space="preserve">ection </w:t>
      </w:r>
      <w:r w:rsidR="0069317D">
        <w:t>17</w:t>
      </w:r>
      <w:r w:rsidR="00D75EC4">
        <w:t>-</w:t>
      </w:r>
      <w:r w:rsidR="0069317D">
        <w:t>307</w:t>
      </w:r>
      <w:r w:rsidR="00D75EC4">
        <w:t xml:space="preserve"> of the administrative code</w:t>
      </w:r>
      <w:r w:rsidR="009D0B2C">
        <w:t xml:space="preserve"> of the city of New York,</w:t>
      </w:r>
      <w:r w:rsidR="00D75EC4">
        <w:t xml:space="preserve"> </w:t>
      </w:r>
      <w:r w:rsidR="00DD72D4">
        <w:t xml:space="preserve">as added by local law number 18 for the year 2021, subparagraphs (a), (b), (c) and (f) of such subdivision </w:t>
      </w:r>
      <w:r w:rsidR="009D0B2C">
        <w:t>as amended by a local law for the year 2025 amending the administrative code of the city of New York, relating to expanding business licensing and regulatory compliance of all mobile food and general vendors, as propo</w:t>
      </w:r>
      <w:r w:rsidR="0016650A">
        <w:t>sed in introduction number 431-B</w:t>
      </w:r>
      <w:r w:rsidR="009D0B2C">
        <w:t xml:space="preserve"> for the year 2024</w:t>
      </w:r>
      <w:r w:rsidR="00DD72D4">
        <w:t xml:space="preserve"> </w:t>
      </w:r>
      <w:r w:rsidR="00D75EC4">
        <w:t>is amended to read as follows:</w:t>
      </w:r>
    </w:p>
    <w:p w14:paraId="7C560561" w14:textId="605A605B" w:rsidR="00AE5486" w:rsidRDefault="00AE5486" w:rsidP="00AE5486">
      <w:pPr>
        <w:spacing w:line="480" w:lineRule="auto"/>
        <w:jc w:val="both"/>
      </w:pPr>
      <w:r w:rsidRPr="00AE5486">
        <w:t> 5.</w:t>
      </w:r>
      <w:r>
        <w:t xml:space="preserve"> </w:t>
      </w:r>
      <w:r w:rsidRPr="00AE5486">
        <w:t>(a)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w:t>
      </w:r>
      <w:r w:rsidR="00223B06">
        <w:t>1</w:t>
      </w:r>
      <w:r w:rsidRPr="00AE5486">
        <w:t>. On or after July 1, 203</w:t>
      </w:r>
      <w:r w:rsidR="00223B06">
        <w:t>1</w:t>
      </w:r>
      <w:r w:rsidRPr="00AE5486">
        <w:t>, all permits issued under this subchapter, except fresh fruits and vegetables permits, shall be designated for use only when any holder of a supervisory license is physically present and vending.</w:t>
      </w:r>
    </w:p>
    <w:p w14:paraId="6CE73D7C" w14:textId="0D28AA93" w:rsidR="00AE5486" w:rsidRDefault="00AE5486" w:rsidP="00AE5486">
      <w:pPr>
        <w:spacing w:line="480" w:lineRule="auto"/>
        <w:jc w:val="both"/>
      </w:pPr>
      <w:r w:rsidRPr="00AE5486">
        <w:t>(b)</w:t>
      </w:r>
      <w:r>
        <w:t xml:space="preserve"> </w:t>
      </w:r>
      <w:r w:rsidRPr="00AE5486">
        <w:t>The commissioner shall make available for application</w:t>
      </w:r>
      <w:r w:rsidR="0069317D">
        <w:t xml:space="preserve"> </w:t>
      </w:r>
      <w:r w:rsidR="00A83584">
        <w:rPr>
          <w:u w:val="single"/>
        </w:rPr>
        <w:t>at least</w:t>
      </w:r>
      <w:r w:rsidRPr="00AE5486">
        <w:t xml:space="preserve"> </w:t>
      </w:r>
      <w:r w:rsidR="00965AB4">
        <w:t>2</w:t>
      </w:r>
      <w:r w:rsidR="00223B06">
        <w:t>,</w:t>
      </w:r>
      <w:r w:rsidR="00965AB4">
        <w:t>0</w:t>
      </w:r>
      <w:r w:rsidR="00223B06">
        <w:t>00</w:t>
      </w:r>
      <w:r w:rsidR="00223B06" w:rsidRPr="00AE5486">
        <w:t xml:space="preserve"> </w:t>
      </w:r>
      <w:r w:rsidRPr="00AE5486">
        <w:t xml:space="preserve">supervisory licenses per twelve-month period for </w:t>
      </w:r>
      <w:r w:rsidR="00223B06">
        <w:t>five</w:t>
      </w:r>
      <w:r w:rsidR="00223B06" w:rsidRPr="00AE5486">
        <w:t xml:space="preserve"> </w:t>
      </w:r>
      <w:r w:rsidRPr="00AE5486">
        <w:t>consecutive years beginning on July 1, 202</w:t>
      </w:r>
      <w:r w:rsidR="00223B06">
        <w:t>6</w:t>
      </w:r>
      <w:r w:rsidRPr="00AE5486">
        <w:t>.</w:t>
      </w:r>
      <w:r w:rsidR="00A83584" w:rsidRPr="00A83584">
        <w:t xml:space="preserve"> </w:t>
      </w:r>
      <w:r w:rsidR="00A83584" w:rsidRPr="00EC7794">
        <w:rPr>
          <w:u w:val="single"/>
        </w:rPr>
        <w:t xml:space="preserve">Where the number of supervisory licenses issued </w:t>
      </w:r>
      <w:r w:rsidR="005955C3">
        <w:rPr>
          <w:u w:val="single"/>
        </w:rPr>
        <w:t>in such</w:t>
      </w:r>
      <w:r w:rsidR="00A83584">
        <w:rPr>
          <w:u w:val="single"/>
        </w:rPr>
        <w:t xml:space="preserve"> twelve-month period</w:t>
      </w:r>
      <w:r w:rsidR="00A83584" w:rsidRPr="00EC7794">
        <w:rPr>
          <w:u w:val="single"/>
        </w:rPr>
        <w:t xml:space="preserve"> is less than </w:t>
      </w:r>
      <w:r w:rsidR="00965AB4">
        <w:rPr>
          <w:u w:val="single"/>
        </w:rPr>
        <w:t>2</w:t>
      </w:r>
      <w:r w:rsidR="00223B06">
        <w:rPr>
          <w:u w:val="single"/>
        </w:rPr>
        <w:t>,</w:t>
      </w:r>
      <w:r w:rsidR="00965AB4">
        <w:rPr>
          <w:u w:val="single"/>
        </w:rPr>
        <w:t>0</w:t>
      </w:r>
      <w:r w:rsidR="00223B06">
        <w:rPr>
          <w:u w:val="single"/>
        </w:rPr>
        <w:t>00</w:t>
      </w:r>
      <w:r w:rsidR="00A83584" w:rsidRPr="00EC7794">
        <w:rPr>
          <w:u w:val="single"/>
        </w:rPr>
        <w:t xml:space="preserve">, the department may make additional </w:t>
      </w:r>
      <w:r w:rsidR="00A83584">
        <w:rPr>
          <w:u w:val="single"/>
        </w:rPr>
        <w:t xml:space="preserve">supervisory licenses </w:t>
      </w:r>
      <w:r w:rsidR="00A83584" w:rsidRPr="00EC7794">
        <w:rPr>
          <w:u w:val="single"/>
        </w:rPr>
        <w:t>available</w:t>
      </w:r>
      <w:r w:rsidR="00A83584">
        <w:rPr>
          <w:u w:val="single"/>
        </w:rPr>
        <w:t xml:space="preserve"> for application</w:t>
      </w:r>
      <w:r w:rsidR="00A83584" w:rsidRPr="00EC7794">
        <w:rPr>
          <w:u w:val="single"/>
        </w:rPr>
        <w:t xml:space="preserve"> </w:t>
      </w:r>
      <w:r w:rsidR="00A83584">
        <w:rPr>
          <w:u w:val="single"/>
        </w:rPr>
        <w:t>such that the total number of licenses issued per twelve-month period beginning on July 1, 202</w:t>
      </w:r>
      <w:r w:rsidR="00223B06">
        <w:rPr>
          <w:u w:val="single"/>
        </w:rPr>
        <w:t>6</w:t>
      </w:r>
      <w:r w:rsidR="00A83584">
        <w:rPr>
          <w:u w:val="single"/>
        </w:rPr>
        <w:t xml:space="preserve"> is up to </w:t>
      </w:r>
      <w:r w:rsidR="00965AB4">
        <w:rPr>
          <w:u w:val="single"/>
        </w:rPr>
        <w:t>2</w:t>
      </w:r>
      <w:r w:rsidR="00223B06">
        <w:rPr>
          <w:u w:val="single"/>
        </w:rPr>
        <w:t>,</w:t>
      </w:r>
      <w:r w:rsidR="00965AB4">
        <w:rPr>
          <w:u w:val="single"/>
        </w:rPr>
        <w:t>0</w:t>
      </w:r>
      <w:r w:rsidR="00223B06">
        <w:rPr>
          <w:u w:val="single"/>
        </w:rPr>
        <w:t xml:space="preserve">00 </w:t>
      </w:r>
      <w:r w:rsidR="00A83584">
        <w:rPr>
          <w:u w:val="single"/>
        </w:rPr>
        <w:t xml:space="preserve">and the total cumulative number of licenses issued </w:t>
      </w:r>
      <w:r w:rsidR="00965AB4">
        <w:rPr>
          <w:u w:val="single"/>
        </w:rPr>
        <w:t xml:space="preserve">pursuant to this </w:t>
      </w:r>
      <w:r w:rsidR="002D4DB8">
        <w:rPr>
          <w:u w:val="single"/>
        </w:rPr>
        <w:t>paragraph</w:t>
      </w:r>
      <w:r w:rsidR="00965AB4">
        <w:rPr>
          <w:u w:val="single"/>
        </w:rPr>
        <w:t xml:space="preserve"> </w:t>
      </w:r>
      <w:r w:rsidR="00A83584">
        <w:rPr>
          <w:u w:val="single"/>
        </w:rPr>
        <w:t>by July 1, 203</w:t>
      </w:r>
      <w:r w:rsidR="00223B06">
        <w:rPr>
          <w:u w:val="single"/>
        </w:rPr>
        <w:t>1</w:t>
      </w:r>
      <w:r w:rsidR="00A83584">
        <w:rPr>
          <w:u w:val="single"/>
        </w:rPr>
        <w:t xml:space="preserve"> is up to </w:t>
      </w:r>
      <w:r w:rsidR="00965AB4">
        <w:rPr>
          <w:u w:val="single"/>
        </w:rPr>
        <w:t>1</w:t>
      </w:r>
      <w:r w:rsidR="00441086">
        <w:rPr>
          <w:u w:val="single"/>
        </w:rPr>
        <w:t>1</w:t>
      </w:r>
      <w:r w:rsidR="00223B06">
        <w:rPr>
          <w:u w:val="single"/>
        </w:rPr>
        <w:t>,</w:t>
      </w:r>
      <w:r w:rsidR="00441086">
        <w:rPr>
          <w:u w:val="single"/>
        </w:rPr>
        <w:t>20</w:t>
      </w:r>
      <w:r w:rsidR="00223B06">
        <w:rPr>
          <w:u w:val="single"/>
        </w:rPr>
        <w:t>0</w:t>
      </w:r>
      <w:r w:rsidR="00A83584">
        <w:rPr>
          <w:u w:val="single"/>
        </w:rPr>
        <w:t>.</w:t>
      </w:r>
      <w:r w:rsidRPr="00AE5486">
        <w:t xml:space="preserve"> Notwithstanding the provisions of this subdivision limiting the total number of full-term permits that are authorized to be issued, the commissioner shall make available</w:t>
      </w:r>
      <w:r w:rsidR="003B7E32">
        <w:t xml:space="preserve"> </w:t>
      </w:r>
      <w:r w:rsidRPr="00AE5486">
        <w:t xml:space="preserve">a permit application to each license applicant who complies with the requirements for such supervisory license and issue a permit to each permit applicant who complies with the requirements for such permit. </w:t>
      </w:r>
      <w:r w:rsidR="004D185B" w:rsidRPr="004D185B">
        <w:t>On</w:t>
      </w:r>
      <w:r w:rsidRPr="004D185B">
        <w:t xml:space="preserve"> </w:t>
      </w:r>
      <w:r w:rsidRPr="00AE5486">
        <w:t>or before July 1, 203</w:t>
      </w:r>
      <w:r w:rsidR="00223B06">
        <w:t>1</w:t>
      </w:r>
      <w:r w:rsidRPr="00AE5486">
        <w:t>, the commissioner shall make available for application supervisory licenses to any person seeking to renew a permit that was issued under this subchapter before July 1, 2022</w:t>
      </w:r>
      <w:r>
        <w:t>.</w:t>
      </w:r>
    </w:p>
    <w:p w14:paraId="47BAA653" w14:textId="4F674EF1" w:rsidR="00AE5486" w:rsidRDefault="00AE5486" w:rsidP="00AE5486">
      <w:pPr>
        <w:spacing w:line="480" w:lineRule="auto"/>
        <w:jc w:val="both"/>
      </w:pPr>
      <w:r w:rsidRPr="00AE5486">
        <w:t>(c)</w:t>
      </w:r>
      <w:r>
        <w:t xml:space="preserve"> </w:t>
      </w:r>
      <w:r w:rsidRPr="00AE5486">
        <w:t>In accordance with procedures to be established by rules of the commissioner, in each twelve</w:t>
      </w:r>
      <w:r>
        <w:t>-</w:t>
      </w:r>
      <w:r w:rsidRPr="00AE5486">
        <w:t xml:space="preserve">month period, </w:t>
      </w:r>
      <w:r w:rsidR="005955C3">
        <w:rPr>
          <w:u w:val="single"/>
        </w:rPr>
        <w:t>up to</w:t>
      </w:r>
      <w:r w:rsidR="005955C3">
        <w:t xml:space="preserve"> </w:t>
      </w:r>
      <w:r w:rsidR="00223B06">
        <w:t>5</w:t>
      </w:r>
      <w:r w:rsidRPr="00AE5486">
        <w:t xml:space="preserve">00 of the supervisory licenses </w:t>
      </w:r>
      <w:r w:rsidR="005955C3">
        <w:t>[</w:t>
      </w:r>
      <w:r w:rsidRPr="00AE5486">
        <w:t>made available for application</w:t>
      </w:r>
      <w:r w:rsidR="005955C3">
        <w:t xml:space="preserve">] </w:t>
      </w:r>
      <w:r w:rsidR="005955C3" w:rsidRPr="005955C3">
        <w:rPr>
          <w:u w:val="single"/>
        </w:rPr>
        <w:t>that may be issued</w:t>
      </w:r>
      <w:r w:rsidRPr="005955C3">
        <w:t xml:space="preserve"> </w:t>
      </w:r>
      <w:r w:rsidRPr="00AE5486">
        <w:t xml:space="preserve">under this paragraph shall be designated for use in any borough, and </w:t>
      </w:r>
      <w:r w:rsidR="00FE616B">
        <w:t>[</w:t>
      </w:r>
      <w:r w:rsidRPr="00AE5486">
        <w:t>the remaining</w:t>
      </w:r>
      <w:r w:rsidR="00FE616B">
        <w:t xml:space="preserve">] </w:t>
      </w:r>
      <w:r w:rsidR="00FE616B" w:rsidRPr="00FE616B">
        <w:rPr>
          <w:u w:val="single"/>
        </w:rPr>
        <w:t>up to</w:t>
      </w:r>
      <w:r w:rsidRPr="00AE5486">
        <w:t xml:space="preserve"> </w:t>
      </w:r>
      <w:r w:rsidR="00223B06">
        <w:t>1,5</w:t>
      </w:r>
      <w:r w:rsidRPr="00AE5486">
        <w:t xml:space="preserve">00 such supervisory licenses </w:t>
      </w:r>
      <w:r w:rsidR="00F45FD1" w:rsidRPr="00F45FD1">
        <w:rPr>
          <w:u w:val="single"/>
        </w:rPr>
        <w:t xml:space="preserve">that may be </w:t>
      </w:r>
      <w:r w:rsidR="00431192" w:rsidRPr="00F45FD1">
        <w:rPr>
          <w:u w:val="single"/>
        </w:rPr>
        <w:t>is</w:t>
      </w:r>
      <w:r w:rsidR="00431192" w:rsidRPr="00431192">
        <w:rPr>
          <w:u w:val="single"/>
        </w:rPr>
        <w:t>sued</w:t>
      </w:r>
      <w:r w:rsidR="00F45FD1">
        <w:rPr>
          <w:u w:val="single"/>
        </w:rPr>
        <w:t xml:space="preserve"> under this paragraph</w:t>
      </w:r>
      <w:r w:rsidR="00431192">
        <w:t xml:space="preserve"> </w:t>
      </w:r>
      <w:r w:rsidRPr="00AE5486">
        <w:t>shall be designated for use in boroughs outside of Manhattan.</w:t>
      </w:r>
    </w:p>
    <w:p w14:paraId="52686050" w14:textId="77777777" w:rsidR="00AE5486" w:rsidRDefault="00AE5486" w:rsidP="00AE5486">
      <w:pPr>
        <w:spacing w:line="480" w:lineRule="auto"/>
        <w:jc w:val="both"/>
      </w:pPr>
      <w:r w:rsidRPr="00AE5486">
        <w:t>(d)</w:t>
      </w:r>
      <w:r>
        <w:t xml:space="preserve"> </w:t>
      </w:r>
      <w:r w:rsidRPr="00AE5486">
        <w:t>Preferences shall be given in the availability of applications for supervisory licenses pursuant to this paragraph and in the placement on a waiting list therefor to the following categories of persons in the following order:</w:t>
      </w:r>
    </w:p>
    <w:p w14:paraId="3A63866F" w14:textId="77777777" w:rsidR="00AE5486" w:rsidRDefault="00AE5486" w:rsidP="00AE5486">
      <w:pPr>
        <w:spacing w:line="480" w:lineRule="auto"/>
        <w:jc w:val="both"/>
      </w:pPr>
      <w:r w:rsidRPr="00AE5486">
        <w:t>(i)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61ECFE16" w14:textId="77777777" w:rsidR="00AE5486" w:rsidRDefault="00AE5486" w:rsidP="00AE5486">
      <w:pPr>
        <w:spacing w:line="480" w:lineRule="auto"/>
        <w:jc w:val="both"/>
      </w:pPr>
      <w:r w:rsidRPr="00AE5486">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7D0447B6" w14:textId="77777777" w:rsidR="00AE5486" w:rsidRDefault="00AE5486" w:rsidP="00AE5486">
      <w:pPr>
        <w:spacing w:line="480" w:lineRule="auto"/>
        <w:jc w:val="both"/>
      </w:pPr>
      <w:r w:rsidRPr="00AE5486">
        <w:t>(iii) Persons who have held a food vendor license continuously since on or before March 1, 2017 but are were not on a waiting list for a full-term permit pursuant to this subchapter as of the effective date of the local law that added this paragraph.</w:t>
      </w:r>
    </w:p>
    <w:p w14:paraId="3220FE0A" w14:textId="7A7ECF7C" w:rsidR="00AE5486" w:rsidRDefault="00AE5486" w:rsidP="00AE5486">
      <w:pPr>
        <w:spacing w:line="480" w:lineRule="auto"/>
        <w:jc w:val="both"/>
      </w:pPr>
      <w:r w:rsidRPr="00AE5486">
        <w:t>(iv)</w:t>
      </w:r>
      <w:r w:rsidR="007D6C74">
        <w:t xml:space="preserve"> </w:t>
      </w:r>
      <w:r w:rsidRPr="00AE5486">
        <w:t>Persons who have not held a food vendor license continuously since on or before March 1, 2017 and were not on a waiting list for a full-term permit pursuant to this subchapter as of the effective date of the local law that added this paragraph.</w:t>
      </w:r>
    </w:p>
    <w:p w14:paraId="71DF86D3" w14:textId="5F7D0910" w:rsidR="00D75EC4" w:rsidRDefault="00AE5486" w:rsidP="00431192">
      <w:pPr>
        <w:spacing w:line="480" w:lineRule="auto"/>
        <w:jc w:val="both"/>
      </w:pPr>
      <w:r w:rsidRPr="00AE5486">
        <w:t>(e) The commissioner may by rule limit the number of places on such waiting list, but shall ensure that such waiting list is operative prior to supervisory licenses becoming available to new individuals.</w:t>
      </w:r>
    </w:p>
    <w:p w14:paraId="5FCC61CF" w14:textId="34B44034" w:rsidR="00223B06" w:rsidRDefault="006C3C52" w:rsidP="00223B06">
      <w:pPr>
        <w:spacing w:line="480" w:lineRule="auto"/>
        <w:jc w:val="both"/>
      </w:pPr>
      <w:r w:rsidRPr="006C3C52">
        <w:t>(f) No later than July 1, 2031, the commissioner shall replenish the waiting list in accordance with the preferences set forth in this paragraph</w:t>
      </w:r>
      <w:r w:rsidR="00223B06" w:rsidRPr="00606328">
        <w:t xml:space="preserve">. </w:t>
      </w:r>
    </w:p>
    <w:p w14:paraId="39A8E94A" w14:textId="3B3ED60D" w:rsidR="003D57FD" w:rsidRDefault="003D57FD" w:rsidP="00223B06">
      <w:pPr>
        <w:spacing w:line="480" w:lineRule="auto"/>
        <w:jc w:val="both"/>
      </w:pPr>
      <w:r>
        <w:t xml:space="preserve">§ 3. Subdivision </w:t>
      </w:r>
      <w:r w:rsidR="007A44B9">
        <w:t>h</w:t>
      </w:r>
      <w:r>
        <w:t xml:space="preserve"> of section 20-459 of the administrative code of </w:t>
      </w:r>
      <w:r w:rsidR="00DD72D4">
        <w:t>the city of New York, as added</w:t>
      </w:r>
      <w:r>
        <w:t xml:space="preserve"> by a local law for the year 2025 amending the administrative code of the city of New York, relating to expanding business licensing and regulatory compliance of all mobile food and general vendors, as proposed in introduction number 431-A for the year 2024, is amended to read as follows:</w:t>
      </w:r>
    </w:p>
    <w:p w14:paraId="5D1980B3" w14:textId="17C80D7A" w:rsidR="00B2297F" w:rsidRPr="00A263D6" w:rsidRDefault="00B2297F" w:rsidP="00A263D6">
      <w:pPr>
        <w:spacing w:line="480" w:lineRule="auto"/>
        <w:jc w:val="both"/>
      </w:pPr>
      <w:r>
        <w:t>h</w:t>
      </w:r>
      <w:r w:rsidR="003D57FD">
        <w:t xml:space="preserve">. [Reserved] </w:t>
      </w:r>
      <w:r w:rsidR="00A57DAC" w:rsidRPr="00606328">
        <w:rPr>
          <w:u w:val="single"/>
        </w:rPr>
        <w:t>Where the number of general vending licenses issued</w:t>
      </w:r>
      <w:r w:rsidR="00A263D6">
        <w:rPr>
          <w:u w:val="single"/>
        </w:rPr>
        <w:t xml:space="preserve"> pursuant to subdivision c of this section</w:t>
      </w:r>
      <w:r w:rsidR="00A57DAC" w:rsidRPr="00606328">
        <w:rPr>
          <w:u w:val="single"/>
        </w:rPr>
        <w:t xml:space="preserve"> is less than </w:t>
      </w:r>
      <w:r w:rsidR="007A44B9">
        <w:rPr>
          <w:u w:val="single"/>
        </w:rPr>
        <w:t>10,500</w:t>
      </w:r>
      <w:r w:rsidR="00A57DAC" w:rsidRPr="00606328">
        <w:rPr>
          <w:u w:val="single"/>
        </w:rPr>
        <w:t xml:space="preserve">, the department may make additional licenses available for application such that the total number of licenses issued by July 1, 2031 is </w:t>
      </w:r>
      <w:r w:rsidR="00A263D6">
        <w:rPr>
          <w:u w:val="single"/>
        </w:rPr>
        <w:t xml:space="preserve">up to </w:t>
      </w:r>
      <w:r w:rsidR="00A57DAC" w:rsidRPr="00606328">
        <w:rPr>
          <w:u w:val="single"/>
        </w:rPr>
        <w:t>1</w:t>
      </w:r>
      <w:r w:rsidR="00A263D6">
        <w:rPr>
          <w:u w:val="single"/>
        </w:rPr>
        <w:t>1,353</w:t>
      </w:r>
      <w:r w:rsidR="00A263D6" w:rsidRPr="00606328">
        <w:t>.</w:t>
      </w:r>
    </w:p>
    <w:p w14:paraId="2BB7047E" w14:textId="621B9535" w:rsidR="00CF25CC" w:rsidRPr="00431192" w:rsidRDefault="001E6FDF" w:rsidP="00431192">
      <w:pPr>
        <w:spacing w:line="480" w:lineRule="auto"/>
        <w:jc w:val="both"/>
      </w:pPr>
      <w:r>
        <w:t xml:space="preserve">§ </w:t>
      </w:r>
      <w:r w:rsidR="00E54617">
        <w:t>4</w:t>
      </w:r>
      <w:r w:rsidR="00D75EC4">
        <w:t>.</w:t>
      </w:r>
      <w:r w:rsidR="00D75EC4" w:rsidRPr="00D75EC4">
        <w:t xml:space="preserve"> </w:t>
      </w:r>
      <w:r w:rsidR="00431192">
        <w:t xml:space="preserve">This local law takes effect </w:t>
      </w:r>
      <w:r w:rsidR="002B52E6">
        <w:t xml:space="preserve">on the same date that a local law </w:t>
      </w:r>
      <w:r w:rsidR="00676239">
        <w:t xml:space="preserve">for the year 2025 </w:t>
      </w:r>
      <w:r w:rsidR="002B52E6">
        <w:t>amending the administrative code of the city of New York, relating to expanding business licensing and regulatory compliance of all mobile food and general vendors, as propo</w:t>
      </w:r>
      <w:r w:rsidR="0016650A">
        <w:t>sed in introduction number 431-B</w:t>
      </w:r>
      <w:r w:rsidR="002B52E6">
        <w:t xml:space="preserve"> for the year 2024, takes effect</w:t>
      </w:r>
      <w:r w:rsidR="00431192">
        <w:t>.</w:t>
      </w:r>
    </w:p>
    <w:p w14:paraId="1835EA2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764CED4" w14:textId="77777777" w:rsidR="00B47730" w:rsidRDefault="00B47730" w:rsidP="007101A2">
      <w:pPr>
        <w:ind w:firstLine="0"/>
        <w:jc w:val="both"/>
        <w:rPr>
          <w:sz w:val="18"/>
          <w:szCs w:val="18"/>
        </w:rPr>
      </w:pPr>
    </w:p>
    <w:p w14:paraId="215F941A" w14:textId="77777777" w:rsidR="00EB262D" w:rsidRDefault="00CD46AE" w:rsidP="007101A2">
      <w:pPr>
        <w:ind w:firstLine="0"/>
        <w:jc w:val="both"/>
        <w:rPr>
          <w:sz w:val="18"/>
          <w:szCs w:val="18"/>
        </w:rPr>
      </w:pPr>
      <w:r>
        <w:rPr>
          <w:sz w:val="18"/>
          <w:szCs w:val="18"/>
        </w:rPr>
        <w:t>SS</w:t>
      </w:r>
    </w:p>
    <w:p w14:paraId="6AC1714D" w14:textId="7BAB3DB6" w:rsidR="004E1CF2" w:rsidRDefault="004E1CF2" w:rsidP="007101A2">
      <w:pPr>
        <w:ind w:firstLine="0"/>
        <w:jc w:val="both"/>
        <w:rPr>
          <w:sz w:val="18"/>
          <w:szCs w:val="18"/>
        </w:rPr>
      </w:pPr>
      <w:r>
        <w:rPr>
          <w:sz w:val="18"/>
          <w:szCs w:val="18"/>
        </w:rPr>
        <w:t xml:space="preserve">LS </w:t>
      </w:r>
      <w:r w:rsidR="00B47730">
        <w:rPr>
          <w:sz w:val="18"/>
          <w:szCs w:val="18"/>
        </w:rPr>
        <w:t>#</w:t>
      </w:r>
      <w:r w:rsidR="00CD46AE">
        <w:rPr>
          <w:sz w:val="18"/>
          <w:szCs w:val="18"/>
        </w:rPr>
        <w:t>1</w:t>
      </w:r>
      <w:r w:rsidR="00FF21DD">
        <w:rPr>
          <w:sz w:val="18"/>
          <w:szCs w:val="18"/>
        </w:rPr>
        <w:t>5896</w:t>
      </w:r>
    </w:p>
    <w:p w14:paraId="1A24783B" w14:textId="4607FA5A" w:rsidR="004E1CF2" w:rsidRDefault="00B2297F" w:rsidP="007101A2">
      <w:pPr>
        <w:ind w:firstLine="0"/>
        <w:rPr>
          <w:sz w:val="18"/>
          <w:szCs w:val="18"/>
        </w:rPr>
      </w:pPr>
      <w:r>
        <w:rPr>
          <w:sz w:val="18"/>
          <w:szCs w:val="18"/>
        </w:rPr>
        <w:t xml:space="preserve">12/10/2025 </w:t>
      </w:r>
      <w:r w:rsidR="001D5410">
        <w:rPr>
          <w:sz w:val="18"/>
          <w:szCs w:val="18"/>
        </w:rPr>
        <w:t>10</w:t>
      </w:r>
      <w:r>
        <w:rPr>
          <w:sz w:val="18"/>
          <w:szCs w:val="18"/>
        </w:rPr>
        <w:t>:</w:t>
      </w:r>
      <w:r w:rsidR="001D5410">
        <w:rPr>
          <w:sz w:val="18"/>
          <w:szCs w:val="18"/>
        </w:rPr>
        <w:t>08</w:t>
      </w:r>
      <w:r>
        <w:rPr>
          <w:sz w:val="18"/>
          <w:szCs w:val="18"/>
        </w:rPr>
        <w:t xml:space="preserve"> PM</w:t>
      </w:r>
    </w:p>
    <w:p w14:paraId="0425406F" w14:textId="77777777" w:rsidR="00AE212E" w:rsidRDefault="00AE212E" w:rsidP="007101A2">
      <w:pPr>
        <w:ind w:firstLine="0"/>
        <w:rPr>
          <w:sz w:val="18"/>
          <w:szCs w:val="18"/>
        </w:rPr>
      </w:pPr>
    </w:p>
    <w:p w14:paraId="2425A35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41432" w14:textId="77777777" w:rsidR="00803C74" w:rsidRDefault="00803C74">
      <w:r>
        <w:separator/>
      </w:r>
    </w:p>
    <w:p w14:paraId="17B7C13F" w14:textId="77777777" w:rsidR="00803C74" w:rsidRDefault="00803C74"/>
  </w:endnote>
  <w:endnote w:type="continuationSeparator" w:id="0">
    <w:p w14:paraId="039D5A53" w14:textId="77777777" w:rsidR="00803C74" w:rsidRDefault="00803C74">
      <w:r>
        <w:continuationSeparator/>
      </w:r>
    </w:p>
    <w:p w14:paraId="469EC48B" w14:textId="77777777" w:rsidR="00803C74" w:rsidRDefault="00803C74"/>
  </w:endnote>
  <w:endnote w:type="continuationNotice" w:id="1">
    <w:p w14:paraId="5DAAD636" w14:textId="77777777" w:rsidR="00803C74" w:rsidRDefault="00803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998CE69" w14:textId="0FB0665E" w:rsidR="008F0B17" w:rsidRDefault="008F0B17">
        <w:pPr>
          <w:pStyle w:val="Footer"/>
          <w:jc w:val="center"/>
        </w:pPr>
        <w:r>
          <w:fldChar w:fldCharType="begin"/>
        </w:r>
        <w:r>
          <w:instrText xml:space="preserve"> PAGE   \* MERGEFORMAT </w:instrText>
        </w:r>
        <w:r>
          <w:fldChar w:fldCharType="separate"/>
        </w:r>
        <w:r w:rsidR="004867D0">
          <w:rPr>
            <w:noProof/>
          </w:rPr>
          <w:t>1</w:t>
        </w:r>
        <w:r>
          <w:rPr>
            <w:noProof/>
          </w:rPr>
          <w:fldChar w:fldCharType="end"/>
        </w:r>
      </w:p>
    </w:sdtContent>
  </w:sdt>
  <w:p w14:paraId="2633916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B31C92D"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FF8CB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0E1FE" w14:textId="77777777" w:rsidR="00803C74" w:rsidRDefault="00803C74">
      <w:r>
        <w:separator/>
      </w:r>
    </w:p>
    <w:p w14:paraId="444AC994" w14:textId="77777777" w:rsidR="00803C74" w:rsidRDefault="00803C74"/>
  </w:footnote>
  <w:footnote w:type="continuationSeparator" w:id="0">
    <w:p w14:paraId="77FE5137" w14:textId="77777777" w:rsidR="00803C74" w:rsidRDefault="00803C74">
      <w:r>
        <w:continuationSeparator/>
      </w:r>
    </w:p>
    <w:p w14:paraId="727EAE54" w14:textId="77777777" w:rsidR="00803C74" w:rsidRDefault="00803C74"/>
  </w:footnote>
  <w:footnote w:type="continuationNotice" w:id="1">
    <w:p w14:paraId="7A4BE720" w14:textId="77777777" w:rsidR="00803C74" w:rsidRDefault="00803C7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41B"/>
    <w:multiLevelType w:val="hybridMultilevel"/>
    <w:tmpl w:val="A9C43324"/>
    <w:lvl w:ilvl="0" w:tplc="2FAC26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952D7F"/>
    <w:multiLevelType w:val="hybridMultilevel"/>
    <w:tmpl w:val="4EC0A74C"/>
    <w:lvl w:ilvl="0" w:tplc="EF08AF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2C"/>
    <w:rsid w:val="000135A3"/>
    <w:rsid w:val="00016EF6"/>
    <w:rsid w:val="00034012"/>
    <w:rsid w:val="00035181"/>
    <w:rsid w:val="000421C4"/>
    <w:rsid w:val="000502BC"/>
    <w:rsid w:val="00056BB0"/>
    <w:rsid w:val="00064AFB"/>
    <w:rsid w:val="000661FB"/>
    <w:rsid w:val="00074B58"/>
    <w:rsid w:val="00083231"/>
    <w:rsid w:val="00085C98"/>
    <w:rsid w:val="00090786"/>
    <w:rsid w:val="0009173E"/>
    <w:rsid w:val="00092D91"/>
    <w:rsid w:val="00094147"/>
    <w:rsid w:val="00094A70"/>
    <w:rsid w:val="000A518C"/>
    <w:rsid w:val="000A79A2"/>
    <w:rsid w:val="000B50AC"/>
    <w:rsid w:val="000C0622"/>
    <w:rsid w:val="000C53AB"/>
    <w:rsid w:val="000D4A7F"/>
    <w:rsid w:val="000F1FA0"/>
    <w:rsid w:val="001021D3"/>
    <w:rsid w:val="00102A4C"/>
    <w:rsid w:val="001073BD"/>
    <w:rsid w:val="00110940"/>
    <w:rsid w:val="00114395"/>
    <w:rsid w:val="00115B31"/>
    <w:rsid w:val="00123585"/>
    <w:rsid w:val="00131840"/>
    <w:rsid w:val="0013335C"/>
    <w:rsid w:val="001509BF"/>
    <w:rsid w:val="00150A27"/>
    <w:rsid w:val="0015198E"/>
    <w:rsid w:val="00162FC0"/>
    <w:rsid w:val="00165627"/>
    <w:rsid w:val="00165DAB"/>
    <w:rsid w:val="0016650A"/>
    <w:rsid w:val="00167107"/>
    <w:rsid w:val="0017154E"/>
    <w:rsid w:val="001740A0"/>
    <w:rsid w:val="0017535F"/>
    <w:rsid w:val="00180BD2"/>
    <w:rsid w:val="00190E99"/>
    <w:rsid w:val="00193E82"/>
    <w:rsid w:val="00195A80"/>
    <w:rsid w:val="00196775"/>
    <w:rsid w:val="00197915"/>
    <w:rsid w:val="001A0243"/>
    <w:rsid w:val="001A0409"/>
    <w:rsid w:val="001D09EC"/>
    <w:rsid w:val="001D4249"/>
    <w:rsid w:val="001D5410"/>
    <w:rsid w:val="001E6FDF"/>
    <w:rsid w:val="001F0E7A"/>
    <w:rsid w:val="00205741"/>
    <w:rsid w:val="00207323"/>
    <w:rsid w:val="00213C5D"/>
    <w:rsid w:val="0021642E"/>
    <w:rsid w:val="0022099D"/>
    <w:rsid w:val="00223B06"/>
    <w:rsid w:val="002355FA"/>
    <w:rsid w:val="00235A33"/>
    <w:rsid w:val="00241F94"/>
    <w:rsid w:val="002427F0"/>
    <w:rsid w:val="002428AF"/>
    <w:rsid w:val="002475A1"/>
    <w:rsid w:val="002555EE"/>
    <w:rsid w:val="00270162"/>
    <w:rsid w:val="0027295B"/>
    <w:rsid w:val="002739F0"/>
    <w:rsid w:val="00273F4F"/>
    <w:rsid w:val="00280955"/>
    <w:rsid w:val="002813A0"/>
    <w:rsid w:val="00291494"/>
    <w:rsid w:val="00292C42"/>
    <w:rsid w:val="002B31D7"/>
    <w:rsid w:val="002B52E6"/>
    <w:rsid w:val="002C4435"/>
    <w:rsid w:val="002D4DB8"/>
    <w:rsid w:val="002D5F4F"/>
    <w:rsid w:val="002D732C"/>
    <w:rsid w:val="002E0C94"/>
    <w:rsid w:val="002E36BC"/>
    <w:rsid w:val="002F196D"/>
    <w:rsid w:val="002F24BE"/>
    <w:rsid w:val="002F269C"/>
    <w:rsid w:val="003006A0"/>
    <w:rsid w:val="00301E5D"/>
    <w:rsid w:val="00311E7D"/>
    <w:rsid w:val="0031232C"/>
    <w:rsid w:val="003126B0"/>
    <w:rsid w:val="003150AD"/>
    <w:rsid w:val="00320D3B"/>
    <w:rsid w:val="003266C2"/>
    <w:rsid w:val="0033027F"/>
    <w:rsid w:val="00330463"/>
    <w:rsid w:val="003314E6"/>
    <w:rsid w:val="00334C8C"/>
    <w:rsid w:val="00337B61"/>
    <w:rsid w:val="00337EBE"/>
    <w:rsid w:val="00343645"/>
    <w:rsid w:val="003447CD"/>
    <w:rsid w:val="00350810"/>
    <w:rsid w:val="00352CA7"/>
    <w:rsid w:val="003720CF"/>
    <w:rsid w:val="00382852"/>
    <w:rsid w:val="003874A1"/>
    <w:rsid w:val="00387754"/>
    <w:rsid w:val="00392ABE"/>
    <w:rsid w:val="003A29EF"/>
    <w:rsid w:val="003A3927"/>
    <w:rsid w:val="003A43E3"/>
    <w:rsid w:val="003A6743"/>
    <w:rsid w:val="003A75C2"/>
    <w:rsid w:val="003B7E32"/>
    <w:rsid w:val="003D516D"/>
    <w:rsid w:val="003D57FD"/>
    <w:rsid w:val="003D7308"/>
    <w:rsid w:val="003F26F9"/>
    <w:rsid w:val="003F3109"/>
    <w:rsid w:val="00417950"/>
    <w:rsid w:val="00423342"/>
    <w:rsid w:val="00431192"/>
    <w:rsid w:val="00432688"/>
    <w:rsid w:val="00433B38"/>
    <w:rsid w:val="00441086"/>
    <w:rsid w:val="00444642"/>
    <w:rsid w:val="00445C49"/>
    <w:rsid w:val="00447A01"/>
    <w:rsid w:val="00450A72"/>
    <w:rsid w:val="00451BB7"/>
    <w:rsid w:val="0046277A"/>
    <w:rsid w:val="00465293"/>
    <w:rsid w:val="004867D0"/>
    <w:rsid w:val="00490763"/>
    <w:rsid w:val="004948B5"/>
    <w:rsid w:val="00497233"/>
    <w:rsid w:val="004A31A0"/>
    <w:rsid w:val="004B097C"/>
    <w:rsid w:val="004B166B"/>
    <w:rsid w:val="004B3AFB"/>
    <w:rsid w:val="004B4455"/>
    <w:rsid w:val="004B6ECB"/>
    <w:rsid w:val="004D0BBE"/>
    <w:rsid w:val="004D185B"/>
    <w:rsid w:val="004E1CF2"/>
    <w:rsid w:val="004F3343"/>
    <w:rsid w:val="005020E8"/>
    <w:rsid w:val="005025AF"/>
    <w:rsid w:val="0051557E"/>
    <w:rsid w:val="0052387E"/>
    <w:rsid w:val="00523FAA"/>
    <w:rsid w:val="00526CE7"/>
    <w:rsid w:val="005325ED"/>
    <w:rsid w:val="00544102"/>
    <w:rsid w:val="00550E96"/>
    <w:rsid w:val="00554C35"/>
    <w:rsid w:val="005575D9"/>
    <w:rsid w:val="005678E8"/>
    <w:rsid w:val="0057235A"/>
    <w:rsid w:val="00584472"/>
    <w:rsid w:val="00584A08"/>
    <w:rsid w:val="00586366"/>
    <w:rsid w:val="00595589"/>
    <w:rsid w:val="005955C3"/>
    <w:rsid w:val="00595CAE"/>
    <w:rsid w:val="00595FC0"/>
    <w:rsid w:val="005A1EBD"/>
    <w:rsid w:val="005B11AE"/>
    <w:rsid w:val="005B4C75"/>
    <w:rsid w:val="005B5DE4"/>
    <w:rsid w:val="005C1D46"/>
    <w:rsid w:val="005C38B7"/>
    <w:rsid w:val="005C6980"/>
    <w:rsid w:val="005C760C"/>
    <w:rsid w:val="005D4A03"/>
    <w:rsid w:val="005E655A"/>
    <w:rsid w:val="005E7681"/>
    <w:rsid w:val="005E7692"/>
    <w:rsid w:val="005F3AA6"/>
    <w:rsid w:val="005F46F3"/>
    <w:rsid w:val="005F6A4F"/>
    <w:rsid w:val="00606328"/>
    <w:rsid w:val="00610E07"/>
    <w:rsid w:val="00616D5D"/>
    <w:rsid w:val="00630AB3"/>
    <w:rsid w:val="006345C0"/>
    <w:rsid w:val="00664A66"/>
    <w:rsid w:val="006662DF"/>
    <w:rsid w:val="00676239"/>
    <w:rsid w:val="006775E5"/>
    <w:rsid w:val="006778F6"/>
    <w:rsid w:val="00677BB7"/>
    <w:rsid w:val="00681675"/>
    <w:rsid w:val="00681A93"/>
    <w:rsid w:val="00687344"/>
    <w:rsid w:val="0069317D"/>
    <w:rsid w:val="006A00A9"/>
    <w:rsid w:val="006A691C"/>
    <w:rsid w:val="006B26AF"/>
    <w:rsid w:val="006B533A"/>
    <w:rsid w:val="006B590A"/>
    <w:rsid w:val="006B5AB9"/>
    <w:rsid w:val="006C29D8"/>
    <w:rsid w:val="006C3C52"/>
    <w:rsid w:val="006D3E3C"/>
    <w:rsid w:val="006D5618"/>
    <w:rsid w:val="006D562C"/>
    <w:rsid w:val="006E0780"/>
    <w:rsid w:val="006E5BCC"/>
    <w:rsid w:val="006F5CC7"/>
    <w:rsid w:val="00703A95"/>
    <w:rsid w:val="0070613C"/>
    <w:rsid w:val="007101A2"/>
    <w:rsid w:val="00711C3C"/>
    <w:rsid w:val="00712C9E"/>
    <w:rsid w:val="007218EB"/>
    <w:rsid w:val="00723025"/>
    <w:rsid w:val="0072551E"/>
    <w:rsid w:val="00727F04"/>
    <w:rsid w:val="00733AD8"/>
    <w:rsid w:val="007408F7"/>
    <w:rsid w:val="00750030"/>
    <w:rsid w:val="00767CD4"/>
    <w:rsid w:val="00770B9A"/>
    <w:rsid w:val="00770CBB"/>
    <w:rsid w:val="00776768"/>
    <w:rsid w:val="00792C5B"/>
    <w:rsid w:val="007A1A40"/>
    <w:rsid w:val="007A44B9"/>
    <w:rsid w:val="007A4A78"/>
    <w:rsid w:val="007B293E"/>
    <w:rsid w:val="007B364F"/>
    <w:rsid w:val="007B6497"/>
    <w:rsid w:val="007C1D9D"/>
    <w:rsid w:val="007C2109"/>
    <w:rsid w:val="007C4895"/>
    <w:rsid w:val="007C6893"/>
    <w:rsid w:val="007D1C6B"/>
    <w:rsid w:val="007D1CCD"/>
    <w:rsid w:val="007D6C74"/>
    <w:rsid w:val="007E73C5"/>
    <w:rsid w:val="007E79D5"/>
    <w:rsid w:val="007F0A63"/>
    <w:rsid w:val="007F4087"/>
    <w:rsid w:val="008001F3"/>
    <w:rsid w:val="008039D7"/>
    <w:rsid w:val="00803C74"/>
    <w:rsid w:val="00806569"/>
    <w:rsid w:val="0081486A"/>
    <w:rsid w:val="00815BB5"/>
    <w:rsid w:val="008167F4"/>
    <w:rsid w:val="0082722F"/>
    <w:rsid w:val="0083646C"/>
    <w:rsid w:val="0085260B"/>
    <w:rsid w:val="00853E42"/>
    <w:rsid w:val="00870556"/>
    <w:rsid w:val="0087106C"/>
    <w:rsid w:val="00872BFD"/>
    <w:rsid w:val="00873B26"/>
    <w:rsid w:val="00874301"/>
    <w:rsid w:val="00880099"/>
    <w:rsid w:val="008946E1"/>
    <w:rsid w:val="0089551B"/>
    <w:rsid w:val="00895A67"/>
    <w:rsid w:val="008A1F44"/>
    <w:rsid w:val="008C5E03"/>
    <w:rsid w:val="008E28FA"/>
    <w:rsid w:val="008F0B17"/>
    <w:rsid w:val="008F536D"/>
    <w:rsid w:val="00900ACB"/>
    <w:rsid w:val="00906EA4"/>
    <w:rsid w:val="00914B08"/>
    <w:rsid w:val="00925D71"/>
    <w:rsid w:val="00936342"/>
    <w:rsid w:val="0094029B"/>
    <w:rsid w:val="0094069F"/>
    <w:rsid w:val="009415FD"/>
    <w:rsid w:val="00943A6A"/>
    <w:rsid w:val="009455E3"/>
    <w:rsid w:val="00951894"/>
    <w:rsid w:val="009530E7"/>
    <w:rsid w:val="00953A52"/>
    <w:rsid w:val="00957DF9"/>
    <w:rsid w:val="00961957"/>
    <w:rsid w:val="00964133"/>
    <w:rsid w:val="00965AB4"/>
    <w:rsid w:val="00971673"/>
    <w:rsid w:val="00977380"/>
    <w:rsid w:val="009822E5"/>
    <w:rsid w:val="00985FB8"/>
    <w:rsid w:val="00987773"/>
    <w:rsid w:val="00987DE3"/>
    <w:rsid w:val="00990ECE"/>
    <w:rsid w:val="009C4332"/>
    <w:rsid w:val="009D0B2C"/>
    <w:rsid w:val="009D555D"/>
    <w:rsid w:val="009E0E23"/>
    <w:rsid w:val="009E20C3"/>
    <w:rsid w:val="00A00C45"/>
    <w:rsid w:val="00A02818"/>
    <w:rsid w:val="00A03635"/>
    <w:rsid w:val="00A10451"/>
    <w:rsid w:val="00A1115C"/>
    <w:rsid w:val="00A12697"/>
    <w:rsid w:val="00A16ECE"/>
    <w:rsid w:val="00A263D6"/>
    <w:rsid w:val="00A269C2"/>
    <w:rsid w:val="00A40834"/>
    <w:rsid w:val="00A46ACE"/>
    <w:rsid w:val="00A531EC"/>
    <w:rsid w:val="00A57DAC"/>
    <w:rsid w:val="00A654D0"/>
    <w:rsid w:val="00A66339"/>
    <w:rsid w:val="00A664AF"/>
    <w:rsid w:val="00A732A2"/>
    <w:rsid w:val="00A76025"/>
    <w:rsid w:val="00A832D1"/>
    <w:rsid w:val="00A83584"/>
    <w:rsid w:val="00A840B8"/>
    <w:rsid w:val="00A86258"/>
    <w:rsid w:val="00A8798F"/>
    <w:rsid w:val="00AB4C0D"/>
    <w:rsid w:val="00AC3041"/>
    <w:rsid w:val="00AC3768"/>
    <w:rsid w:val="00AC3C65"/>
    <w:rsid w:val="00AD1881"/>
    <w:rsid w:val="00AD1E55"/>
    <w:rsid w:val="00AE212E"/>
    <w:rsid w:val="00AE3125"/>
    <w:rsid w:val="00AE482E"/>
    <w:rsid w:val="00AE5486"/>
    <w:rsid w:val="00AF21D3"/>
    <w:rsid w:val="00AF39A5"/>
    <w:rsid w:val="00B15D83"/>
    <w:rsid w:val="00B1635A"/>
    <w:rsid w:val="00B21225"/>
    <w:rsid w:val="00B2297F"/>
    <w:rsid w:val="00B30100"/>
    <w:rsid w:val="00B35924"/>
    <w:rsid w:val="00B44F2C"/>
    <w:rsid w:val="00B457DF"/>
    <w:rsid w:val="00B47730"/>
    <w:rsid w:val="00B71D6D"/>
    <w:rsid w:val="00BA4408"/>
    <w:rsid w:val="00BA4C60"/>
    <w:rsid w:val="00BA599A"/>
    <w:rsid w:val="00BB6434"/>
    <w:rsid w:val="00BC1806"/>
    <w:rsid w:val="00BC7107"/>
    <w:rsid w:val="00BD4E49"/>
    <w:rsid w:val="00BE065B"/>
    <w:rsid w:val="00BF6E90"/>
    <w:rsid w:val="00BF76F0"/>
    <w:rsid w:val="00C01D82"/>
    <w:rsid w:val="00C021D7"/>
    <w:rsid w:val="00C03E00"/>
    <w:rsid w:val="00C106F5"/>
    <w:rsid w:val="00C146FB"/>
    <w:rsid w:val="00C16F20"/>
    <w:rsid w:val="00C4426B"/>
    <w:rsid w:val="00C45192"/>
    <w:rsid w:val="00C45F30"/>
    <w:rsid w:val="00C467C0"/>
    <w:rsid w:val="00C53AB0"/>
    <w:rsid w:val="00C66395"/>
    <w:rsid w:val="00C71017"/>
    <w:rsid w:val="00C74D99"/>
    <w:rsid w:val="00C816EB"/>
    <w:rsid w:val="00C845CF"/>
    <w:rsid w:val="00C92A35"/>
    <w:rsid w:val="00C93F56"/>
    <w:rsid w:val="00C94C76"/>
    <w:rsid w:val="00C96CEE"/>
    <w:rsid w:val="00CA09E2"/>
    <w:rsid w:val="00CA2899"/>
    <w:rsid w:val="00CA30A1"/>
    <w:rsid w:val="00CA58D8"/>
    <w:rsid w:val="00CA6B5C"/>
    <w:rsid w:val="00CB330A"/>
    <w:rsid w:val="00CB718F"/>
    <w:rsid w:val="00CC4ED3"/>
    <w:rsid w:val="00CD46AE"/>
    <w:rsid w:val="00CE2EAB"/>
    <w:rsid w:val="00CE602C"/>
    <w:rsid w:val="00CF17D2"/>
    <w:rsid w:val="00CF25CC"/>
    <w:rsid w:val="00CF6761"/>
    <w:rsid w:val="00D21C28"/>
    <w:rsid w:val="00D30A34"/>
    <w:rsid w:val="00D36268"/>
    <w:rsid w:val="00D40644"/>
    <w:rsid w:val="00D52CE9"/>
    <w:rsid w:val="00D53F1B"/>
    <w:rsid w:val="00D55935"/>
    <w:rsid w:val="00D72E83"/>
    <w:rsid w:val="00D733F0"/>
    <w:rsid w:val="00D75EC4"/>
    <w:rsid w:val="00D760FE"/>
    <w:rsid w:val="00D76F9D"/>
    <w:rsid w:val="00D929DF"/>
    <w:rsid w:val="00D92AF9"/>
    <w:rsid w:val="00D94395"/>
    <w:rsid w:val="00D975BE"/>
    <w:rsid w:val="00DA2C75"/>
    <w:rsid w:val="00DA6685"/>
    <w:rsid w:val="00DB6BFB"/>
    <w:rsid w:val="00DC57C0"/>
    <w:rsid w:val="00DD382E"/>
    <w:rsid w:val="00DD5850"/>
    <w:rsid w:val="00DD72D4"/>
    <w:rsid w:val="00DD781B"/>
    <w:rsid w:val="00DE6E46"/>
    <w:rsid w:val="00DF3A59"/>
    <w:rsid w:val="00DF3C9C"/>
    <w:rsid w:val="00DF5861"/>
    <w:rsid w:val="00DF7976"/>
    <w:rsid w:val="00E0237D"/>
    <w:rsid w:val="00E0423E"/>
    <w:rsid w:val="00E06550"/>
    <w:rsid w:val="00E11C49"/>
    <w:rsid w:val="00E11F70"/>
    <w:rsid w:val="00E13406"/>
    <w:rsid w:val="00E162DC"/>
    <w:rsid w:val="00E310B4"/>
    <w:rsid w:val="00E31B15"/>
    <w:rsid w:val="00E34500"/>
    <w:rsid w:val="00E34557"/>
    <w:rsid w:val="00E37C8F"/>
    <w:rsid w:val="00E41DC6"/>
    <w:rsid w:val="00E42EF6"/>
    <w:rsid w:val="00E4314C"/>
    <w:rsid w:val="00E51D46"/>
    <w:rsid w:val="00E54617"/>
    <w:rsid w:val="00E55EB4"/>
    <w:rsid w:val="00E611AD"/>
    <w:rsid w:val="00E611DE"/>
    <w:rsid w:val="00E62734"/>
    <w:rsid w:val="00E84A4E"/>
    <w:rsid w:val="00E95E6C"/>
    <w:rsid w:val="00E96AB4"/>
    <w:rsid w:val="00E97376"/>
    <w:rsid w:val="00E97A27"/>
    <w:rsid w:val="00EA38E1"/>
    <w:rsid w:val="00EA3AB7"/>
    <w:rsid w:val="00EB262D"/>
    <w:rsid w:val="00EB4ABE"/>
    <w:rsid w:val="00EB4F54"/>
    <w:rsid w:val="00EB5A95"/>
    <w:rsid w:val="00EB7CF5"/>
    <w:rsid w:val="00EC0FEB"/>
    <w:rsid w:val="00EC48BC"/>
    <w:rsid w:val="00EC7794"/>
    <w:rsid w:val="00ED17C2"/>
    <w:rsid w:val="00ED266D"/>
    <w:rsid w:val="00ED2846"/>
    <w:rsid w:val="00ED6ADF"/>
    <w:rsid w:val="00EE0D67"/>
    <w:rsid w:val="00EF10DD"/>
    <w:rsid w:val="00EF1E62"/>
    <w:rsid w:val="00F01C1E"/>
    <w:rsid w:val="00F0418B"/>
    <w:rsid w:val="00F12CB7"/>
    <w:rsid w:val="00F1371E"/>
    <w:rsid w:val="00F23C44"/>
    <w:rsid w:val="00F255B8"/>
    <w:rsid w:val="00F32227"/>
    <w:rsid w:val="00F33321"/>
    <w:rsid w:val="00F34140"/>
    <w:rsid w:val="00F37127"/>
    <w:rsid w:val="00F45FD1"/>
    <w:rsid w:val="00F47CCB"/>
    <w:rsid w:val="00F50BB9"/>
    <w:rsid w:val="00F52CC6"/>
    <w:rsid w:val="00F60349"/>
    <w:rsid w:val="00F61CE8"/>
    <w:rsid w:val="00F806A3"/>
    <w:rsid w:val="00F831B2"/>
    <w:rsid w:val="00F83679"/>
    <w:rsid w:val="00F910D8"/>
    <w:rsid w:val="00FA265D"/>
    <w:rsid w:val="00FA5BBD"/>
    <w:rsid w:val="00FA6295"/>
    <w:rsid w:val="00FA63F7"/>
    <w:rsid w:val="00FA6656"/>
    <w:rsid w:val="00FA7F5E"/>
    <w:rsid w:val="00FB2FD6"/>
    <w:rsid w:val="00FB3037"/>
    <w:rsid w:val="00FB47E0"/>
    <w:rsid w:val="00FC137D"/>
    <w:rsid w:val="00FC190C"/>
    <w:rsid w:val="00FC3CD9"/>
    <w:rsid w:val="00FC52C3"/>
    <w:rsid w:val="00FC547E"/>
    <w:rsid w:val="00FC7A65"/>
    <w:rsid w:val="00FE39E8"/>
    <w:rsid w:val="00FE616B"/>
    <w:rsid w:val="00FE7ACF"/>
    <w:rsid w:val="00FF0294"/>
    <w:rsid w:val="00FF21DD"/>
    <w:rsid w:val="00FF4160"/>
    <w:rsid w:val="00FF5603"/>
    <w:rsid w:val="195758BF"/>
    <w:rsid w:val="1DDA4BF6"/>
    <w:rsid w:val="2029A7EC"/>
    <w:rsid w:val="27DA8025"/>
    <w:rsid w:val="3B6D3B07"/>
    <w:rsid w:val="45A75375"/>
    <w:rsid w:val="517885A0"/>
    <w:rsid w:val="588A4DA5"/>
    <w:rsid w:val="591A3E87"/>
    <w:rsid w:val="5A930D17"/>
    <w:rsid w:val="5C4D8E0B"/>
    <w:rsid w:val="7354DD6B"/>
    <w:rsid w:val="79B2BCBF"/>
    <w:rsid w:val="7A8239BB"/>
    <w:rsid w:val="7F17A3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5B1A3"/>
  <w15:docId w15:val="{4751F80F-ACE1-4D8E-A01C-38285C05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8001F3"/>
    <w:rPr>
      <w:color w:val="0000FF" w:themeColor="hyperlink"/>
      <w:u w:val="single"/>
    </w:rPr>
  </w:style>
  <w:style w:type="character" w:customStyle="1" w:styleId="UnresolvedMention1">
    <w:name w:val="Unresolved Mention1"/>
    <w:basedOn w:val="DefaultParagraphFont"/>
    <w:uiPriority w:val="99"/>
    <w:semiHidden/>
    <w:unhideWhenUsed/>
    <w:rsid w:val="008001F3"/>
    <w:rPr>
      <w:color w:val="605E5C"/>
      <w:shd w:val="clear" w:color="auto" w:fill="E1DFDD"/>
    </w:rPr>
  </w:style>
  <w:style w:type="character" w:styleId="CommentReference">
    <w:name w:val="annotation reference"/>
    <w:basedOn w:val="DefaultParagraphFont"/>
    <w:uiPriority w:val="99"/>
    <w:semiHidden/>
    <w:unhideWhenUsed/>
    <w:rsid w:val="00085C98"/>
    <w:rPr>
      <w:sz w:val="16"/>
      <w:szCs w:val="16"/>
    </w:rPr>
  </w:style>
  <w:style w:type="paragraph" w:styleId="CommentText">
    <w:name w:val="annotation text"/>
    <w:basedOn w:val="Normal"/>
    <w:link w:val="CommentTextChar"/>
    <w:uiPriority w:val="99"/>
    <w:unhideWhenUsed/>
    <w:rsid w:val="00085C98"/>
    <w:rPr>
      <w:sz w:val="20"/>
      <w:szCs w:val="20"/>
    </w:rPr>
  </w:style>
  <w:style w:type="character" w:customStyle="1" w:styleId="CommentTextChar">
    <w:name w:val="Comment Text Char"/>
    <w:basedOn w:val="DefaultParagraphFont"/>
    <w:link w:val="CommentText"/>
    <w:uiPriority w:val="99"/>
    <w:rsid w:val="00085C9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85C98"/>
    <w:rPr>
      <w:b/>
      <w:bCs/>
    </w:rPr>
  </w:style>
  <w:style w:type="character" w:customStyle="1" w:styleId="CommentSubjectChar">
    <w:name w:val="Comment Subject Char"/>
    <w:basedOn w:val="CommentTextChar"/>
    <w:link w:val="CommentSubject"/>
    <w:uiPriority w:val="99"/>
    <w:semiHidden/>
    <w:rsid w:val="00085C98"/>
    <w:rPr>
      <w:rFonts w:ascii="Times New Roman" w:eastAsia="Times New Roman" w:hAnsi="Times New Roman"/>
      <w:b/>
      <w:bCs/>
    </w:rPr>
  </w:style>
  <w:style w:type="paragraph" w:styleId="Revision">
    <w:name w:val="Revision"/>
    <w:hidden/>
    <w:uiPriority w:val="99"/>
    <w:semiHidden/>
    <w:rsid w:val="00BF6E90"/>
    <w:rPr>
      <w:rFonts w:ascii="Times New Roman" w:eastAsia="Times New Roman" w:hAnsi="Times New Roman"/>
      <w:sz w:val="24"/>
      <w:szCs w:val="24"/>
    </w:rPr>
  </w:style>
  <w:style w:type="character" w:customStyle="1" w:styleId="Mention">
    <w:name w:val="Mention"/>
    <w:basedOn w:val="DefaultParagraphFont"/>
    <w:uiPriority w:val="99"/>
    <w:unhideWhenUsed/>
    <w:rsid w:val="00FA6295"/>
    <w:rPr>
      <w:color w:val="2B579A"/>
      <w:shd w:val="clear" w:color="auto" w:fill="E1DFDD"/>
    </w:rPr>
  </w:style>
  <w:style w:type="character" w:customStyle="1" w:styleId="UnresolvedMention">
    <w:name w:val="Unresolved Mention"/>
    <w:basedOn w:val="DefaultParagraphFont"/>
    <w:uiPriority w:val="99"/>
    <w:semiHidden/>
    <w:unhideWhenUsed/>
    <w:rsid w:val="00E16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42165">
      <w:bodyDiv w:val="1"/>
      <w:marLeft w:val="0"/>
      <w:marRight w:val="0"/>
      <w:marTop w:val="0"/>
      <w:marBottom w:val="0"/>
      <w:divBdr>
        <w:top w:val="none" w:sz="0" w:space="0" w:color="auto"/>
        <w:left w:val="none" w:sz="0" w:space="0" w:color="auto"/>
        <w:bottom w:val="none" w:sz="0" w:space="0" w:color="auto"/>
        <w:right w:val="none" w:sz="0" w:space="0" w:color="auto"/>
      </w:divBdr>
    </w:div>
    <w:div w:id="824400302">
      <w:bodyDiv w:val="1"/>
      <w:marLeft w:val="0"/>
      <w:marRight w:val="0"/>
      <w:marTop w:val="0"/>
      <w:marBottom w:val="0"/>
      <w:divBdr>
        <w:top w:val="none" w:sz="0" w:space="0" w:color="auto"/>
        <w:left w:val="none" w:sz="0" w:space="0" w:color="auto"/>
        <w:bottom w:val="none" w:sz="0" w:space="0" w:color="auto"/>
        <w:right w:val="none" w:sz="0" w:space="0" w:color="auto"/>
      </w:divBdr>
      <w:divsChild>
        <w:div w:id="95029420">
          <w:marLeft w:val="0"/>
          <w:marRight w:val="0"/>
          <w:marTop w:val="180"/>
          <w:marBottom w:val="0"/>
          <w:divBdr>
            <w:top w:val="none" w:sz="0" w:space="0" w:color="auto"/>
            <w:left w:val="none" w:sz="0" w:space="0" w:color="auto"/>
            <w:bottom w:val="none" w:sz="0" w:space="0" w:color="auto"/>
            <w:right w:val="none" w:sz="0" w:space="0" w:color="auto"/>
          </w:divBdr>
          <w:divsChild>
            <w:div w:id="157499967">
              <w:marLeft w:val="0"/>
              <w:marRight w:val="0"/>
              <w:marTop w:val="0"/>
              <w:marBottom w:val="0"/>
              <w:divBdr>
                <w:top w:val="none" w:sz="0" w:space="0" w:color="auto"/>
                <w:left w:val="none" w:sz="0" w:space="0" w:color="auto"/>
                <w:bottom w:val="none" w:sz="0" w:space="0" w:color="auto"/>
                <w:right w:val="none" w:sz="0" w:space="0" w:color="auto"/>
              </w:divBdr>
            </w:div>
          </w:divsChild>
        </w:div>
        <w:div w:id="421873332">
          <w:marLeft w:val="0"/>
          <w:marRight w:val="0"/>
          <w:marTop w:val="180"/>
          <w:marBottom w:val="0"/>
          <w:divBdr>
            <w:top w:val="none" w:sz="0" w:space="0" w:color="auto"/>
            <w:left w:val="none" w:sz="0" w:space="0" w:color="auto"/>
            <w:bottom w:val="none" w:sz="0" w:space="0" w:color="auto"/>
            <w:right w:val="none" w:sz="0" w:space="0" w:color="auto"/>
          </w:divBdr>
          <w:divsChild>
            <w:div w:id="388848070">
              <w:marLeft w:val="0"/>
              <w:marRight w:val="0"/>
              <w:marTop w:val="0"/>
              <w:marBottom w:val="0"/>
              <w:divBdr>
                <w:top w:val="none" w:sz="0" w:space="0" w:color="auto"/>
                <w:left w:val="none" w:sz="0" w:space="0" w:color="auto"/>
                <w:bottom w:val="none" w:sz="0" w:space="0" w:color="auto"/>
                <w:right w:val="none" w:sz="0" w:space="0" w:color="auto"/>
              </w:divBdr>
            </w:div>
          </w:divsChild>
        </w:div>
        <w:div w:id="425272260">
          <w:marLeft w:val="0"/>
          <w:marRight w:val="0"/>
          <w:marTop w:val="180"/>
          <w:marBottom w:val="0"/>
          <w:divBdr>
            <w:top w:val="none" w:sz="0" w:space="0" w:color="auto"/>
            <w:left w:val="none" w:sz="0" w:space="0" w:color="auto"/>
            <w:bottom w:val="none" w:sz="0" w:space="0" w:color="auto"/>
            <w:right w:val="none" w:sz="0" w:space="0" w:color="auto"/>
          </w:divBdr>
          <w:divsChild>
            <w:div w:id="560097588">
              <w:marLeft w:val="0"/>
              <w:marRight w:val="0"/>
              <w:marTop w:val="0"/>
              <w:marBottom w:val="0"/>
              <w:divBdr>
                <w:top w:val="none" w:sz="0" w:space="0" w:color="auto"/>
                <w:left w:val="none" w:sz="0" w:space="0" w:color="auto"/>
                <w:bottom w:val="none" w:sz="0" w:space="0" w:color="auto"/>
                <w:right w:val="none" w:sz="0" w:space="0" w:color="auto"/>
              </w:divBdr>
            </w:div>
          </w:divsChild>
        </w:div>
        <w:div w:id="430393774">
          <w:marLeft w:val="0"/>
          <w:marRight w:val="0"/>
          <w:marTop w:val="180"/>
          <w:marBottom w:val="0"/>
          <w:divBdr>
            <w:top w:val="none" w:sz="0" w:space="0" w:color="auto"/>
            <w:left w:val="none" w:sz="0" w:space="0" w:color="auto"/>
            <w:bottom w:val="none" w:sz="0" w:space="0" w:color="auto"/>
            <w:right w:val="none" w:sz="0" w:space="0" w:color="auto"/>
          </w:divBdr>
          <w:divsChild>
            <w:div w:id="1450586500">
              <w:marLeft w:val="0"/>
              <w:marRight w:val="0"/>
              <w:marTop w:val="0"/>
              <w:marBottom w:val="0"/>
              <w:divBdr>
                <w:top w:val="none" w:sz="0" w:space="0" w:color="auto"/>
                <w:left w:val="none" w:sz="0" w:space="0" w:color="auto"/>
                <w:bottom w:val="none" w:sz="0" w:space="0" w:color="auto"/>
                <w:right w:val="none" w:sz="0" w:space="0" w:color="auto"/>
              </w:divBdr>
            </w:div>
          </w:divsChild>
        </w:div>
        <w:div w:id="766461498">
          <w:marLeft w:val="0"/>
          <w:marRight w:val="0"/>
          <w:marTop w:val="180"/>
          <w:marBottom w:val="0"/>
          <w:divBdr>
            <w:top w:val="none" w:sz="0" w:space="0" w:color="auto"/>
            <w:left w:val="none" w:sz="0" w:space="0" w:color="auto"/>
            <w:bottom w:val="none" w:sz="0" w:space="0" w:color="auto"/>
            <w:right w:val="none" w:sz="0" w:space="0" w:color="auto"/>
          </w:divBdr>
          <w:divsChild>
            <w:div w:id="296183846">
              <w:marLeft w:val="0"/>
              <w:marRight w:val="0"/>
              <w:marTop w:val="0"/>
              <w:marBottom w:val="0"/>
              <w:divBdr>
                <w:top w:val="none" w:sz="0" w:space="0" w:color="auto"/>
                <w:left w:val="none" w:sz="0" w:space="0" w:color="auto"/>
                <w:bottom w:val="none" w:sz="0" w:space="0" w:color="auto"/>
                <w:right w:val="none" w:sz="0" w:space="0" w:color="auto"/>
              </w:divBdr>
            </w:div>
          </w:divsChild>
        </w:div>
        <w:div w:id="888611895">
          <w:marLeft w:val="0"/>
          <w:marRight w:val="0"/>
          <w:marTop w:val="180"/>
          <w:marBottom w:val="0"/>
          <w:divBdr>
            <w:top w:val="none" w:sz="0" w:space="0" w:color="auto"/>
            <w:left w:val="none" w:sz="0" w:space="0" w:color="auto"/>
            <w:bottom w:val="none" w:sz="0" w:space="0" w:color="auto"/>
            <w:right w:val="none" w:sz="0" w:space="0" w:color="auto"/>
          </w:divBdr>
          <w:divsChild>
            <w:div w:id="1047796456">
              <w:marLeft w:val="0"/>
              <w:marRight w:val="0"/>
              <w:marTop w:val="0"/>
              <w:marBottom w:val="0"/>
              <w:divBdr>
                <w:top w:val="none" w:sz="0" w:space="0" w:color="auto"/>
                <w:left w:val="none" w:sz="0" w:space="0" w:color="auto"/>
                <w:bottom w:val="none" w:sz="0" w:space="0" w:color="auto"/>
                <w:right w:val="none" w:sz="0" w:space="0" w:color="auto"/>
              </w:divBdr>
            </w:div>
          </w:divsChild>
        </w:div>
        <w:div w:id="1019088210">
          <w:marLeft w:val="0"/>
          <w:marRight w:val="0"/>
          <w:marTop w:val="180"/>
          <w:marBottom w:val="0"/>
          <w:divBdr>
            <w:top w:val="none" w:sz="0" w:space="0" w:color="auto"/>
            <w:left w:val="none" w:sz="0" w:space="0" w:color="auto"/>
            <w:bottom w:val="none" w:sz="0" w:space="0" w:color="auto"/>
            <w:right w:val="none" w:sz="0" w:space="0" w:color="auto"/>
          </w:divBdr>
          <w:divsChild>
            <w:div w:id="704645366">
              <w:marLeft w:val="0"/>
              <w:marRight w:val="0"/>
              <w:marTop w:val="0"/>
              <w:marBottom w:val="0"/>
              <w:divBdr>
                <w:top w:val="none" w:sz="0" w:space="0" w:color="auto"/>
                <w:left w:val="none" w:sz="0" w:space="0" w:color="auto"/>
                <w:bottom w:val="none" w:sz="0" w:space="0" w:color="auto"/>
                <w:right w:val="none" w:sz="0" w:space="0" w:color="auto"/>
              </w:divBdr>
            </w:div>
          </w:divsChild>
        </w:div>
        <w:div w:id="1329753193">
          <w:marLeft w:val="0"/>
          <w:marRight w:val="0"/>
          <w:marTop w:val="180"/>
          <w:marBottom w:val="0"/>
          <w:divBdr>
            <w:top w:val="none" w:sz="0" w:space="0" w:color="auto"/>
            <w:left w:val="none" w:sz="0" w:space="0" w:color="auto"/>
            <w:bottom w:val="none" w:sz="0" w:space="0" w:color="auto"/>
            <w:right w:val="none" w:sz="0" w:space="0" w:color="auto"/>
          </w:divBdr>
          <w:divsChild>
            <w:div w:id="1201019090">
              <w:marLeft w:val="0"/>
              <w:marRight w:val="0"/>
              <w:marTop w:val="0"/>
              <w:marBottom w:val="0"/>
              <w:divBdr>
                <w:top w:val="none" w:sz="0" w:space="0" w:color="auto"/>
                <w:left w:val="none" w:sz="0" w:space="0" w:color="auto"/>
                <w:bottom w:val="none" w:sz="0" w:space="0" w:color="auto"/>
                <w:right w:val="none" w:sz="0" w:space="0" w:color="auto"/>
              </w:divBdr>
            </w:div>
          </w:divsChild>
        </w:div>
        <w:div w:id="1374773360">
          <w:marLeft w:val="0"/>
          <w:marRight w:val="0"/>
          <w:marTop w:val="180"/>
          <w:marBottom w:val="0"/>
          <w:divBdr>
            <w:top w:val="none" w:sz="0" w:space="0" w:color="auto"/>
            <w:left w:val="none" w:sz="0" w:space="0" w:color="auto"/>
            <w:bottom w:val="none" w:sz="0" w:space="0" w:color="auto"/>
            <w:right w:val="none" w:sz="0" w:space="0" w:color="auto"/>
          </w:divBdr>
          <w:divsChild>
            <w:div w:id="282075130">
              <w:marLeft w:val="0"/>
              <w:marRight w:val="0"/>
              <w:marTop w:val="0"/>
              <w:marBottom w:val="0"/>
              <w:divBdr>
                <w:top w:val="none" w:sz="0" w:space="0" w:color="auto"/>
                <w:left w:val="none" w:sz="0" w:space="0" w:color="auto"/>
                <w:bottom w:val="none" w:sz="0" w:space="0" w:color="auto"/>
                <w:right w:val="none" w:sz="0" w:space="0" w:color="auto"/>
              </w:divBdr>
            </w:div>
          </w:divsChild>
        </w:div>
        <w:div w:id="1881548560">
          <w:marLeft w:val="0"/>
          <w:marRight w:val="0"/>
          <w:marTop w:val="180"/>
          <w:marBottom w:val="0"/>
          <w:divBdr>
            <w:top w:val="none" w:sz="0" w:space="0" w:color="auto"/>
            <w:left w:val="none" w:sz="0" w:space="0" w:color="auto"/>
            <w:bottom w:val="none" w:sz="0" w:space="0" w:color="auto"/>
            <w:right w:val="none" w:sz="0" w:space="0" w:color="auto"/>
          </w:divBdr>
          <w:divsChild>
            <w:div w:id="11925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1290489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05319248">
      <w:bodyDiv w:val="1"/>
      <w:marLeft w:val="0"/>
      <w:marRight w:val="0"/>
      <w:marTop w:val="0"/>
      <w:marBottom w:val="0"/>
      <w:divBdr>
        <w:top w:val="none" w:sz="0" w:space="0" w:color="auto"/>
        <w:left w:val="none" w:sz="0" w:space="0" w:color="auto"/>
        <w:bottom w:val="none" w:sz="0" w:space="0" w:color="auto"/>
        <w:right w:val="none" w:sz="0" w:space="0" w:color="auto"/>
      </w:divBdr>
      <w:divsChild>
        <w:div w:id="643655075">
          <w:marLeft w:val="0"/>
          <w:marRight w:val="0"/>
          <w:marTop w:val="180"/>
          <w:marBottom w:val="0"/>
          <w:divBdr>
            <w:top w:val="none" w:sz="0" w:space="0" w:color="auto"/>
            <w:left w:val="none" w:sz="0" w:space="0" w:color="auto"/>
            <w:bottom w:val="none" w:sz="0" w:space="0" w:color="auto"/>
            <w:right w:val="none" w:sz="0" w:space="0" w:color="auto"/>
          </w:divBdr>
          <w:divsChild>
            <w:div w:id="225773256">
              <w:marLeft w:val="0"/>
              <w:marRight w:val="0"/>
              <w:marTop w:val="0"/>
              <w:marBottom w:val="0"/>
              <w:divBdr>
                <w:top w:val="none" w:sz="0" w:space="0" w:color="auto"/>
                <w:left w:val="none" w:sz="0" w:space="0" w:color="auto"/>
                <w:bottom w:val="none" w:sz="0" w:space="0" w:color="auto"/>
                <w:right w:val="none" w:sz="0" w:space="0" w:color="auto"/>
              </w:divBdr>
            </w:div>
          </w:divsChild>
        </w:div>
        <w:div w:id="792789003">
          <w:marLeft w:val="0"/>
          <w:marRight w:val="0"/>
          <w:marTop w:val="180"/>
          <w:marBottom w:val="0"/>
          <w:divBdr>
            <w:top w:val="none" w:sz="0" w:space="0" w:color="auto"/>
            <w:left w:val="none" w:sz="0" w:space="0" w:color="auto"/>
            <w:bottom w:val="none" w:sz="0" w:space="0" w:color="auto"/>
            <w:right w:val="none" w:sz="0" w:space="0" w:color="auto"/>
          </w:divBdr>
          <w:divsChild>
            <w:div w:id="837428775">
              <w:marLeft w:val="0"/>
              <w:marRight w:val="0"/>
              <w:marTop w:val="0"/>
              <w:marBottom w:val="0"/>
              <w:divBdr>
                <w:top w:val="none" w:sz="0" w:space="0" w:color="auto"/>
                <w:left w:val="none" w:sz="0" w:space="0" w:color="auto"/>
                <w:bottom w:val="none" w:sz="0" w:space="0" w:color="auto"/>
                <w:right w:val="none" w:sz="0" w:space="0" w:color="auto"/>
              </w:divBdr>
            </w:div>
          </w:divsChild>
        </w:div>
        <w:div w:id="955480340">
          <w:marLeft w:val="0"/>
          <w:marRight w:val="0"/>
          <w:marTop w:val="180"/>
          <w:marBottom w:val="0"/>
          <w:divBdr>
            <w:top w:val="none" w:sz="0" w:space="0" w:color="auto"/>
            <w:left w:val="none" w:sz="0" w:space="0" w:color="auto"/>
            <w:bottom w:val="none" w:sz="0" w:space="0" w:color="auto"/>
            <w:right w:val="none" w:sz="0" w:space="0" w:color="auto"/>
          </w:divBdr>
          <w:divsChild>
            <w:div w:id="1912539455">
              <w:marLeft w:val="0"/>
              <w:marRight w:val="0"/>
              <w:marTop w:val="0"/>
              <w:marBottom w:val="0"/>
              <w:divBdr>
                <w:top w:val="none" w:sz="0" w:space="0" w:color="auto"/>
                <w:left w:val="none" w:sz="0" w:space="0" w:color="auto"/>
                <w:bottom w:val="none" w:sz="0" w:space="0" w:color="auto"/>
                <w:right w:val="none" w:sz="0" w:space="0" w:color="auto"/>
              </w:divBdr>
            </w:div>
          </w:divsChild>
        </w:div>
        <w:div w:id="957613079">
          <w:marLeft w:val="0"/>
          <w:marRight w:val="0"/>
          <w:marTop w:val="180"/>
          <w:marBottom w:val="0"/>
          <w:divBdr>
            <w:top w:val="none" w:sz="0" w:space="0" w:color="auto"/>
            <w:left w:val="none" w:sz="0" w:space="0" w:color="auto"/>
            <w:bottom w:val="none" w:sz="0" w:space="0" w:color="auto"/>
            <w:right w:val="none" w:sz="0" w:space="0" w:color="auto"/>
          </w:divBdr>
          <w:divsChild>
            <w:div w:id="192116909">
              <w:marLeft w:val="0"/>
              <w:marRight w:val="0"/>
              <w:marTop w:val="0"/>
              <w:marBottom w:val="0"/>
              <w:divBdr>
                <w:top w:val="none" w:sz="0" w:space="0" w:color="auto"/>
                <w:left w:val="none" w:sz="0" w:space="0" w:color="auto"/>
                <w:bottom w:val="none" w:sz="0" w:space="0" w:color="auto"/>
                <w:right w:val="none" w:sz="0" w:space="0" w:color="auto"/>
              </w:divBdr>
            </w:div>
          </w:divsChild>
        </w:div>
        <w:div w:id="1004674047">
          <w:marLeft w:val="0"/>
          <w:marRight w:val="0"/>
          <w:marTop w:val="180"/>
          <w:marBottom w:val="0"/>
          <w:divBdr>
            <w:top w:val="none" w:sz="0" w:space="0" w:color="auto"/>
            <w:left w:val="none" w:sz="0" w:space="0" w:color="auto"/>
            <w:bottom w:val="none" w:sz="0" w:space="0" w:color="auto"/>
            <w:right w:val="none" w:sz="0" w:space="0" w:color="auto"/>
          </w:divBdr>
          <w:divsChild>
            <w:div w:id="1298953552">
              <w:marLeft w:val="0"/>
              <w:marRight w:val="0"/>
              <w:marTop w:val="0"/>
              <w:marBottom w:val="0"/>
              <w:divBdr>
                <w:top w:val="none" w:sz="0" w:space="0" w:color="auto"/>
                <w:left w:val="none" w:sz="0" w:space="0" w:color="auto"/>
                <w:bottom w:val="none" w:sz="0" w:space="0" w:color="auto"/>
                <w:right w:val="none" w:sz="0" w:space="0" w:color="auto"/>
              </w:divBdr>
            </w:div>
          </w:divsChild>
        </w:div>
        <w:div w:id="1106925302">
          <w:marLeft w:val="0"/>
          <w:marRight w:val="0"/>
          <w:marTop w:val="180"/>
          <w:marBottom w:val="0"/>
          <w:divBdr>
            <w:top w:val="none" w:sz="0" w:space="0" w:color="auto"/>
            <w:left w:val="none" w:sz="0" w:space="0" w:color="auto"/>
            <w:bottom w:val="none" w:sz="0" w:space="0" w:color="auto"/>
            <w:right w:val="none" w:sz="0" w:space="0" w:color="auto"/>
          </w:divBdr>
          <w:divsChild>
            <w:div w:id="439491658">
              <w:marLeft w:val="0"/>
              <w:marRight w:val="0"/>
              <w:marTop w:val="0"/>
              <w:marBottom w:val="0"/>
              <w:divBdr>
                <w:top w:val="none" w:sz="0" w:space="0" w:color="auto"/>
                <w:left w:val="none" w:sz="0" w:space="0" w:color="auto"/>
                <w:bottom w:val="none" w:sz="0" w:space="0" w:color="auto"/>
                <w:right w:val="none" w:sz="0" w:space="0" w:color="auto"/>
              </w:divBdr>
            </w:div>
          </w:divsChild>
        </w:div>
        <w:div w:id="1215965059">
          <w:marLeft w:val="0"/>
          <w:marRight w:val="0"/>
          <w:marTop w:val="180"/>
          <w:marBottom w:val="0"/>
          <w:divBdr>
            <w:top w:val="none" w:sz="0" w:space="0" w:color="auto"/>
            <w:left w:val="none" w:sz="0" w:space="0" w:color="auto"/>
            <w:bottom w:val="none" w:sz="0" w:space="0" w:color="auto"/>
            <w:right w:val="none" w:sz="0" w:space="0" w:color="auto"/>
          </w:divBdr>
          <w:divsChild>
            <w:div w:id="559436401">
              <w:marLeft w:val="0"/>
              <w:marRight w:val="0"/>
              <w:marTop w:val="0"/>
              <w:marBottom w:val="0"/>
              <w:divBdr>
                <w:top w:val="none" w:sz="0" w:space="0" w:color="auto"/>
                <w:left w:val="none" w:sz="0" w:space="0" w:color="auto"/>
                <w:bottom w:val="none" w:sz="0" w:space="0" w:color="auto"/>
                <w:right w:val="none" w:sz="0" w:space="0" w:color="auto"/>
              </w:divBdr>
            </w:div>
          </w:divsChild>
        </w:div>
        <w:div w:id="1605385101">
          <w:marLeft w:val="0"/>
          <w:marRight w:val="0"/>
          <w:marTop w:val="180"/>
          <w:marBottom w:val="0"/>
          <w:divBdr>
            <w:top w:val="none" w:sz="0" w:space="0" w:color="auto"/>
            <w:left w:val="none" w:sz="0" w:space="0" w:color="auto"/>
            <w:bottom w:val="none" w:sz="0" w:space="0" w:color="auto"/>
            <w:right w:val="none" w:sz="0" w:space="0" w:color="auto"/>
          </w:divBdr>
          <w:divsChild>
            <w:div w:id="1043864223">
              <w:marLeft w:val="0"/>
              <w:marRight w:val="0"/>
              <w:marTop w:val="0"/>
              <w:marBottom w:val="0"/>
              <w:divBdr>
                <w:top w:val="none" w:sz="0" w:space="0" w:color="auto"/>
                <w:left w:val="none" w:sz="0" w:space="0" w:color="auto"/>
                <w:bottom w:val="none" w:sz="0" w:space="0" w:color="auto"/>
                <w:right w:val="none" w:sz="0" w:space="0" w:color="auto"/>
              </w:divBdr>
            </w:div>
          </w:divsChild>
        </w:div>
        <w:div w:id="1884752575">
          <w:marLeft w:val="0"/>
          <w:marRight w:val="0"/>
          <w:marTop w:val="180"/>
          <w:marBottom w:val="0"/>
          <w:divBdr>
            <w:top w:val="none" w:sz="0" w:space="0" w:color="auto"/>
            <w:left w:val="none" w:sz="0" w:space="0" w:color="auto"/>
            <w:bottom w:val="none" w:sz="0" w:space="0" w:color="auto"/>
            <w:right w:val="none" w:sz="0" w:space="0" w:color="auto"/>
          </w:divBdr>
          <w:divsChild>
            <w:div w:id="19214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8576">
      <w:bodyDiv w:val="1"/>
      <w:marLeft w:val="0"/>
      <w:marRight w:val="0"/>
      <w:marTop w:val="0"/>
      <w:marBottom w:val="0"/>
      <w:divBdr>
        <w:top w:val="none" w:sz="0" w:space="0" w:color="auto"/>
        <w:left w:val="none" w:sz="0" w:space="0" w:color="auto"/>
        <w:bottom w:val="none" w:sz="0" w:space="0" w:color="auto"/>
        <w:right w:val="none" w:sz="0" w:space="0" w:color="auto"/>
      </w:divBdr>
      <w:divsChild>
        <w:div w:id="159858142">
          <w:marLeft w:val="0"/>
          <w:marRight w:val="0"/>
          <w:marTop w:val="180"/>
          <w:marBottom w:val="0"/>
          <w:divBdr>
            <w:top w:val="none" w:sz="0" w:space="0" w:color="auto"/>
            <w:left w:val="none" w:sz="0" w:space="0" w:color="auto"/>
            <w:bottom w:val="none" w:sz="0" w:space="0" w:color="auto"/>
            <w:right w:val="none" w:sz="0" w:space="0" w:color="auto"/>
          </w:divBdr>
          <w:divsChild>
            <w:div w:id="376855742">
              <w:marLeft w:val="0"/>
              <w:marRight w:val="0"/>
              <w:marTop w:val="0"/>
              <w:marBottom w:val="0"/>
              <w:divBdr>
                <w:top w:val="none" w:sz="0" w:space="0" w:color="auto"/>
                <w:left w:val="none" w:sz="0" w:space="0" w:color="auto"/>
                <w:bottom w:val="none" w:sz="0" w:space="0" w:color="auto"/>
                <w:right w:val="none" w:sz="0" w:space="0" w:color="auto"/>
              </w:divBdr>
            </w:div>
          </w:divsChild>
        </w:div>
        <w:div w:id="179855863">
          <w:marLeft w:val="0"/>
          <w:marRight w:val="0"/>
          <w:marTop w:val="180"/>
          <w:marBottom w:val="0"/>
          <w:divBdr>
            <w:top w:val="none" w:sz="0" w:space="0" w:color="auto"/>
            <w:left w:val="none" w:sz="0" w:space="0" w:color="auto"/>
            <w:bottom w:val="none" w:sz="0" w:space="0" w:color="auto"/>
            <w:right w:val="none" w:sz="0" w:space="0" w:color="auto"/>
          </w:divBdr>
          <w:divsChild>
            <w:div w:id="482701110">
              <w:marLeft w:val="0"/>
              <w:marRight w:val="0"/>
              <w:marTop w:val="0"/>
              <w:marBottom w:val="0"/>
              <w:divBdr>
                <w:top w:val="none" w:sz="0" w:space="0" w:color="auto"/>
                <w:left w:val="none" w:sz="0" w:space="0" w:color="auto"/>
                <w:bottom w:val="none" w:sz="0" w:space="0" w:color="auto"/>
                <w:right w:val="none" w:sz="0" w:space="0" w:color="auto"/>
              </w:divBdr>
            </w:div>
          </w:divsChild>
        </w:div>
        <w:div w:id="412900681">
          <w:marLeft w:val="0"/>
          <w:marRight w:val="0"/>
          <w:marTop w:val="180"/>
          <w:marBottom w:val="0"/>
          <w:divBdr>
            <w:top w:val="none" w:sz="0" w:space="0" w:color="auto"/>
            <w:left w:val="none" w:sz="0" w:space="0" w:color="auto"/>
            <w:bottom w:val="none" w:sz="0" w:space="0" w:color="auto"/>
            <w:right w:val="none" w:sz="0" w:space="0" w:color="auto"/>
          </w:divBdr>
          <w:divsChild>
            <w:div w:id="1746954671">
              <w:marLeft w:val="0"/>
              <w:marRight w:val="0"/>
              <w:marTop w:val="0"/>
              <w:marBottom w:val="0"/>
              <w:divBdr>
                <w:top w:val="none" w:sz="0" w:space="0" w:color="auto"/>
                <w:left w:val="none" w:sz="0" w:space="0" w:color="auto"/>
                <w:bottom w:val="none" w:sz="0" w:space="0" w:color="auto"/>
                <w:right w:val="none" w:sz="0" w:space="0" w:color="auto"/>
              </w:divBdr>
            </w:div>
          </w:divsChild>
        </w:div>
        <w:div w:id="539974393">
          <w:marLeft w:val="0"/>
          <w:marRight w:val="0"/>
          <w:marTop w:val="180"/>
          <w:marBottom w:val="0"/>
          <w:divBdr>
            <w:top w:val="none" w:sz="0" w:space="0" w:color="auto"/>
            <w:left w:val="none" w:sz="0" w:space="0" w:color="auto"/>
            <w:bottom w:val="none" w:sz="0" w:space="0" w:color="auto"/>
            <w:right w:val="none" w:sz="0" w:space="0" w:color="auto"/>
          </w:divBdr>
          <w:divsChild>
            <w:div w:id="1022709186">
              <w:marLeft w:val="0"/>
              <w:marRight w:val="0"/>
              <w:marTop w:val="0"/>
              <w:marBottom w:val="0"/>
              <w:divBdr>
                <w:top w:val="none" w:sz="0" w:space="0" w:color="auto"/>
                <w:left w:val="none" w:sz="0" w:space="0" w:color="auto"/>
                <w:bottom w:val="none" w:sz="0" w:space="0" w:color="auto"/>
                <w:right w:val="none" w:sz="0" w:space="0" w:color="auto"/>
              </w:divBdr>
            </w:div>
          </w:divsChild>
        </w:div>
        <w:div w:id="912740452">
          <w:marLeft w:val="0"/>
          <w:marRight w:val="0"/>
          <w:marTop w:val="180"/>
          <w:marBottom w:val="0"/>
          <w:divBdr>
            <w:top w:val="none" w:sz="0" w:space="0" w:color="auto"/>
            <w:left w:val="none" w:sz="0" w:space="0" w:color="auto"/>
            <w:bottom w:val="none" w:sz="0" w:space="0" w:color="auto"/>
            <w:right w:val="none" w:sz="0" w:space="0" w:color="auto"/>
          </w:divBdr>
          <w:divsChild>
            <w:div w:id="1677220468">
              <w:marLeft w:val="0"/>
              <w:marRight w:val="0"/>
              <w:marTop w:val="0"/>
              <w:marBottom w:val="0"/>
              <w:divBdr>
                <w:top w:val="none" w:sz="0" w:space="0" w:color="auto"/>
                <w:left w:val="none" w:sz="0" w:space="0" w:color="auto"/>
                <w:bottom w:val="none" w:sz="0" w:space="0" w:color="auto"/>
                <w:right w:val="none" w:sz="0" w:space="0" w:color="auto"/>
              </w:divBdr>
            </w:div>
          </w:divsChild>
        </w:div>
        <w:div w:id="979189317">
          <w:marLeft w:val="0"/>
          <w:marRight w:val="0"/>
          <w:marTop w:val="180"/>
          <w:marBottom w:val="0"/>
          <w:divBdr>
            <w:top w:val="none" w:sz="0" w:space="0" w:color="auto"/>
            <w:left w:val="none" w:sz="0" w:space="0" w:color="auto"/>
            <w:bottom w:val="none" w:sz="0" w:space="0" w:color="auto"/>
            <w:right w:val="none" w:sz="0" w:space="0" w:color="auto"/>
          </w:divBdr>
          <w:divsChild>
            <w:div w:id="663507335">
              <w:marLeft w:val="0"/>
              <w:marRight w:val="0"/>
              <w:marTop w:val="0"/>
              <w:marBottom w:val="0"/>
              <w:divBdr>
                <w:top w:val="none" w:sz="0" w:space="0" w:color="auto"/>
                <w:left w:val="none" w:sz="0" w:space="0" w:color="auto"/>
                <w:bottom w:val="none" w:sz="0" w:space="0" w:color="auto"/>
                <w:right w:val="none" w:sz="0" w:space="0" w:color="auto"/>
              </w:divBdr>
            </w:div>
          </w:divsChild>
        </w:div>
        <w:div w:id="990207591">
          <w:marLeft w:val="0"/>
          <w:marRight w:val="0"/>
          <w:marTop w:val="180"/>
          <w:marBottom w:val="0"/>
          <w:divBdr>
            <w:top w:val="none" w:sz="0" w:space="0" w:color="auto"/>
            <w:left w:val="none" w:sz="0" w:space="0" w:color="auto"/>
            <w:bottom w:val="none" w:sz="0" w:space="0" w:color="auto"/>
            <w:right w:val="none" w:sz="0" w:space="0" w:color="auto"/>
          </w:divBdr>
          <w:divsChild>
            <w:div w:id="1169440664">
              <w:marLeft w:val="0"/>
              <w:marRight w:val="0"/>
              <w:marTop w:val="0"/>
              <w:marBottom w:val="0"/>
              <w:divBdr>
                <w:top w:val="none" w:sz="0" w:space="0" w:color="auto"/>
                <w:left w:val="none" w:sz="0" w:space="0" w:color="auto"/>
                <w:bottom w:val="none" w:sz="0" w:space="0" w:color="auto"/>
                <w:right w:val="none" w:sz="0" w:space="0" w:color="auto"/>
              </w:divBdr>
            </w:div>
          </w:divsChild>
        </w:div>
        <w:div w:id="1075932572">
          <w:marLeft w:val="0"/>
          <w:marRight w:val="0"/>
          <w:marTop w:val="180"/>
          <w:marBottom w:val="0"/>
          <w:divBdr>
            <w:top w:val="none" w:sz="0" w:space="0" w:color="auto"/>
            <w:left w:val="none" w:sz="0" w:space="0" w:color="auto"/>
            <w:bottom w:val="none" w:sz="0" w:space="0" w:color="auto"/>
            <w:right w:val="none" w:sz="0" w:space="0" w:color="auto"/>
          </w:divBdr>
          <w:divsChild>
            <w:div w:id="1419137011">
              <w:marLeft w:val="0"/>
              <w:marRight w:val="0"/>
              <w:marTop w:val="0"/>
              <w:marBottom w:val="0"/>
              <w:divBdr>
                <w:top w:val="none" w:sz="0" w:space="0" w:color="auto"/>
                <w:left w:val="none" w:sz="0" w:space="0" w:color="auto"/>
                <w:bottom w:val="none" w:sz="0" w:space="0" w:color="auto"/>
                <w:right w:val="none" w:sz="0" w:space="0" w:color="auto"/>
              </w:divBdr>
            </w:div>
          </w:divsChild>
        </w:div>
        <w:div w:id="1525247393">
          <w:marLeft w:val="0"/>
          <w:marRight w:val="0"/>
          <w:marTop w:val="180"/>
          <w:marBottom w:val="0"/>
          <w:divBdr>
            <w:top w:val="none" w:sz="0" w:space="0" w:color="auto"/>
            <w:left w:val="none" w:sz="0" w:space="0" w:color="auto"/>
            <w:bottom w:val="none" w:sz="0" w:space="0" w:color="auto"/>
            <w:right w:val="none" w:sz="0" w:space="0" w:color="auto"/>
          </w:divBdr>
          <w:divsChild>
            <w:div w:id="21419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B425B-9B30-41E4-99D4-0948C8FE3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1503</Words>
  <Characters>7584</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dc:description/>
  <cp:lastModifiedBy>Jeffries, Jillian</cp:lastModifiedBy>
  <cp:revision>2</cp:revision>
  <cp:lastPrinted>2025-12-09T21:27:00Z</cp:lastPrinted>
  <dcterms:created xsi:type="dcterms:W3CDTF">2025-12-22T16:39:00Z</dcterms:created>
  <dcterms:modified xsi:type="dcterms:W3CDTF">2025-12-22T16:39:00Z</dcterms:modified>
</cp:coreProperties>
</file>