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4C92D" w14:textId="77777777" w:rsidR="009E0C25" w:rsidRPr="0079736E" w:rsidRDefault="009E0C25" w:rsidP="009E0C25">
      <w:pPr>
        <w:contextualSpacing/>
        <w:jc w:val="center"/>
        <w:rPr>
          <w:rFonts w:ascii="Times New Roman" w:hAnsi="Times New Roman" w:cs="Times New Roman"/>
        </w:rPr>
      </w:pPr>
      <w:bookmarkStart w:id="0" w:name="_GoBack"/>
      <w:bookmarkEnd w:id="0"/>
    </w:p>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9E0C25" w:rsidRPr="0079736E" w14:paraId="5E04EDF8" w14:textId="77777777" w:rsidTr="002A2771">
        <w:tc>
          <w:tcPr>
            <w:tcW w:w="4135" w:type="dxa"/>
          </w:tcPr>
          <w:p w14:paraId="31467E64" w14:textId="77777777" w:rsidR="009E0C25" w:rsidRPr="0079736E" w:rsidRDefault="009E0C25" w:rsidP="002A2771">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sidRPr="0079736E">
              <w:rPr>
                <w:rFonts w:ascii="Times New Roman" w:eastAsia="Times New Roman" w:hAnsi="Times New Roman" w:cs="Times New Roman"/>
                <w:spacing w:val="-3"/>
                <w:sz w:val="18"/>
                <w:szCs w:val="18"/>
                <w:u w:val="single"/>
              </w:rPr>
              <w:t>Committee on Women &amp; Gender Equity Staff</w:t>
            </w:r>
          </w:p>
          <w:p w14:paraId="786BA142" w14:textId="77777777" w:rsidR="009E0C25" w:rsidRPr="0079736E" w:rsidRDefault="009E0C25" w:rsidP="002A2771">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5416667F" w14:textId="77777777" w:rsidR="009E0C25" w:rsidRPr="0079736E" w:rsidRDefault="009E0C25" w:rsidP="002A2771">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7A670A59" w14:textId="77777777" w:rsidR="009E0C25" w:rsidRPr="0079736E" w:rsidRDefault="009E0C25" w:rsidP="002A2771">
            <w:pPr>
              <w:suppressLineNumbers/>
              <w:contextualSpacing/>
              <w:jc w:val="right"/>
              <w:rPr>
                <w:rFonts w:ascii="Times New Roman" w:eastAsia="Times New Roman" w:hAnsi="Times New Roman" w:cs="Times New Roman"/>
                <w:spacing w:val="-3"/>
                <w:sz w:val="18"/>
                <w:szCs w:val="18"/>
                <w:u w:val="single"/>
              </w:rPr>
            </w:pPr>
            <w:r w:rsidRPr="0079736E">
              <w:rPr>
                <w:rFonts w:ascii="Times New Roman" w:eastAsia="Arial" w:hAnsi="Times New Roman" w:cs="Times New Roman"/>
                <w:color w:val="000000" w:themeColor="text1"/>
                <w:sz w:val="18"/>
                <w:szCs w:val="18"/>
              </w:rPr>
              <w:t xml:space="preserve">Allie Stofer, </w:t>
            </w:r>
            <w:r w:rsidRPr="0079736E">
              <w:rPr>
                <w:rFonts w:ascii="Times New Roman" w:eastAsia="Arial" w:hAnsi="Times New Roman" w:cs="Times New Roman"/>
                <w:i/>
                <w:color w:val="000000" w:themeColor="text1"/>
                <w:sz w:val="18"/>
                <w:szCs w:val="18"/>
              </w:rPr>
              <w:t>Financial Analyst</w:t>
            </w:r>
          </w:p>
        </w:tc>
      </w:tr>
    </w:tbl>
    <w:p w14:paraId="7E2A23D3" w14:textId="77777777" w:rsidR="009E0C25" w:rsidRPr="0079736E" w:rsidRDefault="009E0C25" w:rsidP="009E0C25">
      <w:pPr>
        <w:contextualSpacing/>
        <w:jc w:val="center"/>
        <w:rPr>
          <w:rFonts w:ascii="Times New Roman" w:hAnsi="Times New Roman" w:cs="Times New Roman"/>
        </w:rPr>
      </w:pPr>
    </w:p>
    <w:p w14:paraId="31AD4299" w14:textId="77777777" w:rsidR="009E0C25" w:rsidRPr="0079736E" w:rsidRDefault="009E0C25" w:rsidP="009E0C25">
      <w:pPr>
        <w:contextualSpacing/>
        <w:jc w:val="center"/>
        <w:rPr>
          <w:rFonts w:ascii="Times New Roman" w:hAnsi="Times New Roman" w:cs="Times New Roman"/>
        </w:rPr>
      </w:pPr>
    </w:p>
    <w:p w14:paraId="5EE0C59E" w14:textId="77777777" w:rsidR="009E0C25" w:rsidRPr="0079736E" w:rsidRDefault="009E0C25" w:rsidP="009E0C25">
      <w:pPr>
        <w:contextualSpacing/>
        <w:jc w:val="center"/>
        <w:rPr>
          <w:rFonts w:ascii="Times New Roman" w:hAnsi="Times New Roman" w:cs="Times New Roman"/>
        </w:rPr>
      </w:pPr>
    </w:p>
    <w:p w14:paraId="700A16A9" w14:textId="77777777" w:rsidR="009E0C25" w:rsidRPr="0079736E" w:rsidRDefault="009E0C25" w:rsidP="009E0C25">
      <w:pPr>
        <w:suppressLineNumbers/>
        <w:spacing w:after="0" w:line="240" w:lineRule="auto"/>
        <w:contextualSpacing/>
        <w:jc w:val="right"/>
        <w:rPr>
          <w:rFonts w:ascii="Times New Roman" w:eastAsia="Times New Roman" w:hAnsi="Times New Roman" w:cs="Times New Roman"/>
          <w:sz w:val="24"/>
          <w:szCs w:val="24"/>
        </w:rPr>
      </w:pPr>
    </w:p>
    <w:p w14:paraId="4E14508C" w14:textId="77777777" w:rsidR="009E0C25" w:rsidRPr="0079736E" w:rsidRDefault="009E0C25" w:rsidP="009E0C25">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7D3E2700" wp14:editId="546B28E1">
            <wp:extent cx="1508760" cy="1627632"/>
            <wp:effectExtent l="0" t="0" r="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7C62EE23"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7A56A867"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698762A3"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09E004B9"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7221EA32"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1A227AD3" w14:textId="77777777" w:rsidR="009E0C25" w:rsidRPr="00C71645"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37CEB177"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0F7B00A5"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i/>
          <w:iCs/>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7CD46852" w14:textId="77777777" w:rsidR="009E0C25" w:rsidRPr="0079736E" w:rsidRDefault="009E0C25" w:rsidP="009E0C25">
      <w:pPr>
        <w:keepNext/>
        <w:suppressLineNumbers/>
        <w:spacing w:after="0" w:line="240" w:lineRule="auto"/>
        <w:contextualSpacing/>
        <w:outlineLvl w:val="4"/>
        <w:rPr>
          <w:rFonts w:ascii="Times New Roman" w:eastAsia="Times New Roman" w:hAnsi="Times New Roman" w:cs="Times New Roman"/>
          <w:b/>
          <w:sz w:val="24"/>
          <w:szCs w:val="24"/>
        </w:rPr>
      </w:pPr>
    </w:p>
    <w:p w14:paraId="7BB2FC55" w14:textId="77777777" w:rsidR="009E0C25" w:rsidRPr="0079736E" w:rsidRDefault="009E0C25" w:rsidP="009E0C25">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sidRPr="0079736E">
        <w:rPr>
          <w:rFonts w:ascii="Times New Roman" w:eastAsia="Times New Roman" w:hAnsi="Times New Roman" w:cs="Times New Roman"/>
          <w:b/>
          <w:smallCaps/>
          <w:sz w:val="24"/>
          <w:szCs w:val="24"/>
        </w:rPr>
        <w:t>Committee on Women and Gender Equity</w:t>
      </w:r>
    </w:p>
    <w:p w14:paraId="1C87547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Hon. Farah Louis, Chair</w:t>
      </w:r>
    </w:p>
    <w:p w14:paraId="0EC068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067E2E9E" w14:textId="3AD7C67D"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November </w:t>
      </w:r>
      <w:r w:rsidR="00F0363E">
        <w:rPr>
          <w:rFonts w:ascii="Times New Roman" w:eastAsia="Times New Roman" w:hAnsi="Times New Roman" w:cs="Times New Roman"/>
          <w:sz w:val="24"/>
          <w:szCs w:val="24"/>
        </w:rPr>
        <w:t>25</w:t>
      </w:r>
      <w:r>
        <w:rPr>
          <w:rFonts w:ascii="Times New Roman" w:eastAsia="Times New Roman" w:hAnsi="Times New Roman" w:cs="Times New Roman"/>
          <w:sz w:val="24"/>
          <w:szCs w:val="24"/>
        </w:rPr>
        <w:t>, 2025</w:t>
      </w:r>
    </w:p>
    <w:p w14:paraId="31CF19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1A9C21"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24E49A9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0B95C1" w14:textId="3CF0A05F" w:rsidR="009E0C25" w:rsidRPr="00E15EE4" w:rsidRDefault="009E0C25" w:rsidP="009E0C25">
      <w:pPr>
        <w:ind w:left="5040" w:hanging="5040"/>
        <w:rPr>
          <w:rFonts w:ascii="Times New Roman" w:hAnsi="Times New Roman" w:cs="Times New Roman"/>
          <w:color w:val="000000"/>
          <w:sz w:val="24"/>
          <w:szCs w:val="24"/>
        </w:rPr>
      </w:pPr>
      <w:r w:rsidRPr="0079736E">
        <w:rPr>
          <w:rFonts w:ascii="Times New Roman" w:eastAsia="Times New Roman" w:hAnsi="Times New Roman" w:cs="Times New Roman"/>
          <w:b/>
          <w:bCs/>
          <w:smallCaps/>
          <w:sz w:val="24"/>
          <w:szCs w:val="24"/>
          <w:u w:val="single"/>
        </w:rPr>
        <w:t>Introduction No.</w:t>
      </w:r>
      <w:r>
        <w:rPr>
          <w:rFonts w:ascii="Times New Roman" w:eastAsia="Times New Roman" w:hAnsi="Times New Roman" w:cs="Times New Roman"/>
          <w:b/>
          <w:bCs/>
          <w:smallCaps/>
          <w:sz w:val="24"/>
          <w:szCs w:val="24"/>
          <w:u w:val="single"/>
        </w:rPr>
        <w:t xml:space="preserve"> 1297</w:t>
      </w:r>
      <w:r w:rsidR="00F75A63">
        <w:rPr>
          <w:rFonts w:ascii="Times New Roman" w:eastAsia="Times New Roman" w:hAnsi="Times New Roman" w:cs="Times New Roman"/>
          <w:b/>
          <w:bCs/>
          <w:smallCaps/>
          <w:sz w:val="24"/>
          <w:szCs w:val="24"/>
          <w:u w:val="single"/>
        </w:rPr>
        <w:t>-A</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 xml:space="preserve"> </w:t>
      </w:r>
      <w:r w:rsidRPr="0079736E">
        <w:rPr>
          <w:rFonts w:ascii="Times New Roman" w:hAnsi="Times New Roman" w:cs="Times New Roman"/>
          <w:bCs/>
          <w:snapToGrid w:val="0"/>
          <w:spacing w:val="-3"/>
          <w:sz w:val="24"/>
          <w:szCs w:val="24"/>
        </w:rPr>
        <w:tab/>
      </w:r>
      <w:r w:rsidRPr="00EB3D32">
        <w:rPr>
          <w:rFonts w:ascii="Times New Roman" w:hAnsi="Times New Roman" w:cs="Times New Roman"/>
          <w:snapToGrid w:val="0"/>
          <w:spacing w:val="-3"/>
          <w:sz w:val="24"/>
          <w:szCs w:val="24"/>
        </w:rPr>
        <w:t>By Council</w:t>
      </w:r>
      <w:r>
        <w:rPr>
          <w:rFonts w:ascii="Times New Roman" w:hAnsi="Times New Roman" w:cs="Times New Roman"/>
          <w:snapToGrid w:val="0"/>
          <w:spacing w:val="-3"/>
          <w:sz w:val="24"/>
          <w:szCs w:val="24"/>
        </w:rPr>
        <w:t xml:space="preserve"> Members Brooks-Powers, Louis, Hanif, Banks, Restler, Brewer, Stevens, Avilés, Joseph, De La Rosa, Sanchez, Krishnan, Abreu, Farías, Hudson, Powers, Cabán, Nurse, Schulman, Hanks, Brannan, Riley, Gutiérrez, Moya, Ayala, Marte, Won, Narcisse, Salaam, Lee, Bottcher, Ung, Ossé, Williams, Menin, Gennaro, Feliz, Salamanca, Dinowitz, Holden, </w:t>
      </w:r>
      <w:r w:rsidRPr="009E0658">
        <w:rPr>
          <w:rFonts w:ascii="Times New Roman" w:hAnsi="Times New Roman" w:cs="Times New Roman"/>
          <w:snapToGrid w:val="0"/>
          <w:spacing w:val="-3"/>
          <w:sz w:val="24"/>
          <w:szCs w:val="24"/>
        </w:rPr>
        <w:t>and Public Advocate Jumaane Williams</w:t>
      </w:r>
    </w:p>
    <w:p w14:paraId="647CF377" w14:textId="2739AD31" w:rsidR="009E0C25" w:rsidRDefault="009E0C25"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Pr="0079736E">
        <w:rPr>
          <w:rFonts w:ascii="Times New Roman" w:hAnsi="Times New Roman" w:cs="Times New Roman"/>
          <w:snapToGrid w:val="0"/>
          <w:spacing w:val="-3"/>
          <w:sz w:val="24"/>
          <w:szCs w:val="24"/>
        </w:rPr>
        <w:t xml:space="preserve">A </w:t>
      </w:r>
      <w:r w:rsidRPr="009E0C25">
        <w:rPr>
          <w:rFonts w:ascii="Times New Roman" w:hAnsi="Times New Roman" w:cs="Times New Roman"/>
          <w:snapToGrid w:val="0"/>
          <w:spacing w:val="-3"/>
          <w:sz w:val="24"/>
          <w:szCs w:val="24"/>
        </w:rPr>
        <w:t xml:space="preserve">Local Law to amend the administrative code of the city of New York, </w:t>
      </w:r>
      <w:r w:rsidR="5922B9A1" w:rsidRPr="099D45F9">
        <w:rPr>
          <w:rFonts w:ascii="Times New Roman" w:hAnsi="Times New Roman" w:cs="Times New Roman"/>
          <w:sz w:val="24"/>
          <w:szCs w:val="24"/>
        </w:rPr>
        <w:t>in relation to the gender-motivated violence protection law</w:t>
      </w:r>
    </w:p>
    <w:p w14:paraId="094FD78B" w14:textId="3F9AB4C5" w:rsidR="099D45F9" w:rsidRDefault="099D45F9" w:rsidP="099D45F9">
      <w:pPr>
        <w:widowControl w:val="0"/>
        <w:suppressLineNumbers/>
        <w:spacing w:line="240" w:lineRule="auto"/>
        <w:ind w:left="5040" w:hanging="5040"/>
        <w:contextualSpacing/>
        <w:rPr>
          <w:rFonts w:ascii="Times New Roman" w:hAnsi="Times New Roman" w:cs="Times New Roman"/>
          <w:sz w:val="24"/>
          <w:szCs w:val="24"/>
        </w:rPr>
      </w:pPr>
    </w:p>
    <w:p w14:paraId="50C7A328" w14:textId="76454196" w:rsidR="00F0363E" w:rsidRPr="009E0658" w:rsidRDefault="00F0363E" w:rsidP="00F0363E">
      <w:pPr>
        <w:ind w:left="5040" w:hanging="5040"/>
        <w:rPr>
          <w:rFonts w:ascii="Times New Roman" w:hAnsi="Times New Roman" w:cs="Times New Roman"/>
          <w:color w:val="000000"/>
          <w:sz w:val="24"/>
          <w:szCs w:val="24"/>
        </w:rPr>
      </w:pPr>
      <w:r w:rsidRPr="0079736E">
        <w:rPr>
          <w:rFonts w:ascii="Times New Roman" w:eastAsia="Times New Roman" w:hAnsi="Times New Roman" w:cs="Times New Roman"/>
          <w:b/>
          <w:bCs/>
          <w:smallCaps/>
          <w:sz w:val="24"/>
          <w:szCs w:val="24"/>
          <w:u w:val="single"/>
        </w:rPr>
        <w:lastRenderedPageBreak/>
        <w:t>Introduction No.</w:t>
      </w:r>
      <w:r>
        <w:rPr>
          <w:rFonts w:ascii="Times New Roman" w:eastAsia="Times New Roman" w:hAnsi="Times New Roman" w:cs="Times New Roman"/>
          <w:b/>
          <w:bCs/>
          <w:smallCaps/>
          <w:sz w:val="24"/>
          <w:szCs w:val="24"/>
          <w:u w:val="single"/>
        </w:rPr>
        <w:t xml:space="preserve"> 691</w:t>
      </w:r>
      <w:r w:rsidR="00213391">
        <w:rPr>
          <w:rFonts w:ascii="Times New Roman" w:eastAsia="Times New Roman" w:hAnsi="Times New Roman" w:cs="Times New Roman"/>
          <w:b/>
          <w:bCs/>
          <w:smallCaps/>
          <w:sz w:val="24"/>
          <w:szCs w:val="24"/>
          <w:u w:val="single"/>
        </w:rPr>
        <w:t>-A</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 xml:space="preserve"> </w:t>
      </w:r>
      <w:r w:rsidRPr="0079736E">
        <w:rPr>
          <w:rFonts w:ascii="Times New Roman" w:hAnsi="Times New Roman" w:cs="Times New Roman"/>
          <w:bCs/>
          <w:snapToGrid w:val="0"/>
          <w:spacing w:val="-3"/>
          <w:sz w:val="24"/>
          <w:szCs w:val="24"/>
        </w:rPr>
        <w:tab/>
      </w:r>
      <w:r w:rsidRPr="00EB3D32">
        <w:rPr>
          <w:rFonts w:ascii="Times New Roman" w:hAnsi="Times New Roman" w:cs="Times New Roman"/>
          <w:snapToGrid w:val="0"/>
          <w:spacing w:val="-3"/>
          <w:sz w:val="24"/>
          <w:szCs w:val="24"/>
        </w:rPr>
        <w:t>By Council</w:t>
      </w:r>
      <w:r>
        <w:rPr>
          <w:rFonts w:ascii="Times New Roman" w:hAnsi="Times New Roman" w:cs="Times New Roman"/>
          <w:snapToGrid w:val="0"/>
          <w:spacing w:val="-3"/>
          <w:sz w:val="24"/>
          <w:szCs w:val="24"/>
        </w:rPr>
        <w:t xml:space="preserve"> Members Louis, Stevens, Salaam, Ossé, Gennaro, Hanks, Feliz</w:t>
      </w:r>
      <w:r w:rsidRPr="009E0658">
        <w:rPr>
          <w:rFonts w:ascii="Times New Roman" w:hAnsi="Times New Roman" w:cs="Times New Roman"/>
          <w:snapToGrid w:val="0"/>
          <w:spacing w:val="-3"/>
          <w:sz w:val="24"/>
          <w:szCs w:val="24"/>
        </w:rPr>
        <w:t xml:space="preserve">, Brooks-Powers, Marte, Gutiérrez, Narcisse, Farías, Riley, Cabán, Avilés, De La Rosa and Nurse </w:t>
      </w:r>
    </w:p>
    <w:p w14:paraId="15CB0808" w14:textId="048B6968" w:rsidR="00F0363E" w:rsidRDefault="00F0363E"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9E0658">
        <w:rPr>
          <w:rFonts w:ascii="Times New Roman" w:eastAsia="Times New Roman" w:hAnsi="Times New Roman" w:cs="Times New Roman"/>
          <w:b/>
          <w:bCs/>
          <w:smallCaps/>
          <w:sz w:val="24"/>
          <w:szCs w:val="24"/>
          <w:u w:val="single"/>
        </w:rPr>
        <w:t>Title</w:t>
      </w:r>
      <w:r w:rsidRPr="009E0658">
        <w:rPr>
          <w:rFonts w:ascii="Times New Roman" w:hAnsi="Times New Roman" w:cs="Times New Roman"/>
          <w:b/>
          <w:bCs/>
          <w:snapToGrid w:val="0"/>
          <w:spacing w:val="-3"/>
          <w:sz w:val="24"/>
          <w:szCs w:val="24"/>
          <w:u w:val="single"/>
        </w:rPr>
        <w:t>:</w:t>
      </w:r>
      <w:r w:rsidRPr="009E0658">
        <w:rPr>
          <w:rFonts w:ascii="Times New Roman" w:hAnsi="Times New Roman" w:cs="Times New Roman"/>
          <w:bCs/>
          <w:snapToGrid w:val="0"/>
          <w:spacing w:val="-3"/>
          <w:sz w:val="24"/>
          <w:szCs w:val="24"/>
        </w:rPr>
        <w:tab/>
      </w:r>
      <w:r w:rsidRPr="009E0658">
        <w:rPr>
          <w:rFonts w:ascii="Times New Roman" w:hAnsi="Times New Roman" w:cs="Times New Roman"/>
          <w:snapToGrid w:val="0"/>
          <w:spacing w:val="-3"/>
          <w:sz w:val="24"/>
          <w:szCs w:val="24"/>
        </w:rPr>
        <w:t xml:space="preserve">A Local Law to amend the administrative code of the city of New York, </w:t>
      </w:r>
      <w:r w:rsidR="1AC24231" w:rsidRPr="009E0658">
        <w:rPr>
          <w:rFonts w:ascii="Times New Roman" w:hAnsi="Times New Roman" w:cs="Times New Roman"/>
          <w:sz w:val="24"/>
          <w:szCs w:val="24"/>
        </w:rPr>
        <w:t>in relation to annual reporting on racial a</w:t>
      </w:r>
      <w:r w:rsidR="1AC24231" w:rsidRPr="099D45F9">
        <w:rPr>
          <w:rFonts w:ascii="Times New Roman" w:hAnsi="Times New Roman" w:cs="Times New Roman"/>
          <w:sz w:val="24"/>
          <w:szCs w:val="24"/>
        </w:rPr>
        <w:t>nd gender disparities in STEM education for high school students</w:t>
      </w:r>
      <w:bookmarkStart w:id="1" w:name="_Hlk214362671"/>
    </w:p>
    <w:bookmarkEnd w:id="1"/>
    <w:p w14:paraId="0A701362" w14:textId="77777777" w:rsidR="00F0363E" w:rsidRDefault="00F0363E" w:rsidP="00F0363E">
      <w:pPr>
        <w:widowControl w:val="0"/>
        <w:suppressLineNumbers/>
        <w:tabs>
          <w:tab w:val="left" w:pos="-720"/>
        </w:tabs>
        <w:suppressAutoHyphens/>
        <w:spacing w:line="240" w:lineRule="auto"/>
        <w:ind w:left="5040" w:hanging="5040"/>
        <w:contextualSpacing/>
        <w:rPr>
          <w:rFonts w:ascii="Times New Roman" w:hAnsi="Times New Roman" w:cs="Times New Roman"/>
          <w:snapToGrid w:val="0"/>
          <w:spacing w:val="-3"/>
          <w:sz w:val="24"/>
          <w:szCs w:val="24"/>
        </w:rPr>
      </w:pPr>
    </w:p>
    <w:p w14:paraId="0C7C942D" w14:textId="59F218F8" w:rsidR="00F0363E" w:rsidRPr="009E0658" w:rsidRDefault="00F0363E" w:rsidP="00F0363E">
      <w:pPr>
        <w:ind w:left="5040" w:hanging="5040"/>
        <w:rPr>
          <w:rFonts w:ascii="Times New Roman" w:hAnsi="Times New Roman" w:cs="Times New Roman"/>
          <w:color w:val="000000"/>
          <w:sz w:val="24"/>
          <w:szCs w:val="24"/>
        </w:rPr>
      </w:pPr>
      <w:r w:rsidRPr="0079736E">
        <w:rPr>
          <w:rFonts w:ascii="Times New Roman" w:eastAsia="Times New Roman" w:hAnsi="Times New Roman" w:cs="Times New Roman"/>
          <w:b/>
          <w:bCs/>
          <w:smallCaps/>
          <w:sz w:val="24"/>
          <w:szCs w:val="24"/>
          <w:u w:val="single"/>
        </w:rPr>
        <w:t>Introduction No.</w:t>
      </w:r>
      <w:r>
        <w:rPr>
          <w:rFonts w:ascii="Times New Roman" w:eastAsia="Times New Roman" w:hAnsi="Times New Roman" w:cs="Times New Roman"/>
          <w:b/>
          <w:bCs/>
          <w:smallCaps/>
          <w:sz w:val="24"/>
          <w:szCs w:val="24"/>
          <w:u w:val="single"/>
        </w:rPr>
        <w:t xml:space="preserve"> 1216</w:t>
      </w:r>
      <w:r w:rsidR="003D1753">
        <w:rPr>
          <w:rFonts w:ascii="Times New Roman" w:eastAsia="Times New Roman" w:hAnsi="Times New Roman" w:cs="Times New Roman"/>
          <w:b/>
          <w:bCs/>
          <w:smallCaps/>
          <w:sz w:val="24"/>
          <w:szCs w:val="24"/>
          <w:u w:val="single"/>
        </w:rPr>
        <w:t>-A</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 xml:space="preserve"> </w:t>
      </w:r>
      <w:r w:rsidRPr="0079736E">
        <w:rPr>
          <w:rFonts w:ascii="Times New Roman" w:hAnsi="Times New Roman" w:cs="Times New Roman"/>
          <w:bCs/>
          <w:snapToGrid w:val="0"/>
          <w:spacing w:val="-3"/>
          <w:sz w:val="24"/>
          <w:szCs w:val="24"/>
        </w:rPr>
        <w:tab/>
      </w:r>
      <w:r w:rsidRPr="00EB3D32">
        <w:rPr>
          <w:rFonts w:ascii="Times New Roman" w:hAnsi="Times New Roman" w:cs="Times New Roman"/>
          <w:snapToGrid w:val="0"/>
          <w:spacing w:val="-3"/>
          <w:sz w:val="24"/>
          <w:szCs w:val="24"/>
        </w:rPr>
        <w:t>By Council</w:t>
      </w:r>
      <w:r>
        <w:rPr>
          <w:rFonts w:ascii="Times New Roman" w:hAnsi="Times New Roman" w:cs="Times New Roman"/>
          <w:snapToGrid w:val="0"/>
          <w:spacing w:val="-3"/>
          <w:sz w:val="24"/>
          <w:szCs w:val="24"/>
        </w:rPr>
        <w:t xml:space="preserve"> Members Lee, Hanif, Narcisse, Cabán, Banks, Ossé, Nurse, Krishnan, Restler, Won</w:t>
      </w:r>
      <w:r w:rsidRPr="009E0658">
        <w:rPr>
          <w:rFonts w:ascii="Times New Roman" w:hAnsi="Times New Roman" w:cs="Times New Roman"/>
          <w:snapToGrid w:val="0"/>
          <w:spacing w:val="-3"/>
          <w:sz w:val="24"/>
          <w:szCs w:val="24"/>
        </w:rPr>
        <w:t>, Brewer, Joseph, Brooks-Powers, Menin, Williams, Brannan, Avilés, Hanks, Louis, Salamanca, Ung, Farías, Moya, Gennaro, Hudson and Gutiérrez, and Public Advocate Jumaane Williams</w:t>
      </w:r>
    </w:p>
    <w:p w14:paraId="3BCDF97D" w14:textId="0DEFAB38" w:rsidR="00F0363E" w:rsidRPr="009E0658" w:rsidRDefault="00F0363E"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9E0658">
        <w:rPr>
          <w:rFonts w:ascii="Times New Roman" w:eastAsia="Times New Roman" w:hAnsi="Times New Roman" w:cs="Times New Roman"/>
          <w:b/>
          <w:bCs/>
          <w:smallCaps/>
          <w:sz w:val="24"/>
          <w:szCs w:val="24"/>
          <w:u w:val="single"/>
        </w:rPr>
        <w:t>Title</w:t>
      </w:r>
      <w:r w:rsidRPr="009E0658">
        <w:rPr>
          <w:rFonts w:ascii="Times New Roman" w:hAnsi="Times New Roman" w:cs="Times New Roman"/>
          <w:b/>
          <w:bCs/>
          <w:snapToGrid w:val="0"/>
          <w:spacing w:val="-3"/>
          <w:sz w:val="24"/>
          <w:szCs w:val="24"/>
          <w:u w:val="single"/>
        </w:rPr>
        <w:t>:</w:t>
      </w:r>
      <w:r w:rsidRPr="009E0658">
        <w:rPr>
          <w:rFonts w:ascii="Times New Roman" w:hAnsi="Times New Roman" w:cs="Times New Roman"/>
          <w:bCs/>
          <w:snapToGrid w:val="0"/>
          <w:spacing w:val="-3"/>
          <w:sz w:val="24"/>
          <w:szCs w:val="24"/>
        </w:rPr>
        <w:tab/>
      </w:r>
      <w:r w:rsidRPr="009E0658">
        <w:rPr>
          <w:rFonts w:ascii="Times New Roman" w:hAnsi="Times New Roman" w:cs="Times New Roman"/>
          <w:snapToGrid w:val="0"/>
          <w:spacing w:val="-3"/>
          <w:sz w:val="24"/>
          <w:szCs w:val="24"/>
        </w:rPr>
        <w:t xml:space="preserve">A Local Law to amend the administrative code of the city of New York, </w:t>
      </w:r>
      <w:r w:rsidR="1FDA7ACA" w:rsidRPr="009E0658">
        <w:rPr>
          <w:rFonts w:ascii="Times New Roman" w:hAnsi="Times New Roman" w:cs="Times New Roman"/>
          <w:sz w:val="24"/>
          <w:szCs w:val="24"/>
        </w:rPr>
        <w:t>in relation to cosmetology establishments displaying resources regarding gender-based violence</w:t>
      </w:r>
      <w:bookmarkStart w:id="2" w:name="_Hlk214362771"/>
    </w:p>
    <w:p w14:paraId="7A277847" w14:textId="77777777" w:rsidR="00F0363E" w:rsidRPr="009E0658" w:rsidRDefault="00F0363E" w:rsidP="00F0363E">
      <w:pPr>
        <w:widowControl w:val="0"/>
        <w:suppressLineNumbers/>
        <w:tabs>
          <w:tab w:val="left" w:pos="-720"/>
        </w:tabs>
        <w:suppressAutoHyphens/>
        <w:spacing w:line="240" w:lineRule="auto"/>
        <w:ind w:left="5040" w:hanging="5040"/>
        <w:contextualSpacing/>
        <w:rPr>
          <w:rFonts w:ascii="Times New Roman" w:hAnsi="Times New Roman" w:cs="Times New Roman"/>
          <w:snapToGrid w:val="0"/>
          <w:spacing w:val="-3"/>
          <w:sz w:val="24"/>
          <w:szCs w:val="24"/>
        </w:rPr>
      </w:pPr>
    </w:p>
    <w:bookmarkEnd w:id="2"/>
    <w:p w14:paraId="4420161F" w14:textId="59EEA5AF" w:rsidR="00F0363E" w:rsidRPr="009E0658" w:rsidRDefault="00F0363E" w:rsidP="00F0363E">
      <w:pPr>
        <w:ind w:left="5040" w:hanging="5040"/>
        <w:rPr>
          <w:rFonts w:ascii="Times New Roman" w:hAnsi="Times New Roman" w:cs="Times New Roman"/>
          <w:color w:val="000000"/>
          <w:sz w:val="24"/>
          <w:szCs w:val="24"/>
        </w:rPr>
      </w:pPr>
      <w:r w:rsidRPr="009E0658">
        <w:rPr>
          <w:rFonts w:ascii="Times New Roman" w:eastAsia="Times New Roman" w:hAnsi="Times New Roman" w:cs="Times New Roman"/>
          <w:b/>
          <w:bCs/>
          <w:smallCaps/>
          <w:sz w:val="24"/>
          <w:szCs w:val="24"/>
          <w:u w:val="single"/>
        </w:rPr>
        <w:t>Resolution No. 889</w:t>
      </w:r>
      <w:r w:rsidRPr="009E0658">
        <w:rPr>
          <w:rFonts w:ascii="Times New Roman" w:hAnsi="Times New Roman" w:cs="Times New Roman"/>
          <w:b/>
          <w:bCs/>
          <w:snapToGrid w:val="0"/>
          <w:spacing w:val="-3"/>
          <w:sz w:val="24"/>
          <w:szCs w:val="24"/>
          <w:u w:val="single"/>
        </w:rPr>
        <w:t>:</w:t>
      </w:r>
      <w:r w:rsidRPr="009E0658">
        <w:rPr>
          <w:rFonts w:ascii="Times New Roman" w:hAnsi="Times New Roman" w:cs="Times New Roman"/>
          <w:bCs/>
          <w:snapToGrid w:val="0"/>
          <w:spacing w:val="-3"/>
          <w:sz w:val="24"/>
          <w:szCs w:val="24"/>
        </w:rPr>
        <w:t xml:space="preserve"> </w:t>
      </w:r>
      <w:r w:rsidRPr="009E0658">
        <w:rPr>
          <w:rFonts w:ascii="Times New Roman" w:hAnsi="Times New Roman" w:cs="Times New Roman"/>
          <w:bCs/>
          <w:snapToGrid w:val="0"/>
          <w:spacing w:val="-3"/>
          <w:sz w:val="24"/>
          <w:szCs w:val="24"/>
        </w:rPr>
        <w:tab/>
      </w:r>
      <w:r w:rsidRPr="009E0658">
        <w:rPr>
          <w:rFonts w:ascii="Times New Roman" w:hAnsi="Times New Roman" w:cs="Times New Roman"/>
          <w:snapToGrid w:val="0"/>
          <w:spacing w:val="-3"/>
          <w:sz w:val="24"/>
          <w:szCs w:val="24"/>
        </w:rPr>
        <w:t>By Council Members Menin, De La Rosa, Restler, Hanif, Louis, Banks, Brewer, Joseph and Farías, and Public Advocate Jumaane Williams</w:t>
      </w:r>
    </w:p>
    <w:p w14:paraId="02CB1638" w14:textId="46993824" w:rsidR="00F0363E" w:rsidRDefault="00F0363E" w:rsidP="00F0363E">
      <w:pPr>
        <w:widowControl w:val="0"/>
        <w:suppressLineNumbers/>
        <w:tabs>
          <w:tab w:val="left" w:pos="-720"/>
        </w:tabs>
        <w:suppressAutoHyphens/>
        <w:spacing w:line="240" w:lineRule="auto"/>
        <w:ind w:left="5040" w:hanging="5040"/>
        <w:contextualSpacing/>
        <w:rPr>
          <w:rFonts w:ascii="Times New Roman" w:hAnsi="Times New Roman" w:cs="Times New Roman"/>
          <w:snapToGrid w:val="0"/>
          <w:spacing w:val="-3"/>
          <w:sz w:val="24"/>
          <w:szCs w:val="24"/>
        </w:rPr>
      </w:pPr>
      <w:r w:rsidRPr="009E0658">
        <w:rPr>
          <w:rFonts w:ascii="Times New Roman" w:eastAsia="Times New Roman" w:hAnsi="Times New Roman" w:cs="Times New Roman"/>
          <w:b/>
          <w:bCs/>
          <w:smallCaps/>
          <w:sz w:val="24"/>
          <w:szCs w:val="24"/>
          <w:u w:val="single"/>
        </w:rPr>
        <w:t>Title</w:t>
      </w:r>
      <w:r w:rsidRPr="009E0658">
        <w:rPr>
          <w:rFonts w:ascii="Times New Roman" w:hAnsi="Times New Roman" w:cs="Times New Roman"/>
          <w:b/>
          <w:bCs/>
          <w:snapToGrid w:val="0"/>
          <w:spacing w:val="-3"/>
          <w:sz w:val="24"/>
          <w:szCs w:val="24"/>
          <w:u w:val="single"/>
        </w:rPr>
        <w:t>:</w:t>
      </w:r>
      <w:r w:rsidRPr="009E0658">
        <w:rPr>
          <w:rFonts w:ascii="Times New Roman" w:hAnsi="Times New Roman" w:cs="Times New Roman"/>
          <w:bCs/>
          <w:snapToGrid w:val="0"/>
          <w:spacing w:val="-3"/>
          <w:sz w:val="24"/>
          <w:szCs w:val="24"/>
        </w:rPr>
        <w:tab/>
      </w:r>
      <w:r w:rsidRPr="009E0658">
        <w:rPr>
          <w:rFonts w:ascii="Times New Roman" w:hAnsi="Times New Roman" w:cs="Times New Roman"/>
          <w:snapToGrid w:val="0"/>
          <w:spacing w:val="-3"/>
          <w:sz w:val="24"/>
          <w:szCs w:val="24"/>
        </w:rPr>
        <w:t xml:space="preserve">Resolution </w:t>
      </w:r>
      <w:bookmarkStart w:id="3" w:name="_Hlk214362858"/>
      <w:r w:rsidRPr="009E0658">
        <w:rPr>
          <w:rFonts w:ascii="Times New Roman" w:hAnsi="Times New Roman" w:cs="Times New Roman"/>
          <w:snapToGrid w:val="0"/>
          <w:spacing w:val="-3"/>
          <w:sz w:val="24"/>
          <w:szCs w:val="24"/>
        </w:rPr>
        <w:t>declaring</w:t>
      </w:r>
      <w:r w:rsidRPr="00F0363E">
        <w:rPr>
          <w:rFonts w:ascii="Times New Roman" w:hAnsi="Times New Roman" w:cs="Times New Roman"/>
          <w:snapToGrid w:val="0"/>
          <w:spacing w:val="-3"/>
          <w:sz w:val="24"/>
          <w:szCs w:val="24"/>
        </w:rPr>
        <w:t xml:space="preserve"> New York City's commitment to affirm and defend continued access for reproductive rights</w:t>
      </w:r>
      <w:bookmarkEnd w:id="3"/>
    </w:p>
    <w:p w14:paraId="21F9F018" w14:textId="77777777" w:rsidR="00F0363E" w:rsidRDefault="00F0363E" w:rsidP="00F0363E">
      <w:pPr>
        <w:widowControl w:val="0"/>
        <w:suppressLineNumbers/>
        <w:tabs>
          <w:tab w:val="left" w:pos="-720"/>
        </w:tabs>
        <w:suppressAutoHyphens/>
        <w:spacing w:line="240" w:lineRule="auto"/>
        <w:ind w:left="5040" w:hanging="5040"/>
        <w:contextualSpacing/>
        <w:rPr>
          <w:rFonts w:ascii="Times New Roman" w:hAnsi="Times New Roman" w:cs="Times New Roman"/>
          <w:snapToGrid w:val="0"/>
          <w:spacing w:val="-3"/>
          <w:sz w:val="24"/>
          <w:szCs w:val="24"/>
        </w:rPr>
      </w:pPr>
    </w:p>
    <w:p w14:paraId="618BF1C9" w14:textId="77777777" w:rsidR="00F0363E" w:rsidRDefault="00F0363E" w:rsidP="009E0C25">
      <w:pPr>
        <w:widowControl w:val="0"/>
        <w:suppressLineNumbers/>
        <w:tabs>
          <w:tab w:val="left" w:pos="-720"/>
        </w:tabs>
        <w:suppressAutoHyphens/>
        <w:spacing w:line="240" w:lineRule="auto"/>
        <w:ind w:left="5040" w:hanging="5040"/>
        <w:contextualSpacing/>
        <w:rPr>
          <w:rFonts w:ascii="Times New Roman" w:hAnsi="Times New Roman" w:cs="Times New Roman"/>
          <w:snapToGrid w:val="0"/>
          <w:spacing w:val="-3"/>
          <w:sz w:val="24"/>
          <w:szCs w:val="24"/>
        </w:rPr>
      </w:pPr>
    </w:p>
    <w:p w14:paraId="52250BC9" w14:textId="77777777" w:rsidR="009E0C25" w:rsidRPr="0079736E" w:rsidRDefault="009E0C25" w:rsidP="009E0C25">
      <w:pPr>
        <w:pStyle w:val="ListParagraph"/>
        <w:numPr>
          <w:ilvl w:val="0"/>
          <w:numId w:val="1"/>
        </w:numPr>
        <w:spacing w:after="0" w:line="480" w:lineRule="auto"/>
        <w:jc w:val="both"/>
        <w:rPr>
          <w:rFonts w:ascii="Times New Roman" w:hAnsi="Times New Roman" w:cs="Times New Roman"/>
          <w:b/>
          <w:bCs/>
          <w:smallCaps/>
          <w:sz w:val="24"/>
          <w:szCs w:val="24"/>
        </w:rPr>
      </w:pPr>
      <w:r w:rsidRPr="0079736E">
        <w:rPr>
          <w:rFonts w:ascii="Times New Roman" w:hAnsi="Times New Roman" w:cs="Times New Roman"/>
          <w:b/>
          <w:bCs/>
          <w:smallCaps/>
          <w:sz w:val="24"/>
          <w:szCs w:val="24"/>
        </w:rPr>
        <w:t>Introduction</w:t>
      </w:r>
    </w:p>
    <w:p w14:paraId="51EB3A81" w14:textId="1EFDCE50" w:rsidR="00F0363E" w:rsidRDefault="009E0C25" w:rsidP="009E0C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w:t>
      </w:r>
      <w:r w:rsidR="0052620E">
        <w:rPr>
          <w:rFonts w:ascii="Times New Roman" w:hAnsi="Times New Roman" w:cs="Times New Roman"/>
          <w:sz w:val="24"/>
          <w:szCs w:val="24"/>
        </w:rPr>
        <w:t>Tuesday</w:t>
      </w:r>
      <w:r>
        <w:rPr>
          <w:rFonts w:ascii="Times New Roman" w:hAnsi="Times New Roman" w:cs="Times New Roman"/>
          <w:sz w:val="24"/>
          <w:szCs w:val="24"/>
        </w:rPr>
        <w:t xml:space="preserve">, November </w:t>
      </w:r>
      <w:r w:rsidR="0074766E">
        <w:rPr>
          <w:rFonts w:ascii="Times New Roman" w:hAnsi="Times New Roman" w:cs="Times New Roman"/>
          <w:sz w:val="24"/>
          <w:szCs w:val="24"/>
        </w:rPr>
        <w:t xml:space="preserve">25, 2025, </w:t>
      </w:r>
      <w:r>
        <w:rPr>
          <w:rFonts w:ascii="Times New Roman" w:hAnsi="Times New Roman" w:cs="Times New Roman"/>
          <w:sz w:val="24"/>
          <w:szCs w:val="24"/>
        </w:rPr>
        <w:t xml:space="preserve">the Committee on Women and Gender Equity, chaired by Council Member Farah Louis, </w:t>
      </w:r>
      <w:r w:rsidR="000F114A">
        <w:rPr>
          <w:rFonts w:ascii="Times New Roman" w:hAnsi="Times New Roman" w:cs="Times New Roman"/>
          <w:sz w:val="24"/>
          <w:szCs w:val="24"/>
        </w:rPr>
        <w:t>held a vote on</w:t>
      </w:r>
      <w:r>
        <w:rPr>
          <w:rFonts w:ascii="Times New Roman" w:hAnsi="Times New Roman" w:cs="Times New Roman"/>
          <w:sz w:val="24"/>
          <w:szCs w:val="24"/>
        </w:rPr>
        <w:t xml:space="preserve"> </w:t>
      </w:r>
      <w:r w:rsidR="00F0363E">
        <w:rPr>
          <w:rFonts w:ascii="Times New Roman" w:hAnsi="Times New Roman" w:cs="Times New Roman"/>
          <w:sz w:val="24"/>
          <w:szCs w:val="24"/>
        </w:rPr>
        <w:t xml:space="preserve">the following legislation: </w:t>
      </w:r>
    </w:p>
    <w:p w14:paraId="68A33B05" w14:textId="09E09740" w:rsidR="009E0C25" w:rsidRDefault="009E0C25" w:rsidP="00F0363E">
      <w:pPr>
        <w:pStyle w:val="ListParagraph"/>
        <w:numPr>
          <w:ilvl w:val="0"/>
          <w:numId w:val="3"/>
        </w:numPr>
        <w:spacing w:line="480" w:lineRule="auto"/>
        <w:rPr>
          <w:rFonts w:ascii="Times New Roman" w:hAnsi="Times New Roman" w:cs="Times New Roman"/>
          <w:sz w:val="24"/>
          <w:szCs w:val="24"/>
        </w:rPr>
      </w:pPr>
      <w:r w:rsidRPr="099D45F9">
        <w:rPr>
          <w:rFonts w:ascii="Times New Roman" w:hAnsi="Times New Roman" w:cs="Times New Roman"/>
          <w:sz w:val="24"/>
          <w:szCs w:val="24"/>
        </w:rPr>
        <w:t>Introduction Number (“Int. No.”) 1297</w:t>
      </w:r>
      <w:r w:rsidR="00F75A63" w:rsidRPr="099D45F9">
        <w:rPr>
          <w:rFonts w:ascii="Times New Roman" w:hAnsi="Times New Roman" w:cs="Times New Roman"/>
          <w:sz w:val="24"/>
          <w:szCs w:val="24"/>
        </w:rPr>
        <w:t>-A</w:t>
      </w:r>
      <w:r w:rsidRPr="099D45F9">
        <w:rPr>
          <w:rFonts w:ascii="Times New Roman" w:hAnsi="Times New Roman" w:cs="Times New Roman"/>
          <w:sz w:val="24"/>
          <w:szCs w:val="24"/>
        </w:rPr>
        <w:t xml:space="preserve">, sponsored by Council Member Brooks-Powers, </w:t>
      </w:r>
      <w:r w:rsidR="19F9D9DB" w:rsidRPr="099D45F9">
        <w:rPr>
          <w:rFonts w:ascii="Times New Roman" w:hAnsi="Times New Roman" w:cs="Times New Roman"/>
          <w:sz w:val="24"/>
          <w:szCs w:val="24"/>
        </w:rPr>
        <w:t>relating</w:t>
      </w:r>
      <w:r w:rsidR="154766E6" w:rsidRPr="099D45F9">
        <w:rPr>
          <w:rFonts w:ascii="Times New Roman" w:hAnsi="Times New Roman" w:cs="Times New Roman"/>
          <w:sz w:val="24"/>
          <w:szCs w:val="24"/>
        </w:rPr>
        <w:t xml:space="preserve"> to the gender-motivated violence protection law</w:t>
      </w:r>
      <w:r w:rsidR="00BC1041" w:rsidRPr="099D45F9">
        <w:rPr>
          <w:rFonts w:ascii="Times New Roman" w:hAnsi="Times New Roman" w:cs="Times New Roman"/>
          <w:sz w:val="24"/>
          <w:szCs w:val="24"/>
        </w:rPr>
        <w:t>;</w:t>
      </w:r>
    </w:p>
    <w:p w14:paraId="08967CCB" w14:textId="081730F8" w:rsidR="00BC1041" w:rsidRDefault="00BC1041" w:rsidP="00F0363E">
      <w:pPr>
        <w:pStyle w:val="ListParagraph"/>
        <w:numPr>
          <w:ilvl w:val="0"/>
          <w:numId w:val="3"/>
        </w:numPr>
        <w:spacing w:line="480" w:lineRule="auto"/>
        <w:rPr>
          <w:rFonts w:ascii="Times New Roman" w:hAnsi="Times New Roman" w:cs="Times New Roman"/>
          <w:sz w:val="24"/>
          <w:szCs w:val="24"/>
        </w:rPr>
      </w:pPr>
      <w:r w:rsidRPr="099D45F9">
        <w:rPr>
          <w:rFonts w:ascii="Times New Roman" w:hAnsi="Times New Roman" w:cs="Times New Roman"/>
          <w:sz w:val="24"/>
          <w:szCs w:val="24"/>
        </w:rPr>
        <w:lastRenderedPageBreak/>
        <w:t>Int. No. 691</w:t>
      </w:r>
      <w:r w:rsidR="00213391" w:rsidRPr="099D45F9">
        <w:rPr>
          <w:rFonts w:ascii="Times New Roman" w:hAnsi="Times New Roman" w:cs="Times New Roman"/>
          <w:sz w:val="24"/>
          <w:szCs w:val="24"/>
        </w:rPr>
        <w:t>-A</w:t>
      </w:r>
      <w:r w:rsidRPr="099D45F9">
        <w:rPr>
          <w:rFonts w:ascii="Times New Roman" w:hAnsi="Times New Roman" w:cs="Times New Roman"/>
          <w:sz w:val="24"/>
          <w:szCs w:val="24"/>
        </w:rPr>
        <w:t xml:space="preserve">, sponsored by Council Member Louis, </w:t>
      </w:r>
      <w:r w:rsidR="7D055912" w:rsidRPr="099D45F9">
        <w:rPr>
          <w:rFonts w:ascii="Times New Roman" w:hAnsi="Times New Roman" w:cs="Times New Roman"/>
          <w:sz w:val="24"/>
          <w:szCs w:val="24"/>
        </w:rPr>
        <w:t>relating to annual reporting on racial and gender disparities in STEM education for high school students</w:t>
      </w:r>
      <w:r w:rsidRPr="099D45F9">
        <w:rPr>
          <w:rFonts w:ascii="Times New Roman" w:hAnsi="Times New Roman" w:cs="Times New Roman"/>
          <w:sz w:val="24"/>
          <w:szCs w:val="24"/>
        </w:rPr>
        <w:t>;</w:t>
      </w:r>
    </w:p>
    <w:p w14:paraId="40A664D8" w14:textId="21C0FF6B" w:rsidR="00BC1041" w:rsidRDefault="00BC1041" w:rsidP="00F0363E">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Int. No. 1216</w:t>
      </w:r>
      <w:r w:rsidR="003D1753">
        <w:rPr>
          <w:rFonts w:ascii="Times New Roman" w:hAnsi="Times New Roman" w:cs="Times New Roman"/>
          <w:sz w:val="24"/>
          <w:szCs w:val="24"/>
        </w:rPr>
        <w:t>-A</w:t>
      </w:r>
      <w:r>
        <w:rPr>
          <w:rFonts w:ascii="Times New Roman" w:hAnsi="Times New Roman" w:cs="Times New Roman"/>
          <w:sz w:val="24"/>
          <w:szCs w:val="24"/>
        </w:rPr>
        <w:t>, sponsored by Council Member Lee</w:t>
      </w:r>
      <w:r w:rsidR="000F114A">
        <w:rPr>
          <w:rFonts w:ascii="Times New Roman" w:hAnsi="Times New Roman" w:cs="Times New Roman"/>
          <w:sz w:val="24"/>
          <w:szCs w:val="24"/>
        </w:rPr>
        <w:t xml:space="preserve"> and Council Member Hanif</w:t>
      </w:r>
      <w:r>
        <w:rPr>
          <w:rFonts w:ascii="Times New Roman" w:hAnsi="Times New Roman" w:cs="Times New Roman"/>
          <w:sz w:val="24"/>
          <w:szCs w:val="24"/>
        </w:rPr>
        <w:t xml:space="preserve">, </w:t>
      </w:r>
      <w:r w:rsidR="17B6EC80" w:rsidRPr="099D45F9">
        <w:rPr>
          <w:rFonts w:ascii="Times New Roman" w:hAnsi="Times New Roman" w:cs="Times New Roman"/>
          <w:sz w:val="24"/>
          <w:szCs w:val="24"/>
        </w:rPr>
        <w:t>relating to cosmetology establishments displaying resources regarding gender-based violence</w:t>
      </w:r>
      <w:r>
        <w:rPr>
          <w:rFonts w:ascii="Times New Roman" w:hAnsi="Times New Roman" w:cs="Times New Roman"/>
          <w:sz w:val="24"/>
          <w:szCs w:val="24"/>
        </w:rPr>
        <w:t>; and</w:t>
      </w:r>
    </w:p>
    <w:p w14:paraId="1A1BD408" w14:textId="2379185E" w:rsidR="003D1753" w:rsidRDefault="00BC1041" w:rsidP="003D1753">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Resolution Number (“Res. No.”) 889, sponsored by Council Member Menin, </w:t>
      </w:r>
      <w:r w:rsidRPr="00BC1041">
        <w:rPr>
          <w:rFonts w:ascii="Times New Roman" w:hAnsi="Times New Roman" w:cs="Times New Roman"/>
          <w:sz w:val="24"/>
          <w:szCs w:val="24"/>
        </w:rPr>
        <w:t>declaring New York City's commitment to affirm and defend continued access for reproductive rights</w:t>
      </w:r>
      <w:r>
        <w:rPr>
          <w:rFonts w:ascii="Times New Roman" w:hAnsi="Times New Roman" w:cs="Times New Roman"/>
          <w:sz w:val="24"/>
          <w:szCs w:val="24"/>
        </w:rPr>
        <w:t xml:space="preserve">. </w:t>
      </w:r>
    </w:p>
    <w:p w14:paraId="785CBE52" w14:textId="0AEFCE20" w:rsidR="00AC0B18" w:rsidRDefault="00AC0B18" w:rsidP="0074766E">
      <w:pPr>
        <w:tabs>
          <w:tab w:val="left" w:pos="0"/>
        </w:tabs>
        <w:spacing w:line="480" w:lineRule="auto"/>
        <w:ind w:firstLine="720"/>
        <w:rPr>
          <w:rFonts w:ascii="Times New Roman" w:hAnsi="Times New Roman" w:cs="Times New Roman"/>
          <w:sz w:val="24"/>
          <w:szCs w:val="24"/>
        </w:rPr>
      </w:pPr>
      <w:r w:rsidRPr="099D45F9">
        <w:rPr>
          <w:rFonts w:ascii="Times New Roman" w:hAnsi="Times New Roman" w:cs="Times New Roman"/>
          <w:sz w:val="24"/>
          <w:szCs w:val="24"/>
        </w:rPr>
        <w:t>The Committee previously held a hearing on Int. No. 1297, Int. No. 1216, and Res. No. 889 on October 16, 2025. Witnesses who testified included the Mayor’s Office to End Domestic and Gender-based Violence (ENDGBV), survivors of gender-based violence, representatives from community-based organizations, and other interested members of the community.</w:t>
      </w:r>
      <w:r w:rsidR="0074766E">
        <w:rPr>
          <w:rFonts w:ascii="Times New Roman" w:hAnsi="Times New Roman" w:cs="Times New Roman"/>
          <w:sz w:val="24"/>
          <w:szCs w:val="24"/>
        </w:rPr>
        <w:t xml:space="preserve"> </w:t>
      </w:r>
      <w:r>
        <w:rPr>
          <w:rFonts w:ascii="Times New Roman" w:hAnsi="Times New Roman" w:cs="Times New Roman"/>
          <w:sz w:val="24"/>
          <w:szCs w:val="24"/>
        </w:rPr>
        <w:t xml:space="preserve">The Committee previously held a hearing on Int. No. 691 on June 3, 2025. At the hearing, the Committee heard testimony from the New York City (“NYC” or “City”) Department of Education (DOE). </w:t>
      </w:r>
    </w:p>
    <w:p w14:paraId="42013CEC" w14:textId="68CA0CFC" w:rsidR="000F114A" w:rsidRPr="00AC0B18" w:rsidRDefault="000F114A" w:rsidP="0074766E">
      <w:pPr>
        <w:tabs>
          <w:tab w:val="left" w:pos="0"/>
        </w:tabs>
        <w:spacing w:line="480" w:lineRule="auto"/>
        <w:ind w:firstLine="720"/>
        <w:rPr>
          <w:rFonts w:ascii="Times New Roman" w:hAnsi="Times New Roman" w:cs="Times New Roman"/>
          <w:sz w:val="24"/>
          <w:szCs w:val="24"/>
        </w:rPr>
      </w:pPr>
      <w:r>
        <w:rPr>
          <w:rFonts w:ascii="Times New Roman" w:hAnsi="Times New Roman" w:cs="Times New Roman"/>
          <w:sz w:val="24"/>
          <w:szCs w:val="24"/>
        </w:rPr>
        <w:t>On November 25, 2025, the Committee voted on Int. No. 1297-A, Int. 691-A, Int. 1216-A by a vote of 5 in the affirmative and zero in the negative, with zero abstentions. The Committee also voted on Res. 889 by a vote of 4 in the affirmative and 1 in the negative, with zero abstentions.</w:t>
      </w:r>
    </w:p>
    <w:p w14:paraId="39A92040" w14:textId="77777777" w:rsidR="00D6203D" w:rsidRDefault="009E0C25" w:rsidP="00D6203D">
      <w:pPr>
        <w:pStyle w:val="ListParagraph"/>
        <w:numPr>
          <w:ilvl w:val="0"/>
          <w:numId w:val="1"/>
        </w:numPr>
        <w:spacing w:after="0" w:line="480" w:lineRule="auto"/>
        <w:jc w:val="both"/>
        <w:rPr>
          <w:rFonts w:ascii="Times New Roman" w:hAnsi="Times New Roman" w:cs="Times New Roman"/>
          <w:b/>
          <w:bCs/>
          <w:smallCaps/>
          <w:sz w:val="24"/>
          <w:szCs w:val="24"/>
        </w:rPr>
      </w:pPr>
      <w:r w:rsidRPr="00C172BD">
        <w:rPr>
          <w:rFonts w:ascii="Times New Roman" w:hAnsi="Times New Roman" w:cs="Times New Roman"/>
          <w:b/>
          <w:bCs/>
          <w:smallCaps/>
          <w:sz w:val="24"/>
          <w:szCs w:val="24"/>
        </w:rPr>
        <w:t xml:space="preserve">Background </w:t>
      </w:r>
    </w:p>
    <w:p w14:paraId="45EC4E80" w14:textId="04137947" w:rsidR="00B528EC" w:rsidRPr="00B528EC" w:rsidRDefault="00B528EC" w:rsidP="00B528EC">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Int. No. 1297</w:t>
      </w:r>
      <w:r w:rsidR="003D1753">
        <w:rPr>
          <w:rFonts w:ascii="Times New Roman" w:hAnsi="Times New Roman" w:cs="Times New Roman"/>
          <w:b/>
          <w:bCs/>
          <w:i/>
          <w:iCs/>
          <w:sz w:val="24"/>
          <w:szCs w:val="24"/>
        </w:rPr>
        <w:t>-A</w:t>
      </w:r>
    </w:p>
    <w:p w14:paraId="1AAB4495" w14:textId="24683600" w:rsidR="00D6203D" w:rsidRDefault="3E36F8CF" w:rsidP="007225A9">
      <w:pPr>
        <w:spacing w:after="0" w:line="480" w:lineRule="auto"/>
        <w:ind w:firstLine="720"/>
        <w:jc w:val="both"/>
        <w:rPr>
          <w:rFonts w:ascii="Times New Roman" w:eastAsia="Times New Roman" w:hAnsi="Times New Roman" w:cs="Times New Roman"/>
          <w:color w:val="000000" w:themeColor="text1"/>
          <w:sz w:val="24"/>
          <w:szCs w:val="24"/>
        </w:rPr>
      </w:pPr>
      <w:r w:rsidRPr="00D6203D">
        <w:rPr>
          <w:rFonts w:ascii="Times New Roman" w:eastAsia="Times New Roman" w:hAnsi="Times New Roman" w:cs="Times New Roman"/>
          <w:color w:val="000000" w:themeColor="text1"/>
          <w:sz w:val="24"/>
          <w:szCs w:val="24"/>
        </w:rPr>
        <w:t>In 2000,</w:t>
      </w:r>
      <w:r w:rsidR="650E1559" w:rsidRPr="099D45F9">
        <w:rPr>
          <w:rFonts w:ascii="Times New Roman" w:eastAsia="Times New Roman" w:hAnsi="Times New Roman" w:cs="Times New Roman"/>
          <w:color w:val="000000" w:themeColor="text1"/>
          <w:sz w:val="24"/>
          <w:szCs w:val="24"/>
        </w:rPr>
        <w:t xml:space="preserve"> the Council passed the Victims of Gender-Motivated Violence Protection Law (“GMVA”) </w:t>
      </w:r>
      <w:r w:rsidR="32B5774A" w:rsidRPr="099D45F9">
        <w:rPr>
          <w:rFonts w:ascii="Times New Roman" w:eastAsia="Times New Roman" w:hAnsi="Times New Roman" w:cs="Times New Roman"/>
          <w:color w:val="000000" w:themeColor="text1"/>
          <w:sz w:val="24"/>
          <w:szCs w:val="24"/>
        </w:rPr>
        <w:t>creat</w:t>
      </w:r>
      <w:r w:rsidR="0006707B">
        <w:rPr>
          <w:rFonts w:ascii="Times New Roman" w:eastAsia="Times New Roman" w:hAnsi="Times New Roman" w:cs="Times New Roman"/>
          <w:color w:val="000000" w:themeColor="text1"/>
          <w:sz w:val="24"/>
          <w:szCs w:val="24"/>
        </w:rPr>
        <w:t>ing</w:t>
      </w:r>
      <w:r w:rsidR="32B5774A" w:rsidRPr="099D45F9">
        <w:rPr>
          <w:rFonts w:ascii="Times New Roman" w:eastAsia="Times New Roman" w:hAnsi="Times New Roman" w:cs="Times New Roman"/>
          <w:color w:val="000000" w:themeColor="text1"/>
          <w:sz w:val="24"/>
          <w:szCs w:val="24"/>
        </w:rPr>
        <w:t xml:space="preserve"> a </w:t>
      </w:r>
      <w:r w:rsidR="650E1559" w:rsidRPr="099D45F9">
        <w:rPr>
          <w:rFonts w:ascii="Times New Roman" w:eastAsia="Times New Roman" w:hAnsi="Times New Roman" w:cs="Times New Roman"/>
          <w:color w:val="000000" w:themeColor="text1"/>
          <w:sz w:val="24"/>
          <w:szCs w:val="24"/>
        </w:rPr>
        <w:t xml:space="preserve">civil </w:t>
      </w:r>
      <w:r w:rsidR="52E90CA9" w:rsidRPr="099D45F9">
        <w:rPr>
          <w:rFonts w:ascii="Times New Roman" w:eastAsia="Times New Roman" w:hAnsi="Times New Roman" w:cs="Times New Roman"/>
          <w:color w:val="000000" w:themeColor="text1"/>
          <w:sz w:val="24"/>
          <w:szCs w:val="24"/>
        </w:rPr>
        <w:t xml:space="preserve">cause of action </w:t>
      </w:r>
      <w:r w:rsidR="00034731">
        <w:rPr>
          <w:rFonts w:ascii="Times New Roman" w:eastAsia="Times New Roman" w:hAnsi="Times New Roman" w:cs="Times New Roman"/>
          <w:color w:val="000000" w:themeColor="text1"/>
          <w:sz w:val="24"/>
          <w:szCs w:val="24"/>
        </w:rPr>
        <w:t xml:space="preserve">against individuals </w:t>
      </w:r>
      <w:r w:rsidR="20CDA83F" w:rsidRPr="099D45F9">
        <w:rPr>
          <w:rFonts w:ascii="Times New Roman" w:eastAsia="Times New Roman" w:hAnsi="Times New Roman" w:cs="Times New Roman"/>
          <w:color w:val="000000" w:themeColor="text1"/>
          <w:sz w:val="24"/>
          <w:szCs w:val="24"/>
        </w:rPr>
        <w:t xml:space="preserve">who </w:t>
      </w:r>
      <w:r w:rsidR="1842515A" w:rsidRPr="099D45F9">
        <w:rPr>
          <w:rFonts w:ascii="Times New Roman" w:eastAsia="Times New Roman" w:hAnsi="Times New Roman" w:cs="Times New Roman"/>
          <w:color w:val="000000" w:themeColor="text1"/>
          <w:sz w:val="24"/>
          <w:szCs w:val="24"/>
        </w:rPr>
        <w:t>committed</w:t>
      </w:r>
      <w:r w:rsidR="20CDA83F" w:rsidRPr="099D45F9">
        <w:rPr>
          <w:rFonts w:ascii="Times New Roman" w:eastAsia="Times New Roman" w:hAnsi="Times New Roman" w:cs="Times New Roman"/>
          <w:color w:val="000000" w:themeColor="text1"/>
          <w:sz w:val="24"/>
          <w:szCs w:val="24"/>
        </w:rPr>
        <w:t xml:space="preserve"> a crime of violence </w:t>
      </w:r>
      <w:r w:rsidR="20CDA83F" w:rsidRPr="099D45F9">
        <w:rPr>
          <w:rFonts w:ascii="Times New Roman" w:eastAsia="Times New Roman" w:hAnsi="Times New Roman" w:cs="Times New Roman"/>
          <w:color w:val="000000" w:themeColor="text1"/>
          <w:sz w:val="24"/>
          <w:szCs w:val="24"/>
        </w:rPr>
        <w:lastRenderedPageBreak/>
        <w:t>motivated by gender</w:t>
      </w:r>
      <w:r w:rsidR="638048EF" w:rsidRPr="099D45F9">
        <w:rPr>
          <w:rFonts w:ascii="Times New Roman" w:eastAsia="Times New Roman" w:hAnsi="Times New Roman" w:cs="Times New Roman"/>
          <w:color w:val="000000" w:themeColor="text1"/>
          <w:sz w:val="24"/>
          <w:szCs w:val="24"/>
        </w:rPr>
        <w:t xml:space="preserve">. The cause of action was in section 8-904 of the NYC Administrative Code and </w:t>
      </w:r>
      <w:r w:rsidR="3338B4B0" w:rsidRPr="099D45F9">
        <w:rPr>
          <w:rFonts w:ascii="Times New Roman" w:eastAsia="Times New Roman" w:hAnsi="Times New Roman" w:cs="Times New Roman"/>
          <w:color w:val="000000" w:themeColor="text1"/>
          <w:sz w:val="24"/>
          <w:szCs w:val="24"/>
        </w:rPr>
        <w:t>redesignated</w:t>
      </w:r>
      <w:r w:rsidR="638048EF" w:rsidRPr="099D45F9">
        <w:rPr>
          <w:rFonts w:ascii="Times New Roman" w:eastAsia="Times New Roman" w:hAnsi="Times New Roman" w:cs="Times New Roman"/>
          <w:color w:val="000000" w:themeColor="text1"/>
          <w:sz w:val="24"/>
          <w:szCs w:val="24"/>
        </w:rPr>
        <w:t xml:space="preserve"> to section</w:t>
      </w:r>
      <w:r w:rsidR="51F084F2" w:rsidRPr="099D45F9">
        <w:rPr>
          <w:rFonts w:ascii="Times New Roman" w:eastAsia="Times New Roman" w:hAnsi="Times New Roman" w:cs="Times New Roman"/>
          <w:color w:val="000000" w:themeColor="text1"/>
          <w:sz w:val="24"/>
          <w:szCs w:val="24"/>
        </w:rPr>
        <w:t xml:space="preserve"> 10-1104 by Local Law 63 for the year 2018.</w:t>
      </w:r>
      <w:r w:rsidR="00C71645">
        <w:rPr>
          <w:rStyle w:val="FootnoteReference"/>
          <w:rFonts w:ascii="Times New Roman" w:eastAsia="Times New Roman" w:hAnsi="Times New Roman" w:cs="Times New Roman"/>
          <w:color w:val="000000" w:themeColor="text1"/>
          <w:sz w:val="24"/>
          <w:szCs w:val="24"/>
        </w:rPr>
        <w:footnoteReference w:id="1"/>
      </w:r>
      <w:r w:rsidR="51F084F2" w:rsidRPr="099D45F9">
        <w:rPr>
          <w:rFonts w:ascii="Times New Roman" w:eastAsia="Times New Roman" w:hAnsi="Times New Roman" w:cs="Times New Roman"/>
          <w:color w:val="000000" w:themeColor="text1"/>
          <w:sz w:val="24"/>
          <w:szCs w:val="24"/>
        </w:rPr>
        <w:t xml:space="preserve"> </w:t>
      </w:r>
      <w:r w:rsidR="650E1559" w:rsidRPr="099D45F9">
        <w:rPr>
          <w:rFonts w:ascii="Times New Roman" w:eastAsia="Times New Roman" w:hAnsi="Times New Roman" w:cs="Times New Roman"/>
          <w:color w:val="000000" w:themeColor="text1"/>
          <w:sz w:val="24"/>
          <w:szCs w:val="24"/>
        </w:rPr>
        <w:t xml:space="preserve">In </w:t>
      </w:r>
      <w:r w:rsidR="650E1559" w:rsidRPr="099D45F9">
        <w:rPr>
          <w:rFonts w:ascii="Times New Roman" w:eastAsia="Times New Roman" w:hAnsi="Times New Roman" w:cs="Times New Roman"/>
          <w:sz w:val="24"/>
          <w:szCs w:val="24"/>
        </w:rPr>
        <w:t>2022</w:t>
      </w:r>
      <w:r w:rsidR="650E1559" w:rsidRPr="099D45F9">
        <w:rPr>
          <w:rFonts w:ascii="Times New Roman" w:eastAsia="Times New Roman" w:hAnsi="Times New Roman" w:cs="Times New Roman"/>
          <w:color w:val="000000" w:themeColor="text1"/>
          <w:sz w:val="24"/>
          <w:szCs w:val="24"/>
        </w:rPr>
        <w:t xml:space="preserve">, the Council passed Local Law 21 for the year 2022, which amended </w:t>
      </w:r>
      <w:r w:rsidR="7E4840B4" w:rsidRPr="099D45F9">
        <w:rPr>
          <w:rFonts w:ascii="Times New Roman" w:eastAsia="Times New Roman" w:hAnsi="Times New Roman" w:cs="Times New Roman"/>
          <w:color w:val="000000" w:themeColor="text1"/>
          <w:sz w:val="24"/>
          <w:szCs w:val="24"/>
        </w:rPr>
        <w:t xml:space="preserve">section 10-1104 </w:t>
      </w:r>
      <w:r w:rsidR="650E1559" w:rsidRPr="099D45F9">
        <w:rPr>
          <w:rFonts w:ascii="Times New Roman" w:eastAsia="Times New Roman" w:hAnsi="Times New Roman" w:cs="Times New Roman"/>
          <w:color w:val="000000" w:themeColor="text1"/>
          <w:sz w:val="24"/>
          <w:szCs w:val="24"/>
        </w:rPr>
        <w:t xml:space="preserve">to include a two-year lookback window allowing </w:t>
      </w:r>
      <w:r w:rsidR="15AF1152" w:rsidRPr="099D45F9">
        <w:rPr>
          <w:rFonts w:ascii="Times New Roman" w:eastAsia="Times New Roman" w:hAnsi="Times New Roman" w:cs="Times New Roman"/>
          <w:color w:val="000000" w:themeColor="text1"/>
          <w:sz w:val="24"/>
          <w:szCs w:val="24"/>
        </w:rPr>
        <w:t xml:space="preserve">survivors </w:t>
      </w:r>
      <w:r w:rsidR="650E1559" w:rsidRPr="099D45F9">
        <w:rPr>
          <w:rFonts w:ascii="Times New Roman" w:eastAsia="Times New Roman" w:hAnsi="Times New Roman" w:cs="Times New Roman"/>
          <w:color w:val="000000" w:themeColor="text1"/>
          <w:sz w:val="24"/>
          <w:szCs w:val="24"/>
        </w:rPr>
        <w:t xml:space="preserve">of gender-motivated violence who had </w:t>
      </w:r>
      <w:bookmarkStart w:id="4" w:name="_Int_XUII0u0G"/>
      <w:r w:rsidR="650E1559" w:rsidRPr="099D45F9">
        <w:rPr>
          <w:rFonts w:ascii="Times New Roman" w:eastAsia="Times New Roman" w:hAnsi="Times New Roman" w:cs="Times New Roman"/>
          <w:color w:val="000000" w:themeColor="text1"/>
          <w:sz w:val="24"/>
          <w:szCs w:val="24"/>
        </w:rPr>
        <w:t>claims</w:t>
      </w:r>
      <w:bookmarkEnd w:id="4"/>
      <w:r w:rsidR="650E1559" w:rsidRPr="099D45F9">
        <w:rPr>
          <w:rFonts w:ascii="Times New Roman" w:eastAsia="Times New Roman" w:hAnsi="Times New Roman" w:cs="Times New Roman"/>
          <w:color w:val="000000" w:themeColor="text1"/>
          <w:sz w:val="24"/>
          <w:szCs w:val="24"/>
        </w:rPr>
        <w:t xml:space="preserve"> that had passed the statute of limitations to bring those expired actions.</w:t>
      </w:r>
      <w:r w:rsidR="00C71645">
        <w:rPr>
          <w:rStyle w:val="FootnoteReference"/>
          <w:rFonts w:ascii="Times New Roman" w:eastAsia="Times New Roman" w:hAnsi="Times New Roman" w:cs="Times New Roman"/>
          <w:color w:val="000000" w:themeColor="text1"/>
          <w:sz w:val="24"/>
          <w:szCs w:val="24"/>
        </w:rPr>
        <w:footnoteReference w:id="2"/>
      </w:r>
      <w:r w:rsidR="650E1559" w:rsidRPr="099D45F9">
        <w:rPr>
          <w:rFonts w:ascii="Times New Roman" w:eastAsia="Times New Roman" w:hAnsi="Times New Roman" w:cs="Times New Roman"/>
          <w:color w:val="000000" w:themeColor="text1"/>
          <w:sz w:val="24"/>
          <w:szCs w:val="24"/>
        </w:rPr>
        <w:t xml:space="preserve"> Local Law 21 for the year 2022 also</w:t>
      </w:r>
      <w:r w:rsidR="006C1AE7">
        <w:rPr>
          <w:rFonts w:ascii="Times New Roman" w:eastAsia="Times New Roman" w:hAnsi="Times New Roman" w:cs="Times New Roman"/>
          <w:color w:val="000000" w:themeColor="text1"/>
          <w:sz w:val="24"/>
          <w:szCs w:val="24"/>
        </w:rPr>
        <w:t xml:space="preserve"> amended the language in the bill to replace “individual” with “party” and</w:t>
      </w:r>
      <w:r w:rsidR="650E1559" w:rsidRPr="099D45F9">
        <w:rPr>
          <w:rFonts w:ascii="Times New Roman" w:eastAsia="Times New Roman" w:hAnsi="Times New Roman" w:cs="Times New Roman"/>
          <w:color w:val="000000" w:themeColor="text1"/>
          <w:sz w:val="24"/>
          <w:szCs w:val="24"/>
        </w:rPr>
        <w:t xml:space="preserve"> expanded liability </w:t>
      </w:r>
      <w:r w:rsidR="026A7E9F" w:rsidRPr="099D45F9">
        <w:rPr>
          <w:rFonts w:ascii="Times New Roman" w:eastAsia="Times New Roman" w:hAnsi="Times New Roman" w:cs="Times New Roman"/>
          <w:color w:val="000000" w:themeColor="text1"/>
          <w:sz w:val="24"/>
          <w:szCs w:val="24"/>
        </w:rPr>
        <w:t xml:space="preserve">allowing </w:t>
      </w:r>
      <w:r w:rsidR="42CD5BF8" w:rsidRPr="099D45F9">
        <w:rPr>
          <w:rFonts w:ascii="Times New Roman" w:eastAsia="Times New Roman" w:hAnsi="Times New Roman" w:cs="Times New Roman"/>
          <w:color w:val="000000" w:themeColor="text1"/>
          <w:sz w:val="24"/>
          <w:szCs w:val="24"/>
        </w:rPr>
        <w:t>individuals</w:t>
      </w:r>
      <w:r w:rsidR="6F03347F" w:rsidRPr="099D45F9">
        <w:rPr>
          <w:rFonts w:ascii="Times New Roman" w:eastAsia="Times New Roman" w:hAnsi="Times New Roman" w:cs="Times New Roman"/>
          <w:color w:val="000000" w:themeColor="text1"/>
          <w:sz w:val="24"/>
          <w:szCs w:val="24"/>
        </w:rPr>
        <w:t xml:space="preserve"> </w:t>
      </w:r>
      <w:r w:rsidR="52379676" w:rsidRPr="099D45F9">
        <w:rPr>
          <w:rFonts w:ascii="Times New Roman" w:eastAsia="Times New Roman" w:hAnsi="Times New Roman" w:cs="Times New Roman"/>
          <w:color w:val="000000" w:themeColor="text1"/>
          <w:sz w:val="24"/>
          <w:szCs w:val="24"/>
        </w:rPr>
        <w:t>who claim to have been injured by a party</w:t>
      </w:r>
      <w:r w:rsidR="6F03347F" w:rsidRPr="099D45F9">
        <w:rPr>
          <w:rFonts w:ascii="Times New Roman" w:eastAsia="Times New Roman" w:hAnsi="Times New Roman" w:cs="Times New Roman"/>
          <w:color w:val="000000" w:themeColor="text1"/>
          <w:sz w:val="24"/>
          <w:szCs w:val="24"/>
        </w:rPr>
        <w:t xml:space="preserve"> who </w:t>
      </w:r>
      <w:r w:rsidR="49AFF3AE" w:rsidRPr="099D45F9">
        <w:rPr>
          <w:rFonts w:ascii="Times New Roman" w:eastAsia="Times New Roman" w:hAnsi="Times New Roman" w:cs="Times New Roman"/>
          <w:color w:val="000000" w:themeColor="text1"/>
          <w:sz w:val="24"/>
          <w:szCs w:val="24"/>
        </w:rPr>
        <w:t>commits, directs, enables, participates in, or conspires in the commission of a crime of violence motivated by gender</w:t>
      </w:r>
      <w:r w:rsidR="03EF9451" w:rsidRPr="099D45F9">
        <w:rPr>
          <w:rFonts w:ascii="Times New Roman" w:eastAsia="Times New Roman" w:hAnsi="Times New Roman" w:cs="Times New Roman"/>
          <w:color w:val="000000" w:themeColor="text1"/>
          <w:sz w:val="24"/>
          <w:szCs w:val="24"/>
        </w:rPr>
        <w:t>,</w:t>
      </w:r>
      <w:r w:rsidR="1CDE54B4" w:rsidRPr="099D45F9">
        <w:rPr>
          <w:rFonts w:ascii="Times New Roman" w:eastAsia="Times New Roman" w:hAnsi="Times New Roman" w:cs="Times New Roman"/>
          <w:color w:val="000000" w:themeColor="text1"/>
          <w:sz w:val="24"/>
          <w:szCs w:val="24"/>
        </w:rPr>
        <w:t xml:space="preserve"> to bring a civil claim</w:t>
      </w:r>
      <w:r w:rsidR="00D6203D" w:rsidRPr="00D6203D">
        <w:rPr>
          <w:rFonts w:ascii="Times New Roman" w:eastAsia="Times New Roman" w:hAnsi="Times New Roman" w:cs="Times New Roman"/>
          <w:color w:val="000000" w:themeColor="text1"/>
          <w:sz w:val="24"/>
          <w:szCs w:val="24"/>
        </w:rPr>
        <w:t>.</w:t>
      </w:r>
      <w:r w:rsidR="00D6203D">
        <w:rPr>
          <w:rStyle w:val="FootnoteReference"/>
          <w:rFonts w:ascii="Times New Roman" w:eastAsia="Times New Roman" w:hAnsi="Times New Roman" w:cs="Times New Roman"/>
          <w:color w:val="000000" w:themeColor="text1"/>
          <w:sz w:val="24"/>
          <w:szCs w:val="24"/>
        </w:rPr>
        <w:footnoteReference w:id="3"/>
      </w:r>
      <w:r w:rsidR="006D0D02">
        <w:rPr>
          <w:rFonts w:ascii="Times New Roman" w:eastAsia="Times New Roman" w:hAnsi="Times New Roman" w:cs="Times New Roman"/>
          <w:color w:val="000000" w:themeColor="text1"/>
          <w:sz w:val="24"/>
          <w:szCs w:val="24"/>
        </w:rPr>
        <w:t xml:space="preserve"> Since its passage, c</w:t>
      </w:r>
      <w:r w:rsidR="007225A9">
        <w:rPr>
          <w:rFonts w:ascii="Times New Roman" w:eastAsia="Times New Roman" w:hAnsi="Times New Roman" w:cs="Times New Roman"/>
          <w:color w:val="000000" w:themeColor="text1"/>
          <w:sz w:val="24"/>
          <w:szCs w:val="24"/>
        </w:rPr>
        <w:t xml:space="preserve">ourts have held that </w:t>
      </w:r>
      <w:r w:rsidR="007225A9" w:rsidRPr="099D45F9">
        <w:rPr>
          <w:rFonts w:ascii="Times New Roman" w:eastAsia="Times New Roman" w:hAnsi="Times New Roman" w:cs="Times New Roman"/>
          <w:color w:val="000000" w:themeColor="text1"/>
          <w:sz w:val="24"/>
          <w:szCs w:val="24"/>
        </w:rPr>
        <w:t>Local Law 21</w:t>
      </w:r>
      <w:r w:rsidR="007225A9">
        <w:rPr>
          <w:rFonts w:ascii="Times New Roman" w:eastAsia="Times New Roman" w:hAnsi="Times New Roman" w:cs="Times New Roman"/>
          <w:color w:val="000000" w:themeColor="text1"/>
          <w:sz w:val="24"/>
          <w:szCs w:val="24"/>
        </w:rPr>
        <w:t>’s expansion of liability did not apply retroactively.</w:t>
      </w:r>
      <w:r w:rsidR="006958F2">
        <w:rPr>
          <w:rStyle w:val="FootnoteReference"/>
          <w:rFonts w:ascii="Times New Roman" w:eastAsia="Times New Roman" w:hAnsi="Times New Roman" w:cs="Times New Roman"/>
          <w:color w:val="000000" w:themeColor="text1"/>
          <w:sz w:val="24"/>
          <w:szCs w:val="24"/>
        </w:rPr>
        <w:footnoteReference w:id="4"/>
      </w:r>
      <w:r w:rsidR="007225A9">
        <w:rPr>
          <w:rFonts w:ascii="Times New Roman" w:eastAsia="Times New Roman" w:hAnsi="Times New Roman" w:cs="Times New Roman"/>
          <w:color w:val="000000" w:themeColor="text1"/>
          <w:sz w:val="24"/>
          <w:szCs w:val="24"/>
        </w:rPr>
        <w:t xml:space="preserve"> That conclusion rested primarily on </w:t>
      </w:r>
      <w:r w:rsidR="007225A9" w:rsidRPr="099D45F9">
        <w:rPr>
          <w:rFonts w:ascii="Times New Roman" w:eastAsia="Times New Roman" w:hAnsi="Times New Roman" w:cs="Times New Roman"/>
          <w:color w:val="000000" w:themeColor="text1"/>
          <w:sz w:val="24"/>
          <w:szCs w:val="24"/>
        </w:rPr>
        <w:t>Local Law 21</w:t>
      </w:r>
      <w:r w:rsidR="007225A9">
        <w:rPr>
          <w:rFonts w:ascii="Times New Roman" w:eastAsia="Times New Roman" w:hAnsi="Times New Roman" w:cs="Times New Roman"/>
          <w:color w:val="000000" w:themeColor="text1"/>
          <w:sz w:val="24"/>
          <w:szCs w:val="24"/>
        </w:rPr>
        <w:t xml:space="preserve">’s lack of unambiguous language stating that its expansion of liability was meant to operate retroactively. </w:t>
      </w:r>
      <w:r w:rsidR="006958F2">
        <w:rPr>
          <w:rStyle w:val="FootnoteReference"/>
          <w:rFonts w:ascii="Times New Roman" w:eastAsia="Times New Roman" w:hAnsi="Times New Roman" w:cs="Times New Roman"/>
          <w:color w:val="000000" w:themeColor="text1"/>
          <w:sz w:val="24"/>
          <w:szCs w:val="24"/>
        </w:rPr>
        <w:footnoteReference w:id="5"/>
      </w:r>
    </w:p>
    <w:p w14:paraId="63BCE684" w14:textId="4FE12661" w:rsidR="00B528EC" w:rsidRPr="00B528EC" w:rsidRDefault="00B528EC" w:rsidP="00B528EC">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 xml:space="preserve">Int. No. </w:t>
      </w:r>
      <w:r>
        <w:rPr>
          <w:rFonts w:ascii="Times New Roman" w:hAnsi="Times New Roman" w:cs="Times New Roman"/>
          <w:b/>
          <w:bCs/>
          <w:i/>
          <w:iCs/>
          <w:sz w:val="24"/>
          <w:szCs w:val="24"/>
        </w:rPr>
        <w:t>691</w:t>
      </w:r>
      <w:r w:rsidR="00213391">
        <w:rPr>
          <w:rFonts w:ascii="Times New Roman" w:hAnsi="Times New Roman" w:cs="Times New Roman"/>
          <w:b/>
          <w:bCs/>
          <w:i/>
          <w:iCs/>
          <w:sz w:val="24"/>
          <w:szCs w:val="24"/>
        </w:rPr>
        <w:t>-A</w:t>
      </w:r>
    </w:p>
    <w:p w14:paraId="62B4BC66" w14:textId="473D8537" w:rsidR="00B528EC" w:rsidRDefault="0027025F" w:rsidP="099D45F9">
      <w:pPr>
        <w:suppressLineNumbers/>
        <w:spacing w:after="0" w:line="480" w:lineRule="auto"/>
        <w:ind w:firstLine="720"/>
        <w:rPr>
          <w:rFonts w:ascii="Times New Roman" w:hAnsi="Times New Roman" w:cs="Times New Roman"/>
          <w:sz w:val="24"/>
          <w:szCs w:val="24"/>
        </w:rPr>
      </w:pPr>
      <w:r w:rsidRPr="099D45F9">
        <w:rPr>
          <w:rFonts w:ascii="Times New Roman" w:hAnsi="Times New Roman" w:cs="Times New Roman"/>
          <w:sz w:val="24"/>
          <w:szCs w:val="24"/>
        </w:rPr>
        <w:t>While the number of jobs in science, engineering, mathematics or technology (STEM) increase nationwide,</w:t>
      </w:r>
      <w:r w:rsidRPr="099D45F9">
        <w:rPr>
          <w:rStyle w:val="FootnoteReference"/>
          <w:rFonts w:ascii="Times New Roman" w:hAnsi="Times New Roman"/>
          <w:sz w:val="24"/>
          <w:szCs w:val="24"/>
        </w:rPr>
        <w:footnoteReference w:id="6"/>
      </w:r>
      <w:r w:rsidRPr="099D45F9">
        <w:rPr>
          <w:rFonts w:ascii="Times New Roman" w:hAnsi="Times New Roman" w:cs="Times New Roman"/>
          <w:sz w:val="24"/>
          <w:szCs w:val="24"/>
        </w:rPr>
        <w:t xml:space="preserve"> Black and Hispanic workers remain underrepresented and women are represented in varying</w:t>
      </w:r>
      <w:r w:rsidR="352F191C" w:rsidRPr="099D45F9">
        <w:rPr>
          <w:rFonts w:ascii="Times New Roman" w:hAnsi="Times New Roman" w:cs="Times New Roman"/>
          <w:sz w:val="24"/>
          <w:szCs w:val="24"/>
        </w:rPr>
        <w:t xml:space="preserve"> </w:t>
      </w:r>
      <w:r w:rsidRPr="099D45F9">
        <w:rPr>
          <w:rFonts w:ascii="Times New Roman" w:hAnsi="Times New Roman" w:cs="Times New Roman"/>
          <w:sz w:val="24"/>
          <w:szCs w:val="24"/>
        </w:rPr>
        <w:t>degrees across STEM occupations.</w:t>
      </w:r>
      <w:r w:rsidRPr="099D45F9">
        <w:rPr>
          <w:rStyle w:val="FootnoteReference"/>
          <w:rFonts w:ascii="Times New Roman" w:hAnsi="Times New Roman"/>
          <w:sz w:val="24"/>
          <w:szCs w:val="24"/>
        </w:rPr>
        <w:footnoteReference w:id="7"/>
      </w:r>
      <w:r w:rsidRPr="099D45F9">
        <w:rPr>
          <w:rFonts w:ascii="Times New Roman" w:hAnsi="Times New Roman" w:cs="Times New Roman"/>
          <w:sz w:val="24"/>
          <w:szCs w:val="24"/>
        </w:rPr>
        <w:t xml:space="preserve"> According to an analysis by the Pew Research Center, Black and Hispanic adults are less likely to earn degrees in STEM than other degree fields.</w:t>
      </w:r>
      <w:r w:rsidRPr="099D45F9">
        <w:rPr>
          <w:rStyle w:val="FootnoteReference"/>
          <w:rFonts w:ascii="Times New Roman" w:hAnsi="Times New Roman"/>
          <w:sz w:val="24"/>
          <w:szCs w:val="24"/>
        </w:rPr>
        <w:footnoteReference w:id="8"/>
      </w:r>
      <w:r w:rsidRPr="099D45F9">
        <w:rPr>
          <w:rFonts w:ascii="Times New Roman" w:hAnsi="Times New Roman" w:cs="Times New Roman"/>
          <w:sz w:val="24"/>
          <w:szCs w:val="24"/>
        </w:rPr>
        <w:t xml:space="preserve"> According to the National Center for Science and Engineering Statistics, in 2021, men outnumbered women 2.75 to 1.00 in science and engineering occupations, which utilize STEM in the primary function of the job, and 8.50 to 1.00 in middle-skill occupations, which incorporate technical knowledge into the core function of the job.</w:t>
      </w:r>
      <w:r w:rsidRPr="099D45F9">
        <w:rPr>
          <w:rStyle w:val="FootnoteReference"/>
          <w:rFonts w:ascii="Times New Roman" w:hAnsi="Times New Roman"/>
          <w:sz w:val="24"/>
          <w:szCs w:val="24"/>
        </w:rPr>
        <w:footnoteReference w:id="9"/>
      </w:r>
      <w:r w:rsidRPr="099D45F9">
        <w:rPr>
          <w:rFonts w:ascii="Times New Roman" w:hAnsi="Times New Roman" w:cs="Times New Roman"/>
          <w:sz w:val="24"/>
          <w:szCs w:val="24"/>
        </w:rPr>
        <w:t xml:space="preserve"> Diversity in the workforce is closely tied to representation in the STEM education system.</w:t>
      </w:r>
      <w:r w:rsidRPr="099D45F9">
        <w:rPr>
          <w:rStyle w:val="FootnoteReference"/>
          <w:rFonts w:ascii="Times New Roman" w:hAnsi="Times New Roman"/>
          <w:sz w:val="24"/>
          <w:szCs w:val="24"/>
        </w:rPr>
        <w:footnoteReference w:id="10"/>
      </w:r>
    </w:p>
    <w:p w14:paraId="1BC9C4A9" w14:textId="2277696F" w:rsidR="0027025F" w:rsidRDefault="0027025F" w:rsidP="099D45F9">
      <w:pPr>
        <w:spacing w:after="0" w:line="480" w:lineRule="auto"/>
        <w:jc w:val="both"/>
        <w:rPr>
          <w:rFonts w:ascii="Times New Roman" w:hAnsi="Times New Roman" w:cs="Times New Roman"/>
          <w:b/>
          <w:bCs/>
          <w:i/>
          <w:iCs/>
          <w:sz w:val="24"/>
          <w:szCs w:val="24"/>
        </w:rPr>
      </w:pPr>
      <w:r w:rsidRPr="099D45F9">
        <w:rPr>
          <w:rFonts w:ascii="Times New Roman" w:hAnsi="Times New Roman" w:cs="Times New Roman"/>
          <w:b/>
          <w:bCs/>
          <w:i/>
          <w:iCs/>
          <w:sz w:val="24"/>
          <w:szCs w:val="24"/>
        </w:rPr>
        <w:t>Int. No. 1216</w:t>
      </w:r>
      <w:r w:rsidR="003D1753" w:rsidRPr="099D45F9">
        <w:rPr>
          <w:rFonts w:ascii="Times New Roman" w:hAnsi="Times New Roman" w:cs="Times New Roman"/>
          <w:b/>
          <w:bCs/>
          <w:i/>
          <w:iCs/>
          <w:sz w:val="24"/>
          <w:szCs w:val="24"/>
        </w:rPr>
        <w:t>-A</w:t>
      </w:r>
    </w:p>
    <w:p w14:paraId="5DE36651" w14:textId="72EF66A4" w:rsidR="0079288C" w:rsidRDefault="00826044" w:rsidP="099D45F9">
      <w:pPr>
        <w:suppressLineNumbers/>
        <w:spacing w:after="0" w:line="480" w:lineRule="auto"/>
        <w:ind w:firstLine="720"/>
        <w:rPr>
          <w:rFonts w:ascii="Times New Roman" w:hAnsi="Times New Roman" w:cs="Times New Roman"/>
          <w:sz w:val="24"/>
          <w:szCs w:val="24"/>
        </w:rPr>
      </w:pPr>
      <w:r w:rsidRPr="00647AB7">
        <w:rPr>
          <w:rFonts w:ascii="Times New Roman" w:hAnsi="Times New Roman" w:cs="Times New Roman"/>
          <w:sz w:val="24"/>
          <w:szCs w:val="24"/>
        </w:rPr>
        <w:t xml:space="preserve">Gender-based violence, particularly domestic and intimate partner violence, remains a significant issue in </w:t>
      </w:r>
      <w:r>
        <w:rPr>
          <w:rFonts w:ascii="Times New Roman" w:hAnsi="Times New Roman" w:cs="Times New Roman"/>
          <w:sz w:val="24"/>
          <w:szCs w:val="24"/>
        </w:rPr>
        <w:t>New York City (“NYC” or “the City”).</w:t>
      </w:r>
      <w:r>
        <w:rPr>
          <w:rStyle w:val="FootnoteReference"/>
          <w:rFonts w:ascii="Times New Roman" w:hAnsi="Times New Roman" w:cs="Times New Roman"/>
          <w:sz w:val="24"/>
          <w:szCs w:val="24"/>
        </w:rPr>
        <w:footnoteReference w:id="11"/>
      </w:r>
      <w:r w:rsidR="00DC73B7">
        <w:rPr>
          <w:rFonts w:ascii="Times New Roman" w:hAnsi="Times New Roman" w:cs="Times New Roman"/>
          <w:sz w:val="24"/>
          <w:szCs w:val="24"/>
        </w:rPr>
        <w:t xml:space="preserve"> </w:t>
      </w:r>
      <w:r w:rsidR="00F70EA9">
        <w:rPr>
          <w:rFonts w:ascii="Times New Roman" w:hAnsi="Times New Roman" w:cs="Times New Roman"/>
          <w:sz w:val="24"/>
          <w:szCs w:val="24"/>
        </w:rPr>
        <w:t>N</w:t>
      </w:r>
      <w:r w:rsidR="00DF2ECE">
        <w:rPr>
          <w:rFonts w:ascii="Times New Roman" w:hAnsi="Times New Roman" w:cs="Times New Roman"/>
          <w:sz w:val="24"/>
          <w:szCs w:val="24"/>
        </w:rPr>
        <w:t>a</w:t>
      </w:r>
      <w:r w:rsidR="00F70EA9">
        <w:rPr>
          <w:rFonts w:ascii="Times New Roman" w:hAnsi="Times New Roman" w:cs="Times New Roman"/>
          <w:sz w:val="24"/>
          <w:szCs w:val="24"/>
        </w:rPr>
        <w:t>il, hair, and skincare salons may be a valuable location to a link to resources to individuals experiencing gender-based violence.</w:t>
      </w:r>
      <w:r w:rsidR="00034886">
        <w:rPr>
          <w:rStyle w:val="FootnoteReference"/>
          <w:rFonts w:ascii="Times New Roman" w:hAnsi="Times New Roman" w:cs="Times New Roman"/>
          <w:sz w:val="24"/>
          <w:szCs w:val="24"/>
        </w:rPr>
        <w:footnoteReference w:id="12"/>
      </w:r>
      <w:r w:rsidR="00F70EA9">
        <w:rPr>
          <w:rFonts w:ascii="Times New Roman" w:hAnsi="Times New Roman" w:cs="Times New Roman"/>
          <w:sz w:val="24"/>
          <w:szCs w:val="24"/>
        </w:rPr>
        <w:t xml:space="preserve"> </w:t>
      </w:r>
      <w:r w:rsidR="00DC73B7">
        <w:rPr>
          <w:rFonts w:ascii="Times New Roman" w:hAnsi="Times New Roman" w:cs="Times New Roman"/>
          <w:sz w:val="24"/>
          <w:szCs w:val="24"/>
        </w:rPr>
        <w:t>Advocates have recently pushed to educate individuals who work in salons</w:t>
      </w:r>
      <w:r w:rsidR="002B1014">
        <w:rPr>
          <w:rFonts w:ascii="Times New Roman" w:hAnsi="Times New Roman" w:cs="Times New Roman"/>
          <w:sz w:val="24"/>
          <w:szCs w:val="24"/>
        </w:rPr>
        <w:t xml:space="preserve"> about domestic violence so they are equipped</w:t>
      </w:r>
      <w:r w:rsidR="00C31AEA">
        <w:rPr>
          <w:rFonts w:ascii="Times New Roman" w:hAnsi="Times New Roman" w:cs="Times New Roman"/>
          <w:sz w:val="24"/>
          <w:szCs w:val="24"/>
        </w:rPr>
        <w:t xml:space="preserve"> to listen and encourage potential survivors of gender-based violence to seek hel</w:t>
      </w:r>
      <w:r w:rsidR="00C8708B">
        <w:rPr>
          <w:rFonts w:ascii="Times New Roman" w:hAnsi="Times New Roman" w:cs="Times New Roman"/>
          <w:sz w:val="24"/>
          <w:szCs w:val="24"/>
        </w:rPr>
        <w:t>p</w:t>
      </w:r>
      <w:r w:rsidR="0054676A">
        <w:rPr>
          <w:rFonts w:ascii="Times New Roman" w:hAnsi="Times New Roman" w:cs="Times New Roman"/>
          <w:sz w:val="24"/>
          <w:szCs w:val="24"/>
        </w:rPr>
        <w:t>, leading to several states requiring individuals with cosmetology licenses to take a training about domestic violence awareness.</w:t>
      </w:r>
      <w:r w:rsidR="0054676A">
        <w:rPr>
          <w:rStyle w:val="FootnoteReference"/>
          <w:rFonts w:ascii="Times New Roman" w:hAnsi="Times New Roman" w:cs="Times New Roman"/>
          <w:sz w:val="24"/>
          <w:szCs w:val="24"/>
        </w:rPr>
        <w:footnoteReference w:id="13"/>
      </w:r>
      <w:r w:rsidR="002B1014">
        <w:rPr>
          <w:rFonts w:ascii="Times New Roman" w:hAnsi="Times New Roman" w:cs="Times New Roman"/>
          <w:sz w:val="24"/>
          <w:szCs w:val="24"/>
        </w:rPr>
        <w:t xml:space="preserve"> </w:t>
      </w:r>
    </w:p>
    <w:p w14:paraId="27D4E181" w14:textId="082A67F9" w:rsidR="0027025F" w:rsidRDefault="0027025F" w:rsidP="099D45F9">
      <w:pPr>
        <w:suppressLineNumbers/>
        <w:spacing w:after="0" w:line="480" w:lineRule="auto"/>
        <w:ind w:firstLine="720"/>
        <w:rPr>
          <w:rFonts w:ascii="Times New Roman" w:hAnsi="Times New Roman" w:cs="Times New Roman"/>
          <w:sz w:val="24"/>
          <w:szCs w:val="24"/>
        </w:rPr>
      </w:pPr>
      <w:r w:rsidRPr="099D45F9">
        <w:rPr>
          <w:rFonts w:ascii="Times New Roman" w:hAnsi="Times New Roman" w:cs="Times New Roman"/>
          <w:sz w:val="24"/>
          <w:szCs w:val="24"/>
        </w:rPr>
        <w:t xml:space="preserve">Local </w:t>
      </w:r>
      <w:r w:rsidR="00903B86">
        <w:rPr>
          <w:rFonts w:ascii="Times New Roman" w:hAnsi="Times New Roman" w:cs="Times New Roman"/>
          <w:sz w:val="24"/>
          <w:szCs w:val="24"/>
        </w:rPr>
        <w:t>L</w:t>
      </w:r>
      <w:r w:rsidRPr="099D45F9">
        <w:rPr>
          <w:rFonts w:ascii="Times New Roman" w:hAnsi="Times New Roman" w:cs="Times New Roman"/>
          <w:sz w:val="24"/>
          <w:szCs w:val="24"/>
        </w:rPr>
        <w:t>aw 39 for the year 2021 required the Office to End Gender-Based Violence (ENDGBV) to conduct regular outreach to cosmetologists, meaning hair, nail, and skincare professionals, and post information on its website regarding the availability of resources related to domestic violence.</w:t>
      </w:r>
      <w:r w:rsidRPr="099D45F9">
        <w:rPr>
          <w:rStyle w:val="FootnoteReference"/>
          <w:rFonts w:ascii="Times New Roman" w:hAnsi="Times New Roman" w:cs="Times New Roman"/>
          <w:sz w:val="24"/>
          <w:szCs w:val="24"/>
        </w:rPr>
        <w:footnoteReference w:id="14"/>
      </w:r>
      <w:r w:rsidRPr="099D45F9">
        <w:rPr>
          <w:rFonts w:ascii="Times New Roman" w:hAnsi="Times New Roman" w:cs="Times New Roman"/>
          <w:sz w:val="24"/>
          <w:szCs w:val="24"/>
        </w:rPr>
        <w:t xml:space="preserve"> </w:t>
      </w:r>
    </w:p>
    <w:p w14:paraId="30FD88EE" w14:textId="42776DFC" w:rsidR="0052620E" w:rsidRDefault="0052620E" w:rsidP="0052620E">
      <w:pPr>
        <w:suppressLineNumbers/>
        <w:spacing w:after="0" w:line="480" w:lineRule="auto"/>
        <w:rPr>
          <w:rFonts w:ascii="Times New Roman" w:hAnsi="Times New Roman" w:cs="Times New Roman"/>
          <w:b/>
          <w:bCs/>
          <w:i/>
          <w:sz w:val="24"/>
          <w:szCs w:val="24"/>
        </w:rPr>
      </w:pPr>
      <w:r w:rsidRPr="0052620E">
        <w:rPr>
          <w:rFonts w:ascii="Times New Roman" w:hAnsi="Times New Roman" w:cs="Times New Roman"/>
          <w:b/>
          <w:bCs/>
          <w:i/>
          <w:sz w:val="24"/>
          <w:szCs w:val="24"/>
        </w:rPr>
        <w:t>Res. No. 889</w:t>
      </w:r>
    </w:p>
    <w:p w14:paraId="2EEA7B8D" w14:textId="6433C984" w:rsidR="0052620E" w:rsidRPr="0052620E" w:rsidRDefault="0052620E" w:rsidP="0052620E">
      <w:pPr>
        <w:suppressLineNumbers/>
        <w:spacing w:after="0" w:line="480" w:lineRule="auto"/>
        <w:ind w:firstLine="720"/>
        <w:rPr>
          <w:rFonts w:ascii="Times New Roman" w:eastAsia="Times New Roman" w:hAnsi="Times New Roman" w:cs="Times New Roman"/>
          <w:color w:val="000000" w:themeColor="text1"/>
          <w:sz w:val="24"/>
          <w:szCs w:val="24"/>
        </w:rPr>
      </w:pPr>
      <w:r w:rsidRPr="0052620E">
        <w:rPr>
          <w:rFonts w:ascii="Times New Roman" w:eastAsia="Times New Roman" w:hAnsi="Times New Roman" w:cs="Times New Roman"/>
          <w:color w:val="000000" w:themeColor="text1"/>
          <w:sz w:val="24"/>
          <w:szCs w:val="24"/>
        </w:rPr>
        <w:t xml:space="preserve">On June 24, 2022, the U.S. Supreme Court overturned </w:t>
      </w:r>
      <w:r w:rsidRPr="00D97346">
        <w:rPr>
          <w:rFonts w:ascii="Times New Roman" w:eastAsia="Times New Roman" w:hAnsi="Times New Roman" w:cs="Times New Roman"/>
          <w:i/>
          <w:iCs/>
          <w:color w:val="000000" w:themeColor="text1"/>
          <w:sz w:val="24"/>
          <w:szCs w:val="24"/>
        </w:rPr>
        <w:t>Roe v. Wade</w:t>
      </w:r>
      <w:r w:rsidRPr="0052620E">
        <w:rPr>
          <w:rFonts w:ascii="Times New Roman" w:eastAsia="Times New Roman" w:hAnsi="Times New Roman" w:cs="Times New Roman"/>
          <w:color w:val="000000" w:themeColor="text1"/>
          <w:sz w:val="24"/>
          <w:szCs w:val="24"/>
        </w:rPr>
        <w:t xml:space="preserve">, the longstanding legal precedent that </w:t>
      </w:r>
      <w:r w:rsidR="009E0658">
        <w:rPr>
          <w:rFonts w:ascii="Times New Roman" w:eastAsia="Times New Roman" w:hAnsi="Times New Roman" w:cs="Times New Roman"/>
          <w:color w:val="000000" w:themeColor="text1"/>
          <w:sz w:val="24"/>
          <w:szCs w:val="24"/>
        </w:rPr>
        <w:t>held</w:t>
      </w:r>
      <w:r w:rsidRPr="0052620E">
        <w:rPr>
          <w:rFonts w:ascii="Times New Roman" w:eastAsia="Times New Roman" w:hAnsi="Times New Roman" w:cs="Times New Roman"/>
          <w:color w:val="000000" w:themeColor="text1"/>
          <w:sz w:val="24"/>
          <w:szCs w:val="24"/>
        </w:rPr>
        <w:t xml:space="preserve"> that the right to abortion was protected by the United States Constitution.</w:t>
      </w:r>
      <w:r>
        <w:rPr>
          <w:rStyle w:val="FootnoteReference"/>
          <w:rFonts w:ascii="Times New Roman" w:eastAsia="Times New Roman" w:hAnsi="Times New Roman" w:cs="Times New Roman"/>
          <w:color w:val="000000" w:themeColor="text1"/>
          <w:sz w:val="24"/>
          <w:szCs w:val="24"/>
        </w:rPr>
        <w:footnoteReference w:id="15"/>
      </w:r>
      <w:r w:rsidRPr="0052620E">
        <w:rPr>
          <w:rFonts w:ascii="Times New Roman" w:eastAsia="Times New Roman" w:hAnsi="Times New Roman" w:cs="Times New Roman"/>
          <w:color w:val="000000" w:themeColor="text1"/>
          <w:sz w:val="24"/>
          <w:szCs w:val="24"/>
        </w:rPr>
        <w:t xml:space="preserve"> Despite the overturning of </w:t>
      </w:r>
      <w:r w:rsidRPr="009E0658">
        <w:rPr>
          <w:rFonts w:ascii="Times New Roman" w:eastAsia="Times New Roman" w:hAnsi="Times New Roman" w:cs="Times New Roman"/>
          <w:i/>
          <w:iCs/>
          <w:color w:val="000000" w:themeColor="text1"/>
          <w:sz w:val="24"/>
          <w:szCs w:val="24"/>
        </w:rPr>
        <w:t>Roe</w:t>
      </w:r>
      <w:r w:rsidRPr="0052620E">
        <w:rPr>
          <w:rFonts w:ascii="Times New Roman" w:eastAsia="Times New Roman" w:hAnsi="Times New Roman" w:cs="Times New Roman"/>
          <w:color w:val="000000" w:themeColor="text1"/>
          <w:sz w:val="24"/>
          <w:szCs w:val="24"/>
        </w:rPr>
        <w:t xml:space="preserve">, abortion remains legal in New York </w:t>
      </w:r>
      <w:r w:rsidR="00DE0198">
        <w:rPr>
          <w:rFonts w:ascii="Times New Roman" w:eastAsia="Times New Roman" w:hAnsi="Times New Roman" w:cs="Times New Roman"/>
          <w:color w:val="000000" w:themeColor="text1"/>
          <w:sz w:val="24"/>
          <w:szCs w:val="24"/>
        </w:rPr>
        <w:t>pursuant to</w:t>
      </w:r>
      <w:r w:rsidRPr="0052620E">
        <w:rPr>
          <w:rFonts w:ascii="Times New Roman" w:eastAsia="Times New Roman" w:hAnsi="Times New Roman" w:cs="Times New Roman"/>
          <w:color w:val="000000" w:themeColor="text1"/>
          <w:sz w:val="24"/>
          <w:szCs w:val="24"/>
        </w:rPr>
        <w:t xml:space="preserve"> statutory and state constitutional measures implemented to protect confidential access to abortion and reproductive healthcare.</w:t>
      </w:r>
      <w:r>
        <w:rPr>
          <w:rStyle w:val="FootnoteReference"/>
          <w:rFonts w:ascii="Times New Roman" w:eastAsia="Times New Roman" w:hAnsi="Times New Roman" w:cs="Times New Roman"/>
          <w:color w:val="000000" w:themeColor="text1"/>
          <w:sz w:val="24"/>
          <w:szCs w:val="24"/>
        </w:rPr>
        <w:footnoteReference w:id="16"/>
      </w:r>
      <w:r w:rsidRPr="0052620E">
        <w:rPr>
          <w:rFonts w:ascii="Times New Roman" w:eastAsia="Times New Roman" w:hAnsi="Times New Roman" w:cs="Times New Roman"/>
          <w:color w:val="000000" w:themeColor="text1"/>
          <w:sz w:val="24"/>
          <w:szCs w:val="24"/>
        </w:rPr>
        <w:t xml:space="preserve"> However, the current federal administration has repeatedly vowed to ban abortion nationwide and “imperil the ability of anyone to get an abortion anywhere in the country under any circumstance.”</w:t>
      </w:r>
      <w:r w:rsidR="000A7E29">
        <w:rPr>
          <w:rStyle w:val="FootnoteReference"/>
          <w:rFonts w:ascii="Times New Roman" w:eastAsia="Times New Roman" w:hAnsi="Times New Roman" w:cs="Times New Roman"/>
          <w:color w:val="000000" w:themeColor="text1"/>
          <w:sz w:val="24"/>
          <w:szCs w:val="24"/>
        </w:rPr>
        <w:footnoteReference w:id="17"/>
      </w:r>
      <w:r w:rsidRPr="0052620E">
        <w:rPr>
          <w:rFonts w:ascii="Times New Roman" w:eastAsia="Times New Roman" w:hAnsi="Times New Roman" w:cs="Times New Roman"/>
          <w:color w:val="000000" w:themeColor="text1"/>
          <w:sz w:val="24"/>
          <w:szCs w:val="24"/>
        </w:rPr>
        <w:t xml:space="preserve"> In the face of a federal administration that has promised to continue to challenge, threaten</w:t>
      </w:r>
      <w:r w:rsidR="00DE0198">
        <w:rPr>
          <w:rFonts w:ascii="Times New Roman" w:eastAsia="Times New Roman" w:hAnsi="Times New Roman" w:cs="Times New Roman"/>
          <w:color w:val="000000" w:themeColor="text1"/>
          <w:sz w:val="24"/>
          <w:szCs w:val="24"/>
        </w:rPr>
        <w:t>,</w:t>
      </w:r>
      <w:r w:rsidRPr="0052620E">
        <w:rPr>
          <w:rFonts w:ascii="Times New Roman" w:eastAsia="Times New Roman" w:hAnsi="Times New Roman" w:cs="Times New Roman"/>
          <w:color w:val="000000" w:themeColor="text1"/>
          <w:sz w:val="24"/>
          <w:szCs w:val="24"/>
        </w:rPr>
        <w:t xml:space="preserve"> and attempt to eradicate access to contraception and reproductive healthcare for all people, New York City has demonstrated a willingness and a broad and ongoing commitment to ensure reproductive healthcare services </w:t>
      </w:r>
      <w:r w:rsidR="00DE0198">
        <w:rPr>
          <w:rFonts w:ascii="Times New Roman" w:eastAsia="Times New Roman" w:hAnsi="Times New Roman" w:cs="Times New Roman"/>
          <w:color w:val="000000" w:themeColor="text1"/>
          <w:sz w:val="24"/>
          <w:szCs w:val="24"/>
        </w:rPr>
        <w:t>remain available</w:t>
      </w:r>
      <w:r w:rsidRPr="0052620E">
        <w:rPr>
          <w:rFonts w:ascii="Times New Roman" w:eastAsia="Times New Roman" w:hAnsi="Times New Roman" w:cs="Times New Roman"/>
          <w:color w:val="000000" w:themeColor="text1"/>
          <w:sz w:val="24"/>
          <w:szCs w:val="24"/>
        </w:rPr>
        <w:t>.</w:t>
      </w:r>
      <w:r w:rsidR="000A7E29">
        <w:rPr>
          <w:rStyle w:val="FootnoteReference"/>
          <w:rFonts w:ascii="Times New Roman" w:eastAsia="Times New Roman" w:hAnsi="Times New Roman" w:cs="Times New Roman"/>
          <w:color w:val="000000" w:themeColor="text1"/>
          <w:sz w:val="24"/>
          <w:szCs w:val="24"/>
        </w:rPr>
        <w:footnoteReference w:id="18"/>
      </w:r>
      <w:r w:rsidRPr="0052620E">
        <w:rPr>
          <w:rFonts w:ascii="Times New Roman" w:eastAsia="Times New Roman" w:hAnsi="Times New Roman" w:cs="Times New Roman"/>
          <w:color w:val="000000" w:themeColor="text1"/>
          <w:sz w:val="24"/>
          <w:szCs w:val="24"/>
        </w:rPr>
        <w:t xml:space="preserve"> This resolution declares New York City’s commitment to affirm and defend continued access for reproductive rights.</w:t>
      </w:r>
    </w:p>
    <w:p w14:paraId="71E25F06" w14:textId="5C9A8358" w:rsidR="00D6203D" w:rsidRDefault="00D6203D" w:rsidP="009E0C25">
      <w:pPr>
        <w:pStyle w:val="ListParagraph"/>
        <w:numPr>
          <w:ilvl w:val="0"/>
          <w:numId w:val="1"/>
        </w:numPr>
        <w:spacing w:after="0" w:line="480" w:lineRule="auto"/>
        <w:jc w:val="both"/>
        <w:rPr>
          <w:rFonts w:ascii="Times New Roman" w:hAnsi="Times New Roman" w:cs="Times New Roman"/>
          <w:b/>
          <w:bCs/>
          <w:smallCaps/>
          <w:sz w:val="24"/>
          <w:szCs w:val="24"/>
        </w:rPr>
      </w:pPr>
      <w:r>
        <w:rPr>
          <w:rFonts w:ascii="Times New Roman" w:hAnsi="Times New Roman" w:cs="Times New Roman"/>
          <w:b/>
          <w:bCs/>
          <w:smallCaps/>
          <w:sz w:val="24"/>
          <w:szCs w:val="24"/>
        </w:rPr>
        <w:t>Bill Analysis</w:t>
      </w:r>
    </w:p>
    <w:p w14:paraId="6B70865A" w14:textId="091CDBB4" w:rsidR="00B528EC" w:rsidRPr="00B528EC" w:rsidRDefault="00B528EC" w:rsidP="00B528EC">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Int. No. 1297</w:t>
      </w:r>
      <w:r w:rsidR="003D1753">
        <w:rPr>
          <w:rFonts w:ascii="Times New Roman" w:hAnsi="Times New Roman" w:cs="Times New Roman"/>
          <w:b/>
          <w:bCs/>
          <w:i/>
          <w:iCs/>
          <w:sz w:val="24"/>
          <w:szCs w:val="24"/>
        </w:rPr>
        <w:t>-A</w:t>
      </w:r>
    </w:p>
    <w:p w14:paraId="1467D5F2" w14:textId="0A21E945" w:rsidR="00D6203D" w:rsidRDefault="00D6203D" w:rsidP="00F46D78">
      <w:pPr>
        <w:tabs>
          <w:tab w:val="left" w:pos="90"/>
        </w:tabs>
        <w:spacing w:after="0" w:line="480" w:lineRule="auto"/>
        <w:ind w:firstLine="720"/>
        <w:rPr>
          <w:rFonts w:ascii="Times New Roman" w:eastAsia="Times New Roman" w:hAnsi="Times New Roman" w:cs="Times New Roman"/>
          <w:color w:val="000000" w:themeColor="text1"/>
          <w:sz w:val="24"/>
          <w:szCs w:val="24"/>
        </w:rPr>
      </w:pPr>
      <w:r w:rsidRPr="099D45F9">
        <w:rPr>
          <w:rFonts w:ascii="Times New Roman" w:eastAsia="Times New Roman" w:hAnsi="Times New Roman" w:cs="Times New Roman"/>
          <w:color w:val="000000" w:themeColor="text1"/>
          <w:sz w:val="24"/>
          <w:szCs w:val="24"/>
        </w:rPr>
        <w:t xml:space="preserve">This bill would </w:t>
      </w:r>
      <w:r w:rsidR="6ACB3901" w:rsidRPr="099D45F9">
        <w:rPr>
          <w:rFonts w:ascii="Times New Roman" w:eastAsia="Times New Roman" w:hAnsi="Times New Roman" w:cs="Times New Roman"/>
          <w:color w:val="000000" w:themeColor="text1"/>
          <w:sz w:val="24"/>
          <w:szCs w:val="24"/>
        </w:rPr>
        <w:t>create a new civil cause of action for crimes of violence motivated by gender that occurred prior to January 9, 2022</w:t>
      </w:r>
      <w:r w:rsidR="00F46D78">
        <w:rPr>
          <w:rFonts w:ascii="Times New Roman" w:eastAsia="Times New Roman" w:hAnsi="Times New Roman" w:cs="Times New Roman"/>
          <w:color w:val="000000" w:themeColor="text1"/>
          <w:sz w:val="24"/>
          <w:szCs w:val="24"/>
        </w:rPr>
        <w:t>.</w:t>
      </w:r>
      <w:r w:rsidR="00F46D78" w:rsidRPr="099D45F9">
        <w:rPr>
          <w:rFonts w:ascii="Times New Roman" w:eastAsia="Times New Roman" w:hAnsi="Times New Roman" w:cs="Times New Roman"/>
          <w:color w:val="000000" w:themeColor="text1"/>
          <w:sz w:val="24"/>
          <w:szCs w:val="24"/>
        </w:rPr>
        <w:t xml:space="preserve"> </w:t>
      </w:r>
      <w:r w:rsidR="6ACB3901" w:rsidRPr="099D45F9">
        <w:rPr>
          <w:rFonts w:ascii="Times New Roman" w:eastAsia="Times New Roman" w:hAnsi="Times New Roman" w:cs="Times New Roman"/>
          <w:color w:val="000000" w:themeColor="text1"/>
          <w:sz w:val="24"/>
          <w:szCs w:val="24"/>
        </w:rPr>
        <w:t xml:space="preserve">Any person claiming to be injured by a party who </w:t>
      </w:r>
      <w:r w:rsidR="00F46D78" w:rsidRPr="099D45F9">
        <w:rPr>
          <w:rFonts w:ascii="Times New Roman" w:eastAsia="Times New Roman" w:hAnsi="Times New Roman" w:cs="Times New Roman"/>
          <w:color w:val="000000" w:themeColor="text1"/>
          <w:sz w:val="24"/>
          <w:szCs w:val="24"/>
        </w:rPr>
        <w:t>commit</w:t>
      </w:r>
      <w:r w:rsidR="00F46D78">
        <w:rPr>
          <w:rFonts w:ascii="Times New Roman" w:eastAsia="Times New Roman" w:hAnsi="Times New Roman" w:cs="Times New Roman"/>
          <w:color w:val="000000" w:themeColor="text1"/>
          <w:sz w:val="24"/>
          <w:szCs w:val="24"/>
        </w:rPr>
        <w:t>ted</w:t>
      </w:r>
      <w:r w:rsidR="6ACB3901" w:rsidRPr="099D45F9">
        <w:rPr>
          <w:rFonts w:ascii="Times New Roman" w:eastAsia="Times New Roman" w:hAnsi="Times New Roman" w:cs="Times New Roman"/>
          <w:color w:val="000000" w:themeColor="text1"/>
          <w:sz w:val="24"/>
          <w:szCs w:val="24"/>
        </w:rPr>
        <w:t xml:space="preserve">, </w:t>
      </w:r>
      <w:r w:rsidR="00F46D78" w:rsidRPr="099D45F9">
        <w:rPr>
          <w:rFonts w:ascii="Times New Roman" w:eastAsia="Times New Roman" w:hAnsi="Times New Roman" w:cs="Times New Roman"/>
          <w:color w:val="000000" w:themeColor="text1"/>
          <w:sz w:val="24"/>
          <w:szCs w:val="24"/>
        </w:rPr>
        <w:t>direct</w:t>
      </w:r>
      <w:r w:rsidR="00F46D78">
        <w:rPr>
          <w:rFonts w:ascii="Times New Roman" w:eastAsia="Times New Roman" w:hAnsi="Times New Roman" w:cs="Times New Roman"/>
          <w:color w:val="000000" w:themeColor="text1"/>
          <w:sz w:val="24"/>
          <w:szCs w:val="24"/>
        </w:rPr>
        <w:t>ed</w:t>
      </w:r>
      <w:r w:rsidR="6ACB3901" w:rsidRPr="099D45F9">
        <w:rPr>
          <w:rFonts w:ascii="Times New Roman" w:eastAsia="Times New Roman" w:hAnsi="Times New Roman" w:cs="Times New Roman"/>
          <w:color w:val="000000" w:themeColor="text1"/>
          <w:sz w:val="24"/>
          <w:szCs w:val="24"/>
        </w:rPr>
        <w:t xml:space="preserve">, </w:t>
      </w:r>
      <w:r w:rsidR="00F46D78" w:rsidRPr="099D45F9">
        <w:rPr>
          <w:rFonts w:ascii="Times New Roman" w:eastAsia="Times New Roman" w:hAnsi="Times New Roman" w:cs="Times New Roman"/>
          <w:color w:val="000000" w:themeColor="text1"/>
          <w:sz w:val="24"/>
          <w:szCs w:val="24"/>
        </w:rPr>
        <w:t>enable</w:t>
      </w:r>
      <w:r w:rsidR="00F46D78">
        <w:rPr>
          <w:rFonts w:ascii="Times New Roman" w:eastAsia="Times New Roman" w:hAnsi="Times New Roman" w:cs="Times New Roman"/>
          <w:color w:val="000000" w:themeColor="text1"/>
          <w:sz w:val="24"/>
          <w:szCs w:val="24"/>
        </w:rPr>
        <w:t>d</w:t>
      </w:r>
      <w:r w:rsidR="6ACB3901" w:rsidRPr="099D45F9">
        <w:rPr>
          <w:rFonts w:ascii="Times New Roman" w:eastAsia="Times New Roman" w:hAnsi="Times New Roman" w:cs="Times New Roman"/>
          <w:color w:val="000000" w:themeColor="text1"/>
          <w:sz w:val="24"/>
          <w:szCs w:val="24"/>
        </w:rPr>
        <w:t>, participate</w:t>
      </w:r>
      <w:r w:rsidR="00F46D78">
        <w:rPr>
          <w:rFonts w:ascii="Times New Roman" w:eastAsia="Times New Roman" w:hAnsi="Times New Roman" w:cs="Times New Roman"/>
          <w:color w:val="000000" w:themeColor="text1"/>
          <w:sz w:val="24"/>
          <w:szCs w:val="24"/>
        </w:rPr>
        <w:t>d</w:t>
      </w:r>
      <w:r w:rsidR="6ACB3901" w:rsidRPr="099D45F9">
        <w:rPr>
          <w:rFonts w:ascii="Times New Roman" w:eastAsia="Times New Roman" w:hAnsi="Times New Roman" w:cs="Times New Roman"/>
          <w:color w:val="000000" w:themeColor="text1"/>
          <w:sz w:val="24"/>
          <w:szCs w:val="24"/>
        </w:rPr>
        <w:t xml:space="preserve"> in, or </w:t>
      </w:r>
      <w:r w:rsidR="00F46D78" w:rsidRPr="099D45F9">
        <w:rPr>
          <w:rFonts w:ascii="Times New Roman" w:eastAsia="Times New Roman" w:hAnsi="Times New Roman" w:cs="Times New Roman"/>
          <w:color w:val="000000" w:themeColor="text1"/>
          <w:sz w:val="24"/>
          <w:szCs w:val="24"/>
        </w:rPr>
        <w:t>conspire</w:t>
      </w:r>
      <w:r w:rsidR="00F46D78">
        <w:rPr>
          <w:rFonts w:ascii="Times New Roman" w:eastAsia="Times New Roman" w:hAnsi="Times New Roman" w:cs="Times New Roman"/>
          <w:color w:val="000000" w:themeColor="text1"/>
          <w:sz w:val="24"/>
          <w:szCs w:val="24"/>
        </w:rPr>
        <w:t>d</w:t>
      </w:r>
      <w:r w:rsidR="00F46D78" w:rsidRPr="099D45F9">
        <w:rPr>
          <w:rFonts w:ascii="Times New Roman" w:eastAsia="Times New Roman" w:hAnsi="Times New Roman" w:cs="Times New Roman"/>
          <w:color w:val="000000" w:themeColor="text1"/>
          <w:sz w:val="24"/>
          <w:szCs w:val="24"/>
        </w:rPr>
        <w:t xml:space="preserve"> </w:t>
      </w:r>
      <w:r w:rsidR="6ACB3901" w:rsidRPr="099D45F9">
        <w:rPr>
          <w:rFonts w:ascii="Times New Roman" w:eastAsia="Times New Roman" w:hAnsi="Times New Roman" w:cs="Times New Roman"/>
          <w:color w:val="000000" w:themeColor="text1"/>
          <w:sz w:val="24"/>
          <w:szCs w:val="24"/>
        </w:rPr>
        <w:t>in the commission of a crime of violence motivated by gender may bring a civil claim against that party</w:t>
      </w:r>
      <w:r w:rsidR="009C5DAC">
        <w:rPr>
          <w:rFonts w:ascii="Times New Roman" w:eastAsia="Times New Roman" w:hAnsi="Times New Roman" w:cs="Times New Roman"/>
          <w:color w:val="000000" w:themeColor="text1"/>
          <w:sz w:val="24"/>
          <w:szCs w:val="24"/>
        </w:rPr>
        <w:t xml:space="preserve"> for that injury.</w:t>
      </w:r>
      <w:r w:rsidR="00F46D78">
        <w:rPr>
          <w:rFonts w:ascii="Times New Roman" w:eastAsia="Times New Roman" w:hAnsi="Times New Roman" w:cs="Times New Roman"/>
          <w:color w:val="000000" w:themeColor="text1"/>
          <w:sz w:val="24"/>
          <w:szCs w:val="24"/>
        </w:rPr>
        <w:t xml:space="preserve"> </w:t>
      </w:r>
      <w:r w:rsidR="1CAF6F0A" w:rsidRPr="099D45F9">
        <w:rPr>
          <w:rFonts w:ascii="Times New Roman" w:eastAsia="Times New Roman" w:hAnsi="Times New Roman" w:cs="Times New Roman"/>
          <w:color w:val="000000" w:themeColor="text1"/>
          <w:sz w:val="24"/>
          <w:szCs w:val="24"/>
        </w:rPr>
        <w:t xml:space="preserve">This cause of action </w:t>
      </w:r>
      <w:r w:rsidR="00F46D78">
        <w:rPr>
          <w:rFonts w:ascii="Times New Roman" w:eastAsia="Times New Roman" w:hAnsi="Times New Roman" w:cs="Times New Roman"/>
          <w:color w:val="000000" w:themeColor="text1"/>
          <w:sz w:val="24"/>
          <w:szCs w:val="24"/>
        </w:rPr>
        <w:t>would allow for claims based on</w:t>
      </w:r>
      <w:r w:rsidR="1CAF6F0A" w:rsidRPr="099D45F9">
        <w:rPr>
          <w:rFonts w:ascii="Times New Roman" w:eastAsia="Times New Roman" w:hAnsi="Times New Roman" w:cs="Times New Roman"/>
          <w:color w:val="000000" w:themeColor="text1"/>
          <w:sz w:val="24"/>
          <w:szCs w:val="24"/>
        </w:rPr>
        <w:t xml:space="preserve"> crimes of violence motivated by gender </w:t>
      </w:r>
      <w:r w:rsidR="00F46D78">
        <w:rPr>
          <w:rFonts w:ascii="Times New Roman" w:eastAsia="Times New Roman" w:hAnsi="Times New Roman" w:cs="Times New Roman"/>
          <w:color w:val="000000" w:themeColor="text1"/>
          <w:sz w:val="24"/>
          <w:szCs w:val="24"/>
        </w:rPr>
        <w:t>that occurred both prior to the enactment of the 2022 GMVA Amendment,</w:t>
      </w:r>
      <w:r w:rsidR="1CAF6F0A" w:rsidRPr="099D45F9">
        <w:rPr>
          <w:rFonts w:ascii="Times New Roman" w:eastAsia="Times New Roman" w:hAnsi="Times New Roman" w:cs="Times New Roman"/>
          <w:color w:val="000000" w:themeColor="text1"/>
          <w:sz w:val="24"/>
          <w:szCs w:val="24"/>
        </w:rPr>
        <w:t xml:space="preserve"> </w:t>
      </w:r>
      <w:r w:rsidR="503C93D7" w:rsidRPr="099D45F9">
        <w:rPr>
          <w:rFonts w:ascii="Times New Roman" w:eastAsia="Times New Roman" w:hAnsi="Times New Roman" w:cs="Times New Roman"/>
          <w:color w:val="000000" w:themeColor="text1"/>
          <w:sz w:val="24"/>
          <w:szCs w:val="24"/>
        </w:rPr>
        <w:t>and</w:t>
      </w:r>
      <w:r w:rsidR="1CAF6F0A" w:rsidRPr="099D45F9">
        <w:rPr>
          <w:rFonts w:ascii="Times New Roman" w:eastAsia="Times New Roman" w:hAnsi="Times New Roman" w:cs="Times New Roman"/>
          <w:color w:val="000000" w:themeColor="text1"/>
          <w:sz w:val="24"/>
          <w:szCs w:val="24"/>
        </w:rPr>
        <w:t xml:space="preserve"> pri</w:t>
      </w:r>
      <w:r w:rsidR="0355036C" w:rsidRPr="099D45F9">
        <w:rPr>
          <w:rFonts w:ascii="Times New Roman" w:eastAsia="Times New Roman" w:hAnsi="Times New Roman" w:cs="Times New Roman"/>
          <w:color w:val="000000" w:themeColor="text1"/>
          <w:sz w:val="24"/>
          <w:szCs w:val="24"/>
        </w:rPr>
        <w:t xml:space="preserve">or to </w:t>
      </w:r>
      <w:r w:rsidR="00F46D78">
        <w:rPr>
          <w:rFonts w:ascii="Times New Roman" w:eastAsia="Times New Roman" w:hAnsi="Times New Roman" w:cs="Times New Roman"/>
          <w:color w:val="000000" w:themeColor="text1"/>
          <w:sz w:val="24"/>
          <w:szCs w:val="24"/>
        </w:rPr>
        <w:t xml:space="preserve">the </w:t>
      </w:r>
      <w:r w:rsidR="0355036C" w:rsidRPr="099D45F9">
        <w:rPr>
          <w:rFonts w:ascii="Times New Roman" w:eastAsia="Times New Roman" w:hAnsi="Times New Roman" w:cs="Times New Roman"/>
          <w:color w:val="000000" w:themeColor="text1"/>
          <w:sz w:val="24"/>
          <w:szCs w:val="24"/>
        </w:rPr>
        <w:t xml:space="preserve">enactment </w:t>
      </w:r>
      <w:r w:rsidR="00F46D78">
        <w:rPr>
          <w:rFonts w:ascii="Times New Roman" w:eastAsia="Times New Roman" w:hAnsi="Times New Roman" w:cs="Times New Roman"/>
          <w:color w:val="000000" w:themeColor="text1"/>
          <w:sz w:val="24"/>
          <w:szCs w:val="24"/>
        </w:rPr>
        <w:t xml:space="preserve">of the GMVA </w:t>
      </w:r>
      <w:r w:rsidR="0355036C" w:rsidRPr="099D45F9">
        <w:rPr>
          <w:rFonts w:ascii="Times New Roman" w:eastAsia="Times New Roman" w:hAnsi="Times New Roman" w:cs="Times New Roman"/>
          <w:color w:val="000000" w:themeColor="text1"/>
          <w:sz w:val="24"/>
          <w:szCs w:val="24"/>
        </w:rPr>
        <w:t xml:space="preserve">in 2000. </w:t>
      </w:r>
      <w:r w:rsidR="6ACB3901" w:rsidRPr="099D45F9">
        <w:rPr>
          <w:rFonts w:ascii="Times New Roman" w:eastAsia="Times New Roman" w:hAnsi="Times New Roman" w:cs="Times New Roman"/>
          <w:color w:val="000000" w:themeColor="text1"/>
          <w:sz w:val="24"/>
          <w:szCs w:val="24"/>
        </w:rPr>
        <w:t xml:space="preserve">The claims brought under this </w:t>
      </w:r>
      <w:r w:rsidR="00F46D78">
        <w:rPr>
          <w:rFonts w:ascii="Times New Roman" w:eastAsia="Times New Roman" w:hAnsi="Times New Roman" w:cs="Times New Roman"/>
          <w:color w:val="000000" w:themeColor="text1"/>
          <w:sz w:val="24"/>
          <w:szCs w:val="24"/>
        </w:rPr>
        <w:t xml:space="preserve">law would be required to </w:t>
      </w:r>
      <w:r w:rsidR="00B24BC6">
        <w:rPr>
          <w:rFonts w:ascii="Times New Roman" w:eastAsia="Times New Roman" w:hAnsi="Times New Roman" w:cs="Times New Roman"/>
          <w:color w:val="000000" w:themeColor="text1"/>
          <w:sz w:val="24"/>
          <w:szCs w:val="24"/>
        </w:rPr>
        <w:t>commence</w:t>
      </w:r>
      <w:r w:rsidR="6ACB3901" w:rsidRPr="099D45F9">
        <w:rPr>
          <w:rFonts w:ascii="Times New Roman" w:eastAsia="Times New Roman" w:hAnsi="Times New Roman" w:cs="Times New Roman"/>
          <w:color w:val="000000" w:themeColor="text1"/>
          <w:sz w:val="24"/>
          <w:szCs w:val="24"/>
        </w:rPr>
        <w:t xml:space="preserve"> within 18 months of the effective date of the local law. </w:t>
      </w:r>
      <w:r w:rsidR="00F46D78">
        <w:rPr>
          <w:rFonts w:ascii="Times New Roman" w:eastAsia="Times New Roman" w:hAnsi="Times New Roman" w:cs="Times New Roman"/>
          <w:color w:val="000000" w:themeColor="text1"/>
          <w:sz w:val="24"/>
          <w:szCs w:val="24"/>
        </w:rPr>
        <w:t xml:space="preserve">The bill </w:t>
      </w:r>
      <w:r w:rsidR="005516DC">
        <w:rPr>
          <w:rFonts w:ascii="Times New Roman" w:eastAsia="Times New Roman" w:hAnsi="Times New Roman" w:cs="Times New Roman"/>
          <w:color w:val="000000" w:themeColor="text1"/>
          <w:sz w:val="24"/>
          <w:szCs w:val="24"/>
        </w:rPr>
        <w:t xml:space="preserve">also </w:t>
      </w:r>
      <w:r w:rsidR="00F46D78">
        <w:rPr>
          <w:rFonts w:ascii="Times New Roman" w:eastAsia="Times New Roman" w:hAnsi="Times New Roman" w:cs="Times New Roman"/>
          <w:color w:val="000000" w:themeColor="text1"/>
          <w:sz w:val="24"/>
          <w:szCs w:val="24"/>
        </w:rPr>
        <w:t>provides that a</w:t>
      </w:r>
      <w:r w:rsidR="6ACB3901" w:rsidRPr="099D45F9">
        <w:rPr>
          <w:rFonts w:ascii="Times New Roman" w:eastAsia="Times New Roman" w:hAnsi="Times New Roman" w:cs="Times New Roman"/>
          <w:color w:val="000000" w:themeColor="text1"/>
          <w:sz w:val="24"/>
          <w:szCs w:val="24"/>
        </w:rPr>
        <w:t xml:space="preserve">ny person who brought a claim between March 1, </w:t>
      </w:r>
      <w:r w:rsidR="71B2E462" w:rsidRPr="099D45F9">
        <w:rPr>
          <w:rFonts w:ascii="Times New Roman" w:eastAsia="Times New Roman" w:hAnsi="Times New Roman" w:cs="Times New Roman"/>
          <w:color w:val="000000" w:themeColor="text1"/>
          <w:sz w:val="24"/>
          <w:szCs w:val="24"/>
        </w:rPr>
        <w:t>2023,</w:t>
      </w:r>
      <w:r w:rsidR="6ACB3901" w:rsidRPr="099D45F9">
        <w:rPr>
          <w:rFonts w:ascii="Times New Roman" w:eastAsia="Times New Roman" w:hAnsi="Times New Roman" w:cs="Times New Roman"/>
          <w:color w:val="000000" w:themeColor="text1"/>
          <w:sz w:val="24"/>
          <w:szCs w:val="24"/>
        </w:rPr>
        <w:t xml:space="preserve"> and March 1, </w:t>
      </w:r>
      <w:r w:rsidR="6AC585CC" w:rsidRPr="099D45F9">
        <w:rPr>
          <w:rFonts w:ascii="Times New Roman" w:eastAsia="Times New Roman" w:hAnsi="Times New Roman" w:cs="Times New Roman"/>
          <w:color w:val="000000" w:themeColor="text1"/>
          <w:sz w:val="24"/>
          <w:szCs w:val="24"/>
        </w:rPr>
        <w:t>2025,</w:t>
      </w:r>
      <w:r w:rsidR="6ACB3901" w:rsidRPr="099D45F9">
        <w:rPr>
          <w:rFonts w:ascii="Times New Roman" w:eastAsia="Times New Roman" w:hAnsi="Times New Roman" w:cs="Times New Roman"/>
          <w:color w:val="000000" w:themeColor="text1"/>
          <w:sz w:val="24"/>
          <w:szCs w:val="24"/>
        </w:rPr>
        <w:t xml:space="preserve"> that would satisfy the requirements of a cause of action under this </w:t>
      </w:r>
      <w:r w:rsidR="00F46D78">
        <w:rPr>
          <w:rFonts w:ascii="Times New Roman" w:eastAsia="Times New Roman" w:hAnsi="Times New Roman" w:cs="Times New Roman"/>
          <w:color w:val="000000" w:themeColor="text1"/>
          <w:sz w:val="24"/>
          <w:szCs w:val="24"/>
        </w:rPr>
        <w:t xml:space="preserve">new </w:t>
      </w:r>
      <w:r w:rsidR="6ACB3901" w:rsidRPr="099D45F9">
        <w:rPr>
          <w:rFonts w:ascii="Times New Roman" w:eastAsia="Times New Roman" w:hAnsi="Times New Roman" w:cs="Times New Roman"/>
          <w:color w:val="000000" w:themeColor="text1"/>
          <w:sz w:val="24"/>
          <w:szCs w:val="24"/>
        </w:rPr>
        <w:t xml:space="preserve">section </w:t>
      </w:r>
      <w:r w:rsidR="00F46D78">
        <w:rPr>
          <w:rFonts w:ascii="Times New Roman" w:eastAsia="Times New Roman" w:hAnsi="Times New Roman" w:cs="Times New Roman"/>
          <w:color w:val="000000" w:themeColor="text1"/>
          <w:sz w:val="24"/>
          <w:szCs w:val="24"/>
        </w:rPr>
        <w:t>would be able to</w:t>
      </w:r>
      <w:r w:rsidR="00F46D78" w:rsidRPr="099D45F9">
        <w:rPr>
          <w:rFonts w:ascii="Times New Roman" w:eastAsia="Times New Roman" w:hAnsi="Times New Roman" w:cs="Times New Roman"/>
          <w:color w:val="000000" w:themeColor="text1"/>
          <w:sz w:val="24"/>
          <w:szCs w:val="24"/>
        </w:rPr>
        <w:t xml:space="preserve"> </w:t>
      </w:r>
      <w:r w:rsidR="6ACB3901" w:rsidRPr="099D45F9">
        <w:rPr>
          <w:rFonts w:ascii="Times New Roman" w:eastAsia="Times New Roman" w:hAnsi="Times New Roman" w:cs="Times New Roman"/>
          <w:color w:val="000000" w:themeColor="text1"/>
          <w:sz w:val="24"/>
          <w:szCs w:val="24"/>
        </w:rPr>
        <w:t>amend or refile their claim to add a cause of action under this section.</w:t>
      </w:r>
    </w:p>
    <w:p w14:paraId="29B80C26" w14:textId="344119F2" w:rsidR="00D6203D" w:rsidRDefault="120A0A52" w:rsidP="00D97346">
      <w:pPr>
        <w:tabs>
          <w:tab w:val="left" w:pos="990"/>
          <w:tab w:val="left" w:pos="1170"/>
        </w:tabs>
        <w:spacing w:after="0" w:line="480" w:lineRule="auto"/>
        <w:ind w:firstLine="720"/>
        <w:rPr>
          <w:rFonts w:ascii="Times New Roman" w:eastAsia="Times New Roman" w:hAnsi="Times New Roman" w:cs="Times New Roman"/>
          <w:color w:val="000000" w:themeColor="text1"/>
          <w:sz w:val="24"/>
          <w:szCs w:val="24"/>
        </w:rPr>
      </w:pPr>
      <w:r w:rsidRPr="099D45F9">
        <w:rPr>
          <w:rFonts w:ascii="Times New Roman" w:eastAsia="Times New Roman" w:hAnsi="Times New Roman" w:cs="Times New Roman"/>
          <w:sz w:val="24"/>
          <w:szCs w:val="24"/>
        </w:rPr>
        <w:t>Since its initial hearing, the bill was amended to establish the new cause of action in its own section</w:t>
      </w:r>
      <w:r w:rsidR="00F46D78">
        <w:rPr>
          <w:rFonts w:ascii="Times New Roman" w:eastAsia="Times New Roman" w:hAnsi="Times New Roman" w:cs="Times New Roman"/>
          <w:sz w:val="24"/>
          <w:szCs w:val="24"/>
        </w:rPr>
        <w:t xml:space="preserve"> of the administrative code</w:t>
      </w:r>
      <w:r w:rsidR="763A5D7B" w:rsidRPr="099D45F9">
        <w:rPr>
          <w:rFonts w:ascii="Times New Roman" w:eastAsia="Times New Roman" w:hAnsi="Times New Roman" w:cs="Times New Roman"/>
          <w:sz w:val="24"/>
          <w:szCs w:val="24"/>
        </w:rPr>
        <w:t>.</w:t>
      </w:r>
      <w:r w:rsidRPr="099D45F9">
        <w:rPr>
          <w:rFonts w:ascii="Times New Roman" w:eastAsia="Times New Roman" w:hAnsi="Times New Roman" w:cs="Times New Roman"/>
          <w:sz w:val="24"/>
          <w:szCs w:val="24"/>
        </w:rPr>
        <w:t xml:space="preserve"> The bill also received technical edits.</w:t>
      </w:r>
      <w:r w:rsidR="00F46D78">
        <w:rPr>
          <w:rFonts w:ascii="Times New Roman" w:eastAsia="Times New Roman" w:hAnsi="Times New Roman" w:cs="Times New Roman"/>
          <w:sz w:val="24"/>
          <w:szCs w:val="24"/>
        </w:rPr>
        <w:t xml:space="preserve"> </w:t>
      </w:r>
      <w:r w:rsidR="00D6203D" w:rsidRPr="099D45F9">
        <w:rPr>
          <w:rFonts w:ascii="Times New Roman" w:eastAsia="Times New Roman" w:hAnsi="Times New Roman" w:cs="Times New Roman"/>
          <w:color w:val="000000" w:themeColor="text1"/>
          <w:sz w:val="24"/>
          <w:szCs w:val="24"/>
        </w:rPr>
        <w:t>The bill would take effect immediately after it becomes law.</w:t>
      </w:r>
    </w:p>
    <w:p w14:paraId="69118E90" w14:textId="27407F48" w:rsidR="0027025F" w:rsidRDefault="0027025F" w:rsidP="0027025F">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 xml:space="preserve">Int. No. </w:t>
      </w:r>
      <w:r>
        <w:rPr>
          <w:rFonts w:ascii="Times New Roman" w:hAnsi="Times New Roman" w:cs="Times New Roman"/>
          <w:b/>
          <w:bCs/>
          <w:i/>
          <w:iCs/>
          <w:sz w:val="24"/>
          <w:szCs w:val="24"/>
        </w:rPr>
        <w:t>691</w:t>
      </w:r>
      <w:r w:rsidR="00213391">
        <w:rPr>
          <w:rFonts w:ascii="Times New Roman" w:hAnsi="Times New Roman" w:cs="Times New Roman"/>
          <w:b/>
          <w:bCs/>
          <w:i/>
          <w:iCs/>
          <w:sz w:val="24"/>
          <w:szCs w:val="24"/>
        </w:rPr>
        <w:t>-A</w:t>
      </w:r>
    </w:p>
    <w:p w14:paraId="6606F345" w14:textId="7A62B16A" w:rsidR="00213391" w:rsidRDefault="0027025F" w:rsidP="099D45F9">
      <w:pPr>
        <w:suppressLineNumbers/>
        <w:spacing w:after="0" w:line="480" w:lineRule="auto"/>
        <w:ind w:firstLine="720"/>
        <w:rPr>
          <w:rFonts w:ascii="Times New Roman" w:hAnsi="Times New Roman" w:cs="Times New Roman"/>
          <w:sz w:val="24"/>
          <w:szCs w:val="24"/>
        </w:rPr>
      </w:pPr>
      <w:r w:rsidRPr="099D45F9">
        <w:rPr>
          <w:rFonts w:ascii="Times New Roman" w:hAnsi="Times New Roman" w:cs="Times New Roman"/>
          <w:sz w:val="24"/>
          <w:szCs w:val="24"/>
        </w:rPr>
        <w:t>Int. No. 691</w:t>
      </w:r>
      <w:r w:rsidR="00213391" w:rsidRPr="099D45F9">
        <w:rPr>
          <w:rFonts w:ascii="Times New Roman" w:hAnsi="Times New Roman" w:cs="Times New Roman"/>
          <w:sz w:val="24"/>
          <w:szCs w:val="24"/>
        </w:rPr>
        <w:t>-A</w:t>
      </w:r>
      <w:r w:rsidRPr="099D45F9">
        <w:rPr>
          <w:rFonts w:ascii="Times New Roman" w:hAnsi="Times New Roman" w:cs="Times New Roman"/>
          <w:sz w:val="24"/>
          <w:szCs w:val="24"/>
        </w:rPr>
        <w:t xml:space="preserve"> would require the </w:t>
      </w:r>
      <w:r w:rsidR="00DE0198">
        <w:rPr>
          <w:rFonts w:ascii="Times New Roman" w:hAnsi="Times New Roman" w:cs="Times New Roman"/>
          <w:sz w:val="24"/>
          <w:szCs w:val="24"/>
        </w:rPr>
        <w:t>DOE</w:t>
      </w:r>
      <w:r w:rsidRPr="099D45F9">
        <w:rPr>
          <w:rFonts w:ascii="Times New Roman" w:hAnsi="Times New Roman" w:cs="Times New Roman"/>
          <w:sz w:val="24"/>
          <w:szCs w:val="24"/>
        </w:rPr>
        <w:t xml:space="preserve"> </w:t>
      </w:r>
      <w:r w:rsidR="4E3E0033" w:rsidRPr="099D45F9">
        <w:rPr>
          <w:rFonts w:ascii="Times New Roman" w:hAnsi="Times New Roman" w:cs="Times New Roman"/>
          <w:sz w:val="24"/>
          <w:szCs w:val="24"/>
        </w:rPr>
        <w:t xml:space="preserve">to solicit feedback from high school students about their experiences with </w:t>
      </w:r>
      <w:r w:rsidR="00DE0198">
        <w:rPr>
          <w:rFonts w:ascii="Times New Roman" w:hAnsi="Times New Roman" w:cs="Times New Roman"/>
          <w:sz w:val="24"/>
          <w:szCs w:val="24"/>
        </w:rPr>
        <w:t xml:space="preserve">STEM </w:t>
      </w:r>
      <w:r w:rsidR="4E3E0033" w:rsidRPr="099D45F9">
        <w:rPr>
          <w:rFonts w:ascii="Times New Roman" w:hAnsi="Times New Roman" w:cs="Times New Roman"/>
          <w:sz w:val="24"/>
          <w:szCs w:val="24"/>
        </w:rPr>
        <w:t>education, including questions to help ascertain the reasons for any racial and gender disparities in enrollment in STEM activities</w:t>
      </w:r>
      <w:r w:rsidR="583B2F76" w:rsidRPr="099D45F9">
        <w:rPr>
          <w:rFonts w:ascii="Times New Roman" w:hAnsi="Times New Roman" w:cs="Times New Roman"/>
          <w:sz w:val="24"/>
          <w:szCs w:val="24"/>
        </w:rPr>
        <w:t>, beginning in 2027</w:t>
      </w:r>
      <w:r w:rsidR="4E3E0033" w:rsidRPr="099D45F9">
        <w:rPr>
          <w:rFonts w:ascii="Times New Roman" w:hAnsi="Times New Roman" w:cs="Times New Roman"/>
          <w:sz w:val="24"/>
          <w:szCs w:val="24"/>
        </w:rPr>
        <w:t>.</w:t>
      </w:r>
      <w:r w:rsidR="04D5BB4A" w:rsidRPr="099D45F9">
        <w:rPr>
          <w:rFonts w:ascii="Times New Roman" w:hAnsi="Times New Roman" w:cs="Times New Roman"/>
          <w:sz w:val="24"/>
          <w:szCs w:val="24"/>
        </w:rPr>
        <w:t xml:space="preserve"> Beginning in 2028, </w:t>
      </w:r>
      <w:r w:rsidR="4E3E0033" w:rsidRPr="099D45F9">
        <w:rPr>
          <w:rFonts w:ascii="Times New Roman" w:hAnsi="Times New Roman" w:cs="Times New Roman"/>
          <w:sz w:val="24"/>
          <w:szCs w:val="24"/>
        </w:rPr>
        <w:t xml:space="preserve">DOE would be required to annually report on the methodology of requesting feedback and </w:t>
      </w:r>
      <w:r w:rsidR="5014AF78" w:rsidRPr="099D45F9">
        <w:rPr>
          <w:rFonts w:ascii="Times New Roman" w:hAnsi="Times New Roman" w:cs="Times New Roman"/>
          <w:sz w:val="24"/>
          <w:szCs w:val="24"/>
        </w:rPr>
        <w:t xml:space="preserve">provide a narrative summary of </w:t>
      </w:r>
      <w:r w:rsidR="4E3E0033" w:rsidRPr="099D45F9">
        <w:rPr>
          <w:rFonts w:ascii="Times New Roman" w:hAnsi="Times New Roman" w:cs="Times New Roman"/>
          <w:sz w:val="24"/>
          <w:szCs w:val="24"/>
        </w:rPr>
        <w:t xml:space="preserve">the feedback received. </w:t>
      </w:r>
    </w:p>
    <w:p w14:paraId="345EE126" w14:textId="3F5D7DD4" w:rsidR="0BA8C100" w:rsidRDefault="0BA8C100" w:rsidP="099D45F9">
      <w:pPr>
        <w:suppressLineNumbers/>
        <w:spacing w:after="0" w:line="480" w:lineRule="auto"/>
        <w:ind w:firstLine="720"/>
        <w:rPr>
          <w:rFonts w:ascii="Times New Roman" w:hAnsi="Times New Roman" w:cs="Times New Roman"/>
          <w:sz w:val="24"/>
          <w:szCs w:val="24"/>
        </w:rPr>
      </w:pPr>
      <w:r w:rsidRPr="099D45F9">
        <w:rPr>
          <w:rFonts w:ascii="Times New Roman" w:hAnsi="Times New Roman" w:cs="Times New Roman"/>
          <w:sz w:val="24"/>
          <w:szCs w:val="24"/>
        </w:rPr>
        <w:t xml:space="preserve">Beginning in 2027, </w:t>
      </w:r>
      <w:r w:rsidR="4E3E0033" w:rsidRPr="099D45F9">
        <w:rPr>
          <w:rFonts w:ascii="Times New Roman" w:hAnsi="Times New Roman" w:cs="Times New Roman"/>
          <w:sz w:val="24"/>
          <w:szCs w:val="24"/>
        </w:rPr>
        <w:t xml:space="preserve">DOE would be required to report annually on STEM classes and extracurricular </w:t>
      </w:r>
      <w:r w:rsidR="3941355D" w:rsidRPr="099D45F9">
        <w:rPr>
          <w:rFonts w:ascii="Times New Roman" w:hAnsi="Times New Roman" w:cs="Times New Roman"/>
          <w:sz w:val="24"/>
          <w:szCs w:val="24"/>
        </w:rPr>
        <w:t xml:space="preserve">activities available to high school students at every school, </w:t>
      </w:r>
      <w:r w:rsidR="4F65C317" w:rsidRPr="099D45F9">
        <w:rPr>
          <w:rFonts w:ascii="Times New Roman" w:hAnsi="Times New Roman" w:cs="Times New Roman"/>
          <w:sz w:val="24"/>
          <w:szCs w:val="24"/>
        </w:rPr>
        <w:t xml:space="preserve">and the demographics of the students enrolled in such classes and extracurricular activities, </w:t>
      </w:r>
      <w:r w:rsidR="3941355D" w:rsidRPr="099D45F9">
        <w:rPr>
          <w:rFonts w:ascii="Times New Roman" w:hAnsi="Times New Roman" w:cs="Times New Roman"/>
          <w:sz w:val="24"/>
          <w:szCs w:val="24"/>
        </w:rPr>
        <w:t xml:space="preserve">disaggregated by several factors, including race and ethnicity. The report would also include </w:t>
      </w:r>
      <w:r w:rsidR="2983198E" w:rsidRPr="099D45F9">
        <w:rPr>
          <w:rFonts w:ascii="Times New Roman" w:hAnsi="Times New Roman" w:cs="Times New Roman"/>
          <w:sz w:val="24"/>
          <w:szCs w:val="24"/>
        </w:rPr>
        <w:t>reporting on the number of teachers licensed to teach STEM, disaggregated by race, ethnicity, and full-time or part-ti</w:t>
      </w:r>
      <w:r w:rsidR="2F6C9EBD" w:rsidRPr="099D45F9">
        <w:rPr>
          <w:rFonts w:ascii="Times New Roman" w:hAnsi="Times New Roman" w:cs="Times New Roman"/>
          <w:sz w:val="24"/>
          <w:szCs w:val="24"/>
        </w:rPr>
        <w:t xml:space="preserve">me status. Finally, DOE would be required to include, based on a review of the data and applicable research, potential causes for student STEM </w:t>
      </w:r>
      <w:r w:rsidR="1C5324A1" w:rsidRPr="099D45F9">
        <w:rPr>
          <w:rFonts w:ascii="Times New Roman" w:hAnsi="Times New Roman" w:cs="Times New Roman"/>
          <w:sz w:val="24"/>
          <w:szCs w:val="24"/>
        </w:rPr>
        <w:t>class and</w:t>
      </w:r>
      <w:r w:rsidR="2F6C9EBD" w:rsidRPr="099D45F9">
        <w:rPr>
          <w:rFonts w:ascii="Times New Roman" w:hAnsi="Times New Roman" w:cs="Times New Roman"/>
          <w:sz w:val="24"/>
          <w:szCs w:val="24"/>
        </w:rPr>
        <w:t xml:space="preserve"> </w:t>
      </w:r>
      <w:r w:rsidR="1C5324A1" w:rsidRPr="099D45F9">
        <w:rPr>
          <w:rFonts w:ascii="Times New Roman" w:hAnsi="Times New Roman" w:cs="Times New Roman"/>
          <w:sz w:val="24"/>
          <w:szCs w:val="24"/>
        </w:rPr>
        <w:t xml:space="preserve">extracurricular </w:t>
      </w:r>
      <w:r w:rsidR="2F6C9EBD" w:rsidRPr="099D45F9">
        <w:rPr>
          <w:rFonts w:ascii="Times New Roman" w:hAnsi="Times New Roman" w:cs="Times New Roman"/>
          <w:sz w:val="24"/>
          <w:szCs w:val="24"/>
        </w:rPr>
        <w:t>enrollment rates and</w:t>
      </w:r>
      <w:r w:rsidR="40052155" w:rsidRPr="099D45F9">
        <w:rPr>
          <w:rFonts w:ascii="Times New Roman" w:hAnsi="Times New Roman" w:cs="Times New Roman"/>
          <w:sz w:val="24"/>
          <w:szCs w:val="24"/>
        </w:rPr>
        <w:t xml:space="preserve"> </w:t>
      </w:r>
      <w:r w:rsidR="37C40076" w:rsidRPr="099D45F9">
        <w:rPr>
          <w:rFonts w:ascii="Times New Roman" w:hAnsi="Times New Roman" w:cs="Times New Roman"/>
          <w:sz w:val="24"/>
          <w:szCs w:val="24"/>
        </w:rPr>
        <w:t xml:space="preserve">potential causes for </w:t>
      </w:r>
      <w:r w:rsidR="40052155" w:rsidRPr="099D45F9">
        <w:rPr>
          <w:rFonts w:ascii="Times New Roman" w:hAnsi="Times New Roman" w:cs="Times New Roman"/>
          <w:sz w:val="24"/>
          <w:szCs w:val="24"/>
        </w:rPr>
        <w:t>any</w:t>
      </w:r>
      <w:r w:rsidR="2F6C9EBD" w:rsidRPr="099D45F9">
        <w:rPr>
          <w:rFonts w:ascii="Times New Roman" w:hAnsi="Times New Roman" w:cs="Times New Roman"/>
          <w:sz w:val="24"/>
          <w:szCs w:val="24"/>
        </w:rPr>
        <w:t xml:space="preserve"> racial and gender disparities in enrollment, retention, and disenrollment in</w:t>
      </w:r>
      <w:r w:rsidR="0C3AF0D3" w:rsidRPr="099D45F9">
        <w:rPr>
          <w:rFonts w:ascii="Times New Roman" w:hAnsi="Times New Roman" w:cs="Times New Roman"/>
          <w:sz w:val="24"/>
          <w:szCs w:val="24"/>
        </w:rPr>
        <w:t xml:space="preserve"> such</w:t>
      </w:r>
      <w:r w:rsidR="2F6C9EBD" w:rsidRPr="099D45F9">
        <w:rPr>
          <w:rFonts w:ascii="Times New Roman" w:hAnsi="Times New Roman" w:cs="Times New Roman"/>
          <w:sz w:val="24"/>
          <w:szCs w:val="24"/>
        </w:rPr>
        <w:t xml:space="preserve"> STEM activities</w:t>
      </w:r>
      <w:r w:rsidR="4D91EC0A" w:rsidRPr="099D45F9">
        <w:rPr>
          <w:rFonts w:ascii="Times New Roman" w:hAnsi="Times New Roman" w:cs="Times New Roman"/>
          <w:sz w:val="24"/>
          <w:szCs w:val="24"/>
        </w:rPr>
        <w:t>.</w:t>
      </w:r>
    </w:p>
    <w:p w14:paraId="440C10E4" w14:textId="4897CD08" w:rsidR="387EDE8D" w:rsidRDefault="387EDE8D" w:rsidP="099D45F9">
      <w:pPr>
        <w:tabs>
          <w:tab w:val="left" w:pos="990"/>
          <w:tab w:val="left" w:pos="1170"/>
        </w:tabs>
        <w:spacing w:after="0" w:line="480" w:lineRule="auto"/>
        <w:ind w:firstLine="720"/>
        <w:rPr>
          <w:rFonts w:ascii="Times New Roman" w:eastAsia="Times New Roman" w:hAnsi="Times New Roman" w:cs="Times New Roman"/>
          <w:sz w:val="24"/>
          <w:szCs w:val="24"/>
        </w:rPr>
      </w:pPr>
      <w:r w:rsidRPr="099D45F9">
        <w:rPr>
          <w:rFonts w:ascii="Times New Roman" w:eastAsia="Times New Roman" w:hAnsi="Times New Roman" w:cs="Times New Roman"/>
          <w:sz w:val="24"/>
          <w:szCs w:val="24"/>
        </w:rPr>
        <w:t xml:space="preserve">Since its initial hearing, the bill was amended to add reporting requirements regarding the STEM classes and extracurricular activities, STEM teachers, and </w:t>
      </w:r>
      <w:r w:rsidR="6207F0D8" w:rsidRPr="099D45F9">
        <w:rPr>
          <w:rFonts w:ascii="Times New Roman" w:eastAsia="Times New Roman" w:hAnsi="Times New Roman" w:cs="Times New Roman"/>
          <w:sz w:val="24"/>
          <w:szCs w:val="24"/>
        </w:rPr>
        <w:t xml:space="preserve">the review of available data and research on any race and gender disparities. The bill </w:t>
      </w:r>
      <w:r w:rsidR="00474324">
        <w:rPr>
          <w:rFonts w:ascii="Times New Roman" w:eastAsia="Times New Roman" w:hAnsi="Times New Roman" w:cs="Times New Roman"/>
          <w:sz w:val="24"/>
          <w:szCs w:val="24"/>
        </w:rPr>
        <w:t>was also further amended to make</w:t>
      </w:r>
      <w:r w:rsidR="6207F0D8" w:rsidRPr="099D45F9">
        <w:rPr>
          <w:rFonts w:ascii="Times New Roman" w:eastAsia="Times New Roman" w:hAnsi="Times New Roman" w:cs="Times New Roman"/>
          <w:sz w:val="24"/>
          <w:szCs w:val="24"/>
        </w:rPr>
        <w:t xml:space="preserve"> technical edits.</w:t>
      </w:r>
    </w:p>
    <w:p w14:paraId="0ED7A053" w14:textId="7889FD07" w:rsidR="0027025F" w:rsidRDefault="0027025F" w:rsidP="0027025F">
      <w:pPr>
        <w:suppressLineNumbers/>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The bill would take effect </w:t>
      </w:r>
      <w:r w:rsidRPr="00446E57">
        <w:rPr>
          <w:rFonts w:ascii="Times New Roman" w:hAnsi="Times New Roman" w:cs="Times New Roman"/>
          <w:iCs/>
          <w:sz w:val="24"/>
          <w:szCs w:val="24"/>
        </w:rPr>
        <w:t>120 days after it becomes law</w:t>
      </w:r>
      <w:r>
        <w:rPr>
          <w:rFonts w:ascii="Times New Roman" w:hAnsi="Times New Roman" w:cs="Times New Roman"/>
          <w:iCs/>
          <w:sz w:val="24"/>
          <w:szCs w:val="24"/>
        </w:rPr>
        <w:t>.</w:t>
      </w:r>
    </w:p>
    <w:p w14:paraId="2C02C361" w14:textId="28563BEE" w:rsidR="0027025F" w:rsidRPr="00B528EC" w:rsidRDefault="0027025F" w:rsidP="0027025F">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 xml:space="preserve">Int. No. </w:t>
      </w:r>
      <w:r>
        <w:rPr>
          <w:rFonts w:ascii="Times New Roman" w:hAnsi="Times New Roman" w:cs="Times New Roman"/>
          <w:b/>
          <w:bCs/>
          <w:i/>
          <w:iCs/>
          <w:sz w:val="24"/>
          <w:szCs w:val="24"/>
        </w:rPr>
        <w:t>1216</w:t>
      </w:r>
      <w:r w:rsidR="003D1753">
        <w:rPr>
          <w:rFonts w:ascii="Times New Roman" w:hAnsi="Times New Roman" w:cs="Times New Roman"/>
          <w:b/>
          <w:bCs/>
          <w:i/>
          <w:iCs/>
          <w:sz w:val="24"/>
          <w:szCs w:val="24"/>
        </w:rPr>
        <w:t>-A</w:t>
      </w:r>
    </w:p>
    <w:p w14:paraId="003113EB" w14:textId="06C33680" w:rsidR="0027025F" w:rsidRPr="0027025F" w:rsidRDefault="0027025F" w:rsidP="099D45F9">
      <w:pPr>
        <w:tabs>
          <w:tab w:val="left" w:pos="4305"/>
        </w:tabs>
        <w:spacing w:after="0" w:line="480" w:lineRule="auto"/>
        <w:ind w:firstLine="720"/>
        <w:rPr>
          <w:rFonts w:ascii="Times New Roman" w:hAnsi="Times New Roman" w:cs="Times New Roman"/>
          <w:b/>
          <w:bCs/>
          <w:sz w:val="24"/>
          <w:szCs w:val="24"/>
        </w:rPr>
      </w:pPr>
      <w:r w:rsidRPr="099D45F9">
        <w:rPr>
          <w:rFonts w:ascii="Times New Roman" w:eastAsia="Times New Roman" w:hAnsi="Times New Roman" w:cs="Times New Roman"/>
          <w:sz w:val="24"/>
          <w:szCs w:val="24"/>
        </w:rPr>
        <w:t xml:space="preserve">This bill would require </w:t>
      </w:r>
      <w:r w:rsidRPr="099D45F9">
        <w:rPr>
          <w:rFonts w:ascii="Times New Roman" w:eastAsia="Times New Roman" w:hAnsi="Times New Roman" w:cs="Times New Roman"/>
          <w:color w:val="000000" w:themeColor="text1"/>
          <w:sz w:val="24"/>
          <w:szCs w:val="24"/>
        </w:rPr>
        <w:t>ENDGBV</w:t>
      </w:r>
      <w:r w:rsidRPr="099D45F9">
        <w:rPr>
          <w:rFonts w:ascii="Times New Roman" w:eastAsia="Times New Roman" w:hAnsi="Times New Roman" w:cs="Times New Roman"/>
          <w:sz w:val="24"/>
          <w:szCs w:val="24"/>
        </w:rPr>
        <w:t xml:space="preserve"> to create posters that </w:t>
      </w:r>
      <w:r w:rsidR="0720ED61" w:rsidRPr="099D45F9">
        <w:rPr>
          <w:rFonts w:ascii="Times New Roman" w:eastAsia="Times New Roman" w:hAnsi="Times New Roman" w:cs="Times New Roman"/>
          <w:sz w:val="24"/>
          <w:szCs w:val="24"/>
        </w:rPr>
        <w:t>provide</w:t>
      </w:r>
      <w:r w:rsidRPr="099D45F9">
        <w:rPr>
          <w:rFonts w:ascii="Times New Roman" w:eastAsia="Times New Roman" w:hAnsi="Times New Roman" w:cs="Times New Roman"/>
          <w:sz w:val="24"/>
          <w:szCs w:val="24"/>
        </w:rPr>
        <w:t xml:space="preserve"> information about </w:t>
      </w:r>
      <w:r w:rsidR="379C6FC5" w:rsidRPr="099D45F9">
        <w:rPr>
          <w:rFonts w:ascii="Times New Roman" w:eastAsia="Times New Roman" w:hAnsi="Times New Roman" w:cs="Times New Roman"/>
          <w:sz w:val="24"/>
          <w:szCs w:val="24"/>
        </w:rPr>
        <w:t>services available in the city to address gender-based violence, including, but not limited to, free hotline service,</w:t>
      </w:r>
      <w:r w:rsidRPr="099D45F9">
        <w:rPr>
          <w:rFonts w:ascii="Times New Roman" w:eastAsia="Times New Roman" w:hAnsi="Times New Roman" w:cs="Times New Roman"/>
          <w:sz w:val="24"/>
          <w:szCs w:val="24"/>
        </w:rPr>
        <w:t xml:space="preserve"> and to provide such posters in each of the designated citywide languages to hair, nail, and skincare salons at no cost. This bill would also require hair, nail, and skincare salons to display one copy of the poster in the language of the salon’s choice. The bill would take effect 90 days after it becomes law.</w:t>
      </w:r>
    </w:p>
    <w:p w14:paraId="179AEB9F" w14:textId="5E52258F" w:rsidR="4CDFA7FA" w:rsidRDefault="4CDFA7FA" w:rsidP="099D45F9">
      <w:pPr>
        <w:tabs>
          <w:tab w:val="left" w:pos="990"/>
          <w:tab w:val="left" w:pos="1170"/>
        </w:tabs>
        <w:spacing w:after="0" w:line="480" w:lineRule="auto"/>
        <w:ind w:firstLine="720"/>
        <w:rPr>
          <w:rFonts w:ascii="Times New Roman" w:eastAsia="Times New Roman" w:hAnsi="Times New Roman" w:cs="Times New Roman"/>
          <w:sz w:val="24"/>
          <w:szCs w:val="24"/>
        </w:rPr>
      </w:pPr>
      <w:r w:rsidRPr="099D45F9">
        <w:rPr>
          <w:rFonts w:ascii="Times New Roman" w:eastAsia="Times New Roman" w:hAnsi="Times New Roman" w:cs="Times New Roman"/>
          <w:sz w:val="24"/>
          <w:szCs w:val="24"/>
        </w:rPr>
        <w:t xml:space="preserve">Since its initial hearing, the bill was amended to </w:t>
      </w:r>
      <w:r w:rsidR="23BE5D94" w:rsidRPr="099D45F9">
        <w:rPr>
          <w:rFonts w:ascii="Times New Roman" w:eastAsia="Times New Roman" w:hAnsi="Times New Roman" w:cs="Times New Roman"/>
          <w:sz w:val="24"/>
          <w:szCs w:val="24"/>
        </w:rPr>
        <w:t>clarify what information should be on the poster</w:t>
      </w:r>
      <w:r w:rsidRPr="099D45F9">
        <w:rPr>
          <w:rFonts w:ascii="Times New Roman" w:eastAsia="Times New Roman" w:hAnsi="Times New Roman" w:cs="Times New Roman"/>
          <w:sz w:val="24"/>
          <w:szCs w:val="24"/>
        </w:rPr>
        <w:t>. The bill also received technical edits.</w:t>
      </w:r>
    </w:p>
    <w:p w14:paraId="16784CD1" w14:textId="7842D16F" w:rsidR="3351A108" w:rsidRDefault="3351A108" w:rsidP="099D45F9">
      <w:pPr>
        <w:tabs>
          <w:tab w:val="left" w:pos="4305"/>
        </w:tabs>
        <w:spacing w:after="0" w:line="480" w:lineRule="auto"/>
        <w:ind w:firstLine="720"/>
        <w:rPr>
          <w:rFonts w:ascii="Times New Roman" w:eastAsia="Times New Roman" w:hAnsi="Times New Roman" w:cs="Times New Roman"/>
          <w:sz w:val="24"/>
          <w:szCs w:val="24"/>
        </w:rPr>
      </w:pPr>
      <w:r w:rsidRPr="099D45F9">
        <w:rPr>
          <w:rFonts w:ascii="Times New Roman" w:eastAsia="Times New Roman" w:hAnsi="Times New Roman" w:cs="Times New Roman"/>
          <w:color w:val="000000" w:themeColor="text1"/>
          <w:sz w:val="24"/>
          <w:szCs w:val="24"/>
        </w:rPr>
        <w:t xml:space="preserve">This local law </w:t>
      </w:r>
      <w:r w:rsidR="00DE0198">
        <w:rPr>
          <w:rFonts w:ascii="Times New Roman" w:eastAsia="Times New Roman" w:hAnsi="Times New Roman" w:cs="Times New Roman"/>
          <w:color w:val="000000" w:themeColor="text1"/>
          <w:sz w:val="24"/>
          <w:szCs w:val="24"/>
        </w:rPr>
        <w:t>would take</w:t>
      </w:r>
      <w:r w:rsidR="00DE0198" w:rsidRPr="099D45F9">
        <w:rPr>
          <w:rFonts w:ascii="Times New Roman" w:eastAsia="Times New Roman" w:hAnsi="Times New Roman" w:cs="Times New Roman"/>
          <w:color w:val="000000" w:themeColor="text1"/>
          <w:sz w:val="24"/>
          <w:szCs w:val="24"/>
        </w:rPr>
        <w:t xml:space="preserve"> </w:t>
      </w:r>
      <w:r w:rsidRPr="099D45F9">
        <w:rPr>
          <w:rFonts w:ascii="Times New Roman" w:eastAsia="Times New Roman" w:hAnsi="Times New Roman" w:cs="Times New Roman"/>
          <w:color w:val="000000" w:themeColor="text1"/>
          <w:sz w:val="24"/>
          <w:szCs w:val="24"/>
        </w:rPr>
        <w:t xml:space="preserve">effect 90 days after it becomes law, except that </w:t>
      </w:r>
      <w:bookmarkStart w:id="5" w:name="_Int_Wa5qkTlo"/>
      <w:r w:rsidRPr="099D45F9">
        <w:rPr>
          <w:rFonts w:ascii="Times New Roman" w:eastAsia="Times New Roman" w:hAnsi="Times New Roman" w:cs="Times New Roman"/>
          <w:color w:val="000000" w:themeColor="text1"/>
          <w:sz w:val="24"/>
          <w:szCs w:val="24"/>
        </w:rPr>
        <w:t>subdivision e</w:t>
      </w:r>
      <w:bookmarkEnd w:id="5"/>
      <w:r w:rsidRPr="099D45F9">
        <w:rPr>
          <w:rFonts w:ascii="Times New Roman" w:eastAsia="Times New Roman" w:hAnsi="Times New Roman" w:cs="Times New Roman"/>
          <w:color w:val="000000" w:themeColor="text1"/>
          <w:sz w:val="24"/>
          <w:szCs w:val="24"/>
        </w:rPr>
        <w:t xml:space="preserve"> of section 3-182 of the administrative code of the city of New York, as added by section 1 of </w:t>
      </w:r>
      <w:r w:rsidR="00DE0198">
        <w:rPr>
          <w:rFonts w:ascii="Times New Roman" w:eastAsia="Times New Roman" w:hAnsi="Times New Roman" w:cs="Times New Roman"/>
          <w:color w:val="000000" w:themeColor="text1"/>
          <w:sz w:val="24"/>
          <w:szCs w:val="24"/>
        </w:rPr>
        <w:t>the</w:t>
      </w:r>
      <w:r w:rsidR="00DE0198" w:rsidRPr="099D45F9">
        <w:rPr>
          <w:rFonts w:ascii="Times New Roman" w:eastAsia="Times New Roman" w:hAnsi="Times New Roman" w:cs="Times New Roman"/>
          <w:color w:val="000000" w:themeColor="text1"/>
          <w:sz w:val="24"/>
          <w:szCs w:val="24"/>
        </w:rPr>
        <w:t xml:space="preserve"> </w:t>
      </w:r>
      <w:r w:rsidRPr="099D45F9">
        <w:rPr>
          <w:rFonts w:ascii="Times New Roman" w:eastAsia="Times New Roman" w:hAnsi="Times New Roman" w:cs="Times New Roman"/>
          <w:color w:val="000000" w:themeColor="text1"/>
          <w:sz w:val="24"/>
          <w:szCs w:val="24"/>
        </w:rPr>
        <w:t xml:space="preserve">local law, </w:t>
      </w:r>
      <w:r w:rsidR="00DE0198">
        <w:rPr>
          <w:rFonts w:ascii="Times New Roman" w:eastAsia="Times New Roman" w:hAnsi="Times New Roman" w:cs="Times New Roman"/>
          <w:color w:val="000000" w:themeColor="text1"/>
          <w:sz w:val="24"/>
          <w:szCs w:val="24"/>
        </w:rPr>
        <w:t>would take</w:t>
      </w:r>
      <w:r w:rsidR="00DE0198" w:rsidRPr="099D45F9">
        <w:rPr>
          <w:rFonts w:ascii="Times New Roman" w:eastAsia="Times New Roman" w:hAnsi="Times New Roman" w:cs="Times New Roman"/>
          <w:color w:val="000000" w:themeColor="text1"/>
          <w:sz w:val="24"/>
          <w:szCs w:val="24"/>
        </w:rPr>
        <w:t xml:space="preserve"> </w:t>
      </w:r>
      <w:r w:rsidRPr="099D45F9">
        <w:rPr>
          <w:rFonts w:ascii="Times New Roman" w:eastAsia="Times New Roman" w:hAnsi="Times New Roman" w:cs="Times New Roman"/>
          <w:color w:val="000000" w:themeColor="text1"/>
          <w:sz w:val="24"/>
          <w:szCs w:val="24"/>
        </w:rPr>
        <w:t>effect 180 days after it becomes law.</w:t>
      </w:r>
    </w:p>
    <w:p w14:paraId="0559B684" w14:textId="77777777" w:rsidR="008830ED" w:rsidRDefault="008830ED" w:rsidP="00D6203D">
      <w:pPr>
        <w:tabs>
          <w:tab w:val="left" w:pos="90"/>
        </w:tabs>
        <w:spacing w:after="0" w:line="480" w:lineRule="auto"/>
        <w:rPr>
          <w:rFonts w:ascii="Times New Roman" w:eastAsia="Times New Roman" w:hAnsi="Times New Roman" w:cs="Times New Roman"/>
          <w:color w:val="000000" w:themeColor="text1"/>
          <w:sz w:val="24"/>
          <w:szCs w:val="24"/>
        </w:rPr>
      </w:pPr>
    </w:p>
    <w:p w14:paraId="036C8672" w14:textId="756E6667" w:rsidR="008830ED" w:rsidRDefault="008830ED">
      <w:pPr>
        <w:spacing w:line="27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64C421C7" w14:textId="77777777" w:rsidR="00F75A63" w:rsidRDefault="00F75A63" w:rsidP="008830ED">
      <w:pPr>
        <w:spacing w:after="0" w:line="240" w:lineRule="auto"/>
        <w:jc w:val="center"/>
        <w:rPr>
          <w:rFonts w:ascii="Times New Roman" w:eastAsia="Times New Roman" w:hAnsi="Times New Roman" w:cs="Times New Roman"/>
          <w:sz w:val="24"/>
          <w:szCs w:val="24"/>
        </w:rPr>
      </w:pPr>
    </w:p>
    <w:p w14:paraId="5C818871" w14:textId="493CA281" w:rsidR="003D1753" w:rsidRPr="003D1753" w:rsidRDefault="003D1753" w:rsidP="003D1753">
      <w:pPr>
        <w:spacing w:after="0" w:line="240" w:lineRule="auto"/>
        <w:jc w:val="center"/>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Int. No. 1297-A</w:t>
      </w:r>
    </w:p>
    <w:p w14:paraId="705C3CCD" w14:textId="77777777" w:rsidR="003D1753" w:rsidRPr="003D1753" w:rsidRDefault="003D1753" w:rsidP="003D1753">
      <w:pPr>
        <w:spacing w:after="0" w:line="240" w:lineRule="auto"/>
        <w:jc w:val="center"/>
        <w:rPr>
          <w:rFonts w:ascii="Times New Roman" w:eastAsia="Times New Roman" w:hAnsi="Times New Roman" w:cs="Times New Roman"/>
          <w:sz w:val="24"/>
          <w:szCs w:val="24"/>
        </w:rPr>
      </w:pPr>
    </w:p>
    <w:p w14:paraId="1D9577F1" w14:textId="77777777" w:rsidR="003D1753" w:rsidRPr="003D1753" w:rsidRDefault="003D1753" w:rsidP="003D1753">
      <w:pPr>
        <w:spacing w:after="0" w:line="240" w:lineRule="auto"/>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By Council Members Brooks-Powers, Louis, Hanif, Banks, Restler, Brewer, Avilés, Stevens, Joseph, De La Rosa, Sanchez, Krishnan, Abreu, Farías, Hudson, Powers, Cabán, Nurse, Schulman, Hanks, Brannan, Riley, Gutiérrez, Moya, Ayala, Marte, Won, Narcisse, Salaam, Lee, Bottcher, Ung, Ossé, Williams, Menin, Gennaro, Feliz, Salamanca, Dinowitz, Holden and the Public Advocate (Mr. Williams)</w:t>
      </w:r>
    </w:p>
    <w:p w14:paraId="0A270895" w14:textId="77777777" w:rsidR="003D1753" w:rsidRPr="003D1753" w:rsidRDefault="003D1753" w:rsidP="003D1753">
      <w:pPr>
        <w:spacing w:after="0" w:line="240" w:lineRule="auto"/>
        <w:jc w:val="center"/>
        <w:rPr>
          <w:rFonts w:ascii="Times New Roman" w:eastAsia="Times New Roman" w:hAnsi="Times New Roman" w:cs="Times New Roman"/>
          <w:sz w:val="24"/>
          <w:szCs w:val="24"/>
        </w:rPr>
      </w:pPr>
    </w:p>
    <w:p w14:paraId="1681002B" w14:textId="1D10FE75" w:rsidR="003D1753" w:rsidRPr="003D1753" w:rsidRDefault="003D1753" w:rsidP="003D1753">
      <w:pPr>
        <w:spacing w:after="0" w:line="240" w:lineRule="auto"/>
        <w:jc w:val="both"/>
        <w:rPr>
          <w:rFonts w:ascii="Times New Roman" w:eastAsia="Times New Roman" w:hAnsi="Times New Roman" w:cs="Times New Roman"/>
          <w:vanish/>
          <w:sz w:val="24"/>
          <w:szCs w:val="24"/>
        </w:rPr>
      </w:pPr>
    </w:p>
    <w:p w14:paraId="6DF02266" w14:textId="77777777" w:rsidR="003D1753" w:rsidRPr="003D1753" w:rsidRDefault="003D1753" w:rsidP="003D1753">
      <w:pPr>
        <w:spacing w:after="0" w:line="240" w:lineRule="auto"/>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A Local Law to amend the administrative code of the city of New York, in relation to the gender-motivated violence protection law</w:t>
      </w:r>
    </w:p>
    <w:p w14:paraId="30648669" w14:textId="2FCE13C6" w:rsidR="003D1753" w:rsidRPr="003D1753" w:rsidRDefault="003D1753" w:rsidP="003D1753">
      <w:pPr>
        <w:spacing w:after="0" w:line="240" w:lineRule="auto"/>
        <w:jc w:val="both"/>
        <w:rPr>
          <w:rFonts w:ascii="Times New Roman" w:eastAsia="Times New Roman" w:hAnsi="Times New Roman" w:cs="Times New Roman"/>
          <w:vanish/>
          <w:sz w:val="24"/>
          <w:szCs w:val="24"/>
        </w:rPr>
      </w:pPr>
    </w:p>
    <w:p w14:paraId="1B853E97" w14:textId="77777777" w:rsidR="003D1753" w:rsidRPr="003D1753" w:rsidRDefault="003D1753" w:rsidP="003D1753">
      <w:pPr>
        <w:spacing w:after="0" w:line="240" w:lineRule="auto"/>
        <w:jc w:val="both"/>
        <w:rPr>
          <w:rFonts w:ascii="Times New Roman" w:eastAsia="Times New Roman" w:hAnsi="Times New Roman" w:cs="Times New Roman"/>
          <w:sz w:val="24"/>
          <w:szCs w:val="24"/>
          <w:u w:val="single"/>
        </w:rPr>
      </w:pPr>
    </w:p>
    <w:p w14:paraId="61BEF587" w14:textId="77777777" w:rsidR="003D1753" w:rsidRPr="003D1753" w:rsidRDefault="003D1753" w:rsidP="003D1753">
      <w:pPr>
        <w:spacing w:after="0" w:line="240" w:lineRule="auto"/>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u w:val="single"/>
        </w:rPr>
        <w:t>Be it enacted by the Council as follows:</w:t>
      </w:r>
    </w:p>
    <w:p w14:paraId="75DE319A" w14:textId="77777777" w:rsidR="003D1753" w:rsidRPr="003D1753" w:rsidRDefault="003D1753" w:rsidP="003D1753">
      <w:pPr>
        <w:spacing w:after="0" w:line="240" w:lineRule="auto"/>
        <w:ind w:firstLine="720"/>
        <w:jc w:val="both"/>
        <w:rPr>
          <w:rFonts w:ascii="Times New Roman" w:eastAsia="Times New Roman" w:hAnsi="Times New Roman" w:cs="Times New Roman"/>
          <w:sz w:val="24"/>
          <w:szCs w:val="24"/>
        </w:rPr>
      </w:pPr>
    </w:p>
    <w:p w14:paraId="6821E0EC"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sectPr w:rsidR="003D1753" w:rsidRPr="003D1753" w:rsidSect="003D1753">
          <w:footerReference w:type="default" r:id="rId9"/>
          <w:footerReference w:type="first" r:id="rId10"/>
          <w:pgSz w:w="12240" w:h="15840"/>
          <w:pgMar w:top="1440" w:right="1440" w:bottom="1440" w:left="1440" w:header="720" w:footer="720" w:gutter="0"/>
          <w:cols w:space="720"/>
          <w:docGrid w:linePitch="360"/>
        </w:sectPr>
      </w:pPr>
    </w:p>
    <w:p w14:paraId="76BEA0DD"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Section 1. Subdivision a of section 10-1105 of the administrative code of the city of New York, as amended by local law number 21 for the year 2022, is amended to read as follows:</w:t>
      </w:r>
    </w:p>
    <w:p w14:paraId="0A2E240B"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 xml:space="preserve">a. A civil action under [this chapter] </w:t>
      </w:r>
      <w:r w:rsidRPr="003D1753">
        <w:rPr>
          <w:rFonts w:ascii="Times New Roman" w:eastAsia="Times New Roman" w:hAnsi="Times New Roman" w:cs="Times New Roman"/>
          <w:sz w:val="24"/>
          <w:szCs w:val="24"/>
          <w:u w:val="single"/>
        </w:rPr>
        <w:t>section 10-1104</w:t>
      </w:r>
      <w:r w:rsidRPr="003D1753">
        <w:rPr>
          <w:rFonts w:ascii="Times New Roman" w:eastAsia="Times New Roman" w:hAnsi="Times New Roman" w:cs="Times New Roman"/>
          <w:sz w:val="24"/>
          <w:szCs w:val="24"/>
        </w:rPr>
        <w:t xml:space="preserve"> shall be commenced within seven years after the alleged crime of violence motivated by gender occurred. If, however, due to injury or disability resulting from an act or acts giving rise to a cause of action under this chapter, or due to infancy as defined in the civil procedure law and rules, a person entitled to commence an action under this chapter is unable to do so at the time such cause of action accrues, then the time within which the action must be commenced shall be extended to nine years after the inability to commence the action ceases. Notwithstanding any provision of law that imposes a period of limitation to the contrary, any civil claim or cause of action brought under this chapter that is barred because the applicable period of limitation has expired is hereby revived and may be commenced not earlier than six months after, and not later than two years and six months after, September 1, 2022.</w:t>
      </w:r>
    </w:p>
    <w:p w14:paraId="272960E3"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 2. Chapter 11 of title 10 the administrative code of the city of New York, as amended by local law number 21 for the year 2022, is amended by adding a new section 10-1104.1 to read as follows:</w:t>
      </w:r>
    </w:p>
    <w:p w14:paraId="573F583F"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10-1104.1. Civil cause of action for crimes of violence motivated by gender that occurred prior to January 9, 2022. a. Any person claiming to be injured by a party who commits, directs, enables, participates in, or conspires in the commission of a crime of violence motivated by gender for which the alleged crime of violence motivated by gender occurred (i) on or before December 19, 2000 or (ii) after December 19, 2000 and before January 9, 2022, has a cause of action against such party in any court of competent jurisdiction for any or all of the following relief:</w:t>
      </w:r>
    </w:p>
    <w:p w14:paraId="342944FA"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1. Compensatory and punitive damages;</w:t>
      </w:r>
    </w:p>
    <w:p w14:paraId="2E47E75D"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2. Injunctive and declaratory relief;</w:t>
      </w:r>
    </w:p>
    <w:p w14:paraId="1783ABA3"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3. Attorney’s fees and costs; and</w:t>
      </w:r>
    </w:p>
    <w:p w14:paraId="315C3F51"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4. Such other relief as a court may deem appropriate.</w:t>
      </w:r>
    </w:p>
    <w:p w14:paraId="3AF5DB9F"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 xml:space="preserve">b. Claims or causes of action pursuant to this section must be commenced not later than 18 months after the local law that added this section takes effect. </w:t>
      </w:r>
    </w:p>
    <w:p w14:paraId="04F72A66"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c. Any person who brought a claim or cause of action on or after March 1, 2023 but on or before March 1, 2025 that would satisfy the requirements of this section may amend or refile such claim or cause of action to add a cause of action pursuant to this section.</w:t>
      </w:r>
    </w:p>
    <w:p w14:paraId="1922310C" w14:textId="2FEB271C"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64384" behindDoc="0" locked="0" layoutInCell="1" allowOverlap="1" wp14:anchorId="6B4826C0" wp14:editId="6AF01469">
                <wp:simplePos x="0" y="0"/>
                <wp:positionH relativeFrom="column">
                  <wp:posOffset>66675</wp:posOffset>
                </wp:positionH>
                <wp:positionV relativeFrom="paragraph">
                  <wp:posOffset>448310</wp:posOffset>
                </wp:positionV>
                <wp:extent cx="1219200" cy="628650"/>
                <wp:effectExtent l="0" t="0" r="0" b="0"/>
                <wp:wrapNone/>
                <wp:docPr id="1971655991" name="Text Box 2"/>
                <wp:cNvGraphicFramePr/>
                <a:graphic xmlns:a="http://schemas.openxmlformats.org/drawingml/2006/main">
                  <a:graphicData uri="http://schemas.microsoft.com/office/word/2010/wordprocessingShape">
                    <wps:wsp>
                      <wps:cNvSpPr txBox="1"/>
                      <wps:spPr>
                        <a:xfrm>
                          <a:off x="0" y="0"/>
                          <a:ext cx="1219200" cy="628650"/>
                        </a:xfrm>
                        <a:prstGeom prst="rect">
                          <a:avLst/>
                        </a:prstGeom>
                        <a:solidFill>
                          <a:schemeClr val="lt1"/>
                        </a:solidFill>
                        <a:ln w="6350">
                          <a:noFill/>
                        </a:ln>
                      </wps:spPr>
                      <wps:txbx>
                        <w:txbxContent>
                          <w:p w14:paraId="0394F33F"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JMF/JGP</w:t>
                            </w:r>
                          </w:p>
                          <w:p w14:paraId="04445E07"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LS #18564</w:t>
                            </w:r>
                          </w:p>
                          <w:p w14:paraId="4DD7F77A" w14:textId="77777777" w:rsidR="003D1753" w:rsidRPr="003D1753" w:rsidRDefault="003D1753" w:rsidP="003D1753">
                            <w:pPr>
                              <w:spacing w:after="0"/>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11/17/25 9:30p</w:t>
                            </w:r>
                          </w:p>
                          <w:p w14:paraId="095C8A88" w14:textId="77777777" w:rsidR="003D1753" w:rsidRDefault="003D17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B4826C0" id="_x0000_t202" coordsize="21600,21600" o:spt="202" path="m,l,21600r21600,l21600,xe">
                <v:stroke joinstyle="miter"/>
                <v:path gradientshapeok="t" o:connecttype="rect"/>
              </v:shapetype>
              <v:shape id="Text Box 2" o:spid="_x0000_s1026" type="#_x0000_t202" style="position:absolute;left:0;text-align:left;margin-left:5.25pt;margin-top:35.3pt;width:96pt;height:4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" fillcolor="white [3201]" stroked="f" strokeweight=".5pt">
                <v:textbox>
                  <w:txbxContent>
                    <w:p w14:paraId="0394F33F"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JMF/JGP</w:t>
                      </w:r>
                    </w:p>
                    <w:p w14:paraId="04445E07"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LS #18564</w:t>
                      </w:r>
                    </w:p>
                    <w:p w14:paraId="4DD7F77A" w14:textId="77777777" w:rsidR="003D1753" w:rsidRPr="003D1753" w:rsidRDefault="003D1753" w:rsidP="003D1753">
                      <w:pPr>
                        <w:spacing w:after="0"/>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11/17/25 9:30p</w:t>
                      </w:r>
                    </w:p>
                    <w:p w14:paraId="095C8A88" w14:textId="77777777" w:rsidR="003D1753" w:rsidRDefault="003D1753"/>
                  </w:txbxContent>
                </v:textbox>
              </v:shape>
            </w:pict>
          </mc:Fallback>
        </mc:AlternateContent>
      </w:r>
      <w:r w:rsidRPr="003D1753">
        <w:rPr>
          <w:rFonts w:ascii="Times New Roman" w:eastAsia="Times New Roman" w:hAnsi="Times New Roman" w:cs="Times New Roman"/>
          <w:sz w:val="24"/>
          <w:szCs w:val="24"/>
        </w:rPr>
        <w:t>§ 3. This local law takes effect immediately.</w:t>
      </w:r>
    </w:p>
    <w:p w14:paraId="4FC0505B" w14:textId="77777777" w:rsidR="003D1753" w:rsidRPr="003D1753" w:rsidRDefault="003D1753" w:rsidP="003D1753">
      <w:pPr>
        <w:spacing w:after="0" w:line="240" w:lineRule="auto"/>
        <w:jc w:val="both"/>
        <w:rPr>
          <w:rFonts w:ascii="Times New Roman" w:eastAsia="Times New Roman" w:hAnsi="Times New Roman" w:cs="Times New Roman"/>
          <w:sz w:val="18"/>
          <w:szCs w:val="18"/>
        </w:rPr>
        <w:sectPr w:rsidR="003D1753" w:rsidRPr="003D1753" w:rsidSect="003D1753">
          <w:type w:val="continuous"/>
          <w:pgSz w:w="12240" w:h="15840"/>
          <w:pgMar w:top="1440" w:right="1440" w:bottom="1440" w:left="1440" w:header="720" w:footer="720" w:gutter="0"/>
          <w:lnNumType w:countBy="1"/>
          <w:cols w:space="720"/>
          <w:titlePg/>
          <w:docGrid w:linePitch="360"/>
        </w:sectPr>
      </w:pPr>
    </w:p>
    <w:p w14:paraId="1849F05C" w14:textId="1238E214" w:rsidR="008830ED" w:rsidRPr="00213391" w:rsidRDefault="008830ED" w:rsidP="00213391">
      <w:pPr>
        <w:spacing w:after="0" w:line="480" w:lineRule="auto"/>
        <w:ind w:firstLine="720"/>
        <w:jc w:val="both"/>
        <w:rPr>
          <w:rFonts w:ascii="Times New Roman" w:eastAsia="Times New Roman" w:hAnsi="Times New Roman" w:cs="Times New Roman"/>
          <w:sz w:val="24"/>
          <w:szCs w:val="24"/>
          <w:u w:val="single"/>
        </w:rPr>
        <w:sectPr w:rsidR="008830ED" w:rsidRPr="00213391" w:rsidSect="008830ED">
          <w:footerReference w:type="default" r:id="rId11"/>
          <w:footerReference w:type="first" r:id="rId12"/>
          <w:type w:val="continuous"/>
          <w:pgSz w:w="12240" w:h="15840"/>
          <w:pgMar w:top="1440" w:right="1440" w:bottom="1440" w:left="1440" w:header="720" w:footer="720" w:gutter="0"/>
          <w:lnNumType w:countBy="1"/>
          <w:cols w:space="720"/>
          <w:titlePg/>
          <w:docGrid w:linePitch="360"/>
        </w:sectPr>
      </w:pPr>
    </w:p>
    <w:p w14:paraId="4FC430E6" w14:textId="13B01900" w:rsidR="00F75A63" w:rsidRPr="00F75A63" w:rsidRDefault="00F75A63" w:rsidP="00F75A63">
      <w:pPr>
        <w:suppressLineNumbers/>
        <w:shd w:val="clear" w:color="auto" w:fill="FFFFFF"/>
        <w:spacing w:after="0" w:line="240" w:lineRule="auto"/>
        <w:jc w:val="center"/>
        <w:rPr>
          <w:rFonts w:ascii="Times New Roman" w:eastAsia="Calibri" w:hAnsi="Times New Roman" w:cs="Arial"/>
          <w:sz w:val="24"/>
          <w:szCs w:val="24"/>
        </w:rPr>
      </w:pPr>
      <w:r w:rsidRPr="00F75A63">
        <w:rPr>
          <w:rFonts w:ascii="Times New Roman" w:eastAsia="Arial Unicode MS" w:hAnsi="Times New Roman" w:cs="Times New Roman"/>
          <w:color w:val="000000"/>
          <w:sz w:val="24"/>
          <w:szCs w:val="24"/>
        </w:rPr>
        <w:t>Int. No. 691-A</w:t>
      </w:r>
    </w:p>
    <w:p w14:paraId="3494BB67" w14:textId="77777777" w:rsidR="00F75A63" w:rsidRPr="00F75A63" w:rsidRDefault="00F75A63" w:rsidP="00F75A63">
      <w:pPr>
        <w:suppressLineNumbers/>
        <w:shd w:val="clear" w:color="auto" w:fill="FFFFFF"/>
        <w:spacing w:after="0" w:line="240" w:lineRule="auto"/>
        <w:jc w:val="center"/>
        <w:rPr>
          <w:rFonts w:ascii="Times New Roman" w:eastAsia="Arial Unicode MS" w:hAnsi="Times New Roman" w:cs="Times New Roman"/>
          <w:color w:val="000000"/>
          <w:sz w:val="24"/>
          <w:szCs w:val="24"/>
        </w:rPr>
      </w:pPr>
      <w:r w:rsidRPr="00F75A63">
        <w:rPr>
          <w:rFonts w:ascii="Times New Roman" w:eastAsia="Arial Unicode MS" w:hAnsi="Times New Roman" w:cs="Times New Roman"/>
          <w:color w:val="000000"/>
          <w:sz w:val="24"/>
          <w:szCs w:val="24"/>
        </w:rPr>
        <w:t> </w:t>
      </w:r>
    </w:p>
    <w:p w14:paraId="48E61BB6" w14:textId="77777777" w:rsidR="00F75A63" w:rsidRPr="00F75A63" w:rsidRDefault="00F75A63" w:rsidP="00F75A63">
      <w:pPr>
        <w:suppressLineNumbers/>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F75A63">
        <w:rPr>
          <w:rFonts w:ascii="Times New Roman" w:eastAsia="Calibri" w:hAnsi="Times New Roman" w:cs="Times New Roman"/>
          <w:color w:val="000000"/>
          <w:sz w:val="24"/>
          <w:szCs w:val="24"/>
        </w:rPr>
        <w:t>By Council Members Louis, Stevens, Salaam, Ossé, Gennaro, Hanks, Feliz, Brooks-Powers, Marte, Gutiérrez, Narcisse, Farías, Riley, Cabán, Avilés, De La Rosa and Nurse</w:t>
      </w:r>
    </w:p>
    <w:p w14:paraId="3EC1DEEC" w14:textId="77777777" w:rsidR="00F75A63" w:rsidRPr="00F75A63" w:rsidRDefault="00F75A63" w:rsidP="00F75A63">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2E91DA5A" w14:textId="4436EB24" w:rsidR="00F75A63" w:rsidRPr="00F75A63" w:rsidRDefault="00F75A63" w:rsidP="00F75A63">
      <w:pPr>
        <w:suppressLineNumbers/>
        <w:shd w:val="clear" w:color="auto" w:fill="FFFFFF"/>
        <w:spacing w:after="0" w:line="240" w:lineRule="auto"/>
        <w:rPr>
          <w:rFonts w:ascii="Times New Roman" w:eastAsia="Arial Unicode MS" w:hAnsi="Times New Roman" w:cs="Times New Roman"/>
          <w:vanish/>
          <w:color w:val="000000"/>
          <w:sz w:val="24"/>
          <w:szCs w:val="24"/>
        </w:rPr>
      </w:pPr>
    </w:p>
    <w:p w14:paraId="2C7287A3" w14:textId="77777777" w:rsidR="00F75A63" w:rsidRPr="00F75A63" w:rsidRDefault="00F75A63" w:rsidP="00F75A63">
      <w:pPr>
        <w:suppressLineNumbers/>
        <w:shd w:val="clear" w:color="auto" w:fill="FFFFFF"/>
        <w:spacing w:after="0" w:line="240" w:lineRule="auto"/>
        <w:jc w:val="both"/>
        <w:rPr>
          <w:rFonts w:ascii="Times New Roman" w:eastAsia="Calibri" w:hAnsi="Times New Roman" w:cs="Arial"/>
          <w:sz w:val="24"/>
          <w:szCs w:val="24"/>
        </w:rPr>
      </w:pPr>
      <w:r w:rsidRPr="00F75A63">
        <w:rPr>
          <w:rFonts w:ascii="Times New Roman" w:eastAsia="Arial Unicode MS" w:hAnsi="Times New Roman" w:cs="Times New Roman"/>
          <w:color w:val="000000"/>
          <w:sz w:val="24"/>
          <w:szCs w:val="24"/>
        </w:rPr>
        <w:t xml:space="preserve">A Local Law to amend the administrative code of the city of New York, in relation to </w:t>
      </w:r>
      <w:r w:rsidRPr="00F75A63">
        <w:rPr>
          <w:rFonts w:ascii="Times New Roman" w:eastAsia="Calibri" w:hAnsi="Times New Roman" w:cs="Arial"/>
          <w:sz w:val="24"/>
          <w:szCs w:val="24"/>
        </w:rPr>
        <w:t>annual reporting on racial and gender disparities in STEM education for high school students</w:t>
      </w:r>
    </w:p>
    <w:p w14:paraId="40CA42FE" w14:textId="2A15D883" w:rsidR="00F75A63" w:rsidRPr="00F75A63" w:rsidRDefault="00F75A63" w:rsidP="00F75A63">
      <w:pPr>
        <w:suppressLineNumbers/>
        <w:shd w:val="clear" w:color="auto" w:fill="FFFFFF"/>
        <w:spacing w:after="0" w:line="240" w:lineRule="auto"/>
        <w:jc w:val="both"/>
        <w:rPr>
          <w:rFonts w:ascii="Times New Roman" w:eastAsia="Calibri" w:hAnsi="Times New Roman" w:cs="Arial"/>
          <w:vanish/>
          <w:sz w:val="24"/>
          <w:szCs w:val="24"/>
        </w:rPr>
      </w:pPr>
    </w:p>
    <w:p w14:paraId="2A78EEC1" w14:textId="77777777" w:rsidR="00F75A63" w:rsidRPr="00F75A63" w:rsidRDefault="00F75A63" w:rsidP="00F75A63">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7C6C2BD7" w14:textId="77777777" w:rsidR="00F75A63" w:rsidRPr="00F75A63" w:rsidRDefault="00F75A63" w:rsidP="00F75A63">
      <w:pPr>
        <w:suppressLineNumbers/>
        <w:shd w:val="clear" w:color="auto" w:fill="FFFFFF"/>
        <w:tabs>
          <w:tab w:val="left" w:pos="6705"/>
        </w:tabs>
        <w:spacing w:after="0" w:line="480" w:lineRule="auto"/>
        <w:jc w:val="both"/>
        <w:rPr>
          <w:rFonts w:ascii="Times New Roman" w:eastAsia="Arial Unicode MS" w:hAnsi="Times New Roman" w:cs="Times New Roman"/>
          <w:color w:val="000000"/>
          <w:sz w:val="24"/>
          <w:szCs w:val="24"/>
        </w:rPr>
      </w:pPr>
      <w:r w:rsidRPr="00F75A63">
        <w:rPr>
          <w:rFonts w:ascii="Times New Roman" w:eastAsia="Arial Unicode MS" w:hAnsi="Times New Roman" w:cs="Times New Roman"/>
          <w:color w:val="000000"/>
          <w:sz w:val="24"/>
          <w:szCs w:val="24"/>
          <w:u w:val="single"/>
        </w:rPr>
        <w:t>Be it enacted by the Council as follows:</w:t>
      </w:r>
    </w:p>
    <w:p w14:paraId="5CDACD1E"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szCs w:val="24"/>
        </w:rPr>
      </w:pPr>
      <w:r w:rsidRPr="00F75A63">
        <w:rPr>
          <w:rFonts w:ascii="Times New Roman" w:eastAsia="Arial Unicode MS" w:hAnsi="Times New Roman" w:cs="Times New Roman"/>
          <w:color w:val="000000"/>
          <w:sz w:val="24"/>
          <w:szCs w:val="24"/>
        </w:rPr>
        <w:t>Section 1. Title 21-A of the administrative code of the city of New York is amended by adding a new chapter 40 to read as follows:</w:t>
      </w:r>
    </w:p>
    <w:p w14:paraId="50FBD509" w14:textId="77777777" w:rsidR="00F75A63" w:rsidRPr="00F75A63" w:rsidRDefault="00F75A63" w:rsidP="00F75A63">
      <w:pPr>
        <w:shd w:val="clear" w:color="auto" w:fill="FFFFFF"/>
        <w:spacing w:after="0" w:line="480" w:lineRule="auto"/>
        <w:jc w:val="center"/>
        <w:rPr>
          <w:rFonts w:ascii="Times New Roman" w:eastAsia="Arial Unicode MS" w:hAnsi="Times New Roman" w:cs="Times New Roman"/>
          <w:color w:val="000000"/>
          <w:sz w:val="24"/>
          <w:szCs w:val="24"/>
          <w:u w:val="single"/>
        </w:rPr>
      </w:pPr>
      <w:r w:rsidRPr="00F75A63">
        <w:rPr>
          <w:rFonts w:ascii="Times New Roman" w:eastAsia="Arial Unicode MS" w:hAnsi="Times New Roman" w:cs="Times New Roman"/>
          <w:color w:val="000000"/>
          <w:sz w:val="24"/>
          <w:szCs w:val="24"/>
          <w:u w:val="single"/>
        </w:rPr>
        <w:t>CHAPTER 40</w:t>
      </w:r>
    </w:p>
    <w:p w14:paraId="68288BA4" w14:textId="77777777" w:rsidR="00F75A63" w:rsidRPr="00F75A63" w:rsidRDefault="00F75A63" w:rsidP="00F75A63">
      <w:pPr>
        <w:shd w:val="clear" w:color="auto" w:fill="FFFFFF"/>
        <w:spacing w:after="0" w:line="480" w:lineRule="auto"/>
        <w:jc w:val="center"/>
        <w:rPr>
          <w:rFonts w:ascii="Times New Roman" w:eastAsia="Arial Unicode MS" w:hAnsi="Times New Roman" w:cs="Times New Roman"/>
          <w:color w:val="000000"/>
          <w:sz w:val="24"/>
          <w:szCs w:val="24"/>
        </w:rPr>
      </w:pPr>
      <w:r w:rsidRPr="00F75A63">
        <w:rPr>
          <w:rFonts w:ascii="Times New Roman" w:eastAsia="Arial Unicode MS" w:hAnsi="Times New Roman" w:cs="Times New Roman"/>
          <w:color w:val="000000"/>
          <w:sz w:val="24"/>
          <w:szCs w:val="24"/>
          <w:u w:val="single"/>
        </w:rPr>
        <w:t>SCIENCE, TECHNOLOGY, ENGINEERING, AND MATH EDUCATION</w:t>
      </w:r>
    </w:p>
    <w:p w14:paraId="7681F674"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75A63">
        <w:rPr>
          <w:rFonts w:ascii="Times New Roman" w:eastAsia="Arial Unicode MS" w:hAnsi="Times New Roman" w:cs="Times New Roman"/>
          <w:color w:val="000000"/>
          <w:sz w:val="24"/>
          <w:szCs w:val="24"/>
          <w:u w:val="single"/>
        </w:rPr>
        <w:t>§</w:t>
      </w:r>
      <w:r w:rsidRPr="00F75A63">
        <w:rPr>
          <w:rFonts w:ascii="Times New Roman" w:eastAsia="Calibri" w:hAnsi="Times New Roman" w:cs="Arial"/>
          <w:sz w:val="24"/>
          <w:szCs w:val="24"/>
          <w:u w:val="single"/>
        </w:rPr>
        <w:t xml:space="preserve"> </w:t>
      </w:r>
      <w:r w:rsidRPr="00F75A63">
        <w:rPr>
          <w:rFonts w:ascii="Times New Roman" w:eastAsia="Arial Unicode MS" w:hAnsi="Times New Roman" w:cs="Times New Roman"/>
          <w:color w:val="000000"/>
          <w:sz w:val="24"/>
          <w:szCs w:val="24"/>
          <w:u w:val="single"/>
        </w:rPr>
        <w:t xml:space="preserve">21-1011 Reporting on science, technology, engineering, and math education. a. Definitions. For purposes of this section, the following terms have the following meanings: </w:t>
      </w:r>
    </w:p>
    <w:p w14:paraId="72D8C536" w14:textId="77777777" w:rsidR="00F75A63" w:rsidRPr="00F75A63" w:rsidRDefault="00F75A63" w:rsidP="00F75A63">
      <w:pPr>
        <w:shd w:val="clear" w:color="auto" w:fill="FFFFFF"/>
        <w:spacing w:after="0" w:line="480" w:lineRule="auto"/>
        <w:ind w:firstLine="720"/>
        <w:jc w:val="both"/>
        <w:rPr>
          <w:rFonts w:ascii="Times New Roman" w:eastAsia="Calibri" w:hAnsi="Times New Roman" w:cs="Arial"/>
          <w:color w:val="000000"/>
          <w:sz w:val="24"/>
          <w:u w:val="single"/>
          <w:shd w:val="clear" w:color="auto" w:fill="FFFFFF"/>
        </w:rPr>
      </w:pPr>
      <w:r w:rsidRPr="00F75A63">
        <w:rPr>
          <w:rFonts w:ascii="Times New Roman" w:eastAsia="Calibri" w:hAnsi="Times New Roman" w:cs="Arial"/>
          <w:color w:val="000000"/>
          <w:sz w:val="24"/>
          <w:u w:val="single"/>
          <w:shd w:val="clear" w:color="auto" w:fill="FFFFFF"/>
        </w:rPr>
        <w:t>High school. The term “high school” means a school of the city school district of the city of New York</w:t>
      </w:r>
      <w:r w:rsidRPr="00F75A63">
        <w:rPr>
          <w:rFonts w:ascii="Times New Roman" w:eastAsia="Calibri" w:hAnsi="Times New Roman" w:cs="Arial"/>
          <w:sz w:val="24"/>
          <w:u w:val="single"/>
        </w:rPr>
        <w:t xml:space="preserve"> </w:t>
      </w:r>
      <w:r w:rsidRPr="00F75A63">
        <w:rPr>
          <w:rFonts w:ascii="Times New Roman" w:eastAsia="Calibri" w:hAnsi="Times New Roman" w:cs="Arial"/>
          <w:color w:val="000000"/>
          <w:sz w:val="24"/>
          <w:u w:val="single"/>
          <w:shd w:val="clear" w:color="auto" w:fill="FFFFFF"/>
        </w:rPr>
        <w:t>that contains any combination of grades from and including grade 9 through grade 12.</w:t>
      </w:r>
    </w:p>
    <w:p w14:paraId="0112993D"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75A63">
        <w:rPr>
          <w:rFonts w:ascii="Times New Roman" w:eastAsia="Arial Unicode MS" w:hAnsi="Times New Roman" w:cs="Times New Roman"/>
          <w:color w:val="000000"/>
          <w:sz w:val="24"/>
          <w:szCs w:val="24"/>
          <w:u w:val="single"/>
        </w:rPr>
        <w:t>STEM. The term “STEM” means science, technology, engineering or math.</w:t>
      </w:r>
    </w:p>
    <w:p w14:paraId="418D6CF0"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75A63">
        <w:rPr>
          <w:rFonts w:ascii="Times New Roman" w:eastAsia="Arial Unicode MS" w:hAnsi="Times New Roman" w:cs="Times New Roman"/>
          <w:color w:val="000000"/>
          <w:sz w:val="24"/>
          <w:szCs w:val="24"/>
          <w:u w:val="single"/>
        </w:rPr>
        <w:t>STEM activity. The term “STEM activity” means a STEM class offered by a high school or a STEM extracurricular program offered by the department that is available to high school students.</w:t>
      </w:r>
    </w:p>
    <w:p w14:paraId="6998FA5E"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 xml:space="preserve">High school student. The term “high school student” </w:t>
      </w:r>
      <w:r w:rsidRPr="00F75A63">
        <w:rPr>
          <w:rFonts w:ascii="Times New Roman" w:eastAsia="Calibri" w:hAnsi="Times New Roman" w:cs="Arial"/>
          <w:color w:val="000000"/>
          <w:sz w:val="24"/>
          <w:u w:val="single"/>
          <w:shd w:val="clear" w:color="auto" w:fill="FFFFFF"/>
        </w:rPr>
        <w:t>means any pupil who does not have a high school diploma and who is enrolled in a high school as of October 31</w:t>
      </w:r>
      <w:r w:rsidRPr="00F75A63">
        <w:rPr>
          <w:rFonts w:ascii="Times New Roman" w:eastAsia="Calibri" w:hAnsi="Times New Roman" w:cs="Arial"/>
          <w:color w:val="000000"/>
          <w:sz w:val="24"/>
          <w:u w:val="single"/>
          <w:shd w:val="clear" w:color="auto" w:fill="FFFFFF"/>
          <w:vertAlign w:val="superscript"/>
        </w:rPr>
        <w:t xml:space="preserve"> </w:t>
      </w:r>
      <w:r w:rsidRPr="00F75A63">
        <w:rPr>
          <w:rFonts w:ascii="Times New Roman" w:eastAsia="Calibri" w:hAnsi="Times New Roman" w:cs="Arial"/>
          <w:color w:val="000000"/>
          <w:sz w:val="24"/>
          <w:u w:val="single"/>
          <w:shd w:val="clear" w:color="auto" w:fill="FFFFFF"/>
        </w:rPr>
        <w:t>of the school year being reported</w:t>
      </w:r>
      <w:r w:rsidRPr="00F75A63">
        <w:rPr>
          <w:rFonts w:ascii="Times New Roman" w:eastAsia="Arial Unicode MS" w:hAnsi="Times New Roman" w:cs="Times New Roman"/>
          <w:color w:val="000000"/>
          <w:sz w:val="24"/>
          <w:u w:val="single"/>
        </w:rPr>
        <w:t>.</w:t>
      </w:r>
    </w:p>
    <w:p w14:paraId="2CC9E2E2"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 xml:space="preserve">b. Annual survey. Beginning in 2027 and annually thereafter, the department shall collect feedback from high school students about their experiences with STEM. Such feedback solicitation shall include questions that are intended to ascertain the reasons for any racial and gender disparities in enrollment and disenrollment in STEM activities.  </w:t>
      </w:r>
    </w:p>
    <w:p w14:paraId="5811BFCF"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c. Annual report. Beginning annually in 2027, no later than January 31 of each year, the commissioner shall submit to the mayor and the speaker of the council, and shall post conspicuously on the department’s website, a repor</w:t>
      </w:r>
      <w:r w:rsidRPr="00F75A63">
        <w:rPr>
          <w:rFonts w:ascii="Times New Roman" w:eastAsia="Calibri" w:hAnsi="Times New Roman" w:cs="Arial"/>
          <w:sz w:val="24"/>
          <w:u w:val="single"/>
        </w:rPr>
        <w:t>t on STEM activities f</w:t>
      </w:r>
      <w:r w:rsidRPr="00F75A63">
        <w:rPr>
          <w:rFonts w:ascii="Times New Roman" w:eastAsia="Arial Unicode MS" w:hAnsi="Times New Roman" w:cs="Times New Roman"/>
          <w:color w:val="000000"/>
          <w:sz w:val="24"/>
          <w:u w:val="single"/>
        </w:rPr>
        <w:t>or high school students.</w:t>
      </w:r>
    </w:p>
    <w:p w14:paraId="3BF83B85"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1. The annual report shall include a table in which every row is a STEM activity that was offered in the previous academic year. Each such row shall include the following information, set forth in separate columns:</w:t>
      </w:r>
    </w:p>
    <w:p w14:paraId="3D10368E"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(a) The name of the STEM activity aggregated by class or extracurricular;</w:t>
      </w:r>
    </w:p>
    <w:p w14:paraId="3209CC3D"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 xml:space="preserve">(b) Whether the STEM activity was a class or an extracurricular program; </w:t>
      </w:r>
    </w:p>
    <w:p w14:paraId="3CED1428"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(c) The school or site where the STEM activity was offered;</w:t>
      </w:r>
    </w:p>
    <w:p w14:paraId="6E2B0DC2"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(d) The number of high school students enrolled, in total and disaggregated by the categories set forth in subdivision b of section 21-957.1;</w:t>
      </w:r>
    </w:p>
    <w:p w14:paraId="04BBB368" w14:textId="77777777" w:rsidR="00F75A63" w:rsidRPr="00F75A63" w:rsidDel="00615674"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(e) For classes, the number of sections of a class;</w:t>
      </w:r>
    </w:p>
    <w:p w14:paraId="2FDE4DDC"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(f) For classes, whether the class was an advanced placement class; and</w:t>
      </w:r>
    </w:p>
    <w:p w14:paraId="7E5DC9C9"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szCs w:val="24"/>
          <w:u w:val="single"/>
        </w:rPr>
      </w:pPr>
      <w:r w:rsidRPr="00F75A63">
        <w:rPr>
          <w:rFonts w:ascii="Times New Roman" w:eastAsia="Arial Unicode MS" w:hAnsi="Times New Roman" w:cs="Times New Roman"/>
          <w:color w:val="000000"/>
          <w:sz w:val="24"/>
          <w:u w:val="single"/>
        </w:rPr>
        <w:t>(g) For classes, the number of high school students who passed the class upon its conclusion at the end of the semester or year, in total and disaggregated by the categories set forth in subdivision b of section 21-957.1.</w:t>
      </w:r>
    </w:p>
    <w:p w14:paraId="6F130E31" w14:textId="21298E43"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2. The annual report shall include a table in which every row is a high school. Each such row shall include the number of certified STEM instructors providing instruction at each school in the previous academic year, disaggregated by race, ethnicity, and full-time or part-time status.</w:t>
      </w:r>
    </w:p>
    <w:p w14:paraId="4914567A"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3. Beginning in 2028, the annual report shall include the methodology for how feedback was requested and a narrative description of the student feedback received for the survey established pursuant to subdivision b of this section.</w:t>
      </w:r>
    </w:p>
    <w:p w14:paraId="2C4656B8"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4. The annual report shall include, based on a review of the data and applicable research, potential causes for low student STEM activity enrollment rates, decreasing student STEM activity enrollment rates, student disenrollment in STEM activities, and racial and gender disparities in enrollment, retention, and disenrollment in STEM activities.</w:t>
      </w:r>
    </w:p>
    <w:p w14:paraId="2179A6DD" w14:textId="1B85D9C8" w:rsidR="00F75A63" w:rsidRPr="00F75A63" w:rsidRDefault="00F75A63" w:rsidP="00F75A63">
      <w:pPr>
        <w:spacing w:after="0" w:line="480" w:lineRule="auto"/>
        <w:ind w:firstLine="720"/>
        <w:jc w:val="both"/>
        <w:rPr>
          <w:rFonts w:ascii="Times New Roman" w:eastAsia="Arial Unicode MS" w:hAnsi="Times New Roman" w:cs="Times New Roman"/>
          <w:sz w:val="24"/>
          <w:u w:val="single"/>
        </w:rPr>
      </w:pPr>
      <w:r w:rsidRPr="00F75A63">
        <w:rPr>
          <w:rFonts w:ascii="Times New Roman" w:eastAsia="Arial Unicode MS" w:hAnsi="Times New Roman" w:cs="Times New Roman"/>
          <w:color w:val="000000"/>
          <w:sz w:val="24"/>
          <w:u w:val="single"/>
        </w:rPr>
        <w:t>5</w:t>
      </w:r>
      <w:r w:rsidRPr="00F75A63">
        <w:rPr>
          <w:rFonts w:ascii="Times New Roman" w:eastAsia="Arial Unicode MS" w:hAnsi="Times New Roman" w:cs="Times New Roman"/>
          <w:sz w:val="24"/>
          <w:u w:val="single"/>
        </w:rPr>
        <w:t>. No information that is otherwise required to be reported pursuant to this section shall be reported in a manner that would violate any applicable provision of federal, state, or local law relating to the privacy of student information or that would interfere with law enforcement investigations or otherwise conflict with the interests of law enforcement. If a category contains between 1 and 5 students, or contains an amount that would allow another category that contains between 1 and 5 students to be deduced, the number shall be replaced with a symbol. A category that contains zero shall be reported as zero, unless such reporting would violate any applicable provision of federal, state, or local law relating to the privacy of student or identifiable information.</w:t>
      </w:r>
    </w:p>
    <w:p w14:paraId="530333D7" w14:textId="7DF74722" w:rsidR="00F75A63" w:rsidRPr="00F75A63" w:rsidRDefault="00F75A63" w:rsidP="00F75A63">
      <w:pPr>
        <w:spacing w:after="0" w:line="480" w:lineRule="auto"/>
        <w:ind w:firstLine="720"/>
        <w:jc w:val="both"/>
        <w:rPr>
          <w:rFonts w:ascii="Times New Roman" w:eastAsia="Arial Unicode MS" w:hAnsi="Times New Roman" w:cs="Times New Roman"/>
          <w:color w:val="000000"/>
          <w:sz w:val="24"/>
          <w:szCs w:val="24"/>
        </w:rPr>
      </w:pPr>
      <w:r w:rsidRPr="00F75A63">
        <w:rPr>
          <w:rFonts w:ascii="Times New Roman" w:eastAsia="Arial Unicode MS" w:hAnsi="Times New Roman" w:cs="Times New Roman"/>
          <w:color w:val="000000"/>
          <w:sz w:val="24"/>
          <w:szCs w:val="24"/>
        </w:rPr>
        <w:t xml:space="preserve">§ 2. This local law takes effect </w:t>
      </w:r>
      <w:r w:rsidRPr="00F75A63">
        <w:rPr>
          <w:rFonts w:ascii="Times New Roman" w:eastAsia="Calibri" w:hAnsi="Times New Roman" w:cs="Arial"/>
          <w:sz w:val="24"/>
          <w:szCs w:val="24"/>
        </w:rPr>
        <w:t>120 days</w:t>
      </w:r>
      <w:r w:rsidRPr="00F75A63">
        <w:rPr>
          <w:rFonts w:ascii="Times New Roman" w:eastAsia="Arial Unicode MS" w:hAnsi="Times New Roman" w:cs="Times New Roman"/>
          <w:color w:val="000000"/>
          <w:sz w:val="24"/>
          <w:szCs w:val="24"/>
        </w:rPr>
        <w:t xml:space="preserve"> after it becomes law. </w:t>
      </w:r>
    </w:p>
    <w:p w14:paraId="637AEF9D" w14:textId="178B00FC" w:rsidR="00F75A63" w:rsidRDefault="00F75A63">
      <w:pPr>
        <w:spacing w:line="278" w:lineRule="auto"/>
      </w:pPr>
      <w:r>
        <w:rPr>
          <w:noProof/>
          <w14:ligatures w14:val="standardContextual"/>
        </w:rPr>
        <mc:AlternateContent>
          <mc:Choice Requires="wps">
            <w:drawing>
              <wp:anchor distT="0" distB="0" distL="114300" distR="114300" simplePos="0" relativeHeight="251661312" behindDoc="0" locked="0" layoutInCell="1" allowOverlap="1" wp14:anchorId="6431FE34" wp14:editId="1057FA60">
                <wp:simplePos x="0" y="0"/>
                <wp:positionH relativeFrom="column">
                  <wp:posOffset>-28575</wp:posOffset>
                </wp:positionH>
                <wp:positionV relativeFrom="paragraph">
                  <wp:posOffset>233680</wp:posOffset>
                </wp:positionV>
                <wp:extent cx="1314450" cy="628650"/>
                <wp:effectExtent l="0" t="0" r="0" b="0"/>
                <wp:wrapNone/>
                <wp:docPr id="153703213" name="Text Box 1"/>
                <wp:cNvGraphicFramePr/>
                <a:graphic xmlns:a="http://schemas.openxmlformats.org/drawingml/2006/main">
                  <a:graphicData uri="http://schemas.microsoft.com/office/word/2010/wordprocessingShape">
                    <wps:wsp>
                      <wps:cNvSpPr txBox="1"/>
                      <wps:spPr>
                        <a:xfrm>
                          <a:off x="0" y="0"/>
                          <a:ext cx="1314450" cy="628650"/>
                        </a:xfrm>
                        <a:prstGeom prst="rect">
                          <a:avLst/>
                        </a:prstGeom>
                        <a:solidFill>
                          <a:schemeClr val="lt1"/>
                        </a:solidFill>
                        <a:ln w="6350">
                          <a:noFill/>
                        </a:ln>
                      </wps:spPr>
                      <wps:txbx>
                        <w:txbxContent>
                          <w:p w14:paraId="2BB6456C" w14:textId="77777777" w:rsidR="00F75A63" w:rsidRPr="00F75A63" w:rsidRDefault="00F75A63" w:rsidP="00F75A63">
                            <w:pPr>
                              <w:suppressLineNumbers/>
                              <w:shd w:val="clear" w:color="auto" w:fill="FFFFFF"/>
                              <w:spacing w:after="0" w:line="240" w:lineRule="auto"/>
                              <w:rPr>
                                <w:rFonts w:ascii="Times New Roman" w:eastAsia="Arial Unicode MS" w:hAnsi="Times New Roman" w:cs="Times New Roman"/>
                                <w:color w:val="000000"/>
                                <w:sz w:val="20"/>
                                <w:szCs w:val="20"/>
                              </w:rPr>
                            </w:pPr>
                            <w:r w:rsidRPr="00F75A63">
                              <w:rPr>
                                <w:rFonts w:ascii="Times New Roman" w:eastAsia="Arial Unicode MS" w:hAnsi="Times New Roman" w:cs="Times New Roman"/>
                                <w:color w:val="000000"/>
                                <w:sz w:val="20"/>
                                <w:szCs w:val="20"/>
                              </w:rPr>
                              <w:t>YN/JGP</w:t>
                            </w:r>
                          </w:p>
                          <w:p w14:paraId="0A921116" w14:textId="77777777" w:rsidR="00F75A63" w:rsidRPr="00F75A63" w:rsidRDefault="00F75A63" w:rsidP="00F75A63">
                            <w:pPr>
                              <w:suppressLineNumbers/>
                              <w:shd w:val="clear" w:color="auto" w:fill="FFFFFF"/>
                              <w:spacing w:after="0" w:line="240" w:lineRule="auto"/>
                              <w:rPr>
                                <w:rFonts w:ascii="Times New Roman" w:eastAsia="Arial Unicode MS" w:hAnsi="Times New Roman" w:cs="Times New Roman"/>
                                <w:color w:val="000000"/>
                                <w:sz w:val="20"/>
                                <w:szCs w:val="20"/>
                              </w:rPr>
                            </w:pPr>
                            <w:r w:rsidRPr="00F75A63">
                              <w:rPr>
                                <w:rFonts w:ascii="Times New Roman" w:eastAsia="Arial Unicode MS" w:hAnsi="Times New Roman" w:cs="Times New Roman"/>
                                <w:color w:val="000000"/>
                                <w:sz w:val="20"/>
                                <w:szCs w:val="20"/>
                              </w:rPr>
                              <w:t>LS #</w:t>
                            </w:r>
                            <w:r w:rsidRPr="00F75A63">
                              <w:rPr>
                                <w:rFonts w:ascii="Times New Roman" w:hAnsi="Times New Roman" w:cs="Times New Roman"/>
                                <w:sz w:val="20"/>
                                <w:szCs w:val="20"/>
                              </w:rPr>
                              <w:t>16276</w:t>
                            </w:r>
                          </w:p>
                          <w:p w14:paraId="20A62C18" w14:textId="77777777" w:rsidR="00F75A63" w:rsidRPr="00F75A63" w:rsidRDefault="00F75A63" w:rsidP="00F75A63">
                            <w:pPr>
                              <w:suppressLineNumbers/>
                              <w:shd w:val="clear" w:color="auto" w:fill="FFFFFF" w:themeFill="background1"/>
                              <w:spacing w:after="0" w:line="240" w:lineRule="auto"/>
                              <w:rPr>
                                <w:rFonts w:ascii="Times New Roman" w:eastAsia="Arial Unicode MS" w:hAnsi="Times New Roman" w:cs="Times New Roman"/>
                                <w:color w:val="000000" w:themeColor="text1"/>
                                <w:sz w:val="20"/>
                                <w:szCs w:val="20"/>
                              </w:rPr>
                            </w:pPr>
                            <w:r w:rsidRPr="00F75A63">
                              <w:rPr>
                                <w:rFonts w:ascii="Times New Roman" w:eastAsia="Arial Unicode MS" w:hAnsi="Times New Roman" w:cs="Times New Roman"/>
                                <w:color w:val="000000" w:themeColor="text1"/>
                                <w:sz w:val="20"/>
                                <w:szCs w:val="20"/>
                              </w:rPr>
                              <w:t>11/17/2025 9:15 pm</w:t>
                            </w:r>
                          </w:p>
                          <w:p w14:paraId="3FD638F6" w14:textId="77777777" w:rsidR="00F75A63" w:rsidRDefault="00F75A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31FE34" id="Text Box 1" o:spid="_x0000_s1027" type="#_x0000_t202" style="position:absolute;margin-left:-2.25pt;margin-top:18.4pt;width:103.5pt;height:4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" fillcolor="white [3201]" stroked="f" strokeweight=".5pt">
                <v:textbox>
                  <w:txbxContent>
                    <w:p w14:paraId="2BB6456C" w14:textId="77777777" w:rsidR="00F75A63" w:rsidRPr="00F75A63" w:rsidRDefault="00F75A63" w:rsidP="00F75A63">
                      <w:pPr>
                        <w:suppressLineNumbers/>
                        <w:shd w:val="clear" w:color="auto" w:fill="FFFFFF"/>
                        <w:spacing w:after="0" w:line="240" w:lineRule="auto"/>
                        <w:rPr>
                          <w:rFonts w:ascii="Times New Roman" w:eastAsia="Arial Unicode MS" w:hAnsi="Times New Roman" w:cs="Times New Roman"/>
                          <w:color w:val="000000"/>
                          <w:sz w:val="20"/>
                          <w:szCs w:val="20"/>
                        </w:rPr>
                      </w:pPr>
                      <w:r w:rsidRPr="00F75A63">
                        <w:rPr>
                          <w:rFonts w:ascii="Times New Roman" w:eastAsia="Arial Unicode MS" w:hAnsi="Times New Roman" w:cs="Times New Roman"/>
                          <w:color w:val="000000"/>
                          <w:sz w:val="20"/>
                          <w:szCs w:val="20"/>
                        </w:rPr>
                        <w:t>YN/JGP</w:t>
                      </w:r>
                    </w:p>
                    <w:p w14:paraId="0A921116" w14:textId="77777777" w:rsidR="00F75A63" w:rsidRPr="00F75A63" w:rsidRDefault="00F75A63" w:rsidP="00F75A63">
                      <w:pPr>
                        <w:suppressLineNumbers/>
                        <w:shd w:val="clear" w:color="auto" w:fill="FFFFFF"/>
                        <w:spacing w:after="0" w:line="240" w:lineRule="auto"/>
                        <w:rPr>
                          <w:rFonts w:ascii="Times New Roman" w:eastAsia="Arial Unicode MS" w:hAnsi="Times New Roman" w:cs="Times New Roman"/>
                          <w:color w:val="000000"/>
                          <w:sz w:val="20"/>
                          <w:szCs w:val="20"/>
                        </w:rPr>
                      </w:pPr>
                      <w:r w:rsidRPr="00F75A63">
                        <w:rPr>
                          <w:rFonts w:ascii="Times New Roman" w:eastAsia="Arial Unicode MS" w:hAnsi="Times New Roman" w:cs="Times New Roman"/>
                          <w:color w:val="000000"/>
                          <w:sz w:val="20"/>
                          <w:szCs w:val="20"/>
                        </w:rPr>
                        <w:t>LS #</w:t>
                      </w:r>
                      <w:r w:rsidRPr="00F75A63">
                        <w:rPr>
                          <w:rFonts w:ascii="Times New Roman" w:hAnsi="Times New Roman" w:cs="Times New Roman"/>
                          <w:sz w:val="20"/>
                          <w:szCs w:val="20"/>
                        </w:rPr>
                        <w:t>16276</w:t>
                      </w:r>
                    </w:p>
                    <w:p w14:paraId="20A62C18" w14:textId="77777777" w:rsidR="00F75A63" w:rsidRPr="00F75A63" w:rsidRDefault="00F75A63" w:rsidP="00F75A63">
                      <w:pPr>
                        <w:suppressLineNumbers/>
                        <w:shd w:val="clear" w:color="auto" w:fill="FFFFFF" w:themeFill="background1"/>
                        <w:spacing w:after="0" w:line="240" w:lineRule="auto"/>
                        <w:rPr>
                          <w:rFonts w:ascii="Times New Roman" w:eastAsia="Arial Unicode MS" w:hAnsi="Times New Roman" w:cs="Times New Roman"/>
                          <w:color w:val="000000" w:themeColor="text1"/>
                          <w:sz w:val="20"/>
                          <w:szCs w:val="20"/>
                        </w:rPr>
                      </w:pPr>
                      <w:r w:rsidRPr="00F75A63">
                        <w:rPr>
                          <w:rFonts w:ascii="Times New Roman" w:eastAsia="Arial Unicode MS" w:hAnsi="Times New Roman" w:cs="Times New Roman"/>
                          <w:color w:val="000000" w:themeColor="text1"/>
                          <w:sz w:val="20"/>
                          <w:szCs w:val="20"/>
                        </w:rPr>
                        <w:t>11/17/2025 9:15 pm</w:t>
                      </w:r>
                    </w:p>
                    <w:p w14:paraId="3FD638F6" w14:textId="77777777" w:rsidR="00F75A63" w:rsidRDefault="00F75A63"/>
                  </w:txbxContent>
                </v:textbox>
              </v:shape>
            </w:pict>
          </mc:Fallback>
        </mc:AlternateContent>
      </w:r>
      <w:r>
        <w:br w:type="page"/>
      </w:r>
    </w:p>
    <w:p w14:paraId="075ED2ED" w14:textId="77E9F892" w:rsidR="003D1753" w:rsidRPr="003D1753" w:rsidRDefault="003D1753" w:rsidP="00AC0B18">
      <w:pPr>
        <w:suppressLineNumbers/>
        <w:spacing w:after="0" w:line="240" w:lineRule="auto"/>
        <w:jc w:val="center"/>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Int. No. 1216-A</w:t>
      </w:r>
    </w:p>
    <w:p w14:paraId="5BCE7343" w14:textId="77777777" w:rsidR="003D1753" w:rsidRPr="003D1753" w:rsidRDefault="003D1753" w:rsidP="00AC0B18">
      <w:pPr>
        <w:suppressLineNumbers/>
        <w:spacing w:after="0" w:line="240" w:lineRule="auto"/>
        <w:jc w:val="center"/>
        <w:rPr>
          <w:rFonts w:ascii="Times New Roman" w:eastAsia="Times New Roman" w:hAnsi="Times New Roman" w:cs="Times New Roman"/>
          <w:sz w:val="24"/>
          <w:szCs w:val="24"/>
        </w:rPr>
      </w:pPr>
    </w:p>
    <w:p w14:paraId="1A28AEC7" w14:textId="77777777" w:rsidR="003D1753" w:rsidRPr="003D1753" w:rsidRDefault="003D1753" w:rsidP="00AC0B18">
      <w:pPr>
        <w:suppressLineNumbers/>
        <w:spacing w:after="0" w:line="240" w:lineRule="auto"/>
        <w:jc w:val="both"/>
        <w:rPr>
          <w:rFonts w:ascii="Times New Roman" w:eastAsia="Calibri" w:hAnsi="Times New Roman" w:cs="Times New Roman"/>
          <w:sz w:val="24"/>
          <w:szCs w:val="24"/>
        </w:rPr>
      </w:pPr>
      <w:r w:rsidRPr="003D1753">
        <w:rPr>
          <w:rFonts w:ascii="Times New Roman" w:eastAsia="Calibri" w:hAnsi="Times New Roman" w:cs="Times New Roman"/>
          <w:sz w:val="24"/>
          <w:szCs w:val="24"/>
        </w:rPr>
        <w:t>By Council Members Lee, Hanif, Narcisse, Cabán, Banks, Ossé, Nurse, Krishnan, Restler, Won, Brewer, Joseph, Brooks-Powers, Menin, Williams, Brannan, Avilés, Hanks, Louis, Salamanca, Ung, Farías, Moya, Gennaro, Hudson, Gutiérrez and the Public Advocate (Mr. Williams)</w:t>
      </w:r>
    </w:p>
    <w:p w14:paraId="25C5CF2D" w14:textId="77777777" w:rsidR="003D1753" w:rsidRPr="003D1753" w:rsidRDefault="003D1753" w:rsidP="00AC0B18">
      <w:pPr>
        <w:suppressLineNumbers/>
        <w:spacing w:after="0" w:line="240" w:lineRule="auto"/>
        <w:rPr>
          <w:rFonts w:ascii="Times New Roman" w:eastAsia="Times New Roman" w:hAnsi="Times New Roman" w:cs="Times New Roman"/>
          <w:sz w:val="24"/>
          <w:szCs w:val="24"/>
        </w:rPr>
      </w:pPr>
    </w:p>
    <w:p w14:paraId="30A9C4BE" w14:textId="5EAF8F5E" w:rsidR="003D1753" w:rsidRPr="003D1753" w:rsidRDefault="003D1753" w:rsidP="00AC0B18">
      <w:pPr>
        <w:suppressLineNumbers/>
        <w:spacing w:after="0" w:line="240" w:lineRule="auto"/>
        <w:jc w:val="both"/>
        <w:rPr>
          <w:rFonts w:ascii="Times New Roman" w:eastAsia="Times New Roman" w:hAnsi="Times New Roman" w:cs="Times New Roman"/>
          <w:vanish/>
          <w:sz w:val="24"/>
          <w:szCs w:val="24"/>
        </w:rPr>
      </w:pPr>
    </w:p>
    <w:p w14:paraId="7BED8D3A" w14:textId="77777777" w:rsidR="003D1753" w:rsidRPr="003D1753" w:rsidRDefault="003D1753" w:rsidP="00AC0B18">
      <w:pPr>
        <w:suppressLineNumbers/>
        <w:spacing w:after="0" w:line="240" w:lineRule="auto"/>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A Local Law to amend the administrative code of the city of New York, in relation to cosmetology establishments displaying resources regarding gender-based violence</w:t>
      </w:r>
    </w:p>
    <w:p w14:paraId="634FF2F6" w14:textId="13ED31AA" w:rsidR="003D1753" w:rsidRPr="003D1753" w:rsidRDefault="003D1753" w:rsidP="00AC0B18">
      <w:pPr>
        <w:suppressLineNumbers/>
        <w:spacing w:after="0" w:line="240" w:lineRule="auto"/>
        <w:jc w:val="both"/>
        <w:rPr>
          <w:rFonts w:ascii="Times New Roman" w:eastAsia="Times New Roman" w:hAnsi="Times New Roman" w:cs="Times New Roman"/>
          <w:vanish/>
          <w:sz w:val="24"/>
          <w:szCs w:val="24"/>
        </w:rPr>
      </w:pPr>
    </w:p>
    <w:p w14:paraId="0D28C22E" w14:textId="77777777" w:rsidR="003D1753" w:rsidRPr="003D1753" w:rsidRDefault="003D1753" w:rsidP="00AC0B18">
      <w:pPr>
        <w:suppressLineNumbers/>
        <w:spacing w:after="0" w:line="240" w:lineRule="auto"/>
        <w:jc w:val="both"/>
        <w:rPr>
          <w:rFonts w:ascii="Times New Roman" w:eastAsia="Times New Roman" w:hAnsi="Times New Roman" w:cs="Times New Roman"/>
          <w:sz w:val="24"/>
          <w:szCs w:val="24"/>
          <w:u w:val="single"/>
        </w:rPr>
      </w:pPr>
    </w:p>
    <w:p w14:paraId="6FAE0705" w14:textId="77777777" w:rsidR="003D1753" w:rsidRPr="003D1753" w:rsidRDefault="003D1753" w:rsidP="00AC0B18">
      <w:pPr>
        <w:suppressLineNumbers/>
        <w:spacing w:after="0" w:line="240" w:lineRule="auto"/>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Be it enacted by the Council as follows:</w:t>
      </w:r>
    </w:p>
    <w:p w14:paraId="02504062" w14:textId="77777777" w:rsidR="003D1753" w:rsidRPr="003D1753" w:rsidRDefault="003D1753" w:rsidP="00AC0B18">
      <w:pPr>
        <w:suppressLineNumbers/>
        <w:spacing w:after="0" w:line="240" w:lineRule="auto"/>
        <w:jc w:val="both"/>
        <w:rPr>
          <w:rFonts w:ascii="Times New Roman" w:eastAsia="Times New Roman" w:hAnsi="Times New Roman" w:cs="Times New Roman"/>
          <w:sz w:val="24"/>
          <w:szCs w:val="24"/>
          <w:u w:val="single"/>
        </w:rPr>
      </w:pPr>
    </w:p>
    <w:p w14:paraId="5BC2A2ED" w14:textId="77777777" w:rsidR="003D1753" w:rsidRPr="003D1753" w:rsidRDefault="003D1753" w:rsidP="003D1753">
      <w:pPr>
        <w:spacing w:after="0" w:line="240" w:lineRule="auto"/>
        <w:jc w:val="both"/>
        <w:rPr>
          <w:rFonts w:ascii="Times New Roman" w:eastAsia="Times New Roman" w:hAnsi="Times New Roman" w:cs="Times New Roman"/>
          <w:sz w:val="24"/>
          <w:szCs w:val="24"/>
        </w:rPr>
        <w:sectPr w:rsidR="003D1753" w:rsidRPr="003D1753" w:rsidSect="003D1753">
          <w:footerReference w:type="default" r:id="rId13"/>
          <w:footerReference w:type="first" r:id="rId14"/>
          <w:pgSz w:w="12240" w:h="15840"/>
          <w:pgMar w:top="1440" w:right="1440" w:bottom="1440" w:left="1440" w:header="720" w:footer="720" w:gutter="0"/>
          <w:lnNumType w:countBy="1"/>
          <w:cols w:space="720"/>
          <w:docGrid w:linePitch="299"/>
        </w:sectPr>
      </w:pPr>
    </w:p>
    <w:p w14:paraId="54F14833"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Section 1. Section 3-182 of the administrative code of the city of New York is amended by adding new subdivisions d and e to read as follows:</w:t>
      </w:r>
    </w:p>
    <w:p w14:paraId="476B9ECC"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 xml:space="preserve">d. The office shall create a poster that includes information regarding services available in the city to address gender-based violence, including, but not limited to, free hotline services. Such poster shall be provided to cosmetology establishments at no cost and shall be made available in each of the designated citywide languages, as such term is defined in section 23-1101. The office shall provide minimum requirements for cosmetology establishments that choose to design and print their own poster. </w:t>
      </w:r>
    </w:p>
    <w:p w14:paraId="06B7E2E3"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 xml:space="preserve">e. Every cosmetology establishment shall post in a conspicuous place, easily visible to all customers, a poster created pursuant to subdivision d of this section in a language of their choice. </w:t>
      </w:r>
    </w:p>
    <w:p w14:paraId="5787CBB8" w14:textId="7C9CDA4B" w:rsidR="003D1753" w:rsidRPr="003D1753" w:rsidRDefault="003D1753" w:rsidP="003D1753">
      <w:pPr>
        <w:spacing w:after="0" w:line="480" w:lineRule="auto"/>
        <w:ind w:firstLine="720"/>
        <w:jc w:val="both"/>
        <w:rPr>
          <w:rFonts w:ascii="Times New Roman" w:eastAsia="Times New Roman" w:hAnsi="Times New Roman" w:cs="Times New Roman"/>
          <w:sz w:val="18"/>
          <w:szCs w:val="18"/>
        </w:rPr>
        <w:sectPr w:rsidR="003D1753" w:rsidRPr="003D1753" w:rsidSect="003D1753">
          <w:type w:val="continuous"/>
          <w:pgSz w:w="12240" w:h="15840"/>
          <w:pgMar w:top="1440" w:right="1440" w:bottom="1440" w:left="1440" w:header="720" w:footer="720" w:gutter="0"/>
          <w:lnNumType w:countBy="1"/>
          <w:cols w:space="720"/>
          <w:titlePg/>
          <w:docGrid w:linePitch="299"/>
        </w:sectPr>
      </w:pPr>
      <w:r>
        <w:rPr>
          <w:noProof/>
        </w:rPr>
        <mc:AlternateContent>
          <mc:Choice Requires="wps">
            <w:drawing>
              <wp:anchor distT="0" distB="0" distL="114300" distR="114300" simplePos="0" relativeHeight="251666432" behindDoc="0" locked="0" layoutInCell="1" allowOverlap="1" wp14:anchorId="650935D7" wp14:editId="3B0580AD">
                <wp:simplePos x="0" y="0"/>
                <wp:positionH relativeFrom="column">
                  <wp:posOffset>0</wp:posOffset>
                </wp:positionH>
                <wp:positionV relativeFrom="paragraph">
                  <wp:posOffset>1223645</wp:posOffset>
                </wp:positionV>
                <wp:extent cx="1828800" cy="1828800"/>
                <wp:effectExtent l="0" t="0" r="0" b="3175"/>
                <wp:wrapSquare wrapText="bothSides"/>
                <wp:docPr id="114900260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5E84B10"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SM/JGP</w:t>
                            </w:r>
                          </w:p>
                          <w:p w14:paraId="2B94645A"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LS #18718</w:t>
                            </w:r>
                          </w:p>
                          <w:p w14:paraId="76DAABBB" w14:textId="77777777" w:rsidR="003D1753" w:rsidRPr="00552F08" w:rsidRDefault="003D1753" w:rsidP="00552F08">
                            <w:pPr>
                              <w:spacing w:after="0" w:line="240" w:lineRule="auto"/>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11/17/2025 5:30 PM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0935D7" id="_x0000_s1028" type="#_x0000_t202" style="position:absolute;left:0;text-align:left;margin-left:0;margin-top:96.35pt;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" filled="f" stroked="f" strokeweight=".5pt">
                <v:textbox style="mso-fit-shape-to-text:t">
                  <w:txbxContent>
                    <w:p w14:paraId="35E84B10"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SM/JGP</w:t>
                      </w:r>
                    </w:p>
                    <w:p w14:paraId="2B94645A"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LS #18718</w:t>
                      </w:r>
                    </w:p>
                    <w:p w14:paraId="76DAABBB" w14:textId="77777777" w:rsidR="003D1753" w:rsidRPr="00552F08" w:rsidRDefault="003D1753" w:rsidP="00552F08">
                      <w:pPr>
                        <w:spacing w:after="0" w:line="240" w:lineRule="auto"/>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11/17/2025 5:30 PM</w:t>
                      </w:r>
                    </w:p>
                  </w:txbxContent>
                </v:textbox>
                <w10:wrap type="square"/>
              </v:shape>
            </w:pict>
          </mc:Fallback>
        </mc:AlternateContent>
      </w:r>
      <w:r w:rsidRPr="003D1753">
        <w:rPr>
          <w:rFonts w:ascii="Times New Roman" w:eastAsia="Times New Roman" w:hAnsi="Times New Roman" w:cs="Times New Roman"/>
          <w:sz w:val="24"/>
          <w:szCs w:val="24"/>
        </w:rPr>
        <w:t xml:space="preserve">§ 2. This local law takes effect 90 days after it becomes law, except that subdivision e of section 3-182 of the administrative code of the city of New York, as added by section 1 of this local law, takes effect 180 days after it becomes law. </w:t>
      </w:r>
    </w:p>
    <w:p w14:paraId="023609B9" w14:textId="77777777" w:rsidR="00AC0B18" w:rsidRPr="00AC0B18" w:rsidRDefault="00AC0B18" w:rsidP="00AC0B18">
      <w:pPr>
        <w:spacing w:after="0" w:line="240" w:lineRule="auto"/>
        <w:jc w:val="center"/>
        <w:rPr>
          <w:rFonts w:ascii="Times New Roman" w:eastAsia="Calibri" w:hAnsi="Times New Roman" w:cs="Times New Roman"/>
          <w:sz w:val="24"/>
          <w:szCs w:val="24"/>
        </w:rPr>
      </w:pPr>
      <w:r w:rsidRPr="00AC0B18">
        <w:rPr>
          <w:rFonts w:ascii="Times New Roman" w:eastAsia="Calibri" w:hAnsi="Times New Roman" w:cs="Times New Roman"/>
          <w:sz w:val="24"/>
          <w:szCs w:val="24"/>
        </w:rPr>
        <w:t>Res. No. 889</w:t>
      </w:r>
    </w:p>
    <w:p w14:paraId="6E1FA6D1"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4F4F8B00" w14:textId="77777777" w:rsidR="00AC0B18" w:rsidRPr="00AC0B18" w:rsidRDefault="00AC0B18" w:rsidP="00AC0B18">
      <w:pPr>
        <w:spacing w:after="0" w:line="240" w:lineRule="auto"/>
        <w:jc w:val="both"/>
        <w:rPr>
          <w:rFonts w:ascii="Times New Roman" w:eastAsia="Calibri" w:hAnsi="Times New Roman" w:cs="Times New Roman"/>
          <w:vanish/>
          <w:sz w:val="24"/>
          <w:szCs w:val="24"/>
        </w:rPr>
      </w:pPr>
      <w:r w:rsidRPr="00AC0B18">
        <w:rPr>
          <w:rFonts w:ascii="Times New Roman" w:eastAsia="Calibri" w:hAnsi="Times New Roman" w:cs="Times New Roman"/>
          <w:vanish/>
          <w:sz w:val="24"/>
          <w:szCs w:val="24"/>
        </w:rPr>
        <w:t>..Title</w:t>
      </w:r>
    </w:p>
    <w:p w14:paraId="39945F22" w14:textId="77777777" w:rsidR="00AC0B18" w:rsidRPr="00AC0B18" w:rsidRDefault="00AC0B18" w:rsidP="00AC0B18">
      <w:pPr>
        <w:spacing w:after="0" w:line="240" w:lineRule="auto"/>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Resolution declaring New York City’s commitment to affirm and defend continued access for reproductive rights</w:t>
      </w:r>
    </w:p>
    <w:p w14:paraId="0C1276EB" w14:textId="77777777" w:rsidR="00AC0B18" w:rsidRPr="00AC0B18" w:rsidRDefault="00AC0B18" w:rsidP="00AC0B18">
      <w:pPr>
        <w:spacing w:after="0" w:line="240" w:lineRule="auto"/>
        <w:jc w:val="both"/>
        <w:rPr>
          <w:rFonts w:ascii="Times New Roman" w:eastAsia="Calibri" w:hAnsi="Times New Roman" w:cs="Times New Roman"/>
          <w:vanish/>
          <w:sz w:val="24"/>
          <w:szCs w:val="24"/>
        </w:rPr>
      </w:pPr>
      <w:r w:rsidRPr="00AC0B18">
        <w:rPr>
          <w:rFonts w:ascii="Times New Roman" w:eastAsia="Calibri" w:hAnsi="Times New Roman" w:cs="Times New Roman"/>
          <w:vanish/>
          <w:sz w:val="24"/>
          <w:szCs w:val="24"/>
        </w:rPr>
        <w:t>..Body</w:t>
      </w:r>
    </w:p>
    <w:p w14:paraId="3B68C780"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3DBA40D5" w14:textId="77777777" w:rsidR="00AC0B18" w:rsidRPr="00AC0B18" w:rsidRDefault="00AC0B18" w:rsidP="00AC0B18">
      <w:pPr>
        <w:autoSpaceDE w:val="0"/>
        <w:autoSpaceDN w:val="0"/>
        <w:adjustRightInd w:val="0"/>
        <w:spacing w:after="0" w:line="240" w:lineRule="auto"/>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By Council Members Menin, De La Rosa, Louis, Restler, Hanif, Banks, Brewer, Joseph, Farías and the Public Advocate (Mr. Williams)</w:t>
      </w:r>
    </w:p>
    <w:p w14:paraId="2D560239"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57A00C30"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 xml:space="preserve">Whereas, On June 24, 2022, the U.S. Supreme Court overturned Roe v. Wade, the longstanding legal precedent that found that the right to abortion was protected by the United States Constitution; and </w:t>
      </w:r>
    </w:p>
    <w:p w14:paraId="32007238"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New York was the first state to legalize abortion in 1970 without residency requirements; and</w:t>
      </w:r>
    </w:p>
    <w:p w14:paraId="562A8D95"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Despite the overturning of Roe v. Wade, abortion remains legal in New York as a result of statutory and state constitutional measures implemented to protect confidential access to abortion and reproductive healthcare; and</w:t>
      </w:r>
    </w:p>
    <w:p w14:paraId="398672A8"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The New York State Legislature in 2019 passed the Reproductive Health Act with the intention to codify Roe v. Wade protections into state law and ensure access to safe and legal abortions in New York State; and</w:t>
      </w:r>
    </w:p>
    <w:p w14:paraId="75E97596"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Additional existing statutory protections in New York State for reproductive healthcare include public and private funding for medically necessary abortion care for all residents, including minors, transgender and nonbinary individuals; confidentiality that prohibits healthcare providers from sharing medical records or information about reproductive healthcare services without consent; protection from employers discriminating against employees based upon their reproductive decisions; and New York’s Shield Laws which protects patients and providers from prosecution or civil liability stemming from out-of-state laws; and</w:t>
      </w:r>
    </w:p>
    <w:p w14:paraId="1851048A" w14:textId="77777777" w:rsidR="00AC0B18" w:rsidRPr="00AC0B18" w:rsidRDefault="00AC0B18" w:rsidP="00AC0B18">
      <w:pPr>
        <w:spacing w:after="0" w:line="480" w:lineRule="auto"/>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ab/>
        <w:t>Whereas, In 2022, with the COVID-19 pandemic having already increased the use of telemedicine, medication abortion through telemedicine became a vital connection to reproductive healthcare for pregnant persons living in states who prohibited access to abortion and abortion medications; and</w:t>
      </w:r>
    </w:p>
    <w:p w14:paraId="7727DE26"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In March 2025, New York Governor Hochul invoked New York Shield Laws to reject an extradition request from Louisiana Governor Landry in response to a New York physician who was charged with prescribing abortion inducing pills to the mother of a pregnant minor in Louisiana—an example of states seeking to impose criminal penalties, malpractice or professional disciplinary body sanctions on out-of-state abortion actors who might threaten or intimidate persons choosing to have an abortion or utilize any reproductive health service; and</w:t>
      </w:r>
    </w:p>
    <w:p w14:paraId="4F82449A" w14:textId="77777777" w:rsidR="00AC0B18" w:rsidRPr="00AC0B18" w:rsidRDefault="00AC0B18" w:rsidP="00AC0B18">
      <w:pPr>
        <w:spacing w:after="0" w:line="480" w:lineRule="auto"/>
        <w:ind w:firstLine="720"/>
        <w:jc w:val="both"/>
        <w:rPr>
          <w:rFonts w:ascii="Times New Roman" w:eastAsia="Times New Roman" w:hAnsi="Times New Roman" w:cs="Times New Roman"/>
          <w:color w:val="151D23"/>
          <w:sz w:val="24"/>
          <w:szCs w:val="24"/>
        </w:rPr>
      </w:pPr>
      <w:r w:rsidRPr="00AC0B18">
        <w:rPr>
          <w:rFonts w:ascii="Times New Roman" w:eastAsia="Calibri" w:hAnsi="Times New Roman" w:cs="Times New Roman"/>
          <w:sz w:val="24"/>
          <w:szCs w:val="24"/>
        </w:rPr>
        <w:t xml:space="preserve">Whereas, In 2024, voters in New York State approved the </w:t>
      </w:r>
      <w:r w:rsidRPr="00AC0B18">
        <w:rPr>
          <w:rFonts w:ascii="Times New Roman" w:eastAsia="Times New Roman" w:hAnsi="Times New Roman" w:cs="Times New Roman"/>
          <w:color w:val="151D23"/>
          <w:sz w:val="24"/>
          <w:szCs w:val="24"/>
        </w:rPr>
        <w:t xml:space="preserve">Equal Rights Amendment, amending </w:t>
      </w:r>
      <w:r w:rsidRPr="00AC0B18">
        <w:rPr>
          <w:rFonts w:ascii="Times New Roman" w:eastAsia="Calibri" w:hAnsi="Times New Roman" w:cs="Times New Roman"/>
          <w:sz w:val="24"/>
          <w:szCs w:val="24"/>
        </w:rPr>
        <w:t>the state constitution to prohibit discrimination based on sex, sexual orientation, gender identity, gender expression, pregnancy, pregnancy outcomes, and reproductive healthcare and autonomy; and</w:t>
      </w:r>
    </w:p>
    <w:p w14:paraId="538E97E5" w14:textId="77777777" w:rsidR="00AC0B18" w:rsidRPr="00AC0B18" w:rsidRDefault="00AC0B18" w:rsidP="00AC0B18">
      <w:pPr>
        <w:spacing w:after="0" w:line="480" w:lineRule="auto"/>
        <w:ind w:firstLine="720"/>
        <w:jc w:val="both"/>
        <w:rPr>
          <w:rFonts w:ascii="Times New Roman" w:eastAsia="Times New Roman" w:hAnsi="Times New Roman" w:cs="Times New Roman"/>
          <w:color w:val="151D23"/>
          <w:sz w:val="24"/>
          <w:szCs w:val="24"/>
        </w:rPr>
      </w:pPr>
      <w:r w:rsidRPr="00AC0B18">
        <w:rPr>
          <w:rFonts w:ascii="Times New Roman" w:eastAsia="Times New Roman" w:hAnsi="Times New Roman" w:cs="Times New Roman"/>
          <w:color w:val="151D23"/>
          <w:sz w:val="24"/>
          <w:szCs w:val="24"/>
        </w:rPr>
        <w:t>Whereas, According to the American Civil Liberties Union, the current federal administration has repeatedly vowed to ban abortion nationwide and “imperil the ability of anyone to get an abortion anywhere in the country under any circumstance”; and</w:t>
      </w:r>
    </w:p>
    <w:p w14:paraId="2065FEC4" w14:textId="77777777" w:rsidR="00AC0B18" w:rsidRPr="00AC0B18" w:rsidRDefault="00AC0B18" w:rsidP="00AC0B18">
      <w:pPr>
        <w:spacing w:after="0" w:line="480" w:lineRule="auto"/>
        <w:ind w:firstLine="720"/>
        <w:jc w:val="both"/>
        <w:rPr>
          <w:rFonts w:ascii="Times New Roman" w:eastAsia="Times New Roman" w:hAnsi="Times New Roman" w:cs="Times New Roman"/>
          <w:color w:val="151D23"/>
          <w:sz w:val="24"/>
          <w:szCs w:val="24"/>
        </w:rPr>
      </w:pPr>
      <w:r w:rsidRPr="00AC0B18">
        <w:rPr>
          <w:rFonts w:ascii="Times New Roman" w:eastAsia="Times New Roman" w:hAnsi="Times New Roman" w:cs="Times New Roman"/>
          <w:color w:val="151D23"/>
          <w:sz w:val="24"/>
          <w:szCs w:val="24"/>
        </w:rPr>
        <w:t>Whereas, Millions of people of reproductive age now live miles from the nearest abortion provider, forcing them to travel outside their home state in order to secure access to safe and confidential reproductive healthcare services; and</w:t>
      </w:r>
    </w:p>
    <w:p w14:paraId="03EB5F20" w14:textId="77777777" w:rsidR="00AC0B18" w:rsidRPr="00AC0B18" w:rsidRDefault="00AC0B18" w:rsidP="00AC0B18">
      <w:pPr>
        <w:spacing w:after="0" w:line="480" w:lineRule="auto"/>
        <w:ind w:firstLine="720"/>
        <w:jc w:val="both"/>
        <w:rPr>
          <w:rFonts w:ascii="Times New Roman" w:eastAsia="Times New Roman" w:hAnsi="Times New Roman" w:cs="Times New Roman"/>
          <w:color w:val="151D23"/>
          <w:sz w:val="24"/>
          <w:szCs w:val="24"/>
        </w:rPr>
      </w:pPr>
      <w:r w:rsidRPr="00AC0B18">
        <w:rPr>
          <w:rFonts w:ascii="Times New Roman" w:eastAsia="Times New Roman" w:hAnsi="Times New Roman" w:cs="Times New Roman"/>
          <w:color w:val="151D23"/>
          <w:sz w:val="24"/>
          <w:szCs w:val="24"/>
        </w:rPr>
        <w:t>Whereas, According to a Guttmacher Institute study, an estimated 155,000 people traveled to New York City to obtain reproductive healthcare medications and safe and confidential abortion procedures; and</w:t>
      </w:r>
    </w:p>
    <w:p w14:paraId="77AD11C2" w14:textId="77777777" w:rsidR="00AC0B18" w:rsidRPr="00AC0B18" w:rsidRDefault="00AC0B18" w:rsidP="00AC0B18">
      <w:pPr>
        <w:spacing w:after="0" w:line="480" w:lineRule="auto"/>
        <w:ind w:firstLine="720"/>
        <w:jc w:val="both"/>
        <w:rPr>
          <w:rFonts w:ascii="Times New Roman" w:eastAsia="Times New Roman" w:hAnsi="Times New Roman" w:cs="Times New Roman"/>
          <w:color w:val="151D23"/>
          <w:sz w:val="24"/>
          <w:szCs w:val="24"/>
        </w:rPr>
      </w:pPr>
      <w:r w:rsidRPr="00AC0B18">
        <w:rPr>
          <w:rFonts w:ascii="Times New Roman" w:eastAsia="Times New Roman" w:hAnsi="Times New Roman" w:cs="Times New Roman"/>
          <w:color w:val="151D23"/>
          <w:sz w:val="24"/>
          <w:szCs w:val="24"/>
        </w:rPr>
        <w:t>Whereas, In 2022, the New York City Council voted and passed the “NYC Abortion Rights Act” bill package of laws and resolutions, seeking to protect women, transgender, and gender non-conforming people’s access to safe abortion, codifying New York’s role as a safe harbor for reproductive healthcare for New Yorkers, as well as those and those traveling to New York to seek reproductive healthcare from other states; and</w:t>
      </w:r>
    </w:p>
    <w:p w14:paraId="458F3617" w14:textId="77777777" w:rsidR="00AC0B18" w:rsidRPr="00AC0B18" w:rsidRDefault="00AC0B18" w:rsidP="00AC0B18">
      <w:pPr>
        <w:spacing w:after="0" w:line="480" w:lineRule="auto"/>
        <w:ind w:firstLine="720"/>
        <w:jc w:val="both"/>
        <w:rPr>
          <w:rFonts w:ascii="Times New Roman" w:eastAsia="Calibri" w:hAnsi="Times New Roman" w:cs="Times New Roman"/>
          <w:color w:val="000000"/>
          <w:sz w:val="24"/>
          <w:szCs w:val="24"/>
          <w:shd w:val="clear" w:color="auto" w:fill="FFFFFF"/>
        </w:rPr>
      </w:pPr>
      <w:r w:rsidRPr="00AC0B18">
        <w:rPr>
          <w:rFonts w:ascii="Times New Roman" w:eastAsia="Times New Roman" w:hAnsi="Times New Roman" w:cs="Times New Roman"/>
          <w:color w:val="151D23"/>
          <w:sz w:val="24"/>
          <w:szCs w:val="24"/>
        </w:rPr>
        <w:t>Whereas, The 2022 NYC Abortion Rights Act legislation included Local Law 74</w:t>
      </w:r>
      <w:r w:rsidRPr="00AC0B18">
        <w:rPr>
          <w:rFonts w:ascii="Times New Roman" w:eastAsia="Calibri" w:hAnsi="Times New Roman" w:cs="Times New Roman"/>
          <w:color w:val="000000"/>
          <w:sz w:val="24"/>
          <w:szCs w:val="24"/>
          <w:shd w:val="clear" w:color="auto" w:fill="FFFFFF"/>
        </w:rPr>
        <w:t xml:space="preserve"> which prohibited the use of city resources to enforce abortion restrictions; Local Law 75 which created a public information and outreach campaign regarding safe access to reproductive health care; Local Law 76 which created</w:t>
      </w:r>
      <w:r w:rsidRPr="00AC0B18">
        <w:rPr>
          <w:rFonts w:ascii="Times New Roman" w:eastAsia="Times New Roman" w:hAnsi="Times New Roman" w:cs="Times New Roman"/>
          <w:color w:val="000000"/>
          <w:sz w:val="24"/>
          <w:szCs w:val="24"/>
        </w:rPr>
        <w:t xml:space="preserve"> a cause of action related to interference with reproductive or endocrine medical care; and Local Law 77 </w:t>
      </w:r>
      <w:r w:rsidRPr="00AC0B18">
        <w:rPr>
          <w:rFonts w:ascii="Times New Roman" w:eastAsia="Calibri" w:hAnsi="Times New Roman" w:cs="Times New Roman"/>
          <w:color w:val="000000"/>
          <w:sz w:val="24"/>
          <w:szCs w:val="24"/>
          <w:shd w:val="clear" w:color="auto" w:fill="FFFFFF"/>
        </w:rPr>
        <w:t>which required the department of consumer and worker protection to implement an outreach and education campaign on facilities that  deceptively advertise or are otherwise misleading when offering reproductive health services; and</w:t>
      </w:r>
    </w:p>
    <w:p w14:paraId="221AD883" w14:textId="77777777" w:rsidR="00AC0B18" w:rsidRPr="00AC0B18" w:rsidRDefault="00AC0B18" w:rsidP="00AC0B18">
      <w:pPr>
        <w:spacing w:after="0" w:line="480" w:lineRule="auto"/>
        <w:jc w:val="both"/>
        <w:rPr>
          <w:rFonts w:ascii="Times New Roman" w:eastAsia="Times New Roman" w:hAnsi="Times New Roman" w:cs="Times New Roman"/>
          <w:color w:val="000000"/>
          <w:sz w:val="24"/>
          <w:szCs w:val="24"/>
        </w:rPr>
      </w:pPr>
      <w:r w:rsidRPr="00AC0B18">
        <w:rPr>
          <w:rFonts w:ascii="Times New Roman" w:eastAsia="Calibri" w:hAnsi="Times New Roman" w:cs="Times New Roman"/>
          <w:color w:val="000000"/>
          <w:sz w:val="24"/>
          <w:szCs w:val="24"/>
          <w:shd w:val="clear" w:color="auto" w:fill="FFFFFF"/>
        </w:rPr>
        <w:tab/>
        <w:t xml:space="preserve">Whereas, </w:t>
      </w:r>
      <w:r w:rsidRPr="00AC0B18">
        <w:rPr>
          <w:rFonts w:ascii="Times New Roman" w:eastAsia="Times New Roman" w:hAnsi="Times New Roman" w:cs="Times New Roman"/>
          <w:color w:val="151D23"/>
          <w:sz w:val="24"/>
          <w:szCs w:val="24"/>
        </w:rPr>
        <w:t xml:space="preserve">The 2022 NYC Abortion Rights Act legislation also included several resolutions including </w:t>
      </w:r>
      <w:r w:rsidRPr="00AC0B18">
        <w:rPr>
          <w:rFonts w:ascii="Times New Roman" w:eastAsia="Times New Roman" w:hAnsi="Times New Roman" w:cs="Times New Roman"/>
          <w:color w:val="000000"/>
          <w:sz w:val="24"/>
          <w:szCs w:val="24"/>
        </w:rPr>
        <w:t>Resolution 200, a Resolution declaring January 22, 2023 as Roe v. Wade Day in the City of New York to commemorate the 50th anniversary of the landmark United States Supreme Court decision; and</w:t>
      </w:r>
    </w:p>
    <w:p w14:paraId="7AF0F05B"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 xml:space="preserve">Whereas, The New York City Department of Health and Mental Hygiene has also established the New York City Abortion Access Hub, provides resources and information to persons seeking reproductive healthcare; and </w:t>
      </w:r>
    </w:p>
    <w:p w14:paraId="0841B9F0"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In the face of a federal administration that has promised to continue to challenge, threaten and attempt to eradicate access to contraception and reproductive healthcare for all people, New York City has demonstrated a willingness and a broad and ongoing commitment to ensure reproductive healthcare services are available today, tomorrow and for future generations; now, therefore, be it</w:t>
      </w:r>
    </w:p>
    <w:p w14:paraId="5C86EECC"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Resolved, The Council of the City of New York declares New York City’s commitment to affirm and defend continued access for reproductive rights</w:t>
      </w:r>
      <w:r w:rsidRPr="00AC0B18">
        <w:rPr>
          <w:rFonts w:ascii="Times New Roman" w:eastAsia="Calibri" w:hAnsi="Times New Roman" w:cs="Times New Roman"/>
          <w:sz w:val="18"/>
          <w:szCs w:val="18"/>
        </w:rPr>
        <w:t>.</w:t>
      </w:r>
    </w:p>
    <w:p w14:paraId="3F83F44E" w14:textId="77777777" w:rsidR="00AC0B18" w:rsidRPr="00AC0B18" w:rsidRDefault="00AC0B18" w:rsidP="00AC0B18">
      <w:pPr>
        <w:spacing w:after="0" w:line="240" w:lineRule="auto"/>
        <w:jc w:val="both"/>
        <w:rPr>
          <w:rFonts w:ascii="Times New Roman" w:eastAsia="Calibri" w:hAnsi="Times New Roman" w:cs="Times New Roman"/>
          <w:sz w:val="18"/>
          <w:szCs w:val="18"/>
        </w:rPr>
      </w:pPr>
    </w:p>
    <w:p w14:paraId="44403944" w14:textId="77777777" w:rsidR="00AC0B18" w:rsidRPr="00AC0B18" w:rsidRDefault="00AC0B18" w:rsidP="00AC0B18">
      <w:pPr>
        <w:spacing w:after="0" w:line="240" w:lineRule="auto"/>
        <w:jc w:val="both"/>
        <w:rPr>
          <w:rFonts w:ascii="Times New Roman" w:eastAsia="Calibri" w:hAnsi="Times New Roman" w:cs="Times New Roman"/>
          <w:sz w:val="18"/>
          <w:szCs w:val="18"/>
        </w:rPr>
      </w:pPr>
      <w:r w:rsidRPr="00AC0B18">
        <w:rPr>
          <w:rFonts w:ascii="Times New Roman" w:eastAsia="Calibri" w:hAnsi="Times New Roman" w:cs="Times New Roman"/>
          <w:sz w:val="18"/>
          <w:szCs w:val="18"/>
        </w:rPr>
        <w:t>CD</w:t>
      </w:r>
    </w:p>
    <w:p w14:paraId="6EE1B2E0" w14:textId="77777777" w:rsidR="00AC0B18" w:rsidRPr="00AC0B18" w:rsidRDefault="00AC0B18" w:rsidP="00AC0B18">
      <w:pPr>
        <w:spacing w:after="0" w:line="240" w:lineRule="auto"/>
        <w:jc w:val="both"/>
        <w:rPr>
          <w:rFonts w:ascii="Times New Roman" w:eastAsia="Calibri" w:hAnsi="Times New Roman" w:cs="Times New Roman"/>
          <w:sz w:val="18"/>
          <w:szCs w:val="18"/>
        </w:rPr>
      </w:pPr>
      <w:r w:rsidRPr="00AC0B18">
        <w:rPr>
          <w:rFonts w:ascii="Times New Roman" w:eastAsia="Calibri" w:hAnsi="Times New Roman" w:cs="Times New Roman"/>
          <w:sz w:val="18"/>
          <w:szCs w:val="18"/>
        </w:rPr>
        <w:t>LS #19034</w:t>
      </w:r>
    </w:p>
    <w:p w14:paraId="63983F06" w14:textId="77777777" w:rsidR="00AC0B18" w:rsidRPr="00AC0B18" w:rsidRDefault="00AC0B18" w:rsidP="00AC0B18">
      <w:pPr>
        <w:spacing w:after="0" w:line="240" w:lineRule="auto"/>
        <w:rPr>
          <w:rFonts w:ascii="Times New Roman" w:eastAsia="Calibri" w:hAnsi="Times New Roman" w:cs="Times New Roman"/>
          <w:sz w:val="18"/>
          <w:szCs w:val="18"/>
        </w:rPr>
      </w:pPr>
      <w:r w:rsidRPr="00AC0B18">
        <w:rPr>
          <w:rFonts w:ascii="Times New Roman" w:eastAsia="Calibri" w:hAnsi="Times New Roman" w:cs="Times New Roman"/>
          <w:sz w:val="18"/>
          <w:szCs w:val="18"/>
        </w:rPr>
        <w:t>5/2/25</w:t>
      </w:r>
    </w:p>
    <w:p w14:paraId="62B6A890" w14:textId="77777777" w:rsidR="00AC0B18" w:rsidRPr="00AC0B18" w:rsidRDefault="00AC0B18" w:rsidP="00AC0B18">
      <w:pPr>
        <w:spacing w:after="0" w:line="240" w:lineRule="auto"/>
        <w:jc w:val="both"/>
        <w:rPr>
          <w:rFonts w:ascii="Times New Roman" w:eastAsia="Calibri" w:hAnsi="Times New Roman" w:cs="Times New Roman"/>
          <w:sz w:val="18"/>
          <w:szCs w:val="18"/>
        </w:rPr>
      </w:pPr>
    </w:p>
    <w:p w14:paraId="146D7EEC"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47AAD8B5"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004881B5"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78A4AA15"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601DE3B6"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29B5EAE4" w14:textId="4CD9CD48" w:rsidR="00910C9C" w:rsidRDefault="00910C9C" w:rsidP="003D1753"/>
    <w:sectPr w:rsidR="00910C9C" w:rsidSect="00AC0B18">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83C4E" w14:textId="77777777" w:rsidR="00311499" w:rsidRDefault="00311499" w:rsidP="00D6203D">
      <w:pPr>
        <w:spacing w:after="0" w:line="240" w:lineRule="auto"/>
      </w:pPr>
      <w:r>
        <w:separator/>
      </w:r>
    </w:p>
  </w:endnote>
  <w:endnote w:type="continuationSeparator" w:id="0">
    <w:p w14:paraId="3CABDB6A" w14:textId="77777777" w:rsidR="00311499" w:rsidRDefault="00311499" w:rsidP="00D6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152175"/>
      <w:docPartObj>
        <w:docPartGallery w:val="Page Numbers (Bottom of Page)"/>
        <w:docPartUnique/>
      </w:docPartObj>
    </w:sdtPr>
    <w:sdtEndPr>
      <w:rPr>
        <w:noProof/>
      </w:rPr>
    </w:sdtEndPr>
    <w:sdtContent>
      <w:p w14:paraId="622A6705" w14:textId="643C4E35" w:rsidR="003D1753" w:rsidRDefault="003D1753">
        <w:pPr>
          <w:pStyle w:val="Footer"/>
          <w:jc w:val="center"/>
        </w:pPr>
        <w:r>
          <w:fldChar w:fldCharType="begin"/>
        </w:r>
        <w:r>
          <w:instrText xml:space="preserve"> PAGE   \* MERGEFORMAT </w:instrText>
        </w:r>
        <w:r>
          <w:fldChar w:fldCharType="separate"/>
        </w:r>
        <w:r w:rsidR="003E4814">
          <w:rPr>
            <w:noProof/>
          </w:rPr>
          <w:t>1</w:t>
        </w:r>
        <w:r>
          <w:rPr>
            <w:noProof/>
          </w:rPr>
          <w:fldChar w:fldCharType="end"/>
        </w:r>
      </w:p>
    </w:sdtContent>
  </w:sdt>
  <w:p w14:paraId="0FBF10A6" w14:textId="77777777" w:rsidR="003D1753" w:rsidRDefault="003D175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118832"/>
      <w:docPartObj>
        <w:docPartGallery w:val="Page Numbers (Bottom of Page)"/>
        <w:docPartUnique/>
      </w:docPartObj>
    </w:sdtPr>
    <w:sdtEndPr>
      <w:rPr>
        <w:noProof/>
      </w:rPr>
    </w:sdtEndPr>
    <w:sdtContent>
      <w:p w14:paraId="2183155E" w14:textId="77777777" w:rsidR="003D1753" w:rsidRDefault="003D17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D77AE2" w14:textId="77777777" w:rsidR="003D1753" w:rsidRDefault="003D17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5743C01" w14:textId="77777777" w:rsidR="008830ED" w:rsidRDefault="008830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2EA6AA" w14:textId="77777777" w:rsidR="008830ED" w:rsidRDefault="008830E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65540A7A" w14:textId="77777777" w:rsidR="008830ED" w:rsidRDefault="008830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22E307" w14:textId="77777777" w:rsidR="008830ED" w:rsidRDefault="008830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B6EA7" w14:textId="55E56C9D" w:rsidR="003D1753" w:rsidRDefault="003D1753">
    <w:pPr>
      <w:pStyle w:val="Footer"/>
      <w:jc w:val="center"/>
    </w:pPr>
    <w:r>
      <w:fldChar w:fldCharType="begin"/>
    </w:r>
    <w:r>
      <w:instrText xml:space="preserve"> PAGE   \* MERGEFORMAT </w:instrText>
    </w:r>
    <w:r>
      <w:fldChar w:fldCharType="separate"/>
    </w:r>
    <w:r w:rsidR="00FD7170">
      <w:rPr>
        <w:noProof/>
      </w:rPr>
      <w:t>15</w:t>
    </w:r>
    <w:r>
      <w:fldChar w:fldCharType="end"/>
    </w:r>
  </w:p>
  <w:p w14:paraId="6330CB57" w14:textId="77777777" w:rsidR="003D1753" w:rsidRDefault="003D175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D513D" w14:textId="77777777" w:rsidR="003D1753" w:rsidRDefault="003D1753">
    <w:pPr>
      <w:pStyle w:val="Footer"/>
      <w:jc w:val="center"/>
    </w:pPr>
    <w:r>
      <w:fldChar w:fldCharType="begin"/>
    </w:r>
    <w:r>
      <w:instrText xml:space="preserve"> PAGE   \* MERGEFORMAT </w:instrText>
    </w:r>
    <w:r>
      <w:fldChar w:fldCharType="separate"/>
    </w:r>
    <w:r>
      <w:t>1</w:t>
    </w:r>
    <w:r>
      <w:fldChar w:fldCharType="end"/>
    </w:r>
  </w:p>
  <w:p w14:paraId="67724DED" w14:textId="77777777" w:rsidR="003D1753" w:rsidRDefault="003D175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784664"/>
      <w:docPartObj>
        <w:docPartGallery w:val="Page Numbers (Bottom of Page)"/>
        <w:docPartUnique/>
      </w:docPartObj>
    </w:sdtPr>
    <w:sdtEndPr>
      <w:rPr>
        <w:noProof/>
      </w:rPr>
    </w:sdtEndPr>
    <w:sdtContent>
      <w:p w14:paraId="75B59D8C" w14:textId="1788A5A2" w:rsidR="00AC0B18" w:rsidRDefault="00AC0B18">
        <w:pPr>
          <w:pStyle w:val="Footer"/>
          <w:jc w:val="center"/>
        </w:pPr>
        <w:r>
          <w:fldChar w:fldCharType="begin"/>
        </w:r>
        <w:r>
          <w:instrText xml:space="preserve"> PAGE   \* MERGEFORMAT </w:instrText>
        </w:r>
        <w:r>
          <w:fldChar w:fldCharType="separate"/>
        </w:r>
        <w:r w:rsidR="00FD7170">
          <w:rPr>
            <w:noProof/>
          </w:rPr>
          <w:t>19</w:t>
        </w:r>
        <w:r>
          <w:rPr>
            <w:noProof/>
          </w:rPr>
          <w:fldChar w:fldCharType="end"/>
        </w:r>
      </w:p>
    </w:sdtContent>
  </w:sdt>
  <w:p w14:paraId="5369FB4B" w14:textId="77777777" w:rsidR="00AC0B18" w:rsidRDefault="00AC0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79079" w14:textId="77777777" w:rsidR="00311499" w:rsidRDefault="00311499" w:rsidP="00D6203D">
      <w:pPr>
        <w:spacing w:after="0" w:line="240" w:lineRule="auto"/>
      </w:pPr>
      <w:r>
        <w:separator/>
      </w:r>
    </w:p>
  </w:footnote>
  <w:footnote w:type="continuationSeparator" w:id="0">
    <w:p w14:paraId="5B7B0477" w14:textId="77777777" w:rsidR="00311499" w:rsidRDefault="00311499" w:rsidP="00D6203D">
      <w:pPr>
        <w:spacing w:after="0" w:line="240" w:lineRule="auto"/>
      </w:pPr>
      <w:r>
        <w:continuationSeparator/>
      </w:r>
    </w:p>
  </w:footnote>
  <w:footnote w:id="1">
    <w:p w14:paraId="2E700DBE" w14:textId="0C387438" w:rsidR="00C71645" w:rsidRPr="00F37166" w:rsidRDefault="00C71645">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Local Law 63 for the year 2018.</w:t>
      </w:r>
    </w:p>
  </w:footnote>
  <w:footnote w:id="2">
    <w:p w14:paraId="1CD47D3F" w14:textId="0EFD4467" w:rsidR="00C71645" w:rsidRPr="00F37166" w:rsidRDefault="00C71645">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Local Law 21 for the year 2022.</w:t>
      </w:r>
    </w:p>
  </w:footnote>
  <w:footnote w:id="3">
    <w:p w14:paraId="6219DBEC" w14:textId="76245D63" w:rsidR="00D6203D" w:rsidRPr="006958F2" w:rsidRDefault="00D6203D" w:rsidP="00D6203D">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w:t>
      </w:r>
      <w:r w:rsidR="00C71645" w:rsidRPr="00F37166">
        <w:rPr>
          <w:rFonts w:ascii="Times New Roman" w:hAnsi="Times New Roman" w:cs="Times New Roman"/>
          <w:i/>
          <w:iCs/>
        </w:rPr>
        <w:t xml:space="preserve">Id; </w:t>
      </w:r>
      <w:r w:rsidRPr="00F37166">
        <w:rPr>
          <w:rFonts w:ascii="Times New Roman" w:hAnsi="Times New Roman" w:cs="Times New Roman"/>
        </w:rPr>
        <w:t>S.S. v. Rockefeller Univ. Hosp., 236 N.Y</w:t>
      </w:r>
      <w:r w:rsidRPr="006958F2">
        <w:rPr>
          <w:rFonts w:ascii="Times New Roman" w:hAnsi="Times New Roman" w:cs="Times New Roman"/>
        </w:rPr>
        <w:t>.S.3d 145 (2025).</w:t>
      </w:r>
    </w:p>
  </w:footnote>
  <w:footnote w:id="4">
    <w:p w14:paraId="41A835B9" w14:textId="4034A1DD" w:rsidR="006958F2" w:rsidRPr="006958F2" w:rsidRDefault="006958F2">
      <w:pPr>
        <w:pStyle w:val="FootnoteText"/>
        <w:rPr>
          <w:rFonts w:ascii="Times New Roman" w:hAnsi="Times New Roman" w:cs="Times New Roman"/>
        </w:rPr>
      </w:pPr>
      <w:r w:rsidRPr="006958F2">
        <w:rPr>
          <w:rStyle w:val="FootnoteReference"/>
          <w:rFonts w:ascii="Times New Roman" w:hAnsi="Times New Roman" w:cs="Times New Roman"/>
        </w:rPr>
        <w:footnoteRef/>
      </w:r>
      <w:r w:rsidRPr="006958F2">
        <w:rPr>
          <w:rFonts w:ascii="Times New Roman" w:hAnsi="Times New Roman" w:cs="Times New Roman"/>
        </w:rPr>
        <w:t xml:space="preserve"> S.S. v. Rockefeller Univ. Hosp., 236 N.Y.S.3d 145, 146 (2025).</w:t>
      </w:r>
    </w:p>
  </w:footnote>
  <w:footnote w:id="5">
    <w:p w14:paraId="4CEC772A" w14:textId="1AD0AA2A" w:rsidR="006958F2" w:rsidRPr="006958F2" w:rsidRDefault="006958F2">
      <w:pPr>
        <w:pStyle w:val="FootnoteText"/>
      </w:pPr>
      <w:r w:rsidRPr="006958F2">
        <w:rPr>
          <w:rStyle w:val="FootnoteReference"/>
          <w:rFonts w:ascii="Times New Roman" w:hAnsi="Times New Roman" w:cs="Times New Roman"/>
        </w:rPr>
        <w:footnoteRef/>
      </w:r>
      <w:r w:rsidRPr="006958F2">
        <w:rPr>
          <w:rFonts w:ascii="Times New Roman" w:hAnsi="Times New Roman" w:cs="Times New Roman"/>
        </w:rPr>
        <w:t xml:space="preserve"> </w:t>
      </w:r>
      <w:r w:rsidRPr="006958F2">
        <w:rPr>
          <w:rFonts w:ascii="Times New Roman" w:hAnsi="Times New Roman" w:cs="Times New Roman"/>
          <w:i/>
          <w:iCs/>
        </w:rPr>
        <w:t>Id</w:t>
      </w:r>
      <w:r w:rsidRPr="006958F2">
        <w:rPr>
          <w:rFonts w:ascii="Times New Roman" w:hAnsi="Times New Roman" w:cs="Times New Roman"/>
        </w:rPr>
        <w:t>.</w:t>
      </w:r>
    </w:p>
  </w:footnote>
  <w:footnote w:id="6">
    <w:p w14:paraId="4C2E9C36" w14:textId="5D9E90FA" w:rsidR="0027025F" w:rsidRPr="00F37166" w:rsidRDefault="0027025F" w:rsidP="0027025F">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United States Department of Labor, </w:t>
      </w:r>
      <w:r w:rsidR="000A7E29" w:rsidRPr="00F37166">
        <w:rPr>
          <w:rFonts w:ascii="Times New Roman" w:hAnsi="Times New Roman" w:cs="Times New Roman"/>
        </w:rPr>
        <w:t>“</w:t>
      </w:r>
      <w:r w:rsidRPr="00F37166">
        <w:rPr>
          <w:rFonts w:ascii="Times New Roman" w:hAnsi="Times New Roman" w:cs="Times New Roman"/>
        </w:rPr>
        <w:t>STEM Day: Explore Growing Careers</w:t>
      </w:r>
      <w:r w:rsidR="000A7E29" w:rsidRPr="00F37166">
        <w:rPr>
          <w:rFonts w:ascii="Times New Roman" w:hAnsi="Times New Roman" w:cs="Times New Roman"/>
        </w:rPr>
        <w:t>,”</w:t>
      </w:r>
      <w:r w:rsidRPr="00F37166">
        <w:rPr>
          <w:rFonts w:ascii="Times New Roman" w:hAnsi="Times New Roman" w:cs="Times New Roman"/>
        </w:rPr>
        <w:t xml:space="preserve"> (Nov 4, 2022)</w:t>
      </w:r>
      <w:r w:rsidR="000A7E29" w:rsidRPr="00F37166">
        <w:rPr>
          <w:rFonts w:ascii="Times New Roman" w:hAnsi="Times New Roman" w:cs="Times New Roman"/>
        </w:rPr>
        <w:t xml:space="preserve">, </w:t>
      </w:r>
      <w:r w:rsidR="000A7E29" w:rsidRPr="00F37166">
        <w:rPr>
          <w:rFonts w:ascii="Times New Roman" w:hAnsi="Times New Roman" w:cs="Times New Roman"/>
          <w:i/>
          <w:iCs/>
        </w:rPr>
        <w:t>available at:</w:t>
      </w:r>
      <w:r w:rsidRPr="00F37166">
        <w:rPr>
          <w:rFonts w:ascii="Times New Roman" w:hAnsi="Times New Roman" w:cs="Times New Roman"/>
          <w:i/>
          <w:iCs/>
        </w:rPr>
        <w:t xml:space="preserve"> </w:t>
      </w:r>
      <w:hyperlink r:id="rId1" w:history="1">
        <w:r w:rsidRPr="00F37166">
          <w:rPr>
            <w:rStyle w:val="Hyperlink"/>
            <w:rFonts w:ascii="Times New Roman" w:hAnsi="Times New Roman" w:cs="Times New Roman"/>
          </w:rPr>
          <w:t>https://blog.dol.gov/2022/11/04/stem-day-explore-growing-careers</w:t>
        </w:r>
      </w:hyperlink>
      <w:r w:rsidRPr="00F37166">
        <w:rPr>
          <w:rFonts w:ascii="Times New Roman" w:hAnsi="Times New Roman" w:cs="Times New Roman"/>
        </w:rPr>
        <w:t xml:space="preserve"> (last visited </w:t>
      </w:r>
      <w:r w:rsidR="00213391" w:rsidRPr="00F37166">
        <w:rPr>
          <w:rFonts w:ascii="Times New Roman" w:hAnsi="Times New Roman" w:cs="Times New Roman"/>
        </w:rPr>
        <w:t xml:space="preserve">Nov. 18, </w:t>
      </w:r>
      <w:r w:rsidRPr="00F37166">
        <w:rPr>
          <w:rFonts w:ascii="Times New Roman" w:hAnsi="Times New Roman" w:cs="Times New Roman"/>
        </w:rPr>
        <w:t xml:space="preserve"> 2025).</w:t>
      </w:r>
    </w:p>
  </w:footnote>
  <w:footnote w:id="7">
    <w:p w14:paraId="332B9B6F" w14:textId="5F3EA28B" w:rsidR="0027025F" w:rsidRPr="00F37166" w:rsidRDefault="0027025F" w:rsidP="0027025F">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Richard Fry, Brian Kennedy, and Cary Funk, </w:t>
      </w:r>
      <w:r w:rsidR="000A7E29" w:rsidRPr="00F37166">
        <w:rPr>
          <w:rFonts w:ascii="Times New Roman" w:hAnsi="Times New Roman" w:cs="Times New Roman"/>
        </w:rPr>
        <w:t>“</w:t>
      </w:r>
      <w:r w:rsidRPr="00F37166">
        <w:rPr>
          <w:rFonts w:ascii="Times New Roman" w:hAnsi="Times New Roman" w:cs="Times New Roman"/>
        </w:rPr>
        <w:t>STEM Jobs See Uneven Progress in Increasing Gender, Racial and Ethnic Diversity</w:t>
      </w:r>
      <w:r w:rsidR="000A7E29" w:rsidRPr="00F37166">
        <w:rPr>
          <w:rFonts w:ascii="Times New Roman" w:hAnsi="Times New Roman" w:cs="Times New Roman"/>
        </w:rPr>
        <w:t>,”</w:t>
      </w:r>
      <w:r w:rsidRPr="00F37166">
        <w:rPr>
          <w:rFonts w:ascii="Times New Roman" w:hAnsi="Times New Roman" w:cs="Times New Roman"/>
        </w:rPr>
        <w:t xml:space="preserve"> </w:t>
      </w:r>
      <w:r w:rsidRPr="00F37166">
        <w:rPr>
          <w:rFonts w:ascii="Times New Roman" w:hAnsi="Times New Roman" w:cs="Times New Roman"/>
          <w:i/>
          <w:iCs/>
        </w:rPr>
        <w:t>Pew Research Center</w:t>
      </w:r>
      <w:r w:rsidR="00213391" w:rsidRPr="00F37166">
        <w:rPr>
          <w:rFonts w:ascii="Times New Roman" w:hAnsi="Times New Roman" w:cs="Times New Roman"/>
        </w:rPr>
        <w:t xml:space="preserve">, </w:t>
      </w:r>
      <w:r w:rsidRPr="00F37166">
        <w:rPr>
          <w:rFonts w:ascii="Times New Roman" w:hAnsi="Times New Roman" w:cs="Times New Roman"/>
        </w:rPr>
        <w:t xml:space="preserve">(April 1, 2021), </w:t>
      </w:r>
      <w:r w:rsidR="00213391" w:rsidRPr="00F37166">
        <w:rPr>
          <w:rFonts w:ascii="Times New Roman" w:hAnsi="Times New Roman" w:cs="Times New Roman"/>
          <w:i/>
          <w:iCs/>
        </w:rPr>
        <w:t>available at</w:t>
      </w:r>
      <w:r w:rsidR="00213391" w:rsidRPr="00F37166">
        <w:rPr>
          <w:rFonts w:ascii="Times New Roman" w:hAnsi="Times New Roman" w:cs="Times New Roman"/>
        </w:rPr>
        <w:t xml:space="preserve">: </w:t>
      </w:r>
      <w:hyperlink r:id="rId2" w:history="1">
        <w:r w:rsidR="00213391" w:rsidRPr="00F37166">
          <w:rPr>
            <w:rStyle w:val="Hyperlink"/>
            <w:rFonts w:ascii="Times New Roman" w:hAnsi="Times New Roman" w:cs="Times New Roman"/>
          </w:rPr>
          <w:t>https://www.pewresearch.org/social-trends/2021/04/01/stem-jobs-see-uneven-progress-in-increasing-gender-racial-and-ethnic-diversity/</w:t>
        </w:r>
      </w:hyperlink>
      <w:r w:rsidR="00213391" w:rsidRPr="00F37166">
        <w:rPr>
          <w:rFonts w:ascii="Times New Roman" w:hAnsi="Times New Roman" w:cs="Times New Roman"/>
        </w:rPr>
        <w:t xml:space="preserve"> (last visited Nov. 18, 2025).</w:t>
      </w:r>
    </w:p>
  </w:footnote>
  <w:footnote w:id="8">
    <w:p w14:paraId="2AF6C6AB" w14:textId="5E7E394F" w:rsidR="0027025F" w:rsidRPr="00F37166" w:rsidRDefault="0027025F" w:rsidP="0027025F">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w:t>
      </w:r>
      <w:r w:rsidRPr="00F37166">
        <w:rPr>
          <w:rFonts w:ascii="Times New Roman" w:hAnsi="Times New Roman" w:cs="Times New Roman"/>
          <w:i/>
          <w:iCs/>
        </w:rPr>
        <w:t>Id</w:t>
      </w:r>
      <w:r w:rsidR="00213391" w:rsidRPr="00F37166">
        <w:rPr>
          <w:rFonts w:ascii="Times New Roman" w:hAnsi="Times New Roman" w:cs="Times New Roman"/>
        </w:rPr>
        <w:t>.</w:t>
      </w:r>
    </w:p>
  </w:footnote>
  <w:footnote w:id="9">
    <w:p w14:paraId="583063B0" w14:textId="3B208A8E" w:rsidR="0027025F" w:rsidRPr="00F37166" w:rsidRDefault="0027025F" w:rsidP="0027025F">
      <w:pPr>
        <w:pStyle w:val="FootnoteText"/>
        <w:rPr>
          <w:rFonts w:ascii="Times New Roman" w:hAnsi="Times New Roman" w:cs="Times New Roman"/>
          <w:b/>
          <w:bCs/>
        </w:rPr>
      </w:pPr>
      <w:r w:rsidRPr="00F37166">
        <w:rPr>
          <w:rStyle w:val="FootnoteReference"/>
          <w:rFonts w:ascii="Times New Roman" w:hAnsi="Times New Roman" w:cs="Times New Roman"/>
        </w:rPr>
        <w:footnoteRef/>
      </w:r>
      <w:r w:rsidR="099D45F9" w:rsidRPr="00F37166">
        <w:rPr>
          <w:rFonts w:ascii="Times New Roman" w:hAnsi="Times New Roman" w:cs="Times New Roman"/>
          <w:b/>
          <w:bCs/>
        </w:rPr>
        <w:t xml:space="preserve"> </w:t>
      </w:r>
      <w:r w:rsidR="099D45F9" w:rsidRPr="00F37166">
        <w:rPr>
          <w:rFonts w:ascii="Times New Roman" w:hAnsi="Times New Roman" w:cs="Times New Roman"/>
        </w:rPr>
        <w:t xml:space="preserve">U.S. National Science Foundation National Center for Science and Engineering Statistics, “Science and Engineering Indicators: The STEM Labor Force: Scientists, Engineers, and Skilled Technical Workers (May 2024), </w:t>
      </w:r>
      <w:hyperlink r:id="rId3" w:history="1">
        <w:r w:rsidR="099D45F9" w:rsidRPr="00F37166">
          <w:rPr>
            <w:rStyle w:val="Hyperlink"/>
            <w:rFonts w:ascii="Times New Roman" w:hAnsi="Times New Roman" w:cs="Times New Roman"/>
          </w:rPr>
          <w:t>https://ncses.nsf.gov/pubs/nsb20245</w:t>
        </w:r>
      </w:hyperlink>
      <w:r w:rsidR="099D45F9" w:rsidRPr="00F37166">
        <w:rPr>
          <w:rFonts w:ascii="Times New Roman" w:hAnsi="Times New Roman" w:cs="Times New Roman"/>
        </w:rPr>
        <w:t xml:space="preserve">. </w:t>
      </w:r>
    </w:p>
  </w:footnote>
  <w:footnote w:id="10">
    <w:p w14:paraId="536D4169" w14:textId="05E26999" w:rsidR="0027025F" w:rsidRPr="00F37166" w:rsidRDefault="0027025F" w:rsidP="0027025F">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w:t>
      </w:r>
      <w:r w:rsidR="00213391" w:rsidRPr="00F37166">
        <w:rPr>
          <w:rFonts w:ascii="Times New Roman" w:hAnsi="Times New Roman" w:cs="Times New Roman"/>
          <w:i/>
          <w:iCs/>
        </w:rPr>
        <w:t>Supra</w:t>
      </w:r>
      <w:r w:rsidR="00213391" w:rsidRPr="00F37166">
        <w:rPr>
          <w:rFonts w:ascii="Times New Roman" w:hAnsi="Times New Roman" w:cs="Times New Roman"/>
        </w:rPr>
        <w:t xml:space="preserve">, note 5. </w:t>
      </w:r>
    </w:p>
  </w:footnote>
  <w:footnote w:id="11">
    <w:p w14:paraId="02BC3427" w14:textId="7EF99BED" w:rsidR="00826044" w:rsidRPr="002A28D2" w:rsidRDefault="00826044" w:rsidP="00826044">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Mayor’s Office to End Domestic and Gender-Based Violence, </w:t>
      </w:r>
      <w:r w:rsidR="008B40A2" w:rsidRPr="00F37166">
        <w:rPr>
          <w:rFonts w:ascii="Times New Roman" w:hAnsi="Times New Roman" w:cs="Times New Roman"/>
        </w:rPr>
        <w:t xml:space="preserve">“Rates of Intimate Partner Violence Across New York City: An Intersectional Analysis” (Sept. </w:t>
      </w:r>
      <w:r w:rsidR="008B40A2" w:rsidRPr="002A28D2">
        <w:rPr>
          <w:rFonts w:ascii="Times New Roman" w:hAnsi="Times New Roman" w:cs="Times New Roman"/>
        </w:rPr>
        <w:t xml:space="preserve">2022), available at: </w:t>
      </w:r>
      <w:hyperlink r:id="rId4" w:history="1">
        <w:r w:rsidR="008B40A2" w:rsidRPr="002A28D2">
          <w:rPr>
            <w:rStyle w:val="Hyperlink"/>
            <w:rFonts w:ascii="Times New Roman" w:hAnsi="Times New Roman" w:cs="Times New Roman"/>
          </w:rPr>
          <w:t>https://www.nyc.gov/site/ocdv/press-resources/periodic-publications.page</w:t>
        </w:r>
      </w:hyperlink>
      <w:r w:rsidR="008B40A2" w:rsidRPr="002A28D2">
        <w:rPr>
          <w:rFonts w:ascii="Times New Roman" w:hAnsi="Times New Roman" w:cs="Times New Roman"/>
        </w:rPr>
        <w:t xml:space="preserve">. </w:t>
      </w:r>
    </w:p>
  </w:footnote>
  <w:footnote w:id="12">
    <w:p w14:paraId="654196EA" w14:textId="0C51F862" w:rsidR="00034886" w:rsidRPr="002A28D2" w:rsidRDefault="00034886" w:rsidP="00034886">
      <w:pPr>
        <w:pStyle w:val="FootnoteText"/>
        <w:rPr>
          <w:rFonts w:ascii="Times New Roman" w:hAnsi="Times New Roman" w:cs="Times New Roman"/>
          <w:i/>
          <w:iCs/>
        </w:rPr>
      </w:pPr>
      <w:r w:rsidRPr="002A28D2">
        <w:rPr>
          <w:rStyle w:val="FootnoteReference"/>
          <w:rFonts w:ascii="Times New Roman" w:hAnsi="Times New Roman" w:cs="Times New Roman"/>
        </w:rPr>
        <w:footnoteRef/>
      </w:r>
      <w:r w:rsidRPr="002A28D2">
        <w:rPr>
          <w:rFonts w:ascii="Times New Roman" w:hAnsi="Times New Roman" w:cs="Times New Roman"/>
        </w:rPr>
        <w:t xml:space="preserve"> </w:t>
      </w:r>
      <w:r w:rsidR="00AF5F11" w:rsidRPr="00AF5F11">
        <w:rPr>
          <w:rFonts w:ascii="Times New Roman" w:hAnsi="Times New Roman" w:cs="Times New Roman"/>
        </w:rPr>
        <w:t>Julia Novick</w:t>
      </w:r>
      <w:r w:rsidRPr="002A28D2">
        <w:rPr>
          <w:rFonts w:ascii="Times New Roman" w:hAnsi="Times New Roman" w:cs="Times New Roman"/>
        </w:rPr>
        <w:t xml:space="preserve">, </w:t>
      </w:r>
      <w:r w:rsidRPr="002A28D2">
        <w:rPr>
          <w:rFonts w:ascii="Times New Roman" w:hAnsi="Times New Roman" w:cs="Times New Roman"/>
          <w:i/>
          <w:iCs/>
        </w:rPr>
        <w:t>Hairdos and Help-seeking: Mandatory Domestic Violence Training for Salon Workers</w:t>
      </w:r>
      <w:r w:rsidRPr="002A28D2">
        <w:rPr>
          <w:rFonts w:ascii="Times New Roman" w:hAnsi="Times New Roman" w:cs="Times New Roman"/>
        </w:rPr>
        <w:t xml:space="preserve">, </w:t>
      </w:r>
      <w:r w:rsidR="002832E0" w:rsidRPr="002A28D2">
        <w:rPr>
          <w:rFonts w:ascii="Times New Roman" w:hAnsi="Times New Roman" w:cs="Times New Roman"/>
        </w:rPr>
        <w:t xml:space="preserve">American Journal of Law &amp; Medicine </w:t>
      </w:r>
      <w:r w:rsidRPr="002A28D2">
        <w:rPr>
          <w:rFonts w:ascii="Times New Roman" w:hAnsi="Times New Roman" w:cs="Times New Roman"/>
        </w:rPr>
        <w:t>Volume 48 , Issue 4,</w:t>
      </w:r>
      <w:r w:rsidR="00C45246">
        <w:rPr>
          <w:rFonts w:ascii="Times New Roman" w:hAnsi="Times New Roman" w:cs="Times New Roman"/>
        </w:rPr>
        <w:t xml:space="preserve"> </w:t>
      </w:r>
      <w:r w:rsidRPr="002A28D2">
        <w:rPr>
          <w:rFonts w:ascii="Times New Roman" w:hAnsi="Times New Roman" w:cs="Times New Roman"/>
        </w:rPr>
        <w:t>(Dec. 2022</w:t>
      </w:r>
      <w:r w:rsidR="003802C2" w:rsidRPr="002A28D2">
        <w:rPr>
          <w:rFonts w:ascii="Times New Roman" w:hAnsi="Times New Roman" w:cs="Times New Roman"/>
        </w:rPr>
        <w:t>)</w:t>
      </w:r>
      <w:r w:rsidR="00A47150" w:rsidRPr="002A28D2">
        <w:rPr>
          <w:rFonts w:ascii="Times New Roman" w:hAnsi="Times New Roman" w:cs="Times New Roman"/>
        </w:rPr>
        <w:t xml:space="preserve">, available at: </w:t>
      </w:r>
      <w:hyperlink r:id="rId5" w:anchor="fn51" w:history="1">
        <w:r w:rsidR="00A47150" w:rsidRPr="002A28D2">
          <w:rPr>
            <w:rStyle w:val="Hyperlink"/>
            <w:rFonts w:ascii="Times New Roman" w:hAnsi="Times New Roman" w:cs="Times New Roman"/>
          </w:rPr>
          <w:t>https://www.cambridge.org/core/journals/american-journal-of-law-and-medicine/article/hairdos-and-helpseeking-mandatory-domestic-violence-training-for-salon-workers/71E7BFE37B15C5D1C7B42DD1C78896A7#fn51</w:t>
        </w:r>
      </w:hyperlink>
      <w:r w:rsidR="00A47150" w:rsidRPr="002A28D2">
        <w:rPr>
          <w:rFonts w:ascii="Times New Roman" w:hAnsi="Times New Roman" w:cs="Times New Roman"/>
        </w:rPr>
        <w:t xml:space="preserve">. </w:t>
      </w:r>
    </w:p>
  </w:footnote>
  <w:footnote w:id="13">
    <w:p w14:paraId="3DF75D80" w14:textId="3947977F" w:rsidR="0054676A" w:rsidRPr="002A28D2" w:rsidRDefault="0054676A" w:rsidP="000F1854">
      <w:pPr>
        <w:pStyle w:val="FootnoteText"/>
        <w:rPr>
          <w:rFonts w:ascii="Times New Roman" w:hAnsi="Times New Roman" w:cs="Times New Roman"/>
          <w:i/>
          <w:iCs/>
        </w:rPr>
      </w:pPr>
      <w:r w:rsidRPr="002A28D2">
        <w:rPr>
          <w:rStyle w:val="FootnoteReference"/>
          <w:rFonts w:ascii="Times New Roman" w:hAnsi="Times New Roman" w:cs="Times New Roman"/>
        </w:rPr>
        <w:footnoteRef/>
      </w:r>
      <w:r w:rsidR="00076A54" w:rsidRPr="002A28D2">
        <w:rPr>
          <w:rFonts w:ascii="Times New Roman" w:hAnsi="Times New Roman" w:cs="Times New Roman"/>
          <w:i/>
          <w:iCs/>
        </w:rPr>
        <w:t>Id.</w:t>
      </w:r>
      <w:r w:rsidR="00076A54" w:rsidRPr="002A28D2">
        <w:rPr>
          <w:rFonts w:ascii="Times New Roman" w:hAnsi="Times New Roman" w:cs="Times New Roman"/>
        </w:rPr>
        <w:t xml:space="preserve"> </w:t>
      </w:r>
      <w:r w:rsidR="0060233B" w:rsidRPr="002A28D2">
        <w:rPr>
          <w:rFonts w:ascii="Times New Roman" w:hAnsi="Times New Roman" w:cs="Times New Roman"/>
          <w:i/>
          <w:iCs/>
        </w:rPr>
        <w:t>E.g.</w:t>
      </w:r>
      <w:r w:rsidR="0060233B" w:rsidRPr="002A28D2">
        <w:rPr>
          <w:rFonts w:ascii="Times New Roman" w:hAnsi="Times New Roman" w:cs="Times New Roman"/>
        </w:rPr>
        <w:t xml:space="preserve"> </w:t>
      </w:r>
      <w:r w:rsidR="00F56B3E">
        <w:rPr>
          <w:rFonts w:ascii="Times New Roman" w:hAnsi="Times New Roman" w:cs="Times New Roman"/>
        </w:rPr>
        <w:t>Tennessee Department of Commerce &amp; Insurance, “</w:t>
      </w:r>
      <w:r w:rsidR="00DC2894" w:rsidRPr="00DC2894">
        <w:rPr>
          <w:rFonts w:ascii="Times New Roman" w:hAnsi="Times New Roman" w:cs="Times New Roman"/>
        </w:rPr>
        <w:t>Cosmetology and Barber Examiners</w:t>
      </w:r>
      <w:r w:rsidR="006117C8">
        <w:rPr>
          <w:rFonts w:ascii="Times New Roman" w:hAnsi="Times New Roman" w:cs="Times New Roman"/>
        </w:rPr>
        <w:t>,</w:t>
      </w:r>
      <w:r w:rsidR="00F56B3E">
        <w:rPr>
          <w:rFonts w:ascii="Times New Roman" w:hAnsi="Times New Roman" w:cs="Times New Roman"/>
        </w:rPr>
        <w:t xml:space="preserve">” </w:t>
      </w:r>
      <w:hyperlink r:id="rId6" w:history="1">
        <w:r w:rsidR="0068314C" w:rsidRPr="002A28D2">
          <w:rPr>
            <w:rStyle w:val="Hyperlink"/>
            <w:rFonts w:ascii="Times New Roman" w:hAnsi="Times New Roman" w:cs="Times New Roman"/>
          </w:rPr>
          <w:t>https://www.tn.gov/commerce/regboards/cosmo</w:t>
        </w:r>
      </w:hyperlink>
      <w:r w:rsidR="0060233B" w:rsidRPr="002A28D2">
        <w:rPr>
          <w:rFonts w:ascii="Times New Roman" w:hAnsi="Times New Roman" w:cs="Times New Roman"/>
        </w:rPr>
        <w:t xml:space="preserve">. </w:t>
      </w:r>
      <w:r w:rsidR="0060233B" w:rsidRPr="002A28D2">
        <w:rPr>
          <w:rFonts w:ascii="Times New Roman" w:hAnsi="Times New Roman" w:cs="Times New Roman"/>
          <w:i/>
          <w:iCs/>
        </w:rPr>
        <w:t>See also</w:t>
      </w:r>
      <w:r w:rsidR="00D852A9" w:rsidRPr="002A28D2">
        <w:rPr>
          <w:rFonts w:ascii="Times New Roman" w:hAnsi="Times New Roman" w:cs="Times New Roman"/>
          <w:i/>
          <w:iCs/>
        </w:rPr>
        <w:t xml:space="preserve"> </w:t>
      </w:r>
      <w:r w:rsidR="000221DD" w:rsidRPr="000221DD">
        <w:rPr>
          <w:rFonts w:ascii="Times New Roman" w:hAnsi="Times New Roman" w:cs="Times New Roman"/>
        </w:rPr>
        <w:t xml:space="preserve">H.R.4040 </w:t>
      </w:r>
      <w:r w:rsidR="008A07C5">
        <w:rPr>
          <w:rFonts w:ascii="Times New Roman" w:hAnsi="Times New Roman" w:cs="Times New Roman"/>
        </w:rPr>
        <w:t>(119</w:t>
      </w:r>
      <w:r w:rsidR="008A07C5" w:rsidRPr="008A07C5">
        <w:rPr>
          <w:rFonts w:ascii="Times New Roman" w:hAnsi="Times New Roman" w:cs="Times New Roman"/>
          <w:vertAlign w:val="superscript"/>
        </w:rPr>
        <w:t>th</w:t>
      </w:r>
      <w:r w:rsidR="008A07C5">
        <w:rPr>
          <w:rFonts w:ascii="Times New Roman" w:hAnsi="Times New Roman" w:cs="Times New Roman"/>
        </w:rPr>
        <w:t xml:space="preserve"> Congress)</w:t>
      </w:r>
      <w:r w:rsidR="000221DD" w:rsidRPr="000221DD">
        <w:rPr>
          <w:rFonts w:ascii="Times New Roman" w:hAnsi="Times New Roman" w:cs="Times New Roman"/>
        </w:rPr>
        <w:t xml:space="preserve">- SALONS Stories Act </w:t>
      </w:r>
      <w:r w:rsidR="00324F09">
        <w:rPr>
          <w:rFonts w:ascii="Times New Roman" w:hAnsi="Times New Roman" w:cs="Times New Roman"/>
        </w:rPr>
        <w:t>(</w:t>
      </w:r>
      <w:r w:rsidR="0068314C" w:rsidRPr="002A28D2">
        <w:rPr>
          <w:rFonts w:ascii="Times New Roman" w:hAnsi="Times New Roman" w:cs="Times New Roman"/>
        </w:rPr>
        <w:t xml:space="preserve">introduced to United States Senate to encourage adoption of </w:t>
      </w:r>
      <w:r w:rsidR="002A6C13">
        <w:rPr>
          <w:rFonts w:ascii="Times New Roman" w:hAnsi="Times New Roman" w:cs="Times New Roman"/>
        </w:rPr>
        <w:t>license requirements</w:t>
      </w:r>
      <w:r w:rsidR="0068314C" w:rsidRPr="002A28D2">
        <w:rPr>
          <w:rFonts w:ascii="Times New Roman" w:hAnsi="Times New Roman" w:cs="Times New Roman"/>
        </w:rPr>
        <w:t xml:space="preserve"> across the country</w:t>
      </w:r>
      <w:r w:rsidR="00D852A9" w:rsidRPr="002A28D2">
        <w:rPr>
          <w:rFonts w:ascii="Times New Roman" w:hAnsi="Times New Roman" w:cs="Times New Roman"/>
        </w:rPr>
        <w:t xml:space="preserve">) </w:t>
      </w:r>
    </w:p>
  </w:footnote>
  <w:footnote w:id="14">
    <w:p w14:paraId="7DD8793D" w14:textId="1C76E31D" w:rsidR="0027025F" w:rsidRPr="002A28D2" w:rsidRDefault="0027025F">
      <w:pPr>
        <w:pStyle w:val="FootnoteText"/>
        <w:rPr>
          <w:rFonts w:ascii="Times New Roman" w:hAnsi="Times New Roman" w:cs="Times New Roman"/>
        </w:rPr>
      </w:pPr>
      <w:r w:rsidRPr="002A28D2">
        <w:rPr>
          <w:rStyle w:val="FootnoteReference"/>
          <w:rFonts w:ascii="Times New Roman" w:hAnsi="Times New Roman" w:cs="Times New Roman"/>
        </w:rPr>
        <w:footnoteRef/>
      </w:r>
      <w:r w:rsidRPr="002A28D2">
        <w:rPr>
          <w:rFonts w:ascii="Times New Roman" w:hAnsi="Times New Roman" w:cs="Times New Roman"/>
        </w:rPr>
        <w:t xml:space="preserve"> Local Law 39 for the year 2021.</w:t>
      </w:r>
    </w:p>
  </w:footnote>
  <w:footnote w:id="15">
    <w:p w14:paraId="3F7E320F" w14:textId="522B19B5" w:rsidR="0052620E" w:rsidRPr="00F37166" w:rsidRDefault="0052620E">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Dobbs v. Jackson Women's Health Org., 597 U.S. ___ (2022)</w:t>
      </w:r>
    </w:p>
  </w:footnote>
  <w:footnote w:id="16">
    <w:p w14:paraId="13979BCE" w14:textId="4CFE13C0" w:rsidR="0052620E" w:rsidRPr="00F37166" w:rsidRDefault="0052620E">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New York State Attorney General Letitia James, “Abortion is legal and protected in the state of New York,” (n.d.), </w:t>
      </w:r>
      <w:r w:rsidRPr="00F37166">
        <w:rPr>
          <w:rFonts w:ascii="Times New Roman" w:hAnsi="Times New Roman" w:cs="Times New Roman"/>
          <w:i/>
          <w:iCs/>
        </w:rPr>
        <w:t>available at</w:t>
      </w:r>
      <w:r w:rsidRPr="00F37166">
        <w:rPr>
          <w:rFonts w:ascii="Times New Roman" w:hAnsi="Times New Roman" w:cs="Times New Roman"/>
        </w:rPr>
        <w:t xml:space="preserve">: </w:t>
      </w:r>
      <w:hyperlink r:id="rId7" w:history="1">
        <w:r w:rsidRPr="00F37166">
          <w:rPr>
            <w:rStyle w:val="Hyperlink"/>
            <w:rFonts w:ascii="Times New Roman" w:hAnsi="Times New Roman" w:cs="Times New Roman"/>
          </w:rPr>
          <w:t>https://ag.ny.gov/publications/abortion-legal-and-protected-new-york-state</w:t>
        </w:r>
      </w:hyperlink>
      <w:r w:rsidRPr="00F37166">
        <w:rPr>
          <w:rFonts w:ascii="Times New Roman" w:hAnsi="Times New Roman" w:cs="Times New Roman"/>
        </w:rPr>
        <w:t xml:space="preserve"> (last visited Nov. 18, 2025)</w:t>
      </w:r>
      <w:r w:rsidR="000A7E29" w:rsidRPr="00F37166">
        <w:rPr>
          <w:rFonts w:ascii="Times New Roman" w:hAnsi="Times New Roman" w:cs="Times New Roman"/>
        </w:rPr>
        <w:t>.</w:t>
      </w:r>
    </w:p>
  </w:footnote>
  <w:footnote w:id="17">
    <w:p w14:paraId="68B2B355" w14:textId="1E86FD17" w:rsidR="000A7E29" w:rsidRPr="00F37166" w:rsidRDefault="000A7E29">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Andrew Beck, Brigitte Amiri, Jennifer Dalven, et al., “Trump on Abortion,” </w:t>
      </w:r>
      <w:r w:rsidRPr="00F37166">
        <w:rPr>
          <w:rFonts w:ascii="Times New Roman" w:hAnsi="Times New Roman" w:cs="Times New Roman"/>
          <w:i/>
          <w:iCs/>
        </w:rPr>
        <w:t>American Civil Liberties Union</w:t>
      </w:r>
      <w:r w:rsidRPr="00F37166">
        <w:rPr>
          <w:rFonts w:ascii="Times New Roman" w:hAnsi="Times New Roman" w:cs="Times New Roman"/>
        </w:rPr>
        <w:t xml:space="preserve">, (June 2024), </w:t>
      </w:r>
      <w:r w:rsidRPr="00F37166">
        <w:rPr>
          <w:rFonts w:ascii="Times New Roman" w:hAnsi="Times New Roman" w:cs="Times New Roman"/>
          <w:i/>
          <w:iCs/>
        </w:rPr>
        <w:t>available at</w:t>
      </w:r>
      <w:r w:rsidRPr="00F37166">
        <w:rPr>
          <w:rFonts w:ascii="Times New Roman" w:hAnsi="Times New Roman" w:cs="Times New Roman"/>
        </w:rPr>
        <w:t xml:space="preserve">: </w:t>
      </w:r>
      <w:hyperlink r:id="rId8" w:history="1">
        <w:r w:rsidRPr="00F37166">
          <w:rPr>
            <w:rStyle w:val="Hyperlink"/>
            <w:rFonts w:ascii="Times New Roman" w:hAnsi="Times New Roman" w:cs="Times New Roman"/>
          </w:rPr>
          <w:t>https://assets.aclu.org/live/uploads/2024/06/Memo_Trump_Abortion_240624.pdf</w:t>
        </w:r>
      </w:hyperlink>
      <w:r w:rsidRPr="00F37166">
        <w:rPr>
          <w:rFonts w:ascii="Times New Roman" w:hAnsi="Times New Roman" w:cs="Times New Roman"/>
        </w:rPr>
        <w:t xml:space="preserve"> (last visited Nov. 18, 2025). </w:t>
      </w:r>
    </w:p>
  </w:footnote>
  <w:footnote w:id="18">
    <w:p w14:paraId="575AA093" w14:textId="47EB4D0E" w:rsidR="000A7E29" w:rsidRPr="00F37166" w:rsidRDefault="000A7E29">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w:t>
      </w:r>
      <w:r w:rsidRPr="00F37166">
        <w:rPr>
          <w:rFonts w:ascii="Times New Roman" w:hAnsi="Times New Roman" w:cs="Times New Roman"/>
          <w:i/>
          <w:iCs/>
        </w:rPr>
        <w:t>Supra</w:t>
      </w:r>
      <w:r w:rsidRPr="00F37166">
        <w:rPr>
          <w:rFonts w:ascii="Times New Roman" w:hAnsi="Times New Roman" w:cs="Times New Roman"/>
        </w:rPr>
        <w:t xml:space="preserve">, note 11. </w:t>
      </w:r>
    </w:p>
  </w:footnote>
</w:footnotes>
</file>

<file path=word/intelligence2.xml><?xml version="1.0" encoding="utf-8"?>
<int2:intelligence xmlns:int2="http://schemas.microsoft.com/office/intelligence/2020/intelligence" xmlns:oel="http://schemas.microsoft.com/office/2019/extlst">
  <int2:observations>
    <int2:bookmark int2:bookmarkName="_Int_Wa5qkTlo" int2:invalidationBookmarkName="" int2:hashCode="ORppfNdhi38ys0" int2:id="bBiz0CWL">
      <int2:state int2:value="Rejected" int2:type="gram"/>
    </int2:bookmark>
    <int2:bookmark int2:bookmarkName="_Int_XUII0u0G" int2:invalidationBookmarkName="" int2:hashCode="1yBBvA1drdUXo7" int2:id="r4g9SZE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14E82"/>
    <w:multiLevelType w:val="hybridMultilevel"/>
    <w:tmpl w:val="45AC4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FD2DFF"/>
    <w:multiLevelType w:val="hybridMultilevel"/>
    <w:tmpl w:val="85DA96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4B2"/>
    <w:rsid w:val="000014B2"/>
    <w:rsid w:val="000221DD"/>
    <w:rsid w:val="00034731"/>
    <w:rsid w:val="00034886"/>
    <w:rsid w:val="0006707B"/>
    <w:rsid w:val="0007450A"/>
    <w:rsid w:val="00076A54"/>
    <w:rsid w:val="000941FD"/>
    <w:rsid w:val="000A7E29"/>
    <w:rsid w:val="000F114A"/>
    <w:rsid w:val="000F1854"/>
    <w:rsid w:val="001814C3"/>
    <w:rsid w:val="001D1133"/>
    <w:rsid w:val="00213391"/>
    <w:rsid w:val="0027025F"/>
    <w:rsid w:val="00280146"/>
    <w:rsid w:val="002832E0"/>
    <w:rsid w:val="002A28D2"/>
    <w:rsid w:val="002A6C13"/>
    <w:rsid w:val="002B1014"/>
    <w:rsid w:val="002B52CB"/>
    <w:rsid w:val="002F3A14"/>
    <w:rsid w:val="00311499"/>
    <w:rsid w:val="003219EC"/>
    <w:rsid w:val="00324F09"/>
    <w:rsid w:val="00326293"/>
    <w:rsid w:val="0034752C"/>
    <w:rsid w:val="003802C2"/>
    <w:rsid w:val="003B20D1"/>
    <w:rsid w:val="003B4AF8"/>
    <w:rsid w:val="003D1753"/>
    <w:rsid w:val="003E4814"/>
    <w:rsid w:val="003F26D6"/>
    <w:rsid w:val="00423441"/>
    <w:rsid w:val="00444A89"/>
    <w:rsid w:val="004647DF"/>
    <w:rsid w:val="00474324"/>
    <w:rsid w:val="00481B14"/>
    <w:rsid w:val="004E6687"/>
    <w:rsid w:val="0052620E"/>
    <w:rsid w:val="00533F71"/>
    <w:rsid w:val="00534C87"/>
    <w:rsid w:val="0054676A"/>
    <w:rsid w:val="005516DC"/>
    <w:rsid w:val="00586F55"/>
    <w:rsid w:val="005C3AC1"/>
    <w:rsid w:val="005E0DC9"/>
    <w:rsid w:val="0060233B"/>
    <w:rsid w:val="00602D46"/>
    <w:rsid w:val="006117C8"/>
    <w:rsid w:val="00613045"/>
    <w:rsid w:val="0068314C"/>
    <w:rsid w:val="006958F2"/>
    <w:rsid w:val="006A2DE6"/>
    <w:rsid w:val="006C1AE7"/>
    <w:rsid w:val="006D0D02"/>
    <w:rsid w:val="007225A9"/>
    <w:rsid w:val="0074766E"/>
    <w:rsid w:val="0079288C"/>
    <w:rsid w:val="00801B31"/>
    <w:rsid w:val="00826044"/>
    <w:rsid w:val="008830ED"/>
    <w:rsid w:val="008935F1"/>
    <w:rsid w:val="008A07C5"/>
    <w:rsid w:val="008A36B8"/>
    <w:rsid w:val="008B40A2"/>
    <w:rsid w:val="008C113C"/>
    <w:rsid w:val="00903B86"/>
    <w:rsid w:val="00910C9C"/>
    <w:rsid w:val="0096261D"/>
    <w:rsid w:val="009C5DAC"/>
    <w:rsid w:val="009E0658"/>
    <w:rsid w:val="009E0C25"/>
    <w:rsid w:val="009E3246"/>
    <w:rsid w:val="009F7E5A"/>
    <w:rsid w:val="00A45766"/>
    <w:rsid w:val="00A47150"/>
    <w:rsid w:val="00A614DD"/>
    <w:rsid w:val="00A811F9"/>
    <w:rsid w:val="00A96570"/>
    <w:rsid w:val="00AC0B18"/>
    <w:rsid w:val="00AF5F11"/>
    <w:rsid w:val="00B24BC6"/>
    <w:rsid w:val="00B528EC"/>
    <w:rsid w:val="00B71787"/>
    <w:rsid w:val="00BA5FEB"/>
    <w:rsid w:val="00BB129D"/>
    <w:rsid w:val="00BC1041"/>
    <w:rsid w:val="00C11C27"/>
    <w:rsid w:val="00C31AEA"/>
    <w:rsid w:val="00C31FC3"/>
    <w:rsid w:val="00C45246"/>
    <w:rsid w:val="00C71645"/>
    <w:rsid w:val="00C82371"/>
    <w:rsid w:val="00C8708B"/>
    <w:rsid w:val="00D6203D"/>
    <w:rsid w:val="00D852A9"/>
    <w:rsid w:val="00D95F02"/>
    <w:rsid w:val="00D97346"/>
    <w:rsid w:val="00DC2894"/>
    <w:rsid w:val="00DC73B7"/>
    <w:rsid w:val="00DE0198"/>
    <w:rsid w:val="00DF2ECE"/>
    <w:rsid w:val="00DF7A23"/>
    <w:rsid w:val="00E27CD7"/>
    <w:rsid w:val="00F0363E"/>
    <w:rsid w:val="00F04785"/>
    <w:rsid w:val="00F37166"/>
    <w:rsid w:val="00F46D78"/>
    <w:rsid w:val="00F56B3E"/>
    <w:rsid w:val="00F70EA9"/>
    <w:rsid w:val="00F75A63"/>
    <w:rsid w:val="00FC6D93"/>
    <w:rsid w:val="00FD7170"/>
    <w:rsid w:val="00FF5B3E"/>
    <w:rsid w:val="017B214C"/>
    <w:rsid w:val="02465AAA"/>
    <w:rsid w:val="026A7E9F"/>
    <w:rsid w:val="0355036C"/>
    <w:rsid w:val="0398285F"/>
    <w:rsid w:val="03CCC34E"/>
    <w:rsid w:val="03EF9451"/>
    <w:rsid w:val="04A4386B"/>
    <w:rsid w:val="04D5BB4A"/>
    <w:rsid w:val="053AADA1"/>
    <w:rsid w:val="05F4443E"/>
    <w:rsid w:val="0720ED61"/>
    <w:rsid w:val="073BAE28"/>
    <w:rsid w:val="073F7DCC"/>
    <w:rsid w:val="07777452"/>
    <w:rsid w:val="099D45F9"/>
    <w:rsid w:val="099E30BF"/>
    <w:rsid w:val="0A2FD7D3"/>
    <w:rsid w:val="0A3E6052"/>
    <w:rsid w:val="0BA8C100"/>
    <w:rsid w:val="0C3AF0D3"/>
    <w:rsid w:val="0C64A1AE"/>
    <w:rsid w:val="0DC19F68"/>
    <w:rsid w:val="0DE5CAED"/>
    <w:rsid w:val="0E3D1A35"/>
    <w:rsid w:val="0F3F6FE2"/>
    <w:rsid w:val="0F732EFD"/>
    <w:rsid w:val="0FF2D4A2"/>
    <w:rsid w:val="115B0847"/>
    <w:rsid w:val="11BD5739"/>
    <w:rsid w:val="120A0A52"/>
    <w:rsid w:val="12C02B98"/>
    <w:rsid w:val="132C5C16"/>
    <w:rsid w:val="13D62D4B"/>
    <w:rsid w:val="13FF7DA9"/>
    <w:rsid w:val="1428CED9"/>
    <w:rsid w:val="146BB9D8"/>
    <w:rsid w:val="154766E6"/>
    <w:rsid w:val="15A3BBCD"/>
    <w:rsid w:val="15AF1152"/>
    <w:rsid w:val="166DD4A6"/>
    <w:rsid w:val="1705A485"/>
    <w:rsid w:val="176C1643"/>
    <w:rsid w:val="17B6EC80"/>
    <w:rsid w:val="17DADC2D"/>
    <w:rsid w:val="1842515A"/>
    <w:rsid w:val="185250CF"/>
    <w:rsid w:val="18B187EC"/>
    <w:rsid w:val="1923EDA7"/>
    <w:rsid w:val="19F9D9DB"/>
    <w:rsid w:val="1A8EF1B5"/>
    <w:rsid w:val="1AC24231"/>
    <w:rsid w:val="1C5324A1"/>
    <w:rsid w:val="1C7CE1A0"/>
    <w:rsid w:val="1CAF6F0A"/>
    <w:rsid w:val="1CDE54B4"/>
    <w:rsid w:val="1F406BC9"/>
    <w:rsid w:val="1FDA7ACA"/>
    <w:rsid w:val="1FF68AA1"/>
    <w:rsid w:val="2087DC14"/>
    <w:rsid w:val="20CDA83F"/>
    <w:rsid w:val="220115D5"/>
    <w:rsid w:val="22B661C3"/>
    <w:rsid w:val="22DBC7BA"/>
    <w:rsid w:val="2331A3D2"/>
    <w:rsid w:val="23BE5D94"/>
    <w:rsid w:val="245F5AE3"/>
    <w:rsid w:val="25904703"/>
    <w:rsid w:val="27CFA81E"/>
    <w:rsid w:val="28859050"/>
    <w:rsid w:val="28FC87EE"/>
    <w:rsid w:val="2983198E"/>
    <w:rsid w:val="2A8386E0"/>
    <w:rsid w:val="2B0DC811"/>
    <w:rsid w:val="2C875339"/>
    <w:rsid w:val="2DD22F22"/>
    <w:rsid w:val="2E65C268"/>
    <w:rsid w:val="2EFF4213"/>
    <w:rsid w:val="2F6C9EBD"/>
    <w:rsid w:val="3037843E"/>
    <w:rsid w:val="3133E75E"/>
    <w:rsid w:val="31708155"/>
    <w:rsid w:val="31AFAB5D"/>
    <w:rsid w:val="325EB2DE"/>
    <w:rsid w:val="32B5774A"/>
    <w:rsid w:val="3338B4B0"/>
    <w:rsid w:val="3351A108"/>
    <w:rsid w:val="336D404F"/>
    <w:rsid w:val="33C010C6"/>
    <w:rsid w:val="345C137F"/>
    <w:rsid w:val="3490064F"/>
    <w:rsid w:val="352F191C"/>
    <w:rsid w:val="3566F74A"/>
    <w:rsid w:val="35E56456"/>
    <w:rsid w:val="363BA6FC"/>
    <w:rsid w:val="36846065"/>
    <w:rsid w:val="379C6FC5"/>
    <w:rsid w:val="37C40076"/>
    <w:rsid w:val="387EDE8D"/>
    <w:rsid w:val="3941355D"/>
    <w:rsid w:val="3991E50D"/>
    <w:rsid w:val="3AF60F8E"/>
    <w:rsid w:val="3BB7DDE3"/>
    <w:rsid w:val="3C4869A6"/>
    <w:rsid w:val="3D7133AE"/>
    <w:rsid w:val="3D8A7CA9"/>
    <w:rsid w:val="3DAF64C5"/>
    <w:rsid w:val="3E36F8CF"/>
    <w:rsid w:val="3F7B68CB"/>
    <w:rsid w:val="3F93B3AB"/>
    <w:rsid w:val="40052155"/>
    <w:rsid w:val="40D160B4"/>
    <w:rsid w:val="41F2FE46"/>
    <w:rsid w:val="420E9B7B"/>
    <w:rsid w:val="42CD5BF8"/>
    <w:rsid w:val="452D66F6"/>
    <w:rsid w:val="473A6CA9"/>
    <w:rsid w:val="479376D2"/>
    <w:rsid w:val="49AFF3AE"/>
    <w:rsid w:val="4A39F896"/>
    <w:rsid w:val="4A3AED29"/>
    <w:rsid w:val="4A9524C8"/>
    <w:rsid w:val="4CDFA7FA"/>
    <w:rsid w:val="4D0D83FE"/>
    <w:rsid w:val="4D4EFA06"/>
    <w:rsid w:val="4D91EC0A"/>
    <w:rsid w:val="4E3E0033"/>
    <w:rsid w:val="4EC1B55B"/>
    <w:rsid w:val="4F65C317"/>
    <w:rsid w:val="5014AF78"/>
    <w:rsid w:val="503C93D7"/>
    <w:rsid w:val="50F3E417"/>
    <w:rsid w:val="51F084F2"/>
    <w:rsid w:val="52379676"/>
    <w:rsid w:val="5268107E"/>
    <w:rsid w:val="52C9BC0B"/>
    <w:rsid w:val="52D1A37C"/>
    <w:rsid w:val="52E90CA9"/>
    <w:rsid w:val="52EBAD31"/>
    <w:rsid w:val="52F48210"/>
    <w:rsid w:val="534577B3"/>
    <w:rsid w:val="54A4776C"/>
    <w:rsid w:val="55A4B6A6"/>
    <w:rsid w:val="567BC984"/>
    <w:rsid w:val="580EC058"/>
    <w:rsid w:val="583B2F76"/>
    <w:rsid w:val="5922B9A1"/>
    <w:rsid w:val="59BD3EBE"/>
    <w:rsid w:val="5AA0FEB7"/>
    <w:rsid w:val="5AC0727F"/>
    <w:rsid w:val="5C9ADBBE"/>
    <w:rsid w:val="6207F0D8"/>
    <w:rsid w:val="638048EF"/>
    <w:rsid w:val="63E76757"/>
    <w:rsid w:val="640AF78D"/>
    <w:rsid w:val="6507CA62"/>
    <w:rsid w:val="650E1559"/>
    <w:rsid w:val="65357D7F"/>
    <w:rsid w:val="65ED35DC"/>
    <w:rsid w:val="6616A49A"/>
    <w:rsid w:val="66528C86"/>
    <w:rsid w:val="666DC2DA"/>
    <w:rsid w:val="6A38EC9C"/>
    <w:rsid w:val="6AC585CC"/>
    <w:rsid w:val="6ACB3901"/>
    <w:rsid w:val="6BAD3A32"/>
    <w:rsid w:val="6D816D48"/>
    <w:rsid w:val="6E32C087"/>
    <w:rsid w:val="6F03347F"/>
    <w:rsid w:val="7080A3C2"/>
    <w:rsid w:val="7112511D"/>
    <w:rsid w:val="71B2E462"/>
    <w:rsid w:val="71E6877F"/>
    <w:rsid w:val="72DFE1FF"/>
    <w:rsid w:val="74D9F6B6"/>
    <w:rsid w:val="763A5D7B"/>
    <w:rsid w:val="769C80E4"/>
    <w:rsid w:val="778C4142"/>
    <w:rsid w:val="77A5C909"/>
    <w:rsid w:val="78CFD6C4"/>
    <w:rsid w:val="78E3351A"/>
    <w:rsid w:val="793883BF"/>
    <w:rsid w:val="7B1E64AE"/>
    <w:rsid w:val="7D055912"/>
    <w:rsid w:val="7DBE8A3E"/>
    <w:rsid w:val="7E4840B4"/>
    <w:rsid w:val="7E77C112"/>
    <w:rsid w:val="7EDF8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0A0D"/>
  <w15:chartTrackingRefBased/>
  <w15:docId w15:val="{2051D2F7-429E-48E1-B53A-03379A27B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C25"/>
    <w:pPr>
      <w:spacing w:line="259" w:lineRule="auto"/>
    </w:pPr>
    <w:rPr>
      <w:kern w:val="0"/>
      <w:sz w:val="22"/>
      <w:szCs w:val="22"/>
      <w14:ligatures w14:val="none"/>
    </w:rPr>
  </w:style>
  <w:style w:type="paragraph" w:styleId="Heading1">
    <w:name w:val="heading 1"/>
    <w:basedOn w:val="Normal"/>
    <w:next w:val="Normal"/>
    <w:link w:val="Heading1Char"/>
    <w:uiPriority w:val="9"/>
    <w:qFormat/>
    <w:rsid w:val="00001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4B2"/>
    <w:rPr>
      <w:rFonts w:eastAsiaTheme="majorEastAsia" w:cstheme="majorBidi"/>
      <w:color w:val="272727" w:themeColor="text1" w:themeTint="D8"/>
    </w:rPr>
  </w:style>
  <w:style w:type="paragraph" w:styleId="Title">
    <w:name w:val="Title"/>
    <w:basedOn w:val="Normal"/>
    <w:next w:val="Normal"/>
    <w:link w:val="TitleChar"/>
    <w:uiPriority w:val="10"/>
    <w:qFormat/>
    <w:rsid w:val="00001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4B2"/>
    <w:pPr>
      <w:spacing w:before="160"/>
      <w:jc w:val="center"/>
    </w:pPr>
    <w:rPr>
      <w:i/>
      <w:iCs/>
      <w:color w:val="404040" w:themeColor="text1" w:themeTint="BF"/>
    </w:rPr>
  </w:style>
  <w:style w:type="character" w:customStyle="1" w:styleId="QuoteChar">
    <w:name w:val="Quote Char"/>
    <w:basedOn w:val="DefaultParagraphFont"/>
    <w:link w:val="Quote"/>
    <w:uiPriority w:val="29"/>
    <w:rsid w:val="000014B2"/>
    <w:rPr>
      <w:i/>
      <w:iCs/>
      <w:color w:val="404040" w:themeColor="text1" w:themeTint="BF"/>
    </w:rPr>
  </w:style>
  <w:style w:type="paragraph" w:styleId="ListParagraph">
    <w:name w:val="List Paragraph"/>
    <w:basedOn w:val="Normal"/>
    <w:uiPriority w:val="34"/>
    <w:qFormat/>
    <w:rsid w:val="000014B2"/>
    <w:pPr>
      <w:ind w:left="720"/>
      <w:contextualSpacing/>
    </w:pPr>
  </w:style>
  <w:style w:type="character" w:styleId="IntenseEmphasis">
    <w:name w:val="Intense Emphasis"/>
    <w:basedOn w:val="DefaultParagraphFont"/>
    <w:uiPriority w:val="21"/>
    <w:qFormat/>
    <w:rsid w:val="000014B2"/>
    <w:rPr>
      <w:i/>
      <w:iCs/>
      <w:color w:val="0F4761" w:themeColor="accent1" w:themeShade="BF"/>
    </w:rPr>
  </w:style>
  <w:style w:type="paragraph" w:styleId="IntenseQuote">
    <w:name w:val="Intense Quote"/>
    <w:basedOn w:val="Normal"/>
    <w:next w:val="Normal"/>
    <w:link w:val="IntenseQuoteChar"/>
    <w:uiPriority w:val="30"/>
    <w:qFormat/>
    <w:rsid w:val="00001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4B2"/>
    <w:rPr>
      <w:i/>
      <w:iCs/>
      <w:color w:val="0F4761" w:themeColor="accent1" w:themeShade="BF"/>
    </w:rPr>
  </w:style>
  <w:style w:type="character" w:styleId="IntenseReference">
    <w:name w:val="Intense Reference"/>
    <w:basedOn w:val="DefaultParagraphFont"/>
    <w:uiPriority w:val="32"/>
    <w:qFormat/>
    <w:rsid w:val="000014B2"/>
    <w:rPr>
      <w:b/>
      <w:bCs/>
      <w:smallCaps/>
      <w:color w:val="0F4761" w:themeColor="accent1" w:themeShade="BF"/>
      <w:spacing w:val="5"/>
    </w:rPr>
  </w:style>
  <w:style w:type="table" w:styleId="TableGrid">
    <w:name w:val="Table Grid"/>
    <w:basedOn w:val="TableNormal"/>
    <w:uiPriority w:val="39"/>
    <w:rsid w:val="009E0C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footnote text0"/>
    <w:basedOn w:val="Normal"/>
    <w:link w:val="FootnoteTextChar"/>
    <w:uiPriority w:val="99"/>
    <w:unhideWhenUsed/>
    <w:rsid w:val="00D6203D"/>
    <w:pPr>
      <w:spacing w:after="0" w:line="240" w:lineRule="auto"/>
    </w:pPr>
    <w:rPr>
      <w:sz w:val="20"/>
      <w:szCs w:val="20"/>
    </w:rPr>
  </w:style>
  <w:style w:type="character" w:customStyle="1" w:styleId="FootnoteTextChar">
    <w:name w:val="Footnote Text Char"/>
    <w:aliases w:val="FT Char,footnote text0 Char"/>
    <w:basedOn w:val="DefaultParagraphFont"/>
    <w:link w:val="FootnoteText"/>
    <w:uiPriority w:val="99"/>
    <w:rsid w:val="00D6203D"/>
    <w:rPr>
      <w:kern w:val="0"/>
      <w:sz w:val="20"/>
      <w:szCs w:val="20"/>
      <w14:ligatures w14:val="none"/>
    </w:rPr>
  </w:style>
  <w:style w:type="character" w:styleId="FootnoteReference">
    <w:name w:val="footnote reference"/>
    <w:basedOn w:val="DefaultParagraphFont"/>
    <w:uiPriority w:val="99"/>
    <w:unhideWhenUsed/>
    <w:rsid w:val="00D6203D"/>
    <w:rPr>
      <w:vertAlign w:val="superscript"/>
    </w:rPr>
  </w:style>
  <w:style w:type="paragraph" w:styleId="Footer">
    <w:name w:val="footer"/>
    <w:basedOn w:val="Normal"/>
    <w:link w:val="FooterChar"/>
    <w:uiPriority w:val="99"/>
    <w:semiHidden/>
    <w:unhideWhenUsed/>
    <w:rsid w:val="008830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0ED"/>
    <w:rPr>
      <w:kern w:val="0"/>
      <w:sz w:val="22"/>
      <w:szCs w:val="22"/>
      <w14:ligatures w14:val="none"/>
    </w:rPr>
  </w:style>
  <w:style w:type="character" w:styleId="LineNumber">
    <w:name w:val="line number"/>
    <w:basedOn w:val="DefaultParagraphFont"/>
    <w:uiPriority w:val="99"/>
    <w:semiHidden/>
    <w:unhideWhenUsed/>
    <w:rsid w:val="008830ED"/>
  </w:style>
  <w:style w:type="character" w:styleId="Hyperlink">
    <w:name w:val="Hyperlink"/>
    <w:basedOn w:val="DefaultParagraphFont"/>
    <w:uiPriority w:val="99"/>
    <w:unhideWhenUsed/>
    <w:rsid w:val="0027025F"/>
    <w:rPr>
      <w:color w:val="0563C1"/>
      <w:u w:val="single"/>
    </w:rPr>
  </w:style>
  <w:style w:type="character" w:customStyle="1" w:styleId="UnresolvedMention1">
    <w:name w:val="Unresolved Mention1"/>
    <w:basedOn w:val="DefaultParagraphFont"/>
    <w:uiPriority w:val="99"/>
    <w:semiHidden/>
    <w:unhideWhenUsed/>
    <w:rsid w:val="0052620E"/>
    <w:rPr>
      <w:color w:val="605E5C"/>
      <w:shd w:val="clear" w:color="auto" w:fill="E1DFDD"/>
    </w:rPr>
  </w:style>
  <w:style w:type="paragraph" w:styleId="Header">
    <w:name w:val="header"/>
    <w:basedOn w:val="Normal"/>
    <w:link w:val="HeaderChar"/>
    <w:uiPriority w:val="99"/>
    <w:unhideWhenUsed/>
    <w:rsid w:val="003D1753"/>
    <w:pPr>
      <w:tabs>
        <w:tab w:val="center" w:pos="4680"/>
        <w:tab w:val="right" w:pos="9360"/>
      </w:tabs>
      <w:spacing w:after="0" w:line="240" w:lineRule="auto"/>
      <w:ind w:firstLine="7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D1753"/>
    <w:rPr>
      <w:rFonts w:ascii="Times New Roman" w:eastAsia="Times New Roman" w:hAnsi="Times New Roman" w:cs="Times New Roman"/>
      <w:kern w:val="0"/>
      <w14:ligatures w14:val="none"/>
    </w:rPr>
  </w:style>
  <w:style w:type="paragraph" w:styleId="NoSpacing">
    <w:name w:val="No Spacing"/>
    <w:uiPriority w:val="1"/>
    <w:qFormat/>
    <w:rsid w:val="099D45F9"/>
    <w:pPr>
      <w:spacing w:after="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67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07B"/>
    <w:rPr>
      <w:rFonts w:ascii="Segoe U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06707B"/>
    <w:rPr>
      <w:b/>
      <w:bCs/>
    </w:rPr>
  </w:style>
  <w:style w:type="character" w:customStyle="1" w:styleId="CommentSubjectChar">
    <w:name w:val="Comment Subject Char"/>
    <w:basedOn w:val="CommentTextChar"/>
    <w:link w:val="CommentSubject"/>
    <w:uiPriority w:val="99"/>
    <w:semiHidden/>
    <w:rsid w:val="0006707B"/>
    <w:rPr>
      <w:b/>
      <w:bCs/>
      <w:kern w:val="0"/>
      <w:sz w:val="20"/>
      <w:szCs w:val="20"/>
      <w14:ligatures w14:val="none"/>
    </w:rPr>
  </w:style>
  <w:style w:type="paragraph" w:styleId="Revision">
    <w:name w:val="Revision"/>
    <w:hidden/>
    <w:uiPriority w:val="99"/>
    <w:semiHidden/>
    <w:rsid w:val="00444A89"/>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826044"/>
    <w:rPr>
      <w:color w:val="96607D" w:themeColor="followedHyperlink"/>
      <w:u w:val="single"/>
    </w:rPr>
  </w:style>
  <w:style w:type="character" w:customStyle="1" w:styleId="UnresolvedMention2">
    <w:name w:val="Unresolved Mention2"/>
    <w:basedOn w:val="DefaultParagraphFont"/>
    <w:uiPriority w:val="99"/>
    <w:semiHidden/>
    <w:unhideWhenUsed/>
    <w:rsid w:val="008B4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assets.aclu.org/live/uploads/2024/06/Memo_Trump_Abortion_240624.pdf" TargetMode="External"/><Relationship Id="rId3" Type="http://schemas.openxmlformats.org/officeDocument/2006/relationships/hyperlink" Target="https://ncses.nsf.gov/pubs/nsb20245" TargetMode="External"/><Relationship Id="rId7" Type="http://schemas.openxmlformats.org/officeDocument/2006/relationships/hyperlink" Target="https://ag.ny.gov/publications/abortion-legal-and-protected-new-york-state" TargetMode="External"/><Relationship Id="rId2" Type="http://schemas.openxmlformats.org/officeDocument/2006/relationships/hyperlink" Target="https://www.pewresearch.org/social-trends/2021/04/01/stem-jobs-see-uneven-progress-in-increasing-gender-racial-and-ethnic-diversity/" TargetMode="External"/><Relationship Id="rId1" Type="http://schemas.openxmlformats.org/officeDocument/2006/relationships/hyperlink" Target="https://blog.dol.gov/2022/11/04/stem-day-explore-growing-careers" TargetMode="External"/><Relationship Id="rId6" Type="http://schemas.openxmlformats.org/officeDocument/2006/relationships/hyperlink" Target="https://www.tn.gov/commerce/regboards/cosmo" TargetMode="External"/><Relationship Id="rId5" Type="http://schemas.openxmlformats.org/officeDocument/2006/relationships/hyperlink" Target="https://www.cambridge.org/core/journals/american-journal-of-law-and-medicine/article/hairdos-and-helpseeking-mandatory-domestic-violence-training-for-salon-workers/71E7BFE37B15C5D1C7B42DD1C78896A7" TargetMode="External"/><Relationship Id="rId4" Type="http://schemas.openxmlformats.org/officeDocument/2006/relationships/hyperlink" Target="https://www.nyc.gov/site/ocdv/press-resources/periodic-publication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A77FB-4BFD-4902-BC34-006E4A006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3947</Words>
  <Characters>22503</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dcterms:created xsi:type="dcterms:W3CDTF">2025-11-25T18:54:00Z</dcterms:created>
  <dcterms:modified xsi:type="dcterms:W3CDTF">2025-11-25T18:54:00Z</dcterms:modified>
</cp:coreProperties>
</file>