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D041A" w14:textId="77777777" w:rsidR="001C74FB" w:rsidRDefault="001C74FB">
      <w:pPr>
        <w:pStyle w:val="HeadingUnderline"/>
        <w:spacing w:before="1440" w:after="480"/>
        <w:rPr>
          <w:rFonts w:ascii="Times New Roman" w:hAnsi="Times New Roman"/>
        </w:rPr>
      </w:pPr>
      <w:bookmarkStart w:id="0" w:name="_GoBack"/>
      <w:bookmarkEnd w:id="0"/>
      <w:r>
        <w:rPr>
          <w:rFonts w:ascii="Times New Roman" w:hAnsi="Times New Roman"/>
        </w:rPr>
        <w:t>MEMORANDUM IN SUPPORT</w:t>
      </w:r>
    </w:p>
    <w:p w14:paraId="2A5358AD" w14:textId="7E33FA2E" w:rsidR="00BA6867" w:rsidRDefault="001C74FB" w:rsidP="00BA6867">
      <w:pPr>
        <w:pStyle w:val="FlushLeft"/>
        <w:rPr>
          <w:color w:val="000000"/>
          <w:szCs w:val="24"/>
        </w:rPr>
      </w:pPr>
      <w:r>
        <w:rPr>
          <w:b/>
        </w:rPr>
        <w:t>TITLE:</w:t>
      </w:r>
      <w:r>
        <w:t xml:space="preserve">     </w:t>
      </w:r>
      <w:r>
        <w:rPr>
          <w:b/>
        </w:rPr>
        <w:t>A LOCAL LAW</w:t>
      </w:r>
      <w:r>
        <w:t xml:space="preserve"> to amend </w:t>
      </w:r>
      <w:r w:rsidR="00BA6867">
        <w:t xml:space="preserve">the administrative code of the city of New York, in relation to </w:t>
      </w:r>
      <w:r w:rsidR="007D3FB3">
        <w:t>the enactment of the existing building code,</w:t>
      </w:r>
      <w:r w:rsidR="0072053D" w:rsidRPr="0072053D">
        <w:rPr>
          <w:color w:val="000000"/>
          <w:szCs w:val="24"/>
        </w:rPr>
        <w:t xml:space="preserve"> </w:t>
      </w:r>
      <w:r w:rsidR="00BA6867">
        <w:rPr>
          <w:color w:val="000000"/>
          <w:szCs w:val="24"/>
        </w:rPr>
        <w:t xml:space="preserve">and </w:t>
      </w:r>
      <w:r w:rsidR="007D3FB3">
        <w:rPr>
          <w:color w:val="000000"/>
          <w:szCs w:val="24"/>
        </w:rPr>
        <w:t xml:space="preserve">to </w:t>
      </w:r>
      <w:r w:rsidR="00BA6867">
        <w:rPr>
          <w:color w:val="000000"/>
          <w:szCs w:val="24"/>
        </w:rPr>
        <w:t>repeal chapter 1 of title 27 of such code</w:t>
      </w:r>
      <w:r w:rsidR="007D3FB3">
        <w:rPr>
          <w:color w:val="000000"/>
          <w:szCs w:val="24"/>
        </w:rPr>
        <w:t xml:space="preserve"> comprising the 1968 building code</w:t>
      </w:r>
      <w:r w:rsidR="00481A61">
        <w:rPr>
          <w:color w:val="000000"/>
          <w:szCs w:val="24"/>
        </w:rPr>
        <w:t>.</w:t>
      </w:r>
    </w:p>
    <w:p w14:paraId="5A7DA8CE" w14:textId="77777777" w:rsidR="001C74FB" w:rsidRDefault="001C74FB">
      <w:pPr>
        <w:pStyle w:val="FlushLeft"/>
      </w:pPr>
      <w:r>
        <w:rPr>
          <w:b/>
        </w:rPr>
        <w:t>SUMMARY OF PROVISIONS:</w:t>
      </w:r>
    </w:p>
    <w:p w14:paraId="21C1DD60" w14:textId="20AB2669" w:rsidR="00BA6867" w:rsidRDefault="00BA6867" w:rsidP="00BA6867">
      <w:pPr>
        <w:jc w:val="both"/>
        <w:rPr>
          <w:color w:val="000000"/>
          <w:szCs w:val="24"/>
        </w:rPr>
      </w:pPr>
      <w:r>
        <w:rPr>
          <w:color w:val="000000"/>
          <w:szCs w:val="24"/>
        </w:rPr>
        <w:t>This proposed local law would establish an Existing Building Code</w:t>
      </w:r>
      <w:r w:rsidR="006440E0">
        <w:rPr>
          <w:color w:val="000000"/>
          <w:szCs w:val="24"/>
        </w:rPr>
        <w:t xml:space="preserve"> (“EBC</w:t>
      </w:r>
      <w:r w:rsidR="00775242">
        <w:rPr>
          <w:color w:val="000000"/>
          <w:szCs w:val="24"/>
        </w:rPr>
        <w:t>”</w:t>
      </w:r>
      <w:r w:rsidR="006440E0">
        <w:rPr>
          <w:color w:val="000000"/>
          <w:szCs w:val="24"/>
        </w:rPr>
        <w:t>)</w:t>
      </w:r>
      <w:r>
        <w:rPr>
          <w:color w:val="000000"/>
          <w:szCs w:val="24"/>
        </w:rPr>
        <w:t xml:space="preserve"> that would govern the repair, alteration, change of occupancy, addition to and relocation of existing buildings. While regular updates to the City’s Building Code have brought </w:t>
      </w:r>
      <w:r w:rsidRPr="00BA6867">
        <w:rPr>
          <w:color w:val="000000"/>
          <w:szCs w:val="24"/>
        </w:rPr>
        <w:t>advancements with respect to building materials, construction-related technologies, and technical requirements including applicable referenced standards</w:t>
      </w:r>
      <w:r>
        <w:rPr>
          <w:color w:val="000000"/>
          <w:szCs w:val="24"/>
        </w:rPr>
        <w:t>, existing buildings are subject to a different regulatory scheme</w:t>
      </w:r>
      <w:r w:rsidRPr="00BA6867">
        <w:rPr>
          <w:color w:val="000000"/>
          <w:szCs w:val="24"/>
        </w:rPr>
        <w:t>. Under the existing regulatory framework, the New York City Building Code govern</w:t>
      </w:r>
      <w:r>
        <w:rPr>
          <w:color w:val="000000"/>
          <w:szCs w:val="24"/>
        </w:rPr>
        <w:t>s</w:t>
      </w:r>
      <w:r w:rsidRPr="00BA6867">
        <w:rPr>
          <w:color w:val="000000"/>
          <w:szCs w:val="24"/>
        </w:rPr>
        <w:t xml:space="preserve"> new </w:t>
      </w:r>
      <w:bookmarkStart w:id="1" w:name="_Int_gwjHU5fJ"/>
      <w:r w:rsidRPr="00BA6867">
        <w:rPr>
          <w:color w:val="000000"/>
          <w:szCs w:val="24"/>
        </w:rPr>
        <w:t>construction</w:t>
      </w:r>
      <w:bookmarkEnd w:id="1"/>
      <w:r w:rsidRPr="00BA6867">
        <w:rPr>
          <w:color w:val="000000"/>
          <w:szCs w:val="24"/>
        </w:rPr>
        <w:t xml:space="preserve"> and significant alterations to existing buildings, such as enlargements, additions, or change</w:t>
      </w:r>
      <w:r w:rsidR="00775242">
        <w:rPr>
          <w:color w:val="000000"/>
          <w:szCs w:val="24"/>
        </w:rPr>
        <w:t>s</w:t>
      </w:r>
      <w:r w:rsidRPr="00BA6867">
        <w:rPr>
          <w:color w:val="000000"/>
          <w:szCs w:val="24"/>
        </w:rPr>
        <w:t xml:space="preserve"> of use. Significant renovations of older buildings, which trigger compliance with the requirements for new buildings, may be cost</w:t>
      </w:r>
      <w:r w:rsidRPr="00BA6867">
        <w:rPr>
          <w:color w:val="000000"/>
          <w:szCs w:val="24"/>
        </w:rPr>
        <w:noBreakHyphen/>
        <w:t>prohibitive to some building owners because they may not be able to afford to make the necessary upgrades to comply with such requirements. Consequently</w:t>
      </w:r>
      <w:r w:rsidR="00442E93">
        <w:rPr>
          <w:color w:val="000000"/>
          <w:szCs w:val="24"/>
        </w:rPr>
        <w:t>,</w:t>
      </w:r>
      <w:r w:rsidR="00057F19">
        <w:rPr>
          <w:color w:val="000000"/>
          <w:szCs w:val="24"/>
        </w:rPr>
        <w:t xml:space="preserve"> existing buildings that have not undergone a significant alteration remain subject to the</w:t>
      </w:r>
      <w:r w:rsidRPr="00BA6867">
        <w:rPr>
          <w:color w:val="000000"/>
          <w:szCs w:val="24"/>
        </w:rPr>
        <w:t xml:space="preserve"> code in effect at the time of their construction.   </w:t>
      </w:r>
    </w:p>
    <w:p w14:paraId="25566CFD" w14:textId="77777777" w:rsidR="00BA6867" w:rsidRDefault="00BA6867" w:rsidP="00BA6867">
      <w:pPr>
        <w:jc w:val="both"/>
        <w:rPr>
          <w:color w:val="000000"/>
          <w:szCs w:val="24"/>
        </w:rPr>
      </w:pPr>
    </w:p>
    <w:p w14:paraId="7F9FF9D4" w14:textId="357873A3" w:rsidR="00057F19" w:rsidRDefault="00057F19" w:rsidP="00BA6867">
      <w:pPr>
        <w:jc w:val="both"/>
        <w:rPr>
          <w:color w:val="000000"/>
          <w:szCs w:val="24"/>
        </w:rPr>
      </w:pPr>
      <w:r>
        <w:rPr>
          <w:color w:val="000000"/>
          <w:szCs w:val="24"/>
        </w:rPr>
        <w:t>The proposed local law is divided into 1</w:t>
      </w:r>
      <w:r w:rsidR="00D340C3">
        <w:rPr>
          <w:color w:val="000000"/>
          <w:szCs w:val="24"/>
        </w:rPr>
        <w:t>4</w:t>
      </w:r>
      <w:r>
        <w:rPr>
          <w:color w:val="000000"/>
          <w:szCs w:val="24"/>
        </w:rPr>
        <w:t xml:space="preserve"> chapters, with </w:t>
      </w:r>
      <w:r w:rsidR="003A56ED">
        <w:rPr>
          <w:color w:val="000000"/>
          <w:szCs w:val="24"/>
        </w:rPr>
        <w:t>three</w:t>
      </w:r>
      <w:r>
        <w:rPr>
          <w:color w:val="000000"/>
          <w:szCs w:val="24"/>
        </w:rPr>
        <w:t xml:space="preserve"> appendices. Chapter</w:t>
      </w:r>
      <w:r w:rsidR="00632BF2">
        <w:rPr>
          <w:color w:val="000000"/>
          <w:szCs w:val="24"/>
        </w:rPr>
        <w:t>s</w:t>
      </w:r>
      <w:r>
        <w:rPr>
          <w:color w:val="000000"/>
          <w:szCs w:val="24"/>
        </w:rPr>
        <w:t xml:space="preserve"> 1, 2, and 3 </w:t>
      </w:r>
      <w:r w:rsidR="00632BF2">
        <w:rPr>
          <w:color w:val="000000"/>
          <w:szCs w:val="24"/>
        </w:rPr>
        <w:t xml:space="preserve">sets forth the provisions governing administration, definitions, and general provisions. </w:t>
      </w:r>
      <w:r w:rsidR="003A56ED">
        <w:rPr>
          <w:color w:val="000000"/>
          <w:szCs w:val="24"/>
        </w:rPr>
        <w:t xml:space="preserve">Chapter 5 through </w:t>
      </w:r>
      <w:r w:rsidR="001A486C">
        <w:rPr>
          <w:color w:val="000000"/>
          <w:szCs w:val="24"/>
        </w:rPr>
        <w:t>1</w:t>
      </w:r>
      <w:r w:rsidR="00D340C3">
        <w:rPr>
          <w:color w:val="000000"/>
          <w:szCs w:val="24"/>
        </w:rPr>
        <w:t>6</w:t>
      </w:r>
      <w:r w:rsidR="003A56ED">
        <w:rPr>
          <w:color w:val="000000"/>
          <w:szCs w:val="24"/>
        </w:rPr>
        <w:t xml:space="preserve"> govern specific types of work; classification of work; changes that trigger application of the </w:t>
      </w:r>
      <w:r w:rsidR="006440E0">
        <w:rPr>
          <w:color w:val="000000"/>
          <w:szCs w:val="24"/>
        </w:rPr>
        <w:t>EBC</w:t>
      </w:r>
      <w:r w:rsidR="003A56ED">
        <w:rPr>
          <w:color w:val="000000"/>
          <w:szCs w:val="24"/>
        </w:rPr>
        <w:t>, including changes of occupancy, additions and relocated buildings; and safeguards during construction or demolition of existing buildings. (Chapters 4 and 12 are reserved.)</w:t>
      </w:r>
      <w:r w:rsidR="001A486C">
        <w:rPr>
          <w:color w:val="000000"/>
          <w:szCs w:val="24"/>
        </w:rPr>
        <w:t xml:space="preserve"> Appendices A and H provides guidelines for strengthening existing buildings and determining the in-place material strength of archaic structural systems, respectively. Appendix D governs multiple dwellings.</w:t>
      </w:r>
    </w:p>
    <w:p w14:paraId="374024A4" w14:textId="77777777" w:rsidR="00092C2C" w:rsidRDefault="00092C2C" w:rsidP="00BA6867">
      <w:pPr>
        <w:jc w:val="both"/>
        <w:rPr>
          <w:color w:val="000000"/>
          <w:szCs w:val="24"/>
        </w:rPr>
      </w:pPr>
    </w:p>
    <w:p w14:paraId="32CA6D56" w14:textId="77777777" w:rsidR="00442E93" w:rsidRDefault="00442E93" w:rsidP="00BA6867">
      <w:pPr>
        <w:jc w:val="both"/>
        <w:rPr>
          <w:color w:val="000000"/>
          <w:szCs w:val="24"/>
        </w:rPr>
      </w:pPr>
      <w:r>
        <w:rPr>
          <w:color w:val="000000"/>
          <w:szCs w:val="24"/>
        </w:rPr>
        <w:t xml:space="preserve">The bill would also repeal the 1968 Building Code, codified in Chapter 1 of Title 27 of the Administrative Code. </w:t>
      </w:r>
    </w:p>
    <w:p w14:paraId="1AD15A34" w14:textId="77777777" w:rsidR="00442E93" w:rsidRDefault="00442E93" w:rsidP="00BA6867">
      <w:pPr>
        <w:jc w:val="both"/>
        <w:rPr>
          <w:color w:val="000000"/>
          <w:szCs w:val="24"/>
        </w:rPr>
      </w:pPr>
    </w:p>
    <w:p w14:paraId="6C7E4E2F" w14:textId="77777777" w:rsidR="00057F19" w:rsidRDefault="00092C2C" w:rsidP="00BA6867">
      <w:pPr>
        <w:jc w:val="both"/>
        <w:rPr>
          <w:color w:val="000000"/>
          <w:szCs w:val="24"/>
        </w:rPr>
      </w:pPr>
      <w:r>
        <w:rPr>
          <w:color w:val="000000"/>
          <w:szCs w:val="24"/>
        </w:rPr>
        <w:t xml:space="preserve">The bill would take effect on the same day as a separate bill that makes conforming changes to the Administrative Code. </w:t>
      </w:r>
    </w:p>
    <w:p w14:paraId="448A6459" w14:textId="77777777" w:rsidR="00057F19" w:rsidRPr="00BA6867" w:rsidRDefault="00057F19" w:rsidP="00BA6867">
      <w:pPr>
        <w:jc w:val="both"/>
        <w:rPr>
          <w:color w:val="000000"/>
          <w:szCs w:val="24"/>
        </w:rPr>
      </w:pPr>
    </w:p>
    <w:p w14:paraId="0C388D2A" w14:textId="77777777" w:rsidR="00057F19" w:rsidRDefault="00057F19" w:rsidP="00057F19">
      <w:pPr>
        <w:jc w:val="both"/>
        <w:rPr>
          <w:color w:val="000000"/>
          <w:szCs w:val="24"/>
        </w:rPr>
      </w:pPr>
    </w:p>
    <w:p w14:paraId="708C4E22" w14:textId="77777777" w:rsidR="001C74FB" w:rsidRDefault="001C74FB" w:rsidP="00BA6867">
      <w:pPr>
        <w:pStyle w:val="FlushLeft"/>
      </w:pPr>
      <w:r>
        <w:rPr>
          <w:b/>
        </w:rPr>
        <w:t>REASONS FOR SUPPORT:</w:t>
      </w:r>
    </w:p>
    <w:p w14:paraId="4693C8DE" w14:textId="59FF5FDA" w:rsidR="00057F19" w:rsidRDefault="00057F19" w:rsidP="008D4FE8">
      <w:pPr>
        <w:spacing w:after="240"/>
        <w:jc w:val="both"/>
        <w:rPr>
          <w:color w:val="000000"/>
          <w:szCs w:val="24"/>
        </w:rPr>
      </w:pPr>
      <w:r w:rsidRPr="00BA6867">
        <w:rPr>
          <w:color w:val="000000"/>
          <w:szCs w:val="24"/>
        </w:rPr>
        <w:t xml:space="preserve">In 2014 the Department of Buildings (“the Department”) embarked on a multi-year year code development project to develop a </w:t>
      </w:r>
      <w:r w:rsidR="00775242">
        <w:rPr>
          <w:color w:val="000000"/>
          <w:szCs w:val="24"/>
        </w:rPr>
        <w:t xml:space="preserve">new </w:t>
      </w:r>
      <w:r w:rsidRPr="00BA6867">
        <w:rPr>
          <w:color w:val="000000"/>
          <w:szCs w:val="24"/>
        </w:rPr>
        <w:t xml:space="preserve">code that would </w:t>
      </w:r>
      <w:r w:rsidR="00775242">
        <w:rPr>
          <w:color w:val="000000"/>
          <w:szCs w:val="24"/>
        </w:rPr>
        <w:t>apply to</w:t>
      </w:r>
      <w:r w:rsidR="00775242" w:rsidRPr="00BA6867">
        <w:rPr>
          <w:color w:val="000000"/>
          <w:szCs w:val="24"/>
        </w:rPr>
        <w:t xml:space="preserve"> </w:t>
      </w:r>
      <w:r w:rsidRPr="00BA6867">
        <w:rPr>
          <w:color w:val="000000"/>
          <w:szCs w:val="24"/>
        </w:rPr>
        <w:t xml:space="preserve">alterations to existing buildings. </w:t>
      </w:r>
      <w:r w:rsidRPr="00BA6867">
        <w:rPr>
          <w:color w:val="000000"/>
          <w:szCs w:val="24"/>
        </w:rPr>
        <w:lastRenderedPageBreak/>
        <w:t>The City’s first</w:t>
      </w:r>
      <w:r w:rsidRPr="00BA6867">
        <w:rPr>
          <w:color w:val="000000"/>
          <w:szCs w:val="24"/>
        </w:rPr>
        <w:noBreakHyphen/>
        <w:t>ever EBC, based on the International Existing Building Code, is the culmination of many years of research, analysis, and Committee work providing a comprehensive and streamlined regulatory framework for alterations to existing buildings</w:t>
      </w:r>
      <w:r>
        <w:rPr>
          <w:color w:val="000000"/>
          <w:szCs w:val="24"/>
        </w:rPr>
        <w:t xml:space="preserve">. </w:t>
      </w:r>
    </w:p>
    <w:p w14:paraId="2E8DBEC5" w14:textId="09399DF9" w:rsidR="00057F19" w:rsidRDefault="00057F19">
      <w:pPr>
        <w:pStyle w:val="FlushLeft"/>
        <w:rPr>
          <w:color w:val="000000"/>
          <w:szCs w:val="24"/>
        </w:rPr>
      </w:pPr>
      <w:r w:rsidRPr="00057F19">
        <w:rPr>
          <w:color w:val="000000"/>
          <w:szCs w:val="24"/>
        </w:rPr>
        <w:t>The EBC provides an improved and simplified guide to renovation and construction work for New York City’s existing building stock. It eliminates the need to consult previous codes when performing renovations to an existing building</w:t>
      </w:r>
      <w:r w:rsidR="00775242">
        <w:rPr>
          <w:color w:val="000000"/>
          <w:szCs w:val="24"/>
        </w:rPr>
        <w:t xml:space="preserve"> while</w:t>
      </w:r>
      <w:r w:rsidR="00442E93" w:rsidRPr="00057F19">
        <w:rPr>
          <w:color w:val="000000"/>
          <w:szCs w:val="24"/>
        </w:rPr>
        <w:t xml:space="preserve"> </w:t>
      </w:r>
      <w:r w:rsidRPr="00057F19">
        <w:rPr>
          <w:color w:val="000000"/>
          <w:szCs w:val="24"/>
        </w:rPr>
        <w:t>minimiz</w:t>
      </w:r>
      <w:r w:rsidR="00442E93">
        <w:rPr>
          <w:color w:val="000000"/>
          <w:szCs w:val="24"/>
        </w:rPr>
        <w:t>ing</w:t>
      </w:r>
      <w:r w:rsidRPr="00057F19">
        <w:rPr>
          <w:color w:val="000000"/>
          <w:szCs w:val="24"/>
        </w:rPr>
        <w:t xml:space="preserve"> potential barriers to renovations for existing buildings. The EBC would also minimize the need for owners to obtain code variances from the Department for certain scopes of work. Most importantly, the EBC would enhance the safety of the existing building stock by creating incremental compliance triggers regardless of alteration costs.</w:t>
      </w:r>
    </w:p>
    <w:p w14:paraId="0EDC6868" w14:textId="77777777" w:rsidR="00092C2C" w:rsidRDefault="00092C2C" w:rsidP="00092C2C">
      <w:pPr>
        <w:jc w:val="both"/>
      </w:pPr>
      <w:r>
        <w:rPr>
          <w:szCs w:val="24"/>
        </w:rPr>
        <w:t>The proposed EBC achieves the following:</w:t>
      </w:r>
    </w:p>
    <w:p w14:paraId="389E1348" w14:textId="73E871E9" w:rsidR="00092C2C" w:rsidRPr="0093692D" w:rsidRDefault="00092C2C" w:rsidP="00442E93">
      <w:pPr>
        <w:pStyle w:val="ListParagraph"/>
        <w:numPr>
          <w:ilvl w:val="0"/>
          <w:numId w:val="6"/>
        </w:numPr>
        <w:spacing w:before="120"/>
        <w:contextualSpacing w:val="0"/>
        <w:jc w:val="both"/>
        <w:rPr>
          <w:rFonts w:ascii="Times New Roman" w:hAnsi="Times New Roman" w:cs="Times New Roman"/>
          <w:sz w:val="24"/>
          <w:szCs w:val="24"/>
        </w:rPr>
      </w:pPr>
      <w:r w:rsidRPr="7FA9BAFA">
        <w:rPr>
          <w:rFonts w:ascii="Times New Roman" w:hAnsi="Times New Roman" w:cs="Times New Roman"/>
          <w:sz w:val="24"/>
          <w:szCs w:val="24"/>
        </w:rPr>
        <w:t>Promotes compliance with modern codes by repealing the 1968</w:t>
      </w:r>
      <w:r w:rsidR="00775242">
        <w:rPr>
          <w:rFonts w:ascii="Times New Roman" w:hAnsi="Times New Roman" w:cs="Times New Roman"/>
          <w:sz w:val="24"/>
          <w:szCs w:val="24"/>
        </w:rPr>
        <w:t xml:space="preserve"> Building</w:t>
      </w:r>
      <w:r w:rsidRPr="7FA9BAFA">
        <w:rPr>
          <w:rFonts w:ascii="Times New Roman" w:hAnsi="Times New Roman" w:cs="Times New Roman"/>
          <w:sz w:val="24"/>
          <w:szCs w:val="24"/>
        </w:rPr>
        <w:t xml:space="preserve"> Code</w:t>
      </w:r>
      <w:r w:rsidR="00775242">
        <w:rPr>
          <w:rFonts w:ascii="Times New Roman" w:hAnsi="Times New Roman" w:cs="Times New Roman"/>
          <w:sz w:val="24"/>
          <w:szCs w:val="24"/>
        </w:rPr>
        <w:t>, which currently continues to apply to</w:t>
      </w:r>
      <w:r w:rsidRPr="7FA9BAFA">
        <w:rPr>
          <w:rFonts w:ascii="Times New Roman" w:hAnsi="Times New Roman" w:cs="Times New Roman"/>
          <w:sz w:val="24"/>
          <w:szCs w:val="24"/>
        </w:rPr>
        <w:t xml:space="preserve"> alterations, repairs, changes of occupancy, additions, and relocations of existing buildings. (302.8)</w:t>
      </w:r>
    </w:p>
    <w:p w14:paraId="23567F29" w14:textId="7CE0B3DB" w:rsidR="00092C2C" w:rsidRPr="00596987" w:rsidRDefault="00092C2C" w:rsidP="00442E93">
      <w:pPr>
        <w:numPr>
          <w:ilvl w:val="0"/>
          <w:numId w:val="6"/>
        </w:numPr>
        <w:spacing w:before="120" w:after="160" w:line="259" w:lineRule="auto"/>
        <w:jc w:val="both"/>
        <w:rPr>
          <w:b/>
          <w:bCs/>
        </w:rPr>
      </w:pPr>
      <w:r w:rsidRPr="6D5D94E1">
        <w:rPr>
          <w:szCs w:val="24"/>
        </w:rPr>
        <w:t xml:space="preserve">Introduces the concept of “work area” which has been adopted by numerous major jurisdictions around the country, to replace alteration cost as the trigger for when code requirements apply. Work area provides an </w:t>
      </w:r>
      <w:bookmarkStart w:id="2" w:name="_Int_mAf9j6LI"/>
      <w:r w:rsidRPr="6D5D94E1">
        <w:rPr>
          <w:szCs w:val="24"/>
        </w:rPr>
        <w:t>easily-determined</w:t>
      </w:r>
      <w:bookmarkEnd w:id="2"/>
      <w:r w:rsidRPr="6D5D94E1">
        <w:rPr>
          <w:szCs w:val="24"/>
        </w:rPr>
        <w:t xml:space="preserve"> measure of an alteration’s size and applicable code requirements and is used as a metric to redefine and streamline alteration </w:t>
      </w:r>
      <w:r w:rsidR="00775242">
        <w:rPr>
          <w:szCs w:val="24"/>
        </w:rPr>
        <w:t>depending on how the alteration work is classified</w:t>
      </w:r>
      <w:r w:rsidRPr="6D5D94E1">
        <w:rPr>
          <w:szCs w:val="24"/>
        </w:rPr>
        <w:t xml:space="preserve">. (601.2) </w:t>
      </w:r>
    </w:p>
    <w:p w14:paraId="4858FEBE" w14:textId="77777777" w:rsidR="00092C2C" w:rsidRPr="00596987" w:rsidRDefault="00092C2C" w:rsidP="00442E93">
      <w:pPr>
        <w:numPr>
          <w:ilvl w:val="0"/>
          <w:numId w:val="6"/>
        </w:numPr>
        <w:spacing w:before="120" w:after="160" w:line="259" w:lineRule="auto"/>
        <w:jc w:val="both"/>
        <w:rPr>
          <w:b/>
          <w:bCs/>
        </w:rPr>
      </w:pPr>
      <w:r w:rsidRPr="6D5D94E1">
        <w:rPr>
          <w:szCs w:val="24"/>
        </w:rPr>
        <w:t xml:space="preserve">Streamlines and simplifies regulations related to changes of occupancy including changes of occupancy classification, changes of use, and changes of how a space is used within a facility. (1001.3) </w:t>
      </w:r>
    </w:p>
    <w:p w14:paraId="1931975E" w14:textId="77777777" w:rsidR="00092C2C" w:rsidRPr="00596987" w:rsidDel="00473C42" w:rsidRDefault="00092C2C" w:rsidP="00442E93">
      <w:pPr>
        <w:pStyle w:val="ListParagraph"/>
        <w:numPr>
          <w:ilvl w:val="0"/>
          <w:numId w:val="7"/>
        </w:numPr>
        <w:spacing w:before="120"/>
        <w:contextualSpacing w:val="0"/>
        <w:jc w:val="both"/>
        <w:rPr>
          <w:rFonts w:ascii="Times New Roman" w:hAnsi="Times New Roman" w:cs="Times New Roman"/>
          <w:sz w:val="24"/>
          <w:szCs w:val="24"/>
        </w:rPr>
      </w:pPr>
      <w:r w:rsidRPr="6D5D94E1">
        <w:rPr>
          <w:rFonts w:ascii="Times New Roman" w:hAnsi="Times New Roman" w:cs="Times New Roman"/>
          <w:sz w:val="24"/>
          <w:szCs w:val="24"/>
        </w:rPr>
        <w:t xml:space="preserve">Provides comprehensive Tenant and Occupant Protection Plans for buildings occupied during construction activities. (Chapter 15) </w:t>
      </w:r>
    </w:p>
    <w:p w14:paraId="1E88AA8C" w14:textId="5747DF3B" w:rsidR="00092C2C" w:rsidRPr="003A5751" w:rsidRDefault="00092C2C" w:rsidP="00442E93">
      <w:pPr>
        <w:pStyle w:val="ListParagraph"/>
        <w:numPr>
          <w:ilvl w:val="0"/>
          <w:numId w:val="7"/>
        </w:numPr>
        <w:spacing w:before="120"/>
        <w:contextualSpacing w:val="0"/>
        <w:jc w:val="both"/>
        <w:rPr>
          <w:rFonts w:ascii="Times New Roman" w:hAnsi="Times New Roman" w:cs="Times New Roman"/>
          <w:b/>
          <w:bCs/>
        </w:rPr>
      </w:pPr>
      <w:r w:rsidRPr="6D5D94E1">
        <w:rPr>
          <w:rFonts w:ascii="Times New Roman" w:hAnsi="Times New Roman" w:cs="Times New Roman"/>
          <w:sz w:val="24"/>
          <w:szCs w:val="24"/>
        </w:rPr>
        <w:t>Includes an appendix which simplifies the path for the multiple dwelling classifications</w:t>
      </w:r>
      <w:r w:rsidR="002351E9">
        <w:rPr>
          <w:rFonts w:ascii="Times New Roman" w:hAnsi="Times New Roman" w:cs="Times New Roman"/>
          <w:sz w:val="24"/>
          <w:szCs w:val="24"/>
        </w:rPr>
        <w:t xml:space="preserve"> to comply with the complex framework of the Multiple Dwelling Law (“MDL”)</w:t>
      </w:r>
      <w:r w:rsidRPr="6D5D94E1">
        <w:rPr>
          <w:rFonts w:ascii="Times New Roman" w:hAnsi="Times New Roman" w:cs="Times New Roman"/>
          <w:sz w:val="24"/>
          <w:szCs w:val="24"/>
        </w:rPr>
        <w:t>. It details the technical provisions of the MDL</w:t>
      </w:r>
      <w:r w:rsidR="006D0AA4">
        <w:rPr>
          <w:rFonts w:ascii="Times New Roman" w:hAnsi="Times New Roman" w:cs="Times New Roman"/>
          <w:sz w:val="24"/>
          <w:szCs w:val="24"/>
        </w:rPr>
        <w:t xml:space="preserve"> </w:t>
      </w:r>
      <w:r w:rsidRPr="6D5D94E1">
        <w:rPr>
          <w:rFonts w:ascii="Times New Roman" w:hAnsi="Times New Roman" w:cs="Times New Roman"/>
          <w:sz w:val="24"/>
          <w:szCs w:val="24"/>
        </w:rPr>
        <w:t>that are applicable to alterations to existing residential buildings</w:t>
      </w:r>
      <w:r w:rsidR="007658CB">
        <w:rPr>
          <w:rFonts w:ascii="Times New Roman" w:hAnsi="Times New Roman" w:cs="Times New Roman"/>
          <w:sz w:val="24"/>
          <w:szCs w:val="24"/>
        </w:rPr>
        <w:t>. The technical provisions set forth in Appendix D</w:t>
      </w:r>
      <w:r w:rsidRPr="6D5D94E1">
        <w:rPr>
          <w:rFonts w:ascii="Times New Roman" w:hAnsi="Times New Roman" w:cs="Times New Roman"/>
          <w:sz w:val="24"/>
          <w:szCs w:val="24"/>
        </w:rPr>
        <w:t xml:space="preserve"> maintain or exceed the construction requirements of the MDL.</w:t>
      </w:r>
      <w:r w:rsidR="007658CB">
        <w:rPr>
          <w:rFonts w:ascii="Times New Roman" w:hAnsi="Times New Roman" w:cs="Times New Roman"/>
          <w:sz w:val="24"/>
          <w:szCs w:val="24"/>
        </w:rPr>
        <w:t xml:space="preserve"> </w:t>
      </w:r>
      <w:r w:rsidR="003C06BD">
        <w:rPr>
          <w:rFonts w:ascii="Times New Roman" w:hAnsi="Times New Roman" w:cs="Times New Roman"/>
          <w:sz w:val="24"/>
          <w:szCs w:val="24"/>
        </w:rPr>
        <w:t xml:space="preserve">This streamlined approach </w:t>
      </w:r>
      <w:r w:rsidR="001A30DC">
        <w:rPr>
          <w:rFonts w:ascii="Times New Roman" w:hAnsi="Times New Roman" w:cs="Times New Roman"/>
          <w:sz w:val="24"/>
          <w:szCs w:val="24"/>
        </w:rPr>
        <w:t xml:space="preserve">facilitates alterations to existing residential </w:t>
      </w:r>
      <w:r w:rsidR="008035E0">
        <w:rPr>
          <w:rFonts w:ascii="Times New Roman" w:hAnsi="Times New Roman" w:cs="Times New Roman"/>
          <w:sz w:val="24"/>
          <w:szCs w:val="24"/>
        </w:rPr>
        <w:t xml:space="preserve">buildings and </w:t>
      </w:r>
      <w:r w:rsidR="003C06BD">
        <w:rPr>
          <w:rFonts w:ascii="Times New Roman" w:hAnsi="Times New Roman" w:cs="Times New Roman"/>
          <w:sz w:val="24"/>
          <w:szCs w:val="24"/>
        </w:rPr>
        <w:t xml:space="preserve">promotes compliance with the applicable </w:t>
      </w:r>
      <w:r w:rsidR="008035E0">
        <w:rPr>
          <w:rFonts w:ascii="Times New Roman" w:hAnsi="Times New Roman" w:cs="Times New Roman"/>
          <w:sz w:val="24"/>
          <w:szCs w:val="24"/>
        </w:rPr>
        <w:t xml:space="preserve">regulatory </w:t>
      </w:r>
      <w:r w:rsidR="003C06BD">
        <w:rPr>
          <w:rFonts w:ascii="Times New Roman" w:hAnsi="Times New Roman" w:cs="Times New Roman"/>
          <w:sz w:val="24"/>
          <w:szCs w:val="24"/>
        </w:rPr>
        <w:t>provisions</w:t>
      </w:r>
      <w:r w:rsidR="00132D61">
        <w:rPr>
          <w:rFonts w:ascii="Times New Roman" w:hAnsi="Times New Roman" w:cs="Times New Roman"/>
          <w:sz w:val="24"/>
          <w:szCs w:val="24"/>
        </w:rPr>
        <w:t>,</w:t>
      </w:r>
      <w:r w:rsidR="003C06BD">
        <w:rPr>
          <w:rFonts w:ascii="Times New Roman" w:hAnsi="Times New Roman" w:cs="Times New Roman"/>
          <w:sz w:val="24"/>
          <w:szCs w:val="24"/>
        </w:rPr>
        <w:t xml:space="preserve"> ensuring that subject buildings are safe and habitable</w:t>
      </w:r>
      <w:r w:rsidR="007658CB">
        <w:rPr>
          <w:rFonts w:ascii="Times New Roman" w:hAnsi="Times New Roman" w:cs="Times New Roman"/>
          <w:sz w:val="24"/>
          <w:szCs w:val="24"/>
        </w:rPr>
        <w:t>.</w:t>
      </w:r>
      <w:r w:rsidRPr="6D5D94E1">
        <w:rPr>
          <w:rFonts w:ascii="Times New Roman" w:hAnsi="Times New Roman" w:cs="Times New Roman"/>
          <w:sz w:val="24"/>
          <w:szCs w:val="24"/>
        </w:rPr>
        <w:t xml:space="preserve"> (Appendix D)</w:t>
      </w:r>
    </w:p>
    <w:p w14:paraId="7C037594" w14:textId="77777777" w:rsidR="00092C2C" w:rsidRPr="003A5751" w:rsidRDefault="00092C2C" w:rsidP="00442E93">
      <w:pPr>
        <w:pStyle w:val="ListParagraph"/>
        <w:numPr>
          <w:ilvl w:val="0"/>
          <w:numId w:val="7"/>
        </w:numPr>
        <w:spacing w:before="120"/>
        <w:contextualSpacing w:val="0"/>
        <w:jc w:val="both"/>
        <w:rPr>
          <w:rFonts w:ascii="Times New Roman" w:hAnsi="Times New Roman" w:cs="Times New Roman"/>
          <w:b/>
          <w:bCs/>
        </w:rPr>
      </w:pPr>
      <w:r w:rsidRPr="6D5D94E1">
        <w:rPr>
          <w:rFonts w:ascii="Times New Roman" w:hAnsi="Times New Roman" w:cs="Times New Roman"/>
          <w:sz w:val="24"/>
          <w:szCs w:val="24"/>
        </w:rPr>
        <w:t>C</w:t>
      </w:r>
      <w:r w:rsidRPr="00057F19">
        <w:rPr>
          <w:rFonts w:ascii="Times New Roman" w:eastAsia="Times New Roman" w:hAnsi="Times New Roman" w:cs="Times New Roman"/>
          <w:sz w:val="24"/>
          <w:szCs w:val="24"/>
        </w:rPr>
        <w:t>reates a Limited Home Improvement Permit for 1- and 2-family dwellings to be filed by a homeowner or a licensed home improvement contractor. This provides a path for homeowners to obtain work permits for specific types of home improvement alterations often done illegally without permits. (Section 507)</w:t>
      </w:r>
    </w:p>
    <w:p w14:paraId="2BC29BDD" w14:textId="77777777" w:rsidR="00092C2C" w:rsidRPr="003A5751" w:rsidRDefault="00092C2C" w:rsidP="00442E93">
      <w:pPr>
        <w:pStyle w:val="ListParagraph"/>
        <w:numPr>
          <w:ilvl w:val="0"/>
          <w:numId w:val="7"/>
        </w:numPr>
        <w:spacing w:before="120"/>
        <w:contextualSpacing w:val="0"/>
        <w:jc w:val="both"/>
        <w:rPr>
          <w:rFonts w:ascii="Times New Roman" w:hAnsi="Times New Roman" w:cs="Times New Roman"/>
          <w:b/>
          <w:bCs/>
        </w:rPr>
      </w:pPr>
      <w:r w:rsidRPr="110A2D0D">
        <w:rPr>
          <w:rFonts w:ascii="Times New Roman" w:hAnsi="Times New Roman" w:cs="Times New Roman"/>
          <w:sz w:val="24"/>
          <w:szCs w:val="24"/>
        </w:rPr>
        <w:lastRenderedPageBreak/>
        <w:t>Introduces limited alteration application (LAA) permits for additional types of work, including window replacements, reroofing, and elevator repair and replacements which will result in improved compliance with the Building and Energy Conservation Codes. (Chapter 5)</w:t>
      </w:r>
    </w:p>
    <w:p w14:paraId="63E232BE" w14:textId="77777777" w:rsidR="00092C2C" w:rsidRPr="00997292" w:rsidRDefault="00092C2C" w:rsidP="00442E93">
      <w:pPr>
        <w:numPr>
          <w:ilvl w:val="0"/>
          <w:numId w:val="8"/>
        </w:numPr>
        <w:spacing w:before="120" w:after="160" w:line="259" w:lineRule="auto"/>
        <w:jc w:val="both"/>
        <w:rPr>
          <w:b/>
          <w:bCs/>
        </w:rPr>
      </w:pPr>
      <w:r w:rsidRPr="6D5D94E1">
        <w:rPr>
          <w:szCs w:val="24"/>
        </w:rPr>
        <w:t>Creates new requirements for architectural investigations when the work area exceeds 50% of the floor area, ensuring that existing means of egress elements and rated assemblies are safe and requires remediation of any existing unsafe condition early in the process. (803.10)</w:t>
      </w:r>
    </w:p>
    <w:p w14:paraId="77C18B78" w14:textId="77777777" w:rsidR="00092C2C" w:rsidRPr="001B0D99" w:rsidRDefault="00092C2C" w:rsidP="00442E93">
      <w:pPr>
        <w:numPr>
          <w:ilvl w:val="0"/>
          <w:numId w:val="11"/>
        </w:numPr>
        <w:spacing w:before="120" w:after="160" w:line="259" w:lineRule="auto"/>
        <w:jc w:val="both"/>
        <w:rPr>
          <w:b/>
          <w:bCs/>
        </w:rPr>
      </w:pPr>
      <w:r w:rsidRPr="6D5D94E1">
        <w:rPr>
          <w:szCs w:val="24"/>
        </w:rPr>
        <w:t>Improves safety of existing stairways that are part of the means of egress in older buildings by requiring the protection of such stairs by at least 1-hour-rated enclosures from the highest level of the work area and all the floors below when a work area exceeds 50% of a floor. (803.2.3)</w:t>
      </w:r>
    </w:p>
    <w:p w14:paraId="571082BD" w14:textId="77777777" w:rsidR="00092C2C" w:rsidRPr="001B0D99" w:rsidRDefault="00092C2C" w:rsidP="00442E93">
      <w:pPr>
        <w:pStyle w:val="ListParagraph"/>
        <w:numPr>
          <w:ilvl w:val="0"/>
          <w:numId w:val="11"/>
        </w:numPr>
        <w:spacing w:before="120"/>
        <w:contextualSpacing w:val="0"/>
        <w:jc w:val="both"/>
        <w:rPr>
          <w:b/>
          <w:bCs/>
        </w:rPr>
      </w:pPr>
      <w:r w:rsidRPr="6D5D94E1">
        <w:rPr>
          <w:rFonts w:ascii="Times New Roman" w:hAnsi="Times New Roman" w:cs="Times New Roman"/>
          <w:sz w:val="24"/>
          <w:szCs w:val="24"/>
        </w:rPr>
        <w:t>Requires the protection of openings on lot line air shafts, commonly found in tenements and converted dwellings and introduces multiple methods of protection allowing for flexibility during alterations. (803.8)</w:t>
      </w:r>
    </w:p>
    <w:p w14:paraId="2F746826" w14:textId="77777777" w:rsidR="00092C2C" w:rsidRPr="00BD6746" w:rsidRDefault="00092C2C" w:rsidP="00442E93">
      <w:pPr>
        <w:pStyle w:val="ListParagraph"/>
        <w:numPr>
          <w:ilvl w:val="0"/>
          <w:numId w:val="9"/>
        </w:numPr>
        <w:spacing w:before="120"/>
        <w:contextualSpacing w:val="0"/>
        <w:jc w:val="both"/>
        <w:rPr>
          <w:b/>
          <w:bCs/>
        </w:rPr>
      </w:pPr>
      <w:r w:rsidRPr="6D5D94E1">
        <w:rPr>
          <w:rFonts w:ascii="Times New Roman" w:hAnsi="Times New Roman" w:cs="Times New Roman"/>
          <w:sz w:val="24"/>
          <w:szCs w:val="24"/>
        </w:rPr>
        <w:t>Enhances fire safety by introducing new requirements for automatic sprinkler systems that address various unique conditions that occur in existing buildings. (804.2)</w:t>
      </w:r>
    </w:p>
    <w:p w14:paraId="1FCC4B54" w14:textId="77777777" w:rsidR="00092C2C" w:rsidRPr="003A5751" w:rsidRDefault="00092C2C" w:rsidP="00442E93">
      <w:pPr>
        <w:numPr>
          <w:ilvl w:val="0"/>
          <w:numId w:val="8"/>
        </w:numPr>
        <w:spacing w:before="120" w:after="160" w:line="259" w:lineRule="auto"/>
        <w:jc w:val="both"/>
        <w:rPr>
          <w:b/>
          <w:bCs/>
        </w:rPr>
      </w:pPr>
      <w:r w:rsidRPr="6D5D94E1">
        <w:rPr>
          <w:szCs w:val="24"/>
        </w:rPr>
        <w:t>Simplifies upgrades to plumbing systems and bathroom facilities when the building changes occupancy. (1010.1.3)</w:t>
      </w:r>
    </w:p>
    <w:p w14:paraId="7B72A0F7" w14:textId="77777777" w:rsidR="00092C2C" w:rsidRPr="003A5751" w:rsidDel="00EC43E6" w:rsidRDefault="00092C2C" w:rsidP="00442E93">
      <w:pPr>
        <w:pStyle w:val="ListParagraph"/>
        <w:numPr>
          <w:ilvl w:val="0"/>
          <w:numId w:val="8"/>
        </w:numPr>
        <w:spacing w:before="120"/>
        <w:contextualSpacing w:val="0"/>
        <w:jc w:val="both"/>
        <w:rPr>
          <w:rFonts w:ascii="Times New Roman" w:hAnsi="Times New Roman" w:cs="Times New Roman"/>
          <w:b/>
          <w:bCs/>
          <w:sz w:val="24"/>
          <w:szCs w:val="24"/>
        </w:rPr>
      </w:pPr>
      <w:r w:rsidRPr="6D5D94E1">
        <w:rPr>
          <w:rFonts w:ascii="Times New Roman" w:hAnsi="Times New Roman" w:cs="Times New Roman"/>
          <w:sz w:val="24"/>
          <w:szCs w:val="24"/>
        </w:rPr>
        <w:t>Increases accessibility in residential occupancies (R-2) when the alteration involves more than 50% of the dwelling units under a single ownership, by requiring all common use facilities serving those dwelling units to comply with Chapter 11 of the Building Code. (906.1.1)</w:t>
      </w:r>
    </w:p>
    <w:p w14:paraId="7796208F" w14:textId="77777777" w:rsidR="00092C2C" w:rsidRPr="00BD6746" w:rsidRDefault="00092C2C" w:rsidP="00442E93">
      <w:pPr>
        <w:pStyle w:val="ListParagraph"/>
        <w:numPr>
          <w:ilvl w:val="0"/>
          <w:numId w:val="8"/>
        </w:numPr>
        <w:spacing w:before="120"/>
        <w:contextualSpacing w:val="0"/>
        <w:jc w:val="both"/>
        <w:rPr>
          <w:rFonts w:ascii="Times New Roman" w:hAnsi="Times New Roman" w:cs="Times New Roman"/>
          <w:b/>
          <w:bCs/>
          <w:sz w:val="24"/>
          <w:szCs w:val="24"/>
        </w:rPr>
      </w:pPr>
      <w:r w:rsidRPr="6D5D94E1">
        <w:rPr>
          <w:rFonts w:ascii="Times New Roman" w:hAnsi="Times New Roman" w:cs="Times New Roman"/>
          <w:sz w:val="24"/>
          <w:szCs w:val="24"/>
        </w:rPr>
        <w:t>Provides a standardized method to verify the stability of buildings being altered and requires a more thorough condition assessment when the proposed alterations increase the level of structural demand in the building. (703.5 and 704.3)</w:t>
      </w:r>
    </w:p>
    <w:p w14:paraId="556BFF77" w14:textId="77777777" w:rsidR="00092C2C" w:rsidRPr="00637EC2" w:rsidRDefault="00092C2C" w:rsidP="00442E93">
      <w:pPr>
        <w:numPr>
          <w:ilvl w:val="0"/>
          <w:numId w:val="10"/>
        </w:numPr>
        <w:spacing w:before="120" w:after="160" w:line="259" w:lineRule="auto"/>
        <w:jc w:val="both"/>
        <w:rPr>
          <w:b/>
          <w:bCs/>
        </w:rPr>
      </w:pPr>
      <w:r w:rsidRPr="6D5D94E1">
        <w:rPr>
          <w:szCs w:val="24"/>
        </w:rPr>
        <w:t xml:space="preserve">Introduces a new safety performance and scoring method, creating an alternative route of code compliance. This will benefit buildings with historic features or other concerns that may hinder compliance with more prescriptive code requirements while maintaining safety. </w:t>
      </w:r>
      <w:r w:rsidR="00881E7F">
        <w:rPr>
          <w:szCs w:val="24"/>
        </w:rPr>
        <w:t xml:space="preserve">Confers rulemaking authority to enact rules relating to fire safety requirements in buildings constructed before 2008. </w:t>
      </w:r>
      <w:r w:rsidRPr="6D5D94E1">
        <w:rPr>
          <w:szCs w:val="24"/>
        </w:rPr>
        <w:t>(Chapter 13)</w:t>
      </w:r>
    </w:p>
    <w:p w14:paraId="2B345944" w14:textId="77777777" w:rsidR="00092C2C" w:rsidRPr="001439F5" w:rsidRDefault="00092C2C" w:rsidP="00442E93">
      <w:pPr>
        <w:pStyle w:val="ListParagraph"/>
        <w:numPr>
          <w:ilvl w:val="0"/>
          <w:numId w:val="10"/>
        </w:numPr>
        <w:spacing w:before="120"/>
        <w:contextualSpacing w:val="0"/>
        <w:jc w:val="both"/>
        <w:rPr>
          <w:rFonts w:ascii="Times New Roman" w:hAnsi="Times New Roman" w:cs="Times New Roman"/>
          <w:b/>
          <w:bCs/>
          <w:sz w:val="24"/>
          <w:szCs w:val="24"/>
        </w:rPr>
      </w:pPr>
      <w:r w:rsidRPr="6D5D94E1">
        <w:rPr>
          <w:rFonts w:ascii="Times New Roman" w:hAnsi="Times New Roman" w:cs="Times New Roman"/>
          <w:sz w:val="24"/>
          <w:szCs w:val="24"/>
        </w:rPr>
        <w:t xml:space="preserve">Increases the energy efficiency of the City’s building stock by facilitating renovation of existing buildings while requiring incremental energy conservation upgrades. (313, 813, 912) </w:t>
      </w:r>
    </w:p>
    <w:p w14:paraId="125141CC" w14:textId="77777777" w:rsidR="00092C2C" w:rsidRPr="00092C2C" w:rsidRDefault="00092C2C" w:rsidP="00442E93">
      <w:pPr>
        <w:pStyle w:val="ListParagraph"/>
        <w:numPr>
          <w:ilvl w:val="0"/>
          <w:numId w:val="10"/>
        </w:numPr>
        <w:spacing w:before="120"/>
        <w:contextualSpacing w:val="0"/>
        <w:jc w:val="both"/>
        <w:rPr>
          <w:rFonts w:ascii="Times New Roman" w:hAnsi="Times New Roman" w:cs="Times New Roman"/>
          <w:sz w:val="24"/>
          <w:szCs w:val="24"/>
        </w:rPr>
      </w:pPr>
      <w:r w:rsidRPr="6D5D94E1">
        <w:rPr>
          <w:rFonts w:ascii="Times New Roman" w:hAnsi="Times New Roman" w:cs="Times New Roman"/>
          <w:sz w:val="24"/>
          <w:szCs w:val="24"/>
        </w:rPr>
        <w:t xml:space="preserve">Allows the use of like materials, assemblies and details in partial and restorative repairs of facades and roofs where compliance with codes for new construction, including energy conservation for new material and insulation. (302.4) </w:t>
      </w:r>
    </w:p>
    <w:p w14:paraId="5255FC82" w14:textId="77777777" w:rsidR="00057F19" w:rsidRDefault="00057F19" w:rsidP="00092C2C">
      <w:pPr>
        <w:rPr>
          <w:szCs w:val="24"/>
        </w:rPr>
      </w:pPr>
      <w:r w:rsidRPr="6D5D94E1">
        <w:rPr>
          <w:szCs w:val="24"/>
        </w:rPr>
        <w:t xml:space="preserve">Passage of this bill will establish a comprehensive and streamlined regulatory framework for alterations to the City’s existing building stock.  </w:t>
      </w:r>
    </w:p>
    <w:p w14:paraId="47C4F96B" w14:textId="77777777" w:rsidR="00092C2C" w:rsidRPr="00092C2C" w:rsidRDefault="00092C2C" w:rsidP="00092C2C">
      <w:pPr>
        <w:rPr>
          <w:szCs w:val="24"/>
        </w:rPr>
      </w:pPr>
    </w:p>
    <w:p w14:paraId="6AA150D0" w14:textId="77777777" w:rsidR="001C74FB" w:rsidRDefault="001C74FB">
      <w:pPr>
        <w:pStyle w:val="FlushLeft"/>
      </w:pPr>
      <w:r>
        <w:t>Accordingly, the Mayor urges the earliest possible favorable consideration of this legislation.</w:t>
      </w:r>
    </w:p>
    <w:p w14:paraId="49A63EB0" w14:textId="77777777" w:rsidR="001C74FB" w:rsidRDefault="001C74FB">
      <w:pPr>
        <w:pStyle w:val="LetterClosing"/>
      </w:pPr>
      <w:r>
        <w:t>Respectfully submitted,</w:t>
      </w:r>
    </w:p>
    <w:p w14:paraId="09BFBAD6" w14:textId="77777777" w:rsidR="00AA259A" w:rsidRDefault="00861536" w:rsidP="00AA259A">
      <w:pPr>
        <w:pStyle w:val="FlushLeft"/>
        <w:spacing w:after="0"/>
      </w:pPr>
      <w:r>
        <w:tab/>
      </w:r>
      <w:r>
        <w:tab/>
      </w:r>
      <w:r>
        <w:tab/>
      </w:r>
      <w:r>
        <w:tab/>
      </w:r>
      <w:r>
        <w:tab/>
      </w:r>
      <w:r>
        <w:tab/>
      </w:r>
      <w:r>
        <w:tab/>
      </w:r>
      <w:r>
        <w:tab/>
      </w:r>
      <w:r w:rsidR="007776E4">
        <w:t>Shirley Paul</w:t>
      </w:r>
    </w:p>
    <w:p w14:paraId="1B6F4F81" w14:textId="77777777" w:rsidR="00AA259A" w:rsidRPr="00AA259A" w:rsidRDefault="00AA259A" w:rsidP="00AA259A">
      <w:pPr>
        <w:pStyle w:val="FlushLeft"/>
        <w:spacing w:after="0"/>
      </w:pPr>
      <w:r>
        <w:tab/>
      </w:r>
      <w:r>
        <w:tab/>
      </w:r>
      <w:r>
        <w:tab/>
      </w:r>
      <w:r>
        <w:tab/>
      </w:r>
      <w:r>
        <w:tab/>
      </w:r>
      <w:r>
        <w:tab/>
      </w:r>
      <w:r>
        <w:tab/>
      </w:r>
      <w:r>
        <w:tab/>
      </w:r>
      <w:r w:rsidRPr="00AA259A">
        <w:t>Legislative Representative</w:t>
      </w:r>
    </w:p>
    <w:sectPr w:rsidR="00AA259A" w:rsidRPr="00AA259A">
      <w:footerReference w:type="default" r:id="rId7"/>
      <w:footerReference w:type="first" r:id="rId8"/>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EABBE8" w14:textId="77777777" w:rsidR="00083311" w:rsidRDefault="00083311">
      <w:r>
        <w:separator/>
      </w:r>
    </w:p>
  </w:endnote>
  <w:endnote w:type="continuationSeparator" w:id="0">
    <w:p w14:paraId="775C3064" w14:textId="77777777" w:rsidR="00083311" w:rsidRDefault="00083311">
      <w:r>
        <w:continuationSeparator/>
      </w:r>
    </w:p>
  </w:endnote>
  <w:endnote w:type="continuationNotice" w:id="1">
    <w:p w14:paraId="32407242" w14:textId="77777777" w:rsidR="00083311" w:rsidRDefault="000833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1C74FB" w14:paraId="22547583" w14:textId="77777777">
      <w:trPr>
        <w:jc w:val="center"/>
      </w:trPr>
      <w:tc>
        <w:tcPr>
          <w:tcW w:w="3192" w:type="dxa"/>
          <w:vAlign w:val="center"/>
        </w:tcPr>
        <w:p w14:paraId="3316ACA9" w14:textId="452BE6DC" w:rsidR="001C74FB" w:rsidRDefault="001C74FB">
          <w:pPr>
            <w:pStyle w:val="Footer"/>
            <w:rPr>
              <w:sz w:val="16"/>
            </w:rPr>
          </w:pPr>
        </w:p>
      </w:tc>
      <w:tc>
        <w:tcPr>
          <w:tcW w:w="3192" w:type="dxa"/>
        </w:tcPr>
        <w:p w14:paraId="07EAA365" w14:textId="72E45664" w:rsidR="001C74FB" w:rsidRDefault="001C74FB">
          <w:pPr>
            <w:pStyle w:val="Footer"/>
            <w:jc w:val="center"/>
          </w:pPr>
          <w:r>
            <w:t xml:space="preserve">- </w:t>
          </w:r>
          <w:r>
            <w:rPr>
              <w:rStyle w:val="PageNumber"/>
            </w:rPr>
            <w:fldChar w:fldCharType="begin"/>
          </w:r>
          <w:r>
            <w:rPr>
              <w:rStyle w:val="PageNumber"/>
            </w:rPr>
            <w:instrText xml:space="preserve"> PAGE </w:instrText>
          </w:r>
          <w:r>
            <w:rPr>
              <w:rStyle w:val="PageNumber"/>
            </w:rPr>
            <w:fldChar w:fldCharType="separate"/>
          </w:r>
          <w:r w:rsidR="00DD03F0">
            <w:rPr>
              <w:rStyle w:val="PageNumber"/>
              <w:noProof/>
            </w:rPr>
            <w:t>4</w:t>
          </w:r>
          <w:r>
            <w:rPr>
              <w:rStyle w:val="PageNumber"/>
            </w:rPr>
            <w:fldChar w:fldCharType="end"/>
          </w:r>
          <w:r>
            <w:rPr>
              <w:rStyle w:val="PageNumber"/>
            </w:rPr>
            <w:t xml:space="preserve"> -</w:t>
          </w:r>
        </w:p>
      </w:tc>
      <w:tc>
        <w:tcPr>
          <w:tcW w:w="3192" w:type="dxa"/>
          <w:vAlign w:val="center"/>
        </w:tcPr>
        <w:p w14:paraId="4F8AFE8E" w14:textId="353CBE57" w:rsidR="001C74FB" w:rsidRDefault="001C74FB">
          <w:pPr>
            <w:pStyle w:val="Footer"/>
            <w:jc w:val="right"/>
            <w:rPr>
              <w:sz w:val="16"/>
            </w:rPr>
          </w:pPr>
        </w:p>
      </w:tc>
    </w:tr>
  </w:tbl>
  <w:p w14:paraId="1D2CF9F5" w14:textId="77777777" w:rsidR="001C74FB" w:rsidRDefault="001C74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1C74FB" w14:paraId="488189F7" w14:textId="77777777">
      <w:trPr>
        <w:jc w:val="center"/>
      </w:trPr>
      <w:tc>
        <w:tcPr>
          <w:tcW w:w="3192" w:type="dxa"/>
        </w:tcPr>
        <w:p w14:paraId="45A2E353" w14:textId="77777777" w:rsidR="001C74FB" w:rsidRDefault="001C74FB">
          <w:pPr>
            <w:pStyle w:val="Footer"/>
          </w:pPr>
        </w:p>
      </w:tc>
      <w:tc>
        <w:tcPr>
          <w:tcW w:w="3192" w:type="dxa"/>
        </w:tcPr>
        <w:p w14:paraId="14F7CEEE" w14:textId="77777777" w:rsidR="001C74FB" w:rsidRDefault="001C74FB">
          <w:pPr>
            <w:pStyle w:val="Footer"/>
            <w:jc w:val="center"/>
          </w:pPr>
        </w:p>
      </w:tc>
      <w:tc>
        <w:tcPr>
          <w:tcW w:w="3192" w:type="dxa"/>
        </w:tcPr>
        <w:p w14:paraId="01CA49E5" w14:textId="77777777" w:rsidR="001C74FB" w:rsidRDefault="001C74FB">
          <w:pPr>
            <w:pStyle w:val="Footer"/>
            <w:jc w:val="right"/>
          </w:pPr>
        </w:p>
      </w:tc>
    </w:tr>
  </w:tbl>
  <w:p w14:paraId="2C96B648" w14:textId="0F41A23E" w:rsidR="001C74FB" w:rsidRPr="00D71EB8" w:rsidRDefault="00D71EB8">
    <w:pPr>
      <w:pStyle w:val="Footer"/>
      <w:rPr>
        <w:sz w:val="20"/>
        <w:szCs w:val="16"/>
      </w:rPr>
    </w:pPr>
    <w:r>
      <w:rPr>
        <w:sz w:val="20"/>
        <w:szCs w:val="16"/>
      </w:rPr>
      <w:t>#15784506v2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98B7E8" w14:textId="77777777" w:rsidR="00083311" w:rsidRDefault="00083311">
      <w:r>
        <w:separator/>
      </w:r>
    </w:p>
  </w:footnote>
  <w:footnote w:type="continuationSeparator" w:id="0">
    <w:p w14:paraId="79AC4DBE" w14:textId="77777777" w:rsidR="00083311" w:rsidRDefault="00083311">
      <w:r>
        <w:continuationSeparator/>
      </w:r>
    </w:p>
  </w:footnote>
  <w:footnote w:type="continuationNotice" w:id="1">
    <w:p w14:paraId="4E528E71" w14:textId="77777777" w:rsidR="00083311" w:rsidRDefault="0008331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950CE"/>
    <w:multiLevelType w:val="hybridMultilevel"/>
    <w:tmpl w:val="D31C6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EF3199"/>
    <w:multiLevelType w:val="hybridMultilevel"/>
    <w:tmpl w:val="31C6E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F4601F"/>
    <w:multiLevelType w:val="hybridMultilevel"/>
    <w:tmpl w:val="B3E25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A505CF"/>
    <w:multiLevelType w:val="hybridMultilevel"/>
    <w:tmpl w:val="0E8A1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882445"/>
    <w:multiLevelType w:val="singleLevel"/>
    <w:tmpl w:val="F33AAAE6"/>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5" w15:restartNumberingAfterBreak="0">
    <w:nsid w:val="4E943911"/>
    <w:multiLevelType w:val="multilevel"/>
    <w:tmpl w:val="EE3CF62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4F441EA6"/>
    <w:multiLevelType w:val="singleLevel"/>
    <w:tmpl w:val="AFAC089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7" w15:restartNumberingAfterBreak="0">
    <w:nsid w:val="56FD67C1"/>
    <w:multiLevelType w:val="singleLevel"/>
    <w:tmpl w:val="7474031E"/>
    <w:lvl w:ilvl="0">
      <w:start w:val="1"/>
      <w:numFmt w:val="decimal"/>
      <w:pStyle w:val="DoubleSpaceParagraphwParaNum"/>
      <w:lvlText w:val="%1."/>
      <w:lvlJc w:val="left"/>
      <w:pPr>
        <w:tabs>
          <w:tab w:val="num" w:pos="1800"/>
        </w:tabs>
        <w:ind w:left="0" w:firstLine="1440"/>
      </w:pPr>
      <w:rPr>
        <w:rFonts w:ascii="Times New Roman" w:hAnsi="Times New Roman" w:hint="default"/>
        <w:b w:val="0"/>
        <w:i w:val="0"/>
        <w:sz w:val="24"/>
      </w:rPr>
    </w:lvl>
  </w:abstractNum>
  <w:abstractNum w:abstractNumId="8" w15:restartNumberingAfterBreak="0">
    <w:nsid w:val="5B2D1C83"/>
    <w:multiLevelType w:val="hybridMultilevel"/>
    <w:tmpl w:val="C6485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9F3840"/>
    <w:multiLevelType w:val="singleLevel"/>
    <w:tmpl w:val="BECE7376"/>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10" w15:restartNumberingAfterBreak="0">
    <w:nsid w:val="7C465EA7"/>
    <w:multiLevelType w:val="hybridMultilevel"/>
    <w:tmpl w:val="E7A44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6"/>
  </w:num>
  <w:num w:numId="4">
    <w:abstractNumId w:val="9"/>
  </w:num>
  <w:num w:numId="5">
    <w:abstractNumId w:val="5"/>
  </w:num>
  <w:num w:numId="6">
    <w:abstractNumId w:val="3"/>
  </w:num>
  <w:num w:numId="7">
    <w:abstractNumId w:val="8"/>
  </w:num>
  <w:num w:numId="8">
    <w:abstractNumId w:val="0"/>
  </w:num>
  <w:num w:numId="9">
    <w:abstractNumId w:val="1"/>
  </w:num>
  <w:num w:numId="10">
    <w:abstractNumId w:val="2"/>
  </w:num>
  <w:num w:numId="11">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X97_1" w:val="localmis-m02.doc"/>
    <w:docVar w:name="DOCX97_10" w:val="10/6/99 12:52:00 PM"/>
    <w:docVar w:name="DOCX97_2" w:val="j:\checked - sue only\legalcnl\localmis-m02.doc"/>
    <w:docVar w:name="DOCX97_3" w:val="WORD8"/>
    <w:docVar w:name="DOCX97_4" w:val="j:\checked - sue only\legalcnl\localmis-m02.doc"/>
    <w:docVar w:name="DOCX97_5" w:val=" 29696"/>
    <w:docVar w:name="DOCX97_89" w:val="Word8MacrosDone"/>
    <w:docVar w:name="DOCX97_91" w:val="StandardDocX"/>
    <w:docVar w:name="DOCX97_92" w:val="10/19/99"/>
    <w:docVar w:name="DOCX97_93" w:val="12:36:55 PM"/>
  </w:docVars>
  <w:rsids>
    <w:rsidRoot w:val="00102DF4"/>
    <w:rsid w:val="0001628D"/>
    <w:rsid w:val="00022A0F"/>
    <w:rsid w:val="00057F19"/>
    <w:rsid w:val="00074AD5"/>
    <w:rsid w:val="00083311"/>
    <w:rsid w:val="00092C2C"/>
    <w:rsid w:val="00102DF4"/>
    <w:rsid w:val="001252DA"/>
    <w:rsid w:val="00132D61"/>
    <w:rsid w:val="0017005B"/>
    <w:rsid w:val="00174DAA"/>
    <w:rsid w:val="001A22B8"/>
    <w:rsid w:val="001A30DC"/>
    <w:rsid w:val="001A486C"/>
    <w:rsid w:val="001A7197"/>
    <w:rsid w:val="001C74FB"/>
    <w:rsid w:val="002351E9"/>
    <w:rsid w:val="00242579"/>
    <w:rsid w:val="0026071F"/>
    <w:rsid w:val="00322B63"/>
    <w:rsid w:val="003A56ED"/>
    <w:rsid w:val="003C06BD"/>
    <w:rsid w:val="00442E93"/>
    <w:rsid w:val="00481A61"/>
    <w:rsid w:val="004E6B2D"/>
    <w:rsid w:val="004F2D50"/>
    <w:rsid w:val="00595BA1"/>
    <w:rsid w:val="005A5FB3"/>
    <w:rsid w:val="005C5E88"/>
    <w:rsid w:val="00632BF2"/>
    <w:rsid w:val="006440E0"/>
    <w:rsid w:val="00666A50"/>
    <w:rsid w:val="00697CF8"/>
    <w:rsid w:val="006D0AA4"/>
    <w:rsid w:val="006F360B"/>
    <w:rsid w:val="00701512"/>
    <w:rsid w:val="0072053D"/>
    <w:rsid w:val="0073041C"/>
    <w:rsid w:val="007658CB"/>
    <w:rsid w:val="00775242"/>
    <w:rsid w:val="007776E4"/>
    <w:rsid w:val="007B3A4B"/>
    <w:rsid w:val="007C492D"/>
    <w:rsid w:val="007D3FB3"/>
    <w:rsid w:val="008035E0"/>
    <w:rsid w:val="00820BBD"/>
    <w:rsid w:val="00861536"/>
    <w:rsid w:val="00862832"/>
    <w:rsid w:val="00881E7F"/>
    <w:rsid w:val="00881FB2"/>
    <w:rsid w:val="008A6172"/>
    <w:rsid w:val="008B386D"/>
    <w:rsid w:val="008D4FE8"/>
    <w:rsid w:val="00960F84"/>
    <w:rsid w:val="00A82864"/>
    <w:rsid w:val="00A84798"/>
    <w:rsid w:val="00AA259A"/>
    <w:rsid w:val="00AD4D26"/>
    <w:rsid w:val="00B00381"/>
    <w:rsid w:val="00B647FC"/>
    <w:rsid w:val="00BA6867"/>
    <w:rsid w:val="00C259C0"/>
    <w:rsid w:val="00C3102B"/>
    <w:rsid w:val="00CA3DEC"/>
    <w:rsid w:val="00CD3944"/>
    <w:rsid w:val="00D16BB7"/>
    <w:rsid w:val="00D26EF8"/>
    <w:rsid w:val="00D31978"/>
    <w:rsid w:val="00D340C3"/>
    <w:rsid w:val="00D65627"/>
    <w:rsid w:val="00D71EB8"/>
    <w:rsid w:val="00DD03F0"/>
    <w:rsid w:val="00DD50FD"/>
    <w:rsid w:val="00E172AB"/>
    <w:rsid w:val="00E33567"/>
    <w:rsid w:val="00E53217"/>
    <w:rsid w:val="00E60E10"/>
    <w:rsid w:val="00E936BC"/>
    <w:rsid w:val="00EB4CBB"/>
    <w:rsid w:val="00F4742C"/>
    <w:rsid w:val="00F50DEC"/>
    <w:rsid w:val="00F61F70"/>
    <w:rsid w:val="00F76285"/>
    <w:rsid w:val="00F84BA5"/>
    <w:rsid w:val="00FF7C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8C9590"/>
  <w15:docId w15:val="{75E2E849-5217-4338-8E71-DE33A3323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qFormat/>
    <w:pPr>
      <w:keepNext/>
      <w:suppressAutoHyphens/>
      <w:spacing w:after="240"/>
      <w:outlineLvl w:val="0"/>
    </w:pPr>
    <w:rPr>
      <w:snapToGrid w:val="0"/>
    </w:rPr>
  </w:style>
  <w:style w:type="paragraph" w:styleId="Heading2">
    <w:name w:val="heading 2"/>
    <w:basedOn w:val="Normal"/>
    <w:qFormat/>
    <w:pPr>
      <w:suppressAutoHyphens/>
      <w:spacing w:after="240"/>
      <w:outlineLvl w:val="1"/>
    </w:pPr>
    <w:rPr>
      <w:snapToGrid w:val="0"/>
    </w:rPr>
  </w:style>
  <w:style w:type="paragraph" w:styleId="Heading3">
    <w:name w:val="heading 3"/>
    <w:basedOn w:val="Normal"/>
    <w:qFormat/>
    <w:pPr>
      <w:suppressAutoHyphens/>
      <w:spacing w:after="240"/>
      <w:outlineLvl w:val="2"/>
    </w:pPr>
    <w:rPr>
      <w:snapToGrid w:val="0"/>
    </w:rPr>
  </w:style>
  <w:style w:type="paragraph" w:styleId="Heading4">
    <w:name w:val="heading 4"/>
    <w:basedOn w:val="Normal"/>
    <w:qFormat/>
    <w:pPr>
      <w:tabs>
        <w:tab w:val="left" w:pos="1440"/>
      </w:tabs>
      <w:suppressAutoHyphens/>
      <w:spacing w:after="240"/>
      <w:outlineLvl w:val="3"/>
    </w:pPr>
    <w:rPr>
      <w:snapToGrid w:val="0"/>
    </w:rPr>
  </w:style>
  <w:style w:type="paragraph" w:styleId="Heading5">
    <w:name w:val="heading 5"/>
    <w:basedOn w:val="Normal"/>
    <w:qFormat/>
    <w:pPr>
      <w:suppressAutoHyphens/>
      <w:spacing w:after="240"/>
      <w:outlineLvl w:val="4"/>
    </w:pPr>
    <w:rPr>
      <w:snapToGrid w:val="0"/>
    </w:rPr>
  </w:style>
  <w:style w:type="paragraph" w:styleId="Heading6">
    <w:name w:val="heading 6"/>
    <w:basedOn w:val="Normal"/>
    <w:qFormat/>
    <w:pPr>
      <w:suppressAutoHyphens/>
      <w:spacing w:after="240"/>
      <w:outlineLvl w:val="5"/>
    </w:pPr>
    <w:rPr>
      <w:snapToGrid w:val="0"/>
    </w:rPr>
  </w:style>
  <w:style w:type="paragraph" w:styleId="Heading7">
    <w:name w:val="heading 7"/>
    <w:basedOn w:val="Normal"/>
    <w:qFormat/>
    <w:pPr>
      <w:suppressAutoHyphens/>
      <w:spacing w:after="240"/>
      <w:outlineLvl w:val="6"/>
    </w:pPr>
    <w:rPr>
      <w:snapToGrid w:val="0"/>
    </w:rPr>
  </w:style>
  <w:style w:type="paragraph" w:styleId="Heading8">
    <w:name w:val="heading 8"/>
    <w:basedOn w:val="Normal"/>
    <w:qFormat/>
    <w:pPr>
      <w:suppressAutoHyphens/>
      <w:spacing w:after="240"/>
      <w:outlineLvl w:val="7"/>
    </w:pPr>
    <w:rPr>
      <w:snapToGrid w:val="0"/>
    </w:rPr>
  </w:style>
  <w:style w:type="paragraph" w:styleId="Heading9">
    <w:name w:val="heading 9"/>
    <w:basedOn w:val="Normal"/>
    <w:qFormat/>
    <w:pPr>
      <w:suppressAutoHyphens/>
      <w:spacing w:after="240"/>
      <w:outlineLvl w:val="8"/>
    </w:pPr>
    <w:rPr>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Left">
    <w:name w:val="Block Left"/>
    <w:aliases w:val="BL"/>
    <w:basedOn w:val="Normal"/>
    <w:next w:val="Normal"/>
    <w:pPr>
      <w:suppressAutoHyphens/>
      <w:spacing w:after="480"/>
    </w:pPr>
  </w:style>
  <w:style w:type="paragraph" w:customStyle="1" w:styleId="BlockNarrowUnderline">
    <w:name w:val="Block Narrow Underline"/>
    <w:aliases w:val="BNU"/>
    <w:basedOn w:val="Normal"/>
    <w:next w:val="Normal"/>
    <w:pPr>
      <w:pBdr>
        <w:bottom w:val="single" w:sz="4" w:space="1" w:color="auto"/>
      </w:pBdr>
      <w:suppressAutoHyphens/>
      <w:spacing w:after="240"/>
      <w:ind w:left="2160" w:right="2160"/>
      <w:jc w:val="both"/>
      <w:outlineLvl w:val="2"/>
    </w:pPr>
    <w:rPr>
      <w:b/>
      <w:caps/>
    </w:rPr>
  </w:style>
  <w:style w:type="paragraph" w:customStyle="1" w:styleId="BlockNarrow">
    <w:name w:val="Block Narrow"/>
    <w:aliases w:val="BN"/>
    <w:basedOn w:val="Normal"/>
    <w:next w:val="Normal"/>
    <w:pPr>
      <w:suppressAutoHyphens/>
      <w:spacing w:after="240"/>
      <w:ind w:left="2160" w:right="2160"/>
      <w:jc w:val="both"/>
      <w:outlineLvl w:val="2"/>
    </w:pPr>
  </w:style>
  <w:style w:type="paragraph" w:customStyle="1" w:styleId="BlockWideUnderline">
    <w:name w:val="Block Wide Underline"/>
    <w:aliases w:val="BWU"/>
    <w:basedOn w:val="Normal"/>
    <w:next w:val="Normal"/>
    <w:pPr>
      <w:pBdr>
        <w:bottom w:val="single" w:sz="4" w:space="1" w:color="auto"/>
      </w:pBdr>
      <w:suppressAutoHyphens/>
      <w:spacing w:after="240"/>
      <w:ind w:left="1440" w:right="1440"/>
      <w:jc w:val="both"/>
      <w:outlineLvl w:val="2"/>
    </w:pPr>
  </w:style>
  <w:style w:type="paragraph" w:customStyle="1" w:styleId="BlockWide">
    <w:name w:val="Block Wide"/>
    <w:aliases w:val="BW"/>
    <w:basedOn w:val="Normal"/>
    <w:next w:val="Normal"/>
    <w:pPr>
      <w:suppressAutoHyphens/>
      <w:spacing w:after="240"/>
      <w:ind w:left="1440" w:right="1440"/>
      <w:jc w:val="both"/>
    </w:pPr>
  </w:style>
  <w:style w:type="paragraph" w:styleId="BodyText">
    <w:name w:val="Body Text"/>
    <w:basedOn w:val="Normal"/>
    <w:pPr>
      <w:spacing w:after="120"/>
    </w:pPr>
  </w:style>
  <w:style w:type="paragraph" w:customStyle="1" w:styleId="By">
    <w:name w:val="By"/>
    <w:basedOn w:val="Normal"/>
    <w:next w:val="Normal"/>
    <w:pPr>
      <w:suppressAutoHyphens/>
      <w:ind w:left="4320"/>
    </w:pPr>
  </w:style>
  <w:style w:type="paragraph" w:customStyle="1" w:styleId="ByLine">
    <w:name w:val="By Line"/>
    <w:aliases w:val="ByL"/>
    <w:basedOn w:val="Normal"/>
    <w:next w:val="Normal"/>
    <w:pPr>
      <w:pBdr>
        <w:top w:val="single" w:sz="4" w:space="1" w:color="auto"/>
      </w:pBdr>
      <w:suppressAutoHyphens/>
      <w:spacing w:after="720"/>
      <w:ind w:left="5040"/>
    </w:pPr>
  </w:style>
  <w:style w:type="paragraph" w:customStyle="1" w:styleId="CaptionAgainst">
    <w:name w:val="Caption Against"/>
    <w:aliases w:val="CA"/>
    <w:basedOn w:val="Normal"/>
    <w:next w:val="Normal"/>
    <w:pPr>
      <w:suppressAutoHyphens/>
      <w:spacing w:after="240"/>
      <w:jc w:val="center"/>
    </w:pPr>
  </w:style>
  <w:style w:type="paragraph" w:customStyle="1" w:styleId="CaptionBottomLine">
    <w:name w:val="Caption Bottom Line"/>
    <w:aliases w:val="CBL"/>
    <w:basedOn w:val="Normal"/>
    <w:next w:val="Normal"/>
    <w:pPr>
      <w:suppressAutoHyphens/>
      <w:spacing w:after="480"/>
    </w:pPr>
  </w:style>
  <w:style w:type="paragraph" w:customStyle="1" w:styleId="CaptionDocument">
    <w:name w:val="Caption Document"/>
    <w:aliases w:val="CD"/>
    <w:basedOn w:val="Normal"/>
    <w:next w:val="Normal"/>
    <w:pPr>
      <w:pBdr>
        <w:bottom w:val="single" w:sz="4" w:space="1" w:color="auto"/>
      </w:pBdr>
      <w:suppressAutoHyphens/>
      <w:spacing w:before="720" w:after="240"/>
    </w:pPr>
    <w:rPr>
      <w:rFonts w:ascii="Times New Roman Bold" w:hAnsi="Times New Roman Bold"/>
      <w:b/>
      <w:caps/>
    </w:rPr>
  </w:style>
  <w:style w:type="paragraph" w:customStyle="1" w:styleId="CaptionHeading">
    <w:name w:val="Caption Heading"/>
    <w:aliases w:val="CH"/>
    <w:basedOn w:val="Normal"/>
    <w:next w:val="Normal"/>
    <w:pPr>
      <w:suppressAutoHyphens/>
    </w:pPr>
    <w:rPr>
      <w:caps/>
    </w:rPr>
  </w:style>
  <w:style w:type="paragraph" w:customStyle="1" w:styleId="CaptionID">
    <w:name w:val="Caption ID"/>
    <w:aliases w:val="CI"/>
    <w:basedOn w:val="Normal"/>
    <w:pPr>
      <w:suppressAutoHyphens/>
      <w:spacing w:after="240"/>
    </w:pPr>
  </w:style>
  <w:style w:type="paragraph" w:customStyle="1" w:styleId="CaptionTextRight">
    <w:name w:val="Caption Text Right"/>
    <w:aliases w:val="CTR"/>
    <w:basedOn w:val="Normal"/>
    <w:next w:val="CaptionAgainst"/>
    <w:pPr>
      <w:suppressAutoHyphens/>
      <w:spacing w:after="240"/>
      <w:ind w:right="720"/>
      <w:jc w:val="right"/>
    </w:pPr>
  </w:style>
  <w:style w:type="paragraph" w:customStyle="1" w:styleId="CaptionText">
    <w:name w:val="Caption Text"/>
    <w:aliases w:val="CT"/>
    <w:basedOn w:val="Normal"/>
    <w:next w:val="CaptionTextRight"/>
    <w:pPr>
      <w:suppressAutoHyphens/>
      <w:spacing w:after="240"/>
    </w:pPr>
  </w:style>
  <w:style w:type="paragraph" w:customStyle="1" w:styleId="CaptionTopLine">
    <w:name w:val="Caption Top Line"/>
    <w:aliases w:val="CTL"/>
    <w:basedOn w:val="Normal"/>
    <w:next w:val="CaptionText"/>
    <w:pPr>
      <w:suppressAutoHyphens/>
      <w:spacing w:after="240"/>
    </w:pPr>
  </w:style>
  <w:style w:type="paragraph" w:styleId="Closing">
    <w:name w:val="Closing"/>
    <w:aliases w:val="C"/>
    <w:basedOn w:val="Normal"/>
    <w:next w:val="By"/>
    <w:pPr>
      <w:suppressAutoHyphens/>
      <w:spacing w:after="480"/>
      <w:ind w:left="4320"/>
    </w:pPr>
  </w:style>
  <w:style w:type="paragraph" w:customStyle="1" w:styleId="CourtesyCopy">
    <w:name w:val="Courtesy Copy"/>
    <w:aliases w:val="cc"/>
    <w:basedOn w:val="Normal"/>
    <w:pPr>
      <w:suppressAutoHyphens/>
      <w:ind w:left="720" w:hanging="720"/>
    </w:pPr>
  </w:style>
  <w:style w:type="paragraph" w:customStyle="1" w:styleId="Dated">
    <w:name w:val="Dated"/>
    <w:aliases w:val="D"/>
    <w:basedOn w:val="Normal"/>
    <w:next w:val="Closing"/>
    <w:pPr>
      <w:suppressAutoHyphens/>
      <w:spacing w:after="480"/>
      <w:ind w:left="1440" w:hanging="1440"/>
    </w:pPr>
  </w:style>
  <w:style w:type="paragraph" w:customStyle="1" w:styleId="DocX97Comment">
    <w:name w:val="DocX97Comment"/>
    <w:basedOn w:val="Normal"/>
    <w:rPr>
      <w:b/>
      <w:i/>
      <w:color w:val="FF0000"/>
      <w:sz w:val="16"/>
    </w:rPr>
  </w:style>
  <w:style w:type="paragraph" w:customStyle="1" w:styleId="DoubleSpaceParagaph">
    <w:name w:val="Double Space Paragaph"/>
    <w:aliases w:val="DS"/>
    <w:basedOn w:val="Normal"/>
    <w:pPr>
      <w:suppressAutoHyphens/>
      <w:spacing w:line="480" w:lineRule="auto"/>
      <w:ind w:firstLine="1440"/>
      <w:jc w:val="both"/>
    </w:pPr>
  </w:style>
  <w:style w:type="paragraph" w:customStyle="1" w:styleId="DoubleSpaceParagraphwParaNum">
    <w:name w:val="Double Space Paragraph w/Para Num"/>
    <w:aliases w:val="DSN"/>
    <w:basedOn w:val="Normal"/>
    <w:pPr>
      <w:numPr>
        <w:numId w:val="1"/>
      </w:numPr>
      <w:tabs>
        <w:tab w:val="clear" w:pos="1800"/>
      </w:tabs>
      <w:suppressAutoHyphens/>
      <w:spacing w:line="480" w:lineRule="auto"/>
      <w:jc w:val="both"/>
    </w:pPr>
  </w:style>
  <w:style w:type="paragraph" w:customStyle="1" w:styleId="EndnoteTextMore">
    <w:name w:val="Endnote TextMore"/>
    <w:basedOn w:val="Normal"/>
    <w:pPr>
      <w:spacing w:after="240"/>
    </w:pPr>
  </w:style>
  <w:style w:type="paragraph" w:customStyle="1" w:styleId="FlushLeftDoublewParaNum">
    <w:name w:val="Flush Left Double w/Para Num"/>
    <w:aliases w:val="FLDN"/>
    <w:basedOn w:val="Normal"/>
    <w:pPr>
      <w:numPr>
        <w:numId w:val="2"/>
      </w:numPr>
      <w:tabs>
        <w:tab w:val="clear" w:pos="360"/>
      </w:tabs>
      <w:suppressAutoHyphens/>
      <w:spacing w:line="480" w:lineRule="auto"/>
      <w:jc w:val="both"/>
    </w:pPr>
  </w:style>
  <w:style w:type="paragraph" w:customStyle="1" w:styleId="FlushLeftDouble">
    <w:name w:val="Flush Left Double"/>
    <w:aliases w:val="FLD"/>
    <w:basedOn w:val="Normal"/>
    <w:pPr>
      <w:suppressAutoHyphens/>
      <w:spacing w:line="480" w:lineRule="auto"/>
      <w:jc w:val="both"/>
    </w:pPr>
  </w:style>
  <w:style w:type="paragraph" w:customStyle="1" w:styleId="FlushLeftwParaNum">
    <w:name w:val="Flush Left w/Para Num"/>
    <w:aliases w:val="FLN"/>
    <w:basedOn w:val="Normal"/>
    <w:pPr>
      <w:numPr>
        <w:numId w:val="3"/>
      </w:numPr>
      <w:tabs>
        <w:tab w:val="clear" w:pos="360"/>
      </w:tabs>
      <w:suppressAutoHyphens/>
      <w:spacing w:after="240"/>
      <w:jc w:val="both"/>
    </w:pPr>
  </w:style>
  <w:style w:type="paragraph" w:customStyle="1" w:styleId="FlushLeft">
    <w:name w:val="Flush Left"/>
    <w:aliases w:val="FL"/>
    <w:basedOn w:val="Normal"/>
    <w:pPr>
      <w:suppressAutoHyphens/>
      <w:spacing w:after="240"/>
      <w:jc w:val="both"/>
    </w:pPr>
  </w:style>
  <w:style w:type="paragraph" w:styleId="FootnoteText">
    <w:name w:val="footnote text"/>
    <w:aliases w:val="FT"/>
    <w:basedOn w:val="Normal"/>
    <w:semiHidden/>
    <w:pPr>
      <w:suppressAutoHyphens/>
      <w:spacing w:after="240"/>
      <w:ind w:firstLine="360"/>
      <w:jc w:val="both"/>
    </w:pPr>
  </w:style>
  <w:style w:type="paragraph" w:customStyle="1" w:styleId="FootnoteTextMore">
    <w:name w:val="Footnote TextMore"/>
    <w:basedOn w:val="FootnoteText"/>
    <w:pPr>
      <w:suppressAutoHyphens w:val="0"/>
      <w:ind w:firstLine="0"/>
      <w:jc w:val="left"/>
    </w:pPr>
  </w:style>
  <w:style w:type="paragraph" w:customStyle="1" w:styleId="HeadingBold">
    <w:name w:val="Heading Bold"/>
    <w:aliases w:val="HCB"/>
    <w:basedOn w:val="Normal"/>
    <w:next w:val="Normal"/>
    <w:pPr>
      <w:keepNext/>
      <w:suppressAutoHyphens/>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pPr>
      <w:keepNext/>
      <w:suppressAutoHyphens/>
      <w:spacing w:after="240"/>
      <w:jc w:val="center"/>
      <w:outlineLvl w:val="0"/>
    </w:pPr>
    <w:rPr>
      <w:rFonts w:ascii="Times New Roman Bold" w:hAnsi="Times New Roman Bold"/>
      <w:b/>
      <w:caps/>
    </w:rPr>
  </w:style>
  <w:style w:type="paragraph" w:customStyle="1" w:styleId="HeadingCenter">
    <w:name w:val="Heading Center"/>
    <w:aliases w:val="HC"/>
    <w:basedOn w:val="Normal"/>
    <w:next w:val="Normal"/>
    <w:pPr>
      <w:keepNext/>
      <w:suppressAutoHyphens/>
      <w:spacing w:after="240"/>
      <w:jc w:val="center"/>
      <w:outlineLvl w:val="0"/>
    </w:pPr>
  </w:style>
  <w:style w:type="paragraph" w:customStyle="1" w:styleId="HeadingPoint">
    <w:name w:val="Heading Point"/>
    <w:aliases w:val="HP"/>
    <w:basedOn w:val="Normal"/>
    <w:next w:val="BlockNarrowUnderline"/>
    <w:pPr>
      <w:keepNext/>
      <w:suppressAutoHyphens/>
      <w:spacing w:after="24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pPr>
      <w:keepNext/>
      <w:suppressAutoHyphens/>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pPr>
      <w:suppressAutoHyphens/>
      <w:spacing w:after="240"/>
    </w:pPr>
    <w:rPr>
      <w:b/>
      <w:caps/>
      <w:u w:val="single"/>
    </w:rPr>
  </w:style>
  <w:style w:type="paragraph" w:customStyle="1" w:styleId="Interrogatory">
    <w:name w:val="Interrogatory"/>
    <w:aliases w:val="I"/>
    <w:basedOn w:val="Normal"/>
    <w:next w:val="Normal"/>
    <w:pPr>
      <w:suppressAutoHyphens/>
      <w:spacing w:after="240"/>
    </w:pPr>
    <w:rPr>
      <w:b/>
      <w:caps/>
      <w:u w:val="single"/>
    </w:rPr>
  </w:style>
  <w:style w:type="paragraph" w:customStyle="1" w:styleId="LetterAddress">
    <w:name w:val="Letter Address"/>
    <w:aliases w:val="LA"/>
    <w:basedOn w:val="Normal"/>
    <w:next w:val="Normal"/>
    <w:pPr>
      <w:suppressAutoHyphens/>
      <w:spacing w:after="480"/>
    </w:pPr>
  </w:style>
  <w:style w:type="paragraph" w:customStyle="1" w:styleId="LetterAuthor">
    <w:name w:val="Letter Author"/>
    <w:aliases w:val="LAu"/>
    <w:basedOn w:val="Normal"/>
    <w:next w:val="CourtesyCopy"/>
    <w:pPr>
      <w:suppressAutoHyphens/>
      <w:spacing w:after="480"/>
      <w:ind w:left="5760"/>
    </w:pPr>
  </w:style>
  <w:style w:type="paragraph" w:customStyle="1" w:styleId="LetterClosing">
    <w:name w:val="Letter Closing"/>
    <w:aliases w:val="LC"/>
    <w:basedOn w:val="Normal"/>
    <w:next w:val="LetterAuthor"/>
    <w:pPr>
      <w:suppressAutoHyphens/>
      <w:spacing w:before="240" w:after="720"/>
      <w:ind w:left="5760"/>
    </w:pPr>
  </w:style>
  <w:style w:type="paragraph" w:customStyle="1" w:styleId="LetterDate">
    <w:name w:val="Letter Date"/>
    <w:aliases w:val="LD"/>
    <w:basedOn w:val="Normal"/>
    <w:next w:val="LetterAddress"/>
    <w:pPr>
      <w:suppressAutoHyphens/>
      <w:spacing w:after="720"/>
      <w:ind w:left="5760"/>
    </w:pPr>
  </w:style>
  <w:style w:type="paragraph" w:customStyle="1" w:styleId="LetterRe">
    <w:name w:val="Letter Re"/>
    <w:aliases w:val="LRe"/>
    <w:basedOn w:val="Normal"/>
    <w:next w:val="Normal"/>
    <w:pPr>
      <w:tabs>
        <w:tab w:val="left" w:pos="1944"/>
      </w:tabs>
      <w:suppressAutoHyphens/>
      <w:spacing w:after="480"/>
      <w:ind w:left="1944" w:hanging="504"/>
    </w:pPr>
  </w:style>
  <w:style w:type="paragraph" w:customStyle="1" w:styleId="LetterSalutation">
    <w:name w:val="Letter Salutation"/>
    <w:aliases w:val="LS"/>
    <w:basedOn w:val="Normal"/>
    <w:next w:val="Normal"/>
    <w:pPr>
      <w:suppressAutoHyphens/>
      <w:spacing w:after="480"/>
    </w:pPr>
  </w:style>
  <w:style w:type="paragraph" w:customStyle="1" w:styleId="LetterTelephone">
    <w:name w:val="Letter Telephone"/>
    <w:aliases w:val="LT"/>
    <w:basedOn w:val="Normal"/>
    <w:next w:val="LetterDate"/>
    <w:pPr>
      <w:suppressAutoHyphens/>
      <w:spacing w:after="480"/>
      <w:jc w:val="right"/>
    </w:pPr>
    <w:rPr>
      <w:sz w:val="20"/>
    </w:rPr>
  </w:style>
  <w:style w:type="paragraph" w:customStyle="1" w:styleId="LocalLawBlock">
    <w:name w:val="Local Law Block"/>
    <w:aliases w:val="LLB"/>
    <w:basedOn w:val="Normal"/>
    <w:next w:val="FlushLeftDouble"/>
    <w:pPr>
      <w:tabs>
        <w:tab w:val="left" w:pos="2160"/>
      </w:tabs>
      <w:suppressAutoHyphens/>
      <w:spacing w:after="480"/>
      <w:ind w:left="2160" w:right="1008" w:hanging="2160"/>
      <w:jc w:val="both"/>
    </w:pPr>
  </w:style>
  <w:style w:type="paragraph" w:customStyle="1" w:styleId="LocalLawTitle">
    <w:name w:val="Local Law Title"/>
    <w:aliases w:val="LLT"/>
    <w:basedOn w:val="Normal"/>
    <w:next w:val="LocalLawBlock"/>
    <w:pPr>
      <w:keepNext/>
      <w:suppressAutoHyphens/>
      <w:spacing w:after="480"/>
      <w:jc w:val="right"/>
    </w:pPr>
    <w:rPr>
      <w:rFonts w:ascii="Times New Roman Bold" w:hAnsi="Times New Roman Bold"/>
      <w:b/>
      <w:caps/>
    </w:rPr>
  </w:style>
  <w:style w:type="paragraph" w:customStyle="1" w:styleId="MemoAuthor">
    <w:name w:val="Memo Author"/>
    <w:aliases w:val="MAu"/>
    <w:basedOn w:val="Normal"/>
    <w:next w:val="Normal"/>
    <w:pPr>
      <w:suppressAutoHyphens/>
      <w:spacing w:after="240"/>
    </w:pPr>
  </w:style>
  <w:style w:type="paragraph" w:customStyle="1" w:styleId="MemoDate">
    <w:name w:val="Memo Date"/>
    <w:aliases w:val="MD"/>
    <w:basedOn w:val="Normal"/>
    <w:next w:val="Normal"/>
    <w:pPr>
      <w:suppressAutoHyphens/>
      <w:spacing w:after="240"/>
    </w:pPr>
    <w:rPr>
      <w:caps/>
    </w:rPr>
  </w:style>
  <w:style w:type="paragraph" w:customStyle="1" w:styleId="MemoLine">
    <w:name w:val="Memo Line"/>
    <w:aliases w:val="ML"/>
    <w:basedOn w:val="Normal"/>
    <w:next w:val="DoubleSpaceParagaph"/>
    <w:pPr>
      <w:suppressAutoHyphens/>
      <w:spacing w:after="120"/>
    </w:pPr>
  </w:style>
  <w:style w:type="paragraph" w:customStyle="1" w:styleId="MemoSubject">
    <w:name w:val="Memo Subject"/>
    <w:aliases w:val="MS"/>
    <w:basedOn w:val="Normal"/>
    <w:next w:val="MemoLine"/>
    <w:pPr>
      <w:suppressAutoHyphens/>
      <w:spacing w:after="480"/>
    </w:pPr>
    <w:rPr>
      <w:caps/>
    </w:rPr>
  </w:style>
  <w:style w:type="paragraph" w:customStyle="1" w:styleId="MemoTo">
    <w:name w:val="Memo To"/>
    <w:aliases w:val="MT"/>
    <w:basedOn w:val="Normal"/>
    <w:next w:val="MemoAuthor"/>
    <w:pPr>
      <w:suppressAutoHyphens/>
      <w:spacing w:before="480" w:after="240"/>
    </w:pPr>
  </w:style>
  <w:style w:type="character" w:customStyle="1" w:styleId="ParaNum">
    <w:name w:val="ParaNum"/>
    <w:basedOn w:val="DefaultParagraphFont"/>
  </w:style>
  <w:style w:type="paragraph" w:customStyle="1" w:styleId="SignatureBlock">
    <w:name w:val="Signature Block"/>
    <w:aliases w:val="SB"/>
    <w:basedOn w:val="Normal"/>
    <w:next w:val="BodyText"/>
    <w:pPr>
      <w:pBdr>
        <w:top w:val="single" w:sz="4" w:space="1" w:color="auto"/>
      </w:pBdr>
      <w:suppressAutoHyphens/>
      <w:spacing w:after="720"/>
      <w:ind w:left="5040"/>
    </w:pPr>
    <w:rPr>
      <w:caps/>
    </w:rPr>
  </w:style>
  <w:style w:type="paragraph" w:customStyle="1" w:styleId="SignatureLeft">
    <w:name w:val="Signature Left"/>
    <w:aliases w:val="SL"/>
    <w:basedOn w:val="Normal"/>
    <w:next w:val="Normal"/>
    <w:pPr>
      <w:pBdr>
        <w:top w:val="single" w:sz="4" w:space="1" w:color="auto"/>
      </w:pBdr>
      <w:suppressAutoHyphens/>
      <w:spacing w:after="240"/>
      <w:ind w:right="5760"/>
    </w:pPr>
  </w:style>
  <w:style w:type="paragraph" w:customStyle="1" w:styleId="SingleSpaceParagraphwParaNum">
    <w:name w:val="Single Space Paragraph w/Para Num"/>
    <w:aliases w:val="SSN"/>
    <w:basedOn w:val="Normal"/>
    <w:pPr>
      <w:numPr>
        <w:numId w:val="4"/>
      </w:numPr>
      <w:tabs>
        <w:tab w:val="clear" w:pos="1800"/>
      </w:tabs>
      <w:suppressAutoHyphens/>
      <w:spacing w:after="240"/>
      <w:jc w:val="both"/>
    </w:pPr>
  </w:style>
  <w:style w:type="paragraph" w:customStyle="1" w:styleId="SingleSpaceParagraph">
    <w:name w:val="Single Space Paragraph"/>
    <w:aliases w:val="SS"/>
    <w:basedOn w:val="Normal"/>
    <w:pPr>
      <w:suppressAutoHyphens/>
      <w:spacing w:after="240"/>
      <w:ind w:firstLine="1440"/>
      <w:jc w:val="both"/>
    </w:pPr>
  </w:style>
  <w:style w:type="paragraph" w:customStyle="1" w:styleId="SSBlock">
    <w:name w:val="SS Block"/>
    <w:aliases w:val="SSB"/>
    <w:basedOn w:val="Normal"/>
    <w:next w:val="DoubleSpaceParagaph"/>
    <w:pPr>
      <w:tabs>
        <w:tab w:val="left" w:pos="3168"/>
        <w:tab w:val="left" w:pos="3600"/>
      </w:tabs>
      <w:suppressAutoHyphens/>
      <w:spacing w:before="240" w:after="480"/>
    </w:pPr>
    <w:rPr>
      <w:caps/>
    </w:rPr>
  </w:style>
  <w:style w:type="paragraph" w:customStyle="1" w:styleId="SubHeading">
    <w:name w:val="Sub Heading"/>
    <w:aliases w:val="SH"/>
    <w:basedOn w:val="Normal"/>
    <w:next w:val="DoubleSpaceParagaph"/>
    <w:pPr>
      <w:numPr>
        <w:ilvl w:val="3"/>
        <w:numId w:val="5"/>
      </w:numPr>
      <w:tabs>
        <w:tab w:val="left" w:pos="720"/>
        <w:tab w:val="right" w:pos="9360"/>
      </w:tabs>
      <w:suppressAutoHyphens/>
      <w:spacing w:after="240"/>
      <w:jc w:val="both"/>
      <w:outlineLvl w:val="3"/>
    </w:pPr>
    <w:rPr>
      <w:rFonts w:ascii="Times New Roman Bold" w:hAnsi="Times New Roman Bold"/>
      <w:b/>
    </w:rPr>
  </w:style>
  <w:style w:type="paragraph" w:styleId="TOC1">
    <w:name w:val="toc 1"/>
    <w:basedOn w:val="Normal"/>
    <w:autoRedefine/>
    <w:semiHidden/>
    <w:pPr>
      <w:suppressAutoHyphens/>
      <w:spacing w:after="240"/>
    </w:pPr>
    <w:rPr>
      <w:caps/>
    </w:rPr>
  </w:style>
  <w:style w:type="paragraph" w:styleId="TOC2">
    <w:name w:val="toc 2"/>
    <w:basedOn w:val="Normal"/>
    <w:next w:val="TOC3"/>
    <w:autoRedefine/>
    <w:semiHidden/>
    <w:pPr>
      <w:suppressAutoHyphens/>
      <w:spacing w:after="240"/>
      <w:ind w:left="1440"/>
    </w:pPr>
    <w:rPr>
      <w:caps/>
    </w:rPr>
  </w:style>
  <w:style w:type="paragraph" w:styleId="TOC3">
    <w:name w:val="toc 3"/>
    <w:basedOn w:val="Normal"/>
    <w:next w:val="TOC2"/>
    <w:autoRedefine/>
    <w:semiHidden/>
    <w:pPr>
      <w:suppressAutoHyphens/>
      <w:spacing w:after="240"/>
      <w:ind w:left="2160" w:right="2160"/>
    </w:pPr>
  </w:style>
  <w:style w:type="paragraph" w:styleId="TOC4">
    <w:name w:val="toc 4"/>
    <w:basedOn w:val="Normal"/>
    <w:autoRedefine/>
    <w:semiHidden/>
    <w:pPr>
      <w:suppressAutoHyphens/>
      <w:spacing w:after="240"/>
      <w:ind w:left="2592" w:right="2160" w:hanging="432"/>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ommentText">
    <w:name w:val="annotation text"/>
    <w:basedOn w:val="Normal"/>
    <w:link w:val="CommentTextChar"/>
    <w:rsid w:val="00BA6867"/>
    <w:rPr>
      <w:sz w:val="20"/>
    </w:rPr>
  </w:style>
  <w:style w:type="character" w:customStyle="1" w:styleId="CommentTextChar">
    <w:name w:val="Comment Text Char"/>
    <w:basedOn w:val="DefaultParagraphFont"/>
    <w:link w:val="CommentText"/>
    <w:rsid w:val="00BA6867"/>
  </w:style>
  <w:style w:type="paragraph" w:styleId="CommentSubject">
    <w:name w:val="annotation subject"/>
    <w:basedOn w:val="CommentText"/>
    <w:next w:val="CommentText"/>
    <w:link w:val="CommentSubjectChar"/>
    <w:uiPriority w:val="99"/>
    <w:unhideWhenUsed/>
    <w:rsid w:val="00BA6867"/>
    <w:pPr>
      <w:spacing w:after="160"/>
    </w:pPr>
    <w:rPr>
      <w:rFonts w:ascii="Calibri" w:eastAsia="Calibri" w:hAnsi="Calibri" w:cs="Arial"/>
      <w:b/>
      <w:bCs/>
    </w:rPr>
  </w:style>
  <w:style w:type="character" w:customStyle="1" w:styleId="CommentSubjectChar">
    <w:name w:val="Comment Subject Char"/>
    <w:link w:val="CommentSubject"/>
    <w:uiPriority w:val="99"/>
    <w:rsid w:val="00BA6867"/>
    <w:rPr>
      <w:rFonts w:ascii="Calibri" w:eastAsia="Calibri" w:hAnsi="Calibri" w:cs="Arial"/>
      <w:b/>
      <w:bCs/>
    </w:rPr>
  </w:style>
  <w:style w:type="paragraph" w:customStyle="1" w:styleId="BodyText1">
    <w:name w:val="Body Text1"/>
    <w:basedOn w:val="Normal"/>
    <w:next w:val="Normal"/>
    <w:link w:val="BodytextChar"/>
    <w:qFormat/>
    <w:rsid w:val="00BA6867"/>
    <w:pPr>
      <w:spacing w:before="120" w:after="60"/>
    </w:pPr>
    <w:rPr>
      <w:rFonts w:eastAsia="Calibri" w:cs="Arial"/>
      <w:color w:val="000000"/>
      <w:sz w:val="22"/>
      <w:szCs w:val="22"/>
      <w:u w:val="single"/>
    </w:rPr>
  </w:style>
  <w:style w:type="character" w:customStyle="1" w:styleId="BodytextChar">
    <w:name w:val="Body text Char"/>
    <w:link w:val="BodyText1"/>
    <w:rsid w:val="00BA6867"/>
    <w:rPr>
      <w:rFonts w:eastAsia="Calibri" w:cs="Arial"/>
      <w:color w:val="000000"/>
      <w:sz w:val="22"/>
      <w:szCs w:val="22"/>
      <w:u w:val="single"/>
    </w:rPr>
  </w:style>
  <w:style w:type="paragraph" w:styleId="Revision">
    <w:name w:val="Revision"/>
    <w:hidden/>
    <w:uiPriority w:val="99"/>
    <w:semiHidden/>
    <w:rsid w:val="00BA6867"/>
    <w:rPr>
      <w:sz w:val="24"/>
    </w:rPr>
  </w:style>
  <w:style w:type="character" w:styleId="CommentReference">
    <w:name w:val="annotation reference"/>
    <w:rsid w:val="00057F19"/>
    <w:rPr>
      <w:sz w:val="16"/>
      <w:szCs w:val="16"/>
    </w:rPr>
  </w:style>
  <w:style w:type="paragraph" w:styleId="ListParagraph">
    <w:name w:val="List Paragraph"/>
    <w:basedOn w:val="Normal"/>
    <w:uiPriority w:val="34"/>
    <w:qFormat/>
    <w:rsid w:val="00057F19"/>
    <w:pPr>
      <w:spacing w:after="160" w:line="259" w:lineRule="auto"/>
      <w:ind w:left="720"/>
      <w:contextualSpacing/>
    </w:pPr>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1181</Words>
  <Characters>7044</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MEMORANDUM IN SUPPORT</vt:lpstr>
    </vt:vector>
  </TitlesOfParts>
  <Company>Microsystems Engineering Company</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IN SUPPORT</dc:title>
  <dc:creator>cbrodsky</dc:creator>
  <cp:lastModifiedBy>DelFranco, Ruthie</cp:lastModifiedBy>
  <cp:revision>2</cp:revision>
  <cp:lastPrinted>2025-05-12T14:01:00Z</cp:lastPrinted>
  <dcterms:created xsi:type="dcterms:W3CDTF">2025-05-27T19:17:00Z</dcterms:created>
  <dcterms:modified xsi:type="dcterms:W3CDTF">2025-05-27T19:17:00Z</dcterms:modified>
</cp:coreProperties>
</file>