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2842D" w14:textId="1D1840CA" w:rsidR="002C6B77" w:rsidRDefault="002C6B77" w:rsidP="0088453B">
      <w:pPr>
        <w:spacing w:after="0" w:line="240" w:lineRule="auto"/>
        <w:ind w:left="5040"/>
        <w:jc w:val="right"/>
        <w:rPr>
          <w:color w:val="auto"/>
          <w:u w:val="single"/>
        </w:rPr>
      </w:pPr>
      <w:bookmarkStart w:id="0" w:name="_GoBack"/>
      <w:bookmarkEnd w:id="0"/>
      <w:r w:rsidRPr="00DE16B4">
        <w:rPr>
          <w:color w:val="auto"/>
        </w:rPr>
        <w:t xml:space="preserve">            </w:t>
      </w:r>
      <w:r w:rsidRPr="00DE16B4">
        <w:rPr>
          <w:color w:val="auto"/>
          <w:u w:val="single"/>
        </w:rPr>
        <w:t>Committee on Small Business</w:t>
      </w:r>
    </w:p>
    <w:p w14:paraId="18483B39" w14:textId="4C0A4D78" w:rsidR="00B53203" w:rsidRPr="00B53203" w:rsidRDefault="148B8AB0" w:rsidP="0088453B">
      <w:pPr>
        <w:spacing w:after="0" w:line="240" w:lineRule="auto"/>
        <w:ind w:left="5040"/>
        <w:jc w:val="right"/>
        <w:rPr>
          <w:color w:val="auto"/>
        </w:rPr>
      </w:pPr>
      <w:r w:rsidRPr="148B8AB0">
        <w:rPr>
          <w:color w:val="auto"/>
        </w:rPr>
        <w:t xml:space="preserve">Luciano Hamel, </w:t>
      </w:r>
      <w:r w:rsidRPr="148B8AB0">
        <w:rPr>
          <w:i/>
          <w:iCs/>
          <w:color w:val="auto"/>
        </w:rPr>
        <w:t>Legislative Counsel</w:t>
      </w:r>
    </w:p>
    <w:p w14:paraId="74C873C8" w14:textId="2E8F57AF" w:rsidR="00B53203" w:rsidRPr="00B53203" w:rsidRDefault="00B53203" w:rsidP="0088453B">
      <w:pPr>
        <w:spacing w:after="0" w:line="240" w:lineRule="auto"/>
        <w:ind w:left="5040"/>
        <w:jc w:val="right"/>
        <w:rPr>
          <w:color w:val="auto"/>
        </w:rPr>
      </w:pPr>
      <w:r w:rsidRPr="00B53203">
        <w:rPr>
          <w:color w:val="auto"/>
        </w:rPr>
        <w:t xml:space="preserve">Rebecca Barilla, </w:t>
      </w:r>
      <w:r w:rsidRPr="00B53203">
        <w:rPr>
          <w:i/>
          <w:iCs/>
          <w:color w:val="auto"/>
        </w:rPr>
        <w:t>Senior Policy Analyst</w:t>
      </w:r>
    </w:p>
    <w:p w14:paraId="102EC6F3" w14:textId="590C9328" w:rsidR="00B53203" w:rsidRPr="00B53203" w:rsidRDefault="00B53203" w:rsidP="0088453B">
      <w:pPr>
        <w:spacing w:after="0" w:line="240" w:lineRule="auto"/>
        <w:ind w:left="5040"/>
        <w:jc w:val="right"/>
        <w:rPr>
          <w:color w:val="auto"/>
        </w:rPr>
      </w:pPr>
      <w:r w:rsidRPr="00B53203">
        <w:rPr>
          <w:color w:val="auto"/>
        </w:rPr>
        <w:t xml:space="preserve">Glenn Martelloni, </w:t>
      </w:r>
      <w:r w:rsidRPr="00B53203">
        <w:rPr>
          <w:i/>
          <w:iCs/>
          <w:color w:val="auto"/>
        </w:rPr>
        <w:t>Financial Analyst</w:t>
      </w:r>
    </w:p>
    <w:p w14:paraId="7310FB82" w14:textId="77777777" w:rsidR="00B53203" w:rsidRDefault="002C6B77" w:rsidP="00B53203">
      <w:pPr>
        <w:spacing w:after="0" w:line="240" w:lineRule="auto"/>
        <w:ind w:left="4500"/>
        <w:jc w:val="right"/>
        <w:rPr>
          <w:noProof/>
          <w:color w:val="auto"/>
        </w:rPr>
      </w:pPr>
      <w:r w:rsidRPr="00DE16B4">
        <w:rPr>
          <w:color w:val="auto"/>
        </w:rPr>
        <w:t xml:space="preserve">                              </w:t>
      </w:r>
    </w:p>
    <w:p w14:paraId="6E883303" w14:textId="77777777" w:rsidR="00B53203" w:rsidRDefault="00B53203" w:rsidP="00B53203">
      <w:pPr>
        <w:spacing w:after="0" w:line="240" w:lineRule="auto"/>
        <w:ind w:left="4500"/>
        <w:jc w:val="right"/>
        <w:rPr>
          <w:noProof/>
          <w:color w:val="auto"/>
        </w:rPr>
      </w:pPr>
    </w:p>
    <w:p w14:paraId="6F2434EC" w14:textId="6D8DA88E" w:rsidR="002C6B77" w:rsidRDefault="002C6B77" w:rsidP="00B53203">
      <w:pPr>
        <w:spacing w:after="0" w:line="240" w:lineRule="auto"/>
        <w:ind w:left="4500"/>
        <w:jc w:val="right"/>
        <w:rPr>
          <w:color w:val="auto"/>
        </w:rPr>
      </w:pPr>
      <w:r w:rsidRPr="00DE16B4">
        <w:rPr>
          <w:noProof/>
          <w:color w:val="auto"/>
        </w:rPr>
        <w:drawing>
          <wp:anchor distT="0" distB="0" distL="114300" distR="114300" simplePos="0" relativeHeight="251658240" behindDoc="0" locked="0" layoutInCell="1" allowOverlap="1" wp14:anchorId="76DFF147" wp14:editId="08381606">
            <wp:simplePos x="0" y="0"/>
            <wp:positionH relativeFrom="margin">
              <wp:align>center</wp:align>
            </wp:positionH>
            <wp:positionV relativeFrom="paragraph">
              <wp:posOffset>28477</wp:posOffset>
            </wp:positionV>
            <wp:extent cx="1371600" cy="12801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pic:spPr>
                </pic:pic>
              </a:graphicData>
            </a:graphic>
            <wp14:sizeRelH relativeFrom="page">
              <wp14:pctWidth>0</wp14:pctWidth>
            </wp14:sizeRelH>
            <wp14:sizeRelV relativeFrom="page">
              <wp14:pctHeight>0</wp14:pctHeight>
            </wp14:sizeRelV>
          </wp:anchor>
        </w:drawing>
      </w:r>
    </w:p>
    <w:p w14:paraId="2F8BED2F" w14:textId="77777777" w:rsidR="00B53203" w:rsidRDefault="00B53203" w:rsidP="00B53203">
      <w:pPr>
        <w:spacing w:after="0" w:line="240" w:lineRule="auto"/>
        <w:ind w:left="4500"/>
        <w:jc w:val="right"/>
        <w:rPr>
          <w:color w:val="auto"/>
        </w:rPr>
      </w:pPr>
    </w:p>
    <w:p w14:paraId="5BAA6515" w14:textId="77777777" w:rsidR="00B53203" w:rsidRPr="00DE16B4" w:rsidRDefault="00B53203" w:rsidP="00B53203">
      <w:pPr>
        <w:spacing w:after="0" w:line="240" w:lineRule="auto"/>
        <w:ind w:left="4500"/>
        <w:jc w:val="right"/>
        <w:rPr>
          <w:i/>
          <w:color w:val="auto"/>
        </w:rPr>
      </w:pPr>
    </w:p>
    <w:p w14:paraId="5B0F4588" w14:textId="77777777" w:rsidR="002C6B77" w:rsidRPr="00DE16B4" w:rsidRDefault="002C6B77" w:rsidP="002C6B77">
      <w:pPr>
        <w:spacing w:after="0" w:line="240" w:lineRule="auto"/>
        <w:ind w:left="5040"/>
        <w:jc w:val="both"/>
        <w:rPr>
          <w:color w:val="auto"/>
        </w:rPr>
      </w:pPr>
    </w:p>
    <w:p w14:paraId="73EB5FB9" w14:textId="77777777" w:rsidR="002C6B77" w:rsidRPr="00DE16B4" w:rsidRDefault="002C6B77" w:rsidP="002C6B77">
      <w:pPr>
        <w:framePr w:hSpace="180" w:wrap="auto" w:vAnchor="text" w:hAnchor="page" w:x="5473" w:y="229"/>
        <w:spacing w:after="0" w:line="240" w:lineRule="auto"/>
        <w:jc w:val="both"/>
        <w:rPr>
          <w:color w:val="auto"/>
        </w:rPr>
      </w:pPr>
    </w:p>
    <w:p w14:paraId="27C43CF0" w14:textId="77777777" w:rsidR="002C6B77" w:rsidRPr="00DE16B4" w:rsidRDefault="002C6B77" w:rsidP="002C6B77">
      <w:pPr>
        <w:spacing w:after="0" w:line="240" w:lineRule="auto"/>
        <w:rPr>
          <w:b/>
          <w:color w:val="auto"/>
          <w:u w:val="single"/>
        </w:rPr>
      </w:pPr>
      <w:r w:rsidRPr="00DE16B4">
        <w:rPr>
          <w:color w:val="auto"/>
        </w:rPr>
        <w:t> </w:t>
      </w:r>
    </w:p>
    <w:p w14:paraId="2E627910" w14:textId="77777777" w:rsidR="002C6B77" w:rsidRPr="00DE16B4" w:rsidRDefault="002C6B77" w:rsidP="002C6B77">
      <w:pPr>
        <w:pStyle w:val="Heading6"/>
        <w:jc w:val="both"/>
        <w:rPr>
          <w:b/>
          <w:color w:val="auto"/>
          <w:szCs w:val="24"/>
          <w:u w:val="single"/>
        </w:rPr>
      </w:pPr>
    </w:p>
    <w:p w14:paraId="12CB254B" w14:textId="77777777" w:rsidR="002C6B77" w:rsidRPr="00DE16B4" w:rsidRDefault="002C6B77" w:rsidP="002C6B77">
      <w:pPr>
        <w:pStyle w:val="Heading6"/>
        <w:rPr>
          <w:b/>
          <w:color w:val="auto"/>
          <w:szCs w:val="24"/>
          <w:u w:val="single"/>
        </w:rPr>
      </w:pPr>
    </w:p>
    <w:p w14:paraId="166276DB" w14:textId="77777777" w:rsidR="002C6B77" w:rsidRDefault="002C6B77" w:rsidP="002C6B77">
      <w:pPr>
        <w:pStyle w:val="Heading6"/>
        <w:rPr>
          <w:b/>
          <w:color w:val="auto"/>
          <w:szCs w:val="24"/>
          <w:u w:val="single"/>
        </w:rPr>
      </w:pPr>
    </w:p>
    <w:p w14:paraId="42D99D93" w14:textId="77777777" w:rsidR="004D7381" w:rsidRDefault="004D7381" w:rsidP="004D7381"/>
    <w:p w14:paraId="6E6E4CDD" w14:textId="77777777" w:rsidR="004D7381" w:rsidRPr="004D7381" w:rsidRDefault="004D7381" w:rsidP="004D7381"/>
    <w:p w14:paraId="0AD0814C" w14:textId="77777777" w:rsidR="002C6B77" w:rsidRPr="00DE16B4" w:rsidRDefault="002C6B77" w:rsidP="002C6B77">
      <w:pPr>
        <w:pStyle w:val="Heading6"/>
        <w:rPr>
          <w:b/>
          <w:color w:val="auto"/>
          <w:szCs w:val="24"/>
          <w:u w:val="single"/>
        </w:rPr>
      </w:pPr>
    </w:p>
    <w:p w14:paraId="7BFD0564" w14:textId="77777777" w:rsidR="002C6B77" w:rsidRPr="00DE16B4" w:rsidRDefault="002C6B77" w:rsidP="002C6B77">
      <w:pPr>
        <w:pStyle w:val="Heading6"/>
        <w:rPr>
          <w:b/>
          <w:color w:val="auto"/>
          <w:szCs w:val="24"/>
          <w:u w:val="single"/>
        </w:rPr>
      </w:pPr>
      <w:r w:rsidRPr="00DE16B4">
        <w:rPr>
          <w:b/>
          <w:color w:val="auto"/>
          <w:szCs w:val="24"/>
          <w:u w:val="single"/>
        </w:rPr>
        <w:t>THE COUNCIL OF THE CITY OF NEW YORK</w:t>
      </w:r>
    </w:p>
    <w:p w14:paraId="34C4C3CA" w14:textId="77777777" w:rsidR="002C6B77" w:rsidRPr="00DE16B4" w:rsidRDefault="002C6B77" w:rsidP="002C6B77">
      <w:pPr>
        <w:spacing w:after="0" w:line="240" w:lineRule="auto"/>
        <w:rPr>
          <w:color w:val="auto"/>
        </w:rPr>
      </w:pPr>
    </w:p>
    <w:p w14:paraId="7B97FCF6" w14:textId="6463A217" w:rsidR="002C6B77" w:rsidRPr="00DE16B4" w:rsidRDefault="002C6B77" w:rsidP="002C6B77">
      <w:pPr>
        <w:pStyle w:val="Heading1"/>
        <w:spacing w:before="0" w:line="240" w:lineRule="auto"/>
        <w:jc w:val="center"/>
        <w:rPr>
          <w:rFonts w:ascii="Times New Roman" w:hAnsi="Times New Roman" w:cs="Times New Roman"/>
          <w:b/>
          <w:bCs/>
          <w:iCs/>
          <w:caps/>
          <w:color w:val="auto"/>
          <w:sz w:val="24"/>
          <w:szCs w:val="24"/>
          <w:u w:val="single"/>
        </w:rPr>
      </w:pPr>
      <w:r w:rsidRPr="00DE16B4">
        <w:rPr>
          <w:rFonts w:ascii="Times New Roman" w:hAnsi="Times New Roman" w:cs="Times New Roman"/>
          <w:b/>
          <w:bCs/>
          <w:iCs/>
          <w:caps/>
          <w:color w:val="auto"/>
          <w:sz w:val="24"/>
          <w:szCs w:val="24"/>
          <w:u w:val="single"/>
        </w:rPr>
        <w:t>COMMITTEE REPORT</w:t>
      </w:r>
      <w:r w:rsidR="00D34564">
        <w:rPr>
          <w:rFonts w:ascii="Times New Roman" w:hAnsi="Times New Roman" w:cs="Times New Roman"/>
          <w:b/>
          <w:bCs/>
          <w:iCs/>
          <w:caps/>
          <w:color w:val="auto"/>
          <w:sz w:val="24"/>
          <w:szCs w:val="24"/>
          <w:u w:val="single"/>
        </w:rPr>
        <w:t xml:space="preserve"> and Briefing Paper </w:t>
      </w:r>
      <w:r w:rsidRPr="00DE16B4">
        <w:rPr>
          <w:rFonts w:ascii="Times New Roman" w:hAnsi="Times New Roman" w:cs="Times New Roman"/>
          <w:b/>
          <w:bCs/>
          <w:iCs/>
          <w:caps/>
          <w:color w:val="auto"/>
          <w:sz w:val="24"/>
          <w:szCs w:val="24"/>
          <w:u w:val="single"/>
        </w:rPr>
        <w:t xml:space="preserve">OF THE GOVERNMENTAL AFFAIRS Division </w:t>
      </w:r>
    </w:p>
    <w:p w14:paraId="10D06EBE" w14:textId="77777777" w:rsidR="002C6B77" w:rsidRPr="00DE16B4" w:rsidRDefault="002C6B77" w:rsidP="002C6B77">
      <w:pPr>
        <w:spacing w:after="0" w:line="240" w:lineRule="auto"/>
        <w:rPr>
          <w:color w:val="auto"/>
        </w:rPr>
      </w:pPr>
    </w:p>
    <w:p w14:paraId="27352ECA" w14:textId="316793CD" w:rsidR="002C6B77" w:rsidRPr="00DE16B4" w:rsidRDefault="00D34564" w:rsidP="002C6B77">
      <w:pPr>
        <w:spacing w:after="0" w:line="240" w:lineRule="auto"/>
        <w:jc w:val="center"/>
        <w:rPr>
          <w:i/>
          <w:color w:val="auto"/>
        </w:rPr>
      </w:pPr>
      <w:r>
        <w:rPr>
          <w:i/>
          <w:color w:val="auto"/>
        </w:rPr>
        <w:t>Andrea Vazquez</w:t>
      </w:r>
      <w:r w:rsidR="002C6B77" w:rsidRPr="00DE16B4">
        <w:rPr>
          <w:i/>
          <w:color w:val="auto"/>
        </w:rPr>
        <w:t xml:space="preserve">, Legislative Director </w:t>
      </w:r>
    </w:p>
    <w:p w14:paraId="3BA0F971" w14:textId="77777777" w:rsidR="002C6B77" w:rsidRPr="00DE16B4" w:rsidRDefault="002C6B77" w:rsidP="002C6B77">
      <w:pPr>
        <w:spacing w:after="0" w:line="240" w:lineRule="auto"/>
        <w:jc w:val="center"/>
        <w:rPr>
          <w:i/>
          <w:color w:val="auto"/>
        </w:rPr>
      </w:pPr>
      <w:r w:rsidRPr="00DE16B4">
        <w:rPr>
          <w:i/>
          <w:color w:val="auto"/>
        </w:rPr>
        <w:t>Rachel Cordero, Deputy Director, Governmental Affairs</w:t>
      </w:r>
    </w:p>
    <w:p w14:paraId="298E495B" w14:textId="77777777" w:rsidR="002C6B77" w:rsidRPr="00DE16B4" w:rsidRDefault="002C6B77" w:rsidP="002C6B77">
      <w:pPr>
        <w:spacing w:after="0" w:line="240" w:lineRule="auto"/>
        <w:jc w:val="center"/>
        <w:rPr>
          <w:i/>
          <w:color w:val="auto"/>
        </w:rPr>
      </w:pPr>
    </w:p>
    <w:p w14:paraId="4CFC494B" w14:textId="77777777" w:rsidR="002C6B77" w:rsidRPr="00DE16B4" w:rsidRDefault="002C6B77" w:rsidP="002C6B77">
      <w:pPr>
        <w:spacing w:after="0" w:line="240" w:lineRule="auto"/>
        <w:jc w:val="center"/>
        <w:rPr>
          <w:rFonts w:eastAsia="Times New Roman"/>
          <w:b/>
          <w:color w:val="auto"/>
          <w:u w:val="single"/>
        </w:rPr>
      </w:pPr>
      <w:r w:rsidRPr="00DE16B4">
        <w:rPr>
          <w:rFonts w:eastAsia="Times New Roman"/>
          <w:b/>
          <w:color w:val="auto"/>
          <w:u w:val="single"/>
        </w:rPr>
        <w:t>COMMITTEE ON SMALL BUSINESS</w:t>
      </w:r>
    </w:p>
    <w:p w14:paraId="0594ADC6" w14:textId="2385E2E3" w:rsidR="002C6B77" w:rsidRPr="00DE16B4" w:rsidRDefault="002C6B77" w:rsidP="002C6B77">
      <w:pPr>
        <w:spacing w:after="0" w:line="240" w:lineRule="auto"/>
        <w:jc w:val="center"/>
        <w:rPr>
          <w:rFonts w:eastAsia="Times New Roman"/>
          <w:color w:val="auto"/>
        </w:rPr>
      </w:pPr>
      <w:r w:rsidRPr="00DE16B4">
        <w:rPr>
          <w:rFonts w:eastAsia="Times New Roman"/>
          <w:color w:val="auto"/>
        </w:rPr>
        <w:t xml:space="preserve">Hon. </w:t>
      </w:r>
      <w:r w:rsidR="00D34564">
        <w:rPr>
          <w:rFonts w:eastAsia="Times New Roman"/>
          <w:color w:val="auto"/>
        </w:rPr>
        <w:t>Oswald Feliz</w:t>
      </w:r>
      <w:r w:rsidRPr="00DE16B4">
        <w:rPr>
          <w:rFonts w:eastAsia="Times New Roman"/>
          <w:color w:val="auto"/>
        </w:rPr>
        <w:t>, Chair</w:t>
      </w:r>
    </w:p>
    <w:p w14:paraId="33DB2B25" w14:textId="77777777" w:rsidR="002C6B77" w:rsidRPr="00DE16B4" w:rsidRDefault="002C6B77" w:rsidP="002C6B77">
      <w:pPr>
        <w:spacing w:after="0" w:line="240" w:lineRule="auto"/>
        <w:jc w:val="center"/>
        <w:rPr>
          <w:rFonts w:eastAsia="Times New Roman"/>
          <w:color w:val="auto"/>
        </w:rPr>
      </w:pPr>
    </w:p>
    <w:p w14:paraId="7A12F657" w14:textId="6C70F855" w:rsidR="002C6B77" w:rsidRPr="00DE16B4" w:rsidRDefault="148B8AB0" w:rsidP="148B8AB0">
      <w:pPr>
        <w:pStyle w:val="Heading5"/>
        <w:rPr>
          <w:rFonts w:ascii="Times New Roman" w:hAnsi="Times New Roman"/>
          <w:color w:val="auto"/>
        </w:rPr>
      </w:pPr>
      <w:r w:rsidRPr="00691802">
        <w:rPr>
          <w:rFonts w:ascii="Times New Roman" w:hAnsi="Times New Roman"/>
          <w:color w:val="auto"/>
        </w:rPr>
        <w:t xml:space="preserve">October </w:t>
      </w:r>
      <w:r w:rsidRPr="148B8AB0">
        <w:rPr>
          <w:rFonts w:ascii="Times New Roman" w:hAnsi="Times New Roman"/>
          <w:color w:val="auto"/>
        </w:rPr>
        <w:t>15</w:t>
      </w:r>
      <w:r w:rsidRPr="00691802">
        <w:rPr>
          <w:rFonts w:ascii="Times New Roman" w:hAnsi="Times New Roman"/>
          <w:color w:val="auto"/>
        </w:rPr>
        <w:t>, 2025</w:t>
      </w:r>
    </w:p>
    <w:p w14:paraId="448167E2" w14:textId="77777777" w:rsidR="002C6B77" w:rsidRPr="00DE16B4" w:rsidRDefault="002C6B77" w:rsidP="002C6B77">
      <w:pPr>
        <w:spacing w:after="0" w:line="240" w:lineRule="auto"/>
        <w:jc w:val="center"/>
        <w:rPr>
          <w:rFonts w:eastAsia="Times New Roman"/>
          <w:color w:val="auto"/>
        </w:rPr>
      </w:pPr>
    </w:p>
    <w:p w14:paraId="337B21BE" w14:textId="77777777" w:rsidR="002C6B77" w:rsidRPr="00DE16B4" w:rsidRDefault="002C6B77" w:rsidP="002C6B77">
      <w:pPr>
        <w:spacing w:after="0" w:line="240" w:lineRule="auto"/>
        <w:rPr>
          <w:rFonts w:eastAsia="Times New Roman"/>
          <w:color w:val="auto"/>
        </w:rPr>
      </w:pPr>
    </w:p>
    <w:p w14:paraId="15CA4B4B" w14:textId="77777777" w:rsidR="002C6B77" w:rsidRPr="00DE16B4" w:rsidRDefault="002C6B77" w:rsidP="002C6B77">
      <w:pPr>
        <w:spacing w:after="0" w:line="240" w:lineRule="auto"/>
        <w:jc w:val="center"/>
        <w:rPr>
          <w:rFonts w:eastAsia="Times New Roman"/>
          <w:color w:val="auto"/>
        </w:rPr>
      </w:pPr>
    </w:p>
    <w:p w14:paraId="0CB74AD9" w14:textId="77777777" w:rsidR="002C6B77" w:rsidRDefault="002C6B77" w:rsidP="002C6B77">
      <w:pPr>
        <w:spacing w:after="0" w:line="240" w:lineRule="auto"/>
        <w:jc w:val="center"/>
        <w:rPr>
          <w:rFonts w:eastAsia="Times New Roman"/>
          <w:color w:val="auto"/>
        </w:rPr>
      </w:pPr>
    </w:p>
    <w:p w14:paraId="40693D35" w14:textId="77777777" w:rsidR="004D7381" w:rsidRDefault="004D7381" w:rsidP="002C6B77">
      <w:pPr>
        <w:spacing w:after="0" w:line="240" w:lineRule="auto"/>
        <w:jc w:val="center"/>
        <w:rPr>
          <w:rFonts w:eastAsia="Times New Roman"/>
          <w:color w:val="auto"/>
        </w:rPr>
      </w:pPr>
    </w:p>
    <w:p w14:paraId="4E789941" w14:textId="77777777" w:rsidR="004D7381" w:rsidRDefault="004D7381" w:rsidP="002C6B77">
      <w:pPr>
        <w:spacing w:after="0" w:line="240" w:lineRule="auto"/>
        <w:jc w:val="center"/>
        <w:rPr>
          <w:rFonts w:eastAsia="Times New Roman"/>
          <w:color w:val="auto"/>
        </w:rPr>
      </w:pPr>
    </w:p>
    <w:p w14:paraId="125A9B16" w14:textId="77777777" w:rsidR="004D7381" w:rsidRPr="00DE16B4" w:rsidRDefault="004D7381" w:rsidP="002C6B77">
      <w:pPr>
        <w:spacing w:after="0" w:line="240" w:lineRule="auto"/>
        <w:jc w:val="center"/>
        <w:rPr>
          <w:rFonts w:eastAsia="Times New Roman"/>
          <w:color w:val="auto"/>
        </w:rPr>
      </w:pPr>
    </w:p>
    <w:p w14:paraId="6EBF2F0F" w14:textId="41748749" w:rsidR="002C6B77" w:rsidRPr="00DE16B4" w:rsidRDefault="002C6B77" w:rsidP="002C6B77">
      <w:pPr>
        <w:spacing w:after="0" w:line="240" w:lineRule="auto"/>
        <w:jc w:val="center"/>
        <w:rPr>
          <w:color w:val="auto"/>
          <w:u w:val="single"/>
        </w:rPr>
      </w:pPr>
      <w:r w:rsidRPr="00DE16B4">
        <w:rPr>
          <w:b/>
          <w:color w:val="auto"/>
          <w:u w:val="single"/>
        </w:rPr>
        <w:t>Oversight</w:t>
      </w:r>
      <w:r w:rsidR="006D2F66" w:rsidRPr="006D2F66">
        <w:rPr>
          <w:b/>
          <w:color w:val="auto"/>
          <w:u w:val="single"/>
        </w:rPr>
        <w:t>: Cybersecurity</w:t>
      </w:r>
      <w:r w:rsidRPr="006D2F66">
        <w:rPr>
          <w:rFonts w:eastAsia="Times New Roman"/>
          <w:b/>
          <w:color w:val="auto"/>
          <w:u w:val="single"/>
        </w:rPr>
        <w:t xml:space="preserve"> for</w:t>
      </w:r>
      <w:r w:rsidRPr="00DE16B4">
        <w:rPr>
          <w:rFonts w:eastAsia="Times New Roman"/>
          <w:b/>
          <w:color w:val="auto"/>
          <w:u w:val="single"/>
        </w:rPr>
        <w:t xml:space="preserve"> Small Businesses</w:t>
      </w:r>
    </w:p>
    <w:p w14:paraId="377D568C" w14:textId="77777777" w:rsidR="002C6B77" w:rsidRPr="00DE16B4" w:rsidRDefault="002C6B77" w:rsidP="002C6B77">
      <w:pPr>
        <w:widowControl w:val="0"/>
        <w:autoSpaceDE w:val="0"/>
        <w:autoSpaceDN w:val="0"/>
        <w:adjustRightInd w:val="0"/>
        <w:spacing w:after="0" w:line="240" w:lineRule="auto"/>
        <w:ind w:left="2880" w:hanging="2880"/>
        <w:jc w:val="both"/>
        <w:rPr>
          <w:color w:val="auto"/>
        </w:rPr>
      </w:pPr>
    </w:p>
    <w:p w14:paraId="5E6E1BB0" w14:textId="77777777" w:rsidR="002C6B77" w:rsidRDefault="002C6B77" w:rsidP="002C6B77">
      <w:pPr>
        <w:widowControl w:val="0"/>
        <w:autoSpaceDE w:val="0"/>
        <w:autoSpaceDN w:val="0"/>
        <w:adjustRightInd w:val="0"/>
        <w:spacing w:after="0" w:line="240" w:lineRule="auto"/>
        <w:ind w:left="2880" w:hanging="2880"/>
        <w:jc w:val="both"/>
        <w:rPr>
          <w:color w:val="auto"/>
        </w:rPr>
      </w:pPr>
    </w:p>
    <w:p w14:paraId="3A3B61A5"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7B18AC3A"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5D34B5C2"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6E1FDB66"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043EF7D5" w14:textId="77777777" w:rsidR="004D7381" w:rsidRPr="00DE16B4" w:rsidRDefault="004D7381" w:rsidP="002C6B77">
      <w:pPr>
        <w:widowControl w:val="0"/>
        <w:autoSpaceDE w:val="0"/>
        <w:autoSpaceDN w:val="0"/>
        <w:adjustRightInd w:val="0"/>
        <w:spacing w:after="0" w:line="240" w:lineRule="auto"/>
        <w:ind w:left="2880" w:hanging="2880"/>
        <w:jc w:val="both"/>
        <w:rPr>
          <w:color w:val="auto"/>
        </w:rPr>
      </w:pPr>
    </w:p>
    <w:p w14:paraId="41291F2E" w14:textId="77777777" w:rsidR="002C6B77" w:rsidRPr="00DE16B4" w:rsidRDefault="002C6B77" w:rsidP="002C6B77">
      <w:pPr>
        <w:widowControl w:val="0"/>
        <w:autoSpaceDE w:val="0"/>
        <w:autoSpaceDN w:val="0"/>
        <w:adjustRightInd w:val="0"/>
        <w:spacing w:after="0" w:line="240" w:lineRule="auto"/>
        <w:ind w:left="2880" w:hanging="2880"/>
        <w:jc w:val="both"/>
        <w:rPr>
          <w:color w:val="auto"/>
        </w:rPr>
      </w:pPr>
    </w:p>
    <w:tbl>
      <w:tblPr>
        <w:tblStyle w:val="PlainTable3"/>
        <w:tblW w:w="5000" w:type="pct"/>
        <w:tblLook w:val="0600" w:firstRow="0" w:lastRow="0" w:firstColumn="0" w:lastColumn="0" w:noHBand="1" w:noVBand="1"/>
      </w:tblPr>
      <w:tblGrid>
        <w:gridCol w:w="4049"/>
        <w:gridCol w:w="5311"/>
      </w:tblGrid>
      <w:tr w:rsidR="00B53203" w:rsidRPr="00733B9A" w14:paraId="6F6102EB" w14:textId="77777777" w:rsidTr="148B8AB0">
        <w:trPr>
          <w:trHeight w:val="837"/>
        </w:trPr>
        <w:tc>
          <w:tcPr>
            <w:tcW w:w="2163" w:type="pct"/>
          </w:tcPr>
          <w:p w14:paraId="05EEE285" w14:textId="40DA2137" w:rsidR="00B53203" w:rsidRPr="00D15295" w:rsidRDefault="148B8AB0" w:rsidP="148B8AB0">
            <w:pPr>
              <w:suppressLineNumbers/>
              <w:rPr>
                <w:rFonts w:eastAsia="ヒラギノ角ゴ Pro W3"/>
                <w:b/>
                <w:bCs/>
                <w:smallCaps/>
                <w:u w:val="single"/>
              </w:rPr>
            </w:pPr>
            <w:r w:rsidRPr="00D15295">
              <w:rPr>
                <w:rFonts w:eastAsia="ヒラギノ角ゴ Pro W3"/>
                <w:b/>
                <w:bCs/>
                <w:smallCaps/>
                <w:u w:val="single"/>
              </w:rPr>
              <w:t xml:space="preserve">Int. No. </w:t>
            </w:r>
            <w:r w:rsidR="000D107A" w:rsidRPr="00D15295">
              <w:rPr>
                <w:rFonts w:eastAsia="ヒラギノ角ゴ Pro W3"/>
                <w:b/>
                <w:bCs/>
                <w:smallCaps/>
                <w:u w:val="single"/>
              </w:rPr>
              <w:t>0180</w:t>
            </w:r>
          </w:p>
        </w:tc>
        <w:tc>
          <w:tcPr>
            <w:tcW w:w="2837" w:type="pct"/>
          </w:tcPr>
          <w:p w14:paraId="3874AEC1" w14:textId="0607D273" w:rsidR="00B53203" w:rsidRPr="00D15295" w:rsidRDefault="148B8AB0" w:rsidP="148B8AB0">
            <w:pPr>
              <w:suppressLineNumbers/>
              <w:jc w:val="both"/>
              <w:rPr>
                <w:rFonts w:eastAsia="ヒラギノ角ゴ Pro W3"/>
              </w:rPr>
            </w:pPr>
            <w:r w:rsidRPr="00D15295">
              <w:rPr>
                <w:rFonts w:eastAsia="ヒラギノ角ゴ Pro W3"/>
              </w:rPr>
              <w:t xml:space="preserve">By Council Members </w:t>
            </w:r>
            <w:r w:rsidR="00E53702" w:rsidRPr="00D15295">
              <w:rPr>
                <w:rFonts w:eastAsia="Calibri"/>
              </w:rPr>
              <w:t>Feliz, Farías, Narcisse, Hanks, Bottcher, Abreu, Salamanca, Schulman, Ung, Gennaro, Dinowitz and De La Rosa</w:t>
            </w:r>
          </w:p>
        </w:tc>
      </w:tr>
      <w:tr w:rsidR="00B53203" w:rsidRPr="00BB4BD9" w14:paraId="14C0CA2C" w14:textId="77777777" w:rsidTr="00F40226">
        <w:tc>
          <w:tcPr>
            <w:tcW w:w="2163" w:type="pct"/>
          </w:tcPr>
          <w:p w14:paraId="77B9E548" w14:textId="77777777" w:rsidR="00B53203" w:rsidRPr="00D15295" w:rsidRDefault="148B8AB0" w:rsidP="148B8AB0">
            <w:pPr>
              <w:rPr>
                <w:b/>
                <w:bCs/>
                <w:smallCaps/>
              </w:rPr>
            </w:pPr>
            <w:r w:rsidRPr="00D15295">
              <w:rPr>
                <w:b/>
                <w:bCs/>
                <w:smallCaps/>
                <w:u w:val="single"/>
              </w:rPr>
              <w:t>Title</w:t>
            </w:r>
            <w:r w:rsidRPr="00D15295">
              <w:rPr>
                <w:b/>
                <w:bCs/>
                <w:smallCaps/>
              </w:rPr>
              <w:t>:</w:t>
            </w:r>
          </w:p>
        </w:tc>
        <w:tc>
          <w:tcPr>
            <w:tcW w:w="2837" w:type="pct"/>
          </w:tcPr>
          <w:p w14:paraId="1955CCCC" w14:textId="77777777" w:rsidR="00F40226" w:rsidRPr="00D15295" w:rsidRDefault="00F40226" w:rsidP="00F40226">
            <w:pPr>
              <w:pStyle w:val="BodyText"/>
              <w:spacing w:line="240" w:lineRule="auto"/>
              <w:ind w:firstLine="0"/>
            </w:pPr>
            <w:r w:rsidRPr="00D15295">
              <w:t>A Local Law to amend the administrative code of the city of New York, in relation to establishing a program to provide financial assistance to small retail businesses for the purchase of security system technology</w:t>
            </w:r>
          </w:p>
          <w:p w14:paraId="319DFB5C" w14:textId="15D7F81A" w:rsidR="00B53203" w:rsidRPr="00D15295" w:rsidRDefault="00B53203" w:rsidP="148B8AB0">
            <w:pPr>
              <w:suppressLineNumbers/>
              <w:jc w:val="both"/>
              <w:rPr>
                <w:shd w:val="clear" w:color="auto" w:fill="FFFFFF"/>
              </w:rPr>
            </w:pPr>
          </w:p>
        </w:tc>
      </w:tr>
      <w:tr w:rsidR="00F40226" w:rsidRPr="00733B9A" w14:paraId="574EB201" w14:textId="77777777" w:rsidTr="00F4022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2163" w:type="pct"/>
            <w:tcBorders>
              <w:right w:val="none" w:sz="0" w:space="0" w:color="auto"/>
            </w:tcBorders>
            <w:shd w:val="clear" w:color="auto" w:fill="auto"/>
          </w:tcPr>
          <w:p w14:paraId="1215CB0C" w14:textId="1DA7BF5A" w:rsidR="00F40226" w:rsidRPr="00D15295" w:rsidRDefault="00F40226" w:rsidP="00577C9E">
            <w:pPr>
              <w:suppressLineNumbers/>
              <w:rPr>
                <w:rFonts w:eastAsia="ヒラギノ角ゴ Pro W3"/>
                <w:b w:val="0"/>
                <w:bCs w:val="0"/>
                <w:smallCaps/>
                <w:u w:val="single"/>
              </w:rPr>
            </w:pPr>
            <w:r w:rsidRPr="00D15295">
              <w:rPr>
                <w:rFonts w:eastAsia="ヒラギノ角ゴ Pro W3"/>
                <w:smallCaps/>
                <w:u w:val="single"/>
              </w:rPr>
              <w:t xml:space="preserve">Int. No. </w:t>
            </w:r>
            <w:r w:rsidR="007146FD" w:rsidRPr="00D15295">
              <w:rPr>
                <w:rFonts w:eastAsia="ヒラギノ角ゴ Pro W3"/>
                <w:smallCaps/>
                <w:u w:val="single"/>
              </w:rPr>
              <w:t>1350</w:t>
            </w:r>
          </w:p>
        </w:tc>
        <w:tc>
          <w:tcPr>
            <w:tcW w:w="2837" w:type="pct"/>
            <w:shd w:val="clear" w:color="auto" w:fill="auto"/>
          </w:tcPr>
          <w:p w14:paraId="691B4C65" w14:textId="53604D33" w:rsidR="00F40226" w:rsidRPr="00D15295" w:rsidRDefault="00F40226" w:rsidP="00577C9E">
            <w:pPr>
              <w:suppressLineNumbers/>
              <w:jc w:val="both"/>
              <w:cnfStyle w:val="000000100000" w:firstRow="0" w:lastRow="0" w:firstColumn="0" w:lastColumn="0" w:oddVBand="0" w:evenVBand="0" w:oddHBand="1" w:evenHBand="0" w:firstRowFirstColumn="0" w:firstRowLastColumn="0" w:lastRowFirstColumn="0" w:lastRowLastColumn="0"/>
              <w:rPr>
                <w:rFonts w:eastAsia="ヒラギノ角ゴ Pro W3"/>
              </w:rPr>
            </w:pPr>
            <w:r w:rsidRPr="00D15295">
              <w:rPr>
                <w:rFonts w:eastAsia="ヒラギノ角ゴ Pro W3"/>
              </w:rPr>
              <w:t xml:space="preserve">By Council Members </w:t>
            </w:r>
            <w:r w:rsidR="00BE5F47" w:rsidRPr="00D15295">
              <w:rPr>
                <w:rFonts w:eastAsiaTheme="minorHAnsi"/>
              </w:rPr>
              <w:t>Farías, Louis, Brannan, Hanif and Brewer</w:t>
            </w:r>
          </w:p>
        </w:tc>
      </w:tr>
      <w:tr w:rsidR="00F40226" w:rsidRPr="00BB4BD9" w14:paraId="697BA2A6" w14:textId="77777777" w:rsidTr="00F4022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163" w:type="pct"/>
            <w:tcBorders>
              <w:right w:val="none" w:sz="0" w:space="0" w:color="auto"/>
            </w:tcBorders>
          </w:tcPr>
          <w:p w14:paraId="010FBF1D" w14:textId="77777777" w:rsidR="00F40226" w:rsidRPr="00D15295" w:rsidRDefault="00F40226" w:rsidP="00577C9E">
            <w:pPr>
              <w:rPr>
                <w:b w:val="0"/>
                <w:bCs w:val="0"/>
                <w:smallCaps/>
              </w:rPr>
            </w:pPr>
            <w:r w:rsidRPr="00D15295">
              <w:rPr>
                <w:smallCaps/>
                <w:u w:val="single"/>
              </w:rPr>
              <w:t>Title</w:t>
            </w:r>
            <w:r w:rsidRPr="00D15295">
              <w:rPr>
                <w:smallCaps/>
              </w:rPr>
              <w:t>:</w:t>
            </w:r>
          </w:p>
        </w:tc>
        <w:tc>
          <w:tcPr>
            <w:tcW w:w="2837" w:type="pct"/>
            <w:tcBorders>
              <w:left w:val="nil"/>
            </w:tcBorders>
          </w:tcPr>
          <w:p w14:paraId="722CBD5E" w14:textId="77777777" w:rsidR="00D15295" w:rsidRPr="00D15295" w:rsidRDefault="00D15295" w:rsidP="00D15295">
            <w:pPr>
              <w:pStyle w:val="BodyText"/>
              <w:spacing w:line="240" w:lineRule="auto"/>
              <w:ind w:firstLine="0"/>
              <w:cnfStyle w:val="000000000000" w:firstRow="0" w:lastRow="0" w:firstColumn="0" w:lastColumn="0" w:oddVBand="0" w:evenVBand="0" w:oddHBand="0" w:evenHBand="0" w:firstRowFirstColumn="0" w:firstRowLastColumn="0" w:lastRowFirstColumn="0" w:lastRowLastColumn="0"/>
            </w:pPr>
            <w:r w:rsidRPr="00D15295">
              <w:t>A Local Law to amend the administrative code of the city of New York, in relation to small business loan readiness resources</w:t>
            </w:r>
          </w:p>
          <w:p w14:paraId="6B52FB32" w14:textId="77777777" w:rsidR="00F40226" w:rsidRPr="00D15295" w:rsidRDefault="00F40226" w:rsidP="00577C9E">
            <w:pPr>
              <w:suppressLineNumbers/>
              <w:jc w:val="both"/>
              <w:cnfStyle w:val="000000000000" w:firstRow="0" w:lastRow="0" w:firstColumn="0" w:lastColumn="0" w:oddVBand="0" w:evenVBand="0" w:oddHBand="0" w:evenHBand="0" w:firstRowFirstColumn="0" w:firstRowLastColumn="0" w:lastRowFirstColumn="0" w:lastRowLastColumn="0"/>
              <w:rPr>
                <w:shd w:val="clear" w:color="auto" w:fill="FFFFFF"/>
              </w:rPr>
            </w:pPr>
          </w:p>
        </w:tc>
      </w:tr>
    </w:tbl>
    <w:p w14:paraId="619E054B" w14:textId="77777777" w:rsidR="002C6B77" w:rsidRPr="00DE16B4" w:rsidRDefault="002C6B77" w:rsidP="002C6B77">
      <w:pPr>
        <w:widowControl w:val="0"/>
        <w:autoSpaceDE w:val="0"/>
        <w:autoSpaceDN w:val="0"/>
        <w:adjustRightInd w:val="0"/>
        <w:spacing w:after="0" w:line="240" w:lineRule="auto"/>
        <w:ind w:left="2880" w:hanging="2880"/>
        <w:jc w:val="both"/>
        <w:rPr>
          <w:color w:val="auto"/>
        </w:rPr>
      </w:pPr>
    </w:p>
    <w:p w14:paraId="063E096F" w14:textId="77777777" w:rsidR="002C6B77" w:rsidRDefault="002C6B77" w:rsidP="002C6B77">
      <w:pPr>
        <w:widowControl w:val="0"/>
        <w:autoSpaceDE w:val="0"/>
        <w:autoSpaceDN w:val="0"/>
        <w:adjustRightInd w:val="0"/>
        <w:spacing w:after="0" w:line="240" w:lineRule="auto"/>
        <w:ind w:left="2880" w:hanging="2880"/>
        <w:jc w:val="both"/>
        <w:rPr>
          <w:color w:val="auto"/>
        </w:rPr>
      </w:pPr>
    </w:p>
    <w:p w14:paraId="362606C6"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56B2401F"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753D9152"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62CA94F8"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786A279A"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527DA6D4"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7C9EF8A2"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3B3AEE38"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2DB543DA"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6C9FF3A6"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432E02D6"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5B0CA9FF"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7FC9E395"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71E38BD5"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401150BE"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61AE2253"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56CB2DC0"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603C8349"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73CC99E7"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297F9FA3"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698D6860"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5FB1F066"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3213EFF8" w14:textId="77777777" w:rsidR="004D7381" w:rsidRDefault="004D7381" w:rsidP="002C6B77">
      <w:pPr>
        <w:widowControl w:val="0"/>
        <w:autoSpaceDE w:val="0"/>
        <w:autoSpaceDN w:val="0"/>
        <w:adjustRightInd w:val="0"/>
        <w:spacing w:after="0" w:line="240" w:lineRule="auto"/>
        <w:ind w:left="2880" w:hanging="2880"/>
        <w:jc w:val="both"/>
        <w:rPr>
          <w:color w:val="auto"/>
        </w:rPr>
      </w:pPr>
    </w:p>
    <w:p w14:paraId="14FC8C1E" w14:textId="77777777" w:rsidR="002C6B77" w:rsidRPr="00DE16B4" w:rsidRDefault="002C6B77" w:rsidP="002C6B77">
      <w:pPr>
        <w:widowControl w:val="0"/>
        <w:autoSpaceDE w:val="0"/>
        <w:autoSpaceDN w:val="0"/>
        <w:adjustRightInd w:val="0"/>
        <w:spacing w:after="0" w:line="240" w:lineRule="auto"/>
        <w:ind w:left="2880" w:hanging="2880"/>
        <w:jc w:val="both"/>
        <w:rPr>
          <w:color w:val="auto"/>
        </w:rPr>
      </w:pPr>
    </w:p>
    <w:p w14:paraId="449601DD" w14:textId="77777777" w:rsidR="002C6B77" w:rsidRPr="00DE16B4" w:rsidRDefault="002C6B77" w:rsidP="002C6B77">
      <w:pPr>
        <w:pStyle w:val="ListParagraph"/>
        <w:numPr>
          <w:ilvl w:val="0"/>
          <w:numId w:val="1"/>
        </w:numPr>
        <w:spacing w:after="0" w:line="480" w:lineRule="auto"/>
        <w:jc w:val="both"/>
        <w:rPr>
          <w:b/>
          <w:snapToGrid w:val="0"/>
          <w:color w:val="auto"/>
        </w:rPr>
      </w:pPr>
      <w:r w:rsidRPr="00DE16B4">
        <w:rPr>
          <w:rFonts w:eastAsia="Times New Roman"/>
          <w:b/>
          <w:color w:val="auto"/>
        </w:rPr>
        <w:t xml:space="preserve">INTRODUCTION </w:t>
      </w:r>
    </w:p>
    <w:p w14:paraId="6014A00E" w14:textId="17B5CE41" w:rsidR="005E17B1" w:rsidRDefault="148B8AB0" w:rsidP="148B8AB0">
      <w:pPr>
        <w:pStyle w:val="BodyText"/>
        <w:rPr>
          <w:color w:val="auto"/>
          <w:highlight w:val="yellow"/>
        </w:rPr>
      </w:pPr>
      <w:r w:rsidRPr="148B8AB0">
        <w:rPr>
          <w:color w:val="auto"/>
        </w:rPr>
        <w:t xml:space="preserve">On October </w:t>
      </w:r>
      <w:r w:rsidR="00691802">
        <w:rPr>
          <w:color w:val="auto"/>
        </w:rPr>
        <w:t>15</w:t>
      </w:r>
      <w:r w:rsidRPr="148B8AB0">
        <w:rPr>
          <w:color w:val="auto"/>
        </w:rPr>
        <w:t xml:space="preserve">, 2025, the Committee on Small Business, chaired by Council Member Oswald Feliz, will hold an oversight hearing on cybersecurity for small businesses. </w:t>
      </w:r>
      <w:r w:rsidRPr="00AE189D">
        <w:rPr>
          <w:color w:val="auto"/>
        </w:rPr>
        <w:t>The Committee on Small Business will also hear the following piece</w:t>
      </w:r>
      <w:r w:rsidR="005E17B1" w:rsidRPr="00AE189D">
        <w:rPr>
          <w:color w:val="auto"/>
        </w:rPr>
        <w:t>s</w:t>
      </w:r>
      <w:r w:rsidRPr="00AE189D">
        <w:rPr>
          <w:color w:val="auto"/>
        </w:rPr>
        <w:t xml:space="preserve"> of legislation: </w:t>
      </w:r>
      <w:r w:rsidR="005E17B1" w:rsidRPr="00AE189D">
        <w:rPr>
          <w:color w:val="auto"/>
        </w:rPr>
        <w:t xml:space="preserve">Introduction 0180-2024 (‘Intro. 180’) sponsored by Council Member Oswald Feliz, in relation to establishing a program to provide financial assistance to small retail businesses for the purchase of security system technology, and Introduction 1350-2025 (‘Intro. 1350’) sponsored by Council Member Amanda Farías, in relation to small business loan readiness resources. </w:t>
      </w:r>
    </w:p>
    <w:p w14:paraId="22F09721" w14:textId="0BA5F74E" w:rsidR="002C6B77" w:rsidRPr="00DE16B4" w:rsidRDefault="00B53203" w:rsidP="002C6B77">
      <w:pPr>
        <w:pStyle w:val="BodyText"/>
        <w:rPr>
          <w:color w:val="auto"/>
        </w:rPr>
      </w:pPr>
      <w:r>
        <w:rPr>
          <w:color w:val="auto"/>
        </w:rPr>
        <w:t xml:space="preserve">Those invited to testify include </w:t>
      </w:r>
      <w:r w:rsidR="002C6B77" w:rsidRPr="00DE16B4">
        <w:rPr>
          <w:color w:val="auto"/>
        </w:rPr>
        <w:t xml:space="preserve">representatives </w:t>
      </w:r>
      <w:r w:rsidR="00F0021E" w:rsidRPr="00DE16B4">
        <w:rPr>
          <w:color w:val="auto"/>
        </w:rPr>
        <w:t xml:space="preserve">of </w:t>
      </w:r>
      <w:r w:rsidR="002C6B77" w:rsidRPr="00DE16B4">
        <w:rPr>
          <w:color w:val="auto"/>
        </w:rPr>
        <w:t xml:space="preserve">the </w:t>
      </w:r>
      <w:r w:rsidR="00F0021E" w:rsidRPr="00DE16B4">
        <w:rPr>
          <w:color w:val="auto"/>
        </w:rPr>
        <w:t xml:space="preserve">New York City Department of </w:t>
      </w:r>
      <w:r w:rsidR="002C6B77" w:rsidRPr="00DE16B4">
        <w:rPr>
          <w:color w:val="auto"/>
        </w:rPr>
        <w:t>Small Business Services (</w:t>
      </w:r>
      <w:r>
        <w:rPr>
          <w:color w:val="auto"/>
        </w:rPr>
        <w:t>‘</w:t>
      </w:r>
      <w:r w:rsidR="002C6B77" w:rsidRPr="00DE16B4">
        <w:rPr>
          <w:color w:val="auto"/>
        </w:rPr>
        <w:t>SBS</w:t>
      </w:r>
      <w:r>
        <w:rPr>
          <w:color w:val="auto"/>
        </w:rPr>
        <w:t>’</w:t>
      </w:r>
      <w:r w:rsidR="002C6B77" w:rsidRPr="006D2F66">
        <w:rPr>
          <w:color w:val="auto"/>
        </w:rPr>
        <w:t xml:space="preserve">), </w:t>
      </w:r>
      <w:r w:rsidR="00F0021E" w:rsidRPr="00DE16B4">
        <w:rPr>
          <w:color w:val="auto"/>
        </w:rPr>
        <w:t xml:space="preserve">business </w:t>
      </w:r>
      <w:r w:rsidR="002C6B77" w:rsidRPr="00DE16B4">
        <w:rPr>
          <w:color w:val="auto"/>
        </w:rPr>
        <w:t>associations</w:t>
      </w:r>
      <w:r w:rsidR="00F0021E" w:rsidRPr="00DE16B4">
        <w:rPr>
          <w:color w:val="auto"/>
        </w:rPr>
        <w:t>,</w:t>
      </w:r>
      <w:r w:rsidR="002C6B77" w:rsidRPr="00DE16B4">
        <w:rPr>
          <w:color w:val="auto"/>
        </w:rPr>
        <w:t xml:space="preserve"> Business Improvement </w:t>
      </w:r>
      <w:r w:rsidR="00AE189D" w:rsidRPr="00DE16B4">
        <w:rPr>
          <w:color w:val="auto"/>
        </w:rPr>
        <w:t>Districts</w:t>
      </w:r>
      <w:r w:rsidR="00AE189D">
        <w:rPr>
          <w:color w:val="auto"/>
        </w:rPr>
        <w:t xml:space="preserve"> </w:t>
      </w:r>
      <w:r w:rsidR="00AE189D" w:rsidRPr="00DE16B4">
        <w:rPr>
          <w:color w:val="auto"/>
        </w:rPr>
        <w:t>(</w:t>
      </w:r>
      <w:r w:rsidR="00AE189D">
        <w:rPr>
          <w:color w:val="auto"/>
        </w:rPr>
        <w:t>‘</w:t>
      </w:r>
      <w:r w:rsidR="002C6B77" w:rsidRPr="00DE16B4">
        <w:rPr>
          <w:color w:val="auto"/>
        </w:rPr>
        <w:t>BIDs</w:t>
      </w:r>
      <w:r>
        <w:rPr>
          <w:color w:val="auto"/>
        </w:rPr>
        <w:t>’</w:t>
      </w:r>
      <w:r w:rsidR="002C6B77" w:rsidRPr="00DE16B4">
        <w:rPr>
          <w:color w:val="auto"/>
        </w:rPr>
        <w:t xml:space="preserve">), chambers of commerce, small businesses and other </w:t>
      </w:r>
      <w:r>
        <w:rPr>
          <w:color w:val="auto"/>
        </w:rPr>
        <w:t>members of the public</w:t>
      </w:r>
      <w:r w:rsidR="002C6B77" w:rsidRPr="00DE16B4">
        <w:rPr>
          <w:color w:val="auto"/>
        </w:rPr>
        <w:t xml:space="preserve">. </w:t>
      </w:r>
    </w:p>
    <w:p w14:paraId="02E297FF" w14:textId="77777777" w:rsidR="002C6B77" w:rsidRPr="00DE16B4" w:rsidRDefault="002C6B77" w:rsidP="002C6B77">
      <w:pPr>
        <w:numPr>
          <w:ilvl w:val="0"/>
          <w:numId w:val="1"/>
        </w:numPr>
        <w:spacing w:after="0" w:line="480" w:lineRule="auto"/>
        <w:contextualSpacing/>
        <w:jc w:val="both"/>
        <w:rPr>
          <w:b/>
          <w:color w:val="auto"/>
        </w:rPr>
      </w:pPr>
      <w:r w:rsidRPr="00DE16B4">
        <w:rPr>
          <w:b/>
          <w:color w:val="auto"/>
        </w:rPr>
        <w:t>BACKGROUND</w:t>
      </w:r>
    </w:p>
    <w:p w14:paraId="49EDBE4B" w14:textId="77777777" w:rsidR="002C6B77" w:rsidRPr="00DE16B4" w:rsidRDefault="002C6B77" w:rsidP="002C6B77">
      <w:pPr>
        <w:pStyle w:val="ListParagraph"/>
        <w:spacing w:after="0" w:line="480" w:lineRule="auto"/>
        <w:jc w:val="both"/>
        <w:rPr>
          <w:rFonts w:eastAsia="Times New Roman"/>
          <w:b/>
          <w:color w:val="auto"/>
          <w:shd w:val="clear" w:color="auto" w:fill="FFFFFF"/>
        </w:rPr>
      </w:pPr>
      <w:r w:rsidRPr="00DE16B4">
        <w:rPr>
          <w:rFonts w:eastAsia="Times New Roman"/>
          <w:b/>
          <w:color w:val="auto"/>
          <w:shd w:val="clear" w:color="auto" w:fill="FFFFFF"/>
        </w:rPr>
        <w:t xml:space="preserve">A. Cyberattacks </w:t>
      </w:r>
    </w:p>
    <w:p w14:paraId="5AA62C98" w14:textId="1FE3DC55" w:rsidR="002C6B77" w:rsidRPr="00DE16B4" w:rsidRDefault="002C6B77" w:rsidP="00691802">
      <w:pPr>
        <w:spacing w:after="0" w:line="480" w:lineRule="auto"/>
        <w:ind w:firstLine="720"/>
        <w:jc w:val="both"/>
        <w:rPr>
          <w:rFonts w:eastAsia="Times New Roman"/>
          <w:color w:val="auto"/>
        </w:rPr>
      </w:pPr>
      <w:r w:rsidRPr="00DE16B4">
        <w:rPr>
          <w:rFonts w:eastAsia="Times New Roman"/>
          <w:color w:val="auto"/>
          <w:shd w:val="clear" w:color="auto" w:fill="FFFFFF"/>
        </w:rPr>
        <w:t>As e-commerce businesses and traditional companies increasingly integrate networked information systems into their operations, they become more frequent targets of cyberattacks.</w:t>
      </w:r>
      <w:r w:rsidRPr="00DE16B4">
        <w:rPr>
          <w:rStyle w:val="FootnoteReference"/>
          <w:rFonts w:eastAsia="Times New Roman"/>
          <w:color w:val="auto"/>
          <w:shd w:val="clear" w:color="auto" w:fill="FFFFFF"/>
        </w:rPr>
        <w:footnoteReference w:id="1"/>
      </w:r>
      <w:r w:rsidRPr="00DE16B4">
        <w:rPr>
          <w:rFonts w:eastAsia="Times New Roman"/>
          <w:color w:val="auto"/>
          <w:shd w:val="clear" w:color="auto" w:fill="FFFFFF"/>
        </w:rPr>
        <w:t xml:space="preserve"> Vandalism, larceny, retribution by disgruntled employees or customers, political or ethical antipathy, competitive advantage or simple economic gain are the most common motives behind business network penetrations. </w:t>
      </w:r>
      <w:r w:rsidR="00112D1C" w:rsidRPr="00DE16B4">
        <w:rPr>
          <w:color w:val="auto"/>
          <w:shd w:val="clear" w:color="auto" w:fill="FFFFFF"/>
        </w:rPr>
        <w:t>Cyber criminals penetrate industry networks, steal consumers’ personal data, and use others’ personal computers to spread malware and chaos.</w:t>
      </w:r>
      <w:r w:rsidR="00112D1C" w:rsidRPr="00DE16B4">
        <w:rPr>
          <w:rStyle w:val="FootnoteReference"/>
          <w:color w:val="auto"/>
          <w:shd w:val="clear" w:color="auto" w:fill="FFFFFF"/>
        </w:rPr>
        <w:footnoteReference w:id="2"/>
      </w:r>
      <w:r w:rsidR="00112D1C" w:rsidRPr="00DE16B4">
        <w:rPr>
          <w:color w:val="auto"/>
        </w:rPr>
        <w:t xml:space="preserve"> </w:t>
      </w:r>
      <w:r w:rsidR="00B42531">
        <w:rPr>
          <w:rFonts w:eastAsia="Times New Roman"/>
          <w:color w:val="auto"/>
          <w:shd w:val="clear" w:color="auto" w:fill="FFFFFF"/>
        </w:rPr>
        <w:t>The</w:t>
      </w:r>
      <w:r w:rsidRPr="00DE16B4">
        <w:rPr>
          <w:rFonts w:eastAsia="Times New Roman"/>
          <w:color w:val="auto"/>
          <w:shd w:val="clear" w:color="auto" w:fill="FFFFFF"/>
        </w:rPr>
        <w:t xml:space="preserve"> U</w:t>
      </w:r>
      <w:r w:rsidR="00F0021E" w:rsidRPr="00DE16B4">
        <w:rPr>
          <w:rFonts w:eastAsia="Times New Roman"/>
          <w:color w:val="auto"/>
          <w:shd w:val="clear" w:color="auto" w:fill="FFFFFF"/>
        </w:rPr>
        <w:t xml:space="preserve">nited </w:t>
      </w:r>
      <w:r w:rsidRPr="00DE16B4">
        <w:rPr>
          <w:rFonts w:eastAsia="Times New Roman"/>
          <w:color w:val="auto"/>
          <w:shd w:val="clear" w:color="auto" w:fill="FFFFFF"/>
        </w:rPr>
        <w:t>S</w:t>
      </w:r>
      <w:r w:rsidR="00F0021E" w:rsidRPr="00DE16B4">
        <w:rPr>
          <w:rFonts w:eastAsia="Times New Roman"/>
          <w:color w:val="auto"/>
          <w:shd w:val="clear" w:color="auto" w:fill="FFFFFF"/>
        </w:rPr>
        <w:t xml:space="preserve">tates </w:t>
      </w:r>
      <w:r w:rsidRPr="00DE16B4">
        <w:rPr>
          <w:rFonts w:eastAsia="Times New Roman"/>
          <w:color w:val="auto"/>
          <w:shd w:val="clear" w:color="auto" w:fill="FFFFFF"/>
        </w:rPr>
        <w:t>Council of Economic Advisers found that malicious cyber activity cost the U.S. economy between $57 billion and $109 billion in 2016, with the growing interconnectivity of the modern economy exacerbating the effects of cyberattacks.</w:t>
      </w:r>
      <w:r w:rsidRPr="00DE16B4">
        <w:rPr>
          <w:rStyle w:val="FootnoteReference"/>
          <w:rFonts w:eastAsia="Times New Roman"/>
          <w:color w:val="auto"/>
          <w:shd w:val="clear" w:color="auto" w:fill="FFFFFF"/>
        </w:rPr>
        <w:footnoteReference w:id="3"/>
      </w:r>
      <w:r w:rsidRPr="00DE16B4">
        <w:rPr>
          <w:rFonts w:eastAsia="Times New Roman"/>
          <w:color w:val="auto"/>
          <w:shd w:val="clear" w:color="auto" w:fill="FFFFFF"/>
        </w:rPr>
        <w:t xml:space="preserve"> Every organization, regardless of location and size, is therefore at risk </w:t>
      </w:r>
      <w:r w:rsidR="00F0021E" w:rsidRPr="00DE16B4">
        <w:rPr>
          <w:rFonts w:eastAsia="Times New Roman"/>
          <w:color w:val="auto"/>
          <w:shd w:val="clear" w:color="auto" w:fill="FFFFFF"/>
        </w:rPr>
        <w:t xml:space="preserve">of </w:t>
      </w:r>
      <w:r w:rsidRPr="00DE16B4">
        <w:rPr>
          <w:rFonts w:eastAsia="Times New Roman"/>
          <w:color w:val="auto"/>
          <w:shd w:val="clear" w:color="auto" w:fill="FFFFFF"/>
        </w:rPr>
        <w:t>experienc</w:t>
      </w:r>
      <w:r w:rsidR="00F0021E" w:rsidRPr="00DE16B4">
        <w:rPr>
          <w:rFonts w:eastAsia="Times New Roman"/>
          <w:color w:val="auto"/>
          <w:shd w:val="clear" w:color="auto" w:fill="FFFFFF"/>
        </w:rPr>
        <w:t>ing</w:t>
      </w:r>
      <w:r w:rsidRPr="00DE16B4">
        <w:rPr>
          <w:rFonts w:eastAsia="Times New Roman"/>
          <w:color w:val="auto"/>
          <w:shd w:val="clear" w:color="auto" w:fill="FFFFFF"/>
        </w:rPr>
        <w:t xml:space="preserve"> a cyberattack.</w:t>
      </w:r>
      <w:r w:rsidR="0094547B">
        <w:rPr>
          <w:rFonts w:eastAsia="Times New Roman"/>
          <w:color w:val="auto"/>
          <w:shd w:val="clear" w:color="auto" w:fill="FFFFFF"/>
        </w:rPr>
        <w:t xml:space="preserve"> </w:t>
      </w:r>
      <w:r w:rsidRPr="00DE16B4">
        <w:rPr>
          <w:rFonts w:eastAsia="Times New Roman"/>
          <w:color w:val="auto"/>
          <w:shd w:val="clear" w:color="auto" w:fill="FFFFFF"/>
        </w:rPr>
        <w:t>Many cyberattacks against businesses have been reported due to various state regulations.</w:t>
      </w:r>
      <w:r w:rsidR="00112D1C" w:rsidRPr="00DE16B4">
        <w:rPr>
          <w:rStyle w:val="FootnoteReference"/>
          <w:rFonts w:eastAsia="Times New Roman"/>
          <w:color w:val="auto"/>
          <w:shd w:val="clear" w:color="auto" w:fill="FFFFFF"/>
        </w:rPr>
        <w:footnoteReference w:id="4"/>
      </w:r>
    </w:p>
    <w:p w14:paraId="3409B303" w14:textId="77777777" w:rsidR="002C6B77" w:rsidRDefault="002C6B77" w:rsidP="002C6B77">
      <w:pPr>
        <w:shd w:val="clear" w:color="auto" w:fill="FFFFFF"/>
        <w:spacing w:after="0" w:line="480" w:lineRule="auto"/>
        <w:ind w:firstLine="720"/>
        <w:jc w:val="both"/>
        <w:rPr>
          <w:b/>
          <w:color w:val="auto"/>
          <w:shd w:val="clear" w:color="auto" w:fill="FFFFFF"/>
        </w:rPr>
      </w:pPr>
      <w:r w:rsidRPr="00DE16B4">
        <w:rPr>
          <w:b/>
          <w:color w:val="auto"/>
          <w:shd w:val="clear" w:color="auto" w:fill="FFFFFF"/>
        </w:rPr>
        <w:t xml:space="preserve">B. Cyber Attacks against Private Sector </w:t>
      </w:r>
    </w:p>
    <w:p w14:paraId="1DAB6857" w14:textId="4ECB6A1B" w:rsidR="00F81BC0" w:rsidRPr="00DE16B4" w:rsidRDefault="00F81BC0" w:rsidP="002C6B77">
      <w:pPr>
        <w:shd w:val="clear" w:color="auto" w:fill="FFFFFF"/>
        <w:spacing w:after="0" w:line="480" w:lineRule="auto"/>
        <w:ind w:firstLine="720"/>
        <w:jc w:val="both"/>
        <w:rPr>
          <w:b/>
          <w:color w:val="auto"/>
          <w:shd w:val="clear" w:color="auto" w:fill="FFFFFF"/>
        </w:rPr>
      </w:pPr>
      <w:r w:rsidRPr="00DE16B4">
        <w:rPr>
          <w:color w:val="auto"/>
          <w:shd w:val="clear" w:color="auto" w:fill="FFFFFF"/>
        </w:rPr>
        <w:t>The types of businesses attacked by cybercriminals</w:t>
      </w:r>
      <w:r w:rsidR="0005062B">
        <w:rPr>
          <w:color w:val="auto"/>
          <w:shd w:val="clear" w:color="auto" w:fill="FFFFFF"/>
        </w:rPr>
        <w:t xml:space="preserve"> are diverse. </w:t>
      </w:r>
      <w:r w:rsidRPr="00DE16B4">
        <w:rPr>
          <w:rFonts w:eastAsia="Times New Roman"/>
          <w:color w:val="auto"/>
        </w:rPr>
        <w:t>No company is immune from cyberattacks, from large Fortune 500 corporations to smaller ‘mom and pop’ businesses.</w:t>
      </w:r>
      <w:r w:rsidRPr="00DE16B4">
        <w:rPr>
          <w:rStyle w:val="FootnoteReference"/>
          <w:rFonts w:eastAsia="Times New Roman"/>
          <w:color w:val="auto"/>
        </w:rPr>
        <w:footnoteReference w:id="5"/>
      </w:r>
      <w:r w:rsidRPr="00DE16B4">
        <w:rPr>
          <w:rFonts w:eastAsia="Times New Roman"/>
          <w:color w:val="auto"/>
          <w:vertAlign w:val="superscript"/>
        </w:rPr>
        <w:t xml:space="preserve"> </w:t>
      </w:r>
      <w:r w:rsidRPr="00DE16B4">
        <w:rPr>
          <w:rFonts w:eastAsia="Times New Roman"/>
          <w:color w:val="auto"/>
        </w:rPr>
        <w:t>The protection of the confidential and proprietary information of a company, its clients</w:t>
      </w:r>
      <w:r>
        <w:rPr>
          <w:rFonts w:eastAsia="Times New Roman"/>
          <w:color w:val="auto"/>
        </w:rPr>
        <w:t>,</w:t>
      </w:r>
      <w:r w:rsidRPr="00DE16B4">
        <w:rPr>
          <w:rFonts w:eastAsia="Times New Roman"/>
          <w:color w:val="auto"/>
        </w:rPr>
        <w:t xml:space="preserve"> and its employees is crucial</w:t>
      </w:r>
      <w:r w:rsidRPr="003834A9">
        <w:rPr>
          <w:rFonts w:eastAsia="Times New Roman"/>
          <w:color w:val="auto"/>
        </w:rPr>
        <w:t xml:space="preserve">. The possible damage is far-reaching, as </w:t>
      </w:r>
      <w:r w:rsidR="00BD6D51" w:rsidRPr="003834A9">
        <w:rPr>
          <w:rFonts w:eastAsia="Times New Roman"/>
          <w:color w:val="auto"/>
        </w:rPr>
        <w:t>demonstrated in recent cyberattacks.</w:t>
      </w:r>
    </w:p>
    <w:p w14:paraId="7325543A" w14:textId="0917B480" w:rsidR="002C6B77" w:rsidRPr="00DE16B4" w:rsidRDefault="002C6B77" w:rsidP="002C6B77">
      <w:pPr>
        <w:shd w:val="clear" w:color="auto" w:fill="FFFFFF"/>
        <w:spacing w:after="0" w:line="480" w:lineRule="auto"/>
        <w:ind w:firstLine="720"/>
        <w:jc w:val="both"/>
        <w:rPr>
          <w:rFonts w:eastAsia="Times New Roman"/>
          <w:color w:val="auto"/>
        </w:rPr>
      </w:pPr>
      <w:r w:rsidRPr="00DE16B4">
        <w:rPr>
          <w:color w:val="auto"/>
          <w:shd w:val="clear" w:color="auto" w:fill="FFFFFF"/>
        </w:rPr>
        <w:t>I</w:t>
      </w:r>
      <w:r w:rsidRPr="00DE16B4">
        <w:rPr>
          <w:rFonts w:eastAsia="Times New Roman"/>
          <w:color w:val="auto"/>
        </w:rPr>
        <w:t>n July 2005, the first serial data breach of credit card numbers occurred when hackers hacked into the personal and financial systems of retailer TJX, owner of TJ Maxx stores, and used the information of at least 45.7 million customers to make fraudulent purchases.</w:t>
      </w:r>
      <w:r w:rsidRPr="00DE16B4">
        <w:rPr>
          <w:rStyle w:val="FootnoteReference"/>
          <w:rFonts w:eastAsia="Times New Roman"/>
          <w:color w:val="auto"/>
        </w:rPr>
        <w:footnoteReference w:id="6"/>
      </w:r>
      <w:r w:rsidRPr="00DE16B4">
        <w:rPr>
          <w:rFonts w:eastAsia="Times New Roman"/>
          <w:color w:val="auto"/>
        </w:rPr>
        <w:t> TJX did not discover the breaches until December 2006, fourteen months later, and did not disclose the breach until January 2007. As a result, complaints were filed against the company,</w:t>
      </w:r>
      <w:r w:rsidRPr="00DE16B4">
        <w:rPr>
          <w:rStyle w:val="FootnoteReference"/>
          <w:rFonts w:eastAsia="Times New Roman"/>
          <w:color w:val="auto"/>
        </w:rPr>
        <w:footnoteReference w:id="7"/>
      </w:r>
      <w:r w:rsidRPr="00DE16B4">
        <w:rPr>
          <w:rFonts w:eastAsia="Times New Roman"/>
          <w:color w:val="auto"/>
        </w:rPr>
        <w:t xml:space="preserve"> and a settlement agreement was approved in July 2008.</w:t>
      </w:r>
      <w:r w:rsidRPr="00DE16B4">
        <w:rPr>
          <w:rFonts w:eastAsia="Times New Roman"/>
          <w:color w:val="auto"/>
          <w:vertAlign w:val="superscript"/>
        </w:rPr>
        <w:t xml:space="preserve"> </w:t>
      </w:r>
      <w:r w:rsidRPr="00DE16B4">
        <w:rPr>
          <w:rFonts w:eastAsia="Times New Roman"/>
          <w:color w:val="auto"/>
        </w:rPr>
        <w:t>The agreement required TJX to pay $9.75 million to 41 states</w:t>
      </w:r>
      <w:r w:rsidR="00055D78">
        <w:rPr>
          <w:rFonts w:eastAsia="Times New Roman"/>
          <w:color w:val="auto"/>
        </w:rPr>
        <w:t xml:space="preserve"> and</w:t>
      </w:r>
      <w:r w:rsidRPr="00DE16B4">
        <w:rPr>
          <w:rFonts w:eastAsia="Times New Roman"/>
          <w:color w:val="auto"/>
        </w:rPr>
        <w:t xml:space="preserve"> improve </w:t>
      </w:r>
      <w:r w:rsidR="00055D78">
        <w:rPr>
          <w:rFonts w:eastAsia="Times New Roman"/>
          <w:color w:val="auto"/>
        </w:rPr>
        <w:t xml:space="preserve">its </w:t>
      </w:r>
      <w:r w:rsidRPr="00DE16B4">
        <w:rPr>
          <w:rFonts w:eastAsia="Times New Roman"/>
          <w:color w:val="auto"/>
        </w:rPr>
        <w:t>data security</w:t>
      </w:r>
      <w:r w:rsidR="00055D78">
        <w:rPr>
          <w:rFonts w:eastAsia="Times New Roman"/>
          <w:color w:val="auto"/>
        </w:rPr>
        <w:t xml:space="preserve"> practices</w:t>
      </w:r>
      <w:r w:rsidRPr="00DE16B4">
        <w:rPr>
          <w:rFonts w:eastAsia="Times New Roman"/>
          <w:color w:val="auto"/>
        </w:rPr>
        <w:t>.</w:t>
      </w:r>
      <w:r w:rsidRPr="00DE16B4">
        <w:rPr>
          <w:rStyle w:val="FootnoteReference"/>
          <w:rFonts w:eastAsia="Times New Roman"/>
          <w:color w:val="auto"/>
        </w:rPr>
        <w:footnoteReference w:id="8"/>
      </w:r>
      <w:r w:rsidRPr="00DE16B4">
        <w:rPr>
          <w:rFonts w:eastAsia="Times New Roman"/>
          <w:color w:val="auto"/>
          <w:vertAlign w:val="superscript"/>
        </w:rPr>
        <w:t xml:space="preserve"> </w:t>
      </w:r>
    </w:p>
    <w:p w14:paraId="7A1D229D" w14:textId="669D690C" w:rsidR="002C6B77" w:rsidRPr="00DE16B4" w:rsidRDefault="007C5299" w:rsidP="002C6B77">
      <w:pPr>
        <w:shd w:val="clear" w:color="auto" w:fill="FFFFFF"/>
        <w:spacing w:after="0" w:line="480" w:lineRule="auto"/>
        <w:ind w:firstLine="720"/>
        <w:jc w:val="both"/>
        <w:rPr>
          <w:rFonts w:eastAsia="Times New Roman"/>
          <w:color w:val="auto"/>
        </w:rPr>
      </w:pPr>
      <w:r>
        <w:rPr>
          <w:rFonts w:eastAsia="Times New Roman"/>
          <w:color w:val="auto"/>
        </w:rPr>
        <w:t>One of the largest data breaches</w:t>
      </w:r>
      <w:r w:rsidR="002C6B77" w:rsidRPr="00DE16B4">
        <w:rPr>
          <w:rFonts w:eastAsia="Times New Roman"/>
          <w:color w:val="auto"/>
        </w:rPr>
        <w:t xml:space="preserve"> </w:t>
      </w:r>
      <w:r>
        <w:rPr>
          <w:rFonts w:eastAsia="Times New Roman"/>
          <w:color w:val="auto"/>
        </w:rPr>
        <w:t xml:space="preserve">in the U.S. </w:t>
      </w:r>
      <w:r w:rsidR="002C6B77" w:rsidRPr="00DE16B4">
        <w:rPr>
          <w:rFonts w:eastAsia="Times New Roman"/>
          <w:color w:val="auto"/>
        </w:rPr>
        <w:t xml:space="preserve">to date exposed </w:t>
      </w:r>
      <w:r>
        <w:rPr>
          <w:rFonts w:eastAsia="Times New Roman"/>
          <w:color w:val="auto"/>
        </w:rPr>
        <w:t>over 3</w:t>
      </w:r>
      <w:r w:rsidR="002C6B77" w:rsidRPr="00DE16B4">
        <w:rPr>
          <w:rFonts w:eastAsia="Times New Roman"/>
          <w:color w:val="auto"/>
        </w:rPr>
        <w:t xml:space="preserve"> billion record</w:t>
      </w:r>
      <w:r w:rsidR="00E17447" w:rsidRPr="00DE16B4">
        <w:rPr>
          <w:rFonts w:eastAsia="Times New Roman"/>
          <w:color w:val="auto"/>
        </w:rPr>
        <w:t>s</w:t>
      </w:r>
      <w:r w:rsidR="002C6B77" w:rsidRPr="00DE16B4">
        <w:rPr>
          <w:rFonts w:eastAsia="Times New Roman"/>
          <w:color w:val="auto"/>
        </w:rPr>
        <w:t xml:space="preserve"> from Yahoo in 2013.</w:t>
      </w:r>
      <w:r w:rsidR="002C6B77" w:rsidRPr="00DE16B4">
        <w:rPr>
          <w:rStyle w:val="FootnoteReference"/>
          <w:rFonts w:eastAsia="Times New Roman"/>
          <w:color w:val="auto"/>
        </w:rPr>
        <w:footnoteReference w:id="9"/>
      </w:r>
      <w:r w:rsidR="002C6B77" w:rsidRPr="00DE16B4">
        <w:rPr>
          <w:rFonts w:eastAsia="Times New Roman"/>
          <w:color w:val="auto"/>
        </w:rPr>
        <w:t xml:space="preserve"> </w:t>
      </w:r>
      <w:r w:rsidR="00910F46">
        <w:rPr>
          <w:rFonts w:eastAsia="Times New Roman"/>
          <w:color w:val="auto"/>
        </w:rPr>
        <w:t xml:space="preserve">As </w:t>
      </w:r>
      <w:r w:rsidR="00D16307">
        <w:rPr>
          <w:rFonts w:eastAsia="Times New Roman"/>
          <w:color w:val="auto"/>
        </w:rPr>
        <w:t>the</w:t>
      </w:r>
      <w:r w:rsidR="00910F46">
        <w:rPr>
          <w:rFonts w:eastAsia="Times New Roman"/>
          <w:color w:val="auto"/>
        </w:rPr>
        <w:t xml:space="preserve"> resul</w:t>
      </w:r>
      <w:r w:rsidR="00A66515">
        <w:rPr>
          <w:rFonts w:eastAsia="Times New Roman"/>
          <w:color w:val="auto"/>
        </w:rPr>
        <w:t xml:space="preserve">t of a subsequent class-action lawsuit, </w:t>
      </w:r>
      <w:r w:rsidR="000C6D07">
        <w:rPr>
          <w:rFonts w:eastAsia="Times New Roman"/>
          <w:color w:val="auto"/>
        </w:rPr>
        <w:t>Yahoo agreed to pay for a settlement fund of $117,500,000 in 2023.</w:t>
      </w:r>
      <w:r w:rsidR="000C6D07">
        <w:rPr>
          <w:rStyle w:val="FootnoteReference"/>
          <w:rFonts w:eastAsia="Times New Roman"/>
          <w:color w:val="auto"/>
        </w:rPr>
        <w:footnoteReference w:id="10"/>
      </w:r>
      <w:r w:rsidR="00075966">
        <w:rPr>
          <w:rFonts w:eastAsia="Times New Roman"/>
          <w:color w:val="auto"/>
        </w:rPr>
        <w:t xml:space="preserve"> More recently, the Real Estate Wealth Network suffered a major data breach that exposed over 1.5 billion records</w:t>
      </w:r>
      <w:r w:rsidR="003D73D2">
        <w:rPr>
          <w:rFonts w:eastAsia="Times New Roman"/>
          <w:color w:val="auto"/>
        </w:rPr>
        <w:t xml:space="preserve"> of sensitive information, including details about several celebrities and politicians.</w:t>
      </w:r>
      <w:r w:rsidR="003D73D2">
        <w:rPr>
          <w:rStyle w:val="FootnoteReference"/>
          <w:rFonts w:eastAsia="Times New Roman"/>
          <w:color w:val="auto"/>
        </w:rPr>
        <w:footnoteReference w:id="11"/>
      </w:r>
      <w:r w:rsidR="003D73D2">
        <w:rPr>
          <w:rFonts w:eastAsia="Times New Roman"/>
          <w:color w:val="auto"/>
        </w:rPr>
        <w:t xml:space="preserve"> </w:t>
      </w:r>
      <w:r w:rsidR="00D928B9">
        <w:rPr>
          <w:rFonts w:eastAsia="Times New Roman"/>
          <w:color w:val="auto"/>
        </w:rPr>
        <w:t>This</w:t>
      </w:r>
      <w:r w:rsidR="005F67E5">
        <w:rPr>
          <w:rFonts w:eastAsia="Times New Roman"/>
          <w:color w:val="auto"/>
        </w:rPr>
        <w:t xml:space="preserve"> </w:t>
      </w:r>
      <w:r w:rsidR="00053A5C">
        <w:rPr>
          <w:rFonts w:eastAsia="Times New Roman"/>
          <w:color w:val="auto"/>
        </w:rPr>
        <w:t xml:space="preserve">type of </w:t>
      </w:r>
      <w:r w:rsidR="005F67E5">
        <w:rPr>
          <w:rFonts w:eastAsia="Times New Roman"/>
          <w:color w:val="auto"/>
        </w:rPr>
        <w:t xml:space="preserve">leaked information </w:t>
      </w:r>
      <w:r w:rsidR="00D928B9">
        <w:rPr>
          <w:rFonts w:eastAsia="Times New Roman"/>
          <w:color w:val="auto"/>
        </w:rPr>
        <w:t xml:space="preserve">often spreads to </w:t>
      </w:r>
      <w:r w:rsidR="005F67E5">
        <w:rPr>
          <w:rFonts w:eastAsia="Times New Roman"/>
          <w:color w:val="auto"/>
        </w:rPr>
        <w:t>cybercriminals</w:t>
      </w:r>
      <w:r w:rsidR="00D928B9">
        <w:rPr>
          <w:rFonts w:eastAsia="Times New Roman"/>
          <w:color w:val="auto"/>
        </w:rPr>
        <w:t xml:space="preserve"> on the dark web; this</w:t>
      </w:r>
      <w:r w:rsidR="005F67E5">
        <w:rPr>
          <w:rFonts w:eastAsia="Times New Roman"/>
          <w:color w:val="auto"/>
        </w:rPr>
        <w:t xml:space="preserve"> puts users’ online safety at risk.</w:t>
      </w:r>
      <w:r w:rsidR="005F67E5">
        <w:rPr>
          <w:rStyle w:val="FootnoteReference"/>
          <w:rFonts w:eastAsia="Times New Roman"/>
          <w:color w:val="auto"/>
        </w:rPr>
        <w:footnoteReference w:id="12"/>
      </w:r>
    </w:p>
    <w:p w14:paraId="70C98643" w14:textId="7B24F064" w:rsidR="002C6B77" w:rsidRPr="00DE16B4" w:rsidRDefault="00075966" w:rsidP="00691802">
      <w:pPr>
        <w:shd w:val="clear" w:color="auto" w:fill="FFFFFF"/>
        <w:spacing w:after="0" w:line="480" w:lineRule="auto"/>
        <w:jc w:val="both"/>
        <w:rPr>
          <w:rFonts w:eastAsia="Times New Roman"/>
          <w:b/>
          <w:color w:val="auto"/>
          <w:shd w:val="clear" w:color="auto" w:fill="FFFFFF"/>
        </w:rPr>
      </w:pPr>
      <w:r>
        <w:rPr>
          <w:rFonts w:eastAsia="Times New Roman"/>
          <w:color w:val="auto"/>
        </w:rPr>
        <w:tab/>
      </w:r>
      <w:r w:rsidR="002C6B77" w:rsidRPr="00DE16B4">
        <w:rPr>
          <w:rFonts w:eastAsia="Times New Roman"/>
          <w:color w:val="auto"/>
        </w:rPr>
        <w:tab/>
      </w:r>
      <w:r w:rsidR="002C6B77" w:rsidRPr="00DE16B4">
        <w:rPr>
          <w:rFonts w:eastAsia="Times New Roman"/>
          <w:b/>
          <w:color w:val="auto"/>
          <w:shd w:val="clear" w:color="auto" w:fill="FFFFFF"/>
        </w:rPr>
        <w:t xml:space="preserve">C. Small Businesses </w:t>
      </w:r>
      <w:r w:rsidR="00A83EC4" w:rsidRPr="00DE16B4">
        <w:rPr>
          <w:rFonts w:eastAsia="Times New Roman"/>
          <w:b/>
          <w:color w:val="auto"/>
          <w:shd w:val="clear" w:color="auto" w:fill="FFFFFF"/>
        </w:rPr>
        <w:t>and Cybersecurity Risks</w:t>
      </w:r>
    </w:p>
    <w:p w14:paraId="299292CE" w14:textId="662EF849" w:rsidR="002C6B77" w:rsidRPr="00DE16B4" w:rsidRDefault="00F81BC0" w:rsidP="00B12A1F">
      <w:pPr>
        <w:shd w:val="clear" w:color="auto" w:fill="FFFFFF"/>
        <w:spacing w:after="0" w:line="480" w:lineRule="auto"/>
        <w:ind w:firstLine="720"/>
        <w:jc w:val="both"/>
        <w:rPr>
          <w:color w:val="auto"/>
        </w:rPr>
      </w:pPr>
      <w:r w:rsidRPr="00DE16B4">
        <w:rPr>
          <w:rFonts w:eastAsia="Times New Roman"/>
          <w:color w:val="auto"/>
        </w:rPr>
        <w:t>While large companies have been more newsworthy targets for a cyberattack, cybercriminals are increasingly targeting small businesses.</w:t>
      </w:r>
      <w:r w:rsidRPr="00DE16B4">
        <w:rPr>
          <w:rStyle w:val="FootnoteReference"/>
          <w:rFonts w:eastAsia="Times New Roman"/>
          <w:color w:val="auto"/>
        </w:rPr>
        <w:footnoteReference w:id="13"/>
      </w:r>
      <w:r w:rsidRPr="00DE16B4">
        <w:rPr>
          <w:rFonts w:eastAsia="Times New Roman"/>
          <w:color w:val="auto"/>
        </w:rPr>
        <w:t xml:space="preserve"> </w:t>
      </w:r>
      <w:r w:rsidR="002C6B77" w:rsidRPr="00DE16B4">
        <w:rPr>
          <w:rFonts w:eastAsia="Times New Roman"/>
          <w:color w:val="auto"/>
          <w:shd w:val="clear" w:color="auto" w:fill="FFFFFF"/>
        </w:rPr>
        <w:t xml:space="preserve">Small businesses are </w:t>
      </w:r>
      <w:r w:rsidR="00C845C8">
        <w:rPr>
          <w:rFonts w:eastAsia="Times New Roman"/>
          <w:color w:val="auto"/>
          <w:shd w:val="clear" w:color="auto" w:fill="FFFFFF"/>
        </w:rPr>
        <w:t>enhancing their digital footprints</w:t>
      </w:r>
      <w:r w:rsidR="002C6B77" w:rsidRPr="00DE16B4">
        <w:rPr>
          <w:rFonts w:eastAsia="Times New Roman"/>
          <w:color w:val="auto"/>
          <w:shd w:val="clear" w:color="auto" w:fill="FFFFFF"/>
        </w:rPr>
        <w:t>, making them more desirable for cybercriminals.</w:t>
      </w:r>
      <w:r w:rsidR="00C845C8">
        <w:rPr>
          <w:rStyle w:val="FootnoteReference"/>
          <w:rFonts w:eastAsia="Times New Roman"/>
          <w:color w:val="auto"/>
          <w:shd w:val="clear" w:color="auto" w:fill="FFFFFF"/>
        </w:rPr>
        <w:footnoteReference w:id="14"/>
      </w:r>
      <w:r w:rsidR="00C845C8">
        <w:rPr>
          <w:rFonts w:eastAsia="Times New Roman"/>
          <w:color w:val="auto"/>
          <w:shd w:val="clear" w:color="auto" w:fill="FFFFFF"/>
        </w:rPr>
        <w:t xml:space="preserve"> </w:t>
      </w:r>
      <w:r w:rsidR="002C6B77" w:rsidRPr="00DE16B4">
        <w:rPr>
          <w:rFonts w:eastAsia="Times New Roman"/>
          <w:color w:val="auto"/>
        </w:rPr>
        <w:t xml:space="preserve">In fact, </w:t>
      </w:r>
      <w:r w:rsidR="006A37A5">
        <w:rPr>
          <w:rFonts w:eastAsia="Times New Roman"/>
          <w:color w:val="auto"/>
        </w:rPr>
        <w:t xml:space="preserve">a recent study of small and medium sized businesses shows that </w:t>
      </w:r>
      <w:r w:rsidR="007E610C">
        <w:rPr>
          <w:rFonts w:eastAsia="Times New Roman"/>
          <w:color w:val="auto"/>
        </w:rPr>
        <w:t>46% have experienced a cyberattack</w:t>
      </w:r>
      <w:r w:rsidR="002C6B77" w:rsidRPr="00DE16B4">
        <w:rPr>
          <w:rFonts w:eastAsia="Times New Roman"/>
          <w:color w:val="auto"/>
        </w:rPr>
        <w:t>.</w:t>
      </w:r>
      <w:r w:rsidR="002C6B77" w:rsidRPr="00DE16B4">
        <w:rPr>
          <w:rStyle w:val="FootnoteReference"/>
          <w:rFonts w:eastAsia="Times New Roman"/>
          <w:color w:val="auto"/>
        </w:rPr>
        <w:footnoteReference w:id="15"/>
      </w:r>
      <w:r w:rsidR="002C6B77" w:rsidRPr="00DE16B4">
        <w:rPr>
          <w:rFonts w:eastAsia="Times New Roman"/>
          <w:color w:val="auto"/>
        </w:rPr>
        <w:t xml:space="preserve">  </w:t>
      </w:r>
      <w:r w:rsidR="002C6B77" w:rsidRPr="00DE16B4">
        <w:rPr>
          <w:color w:val="auto"/>
        </w:rPr>
        <w:t xml:space="preserve">According to </w:t>
      </w:r>
      <w:r w:rsidR="00CA7242">
        <w:rPr>
          <w:color w:val="auto"/>
        </w:rPr>
        <w:t>a 2025</w:t>
      </w:r>
      <w:r w:rsidR="002C6B77" w:rsidRPr="00DE16B4">
        <w:rPr>
          <w:color w:val="auto"/>
        </w:rPr>
        <w:t xml:space="preserve"> Data Breach Investigations Report, </w:t>
      </w:r>
      <w:r w:rsidR="00645873" w:rsidRPr="00645873">
        <w:rPr>
          <w:color w:val="auto"/>
        </w:rPr>
        <w:t xml:space="preserve">there are almost four times the number of </w:t>
      </w:r>
      <w:r w:rsidR="00645873">
        <w:rPr>
          <w:color w:val="auto"/>
        </w:rPr>
        <w:t xml:space="preserve">small and medium business </w:t>
      </w:r>
      <w:r w:rsidR="00645873" w:rsidRPr="00645873">
        <w:rPr>
          <w:color w:val="auto"/>
        </w:rPr>
        <w:t>victims than there are large organizations</w:t>
      </w:r>
      <w:r w:rsidR="00645873">
        <w:rPr>
          <w:color w:val="auto"/>
        </w:rPr>
        <w:t>.</w:t>
      </w:r>
      <w:r w:rsidR="00645873">
        <w:rPr>
          <w:rStyle w:val="FootnoteReference"/>
          <w:color w:val="auto"/>
        </w:rPr>
        <w:footnoteReference w:id="16"/>
      </w:r>
      <w:r w:rsidR="00645873">
        <w:rPr>
          <w:color w:val="auto"/>
        </w:rPr>
        <w:t xml:space="preserve"> </w:t>
      </w:r>
      <w:r w:rsidR="007C4753">
        <w:rPr>
          <w:color w:val="auto"/>
        </w:rPr>
        <w:t>The</w:t>
      </w:r>
      <w:r w:rsidR="007C4753" w:rsidRPr="00DE16B4">
        <w:rPr>
          <w:color w:val="auto"/>
        </w:rPr>
        <w:t xml:space="preserve"> consequences of cyberattacks </w:t>
      </w:r>
      <w:r w:rsidR="007C4753">
        <w:rPr>
          <w:color w:val="auto"/>
        </w:rPr>
        <w:t>cannot be understated, as</w:t>
      </w:r>
      <w:r w:rsidR="007C4753" w:rsidRPr="00DE16B4">
        <w:rPr>
          <w:color w:val="auto"/>
        </w:rPr>
        <w:t xml:space="preserve"> </w:t>
      </w:r>
      <w:r w:rsidR="007C4753">
        <w:rPr>
          <w:rFonts w:eastAsia="Times New Roman"/>
          <w:color w:val="auto"/>
        </w:rPr>
        <w:t xml:space="preserve">one-fifth of small and medium businesses </w:t>
      </w:r>
      <w:r w:rsidR="00F736BF">
        <w:rPr>
          <w:rFonts w:eastAsia="Times New Roman"/>
          <w:color w:val="auto"/>
        </w:rPr>
        <w:t>that</w:t>
      </w:r>
      <w:r w:rsidR="007C4753">
        <w:rPr>
          <w:rFonts w:eastAsia="Times New Roman"/>
          <w:color w:val="auto"/>
        </w:rPr>
        <w:t xml:space="preserve"> suffered a cyberattack were found to have either filed for bankruptcy or closed their business as a result.</w:t>
      </w:r>
      <w:r w:rsidR="007C4753" w:rsidRPr="00DE16B4">
        <w:rPr>
          <w:rStyle w:val="FootnoteReference"/>
          <w:rFonts w:eastAsia="Times New Roman"/>
          <w:color w:val="auto"/>
        </w:rPr>
        <w:footnoteReference w:id="17"/>
      </w:r>
      <w:r w:rsidR="007C4753">
        <w:rPr>
          <w:rFonts w:eastAsia="Times New Roman"/>
          <w:color w:val="auto"/>
        </w:rPr>
        <w:t xml:space="preserve"> </w:t>
      </w:r>
      <w:r w:rsidR="00315346">
        <w:rPr>
          <w:color w:val="auto"/>
        </w:rPr>
        <w:t>N</w:t>
      </w:r>
      <w:r w:rsidR="00F0021E" w:rsidRPr="00DE16B4">
        <w:rPr>
          <w:color w:val="auto"/>
        </w:rPr>
        <w:t xml:space="preserve">etwork security leaders believe that business </w:t>
      </w:r>
      <w:r w:rsidR="002C6B77" w:rsidRPr="00DE16B4">
        <w:rPr>
          <w:color w:val="auto"/>
        </w:rPr>
        <w:t xml:space="preserve">owners increasingly need to start making </w:t>
      </w:r>
      <w:r w:rsidR="00F0021E" w:rsidRPr="00DE16B4">
        <w:rPr>
          <w:color w:val="auto"/>
        </w:rPr>
        <w:t>cyber</w:t>
      </w:r>
      <w:r w:rsidR="002C6B77" w:rsidRPr="00DE16B4">
        <w:rPr>
          <w:color w:val="auto"/>
        </w:rPr>
        <w:t>security a top priority.</w:t>
      </w:r>
      <w:r w:rsidR="002C6B77" w:rsidRPr="00DE16B4">
        <w:rPr>
          <w:rStyle w:val="FootnoteReference"/>
          <w:color w:val="auto"/>
        </w:rPr>
        <w:footnoteReference w:id="18"/>
      </w:r>
    </w:p>
    <w:p w14:paraId="7716B795" w14:textId="77777777" w:rsidR="002C6B77" w:rsidRPr="00DE16B4" w:rsidRDefault="0073181E" w:rsidP="002C6B77">
      <w:pPr>
        <w:shd w:val="clear" w:color="auto" w:fill="FFFFFF"/>
        <w:spacing w:after="0" w:line="480" w:lineRule="auto"/>
        <w:ind w:firstLine="720"/>
        <w:jc w:val="both"/>
        <w:rPr>
          <w:b/>
          <w:color w:val="auto"/>
        </w:rPr>
      </w:pPr>
      <w:r w:rsidRPr="00DE16B4">
        <w:rPr>
          <w:b/>
          <w:color w:val="auto"/>
        </w:rPr>
        <w:t>D</w:t>
      </w:r>
      <w:r w:rsidR="002C6B77" w:rsidRPr="00DE16B4">
        <w:rPr>
          <w:b/>
          <w:color w:val="auto"/>
        </w:rPr>
        <w:t xml:space="preserve">. Awareness and Risks Assessment </w:t>
      </w:r>
    </w:p>
    <w:p w14:paraId="03CAE80B" w14:textId="3910A753" w:rsidR="002C6B77" w:rsidRPr="00DE16B4" w:rsidRDefault="002C6B77" w:rsidP="007C4753">
      <w:pPr>
        <w:spacing w:after="0" w:line="480" w:lineRule="auto"/>
        <w:ind w:firstLine="720"/>
        <w:contextualSpacing/>
        <w:jc w:val="both"/>
        <w:rPr>
          <w:rFonts w:eastAsia="Times New Roman"/>
          <w:color w:val="auto"/>
        </w:rPr>
      </w:pPr>
      <w:r w:rsidRPr="00DE16B4">
        <w:rPr>
          <w:color w:val="auto"/>
          <w:shd w:val="clear" w:color="auto" w:fill="FFFFFF"/>
        </w:rPr>
        <w:t xml:space="preserve">Over the past few years, data protection has become a crucial economic, social and legal concern because of our increasing reliance on computers, internet-based information systems, and the threats of data breaches and privacy violations associated with cyberattacks. </w:t>
      </w:r>
      <w:r w:rsidRPr="00DE16B4">
        <w:rPr>
          <w:color w:val="auto"/>
        </w:rPr>
        <w:t xml:space="preserve">While the risk of cyberattacks </w:t>
      </w:r>
      <w:r w:rsidR="00FA37BE">
        <w:rPr>
          <w:color w:val="auto"/>
        </w:rPr>
        <w:t xml:space="preserve">is high, </w:t>
      </w:r>
      <w:r w:rsidR="008A39A6">
        <w:rPr>
          <w:color w:val="auto"/>
        </w:rPr>
        <w:t xml:space="preserve">small business practices </w:t>
      </w:r>
      <w:r w:rsidR="002452CA">
        <w:rPr>
          <w:color w:val="auto"/>
        </w:rPr>
        <w:t xml:space="preserve">appear insufficient to meet the relative risk. </w:t>
      </w:r>
      <w:r w:rsidRPr="00DE16B4">
        <w:rPr>
          <w:color w:val="auto"/>
        </w:rPr>
        <w:t>66% of senior decision-makers at small businesses still believe they’re unlikely to be targeted by online criminals.</w:t>
      </w:r>
      <w:r w:rsidR="0052680C">
        <w:rPr>
          <w:rStyle w:val="FootnoteReference"/>
          <w:color w:val="auto"/>
        </w:rPr>
        <w:footnoteReference w:id="19"/>
      </w:r>
      <w:r w:rsidRPr="00DE16B4">
        <w:rPr>
          <w:color w:val="auto"/>
        </w:rPr>
        <w:t xml:space="preserve"> Similarly, 6 in 10 have no digital defense plan in place,</w:t>
      </w:r>
      <w:r w:rsidR="00FE41D5" w:rsidRPr="00FE41D5">
        <w:rPr>
          <w:rStyle w:val="FootnoteReference"/>
          <w:color w:val="auto"/>
        </w:rPr>
        <w:t xml:space="preserve"> </w:t>
      </w:r>
      <w:r w:rsidR="00FE41D5" w:rsidRPr="00DE16B4">
        <w:rPr>
          <w:rStyle w:val="FootnoteReference"/>
          <w:color w:val="auto"/>
        </w:rPr>
        <w:footnoteReference w:id="20"/>
      </w:r>
      <w:r w:rsidR="00FE41D5" w:rsidRPr="00DE16B4">
        <w:rPr>
          <w:rFonts w:eastAsia="Times New Roman"/>
          <w:color w:val="auto"/>
        </w:rPr>
        <w:t xml:space="preserve"> </w:t>
      </w:r>
      <w:r w:rsidRPr="00DE16B4">
        <w:rPr>
          <w:color w:val="auto"/>
        </w:rPr>
        <w:t>underscoring the need for heightened industry awareness and education across the board.</w:t>
      </w:r>
      <w:r w:rsidRPr="00DE16B4">
        <w:rPr>
          <w:rStyle w:val="FootnoteReference"/>
          <w:color w:val="auto"/>
        </w:rPr>
        <w:footnoteReference w:id="21"/>
      </w:r>
      <w:r w:rsidRPr="00DE16B4">
        <w:rPr>
          <w:rFonts w:eastAsia="Times New Roman"/>
          <w:color w:val="auto"/>
        </w:rPr>
        <w:t xml:space="preserve"> Further, nearly half (45%) of </w:t>
      </w:r>
      <w:r w:rsidR="002F3FDB">
        <w:rPr>
          <w:rFonts w:eastAsia="Times New Roman"/>
          <w:color w:val="auto"/>
        </w:rPr>
        <w:t xml:space="preserve">a </w:t>
      </w:r>
      <w:r w:rsidRPr="00DE16B4">
        <w:rPr>
          <w:rFonts w:eastAsia="Times New Roman"/>
          <w:color w:val="auto"/>
        </w:rPr>
        <w:t>2,000 respondent</w:t>
      </w:r>
      <w:r w:rsidR="002F3FDB">
        <w:rPr>
          <w:rFonts w:eastAsia="Times New Roman"/>
          <w:color w:val="auto"/>
        </w:rPr>
        <w:t xml:space="preserve"> survey</w:t>
      </w:r>
      <w:r w:rsidRPr="00DE16B4">
        <w:rPr>
          <w:rFonts w:eastAsia="Times New Roman"/>
          <w:color w:val="auto"/>
        </w:rPr>
        <w:t xml:space="preserve"> described their organization's IT posture as ineffective, with 39% reporting they have no incident response plan in place.</w:t>
      </w:r>
      <w:r w:rsidRPr="00DE16B4">
        <w:rPr>
          <w:rStyle w:val="FootnoteReference"/>
          <w:rFonts w:eastAsia="Times New Roman"/>
          <w:color w:val="auto"/>
        </w:rPr>
        <w:footnoteReference w:id="22"/>
      </w:r>
      <w:r w:rsidRPr="00DE16B4">
        <w:rPr>
          <w:rFonts w:eastAsia="Times New Roman"/>
          <w:color w:val="auto"/>
        </w:rPr>
        <w:t xml:space="preserve"> </w:t>
      </w:r>
      <w:r w:rsidR="00211ADB">
        <w:rPr>
          <w:rFonts w:eastAsia="Times New Roman"/>
          <w:color w:val="auto"/>
        </w:rPr>
        <w:t>Meanwhile, 72</w:t>
      </w:r>
      <w:r w:rsidR="00E45082">
        <w:rPr>
          <w:rFonts w:eastAsia="Times New Roman"/>
          <w:color w:val="auto"/>
        </w:rPr>
        <w:t>%</w:t>
      </w:r>
      <w:r w:rsidR="00211ADB">
        <w:rPr>
          <w:rFonts w:eastAsia="Times New Roman"/>
          <w:color w:val="auto"/>
        </w:rPr>
        <w:t xml:space="preserve"> of small and medium businesses without cyber insurance say that a major cyberattack could destroy their business</w:t>
      </w:r>
      <w:r w:rsidR="007F062C">
        <w:rPr>
          <w:rFonts w:eastAsia="Times New Roman"/>
          <w:color w:val="auto"/>
        </w:rPr>
        <w:t>,</w:t>
      </w:r>
      <w:r w:rsidR="00211ADB">
        <w:rPr>
          <w:rStyle w:val="FootnoteReference"/>
          <w:rFonts w:eastAsia="Times New Roman"/>
          <w:color w:val="auto"/>
        </w:rPr>
        <w:footnoteReference w:id="23"/>
      </w:r>
      <w:r w:rsidR="00211ADB">
        <w:rPr>
          <w:rFonts w:eastAsia="Times New Roman"/>
          <w:color w:val="auto"/>
        </w:rPr>
        <w:t xml:space="preserve"> </w:t>
      </w:r>
      <w:r w:rsidR="002625CE">
        <w:rPr>
          <w:rFonts w:eastAsia="Times New Roman"/>
          <w:color w:val="auto"/>
        </w:rPr>
        <w:t xml:space="preserve">and only </w:t>
      </w:r>
      <w:r w:rsidR="00121F90">
        <w:rPr>
          <w:rFonts w:eastAsia="Times New Roman"/>
          <w:color w:val="auto"/>
        </w:rPr>
        <w:t>17</w:t>
      </w:r>
      <w:r w:rsidR="002625CE">
        <w:rPr>
          <w:rFonts w:eastAsia="Times New Roman"/>
          <w:color w:val="auto"/>
        </w:rPr>
        <w:t>% of small business owners in the US report having cyber insurance.</w:t>
      </w:r>
      <w:r w:rsidR="002625CE">
        <w:rPr>
          <w:rStyle w:val="FootnoteReference"/>
          <w:rFonts w:eastAsia="Times New Roman"/>
          <w:color w:val="auto"/>
        </w:rPr>
        <w:footnoteReference w:id="24"/>
      </w:r>
      <w:r w:rsidR="002625CE">
        <w:rPr>
          <w:rFonts w:eastAsia="Times New Roman"/>
          <w:color w:val="auto"/>
        </w:rPr>
        <w:t xml:space="preserve"> </w:t>
      </w:r>
      <w:r w:rsidR="007C4E5D">
        <w:rPr>
          <w:rFonts w:eastAsia="Times New Roman"/>
          <w:color w:val="auto"/>
          <w:shd w:val="clear" w:color="auto" w:fill="FFFFFF"/>
        </w:rPr>
        <w:t xml:space="preserve">Many </w:t>
      </w:r>
      <w:r w:rsidR="007C4E5D" w:rsidRPr="00DE16B4">
        <w:rPr>
          <w:rFonts w:eastAsia="Times New Roman"/>
          <w:color w:val="auto"/>
          <w:shd w:val="clear" w:color="auto" w:fill="FFFFFF"/>
        </w:rPr>
        <w:t>victims cut their losses and quietly pay</w:t>
      </w:r>
      <w:r w:rsidR="00124CA7">
        <w:rPr>
          <w:rFonts w:eastAsia="Times New Roman"/>
          <w:color w:val="auto"/>
          <w:shd w:val="clear" w:color="auto" w:fill="FFFFFF"/>
        </w:rPr>
        <w:t xml:space="preserve"> </w:t>
      </w:r>
      <w:r w:rsidR="007C4E5D" w:rsidRPr="00DE16B4">
        <w:rPr>
          <w:rFonts w:eastAsia="Times New Roman"/>
          <w:color w:val="auto"/>
          <w:shd w:val="clear" w:color="auto" w:fill="FFFFFF"/>
        </w:rPr>
        <w:t>off their attackers without notifying authorities</w:t>
      </w:r>
      <w:r w:rsidR="00124CA7">
        <w:rPr>
          <w:rFonts w:eastAsia="Times New Roman"/>
          <w:color w:val="auto"/>
          <w:shd w:val="clear" w:color="auto" w:fill="FFFFFF"/>
        </w:rPr>
        <w:t xml:space="preserve">, further endangering </w:t>
      </w:r>
      <w:r w:rsidR="00E4047C">
        <w:rPr>
          <w:rFonts w:eastAsia="Times New Roman"/>
          <w:color w:val="auto"/>
          <w:shd w:val="clear" w:color="auto" w:fill="FFFFFF"/>
        </w:rPr>
        <w:t>individuals’ public information</w:t>
      </w:r>
      <w:r w:rsidR="007C4E5D" w:rsidRPr="00DE16B4">
        <w:rPr>
          <w:rFonts w:eastAsia="Times New Roman"/>
          <w:color w:val="auto"/>
          <w:shd w:val="clear" w:color="auto" w:fill="FFFFFF"/>
        </w:rPr>
        <w:t>.</w:t>
      </w:r>
      <w:r w:rsidR="007C4E5D" w:rsidRPr="00DE16B4">
        <w:rPr>
          <w:rStyle w:val="FootnoteReference"/>
          <w:rFonts w:eastAsia="Times New Roman"/>
          <w:color w:val="auto"/>
          <w:shd w:val="clear" w:color="auto" w:fill="FFFFFF"/>
        </w:rPr>
        <w:footnoteReference w:id="25"/>
      </w:r>
    </w:p>
    <w:p w14:paraId="1A3492B7" w14:textId="19B4A82D" w:rsidR="002C6B77" w:rsidRPr="00DE16B4" w:rsidRDefault="007A2466" w:rsidP="002C6B77">
      <w:pPr>
        <w:spacing w:after="0" w:line="480" w:lineRule="auto"/>
        <w:ind w:firstLine="360"/>
        <w:contextualSpacing/>
        <w:jc w:val="both"/>
        <w:rPr>
          <w:b/>
          <w:color w:val="auto"/>
        </w:rPr>
      </w:pPr>
      <w:r>
        <w:rPr>
          <w:b/>
          <w:color w:val="auto"/>
          <w:shd w:val="clear" w:color="auto" w:fill="FFFFFF"/>
        </w:rPr>
        <w:t>E</w:t>
      </w:r>
      <w:r w:rsidR="002C6B77" w:rsidRPr="00DE16B4">
        <w:rPr>
          <w:b/>
          <w:color w:val="auto"/>
          <w:shd w:val="clear" w:color="auto" w:fill="FFFFFF"/>
        </w:rPr>
        <w:t>.</w:t>
      </w:r>
      <w:r w:rsidR="00C1213B">
        <w:rPr>
          <w:b/>
          <w:color w:val="auto"/>
          <w:shd w:val="clear" w:color="auto" w:fill="FFFFFF"/>
        </w:rPr>
        <w:t xml:space="preserve"> </w:t>
      </w:r>
      <w:r w:rsidR="002C6B77" w:rsidRPr="00DE16B4">
        <w:rPr>
          <w:b/>
          <w:color w:val="auto"/>
          <w:shd w:val="clear" w:color="auto" w:fill="FFFFFF"/>
        </w:rPr>
        <w:t xml:space="preserve">Rise </w:t>
      </w:r>
      <w:r w:rsidR="00FE2D77" w:rsidRPr="00DE16B4">
        <w:rPr>
          <w:b/>
          <w:color w:val="auto"/>
          <w:shd w:val="clear" w:color="auto" w:fill="FFFFFF"/>
        </w:rPr>
        <w:t>i</w:t>
      </w:r>
      <w:r w:rsidR="002C6B77" w:rsidRPr="00DE16B4">
        <w:rPr>
          <w:b/>
          <w:color w:val="auto"/>
          <w:shd w:val="clear" w:color="auto" w:fill="FFFFFF"/>
        </w:rPr>
        <w:t xml:space="preserve">n Cyberattacks </w:t>
      </w:r>
    </w:p>
    <w:p w14:paraId="6DED2A1B" w14:textId="30BE4425" w:rsidR="002C6B77" w:rsidRPr="00DE16B4" w:rsidRDefault="002C6B77" w:rsidP="002C6B77">
      <w:pPr>
        <w:spacing w:after="0" w:line="480" w:lineRule="auto"/>
        <w:contextualSpacing/>
        <w:jc w:val="both"/>
        <w:rPr>
          <w:rFonts w:eastAsia="Times New Roman"/>
          <w:color w:val="auto"/>
        </w:rPr>
      </w:pPr>
      <w:r w:rsidRPr="00DE16B4">
        <w:rPr>
          <w:b/>
          <w:color w:val="auto"/>
        </w:rPr>
        <w:tab/>
      </w:r>
      <w:r w:rsidR="00AB0A18">
        <w:rPr>
          <w:bCs/>
          <w:color w:val="auto"/>
        </w:rPr>
        <w:t>Since 2022, small businesses have experienced a 28% increase in cyberattacks</w:t>
      </w:r>
      <w:r w:rsidR="00715F26">
        <w:rPr>
          <w:bCs/>
          <w:color w:val="auto"/>
        </w:rPr>
        <w:t>.</w:t>
      </w:r>
      <w:r w:rsidR="00715F26">
        <w:rPr>
          <w:rStyle w:val="FootnoteReference"/>
          <w:bCs/>
          <w:color w:val="auto"/>
        </w:rPr>
        <w:footnoteReference w:id="26"/>
      </w:r>
      <w:r w:rsidR="00715F26">
        <w:rPr>
          <w:bCs/>
          <w:color w:val="auto"/>
        </w:rPr>
        <w:t xml:space="preserve"> </w:t>
      </w:r>
      <w:r w:rsidR="009B3D1E">
        <w:rPr>
          <w:bCs/>
          <w:color w:val="auto"/>
        </w:rPr>
        <w:t>In 2024</w:t>
      </w:r>
      <w:r w:rsidR="003D1E7C">
        <w:rPr>
          <w:bCs/>
          <w:color w:val="auto"/>
        </w:rPr>
        <w:t>,</w:t>
      </w:r>
      <w:r w:rsidR="009B3D1E">
        <w:rPr>
          <w:bCs/>
          <w:color w:val="auto"/>
        </w:rPr>
        <w:t xml:space="preserve"> there was also a sharp increase in phishing and social engineering attacks across the private sector.</w:t>
      </w:r>
      <w:r w:rsidR="009B3D1E">
        <w:rPr>
          <w:rStyle w:val="FootnoteReference"/>
          <w:bCs/>
          <w:color w:val="auto"/>
        </w:rPr>
        <w:footnoteReference w:id="27"/>
      </w:r>
      <w:r w:rsidR="009B3D1E">
        <w:rPr>
          <w:bCs/>
          <w:color w:val="auto"/>
        </w:rPr>
        <w:t xml:space="preserve"> </w:t>
      </w:r>
      <w:r w:rsidRPr="00DE16B4">
        <w:rPr>
          <w:rFonts w:eastAsia="Times New Roman"/>
          <w:color w:val="auto"/>
          <w:shd w:val="clear" w:color="auto" w:fill="FFFFFF"/>
        </w:rPr>
        <w:t xml:space="preserve">There are a number of factors that </w:t>
      </w:r>
      <w:r w:rsidR="009B3D1E">
        <w:rPr>
          <w:rFonts w:eastAsia="Times New Roman"/>
          <w:color w:val="auto"/>
          <w:shd w:val="clear" w:color="auto" w:fill="FFFFFF"/>
        </w:rPr>
        <w:t xml:space="preserve">are contributing to these alarming trends. </w:t>
      </w:r>
      <w:r w:rsidR="00307030">
        <w:rPr>
          <w:rFonts w:eastAsia="Times New Roman"/>
          <w:color w:val="auto"/>
          <w:shd w:val="clear" w:color="auto" w:fill="FFFFFF"/>
        </w:rPr>
        <w:t>For small businesses, it remains the case that too many small</w:t>
      </w:r>
      <w:r w:rsidR="00CF56EB">
        <w:rPr>
          <w:rFonts w:eastAsia="Times New Roman"/>
          <w:color w:val="auto"/>
          <w:shd w:val="clear" w:color="auto" w:fill="FFFFFF"/>
        </w:rPr>
        <w:t>-business owners belie</w:t>
      </w:r>
      <w:r w:rsidR="003D1E7C">
        <w:rPr>
          <w:rFonts w:eastAsia="Times New Roman"/>
          <w:color w:val="auto"/>
          <w:shd w:val="clear" w:color="auto" w:fill="FFFFFF"/>
        </w:rPr>
        <w:t>ve</w:t>
      </w:r>
      <w:r w:rsidR="00CF56EB">
        <w:rPr>
          <w:rFonts w:eastAsia="Times New Roman"/>
          <w:color w:val="auto"/>
          <w:shd w:val="clear" w:color="auto" w:fill="FFFFFF"/>
        </w:rPr>
        <w:t xml:space="preserve"> that their organizations are too small to be targeted.</w:t>
      </w:r>
      <w:r w:rsidR="00CF56EB">
        <w:rPr>
          <w:rStyle w:val="FootnoteReference"/>
          <w:rFonts w:eastAsia="Times New Roman"/>
          <w:color w:val="auto"/>
          <w:shd w:val="clear" w:color="auto" w:fill="FFFFFF"/>
        </w:rPr>
        <w:footnoteReference w:id="28"/>
      </w:r>
      <w:r w:rsidRPr="00DE16B4">
        <w:rPr>
          <w:rFonts w:eastAsia="Times New Roman"/>
          <w:color w:val="auto"/>
          <w:shd w:val="clear" w:color="auto" w:fill="FFFFFF"/>
        </w:rPr>
        <w:t xml:space="preserve"> </w:t>
      </w:r>
      <w:r w:rsidR="00795976">
        <w:rPr>
          <w:rFonts w:eastAsia="Times New Roman"/>
          <w:color w:val="auto"/>
          <w:shd w:val="clear" w:color="auto" w:fill="FFFFFF"/>
        </w:rPr>
        <w:t>Another factor is the chan</w:t>
      </w:r>
      <w:r w:rsidR="009F7CCD">
        <w:rPr>
          <w:rFonts w:eastAsia="Times New Roman"/>
          <w:color w:val="auto"/>
          <w:shd w:val="clear" w:color="auto" w:fill="FFFFFF"/>
        </w:rPr>
        <w:t>g</w:t>
      </w:r>
      <w:r w:rsidR="00795976">
        <w:rPr>
          <w:rFonts w:eastAsia="Times New Roman"/>
          <w:color w:val="auto"/>
          <w:shd w:val="clear" w:color="auto" w:fill="FFFFFF"/>
        </w:rPr>
        <w:t>e in the digital</w:t>
      </w:r>
      <w:r w:rsidR="00311ACD">
        <w:rPr>
          <w:rFonts w:eastAsia="Times New Roman"/>
          <w:color w:val="auto"/>
          <w:shd w:val="clear" w:color="auto" w:fill="FFFFFF"/>
        </w:rPr>
        <w:t xml:space="preserve"> and technical</w:t>
      </w:r>
      <w:r w:rsidR="00795976">
        <w:rPr>
          <w:rFonts w:eastAsia="Times New Roman"/>
          <w:color w:val="auto"/>
          <w:shd w:val="clear" w:color="auto" w:fill="FFFFFF"/>
        </w:rPr>
        <w:t xml:space="preserve"> landscape</w:t>
      </w:r>
      <w:r w:rsidR="00807F01">
        <w:rPr>
          <w:rFonts w:eastAsia="Times New Roman"/>
          <w:color w:val="auto"/>
          <w:shd w:val="clear" w:color="auto" w:fill="FFFFFF"/>
        </w:rPr>
        <w:t>; in</w:t>
      </w:r>
      <w:r w:rsidRPr="00DE16B4">
        <w:rPr>
          <w:rFonts w:eastAsia="Times New Roman"/>
          <w:color w:val="auto"/>
          <w:shd w:val="clear" w:color="auto" w:fill="FFFFFF"/>
        </w:rPr>
        <w:t xml:space="preserve"> the early 2000s, most threats were indiscriminate and designed to simply cause disturbance</w:t>
      </w:r>
      <w:r w:rsidR="00311ACD">
        <w:rPr>
          <w:rFonts w:eastAsia="Times New Roman"/>
          <w:color w:val="auto"/>
          <w:shd w:val="clear" w:color="auto" w:fill="FFFFFF"/>
        </w:rPr>
        <w:t>.</w:t>
      </w:r>
      <w:r w:rsidRPr="00DE16B4">
        <w:rPr>
          <w:rStyle w:val="FootnoteReference"/>
          <w:rFonts w:eastAsia="Times New Roman"/>
          <w:color w:val="auto"/>
          <w:shd w:val="clear" w:color="auto" w:fill="FFFFFF"/>
        </w:rPr>
        <w:footnoteReference w:id="29"/>
      </w:r>
      <w:r w:rsidRPr="00DE16B4">
        <w:rPr>
          <w:rFonts w:eastAsia="Times New Roman"/>
          <w:color w:val="auto"/>
          <w:shd w:val="clear" w:color="auto" w:fill="FFFFFF"/>
        </w:rPr>
        <w:t xml:space="preserve"> </w:t>
      </w:r>
      <w:r w:rsidR="00311ACD">
        <w:rPr>
          <w:rFonts w:eastAsia="Times New Roman"/>
          <w:color w:val="auto"/>
          <w:shd w:val="clear" w:color="auto" w:fill="FFFFFF"/>
        </w:rPr>
        <w:t xml:space="preserve">However, </w:t>
      </w:r>
      <w:r w:rsidRPr="00DE16B4">
        <w:rPr>
          <w:rFonts w:eastAsia="Times New Roman"/>
          <w:color w:val="auto"/>
          <w:shd w:val="clear" w:color="auto" w:fill="FFFFFF"/>
        </w:rPr>
        <w:t>threats became more targeted as organized crime groups breached systems for monetary gain and unfriendly nation-states breached systems to gain intelligence and intellectual property.</w:t>
      </w:r>
      <w:r w:rsidR="00B536AB">
        <w:rPr>
          <w:rStyle w:val="FootnoteReference"/>
          <w:rFonts w:eastAsia="Times New Roman"/>
          <w:color w:val="auto"/>
          <w:shd w:val="clear" w:color="auto" w:fill="FFFFFF"/>
        </w:rPr>
        <w:footnoteReference w:id="30"/>
      </w:r>
      <w:r w:rsidRPr="00DE16B4">
        <w:rPr>
          <w:rFonts w:eastAsia="Times New Roman"/>
          <w:color w:val="auto"/>
          <w:shd w:val="clear" w:color="auto" w:fill="FFFFFF"/>
        </w:rPr>
        <w:t> Another factor is that “[a]s the cost of technology decreases, the barriers to entry for cybercrime drop, making it easier and cheaper for criminals of all types to seek out new ways to perpetrate cyber fraud.”</w:t>
      </w:r>
      <w:r w:rsidRPr="00DE16B4">
        <w:rPr>
          <w:rStyle w:val="FootnoteReference"/>
          <w:rFonts w:eastAsia="Times New Roman"/>
          <w:color w:val="auto"/>
          <w:shd w:val="clear" w:color="auto" w:fill="FFFFFF"/>
        </w:rPr>
        <w:footnoteReference w:id="31"/>
      </w:r>
      <w:r w:rsidRPr="00DE16B4">
        <w:rPr>
          <w:rFonts w:eastAsia="Times New Roman"/>
          <w:color w:val="auto"/>
          <w:shd w:val="clear" w:color="auto" w:fill="FFFFFF"/>
        </w:rPr>
        <w:t> </w:t>
      </w:r>
      <w:r w:rsidR="00311ACD">
        <w:rPr>
          <w:rFonts w:eastAsia="Times New Roman"/>
          <w:color w:val="auto"/>
          <w:shd w:val="clear" w:color="auto" w:fill="FFFFFF"/>
        </w:rPr>
        <w:t xml:space="preserve">This trend has been </w:t>
      </w:r>
      <w:r w:rsidR="00104000">
        <w:rPr>
          <w:rFonts w:eastAsia="Times New Roman"/>
          <w:color w:val="auto"/>
          <w:shd w:val="clear" w:color="auto" w:fill="FFFFFF"/>
        </w:rPr>
        <w:t>exacerbated by generative artificial intelligence, which has enabled more sophisticated and scalable attacks.</w:t>
      </w:r>
      <w:r w:rsidR="003F74C2">
        <w:rPr>
          <w:rStyle w:val="FootnoteReference"/>
          <w:rFonts w:eastAsia="Times New Roman"/>
          <w:color w:val="auto"/>
          <w:shd w:val="clear" w:color="auto" w:fill="FFFFFF"/>
        </w:rPr>
        <w:footnoteReference w:id="32"/>
      </w:r>
      <w:r w:rsidRPr="00DE16B4">
        <w:rPr>
          <w:rFonts w:eastAsia="Times New Roman"/>
          <w:color w:val="auto"/>
          <w:shd w:val="clear" w:color="auto" w:fill="FFFFFF"/>
        </w:rPr>
        <w:t xml:space="preserve"> </w:t>
      </w:r>
    </w:p>
    <w:p w14:paraId="32B0919B" w14:textId="03EB09D7" w:rsidR="00424512" w:rsidRPr="00DE16B4" w:rsidRDefault="770A0F16" w:rsidP="00424512">
      <w:pPr>
        <w:spacing w:after="0" w:line="480" w:lineRule="auto"/>
        <w:ind w:firstLine="360"/>
        <w:contextualSpacing/>
        <w:jc w:val="both"/>
        <w:rPr>
          <w:b/>
          <w:bCs/>
          <w:color w:val="auto"/>
        </w:rPr>
      </w:pPr>
      <w:r w:rsidRPr="770A0F16">
        <w:rPr>
          <w:rFonts w:eastAsia="Times New Roman"/>
          <w:b/>
          <w:bCs/>
          <w:color w:val="auto"/>
        </w:rPr>
        <w:t xml:space="preserve">F. </w:t>
      </w:r>
      <w:r w:rsidR="007A2466">
        <w:tab/>
      </w:r>
      <w:r w:rsidRPr="770A0F16">
        <w:rPr>
          <w:b/>
          <w:bCs/>
          <w:color w:val="auto"/>
        </w:rPr>
        <w:t>Regulations Related to Cybersecurity</w:t>
      </w:r>
    </w:p>
    <w:p w14:paraId="305C3305" w14:textId="77777777" w:rsidR="002C6B77" w:rsidRDefault="002C6B77" w:rsidP="002C6B77">
      <w:pPr>
        <w:pStyle w:val="ListParagraph"/>
        <w:numPr>
          <w:ilvl w:val="0"/>
          <w:numId w:val="2"/>
        </w:numPr>
        <w:spacing w:line="480" w:lineRule="auto"/>
        <w:jc w:val="both"/>
        <w:rPr>
          <w:b/>
          <w:color w:val="auto"/>
        </w:rPr>
      </w:pPr>
      <w:r w:rsidRPr="00DE16B4">
        <w:rPr>
          <w:b/>
          <w:color w:val="auto"/>
        </w:rPr>
        <w:t>Federal Regulations</w:t>
      </w:r>
    </w:p>
    <w:p w14:paraId="12CF999C" w14:textId="330A9BD6" w:rsidR="00590BF0" w:rsidRPr="00F72D5E" w:rsidRDefault="00590BF0" w:rsidP="00691802">
      <w:pPr>
        <w:pStyle w:val="ListParagraph"/>
        <w:numPr>
          <w:ilvl w:val="0"/>
          <w:numId w:val="5"/>
        </w:numPr>
        <w:spacing w:line="480" w:lineRule="auto"/>
        <w:jc w:val="both"/>
        <w:rPr>
          <w:b/>
          <w:color w:val="auto"/>
        </w:rPr>
      </w:pPr>
      <w:r w:rsidRPr="00F72D5E">
        <w:rPr>
          <w:b/>
          <w:color w:val="auto"/>
        </w:rPr>
        <w:t>Health Insurance Portability and Accountability Act</w:t>
      </w:r>
    </w:p>
    <w:p w14:paraId="5C1E15CA" w14:textId="58C3454B" w:rsidR="002C6B77" w:rsidRPr="00DE16B4" w:rsidRDefault="002C6B77" w:rsidP="002C6B77">
      <w:pPr>
        <w:spacing w:line="480" w:lineRule="auto"/>
        <w:ind w:firstLine="720"/>
        <w:jc w:val="both"/>
        <w:rPr>
          <w:color w:val="auto"/>
        </w:rPr>
      </w:pPr>
      <w:r w:rsidRPr="00DE16B4">
        <w:rPr>
          <w:color w:val="auto"/>
        </w:rPr>
        <w:t>There are only a few sector-specific federal laws intended to protect information systems. The first federal legislation covered the healthcare industry, the Health Insurance Portability and Accountability Act of 1996 (</w:t>
      </w:r>
      <w:r w:rsidR="00582C35">
        <w:rPr>
          <w:color w:val="auto"/>
        </w:rPr>
        <w:t>‘</w:t>
      </w:r>
      <w:r w:rsidRPr="00DE16B4">
        <w:rPr>
          <w:color w:val="auto"/>
        </w:rPr>
        <w:t>HIPAA</w:t>
      </w:r>
      <w:r w:rsidR="00582C35">
        <w:rPr>
          <w:color w:val="auto"/>
        </w:rPr>
        <w:t>’</w:t>
      </w:r>
      <w:r w:rsidRPr="00DE16B4">
        <w:rPr>
          <w:color w:val="auto"/>
        </w:rPr>
        <w:t>),</w:t>
      </w:r>
      <w:r w:rsidRPr="00DE16B4">
        <w:rPr>
          <w:rStyle w:val="FootnoteReference"/>
          <w:color w:val="auto"/>
        </w:rPr>
        <w:footnoteReference w:id="33"/>
      </w:r>
      <w:r w:rsidRPr="00DE16B4">
        <w:rPr>
          <w:color w:val="auto"/>
        </w:rPr>
        <w:t> and established a set of national standards that protect individually identifiable health information through the Privacy Rule</w:t>
      </w:r>
      <w:r w:rsidR="00F12691">
        <w:rPr>
          <w:rStyle w:val="FootnoteReference"/>
          <w:color w:val="auto"/>
        </w:rPr>
        <w:footnoteReference w:id="34"/>
      </w:r>
      <w:r w:rsidRPr="00DE16B4">
        <w:rPr>
          <w:color w:val="auto"/>
        </w:rPr>
        <w:t xml:space="preserve"> and Security</w:t>
      </w:r>
      <w:r w:rsidR="00D15145">
        <w:rPr>
          <w:color w:val="auto"/>
        </w:rPr>
        <w:t xml:space="preserve"> Rule</w:t>
      </w:r>
      <w:r w:rsidRPr="00DE16B4">
        <w:rPr>
          <w:color w:val="auto"/>
        </w:rPr>
        <w:t>.</w:t>
      </w:r>
      <w:r w:rsidRPr="00DE16B4">
        <w:rPr>
          <w:rStyle w:val="FootnoteReference"/>
          <w:color w:val="auto"/>
        </w:rPr>
        <w:footnoteReference w:id="35"/>
      </w:r>
      <w:r w:rsidRPr="00DE16B4">
        <w:rPr>
          <w:color w:val="auto"/>
        </w:rPr>
        <w:t> </w:t>
      </w:r>
    </w:p>
    <w:p w14:paraId="0936D176" w14:textId="7A818B10" w:rsidR="002C6B77" w:rsidRPr="00DE16B4" w:rsidRDefault="009C76C3" w:rsidP="002C6B77">
      <w:pPr>
        <w:spacing w:line="480" w:lineRule="auto"/>
        <w:ind w:firstLine="720"/>
        <w:jc w:val="both"/>
        <w:rPr>
          <w:color w:val="auto"/>
        </w:rPr>
      </w:pPr>
      <w:r>
        <w:rPr>
          <w:color w:val="auto"/>
        </w:rPr>
        <w:t>While there is a degree of overlap between the Privacy and Security Rules,</w:t>
      </w:r>
      <w:r w:rsidR="00342829" w:rsidRPr="00342829">
        <w:rPr>
          <w:rStyle w:val="FootnoteReference"/>
          <w:color w:val="auto"/>
        </w:rPr>
        <w:t xml:space="preserve"> </w:t>
      </w:r>
      <w:r w:rsidR="00342829">
        <w:rPr>
          <w:rStyle w:val="FootnoteReference"/>
          <w:color w:val="auto"/>
        </w:rPr>
        <w:footnoteReference w:id="36"/>
      </w:r>
      <w:r>
        <w:rPr>
          <w:color w:val="auto"/>
        </w:rPr>
        <w:t xml:space="preserve"> the </w:t>
      </w:r>
      <w:r w:rsidR="00D62684">
        <w:rPr>
          <w:color w:val="auto"/>
        </w:rPr>
        <w:t>Privacy Rule</w:t>
      </w:r>
      <w:r>
        <w:rPr>
          <w:color w:val="auto"/>
        </w:rPr>
        <w:t xml:space="preserve"> deals with </w:t>
      </w:r>
      <w:r w:rsidR="00AD53CC">
        <w:rPr>
          <w:color w:val="auto"/>
        </w:rPr>
        <w:t>patients’ rights to private and personally identifying medical information,</w:t>
      </w:r>
      <w:r w:rsidR="00342829">
        <w:rPr>
          <w:rStyle w:val="FootnoteReference"/>
          <w:color w:val="auto"/>
        </w:rPr>
        <w:footnoteReference w:id="37"/>
      </w:r>
      <w:r w:rsidR="00AD53CC">
        <w:rPr>
          <w:color w:val="auto"/>
        </w:rPr>
        <w:t xml:space="preserve"> whereas the </w:t>
      </w:r>
      <w:r w:rsidR="00D62684">
        <w:rPr>
          <w:color w:val="auto"/>
        </w:rPr>
        <w:t>Security Rule</w:t>
      </w:r>
      <w:r w:rsidR="00AD53CC">
        <w:rPr>
          <w:color w:val="auto"/>
        </w:rPr>
        <w:t xml:space="preserve"> </w:t>
      </w:r>
      <w:r w:rsidR="00AF22C9">
        <w:rPr>
          <w:color w:val="auto"/>
        </w:rPr>
        <w:t>is</w:t>
      </w:r>
      <w:r w:rsidR="007C45F3">
        <w:rPr>
          <w:color w:val="auto"/>
        </w:rPr>
        <w:t xml:space="preserve"> </w:t>
      </w:r>
      <w:r w:rsidR="002C6B77" w:rsidRPr="00DE16B4">
        <w:rPr>
          <w:color w:val="auto"/>
        </w:rPr>
        <w:t>designed to require covered entities to implement reasonable security measures in a technology-neutral manner.</w:t>
      </w:r>
      <w:r w:rsidR="002C6B77" w:rsidRPr="00DE16B4">
        <w:rPr>
          <w:rStyle w:val="FootnoteReference"/>
          <w:color w:val="auto"/>
        </w:rPr>
        <w:footnoteReference w:id="38"/>
      </w:r>
      <w:r w:rsidR="002C6B77" w:rsidRPr="00DE16B4">
        <w:rPr>
          <w:color w:val="auto"/>
        </w:rPr>
        <w:t xml:space="preserve"> The Security Rule is </w:t>
      </w:r>
      <w:r w:rsidR="00A525E4" w:rsidRPr="00DE16B4">
        <w:rPr>
          <w:color w:val="auto"/>
        </w:rPr>
        <w:t xml:space="preserve">composed </w:t>
      </w:r>
      <w:r w:rsidR="002C6B77" w:rsidRPr="00DE16B4">
        <w:rPr>
          <w:color w:val="auto"/>
        </w:rPr>
        <w:t>of standards and implementation speciﬁcations, which encompass administrative, technical and physical safeguards.</w:t>
      </w:r>
      <w:r w:rsidR="00385940" w:rsidRPr="00DE16B4">
        <w:rPr>
          <w:rStyle w:val="FootnoteReference"/>
          <w:color w:val="auto"/>
        </w:rPr>
        <w:footnoteReference w:id="39"/>
      </w:r>
      <w:r w:rsidR="002C6B77" w:rsidRPr="00DE16B4">
        <w:rPr>
          <w:color w:val="auto"/>
        </w:rPr>
        <w:t xml:space="preserve"> Some of the implementation speciﬁcations are required, while others are considered </w:t>
      </w:r>
      <w:r w:rsidR="00A525E4" w:rsidRPr="00DE16B4">
        <w:rPr>
          <w:color w:val="auto"/>
        </w:rPr>
        <w:t>discretionary</w:t>
      </w:r>
      <w:r w:rsidR="007A2466">
        <w:rPr>
          <w:color w:val="auto"/>
        </w:rPr>
        <w:t>.</w:t>
      </w:r>
      <w:r w:rsidR="00385940" w:rsidRPr="00DE16B4">
        <w:rPr>
          <w:rStyle w:val="FootnoteReference"/>
          <w:color w:val="auto"/>
        </w:rPr>
        <w:footnoteReference w:id="40"/>
      </w:r>
      <w:r w:rsidR="002C6B77" w:rsidRPr="00DE16B4">
        <w:rPr>
          <w:color w:val="auto"/>
        </w:rPr>
        <w:t xml:space="preserve"> Therefore, the covered entity must assess whether it is an appropriate safeguard for the entity to adopt. The HIPAA Security Rule requires covered entities and business associates to:  </w:t>
      </w:r>
    </w:p>
    <w:p w14:paraId="170E3EA3" w14:textId="0E88798A" w:rsidR="002C6B77" w:rsidRPr="00DE16B4" w:rsidRDefault="002C6B77" w:rsidP="002C6B77">
      <w:pPr>
        <w:spacing w:line="480" w:lineRule="auto"/>
        <w:ind w:left="1440" w:hanging="1080"/>
        <w:jc w:val="both"/>
        <w:rPr>
          <w:color w:val="auto"/>
        </w:rPr>
      </w:pPr>
      <w:r w:rsidRPr="00DE16B4">
        <w:rPr>
          <w:color w:val="auto"/>
        </w:rPr>
        <w:t xml:space="preserve">1. </w:t>
      </w:r>
      <w:r w:rsidRPr="00DE16B4">
        <w:rPr>
          <w:color w:val="auto"/>
        </w:rPr>
        <w:tab/>
        <w:t xml:space="preserve">Ensure the conﬁdentiality, integrity and availability of all electronic health information the covered entity creates, receives, maintains or transmits;  </w:t>
      </w:r>
    </w:p>
    <w:p w14:paraId="1885B17C" w14:textId="77777777" w:rsidR="002C6B77" w:rsidRPr="00DE16B4" w:rsidRDefault="002C6B77" w:rsidP="002C6B77">
      <w:pPr>
        <w:spacing w:line="480" w:lineRule="auto"/>
        <w:ind w:left="1440" w:hanging="1080"/>
        <w:jc w:val="both"/>
        <w:rPr>
          <w:color w:val="auto"/>
        </w:rPr>
      </w:pPr>
      <w:r w:rsidRPr="00DE16B4">
        <w:rPr>
          <w:color w:val="auto"/>
        </w:rPr>
        <w:t xml:space="preserve">2. </w:t>
      </w:r>
      <w:r w:rsidRPr="00DE16B4">
        <w:rPr>
          <w:color w:val="auto"/>
        </w:rPr>
        <w:tab/>
        <w:t xml:space="preserve">Protect against any reasonably anticipated threats or hazards to the security or integrity of the electronic health information;  </w:t>
      </w:r>
    </w:p>
    <w:p w14:paraId="5BF69359" w14:textId="031893C5" w:rsidR="002C6B77" w:rsidRPr="00DE16B4" w:rsidRDefault="002C6B77" w:rsidP="002C6B77">
      <w:pPr>
        <w:spacing w:line="480" w:lineRule="auto"/>
        <w:ind w:left="1440" w:hanging="1080"/>
        <w:jc w:val="both"/>
        <w:rPr>
          <w:color w:val="auto"/>
        </w:rPr>
      </w:pPr>
      <w:r w:rsidRPr="00DE16B4">
        <w:rPr>
          <w:color w:val="auto"/>
        </w:rPr>
        <w:t xml:space="preserve">3. </w:t>
      </w:r>
      <w:r w:rsidRPr="00DE16B4">
        <w:rPr>
          <w:color w:val="auto"/>
        </w:rPr>
        <w:tab/>
        <w:t>Protect against any reasonably anticipated uses or disclosures of such information that are not permitted or required under the Privacy Rule;</w:t>
      </w:r>
      <w:r w:rsidR="00577C9E">
        <w:rPr>
          <w:color w:val="auto"/>
        </w:rPr>
        <w:t xml:space="preserve"> and</w:t>
      </w:r>
    </w:p>
    <w:p w14:paraId="1D7FAB1B" w14:textId="77777777" w:rsidR="002C6B77" w:rsidRPr="00DE16B4" w:rsidRDefault="002C6B77" w:rsidP="002C6B77">
      <w:pPr>
        <w:spacing w:line="480" w:lineRule="auto"/>
        <w:ind w:firstLine="360"/>
        <w:jc w:val="both"/>
        <w:rPr>
          <w:color w:val="auto"/>
        </w:rPr>
      </w:pPr>
      <w:r w:rsidRPr="00DE16B4">
        <w:rPr>
          <w:color w:val="auto"/>
        </w:rPr>
        <w:t xml:space="preserve">4. </w:t>
      </w:r>
      <w:r w:rsidRPr="00DE16B4">
        <w:rPr>
          <w:color w:val="auto"/>
        </w:rPr>
        <w:tab/>
      </w:r>
      <w:r w:rsidRPr="00DE16B4">
        <w:rPr>
          <w:color w:val="auto"/>
        </w:rPr>
        <w:tab/>
        <w:t>Ensure compliance with the Security Rule by its workforce.</w:t>
      </w:r>
      <w:r w:rsidR="00385940" w:rsidRPr="00DE16B4">
        <w:rPr>
          <w:rStyle w:val="FootnoteReference"/>
          <w:color w:val="auto"/>
        </w:rPr>
        <w:footnoteReference w:id="41"/>
      </w:r>
    </w:p>
    <w:p w14:paraId="45D3E241" w14:textId="24DC7C35" w:rsidR="002C6B77" w:rsidRPr="00DE16B4" w:rsidRDefault="002C6B77" w:rsidP="002C6B77">
      <w:pPr>
        <w:spacing w:line="480" w:lineRule="auto"/>
        <w:ind w:firstLine="720"/>
        <w:jc w:val="both"/>
        <w:rPr>
          <w:color w:val="auto"/>
        </w:rPr>
      </w:pPr>
      <w:r w:rsidRPr="00DE16B4">
        <w:rPr>
          <w:color w:val="auto"/>
        </w:rPr>
        <w:t xml:space="preserve">The </w:t>
      </w:r>
      <w:r w:rsidR="00A525E4" w:rsidRPr="00DE16B4">
        <w:rPr>
          <w:color w:val="auto"/>
        </w:rPr>
        <w:t>S</w:t>
      </w:r>
      <w:r w:rsidRPr="00DE16B4">
        <w:rPr>
          <w:color w:val="auto"/>
        </w:rPr>
        <w:t xml:space="preserve">ecurity </w:t>
      </w:r>
      <w:r w:rsidR="00A525E4" w:rsidRPr="00DE16B4">
        <w:rPr>
          <w:color w:val="auto"/>
        </w:rPr>
        <w:t>R</w:t>
      </w:r>
      <w:r w:rsidRPr="00DE16B4">
        <w:rPr>
          <w:color w:val="auto"/>
        </w:rPr>
        <w:t xml:space="preserve">ule also requires each covered entity to designate an individual who is responsible for the implementation and oversight of the Security Rule; conduct </w:t>
      </w:r>
      <w:r w:rsidR="00AF22C9">
        <w:rPr>
          <w:color w:val="auto"/>
        </w:rPr>
        <w:t>an</w:t>
      </w:r>
      <w:r w:rsidRPr="00DE16B4">
        <w:rPr>
          <w:color w:val="auto"/>
        </w:rPr>
        <w:t xml:space="preserve"> accurate and thorough assessment of the potential risks and vulnerabilities to the conﬁdentiality, integrity, and availability of electronic protected health information held by the covered entity;</w:t>
      </w:r>
      <w:r w:rsidR="006F5669">
        <w:rPr>
          <w:color w:val="auto"/>
        </w:rPr>
        <w:t xml:space="preserve"> and</w:t>
      </w:r>
      <w:r w:rsidRPr="00DE16B4">
        <w:rPr>
          <w:color w:val="auto"/>
        </w:rPr>
        <w:t xml:space="preserve"> </w:t>
      </w:r>
      <w:r w:rsidR="008336E7" w:rsidRPr="00DE16B4">
        <w:rPr>
          <w:color w:val="auto"/>
        </w:rPr>
        <w:t>i</w:t>
      </w:r>
      <w:r w:rsidR="008336E7">
        <w:rPr>
          <w:color w:val="auto"/>
        </w:rPr>
        <w:t>mplement security measures sufficient to reduce</w:t>
      </w:r>
      <w:r w:rsidR="008336E7" w:rsidRPr="00DE16B4">
        <w:rPr>
          <w:color w:val="auto"/>
        </w:rPr>
        <w:t xml:space="preserve"> </w:t>
      </w:r>
      <w:r w:rsidRPr="00DE16B4">
        <w:rPr>
          <w:color w:val="auto"/>
        </w:rPr>
        <w:t>risks and vulnerabilities</w:t>
      </w:r>
      <w:r w:rsidR="008336E7">
        <w:rPr>
          <w:color w:val="auto"/>
        </w:rPr>
        <w:t xml:space="preserve"> to a reasonable and appropriate level</w:t>
      </w:r>
      <w:r w:rsidRPr="00DE16B4">
        <w:rPr>
          <w:color w:val="auto"/>
        </w:rPr>
        <w:t>.</w:t>
      </w:r>
      <w:r w:rsidR="00385940" w:rsidRPr="00DE16B4">
        <w:rPr>
          <w:rStyle w:val="FootnoteReference"/>
          <w:color w:val="auto"/>
        </w:rPr>
        <w:footnoteReference w:id="42"/>
      </w:r>
    </w:p>
    <w:p w14:paraId="6C9BC156" w14:textId="6D46BB28" w:rsidR="002C6B77" w:rsidRDefault="002C6B77" w:rsidP="002C6B77">
      <w:pPr>
        <w:pStyle w:val="NormalWeb"/>
        <w:spacing w:before="0" w:beforeAutospacing="0" w:after="0" w:afterAutospacing="0" w:line="480" w:lineRule="auto"/>
        <w:ind w:firstLine="720"/>
        <w:contextualSpacing/>
        <w:jc w:val="both"/>
        <w:rPr>
          <w:color w:val="auto"/>
        </w:rPr>
      </w:pPr>
      <w:r w:rsidRPr="00DE16B4">
        <w:rPr>
          <w:color w:val="auto"/>
        </w:rPr>
        <w:t>The Office for Civil Rights is responsible for enforcing the HIPAA Privacy and Security Rules.</w:t>
      </w:r>
      <w:r w:rsidRPr="00DE16B4">
        <w:rPr>
          <w:rStyle w:val="PageNumber"/>
          <w:color w:val="auto"/>
          <w:vertAlign w:val="superscript"/>
        </w:rPr>
        <w:footnoteReference w:id="43"/>
      </w:r>
      <w:r w:rsidRPr="00DE16B4">
        <w:rPr>
          <w:color w:val="auto"/>
        </w:rPr>
        <w:t xml:space="preserve"> </w:t>
      </w:r>
      <w:r w:rsidRPr="00DE16B4">
        <w:rPr>
          <w:color w:val="auto"/>
          <w:lang w:val="de-DE"/>
        </w:rPr>
        <w:t>HIPAA</w:t>
      </w:r>
      <w:r w:rsidRPr="00DE16B4">
        <w:rPr>
          <w:color w:val="auto"/>
        </w:rPr>
        <w:t xml:space="preserve"> imposes a penalty on the covered entity, not the attacker. The penalty for violation is a fine of </w:t>
      </w:r>
      <w:r w:rsidRPr="00DE16B4">
        <w:rPr>
          <w:rStyle w:val="PageNumber"/>
          <w:color w:val="auto"/>
        </w:rPr>
        <w:t>“</w:t>
      </w:r>
      <w:r w:rsidRPr="00DE16B4">
        <w:rPr>
          <w:color w:val="auto"/>
        </w:rPr>
        <w:t>up to $50,000, a one-year term of imprisonment or both,</w:t>
      </w:r>
      <w:r w:rsidRPr="00DE16B4">
        <w:rPr>
          <w:rStyle w:val="PageNumber"/>
          <w:color w:val="auto"/>
        </w:rPr>
        <w:t>”</w:t>
      </w:r>
      <w:r w:rsidRPr="00DE16B4">
        <w:rPr>
          <w:rStyle w:val="PageNumber"/>
          <w:color w:val="auto"/>
          <w:vertAlign w:val="superscript"/>
        </w:rPr>
        <w:footnoteReference w:id="44"/>
      </w:r>
      <w:r w:rsidRPr="00DE16B4">
        <w:rPr>
          <w:color w:val="auto"/>
        </w:rPr>
        <w:t xml:space="preserve"> or "if the offense is committed under false pretenses," the fine is "not more than $100,000,”</w:t>
      </w:r>
      <w:r w:rsidRPr="00DE16B4">
        <w:rPr>
          <w:rStyle w:val="PageNumber"/>
          <w:color w:val="auto"/>
          <w:vertAlign w:val="superscript"/>
        </w:rPr>
        <w:footnoteReference w:id="45"/>
      </w:r>
      <w:r w:rsidRPr="00DE16B4">
        <w:rPr>
          <w:color w:val="auto"/>
        </w:rPr>
        <w:t xml:space="preserve"> imprisonment for up to 5 years, or both.</w:t>
      </w:r>
      <w:r w:rsidRPr="00DE16B4">
        <w:rPr>
          <w:rStyle w:val="FootnoteReference"/>
          <w:color w:val="auto"/>
        </w:rPr>
        <w:footnoteReference w:id="46"/>
      </w:r>
      <w:r w:rsidRPr="00DE16B4">
        <w:rPr>
          <w:color w:val="auto"/>
        </w:rPr>
        <w:t xml:space="preserve"> </w:t>
      </w:r>
      <w:r w:rsidR="00590D07">
        <w:rPr>
          <w:color w:val="auto"/>
        </w:rPr>
        <w:t>“</w:t>
      </w:r>
      <w:r w:rsidRPr="00DE16B4">
        <w:rPr>
          <w:color w:val="auto"/>
        </w:rPr>
        <w:t>If the offense is committed with intent to sell, transfer, or use individually identifiable health information for commercial advantage, personal gain, or malicious harm,</w:t>
      </w:r>
      <w:r w:rsidR="00590D07">
        <w:rPr>
          <w:color w:val="auto"/>
        </w:rPr>
        <w:t>”</w:t>
      </w:r>
      <w:r w:rsidRPr="00DE16B4">
        <w:rPr>
          <w:color w:val="auto"/>
        </w:rPr>
        <w:t xml:space="preserve"> the violator may </w:t>
      </w:r>
      <w:r w:rsidR="00590D07">
        <w:rPr>
          <w:color w:val="auto"/>
        </w:rPr>
        <w:t>“</w:t>
      </w:r>
      <w:r w:rsidRPr="00DE16B4">
        <w:rPr>
          <w:color w:val="auto"/>
        </w:rPr>
        <w:t>be fined not more than $250,000, imprisoned not more than 10 years, or both.</w:t>
      </w:r>
      <w:r w:rsidR="00590D07">
        <w:rPr>
          <w:color w:val="auto"/>
        </w:rPr>
        <w:t>”</w:t>
      </w:r>
      <w:r w:rsidRPr="00DE16B4">
        <w:rPr>
          <w:rStyle w:val="PageNumber"/>
          <w:color w:val="auto"/>
          <w:vertAlign w:val="superscript"/>
        </w:rPr>
        <w:footnoteReference w:id="47"/>
      </w:r>
      <w:r w:rsidRPr="00DE16B4">
        <w:rPr>
          <w:color w:val="auto"/>
        </w:rPr>
        <w:t xml:space="preserve"> </w:t>
      </w:r>
    </w:p>
    <w:p w14:paraId="1C41442A" w14:textId="249C0126" w:rsidR="008355A5" w:rsidRPr="00691802" w:rsidRDefault="00F72D5E" w:rsidP="00691802">
      <w:pPr>
        <w:pStyle w:val="NormalWeb"/>
        <w:numPr>
          <w:ilvl w:val="0"/>
          <w:numId w:val="5"/>
        </w:numPr>
        <w:spacing w:before="0" w:beforeAutospacing="0" w:after="0" w:afterAutospacing="0" w:line="480" w:lineRule="auto"/>
        <w:contextualSpacing/>
        <w:jc w:val="both"/>
        <w:rPr>
          <w:b/>
          <w:bCs/>
          <w:color w:val="auto"/>
        </w:rPr>
      </w:pPr>
      <w:r w:rsidRPr="00691802">
        <w:rPr>
          <w:b/>
          <w:bCs/>
          <w:color w:val="auto"/>
        </w:rPr>
        <w:t>The Gramm-Leach-Bliley Act</w:t>
      </w:r>
    </w:p>
    <w:p w14:paraId="6B25CFC6" w14:textId="4F5D58BD" w:rsidR="00F27C93" w:rsidRPr="00DE16B4" w:rsidRDefault="00535E8B" w:rsidP="00F27C93">
      <w:pPr>
        <w:spacing w:line="480" w:lineRule="auto"/>
        <w:ind w:firstLine="720"/>
        <w:jc w:val="both"/>
        <w:rPr>
          <w:color w:val="auto"/>
        </w:rPr>
      </w:pPr>
      <w:r>
        <w:rPr>
          <w:color w:val="auto"/>
        </w:rPr>
        <w:t>The Gramm-Leach-Bliley Act</w:t>
      </w:r>
      <w:r w:rsidR="00686BD3">
        <w:rPr>
          <w:color w:val="auto"/>
        </w:rPr>
        <w:t xml:space="preserve"> (</w:t>
      </w:r>
      <w:r w:rsidR="00787397">
        <w:rPr>
          <w:color w:val="auto"/>
        </w:rPr>
        <w:t>‘</w:t>
      </w:r>
      <w:r w:rsidR="00686BD3">
        <w:rPr>
          <w:color w:val="auto"/>
        </w:rPr>
        <w:t>GLBA</w:t>
      </w:r>
      <w:r w:rsidR="00787397">
        <w:rPr>
          <w:color w:val="auto"/>
        </w:rPr>
        <w:t>’</w:t>
      </w:r>
      <w:r w:rsidR="00686BD3">
        <w:rPr>
          <w:color w:val="auto"/>
        </w:rPr>
        <w:t>)</w:t>
      </w:r>
      <w:r w:rsidR="00F27C93" w:rsidRPr="00DE16B4">
        <w:rPr>
          <w:color w:val="auto"/>
        </w:rPr>
        <w:t xml:space="preserve"> covers financial institutions, such as banking, insurance and investments, along with third parties that </w:t>
      </w:r>
      <w:r w:rsidR="006346DD" w:rsidRPr="00DE16B4">
        <w:rPr>
          <w:color w:val="auto"/>
        </w:rPr>
        <w:t>proces</w:t>
      </w:r>
      <w:r w:rsidR="006346DD">
        <w:rPr>
          <w:color w:val="auto"/>
        </w:rPr>
        <w:t>s</w:t>
      </w:r>
      <w:r w:rsidR="00F27C93" w:rsidRPr="00DE16B4">
        <w:rPr>
          <w:color w:val="auto"/>
        </w:rPr>
        <w:t xml:space="preserve"> or receive information from such financial institutions.</w:t>
      </w:r>
      <w:r w:rsidR="00F27C93" w:rsidRPr="00DE16B4">
        <w:rPr>
          <w:rStyle w:val="FootnoteReference"/>
          <w:color w:val="auto"/>
        </w:rPr>
        <w:footnoteReference w:id="48"/>
      </w:r>
      <w:r w:rsidR="00F27C93" w:rsidRPr="00DE16B4">
        <w:rPr>
          <w:color w:val="auto"/>
        </w:rPr>
        <w:t xml:space="preserve"> </w:t>
      </w:r>
      <w:r w:rsidR="003D2EAD">
        <w:rPr>
          <w:color w:val="auto"/>
        </w:rPr>
        <w:t>The GLBA requires companies that offer consumers financial products or services to safeguard sensitive data and explain their information-sharing practices to customers.</w:t>
      </w:r>
      <w:r w:rsidR="003D2EAD">
        <w:rPr>
          <w:rStyle w:val="FootnoteReference"/>
          <w:color w:val="auto"/>
        </w:rPr>
        <w:footnoteReference w:id="49"/>
      </w:r>
      <w:r w:rsidR="003D2EAD">
        <w:rPr>
          <w:color w:val="auto"/>
        </w:rPr>
        <w:t xml:space="preserve"> </w:t>
      </w:r>
      <w:r w:rsidR="00F27C93" w:rsidRPr="00DE16B4">
        <w:rPr>
          <w:color w:val="auto"/>
        </w:rPr>
        <w:t>Th</w:t>
      </w:r>
      <w:r w:rsidR="003D2EAD">
        <w:rPr>
          <w:color w:val="auto"/>
        </w:rPr>
        <w:t>e</w:t>
      </w:r>
      <w:r w:rsidR="00F27C93" w:rsidRPr="00DE16B4">
        <w:rPr>
          <w:color w:val="auto"/>
        </w:rPr>
        <w:t xml:space="preserve"> </w:t>
      </w:r>
      <w:r w:rsidR="006346DD">
        <w:rPr>
          <w:color w:val="auto"/>
        </w:rPr>
        <w:t>Privacy and Safeguards Rules</w:t>
      </w:r>
      <w:r w:rsidR="003D2EAD">
        <w:rPr>
          <w:color w:val="auto"/>
        </w:rPr>
        <w:t xml:space="preserve"> are two rules which were promulgated under the GLBA.</w:t>
      </w:r>
      <w:r w:rsidR="003F3810">
        <w:rPr>
          <w:rStyle w:val="FootnoteReference"/>
          <w:color w:val="auto"/>
        </w:rPr>
        <w:footnoteReference w:id="50"/>
      </w:r>
      <w:r w:rsidR="003D2EAD">
        <w:rPr>
          <w:color w:val="auto"/>
        </w:rPr>
        <w:t xml:space="preserve"> </w:t>
      </w:r>
      <w:r w:rsidR="00F27C93">
        <w:rPr>
          <w:color w:val="auto"/>
        </w:rPr>
        <w:t xml:space="preserve">The Privacy Rule requires </w:t>
      </w:r>
      <w:r w:rsidR="00D62E36">
        <w:rPr>
          <w:color w:val="auto"/>
        </w:rPr>
        <w:t xml:space="preserve">that </w:t>
      </w:r>
      <w:r w:rsidR="00F27C93">
        <w:rPr>
          <w:color w:val="auto"/>
        </w:rPr>
        <w:t>financial institutions</w:t>
      </w:r>
      <w:r w:rsidR="00D62E36">
        <w:rPr>
          <w:color w:val="auto"/>
        </w:rPr>
        <w:t xml:space="preserve"> </w:t>
      </w:r>
      <w:r w:rsidR="00577C9E">
        <w:rPr>
          <w:color w:val="auto"/>
        </w:rPr>
        <w:t>that</w:t>
      </w:r>
      <w:r w:rsidR="00F27C93">
        <w:rPr>
          <w:color w:val="auto"/>
        </w:rPr>
        <w:t xml:space="preserve"> share non-public information with nonaffiliated third parties </w:t>
      </w:r>
      <w:r w:rsidR="00D62E36">
        <w:rPr>
          <w:color w:val="auto"/>
        </w:rPr>
        <w:t>provide consumers and</w:t>
      </w:r>
      <w:r w:rsidR="008E4C9A">
        <w:rPr>
          <w:color w:val="auto"/>
        </w:rPr>
        <w:t xml:space="preserve"> give</w:t>
      </w:r>
      <w:r w:rsidR="00D62E36">
        <w:rPr>
          <w:color w:val="auto"/>
        </w:rPr>
        <w:t xml:space="preserve"> customers </w:t>
      </w:r>
      <w:r w:rsidR="00F27C93">
        <w:rPr>
          <w:color w:val="auto"/>
        </w:rPr>
        <w:t>the right to opt out of their information being shared.</w:t>
      </w:r>
      <w:r w:rsidR="00F27C93">
        <w:rPr>
          <w:rStyle w:val="FootnoteReference"/>
          <w:color w:val="auto"/>
        </w:rPr>
        <w:footnoteReference w:id="51"/>
      </w:r>
      <w:r w:rsidR="00F27C93">
        <w:rPr>
          <w:color w:val="auto"/>
        </w:rPr>
        <w:t xml:space="preserve"> </w:t>
      </w:r>
      <w:r w:rsidR="0082451F">
        <w:rPr>
          <w:color w:val="auto"/>
        </w:rPr>
        <w:t>The</w:t>
      </w:r>
      <w:r w:rsidR="00F27C93">
        <w:rPr>
          <w:color w:val="auto"/>
        </w:rPr>
        <w:t xml:space="preserve"> Safeguards Rule “requires covered financial institutions to develop, implement, and maintain an information security program with administrative, technical, and physical safeguards designed to protect customer information.”</w:t>
      </w:r>
      <w:r w:rsidR="00F27C93">
        <w:rPr>
          <w:rStyle w:val="FootnoteReference"/>
          <w:color w:val="auto"/>
        </w:rPr>
        <w:footnoteReference w:id="52"/>
      </w:r>
      <w:r w:rsidR="00F27C93">
        <w:rPr>
          <w:color w:val="auto"/>
        </w:rPr>
        <w:t xml:space="preserve"> The objectives of a company’s information security program </w:t>
      </w:r>
      <w:r w:rsidR="00DB089A">
        <w:rPr>
          <w:color w:val="auto"/>
        </w:rPr>
        <w:t>are</w:t>
      </w:r>
      <w:r w:rsidR="00B17AB1">
        <w:rPr>
          <w:color w:val="auto"/>
        </w:rPr>
        <w:t xml:space="preserve"> to</w:t>
      </w:r>
      <w:r w:rsidR="00F27C93">
        <w:rPr>
          <w:color w:val="auto"/>
        </w:rPr>
        <w:t>:</w:t>
      </w:r>
    </w:p>
    <w:p w14:paraId="24A0DB76" w14:textId="77777777" w:rsidR="00F27C93" w:rsidRPr="00DE16B4" w:rsidRDefault="00F27C93" w:rsidP="00F27C93">
      <w:pPr>
        <w:spacing w:line="480" w:lineRule="auto"/>
        <w:ind w:left="1440" w:hanging="1080"/>
        <w:jc w:val="both"/>
        <w:rPr>
          <w:color w:val="auto"/>
        </w:rPr>
      </w:pPr>
      <w:r w:rsidRPr="00DE16B4">
        <w:rPr>
          <w:color w:val="auto"/>
        </w:rPr>
        <w:t xml:space="preserve">1. </w:t>
      </w:r>
      <w:r w:rsidRPr="00DE16B4">
        <w:rPr>
          <w:color w:val="auto"/>
        </w:rPr>
        <w:tab/>
        <w:t xml:space="preserve">Ensure the </w:t>
      </w:r>
      <w:r>
        <w:rPr>
          <w:color w:val="auto"/>
        </w:rPr>
        <w:t>security and confidentiality of customer information</w:t>
      </w:r>
      <w:r w:rsidRPr="00DE16B4">
        <w:rPr>
          <w:color w:val="auto"/>
        </w:rPr>
        <w:t xml:space="preserve">;  </w:t>
      </w:r>
    </w:p>
    <w:p w14:paraId="4A101383" w14:textId="3BD4AEC9" w:rsidR="00F27C93" w:rsidRPr="00DE16B4" w:rsidRDefault="00F27C93" w:rsidP="00F27C93">
      <w:pPr>
        <w:spacing w:line="480" w:lineRule="auto"/>
        <w:ind w:left="1440" w:hanging="1080"/>
        <w:jc w:val="both"/>
        <w:rPr>
          <w:color w:val="auto"/>
        </w:rPr>
      </w:pPr>
      <w:r w:rsidRPr="00DE16B4">
        <w:rPr>
          <w:color w:val="auto"/>
        </w:rPr>
        <w:t xml:space="preserve">2. </w:t>
      </w:r>
      <w:r w:rsidRPr="00DE16B4">
        <w:rPr>
          <w:color w:val="auto"/>
        </w:rPr>
        <w:tab/>
        <w:t xml:space="preserve">Protect against </w:t>
      </w:r>
      <w:r>
        <w:rPr>
          <w:color w:val="auto"/>
        </w:rPr>
        <w:t>anticipated threats or hazards to the security or integrity of that information</w:t>
      </w:r>
      <w:r w:rsidRPr="00DE16B4">
        <w:rPr>
          <w:color w:val="auto"/>
        </w:rPr>
        <w:t xml:space="preserve">; </w:t>
      </w:r>
      <w:r w:rsidR="00577C9E">
        <w:rPr>
          <w:color w:val="auto"/>
        </w:rPr>
        <w:t>and</w:t>
      </w:r>
    </w:p>
    <w:p w14:paraId="65C953AA" w14:textId="77777777" w:rsidR="00F27C93" w:rsidRDefault="00F27C93" w:rsidP="00F27C93">
      <w:pPr>
        <w:spacing w:line="480" w:lineRule="auto"/>
        <w:ind w:left="1440" w:hanging="1080"/>
        <w:jc w:val="both"/>
        <w:rPr>
          <w:color w:val="auto"/>
        </w:rPr>
      </w:pPr>
      <w:r w:rsidRPr="00DE16B4">
        <w:rPr>
          <w:color w:val="auto"/>
        </w:rPr>
        <w:t xml:space="preserve">3. </w:t>
      </w:r>
      <w:r w:rsidRPr="00DE16B4">
        <w:rPr>
          <w:color w:val="auto"/>
        </w:rPr>
        <w:tab/>
      </w:r>
      <w:r>
        <w:rPr>
          <w:color w:val="auto"/>
        </w:rPr>
        <w:t>Protect against unauthorized access to that information that could result in substantial harm or inconvenience to any customer.</w:t>
      </w:r>
      <w:r>
        <w:rPr>
          <w:rStyle w:val="FootnoteReference"/>
          <w:color w:val="auto"/>
        </w:rPr>
        <w:footnoteReference w:id="53"/>
      </w:r>
    </w:p>
    <w:p w14:paraId="779BA11B" w14:textId="1222500B" w:rsidR="00F27C93" w:rsidRDefault="00F27C93" w:rsidP="00F27C93">
      <w:pPr>
        <w:spacing w:line="480" w:lineRule="auto"/>
        <w:jc w:val="both"/>
        <w:rPr>
          <w:color w:val="auto"/>
        </w:rPr>
      </w:pPr>
      <w:r>
        <w:rPr>
          <w:color w:val="auto"/>
        </w:rPr>
        <w:tab/>
      </w:r>
      <w:r w:rsidR="00A045B4">
        <w:rPr>
          <w:color w:val="auto"/>
        </w:rPr>
        <w:t>In 2021</w:t>
      </w:r>
      <w:r w:rsidR="00577C9E">
        <w:rPr>
          <w:color w:val="auto"/>
        </w:rPr>
        <w:t>,</w:t>
      </w:r>
      <w:r w:rsidR="00A045B4">
        <w:rPr>
          <w:color w:val="auto"/>
        </w:rPr>
        <w:t xml:space="preserve"> the </w:t>
      </w:r>
      <w:r w:rsidR="00424512">
        <w:rPr>
          <w:color w:val="auto"/>
        </w:rPr>
        <w:t>Federal Trade Commission (‘</w:t>
      </w:r>
      <w:r w:rsidR="00A045B4" w:rsidRPr="00424512">
        <w:rPr>
          <w:color w:val="auto"/>
        </w:rPr>
        <w:t>FTC</w:t>
      </w:r>
      <w:r w:rsidR="00424512" w:rsidRPr="00424512">
        <w:rPr>
          <w:color w:val="auto"/>
        </w:rPr>
        <w:t>’</w:t>
      </w:r>
      <w:r w:rsidR="00424512">
        <w:rPr>
          <w:color w:val="auto"/>
        </w:rPr>
        <w:t>)</w:t>
      </w:r>
      <w:r w:rsidR="00A045B4">
        <w:rPr>
          <w:color w:val="auto"/>
        </w:rPr>
        <w:t xml:space="preserve"> updated</w:t>
      </w:r>
      <w:r>
        <w:rPr>
          <w:color w:val="auto"/>
        </w:rPr>
        <w:t xml:space="preserve"> the Safeguards Rule </w:t>
      </w:r>
      <w:r w:rsidR="00A55744">
        <w:rPr>
          <w:color w:val="auto"/>
        </w:rPr>
        <w:t xml:space="preserve">to </w:t>
      </w:r>
      <w:r>
        <w:rPr>
          <w:color w:val="auto"/>
        </w:rPr>
        <w:t>include more specific criteria for what safeguards financial institutions must implement as part of their information security program</w:t>
      </w:r>
      <w:r w:rsidR="00AF17C4">
        <w:rPr>
          <w:color w:val="auto"/>
        </w:rPr>
        <w:t>.</w:t>
      </w:r>
      <w:r w:rsidR="00AF17C4">
        <w:rPr>
          <w:rStyle w:val="FootnoteReference"/>
          <w:color w:val="auto"/>
        </w:rPr>
        <w:footnoteReference w:id="54"/>
      </w:r>
      <w:r w:rsidR="00AF17C4">
        <w:rPr>
          <w:color w:val="auto"/>
        </w:rPr>
        <w:t xml:space="preserve"> This updated rule also includes</w:t>
      </w:r>
      <w:r>
        <w:rPr>
          <w:color w:val="auto"/>
        </w:rPr>
        <w:t xml:space="preserve"> requirements </w:t>
      </w:r>
      <w:r w:rsidR="00FE5BB2">
        <w:rPr>
          <w:color w:val="auto"/>
        </w:rPr>
        <w:t xml:space="preserve">that </w:t>
      </w:r>
      <w:r>
        <w:rPr>
          <w:color w:val="auto"/>
        </w:rPr>
        <w:t>institutions explain their information sharing practices and designate a single qualified individual to oversee their information security program.</w:t>
      </w:r>
      <w:r>
        <w:rPr>
          <w:rStyle w:val="FootnoteReference"/>
          <w:color w:val="auto"/>
        </w:rPr>
        <w:footnoteReference w:id="55"/>
      </w:r>
      <w:r>
        <w:rPr>
          <w:color w:val="auto"/>
        </w:rPr>
        <w:t xml:space="preserve"> </w:t>
      </w:r>
      <w:r w:rsidR="008C48BB">
        <w:rPr>
          <w:color w:val="auto"/>
        </w:rPr>
        <w:t xml:space="preserve">Subsequent amendments in </w:t>
      </w:r>
      <w:r>
        <w:rPr>
          <w:color w:val="auto"/>
        </w:rPr>
        <w:t xml:space="preserve">2023 require covered entities to report certain data breaches and security incidents to </w:t>
      </w:r>
      <w:r w:rsidR="002A2CC6">
        <w:rPr>
          <w:color w:val="auto"/>
        </w:rPr>
        <w:t xml:space="preserve">the </w:t>
      </w:r>
      <w:r>
        <w:rPr>
          <w:color w:val="auto"/>
        </w:rPr>
        <w:t>FTC as soon as possible.</w:t>
      </w:r>
      <w:r>
        <w:rPr>
          <w:rStyle w:val="FootnoteReference"/>
          <w:color w:val="auto"/>
        </w:rPr>
        <w:footnoteReference w:id="56"/>
      </w:r>
    </w:p>
    <w:p w14:paraId="0946A09D" w14:textId="498D7CFC" w:rsidR="00A040FA" w:rsidRPr="00691802" w:rsidRDefault="00A040FA" w:rsidP="00691802">
      <w:pPr>
        <w:pStyle w:val="ListParagraph"/>
        <w:numPr>
          <w:ilvl w:val="0"/>
          <w:numId w:val="5"/>
        </w:numPr>
        <w:spacing w:line="480" w:lineRule="auto"/>
        <w:jc w:val="both"/>
        <w:rPr>
          <w:b/>
          <w:bCs/>
          <w:color w:val="auto"/>
        </w:rPr>
      </w:pPr>
      <w:r w:rsidRPr="00691802">
        <w:rPr>
          <w:b/>
          <w:bCs/>
          <w:color w:val="auto"/>
        </w:rPr>
        <w:t>SEC Regulations</w:t>
      </w:r>
    </w:p>
    <w:p w14:paraId="2B8B5277" w14:textId="5C80D981" w:rsidR="00522626" w:rsidRDefault="00590BF0" w:rsidP="00F27C93">
      <w:pPr>
        <w:spacing w:line="480" w:lineRule="auto"/>
        <w:jc w:val="both"/>
        <w:rPr>
          <w:color w:val="auto"/>
        </w:rPr>
      </w:pPr>
      <w:r>
        <w:rPr>
          <w:color w:val="auto"/>
        </w:rPr>
        <w:tab/>
      </w:r>
      <w:r w:rsidR="002C6B77" w:rsidRPr="00DE16B4">
        <w:rPr>
          <w:color w:val="auto"/>
        </w:rPr>
        <w:t>The Securities and Exchange Commission (</w:t>
      </w:r>
      <w:r w:rsidR="00424512">
        <w:rPr>
          <w:color w:val="auto"/>
        </w:rPr>
        <w:t>‘</w:t>
      </w:r>
      <w:r w:rsidR="002C6B77" w:rsidRPr="00DE16B4">
        <w:rPr>
          <w:color w:val="auto"/>
        </w:rPr>
        <w:t>SEC</w:t>
      </w:r>
      <w:r w:rsidR="00424512">
        <w:rPr>
          <w:color w:val="auto"/>
        </w:rPr>
        <w:t>’</w:t>
      </w:r>
      <w:r w:rsidR="002C6B77" w:rsidRPr="00DE16B4">
        <w:rPr>
          <w:color w:val="auto"/>
        </w:rPr>
        <w:t xml:space="preserve">) </w:t>
      </w:r>
      <w:r w:rsidR="001B0CB3">
        <w:rPr>
          <w:color w:val="auto"/>
        </w:rPr>
        <w:t xml:space="preserve">has long </w:t>
      </w:r>
      <w:r w:rsidR="00C94BE4">
        <w:rPr>
          <w:color w:val="auto"/>
        </w:rPr>
        <w:t>held</w:t>
      </w:r>
      <w:r w:rsidR="00A525E4" w:rsidRPr="00DE16B4">
        <w:rPr>
          <w:color w:val="auto"/>
        </w:rPr>
        <w:t xml:space="preserve"> </w:t>
      </w:r>
      <w:r w:rsidR="002C6B77" w:rsidRPr="00DE16B4">
        <w:rPr>
          <w:color w:val="auto"/>
        </w:rPr>
        <w:t>that “cyber-security remains one of the top compliance risks for financial firms” and that they will continue to focus on the prevention of cyberattacks.</w:t>
      </w:r>
      <w:r w:rsidR="00417B0A">
        <w:rPr>
          <w:rStyle w:val="FootnoteReference"/>
          <w:color w:val="auto"/>
        </w:rPr>
        <w:footnoteReference w:id="57"/>
      </w:r>
      <w:r w:rsidR="007C7F62">
        <w:rPr>
          <w:color w:val="auto"/>
        </w:rPr>
        <w:t xml:space="preserve"> In</w:t>
      </w:r>
      <w:r w:rsidR="00302CF9">
        <w:rPr>
          <w:color w:val="auto"/>
        </w:rPr>
        <w:t xml:space="preserve"> 2023, </w:t>
      </w:r>
      <w:r w:rsidR="00442D32">
        <w:rPr>
          <w:color w:val="auto"/>
        </w:rPr>
        <w:t xml:space="preserve">the </w:t>
      </w:r>
      <w:r w:rsidR="00302CF9">
        <w:rPr>
          <w:color w:val="auto"/>
        </w:rPr>
        <w:t>SEC adopted amendments to require covered companies to disclose material cybersecurity incidents and to periodically disclose their processes in assessing, identifying, and managing material cybersecurity risks.</w:t>
      </w:r>
      <w:r w:rsidR="00302CF9">
        <w:rPr>
          <w:rStyle w:val="FootnoteReference"/>
          <w:color w:val="auto"/>
        </w:rPr>
        <w:footnoteReference w:id="58"/>
      </w:r>
    </w:p>
    <w:p w14:paraId="43949FB0" w14:textId="42283C09" w:rsidR="00522626" w:rsidRPr="00691802" w:rsidRDefault="00522626" w:rsidP="00691802">
      <w:pPr>
        <w:pStyle w:val="ListParagraph"/>
        <w:numPr>
          <w:ilvl w:val="0"/>
          <w:numId w:val="5"/>
        </w:numPr>
        <w:spacing w:line="480" w:lineRule="auto"/>
        <w:rPr>
          <w:b/>
          <w:bCs/>
          <w:color w:val="auto"/>
        </w:rPr>
      </w:pPr>
      <w:r>
        <w:rPr>
          <w:b/>
          <w:bCs/>
          <w:color w:val="auto"/>
        </w:rPr>
        <w:t>Children’s Online Priva</w:t>
      </w:r>
      <w:r w:rsidR="00D07BB5">
        <w:rPr>
          <w:b/>
          <w:bCs/>
          <w:color w:val="auto"/>
        </w:rPr>
        <w:t>c</w:t>
      </w:r>
      <w:r>
        <w:rPr>
          <w:b/>
          <w:bCs/>
          <w:color w:val="auto"/>
        </w:rPr>
        <w:t>y Protection A</w:t>
      </w:r>
      <w:r w:rsidR="00D07BB5">
        <w:rPr>
          <w:b/>
          <w:bCs/>
          <w:color w:val="auto"/>
        </w:rPr>
        <w:t>ct</w:t>
      </w:r>
    </w:p>
    <w:p w14:paraId="09F135ED" w14:textId="6A42923F" w:rsidR="002C6B77" w:rsidRPr="00DE16B4" w:rsidRDefault="006332E7" w:rsidP="00691802">
      <w:pPr>
        <w:spacing w:line="480" w:lineRule="auto"/>
        <w:ind w:firstLine="720"/>
        <w:jc w:val="both"/>
        <w:rPr>
          <w:color w:val="auto"/>
        </w:rPr>
      </w:pPr>
      <w:r>
        <w:rPr>
          <w:color w:val="auto"/>
        </w:rPr>
        <w:t>Lastly, the Children’s Online Privacy Protection Act (</w:t>
      </w:r>
      <w:r w:rsidR="00424512">
        <w:rPr>
          <w:color w:val="auto"/>
        </w:rPr>
        <w:t>‘</w:t>
      </w:r>
      <w:r>
        <w:rPr>
          <w:color w:val="auto"/>
        </w:rPr>
        <w:t>COPPA</w:t>
      </w:r>
      <w:r w:rsidR="00424512">
        <w:rPr>
          <w:color w:val="auto"/>
        </w:rPr>
        <w:t>’</w:t>
      </w:r>
      <w:r>
        <w:rPr>
          <w:color w:val="auto"/>
        </w:rPr>
        <w:t>) provides parents with control over the information websites collect about their children.</w:t>
      </w:r>
      <w:r>
        <w:rPr>
          <w:rStyle w:val="FootnoteReference"/>
          <w:color w:val="auto"/>
        </w:rPr>
        <w:footnoteReference w:id="59"/>
      </w:r>
      <w:r>
        <w:rPr>
          <w:color w:val="auto"/>
        </w:rPr>
        <w:t xml:space="preserve"> </w:t>
      </w:r>
      <w:r w:rsidR="002A2CC6">
        <w:rPr>
          <w:color w:val="auto"/>
        </w:rPr>
        <w:t xml:space="preserve">The </w:t>
      </w:r>
      <w:r>
        <w:rPr>
          <w:color w:val="auto"/>
        </w:rPr>
        <w:t>FTC’s COPPA Rule applies to operators of commercial websites and online services directed to children under age 13 that collect, use, or disclose personal information from children as well as to operators of general audience websites or online services with actual knowledge that they are collecting, using, or disclosing personal information from children under 13.</w:t>
      </w:r>
      <w:r>
        <w:rPr>
          <w:rStyle w:val="FootnoteReference"/>
          <w:color w:val="auto"/>
        </w:rPr>
        <w:footnoteReference w:id="60"/>
      </w:r>
      <w:r>
        <w:rPr>
          <w:color w:val="auto"/>
        </w:rPr>
        <w:t xml:space="preserve"> Operators covered by the COPPA Rule must comply with various</w:t>
      </w:r>
      <w:r w:rsidR="00276435">
        <w:rPr>
          <w:color w:val="auto"/>
        </w:rPr>
        <w:t xml:space="preserve"> requirements</w:t>
      </w:r>
      <w:r>
        <w:rPr>
          <w:color w:val="auto"/>
        </w:rPr>
        <w:t xml:space="preserve"> </w:t>
      </w:r>
      <w:r w:rsidR="00F710FA">
        <w:rPr>
          <w:color w:val="auto"/>
        </w:rPr>
        <w:t>before collecting and distributing the personal information of children under 13 years of age.</w:t>
      </w:r>
    </w:p>
    <w:p w14:paraId="05AE7D99" w14:textId="77777777" w:rsidR="002C6B77" w:rsidRDefault="002C6B77" w:rsidP="00691802">
      <w:pPr>
        <w:pStyle w:val="ListParagraph"/>
        <w:numPr>
          <w:ilvl w:val="0"/>
          <w:numId w:val="5"/>
        </w:numPr>
        <w:rPr>
          <w:b/>
        </w:rPr>
      </w:pPr>
      <w:r w:rsidRPr="00DE16B4">
        <w:rPr>
          <w:b/>
        </w:rPr>
        <w:t>New York State Regulations</w:t>
      </w:r>
    </w:p>
    <w:p w14:paraId="461AD4E9" w14:textId="77777777" w:rsidR="00424512" w:rsidRPr="00DE16B4" w:rsidRDefault="00424512" w:rsidP="00424512">
      <w:pPr>
        <w:pStyle w:val="ListParagraph"/>
        <w:ind w:left="2520"/>
        <w:rPr>
          <w:b/>
        </w:rPr>
      </w:pPr>
    </w:p>
    <w:p w14:paraId="1215086A" w14:textId="77777777" w:rsidR="002C6B77" w:rsidRPr="00DE16B4" w:rsidRDefault="002C6B77" w:rsidP="002C6B77">
      <w:pPr>
        <w:pStyle w:val="ListParagraph"/>
        <w:numPr>
          <w:ilvl w:val="0"/>
          <w:numId w:val="3"/>
        </w:numPr>
        <w:spacing w:line="480" w:lineRule="auto"/>
        <w:jc w:val="both"/>
        <w:rPr>
          <w:b/>
          <w:color w:val="auto"/>
        </w:rPr>
      </w:pPr>
      <w:r w:rsidRPr="00DE16B4">
        <w:rPr>
          <w:b/>
          <w:color w:val="auto"/>
        </w:rPr>
        <w:t>Cybersecurity Requirements for Financial Services Companies</w:t>
      </w:r>
    </w:p>
    <w:p w14:paraId="7AA188F2" w14:textId="35D290F0" w:rsidR="007A2466" w:rsidRDefault="002C6B77" w:rsidP="001B629C">
      <w:pPr>
        <w:spacing w:after="0" w:line="480" w:lineRule="auto"/>
        <w:ind w:firstLine="720"/>
        <w:jc w:val="both"/>
        <w:rPr>
          <w:rFonts w:eastAsia="Times New Roman"/>
          <w:color w:val="auto"/>
          <w:shd w:val="clear" w:color="auto" w:fill="FFFFFF"/>
        </w:rPr>
      </w:pPr>
      <w:r w:rsidRPr="00DE16B4">
        <w:rPr>
          <w:rFonts w:eastAsia="Times New Roman"/>
          <w:color w:val="auto"/>
          <w:shd w:val="clear" w:color="auto" w:fill="FFFFFF"/>
        </w:rPr>
        <w:t>The New York State Department of Financial Services (</w:t>
      </w:r>
      <w:r w:rsidR="00424512">
        <w:rPr>
          <w:rFonts w:eastAsia="Times New Roman"/>
          <w:color w:val="auto"/>
          <w:shd w:val="clear" w:color="auto" w:fill="FFFFFF"/>
        </w:rPr>
        <w:t>‘</w:t>
      </w:r>
      <w:r w:rsidRPr="00DE16B4">
        <w:rPr>
          <w:rFonts w:eastAsia="Times New Roman"/>
          <w:color w:val="auto"/>
          <w:shd w:val="clear" w:color="auto" w:fill="FFFFFF"/>
        </w:rPr>
        <w:t>DFS</w:t>
      </w:r>
      <w:r w:rsidR="00424512">
        <w:rPr>
          <w:rFonts w:eastAsia="Times New Roman"/>
          <w:color w:val="auto"/>
          <w:shd w:val="clear" w:color="auto" w:fill="FFFFFF"/>
        </w:rPr>
        <w:t>’</w:t>
      </w:r>
      <w:r w:rsidRPr="00DE16B4">
        <w:rPr>
          <w:rFonts w:eastAsia="Times New Roman"/>
          <w:color w:val="auto"/>
          <w:shd w:val="clear" w:color="auto" w:fill="FFFFFF"/>
        </w:rPr>
        <w:t xml:space="preserve">) implemented a first-of-its-kind cybersecurity regulation, </w:t>
      </w:r>
      <w:r w:rsidRPr="00DE16B4">
        <w:rPr>
          <w:color w:val="auto"/>
        </w:rPr>
        <w:t>Cybersecurity Requirements for Financial Services Companies,</w:t>
      </w:r>
      <w:r w:rsidRPr="00DE16B4">
        <w:rPr>
          <w:rStyle w:val="FootnoteReference"/>
          <w:color w:val="auto"/>
        </w:rPr>
        <w:footnoteReference w:id="61"/>
      </w:r>
      <w:r w:rsidRPr="00DE16B4">
        <w:rPr>
          <w:color w:val="auto"/>
        </w:rPr>
        <w:t xml:space="preserve"> </w:t>
      </w:r>
      <w:r w:rsidRPr="00DE16B4">
        <w:rPr>
          <w:rFonts w:eastAsia="Times New Roman"/>
          <w:color w:val="auto"/>
          <w:shd w:val="clear" w:color="auto" w:fill="FFFFFF"/>
        </w:rPr>
        <w:t xml:space="preserve"> which imposed certain minimum requirements on covered entities and </w:t>
      </w:r>
      <w:r w:rsidR="00276435" w:rsidRPr="00DE16B4">
        <w:rPr>
          <w:rFonts w:eastAsia="Times New Roman"/>
          <w:color w:val="auto"/>
          <w:shd w:val="clear" w:color="auto" w:fill="FFFFFF"/>
        </w:rPr>
        <w:t>third-party</w:t>
      </w:r>
      <w:r w:rsidRPr="00DE16B4">
        <w:rPr>
          <w:rFonts w:eastAsia="Times New Roman"/>
          <w:color w:val="auto"/>
          <w:shd w:val="clear" w:color="auto" w:fill="FFFFFF"/>
        </w:rPr>
        <w:t xml:space="preserve"> service providers of the covered entities.</w:t>
      </w:r>
      <w:r w:rsidRPr="00DE16B4" w:rsidDel="00482E74">
        <w:rPr>
          <w:rFonts w:eastAsia="Times New Roman"/>
          <w:color w:val="auto"/>
          <w:vertAlign w:val="superscript"/>
        </w:rPr>
        <w:t xml:space="preserve"> </w:t>
      </w:r>
      <w:r w:rsidRPr="00DE16B4">
        <w:rPr>
          <w:rFonts w:eastAsia="Times New Roman"/>
          <w:color w:val="auto"/>
          <w:shd w:val="clear" w:color="auto" w:fill="FFFFFF"/>
        </w:rPr>
        <w:t>This regulation mainly covers state financial services institutions such as banks, insurance companies, and mortgage brokers.</w:t>
      </w:r>
      <w:r w:rsidRPr="00DE16B4">
        <w:rPr>
          <w:rStyle w:val="FootnoteReference"/>
          <w:rFonts w:eastAsia="Times New Roman"/>
          <w:color w:val="auto"/>
          <w:shd w:val="clear" w:color="auto" w:fill="FFFFFF"/>
        </w:rPr>
        <w:footnoteReference w:id="62"/>
      </w:r>
      <w:r w:rsidRPr="00DE16B4">
        <w:rPr>
          <w:rFonts w:eastAsia="Times New Roman"/>
          <w:color w:val="auto"/>
          <w:shd w:val="clear" w:color="auto" w:fill="FFFFFF"/>
        </w:rPr>
        <w:t> According to DFS, “this regulation is designed to promote the protection of customer information as well as the information technology systems of regulated entities.”</w:t>
      </w:r>
      <w:r w:rsidRPr="00DE16B4">
        <w:rPr>
          <w:rStyle w:val="FootnoteReference"/>
          <w:rFonts w:eastAsia="Times New Roman"/>
          <w:color w:val="auto"/>
          <w:shd w:val="clear" w:color="auto" w:fill="FFFFFF"/>
        </w:rPr>
        <w:footnoteReference w:id="63"/>
      </w:r>
      <w:r w:rsidRPr="00DE16B4">
        <w:rPr>
          <w:rFonts w:eastAsia="Times New Roman"/>
          <w:color w:val="auto"/>
          <w:shd w:val="clear" w:color="auto" w:fill="FFFFFF"/>
        </w:rPr>
        <w:t> DFS urged all covered entities and third party service providers of covered entities to quickly adopt the cybersecurity requirements because of the steady increase in cyber threats and the stark risks to the financial services industry.</w:t>
      </w:r>
      <w:r w:rsidRPr="00DE16B4">
        <w:rPr>
          <w:rStyle w:val="FootnoteReference"/>
          <w:rFonts w:eastAsia="Times New Roman"/>
          <w:color w:val="auto"/>
          <w:shd w:val="clear" w:color="auto" w:fill="FFFFFF"/>
        </w:rPr>
        <w:footnoteReference w:id="64"/>
      </w:r>
    </w:p>
    <w:p w14:paraId="3661105C" w14:textId="2950ED53" w:rsidR="000F3C14" w:rsidRDefault="00626537" w:rsidP="000F3C14">
      <w:pPr>
        <w:spacing w:after="0" w:line="480" w:lineRule="auto"/>
        <w:ind w:firstLine="720"/>
        <w:jc w:val="both"/>
        <w:rPr>
          <w:rFonts w:eastAsia="Times New Roman"/>
          <w:color w:val="auto"/>
          <w:shd w:val="clear" w:color="auto" w:fill="FFFFFF"/>
        </w:rPr>
      </w:pPr>
      <w:r>
        <w:rPr>
          <w:rFonts w:eastAsia="Times New Roman"/>
          <w:color w:val="auto"/>
          <w:shd w:val="clear" w:color="auto" w:fill="FFFFFF"/>
        </w:rPr>
        <w:t>In 2023, DFS amended its cybersecurity regulations in response to “tremendous” changes in the cybersecurity landscape with increasingly sophisticated and prevalent threat actors and higher expenses to remediate cyberattacks.</w:t>
      </w:r>
      <w:r>
        <w:rPr>
          <w:rStyle w:val="FootnoteReference"/>
          <w:rFonts w:eastAsia="Times New Roman"/>
          <w:color w:val="auto"/>
          <w:shd w:val="clear" w:color="auto" w:fill="FFFFFF"/>
        </w:rPr>
        <w:footnoteReference w:id="65"/>
      </w:r>
      <w:r>
        <w:rPr>
          <w:rFonts w:eastAsia="Times New Roman"/>
          <w:color w:val="auto"/>
          <w:shd w:val="clear" w:color="auto" w:fill="FFFFFF"/>
        </w:rPr>
        <w:t xml:space="preserve"> DFS’s amendments aim to strengthen its risk-based approach to ensuring that “cybersecurity is integrated into regulated entities’ business planning, decision-making, and ongoing risk management.”</w:t>
      </w:r>
      <w:r>
        <w:rPr>
          <w:rStyle w:val="FootnoteReference"/>
          <w:rFonts w:eastAsia="Times New Roman"/>
          <w:color w:val="auto"/>
          <w:shd w:val="clear" w:color="auto" w:fill="FFFFFF"/>
        </w:rPr>
        <w:footnoteReference w:id="66"/>
      </w:r>
      <w:r>
        <w:rPr>
          <w:rFonts w:eastAsia="Times New Roman"/>
          <w:color w:val="auto"/>
          <w:shd w:val="clear" w:color="auto" w:fill="FFFFFF"/>
        </w:rPr>
        <w:t xml:space="preserve"> DFS-regulated businesses and licensed entities are held accountable under the adopted amendment for implementing and regularly assessing cybersecurity protections, including implementing additional controls to prevent initial unauthorized access to information systems and investing in annual training and cybersecurity awareness programs.</w:t>
      </w:r>
      <w:r>
        <w:rPr>
          <w:rStyle w:val="FootnoteReference"/>
          <w:rFonts w:eastAsia="Times New Roman"/>
          <w:color w:val="auto"/>
          <w:shd w:val="clear" w:color="auto" w:fill="FFFFFF"/>
        </w:rPr>
        <w:footnoteReference w:id="67"/>
      </w:r>
      <w:r>
        <w:rPr>
          <w:rFonts w:eastAsia="Times New Roman"/>
          <w:color w:val="auto"/>
          <w:shd w:val="clear" w:color="auto" w:fill="FFFFFF"/>
        </w:rPr>
        <w:t xml:space="preserve"> Regulated entities’ cyber defenses must also be appropriate to their size, nature of business, and the type of data maintained, among other relevant considerations.</w:t>
      </w:r>
      <w:r>
        <w:rPr>
          <w:rStyle w:val="FootnoteReference"/>
          <w:rFonts w:eastAsia="Times New Roman"/>
          <w:color w:val="auto"/>
          <w:shd w:val="clear" w:color="auto" w:fill="FFFFFF"/>
        </w:rPr>
        <w:footnoteReference w:id="68"/>
      </w:r>
      <w:r>
        <w:rPr>
          <w:rFonts w:eastAsia="Times New Roman"/>
          <w:color w:val="auto"/>
          <w:shd w:val="clear" w:color="auto" w:fill="FFFFFF"/>
        </w:rPr>
        <w:t xml:space="preserve">  </w:t>
      </w:r>
    </w:p>
    <w:p w14:paraId="220FB051" w14:textId="77777777" w:rsidR="0088453B" w:rsidRPr="00DE16B4" w:rsidRDefault="0088453B" w:rsidP="00691802">
      <w:pPr>
        <w:spacing w:after="0" w:line="480" w:lineRule="auto"/>
        <w:jc w:val="both"/>
        <w:rPr>
          <w:rFonts w:eastAsia="Times New Roman"/>
          <w:color w:val="auto"/>
          <w:vertAlign w:val="superscript"/>
        </w:rPr>
      </w:pPr>
    </w:p>
    <w:p w14:paraId="4600E02D" w14:textId="12CC1634" w:rsidR="002C6B77" w:rsidRPr="00A72C32" w:rsidRDefault="770A0F16" w:rsidP="00A72C32">
      <w:pPr>
        <w:pStyle w:val="ListParagraph"/>
        <w:numPr>
          <w:ilvl w:val="0"/>
          <w:numId w:val="3"/>
        </w:numPr>
        <w:rPr>
          <w:b/>
          <w:bCs/>
        </w:rPr>
      </w:pPr>
      <w:r w:rsidRPr="770A0F16">
        <w:rPr>
          <w:b/>
          <w:bCs/>
        </w:rPr>
        <w:t>New York’s Stop Hacks and Improve Electronic Data Security Act</w:t>
      </w:r>
    </w:p>
    <w:p w14:paraId="2AA4FD6F" w14:textId="5DCA2F73" w:rsidR="002C6B77" w:rsidRPr="00DE16B4" w:rsidRDefault="002C6B77" w:rsidP="002C6B77">
      <w:pPr>
        <w:shd w:val="clear" w:color="auto" w:fill="FFFFFF"/>
        <w:spacing w:after="0" w:line="480" w:lineRule="auto"/>
        <w:jc w:val="both"/>
        <w:rPr>
          <w:rFonts w:eastAsia="Times New Roman"/>
          <w:color w:val="auto"/>
        </w:rPr>
      </w:pPr>
      <w:r w:rsidRPr="00DE16B4">
        <w:rPr>
          <w:rFonts w:eastAsia="Times New Roman"/>
          <w:color w:val="auto"/>
        </w:rPr>
        <w:tab/>
      </w:r>
      <w:r w:rsidR="00934506">
        <w:rPr>
          <w:rFonts w:eastAsia="Times New Roman"/>
          <w:color w:val="auto"/>
        </w:rPr>
        <w:t>The</w:t>
      </w:r>
      <w:r w:rsidR="001A0C84" w:rsidRPr="00DE16B4">
        <w:rPr>
          <w:rFonts w:eastAsia="Times New Roman"/>
          <w:color w:val="auto"/>
        </w:rPr>
        <w:t xml:space="preserve"> </w:t>
      </w:r>
      <w:r w:rsidRPr="00DE16B4">
        <w:rPr>
          <w:rFonts w:eastAsia="Times New Roman"/>
          <w:color w:val="auto"/>
        </w:rPr>
        <w:t>New York’s Stop Hacks and Improve Electronic Data Security Act (</w:t>
      </w:r>
      <w:r w:rsidR="00424512">
        <w:rPr>
          <w:rFonts w:eastAsia="Times New Roman"/>
          <w:color w:val="auto"/>
        </w:rPr>
        <w:t>‘</w:t>
      </w:r>
      <w:r w:rsidRPr="00DE16B4">
        <w:rPr>
          <w:rFonts w:eastAsia="Times New Roman"/>
          <w:color w:val="auto"/>
        </w:rPr>
        <w:t>SHIELD Act</w:t>
      </w:r>
      <w:r w:rsidR="00424512">
        <w:rPr>
          <w:rFonts w:eastAsia="Times New Roman"/>
          <w:color w:val="auto"/>
        </w:rPr>
        <w:t>’</w:t>
      </w:r>
      <w:r w:rsidRPr="00DE16B4">
        <w:rPr>
          <w:rFonts w:eastAsia="Times New Roman"/>
          <w:color w:val="auto"/>
        </w:rPr>
        <w:t>)</w:t>
      </w:r>
      <w:r w:rsidRPr="00DE16B4">
        <w:rPr>
          <w:rStyle w:val="FootnoteReference"/>
          <w:rFonts w:eastAsia="Times New Roman"/>
          <w:color w:val="auto"/>
        </w:rPr>
        <w:footnoteReference w:id="69"/>
      </w:r>
      <w:r w:rsidRPr="00DE16B4">
        <w:rPr>
          <w:rFonts w:eastAsia="Times New Roman"/>
          <w:color w:val="auto"/>
        </w:rPr>
        <w:t xml:space="preserve"> broadens the state’s data breach notification requirements</w:t>
      </w:r>
      <w:r w:rsidR="001A0C84" w:rsidRPr="00DE16B4">
        <w:rPr>
          <w:rFonts w:eastAsia="Times New Roman"/>
          <w:color w:val="auto"/>
        </w:rPr>
        <w:t xml:space="preserve">. The SHIELD Act </w:t>
      </w:r>
      <w:r w:rsidR="002F3D0D">
        <w:rPr>
          <w:rFonts w:eastAsia="Times New Roman"/>
          <w:color w:val="auto"/>
        </w:rPr>
        <w:t>requires</w:t>
      </w:r>
      <w:r w:rsidRPr="00DE16B4">
        <w:rPr>
          <w:rFonts w:eastAsia="Times New Roman"/>
          <w:color w:val="auto"/>
        </w:rPr>
        <w:t xml:space="preserve"> covered businesses to have “reasonable” data security safeguards.</w:t>
      </w:r>
      <w:r w:rsidR="00934506">
        <w:rPr>
          <w:rStyle w:val="FootnoteReference"/>
          <w:rFonts w:eastAsia="Times New Roman"/>
          <w:color w:val="auto"/>
        </w:rPr>
        <w:footnoteReference w:id="70"/>
      </w:r>
    </w:p>
    <w:p w14:paraId="169B520F" w14:textId="7580949C" w:rsidR="002C6B77" w:rsidRPr="00DE16B4" w:rsidRDefault="002C6B77" w:rsidP="002C6B77">
      <w:pPr>
        <w:shd w:val="clear" w:color="auto" w:fill="FFFFFF"/>
        <w:spacing w:after="0" w:line="480" w:lineRule="auto"/>
        <w:jc w:val="both"/>
        <w:rPr>
          <w:rFonts w:eastAsia="Times New Roman"/>
          <w:color w:val="auto"/>
          <w:shd w:val="clear" w:color="auto" w:fill="FFFFFF"/>
        </w:rPr>
      </w:pPr>
      <w:r w:rsidRPr="00DE16B4">
        <w:rPr>
          <w:rFonts w:eastAsia="Times New Roman"/>
          <w:color w:val="auto"/>
        </w:rPr>
        <w:tab/>
        <w:t>The Act makes five principal changes to existing New York law. First, the SHIELD Act expands the law’s jurisdiction to entities that maintain private information of New York residents, regardless of whether or not such entities actually conduct business within the State.</w:t>
      </w:r>
      <w:r w:rsidRPr="00DE16B4">
        <w:rPr>
          <w:rStyle w:val="FootnoteReference"/>
          <w:rFonts w:eastAsia="Times New Roman"/>
          <w:color w:val="auto"/>
        </w:rPr>
        <w:footnoteReference w:id="71"/>
      </w:r>
      <w:r w:rsidRPr="00DE16B4">
        <w:rPr>
          <w:rFonts w:eastAsia="Times New Roman"/>
          <w:color w:val="auto"/>
        </w:rPr>
        <w:t xml:space="preserve"> This provision is c</w:t>
      </w:r>
      <w:r w:rsidRPr="00DE16B4">
        <w:rPr>
          <w:rFonts w:eastAsia="Times New Roman"/>
          <w:color w:val="auto"/>
          <w:shd w:val="clear" w:color="auto" w:fill="FFFFFF"/>
        </w:rPr>
        <w:t>onsistent with the exterritorial trend in data security and privacy laws exemplified by the European Union’s General Data Protection Regulation (</w:t>
      </w:r>
      <w:r w:rsidR="00C81766">
        <w:rPr>
          <w:rFonts w:eastAsia="Times New Roman"/>
          <w:color w:val="auto"/>
          <w:shd w:val="clear" w:color="auto" w:fill="FFFFFF"/>
        </w:rPr>
        <w:t>‘</w:t>
      </w:r>
      <w:r w:rsidRPr="00DE16B4">
        <w:rPr>
          <w:rFonts w:eastAsia="Times New Roman"/>
          <w:color w:val="auto"/>
          <w:shd w:val="clear" w:color="auto" w:fill="FFFFFF"/>
        </w:rPr>
        <w:t>GDPR</w:t>
      </w:r>
      <w:r w:rsidR="00C81766">
        <w:rPr>
          <w:rFonts w:eastAsia="Times New Roman"/>
          <w:color w:val="auto"/>
          <w:shd w:val="clear" w:color="auto" w:fill="FFFFFF"/>
        </w:rPr>
        <w:t>’</w:t>
      </w:r>
      <w:r w:rsidRPr="00DE16B4">
        <w:rPr>
          <w:rFonts w:eastAsia="Times New Roman"/>
          <w:color w:val="auto"/>
          <w:shd w:val="clear" w:color="auto" w:fill="FFFFFF"/>
        </w:rPr>
        <w:t>)</w:t>
      </w:r>
      <w:r w:rsidR="001C4617" w:rsidRPr="00DE16B4">
        <w:rPr>
          <w:rStyle w:val="FootnoteReference"/>
          <w:rFonts w:eastAsia="Times New Roman"/>
          <w:color w:val="auto"/>
          <w:shd w:val="clear" w:color="auto" w:fill="FFFFFF"/>
        </w:rPr>
        <w:footnoteReference w:id="72"/>
      </w:r>
      <w:r w:rsidRPr="00DE16B4">
        <w:rPr>
          <w:rFonts w:eastAsia="Times New Roman"/>
          <w:color w:val="auto"/>
          <w:shd w:val="clear" w:color="auto" w:fill="FFFFFF"/>
        </w:rPr>
        <w:t xml:space="preserve"> and California’s Consumer Privacy Act (</w:t>
      </w:r>
      <w:r w:rsidR="00C81766">
        <w:rPr>
          <w:rFonts w:eastAsia="Times New Roman"/>
          <w:color w:val="auto"/>
          <w:shd w:val="clear" w:color="auto" w:fill="FFFFFF"/>
        </w:rPr>
        <w:t>‘</w:t>
      </w:r>
      <w:r w:rsidRPr="00DE16B4">
        <w:rPr>
          <w:rFonts w:eastAsia="Times New Roman"/>
          <w:color w:val="auto"/>
          <w:shd w:val="clear" w:color="auto" w:fill="FFFFFF"/>
        </w:rPr>
        <w:t>CCPA</w:t>
      </w:r>
      <w:r w:rsidR="00C81766">
        <w:rPr>
          <w:rFonts w:eastAsia="Times New Roman"/>
          <w:color w:val="auto"/>
          <w:shd w:val="clear" w:color="auto" w:fill="FFFFFF"/>
        </w:rPr>
        <w:t>’</w:t>
      </w:r>
      <w:r w:rsidRPr="00DE16B4">
        <w:rPr>
          <w:rFonts w:eastAsia="Times New Roman"/>
          <w:color w:val="auto"/>
          <w:shd w:val="clear" w:color="auto" w:fill="FFFFFF"/>
        </w:rPr>
        <w:t>)</w:t>
      </w:r>
      <w:r w:rsidR="00FE2D77" w:rsidRPr="00DE16B4">
        <w:rPr>
          <w:rFonts w:eastAsia="Times New Roman"/>
          <w:color w:val="auto"/>
          <w:shd w:val="clear" w:color="auto" w:fill="FFFFFF"/>
        </w:rPr>
        <w:t>.</w:t>
      </w:r>
      <w:r w:rsidR="001A0C84" w:rsidRPr="00DE16B4">
        <w:rPr>
          <w:rStyle w:val="FootnoteReference"/>
          <w:rFonts w:eastAsia="Times New Roman"/>
          <w:color w:val="auto"/>
          <w:shd w:val="clear" w:color="auto" w:fill="FFFFFF"/>
        </w:rPr>
        <w:footnoteReference w:id="73"/>
      </w:r>
      <w:r w:rsidRPr="00DE16B4">
        <w:rPr>
          <w:rFonts w:eastAsia="Times New Roman"/>
          <w:color w:val="auto"/>
          <w:shd w:val="clear" w:color="auto" w:fill="FFFFFF"/>
        </w:rPr>
        <w:t xml:space="preserve"> The </w:t>
      </w:r>
      <w:r w:rsidRPr="00DE16B4">
        <w:rPr>
          <w:rFonts w:eastAsia="Times New Roman"/>
          <w:color w:val="auto"/>
        </w:rPr>
        <w:t>SHIELD Act</w:t>
      </w:r>
      <w:r w:rsidRPr="00DE16B4">
        <w:rPr>
          <w:rFonts w:eastAsia="Times New Roman"/>
          <w:color w:val="auto"/>
          <w:shd w:val="clear" w:color="auto" w:fill="FFFFFF"/>
        </w:rPr>
        <w:t xml:space="preserve"> will cover businesses that operate outside of New York, if such entities maintain private information of New York consumers, employees or other residents.</w:t>
      </w:r>
      <w:r w:rsidRPr="00DE16B4">
        <w:rPr>
          <w:rStyle w:val="FootnoteReference"/>
          <w:rFonts w:eastAsia="Times New Roman"/>
          <w:color w:val="auto"/>
          <w:shd w:val="clear" w:color="auto" w:fill="FFFFFF"/>
        </w:rPr>
        <w:footnoteReference w:id="74"/>
      </w:r>
    </w:p>
    <w:p w14:paraId="5FA7CEE8" w14:textId="3E7175C4" w:rsidR="002C6B77" w:rsidRPr="00DE16B4" w:rsidRDefault="002C6B77" w:rsidP="002C6B77">
      <w:pPr>
        <w:shd w:val="clear" w:color="auto" w:fill="FFFFFF"/>
        <w:spacing w:before="75" w:after="0" w:line="480" w:lineRule="auto"/>
        <w:ind w:firstLine="720"/>
        <w:jc w:val="both"/>
        <w:rPr>
          <w:rFonts w:eastAsia="Times New Roman"/>
          <w:color w:val="auto"/>
          <w:shd w:val="clear" w:color="auto" w:fill="FFFFFF"/>
        </w:rPr>
      </w:pPr>
      <w:r w:rsidRPr="00DE16B4">
        <w:rPr>
          <w:rFonts w:eastAsia="Times New Roman"/>
          <w:color w:val="auto"/>
        </w:rPr>
        <w:t>Second, the SHIELD Act</w:t>
      </w:r>
      <w:r w:rsidRPr="00DE16B4">
        <w:rPr>
          <w:rFonts w:eastAsia="Times New Roman"/>
          <w:color w:val="auto"/>
          <w:shd w:val="clear" w:color="auto" w:fill="FFFFFF"/>
        </w:rPr>
        <w:t xml:space="preserve"> extends the definition of </w:t>
      </w:r>
      <w:r w:rsidRPr="00DE16B4">
        <w:rPr>
          <w:rFonts w:eastAsia="Times New Roman"/>
          <w:color w:val="auto"/>
        </w:rPr>
        <w:t xml:space="preserve">“private information” </w:t>
      </w:r>
      <w:r w:rsidR="00A525E4" w:rsidRPr="00DE16B4">
        <w:rPr>
          <w:rFonts w:eastAsia="Times New Roman"/>
          <w:color w:val="auto"/>
        </w:rPr>
        <w:t xml:space="preserve">that triggers </w:t>
      </w:r>
      <w:r w:rsidRPr="00DE16B4">
        <w:rPr>
          <w:rFonts w:eastAsia="Times New Roman"/>
          <w:color w:val="auto"/>
        </w:rPr>
        <w:t xml:space="preserve">notification obligations </w:t>
      </w:r>
      <w:r w:rsidR="00A525E4" w:rsidRPr="00DE16B4">
        <w:rPr>
          <w:rFonts w:eastAsia="Times New Roman"/>
          <w:color w:val="auto"/>
        </w:rPr>
        <w:t xml:space="preserve">to consumers </w:t>
      </w:r>
      <w:r w:rsidRPr="00DE16B4">
        <w:rPr>
          <w:rFonts w:eastAsia="Times New Roman"/>
          <w:color w:val="auto"/>
        </w:rPr>
        <w:t xml:space="preserve">in the event of a breach, </w:t>
      </w:r>
      <w:r w:rsidR="00A525E4" w:rsidRPr="00DE16B4">
        <w:rPr>
          <w:rFonts w:eastAsia="Times New Roman"/>
          <w:color w:val="auto"/>
        </w:rPr>
        <w:t>and includes</w:t>
      </w:r>
      <w:r w:rsidRPr="00DE16B4">
        <w:rPr>
          <w:rFonts w:eastAsia="Times New Roman"/>
          <w:color w:val="auto"/>
        </w:rPr>
        <w:t xml:space="preserve"> biometric data such </w:t>
      </w:r>
      <w:r w:rsidR="00A525E4" w:rsidRPr="00DE16B4">
        <w:rPr>
          <w:rFonts w:eastAsia="Times New Roman"/>
          <w:color w:val="auto"/>
        </w:rPr>
        <w:t xml:space="preserve">as </w:t>
      </w:r>
      <w:r w:rsidRPr="00DE16B4">
        <w:rPr>
          <w:rFonts w:eastAsia="Times New Roman"/>
          <w:color w:val="auto"/>
        </w:rPr>
        <w:t>fingerprint, retina or iris scan</w:t>
      </w:r>
      <w:r w:rsidR="00A525E4" w:rsidRPr="00DE16B4">
        <w:rPr>
          <w:rFonts w:eastAsia="Times New Roman"/>
          <w:color w:val="auto"/>
        </w:rPr>
        <w:t>s</w:t>
      </w:r>
      <w:r w:rsidRPr="00DE16B4">
        <w:rPr>
          <w:rFonts w:eastAsia="Times New Roman"/>
          <w:color w:val="auto"/>
        </w:rPr>
        <w:t>, or other physical characteristics.</w:t>
      </w:r>
      <w:r w:rsidR="001C4617" w:rsidRPr="00DE16B4">
        <w:rPr>
          <w:rStyle w:val="FootnoteReference"/>
          <w:rFonts w:eastAsia="Times New Roman"/>
          <w:color w:val="auto"/>
        </w:rPr>
        <w:footnoteReference w:id="75"/>
      </w:r>
      <w:r w:rsidRPr="00DE16B4">
        <w:rPr>
          <w:rFonts w:eastAsia="Times New Roman"/>
          <w:color w:val="auto"/>
        </w:rPr>
        <w:t xml:space="preserve"> </w:t>
      </w:r>
    </w:p>
    <w:p w14:paraId="680CBC46" w14:textId="24F7D3EF" w:rsidR="005775AB" w:rsidRDefault="002C6B77" w:rsidP="002C6B77">
      <w:pPr>
        <w:shd w:val="clear" w:color="auto" w:fill="FFFFFF"/>
        <w:spacing w:before="75" w:after="0" w:line="480" w:lineRule="auto"/>
        <w:ind w:firstLine="720"/>
        <w:jc w:val="both"/>
        <w:rPr>
          <w:rFonts w:eastAsia="Times New Roman"/>
          <w:color w:val="auto"/>
        </w:rPr>
      </w:pPr>
      <w:r w:rsidRPr="00DE16B4">
        <w:rPr>
          <w:rFonts w:eastAsia="Times New Roman"/>
          <w:color w:val="auto"/>
        </w:rPr>
        <w:t>Third, the SHIELD Act expands the definition of a “breach” to include unauthorized “access” to private information, in addition to unauthorized “acquisition” of such information.</w:t>
      </w:r>
      <w:r w:rsidR="00D117BB">
        <w:rPr>
          <w:rStyle w:val="FootnoteReference"/>
          <w:rFonts w:eastAsia="Times New Roman"/>
          <w:color w:val="auto"/>
        </w:rPr>
        <w:footnoteReference w:id="76"/>
      </w:r>
      <w:r w:rsidRPr="00DE16B4">
        <w:rPr>
          <w:rFonts w:eastAsia="Times New Roman"/>
          <w:color w:val="auto"/>
        </w:rPr>
        <w:t xml:space="preserve"> </w:t>
      </w:r>
    </w:p>
    <w:p w14:paraId="43B982BB" w14:textId="3498CFC6" w:rsidR="002C6B77" w:rsidRPr="00DE16B4" w:rsidRDefault="002C6B77" w:rsidP="002C6B77">
      <w:pPr>
        <w:shd w:val="clear" w:color="auto" w:fill="FFFFFF"/>
        <w:spacing w:before="75" w:after="0" w:line="480" w:lineRule="auto"/>
        <w:ind w:firstLine="720"/>
        <w:jc w:val="both"/>
        <w:rPr>
          <w:rFonts w:eastAsia="Times New Roman"/>
          <w:color w:val="auto"/>
        </w:rPr>
      </w:pPr>
      <w:r w:rsidRPr="00DE16B4">
        <w:rPr>
          <w:rFonts w:eastAsia="Times New Roman"/>
          <w:color w:val="auto"/>
        </w:rPr>
        <w:t>Fo</w:t>
      </w:r>
      <w:r w:rsidR="008A6713" w:rsidRPr="00DE16B4">
        <w:rPr>
          <w:rFonts w:eastAsia="Times New Roman"/>
          <w:color w:val="auto"/>
        </w:rPr>
        <w:t>u</w:t>
      </w:r>
      <w:r w:rsidRPr="00DE16B4">
        <w:rPr>
          <w:rFonts w:eastAsia="Times New Roman"/>
          <w:color w:val="auto"/>
        </w:rPr>
        <w:t xml:space="preserve">rth, </w:t>
      </w:r>
      <w:r w:rsidR="008A6713" w:rsidRPr="00DE16B4">
        <w:rPr>
          <w:rFonts w:eastAsia="Times New Roman"/>
          <w:color w:val="auto"/>
        </w:rPr>
        <w:t xml:space="preserve">the </w:t>
      </w:r>
      <w:r w:rsidRPr="00DE16B4">
        <w:rPr>
          <w:rFonts w:eastAsia="Times New Roman"/>
          <w:color w:val="auto"/>
        </w:rPr>
        <w:t>SHIELD Act increases civil penalties for violations of notification obligations from $10 per instance of failed notification with the gap of $150,000 to $20 per instance of failed notification, with the amount cap of $250,000.</w:t>
      </w:r>
      <w:r w:rsidR="00A83EC4" w:rsidRPr="00DE16B4">
        <w:rPr>
          <w:rStyle w:val="FootnoteReference"/>
          <w:rFonts w:eastAsia="Times New Roman"/>
          <w:color w:val="auto"/>
        </w:rPr>
        <w:footnoteReference w:id="77"/>
      </w:r>
    </w:p>
    <w:p w14:paraId="3ED921B7" w14:textId="57DC83D9" w:rsidR="002C6B77" w:rsidRPr="00DE16B4" w:rsidRDefault="00D36F93" w:rsidP="002C6B77">
      <w:pPr>
        <w:shd w:val="clear" w:color="auto" w:fill="FFFFFF"/>
        <w:spacing w:after="0" w:line="480" w:lineRule="auto"/>
        <w:ind w:firstLine="720"/>
        <w:jc w:val="both"/>
        <w:rPr>
          <w:rFonts w:eastAsia="Times New Roman"/>
          <w:color w:val="auto"/>
        </w:rPr>
      </w:pPr>
      <w:r>
        <w:rPr>
          <w:rFonts w:eastAsia="Times New Roman"/>
          <w:color w:val="auto"/>
        </w:rPr>
        <w:t>Lastly</w:t>
      </w:r>
      <w:r w:rsidR="002C6B77" w:rsidRPr="00DE16B4">
        <w:rPr>
          <w:rFonts w:eastAsia="Times New Roman"/>
          <w:color w:val="auto"/>
        </w:rPr>
        <w:t>, the SHIELD Act requires companies to implement and maintain reasonable data security measures to protect the security, confidentiality and integrity of private information.</w:t>
      </w:r>
      <w:r w:rsidR="002C6B77" w:rsidRPr="00DE16B4">
        <w:rPr>
          <w:rStyle w:val="FootnoteReference"/>
          <w:rFonts w:eastAsia="Times New Roman"/>
          <w:color w:val="auto"/>
        </w:rPr>
        <w:footnoteReference w:id="78"/>
      </w:r>
      <w:r w:rsidR="002C6B77" w:rsidRPr="00DE16B4">
        <w:rPr>
          <w:rFonts w:eastAsia="Times New Roman"/>
          <w:color w:val="auto"/>
        </w:rPr>
        <w:t xml:space="preserve"> </w:t>
      </w:r>
    </w:p>
    <w:p w14:paraId="2AEF44E5" w14:textId="45CAAC6B" w:rsidR="002C6B77" w:rsidRPr="00DE16B4" w:rsidRDefault="002C6B77" w:rsidP="002C6B77">
      <w:pPr>
        <w:shd w:val="clear" w:color="auto" w:fill="FFFFFF"/>
        <w:spacing w:after="0" w:line="480" w:lineRule="auto"/>
        <w:ind w:firstLine="720"/>
        <w:jc w:val="both"/>
        <w:rPr>
          <w:rFonts w:eastAsia="Times New Roman"/>
          <w:color w:val="auto"/>
        </w:rPr>
      </w:pPr>
      <w:r w:rsidRPr="00DE16B4">
        <w:rPr>
          <w:rFonts w:eastAsia="Times New Roman"/>
          <w:color w:val="auto"/>
        </w:rPr>
        <w:t xml:space="preserve">The Act also addresses </w:t>
      </w:r>
      <w:r w:rsidR="008A6713" w:rsidRPr="00DE16B4">
        <w:rPr>
          <w:rFonts w:eastAsia="Times New Roman"/>
          <w:color w:val="auto"/>
        </w:rPr>
        <w:t xml:space="preserve">cybersecurity for </w:t>
      </w:r>
      <w:r w:rsidRPr="00DE16B4">
        <w:rPr>
          <w:rFonts w:eastAsia="Times New Roman"/>
          <w:color w:val="auto"/>
        </w:rPr>
        <w:t xml:space="preserve">small businesses, which are defined as any </w:t>
      </w:r>
      <w:r w:rsidRPr="00DE16B4">
        <w:rPr>
          <w:color w:val="auto"/>
        </w:rPr>
        <w:t>person or business with (i) fewer than fifty employees; (ii) less than three million dollars in gross annual revenue in each of the last three fiscal years; or (iii) less than five million dollars in year-end total assets, calculated in accordance with generally accepted accounting principles.</w:t>
      </w:r>
      <w:r w:rsidR="00A83EC4" w:rsidRPr="00DE16B4">
        <w:rPr>
          <w:rStyle w:val="FootnoteReference"/>
          <w:color w:val="auto"/>
        </w:rPr>
        <w:footnoteReference w:id="79"/>
      </w:r>
      <w:r w:rsidRPr="00DE16B4">
        <w:rPr>
          <w:color w:val="auto"/>
        </w:rPr>
        <w:t xml:space="preserve"> Pursuant to the </w:t>
      </w:r>
      <w:r w:rsidR="008A6713" w:rsidRPr="00DE16B4">
        <w:rPr>
          <w:color w:val="auto"/>
        </w:rPr>
        <w:t>Act</w:t>
      </w:r>
      <w:r w:rsidRPr="00DE16B4">
        <w:rPr>
          <w:color w:val="auto"/>
        </w:rPr>
        <w:t>, small businesses, shall “contain reasonable administrative, technical and physical safeguards  that are appropriate for the size and complexity of the small business, the nature and scope of the small business's activities, and the sensitivity of the personal information the small business collects from or about consumers.”</w:t>
      </w:r>
      <w:r w:rsidRPr="00DE16B4">
        <w:rPr>
          <w:rStyle w:val="FootnoteReference"/>
          <w:color w:val="auto"/>
        </w:rPr>
        <w:footnoteReference w:id="80"/>
      </w:r>
    </w:p>
    <w:p w14:paraId="025F6091" w14:textId="04B4856B" w:rsidR="00096DB0" w:rsidRPr="00DE16B4" w:rsidRDefault="00096DB0" w:rsidP="00691802">
      <w:pPr>
        <w:spacing w:line="480" w:lineRule="auto"/>
        <w:ind w:firstLine="720"/>
        <w:jc w:val="both"/>
        <w:rPr>
          <w:rFonts w:eastAsia="Times New Roman"/>
          <w:color w:val="auto"/>
          <w:shd w:val="clear" w:color="auto" w:fill="FFFFFF"/>
        </w:rPr>
      </w:pPr>
      <w:r>
        <w:rPr>
          <w:rFonts w:eastAsia="Times New Roman"/>
          <w:color w:val="auto"/>
          <w:shd w:val="clear" w:color="auto" w:fill="FFFFFF"/>
        </w:rPr>
        <w:t>Under the SHIELD Act, the New York Attorney General (</w:t>
      </w:r>
      <w:r w:rsidR="00C81766">
        <w:rPr>
          <w:rFonts w:eastAsia="Times New Roman"/>
          <w:color w:val="auto"/>
          <w:shd w:val="clear" w:color="auto" w:fill="FFFFFF"/>
        </w:rPr>
        <w:t>‘</w:t>
      </w:r>
      <w:r>
        <w:rPr>
          <w:rFonts w:eastAsia="Times New Roman"/>
          <w:color w:val="auto"/>
          <w:shd w:val="clear" w:color="auto" w:fill="FFFFFF"/>
        </w:rPr>
        <w:t>NYAG</w:t>
      </w:r>
      <w:r w:rsidR="00C81766">
        <w:rPr>
          <w:rFonts w:eastAsia="Times New Roman"/>
          <w:color w:val="auto"/>
          <w:shd w:val="clear" w:color="auto" w:fill="FFFFFF"/>
        </w:rPr>
        <w:t>’</w:t>
      </w:r>
      <w:r>
        <w:rPr>
          <w:rFonts w:eastAsia="Times New Roman"/>
          <w:color w:val="auto"/>
          <w:shd w:val="clear" w:color="auto" w:fill="FFFFFF"/>
        </w:rPr>
        <w:t>) may seek injunctive relief, restitution and penalties against any business entity for violating the law.</w:t>
      </w:r>
      <w:r>
        <w:rPr>
          <w:rStyle w:val="FootnoteReference"/>
          <w:rFonts w:eastAsia="Times New Roman"/>
          <w:color w:val="auto"/>
          <w:shd w:val="clear" w:color="auto" w:fill="FFFFFF"/>
        </w:rPr>
        <w:footnoteReference w:id="81"/>
      </w:r>
      <w:r>
        <w:rPr>
          <w:rFonts w:eastAsia="Times New Roman"/>
          <w:color w:val="auto"/>
          <w:shd w:val="clear" w:color="auto" w:fill="FFFFFF"/>
        </w:rPr>
        <w:t xml:space="preserve"> Recently, for example, </w:t>
      </w:r>
      <w:r w:rsidR="00F75F6F">
        <w:rPr>
          <w:rFonts w:eastAsia="Times New Roman"/>
          <w:color w:val="auto"/>
          <w:shd w:val="clear" w:color="auto" w:fill="FFFFFF"/>
        </w:rPr>
        <w:t xml:space="preserve">the </w:t>
      </w:r>
      <w:r>
        <w:rPr>
          <w:rFonts w:eastAsia="Times New Roman"/>
          <w:color w:val="auto"/>
          <w:shd w:val="clear" w:color="auto" w:fill="FFFFFF"/>
        </w:rPr>
        <w:t>NYAG brought an action against Root, an auto insurance company that allows consumers to obtain a price quote through its website, for allegedly failing to protect approximately 45,000 New Yorkers’ personal information, including their driver’s license numbers and dates of birth.</w:t>
      </w:r>
      <w:r>
        <w:rPr>
          <w:rStyle w:val="FootnoteReference"/>
          <w:rFonts w:eastAsia="Times New Roman"/>
          <w:color w:val="auto"/>
          <w:shd w:val="clear" w:color="auto" w:fill="FFFFFF"/>
        </w:rPr>
        <w:footnoteReference w:id="82"/>
      </w:r>
      <w:r>
        <w:rPr>
          <w:rFonts w:eastAsia="Times New Roman"/>
          <w:color w:val="auto"/>
          <w:shd w:val="clear" w:color="auto" w:fill="FFFFFF"/>
        </w:rPr>
        <w:t xml:space="preserve"> NYAG claimed that Root “failed to perform adequate risk assessments on its public-facing web applications, did not identify the plain text exposure of consumer personal information, and employed insufficient controls to thwart automated attacks.”</w:t>
      </w:r>
      <w:r>
        <w:rPr>
          <w:rStyle w:val="FootnoteReference"/>
          <w:rFonts w:eastAsia="Times New Roman"/>
          <w:color w:val="auto"/>
          <w:shd w:val="clear" w:color="auto" w:fill="FFFFFF"/>
        </w:rPr>
        <w:footnoteReference w:id="83"/>
      </w:r>
      <w:r>
        <w:rPr>
          <w:rFonts w:eastAsia="Times New Roman"/>
          <w:color w:val="auto"/>
          <w:shd w:val="clear" w:color="auto" w:fill="FFFFFF"/>
        </w:rPr>
        <w:t xml:space="preserve"> In 2025,</w:t>
      </w:r>
      <w:r w:rsidR="00604CC9">
        <w:rPr>
          <w:rFonts w:eastAsia="Times New Roman"/>
          <w:color w:val="auto"/>
          <w:shd w:val="clear" w:color="auto" w:fill="FFFFFF"/>
        </w:rPr>
        <w:t xml:space="preserve"> the</w:t>
      </w:r>
      <w:r>
        <w:rPr>
          <w:rFonts w:eastAsia="Times New Roman"/>
          <w:color w:val="auto"/>
          <w:shd w:val="clear" w:color="auto" w:fill="FFFFFF"/>
        </w:rPr>
        <w:t xml:space="preserve"> NYAG and Root agreed to a settlement, part of which required Root to pay $975,000 and to undertake a variety of security measures, including to create a data inventory in which Root tracks the complete path of all data flows involving consumer’s personal information.</w:t>
      </w:r>
      <w:r>
        <w:rPr>
          <w:rStyle w:val="FootnoteReference"/>
          <w:rFonts w:eastAsia="Times New Roman"/>
          <w:color w:val="auto"/>
          <w:shd w:val="clear" w:color="auto" w:fill="FFFFFF"/>
        </w:rPr>
        <w:footnoteReference w:id="84"/>
      </w:r>
      <w:r>
        <w:rPr>
          <w:rFonts w:eastAsia="Times New Roman"/>
          <w:color w:val="auto"/>
          <w:shd w:val="clear" w:color="auto" w:fill="FFFFFF"/>
        </w:rPr>
        <w:t xml:space="preserve"> In addition to Root, NYAG has held numerous other auto insurance companies accountable under the SHIELD Act, including suing National General and Allstate Insurance Company for allegedly failing to protect New Yorkers’ personal information form cyberattacks, securing a $500,000 settlement from Noblr due to a data breach that threatened 80,000 New Yorkers’ personal information, and securing a $11.3 million settlement from GEICO and Travelers Insurance for having poor data security, leading to the compromise of 120,000 New Yorkers’ personal information.</w:t>
      </w:r>
      <w:r>
        <w:rPr>
          <w:rStyle w:val="FootnoteReference"/>
          <w:rFonts w:eastAsia="Times New Roman"/>
          <w:color w:val="auto"/>
          <w:shd w:val="clear" w:color="auto" w:fill="FFFFFF"/>
        </w:rPr>
        <w:footnoteReference w:id="85"/>
      </w:r>
      <w:r>
        <w:rPr>
          <w:rFonts w:eastAsia="Times New Roman"/>
          <w:color w:val="auto"/>
          <w:shd w:val="clear" w:color="auto" w:fill="FFFFFF"/>
        </w:rPr>
        <w:t xml:space="preserve"> </w:t>
      </w:r>
    </w:p>
    <w:p w14:paraId="1058A1F7" w14:textId="2D3F029C" w:rsidR="002C6B77" w:rsidRPr="00DE16B4" w:rsidRDefault="770A0F16" w:rsidP="770A0F16">
      <w:pPr>
        <w:spacing w:after="160" w:line="259" w:lineRule="auto"/>
        <w:ind w:firstLine="360"/>
        <w:rPr>
          <w:b/>
          <w:bCs/>
          <w:color w:val="auto"/>
        </w:rPr>
      </w:pPr>
      <w:r w:rsidRPr="770A0F16">
        <w:rPr>
          <w:b/>
          <w:bCs/>
          <w:color w:val="auto"/>
        </w:rPr>
        <w:t>G.</w:t>
      </w:r>
      <w:r w:rsidR="19532688">
        <w:tab/>
      </w:r>
      <w:r w:rsidRPr="770A0F16">
        <w:rPr>
          <w:b/>
          <w:bCs/>
          <w:color w:val="auto"/>
        </w:rPr>
        <w:t xml:space="preserve">Existing Cybersecurity Measures for Small Businesses </w:t>
      </w:r>
    </w:p>
    <w:p w14:paraId="334A3076" w14:textId="77777777" w:rsidR="002C6B77" w:rsidRPr="00DE16B4" w:rsidRDefault="002C6B77" w:rsidP="002C6B77">
      <w:pPr>
        <w:pStyle w:val="ListParagraph"/>
        <w:numPr>
          <w:ilvl w:val="0"/>
          <w:numId w:val="4"/>
        </w:numPr>
        <w:spacing w:before="240" w:after="160" w:line="480" w:lineRule="auto"/>
        <w:rPr>
          <w:b/>
          <w:color w:val="auto"/>
        </w:rPr>
      </w:pPr>
      <w:r w:rsidRPr="00DE16B4">
        <w:rPr>
          <w:b/>
          <w:color w:val="auto"/>
        </w:rPr>
        <w:t xml:space="preserve">Federal Initiatives </w:t>
      </w:r>
    </w:p>
    <w:p w14:paraId="7B947F71" w14:textId="786E5A7F" w:rsidR="00691802" w:rsidRPr="00691802" w:rsidRDefault="002C6B77" w:rsidP="00691802">
      <w:pPr>
        <w:spacing w:before="240" w:after="160" w:line="480" w:lineRule="auto"/>
        <w:jc w:val="both"/>
        <w:rPr>
          <w:color w:val="auto"/>
        </w:rPr>
      </w:pPr>
      <w:r w:rsidRPr="00DE16B4">
        <w:rPr>
          <w:color w:val="auto"/>
        </w:rPr>
        <w:tab/>
      </w:r>
      <w:r w:rsidR="00691802" w:rsidRPr="00691802">
        <w:rPr>
          <w:color w:val="auto"/>
        </w:rPr>
        <w:t>The U.S. Small Business Administration (</w:t>
      </w:r>
      <w:r w:rsidR="00F460B9">
        <w:rPr>
          <w:color w:val="auto"/>
        </w:rPr>
        <w:t>‘</w:t>
      </w:r>
      <w:r w:rsidR="00691802" w:rsidRPr="00691802">
        <w:rPr>
          <w:color w:val="auto"/>
        </w:rPr>
        <w:t>SBA</w:t>
      </w:r>
      <w:r w:rsidR="00F460B9">
        <w:rPr>
          <w:color w:val="auto"/>
        </w:rPr>
        <w:t>’</w:t>
      </w:r>
      <w:r w:rsidR="00691802" w:rsidRPr="00691802">
        <w:rPr>
          <w:color w:val="auto"/>
        </w:rPr>
        <w:t>) is a federal agency that aims to “create a more equitable and sustainable economy supported by America’s small businesses.”</w:t>
      </w:r>
      <w:r w:rsidR="00691802" w:rsidRPr="00691802">
        <w:rPr>
          <w:color w:val="auto"/>
          <w:vertAlign w:val="superscript"/>
        </w:rPr>
        <w:footnoteReference w:id="86"/>
      </w:r>
      <w:r w:rsidR="00691802" w:rsidRPr="00691802">
        <w:rPr>
          <w:color w:val="auto"/>
        </w:rPr>
        <w:t xml:space="preserve"> SBA provides financial opportunities for small businesses, free counseling and low cost-trainings for small business owners and new entrepreneurs, advocates for small businesses before Congress, and supports government contracting of small businesses.</w:t>
      </w:r>
      <w:r w:rsidR="00691802" w:rsidRPr="00691802">
        <w:rPr>
          <w:color w:val="auto"/>
          <w:vertAlign w:val="superscript"/>
        </w:rPr>
        <w:footnoteReference w:id="87"/>
      </w:r>
      <w:r w:rsidR="00691802" w:rsidRPr="00691802">
        <w:rPr>
          <w:color w:val="auto"/>
        </w:rPr>
        <w:t xml:space="preserve"> SBA’s resource partners </w:t>
      </w:r>
      <w:r w:rsidR="00D2136D" w:rsidRPr="00691802">
        <w:rPr>
          <w:color w:val="auto"/>
        </w:rPr>
        <w:t>provide</w:t>
      </w:r>
      <w:r w:rsidR="00691802" w:rsidRPr="00691802">
        <w:rPr>
          <w:color w:val="auto"/>
        </w:rPr>
        <w:t xml:space="preserve"> assistance to local businesses and includes Small</w:t>
      </w:r>
      <w:r w:rsidR="00A72C32">
        <w:rPr>
          <w:color w:val="auto"/>
        </w:rPr>
        <w:t xml:space="preserve"> Business Development Centers (‘SBDCs’</w:t>
      </w:r>
      <w:r w:rsidR="00691802" w:rsidRPr="00691802">
        <w:rPr>
          <w:color w:val="auto"/>
        </w:rPr>
        <w:t>), SCORE business mentors, Veter</w:t>
      </w:r>
      <w:r w:rsidR="00A72C32">
        <w:rPr>
          <w:color w:val="auto"/>
        </w:rPr>
        <w:t>ans Business Outreach Centers (‘VBOC’</w:t>
      </w:r>
      <w:r w:rsidR="00691802" w:rsidRPr="00691802">
        <w:rPr>
          <w:color w:val="auto"/>
        </w:rPr>
        <w:t xml:space="preserve">), and Women’s </w:t>
      </w:r>
      <w:r w:rsidR="00A72C32">
        <w:rPr>
          <w:color w:val="auto"/>
        </w:rPr>
        <w:t>Business Centers (‘WBC’</w:t>
      </w:r>
      <w:r w:rsidR="00691802" w:rsidRPr="00691802">
        <w:rPr>
          <w:color w:val="auto"/>
        </w:rPr>
        <w:t xml:space="preserve">). </w:t>
      </w:r>
      <w:r w:rsidR="00691802" w:rsidRPr="00691802">
        <w:rPr>
          <w:color w:val="auto"/>
          <w:vertAlign w:val="superscript"/>
        </w:rPr>
        <w:footnoteReference w:id="88"/>
      </w:r>
      <w:r w:rsidR="00691802" w:rsidRPr="00691802">
        <w:rPr>
          <w:color w:val="auto"/>
        </w:rPr>
        <w:t xml:space="preserve"> On their website, SBA offers guidance on strengthening cybersecurity.</w:t>
      </w:r>
      <w:r w:rsidR="00691802" w:rsidRPr="00691802">
        <w:rPr>
          <w:color w:val="auto"/>
          <w:vertAlign w:val="superscript"/>
        </w:rPr>
        <w:footnoteReference w:id="89"/>
      </w:r>
      <w:r w:rsidR="00691802" w:rsidRPr="00691802">
        <w:rPr>
          <w:color w:val="auto"/>
        </w:rPr>
        <w:t xml:space="preserve"> The webpage provides best practices for preventing cyberattacks, such as training employees on internet usage, securing networks, using antivirus software, enabling multi-factor authentication and protecting sensitive data. SBA also lists tools that small businesses can use to improve their cybersecurity, including:</w:t>
      </w:r>
    </w:p>
    <w:p w14:paraId="0AEA1B79" w14:textId="780F3928" w:rsidR="00691802" w:rsidRPr="00691802" w:rsidRDefault="00691802" w:rsidP="00691802">
      <w:pPr>
        <w:numPr>
          <w:ilvl w:val="0"/>
          <w:numId w:val="11"/>
        </w:numPr>
        <w:spacing w:before="240" w:after="160" w:line="480" w:lineRule="auto"/>
        <w:jc w:val="both"/>
        <w:rPr>
          <w:color w:val="auto"/>
        </w:rPr>
      </w:pPr>
      <w:r w:rsidRPr="00691802">
        <w:rPr>
          <w:color w:val="auto"/>
        </w:rPr>
        <w:t>Creating a cybersecurity plan through the Federal Communications Commission's cybersecurity planning tool</w:t>
      </w:r>
      <w:r w:rsidR="0013138F">
        <w:rPr>
          <w:color w:val="auto"/>
        </w:rPr>
        <w:t>;</w:t>
      </w:r>
    </w:p>
    <w:p w14:paraId="522CA987" w14:textId="7B10B694" w:rsidR="00691802" w:rsidRPr="00691802" w:rsidRDefault="00691802" w:rsidP="00691802">
      <w:pPr>
        <w:numPr>
          <w:ilvl w:val="0"/>
          <w:numId w:val="11"/>
        </w:numPr>
        <w:spacing w:before="240" w:after="160" w:line="480" w:lineRule="auto"/>
        <w:jc w:val="both"/>
        <w:rPr>
          <w:color w:val="auto"/>
        </w:rPr>
      </w:pPr>
      <w:r w:rsidRPr="00691802">
        <w:rPr>
          <w:color w:val="auto"/>
        </w:rPr>
        <w:t>Conducting a Cyber Resilience Review offered through the partnership between the Department of Homeland Security (</w:t>
      </w:r>
      <w:r w:rsidR="007507C4">
        <w:rPr>
          <w:color w:val="auto"/>
        </w:rPr>
        <w:t>‘</w:t>
      </w:r>
      <w:r w:rsidRPr="00691802">
        <w:rPr>
          <w:color w:val="auto"/>
        </w:rPr>
        <w:t>DHS</w:t>
      </w:r>
      <w:r w:rsidR="007507C4">
        <w:rPr>
          <w:color w:val="auto"/>
        </w:rPr>
        <w:t>’</w:t>
      </w:r>
      <w:r w:rsidRPr="00691802">
        <w:rPr>
          <w:color w:val="auto"/>
        </w:rPr>
        <w:t>) and the Computer Emergency Response Team Division of Carnegie Mellon University’s Software Engineering Institute</w:t>
      </w:r>
      <w:r w:rsidR="0013138F">
        <w:rPr>
          <w:color w:val="auto"/>
        </w:rPr>
        <w:t>;</w:t>
      </w:r>
    </w:p>
    <w:p w14:paraId="16707F34" w14:textId="4B394021" w:rsidR="00691802" w:rsidRPr="00691802" w:rsidRDefault="00691802" w:rsidP="00691802">
      <w:pPr>
        <w:numPr>
          <w:ilvl w:val="0"/>
          <w:numId w:val="11"/>
        </w:numPr>
        <w:spacing w:before="240" w:after="160" w:line="480" w:lineRule="auto"/>
        <w:jc w:val="both"/>
        <w:rPr>
          <w:color w:val="auto"/>
        </w:rPr>
      </w:pPr>
      <w:r w:rsidRPr="00691802">
        <w:rPr>
          <w:color w:val="auto"/>
        </w:rPr>
        <w:t>Conducting a vulnerability scan through the Cybersecurity and Infrastructure Security Agency (</w:t>
      </w:r>
      <w:r w:rsidR="007507C4">
        <w:rPr>
          <w:color w:val="auto"/>
        </w:rPr>
        <w:t>‘</w:t>
      </w:r>
      <w:r w:rsidRPr="00691802">
        <w:rPr>
          <w:color w:val="auto"/>
        </w:rPr>
        <w:t>CISA</w:t>
      </w:r>
      <w:r w:rsidR="007507C4">
        <w:rPr>
          <w:color w:val="auto"/>
        </w:rPr>
        <w:t>’</w:t>
      </w:r>
      <w:r w:rsidRPr="00691802">
        <w:rPr>
          <w:color w:val="auto"/>
        </w:rPr>
        <w:t>) and DHS’ free cyber hygiene vulnerability scan</w:t>
      </w:r>
      <w:r w:rsidR="0013138F">
        <w:rPr>
          <w:color w:val="auto"/>
        </w:rPr>
        <w:t>;</w:t>
      </w:r>
    </w:p>
    <w:p w14:paraId="74CCBB97" w14:textId="0744F5C1" w:rsidR="00691802" w:rsidRPr="00691802" w:rsidRDefault="00691802" w:rsidP="00691802">
      <w:pPr>
        <w:numPr>
          <w:ilvl w:val="0"/>
          <w:numId w:val="11"/>
        </w:numPr>
        <w:spacing w:before="240" w:after="160" w:line="480" w:lineRule="auto"/>
        <w:jc w:val="both"/>
        <w:rPr>
          <w:color w:val="auto"/>
        </w:rPr>
      </w:pPr>
      <w:r w:rsidRPr="00691802">
        <w:rPr>
          <w:color w:val="auto"/>
        </w:rPr>
        <w:t>Managing information communication technology (</w:t>
      </w:r>
      <w:r w:rsidR="007507C4">
        <w:rPr>
          <w:color w:val="auto"/>
        </w:rPr>
        <w:t>‘</w:t>
      </w:r>
      <w:r w:rsidRPr="00691802">
        <w:rPr>
          <w:color w:val="auto"/>
        </w:rPr>
        <w:t>ICT</w:t>
      </w:r>
      <w:r w:rsidR="007507C4">
        <w:rPr>
          <w:color w:val="auto"/>
        </w:rPr>
        <w:t>’</w:t>
      </w:r>
      <w:r w:rsidRPr="00691802">
        <w:rPr>
          <w:color w:val="auto"/>
        </w:rPr>
        <w:t>) supply chain risks with CISA's ICT Supply Chain Risk Management Toolkit</w:t>
      </w:r>
      <w:r w:rsidR="0013138F">
        <w:rPr>
          <w:color w:val="auto"/>
        </w:rPr>
        <w:t>; and</w:t>
      </w:r>
    </w:p>
    <w:p w14:paraId="6D45778E" w14:textId="77777777" w:rsidR="00691802" w:rsidRPr="00691802" w:rsidRDefault="00691802" w:rsidP="00691802">
      <w:pPr>
        <w:numPr>
          <w:ilvl w:val="0"/>
          <w:numId w:val="11"/>
        </w:numPr>
        <w:spacing w:before="240" w:after="160" w:line="480" w:lineRule="auto"/>
        <w:jc w:val="both"/>
        <w:rPr>
          <w:color w:val="auto"/>
        </w:rPr>
      </w:pPr>
      <w:r w:rsidRPr="00691802">
        <w:rPr>
          <w:color w:val="auto"/>
        </w:rPr>
        <w:t>Utilizing the free cybersecurity resources and guidance offered by CISA.</w:t>
      </w:r>
      <w:r w:rsidRPr="00691802">
        <w:rPr>
          <w:color w:val="auto"/>
          <w:vertAlign w:val="superscript"/>
        </w:rPr>
        <w:footnoteReference w:id="90"/>
      </w:r>
    </w:p>
    <w:p w14:paraId="1D086B6A" w14:textId="77777777" w:rsidR="00691802" w:rsidRPr="00691802" w:rsidRDefault="00691802" w:rsidP="00691802">
      <w:pPr>
        <w:spacing w:before="240" w:after="160" w:line="480" w:lineRule="auto"/>
        <w:jc w:val="both"/>
        <w:rPr>
          <w:color w:val="auto"/>
        </w:rPr>
      </w:pPr>
      <w:r w:rsidRPr="00691802">
        <w:rPr>
          <w:color w:val="auto"/>
        </w:rPr>
        <w:t>SBA also references in-person and virtual cybersecurity trainings hosted by SBA, their resource partners, and the National Cybersecurity Alliance.</w:t>
      </w:r>
      <w:r w:rsidRPr="00691802">
        <w:rPr>
          <w:color w:val="auto"/>
          <w:vertAlign w:val="superscript"/>
        </w:rPr>
        <w:footnoteReference w:id="91"/>
      </w:r>
      <w:r w:rsidRPr="00691802">
        <w:rPr>
          <w:color w:val="auto"/>
        </w:rPr>
        <w:t xml:space="preserve">  </w:t>
      </w:r>
    </w:p>
    <w:p w14:paraId="670D797A" w14:textId="77777777" w:rsidR="00691802" w:rsidRPr="00691802" w:rsidRDefault="00691802" w:rsidP="00691802">
      <w:pPr>
        <w:numPr>
          <w:ilvl w:val="0"/>
          <w:numId w:val="12"/>
        </w:numPr>
        <w:spacing w:before="240" w:after="160" w:line="480" w:lineRule="auto"/>
        <w:jc w:val="both"/>
        <w:rPr>
          <w:b/>
          <w:bCs/>
          <w:color w:val="auto"/>
        </w:rPr>
      </w:pPr>
      <w:r w:rsidRPr="00691802">
        <w:rPr>
          <w:b/>
          <w:bCs/>
          <w:color w:val="auto"/>
        </w:rPr>
        <w:t xml:space="preserve">New York State Initiatives </w:t>
      </w:r>
    </w:p>
    <w:p w14:paraId="0AFA3176" w14:textId="183B5EB8" w:rsidR="00691802" w:rsidRPr="00691802" w:rsidRDefault="00691802" w:rsidP="00691802">
      <w:pPr>
        <w:spacing w:before="240" w:after="160" w:line="480" w:lineRule="auto"/>
        <w:jc w:val="both"/>
        <w:rPr>
          <w:i/>
          <w:iCs/>
          <w:color w:val="auto"/>
        </w:rPr>
      </w:pPr>
      <w:r w:rsidRPr="00691802">
        <w:rPr>
          <w:color w:val="auto"/>
        </w:rPr>
        <w:tab/>
        <w:t>The New York SBDC is a coalition of 20 regional development centers and over 70 satellite locations throughout New York State, and has a cybersecurity-focused webpage where interested parties can book an appointment to receive cybersecurity services ranging from risk assessments to employee training and grant preparation.</w:t>
      </w:r>
      <w:r w:rsidRPr="00691802">
        <w:rPr>
          <w:color w:val="auto"/>
          <w:vertAlign w:val="superscript"/>
        </w:rPr>
        <w:footnoteReference w:id="92"/>
      </w:r>
      <w:r w:rsidRPr="00691802">
        <w:rPr>
          <w:color w:val="auto"/>
        </w:rPr>
        <w:t xml:space="preserve"> The New York SBDC webpage also highlights</w:t>
      </w:r>
      <w:r w:rsidR="007507C4">
        <w:rPr>
          <w:color w:val="auto"/>
        </w:rPr>
        <w:t xml:space="preserve"> </w:t>
      </w:r>
      <w:r w:rsidRPr="00691802">
        <w:rPr>
          <w:color w:val="auto"/>
        </w:rPr>
        <w:t xml:space="preserve">upcoming events and webinars for cybersecurity </w:t>
      </w:r>
      <w:r w:rsidRPr="00691802">
        <w:rPr>
          <w:color w:val="auto"/>
          <w:vertAlign w:val="superscript"/>
        </w:rPr>
        <w:footnoteReference w:id="93"/>
      </w:r>
      <w:r w:rsidRPr="00691802">
        <w:rPr>
          <w:color w:val="auto"/>
        </w:rPr>
        <w:t xml:space="preserve"> </w:t>
      </w:r>
    </w:p>
    <w:p w14:paraId="3B48442C" w14:textId="77777777" w:rsidR="00691802" w:rsidRPr="00691802" w:rsidRDefault="00691802" w:rsidP="00691802">
      <w:pPr>
        <w:numPr>
          <w:ilvl w:val="0"/>
          <w:numId w:val="12"/>
        </w:numPr>
        <w:spacing w:before="240" w:after="160" w:line="480" w:lineRule="auto"/>
        <w:jc w:val="both"/>
        <w:rPr>
          <w:b/>
          <w:bCs/>
          <w:color w:val="auto"/>
        </w:rPr>
      </w:pPr>
      <w:r w:rsidRPr="00691802">
        <w:rPr>
          <w:b/>
          <w:bCs/>
          <w:color w:val="auto"/>
        </w:rPr>
        <w:t xml:space="preserve">New York City Initiatives </w:t>
      </w:r>
    </w:p>
    <w:p w14:paraId="5E6C30B0" w14:textId="5347AC49" w:rsidR="00691802" w:rsidRPr="00691802" w:rsidRDefault="00691802" w:rsidP="00691802">
      <w:pPr>
        <w:spacing w:before="240" w:after="160" w:line="480" w:lineRule="auto"/>
        <w:jc w:val="both"/>
        <w:rPr>
          <w:color w:val="auto"/>
        </w:rPr>
      </w:pPr>
      <w:r w:rsidRPr="00691802">
        <w:rPr>
          <w:color w:val="auto"/>
        </w:rPr>
        <w:tab/>
        <w:t>New York City’s Small Business Services (</w:t>
      </w:r>
      <w:r w:rsidR="007507C4">
        <w:rPr>
          <w:color w:val="auto"/>
        </w:rPr>
        <w:t>‘</w:t>
      </w:r>
      <w:r w:rsidRPr="00691802">
        <w:rPr>
          <w:color w:val="auto"/>
        </w:rPr>
        <w:t>SBS</w:t>
      </w:r>
      <w:r w:rsidR="007507C4">
        <w:rPr>
          <w:color w:val="auto"/>
        </w:rPr>
        <w:t>’</w:t>
      </w:r>
      <w:r w:rsidRPr="00691802">
        <w:rPr>
          <w:color w:val="auto"/>
        </w:rPr>
        <w:t xml:space="preserve">) has no established program that focuses on cybersecurity for small businesses. A preliminary search of </w:t>
      </w:r>
      <w:r w:rsidR="007507C4">
        <w:rPr>
          <w:color w:val="auto"/>
        </w:rPr>
        <w:t>“</w:t>
      </w:r>
      <w:r w:rsidRPr="00691802">
        <w:rPr>
          <w:color w:val="auto"/>
        </w:rPr>
        <w:t>cybersecurity</w:t>
      </w:r>
      <w:r w:rsidR="007507C4">
        <w:rPr>
          <w:color w:val="auto"/>
        </w:rPr>
        <w:t>”</w:t>
      </w:r>
      <w:r w:rsidRPr="00691802">
        <w:rPr>
          <w:color w:val="auto"/>
        </w:rPr>
        <w:t xml:space="preserve"> through SBS’ webpage produces two press releases highlighting cybersecurity. In 2022, SBS advertised their “Business Preparedness Digital Preparedness Library” as a resource for cybersecurity</w:t>
      </w:r>
      <w:r w:rsidR="00594FBC">
        <w:rPr>
          <w:color w:val="auto"/>
        </w:rPr>
        <w:t>,</w:t>
      </w:r>
      <w:r w:rsidRPr="00691802">
        <w:rPr>
          <w:color w:val="auto"/>
          <w:vertAlign w:val="superscript"/>
        </w:rPr>
        <w:footnoteReference w:id="94"/>
      </w:r>
      <w:r w:rsidRPr="00691802">
        <w:rPr>
          <w:color w:val="auto"/>
        </w:rPr>
        <w:t xml:space="preserve"> </w:t>
      </w:r>
      <w:r w:rsidR="00594FBC">
        <w:rPr>
          <w:color w:val="auto"/>
        </w:rPr>
        <w:t>a</w:t>
      </w:r>
      <w:r w:rsidRPr="00691802">
        <w:rPr>
          <w:color w:val="auto"/>
        </w:rPr>
        <w:t>lthough this resource is no longer available.</w:t>
      </w:r>
      <w:r w:rsidRPr="00691802">
        <w:rPr>
          <w:color w:val="auto"/>
          <w:vertAlign w:val="superscript"/>
        </w:rPr>
        <w:footnoteReference w:id="95"/>
      </w:r>
      <w:r w:rsidRPr="00691802">
        <w:rPr>
          <w:color w:val="auto"/>
        </w:rPr>
        <w:t xml:space="preserve"> In May 2023, SBS announced the expansion of their partnership with Mastercard to help businesses become digitally resilient. </w:t>
      </w:r>
      <w:r w:rsidR="007507C4" w:rsidRPr="00691802">
        <w:rPr>
          <w:color w:val="auto"/>
        </w:rPr>
        <w:t>The</w:t>
      </w:r>
      <w:r w:rsidR="007507C4">
        <w:rPr>
          <w:color w:val="auto"/>
        </w:rPr>
        <w:t xml:space="preserve"> “</w:t>
      </w:r>
      <w:r w:rsidR="007507C4" w:rsidRPr="00691802">
        <w:rPr>
          <w:color w:val="auto"/>
        </w:rPr>
        <w:t>Digital</w:t>
      </w:r>
      <w:r w:rsidRPr="00691802">
        <w:rPr>
          <w:color w:val="auto"/>
        </w:rPr>
        <w:t xml:space="preserve"> Doors” initiative provided free cybersecurity webinars and educational resources on how to “build their digital presence by expanding their e-commerce capacity, set up digital payments, and digitally evolve their business to succeed in the 21st century economy.”</w:t>
      </w:r>
      <w:r w:rsidRPr="00691802">
        <w:rPr>
          <w:color w:val="auto"/>
          <w:vertAlign w:val="superscript"/>
        </w:rPr>
        <w:footnoteReference w:id="96"/>
      </w:r>
      <w:r w:rsidRPr="00691802">
        <w:rPr>
          <w:color w:val="auto"/>
        </w:rPr>
        <w:t xml:space="preserve"> It is unclear whether SBS is actively involved in this initiative, but it is active through Mastercard.</w:t>
      </w:r>
      <w:r w:rsidRPr="00691802">
        <w:rPr>
          <w:color w:val="auto"/>
          <w:vertAlign w:val="superscript"/>
        </w:rPr>
        <w:footnoteReference w:id="97"/>
      </w:r>
      <w:r w:rsidRPr="00691802">
        <w:rPr>
          <w:color w:val="auto"/>
        </w:rPr>
        <w:t xml:space="preserve"> </w:t>
      </w:r>
    </w:p>
    <w:p w14:paraId="7794AE92" w14:textId="67EAD892" w:rsidR="00691802" w:rsidRPr="00691802" w:rsidRDefault="00691802" w:rsidP="007507C4">
      <w:pPr>
        <w:spacing w:before="240" w:after="160" w:line="480" w:lineRule="auto"/>
        <w:ind w:firstLine="720"/>
        <w:jc w:val="both"/>
        <w:rPr>
          <w:color w:val="auto"/>
        </w:rPr>
      </w:pPr>
      <w:r w:rsidRPr="00691802">
        <w:rPr>
          <w:color w:val="auto"/>
        </w:rPr>
        <w:t>In September of 2023, SBS in collaboration with the Office of Technology and Innovation (</w:t>
      </w:r>
      <w:r w:rsidR="007507C4">
        <w:rPr>
          <w:color w:val="auto"/>
        </w:rPr>
        <w:t>‘</w:t>
      </w:r>
      <w:r w:rsidRPr="00691802">
        <w:rPr>
          <w:color w:val="auto"/>
        </w:rPr>
        <w:t>OTI</w:t>
      </w:r>
      <w:r w:rsidR="007507C4">
        <w:rPr>
          <w:color w:val="auto"/>
        </w:rPr>
        <w:t>’</w:t>
      </w:r>
      <w:r w:rsidRPr="00691802">
        <w:rPr>
          <w:color w:val="auto"/>
        </w:rPr>
        <w:t>) launched the MyCity business portal.</w:t>
      </w:r>
      <w:r w:rsidRPr="00691802">
        <w:rPr>
          <w:color w:val="auto"/>
          <w:vertAlign w:val="superscript"/>
        </w:rPr>
        <w:footnoteReference w:id="98"/>
      </w:r>
      <w:r w:rsidRPr="00691802">
        <w:rPr>
          <w:color w:val="auto"/>
        </w:rPr>
        <w:t xml:space="preserve"> Resources for cybersecurity can be found throughout this portal, including on their </w:t>
      </w:r>
      <w:r w:rsidR="007507C4">
        <w:rPr>
          <w:color w:val="auto"/>
        </w:rPr>
        <w:t>“</w:t>
      </w:r>
      <w:r w:rsidRPr="00691802">
        <w:rPr>
          <w:color w:val="auto"/>
        </w:rPr>
        <w:t>Emergency Preparedness Resources” webpage</w:t>
      </w:r>
      <w:r w:rsidRPr="00691802">
        <w:rPr>
          <w:color w:val="auto"/>
          <w:vertAlign w:val="superscript"/>
        </w:rPr>
        <w:footnoteReference w:id="99"/>
      </w:r>
      <w:r w:rsidRPr="00691802">
        <w:rPr>
          <w:color w:val="auto"/>
        </w:rPr>
        <w:t xml:space="preserve"> which links to the Mastercard sponsored Global Cyber Alliance Cybersecurity Toolkit for Small Business.</w:t>
      </w:r>
      <w:r w:rsidRPr="00691802">
        <w:rPr>
          <w:color w:val="auto"/>
          <w:vertAlign w:val="superscript"/>
        </w:rPr>
        <w:footnoteReference w:id="100"/>
      </w:r>
      <w:r w:rsidRPr="00691802">
        <w:rPr>
          <w:color w:val="auto"/>
        </w:rPr>
        <w:t xml:space="preserve"> This webpage</w:t>
      </w:r>
      <w:r w:rsidRPr="00691802">
        <w:rPr>
          <w:color w:val="auto"/>
          <w:vertAlign w:val="superscript"/>
        </w:rPr>
        <w:footnoteReference w:id="101"/>
      </w:r>
      <w:r w:rsidRPr="00691802">
        <w:rPr>
          <w:color w:val="auto"/>
        </w:rPr>
        <w:t xml:space="preserve"> also links to the Federal Communications Commission's (</w:t>
      </w:r>
      <w:r w:rsidR="007507C4">
        <w:rPr>
          <w:color w:val="auto"/>
        </w:rPr>
        <w:t>‘</w:t>
      </w:r>
      <w:r w:rsidRPr="00691802">
        <w:rPr>
          <w:color w:val="auto"/>
        </w:rPr>
        <w:t>FCC</w:t>
      </w:r>
      <w:r w:rsidR="007507C4">
        <w:rPr>
          <w:color w:val="auto"/>
        </w:rPr>
        <w:t>’</w:t>
      </w:r>
      <w:r w:rsidRPr="00691802">
        <w:rPr>
          <w:color w:val="auto"/>
        </w:rPr>
        <w:t xml:space="preserve">) webpage entitled </w:t>
      </w:r>
      <w:r w:rsidR="007507C4">
        <w:rPr>
          <w:color w:val="auto"/>
        </w:rPr>
        <w:t>“</w:t>
      </w:r>
      <w:r w:rsidRPr="00691802">
        <w:rPr>
          <w:color w:val="auto"/>
        </w:rPr>
        <w:t xml:space="preserve">Cybersecurity for Small Businesses” with 10 cybersecurity tips for small businesses. </w:t>
      </w:r>
      <w:r w:rsidRPr="00691802">
        <w:rPr>
          <w:color w:val="auto"/>
          <w:vertAlign w:val="superscript"/>
        </w:rPr>
        <w:footnoteReference w:id="102"/>
      </w:r>
      <w:r w:rsidRPr="00691802">
        <w:rPr>
          <w:color w:val="auto"/>
        </w:rPr>
        <w:t xml:space="preserve"> The MyCity business portal offers </w:t>
      </w:r>
      <w:r w:rsidR="007507C4" w:rsidRPr="00691802">
        <w:rPr>
          <w:color w:val="auto"/>
        </w:rPr>
        <w:t>a</w:t>
      </w:r>
      <w:r w:rsidR="007507C4">
        <w:rPr>
          <w:color w:val="auto"/>
        </w:rPr>
        <w:t xml:space="preserve"> “</w:t>
      </w:r>
      <w:r w:rsidR="007507C4" w:rsidRPr="00691802">
        <w:rPr>
          <w:color w:val="auto"/>
        </w:rPr>
        <w:t>Business</w:t>
      </w:r>
      <w:r w:rsidRPr="00691802">
        <w:rPr>
          <w:color w:val="auto"/>
        </w:rPr>
        <w:t xml:space="preserve"> Preparedness Self-Assessment Tool</w:t>
      </w:r>
      <w:r w:rsidR="00594FBC">
        <w:rPr>
          <w:color w:val="auto"/>
        </w:rPr>
        <w:t>,</w:t>
      </w:r>
      <w:r w:rsidRPr="00691802">
        <w:rPr>
          <w:color w:val="auto"/>
        </w:rPr>
        <w:t>” which allows businesses to assess their business’ vulnerabilities, including cybersecurity, and learn how to reduce disaster risk.</w:t>
      </w:r>
      <w:r w:rsidRPr="00691802">
        <w:rPr>
          <w:color w:val="auto"/>
          <w:vertAlign w:val="superscript"/>
        </w:rPr>
        <w:footnoteReference w:id="103"/>
      </w:r>
    </w:p>
    <w:p w14:paraId="1B0A6FDE" w14:textId="24B1759A" w:rsidR="002C6B77" w:rsidRPr="00DE16B4" w:rsidRDefault="00691802" w:rsidP="007507C4">
      <w:pPr>
        <w:spacing w:before="240" w:after="160" w:line="480" w:lineRule="auto"/>
        <w:ind w:firstLine="720"/>
        <w:jc w:val="both"/>
        <w:rPr>
          <w:color w:val="auto"/>
        </w:rPr>
      </w:pPr>
      <w:r w:rsidRPr="00691802">
        <w:rPr>
          <w:color w:val="auto"/>
        </w:rPr>
        <w:t>The City also offers the NYC Secure Mobile App, a free, City-funded mobile app that will alert users when their mobile devices encounter threats and offer recommendations on how to address the threat.</w:t>
      </w:r>
      <w:r w:rsidRPr="00691802">
        <w:rPr>
          <w:color w:val="auto"/>
          <w:vertAlign w:val="superscript"/>
        </w:rPr>
        <w:footnoteReference w:id="104"/>
      </w:r>
      <w:r w:rsidRPr="00691802">
        <w:rPr>
          <w:color w:val="auto"/>
        </w:rPr>
        <w:t xml:space="preserve"> Cybersecurity resources may also be included in the step-by-step business operation guides available through the MyCity business portal.</w:t>
      </w:r>
      <w:r w:rsidRPr="00691802">
        <w:rPr>
          <w:color w:val="auto"/>
          <w:vertAlign w:val="superscript"/>
        </w:rPr>
        <w:footnoteReference w:id="105"/>
      </w:r>
      <w:r w:rsidRPr="00691802">
        <w:rPr>
          <w:color w:val="auto"/>
        </w:rPr>
        <w:t xml:space="preserve">  </w:t>
      </w:r>
    </w:p>
    <w:p w14:paraId="10081D56" w14:textId="034BAB60" w:rsidR="005E17B1" w:rsidRPr="00F97A40" w:rsidRDefault="005E17B1" w:rsidP="770A0F16">
      <w:pPr>
        <w:pStyle w:val="ListParagraph"/>
        <w:numPr>
          <w:ilvl w:val="0"/>
          <w:numId w:val="1"/>
        </w:numPr>
        <w:spacing w:after="0" w:line="480" w:lineRule="auto"/>
        <w:jc w:val="both"/>
        <w:rPr>
          <w:b/>
          <w:bCs/>
          <w:color w:val="auto"/>
        </w:rPr>
      </w:pPr>
      <w:r w:rsidRPr="00F97A40">
        <w:rPr>
          <w:b/>
          <w:bCs/>
          <w:color w:val="auto"/>
        </w:rPr>
        <w:t xml:space="preserve">SMALL BUSINESS PHYSICAL SECURITY </w:t>
      </w:r>
      <w:r w:rsidR="00F97A40">
        <w:rPr>
          <w:b/>
          <w:bCs/>
          <w:color w:val="auto"/>
        </w:rPr>
        <w:t>NEEDS</w:t>
      </w:r>
    </w:p>
    <w:p w14:paraId="434239BC" w14:textId="7B9319C4" w:rsidR="005E17B1" w:rsidRPr="00D62F9C" w:rsidRDefault="005E17B1" w:rsidP="003B785E">
      <w:pPr>
        <w:spacing w:after="0" w:line="480" w:lineRule="auto"/>
        <w:ind w:firstLine="720"/>
        <w:jc w:val="both"/>
        <w:rPr>
          <w:color w:val="auto"/>
        </w:rPr>
      </w:pPr>
      <w:r w:rsidRPr="003B785E">
        <w:rPr>
          <w:color w:val="auto"/>
        </w:rPr>
        <w:t xml:space="preserve">In addition to cybersecurity, </w:t>
      </w:r>
      <w:r w:rsidR="003B785E">
        <w:rPr>
          <w:color w:val="auto"/>
        </w:rPr>
        <w:t>businesses</w:t>
      </w:r>
      <w:r w:rsidR="00135694">
        <w:rPr>
          <w:color w:val="auto"/>
        </w:rPr>
        <w:t xml:space="preserve"> in New York City</w:t>
      </w:r>
      <w:r w:rsidR="003B785E">
        <w:rPr>
          <w:color w:val="auto"/>
        </w:rPr>
        <w:t xml:space="preserve"> have been grappling with physical security concerns in response to </w:t>
      </w:r>
      <w:r w:rsidR="00135694">
        <w:rPr>
          <w:color w:val="auto"/>
        </w:rPr>
        <w:t>an increase of shoplifting post-pandemic.</w:t>
      </w:r>
      <w:r w:rsidRPr="003B785E">
        <w:rPr>
          <w:color w:val="auto"/>
        </w:rPr>
        <w:t xml:space="preserve"> </w:t>
      </w:r>
      <w:r w:rsidR="00BC7B6F" w:rsidRPr="003B785E">
        <w:rPr>
          <w:color w:val="auto"/>
        </w:rPr>
        <w:t xml:space="preserve">According to NYC OpenData, New York Police Department (‘NYPD’) retail theft complaints increased significantly </w:t>
      </w:r>
      <w:r w:rsidR="00135694">
        <w:rPr>
          <w:color w:val="auto"/>
        </w:rPr>
        <w:t>after 2020</w:t>
      </w:r>
      <w:r w:rsidR="00BC7B6F" w:rsidRPr="003B785E">
        <w:rPr>
          <w:color w:val="auto"/>
        </w:rPr>
        <w:t>, reaching a record high in 2022 with 63,754 complaints.</w:t>
      </w:r>
      <w:r w:rsidR="003B785E">
        <w:rPr>
          <w:rStyle w:val="FootnoteReference"/>
          <w:color w:val="auto"/>
        </w:rPr>
        <w:footnoteReference w:id="106"/>
      </w:r>
      <w:r w:rsidRPr="003B785E">
        <w:rPr>
          <w:color w:val="auto"/>
        </w:rPr>
        <w:t xml:space="preserve"> </w:t>
      </w:r>
      <w:r w:rsidR="00F97A40">
        <w:rPr>
          <w:color w:val="auto"/>
        </w:rPr>
        <w:t>The</w:t>
      </w:r>
      <w:r w:rsidR="00135694">
        <w:rPr>
          <w:color w:val="auto"/>
        </w:rPr>
        <w:t xml:space="preserve"> Council on Criminal Justice</w:t>
      </w:r>
      <w:r w:rsidR="00F97A40">
        <w:rPr>
          <w:color w:val="auto"/>
        </w:rPr>
        <w:t xml:space="preserve"> reported that </w:t>
      </w:r>
      <w:r w:rsidR="00135694">
        <w:rPr>
          <w:color w:val="auto"/>
        </w:rPr>
        <w:t>New York had a 64% increase in reported shoplifting from mid-year 2019 to mid-year 2023.</w:t>
      </w:r>
      <w:r w:rsidR="00135694">
        <w:rPr>
          <w:rStyle w:val="FootnoteReference"/>
          <w:color w:val="auto"/>
        </w:rPr>
        <w:footnoteReference w:id="107"/>
      </w:r>
      <w:r w:rsidR="00135694">
        <w:rPr>
          <w:color w:val="auto"/>
        </w:rPr>
        <w:t xml:space="preserve">  </w:t>
      </w:r>
      <w:r w:rsidR="00DE3C02">
        <w:rPr>
          <w:color w:val="auto"/>
        </w:rPr>
        <w:t>Both New York State and City h</w:t>
      </w:r>
      <w:r w:rsidR="00613F58">
        <w:rPr>
          <w:color w:val="auto"/>
        </w:rPr>
        <w:t xml:space="preserve">ave led efforts to relieve small businesses of </w:t>
      </w:r>
      <w:r w:rsidR="002B7925">
        <w:rPr>
          <w:color w:val="auto"/>
        </w:rPr>
        <w:t>the strain caused by this rise in retail theft. New York State passed legislation that</w:t>
      </w:r>
      <w:r w:rsidR="00F97A40">
        <w:rPr>
          <w:color w:val="auto"/>
        </w:rPr>
        <w:t>,</w:t>
      </w:r>
      <w:r w:rsidR="002B7925">
        <w:rPr>
          <w:color w:val="auto"/>
        </w:rPr>
        <w:t xml:space="preserve"> </w:t>
      </w:r>
      <w:r w:rsidR="00836539">
        <w:rPr>
          <w:color w:val="auto"/>
        </w:rPr>
        <w:t xml:space="preserve">among other changes, </w:t>
      </w:r>
      <w:r w:rsidR="00B76073">
        <w:rPr>
          <w:color w:val="auto"/>
        </w:rPr>
        <w:t>enhance</w:t>
      </w:r>
      <w:r w:rsidR="00036B7B">
        <w:rPr>
          <w:color w:val="auto"/>
        </w:rPr>
        <w:t>d</w:t>
      </w:r>
      <w:r w:rsidR="00B76073">
        <w:rPr>
          <w:color w:val="auto"/>
        </w:rPr>
        <w:t xml:space="preserve"> penalties for assaults on retail workers</w:t>
      </w:r>
      <w:r w:rsidR="00E42F8E">
        <w:rPr>
          <w:color w:val="auto"/>
        </w:rPr>
        <w:t>, fund</w:t>
      </w:r>
      <w:r w:rsidR="00036B7B">
        <w:rPr>
          <w:color w:val="auto"/>
        </w:rPr>
        <w:t>ed</w:t>
      </w:r>
      <w:r w:rsidR="00E42F8E">
        <w:rPr>
          <w:color w:val="auto"/>
        </w:rPr>
        <w:t xml:space="preserve"> a specialized Retail Theft Team within State Police, District Attorneys’ offices</w:t>
      </w:r>
      <w:r w:rsidR="004E1C0F">
        <w:rPr>
          <w:color w:val="auto"/>
        </w:rPr>
        <w:t xml:space="preserve"> and local law enforcement, and </w:t>
      </w:r>
      <w:r w:rsidR="00A86881">
        <w:rPr>
          <w:color w:val="auto"/>
        </w:rPr>
        <w:t>included a $5</w:t>
      </w:r>
      <w:r w:rsidR="00C864E5">
        <w:rPr>
          <w:color w:val="auto"/>
        </w:rPr>
        <w:t xml:space="preserve"> </w:t>
      </w:r>
      <w:r w:rsidR="00A86881">
        <w:rPr>
          <w:color w:val="auto"/>
        </w:rPr>
        <w:t xml:space="preserve">million tax credit to assist small businesses </w:t>
      </w:r>
      <w:r w:rsidR="00F97A40">
        <w:rPr>
          <w:color w:val="auto"/>
        </w:rPr>
        <w:t>with</w:t>
      </w:r>
      <w:r w:rsidR="00A86881">
        <w:rPr>
          <w:color w:val="auto"/>
        </w:rPr>
        <w:t xml:space="preserve"> enhancing security measures.</w:t>
      </w:r>
      <w:r w:rsidR="00036B7B">
        <w:rPr>
          <w:rStyle w:val="FootnoteReference"/>
          <w:color w:val="auto"/>
        </w:rPr>
        <w:footnoteReference w:id="108"/>
      </w:r>
      <w:r w:rsidR="00A27043">
        <w:rPr>
          <w:color w:val="auto"/>
        </w:rPr>
        <w:t xml:space="preserve"> </w:t>
      </w:r>
      <w:r w:rsidR="00DC7A1E">
        <w:rPr>
          <w:color w:val="auto"/>
        </w:rPr>
        <w:t>At</w:t>
      </w:r>
      <w:r w:rsidR="00A27043">
        <w:rPr>
          <w:color w:val="auto"/>
        </w:rPr>
        <w:t xml:space="preserve"> a</w:t>
      </w:r>
      <w:r w:rsidR="00E3445C">
        <w:rPr>
          <w:color w:val="auto"/>
        </w:rPr>
        <w:t>n August 2025 press conference, Governor Hochul attributed the 12% year over year drop in retail theft in New York City to the</w:t>
      </w:r>
      <w:r w:rsidR="003E7C15">
        <w:rPr>
          <w:color w:val="auto"/>
        </w:rPr>
        <w:t>se investments.</w:t>
      </w:r>
      <w:r w:rsidR="003E7C15">
        <w:rPr>
          <w:rStyle w:val="FootnoteReference"/>
          <w:color w:val="auto"/>
        </w:rPr>
        <w:footnoteReference w:id="109"/>
      </w:r>
      <w:r w:rsidR="00841DA9">
        <w:rPr>
          <w:color w:val="auto"/>
        </w:rPr>
        <w:t xml:space="preserve"> In </w:t>
      </w:r>
      <w:r w:rsidR="0090271C">
        <w:rPr>
          <w:color w:val="auto"/>
        </w:rPr>
        <w:t>December 202</w:t>
      </w:r>
      <w:r w:rsidR="008F5A29">
        <w:rPr>
          <w:color w:val="auto"/>
        </w:rPr>
        <w:t>2</w:t>
      </w:r>
      <w:r w:rsidR="0090271C">
        <w:rPr>
          <w:color w:val="auto"/>
        </w:rPr>
        <w:t xml:space="preserve">, </w:t>
      </w:r>
      <w:r w:rsidR="003257E9">
        <w:rPr>
          <w:color w:val="auto"/>
        </w:rPr>
        <w:t xml:space="preserve">the Adams Administration convened a summit on retail theft culminating in a report </w:t>
      </w:r>
      <w:r w:rsidR="008F5A29">
        <w:rPr>
          <w:color w:val="auto"/>
        </w:rPr>
        <w:t xml:space="preserve">entitled </w:t>
      </w:r>
      <w:r w:rsidR="00C9534F">
        <w:rPr>
          <w:color w:val="auto"/>
        </w:rPr>
        <w:t>“</w:t>
      </w:r>
      <w:r w:rsidR="008F5A29">
        <w:rPr>
          <w:color w:val="auto"/>
        </w:rPr>
        <w:t>Combati</w:t>
      </w:r>
      <w:r w:rsidR="00C9534F">
        <w:rPr>
          <w:color w:val="auto"/>
        </w:rPr>
        <w:t>ng Retail Theft in New York City”</w:t>
      </w:r>
      <w:r w:rsidR="00D22C26">
        <w:rPr>
          <w:color w:val="auto"/>
        </w:rPr>
        <w:t xml:space="preserve"> and the</w:t>
      </w:r>
      <w:r w:rsidR="004D76CF">
        <w:rPr>
          <w:color w:val="auto"/>
        </w:rPr>
        <w:t xml:space="preserve"> Organized Retail Theft Task Force.</w:t>
      </w:r>
      <w:r w:rsidR="00C9534F">
        <w:rPr>
          <w:rStyle w:val="FootnoteReference"/>
          <w:color w:val="auto"/>
        </w:rPr>
        <w:footnoteReference w:id="110"/>
      </w:r>
      <w:r w:rsidR="005A4B87">
        <w:rPr>
          <w:color w:val="auto"/>
        </w:rPr>
        <w:t xml:space="preserve"> The Adams Administration also </w:t>
      </w:r>
      <w:r w:rsidR="009E721B">
        <w:rPr>
          <w:color w:val="auto"/>
        </w:rPr>
        <w:t xml:space="preserve">introduced a program facilitating </w:t>
      </w:r>
      <w:r w:rsidR="00932B62">
        <w:rPr>
          <w:color w:val="auto"/>
        </w:rPr>
        <w:t>real-time information sharing between businesses</w:t>
      </w:r>
      <w:r w:rsidR="00107CA7">
        <w:rPr>
          <w:color w:val="auto"/>
        </w:rPr>
        <w:t xml:space="preserve">, communities, and </w:t>
      </w:r>
      <w:r w:rsidR="00EF59B8">
        <w:rPr>
          <w:color w:val="auto"/>
        </w:rPr>
        <w:t>the NYPD</w:t>
      </w:r>
      <w:r w:rsidR="00107CA7">
        <w:rPr>
          <w:rStyle w:val="FootnoteReference"/>
          <w:color w:val="auto"/>
        </w:rPr>
        <w:footnoteReference w:id="111"/>
      </w:r>
      <w:r w:rsidR="00107CA7">
        <w:rPr>
          <w:color w:val="auto"/>
        </w:rPr>
        <w:t xml:space="preserve"> </w:t>
      </w:r>
      <w:r w:rsidR="00E6768E">
        <w:rPr>
          <w:color w:val="auto"/>
        </w:rPr>
        <w:t xml:space="preserve">and </w:t>
      </w:r>
      <w:r w:rsidR="00F97A40">
        <w:rPr>
          <w:color w:val="auto"/>
        </w:rPr>
        <w:t xml:space="preserve">produced </w:t>
      </w:r>
      <w:r w:rsidR="00E6768E">
        <w:rPr>
          <w:color w:val="auto"/>
        </w:rPr>
        <w:t>funding for 500 bodegas to install buttons that immediately call NYPD.</w:t>
      </w:r>
      <w:r w:rsidR="00AF39A9">
        <w:rPr>
          <w:rStyle w:val="FootnoteReference"/>
          <w:color w:val="auto"/>
        </w:rPr>
        <w:footnoteReference w:id="112"/>
      </w:r>
      <w:r w:rsidR="00E6768E">
        <w:rPr>
          <w:color w:val="auto"/>
        </w:rPr>
        <w:t xml:space="preserve"> </w:t>
      </w:r>
      <w:r w:rsidR="0030404E">
        <w:rPr>
          <w:color w:val="auto"/>
        </w:rPr>
        <w:t>According to</w:t>
      </w:r>
      <w:r w:rsidR="00D8263C">
        <w:rPr>
          <w:color w:val="auto"/>
        </w:rPr>
        <w:t xml:space="preserve"> the NYPD, </w:t>
      </w:r>
      <w:r w:rsidR="000F0245">
        <w:rPr>
          <w:color w:val="auto"/>
        </w:rPr>
        <w:t xml:space="preserve">retail theft </w:t>
      </w:r>
      <w:r w:rsidR="00DC7A1E">
        <w:rPr>
          <w:color w:val="auto"/>
        </w:rPr>
        <w:t>wa</w:t>
      </w:r>
      <w:r w:rsidR="000F0245">
        <w:rPr>
          <w:color w:val="auto"/>
        </w:rPr>
        <w:t xml:space="preserve">s down 22% in the month of </w:t>
      </w:r>
      <w:r w:rsidR="00B16834">
        <w:rPr>
          <w:color w:val="auto"/>
        </w:rPr>
        <w:t>August</w:t>
      </w:r>
      <w:r w:rsidR="00DC7A1E">
        <w:rPr>
          <w:color w:val="auto"/>
        </w:rPr>
        <w:t>,</w:t>
      </w:r>
      <w:r w:rsidR="00B16834">
        <w:rPr>
          <w:color w:val="auto"/>
        </w:rPr>
        <w:t xml:space="preserve"> which </w:t>
      </w:r>
      <w:r w:rsidR="00DC7A1E">
        <w:rPr>
          <w:color w:val="auto"/>
        </w:rPr>
        <w:t>they</w:t>
      </w:r>
      <w:r w:rsidR="00B16834">
        <w:rPr>
          <w:color w:val="auto"/>
        </w:rPr>
        <w:t xml:space="preserve"> attributed to “the department’s overhaul of its approach</w:t>
      </w:r>
      <w:r w:rsidR="009E590D">
        <w:rPr>
          <w:color w:val="auto"/>
        </w:rPr>
        <w:t xml:space="preserve"> to combating retail theft.” This overhaul includes </w:t>
      </w:r>
      <w:r w:rsidR="00B81886">
        <w:rPr>
          <w:color w:val="auto"/>
        </w:rPr>
        <w:t xml:space="preserve">changes to deployment location, improved coordination with transit officers, and greater emphasis on investigating petit larceny and </w:t>
      </w:r>
      <w:r w:rsidR="00382B3D">
        <w:rPr>
          <w:color w:val="auto"/>
        </w:rPr>
        <w:t>retail theft.</w:t>
      </w:r>
      <w:r w:rsidR="00382B3D">
        <w:rPr>
          <w:rStyle w:val="FootnoteReference"/>
          <w:color w:val="auto"/>
        </w:rPr>
        <w:footnoteReference w:id="113"/>
      </w:r>
      <w:r w:rsidR="001C59FB">
        <w:rPr>
          <w:color w:val="auto"/>
        </w:rPr>
        <w:t xml:space="preserve"> </w:t>
      </w:r>
      <w:r w:rsidR="00342175">
        <w:rPr>
          <w:color w:val="auto"/>
        </w:rPr>
        <w:t xml:space="preserve">However, the effect of shoplifting trends may still be </w:t>
      </w:r>
      <w:r w:rsidR="008E26D7">
        <w:rPr>
          <w:color w:val="auto"/>
        </w:rPr>
        <w:t xml:space="preserve">relevant to shoppers </w:t>
      </w:r>
      <w:r w:rsidR="00D62F9C">
        <w:rPr>
          <w:color w:val="auto"/>
        </w:rPr>
        <w:t xml:space="preserve">and according to a survey referenced by </w:t>
      </w:r>
      <w:r w:rsidR="00D62F9C">
        <w:rPr>
          <w:i/>
          <w:iCs/>
          <w:color w:val="auto"/>
        </w:rPr>
        <w:t xml:space="preserve">Retail Brew, </w:t>
      </w:r>
      <w:r w:rsidR="00D62F9C">
        <w:rPr>
          <w:color w:val="auto"/>
        </w:rPr>
        <w:t xml:space="preserve">58% </w:t>
      </w:r>
      <w:r w:rsidR="002927B3">
        <w:rPr>
          <w:color w:val="auto"/>
        </w:rPr>
        <w:t>of shoppers prefer online shopping due to retail crime.</w:t>
      </w:r>
      <w:r w:rsidR="002927B3">
        <w:rPr>
          <w:rStyle w:val="FootnoteReference"/>
          <w:color w:val="auto"/>
        </w:rPr>
        <w:footnoteReference w:id="114"/>
      </w:r>
      <w:r w:rsidR="002927B3">
        <w:rPr>
          <w:color w:val="auto"/>
        </w:rPr>
        <w:t xml:space="preserve"> </w:t>
      </w:r>
      <w:r w:rsidR="00AF71D3">
        <w:rPr>
          <w:color w:val="auto"/>
        </w:rPr>
        <w:t>How much this preference applies to New York City is unclear</w:t>
      </w:r>
      <w:r w:rsidR="005E4CCB">
        <w:rPr>
          <w:color w:val="auto"/>
        </w:rPr>
        <w:t xml:space="preserve">. </w:t>
      </w:r>
      <w:r w:rsidR="00606136">
        <w:rPr>
          <w:color w:val="auto"/>
        </w:rPr>
        <w:t>However, as recently as</w:t>
      </w:r>
      <w:r w:rsidR="0039152F">
        <w:rPr>
          <w:color w:val="auto"/>
        </w:rPr>
        <w:t xml:space="preserve"> September 27</w:t>
      </w:r>
      <w:r w:rsidR="0039152F" w:rsidRPr="0039152F">
        <w:rPr>
          <w:color w:val="auto"/>
          <w:vertAlign w:val="superscript"/>
        </w:rPr>
        <w:t>th</w:t>
      </w:r>
      <w:r w:rsidR="0039152F">
        <w:rPr>
          <w:color w:val="auto"/>
        </w:rPr>
        <w:t xml:space="preserve"> 2025, an employee in a Manhattan supermarket </w:t>
      </w:r>
      <w:r w:rsidR="00037794">
        <w:rPr>
          <w:color w:val="auto"/>
        </w:rPr>
        <w:t>died after confronting a shoplifter.</w:t>
      </w:r>
      <w:r w:rsidR="00A94FEB">
        <w:rPr>
          <w:rStyle w:val="FootnoteReference"/>
          <w:color w:val="auto"/>
        </w:rPr>
        <w:footnoteReference w:id="115"/>
      </w:r>
      <w:r w:rsidR="00037794">
        <w:rPr>
          <w:color w:val="auto"/>
        </w:rPr>
        <w:t xml:space="preserve"> </w:t>
      </w:r>
    </w:p>
    <w:p w14:paraId="3DC10FEC" w14:textId="68197501" w:rsidR="005E17B1" w:rsidRPr="0079273D" w:rsidRDefault="0079273D" w:rsidP="770A0F16">
      <w:pPr>
        <w:pStyle w:val="ListParagraph"/>
        <w:numPr>
          <w:ilvl w:val="0"/>
          <w:numId w:val="1"/>
        </w:numPr>
        <w:spacing w:after="0" w:line="480" w:lineRule="auto"/>
        <w:jc w:val="both"/>
        <w:rPr>
          <w:b/>
          <w:bCs/>
          <w:color w:val="auto"/>
        </w:rPr>
      </w:pPr>
      <w:r>
        <w:rPr>
          <w:b/>
          <w:bCs/>
          <w:color w:val="auto"/>
        </w:rPr>
        <w:t>SMALL BUSINESS FINANCIAL NEEDS</w:t>
      </w:r>
    </w:p>
    <w:p w14:paraId="00544CE0" w14:textId="77777777" w:rsidR="009E0567" w:rsidRDefault="0079273D" w:rsidP="009E0567">
      <w:pPr>
        <w:spacing w:line="480" w:lineRule="auto"/>
        <w:ind w:firstLine="720"/>
        <w:contextualSpacing/>
        <w:jc w:val="both"/>
        <w:rPr>
          <w:rFonts w:eastAsia="Times New Roman"/>
          <w:color w:val="000000" w:themeColor="text1"/>
        </w:rPr>
      </w:pPr>
      <w:r w:rsidRPr="0079273D">
        <w:rPr>
          <w:color w:val="auto"/>
        </w:rPr>
        <w:t>To</w:t>
      </w:r>
      <w:r w:rsidR="00F17518" w:rsidRPr="0079273D">
        <w:rPr>
          <w:color w:val="auto"/>
        </w:rPr>
        <w:t xml:space="preserve"> start and maintain a small business, owners </w:t>
      </w:r>
      <w:r w:rsidR="00E2554B" w:rsidRPr="0079273D">
        <w:rPr>
          <w:color w:val="auto"/>
        </w:rPr>
        <w:t>often require access to capital</w:t>
      </w:r>
      <w:r w:rsidR="005637E3" w:rsidRPr="0079273D">
        <w:rPr>
          <w:color w:val="auto"/>
        </w:rPr>
        <w:t>. Accessing that capital can be difficult</w:t>
      </w:r>
      <w:r w:rsidR="006D41AD" w:rsidRPr="0079273D">
        <w:rPr>
          <w:color w:val="auto"/>
        </w:rPr>
        <w:t>, especially for immigrant entrepreneurs</w:t>
      </w:r>
      <w:r w:rsidR="00D00941" w:rsidRPr="0079273D">
        <w:rPr>
          <w:rStyle w:val="FootnoteReference"/>
          <w:color w:val="auto"/>
        </w:rPr>
        <w:footnoteReference w:id="116"/>
      </w:r>
      <w:r w:rsidR="006D41AD" w:rsidRPr="0079273D">
        <w:rPr>
          <w:color w:val="auto"/>
        </w:rPr>
        <w:t xml:space="preserve"> and </w:t>
      </w:r>
      <w:r w:rsidR="000D3CDD" w:rsidRPr="0079273D">
        <w:rPr>
          <w:color w:val="auto"/>
        </w:rPr>
        <w:t>minority owned</w:t>
      </w:r>
      <w:r w:rsidR="00273CFE" w:rsidRPr="0079273D">
        <w:rPr>
          <w:color w:val="auto"/>
        </w:rPr>
        <w:t xml:space="preserve"> businesses.</w:t>
      </w:r>
      <w:r w:rsidR="00273CFE" w:rsidRPr="0079273D">
        <w:rPr>
          <w:rStyle w:val="FootnoteReference"/>
          <w:color w:val="auto"/>
        </w:rPr>
        <w:footnoteReference w:id="117"/>
      </w:r>
      <w:r w:rsidR="009E0567">
        <w:rPr>
          <w:color w:val="auto"/>
        </w:rPr>
        <w:t xml:space="preserve"> </w:t>
      </w:r>
      <w:r w:rsidR="009E0567" w:rsidRPr="0847B798">
        <w:rPr>
          <w:rFonts w:eastAsia="Times New Roman"/>
          <w:color w:val="000000" w:themeColor="text1"/>
        </w:rPr>
        <w:t xml:space="preserve">In New York City, small businesses “face unmet capital needs of approximately $45 billion a year” with minority-and immigrant-owned businesses typically </w:t>
      </w:r>
      <w:r w:rsidR="009E0567">
        <w:rPr>
          <w:rFonts w:eastAsia="Times New Roman"/>
          <w:color w:val="000000" w:themeColor="text1"/>
        </w:rPr>
        <w:t>struggling</w:t>
      </w:r>
      <w:r w:rsidR="009E0567" w:rsidRPr="0847B798">
        <w:rPr>
          <w:rFonts w:eastAsia="Times New Roman"/>
          <w:color w:val="000000" w:themeColor="text1"/>
        </w:rPr>
        <w:t xml:space="preserve"> the most in obtaining capital.</w:t>
      </w:r>
      <w:r w:rsidR="009E0567" w:rsidRPr="396BD026">
        <w:rPr>
          <w:rStyle w:val="FootnoteReference"/>
          <w:rFonts w:eastAsia="Times New Roman"/>
          <w:color w:val="000000" w:themeColor="text1"/>
        </w:rPr>
        <w:footnoteReference w:id="118"/>
      </w:r>
      <w:r w:rsidR="009E0567" w:rsidRPr="0847B798">
        <w:rPr>
          <w:rFonts w:eastAsia="Times New Roman"/>
          <w:color w:val="000000" w:themeColor="text1"/>
        </w:rPr>
        <w:t xml:space="preserve"> </w:t>
      </w:r>
    </w:p>
    <w:p w14:paraId="54022256" w14:textId="49EE4A91" w:rsidR="00156522" w:rsidRDefault="00273CFE" w:rsidP="00D34DA6">
      <w:pPr>
        <w:spacing w:line="480" w:lineRule="auto"/>
        <w:ind w:firstLine="720"/>
        <w:contextualSpacing/>
        <w:jc w:val="both"/>
        <w:rPr>
          <w:rFonts w:eastAsia="Times New Roman"/>
          <w:color w:val="000000" w:themeColor="text1"/>
        </w:rPr>
      </w:pPr>
      <w:r w:rsidRPr="0079273D">
        <w:rPr>
          <w:color w:val="auto"/>
        </w:rPr>
        <w:t xml:space="preserve"> </w:t>
      </w:r>
      <w:r w:rsidR="00156522" w:rsidRPr="561E309B">
        <w:rPr>
          <w:rFonts w:eastAsia="Times New Roman"/>
          <w:color w:val="000000" w:themeColor="text1"/>
        </w:rPr>
        <w:t>Community Development Financial Institutions (</w:t>
      </w:r>
      <w:r w:rsidR="002B4FF9">
        <w:rPr>
          <w:rFonts w:eastAsia="Times New Roman"/>
          <w:color w:val="000000" w:themeColor="text1"/>
        </w:rPr>
        <w:t>‘</w:t>
      </w:r>
      <w:r w:rsidR="00156522" w:rsidRPr="561E309B">
        <w:rPr>
          <w:rFonts w:eastAsia="Times New Roman"/>
          <w:color w:val="000000" w:themeColor="text1"/>
        </w:rPr>
        <w:t>CDFIs</w:t>
      </w:r>
      <w:r w:rsidR="002B4FF9">
        <w:rPr>
          <w:rFonts w:eastAsia="Times New Roman"/>
          <w:color w:val="000000" w:themeColor="text1"/>
        </w:rPr>
        <w:t>’</w:t>
      </w:r>
      <w:r w:rsidR="00156522" w:rsidRPr="561E309B">
        <w:rPr>
          <w:rFonts w:eastAsia="Times New Roman"/>
          <w:color w:val="000000" w:themeColor="text1"/>
        </w:rPr>
        <w:t>) are financial institutions that provide economic services for individuals, small businesses and communities that have historically been underserved by mainstream lending services.</w:t>
      </w:r>
      <w:r w:rsidR="00156522" w:rsidRPr="561E309B">
        <w:rPr>
          <w:rStyle w:val="FootnoteReference"/>
          <w:rFonts w:eastAsia="Times New Roman"/>
          <w:color w:val="000000" w:themeColor="text1"/>
        </w:rPr>
        <w:footnoteReference w:id="119"/>
      </w:r>
      <w:r w:rsidR="00156522" w:rsidRPr="561E309B">
        <w:rPr>
          <w:rFonts w:eastAsia="Times New Roman"/>
          <w:color w:val="000000" w:themeColor="text1"/>
        </w:rPr>
        <w:t xml:space="preserve"> These institutions are often community-oriented and have been heralded for lending responsibly to low-income communities.</w:t>
      </w:r>
      <w:r w:rsidR="00156522" w:rsidRPr="396BD026">
        <w:rPr>
          <w:rStyle w:val="FootnoteReference"/>
          <w:rFonts w:eastAsia="Times New Roman"/>
          <w:color w:val="000000" w:themeColor="text1"/>
        </w:rPr>
        <w:footnoteReference w:id="120"/>
      </w:r>
      <w:r w:rsidR="00156522" w:rsidRPr="561E309B">
        <w:rPr>
          <w:rFonts w:eastAsia="Times New Roman"/>
          <w:color w:val="000000" w:themeColor="text1"/>
        </w:rPr>
        <w:t xml:space="preserve"> CDFIs include community development (</w:t>
      </w:r>
      <w:r w:rsidR="002B4FF9">
        <w:rPr>
          <w:rFonts w:eastAsia="Times New Roman"/>
          <w:color w:val="000000" w:themeColor="text1"/>
        </w:rPr>
        <w:t>‘</w:t>
      </w:r>
      <w:r w:rsidR="00156522" w:rsidRPr="561E309B">
        <w:rPr>
          <w:rFonts w:eastAsia="Times New Roman"/>
          <w:color w:val="000000" w:themeColor="text1"/>
        </w:rPr>
        <w:t>CD</w:t>
      </w:r>
      <w:r w:rsidR="002B4FF9">
        <w:rPr>
          <w:rFonts w:eastAsia="Times New Roman"/>
          <w:color w:val="000000" w:themeColor="text1"/>
        </w:rPr>
        <w:t>’</w:t>
      </w:r>
      <w:r w:rsidR="00156522" w:rsidRPr="561E309B">
        <w:rPr>
          <w:rFonts w:eastAsia="Times New Roman"/>
          <w:color w:val="000000" w:themeColor="text1"/>
        </w:rPr>
        <w:t>) banks, CD credit unions, CD loans funds, and CD venture capital funds.</w:t>
      </w:r>
      <w:r w:rsidR="00156522" w:rsidRPr="396BD026">
        <w:rPr>
          <w:rStyle w:val="FootnoteReference"/>
          <w:rFonts w:eastAsia="Times New Roman"/>
          <w:color w:val="000000" w:themeColor="text1"/>
        </w:rPr>
        <w:footnoteReference w:id="121"/>
      </w:r>
      <w:r w:rsidR="00156522" w:rsidRPr="561E309B">
        <w:rPr>
          <w:rFonts w:eastAsia="Times New Roman"/>
          <w:color w:val="000000" w:themeColor="text1"/>
        </w:rPr>
        <w:t xml:space="preserve"> Local CDFIs are generally certified through the CDFI Fund, which is an investment fund managed by the U.S. Department of Treasury.</w:t>
      </w:r>
      <w:r w:rsidR="00156522" w:rsidRPr="396BD026">
        <w:rPr>
          <w:rStyle w:val="FootnoteReference"/>
          <w:rFonts w:eastAsia="Times New Roman"/>
          <w:color w:val="000000" w:themeColor="text1"/>
        </w:rPr>
        <w:footnoteReference w:id="122"/>
      </w:r>
      <w:r w:rsidR="00156522" w:rsidRPr="561E309B">
        <w:rPr>
          <w:rFonts w:eastAsia="Times New Roman"/>
          <w:color w:val="000000" w:themeColor="text1"/>
        </w:rPr>
        <w:t xml:space="preserve"> This certification allows the institutions to apply for financial support through the CDFI Fund</w:t>
      </w:r>
      <w:r w:rsidR="00EF59B8">
        <w:rPr>
          <w:rFonts w:eastAsia="Times New Roman"/>
          <w:color w:val="000000" w:themeColor="text1"/>
        </w:rPr>
        <w:t>.</w:t>
      </w:r>
      <w:r w:rsidR="00156522" w:rsidRPr="396BD026">
        <w:rPr>
          <w:rStyle w:val="FootnoteReference"/>
          <w:rFonts w:eastAsia="Times New Roman"/>
          <w:color w:val="000000" w:themeColor="text1"/>
        </w:rPr>
        <w:footnoteReference w:id="123"/>
      </w:r>
      <w:r w:rsidR="00EF59B8">
        <w:rPr>
          <w:rFonts w:eastAsia="Times New Roman"/>
          <w:color w:val="000000" w:themeColor="text1"/>
        </w:rPr>
        <w:t xml:space="preserve"> Although the federal Office of Management and Budget is currently delaying the deployment of congressionally approved funding for CDFIs.</w:t>
      </w:r>
      <w:r w:rsidR="00EF59B8">
        <w:rPr>
          <w:rStyle w:val="FootnoteReference"/>
          <w:rFonts w:eastAsia="Times New Roman"/>
          <w:color w:val="000000" w:themeColor="text1"/>
        </w:rPr>
        <w:footnoteReference w:id="124"/>
      </w:r>
      <w:r w:rsidR="00156522" w:rsidRPr="561E309B">
        <w:rPr>
          <w:rFonts w:eastAsia="Times New Roman"/>
          <w:color w:val="000000" w:themeColor="text1"/>
        </w:rPr>
        <w:t xml:space="preserve"> </w:t>
      </w:r>
      <w:r w:rsidR="00EF59B8">
        <w:rPr>
          <w:rFonts w:eastAsia="Times New Roman"/>
          <w:color w:val="000000" w:themeColor="text1"/>
        </w:rPr>
        <w:t xml:space="preserve">However even without this delay in funding to CDFIs, </w:t>
      </w:r>
      <w:r w:rsidR="00156522" w:rsidRPr="0847B798">
        <w:rPr>
          <w:rFonts w:eastAsia="Times New Roman"/>
          <w:color w:val="000000" w:themeColor="text1"/>
        </w:rPr>
        <w:t>low-income entrepreneurs and business owners seeking financial assistance often struggle to access CDFIs or are unaware they exist.</w:t>
      </w:r>
      <w:r w:rsidR="00156522" w:rsidRPr="396BD026">
        <w:rPr>
          <w:rStyle w:val="FootnoteReference"/>
          <w:rFonts w:eastAsia="Times New Roman"/>
          <w:color w:val="000000" w:themeColor="text1"/>
        </w:rPr>
        <w:footnoteReference w:id="125"/>
      </w:r>
      <w:r w:rsidR="00156522" w:rsidRPr="0847B798">
        <w:rPr>
          <w:rFonts w:eastAsia="Times New Roman"/>
          <w:color w:val="000000" w:themeColor="text1"/>
        </w:rPr>
        <w:t xml:space="preserve"> </w:t>
      </w:r>
    </w:p>
    <w:p w14:paraId="501006F5" w14:textId="1578ACE1" w:rsidR="00D6073A" w:rsidRDefault="00595E98" w:rsidP="00D34DA6">
      <w:pPr>
        <w:spacing w:line="480" w:lineRule="auto"/>
        <w:ind w:firstLine="720"/>
        <w:contextualSpacing/>
        <w:jc w:val="both"/>
        <w:rPr>
          <w:rFonts w:eastAsia="Times New Roman"/>
          <w:color w:val="000000" w:themeColor="text1"/>
        </w:rPr>
      </w:pPr>
      <w:r>
        <w:rPr>
          <w:rFonts w:eastAsia="Times New Roman"/>
          <w:color w:val="000000" w:themeColor="text1"/>
        </w:rPr>
        <w:t>In 2023</w:t>
      </w:r>
      <w:r w:rsidR="00F03FE6">
        <w:rPr>
          <w:rFonts w:eastAsia="Times New Roman"/>
          <w:color w:val="000000" w:themeColor="text1"/>
        </w:rPr>
        <w:t xml:space="preserve"> the New York City</w:t>
      </w:r>
      <w:r w:rsidR="00D6073A">
        <w:rPr>
          <w:rFonts w:eastAsia="Times New Roman"/>
          <w:color w:val="000000" w:themeColor="text1"/>
        </w:rPr>
        <w:t xml:space="preserve"> Council passed </w:t>
      </w:r>
      <w:r w:rsidR="00F03FE6">
        <w:rPr>
          <w:rFonts w:eastAsia="Times New Roman"/>
          <w:color w:val="000000" w:themeColor="text1"/>
        </w:rPr>
        <w:t>two pieces of legislation in the Committee on Small Business to begin to address these economic issues. Local law 1</w:t>
      </w:r>
      <w:r w:rsidR="00CF2437">
        <w:rPr>
          <w:rFonts w:eastAsia="Times New Roman"/>
          <w:color w:val="000000" w:themeColor="text1"/>
        </w:rPr>
        <w:t>3</w:t>
      </w:r>
      <w:r w:rsidR="00F03FE6">
        <w:rPr>
          <w:rFonts w:eastAsia="Times New Roman"/>
          <w:color w:val="000000" w:themeColor="text1"/>
        </w:rPr>
        <w:t xml:space="preserve">3 of 2023 required SBS to </w:t>
      </w:r>
      <w:r w:rsidR="001E0A1A">
        <w:rPr>
          <w:rFonts w:eastAsia="Times New Roman"/>
          <w:color w:val="000000" w:themeColor="text1"/>
        </w:rPr>
        <w:t>provide information related to local CDFIs via an online portal, with</w:t>
      </w:r>
      <w:r w:rsidR="00F0772F">
        <w:rPr>
          <w:rFonts w:eastAsia="Times New Roman"/>
          <w:color w:val="000000" w:themeColor="text1"/>
        </w:rPr>
        <w:t xml:space="preserve"> a directory of participating CDFIs and a description of each CDFI’s mission statement, operating locations, and the services and types of loans offered.</w:t>
      </w:r>
      <w:r w:rsidR="00CF2437">
        <w:rPr>
          <w:rStyle w:val="FootnoteReference"/>
          <w:rFonts w:eastAsia="Times New Roman"/>
          <w:color w:val="000000" w:themeColor="text1"/>
        </w:rPr>
        <w:footnoteReference w:id="126"/>
      </w:r>
      <w:r w:rsidR="00F0772F">
        <w:rPr>
          <w:rFonts w:eastAsia="Times New Roman"/>
          <w:color w:val="000000" w:themeColor="text1"/>
        </w:rPr>
        <w:t xml:space="preserve"> Local la</w:t>
      </w:r>
      <w:r w:rsidR="00FF0C57">
        <w:rPr>
          <w:rFonts w:eastAsia="Times New Roman"/>
          <w:color w:val="000000" w:themeColor="text1"/>
        </w:rPr>
        <w:t xml:space="preserve">w 137 of 2023 required SBS to post on its website </w:t>
      </w:r>
      <w:r w:rsidR="00B2146F" w:rsidRPr="00B2146F">
        <w:rPr>
          <w:rFonts w:eastAsia="Times New Roman"/>
          <w:color w:val="000000" w:themeColor="text1"/>
        </w:rPr>
        <w:t>information on selecting a bank for small businesses, including information on specialized services offered by banks for small businesses, information on typical fees, interest rates, monthly charges, or balance requirements, the advantages and disadvantages of having accounts at multiple banks, and information about Federal Deposit Insurance Corporation insurance coverage or other protections provided for small business deposits.</w:t>
      </w:r>
      <w:r w:rsidR="00E961CA">
        <w:rPr>
          <w:rStyle w:val="FootnoteReference"/>
          <w:rFonts w:eastAsia="Times New Roman"/>
          <w:color w:val="000000" w:themeColor="text1"/>
        </w:rPr>
        <w:footnoteReference w:id="127"/>
      </w:r>
    </w:p>
    <w:p w14:paraId="19A7341E" w14:textId="70EC2AF8" w:rsidR="00E91E7D" w:rsidRPr="0079273D" w:rsidRDefault="00E91E7D" w:rsidP="0079273D">
      <w:pPr>
        <w:spacing w:after="0" w:line="480" w:lineRule="auto"/>
        <w:ind w:firstLine="720"/>
        <w:jc w:val="both"/>
        <w:rPr>
          <w:color w:val="auto"/>
        </w:rPr>
      </w:pPr>
    </w:p>
    <w:p w14:paraId="269E7BD2" w14:textId="3C6185E4" w:rsidR="007326CD" w:rsidRPr="007326CD" w:rsidRDefault="007326CD" w:rsidP="007326CD">
      <w:pPr>
        <w:pStyle w:val="ListParagraph"/>
        <w:numPr>
          <w:ilvl w:val="0"/>
          <w:numId w:val="1"/>
        </w:numPr>
        <w:spacing w:after="0" w:line="480" w:lineRule="auto"/>
        <w:jc w:val="both"/>
        <w:rPr>
          <w:b/>
          <w:color w:val="auto"/>
        </w:rPr>
      </w:pPr>
      <w:r w:rsidRPr="007326CD">
        <w:rPr>
          <w:b/>
          <w:color w:val="auto"/>
        </w:rPr>
        <w:t>CONCLUSION</w:t>
      </w:r>
    </w:p>
    <w:p w14:paraId="0F649C3A" w14:textId="2372845E" w:rsidR="002C6B77" w:rsidRPr="00DE16B4" w:rsidRDefault="001464E4" w:rsidP="00A92AC6">
      <w:pPr>
        <w:spacing w:after="0" w:line="480" w:lineRule="auto"/>
        <w:ind w:firstLine="720"/>
        <w:jc w:val="both"/>
        <w:rPr>
          <w:rFonts w:eastAsia="Times New Roman"/>
          <w:color w:val="auto"/>
        </w:rPr>
      </w:pPr>
      <w:r>
        <w:rPr>
          <w:rFonts w:eastAsia="Times New Roman"/>
          <w:color w:val="auto"/>
        </w:rPr>
        <w:t xml:space="preserve">The Committee looks forward to hearing testimony from the Administration on </w:t>
      </w:r>
      <w:r w:rsidR="00A92AC6">
        <w:rPr>
          <w:rFonts w:eastAsia="Times New Roman"/>
          <w:color w:val="auto"/>
        </w:rPr>
        <w:t xml:space="preserve">resources, policies, and programs created to ensure small businesses are properly protecting themselves and their consumers from cyberthreats and looks forward to hearing testimony from the Administration regarding Intro. 180 and Intro. 1350. </w:t>
      </w:r>
    </w:p>
    <w:p w14:paraId="2F2FE51E" w14:textId="79AD0A36" w:rsidR="00B53203" w:rsidRPr="00B53203" w:rsidRDefault="00B53203" w:rsidP="00B53203">
      <w:pPr>
        <w:pStyle w:val="ListParagraph"/>
        <w:numPr>
          <w:ilvl w:val="0"/>
          <w:numId w:val="1"/>
        </w:numPr>
        <w:spacing w:after="0" w:line="480" w:lineRule="auto"/>
        <w:jc w:val="both"/>
        <w:rPr>
          <w:b/>
          <w:color w:val="auto"/>
        </w:rPr>
      </w:pPr>
      <w:r>
        <w:rPr>
          <w:b/>
          <w:color w:val="auto"/>
        </w:rPr>
        <w:t>LEGISLATIVE ANALYSIS</w:t>
      </w:r>
    </w:p>
    <w:p w14:paraId="047FB8F3" w14:textId="7AA2EE33" w:rsidR="00B53203" w:rsidRDefault="00B53203" w:rsidP="00B53203">
      <w:pPr>
        <w:pStyle w:val="ListParagraph"/>
        <w:numPr>
          <w:ilvl w:val="1"/>
          <w:numId w:val="1"/>
        </w:numPr>
        <w:spacing w:after="0" w:line="480" w:lineRule="auto"/>
        <w:jc w:val="both"/>
        <w:rPr>
          <w:b/>
          <w:color w:val="auto"/>
        </w:rPr>
      </w:pPr>
      <w:r w:rsidRPr="00B53203">
        <w:rPr>
          <w:b/>
          <w:color w:val="auto"/>
        </w:rPr>
        <w:t xml:space="preserve">Introduction </w:t>
      </w:r>
      <w:r w:rsidR="0074332F">
        <w:rPr>
          <w:b/>
          <w:color w:val="auto"/>
        </w:rPr>
        <w:t>0180</w:t>
      </w:r>
      <w:r w:rsidRPr="00B53203">
        <w:rPr>
          <w:b/>
          <w:color w:val="auto"/>
        </w:rPr>
        <w:t>-2024</w:t>
      </w:r>
    </w:p>
    <w:p w14:paraId="3216CD7E" w14:textId="4C1016F2" w:rsidR="003B4C72" w:rsidRPr="00483C07" w:rsidRDefault="00483C07" w:rsidP="00483C07">
      <w:pPr>
        <w:spacing w:after="0" w:line="480" w:lineRule="auto"/>
        <w:ind w:firstLine="720"/>
        <w:jc w:val="both"/>
        <w:rPr>
          <w:bCs/>
          <w:color w:val="auto"/>
        </w:rPr>
      </w:pPr>
      <w:r w:rsidRPr="00483C07">
        <w:rPr>
          <w:bCs/>
          <w:color w:val="auto"/>
        </w:rPr>
        <w:t xml:space="preserve">This bill would require the </w:t>
      </w:r>
      <w:r w:rsidR="00BC7231">
        <w:rPr>
          <w:bCs/>
          <w:color w:val="auto"/>
        </w:rPr>
        <w:t>D</w:t>
      </w:r>
      <w:r w:rsidRPr="00483C07">
        <w:rPr>
          <w:bCs/>
          <w:color w:val="auto"/>
        </w:rPr>
        <w:t xml:space="preserve">epartment of </w:t>
      </w:r>
      <w:r w:rsidR="00BC7231">
        <w:rPr>
          <w:bCs/>
          <w:color w:val="auto"/>
        </w:rPr>
        <w:t>S</w:t>
      </w:r>
      <w:r w:rsidRPr="00483C07">
        <w:rPr>
          <w:bCs/>
          <w:color w:val="auto"/>
        </w:rPr>
        <w:t xml:space="preserve">mall </w:t>
      </w:r>
      <w:r w:rsidR="00BC7231">
        <w:rPr>
          <w:bCs/>
          <w:color w:val="auto"/>
        </w:rPr>
        <w:t>B</w:t>
      </w:r>
      <w:r w:rsidRPr="00483C07">
        <w:rPr>
          <w:bCs/>
          <w:color w:val="auto"/>
        </w:rPr>
        <w:t xml:space="preserve">usiness </w:t>
      </w:r>
      <w:r w:rsidR="00BC7231">
        <w:rPr>
          <w:bCs/>
          <w:color w:val="auto"/>
        </w:rPr>
        <w:t>S</w:t>
      </w:r>
      <w:r w:rsidRPr="00483C07">
        <w:rPr>
          <w:bCs/>
          <w:color w:val="auto"/>
        </w:rPr>
        <w:t>ervices</w:t>
      </w:r>
      <w:r w:rsidR="00BC7231">
        <w:rPr>
          <w:bCs/>
          <w:color w:val="auto"/>
        </w:rPr>
        <w:t xml:space="preserve"> (SBS)</w:t>
      </w:r>
      <w:r w:rsidRPr="00483C07">
        <w:rPr>
          <w:bCs/>
          <w:color w:val="auto"/>
        </w:rPr>
        <w:t xml:space="preserve">, or another agency designated by the mayor, </w:t>
      </w:r>
      <w:r w:rsidR="00DC7A1E">
        <w:rPr>
          <w:bCs/>
          <w:color w:val="auto"/>
        </w:rPr>
        <w:t xml:space="preserve">to </w:t>
      </w:r>
      <w:r w:rsidRPr="00483C07">
        <w:rPr>
          <w:bCs/>
          <w:color w:val="auto"/>
        </w:rPr>
        <w:t>establish a small retail business security system program to provide financial assistance to owners of small retail businesses that would reduce the cost of purchasing and installing security system technology.</w:t>
      </w:r>
      <w:r w:rsidR="00FF2FB2">
        <w:rPr>
          <w:bCs/>
          <w:color w:val="auto"/>
        </w:rPr>
        <w:t xml:space="preserve"> </w:t>
      </w:r>
      <w:r w:rsidR="00FF2FB2" w:rsidRPr="00503CCA">
        <w:rPr>
          <w:bCs/>
          <w:color w:val="auto"/>
        </w:rPr>
        <w:t>The bill defines</w:t>
      </w:r>
      <w:r w:rsidR="00503CCA" w:rsidRPr="00503CCA">
        <w:rPr>
          <w:bCs/>
          <w:color w:val="auto"/>
        </w:rPr>
        <w:t xml:space="preserve"> security system technology as any technology used to prevent, detect, or respond to retail theft, robbery, and criminal property damage, which may include digital video surveillance cameras, plexiglass windows, and panic buttons. The bill also defines</w:t>
      </w:r>
      <w:r w:rsidR="00FF2FB2" w:rsidRPr="00503CCA">
        <w:rPr>
          <w:bCs/>
          <w:color w:val="auto"/>
        </w:rPr>
        <w:t xml:space="preserve"> </w:t>
      </w:r>
      <w:r w:rsidR="001405E9" w:rsidRPr="00503CCA">
        <w:rPr>
          <w:bCs/>
          <w:color w:val="auto"/>
        </w:rPr>
        <w:t xml:space="preserve">small retail business </w:t>
      </w:r>
      <w:r w:rsidR="00916C81" w:rsidRPr="00503CCA">
        <w:rPr>
          <w:bCs/>
          <w:color w:val="auto"/>
        </w:rPr>
        <w:t xml:space="preserve">as a business that occupies a ground floor commercial premise, </w:t>
      </w:r>
      <w:r w:rsidR="00503CCA" w:rsidRPr="00503CCA">
        <w:rPr>
          <w:bCs/>
          <w:color w:val="auto"/>
        </w:rPr>
        <w:t xml:space="preserve">is </w:t>
      </w:r>
      <w:r w:rsidR="008E10DF" w:rsidRPr="00503CCA">
        <w:rPr>
          <w:bCs/>
          <w:color w:val="auto"/>
        </w:rPr>
        <w:t>in accordance with</w:t>
      </w:r>
      <w:r w:rsidR="009E504D" w:rsidRPr="00503CCA">
        <w:rPr>
          <w:bCs/>
          <w:color w:val="auto"/>
        </w:rPr>
        <w:t xml:space="preserve"> </w:t>
      </w:r>
      <w:r w:rsidR="00503CCA" w:rsidRPr="00503CCA">
        <w:rPr>
          <w:bCs/>
          <w:color w:val="auto"/>
        </w:rPr>
        <w:t>specific</w:t>
      </w:r>
      <w:r w:rsidR="009E504D" w:rsidRPr="00503CCA">
        <w:rPr>
          <w:bCs/>
          <w:color w:val="auto"/>
        </w:rPr>
        <w:t xml:space="preserve"> size standards</w:t>
      </w:r>
      <w:r w:rsidR="00503CCA" w:rsidRPr="00503CCA">
        <w:rPr>
          <w:bCs/>
          <w:color w:val="auto"/>
        </w:rPr>
        <w:t xml:space="preserve"> set forth</w:t>
      </w:r>
      <w:r w:rsidR="009E504D" w:rsidRPr="00503CCA">
        <w:rPr>
          <w:bCs/>
          <w:color w:val="auto"/>
        </w:rPr>
        <w:t xml:space="preserve"> in federal regulations, is not a franchise, and </w:t>
      </w:r>
      <w:r w:rsidR="00503CCA" w:rsidRPr="00503CCA">
        <w:rPr>
          <w:bCs/>
          <w:color w:val="auto"/>
        </w:rPr>
        <w:t>provides</w:t>
      </w:r>
      <w:r w:rsidR="009E504D" w:rsidRPr="00503CCA">
        <w:rPr>
          <w:bCs/>
          <w:color w:val="auto"/>
        </w:rPr>
        <w:t xml:space="preserve"> consumer commodities</w:t>
      </w:r>
      <w:r w:rsidR="00503CCA" w:rsidRPr="00503CCA">
        <w:rPr>
          <w:bCs/>
          <w:color w:val="auto"/>
        </w:rPr>
        <w:t xml:space="preserve"> or services</w:t>
      </w:r>
      <w:r w:rsidR="009E504D">
        <w:rPr>
          <w:bCs/>
          <w:color w:val="auto"/>
        </w:rPr>
        <w:t xml:space="preserve">. This local law would take effect immediately. </w:t>
      </w:r>
    </w:p>
    <w:p w14:paraId="16C0623A" w14:textId="02D62504" w:rsidR="00BC7231" w:rsidRDefault="0074332F" w:rsidP="00BC7231">
      <w:pPr>
        <w:pStyle w:val="ListParagraph"/>
        <w:numPr>
          <w:ilvl w:val="1"/>
          <w:numId w:val="1"/>
        </w:numPr>
        <w:spacing w:after="0" w:line="480" w:lineRule="auto"/>
        <w:jc w:val="both"/>
        <w:rPr>
          <w:b/>
          <w:color w:val="auto"/>
        </w:rPr>
      </w:pPr>
      <w:r>
        <w:rPr>
          <w:b/>
          <w:color w:val="auto"/>
        </w:rPr>
        <w:t xml:space="preserve">Introduction </w:t>
      </w:r>
      <w:r w:rsidR="003B4C72">
        <w:rPr>
          <w:b/>
          <w:color w:val="auto"/>
        </w:rPr>
        <w:t>1350-2025</w:t>
      </w:r>
    </w:p>
    <w:p w14:paraId="21CA0D7A" w14:textId="14C6EB02" w:rsidR="002C6B77" w:rsidRPr="00503CCA" w:rsidRDefault="00BC7231" w:rsidP="00503CCA">
      <w:pPr>
        <w:spacing w:after="0" w:line="480" w:lineRule="auto"/>
        <w:jc w:val="both"/>
        <w:rPr>
          <w:bCs/>
          <w:color w:val="auto"/>
        </w:rPr>
      </w:pPr>
      <w:r w:rsidRPr="00BC7231">
        <w:rPr>
          <w:bCs/>
          <w:color w:val="auto"/>
        </w:rPr>
        <w:tab/>
        <w:t>This bill would require the Department of Small Business Services (SBS) to provide loan readiness resources to help small businesses prepare for the lending process and understand the services offered by Community Development Financial Institutions (CDFIs) and other lenders. These resources would include assistance with business plan development, preparation of financial documents, and understanding loan application requirements.</w:t>
      </w:r>
      <w:r w:rsidR="00140EE5">
        <w:rPr>
          <w:bCs/>
          <w:color w:val="auto"/>
        </w:rPr>
        <w:t xml:space="preserve"> This local law would take </w:t>
      </w:r>
      <w:r w:rsidR="00860A82">
        <w:rPr>
          <w:bCs/>
          <w:color w:val="auto"/>
        </w:rPr>
        <w:t>180 days after becoming law.</w:t>
      </w:r>
    </w:p>
    <w:p w14:paraId="5F73C1D5" w14:textId="77777777" w:rsidR="00A83EC4" w:rsidRDefault="00A83EC4"/>
    <w:p w14:paraId="5E0B8718" w14:textId="77777777" w:rsidR="003C3D9A" w:rsidRDefault="003C3D9A"/>
    <w:p w14:paraId="75521683" w14:textId="77777777" w:rsidR="003C3D9A" w:rsidRDefault="003C3D9A"/>
    <w:p w14:paraId="6F580398" w14:textId="77777777" w:rsidR="003C3D9A" w:rsidRDefault="003C3D9A"/>
    <w:p w14:paraId="6884D7BD" w14:textId="77777777" w:rsidR="003C3D9A" w:rsidRDefault="003C3D9A"/>
    <w:p w14:paraId="22D85D56" w14:textId="77777777" w:rsidR="003C3D9A" w:rsidRDefault="003C3D9A"/>
    <w:p w14:paraId="3E1926CC" w14:textId="77777777" w:rsidR="003C3D9A" w:rsidRDefault="003C3D9A"/>
    <w:p w14:paraId="178F1D7F" w14:textId="77777777" w:rsidR="003C3D9A" w:rsidRDefault="003C3D9A"/>
    <w:p w14:paraId="788CD1AD" w14:textId="77777777" w:rsidR="003C3D9A" w:rsidRDefault="003C3D9A"/>
    <w:p w14:paraId="5B7D3B4B" w14:textId="77777777" w:rsidR="009476BD" w:rsidRDefault="009476BD" w:rsidP="003C3D9A">
      <w:pPr>
        <w:spacing w:after="0" w:line="240" w:lineRule="auto"/>
        <w:rPr>
          <w:rFonts w:eastAsia="Times New Roman"/>
          <w:color w:val="auto"/>
        </w:rPr>
      </w:pPr>
    </w:p>
    <w:p w14:paraId="78E1284B" w14:textId="38A62080" w:rsidR="009476BD" w:rsidRDefault="009476BD" w:rsidP="003C3D9A">
      <w:pPr>
        <w:spacing w:after="0" w:line="240" w:lineRule="auto"/>
        <w:rPr>
          <w:rFonts w:eastAsia="Times New Roman"/>
          <w:color w:val="auto"/>
        </w:rPr>
      </w:pPr>
    </w:p>
    <w:p w14:paraId="5839AC89" w14:textId="678BA93C" w:rsidR="00503CCA" w:rsidRDefault="00503CCA" w:rsidP="003C3D9A">
      <w:pPr>
        <w:spacing w:after="0" w:line="240" w:lineRule="auto"/>
        <w:rPr>
          <w:rFonts w:eastAsia="Times New Roman"/>
          <w:color w:val="auto"/>
        </w:rPr>
      </w:pPr>
    </w:p>
    <w:p w14:paraId="73E84FD1" w14:textId="00DD7328" w:rsidR="00503CCA" w:rsidRDefault="00503CCA" w:rsidP="003C3D9A">
      <w:pPr>
        <w:spacing w:after="0" w:line="240" w:lineRule="auto"/>
        <w:rPr>
          <w:rFonts w:eastAsia="Times New Roman"/>
          <w:color w:val="auto"/>
        </w:rPr>
      </w:pPr>
    </w:p>
    <w:p w14:paraId="4A9763F4" w14:textId="2138D674" w:rsidR="00503CCA" w:rsidRDefault="00503CCA" w:rsidP="003C3D9A">
      <w:pPr>
        <w:spacing w:after="0" w:line="240" w:lineRule="auto"/>
        <w:rPr>
          <w:rFonts w:eastAsia="Times New Roman"/>
          <w:color w:val="auto"/>
        </w:rPr>
      </w:pPr>
    </w:p>
    <w:p w14:paraId="1C87D1BF" w14:textId="674CE096" w:rsidR="00503CCA" w:rsidRDefault="00503CCA" w:rsidP="003C3D9A">
      <w:pPr>
        <w:spacing w:after="0" w:line="240" w:lineRule="auto"/>
        <w:rPr>
          <w:rFonts w:eastAsia="Times New Roman"/>
          <w:color w:val="auto"/>
        </w:rPr>
      </w:pPr>
    </w:p>
    <w:p w14:paraId="0B50B648" w14:textId="164CC362" w:rsidR="00503CCA" w:rsidRDefault="00503CCA" w:rsidP="003C3D9A">
      <w:pPr>
        <w:spacing w:after="0" w:line="240" w:lineRule="auto"/>
        <w:rPr>
          <w:rFonts w:eastAsia="Times New Roman"/>
          <w:color w:val="auto"/>
        </w:rPr>
      </w:pPr>
    </w:p>
    <w:p w14:paraId="19F03CA1" w14:textId="0F313ADB" w:rsidR="00503CCA" w:rsidRDefault="00503CCA" w:rsidP="003C3D9A">
      <w:pPr>
        <w:spacing w:after="0" w:line="240" w:lineRule="auto"/>
        <w:rPr>
          <w:rFonts w:eastAsia="Times New Roman"/>
          <w:color w:val="auto"/>
        </w:rPr>
      </w:pPr>
    </w:p>
    <w:p w14:paraId="6EAB99CE" w14:textId="2F73F4C2" w:rsidR="00503CCA" w:rsidRDefault="00503CCA" w:rsidP="003C3D9A">
      <w:pPr>
        <w:spacing w:after="0" w:line="240" w:lineRule="auto"/>
        <w:rPr>
          <w:rFonts w:eastAsia="Times New Roman"/>
          <w:color w:val="auto"/>
        </w:rPr>
      </w:pPr>
    </w:p>
    <w:p w14:paraId="0E818109" w14:textId="67DABB27" w:rsidR="00503CCA" w:rsidRDefault="00503CCA" w:rsidP="003C3D9A">
      <w:pPr>
        <w:spacing w:after="0" w:line="240" w:lineRule="auto"/>
        <w:rPr>
          <w:rFonts w:eastAsia="Times New Roman"/>
          <w:color w:val="auto"/>
        </w:rPr>
      </w:pPr>
    </w:p>
    <w:p w14:paraId="4D4AB084" w14:textId="35BF755C" w:rsidR="00503CCA" w:rsidRDefault="00503CCA" w:rsidP="003C3D9A">
      <w:pPr>
        <w:spacing w:after="0" w:line="240" w:lineRule="auto"/>
        <w:rPr>
          <w:rFonts w:eastAsia="Times New Roman"/>
          <w:color w:val="auto"/>
        </w:rPr>
      </w:pPr>
    </w:p>
    <w:p w14:paraId="0D062B75" w14:textId="31D046D4" w:rsidR="00503CCA" w:rsidRDefault="00503CCA" w:rsidP="003C3D9A">
      <w:pPr>
        <w:spacing w:after="0" w:line="240" w:lineRule="auto"/>
        <w:rPr>
          <w:rFonts w:eastAsia="Times New Roman"/>
          <w:color w:val="auto"/>
        </w:rPr>
      </w:pPr>
    </w:p>
    <w:p w14:paraId="1E3A091C" w14:textId="0998E662" w:rsidR="00503CCA" w:rsidRDefault="00503CCA" w:rsidP="003C3D9A">
      <w:pPr>
        <w:spacing w:after="0" w:line="240" w:lineRule="auto"/>
        <w:rPr>
          <w:rFonts w:eastAsia="Times New Roman"/>
          <w:color w:val="auto"/>
        </w:rPr>
      </w:pPr>
    </w:p>
    <w:p w14:paraId="49CAFBCB" w14:textId="6B78B0DA" w:rsidR="00503CCA" w:rsidRDefault="00503CCA" w:rsidP="003C3D9A">
      <w:pPr>
        <w:spacing w:after="0" w:line="240" w:lineRule="auto"/>
        <w:rPr>
          <w:rFonts w:eastAsia="Times New Roman"/>
          <w:color w:val="auto"/>
        </w:rPr>
      </w:pPr>
    </w:p>
    <w:p w14:paraId="1025940F" w14:textId="2A817CA6" w:rsidR="00503CCA" w:rsidRDefault="00503CCA" w:rsidP="003C3D9A">
      <w:pPr>
        <w:spacing w:after="0" w:line="240" w:lineRule="auto"/>
        <w:rPr>
          <w:rFonts w:eastAsia="Times New Roman"/>
          <w:color w:val="auto"/>
        </w:rPr>
      </w:pPr>
    </w:p>
    <w:p w14:paraId="4497B18A" w14:textId="2E321797" w:rsidR="00503CCA" w:rsidRDefault="00503CCA" w:rsidP="003C3D9A">
      <w:pPr>
        <w:spacing w:after="0" w:line="240" w:lineRule="auto"/>
        <w:rPr>
          <w:rFonts w:eastAsia="Times New Roman"/>
          <w:color w:val="auto"/>
        </w:rPr>
      </w:pPr>
    </w:p>
    <w:p w14:paraId="52BFBF4A" w14:textId="064FAB01" w:rsidR="00503CCA" w:rsidRDefault="00503CCA" w:rsidP="003C3D9A">
      <w:pPr>
        <w:spacing w:after="0" w:line="240" w:lineRule="auto"/>
        <w:rPr>
          <w:rFonts w:eastAsia="Times New Roman"/>
          <w:color w:val="auto"/>
        </w:rPr>
      </w:pPr>
    </w:p>
    <w:p w14:paraId="395FF3D2" w14:textId="68291435" w:rsidR="00503CCA" w:rsidRDefault="00503CCA" w:rsidP="003C3D9A">
      <w:pPr>
        <w:spacing w:after="0" w:line="240" w:lineRule="auto"/>
        <w:rPr>
          <w:rFonts w:eastAsia="Times New Roman"/>
          <w:color w:val="auto"/>
        </w:rPr>
      </w:pPr>
    </w:p>
    <w:p w14:paraId="0AF9328A" w14:textId="237556E5" w:rsidR="00503CCA" w:rsidRDefault="00503CCA" w:rsidP="003C3D9A">
      <w:pPr>
        <w:spacing w:after="0" w:line="240" w:lineRule="auto"/>
        <w:rPr>
          <w:rFonts w:eastAsia="Times New Roman"/>
          <w:color w:val="auto"/>
        </w:rPr>
      </w:pPr>
    </w:p>
    <w:p w14:paraId="679358EB" w14:textId="59BE250A" w:rsidR="00503CCA" w:rsidRDefault="00503CCA" w:rsidP="003C3D9A">
      <w:pPr>
        <w:spacing w:after="0" w:line="240" w:lineRule="auto"/>
        <w:rPr>
          <w:rFonts w:eastAsia="Times New Roman"/>
          <w:color w:val="auto"/>
        </w:rPr>
      </w:pPr>
    </w:p>
    <w:p w14:paraId="6E9FCD04" w14:textId="09C58331" w:rsidR="00503CCA" w:rsidRDefault="00503CCA" w:rsidP="003C3D9A">
      <w:pPr>
        <w:spacing w:after="0" w:line="240" w:lineRule="auto"/>
        <w:rPr>
          <w:rFonts w:eastAsia="Times New Roman"/>
          <w:color w:val="auto"/>
        </w:rPr>
      </w:pPr>
    </w:p>
    <w:p w14:paraId="79469FF3" w14:textId="77777777" w:rsidR="00503CCA" w:rsidRDefault="00503CCA" w:rsidP="003C3D9A">
      <w:pPr>
        <w:spacing w:after="0" w:line="240" w:lineRule="auto"/>
        <w:rPr>
          <w:rFonts w:eastAsia="Times New Roman"/>
          <w:color w:val="auto"/>
        </w:rPr>
      </w:pPr>
    </w:p>
    <w:p w14:paraId="084D52E3" w14:textId="77777777" w:rsidR="009476BD" w:rsidRDefault="009476BD" w:rsidP="003C3D9A">
      <w:pPr>
        <w:spacing w:after="0" w:line="240" w:lineRule="auto"/>
        <w:rPr>
          <w:rFonts w:eastAsia="Times New Roman"/>
          <w:color w:val="auto"/>
        </w:rPr>
      </w:pPr>
    </w:p>
    <w:p w14:paraId="35786ADC" w14:textId="77777777" w:rsidR="009476BD" w:rsidRDefault="009476BD" w:rsidP="003C3D9A">
      <w:pPr>
        <w:spacing w:after="0" w:line="240" w:lineRule="auto"/>
        <w:rPr>
          <w:rFonts w:eastAsia="Times New Roman"/>
          <w:color w:val="auto"/>
        </w:rPr>
      </w:pPr>
    </w:p>
    <w:p w14:paraId="637807F0" w14:textId="77777777" w:rsidR="009476BD" w:rsidRDefault="009476BD" w:rsidP="003C3D9A">
      <w:pPr>
        <w:spacing w:after="0" w:line="240" w:lineRule="auto"/>
        <w:rPr>
          <w:rFonts w:eastAsia="Times New Roman"/>
          <w:color w:val="auto"/>
        </w:rPr>
      </w:pPr>
    </w:p>
    <w:p w14:paraId="03F65B4F" w14:textId="552765C5" w:rsidR="003C3D9A" w:rsidRPr="003C3D9A" w:rsidRDefault="003C3D9A" w:rsidP="009476BD">
      <w:pPr>
        <w:spacing w:after="0" w:line="240" w:lineRule="auto"/>
        <w:jc w:val="center"/>
        <w:rPr>
          <w:rFonts w:eastAsia="Times New Roman"/>
          <w:color w:val="auto"/>
        </w:rPr>
      </w:pPr>
      <w:r w:rsidRPr="003C3D9A">
        <w:rPr>
          <w:rFonts w:eastAsia="Times New Roman"/>
          <w:color w:val="auto"/>
        </w:rPr>
        <w:t>Int. No. 180</w:t>
      </w:r>
    </w:p>
    <w:p w14:paraId="1D19961B" w14:textId="77777777" w:rsidR="003C3D9A" w:rsidRPr="003C3D9A" w:rsidRDefault="003C3D9A" w:rsidP="003C3D9A">
      <w:pPr>
        <w:spacing w:after="0" w:line="240" w:lineRule="auto"/>
        <w:jc w:val="center"/>
        <w:rPr>
          <w:rFonts w:eastAsia="Times New Roman"/>
          <w:color w:val="auto"/>
        </w:rPr>
      </w:pPr>
    </w:p>
    <w:p w14:paraId="79A04A52" w14:textId="77777777" w:rsidR="003C3D9A" w:rsidRPr="003C3D9A" w:rsidRDefault="003C3D9A" w:rsidP="003C3D9A">
      <w:pPr>
        <w:autoSpaceDE w:val="0"/>
        <w:autoSpaceDN w:val="0"/>
        <w:adjustRightInd w:val="0"/>
        <w:spacing w:after="0" w:line="240" w:lineRule="auto"/>
        <w:jc w:val="both"/>
        <w:rPr>
          <w:rFonts w:eastAsia="Calibri"/>
          <w:color w:val="auto"/>
        </w:rPr>
      </w:pPr>
      <w:r w:rsidRPr="003C3D9A">
        <w:rPr>
          <w:rFonts w:eastAsia="Calibri"/>
          <w:color w:val="auto"/>
        </w:rPr>
        <w:t>By Council Members Feliz, Farías, Narcisse, Hanks, Bottcher, Abreu, Salamanca, Schulman, Ung, Gennaro, Dinowitz and De La Rosa</w:t>
      </w:r>
    </w:p>
    <w:p w14:paraId="155014B1" w14:textId="77777777" w:rsidR="003C3D9A" w:rsidRPr="003C3D9A" w:rsidRDefault="003C3D9A" w:rsidP="003C3D9A">
      <w:pPr>
        <w:spacing w:after="0" w:line="240" w:lineRule="auto"/>
        <w:jc w:val="both"/>
        <w:rPr>
          <w:rFonts w:eastAsia="Times New Roman"/>
          <w:color w:val="auto"/>
        </w:rPr>
      </w:pPr>
    </w:p>
    <w:p w14:paraId="3C36892B" w14:textId="77777777" w:rsidR="003C3D9A" w:rsidRPr="003C3D9A" w:rsidRDefault="003C3D9A" w:rsidP="003C3D9A">
      <w:pPr>
        <w:spacing w:after="0" w:line="240" w:lineRule="auto"/>
        <w:jc w:val="both"/>
        <w:rPr>
          <w:rFonts w:eastAsia="Times New Roman"/>
          <w:vanish/>
          <w:color w:val="auto"/>
        </w:rPr>
      </w:pPr>
      <w:r w:rsidRPr="003C3D9A">
        <w:rPr>
          <w:rFonts w:eastAsia="Times New Roman"/>
          <w:vanish/>
          <w:color w:val="auto"/>
        </w:rPr>
        <w:t>..Title</w:t>
      </w:r>
    </w:p>
    <w:p w14:paraId="1338F94F" w14:textId="77777777" w:rsidR="003C3D9A" w:rsidRPr="003C3D9A" w:rsidRDefault="003C3D9A" w:rsidP="003C3D9A">
      <w:pPr>
        <w:spacing w:after="0" w:line="240" w:lineRule="auto"/>
        <w:jc w:val="both"/>
        <w:rPr>
          <w:rFonts w:eastAsia="Times New Roman"/>
          <w:color w:val="auto"/>
        </w:rPr>
      </w:pPr>
      <w:r w:rsidRPr="003C3D9A">
        <w:rPr>
          <w:rFonts w:eastAsia="Times New Roman"/>
          <w:color w:val="auto"/>
        </w:rPr>
        <w:t>A Local Law to amend the administrative code of the city of New York, in relation to establishing a program to provide financial assistance to small retail businesses for the purchase of security system technology</w:t>
      </w:r>
    </w:p>
    <w:p w14:paraId="0BC11881" w14:textId="77777777" w:rsidR="003C3D9A" w:rsidRPr="003C3D9A" w:rsidRDefault="003C3D9A" w:rsidP="003C3D9A">
      <w:pPr>
        <w:spacing w:after="0" w:line="240" w:lineRule="auto"/>
        <w:jc w:val="both"/>
        <w:rPr>
          <w:rFonts w:eastAsia="Times New Roman"/>
          <w:vanish/>
          <w:color w:val="auto"/>
        </w:rPr>
      </w:pPr>
      <w:r w:rsidRPr="003C3D9A">
        <w:rPr>
          <w:rFonts w:eastAsia="Times New Roman"/>
          <w:vanish/>
          <w:color w:val="auto"/>
        </w:rPr>
        <w:t>..Body</w:t>
      </w:r>
    </w:p>
    <w:p w14:paraId="09D5C750" w14:textId="77777777" w:rsidR="003C3D9A" w:rsidRPr="003C3D9A" w:rsidRDefault="003C3D9A" w:rsidP="003C3D9A">
      <w:pPr>
        <w:spacing w:after="0" w:line="240" w:lineRule="auto"/>
        <w:jc w:val="both"/>
        <w:rPr>
          <w:rFonts w:eastAsia="Times New Roman"/>
          <w:color w:val="auto"/>
          <w:u w:val="single"/>
        </w:rPr>
      </w:pPr>
    </w:p>
    <w:p w14:paraId="694BEF3F" w14:textId="77777777" w:rsidR="003C3D9A" w:rsidRPr="003C3D9A" w:rsidRDefault="003C3D9A" w:rsidP="003C3D9A">
      <w:pPr>
        <w:spacing w:after="0" w:line="240" w:lineRule="auto"/>
        <w:jc w:val="both"/>
        <w:rPr>
          <w:rFonts w:eastAsia="Times New Roman"/>
          <w:color w:val="auto"/>
        </w:rPr>
      </w:pPr>
      <w:r w:rsidRPr="003C3D9A">
        <w:rPr>
          <w:rFonts w:eastAsia="Times New Roman"/>
          <w:color w:val="auto"/>
          <w:u w:val="single"/>
        </w:rPr>
        <w:t>Be it enacted by the Council as follows:</w:t>
      </w:r>
    </w:p>
    <w:p w14:paraId="21264404" w14:textId="77777777" w:rsidR="003C3D9A" w:rsidRPr="003C3D9A" w:rsidRDefault="003C3D9A" w:rsidP="003C3D9A">
      <w:pPr>
        <w:spacing w:after="0" w:line="240" w:lineRule="auto"/>
        <w:ind w:firstLine="720"/>
        <w:jc w:val="both"/>
        <w:rPr>
          <w:rFonts w:eastAsia="Times New Roman"/>
          <w:color w:val="auto"/>
        </w:rPr>
      </w:pPr>
    </w:p>
    <w:p w14:paraId="540C1828" w14:textId="77777777" w:rsidR="003C3D9A" w:rsidRPr="003C3D9A" w:rsidRDefault="003C3D9A" w:rsidP="003C3D9A">
      <w:pPr>
        <w:spacing w:after="0" w:line="480" w:lineRule="auto"/>
        <w:ind w:firstLine="720"/>
        <w:jc w:val="both"/>
        <w:rPr>
          <w:rFonts w:eastAsia="Times New Roman"/>
          <w:color w:val="auto"/>
        </w:rPr>
        <w:sectPr w:rsidR="003C3D9A" w:rsidRPr="003C3D9A" w:rsidSect="003C3D9A">
          <w:footerReference w:type="default" r:id="rId9"/>
          <w:footerReference w:type="first" r:id="rId10"/>
          <w:pgSz w:w="12240" w:h="15840"/>
          <w:pgMar w:top="1440" w:right="1440" w:bottom="1440" w:left="1440" w:header="720" w:footer="720" w:gutter="0"/>
          <w:cols w:space="720"/>
          <w:docGrid w:linePitch="360"/>
        </w:sectPr>
      </w:pPr>
    </w:p>
    <w:p w14:paraId="6F07940A" w14:textId="77777777" w:rsidR="003C3D9A" w:rsidRPr="003C3D9A" w:rsidRDefault="003C3D9A" w:rsidP="003C3D9A">
      <w:pPr>
        <w:spacing w:after="0" w:line="480" w:lineRule="auto"/>
        <w:ind w:firstLine="720"/>
        <w:jc w:val="both"/>
        <w:rPr>
          <w:rFonts w:eastAsia="Times New Roman"/>
          <w:color w:val="auto"/>
          <w:u w:val="single"/>
        </w:rPr>
      </w:pPr>
      <w:r w:rsidRPr="003C3D9A">
        <w:rPr>
          <w:rFonts w:eastAsia="Times New Roman"/>
          <w:color w:val="auto"/>
        </w:rPr>
        <w:t>Section 1. Chapter 10 of title 22 of the administrative code of the city of New York is amended by adding a new section 22-1008 to read as follows:</w:t>
      </w:r>
    </w:p>
    <w:p w14:paraId="10C737DA" w14:textId="77777777" w:rsidR="003C3D9A" w:rsidRPr="003C3D9A" w:rsidRDefault="003C3D9A" w:rsidP="003C3D9A">
      <w:pPr>
        <w:spacing w:after="0" w:line="480" w:lineRule="auto"/>
        <w:ind w:firstLine="720"/>
        <w:jc w:val="both"/>
        <w:rPr>
          <w:rFonts w:eastAsia="Times New Roman"/>
          <w:color w:val="auto"/>
          <w:u w:val="single"/>
        </w:rPr>
      </w:pPr>
      <w:r w:rsidRPr="003C3D9A">
        <w:rPr>
          <w:rFonts w:eastAsia="Times New Roman"/>
          <w:color w:val="auto"/>
          <w:u w:val="single"/>
        </w:rPr>
        <w:t>§ 22-1008 Small retail business security system program. a. Definitions. For purposes of this section, the following terms have the following meanings:</w:t>
      </w:r>
    </w:p>
    <w:p w14:paraId="45B64F2E" w14:textId="77777777" w:rsidR="003C3D9A" w:rsidRPr="003C3D9A" w:rsidRDefault="003C3D9A" w:rsidP="003C3D9A">
      <w:pPr>
        <w:spacing w:after="0" w:line="480" w:lineRule="auto"/>
        <w:ind w:firstLine="720"/>
        <w:jc w:val="both"/>
        <w:rPr>
          <w:rFonts w:eastAsia="Times New Roman"/>
          <w:color w:val="auto"/>
          <w:u w:val="single"/>
        </w:rPr>
      </w:pPr>
      <w:r w:rsidRPr="003C3D9A">
        <w:rPr>
          <w:rFonts w:eastAsia="Times New Roman"/>
          <w:color w:val="auto"/>
          <w:u w:val="single"/>
        </w:rPr>
        <w:t>Security system technology. The term “security system technology” means technology used to prevent, detect, or respond to retail theft, robbery, and criminal property damage, which may include digital video surveillance cameras, plexiglass windows, and panic buttons.</w:t>
      </w:r>
    </w:p>
    <w:p w14:paraId="7E087F42" w14:textId="77777777" w:rsidR="003C3D9A" w:rsidRPr="003C3D9A" w:rsidRDefault="003C3D9A" w:rsidP="003C3D9A">
      <w:pPr>
        <w:spacing w:after="0" w:line="480" w:lineRule="auto"/>
        <w:ind w:firstLine="720"/>
        <w:jc w:val="both"/>
        <w:rPr>
          <w:rFonts w:eastAsia="Times New Roman"/>
          <w:color w:val="auto"/>
          <w:u w:val="single"/>
        </w:rPr>
      </w:pPr>
      <w:r w:rsidRPr="003C3D9A">
        <w:rPr>
          <w:rFonts w:eastAsia="Times New Roman"/>
          <w:color w:val="auto"/>
          <w:u w:val="single"/>
        </w:rPr>
        <w:t>Small retail business. The term “small retail business” means a business:</w:t>
      </w:r>
    </w:p>
    <w:p w14:paraId="2707083B" w14:textId="77777777" w:rsidR="003C3D9A" w:rsidRPr="003C3D9A" w:rsidRDefault="003C3D9A" w:rsidP="003C3D9A">
      <w:pPr>
        <w:spacing w:after="0" w:line="480" w:lineRule="auto"/>
        <w:ind w:firstLine="720"/>
        <w:jc w:val="both"/>
        <w:rPr>
          <w:rFonts w:eastAsia="Times New Roman"/>
          <w:color w:val="auto"/>
          <w:u w:val="single"/>
        </w:rPr>
      </w:pPr>
      <w:r w:rsidRPr="003C3D9A">
        <w:rPr>
          <w:rFonts w:eastAsia="Times New Roman"/>
          <w:color w:val="auto"/>
          <w:u w:val="single"/>
        </w:rPr>
        <w:t xml:space="preserve">1. That occupies a ground floor commercial premises, as such term is defined in section 11-3001; </w:t>
      </w:r>
    </w:p>
    <w:p w14:paraId="53D37FA5" w14:textId="77777777" w:rsidR="003C3D9A" w:rsidRPr="003C3D9A" w:rsidRDefault="003C3D9A" w:rsidP="003C3D9A">
      <w:pPr>
        <w:spacing w:after="0" w:line="480" w:lineRule="auto"/>
        <w:ind w:firstLine="720"/>
        <w:jc w:val="both"/>
        <w:rPr>
          <w:rFonts w:eastAsia="Times New Roman"/>
          <w:color w:val="auto"/>
          <w:u w:val="single"/>
        </w:rPr>
      </w:pPr>
      <w:r w:rsidRPr="003C3D9A">
        <w:rPr>
          <w:rFonts w:eastAsia="Times New Roman"/>
          <w:color w:val="auto"/>
          <w:u w:val="single"/>
        </w:rPr>
        <w:t xml:space="preserve">2. That is small, in accordance with the size standards set forth in section 121.201 of title 13 of the code of federal regulations; </w:t>
      </w:r>
    </w:p>
    <w:p w14:paraId="73D4D054" w14:textId="77777777" w:rsidR="003C3D9A" w:rsidRPr="003C3D9A" w:rsidRDefault="003C3D9A" w:rsidP="003C3D9A">
      <w:pPr>
        <w:spacing w:after="0" w:line="480" w:lineRule="auto"/>
        <w:ind w:firstLine="720"/>
        <w:jc w:val="both"/>
        <w:rPr>
          <w:rFonts w:eastAsia="Times New Roman"/>
          <w:color w:val="auto"/>
          <w:u w:val="single"/>
        </w:rPr>
      </w:pPr>
      <w:r w:rsidRPr="003C3D9A">
        <w:rPr>
          <w:rFonts w:eastAsia="Times New Roman"/>
          <w:color w:val="auto"/>
          <w:u w:val="single"/>
        </w:rPr>
        <w:t>3. That is not a franchise owned by a franchisee, as such terms are defined in section 681 of the general business law; and</w:t>
      </w:r>
    </w:p>
    <w:p w14:paraId="46491C3A" w14:textId="77777777" w:rsidR="003C3D9A" w:rsidRPr="003C3D9A" w:rsidRDefault="003C3D9A" w:rsidP="003C3D9A">
      <w:pPr>
        <w:spacing w:after="0" w:line="480" w:lineRule="auto"/>
        <w:ind w:firstLine="720"/>
        <w:jc w:val="both"/>
        <w:rPr>
          <w:rFonts w:eastAsia="Times New Roman"/>
          <w:color w:val="auto"/>
          <w:u w:val="single"/>
        </w:rPr>
      </w:pPr>
      <w:r w:rsidRPr="003C3D9A">
        <w:rPr>
          <w:rFonts w:eastAsia="Times New Roman"/>
          <w:color w:val="auto"/>
          <w:u w:val="single"/>
        </w:rPr>
        <w:t xml:space="preserve">4. Wherein consumer commodities are sold, displayed or offered for sale, or where services are provided to consumers at retail. </w:t>
      </w:r>
    </w:p>
    <w:p w14:paraId="7DCCC4B1" w14:textId="77777777" w:rsidR="003C3D9A" w:rsidRPr="003C3D9A" w:rsidRDefault="003C3D9A" w:rsidP="003C3D9A">
      <w:pPr>
        <w:spacing w:after="0" w:line="480" w:lineRule="auto"/>
        <w:ind w:firstLine="720"/>
        <w:jc w:val="both"/>
        <w:rPr>
          <w:rFonts w:eastAsia="Times New Roman"/>
          <w:color w:val="auto"/>
          <w:u w:val="single"/>
        </w:rPr>
      </w:pPr>
      <w:r w:rsidRPr="003C3D9A">
        <w:rPr>
          <w:rFonts w:eastAsia="Times New Roman"/>
          <w:color w:val="auto"/>
          <w:u w:val="single"/>
        </w:rPr>
        <w:t xml:space="preserve">b. Security system technology program. Subject to appropriation, no later than 6 months after the effective date of the local law that added this section, the department, or another agency designated by the mayor, shall establish a program to provide financial assistance to owners of small retail businesses that would reduce the cost of purchasing and installing security system technology. </w:t>
      </w:r>
    </w:p>
    <w:p w14:paraId="33A2C286" w14:textId="5BF5F5DD" w:rsidR="003C3D9A" w:rsidRPr="003C3D9A" w:rsidRDefault="003C3D9A" w:rsidP="003C3D9A">
      <w:pPr>
        <w:spacing w:after="0" w:line="480" w:lineRule="auto"/>
        <w:ind w:firstLine="720"/>
        <w:jc w:val="both"/>
        <w:rPr>
          <w:rFonts w:eastAsia="Times New Roman"/>
          <w:color w:val="auto"/>
        </w:rPr>
        <w:sectPr w:rsidR="003C3D9A" w:rsidRPr="003C3D9A" w:rsidSect="003C3D9A">
          <w:type w:val="continuous"/>
          <w:pgSz w:w="12240" w:h="15840"/>
          <w:pgMar w:top="1440" w:right="1440" w:bottom="1440" w:left="1440" w:header="720" w:footer="720" w:gutter="0"/>
          <w:lnNumType w:countBy="1"/>
          <w:cols w:space="720"/>
          <w:titlePg/>
          <w:docGrid w:linePitch="360"/>
        </w:sectPr>
      </w:pPr>
      <w:r w:rsidRPr="003C3D9A">
        <w:rPr>
          <w:rFonts w:eastAsia="Times New Roman"/>
          <w:color w:val="auto"/>
        </w:rPr>
        <w:t>§ 2. This local law takes effect immediately</w:t>
      </w:r>
      <w:r>
        <w:rPr>
          <w:rFonts w:eastAsia="Times New Roman"/>
          <w:color w:val="auto"/>
        </w:rPr>
        <w:t>.</w:t>
      </w:r>
    </w:p>
    <w:p w14:paraId="060D4ADA" w14:textId="77777777" w:rsidR="003C3D9A" w:rsidRPr="003C3D9A" w:rsidRDefault="003C3D9A" w:rsidP="009476BD">
      <w:pPr>
        <w:suppressLineNumbers/>
        <w:spacing w:after="0" w:line="240" w:lineRule="auto"/>
        <w:jc w:val="both"/>
        <w:rPr>
          <w:rFonts w:eastAsia="Times New Roman"/>
          <w:color w:val="auto"/>
          <w:sz w:val="18"/>
          <w:szCs w:val="18"/>
        </w:rPr>
      </w:pPr>
    </w:p>
    <w:p w14:paraId="46FD3B34" w14:textId="77777777" w:rsidR="003C3D9A" w:rsidRPr="003C3D9A" w:rsidRDefault="003C3D9A" w:rsidP="009476BD">
      <w:pPr>
        <w:suppressLineNumbers/>
        <w:spacing w:after="0" w:line="240" w:lineRule="auto"/>
        <w:jc w:val="both"/>
        <w:rPr>
          <w:rFonts w:eastAsia="Times New Roman"/>
          <w:color w:val="auto"/>
          <w:sz w:val="18"/>
          <w:szCs w:val="18"/>
          <w:highlight w:val="yellow"/>
        </w:rPr>
      </w:pPr>
      <w:r w:rsidRPr="003C3D9A">
        <w:rPr>
          <w:rFonts w:eastAsia="Times New Roman"/>
          <w:color w:val="auto"/>
          <w:sz w:val="18"/>
          <w:szCs w:val="18"/>
        </w:rPr>
        <w:t>YN</w:t>
      </w:r>
    </w:p>
    <w:p w14:paraId="7BD50198" w14:textId="77777777" w:rsidR="003C3D9A" w:rsidRPr="003C3D9A" w:rsidRDefault="003C3D9A" w:rsidP="009476BD">
      <w:pPr>
        <w:suppressLineNumbers/>
        <w:spacing w:after="0" w:line="240" w:lineRule="auto"/>
        <w:jc w:val="both"/>
        <w:rPr>
          <w:rFonts w:eastAsia="Times New Roman"/>
          <w:color w:val="auto"/>
          <w:sz w:val="18"/>
          <w:szCs w:val="18"/>
        </w:rPr>
      </w:pPr>
      <w:r w:rsidRPr="003C3D9A">
        <w:rPr>
          <w:rFonts w:eastAsia="Times New Roman"/>
          <w:color w:val="auto"/>
          <w:sz w:val="18"/>
          <w:szCs w:val="18"/>
        </w:rPr>
        <w:t>LS # 15766</w:t>
      </w:r>
    </w:p>
    <w:p w14:paraId="226B20C9" w14:textId="632654D3" w:rsidR="009476BD" w:rsidRPr="009476BD" w:rsidRDefault="003C3D9A" w:rsidP="009476BD">
      <w:pPr>
        <w:suppressLineNumbers/>
        <w:spacing w:after="0" w:line="240" w:lineRule="auto"/>
        <w:rPr>
          <w:rFonts w:eastAsia="Times New Roman"/>
          <w:color w:val="auto"/>
          <w:sz w:val="18"/>
          <w:szCs w:val="18"/>
        </w:rPr>
        <w:sectPr w:rsidR="009476BD" w:rsidRPr="009476BD" w:rsidSect="009476BD">
          <w:footerReference w:type="default" r:id="rId11"/>
          <w:footerReference w:type="first" r:id="rId12"/>
          <w:type w:val="continuous"/>
          <w:pgSz w:w="12240" w:h="15840"/>
          <w:pgMar w:top="1440" w:right="1440" w:bottom="1440" w:left="1440" w:header="720" w:footer="720" w:gutter="0"/>
          <w:lnNumType w:countBy="1"/>
          <w:cols w:space="720"/>
          <w:titlePg/>
          <w:docGrid w:linePitch="360"/>
        </w:sectPr>
      </w:pPr>
      <w:r w:rsidRPr="003C3D9A">
        <w:rPr>
          <w:rFonts w:eastAsia="Times New Roman"/>
          <w:color w:val="auto"/>
          <w:sz w:val="18"/>
          <w:szCs w:val="18"/>
        </w:rPr>
        <w:t xml:space="preserve">02/22/2024 3:30 </w:t>
      </w:r>
    </w:p>
    <w:p w14:paraId="46F80897" w14:textId="77777777" w:rsidR="003C3D9A" w:rsidRPr="003C3D9A" w:rsidRDefault="003C3D9A" w:rsidP="009476BD">
      <w:pPr>
        <w:spacing w:after="0" w:line="240" w:lineRule="auto"/>
        <w:jc w:val="center"/>
        <w:rPr>
          <w:rFonts w:eastAsia="Times New Roman"/>
          <w:color w:val="auto"/>
        </w:rPr>
      </w:pPr>
      <w:r w:rsidRPr="003C3D9A">
        <w:rPr>
          <w:rFonts w:eastAsia="Times New Roman"/>
          <w:color w:val="auto"/>
        </w:rPr>
        <w:t>Int. No. 1350</w:t>
      </w:r>
    </w:p>
    <w:p w14:paraId="346E5489" w14:textId="77777777" w:rsidR="003C3D9A" w:rsidRPr="003C3D9A" w:rsidRDefault="003C3D9A" w:rsidP="003C3D9A">
      <w:pPr>
        <w:spacing w:after="0" w:line="240" w:lineRule="auto"/>
        <w:jc w:val="center"/>
        <w:rPr>
          <w:rFonts w:eastAsia="Times New Roman"/>
          <w:color w:val="auto"/>
        </w:rPr>
      </w:pPr>
    </w:p>
    <w:p w14:paraId="07ADD0C8" w14:textId="77777777" w:rsidR="003C3D9A" w:rsidRPr="003C3D9A" w:rsidRDefault="003C3D9A" w:rsidP="003C3D9A">
      <w:pPr>
        <w:autoSpaceDE w:val="0"/>
        <w:autoSpaceDN w:val="0"/>
        <w:adjustRightInd w:val="0"/>
        <w:spacing w:after="0" w:line="240" w:lineRule="auto"/>
        <w:jc w:val="both"/>
        <w:rPr>
          <w:color w:val="auto"/>
        </w:rPr>
      </w:pPr>
      <w:r w:rsidRPr="003C3D9A">
        <w:rPr>
          <w:color w:val="auto"/>
        </w:rPr>
        <w:t>By Council Members Farías, Louis, Brannan, Hanif and Brewer</w:t>
      </w:r>
    </w:p>
    <w:p w14:paraId="322F474C" w14:textId="77777777" w:rsidR="003C3D9A" w:rsidRPr="003C3D9A" w:rsidRDefault="003C3D9A" w:rsidP="003C3D9A">
      <w:pPr>
        <w:spacing w:after="0" w:line="240" w:lineRule="auto"/>
        <w:jc w:val="both"/>
        <w:rPr>
          <w:rFonts w:eastAsia="Times New Roman"/>
          <w:color w:val="auto"/>
        </w:rPr>
      </w:pPr>
    </w:p>
    <w:p w14:paraId="5ACF02C1" w14:textId="77777777" w:rsidR="003C3D9A" w:rsidRPr="003C3D9A" w:rsidRDefault="003C3D9A" w:rsidP="003C3D9A">
      <w:pPr>
        <w:spacing w:after="0" w:line="240" w:lineRule="auto"/>
        <w:jc w:val="both"/>
        <w:rPr>
          <w:rFonts w:eastAsia="Times New Roman"/>
          <w:vanish/>
          <w:color w:val="auto"/>
        </w:rPr>
      </w:pPr>
      <w:r w:rsidRPr="003C3D9A">
        <w:rPr>
          <w:rFonts w:eastAsia="Times New Roman"/>
          <w:vanish/>
          <w:color w:val="auto"/>
        </w:rPr>
        <w:t>..Title</w:t>
      </w:r>
    </w:p>
    <w:p w14:paraId="52A97F47" w14:textId="77777777" w:rsidR="003C3D9A" w:rsidRPr="003C3D9A" w:rsidRDefault="003C3D9A" w:rsidP="003C3D9A">
      <w:pPr>
        <w:spacing w:after="0" w:line="240" w:lineRule="auto"/>
        <w:jc w:val="both"/>
        <w:rPr>
          <w:rFonts w:eastAsia="Times New Roman"/>
          <w:color w:val="auto"/>
        </w:rPr>
      </w:pPr>
      <w:r w:rsidRPr="003C3D9A">
        <w:rPr>
          <w:rFonts w:eastAsia="Times New Roman"/>
          <w:color w:val="auto"/>
        </w:rPr>
        <w:t>A Local Law to amend the administrative code of the city of New York, in relation to small business loan readiness resources</w:t>
      </w:r>
    </w:p>
    <w:p w14:paraId="4B84A67A" w14:textId="77777777" w:rsidR="003C3D9A" w:rsidRPr="003C3D9A" w:rsidRDefault="003C3D9A" w:rsidP="003C3D9A">
      <w:pPr>
        <w:spacing w:after="0" w:line="240" w:lineRule="auto"/>
        <w:jc w:val="both"/>
        <w:rPr>
          <w:rFonts w:eastAsia="Times New Roman"/>
          <w:vanish/>
          <w:color w:val="auto"/>
          <w:u w:val="single"/>
        </w:rPr>
      </w:pPr>
      <w:r w:rsidRPr="003C3D9A">
        <w:rPr>
          <w:rFonts w:eastAsia="Times New Roman"/>
          <w:vanish/>
          <w:color w:val="auto"/>
        </w:rPr>
        <w:t>..Body</w:t>
      </w:r>
    </w:p>
    <w:p w14:paraId="3AF36E70" w14:textId="77777777" w:rsidR="003C3D9A" w:rsidRPr="003C3D9A" w:rsidRDefault="003C3D9A" w:rsidP="003C3D9A">
      <w:pPr>
        <w:spacing w:after="0" w:line="240" w:lineRule="auto"/>
        <w:jc w:val="both"/>
        <w:rPr>
          <w:rFonts w:eastAsia="Times New Roman"/>
          <w:color w:val="auto"/>
          <w:u w:val="single"/>
        </w:rPr>
      </w:pPr>
    </w:p>
    <w:p w14:paraId="27E0898B" w14:textId="77777777" w:rsidR="003C3D9A" w:rsidRPr="003C3D9A" w:rsidRDefault="003C3D9A" w:rsidP="003C3D9A">
      <w:pPr>
        <w:spacing w:after="0" w:line="240" w:lineRule="auto"/>
        <w:jc w:val="both"/>
        <w:rPr>
          <w:rFonts w:eastAsia="Times New Roman"/>
          <w:color w:val="auto"/>
        </w:rPr>
      </w:pPr>
      <w:r w:rsidRPr="003C3D9A">
        <w:rPr>
          <w:rFonts w:eastAsia="Times New Roman"/>
          <w:color w:val="auto"/>
          <w:u w:val="single"/>
        </w:rPr>
        <w:t>Be it enacted by the Council as follows:</w:t>
      </w:r>
    </w:p>
    <w:p w14:paraId="6C095E94" w14:textId="77777777" w:rsidR="003C3D9A" w:rsidRPr="003C3D9A" w:rsidRDefault="003C3D9A" w:rsidP="003C3D9A">
      <w:pPr>
        <w:spacing w:after="0" w:line="240" w:lineRule="auto"/>
        <w:ind w:firstLine="720"/>
        <w:jc w:val="both"/>
        <w:rPr>
          <w:rFonts w:eastAsia="Times New Roman"/>
          <w:color w:val="auto"/>
        </w:rPr>
      </w:pPr>
    </w:p>
    <w:p w14:paraId="3E7E3FBD" w14:textId="77777777" w:rsidR="003C3D9A" w:rsidRPr="003C3D9A" w:rsidRDefault="003C3D9A" w:rsidP="003C3D9A">
      <w:pPr>
        <w:spacing w:after="0" w:line="480" w:lineRule="auto"/>
        <w:ind w:firstLine="720"/>
        <w:jc w:val="both"/>
        <w:rPr>
          <w:rFonts w:eastAsia="Times New Roman"/>
          <w:color w:val="auto"/>
        </w:rPr>
        <w:sectPr w:rsidR="003C3D9A" w:rsidRPr="003C3D9A" w:rsidSect="003C3D9A">
          <w:footerReference w:type="default" r:id="rId13"/>
          <w:footerReference w:type="first" r:id="rId14"/>
          <w:pgSz w:w="12240" w:h="15840"/>
          <w:pgMar w:top="1440" w:right="1440" w:bottom="1440" w:left="1440" w:header="720" w:footer="720" w:gutter="0"/>
          <w:cols w:space="720"/>
          <w:docGrid w:linePitch="360"/>
        </w:sectPr>
      </w:pPr>
    </w:p>
    <w:p w14:paraId="0C6005C3" w14:textId="77777777" w:rsidR="003C3D9A" w:rsidRPr="003C3D9A" w:rsidRDefault="003C3D9A" w:rsidP="003C3D9A">
      <w:pPr>
        <w:spacing w:after="0" w:line="480" w:lineRule="auto"/>
        <w:ind w:firstLine="720"/>
        <w:jc w:val="both"/>
        <w:rPr>
          <w:rFonts w:eastAsia="Times New Roman"/>
          <w:color w:val="auto"/>
        </w:rPr>
      </w:pPr>
      <w:r w:rsidRPr="003C3D9A">
        <w:rPr>
          <w:rFonts w:eastAsia="Times New Roman"/>
          <w:color w:val="auto"/>
        </w:rPr>
        <w:t>Section 1. Paragraph 4 of subdivision a of section 22-1002 of the administrative code of the city of New York, as amended by local law 133 of 2023, is amended to read as follows:</w:t>
      </w:r>
    </w:p>
    <w:p w14:paraId="5AC9C3FC" w14:textId="77777777" w:rsidR="003C3D9A" w:rsidRPr="003C3D9A" w:rsidRDefault="003C3D9A" w:rsidP="003C3D9A">
      <w:pPr>
        <w:spacing w:after="0" w:line="480" w:lineRule="auto"/>
        <w:ind w:firstLine="720"/>
        <w:jc w:val="both"/>
        <w:rPr>
          <w:rFonts w:eastAsia="Times New Roman"/>
          <w:color w:val="auto"/>
        </w:rPr>
      </w:pPr>
      <w:r w:rsidRPr="003C3D9A">
        <w:rPr>
          <w:rFonts w:eastAsia="Times New Roman"/>
          <w:color w:val="auto"/>
        </w:rPr>
        <w:t>4. Information on loans and grants for small businesses which shall include, but need not be limited to:</w:t>
      </w:r>
    </w:p>
    <w:p w14:paraId="09707297" w14:textId="77777777" w:rsidR="003C3D9A" w:rsidRPr="003C3D9A" w:rsidRDefault="003C3D9A" w:rsidP="003C3D9A">
      <w:pPr>
        <w:spacing w:after="0" w:line="480" w:lineRule="auto"/>
        <w:ind w:firstLine="720"/>
        <w:jc w:val="both"/>
        <w:rPr>
          <w:rFonts w:eastAsia="Times New Roman"/>
          <w:color w:val="auto"/>
        </w:rPr>
      </w:pPr>
      <w:r w:rsidRPr="003C3D9A">
        <w:rPr>
          <w:rFonts w:eastAsia="Times New Roman"/>
          <w:color w:val="auto"/>
        </w:rPr>
        <w:t>(a) Guidance on selecting a lender, including information about local CDFIs, which shall include, but need not be limited to, a directory of local CDFIs, and for each such local CDFI, a description of services provided by such local CDFI, the neighborhood or area of the city in which such local CDFI operates or provides services, and the types of loans offered by such local CDFI;</w:t>
      </w:r>
    </w:p>
    <w:p w14:paraId="39E8CEBE" w14:textId="77777777" w:rsidR="003C3D9A" w:rsidRPr="003C3D9A" w:rsidRDefault="003C3D9A" w:rsidP="003C3D9A">
      <w:pPr>
        <w:spacing w:after="0" w:line="480" w:lineRule="auto"/>
        <w:ind w:firstLine="720"/>
        <w:jc w:val="both"/>
        <w:rPr>
          <w:rFonts w:eastAsia="Times New Roman"/>
          <w:color w:val="auto"/>
        </w:rPr>
      </w:pPr>
      <w:r w:rsidRPr="003C3D9A">
        <w:rPr>
          <w:rFonts w:eastAsia="Times New Roman"/>
          <w:color w:val="auto"/>
        </w:rPr>
        <w:t>(b) Information on specialized services that may be offered by banks for small businesses, such as a dedicated banking team, merchant services, business loans, or lines of credit;</w:t>
      </w:r>
    </w:p>
    <w:p w14:paraId="3350183B" w14:textId="77777777" w:rsidR="003C3D9A" w:rsidRPr="003C3D9A" w:rsidRDefault="003C3D9A" w:rsidP="003C3D9A">
      <w:pPr>
        <w:spacing w:after="0" w:line="480" w:lineRule="auto"/>
        <w:ind w:firstLine="720"/>
        <w:jc w:val="both"/>
        <w:rPr>
          <w:rFonts w:eastAsia="Times New Roman"/>
          <w:color w:val="auto"/>
        </w:rPr>
      </w:pPr>
      <w:r w:rsidRPr="003C3D9A">
        <w:rPr>
          <w:rFonts w:eastAsia="Times New Roman"/>
          <w:color w:val="auto"/>
        </w:rPr>
        <w:t>(c) Information on typical fees, interest rates, monthly charges, or balance requirements;</w:t>
      </w:r>
    </w:p>
    <w:p w14:paraId="22BE54AB" w14:textId="77777777" w:rsidR="003C3D9A" w:rsidRPr="003C3D9A" w:rsidRDefault="003C3D9A" w:rsidP="003C3D9A">
      <w:pPr>
        <w:spacing w:after="0" w:line="480" w:lineRule="auto"/>
        <w:ind w:firstLine="720"/>
        <w:jc w:val="both"/>
        <w:rPr>
          <w:rFonts w:eastAsia="Times New Roman"/>
          <w:color w:val="auto"/>
        </w:rPr>
      </w:pPr>
      <w:r w:rsidRPr="003C3D9A">
        <w:rPr>
          <w:rFonts w:eastAsia="Times New Roman"/>
          <w:color w:val="auto"/>
        </w:rPr>
        <w:t>(d) Potential advantages and disadvantages of having accounts at multiple banks;</w:t>
      </w:r>
    </w:p>
    <w:p w14:paraId="7AC2F7AA" w14:textId="77777777" w:rsidR="003C3D9A" w:rsidRPr="003C3D9A" w:rsidRDefault="003C3D9A" w:rsidP="003C3D9A">
      <w:pPr>
        <w:spacing w:after="0" w:line="480" w:lineRule="auto"/>
        <w:ind w:firstLine="720"/>
        <w:jc w:val="both"/>
        <w:rPr>
          <w:rFonts w:eastAsia="Times New Roman"/>
          <w:color w:val="auto"/>
        </w:rPr>
      </w:pPr>
      <w:r w:rsidRPr="003C3D9A">
        <w:rPr>
          <w:rFonts w:eastAsia="Times New Roman"/>
          <w:color w:val="auto"/>
        </w:rPr>
        <w:t>(e) Information about federal deposit insurance corporation insurance coverage or other protections provided for small businesses deposits; [and]</w:t>
      </w:r>
    </w:p>
    <w:p w14:paraId="24A422E8" w14:textId="77777777" w:rsidR="003C3D9A" w:rsidRPr="003C3D9A" w:rsidRDefault="003C3D9A" w:rsidP="003C3D9A">
      <w:pPr>
        <w:spacing w:after="0" w:line="480" w:lineRule="auto"/>
        <w:ind w:firstLine="720"/>
        <w:jc w:val="both"/>
        <w:rPr>
          <w:rFonts w:eastAsia="Times New Roman"/>
          <w:color w:val="auto"/>
          <w:u w:val="single"/>
        </w:rPr>
      </w:pPr>
      <w:r w:rsidRPr="003C3D9A">
        <w:rPr>
          <w:rFonts w:eastAsia="Times New Roman"/>
          <w:color w:val="auto"/>
          <w:u w:val="single"/>
        </w:rPr>
        <w:t>(f) Loan readiness resources to help small businesses prepare for the lending process and understand the services offered by local CDFIs and other lenders, including business plan development, preparation of financial documents and understanding loan application requirements; and</w:t>
      </w:r>
    </w:p>
    <w:p w14:paraId="47DBD25B" w14:textId="77777777" w:rsidR="003C3D9A" w:rsidRPr="003C3D9A" w:rsidRDefault="003C3D9A" w:rsidP="003C3D9A">
      <w:pPr>
        <w:spacing w:after="0" w:line="480" w:lineRule="auto"/>
        <w:ind w:firstLine="720"/>
        <w:jc w:val="both"/>
        <w:rPr>
          <w:rFonts w:eastAsia="Times New Roman"/>
          <w:shd w:val="clear" w:color="auto" w:fill="FFFFFF"/>
        </w:rPr>
      </w:pPr>
      <w:r w:rsidRPr="003C3D9A">
        <w:rPr>
          <w:rFonts w:eastAsia="Times New Roman"/>
          <w:color w:val="auto"/>
        </w:rPr>
        <w:t xml:space="preserve">§ 2. </w:t>
      </w:r>
      <w:r w:rsidRPr="003C3D9A">
        <w:rPr>
          <w:rFonts w:eastAsia="Times New Roman"/>
          <w:shd w:val="clear" w:color="auto" w:fill="FFFFFF"/>
        </w:rPr>
        <w:t xml:space="preserve">This local law takes effect </w:t>
      </w:r>
      <w:r w:rsidRPr="003C3D9A">
        <w:rPr>
          <w:rFonts w:eastAsia="Times New Roman"/>
          <w:color w:val="000000" w:themeColor="text1"/>
        </w:rPr>
        <w:t>180 days after it becomes law.</w:t>
      </w:r>
    </w:p>
    <w:p w14:paraId="5721D01D" w14:textId="77777777" w:rsidR="003C3D9A" w:rsidRPr="003C3D9A" w:rsidRDefault="003C3D9A" w:rsidP="003C3D9A">
      <w:pPr>
        <w:spacing w:after="0" w:line="480" w:lineRule="auto"/>
        <w:rPr>
          <w:rFonts w:eastAsia="Times New Roman"/>
          <w:color w:val="auto"/>
        </w:rPr>
        <w:sectPr w:rsidR="003C3D9A" w:rsidRPr="003C3D9A" w:rsidSect="003C3D9A">
          <w:type w:val="continuous"/>
          <w:pgSz w:w="12240" w:h="15840"/>
          <w:pgMar w:top="1440" w:right="1440" w:bottom="1440" w:left="1440" w:header="720" w:footer="720" w:gutter="0"/>
          <w:lnNumType w:countBy="1"/>
          <w:cols w:space="720"/>
          <w:titlePg/>
          <w:docGrid w:linePitch="360"/>
        </w:sectPr>
      </w:pPr>
    </w:p>
    <w:p w14:paraId="4739C752" w14:textId="77777777" w:rsidR="003C3D9A" w:rsidRPr="003C3D9A" w:rsidRDefault="003C3D9A" w:rsidP="003C3D9A">
      <w:pPr>
        <w:spacing w:after="0" w:line="240" w:lineRule="auto"/>
        <w:jc w:val="both"/>
        <w:rPr>
          <w:rFonts w:eastAsia="Times New Roman"/>
          <w:color w:val="auto"/>
          <w:sz w:val="18"/>
          <w:szCs w:val="18"/>
        </w:rPr>
      </w:pPr>
      <w:r w:rsidRPr="003C3D9A">
        <w:rPr>
          <w:rFonts w:eastAsia="Times New Roman"/>
          <w:color w:val="auto"/>
          <w:sz w:val="18"/>
          <w:szCs w:val="18"/>
        </w:rPr>
        <w:t>ARP</w:t>
      </w:r>
    </w:p>
    <w:p w14:paraId="0EA06604" w14:textId="77777777" w:rsidR="003C3D9A" w:rsidRPr="003C3D9A" w:rsidRDefault="003C3D9A" w:rsidP="003C3D9A">
      <w:pPr>
        <w:spacing w:after="0" w:line="240" w:lineRule="auto"/>
        <w:jc w:val="both"/>
        <w:rPr>
          <w:rFonts w:eastAsia="Times New Roman"/>
          <w:color w:val="auto"/>
          <w:sz w:val="18"/>
          <w:szCs w:val="18"/>
        </w:rPr>
      </w:pPr>
      <w:r w:rsidRPr="003C3D9A">
        <w:rPr>
          <w:rFonts w:eastAsia="Times New Roman"/>
          <w:color w:val="auto"/>
          <w:sz w:val="18"/>
          <w:szCs w:val="18"/>
        </w:rPr>
        <w:t>LS # 17133</w:t>
      </w:r>
    </w:p>
    <w:p w14:paraId="3A765709" w14:textId="77777777" w:rsidR="003C3D9A" w:rsidRPr="003C3D9A" w:rsidRDefault="003C3D9A" w:rsidP="003C3D9A">
      <w:pPr>
        <w:spacing w:after="0" w:line="240" w:lineRule="auto"/>
        <w:jc w:val="both"/>
        <w:rPr>
          <w:rFonts w:eastAsia="Times New Roman"/>
          <w:color w:val="auto"/>
        </w:rPr>
      </w:pPr>
      <w:r w:rsidRPr="003C3D9A">
        <w:rPr>
          <w:rFonts w:eastAsia="Times New Roman"/>
          <w:color w:val="auto"/>
          <w:sz w:val="18"/>
          <w:szCs w:val="18"/>
        </w:rPr>
        <w:t>7/30/25</w:t>
      </w:r>
    </w:p>
    <w:p w14:paraId="0BBA0CEA" w14:textId="77777777" w:rsidR="003C3D9A" w:rsidRPr="00DE16B4" w:rsidRDefault="003C3D9A"/>
    <w:sectPr w:rsidR="003C3D9A" w:rsidRPr="00DE16B4">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39BE9" w14:textId="77777777" w:rsidR="00F93C34" w:rsidRDefault="00F93C34" w:rsidP="002C6B77">
      <w:pPr>
        <w:spacing w:after="0" w:line="240" w:lineRule="auto"/>
      </w:pPr>
      <w:r>
        <w:separator/>
      </w:r>
    </w:p>
  </w:endnote>
  <w:endnote w:type="continuationSeparator" w:id="0">
    <w:p w14:paraId="10298386" w14:textId="77777777" w:rsidR="00F93C34" w:rsidRDefault="00F93C34" w:rsidP="002C6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ヒラギノ角ゴ Pro W3">
    <w:altName w:val="MS Gothic"/>
    <w:charset w:val="80"/>
    <w:family w:val="swiss"/>
    <w:pitch w:val="variable"/>
    <w:sig w:usb0="E00002FF"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D0E1013" w14:textId="5BA61B0E" w:rsidR="00577C9E" w:rsidRDefault="00577C9E">
        <w:pPr>
          <w:pStyle w:val="Footer"/>
          <w:jc w:val="center"/>
        </w:pPr>
        <w:r>
          <w:fldChar w:fldCharType="begin"/>
        </w:r>
        <w:r>
          <w:instrText xml:space="preserve"> PAGE   \* MERGEFORMAT </w:instrText>
        </w:r>
        <w:r>
          <w:fldChar w:fldCharType="separate"/>
        </w:r>
        <w:r w:rsidR="006D1B7E">
          <w:rPr>
            <w:noProof/>
          </w:rPr>
          <w:t>20</w:t>
        </w:r>
        <w:r>
          <w:rPr>
            <w:noProof/>
          </w:rPr>
          <w:fldChar w:fldCharType="end"/>
        </w:r>
      </w:p>
    </w:sdtContent>
  </w:sdt>
  <w:p w14:paraId="6F8B5944" w14:textId="77777777" w:rsidR="00577C9E" w:rsidRDefault="00577C9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E6887AF" w14:textId="1DF11511" w:rsidR="00577C9E" w:rsidRDefault="00577C9E">
        <w:pPr>
          <w:pStyle w:val="Footer"/>
          <w:jc w:val="center"/>
        </w:pPr>
        <w:r>
          <w:fldChar w:fldCharType="begin"/>
        </w:r>
        <w:r>
          <w:instrText xml:space="preserve"> PAGE   \* MERGEFORMAT </w:instrText>
        </w:r>
        <w:r>
          <w:fldChar w:fldCharType="separate"/>
        </w:r>
        <w:r>
          <w:rPr>
            <w:noProof/>
          </w:rPr>
          <w:t>26</w:t>
        </w:r>
        <w:r>
          <w:rPr>
            <w:noProof/>
          </w:rPr>
          <w:fldChar w:fldCharType="end"/>
        </w:r>
      </w:p>
    </w:sdtContent>
  </w:sdt>
  <w:p w14:paraId="4B2A20E3" w14:textId="77777777" w:rsidR="00577C9E" w:rsidRDefault="00577C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070081"/>
      <w:docPartObj>
        <w:docPartGallery w:val="Page Numbers (Bottom of Page)"/>
        <w:docPartUnique/>
      </w:docPartObj>
    </w:sdtPr>
    <w:sdtEndPr>
      <w:rPr>
        <w:noProof/>
      </w:rPr>
    </w:sdtEndPr>
    <w:sdtContent>
      <w:p w14:paraId="2FCA0A7E" w14:textId="108AB21E" w:rsidR="00577C9E" w:rsidRDefault="00577C9E">
        <w:pPr>
          <w:pStyle w:val="Footer"/>
          <w:jc w:val="center"/>
        </w:pPr>
        <w:r>
          <w:fldChar w:fldCharType="begin"/>
        </w:r>
        <w:r>
          <w:instrText xml:space="preserve"> PAGE   \* MERGEFORMAT </w:instrText>
        </w:r>
        <w:r>
          <w:fldChar w:fldCharType="separate"/>
        </w:r>
        <w:r>
          <w:rPr>
            <w:noProof/>
          </w:rPr>
          <w:t>27</w:t>
        </w:r>
        <w:r>
          <w:rPr>
            <w:noProof/>
          </w:rPr>
          <w:fldChar w:fldCharType="end"/>
        </w:r>
      </w:p>
    </w:sdtContent>
  </w:sdt>
  <w:p w14:paraId="75013E37" w14:textId="77777777" w:rsidR="00577C9E" w:rsidRDefault="00577C9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7679794"/>
      <w:docPartObj>
        <w:docPartGallery w:val="Page Numbers (Bottom of Page)"/>
        <w:docPartUnique/>
      </w:docPartObj>
    </w:sdtPr>
    <w:sdtEndPr>
      <w:rPr>
        <w:noProof/>
      </w:rPr>
    </w:sdtEndPr>
    <w:sdtContent>
      <w:p w14:paraId="0241D129" w14:textId="32AE29A1" w:rsidR="00577C9E" w:rsidRDefault="00577C9E">
        <w:pPr>
          <w:pStyle w:val="Footer"/>
          <w:jc w:val="center"/>
        </w:pPr>
        <w:r>
          <w:fldChar w:fldCharType="begin"/>
        </w:r>
        <w:r>
          <w:instrText xml:space="preserve"> PAGE   \* MERGEFORMAT </w:instrText>
        </w:r>
        <w:r>
          <w:fldChar w:fldCharType="separate"/>
        </w:r>
        <w:r>
          <w:rPr>
            <w:noProof/>
          </w:rPr>
          <w:t>27</w:t>
        </w:r>
        <w:r>
          <w:rPr>
            <w:noProof/>
          </w:rPr>
          <w:fldChar w:fldCharType="end"/>
        </w:r>
      </w:p>
    </w:sdtContent>
  </w:sdt>
  <w:p w14:paraId="3201B9C2" w14:textId="77777777" w:rsidR="00577C9E" w:rsidRDefault="00577C9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5B4DB" w14:textId="565A4F14" w:rsidR="00577C9E" w:rsidRDefault="00577C9E">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6D1B7E">
      <w:rPr>
        <w:noProof/>
      </w:rPr>
      <w:t>28</w:t>
    </w:r>
    <w:r>
      <w:rPr>
        <w:color w:val="2B579A"/>
        <w:shd w:val="clear" w:color="auto" w:fill="E6E6E6"/>
      </w:rPr>
      <w:fldChar w:fldCharType="end"/>
    </w:r>
  </w:p>
  <w:p w14:paraId="3528256D" w14:textId="77777777" w:rsidR="00577C9E" w:rsidRDefault="00577C9E"/>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E8DD1" w14:textId="77777777" w:rsidR="00577C9E" w:rsidRDefault="00577C9E">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p>
  <w:p w14:paraId="6EB35434" w14:textId="77777777" w:rsidR="00577C9E" w:rsidRDefault="00577C9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BBD55" w14:textId="35D352F8" w:rsidR="00577C9E" w:rsidRPr="00AF7EF7" w:rsidRDefault="00577C9E">
    <w:pPr>
      <w:pStyle w:val="Footer"/>
      <w:jc w:val="center"/>
    </w:pPr>
    <w:r w:rsidRPr="00AF7EF7">
      <w:fldChar w:fldCharType="begin"/>
    </w:r>
    <w:r w:rsidRPr="00AF7EF7">
      <w:instrText xml:space="preserve"> PAGE   \* MERGEFORMAT </w:instrText>
    </w:r>
    <w:r w:rsidRPr="00AF7EF7">
      <w:fldChar w:fldCharType="separate"/>
    </w:r>
    <w:r w:rsidR="006D1B7E">
      <w:rPr>
        <w:noProof/>
      </w:rPr>
      <w:t>29</w:t>
    </w:r>
    <w:r w:rsidRPr="00AF7EF7">
      <w:rPr>
        <w:noProof/>
      </w:rPr>
      <w:fldChar w:fldCharType="end"/>
    </w:r>
  </w:p>
  <w:p w14:paraId="65DB2F02" w14:textId="77777777" w:rsidR="00577C9E" w:rsidRDefault="00577C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85C8B" w14:textId="77777777" w:rsidR="00F93C34" w:rsidRDefault="00F93C34" w:rsidP="002C6B77">
      <w:pPr>
        <w:spacing w:after="0" w:line="240" w:lineRule="auto"/>
      </w:pPr>
      <w:r>
        <w:separator/>
      </w:r>
    </w:p>
  </w:footnote>
  <w:footnote w:type="continuationSeparator" w:id="0">
    <w:p w14:paraId="4321A03F" w14:textId="77777777" w:rsidR="00F93C34" w:rsidRDefault="00F93C34" w:rsidP="002C6B77">
      <w:pPr>
        <w:spacing w:after="0" w:line="240" w:lineRule="auto"/>
      </w:pPr>
      <w:r>
        <w:continuationSeparator/>
      </w:r>
    </w:p>
  </w:footnote>
  <w:footnote w:id="1">
    <w:p w14:paraId="626B5CFA" w14:textId="5AD94587" w:rsidR="00577C9E" w:rsidRPr="00691802" w:rsidRDefault="00577C9E" w:rsidP="00691802">
      <w:pPr>
        <w:pStyle w:val="Heading1"/>
        <w:spacing w:before="0" w:line="240" w:lineRule="auto"/>
        <w:contextualSpacing/>
        <w:rPr>
          <w:rFonts w:ascii="Times New Roman" w:hAnsi="Times New Roman" w:cs="Times New Roman"/>
          <w:color w:val="auto"/>
          <w:sz w:val="20"/>
          <w:szCs w:val="20"/>
        </w:rPr>
      </w:pPr>
      <w:r w:rsidRPr="00691802">
        <w:rPr>
          <w:rStyle w:val="FootnoteReference"/>
          <w:rFonts w:ascii="Times New Roman" w:hAnsi="Times New Roman" w:cs="Times New Roman"/>
          <w:color w:val="auto"/>
          <w:sz w:val="20"/>
          <w:szCs w:val="20"/>
        </w:rPr>
        <w:footnoteRef/>
      </w:r>
      <w:r w:rsidRPr="00691802">
        <w:rPr>
          <w:rFonts w:ascii="Times New Roman" w:hAnsi="Times New Roman" w:cs="Times New Roman"/>
          <w:color w:val="auto"/>
          <w:sz w:val="20"/>
          <w:szCs w:val="20"/>
        </w:rPr>
        <w:t xml:space="preserve"> </w:t>
      </w:r>
      <w:r w:rsidRPr="00691802">
        <w:rPr>
          <w:rFonts w:ascii="Times New Roman" w:hAnsi="Times New Roman" w:cs="Times New Roman"/>
          <w:i/>
          <w:color w:val="auto"/>
          <w:sz w:val="20"/>
          <w:szCs w:val="20"/>
        </w:rPr>
        <w:t>See</w:t>
      </w:r>
      <w:r w:rsidRPr="00691802">
        <w:rPr>
          <w:rFonts w:ascii="Times New Roman" w:hAnsi="Times New Roman" w:cs="Times New Roman"/>
          <w:color w:val="auto"/>
          <w:sz w:val="20"/>
          <w:szCs w:val="20"/>
        </w:rPr>
        <w:t xml:space="preserve"> Scott Steinberg, </w:t>
      </w:r>
      <w:r w:rsidRPr="00691802">
        <w:rPr>
          <w:rFonts w:ascii="Times New Roman" w:hAnsi="Times New Roman" w:cs="Times New Roman"/>
          <w:i/>
          <w:color w:val="auto"/>
          <w:sz w:val="20"/>
          <w:szCs w:val="20"/>
        </w:rPr>
        <w:t>Cyberattacks Now Cost Companies $200,000 on Average, Putting Many Out of Business</w:t>
      </w:r>
      <w:r w:rsidRPr="00691802">
        <w:rPr>
          <w:rFonts w:ascii="Times New Roman" w:hAnsi="Times New Roman" w:cs="Times New Roman"/>
          <w:color w:val="auto"/>
          <w:sz w:val="20"/>
          <w:szCs w:val="20"/>
        </w:rPr>
        <w:t xml:space="preserve">, CNBC, Oct. 13, 2019, </w:t>
      </w:r>
      <w:hyperlink r:id="rId1" w:history="1">
        <w:r w:rsidRPr="00691802">
          <w:rPr>
            <w:rStyle w:val="Hyperlink"/>
            <w:rFonts w:ascii="Times New Roman" w:hAnsi="Times New Roman" w:cs="Times New Roman"/>
            <w:color w:val="auto"/>
            <w:sz w:val="20"/>
            <w:szCs w:val="20"/>
          </w:rPr>
          <w:t>https://www.cnbc.com/2019/10/13/cyberattacks-cost-small-companies-200k-putting-many-out-of-business.html</w:t>
        </w:r>
      </w:hyperlink>
      <w:r w:rsidRPr="00691802">
        <w:rPr>
          <w:rFonts w:ascii="Times New Roman" w:hAnsi="Times New Roman" w:cs="Times New Roman"/>
          <w:color w:val="auto"/>
          <w:sz w:val="20"/>
          <w:szCs w:val="20"/>
        </w:rPr>
        <w:t xml:space="preserve">.  </w:t>
      </w:r>
    </w:p>
  </w:footnote>
  <w:footnote w:id="2">
    <w:p w14:paraId="34F20B0E" w14:textId="77777777" w:rsidR="00577C9E" w:rsidRPr="00691802" w:rsidRDefault="00577C9E" w:rsidP="00691802">
      <w:pPr>
        <w:shd w:val="clear" w:color="auto" w:fill="FFFFFF"/>
        <w:spacing w:after="0" w:line="240" w:lineRule="auto"/>
        <w:contextualSpacing/>
        <w:rPr>
          <w:color w:val="auto"/>
          <w:sz w:val="20"/>
          <w:szCs w:val="20"/>
        </w:rPr>
      </w:pPr>
      <w:r w:rsidRPr="00691802">
        <w:rPr>
          <w:rStyle w:val="FootnoteReference"/>
          <w:color w:val="auto"/>
          <w:sz w:val="20"/>
          <w:szCs w:val="20"/>
        </w:rPr>
        <w:footnoteRef/>
      </w:r>
      <w:r w:rsidRPr="00691802">
        <w:rPr>
          <w:color w:val="auto"/>
          <w:sz w:val="20"/>
          <w:szCs w:val="20"/>
        </w:rPr>
        <w:t xml:space="preserve"> Irene Byhovsky, Daniel Garrie, </w:t>
      </w:r>
      <w:r w:rsidRPr="00691802">
        <w:rPr>
          <w:i/>
          <w:iCs/>
          <w:color w:val="auto"/>
          <w:sz w:val="20"/>
          <w:szCs w:val="20"/>
        </w:rPr>
        <w:t>Privacy and Data Protection in Russia</w:t>
      </w:r>
      <w:r w:rsidRPr="00691802">
        <w:rPr>
          <w:color w:val="auto"/>
          <w:sz w:val="20"/>
          <w:szCs w:val="20"/>
        </w:rPr>
        <w:t>, 5 </w:t>
      </w:r>
      <w:r w:rsidRPr="00691802">
        <w:rPr>
          <w:smallCaps/>
          <w:color w:val="auto"/>
          <w:sz w:val="20"/>
          <w:szCs w:val="20"/>
          <w:shd w:val="clear" w:color="auto" w:fill="FFFFFF"/>
        </w:rPr>
        <w:t>J.L. &amp; Cyber Warfare</w:t>
      </w:r>
      <w:r w:rsidRPr="00691802">
        <w:rPr>
          <w:color w:val="auto"/>
          <w:sz w:val="20"/>
          <w:szCs w:val="20"/>
        </w:rPr>
        <w:t> 235 (2017).</w:t>
      </w:r>
    </w:p>
  </w:footnote>
  <w:footnote w:id="3">
    <w:p w14:paraId="60BA676F" w14:textId="6C39DACF"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The Council of Economic Advisers, </w:t>
      </w:r>
      <w:r w:rsidRPr="00691802">
        <w:rPr>
          <w:i/>
          <w:color w:val="auto"/>
        </w:rPr>
        <w:t>The Cost of Malicious Cyber Activity to the U.S. Economy</w:t>
      </w:r>
      <w:r w:rsidRPr="00691802">
        <w:rPr>
          <w:color w:val="auto"/>
        </w:rPr>
        <w:t xml:space="preserve">, </w:t>
      </w:r>
      <w:r w:rsidRPr="00691802">
        <w:rPr>
          <w:smallCaps/>
          <w:color w:val="auto"/>
        </w:rPr>
        <w:t>Executive Office of the President</w:t>
      </w:r>
      <w:r w:rsidRPr="00691802">
        <w:rPr>
          <w:color w:val="auto"/>
        </w:rPr>
        <w:t xml:space="preserve">, Feb. 2018. </w:t>
      </w:r>
      <w:hyperlink r:id="rId2" w:history="1">
        <w:r w:rsidRPr="00691802">
          <w:rPr>
            <w:rStyle w:val="Hyperlink"/>
          </w:rPr>
          <w:t>https://trumpwhitehouse.archives.gov/wp-content/uploads/2018/02/The-Cost-of-Malicious-Cyber-Activity-to-the-U.S.-Economy.pdf</w:t>
        </w:r>
      </w:hyperlink>
      <w:r w:rsidRPr="00691802">
        <w:rPr>
          <w:color w:val="auto"/>
        </w:rPr>
        <w:t>.</w:t>
      </w:r>
    </w:p>
  </w:footnote>
  <w:footnote w:id="4">
    <w:p w14:paraId="15A21B71" w14:textId="6182F183" w:rsidR="00577C9E" w:rsidRPr="00691802" w:rsidRDefault="00577C9E" w:rsidP="00691802">
      <w:pPr>
        <w:shd w:val="clear" w:color="auto" w:fill="FFFFFF"/>
        <w:spacing w:after="0" w:line="240" w:lineRule="auto"/>
        <w:contextualSpacing/>
        <w:rPr>
          <w:rFonts w:eastAsia="Times New Roman"/>
          <w:iCs/>
          <w:color w:val="auto"/>
          <w:sz w:val="20"/>
          <w:szCs w:val="20"/>
        </w:rPr>
      </w:pPr>
      <w:r w:rsidRPr="00691802">
        <w:rPr>
          <w:rStyle w:val="FootnoteReference"/>
          <w:color w:val="auto"/>
          <w:sz w:val="20"/>
          <w:szCs w:val="20"/>
        </w:rPr>
        <w:footnoteRef/>
      </w:r>
      <w:r w:rsidRPr="00691802">
        <w:rPr>
          <w:color w:val="auto"/>
          <w:sz w:val="20"/>
          <w:szCs w:val="20"/>
        </w:rPr>
        <w:t xml:space="preserve"> </w:t>
      </w:r>
      <w:r w:rsidRPr="00691802">
        <w:rPr>
          <w:rFonts w:eastAsia="Times New Roman"/>
          <w:color w:val="auto"/>
          <w:sz w:val="20"/>
          <w:szCs w:val="20"/>
        </w:rPr>
        <w:t xml:space="preserve"> </w:t>
      </w:r>
      <w:r w:rsidRPr="00691802">
        <w:rPr>
          <w:rFonts w:eastAsia="Times New Roman"/>
          <w:iCs/>
          <w:color w:val="auto"/>
          <w:sz w:val="20"/>
          <w:szCs w:val="20"/>
        </w:rPr>
        <w:t>National Conference of State Legislatures,</w:t>
      </w:r>
      <w:r w:rsidRPr="00691802">
        <w:rPr>
          <w:rFonts w:eastAsia="Times New Roman"/>
          <w:i/>
          <w:color w:val="auto"/>
          <w:sz w:val="20"/>
          <w:szCs w:val="20"/>
        </w:rPr>
        <w:t xml:space="preserve"> </w:t>
      </w:r>
      <w:r w:rsidRPr="00691802">
        <w:rPr>
          <w:rFonts w:eastAsia="Times New Roman"/>
          <w:i/>
          <w:iCs/>
          <w:color w:val="auto"/>
          <w:sz w:val="20"/>
          <w:szCs w:val="20"/>
        </w:rPr>
        <w:t>Security Breach Notification Laws</w:t>
      </w:r>
      <w:r w:rsidRPr="00691802">
        <w:rPr>
          <w:rFonts w:eastAsia="Times New Roman"/>
          <w:i/>
          <w:color w:val="auto"/>
          <w:sz w:val="20"/>
          <w:szCs w:val="20"/>
        </w:rPr>
        <w:t xml:space="preserve">, </w:t>
      </w:r>
      <w:r w:rsidRPr="00691802">
        <w:rPr>
          <w:rFonts w:eastAsia="Times New Roman"/>
          <w:iCs/>
          <w:color w:val="auto"/>
          <w:sz w:val="20"/>
          <w:szCs w:val="20"/>
        </w:rPr>
        <w:t xml:space="preserve">updated Jan. 17, 2022, </w:t>
      </w:r>
      <w:hyperlink r:id="rId3" w:history="1">
        <w:r w:rsidRPr="00691802">
          <w:rPr>
            <w:rStyle w:val="Hyperlink"/>
            <w:rFonts w:eastAsia="Times New Roman"/>
            <w:iCs/>
            <w:sz w:val="20"/>
            <w:szCs w:val="20"/>
          </w:rPr>
          <w:t>https://www.ncsl.org/technology-and-communication/security-breach-notification-laws</w:t>
        </w:r>
      </w:hyperlink>
      <w:r w:rsidRPr="00691802">
        <w:rPr>
          <w:rFonts w:eastAsia="Times New Roman"/>
          <w:iCs/>
          <w:color w:val="auto"/>
          <w:sz w:val="20"/>
          <w:szCs w:val="20"/>
        </w:rPr>
        <w:t xml:space="preserve"> (“All 50 states … have laws requiring private businesses… to notify individuals of security breaches… involving personally identifiable information”).</w:t>
      </w:r>
    </w:p>
  </w:footnote>
  <w:footnote w:id="5">
    <w:p w14:paraId="6B972A92" w14:textId="77777777"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Robert S. Mueller, Director, FBI, Remarks at the RSA Cyber Security Conference, Mar. 1, 2012. </w:t>
      </w:r>
    </w:p>
  </w:footnote>
  <w:footnote w:id="6">
    <w:p w14:paraId="327A16A5" w14:textId="61566ED6" w:rsidR="00577C9E" w:rsidRPr="00691802" w:rsidRDefault="00577C9E" w:rsidP="00691802">
      <w:pPr>
        <w:spacing w:after="0" w:line="240" w:lineRule="auto"/>
        <w:contextualSpacing/>
        <w:rPr>
          <w:rFonts w:eastAsia="Times New Roman"/>
          <w:color w:val="auto"/>
          <w:sz w:val="20"/>
          <w:szCs w:val="20"/>
          <w:shd w:val="clear" w:color="auto" w:fill="FFFFFF"/>
        </w:rPr>
      </w:pPr>
      <w:r w:rsidRPr="00691802">
        <w:rPr>
          <w:rStyle w:val="FootnoteReference"/>
          <w:color w:val="auto"/>
          <w:sz w:val="20"/>
          <w:szCs w:val="20"/>
        </w:rPr>
        <w:footnoteRef/>
      </w:r>
      <w:r w:rsidRPr="00691802">
        <w:rPr>
          <w:color w:val="auto"/>
          <w:sz w:val="20"/>
          <w:szCs w:val="20"/>
        </w:rPr>
        <w:t xml:space="preserve"> </w:t>
      </w:r>
      <w:r w:rsidRPr="00691802">
        <w:rPr>
          <w:rFonts w:eastAsia="Times New Roman"/>
          <w:color w:val="auto"/>
          <w:sz w:val="20"/>
          <w:szCs w:val="20"/>
          <w:shd w:val="clear" w:color="auto" w:fill="FFFFFF"/>
        </w:rPr>
        <w:t>Ted Julian, </w:t>
      </w:r>
      <w:r w:rsidRPr="00691802">
        <w:rPr>
          <w:rFonts w:eastAsia="Times New Roman"/>
          <w:i/>
          <w:iCs/>
          <w:color w:val="auto"/>
          <w:sz w:val="20"/>
          <w:szCs w:val="20"/>
        </w:rPr>
        <w:t>Defining Moments in the History of Cyber-Security and the Rise of Incident Response</w:t>
      </w:r>
      <w:r w:rsidRPr="00691802">
        <w:rPr>
          <w:rFonts w:eastAsia="Times New Roman"/>
          <w:color w:val="auto"/>
          <w:sz w:val="20"/>
          <w:szCs w:val="20"/>
          <w:shd w:val="clear" w:color="auto" w:fill="FFFFFF"/>
        </w:rPr>
        <w:t>, </w:t>
      </w:r>
      <w:r w:rsidRPr="00691802">
        <w:rPr>
          <w:rFonts w:eastAsia="Times New Roman"/>
          <w:smallCaps/>
          <w:color w:val="auto"/>
          <w:sz w:val="20"/>
          <w:szCs w:val="20"/>
          <w:shd w:val="clear" w:color="auto" w:fill="FFFFFF"/>
        </w:rPr>
        <w:t>Info Security</w:t>
      </w:r>
      <w:r w:rsidRPr="00691802">
        <w:rPr>
          <w:rFonts w:eastAsia="Times New Roman"/>
          <w:color w:val="auto"/>
          <w:sz w:val="20"/>
          <w:szCs w:val="20"/>
          <w:shd w:val="clear" w:color="auto" w:fill="FFFFFF"/>
        </w:rPr>
        <w:t xml:space="preserve">, Dec. 4, 2014, </w:t>
      </w:r>
      <w:hyperlink r:id="rId4" w:history="1">
        <w:r w:rsidRPr="00691802">
          <w:rPr>
            <w:rStyle w:val="Hyperlink"/>
            <w:rFonts w:eastAsia="Times New Roman"/>
            <w:sz w:val="20"/>
            <w:szCs w:val="20"/>
            <w:shd w:val="clear" w:color="auto" w:fill="FFFFFF"/>
          </w:rPr>
          <w:t>https://www.infosecurity-magazine.com/opinions/the-history-of-cybersecurity/</w:t>
        </w:r>
      </w:hyperlink>
      <w:r w:rsidRPr="00691802">
        <w:rPr>
          <w:rFonts w:eastAsia="Times New Roman"/>
          <w:color w:val="auto"/>
          <w:sz w:val="20"/>
          <w:szCs w:val="20"/>
          <w:shd w:val="clear" w:color="auto" w:fill="FFFFFF"/>
        </w:rPr>
        <w:t>.</w:t>
      </w:r>
    </w:p>
  </w:footnote>
  <w:footnote w:id="7">
    <w:p w14:paraId="78918CEF" w14:textId="3CCC5855"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691802">
        <w:rPr>
          <w:i/>
          <w:color w:val="auto"/>
        </w:rPr>
        <w:t>I</w:t>
      </w:r>
      <w:r w:rsidRPr="00691802">
        <w:rPr>
          <w:rStyle w:val="Emphasis"/>
          <w:color w:val="auto"/>
        </w:rPr>
        <w:t>n re</w:t>
      </w:r>
      <w:r w:rsidRPr="00691802">
        <w:rPr>
          <w:i/>
          <w:color w:val="auto"/>
        </w:rPr>
        <w:t> TJX Cos. Retail Sec. Breach Litig</w:t>
      </w:r>
      <w:r w:rsidRPr="00691802">
        <w:rPr>
          <w:color w:val="auto"/>
        </w:rPr>
        <w:t xml:space="preserve"> (2007) (No. 1:07-cv-10162-WGY).</w:t>
      </w:r>
    </w:p>
  </w:footnote>
  <w:footnote w:id="8">
    <w:p w14:paraId="1255955D" w14:textId="5EBB37AA" w:rsidR="00577C9E" w:rsidRPr="00691802" w:rsidRDefault="00577C9E" w:rsidP="00691802">
      <w:pPr>
        <w:pStyle w:val="Heading1"/>
        <w:shd w:val="clear" w:color="auto" w:fill="FFFFFF"/>
        <w:spacing w:before="0" w:line="240" w:lineRule="auto"/>
        <w:contextualSpacing/>
        <w:rPr>
          <w:rFonts w:ascii="Times New Roman" w:hAnsi="Times New Roman" w:cs="Times New Roman"/>
          <w:color w:val="auto"/>
          <w:sz w:val="20"/>
          <w:szCs w:val="20"/>
          <w:shd w:val="clear" w:color="auto" w:fill="FFFFFF"/>
        </w:rPr>
      </w:pPr>
      <w:r w:rsidRPr="00691802">
        <w:rPr>
          <w:rStyle w:val="FootnoteReference"/>
          <w:rFonts w:ascii="Times New Roman" w:hAnsi="Times New Roman" w:cs="Times New Roman"/>
          <w:color w:val="auto"/>
          <w:sz w:val="20"/>
          <w:szCs w:val="20"/>
        </w:rPr>
        <w:footnoteRef/>
      </w:r>
      <w:r w:rsidRPr="00691802">
        <w:rPr>
          <w:rFonts w:ascii="Times New Roman" w:hAnsi="Times New Roman" w:cs="Times New Roman"/>
          <w:color w:val="auto"/>
          <w:sz w:val="20"/>
          <w:szCs w:val="20"/>
        </w:rPr>
        <w:t xml:space="preserve"> </w:t>
      </w:r>
      <w:hyperlink r:id="rId5" w:history="1">
        <w:r w:rsidRPr="00691802">
          <w:rPr>
            <w:rStyle w:val="Hyperlink"/>
            <w:rFonts w:ascii="Times New Roman" w:hAnsi="Times New Roman" w:cs="Times New Roman"/>
            <w:color w:val="auto"/>
            <w:sz w:val="20"/>
            <w:szCs w:val="20"/>
            <w:u w:val="none"/>
            <w:shd w:val="clear" w:color="auto" w:fill="FFFFFF"/>
          </w:rPr>
          <w:t>Jaikumar Vijayan</w:t>
        </w:r>
      </w:hyperlink>
      <w:r w:rsidRPr="00691802">
        <w:rPr>
          <w:rFonts w:ascii="Times New Roman" w:hAnsi="Times New Roman" w:cs="Times New Roman"/>
          <w:color w:val="auto"/>
          <w:spacing w:val="-8"/>
          <w:sz w:val="20"/>
          <w:szCs w:val="20"/>
        </w:rPr>
        <w:t xml:space="preserve">, </w:t>
      </w:r>
      <w:r w:rsidRPr="00691802">
        <w:rPr>
          <w:rFonts w:ascii="Times New Roman" w:hAnsi="Times New Roman" w:cs="Times New Roman"/>
          <w:i/>
          <w:color w:val="auto"/>
          <w:spacing w:val="-8"/>
          <w:sz w:val="20"/>
          <w:szCs w:val="20"/>
        </w:rPr>
        <w:t>JX Reaches $9.75 Million Breach Settlement With 41 States</w:t>
      </w:r>
      <w:r w:rsidRPr="00691802">
        <w:rPr>
          <w:rFonts w:ascii="Times New Roman" w:hAnsi="Times New Roman" w:cs="Times New Roman"/>
          <w:color w:val="auto"/>
          <w:spacing w:val="-8"/>
          <w:sz w:val="20"/>
          <w:szCs w:val="20"/>
        </w:rPr>
        <w:t xml:space="preserve">, </w:t>
      </w:r>
      <w:r w:rsidRPr="00691802">
        <w:rPr>
          <w:rFonts w:ascii="Times New Roman" w:hAnsi="Times New Roman" w:cs="Times New Roman"/>
          <w:caps/>
          <w:color w:val="auto"/>
          <w:sz w:val="20"/>
          <w:szCs w:val="20"/>
          <w:shd w:val="clear" w:color="auto" w:fill="FFFFFF"/>
        </w:rPr>
        <w:t xml:space="preserve"> </w:t>
      </w:r>
      <w:r w:rsidRPr="00691802">
        <w:rPr>
          <w:rFonts w:ascii="Times New Roman" w:hAnsi="Times New Roman" w:cs="Times New Roman"/>
          <w:color w:val="auto"/>
          <w:sz w:val="20"/>
          <w:szCs w:val="20"/>
          <w:shd w:val="clear" w:color="auto" w:fill="FFFFFF"/>
        </w:rPr>
        <w:t xml:space="preserve">June 24, 2009, ComputerWorld, </w:t>
      </w:r>
      <w:hyperlink r:id="rId6" w:history="1">
        <w:r w:rsidRPr="00691802">
          <w:rPr>
            <w:rStyle w:val="Hyperlink"/>
            <w:rFonts w:ascii="Times New Roman" w:hAnsi="Times New Roman" w:cs="Times New Roman"/>
            <w:sz w:val="20"/>
            <w:szCs w:val="20"/>
            <w:shd w:val="clear" w:color="auto" w:fill="FFFFFF"/>
          </w:rPr>
          <w:t>https://www.computerworld.com/article/1600083/tjx-reaches-9-75-million-breach-settlement-with-41-states.html</w:t>
        </w:r>
      </w:hyperlink>
      <w:r w:rsidRPr="00691802">
        <w:rPr>
          <w:rFonts w:ascii="Times New Roman" w:hAnsi="Times New Roman" w:cs="Times New Roman"/>
          <w:color w:val="auto"/>
          <w:sz w:val="20"/>
          <w:szCs w:val="20"/>
        </w:rPr>
        <w:t>.</w:t>
      </w:r>
    </w:p>
  </w:footnote>
  <w:footnote w:id="9">
    <w:p w14:paraId="05DD973E" w14:textId="77EBCC1E" w:rsidR="00577C9E" w:rsidRPr="00691802" w:rsidRDefault="00577C9E" w:rsidP="00691802">
      <w:pPr>
        <w:spacing w:after="0" w:line="240" w:lineRule="auto"/>
        <w:contextualSpacing/>
        <w:rPr>
          <w:color w:val="auto"/>
          <w:sz w:val="20"/>
          <w:szCs w:val="20"/>
        </w:rPr>
      </w:pPr>
      <w:r w:rsidRPr="00691802">
        <w:rPr>
          <w:rStyle w:val="FootnoteReference"/>
          <w:color w:val="auto"/>
          <w:sz w:val="20"/>
          <w:szCs w:val="20"/>
        </w:rPr>
        <w:footnoteRef/>
      </w:r>
      <w:r w:rsidRPr="00691802">
        <w:rPr>
          <w:color w:val="auto"/>
          <w:sz w:val="20"/>
          <w:szCs w:val="20"/>
        </w:rPr>
        <w:t xml:space="preserve"> John Leyden, </w:t>
      </w:r>
      <w:r w:rsidRPr="00691802">
        <w:rPr>
          <w:i/>
          <w:iCs/>
          <w:color w:val="auto"/>
          <w:sz w:val="20"/>
          <w:szCs w:val="20"/>
        </w:rPr>
        <w:t>The 20 Biggest Data Breaches of the 21</w:t>
      </w:r>
      <w:r w:rsidRPr="00691802">
        <w:rPr>
          <w:i/>
          <w:iCs/>
          <w:color w:val="auto"/>
          <w:sz w:val="20"/>
          <w:szCs w:val="20"/>
          <w:vertAlign w:val="superscript"/>
        </w:rPr>
        <w:t>st</w:t>
      </w:r>
      <w:r w:rsidRPr="00691802">
        <w:rPr>
          <w:i/>
          <w:iCs/>
          <w:color w:val="auto"/>
          <w:sz w:val="20"/>
          <w:szCs w:val="20"/>
        </w:rPr>
        <w:t xml:space="preserve"> Century</w:t>
      </w:r>
      <w:r w:rsidRPr="00691802">
        <w:rPr>
          <w:color w:val="auto"/>
          <w:sz w:val="20"/>
          <w:szCs w:val="20"/>
        </w:rPr>
        <w:t xml:space="preserve">, CSO Online (June 12, 2025), </w:t>
      </w:r>
      <w:hyperlink r:id="rId7" w:history="1">
        <w:r w:rsidRPr="00691802">
          <w:rPr>
            <w:rStyle w:val="Hyperlink"/>
            <w:sz w:val="20"/>
            <w:szCs w:val="20"/>
          </w:rPr>
          <w:t>https://www.csoonline.com/article/534628/the-biggest-data-breaches-of-the-21st-century.html</w:t>
        </w:r>
      </w:hyperlink>
      <w:r w:rsidRPr="00691802">
        <w:rPr>
          <w:color w:val="auto"/>
          <w:sz w:val="20"/>
          <w:szCs w:val="20"/>
        </w:rPr>
        <w:t>.</w:t>
      </w:r>
    </w:p>
  </w:footnote>
  <w:footnote w:id="10">
    <w:p w14:paraId="6B7209D4" w14:textId="7C0A64CD" w:rsidR="00577C9E" w:rsidRPr="00691802" w:rsidRDefault="00577C9E" w:rsidP="00691802">
      <w:pPr>
        <w:pStyle w:val="FootnoteText"/>
        <w:contextualSpacing/>
      </w:pPr>
      <w:r w:rsidRPr="00691802">
        <w:rPr>
          <w:rStyle w:val="FootnoteReference"/>
        </w:rPr>
        <w:footnoteRef/>
      </w:r>
      <w:r w:rsidRPr="00691802">
        <w:t xml:space="preserve"> Yahoo! Inc., </w:t>
      </w:r>
      <w:r w:rsidRPr="00691802">
        <w:rPr>
          <w:i/>
          <w:iCs/>
        </w:rPr>
        <w:t>Customer Data Security Breach Litigation Settlement</w:t>
      </w:r>
      <w:r w:rsidRPr="00691802">
        <w:t>, Case No. 5:16</w:t>
      </w:r>
      <w:r w:rsidRPr="00691802">
        <w:noBreakHyphen/>
        <w:t>MD</w:t>
      </w:r>
      <w:r w:rsidRPr="00691802">
        <w:noBreakHyphen/>
        <w:t>02752</w:t>
      </w:r>
      <w:r w:rsidRPr="00691802">
        <w:noBreakHyphen/>
        <w:t>LHK, U.S. Dist. Ct. N.D. Cal., San Jose Division, Yahoo! Data Breaches (2012</w:t>
      </w:r>
      <w:r w:rsidRPr="00691802">
        <w:noBreakHyphen/>
        <w:t xml:space="preserve">2016), at </w:t>
      </w:r>
      <w:r w:rsidRPr="00691802">
        <w:rPr>
          <w:i/>
          <w:iCs/>
        </w:rPr>
        <w:t>Yahoo! Inc. Customer Data Security Breach Litigation Settlement</w:t>
      </w:r>
      <w:r w:rsidRPr="00691802">
        <w:t xml:space="preserve"> website, </w:t>
      </w:r>
      <w:hyperlink r:id="rId8" w:history="1">
        <w:r w:rsidRPr="00691802">
          <w:rPr>
            <w:rStyle w:val="Hyperlink"/>
          </w:rPr>
          <w:t>https://yahoodatabreachsettlement.com/</w:t>
        </w:r>
      </w:hyperlink>
      <w:r w:rsidRPr="00691802">
        <w:t>.</w:t>
      </w:r>
    </w:p>
  </w:footnote>
  <w:footnote w:id="11">
    <w:p w14:paraId="3737D6C0" w14:textId="71C9EE54" w:rsidR="00577C9E" w:rsidRPr="00691802" w:rsidRDefault="00577C9E" w:rsidP="00691802">
      <w:pPr>
        <w:pStyle w:val="FootnoteText"/>
        <w:contextualSpacing/>
      </w:pPr>
      <w:r w:rsidRPr="00691802">
        <w:rPr>
          <w:rStyle w:val="FootnoteReference"/>
        </w:rPr>
        <w:footnoteRef/>
      </w:r>
      <w:r w:rsidRPr="00691802">
        <w:t xml:space="preserve"> REVELSI, </w:t>
      </w:r>
      <w:r w:rsidRPr="00691802">
        <w:rPr>
          <w:i/>
          <w:iCs/>
        </w:rPr>
        <w:t>1.5 Billion Records Exposed Due to Misconfigured Database</w:t>
      </w:r>
      <w:r w:rsidRPr="00691802">
        <w:t xml:space="preserve">, Revelsi (2024), </w:t>
      </w:r>
      <w:hyperlink r:id="rId9" w:history="1">
        <w:r w:rsidRPr="00691802">
          <w:rPr>
            <w:rStyle w:val="Hyperlink"/>
          </w:rPr>
          <w:t>https://www.revelsi.com/en/blog/15-billion-records-exposed-due-to-misconfigured-database/</w:t>
        </w:r>
      </w:hyperlink>
      <w:r w:rsidRPr="00691802">
        <w:t>.</w:t>
      </w:r>
    </w:p>
  </w:footnote>
  <w:footnote w:id="12">
    <w:p w14:paraId="6324A9DE" w14:textId="27CD127F"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See</w:t>
      </w:r>
      <w:r w:rsidRPr="00691802">
        <w:t xml:space="preserve"> Jordan Ford, </w:t>
      </w:r>
      <w:r w:rsidRPr="00691802">
        <w:rPr>
          <w:i/>
          <w:iCs/>
        </w:rPr>
        <w:t>Biggest Data Breach Ever Spotlights Ongoing Challenges for Users and Cybersecurity Professionals</w:t>
      </w:r>
      <w:r w:rsidRPr="00691802">
        <w:t xml:space="preserve">, Capitol Technology University (Aug. 14, 2025), </w:t>
      </w:r>
      <w:hyperlink r:id="rId10" w:history="1">
        <w:r w:rsidRPr="00691802">
          <w:rPr>
            <w:rStyle w:val="Hyperlink"/>
          </w:rPr>
          <w:t>https://www.captechu.edu/blog/biggest-data-breach-ever-spotlights-ongoing-challenges-users-and-cybersecurity-professionals</w:t>
        </w:r>
      </w:hyperlink>
      <w:r w:rsidRPr="00691802">
        <w:t>.</w:t>
      </w:r>
    </w:p>
  </w:footnote>
  <w:footnote w:id="13">
    <w:p w14:paraId="1E4D76EA" w14:textId="77777777" w:rsidR="00577C9E" w:rsidRPr="00691802" w:rsidRDefault="00577C9E" w:rsidP="00691802">
      <w:pPr>
        <w:shd w:val="clear" w:color="auto" w:fill="FFFFFF"/>
        <w:spacing w:after="0" w:line="240" w:lineRule="auto"/>
        <w:contextualSpacing/>
        <w:rPr>
          <w:rFonts w:eastAsia="Times New Roman"/>
          <w:color w:val="auto"/>
          <w:sz w:val="20"/>
          <w:szCs w:val="20"/>
        </w:rPr>
      </w:pPr>
      <w:r w:rsidRPr="00691802">
        <w:rPr>
          <w:rStyle w:val="FootnoteReference"/>
          <w:color w:val="auto"/>
          <w:sz w:val="20"/>
          <w:szCs w:val="20"/>
        </w:rPr>
        <w:footnoteRef/>
      </w:r>
      <w:r w:rsidRPr="00691802">
        <w:rPr>
          <w:color w:val="auto"/>
          <w:sz w:val="20"/>
          <w:szCs w:val="20"/>
        </w:rPr>
        <w:t xml:space="preserve"> </w:t>
      </w:r>
      <w:r w:rsidRPr="00691802">
        <w:rPr>
          <w:rFonts w:eastAsia="Times New Roman"/>
          <w:color w:val="auto"/>
          <w:sz w:val="20"/>
          <w:szCs w:val="20"/>
        </w:rPr>
        <w:t>Emily E. Bayard, </w:t>
      </w:r>
      <w:r w:rsidRPr="00691802">
        <w:rPr>
          <w:rFonts w:eastAsia="Times New Roman"/>
          <w:i/>
          <w:iCs/>
          <w:color w:val="auto"/>
          <w:sz w:val="20"/>
          <w:szCs w:val="20"/>
        </w:rPr>
        <w:t>The Rise of Cybercrime and the Need for State Cybersecurity Regulations</w:t>
      </w:r>
      <w:r w:rsidRPr="00691802">
        <w:rPr>
          <w:rFonts w:eastAsia="Times New Roman"/>
          <w:color w:val="auto"/>
          <w:sz w:val="20"/>
          <w:szCs w:val="20"/>
        </w:rPr>
        <w:t>, 45 </w:t>
      </w:r>
      <w:r w:rsidRPr="00691802">
        <w:rPr>
          <w:rFonts w:eastAsia="Times New Roman"/>
          <w:smallCaps/>
          <w:color w:val="auto"/>
          <w:sz w:val="20"/>
          <w:szCs w:val="20"/>
          <w:shd w:val="clear" w:color="auto" w:fill="FFFFFF"/>
        </w:rPr>
        <w:t>Rutgers Computer &amp; Tech. L.J.</w:t>
      </w:r>
      <w:r w:rsidRPr="00691802">
        <w:rPr>
          <w:rFonts w:eastAsia="Times New Roman"/>
          <w:color w:val="auto"/>
          <w:sz w:val="20"/>
          <w:szCs w:val="20"/>
        </w:rPr>
        <w:t xml:space="preserve"> 69, 96 (2019). </w:t>
      </w:r>
    </w:p>
  </w:footnote>
  <w:footnote w:id="14">
    <w:p w14:paraId="026ED5B4" w14:textId="27AB9869"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 xml:space="preserve">See </w:t>
      </w:r>
      <w:r w:rsidRPr="00691802">
        <w:rPr>
          <w:color w:val="auto"/>
        </w:rPr>
        <w:t xml:space="preserve">Small Business Cybersecurity: Survey Shows Reason for Worry, Mastercard, Mar. 27, 2025, </w:t>
      </w:r>
      <w:hyperlink r:id="rId11" w:history="1">
        <w:r w:rsidRPr="00691802">
          <w:rPr>
            <w:rStyle w:val="Hyperlink"/>
          </w:rPr>
          <w:t>https://www.mastercard.com/us/en/news-and-trends/stories/2025/small-business-cybersecurity-study.html</w:t>
        </w:r>
      </w:hyperlink>
      <w:r w:rsidRPr="00691802">
        <w:rPr>
          <w:color w:val="auto"/>
        </w:rPr>
        <w:t>.</w:t>
      </w:r>
    </w:p>
  </w:footnote>
  <w:footnote w:id="15">
    <w:p w14:paraId="7C9D1AA8" w14:textId="16F0F4FB"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691802">
        <w:rPr>
          <w:i/>
          <w:iCs/>
          <w:color w:val="auto"/>
        </w:rPr>
        <w:t>Id.</w:t>
      </w:r>
    </w:p>
  </w:footnote>
  <w:footnote w:id="16">
    <w:p w14:paraId="39ED9A5C" w14:textId="1872815F" w:rsidR="00577C9E" w:rsidRPr="00691802" w:rsidRDefault="00577C9E" w:rsidP="00691802">
      <w:pPr>
        <w:pStyle w:val="FootnoteText"/>
        <w:contextualSpacing/>
      </w:pPr>
      <w:r w:rsidRPr="00691802">
        <w:rPr>
          <w:rStyle w:val="FootnoteReference"/>
        </w:rPr>
        <w:footnoteRef/>
      </w:r>
      <w:r w:rsidRPr="00691802">
        <w:t xml:space="preserve"> Verizon, </w:t>
      </w:r>
      <w:r w:rsidRPr="00691802">
        <w:rPr>
          <w:i/>
          <w:iCs/>
        </w:rPr>
        <w:t>2025 Data Breach Investigations Report</w:t>
      </w:r>
      <w:r w:rsidRPr="00691802">
        <w:t xml:space="preserve">, at 86, </w:t>
      </w:r>
      <w:hyperlink r:id="rId12" w:history="1">
        <w:r w:rsidRPr="00691802">
          <w:rPr>
            <w:rStyle w:val="Hyperlink"/>
          </w:rPr>
          <w:t>https://www.verizon.com/business/resources/T163/reports/2025-dbir-data-breach-investigations-report.pdf</w:t>
        </w:r>
      </w:hyperlink>
      <w:r w:rsidRPr="00691802">
        <w:t>.</w:t>
      </w:r>
    </w:p>
  </w:footnote>
  <w:footnote w:id="17">
    <w:p w14:paraId="6B6E75DA" w14:textId="0BC8D7F8"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B63158">
        <w:rPr>
          <w:i/>
          <w:iCs/>
          <w:color w:val="auto"/>
        </w:rPr>
        <w:t xml:space="preserve">Supra </w:t>
      </w:r>
      <w:r w:rsidRPr="00B63158">
        <w:rPr>
          <w:color w:val="auto"/>
        </w:rPr>
        <w:t>note 14</w:t>
      </w:r>
      <w:r>
        <w:rPr>
          <w:color w:val="auto"/>
        </w:rPr>
        <w:t>.</w:t>
      </w:r>
    </w:p>
  </w:footnote>
  <w:footnote w:id="18">
    <w:p w14:paraId="5F99E48A" w14:textId="65E5D326"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BE71E7">
        <w:rPr>
          <w:i/>
          <w:iCs/>
          <w:color w:val="auto"/>
        </w:rPr>
        <w:t>Supra</w:t>
      </w:r>
      <w:r w:rsidRPr="00BE71E7">
        <w:rPr>
          <w:color w:val="auto"/>
        </w:rPr>
        <w:t xml:space="preserve"> note 1.</w:t>
      </w:r>
    </w:p>
  </w:footnote>
  <w:footnote w:id="19">
    <w:p w14:paraId="555ACB77" w14:textId="6EE88503" w:rsidR="00577C9E" w:rsidRPr="00691802" w:rsidRDefault="00577C9E" w:rsidP="00691802">
      <w:pPr>
        <w:pStyle w:val="FootnoteText"/>
        <w:contextualSpacing/>
      </w:pPr>
      <w:r w:rsidRPr="00691802">
        <w:rPr>
          <w:rStyle w:val="FootnoteReference"/>
        </w:rPr>
        <w:footnoteRef/>
      </w:r>
      <w:r w:rsidRPr="00691802">
        <w:t xml:space="preserve"> Scott Ikeda, </w:t>
      </w:r>
      <w:r w:rsidRPr="00691802">
        <w:rPr>
          <w:i/>
          <w:iCs/>
        </w:rPr>
        <w:t>SMB Study Reveals Majority of Small Businesses Aren’t Taking Cyber Attacks Seriously</w:t>
      </w:r>
      <w:r w:rsidRPr="00691802">
        <w:t xml:space="preserve">, CPO Magazine (Aug. 5, 2019), </w:t>
      </w:r>
      <w:hyperlink r:id="rId13" w:history="1">
        <w:r w:rsidRPr="00691802">
          <w:rPr>
            <w:rStyle w:val="Hyperlink"/>
          </w:rPr>
          <w:t>https://www.cpomagazine.com/cyber-security/smb-study-reveals-majority-of-small-businesses-arent-taking-cyber-attacks-seriously/</w:t>
        </w:r>
      </w:hyperlink>
      <w:r w:rsidRPr="00691802">
        <w:t>.</w:t>
      </w:r>
    </w:p>
  </w:footnote>
  <w:footnote w:id="20">
    <w:p w14:paraId="388C34B4" w14:textId="1D0395E5" w:rsidR="00577C9E" w:rsidRPr="00691802" w:rsidRDefault="00577C9E" w:rsidP="00691802">
      <w:pPr>
        <w:pStyle w:val="FootnoteText"/>
        <w:contextualSpacing/>
        <w:rPr>
          <w:color w:val="auto"/>
        </w:rPr>
      </w:pPr>
      <w:r w:rsidRPr="00CD4A2F">
        <w:rPr>
          <w:rStyle w:val="FootnoteReference"/>
          <w:color w:val="auto"/>
        </w:rPr>
        <w:footnoteRef/>
      </w:r>
      <w:r w:rsidRPr="00CD4A2F">
        <w:rPr>
          <w:color w:val="auto"/>
        </w:rPr>
        <w:t xml:space="preserve"> </w:t>
      </w:r>
      <w:r w:rsidRPr="00CD4A2F">
        <w:rPr>
          <w:i/>
          <w:iCs/>
          <w:color w:val="auto"/>
        </w:rPr>
        <w:t>Supra</w:t>
      </w:r>
      <w:r w:rsidRPr="00CD4A2F">
        <w:rPr>
          <w:color w:val="auto"/>
        </w:rPr>
        <w:t xml:space="preserve"> note 1.</w:t>
      </w:r>
    </w:p>
  </w:footnote>
  <w:footnote w:id="21">
    <w:p w14:paraId="15277BEB" w14:textId="3EC566FB" w:rsidR="00577C9E" w:rsidRPr="00CD4A2F" w:rsidRDefault="00577C9E" w:rsidP="00691802">
      <w:pPr>
        <w:pStyle w:val="FootnoteText"/>
        <w:contextualSpacing/>
        <w:rPr>
          <w:i/>
          <w:iCs/>
          <w:color w:val="auto"/>
        </w:rPr>
      </w:pPr>
      <w:r w:rsidRPr="00691802">
        <w:rPr>
          <w:rStyle w:val="FootnoteReference"/>
          <w:color w:val="auto"/>
        </w:rPr>
        <w:footnoteRef/>
      </w:r>
      <w:r w:rsidRPr="00691802">
        <w:rPr>
          <w:color w:val="auto"/>
        </w:rPr>
        <w:t xml:space="preserve"> </w:t>
      </w:r>
      <w:r>
        <w:rPr>
          <w:i/>
          <w:iCs/>
          <w:color w:val="auto"/>
        </w:rPr>
        <w:t>Id.</w:t>
      </w:r>
    </w:p>
  </w:footnote>
  <w:footnote w:id="22">
    <w:p w14:paraId="44D68452" w14:textId="015612CC" w:rsidR="00577C9E" w:rsidRPr="00691802" w:rsidRDefault="00577C9E" w:rsidP="00691802">
      <w:pPr>
        <w:pStyle w:val="HTMLPreformatted"/>
        <w:shd w:val="clear" w:color="auto" w:fill="FFFFFF"/>
        <w:contextualSpacing/>
        <w:textAlignment w:val="baseline"/>
        <w:rPr>
          <w:rFonts w:ascii="Times New Roman" w:hAnsi="Times New Roman" w:cs="Times New Roman"/>
          <w:color w:val="auto"/>
        </w:rPr>
      </w:pPr>
      <w:r w:rsidRPr="00691802">
        <w:rPr>
          <w:rStyle w:val="FootnoteReference"/>
          <w:rFonts w:ascii="Times New Roman" w:hAnsi="Times New Roman" w:cs="Times New Roman"/>
          <w:color w:val="auto"/>
        </w:rPr>
        <w:footnoteRef/>
      </w:r>
      <w:r w:rsidRPr="00691802">
        <w:rPr>
          <w:rFonts w:ascii="Times New Roman" w:hAnsi="Times New Roman" w:cs="Times New Roman"/>
          <w:color w:val="auto"/>
        </w:rPr>
        <w:t xml:space="preserve"> </w:t>
      </w:r>
      <w:r w:rsidRPr="00691802">
        <w:rPr>
          <w:rFonts w:ascii="Times New Roman" w:hAnsi="Times New Roman" w:cs="Times New Roman"/>
          <w:i/>
          <w:color w:val="auto"/>
        </w:rPr>
        <w:t>Ponemon: Cyberattacks on SMBs Rising Globally, Becoming More Targeted and Sophisticated</w:t>
      </w:r>
      <w:r w:rsidRPr="00691802">
        <w:rPr>
          <w:rFonts w:ascii="Times New Roman" w:hAnsi="Times New Roman" w:cs="Times New Roman"/>
          <w:color w:val="auto"/>
        </w:rPr>
        <w:t xml:space="preserve">, </w:t>
      </w:r>
      <w:r w:rsidRPr="00691802">
        <w:rPr>
          <w:rFonts w:ascii="Times New Roman" w:hAnsi="Times New Roman" w:cs="Times New Roman"/>
          <w:smallCaps/>
          <w:color w:val="auto"/>
        </w:rPr>
        <w:t>PR Newswire</w:t>
      </w:r>
      <w:r w:rsidRPr="00691802">
        <w:rPr>
          <w:rFonts w:ascii="Times New Roman" w:hAnsi="Times New Roman" w:cs="Times New Roman"/>
          <w:color w:val="auto"/>
        </w:rPr>
        <w:t xml:space="preserve">, October 8, 2019, </w:t>
      </w:r>
      <w:hyperlink r:id="rId14" w:history="1">
        <w:r w:rsidRPr="00691802">
          <w:rPr>
            <w:rStyle w:val="Hyperlink"/>
            <w:rFonts w:ascii="Times New Roman" w:hAnsi="Times New Roman" w:cs="Times New Roman"/>
          </w:rPr>
          <w:t>https://www.prnewswire.com/news-releases/ponemon-cyberattacks-on-smbs-rising-globally-becoming-more-targeted-and-sophisticated-300933394.html</w:t>
        </w:r>
      </w:hyperlink>
      <w:r w:rsidRPr="00691802">
        <w:rPr>
          <w:rFonts w:ascii="Times New Roman" w:hAnsi="Times New Roman" w:cs="Times New Roman"/>
          <w:color w:val="auto"/>
        </w:rPr>
        <w:t>.</w:t>
      </w:r>
    </w:p>
  </w:footnote>
  <w:footnote w:id="23">
    <w:p w14:paraId="14B475C1" w14:textId="2018F404" w:rsidR="00577C9E" w:rsidRPr="00691802" w:rsidRDefault="00577C9E" w:rsidP="00691802">
      <w:pPr>
        <w:pStyle w:val="FootnoteText"/>
        <w:contextualSpacing/>
      </w:pPr>
      <w:r w:rsidRPr="00691802">
        <w:rPr>
          <w:rStyle w:val="FootnoteReference"/>
        </w:rPr>
        <w:footnoteRef/>
      </w:r>
      <w:r w:rsidRPr="00691802">
        <w:t xml:space="preserve"> Cowbell Cyber, </w:t>
      </w:r>
      <w:r w:rsidRPr="00691802">
        <w:rPr>
          <w:i/>
          <w:iCs/>
        </w:rPr>
        <w:t>Cyber Round</w:t>
      </w:r>
      <w:r w:rsidRPr="00691802">
        <w:rPr>
          <w:i/>
          <w:iCs/>
        </w:rPr>
        <w:noBreakHyphen/>
        <w:t>Up: Q2 2023</w:t>
      </w:r>
      <w:r w:rsidRPr="00691802">
        <w:t xml:space="preserve"> (2023), </w:t>
      </w:r>
      <w:hyperlink r:id="rId15" w:history="1">
        <w:r w:rsidRPr="00691802">
          <w:rPr>
            <w:rStyle w:val="Hyperlink"/>
          </w:rPr>
          <w:t>https://cowbell.insure/wp-content/uploads/pdfs/Cowbell-Cyber-Round-Up-Q2-2023.pdf</w:t>
        </w:r>
      </w:hyperlink>
    </w:p>
  </w:footnote>
  <w:footnote w:id="24">
    <w:p w14:paraId="5C4D509F" w14:textId="3C27E7EA" w:rsidR="00577C9E" w:rsidRPr="00691802" w:rsidRDefault="00577C9E" w:rsidP="00691802">
      <w:pPr>
        <w:pStyle w:val="FootnoteText"/>
        <w:contextualSpacing/>
      </w:pPr>
      <w:r w:rsidRPr="00691802">
        <w:rPr>
          <w:rStyle w:val="FootnoteReference"/>
        </w:rPr>
        <w:footnoteRef/>
      </w:r>
      <w:r w:rsidRPr="00691802">
        <w:t xml:space="preserve"> Matt Cullina, </w:t>
      </w:r>
      <w:r w:rsidRPr="00691802">
        <w:rPr>
          <w:i/>
          <w:iCs/>
        </w:rPr>
        <w:t>Preparing for 2025: The SMB Cybersecurity Gap</w:t>
      </w:r>
      <w:r w:rsidRPr="00691802">
        <w:t xml:space="preserve">, Forbes (Jan. 10, 2025), </w:t>
      </w:r>
      <w:hyperlink r:id="rId16" w:history="1">
        <w:r w:rsidRPr="00691802">
          <w:rPr>
            <w:rStyle w:val="Hyperlink"/>
          </w:rPr>
          <w:t>https://www.forbes.com/councils/forbesbusinesscouncil/2025/01/10/preparing-for-2025-the-smb-cybersecurity-gap/</w:t>
        </w:r>
      </w:hyperlink>
      <w:r w:rsidRPr="00691802">
        <w:t>.</w:t>
      </w:r>
    </w:p>
  </w:footnote>
  <w:footnote w:id="25">
    <w:p w14:paraId="1ACE8A6F" w14:textId="5DD2A43B"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Nathaniel Popper, </w:t>
      </w:r>
      <w:r w:rsidRPr="00691802">
        <w:rPr>
          <w:i/>
          <w:color w:val="auto"/>
        </w:rPr>
        <w:t>Ransomware Attacks Grow, Crippling Cities and Businesses</w:t>
      </w:r>
      <w:r w:rsidRPr="00691802">
        <w:rPr>
          <w:color w:val="auto"/>
        </w:rPr>
        <w:t xml:space="preserve">, </w:t>
      </w:r>
      <w:r w:rsidRPr="00691802">
        <w:rPr>
          <w:smallCaps/>
          <w:color w:val="auto"/>
        </w:rPr>
        <w:t>The New York Times</w:t>
      </w:r>
      <w:r w:rsidRPr="00691802">
        <w:rPr>
          <w:color w:val="auto"/>
        </w:rPr>
        <w:t xml:space="preserve">, Feb. 9, 2020, </w:t>
      </w:r>
      <w:hyperlink r:id="rId17" w:history="1">
        <w:r w:rsidRPr="00691802">
          <w:rPr>
            <w:rStyle w:val="Hyperlink"/>
          </w:rPr>
          <w:t>https://www.nytimes.com/2020/02/09/technology/ransomware-attacks.html</w:t>
        </w:r>
      </w:hyperlink>
      <w:r w:rsidRPr="00691802">
        <w:t>.</w:t>
      </w:r>
    </w:p>
  </w:footnote>
  <w:footnote w:id="26">
    <w:p w14:paraId="35800EC7" w14:textId="46879B69" w:rsidR="00577C9E" w:rsidRPr="00691802" w:rsidRDefault="00577C9E" w:rsidP="00691802">
      <w:pPr>
        <w:pStyle w:val="FootnoteText"/>
        <w:contextualSpacing/>
      </w:pPr>
      <w:r w:rsidRPr="00691802">
        <w:rPr>
          <w:rStyle w:val="FootnoteReference"/>
        </w:rPr>
        <w:footnoteRef/>
      </w:r>
      <w:r w:rsidRPr="00691802">
        <w:t xml:space="preserve"> </w:t>
      </w:r>
      <w:r w:rsidRPr="0029796E">
        <w:rPr>
          <w:i/>
          <w:iCs/>
        </w:rPr>
        <w:t xml:space="preserve">Supra </w:t>
      </w:r>
      <w:r w:rsidRPr="0029796E">
        <w:t xml:space="preserve">note 24. </w:t>
      </w:r>
    </w:p>
  </w:footnote>
  <w:footnote w:id="27">
    <w:p w14:paraId="4408B8AF" w14:textId="48D789EC" w:rsidR="00577C9E" w:rsidRPr="00691802" w:rsidRDefault="00577C9E" w:rsidP="00691802">
      <w:pPr>
        <w:pStyle w:val="FootnoteText"/>
        <w:contextualSpacing/>
      </w:pPr>
      <w:r w:rsidRPr="00691802">
        <w:rPr>
          <w:rStyle w:val="FootnoteReference"/>
        </w:rPr>
        <w:footnoteRef/>
      </w:r>
      <w:r w:rsidRPr="00691802">
        <w:t xml:space="preserve"> World Economic Forum, </w:t>
      </w:r>
      <w:r w:rsidRPr="00691802">
        <w:rPr>
          <w:i/>
          <w:iCs/>
        </w:rPr>
        <w:t>Global Cybersecurity Outlook 2025</w:t>
      </w:r>
      <w:r w:rsidRPr="00691802">
        <w:t xml:space="preserve"> (2025), </w:t>
      </w:r>
      <w:hyperlink r:id="rId18" w:history="1">
        <w:r w:rsidRPr="00691802">
          <w:rPr>
            <w:rStyle w:val="Hyperlink"/>
          </w:rPr>
          <w:t>https://reports.weforum.org/docs/WEF_Global_Cybersecurity_Outlook_2025.pdf</w:t>
        </w:r>
      </w:hyperlink>
      <w:r w:rsidRPr="00691802">
        <w:t>.</w:t>
      </w:r>
    </w:p>
  </w:footnote>
  <w:footnote w:id="28">
    <w:p w14:paraId="576B1B9E" w14:textId="08BFF0DA" w:rsidR="00577C9E" w:rsidRPr="00691802" w:rsidRDefault="00577C9E" w:rsidP="00691802">
      <w:pPr>
        <w:pStyle w:val="FootnoteText"/>
        <w:contextualSpacing/>
      </w:pPr>
      <w:r w:rsidRPr="00691802">
        <w:rPr>
          <w:rStyle w:val="FootnoteReference"/>
        </w:rPr>
        <w:footnoteRef/>
      </w:r>
      <w:r w:rsidRPr="00691802">
        <w:t xml:space="preserve"> </w:t>
      </w:r>
      <w:r w:rsidRPr="0029796E">
        <w:rPr>
          <w:i/>
          <w:iCs/>
        </w:rPr>
        <w:t xml:space="preserve">Supra </w:t>
      </w:r>
      <w:r w:rsidRPr="0029796E">
        <w:t>note 24</w:t>
      </w:r>
      <w:r>
        <w:t>.</w:t>
      </w:r>
    </w:p>
  </w:footnote>
  <w:footnote w:id="29">
    <w:p w14:paraId="5AF26B27" w14:textId="53AC53CC" w:rsidR="00577C9E" w:rsidRPr="00691802" w:rsidRDefault="00577C9E" w:rsidP="00691802">
      <w:pPr>
        <w:spacing w:after="0" w:line="240" w:lineRule="auto"/>
        <w:contextualSpacing/>
        <w:rPr>
          <w:rFonts w:eastAsia="Times New Roman"/>
          <w:color w:val="auto"/>
          <w:sz w:val="20"/>
          <w:szCs w:val="20"/>
          <w:shd w:val="clear" w:color="auto" w:fill="FFFFFF"/>
        </w:rPr>
      </w:pPr>
      <w:r w:rsidRPr="00691802">
        <w:rPr>
          <w:rStyle w:val="FootnoteReference"/>
          <w:color w:val="auto"/>
          <w:sz w:val="20"/>
          <w:szCs w:val="20"/>
        </w:rPr>
        <w:footnoteRef/>
      </w:r>
      <w:r w:rsidRPr="00691802">
        <w:rPr>
          <w:color w:val="auto"/>
          <w:sz w:val="20"/>
          <w:szCs w:val="20"/>
        </w:rPr>
        <w:t xml:space="preserve"> </w:t>
      </w:r>
      <w:r w:rsidRPr="00691802">
        <w:rPr>
          <w:rFonts w:eastAsia="Times New Roman"/>
          <w:color w:val="auto"/>
          <w:sz w:val="20"/>
          <w:szCs w:val="20"/>
          <w:shd w:val="clear" w:color="auto" w:fill="FFFFFF"/>
        </w:rPr>
        <w:t>Jason Hart, </w:t>
      </w:r>
      <w:r w:rsidRPr="00691802">
        <w:rPr>
          <w:rFonts w:eastAsia="Times New Roman"/>
          <w:i/>
          <w:iCs/>
          <w:color w:val="auto"/>
          <w:sz w:val="20"/>
          <w:szCs w:val="20"/>
        </w:rPr>
        <w:t>10 Years of Cybersecurity; What the Past Decade Has Taught Us</w:t>
      </w:r>
      <w:r w:rsidRPr="00691802">
        <w:rPr>
          <w:rFonts w:eastAsia="Times New Roman"/>
          <w:color w:val="auto"/>
          <w:sz w:val="20"/>
          <w:szCs w:val="20"/>
          <w:shd w:val="clear" w:color="auto" w:fill="FFFFFF"/>
        </w:rPr>
        <w:t>, </w:t>
      </w:r>
      <w:r w:rsidRPr="00691802">
        <w:rPr>
          <w:rFonts w:eastAsia="Times New Roman"/>
          <w:smallCaps/>
          <w:color w:val="auto"/>
          <w:sz w:val="20"/>
          <w:szCs w:val="20"/>
          <w:shd w:val="clear" w:color="auto" w:fill="FFFFFF"/>
        </w:rPr>
        <w:t>Gemalto</w:t>
      </w:r>
      <w:r w:rsidRPr="00691802">
        <w:rPr>
          <w:rFonts w:eastAsia="Times New Roman"/>
          <w:color w:val="auto"/>
          <w:sz w:val="20"/>
          <w:szCs w:val="20"/>
          <w:shd w:val="clear" w:color="auto" w:fill="FFFFFF"/>
        </w:rPr>
        <w:t xml:space="preserve">, June 6, 2016, </w:t>
      </w:r>
      <w:hyperlink r:id="rId19" w:history="1">
        <w:r w:rsidRPr="00691802">
          <w:rPr>
            <w:rStyle w:val="Hyperlink"/>
            <w:rFonts w:eastAsia="Times New Roman"/>
            <w:sz w:val="20"/>
            <w:szCs w:val="20"/>
            <w:shd w:val="clear" w:color="auto" w:fill="FFFFFF"/>
          </w:rPr>
          <w:t>https://dis-blog.thalesgroup.com/security/2016/06/06/10-years-cyber-security-past-decade-taught-us/</w:t>
        </w:r>
      </w:hyperlink>
      <w:r w:rsidRPr="00691802">
        <w:rPr>
          <w:rFonts w:eastAsia="Times New Roman"/>
          <w:color w:val="auto"/>
          <w:sz w:val="20"/>
          <w:szCs w:val="20"/>
          <w:shd w:val="clear" w:color="auto" w:fill="FFFFFF"/>
        </w:rPr>
        <w:t>.</w:t>
      </w:r>
      <w:r w:rsidRPr="00691802" w:rsidDel="006D3CF1">
        <w:rPr>
          <w:rFonts w:eastAsia="Times New Roman"/>
          <w:color w:val="auto"/>
          <w:sz w:val="20"/>
          <w:szCs w:val="20"/>
          <w:shd w:val="clear" w:color="auto" w:fill="FFFFFF"/>
        </w:rPr>
        <w:t xml:space="preserve"> </w:t>
      </w:r>
    </w:p>
  </w:footnote>
  <w:footnote w:id="30">
    <w:p w14:paraId="7926FA78" w14:textId="1E1F1212" w:rsidR="00577C9E" w:rsidRPr="00691802" w:rsidRDefault="00577C9E" w:rsidP="00691802">
      <w:pPr>
        <w:pStyle w:val="FootnoteText"/>
        <w:contextualSpacing/>
      </w:pPr>
      <w:r w:rsidRPr="00691802">
        <w:rPr>
          <w:rStyle w:val="FootnoteReference"/>
        </w:rPr>
        <w:footnoteRef/>
      </w:r>
      <w:r w:rsidRPr="00691802">
        <w:t xml:space="preserve"> </w:t>
      </w:r>
      <w:r w:rsidRPr="0029796E">
        <w:rPr>
          <w:rFonts w:eastAsia="Times New Roman"/>
          <w:i/>
          <w:iCs/>
          <w:color w:val="auto"/>
        </w:rPr>
        <w:t>Supra</w:t>
      </w:r>
      <w:r w:rsidRPr="0029796E">
        <w:rPr>
          <w:rFonts w:eastAsia="Times New Roman"/>
          <w:color w:val="auto"/>
        </w:rPr>
        <w:t xml:space="preserve"> note 13 at 70</w:t>
      </w:r>
      <w:r>
        <w:rPr>
          <w:rFonts w:eastAsia="Times New Roman"/>
          <w:color w:val="auto"/>
        </w:rPr>
        <w:t>.</w:t>
      </w:r>
      <w:r w:rsidRPr="00691802">
        <w:rPr>
          <w:rFonts w:eastAsia="Times New Roman"/>
          <w:color w:val="auto"/>
        </w:rPr>
        <w:t xml:space="preserve"> </w:t>
      </w:r>
    </w:p>
  </w:footnote>
  <w:footnote w:id="31">
    <w:p w14:paraId="0906381C" w14:textId="77777777" w:rsidR="00577C9E" w:rsidRPr="00691802" w:rsidRDefault="00577C9E" w:rsidP="00691802">
      <w:pPr>
        <w:spacing w:after="0" w:line="240" w:lineRule="auto"/>
        <w:contextualSpacing/>
        <w:rPr>
          <w:color w:val="auto"/>
          <w:sz w:val="20"/>
          <w:szCs w:val="20"/>
        </w:rPr>
      </w:pPr>
      <w:r w:rsidRPr="00691802">
        <w:rPr>
          <w:rStyle w:val="FootnoteReference"/>
          <w:color w:val="auto"/>
          <w:sz w:val="20"/>
          <w:szCs w:val="20"/>
        </w:rPr>
        <w:footnoteRef/>
      </w:r>
      <w:r w:rsidRPr="00691802">
        <w:rPr>
          <w:color w:val="auto"/>
          <w:sz w:val="20"/>
          <w:szCs w:val="20"/>
        </w:rPr>
        <w:t xml:space="preserve"> </w:t>
      </w:r>
      <w:r w:rsidRPr="00691802">
        <w:rPr>
          <w:rFonts w:eastAsia="Times New Roman"/>
          <w:color w:val="auto"/>
          <w:sz w:val="20"/>
          <w:szCs w:val="20"/>
          <w:shd w:val="clear" w:color="auto" w:fill="FFFFFF"/>
        </w:rPr>
        <w:t>N.Y. State Dep't. of Fin. Servs., Report on Cyber Security in the Banking Sector 1 (2014).</w:t>
      </w:r>
    </w:p>
  </w:footnote>
  <w:footnote w:id="32">
    <w:p w14:paraId="56AAFD5B" w14:textId="454F23A1" w:rsidR="00577C9E" w:rsidRPr="00691802" w:rsidRDefault="00577C9E" w:rsidP="00691802">
      <w:pPr>
        <w:pStyle w:val="FootnoteText"/>
        <w:contextualSpacing/>
      </w:pPr>
      <w:r w:rsidRPr="00691802">
        <w:rPr>
          <w:rStyle w:val="FootnoteReference"/>
        </w:rPr>
        <w:footnoteRef/>
      </w:r>
      <w:r w:rsidRPr="00691802">
        <w:t xml:space="preserve"> </w:t>
      </w:r>
      <w:r w:rsidRPr="0029796E">
        <w:rPr>
          <w:i/>
          <w:iCs/>
        </w:rPr>
        <w:t>Supra</w:t>
      </w:r>
      <w:r w:rsidRPr="0029796E">
        <w:t xml:space="preserve"> note 27.</w:t>
      </w:r>
      <w:r w:rsidRPr="00691802">
        <w:t xml:space="preserve"> </w:t>
      </w:r>
    </w:p>
  </w:footnote>
  <w:footnote w:id="33">
    <w:p w14:paraId="2EF12B29" w14:textId="77777777"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hyperlink r:id="rId20" w:history="1">
        <w:r w:rsidRPr="00691802">
          <w:rPr>
            <w:rStyle w:val="Hyperlink"/>
            <w:color w:val="auto"/>
            <w:u w:val="none"/>
          </w:rPr>
          <w:t>42 U.S.C. § 1320d-6 (2018)</w:t>
        </w:r>
      </w:hyperlink>
      <w:r w:rsidRPr="00691802">
        <w:rPr>
          <w:color w:val="auto"/>
        </w:rPr>
        <w:t>.</w:t>
      </w:r>
    </w:p>
  </w:footnote>
  <w:footnote w:id="34">
    <w:p w14:paraId="754CA768" w14:textId="7692ED89" w:rsidR="00577C9E" w:rsidRPr="00691802" w:rsidRDefault="00577C9E" w:rsidP="00691802">
      <w:pPr>
        <w:pStyle w:val="FootnoteText"/>
        <w:contextualSpacing/>
      </w:pPr>
      <w:r w:rsidRPr="00691802">
        <w:rPr>
          <w:rStyle w:val="FootnoteReference"/>
        </w:rPr>
        <w:footnoteRef/>
      </w:r>
      <w:r w:rsidRPr="00691802">
        <w:t xml:space="preserve"> U.S. Dep’t of Health &amp; Human Servs., </w:t>
      </w:r>
      <w:r w:rsidRPr="00691802">
        <w:rPr>
          <w:i/>
          <w:iCs/>
        </w:rPr>
        <w:t>The HIPAA Privacy Rule</w:t>
      </w:r>
      <w:r w:rsidRPr="00691802">
        <w:t xml:space="preserve">, HHS (last reviewed Sept. 27, 2024) </w:t>
      </w:r>
      <w:hyperlink r:id="rId21" w:history="1">
        <w:r w:rsidRPr="00691802">
          <w:rPr>
            <w:rStyle w:val="Hyperlink"/>
          </w:rPr>
          <w:t>https://www.hhs.gov/hipaa/for-professionals/privacy/index.html</w:t>
        </w:r>
      </w:hyperlink>
      <w:r w:rsidRPr="00691802">
        <w:t>.</w:t>
      </w:r>
    </w:p>
  </w:footnote>
  <w:footnote w:id="35">
    <w:p w14:paraId="213DF672" w14:textId="429CA524" w:rsidR="00577C9E" w:rsidRPr="00691802" w:rsidRDefault="00577C9E" w:rsidP="00691802">
      <w:pPr>
        <w:pStyle w:val="FootnoteText"/>
        <w:contextualSpacing/>
        <w:rPr>
          <w:i/>
          <w:color w:val="auto"/>
        </w:rPr>
      </w:pPr>
      <w:r w:rsidRPr="00691802">
        <w:rPr>
          <w:rStyle w:val="FootnoteReference"/>
          <w:color w:val="auto"/>
        </w:rPr>
        <w:footnoteRef/>
      </w:r>
      <w:r w:rsidRPr="00691802">
        <w:rPr>
          <w:color w:val="auto"/>
        </w:rPr>
        <w:t xml:space="preserve"> </w:t>
      </w:r>
      <w:r w:rsidRPr="00691802">
        <w:t xml:space="preserve">U.S. Dep’t of Health &amp; Human Servs., </w:t>
      </w:r>
      <w:r w:rsidRPr="00691802">
        <w:rPr>
          <w:i/>
          <w:iCs/>
        </w:rPr>
        <w:t>The HIPAA Security Rule</w:t>
      </w:r>
      <w:r w:rsidRPr="00691802">
        <w:t xml:space="preserve">, HHS (last reviewed Sept. 27, 2024)  </w:t>
      </w:r>
      <w:hyperlink r:id="rId22" w:history="1">
        <w:r w:rsidRPr="00691802">
          <w:rPr>
            <w:rStyle w:val="Hyperlink"/>
          </w:rPr>
          <w:t>https://www.hhs.gov/hipaa/for-professionals/security/index.html</w:t>
        </w:r>
      </w:hyperlink>
      <w:r w:rsidRPr="00691802">
        <w:rPr>
          <w:color w:val="auto"/>
        </w:rPr>
        <w:t>.</w:t>
      </w:r>
    </w:p>
  </w:footnote>
  <w:footnote w:id="36">
    <w:p w14:paraId="6E244201" w14:textId="0C8724CC" w:rsidR="00577C9E" w:rsidRPr="00691802" w:rsidRDefault="00577C9E" w:rsidP="00691802">
      <w:pPr>
        <w:pStyle w:val="FootnoteText"/>
        <w:contextualSpacing/>
      </w:pPr>
      <w:r w:rsidRPr="00691802">
        <w:rPr>
          <w:rStyle w:val="FootnoteReference"/>
        </w:rPr>
        <w:footnoteRef/>
      </w:r>
      <w:r w:rsidRPr="00691802">
        <w:t xml:space="preserve"> Bradley University Online, </w:t>
      </w:r>
      <w:r w:rsidRPr="00691802">
        <w:rPr>
          <w:i/>
          <w:iCs/>
        </w:rPr>
        <w:t>HIPAA Privacy Rule vs. HIPAA Security Rule</w:t>
      </w:r>
      <w:r w:rsidRPr="00691802">
        <w:t xml:space="preserve">, Bradley Univ. Online </w:t>
      </w:r>
      <w:hyperlink r:id="rId23" w:history="1">
        <w:r w:rsidRPr="00691802">
          <w:rPr>
            <w:rStyle w:val="Hyperlink"/>
          </w:rPr>
          <w:t>https://onlinedegrees.bradley.edu/blog/hipaa-privacy-rule-vs-hipaa-security-rule</w:t>
        </w:r>
      </w:hyperlink>
      <w:r w:rsidRPr="00691802">
        <w:t>.</w:t>
      </w:r>
    </w:p>
  </w:footnote>
  <w:footnote w:id="37">
    <w:p w14:paraId="73496E21" w14:textId="61E1B477"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Id.</w:t>
      </w:r>
    </w:p>
  </w:footnote>
  <w:footnote w:id="38">
    <w:p w14:paraId="676D5888" w14:textId="6F525769" w:rsidR="00577C9E" w:rsidRPr="00691802" w:rsidRDefault="00577C9E" w:rsidP="00691802">
      <w:pPr>
        <w:pStyle w:val="FootnoteText"/>
        <w:contextualSpacing/>
      </w:pPr>
      <w:r w:rsidRPr="00691802">
        <w:rPr>
          <w:rStyle w:val="FootnoteReference"/>
          <w:color w:val="auto"/>
        </w:rPr>
        <w:footnoteRef/>
      </w:r>
      <w:r w:rsidRPr="00691802">
        <w:rPr>
          <w:color w:val="auto"/>
        </w:rPr>
        <w:t xml:space="preserve"> Centers for Medicare &amp; Medicaid Services, </w:t>
      </w:r>
      <w:r w:rsidRPr="00691802">
        <w:rPr>
          <w:i/>
          <w:color w:val="auto"/>
        </w:rPr>
        <w:t>HIPAA Security Series</w:t>
      </w:r>
      <w:r w:rsidRPr="00691802">
        <w:rPr>
          <w:color w:val="auto"/>
        </w:rPr>
        <w:t xml:space="preserve">, </w:t>
      </w:r>
      <w:r w:rsidRPr="00691802">
        <w:rPr>
          <w:smallCaps/>
          <w:color w:val="auto"/>
        </w:rPr>
        <w:t>U.S. Department of Health &amp; Human Services</w:t>
      </w:r>
      <w:r w:rsidRPr="00691802">
        <w:rPr>
          <w:color w:val="auto"/>
        </w:rPr>
        <w:t xml:space="preserve">, Mar. 2007, </w:t>
      </w:r>
      <w:hyperlink r:id="rId24" w:history="1">
        <w:r w:rsidRPr="00691802">
          <w:rPr>
            <w:rStyle w:val="Hyperlink"/>
          </w:rPr>
          <w:t>https://www.hhs.gov/sites/default/files/ocr/privacy/hipaa/administrative/securityrule/techsafeguards.pdf</w:t>
        </w:r>
      </w:hyperlink>
      <w:r w:rsidRPr="00691802">
        <w:t>.</w:t>
      </w:r>
    </w:p>
  </w:footnote>
  <w:footnote w:id="39">
    <w:p w14:paraId="2E1B8FDE" w14:textId="77777777"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691802">
        <w:rPr>
          <w:i/>
          <w:color w:val="auto"/>
        </w:rPr>
        <w:t>See</w:t>
      </w:r>
      <w:r w:rsidRPr="00691802">
        <w:rPr>
          <w:color w:val="auto"/>
        </w:rPr>
        <w:t xml:space="preserve"> 45 C.F.R. 164.306.</w:t>
      </w:r>
    </w:p>
  </w:footnote>
  <w:footnote w:id="40">
    <w:p w14:paraId="726B0A71" w14:textId="77777777"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691802">
        <w:rPr>
          <w:i/>
          <w:color w:val="auto"/>
        </w:rPr>
        <w:t>See id.</w:t>
      </w:r>
      <w:r w:rsidRPr="00691802">
        <w:rPr>
          <w:color w:val="auto"/>
        </w:rPr>
        <w:t xml:space="preserve"> </w:t>
      </w:r>
    </w:p>
  </w:footnote>
  <w:footnote w:id="41">
    <w:p w14:paraId="0F7C863E" w14:textId="7EB9DC29"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691802">
        <w:rPr>
          <w:i/>
          <w:color w:val="auto"/>
        </w:rPr>
        <w:t>See</w:t>
      </w:r>
      <w:r w:rsidRPr="00691802">
        <w:rPr>
          <w:i/>
          <w:iCs/>
          <w:color w:val="auto"/>
        </w:rPr>
        <w:t xml:space="preserve"> id.</w:t>
      </w:r>
    </w:p>
  </w:footnote>
  <w:footnote w:id="42">
    <w:p w14:paraId="3736AF4C" w14:textId="579D8B5C"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691802">
        <w:rPr>
          <w:i/>
          <w:color w:val="auto"/>
        </w:rPr>
        <w:t>See</w:t>
      </w:r>
      <w:r w:rsidRPr="00691802">
        <w:rPr>
          <w:color w:val="auto"/>
        </w:rPr>
        <w:t xml:space="preserve"> </w:t>
      </w:r>
      <w:r w:rsidRPr="00691802">
        <w:rPr>
          <w:i/>
          <w:iCs/>
          <w:color w:val="auto"/>
        </w:rPr>
        <w:t>id.</w:t>
      </w:r>
    </w:p>
  </w:footnote>
  <w:footnote w:id="43">
    <w:p w14:paraId="47EFC7FB" w14:textId="77777777" w:rsidR="00577C9E" w:rsidRPr="00691802" w:rsidRDefault="00577C9E" w:rsidP="00691802">
      <w:pPr>
        <w:pStyle w:val="FootnoteText"/>
        <w:contextualSpacing/>
        <w:rPr>
          <w:color w:val="auto"/>
        </w:rPr>
      </w:pPr>
      <w:r w:rsidRPr="00691802">
        <w:rPr>
          <w:rStyle w:val="PageNumber"/>
          <w:color w:val="auto"/>
          <w:vertAlign w:val="superscript"/>
        </w:rPr>
        <w:footnoteRef/>
      </w:r>
      <w:r w:rsidRPr="00691802">
        <w:rPr>
          <w:rStyle w:val="PageNumber"/>
          <w:color w:val="auto"/>
        </w:rPr>
        <w:t xml:space="preserve"> 45 C.F.R. Parts 160 and 164, Subparts A, C, and E.</w:t>
      </w:r>
    </w:p>
  </w:footnote>
  <w:footnote w:id="44">
    <w:p w14:paraId="54D7CC10" w14:textId="77777777" w:rsidR="00577C9E" w:rsidRPr="00691802" w:rsidRDefault="00577C9E" w:rsidP="00691802">
      <w:pPr>
        <w:pStyle w:val="FootnoteText"/>
        <w:contextualSpacing/>
        <w:rPr>
          <w:color w:val="auto"/>
        </w:rPr>
      </w:pPr>
      <w:r w:rsidRPr="00691802">
        <w:rPr>
          <w:rStyle w:val="PageNumber"/>
          <w:color w:val="auto"/>
          <w:vertAlign w:val="superscript"/>
        </w:rPr>
        <w:footnoteRef/>
      </w:r>
      <w:r w:rsidRPr="00691802">
        <w:rPr>
          <w:rStyle w:val="PageNumber"/>
          <w:color w:val="auto"/>
        </w:rPr>
        <w:t xml:space="preserve"> 42 U.S.C. § 1320d-6(b)(1).</w:t>
      </w:r>
    </w:p>
  </w:footnote>
  <w:footnote w:id="45">
    <w:p w14:paraId="75BC6085" w14:textId="77777777" w:rsidR="00577C9E" w:rsidRPr="00691802" w:rsidRDefault="00577C9E" w:rsidP="00691802">
      <w:pPr>
        <w:pStyle w:val="FootnoteText"/>
        <w:contextualSpacing/>
        <w:rPr>
          <w:color w:val="auto"/>
        </w:rPr>
      </w:pPr>
      <w:r w:rsidRPr="00691802">
        <w:rPr>
          <w:rStyle w:val="PageNumber"/>
          <w:color w:val="auto"/>
          <w:vertAlign w:val="superscript"/>
        </w:rPr>
        <w:footnoteRef/>
      </w:r>
      <w:r w:rsidRPr="00691802">
        <w:rPr>
          <w:rStyle w:val="PageNumber"/>
          <w:color w:val="auto"/>
        </w:rPr>
        <w:t xml:space="preserve"> </w:t>
      </w:r>
      <w:r w:rsidRPr="00691802">
        <w:rPr>
          <w:rStyle w:val="PageNumber"/>
          <w:i/>
          <w:iCs/>
          <w:color w:val="auto"/>
        </w:rPr>
        <w:t>Id.</w:t>
      </w:r>
      <w:r w:rsidRPr="00691802">
        <w:rPr>
          <w:rStyle w:val="PageNumber"/>
          <w:color w:val="auto"/>
        </w:rPr>
        <w:t xml:space="preserve"> § 1320d-6(b)(2).</w:t>
      </w:r>
    </w:p>
  </w:footnote>
  <w:footnote w:id="46">
    <w:p w14:paraId="56CFBEEF" w14:textId="77777777"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691802">
        <w:rPr>
          <w:i/>
          <w:color w:val="auto"/>
        </w:rPr>
        <w:t>Id.</w:t>
      </w:r>
      <w:r w:rsidRPr="00691802">
        <w:rPr>
          <w:color w:val="auto"/>
        </w:rPr>
        <w:t xml:space="preserve"> § 1320d-6(b)(3).</w:t>
      </w:r>
    </w:p>
  </w:footnote>
  <w:footnote w:id="47">
    <w:p w14:paraId="7ADCB0F6" w14:textId="77777777" w:rsidR="00577C9E" w:rsidRPr="00691802" w:rsidRDefault="00577C9E" w:rsidP="00691802">
      <w:pPr>
        <w:pStyle w:val="FootnoteText"/>
        <w:contextualSpacing/>
        <w:rPr>
          <w:color w:val="auto"/>
        </w:rPr>
      </w:pPr>
      <w:r w:rsidRPr="00691802">
        <w:rPr>
          <w:rStyle w:val="PageNumber"/>
          <w:color w:val="auto"/>
          <w:vertAlign w:val="superscript"/>
        </w:rPr>
        <w:footnoteRef/>
      </w:r>
      <w:r w:rsidRPr="00691802">
        <w:rPr>
          <w:rStyle w:val="PageNumber"/>
          <w:color w:val="auto"/>
        </w:rPr>
        <w:t xml:space="preserve"> </w:t>
      </w:r>
      <w:r w:rsidRPr="00691802">
        <w:rPr>
          <w:rStyle w:val="PageNumber"/>
          <w:i/>
          <w:iCs/>
          <w:color w:val="auto"/>
        </w:rPr>
        <w:t>Id.</w:t>
      </w:r>
      <w:r w:rsidRPr="00691802">
        <w:rPr>
          <w:rStyle w:val="PageNumber"/>
          <w:color w:val="auto"/>
        </w:rPr>
        <w:t xml:space="preserve"> § 1320d-6(b)(3).</w:t>
      </w:r>
    </w:p>
  </w:footnote>
  <w:footnote w:id="48">
    <w:p w14:paraId="21486B9B" w14:textId="624125AB"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Andrew P. Scott &amp; Paul Tierno, </w:t>
      </w:r>
      <w:r w:rsidRPr="00691802">
        <w:rPr>
          <w:i/>
          <w:iCs/>
          <w:color w:val="auto"/>
        </w:rPr>
        <w:t>Banking, Data Privacy, and Cybersecurity Regulation</w:t>
      </w:r>
      <w:r w:rsidRPr="00691802">
        <w:rPr>
          <w:color w:val="auto"/>
        </w:rPr>
        <w:t>, Cong. Rsch. Serv., R47434 (Mar. 13, 2023),</w:t>
      </w:r>
      <w:r w:rsidRPr="00691802">
        <w:t xml:space="preserve"> </w:t>
      </w:r>
      <w:hyperlink r:id="rId25" w:history="1">
        <w:r w:rsidRPr="00691802">
          <w:rPr>
            <w:rStyle w:val="Hyperlink"/>
          </w:rPr>
          <w:t>https://www.congress.gov/crs-product/R47434</w:t>
        </w:r>
      </w:hyperlink>
      <w:r w:rsidRPr="00691802">
        <w:rPr>
          <w:color w:val="auto"/>
        </w:rPr>
        <w:t>.</w:t>
      </w:r>
    </w:p>
  </w:footnote>
  <w:footnote w:id="49">
    <w:p w14:paraId="453C175B" w14:textId="5C457919"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Gramm-Leach-Bliley Act</w:t>
      </w:r>
      <w:r w:rsidRPr="00691802">
        <w:t xml:space="preserve">, FED. TRADE COMM., </w:t>
      </w:r>
      <w:hyperlink r:id="rId26" w:history="1">
        <w:r w:rsidRPr="00691802">
          <w:rPr>
            <w:rStyle w:val="Hyperlink"/>
          </w:rPr>
          <w:t>https://www.ftc.gov/business-guidance/privacy-security/gramm-leach-bliley-act</w:t>
        </w:r>
      </w:hyperlink>
      <w:r w:rsidRPr="00691802">
        <w:t>.</w:t>
      </w:r>
    </w:p>
  </w:footnote>
  <w:footnote w:id="50">
    <w:p w14:paraId="6F81FC66" w14:textId="6063AEDF"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 xml:space="preserve">See </w:t>
      </w:r>
      <w:r w:rsidRPr="00691802">
        <w:t>SaltyCloud Research Team</w:t>
      </w:r>
      <w:r w:rsidRPr="00691802">
        <w:rPr>
          <w:i/>
          <w:iCs/>
        </w:rPr>
        <w:t xml:space="preserve">, What Is GLBA Compliance? A Guide for Financial Institutions in 2025, </w:t>
      </w:r>
      <w:r w:rsidRPr="00691802">
        <w:t>SaltyCloud (Feb. 3, 2025)</w:t>
      </w:r>
      <w:r w:rsidRPr="00691802">
        <w:rPr>
          <w:i/>
          <w:iCs/>
        </w:rPr>
        <w:t xml:space="preserve"> </w:t>
      </w:r>
      <w:hyperlink r:id="rId27" w:history="1">
        <w:r w:rsidRPr="00691802">
          <w:rPr>
            <w:rStyle w:val="Hyperlink"/>
          </w:rPr>
          <w:t>https://www.saltycloud.com/blog/what-is-glba/</w:t>
        </w:r>
      </w:hyperlink>
      <w:r w:rsidRPr="00691802">
        <w:t>.</w:t>
      </w:r>
    </w:p>
  </w:footnote>
  <w:footnote w:id="51">
    <w:p w14:paraId="6A46AB02" w14:textId="1BA38C38"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How To Comply with the Privacy of Consumer Financial Information Rule of the Gramm-Leach-Bliley Act</w:t>
      </w:r>
      <w:r w:rsidRPr="00691802">
        <w:t xml:space="preserve">, A GUIDE FOR SMALL BUS. FROM THE FED. TRADE. COMM., </w:t>
      </w:r>
      <w:hyperlink r:id="rId28" w:history="1">
        <w:r w:rsidRPr="00691802">
          <w:rPr>
            <w:rStyle w:val="Hyperlink"/>
          </w:rPr>
          <w:t>https://www.ftc.gov/system/files/documents/plain-language/bus67-how-comply-privacy-consumer-financial-information-rule-gramm-leach-bliley-act.pdf</w:t>
        </w:r>
      </w:hyperlink>
      <w:r w:rsidRPr="00691802">
        <w:t>.</w:t>
      </w:r>
    </w:p>
  </w:footnote>
  <w:footnote w:id="52">
    <w:p w14:paraId="341B4CFC" w14:textId="1E80F4F7"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FTC Safeguards Rule: What Your Business Needs to Know</w:t>
      </w:r>
      <w:r w:rsidRPr="00691802">
        <w:t xml:space="preserve">, FED. TRADE COMM., </w:t>
      </w:r>
      <w:hyperlink r:id="rId29" w:history="1">
        <w:r w:rsidRPr="00691802">
          <w:rPr>
            <w:rStyle w:val="Hyperlink"/>
          </w:rPr>
          <w:t>https://www.ftc.gov/business-guidance/resources/ftc-safeguards-rule-what-your-business-needs-know</w:t>
        </w:r>
      </w:hyperlink>
      <w:r w:rsidRPr="00691802">
        <w:t>.</w:t>
      </w:r>
    </w:p>
  </w:footnote>
  <w:footnote w:id="53">
    <w:p w14:paraId="1665308C" w14:textId="77777777" w:rsidR="00577C9E" w:rsidRPr="00691802" w:rsidRDefault="00577C9E" w:rsidP="00691802">
      <w:pPr>
        <w:pStyle w:val="FootnoteText"/>
        <w:contextualSpacing/>
        <w:rPr>
          <w:i/>
          <w:iCs/>
        </w:rPr>
      </w:pPr>
      <w:r w:rsidRPr="00691802">
        <w:rPr>
          <w:rStyle w:val="FootnoteReference"/>
        </w:rPr>
        <w:footnoteRef/>
      </w:r>
      <w:r w:rsidRPr="00691802">
        <w:t xml:space="preserve"> </w:t>
      </w:r>
      <w:r w:rsidRPr="00691802">
        <w:rPr>
          <w:i/>
          <w:iCs/>
        </w:rPr>
        <w:t>Id.</w:t>
      </w:r>
    </w:p>
  </w:footnote>
  <w:footnote w:id="54">
    <w:p w14:paraId="7F3BCEFE" w14:textId="064225D8"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FTC Strengthens Security Safeguards for Consumer Financial Information Following Widespread Data Breaches</w:t>
      </w:r>
      <w:r w:rsidRPr="00691802">
        <w:t xml:space="preserve">, FED. TRADE COMM., </w:t>
      </w:r>
      <w:hyperlink r:id="rId30" w:history="1">
        <w:r w:rsidRPr="00691802">
          <w:rPr>
            <w:rStyle w:val="Hyperlink"/>
          </w:rPr>
          <w:t>https://www.ftc.gov/news-events/news/press-releases/2021/10/ftc-strengthens-security-safeguards-consumer-financial-information-following-widespread-data</w:t>
        </w:r>
      </w:hyperlink>
      <w:r w:rsidRPr="00691802">
        <w:t>.</w:t>
      </w:r>
    </w:p>
  </w:footnote>
  <w:footnote w:id="55">
    <w:p w14:paraId="43042BE6" w14:textId="2940395C" w:rsidR="00577C9E" w:rsidRPr="00691802" w:rsidRDefault="00577C9E" w:rsidP="00691802">
      <w:pPr>
        <w:pStyle w:val="FootnoteText"/>
        <w:contextualSpacing/>
        <w:rPr>
          <w:i/>
          <w:iCs/>
        </w:rPr>
      </w:pPr>
      <w:r w:rsidRPr="00691802">
        <w:rPr>
          <w:rStyle w:val="FootnoteReference"/>
        </w:rPr>
        <w:footnoteRef/>
      </w:r>
      <w:r w:rsidRPr="00691802">
        <w:t xml:space="preserve"> </w:t>
      </w:r>
      <w:r w:rsidRPr="00691802">
        <w:rPr>
          <w:i/>
          <w:iCs/>
        </w:rPr>
        <w:t>Id.</w:t>
      </w:r>
    </w:p>
  </w:footnote>
  <w:footnote w:id="56">
    <w:p w14:paraId="1214E382" w14:textId="1AEC5DA3"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Safeguards Rule notification requirement now in effect</w:t>
      </w:r>
      <w:r w:rsidRPr="00691802">
        <w:t xml:space="preserve">, FED. TRADE COMM., </w:t>
      </w:r>
      <w:hyperlink r:id="rId31" w:history="1">
        <w:r w:rsidRPr="00691802">
          <w:rPr>
            <w:rStyle w:val="Hyperlink"/>
          </w:rPr>
          <w:t>https://www.ftc.gov/business-guidance/blog/2024/05/safeguards-rule-notification-requirement-now-effect</w:t>
        </w:r>
      </w:hyperlink>
      <w:r w:rsidRPr="00691802">
        <w:t>.</w:t>
      </w:r>
    </w:p>
  </w:footnote>
  <w:footnote w:id="57">
    <w:p w14:paraId="1BFA9D1A" w14:textId="1E5BE97F"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Id.</w:t>
      </w:r>
    </w:p>
  </w:footnote>
  <w:footnote w:id="58">
    <w:p w14:paraId="445D82CE" w14:textId="510AE0D8"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Cybersecurity Risk Management, Strategy, Governance, and Incident Disclosure</w:t>
      </w:r>
      <w:r w:rsidRPr="00691802">
        <w:t xml:space="preserve">, U.S. SEC. EXCHANGE COMM., </w:t>
      </w:r>
      <w:hyperlink r:id="rId32" w:history="1">
        <w:r w:rsidRPr="00691802">
          <w:rPr>
            <w:rStyle w:val="Hyperlink"/>
          </w:rPr>
          <w:t>https://www.sec.gov/rules-regulations/2023/07/s7-09-22</w:t>
        </w:r>
      </w:hyperlink>
      <w:r w:rsidRPr="00691802">
        <w:t>.</w:t>
      </w:r>
    </w:p>
  </w:footnote>
  <w:footnote w:id="59">
    <w:p w14:paraId="68FE852B" w14:textId="133B8831"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Children’s Privacy</w:t>
      </w:r>
      <w:r w:rsidRPr="00691802">
        <w:t xml:space="preserve">, FED. TRADE COMM., </w:t>
      </w:r>
      <w:hyperlink r:id="rId33" w:history="1">
        <w:r w:rsidRPr="00691802">
          <w:rPr>
            <w:rStyle w:val="Hyperlink"/>
          </w:rPr>
          <w:t>https://www.ftc.gov/business-guidance/privacy-security/childrens-privacy</w:t>
        </w:r>
      </w:hyperlink>
      <w:r w:rsidRPr="00691802">
        <w:t>.</w:t>
      </w:r>
    </w:p>
  </w:footnote>
  <w:footnote w:id="60">
    <w:p w14:paraId="0747C17A" w14:textId="785AFB6C"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Complying with COPPA: Frequently Asked Questions</w:t>
      </w:r>
      <w:r w:rsidRPr="00691802">
        <w:t xml:space="preserve">, FED. TRADE COMM., </w:t>
      </w:r>
      <w:hyperlink r:id="rId34" w:history="1">
        <w:r w:rsidRPr="00691802">
          <w:rPr>
            <w:rStyle w:val="Hyperlink"/>
          </w:rPr>
          <w:t>https://www.ftc.gov/business-guidance/resources/complying-coppa-frequently-asked-questions</w:t>
        </w:r>
      </w:hyperlink>
      <w:r w:rsidRPr="00691802">
        <w:t>.</w:t>
      </w:r>
    </w:p>
  </w:footnote>
  <w:footnote w:id="61">
    <w:p w14:paraId="5B3B323A" w14:textId="77777777"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691802">
        <w:rPr>
          <w:rStyle w:val="cosmallcaps"/>
          <w:caps/>
          <w:color w:val="auto"/>
        </w:rPr>
        <w:t xml:space="preserve">N.Y. COMP. CODES R. &amp; REGS. </w:t>
      </w:r>
      <w:r w:rsidRPr="00691802">
        <w:rPr>
          <w:color w:val="auto"/>
        </w:rPr>
        <w:t xml:space="preserve">23 NYCRR 500 (2019). </w:t>
      </w:r>
    </w:p>
  </w:footnote>
  <w:footnote w:id="62">
    <w:p w14:paraId="0902B536" w14:textId="77777777"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691802">
        <w:rPr>
          <w:rStyle w:val="cosmallcaps"/>
          <w:caps/>
          <w:color w:val="auto"/>
        </w:rPr>
        <w:t>N.Y. COMP. CODES R. &amp; REGS.</w:t>
      </w:r>
      <w:r w:rsidRPr="00691802">
        <w:rPr>
          <w:color w:val="auto"/>
        </w:rPr>
        <w:t> 23 NYCRR 500.19 (2019).</w:t>
      </w:r>
    </w:p>
  </w:footnote>
  <w:footnote w:id="63">
    <w:p w14:paraId="47EE9FCD" w14:textId="77777777"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691802">
        <w:rPr>
          <w:rStyle w:val="cosmallcaps"/>
          <w:caps/>
          <w:color w:val="auto"/>
        </w:rPr>
        <w:t>N.Y. COMP. CODES R. &amp; REGS.</w:t>
      </w:r>
      <w:r w:rsidRPr="00691802">
        <w:rPr>
          <w:color w:val="auto"/>
        </w:rPr>
        <w:t> 23 NYCRR 500.00 (2019).</w:t>
      </w:r>
    </w:p>
  </w:footnote>
  <w:footnote w:id="64">
    <w:p w14:paraId="28754461" w14:textId="77777777"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691802">
        <w:rPr>
          <w:i/>
          <w:color w:val="auto"/>
        </w:rPr>
        <w:t>Id.</w:t>
      </w:r>
    </w:p>
  </w:footnote>
  <w:footnote w:id="65">
    <w:p w14:paraId="49D6D5A0" w14:textId="43FDFCBC"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Cybersecurity Resource Center</w:t>
      </w:r>
      <w:r w:rsidRPr="00691802">
        <w:t xml:space="preserve">, DEPT. OF FIN. SERVICES, </w:t>
      </w:r>
      <w:hyperlink r:id="rId35" w:history="1">
        <w:r w:rsidRPr="00691802">
          <w:rPr>
            <w:rStyle w:val="Hyperlink"/>
          </w:rPr>
          <w:t>https://www.dfs.ny.gov/industry_guidance/cybersecurity</w:t>
        </w:r>
      </w:hyperlink>
      <w:r w:rsidRPr="00691802">
        <w:t>.</w:t>
      </w:r>
    </w:p>
  </w:footnote>
  <w:footnote w:id="66">
    <w:p w14:paraId="51CE418D" w14:textId="2DDBDC64"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Governor Hochul Announces Updates To New York’s Nation-Leading Cybersecurity Regulations As Part Of Sweeping Effort To Protect Businesses And Consumers From Cyber Threats</w:t>
      </w:r>
      <w:r w:rsidRPr="00691802">
        <w:t xml:space="preserve">, DEPT. OF FIN. SERVICES, </w:t>
      </w:r>
      <w:hyperlink r:id="rId36" w:history="1">
        <w:r w:rsidRPr="00691802">
          <w:rPr>
            <w:rStyle w:val="Hyperlink"/>
          </w:rPr>
          <w:t>https://www.dfs.ny.gov/reports_and_publications/press_releases/pr202311011</w:t>
        </w:r>
      </w:hyperlink>
      <w:r w:rsidRPr="00691802">
        <w:t>.</w:t>
      </w:r>
    </w:p>
  </w:footnote>
  <w:footnote w:id="67">
    <w:p w14:paraId="70B5A3AC" w14:textId="77777777" w:rsidR="00577C9E" w:rsidRPr="00691802" w:rsidRDefault="00577C9E" w:rsidP="00691802">
      <w:pPr>
        <w:pStyle w:val="FootnoteText"/>
        <w:contextualSpacing/>
        <w:rPr>
          <w:i/>
          <w:iCs/>
        </w:rPr>
      </w:pPr>
      <w:r w:rsidRPr="00691802">
        <w:rPr>
          <w:rStyle w:val="FootnoteReference"/>
        </w:rPr>
        <w:footnoteRef/>
      </w:r>
      <w:r w:rsidRPr="00691802">
        <w:t xml:space="preserve"> </w:t>
      </w:r>
      <w:r w:rsidRPr="00691802">
        <w:rPr>
          <w:i/>
          <w:iCs/>
        </w:rPr>
        <w:t>Id.</w:t>
      </w:r>
    </w:p>
  </w:footnote>
  <w:footnote w:id="68">
    <w:p w14:paraId="0354FB71" w14:textId="77777777" w:rsidR="00577C9E" w:rsidRPr="00691802" w:rsidRDefault="00577C9E" w:rsidP="00691802">
      <w:pPr>
        <w:pStyle w:val="FootnoteText"/>
        <w:contextualSpacing/>
        <w:rPr>
          <w:i/>
          <w:iCs/>
        </w:rPr>
      </w:pPr>
      <w:r w:rsidRPr="00691802">
        <w:rPr>
          <w:rStyle w:val="FootnoteReference"/>
        </w:rPr>
        <w:footnoteRef/>
      </w:r>
      <w:r w:rsidRPr="00691802">
        <w:t xml:space="preserve"> </w:t>
      </w:r>
      <w:r w:rsidRPr="00691802">
        <w:rPr>
          <w:i/>
          <w:iCs/>
        </w:rPr>
        <w:t>Id.</w:t>
      </w:r>
    </w:p>
  </w:footnote>
  <w:footnote w:id="69">
    <w:p w14:paraId="35CD0CF7" w14:textId="65568542"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N.Y. S.B. 5575, 2019–2020 Legis. Sess. (enacted July 25, 2019).</w:t>
      </w:r>
    </w:p>
  </w:footnote>
  <w:footnote w:id="70">
    <w:p w14:paraId="4FAFF0A7" w14:textId="0746D5F3" w:rsidR="00577C9E" w:rsidRPr="00691802" w:rsidRDefault="00577C9E" w:rsidP="00691802">
      <w:pPr>
        <w:pStyle w:val="FootnoteText"/>
        <w:contextualSpacing/>
        <w:rPr>
          <w:i/>
          <w:iCs/>
        </w:rPr>
      </w:pPr>
      <w:r w:rsidRPr="00691802">
        <w:rPr>
          <w:rStyle w:val="FootnoteReference"/>
        </w:rPr>
        <w:footnoteRef/>
      </w:r>
      <w:r w:rsidRPr="00691802">
        <w:t xml:space="preserve"> </w:t>
      </w:r>
      <w:r w:rsidRPr="00691802">
        <w:rPr>
          <w:i/>
          <w:iCs/>
        </w:rPr>
        <w:t>Id.</w:t>
      </w:r>
    </w:p>
  </w:footnote>
  <w:footnote w:id="71">
    <w:p w14:paraId="2375B7E4" w14:textId="34FDE353"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Joseph J. Lazzarotti et al., </w:t>
      </w:r>
      <w:r w:rsidRPr="00691802">
        <w:rPr>
          <w:i/>
          <w:iCs/>
          <w:color w:val="auto"/>
        </w:rPr>
        <w:t>New York SHIELD Act FAQs</w:t>
      </w:r>
      <w:r w:rsidRPr="00691802">
        <w:rPr>
          <w:color w:val="auto"/>
        </w:rPr>
        <w:t xml:space="preserve"> (Jackson Lewis, Mar. 11, 2020), </w:t>
      </w:r>
      <w:hyperlink r:id="rId37" w:history="1">
        <w:r w:rsidRPr="00691802">
          <w:rPr>
            <w:rStyle w:val="Hyperlink"/>
          </w:rPr>
          <w:t>https://www.jacksonlewis.com/insights/new-york-shield-act-faqs</w:t>
        </w:r>
      </w:hyperlink>
      <w:r w:rsidRPr="00691802">
        <w:rPr>
          <w:color w:val="auto"/>
        </w:rPr>
        <w:t>.</w:t>
      </w:r>
    </w:p>
  </w:footnote>
  <w:footnote w:id="72">
    <w:p w14:paraId="018A20EC" w14:textId="76425610"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Regulation (EU) 2016/679. The </w:t>
      </w:r>
      <w:r w:rsidRPr="00691802">
        <w:rPr>
          <w:rStyle w:val="cosearchterm"/>
          <w:bCs/>
          <w:color w:val="auto"/>
        </w:rPr>
        <w:t>GDPR</w:t>
      </w:r>
      <w:r w:rsidRPr="00691802">
        <w:rPr>
          <w:color w:val="auto"/>
        </w:rPr>
        <w:t xml:space="preserve"> is available in English at </w:t>
      </w:r>
      <w:hyperlink r:id="rId38" w:history="1">
        <w:r w:rsidRPr="00691802">
          <w:rPr>
            <w:rStyle w:val="Hyperlink"/>
          </w:rPr>
          <w:t>https://eur-lex.europa.eu/legal-content/EN/TXT/?uri=celex%3A32016R0679</w:t>
        </w:r>
      </w:hyperlink>
      <w:r w:rsidRPr="00691802">
        <w:rPr>
          <w:color w:val="auto"/>
        </w:rPr>
        <w:t>.</w:t>
      </w:r>
    </w:p>
  </w:footnote>
  <w:footnote w:id="73">
    <w:p w14:paraId="5574039E" w14:textId="75D3262F" w:rsidR="00577C9E" w:rsidRPr="00691802" w:rsidRDefault="00577C9E" w:rsidP="00691802">
      <w:pPr>
        <w:spacing w:after="0" w:line="240" w:lineRule="auto"/>
        <w:contextualSpacing/>
        <w:rPr>
          <w:rFonts w:eastAsia="Times New Roman"/>
          <w:color w:val="auto"/>
          <w:sz w:val="20"/>
          <w:szCs w:val="20"/>
        </w:rPr>
      </w:pPr>
      <w:r w:rsidRPr="00691802">
        <w:rPr>
          <w:rStyle w:val="FootnoteReference"/>
          <w:color w:val="auto"/>
          <w:sz w:val="20"/>
          <w:szCs w:val="20"/>
        </w:rPr>
        <w:footnoteRef/>
      </w:r>
      <w:r w:rsidRPr="00691802">
        <w:rPr>
          <w:color w:val="auto"/>
          <w:sz w:val="20"/>
          <w:szCs w:val="20"/>
        </w:rPr>
        <w:t xml:space="preserve">  </w:t>
      </w:r>
      <w:r w:rsidRPr="00691802">
        <w:rPr>
          <w:i/>
          <w:color w:val="auto"/>
          <w:sz w:val="20"/>
          <w:szCs w:val="20"/>
        </w:rPr>
        <w:t xml:space="preserve">See </w:t>
      </w:r>
      <w:r w:rsidRPr="00691802">
        <w:rPr>
          <w:rFonts w:eastAsia="Times New Roman"/>
          <w:smallCaps/>
          <w:color w:val="auto"/>
          <w:sz w:val="20"/>
          <w:szCs w:val="20"/>
          <w:shd w:val="clear" w:color="auto" w:fill="FFFFFF"/>
        </w:rPr>
        <w:t>Cal. Civ. Code</w:t>
      </w:r>
      <w:r w:rsidRPr="00691802">
        <w:rPr>
          <w:rFonts w:eastAsia="Times New Roman"/>
          <w:color w:val="auto"/>
          <w:sz w:val="20"/>
          <w:szCs w:val="20"/>
        </w:rPr>
        <w:t> § 1798.140 (West).</w:t>
      </w:r>
    </w:p>
  </w:footnote>
  <w:footnote w:id="74">
    <w:p w14:paraId="5EBB9F49" w14:textId="77777777" w:rsidR="00577C9E" w:rsidRPr="00691802" w:rsidRDefault="00577C9E" w:rsidP="00691802">
      <w:pPr>
        <w:shd w:val="clear" w:color="auto" w:fill="FFFFFF"/>
        <w:spacing w:after="0" w:line="240" w:lineRule="auto"/>
        <w:contextualSpacing/>
        <w:rPr>
          <w:rFonts w:eastAsia="Times New Roman"/>
          <w:color w:val="auto"/>
          <w:sz w:val="20"/>
          <w:szCs w:val="20"/>
        </w:rPr>
      </w:pPr>
      <w:r w:rsidRPr="00691802">
        <w:rPr>
          <w:rStyle w:val="FootnoteReference"/>
          <w:color w:val="auto"/>
          <w:sz w:val="20"/>
          <w:szCs w:val="20"/>
        </w:rPr>
        <w:footnoteRef/>
      </w:r>
      <w:r w:rsidRPr="00691802">
        <w:rPr>
          <w:color w:val="auto"/>
          <w:sz w:val="20"/>
          <w:szCs w:val="20"/>
        </w:rPr>
        <w:t xml:space="preserve"> </w:t>
      </w:r>
      <w:r w:rsidRPr="00691802">
        <w:rPr>
          <w:i/>
          <w:color w:val="auto"/>
          <w:sz w:val="20"/>
          <w:szCs w:val="20"/>
        </w:rPr>
        <w:t>See</w:t>
      </w:r>
      <w:r w:rsidRPr="00691802">
        <w:rPr>
          <w:color w:val="auto"/>
          <w:sz w:val="20"/>
          <w:szCs w:val="20"/>
        </w:rPr>
        <w:t xml:space="preserve"> </w:t>
      </w:r>
      <w:r w:rsidRPr="00691802">
        <w:rPr>
          <w:rFonts w:eastAsia="Times New Roman"/>
          <w:color w:val="auto"/>
          <w:sz w:val="20"/>
          <w:szCs w:val="20"/>
        </w:rPr>
        <w:t>23 No. 8 Wallstreetlawyer.com: Sec. Elec. Age NL 4.</w:t>
      </w:r>
    </w:p>
  </w:footnote>
  <w:footnote w:id="75">
    <w:p w14:paraId="5EDA9A05" w14:textId="77777777"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691802">
        <w:rPr>
          <w:i/>
          <w:color w:val="auto"/>
        </w:rPr>
        <w:t>See</w:t>
      </w:r>
      <w:r w:rsidRPr="00691802">
        <w:rPr>
          <w:color w:val="auto"/>
        </w:rPr>
        <w:t xml:space="preserve"> </w:t>
      </w:r>
      <w:r w:rsidRPr="00691802">
        <w:rPr>
          <w:color w:val="auto"/>
          <w:shd w:val="clear" w:color="auto" w:fill="FFFFFF"/>
        </w:rPr>
        <w:t>2019 NY SB 5575</w:t>
      </w:r>
      <w:r w:rsidRPr="00691802">
        <w:rPr>
          <w:color w:val="auto"/>
        </w:rPr>
        <w:t>.</w:t>
      </w:r>
    </w:p>
  </w:footnote>
  <w:footnote w:id="76">
    <w:p w14:paraId="2C03B877" w14:textId="714F6F3C" w:rsidR="00577C9E" w:rsidRPr="00691802" w:rsidRDefault="00577C9E" w:rsidP="00691802">
      <w:pPr>
        <w:pStyle w:val="FootnoteText"/>
        <w:contextualSpacing/>
      </w:pPr>
      <w:r w:rsidRPr="00691802">
        <w:rPr>
          <w:rStyle w:val="FootnoteReference"/>
        </w:rPr>
        <w:footnoteRef/>
      </w:r>
      <w:r w:rsidRPr="00691802">
        <w:t xml:space="preserve"> New York State Attorney General, </w:t>
      </w:r>
      <w:r w:rsidRPr="00691802">
        <w:rPr>
          <w:i/>
          <w:iCs/>
        </w:rPr>
        <w:t>SHIELD Act</w:t>
      </w:r>
      <w:r w:rsidRPr="00691802">
        <w:t xml:space="preserve">, Office of the NY State Attorney General, </w:t>
      </w:r>
      <w:hyperlink r:id="rId39" w:history="1">
        <w:r w:rsidRPr="00691802">
          <w:rPr>
            <w:rStyle w:val="Hyperlink"/>
          </w:rPr>
          <w:t>https://ag.ny.gov/resources/organizations/data-breach-reporting/shield-act</w:t>
        </w:r>
      </w:hyperlink>
      <w:r w:rsidRPr="00691802">
        <w:t xml:space="preserve"> (last visited Sept. 25, 2025).</w:t>
      </w:r>
    </w:p>
  </w:footnote>
  <w:footnote w:id="77">
    <w:p w14:paraId="39EA5DA2" w14:textId="0679ECA8"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691802">
        <w:rPr>
          <w:i/>
          <w:iCs/>
          <w:color w:val="auto"/>
        </w:rPr>
        <w:t>Id.</w:t>
      </w:r>
    </w:p>
  </w:footnote>
  <w:footnote w:id="78">
    <w:p w14:paraId="6F16D0AA" w14:textId="14FB866C"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691802">
        <w:rPr>
          <w:color w:val="auto"/>
          <w:shd w:val="clear" w:color="auto" w:fill="FFFFFF"/>
        </w:rPr>
        <w:t> </w:t>
      </w:r>
      <w:r w:rsidRPr="00691802">
        <w:rPr>
          <w:i/>
          <w:iCs/>
          <w:color w:val="auto"/>
          <w:shd w:val="clear" w:color="auto" w:fill="FFFFFF"/>
        </w:rPr>
        <w:t>Id.</w:t>
      </w:r>
      <w:r w:rsidRPr="00691802">
        <w:rPr>
          <w:color w:val="auto"/>
          <w:shd w:val="clear" w:color="auto" w:fill="FFFFFF"/>
        </w:rPr>
        <w:t xml:space="preserve"> </w:t>
      </w:r>
    </w:p>
  </w:footnote>
  <w:footnote w:id="79">
    <w:p w14:paraId="41F84CA3" w14:textId="77777777"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691802">
        <w:rPr>
          <w:color w:val="auto"/>
          <w:shd w:val="clear" w:color="auto" w:fill="FFFFFF"/>
        </w:rPr>
        <w:t>2019 NY SB 5575.</w:t>
      </w:r>
    </w:p>
  </w:footnote>
  <w:footnote w:id="80">
    <w:p w14:paraId="6DA0EA3F" w14:textId="77777777"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w:t>
      </w:r>
      <w:r w:rsidRPr="00691802">
        <w:rPr>
          <w:color w:val="auto"/>
          <w:shd w:val="clear" w:color="auto" w:fill="FFFFFF"/>
        </w:rPr>
        <w:t>2019 NY SB 5575.</w:t>
      </w:r>
    </w:p>
  </w:footnote>
  <w:footnote w:id="81">
    <w:p w14:paraId="46F19419" w14:textId="23855963" w:rsidR="00577C9E" w:rsidRPr="00691802" w:rsidRDefault="00577C9E" w:rsidP="00691802">
      <w:pPr>
        <w:pStyle w:val="FootnoteText"/>
        <w:contextualSpacing/>
        <w:rPr>
          <w:i/>
          <w:iCs/>
        </w:rPr>
      </w:pPr>
      <w:r w:rsidRPr="00691802">
        <w:rPr>
          <w:rStyle w:val="FootnoteReference"/>
        </w:rPr>
        <w:footnoteRef/>
      </w:r>
      <w:r w:rsidRPr="00691802">
        <w:t xml:space="preserve"> </w:t>
      </w:r>
      <w:r w:rsidRPr="00691802">
        <w:rPr>
          <w:i/>
          <w:iCs/>
          <w:color w:val="auto"/>
          <w:shd w:val="clear" w:color="auto" w:fill="FFFFFF"/>
        </w:rPr>
        <w:t>Id.</w:t>
      </w:r>
    </w:p>
  </w:footnote>
  <w:footnote w:id="82">
    <w:p w14:paraId="3CCB4E9C" w14:textId="0AA0C78F"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Attorney General James Secures $970,000 from Auto Insurance Company over Data Breach</w:t>
      </w:r>
      <w:r w:rsidRPr="00691802">
        <w:t xml:space="preserve">, OFFICE OF THE NEW YORK STATE ATTORNEY GEN., </w:t>
      </w:r>
      <w:hyperlink r:id="rId40" w:history="1">
        <w:r w:rsidRPr="00691802">
          <w:rPr>
            <w:rStyle w:val="Hyperlink"/>
          </w:rPr>
          <w:t>https://ag.ny.gov/press-release/2025/attorney-general-james-secures-975000-auto-insurance-company-over-data-breach</w:t>
        </w:r>
      </w:hyperlink>
      <w:r w:rsidRPr="00691802">
        <w:t>.</w:t>
      </w:r>
    </w:p>
  </w:footnote>
  <w:footnote w:id="83">
    <w:p w14:paraId="5E93941B" w14:textId="77777777" w:rsidR="00577C9E" w:rsidRPr="00691802" w:rsidRDefault="00577C9E" w:rsidP="00691802">
      <w:pPr>
        <w:pStyle w:val="FootnoteText"/>
        <w:contextualSpacing/>
        <w:rPr>
          <w:i/>
          <w:iCs/>
        </w:rPr>
      </w:pPr>
      <w:r w:rsidRPr="00691802">
        <w:rPr>
          <w:rStyle w:val="FootnoteReference"/>
        </w:rPr>
        <w:footnoteRef/>
      </w:r>
      <w:r w:rsidRPr="00691802">
        <w:t xml:space="preserve"> </w:t>
      </w:r>
      <w:r w:rsidRPr="00691802">
        <w:rPr>
          <w:i/>
          <w:iCs/>
        </w:rPr>
        <w:t>Id.</w:t>
      </w:r>
    </w:p>
  </w:footnote>
  <w:footnote w:id="84">
    <w:p w14:paraId="0FB80CA5" w14:textId="25D50C80" w:rsidR="00577C9E" w:rsidRPr="00691802" w:rsidRDefault="00577C9E" w:rsidP="00691802">
      <w:pPr>
        <w:pStyle w:val="FootnoteText"/>
        <w:contextualSpacing/>
      </w:pPr>
      <w:r w:rsidRPr="00691802">
        <w:rPr>
          <w:rStyle w:val="FootnoteReference"/>
        </w:rPr>
        <w:footnoteRef/>
      </w:r>
      <w:r w:rsidRPr="00691802">
        <w:t xml:space="preserve"> Steve Roosa &amp; Susan Ross, </w:t>
      </w:r>
      <w:r w:rsidRPr="00691802">
        <w:rPr>
          <w:i/>
          <w:iCs/>
        </w:rPr>
        <w:t>New York Attorney General, personal data, and SHIELD Act</w:t>
      </w:r>
      <w:r w:rsidRPr="00691802">
        <w:t xml:space="preserve">, NORTON ROSE FULBRIGHT, </w:t>
      </w:r>
      <w:hyperlink r:id="rId41" w:history="1">
        <w:r w:rsidRPr="00691802">
          <w:rPr>
            <w:rStyle w:val="Hyperlink"/>
          </w:rPr>
          <w:t>https://www.dataprotectionreport.com/2025/04/new-york-attorney-general-personal-data-and-shield-act/</w:t>
        </w:r>
      </w:hyperlink>
      <w:r w:rsidRPr="00691802">
        <w:t>.</w:t>
      </w:r>
    </w:p>
  </w:footnote>
  <w:footnote w:id="85">
    <w:p w14:paraId="1752957C" w14:textId="77777777" w:rsidR="00577C9E" w:rsidRPr="00691802" w:rsidRDefault="00577C9E" w:rsidP="00691802">
      <w:pPr>
        <w:pStyle w:val="FootnoteText"/>
        <w:contextualSpacing/>
      </w:pPr>
      <w:r w:rsidRPr="00691802">
        <w:rPr>
          <w:rStyle w:val="FootnoteReference"/>
        </w:rPr>
        <w:footnoteRef/>
      </w:r>
      <w:r w:rsidRPr="00691802">
        <w:t xml:space="preserve"> </w:t>
      </w:r>
      <w:r w:rsidRPr="00691802">
        <w:rPr>
          <w:i/>
          <w:iCs/>
        </w:rPr>
        <w:t>Attorney General James Sues National General and Allstate Insurance for Failing to Protect New Yorkers’ Personal Information</w:t>
      </w:r>
      <w:r w:rsidRPr="00691802">
        <w:t>, OFFICE OF THE NEW YORK STATE ATTORNEY GEN., https://ag.ny.gov/press-release/2025/attorney-general-james-sues-national-general-and-allstate-insurance-failing.</w:t>
      </w:r>
    </w:p>
  </w:footnote>
  <w:footnote w:id="86">
    <w:p w14:paraId="5B6E9F5E" w14:textId="77777777" w:rsidR="00577C9E" w:rsidRPr="00691802" w:rsidRDefault="00577C9E" w:rsidP="00691802">
      <w:pPr>
        <w:contextualSpacing/>
        <w:rPr>
          <w:sz w:val="20"/>
          <w:szCs w:val="20"/>
        </w:rPr>
      </w:pPr>
      <w:r w:rsidRPr="00691802">
        <w:rPr>
          <w:rStyle w:val="FootnoteReference"/>
          <w:sz w:val="20"/>
          <w:szCs w:val="20"/>
        </w:rPr>
        <w:footnoteRef/>
      </w:r>
      <w:r w:rsidRPr="00691802">
        <w:rPr>
          <w:sz w:val="20"/>
          <w:szCs w:val="20"/>
        </w:rPr>
        <w:t xml:space="preserve"> U.S. Small Business Administration. </w:t>
      </w:r>
      <w:r w:rsidRPr="00691802">
        <w:rPr>
          <w:i/>
          <w:iCs/>
          <w:sz w:val="20"/>
          <w:szCs w:val="20"/>
        </w:rPr>
        <w:t xml:space="preserve">About SBA: Organization. </w:t>
      </w:r>
      <w:r w:rsidRPr="00691802">
        <w:rPr>
          <w:sz w:val="20"/>
          <w:szCs w:val="20"/>
        </w:rPr>
        <w:t xml:space="preserve">Available at: </w:t>
      </w:r>
      <w:hyperlink r:id="rId42" w:history="1">
        <w:r w:rsidRPr="00691802">
          <w:rPr>
            <w:rStyle w:val="Hyperlink"/>
            <w:sz w:val="20"/>
            <w:szCs w:val="20"/>
          </w:rPr>
          <w:t>https://www.sba.gov/about-sba/organization.</w:t>
        </w:r>
      </w:hyperlink>
      <w:r w:rsidRPr="00691802">
        <w:rPr>
          <w:sz w:val="20"/>
          <w:szCs w:val="20"/>
        </w:rPr>
        <w:t xml:space="preserve"> [Accessed on September 17, 2025]. </w:t>
      </w:r>
    </w:p>
  </w:footnote>
  <w:footnote w:id="87">
    <w:p w14:paraId="3DE4BED4" w14:textId="77777777" w:rsidR="00577C9E" w:rsidRPr="00691802" w:rsidRDefault="00577C9E" w:rsidP="00691802">
      <w:pPr>
        <w:contextualSpacing/>
        <w:rPr>
          <w:i/>
          <w:iCs/>
          <w:sz w:val="20"/>
          <w:szCs w:val="20"/>
        </w:rPr>
      </w:pPr>
      <w:r w:rsidRPr="00691802">
        <w:rPr>
          <w:rStyle w:val="FootnoteReference"/>
          <w:sz w:val="20"/>
          <w:szCs w:val="20"/>
        </w:rPr>
        <w:footnoteRef/>
      </w:r>
      <w:r w:rsidRPr="00691802">
        <w:rPr>
          <w:sz w:val="20"/>
          <w:szCs w:val="20"/>
        </w:rPr>
        <w:t xml:space="preserve"> </w:t>
      </w:r>
      <w:r w:rsidRPr="00691802">
        <w:rPr>
          <w:i/>
          <w:iCs/>
          <w:sz w:val="20"/>
          <w:szCs w:val="20"/>
        </w:rPr>
        <w:t xml:space="preserve">Id. </w:t>
      </w:r>
    </w:p>
  </w:footnote>
  <w:footnote w:id="88">
    <w:p w14:paraId="0B799127" w14:textId="77777777" w:rsidR="00577C9E" w:rsidRPr="00691802" w:rsidRDefault="00577C9E" w:rsidP="00691802">
      <w:pPr>
        <w:contextualSpacing/>
        <w:rPr>
          <w:sz w:val="20"/>
          <w:szCs w:val="20"/>
        </w:rPr>
      </w:pPr>
      <w:r w:rsidRPr="00691802">
        <w:rPr>
          <w:rStyle w:val="FootnoteReference"/>
          <w:sz w:val="20"/>
          <w:szCs w:val="20"/>
        </w:rPr>
        <w:footnoteRef/>
      </w:r>
      <w:r w:rsidRPr="00691802">
        <w:rPr>
          <w:sz w:val="20"/>
          <w:szCs w:val="20"/>
        </w:rPr>
        <w:t xml:space="preserve"> U.S. Small Business Administration. </w:t>
      </w:r>
      <w:r w:rsidRPr="00691802">
        <w:rPr>
          <w:i/>
          <w:iCs/>
          <w:sz w:val="20"/>
          <w:szCs w:val="20"/>
        </w:rPr>
        <w:t xml:space="preserve">Resource Partners. </w:t>
      </w:r>
      <w:r w:rsidRPr="00691802">
        <w:rPr>
          <w:sz w:val="20"/>
          <w:szCs w:val="20"/>
        </w:rPr>
        <w:t xml:space="preserve">Available at: </w:t>
      </w:r>
      <w:hyperlink r:id="rId43" w:history="1">
        <w:r w:rsidRPr="00691802">
          <w:rPr>
            <w:rStyle w:val="Hyperlink"/>
            <w:sz w:val="20"/>
            <w:szCs w:val="20"/>
          </w:rPr>
          <w:t>https://www.sba.gov/local-assistance/resource-partners.</w:t>
        </w:r>
      </w:hyperlink>
      <w:r w:rsidRPr="00691802">
        <w:rPr>
          <w:sz w:val="20"/>
          <w:szCs w:val="20"/>
        </w:rPr>
        <w:t xml:space="preserve"> [Accessed on September 17, 2025]. </w:t>
      </w:r>
    </w:p>
  </w:footnote>
  <w:footnote w:id="89">
    <w:p w14:paraId="51C2393E" w14:textId="77777777" w:rsidR="00577C9E" w:rsidRPr="00691802" w:rsidRDefault="00577C9E" w:rsidP="00691802">
      <w:pPr>
        <w:contextualSpacing/>
        <w:rPr>
          <w:sz w:val="20"/>
          <w:szCs w:val="20"/>
        </w:rPr>
      </w:pPr>
      <w:r w:rsidRPr="00691802">
        <w:rPr>
          <w:rStyle w:val="FootnoteReference"/>
          <w:sz w:val="20"/>
          <w:szCs w:val="20"/>
        </w:rPr>
        <w:footnoteRef/>
      </w:r>
      <w:r w:rsidRPr="00691802">
        <w:rPr>
          <w:sz w:val="20"/>
          <w:szCs w:val="20"/>
        </w:rPr>
        <w:t xml:space="preserve"> U.S. Small Business Administration. </w:t>
      </w:r>
      <w:r w:rsidRPr="00691802">
        <w:rPr>
          <w:i/>
          <w:iCs/>
          <w:sz w:val="20"/>
          <w:szCs w:val="20"/>
        </w:rPr>
        <w:t xml:space="preserve">Strengthen your cybersecurity. </w:t>
      </w:r>
      <w:r w:rsidRPr="00691802">
        <w:rPr>
          <w:sz w:val="20"/>
          <w:szCs w:val="20"/>
        </w:rPr>
        <w:t>Available at:</w:t>
      </w:r>
      <w:r w:rsidRPr="00691802">
        <w:rPr>
          <w:i/>
          <w:iCs/>
          <w:sz w:val="20"/>
          <w:szCs w:val="20"/>
        </w:rPr>
        <w:t xml:space="preserve"> </w:t>
      </w:r>
      <w:hyperlink r:id="rId44" w:history="1">
        <w:r w:rsidRPr="00691802">
          <w:rPr>
            <w:rStyle w:val="Hyperlink"/>
            <w:sz w:val="20"/>
            <w:szCs w:val="20"/>
          </w:rPr>
          <w:t>https://www.sba.gov/business-guide/manage-your-business/strengthen-your-cybersecurity</w:t>
        </w:r>
      </w:hyperlink>
      <w:r w:rsidRPr="00691802">
        <w:rPr>
          <w:sz w:val="20"/>
          <w:szCs w:val="20"/>
        </w:rPr>
        <w:t xml:space="preserve"> [Accessed on September 17, 2025]. </w:t>
      </w:r>
    </w:p>
  </w:footnote>
  <w:footnote w:id="90">
    <w:p w14:paraId="231AE295" w14:textId="77777777" w:rsidR="00577C9E" w:rsidRPr="00691802" w:rsidRDefault="00577C9E" w:rsidP="00691802">
      <w:pPr>
        <w:contextualSpacing/>
        <w:rPr>
          <w:i/>
          <w:iCs/>
          <w:sz w:val="20"/>
          <w:szCs w:val="20"/>
        </w:rPr>
      </w:pPr>
      <w:r w:rsidRPr="00691802">
        <w:rPr>
          <w:rStyle w:val="FootnoteReference"/>
          <w:sz w:val="20"/>
          <w:szCs w:val="20"/>
        </w:rPr>
        <w:footnoteRef/>
      </w:r>
      <w:r w:rsidRPr="00691802">
        <w:rPr>
          <w:sz w:val="20"/>
          <w:szCs w:val="20"/>
        </w:rPr>
        <w:t xml:space="preserve"> </w:t>
      </w:r>
      <w:r w:rsidRPr="00691802">
        <w:rPr>
          <w:i/>
          <w:iCs/>
          <w:sz w:val="20"/>
          <w:szCs w:val="20"/>
        </w:rPr>
        <w:t>Id.</w:t>
      </w:r>
    </w:p>
  </w:footnote>
  <w:footnote w:id="91">
    <w:p w14:paraId="5973268C" w14:textId="77777777" w:rsidR="00577C9E" w:rsidRPr="00691802" w:rsidRDefault="00577C9E" w:rsidP="00691802">
      <w:pPr>
        <w:contextualSpacing/>
        <w:rPr>
          <w:i/>
          <w:iCs/>
          <w:sz w:val="20"/>
          <w:szCs w:val="20"/>
        </w:rPr>
      </w:pPr>
      <w:r w:rsidRPr="00691802">
        <w:rPr>
          <w:rStyle w:val="FootnoteReference"/>
          <w:sz w:val="20"/>
          <w:szCs w:val="20"/>
        </w:rPr>
        <w:footnoteRef/>
      </w:r>
      <w:r w:rsidRPr="00691802">
        <w:rPr>
          <w:sz w:val="20"/>
          <w:szCs w:val="20"/>
        </w:rPr>
        <w:t xml:space="preserve"> </w:t>
      </w:r>
      <w:r w:rsidRPr="00691802">
        <w:rPr>
          <w:i/>
          <w:iCs/>
          <w:sz w:val="20"/>
          <w:szCs w:val="20"/>
        </w:rPr>
        <w:t xml:space="preserve">Id. </w:t>
      </w:r>
    </w:p>
  </w:footnote>
  <w:footnote w:id="92">
    <w:p w14:paraId="319AC072" w14:textId="77777777" w:rsidR="00577C9E" w:rsidRPr="00691802" w:rsidRDefault="00577C9E" w:rsidP="00691802">
      <w:pPr>
        <w:pStyle w:val="FootnoteText"/>
        <w:contextualSpacing/>
        <w:rPr>
          <w:color w:val="auto"/>
        </w:rPr>
      </w:pPr>
      <w:r w:rsidRPr="00691802">
        <w:rPr>
          <w:rStyle w:val="FootnoteReference"/>
          <w:color w:val="auto"/>
        </w:rPr>
        <w:footnoteRef/>
      </w:r>
      <w:r w:rsidRPr="00691802">
        <w:rPr>
          <w:color w:val="auto"/>
        </w:rPr>
        <w:t xml:space="preserve"> New York SBDC, </w:t>
      </w:r>
      <w:r w:rsidRPr="00691802">
        <w:rPr>
          <w:i/>
          <w:iCs/>
          <w:color w:val="auto"/>
        </w:rPr>
        <w:t>Specialty Programs: Cybersecurity.</w:t>
      </w:r>
      <w:r w:rsidRPr="00691802">
        <w:rPr>
          <w:color w:val="auto"/>
        </w:rPr>
        <w:t xml:space="preserve"> </w:t>
      </w:r>
      <w:r w:rsidRPr="00691802">
        <w:rPr>
          <w:i/>
          <w:iCs/>
          <w:color w:val="auto"/>
        </w:rPr>
        <w:t xml:space="preserve">Available at: </w:t>
      </w:r>
      <w:hyperlink r:id="rId45" w:history="1">
        <w:r w:rsidRPr="00691802">
          <w:rPr>
            <w:rStyle w:val="Hyperlink"/>
            <w:i/>
            <w:iCs/>
          </w:rPr>
          <w:t>https://nysbdc.org/specialty-programs/cybersecurity/</w:t>
        </w:r>
      </w:hyperlink>
      <w:r w:rsidRPr="00691802">
        <w:rPr>
          <w:i/>
          <w:iCs/>
          <w:color w:val="auto"/>
        </w:rPr>
        <w:t xml:space="preserve"> </w:t>
      </w:r>
      <w:r w:rsidRPr="00691802">
        <w:rPr>
          <w:color w:val="auto"/>
        </w:rPr>
        <w:t xml:space="preserve">[Accessed on September 23, 2025]. </w:t>
      </w:r>
    </w:p>
  </w:footnote>
  <w:footnote w:id="93">
    <w:p w14:paraId="18D5AB5C" w14:textId="77777777" w:rsidR="00577C9E" w:rsidRPr="00691802" w:rsidRDefault="00577C9E" w:rsidP="00691802">
      <w:pPr>
        <w:pStyle w:val="FootnoteText"/>
        <w:contextualSpacing/>
        <w:rPr>
          <w:i/>
          <w:iCs/>
          <w:color w:val="auto"/>
        </w:rPr>
      </w:pPr>
      <w:r w:rsidRPr="00691802">
        <w:rPr>
          <w:rStyle w:val="FootnoteReference"/>
          <w:color w:val="auto"/>
        </w:rPr>
        <w:footnoteRef/>
      </w:r>
      <w:r w:rsidRPr="00691802">
        <w:rPr>
          <w:color w:val="auto"/>
        </w:rPr>
        <w:t xml:space="preserve"> </w:t>
      </w:r>
      <w:r w:rsidRPr="00691802">
        <w:rPr>
          <w:i/>
          <w:iCs/>
          <w:color w:val="auto"/>
        </w:rPr>
        <w:t xml:space="preserve">Id. </w:t>
      </w:r>
    </w:p>
  </w:footnote>
  <w:footnote w:id="94">
    <w:p w14:paraId="581BA902" w14:textId="77777777" w:rsidR="00577C9E" w:rsidRPr="00691802" w:rsidRDefault="00577C9E" w:rsidP="00691802">
      <w:pPr>
        <w:contextualSpacing/>
        <w:rPr>
          <w:sz w:val="20"/>
          <w:szCs w:val="20"/>
        </w:rPr>
      </w:pPr>
      <w:r w:rsidRPr="00691802">
        <w:rPr>
          <w:rStyle w:val="FootnoteReference"/>
          <w:sz w:val="20"/>
          <w:szCs w:val="20"/>
        </w:rPr>
        <w:footnoteRef/>
      </w:r>
      <w:r w:rsidRPr="00691802">
        <w:rPr>
          <w:sz w:val="20"/>
          <w:szCs w:val="20"/>
        </w:rPr>
        <w:t xml:space="preserve"> New York City Department of Small Business Services. “On Sandy Anniversary, NYC Small Business Services Highlights Digital Library to Prepare Small Businesses for Emergencies.” (October 27, 2022). </w:t>
      </w:r>
      <w:r w:rsidRPr="00691802">
        <w:rPr>
          <w:i/>
          <w:iCs/>
          <w:sz w:val="20"/>
          <w:szCs w:val="20"/>
        </w:rPr>
        <w:t xml:space="preserve">Available at: </w:t>
      </w:r>
      <w:r w:rsidRPr="00691802">
        <w:rPr>
          <w:sz w:val="20"/>
          <w:szCs w:val="20"/>
        </w:rPr>
        <w:t xml:space="preserve"> </w:t>
      </w:r>
      <w:hyperlink r:id="rId46" w:history="1">
        <w:r w:rsidRPr="00691802">
          <w:rPr>
            <w:rStyle w:val="Hyperlink"/>
            <w:sz w:val="20"/>
            <w:szCs w:val="20"/>
          </w:rPr>
          <w:t>https://www.nyc.gov/site/sbs/about/pr20221027-sandy10years-businessprep.page</w:t>
        </w:r>
      </w:hyperlink>
    </w:p>
  </w:footnote>
  <w:footnote w:id="95">
    <w:p w14:paraId="382FA198" w14:textId="77777777" w:rsidR="00577C9E" w:rsidRPr="00691802" w:rsidRDefault="00577C9E" w:rsidP="00691802">
      <w:pPr>
        <w:contextualSpacing/>
        <w:rPr>
          <w:sz w:val="20"/>
          <w:szCs w:val="20"/>
        </w:rPr>
      </w:pPr>
      <w:r w:rsidRPr="00691802">
        <w:rPr>
          <w:rStyle w:val="FootnoteReference"/>
          <w:sz w:val="20"/>
          <w:szCs w:val="20"/>
        </w:rPr>
        <w:footnoteRef/>
      </w:r>
      <w:r w:rsidRPr="00691802">
        <w:rPr>
          <w:sz w:val="20"/>
          <w:szCs w:val="20"/>
        </w:rPr>
        <w:t xml:space="preserve"> New York City Department of Small Business Services. “On Sandy Anniversary, NYC Small Business Services Highlights Digital Library to Prepare Small Businesses for Emergencies.” (October 27, 2022). </w:t>
      </w:r>
      <w:r w:rsidRPr="00691802">
        <w:rPr>
          <w:i/>
          <w:iCs/>
          <w:sz w:val="20"/>
          <w:szCs w:val="20"/>
        </w:rPr>
        <w:t xml:space="preserve">Available at: </w:t>
      </w:r>
      <w:r w:rsidRPr="00691802">
        <w:rPr>
          <w:sz w:val="20"/>
          <w:szCs w:val="20"/>
        </w:rPr>
        <w:t xml:space="preserve"> </w:t>
      </w:r>
      <w:hyperlink r:id="rId47" w:history="1">
        <w:r w:rsidRPr="00691802">
          <w:rPr>
            <w:rStyle w:val="Hyperlink"/>
            <w:sz w:val="20"/>
            <w:szCs w:val="20"/>
          </w:rPr>
          <w:t>https://www.nyc.gov/site/sbs/about/pr20221027-sandy10years-businessprep.page</w:t>
        </w:r>
      </w:hyperlink>
      <w:r w:rsidRPr="00691802">
        <w:rPr>
          <w:sz w:val="20"/>
          <w:szCs w:val="20"/>
        </w:rPr>
        <w:t xml:space="preserve"> </w:t>
      </w:r>
    </w:p>
  </w:footnote>
  <w:footnote w:id="96">
    <w:p w14:paraId="16572554" w14:textId="77777777" w:rsidR="00577C9E" w:rsidRPr="00691802" w:rsidRDefault="00577C9E" w:rsidP="00691802">
      <w:pPr>
        <w:contextualSpacing/>
        <w:rPr>
          <w:sz w:val="20"/>
          <w:szCs w:val="20"/>
        </w:rPr>
      </w:pPr>
      <w:r w:rsidRPr="00691802">
        <w:rPr>
          <w:rStyle w:val="FootnoteReference"/>
          <w:sz w:val="20"/>
          <w:szCs w:val="20"/>
        </w:rPr>
        <w:footnoteRef/>
      </w:r>
      <w:r w:rsidRPr="00691802">
        <w:rPr>
          <w:sz w:val="20"/>
          <w:szCs w:val="20"/>
        </w:rPr>
        <w:t xml:space="preserve"> New York City Department of Small Business Services. “DURING NYC SMALL BUSINESS MONTH, CITY AND MASTERCARD ANNOUNCE EXPANSION OF PARTNERSHIP TO HELP SMALL BUSINESSES SHORE UP DIGITAL RESILIENCY.” (May 1, 2023). </w:t>
      </w:r>
      <w:r w:rsidRPr="00691802">
        <w:rPr>
          <w:i/>
          <w:iCs/>
          <w:sz w:val="20"/>
          <w:szCs w:val="20"/>
        </w:rPr>
        <w:t>Available at:</w:t>
      </w:r>
      <w:r w:rsidRPr="00691802">
        <w:rPr>
          <w:sz w:val="20"/>
          <w:szCs w:val="20"/>
        </w:rPr>
        <w:t xml:space="preserve">  </w:t>
      </w:r>
      <w:hyperlink r:id="rId48" w:history="1">
        <w:r w:rsidRPr="00691802">
          <w:rPr>
            <w:rStyle w:val="Hyperlink"/>
            <w:sz w:val="20"/>
            <w:szCs w:val="20"/>
          </w:rPr>
          <w:t>https://www.nyc.gov/site/sbs/about/pr20230501-mastercardexpansion.page</w:t>
        </w:r>
      </w:hyperlink>
      <w:r w:rsidRPr="00691802">
        <w:rPr>
          <w:sz w:val="20"/>
          <w:szCs w:val="20"/>
        </w:rPr>
        <w:t xml:space="preserve"> </w:t>
      </w:r>
    </w:p>
  </w:footnote>
  <w:footnote w:id="97">
    <w:p w14:paraId="283FCA94" w14:textId="77777777" w:rsidR="00577C9E" w:rsidRPr="00691802" w:rsidRDefault="00577C9E" w:rsidP="00691802">
      <w:pPr>
        <w:contextualSpacing/>
        <w:rPr>
          <w:sz w:val="20"/>
          <w:szCs w:val="20"/>
        </w:rPr>
      </w:pPr>
      <w:r w:rsidRPr="00691802">
        <w:rPr>
          <w:rStyle w:val="FootnoteReference"/>
          <w:sz w:val="20"/>
          <w:szCs w:val="20"/>
        </w:rPr>
        <w:footnoteRef/>
      </w:r>
      <w:r w:rsidRPr="00691802">
        <w:rPr>
          <w:sz w:val="20"/>
          <w:szCs w:val="20"/>
        </w:rPr>
        <w:t xml:space="preserve"> Mastercard Digital Doors. </w:t>
      </w:r>
      <w:r w:rsidRPr="00691802">
        <w:rPr>
          <w:i/>
          <w:iCs/>
          <w:sz w:val="20"/>
          <w:szCs w:val="20"/>
        </w:rPr>
        <w:t xml:space="preserve">Available at: </w:t>
      </w:r>
      <w:hyperlink r:id="rId49" w:history="1">
        <w:r w:rsidRPr="00691802">
          <w:rPr>
            <w:rStyle w:val="Hyperlink"/>
            <w:sz w:val="20"/>
            <w:szCs w:val="20"/>
          </w:rPr>
          <w:t>https://www.mastercard.com/us/en/business/industry-segment/small-medium-business/digital-doors.html</w:t>
        </w:r>
      </w:hyperlink>
      <w:r w:rsidRPr="00691802">
        <w:rPr>
          <w:sz w:val="20"/>
          <w:szCs w:val="20"/>
        </w:rPr>
        <w:t xml:space="preserve"> [Accessed on September 23, 2025]. </w:t>
      </w:r>
    </w:p>
  </w:footnote>
  <w:footnote w:id="98">
    <w:p w14:paraId="324B590C" w14:textId="77777777" w:rsidR="00577C9E" w:rsidRPr="00691802" w:rsidRDefault="00577C9E" w:rsidP="00691802">
      <w:pPr>
        <w:contextualSpacing/>
        <w:rPr>
          <w:sz w:val="20"/>
          <w:szCs w:val="20"/>
        </w:rPr>
      </w:pPr>
      <w:r w:rsidRPr="00691802">
        <w:rPr>
          <w:rStyle w:val="FootnoteReference"/>
          <w:sz w:val="20"/>
          <w:szCs w:val="20"/>
        </w:rPr>
        <w:footnoteRef/>
      </w:r>
      <w:r w:rsidRPr="00691802">
        <w:rPr>
          <w:sz w:val="20"/>
          <w:szCs w:val="20"/>
        </w:rPr>
        <w:t xml:space="preserve"> New York City Office of Technology and Innovation. </w:t>
      </w:r>
      <w:r w:rsidRPr="00691802">
        <w:rPr>
          <w:i/>
          <w:iCs/>
          <w:sz w:val="20"/>
          <w:szCs w:val="20"/>
        </w:rPr>
        <w:t xml:space="preserve">Office of Technology and Innovation Testimony Before the New York City Council Committee on Technology. </w:t>
      </w:r>
      <w:r w:rsidRPr="00691802">
        <w:rPr>
          <w:sz w:val="20"/>
          <w:szCs w:val="20"/>
        </w:rPr>
        <w:t xml:space="preserve">(September 30, 2024). </w:t>
      </w:r>
      <w:r w:rsidRPr="00691802">
        <w:rPr>
          <w:i/>
          <w:iCs/>
          <w:sz w:val="20"/>
          <w:szCs w:val="20"/>
        </w:rPr>
        <w:t>Available at:</w:t>
      </w:r>
      <w:r w:rsidRPr="00691802">
        <w:rPr>
          <w:sz w:val="20"/>
          <w:szCs w:val="20"/>
        </w:rPr>
        <w:t xml:space="preserve"> </w:t>
      </w:r>
      <w:hyperlink r:id="rId50" w:history="1">
        <w:r w:rsidRPr="00691802">
          <w:rPr>
            <w:rStyle w:val="Hyperlink"/>
            <w:sz w:val="20"/>
            <w:szCs w:val="20"/>
          </w:rPr>
          <w:t>https://www.nyc.gov/content/oti/pages/testimony/oti-testimony-before-nyc-council-committee-tech</w:t>
        </w:r>
      </w:hyperlink>
      <w:r w:rsidRPr="00691802">
        <w:rPr>
          <w:sz w:val="20"/>
          <w:szCs w:val="20"/>
        </w:rPr>
        <w:t xml:space="preserve"> </w:t>
      </w:r>
    </w:p>
  </w:footnote>
  <w:footnote w:id="99">
    <w:p w14:paraId="0FA3ED91" w14:textId="77777777" w:rsidR="00577C9E" w:rsidRPr="00691802" w:rsidRDefault="00577C9E" w:rsidP="00691802">
      <w:pPr>
        <w:contextualSpacing/>
        <w:rPr>
          <w:sz w:val="20"/>
          <w:szCs w:val="20"/>
        </w:rPr>
      </w:pPr>
      <w:r w:rsidRPr="00691802">
        <w:rPr>
          <w:rStyle w:val="FootnoteReference"/>
          <w:sz w:val="20"/>
          <w:szCs w:val="20"/>
        </w:rPr>
        <w:footnoteRef/>
      </w:r>
      <w:r w:rsidRPr="00691802">
        <w:rPr>
          <w:sz w:val="20"/>
          <w:szCs w:val="20"/>
        </w:rPr>
        <w:t xml:space="preserve"> New York City MyCity Business Portal. </w:t>
      </w:r>
      <w:r w:rsidRPr="00691802">
        <w:rPr>
          <w:i/>
          <w:iCs/>
          <w:sz w:val="20"/>
          <w:szCs w:val="20"/>
        </w:rPr>
        <w:t xml:space="preserve">Emergency Preparedness Resources. </w:t>
      </w:r>
      <w:r w:rsidRPr="00691802">
        <w:rPr>
          <w:sz w:val="20"/>
          <w:szCs w:val="20"/>
        </w:rPr>
        <w:t xml:space="preserve">Available at: </w:t>
      </w:r>
      <w:hyperlink r:id="rId51" w:history="1">
        <w:r w:rsidRPr="00691802">
          <w:rPr>
            <w:rStyle w:val="Hyperlink"/>
            <w:sz w:val="20"/>
            <w:szCs w:val="20"/>
          </w:rPr>
          <w:t>https://nyc-business.nyc.gov/nycbusiness/emergency-preparedness/emergency-preparedness-resources</w:t>
        </w:r>
      </w:hyperlink>
      <w:r w:rsidRPr="00691802">
        <w:rPr>
          <w:sz w:val="20"/>
          <w:szCs w:val="20"/>
        </w:rPr>
        <w:t xml:space="preserve"> [Accessed on September 23, 2025].</w:t>
      </w:r>
    </w:p>
  </w:footnote>
  <w:footnote w:id="100">
    <w:p w14:paraId="1EDD7CBD" w14:textId="77777777" w:rsidR="00577C9E" w:rsidRPr="00691802" w:rsidRDefault="00577C9E" w:rsidP="00691802">
      <w:pPr>
        <w:contextualSpacing/>
        <w:rPr>
          <w:sz w:val="20"/>
          <w:szCs w:val="20"/>
        </w:rPr>
      </w:pPr>
      <w:r w:rsidRPr="00691802">
        <w:rPr>
          <w:rStyle w:val="FootnoteReference"/>
          <w:sz w:val="20"/>
          <w:szCs w:val="20"/>
        </w:rPr>
        <w:footnoteRef/>
      </w:r>
      <w:r w:rsidRPr="00691802">
        <w:rPr>
          <w:sz w:val="20"/>
          <w:szCs w:val="20"/>
        </w:rPr>
        <w:t xml:space="preserve"> The GCA Cybersecurity Toolkit for Small Business. </w:t>
      </w:r>
      <w:r w:rsidRPr="00691802">
        <w:rPr>
          <w:i/>
          <w:iCs/>
          <w:sz w:val="20"/>
          <w:szCs w:val="20"/>
        </w:rPr>
        <w:t xml:space="preserve">Available at: </w:t>
      </w:r>
      <w:hyperlink r:id="rId52" w:history="1">
        <w:r w:rsidRPr="00691802">
          <w:rPr>
            <w:rStyle w:val="Hyperlink"/>
            <w:i/>
            <w:iCs/>
            <w:sz w:val="20"/>
            <w:szCs w:val="20"/>
          </w:rPr>
          <w:t>https://gcatoolkit.org/smallbusiness/</w:t>
        </w:r>
      </w:hyperlink>
      <w:r w:rsidRPr="00691802">
        <w:rPr>
          <w:i/>
          <w:iCs/>
          <w:sz w:val="20"/>
          <w:szCs w:val="20"/>
        </w:rPr>
        <w:t xml:space="preserve"> </w:t>
      </w:r>
      <w:r w:rsidRPr="00691802">
        <w:rPr>
          <w:sz w:val="20"/>
          <w:szCs w:val="20"/>
        </w:rPr>
        <w:t xml:space="preserve">[Accessed on September 23, 2025]. </w:t>
      </w:r>
    </w:p>
  </w:footnote>
  <w:footnote w:id="101">
    <w:p w14:paraId="320726D1" w14:textId="1A85913B" w:rsidR="00577C9E" w:rsidRPr="00691802" w:rsidRDefault="00577C9E" w:rsidP="00691802">
      <w:pPr>
        <w:contextualSpacing/>
        <w:rPr>
          <w:sz w:val="20"/>
          <w:szCs w:val="20"/>
        </w:rPr>
      </w:pPr>
      <w:r w:rsidRPr="00691802">
        <w:rPr>
          <w:rStyle w:val="FootnoteReference"/>
          <w:sz w:val="20"/>
          <w:szCs w:val="20"/>
        </w:rPr>
        <w:footnoteRef/>
      </w:r>
      <w:r w:rsidRPr="00691802">
        <w:rPr>
          <w:sz w:val="20"/>
          <w:szCs w:val="20"/>
        </w:rPr>
        <w:t xml:space="preserve"> </w:t>
      </w:r>
      <w:r w:rsidRPr="007507C4">
        <w:rPr>
          <w:i/>
          <w:iCs/>
          <w:sz w:val="20"/>
          <w:szCs w:val="20"/>
        </w:rPr>
        <w:t>Supra</w:t>
      </w:r>
      <w:r w:rsidRPr="00691802">
        <w:rPr>
          <w:sz w:val="20"/>
          <w:szCs w:val="20"/>
        </w:rPr>
        <w:t xml:space="preserve"> note </w:t>
      </w:r>
      <w:r>
        <w:rPr>
          <w:sz w:val="20"/>
          <w:szCs w:val="20"/>
        </w:rPr>
        <w:t>99.</w:t>
      </w:r>
    </w:p>
  </w:footnote>
  <w:footnote w:id="102">
    <w:p w14:paraId="5768F6B1" w14:textId="77777777" w:rsidR="00577C9E" w:rsidRPr="00691802" w:rsidRDefault="00577C9E" w:rsidP="00691802">
      <w:pPr>
        <w:contextualSpacing/>
        <w:rPr>
          <w:sz w:val="20"/>
          <w:szCs w:val="20"/>
        </w:rPr>
      </w:pPr>
      <w:r w:rsidRPr="00691802">
        <w:rPr>
          <w:rStyle w:val="FootnoteReference"/>
          <w:sz w:val="20"/>
          <w:szCs w:val="20"/>
        </w:rPr>
        <w:footnoteRef/>
      </w:r>
      <w:r w:rsidRPr="00691802">
        <w:rPr>
          <w:sz w:val="20"/>
          <w:szCs w:val="20"/>
        </w:rPr>
        <w:t xml:space="preserve"> Federal Communications Commission. </w:t>
      </w:r>
      <w:r w:rsidRPr="00691802">
        <w:rPr>
          <w:i/>
          <w:iCs/>
          <w:sz w:val="20"/>
          <w:szCs w:val="20"/>
        </w:rPr>
        <w:t xml:space="preserve">Cybersecurity for Small Businesses. Available at: </w:t>
      </w:r>
      <w:hyperlink r:id="rId53" w:history="1">
        <w:r w:rsidRPr="00691802">
          <w:rPr>
            <w:rStyle w:val="Hyperlink"/>
            <w:sz w:val="20"/>
            <w:szCs w:val="20"/>
          </w:rPr>
          <w:t>https://www.fcc.gov/communications-business-opportunities/cybersecurity-small-businesses</w:t>
        </w:r>
      </w:hyperlink>
      <w:r w:rsidRPr="00691802">
        <w:rPr>
          <w:sz w:val="20"/>
          <w:szCs w:val="20"/>
        </w:rPr>
        <w:t xml:space="preserve"> [Accessed on September 23, 2025]. </w:t>
      </w:r>
    </w:p>
  </w:footnote>
  <w:footnote w:id="103">
    <w:p w14:paraId="70CCCB2D" w14:textId="77777777" w:rsidR="00577C9E" w:rsidRPr="00691802" w:rsidRDefault="00577C9E" w:rsidP="00691802">
      <w:pPr>
        <w:contextualSpacing/>
        <w:rPr>
          <w:sz w:val="20"/>
          <w:szCs w:val="20"/>
        </w:rPr>
      </w:pPr>
      <w:r w:rsidRPr="00691802">
        <w:rPr>
          <w:rStyle w:val="FootnoteReference"/>
          <w:sz w:val="20"/>
          <w:szCs w:val="20"/>
        </w:rPr>
        <w:footnoteRef/>
      </w:r>
      <w:r w:rsidRPr="00691802">
        <w:rPr>
          <w:sz w:val="20"/>
          <w:szCs w:val="20"/>
        </w:rPr>
        <w:t xml:space="preserve"> New York City MyCity Business Portal. </w:t>
      </w:r>
      <w:r w:rsidRPr="00691802">
        <w:rPr>
          <w:i/>
          <w:iCs/>
          <w:sz w:val="20"/>
          <w:szCs w:val="20"/>
        </w:rPr>
        <w:t xml:space="preserve">Available at: </w:t>
      </w:r>
      <w:hyperlink r:id="rId54" w:history="1">
        <w:r w:rsidRPr="00691802">
          <w:rPr>
            <w:rStyle w:val="Hyperlink"/>
            <w:i/>
            <w:iCs/>
            <w:sz w:val="20"/>
            <w:szCs w:val="20"/>
          </w:rPr>
          <w:t>https://nyc-business.nyc.gov/nycbusiness/bprep</w:t>
        </w:r>
      </w:hyperlink>
      <w:r w:rsidRPr="00691802">
        <w:rPr>
          <w:i/>
          <w:iCs/>
          <w:sz w:val="20"/>
          <w:szCs w:val="20"/>
        </w:rPr>
        <w:t xml:space="preserve"> </w:t>
      </w:r>
      <w:r w:rsidRPr="00691802">
        <w:rPr>
          <w:sz w:val="20"/>
          <w:szCs w:val="20"/>
        </w:rPr>
        <w:t xml:space="preserve">[Accessed on September 23, 2025]. </w:t>
      </w:r>
    </w:p>
  </w:footnote>
  <w:footnote w:id="104">
    <w:p w14:paraId="7B9B663E" w14:textId="77777777" w:rsidR="00577C9E" w:rsidRPr="00691802" w:rsidRDefault="00577C9E" w:rsidP="00691802">
      <w:pPr>
        <w:contextualSpacing/>
        <w:rPr>
          <w:sz w:val="20"/>
          <w:szCs w:val="20"/>
        </w:rPr>
      </w:pPr>
      <w:r w:rsidRPr="00691802">
        <w:rPr>
          <w:rStyle w:val="FootnoteReference"/>
          <w:sz w:val="20"/>
          <w:szCs w:val="20"/>
        </w:rPr>
        <w:footnoteRef/>
      </w:r>
      <w:r w:rsidRPr="00691802">
        <w:rPr>
          <w:sz w:val="20"/>
          <w:szCs w:val="20"/>
        </w:rPr>
        <w:t xml:space="preserve"> NYC 311. </w:t>
      </w:r>
      <w:r w:rsidRPr="00691802">
        <w:rPr>
          <w:i/>
          <w:iCs/>
          <w:sz w:val="20"/>
          <w:szCs w:val="20"/>
        </w:rPr>
        <w:t xml:space="preserve">NYC Secure Mobile App. Available at: </w:t>
      </w:r>
      <w:hyperlink r:id="rId55" w:history="1">
        <w:r w:rsidRPr="00691802">
          <w:rPr>
            <w:rStyle w:val="Hyperlink"/>
            <w:i/>
            <w:iCs/>
            <w:sz w:val="20"/>
            <w:szCs w:val="20"/>
          </w:rPr>
          <w:t>https://portal.311.nyc.gov/article/?kanumber=KA-02897&amp;language=en</w:t>
        </w:r>
      </w:hyperlink>
      <w:r w:rsidRPr="00691802">
        <w:rPr>
          <w:i/>
          <w:iCs/>
          <w:sz w:val="20"/>
          <w:szCs w:val="20"/>
        </w:rPr>
        <w:t xml:space="preserve"> </w:t>
      </w:r>
      <w:r w:rsidRPr="00691802">
        <w:rPr>
          <w:sz w:val="20"/>
          <w:szCs w:val="20"/>
        </w:rPr>
        <w:t xml:space="preserve">[Accessed on September 23, 2025]. </w:t>
      </w:r>
    </w:p>
  </w:footnote>
  <w:footnote w:id="105">
    <w:p w14:paraId="13AE641E" w14:textId="77777777" w:rsidR="00577C9E" w:rsidRPr="00691802" w:rsidRDefault="00577C9E" w:rsidP="00691802">
      <w:pPr>
        <w:contextualSpacing/>
        <w:rPr>
          <w:sz w:val="20"/>
          <w:szCs w:val="20"/>
        </w:rPr>
      </w:pPr>
      <w:r w:rsidRPr="00691802">
        <w:rPr>
          <w:rStyle w:val="FootnoteReference"/>
          <w:sz w:val="20"/>
          <w:szCs w:val="20"/>
        </w:rPr>
        <w:footnoteRef/>
      </w:r>
      <w:r w:rsidRPr="00691802">
        <w:rPr>
          <w:sz w:val="20"/>
          <w:szCs w:val="20"/>
        </w:rPr>
        <w:t xml:space="preserve"> NYC MyCity Business Portal. </w:t>
      </w:r>
      <w:r w:rsidRPr="00691802">
        <w:rPr>
          <w:i/>
          <w:iCs/>
          <w:sz w:val="20"/>
          <w:szCs w:val="20"/>
        </w:rPr>
        <w:t xml:space="preserve">Opening or Operating a Business in NYC? Available at: </w:t>
      </w:r>
      <w:hyperlink r:id="rId56" w:history="1">
        <w:r w:rsidRPr="00691802">
          <w:rPr>
            <w:rStyle w:val="Hyperlink"/>
            <w:sz w:val="20"/>
            <w:szCs w:val="20"/>
          </w:rPr>
          <w:t>https://nyc-business.nyc.gov/nycbusiness/</w:t>
        </w:r>
      </w:hyperlink>
      <w:r w:rsidRPr="00691802">
        <w:rPr>
          <w:sz w:val="20"/>
          <w:szCs w:val="20"/>
        </w:rPr>
        <w:t xml:space="preserve"> [Accessed on September 23, 2025]. </w:t>
      </w:r>
    </w:p>
  </w:footnote>
  <w:footnote w:id="106">
    <w:p w14:paraId="625FCB08" w14:textId="72B1FA14" w:rsidR="00577C9E" w:rsidRDefault="00577C9E">
      <w:pPr>
        <w:pStyle w:val="FootnoteText"/>
      </w:pPr>
      <w:r>
        <w:rPr>
          <w:rStyle w:val="FootnoteReference"/>
        </w:rPr>
        <w:footnoteRef/>
      </w:r>
      <w:r>
        <w:t xml:space="preserve"> NYC Open Data. </w:t>
      </w:r>
      <w:r>
        <w:rPr>
          <w:i/>
          <w:iCs/>
        </w:rPr>
        <w:t xml:space="preserve">NYC Retail Theft Complaints by Year. </w:t>
      </w:r>
      <w:r>
        <w:t xml:space="preserve">Available at: </w:t>
      </w:r>
      <w:hyperlink r:id="rId57" w:history="1">
        <w:r w:rsidRPr="00303318">
          <w:rPr>
            <w:rStyle w:val="Hyperlink"/>
          </w:rPr>
          <w:t>https://data.cityofnewyork.us/Public-Safety/NYC-Retail-Theft-Complaints-by-Year/7qq4-py3j</w:t>
        </w:r>
      </w:hyperlink>
      <w:r>
        <w:t xml:space="preserve"> [Accessed on September 30, 2025]. </w:t>
      </w:r>
    </w:p>
  </w:footnote>
  <w:footnote w:id="107">
    <w:p w14:paraId="6EB692FC" w14:textId="58D3DE44" w:rsidR="00577C9E" w:rsidRDefault="00577C9E">
      <w:pPr>
        <w:pStyle w:val="FootnoteText"/>
      </w:pPr>
      <w:r>
        <w:rPr>
          <w:rStyle w:val="FootnoteReference"/>
        </w:rPr>
        <w:footnoteRef/>
      </w:r>
      <w:r>
        <w:t xml:space="preserve"> Lopez, Ernesto, Robert Boxerman, and Kelsey Cundiff. </w:t>
      </w:r>
      <w:r>
        <w:rPr>
          <w:i/>
          <w:iCs/>
        </w:rPr>
        <w:t xml:space="preserve">Shoplifting Trends: What You Need to Know. </w:t>
      </w:r>
      <w:r>
        <w:t xml:space="preserve">COUNCIL ON CRIMINAL JUSTICE. (November 2023). </w:t>
      </w:r>
      <w:r>
        <w:rPr>
          <w:i/>
          <w:iCs/>
        </w:rPr>
        <w:t>Available at:</w:t>
      </w:r>
      <w:r>
        <w:t xml:space="preserve"> </w:t>
      </w:r>
      <w:hyperlink r:id="rId58" w:history="1">
        <w:r w:rsidRPr="00303318">
          <w:rPr>
            <w:rStyle w:val="Hyperlink"/>
          </w:rPr>
          <w:t>https://counciloncj.org/shoplifting-trends-what-you-need-to-know/#</w:t>
        </w:r>
      </w:hyperlink>
      <w:r>
        <w:t xml:space="preserve"> </w:t>
      </w:r>
    </w:p>
  </w:footnote>
  <w:footnote w:id="108">
    <w:p w14:paraId="1213EAA4" w14:textId="756F9F7E" w:rsidR="00577C9E" w:rsidRPr="006A3903" w:rsidRDefault="00577C9E">
      <w:pPr>
        <w:pStyle w:val="FootnoteText"/>
        <w:rPr>
          <w:i/>
          <w:iCs/>
        </w:rPr>
      </w:pPr>
      <w:r>
        <w:rPr>
          <w:rStyle w:val="FootnoteReference"/>
        </w:rPr>
        <w:footnoteRef/>
      </w:r>
      <w:r>
        <w:t xml:space="preserve"> The New York State Senate. </w:t>
      </w:r>
      <w:r>
        <w:rPr>
          <w:i/>
          <w:iCs/>
        </w:rPr>
        <w:t xml:space="preserve">New York Adopts Legislation to Fight Organized Shop Thefts; Protect Workers. </w:t>
      </w:r>
      <w:r>
        <w:t xml:space="preserve">(May 6, 2024). </w:t>
      </w:r>
      <w:r>
        <w:rPr>
          <w:i/>
          <w:iCs/>
        </w:rPr>
        <w:t xml:space="preserve">Available at: </w:t>
      </w:r>
      <w:hyperlink r:id="rId59" w:history="1">
        <w:r w:rsidRPr="00303318">
          <w:rPr>
            <w:rStyle w:val="Hyperlink"/>
            <w:i/>
            <w:iCs/>
          </w:rPr>
          <w:t>https://www.nysenate.gov/newsroom/press-releases/2024/monica-r-martinez/new-york-adopts-legislation-fight-organized-shop</w:t>
        </w:r>
      </w:hyperlink>
      <w:r>
        <w:rPr>
          <w:i/>
          <w:iCs/>
        </w:rPr>
        <w:t xml:space="preserve"> </w:t>
      </w:r>
    </w:p>
  </w:footnote>
  <w:footnote w:id="109">
    <w:p w14:paraId="3FDE6586" w14:textId="0F42FB55" w:rsidR="00577C9E" w:rsidRPr="00AB0052" w:rsidRDefault="00577C9E">
      <w:pPr>
        <w:pStyle w:val="FootnoteText"/>
        <w:rPr>
          <w:i/>
          <w:iCs/>
        </w:rPr>
      </w:pPr>
      <w:r>
        <w:rPr>
          <w:rStyle w:val="FootnoteReference"/>
        </w:rPr>
        <w:footnoteRef/>
      </w:r>
      <w:r>
        <w:t xml:space="preserve"> New York State Governor Kathy Hochul. </w:t>
      </w:r>
      <w:r>
        <w:rPr>
          <w:i/>
          <w:iCs/>
        </w:rPr>
        <w:t xml:space="preserve">Following Crack Down on Organized Retail Theft, Governor Hochul Announces Reduction in Retail Theft in New York City. </w:t>
      </w:r>
      <w:r>
        <w:t xml:space="preserve">(August 26, 2025). </w:t>
      </w:r>
      <w:r>
        <w:rPr>
          <w:i/>
          <w:iCs/>
        </w:rPr>
        <w:t xml:space="preserve">Available at: </w:t>
      </w:r>
      <w:hyperlink r:id="rId60" w:history="1">
        <w:r w:rsidRPr="00303318">
          <w:rPr>
            <w:rStyle w:val="Hyperlink"/>
            <w:i/>
            <w:iCs/>
          </w:rPr>
          <w:t>https://www.governor.ny.gov/news/following-crack-down-organized-retail-theft-governor-hochul-announces-reduction-retail-theft</w:t>
        </w:r>
      </w:hyperlink>
      <w:r>
        <w:rPr>
          <w:i/>
          <w:iCs/>
        </w:rPr>
        <w:t xml:space="preserve"> </w:t>
      </w:r>
    </w:p>
  </w:footnote>
  <w:footnote w:id="110">
    <w:p w14:paraId="395703AB" w14:textId="022D44C3" w:rsidR="00577C9E" w:rsidRPr="00C608B9" w:rsidRDefault="00577C9E">
      <w:pPr>
        <w:pStyle w:val="FootnoteText"/>
        <w:rPr>
          <w:i/>
          <w:iCs/>
        </w:rPr>
      </w:pPr>
      <w:r>
        <w:rPr>
          <w:rStyle w:val="FootnoteReference"/>
        </w:rPr>
        <w:footnoteRef/>
      </w:r>
      <w:r>
        <w:t xml:space="preserve"> NYC Office of the Mayor. </w:t>
      </w:r>
      <w:r>
        <w:rPr>
          <w:i/>
          <w:iCs/>
        </w:rPr>
        <w:t xml:space="preserve">Mayor Adams Announces Plan to Combat Retail Theft in New York City. </w:t>
      </w:r>
      <w:r>
        <w:t xml:space="preserve">(May 17, 2023). </w:t>
      </w:r>
      <w:r>
        <w:rPr>
          <w:i/>
          <w:iCs/>
        </w:rPr>
        <w:t xml:space="preserve">Available at: </w:t>
      </w:r>
      <w:hyperlink r:id="rId61" w:history="1">
        <w:r w:rsidRPr="00303318">
          <w:rPr>
            <w:rStyle w:val="Hyperlink"/>
            <w:i/>
            <w:iCs/>
          </w:rPr>
          <w:t>https://www.nyc.gov/mayors-office/news/2023/05/mayor-adams-plan-combat-retail-theft-new-york-city</w:t>
        </w:r>
      </w:hyperlink>
      <w:r>
        <w:rPr>
          <w:i/>
          <w:iCs/>
        </w:rPr>
        <w:t xml:space="preserve"> </w:t>
      </w:r>
    </w:p>
  </w:footnote>
  <w:footnote w:id="111">
    <w:p w14:paraId="61E35931" w14:textId="7DC57F1E" w:rsidR="00577C9E" w:rsidRPr="00EF0F8D" w:rsidRDefault="00577C9E">
      <w:pPr>
        <w:pStyle w:val="FootnoteText"/>
        <w:rPr>
          <w:i/>
          <w:iCs/>
        </w:rPr>
      </w:pPr>
      <w:r>
        <w:rPr>
          <w:rStyle w:val="FootnoteReference"/>
        </w:rPr>
        <w:footnoteRef/>
      </w:r>
      <w:r>
        <w:t xml:space="preserve"> NYC Office of the Mayor. </w:t>
      </w:r>
      <w:r>
        <w:rPr>
          <w:i/>
          <w:iCs/>
        </w:rPr>
        <w:t xml:space="preserve">Mayor Adams Announces new Pilot Program to Combat Retail Theft, Create Efficiencies, Improve Police-Community Relations Using Innovative Technology. </w:t>
      </w:r>
      <w:r>
        <w:t xml:space="preserve">(May 16, 2024). </w:t>
      </w:r>
      <w:r>
        <w:rPr>
          <w:i/>
          <w:iCs/>
        </w:rPr>
        <w:t xml:space="preserve">Available at: </w:t>
      </w:r>
      <w:hyperlink r:id="rId62" w:history="1">
        <w:r w:rsidRPr="00303318">
          <w:rPr>
            <w:rStyle w:val="Hyperlink"/>
            <w:i/>
            <w:iCs/>
          </w:rPr>
          <w:t>https://www.nyc.gov/mayors-office/news/2024/05/mayor-adams-new-pilot-program-combat-retail-theft-create-efficiencies-improve</w:t>
        </w:r>
      </w:hyperlink>
      <w:r>
        <w:rPr>
          <w:i/>
          <w:iCs/>
        </w:rPr>
        <w:t xml:space="preserve"> </w:t>
      </w:r>
    </w:p>
  </w:footnote>
  <w:footnote w:id="112">
    <w:p w14:paraId="32E4FCA2" w14:textId="0B06E09F" w:rsidR="00577C9E" w:rsidRPr="00E71317" w:rsidRDefault="00577C9E">
      <w:pPr>
        <w:pStyle w:val="FootnoteText"/>
        <w:rPr>
          <w:i/>
          <w:iCs/>
        </w:rPr>
      </w:pPr>
      <w:r>
        <w:rPr>
          <w:rStyle w:val="FootnoteReference"/>
        </w:rPr>
        <w:footnoteRef/>
      </w:r>
      <w:r>
        <w:t xml:space="preserve"> NYC Office of the Mayor. </w:t>
      </w:r>
      <w:r>
        <w:rPr>
          <w:i/>
          <w:iCs/>
        </w:rPr>
        <w:t xml:space="preserve">Mayor Adams Launches “SilentShield,” Investing $1.6 Million in Technology to Immediately Connect Bodega Owners to NYPD in Emergencies. </w:t>
      </w:r>
      <w:r>
        <w:t xml:space="preserve">(May 4, 2025). </w:t>
      </w:r>
      <w:r>
        <w:rPr>
          <w:i/>
          <w:iCs/>
        </w:rPr>
        <w:t xml:space="preserve">Available at: </w:t>
      </w:r>
      <w:hyperlink r:id="rId63" w:history="1">
        <w:r w:rsidRPr="00303318">
          <w:rPr>
            <w:rStyle w:val="Hyperlink"/>
            <w:i/>
            <w:iCs/>
          </w:rPr>
          <w:t>https://www.nyc.gov/mayors-office/news/2025/05/mayor-adams-launches-silentshield-investing-1-6-million-technology-immediately-connect</w:t>
        </w:r>
      </w:hyperlink>
      <w:r>
        <w:rPr>
          <w:i/>
          <w:iCs/>
        </w:rPr>
        <w:t xml:space="preserve"> </w:t>
      </w:r>
    </w:p>
  </w:footnote>
  <w:footnote w:id="113">
    <w:p w14:paraId="751B0A93" w14:textId="37613818" w:rsidR="00577C9E" w:rsidRPr="001C59FB" w:rsidRDefault="00577C9E" w:rsidP="003D1210">
      <w:pPr>
        <w:pStyle w:val="FootnoteText"/>
        <w:rPr>
          <w:b/>
          <w:bCs/>
          <w:i/>
          <w:iCs/>
        </w:rPr>
      </w:pPr>
      <w:r>
        <w:rPr>
          <w:rStyle w:val="FootnoteReference"/>
        </w:rPr>
        <w:footnoteRef/>
      </w:r>
      <w:r>
        <w:t xml:space="preserve"> New York Police Department. </w:t>
      </w:r>
      <w:r w:rsidRPr="003D1210">
        <w:rPr>
          <w:i/>
          <w:iCs/>
        </w:rPr>
        <w:t>NYPD ANNOUNCES RECORD-LOW SHOOTING INCIDENTS AND SHOOTING VICTIMS FOR THE FIRST EIGHT MONTHS OF THE YEAR</w:t>
      </w:r>
      <w:r>
        <w:rPr>
          <w:i/>
          <w:iCs/>
        </w:rPr>
        <w:t xml:space="preserve">. </w:t>
      </w:r>
      <w:r>
        <w:t xml:space="preserve">(September 2, 2025). </w:t>
      </w:r>
      <w:r>
        <w:rPr>
          <w:i/>
          <w:iCs/>
        </w:rPr>
        <w:t xml:space="preserve">Available at: </w:t>
      </w:r>
      <w:hyperlink r:id="rId64" w:history="1">
        <w:r w:rsidRPr="00303318">
          <w:rPr>
            <w:rStyle w:val="Hyperlink"/>
            <w:i/>
            <w:iCs/>
          </w:rPr>
          <w:t>https://www.nyc.gov/site/nypd/news/pr014/nypd-record-low-shooting-incidents-shooting-victims-the-first-eight-months-the</w:t>
        </w:r>
      </w:hyperlink>
      <w:r>
        <w:rPr>
          <w:i/>
          <w:iCs/>
        </w:rPr>
        <w:t xml:space="preserve"> </w:t>
      </w:r>
    </w:p>
    <w:p w14:paraId="141B2798" w14:textId="29719C58" w:rsidR="00577C9E" w:rsidRPr="00382B3D" w:rsidRDefault="00577C9E">
      <w:pPr>
        <w:pStyle w:val="FootnoteText"/>
        <w:rPr>
          <w:i/>
          <w:iCs/>
        </w:rPr>
      </w:pPr>
      <w:r>
        <w:rPr>
          <w:i/>
          <w:iCs/>
        </w:rPr>
        <w:t xml:space="preserve">. </w:t>
      </w:r>
    </w:p>
  </w:footnote>
  <w:footnote w:id="114">
    <w:p w14:paraId="0AA26306" w14:textId="7356B1CE" w:rsidR="00577C9E" w:rsidRPr="00582B46" w:rsidRDefault="00577C9E" w:rsidP="00582B46">
      <w:pPr>
        <w:pStyle w:val="FootnoteText"/>
        <w:rPr>
          <w:i/>
          <w:iCs/>
        </w:rPr>
      </w:pPr>
      <w:r w:rsidRPr="00582B46">
        <w:rPr>
          <w:rStyle w:val="FootnoteReference"/>
        </w:rPr>
        <w:footnoteRef/>
      </w:r>
      <w:r w:rsidRPr="00582B46">
        <w:t xml:space="preserve"> Sharma, Jeena. </w:t>
      </w:r>
      <w:r>
        <w:t>“</w:t>
      </w:r>
      <w:r w:rsidRPr="00582B46">
        <w:t>58% of consumers prefer online shopping to in-person visits due to retail crime: survey</w:t>
      </w:r>
      <w:r>
        <w:t xml:space="preserve">.” RETAIL BREW. (March 3, 2025). </w:t>
      </w:r>
      <w:r>
        <w:rPr>
          <w:i/>
          <w:iCs/>
        </w:rPr>
        <w:t xml:space="preserve">Available at: </w:t>
      </w:r>
      <w:hyperlink r:id="rId65" w:history="1">
        <w:r w:rsidRPr="00303318">
          <w:rPr>
            <w:rStyle w:val="Hyperlink"/>
            <w:i/>
            <w:iCs/>
          </w:rPr>
          <w:t>https://www.retailbrew.com/stories/2025/03/03/58-of-consumers-prefer-online-shopping-to-in-person-visits-due-to-retail-crime-survey</w:t>
        </w:r>
      </w:hyperlink>
      <w:r>
        <w:rPr>
          <w:i/>
          <w:iCs/>
        </w:rPr>
        <w:t xml:space="preserve"> </w:t>
      </w:r>
    </w:p>
    <w:p w14:paraId="3DF036BC" w14:textId="12BD89D7" w:rsidR="00577C9E" w:rsidRPr="002927B3" w:rsidRDefault="00577C9E">
      <w:pPr>
        <w:pStyle w:val="FootnoteText"/>
        <w:rPr>
          <w:i/>
          <w:iCs/>
        </w:rPr>
      </w:pPr>
    </w:p>
  </w:footnote>
  <w:footnote w:id="115">
    <w:p w14:paraId="7BD5F582" w14:textId="15103395" w:rsidR="00577C9E" w:rsidRPr="001B18BE" w:rsidRDefault="00577C9E">
      <w:pPr>
        <w:pStyle w:val="FootnoteText"/>
        <w:rPr>
          <w:b/>
          <w:bCs/>
          <w:i/>
          <w:iCs/>
        </w:rPr>
      </w:pPr>
      <w:r>
        <w:rPr>
          <w:rStyle w:val="FootnoteReference"/>
        </w:rPr>
        <w:footnoteRef/>
      </w:r>
      <w:r>
        <w:t xml:space="preserve"> O’Brien, Phil. </w:t>
      </w:r>
      <w:r w:rsidRPr="00E91E7D">
        <w:t xml:space="preserve">“Morton Williams Worker Dies After Confronting Shoplifter.” W42ST.NYC. (September 27, 2025). </w:t>
      </w:r>
      <w:r w:rsidRPr="00E91E7D">
        <w:rPr>
          <w:i/>
          <w:iCs/>
        </w:rPr>
        <w:t xml:space="preserve">Available at: </w:t>
      </w:r>
      <w:hyperlink r:id="rId66" w:history="1">
        <w:r w:rsidRPr="00E91E7D">
          <w:rPr>
            <w:rStyle w:val="Hyperlink"/>
            <w:i/>
            <w:iCs/>
          </w:rPr>
          <w:t>https://w42st.com/post/morton-williams-worker-dies-shoplifter/</w:t>
        </w:r>
      </w:hyperlink>
      <w:r w:rsidRPr="00E91E7D">
        <w:rPr>
          <w:i/>
          <w:iCs/>
        </w:rPr>
        <w:t xml:space="preserve"> </w:t>
      </w:r>
    </w:p>
  </w:footnote>
  <w:footnote w:id="116">
    <w:p w14:paraId="77FECEBA" w14:textId="4FEB08AD" w:rsidR="00577C9E" w:rsidRDefault="00577C9E">
      <w:pPr>
        <w:pStyle w:val="FootnoteText"/>
      </w:pPr>
      <w:r>
        <w:rPr>
          <w:rStyle w:val="FootnoteReference"/>
        </w:rPr>
        <w:footnoteRef/>
      </w:r>
      <w:r>
        <w:t xml:space="preserve"> </w:t>
      </w:r>
      <w:r w:rsidRPr="00871764">
        <w:t>Lee, W., &amp; Black, S. L. (2017). Small business development: Immigrants’ access to loan capital. </w:t>
      </w:r>
      <w:r w:rsidRPr="00871764">
        <w:rPr>
          <w:i/>
          <w:iCs/>
        </w:rPr>
        <w:t>Journal of Small Business &amp; Entrepreneurship</w:t>
      </w:r>
      <w:r w:rsidRPr="00871764">
        <w:t xml:space="preserve">, 29(3), 193–209. </w:t>
      </w:r>
      <w:hyperlink r:id="rId67" w:history="1">
        <w:r w:rsidRPr="00303318">
          <w:rPr>
            <w:rStyle w:val="Hyperlink"/>
          </w:rPr>
          <w:t>https://doi.org/10.1080/08276331.2017.1297106</w:t>
        </w:r>
      </w:hyperlink>
      <w:r>
        <w:t xml:space="preserve"> </w:t>
      </w:r>
    </w:p>
  </w:footnote>
  <w:footnote w:id="117">
    <w:p w14:paraId="22CFA64F" w14:textId="33785D60" w:rsidR="00577C9E" w:rsidRPr="007E7147" w:rsidRDefault="00577C9E">
      <w:pPr>
        <w:pStyle w:val="FootnoteText"/>
        <w:rPr>
          <w:i/>
          <w:iCs/>
        </w:rPr>
      </w:pPr>
      <w:r>
        <w:rPr>
          <w:rStyle w:val="FootnoteReference"/>
        </w:rPr>
        <w:footnoteRef/>
      </w:r>
      <w:r>
        <w:t xml:space="preserve"> The Opportunity Project. </w:t>
      </w:r>
      <w:r w:rsidRPr="007E7147">
        <w:rPr>
          <w:i/>
          <w:iCs/>
        </w:rPr>
        <w:t>Improving Minority Businesses’ Access to Capital</w:t>
      </w:r>
      <w:r>
        <w:rPr>
          <w:i/>
          <w:iCs/>
        </w:rPr>
        <w:t xml:space="preserve">. </w:t>
      </w:r>
      <w:r>
        <w:t xml:space="preserve">OPPORTUNITY.CENSUS.GOV. (2021). </w:t>
      </w:r>
      <w:r>
        <w:rPr>
          <w:i/>
          <w:iCs/>
        </w:rPr>
        <w:t xml:space="preserve">Available at: </w:t>
      </w:r>
      <w:hyperlink r:id="rId68" w:history="1">
        <w:r w:rsidRPr="00303318">
          <w:rPr>
            <w:rStyle w:val="Hyperlink"/>
            <w:i/>
            <w:iCs/>
          </w:rPr>
          <w:t>https://opportunity.census.gov/assets/files/2021-problem-statements/post-covid/MBDA_Improving%20Minority%20Businesses%20Access%20to%20Capital.pdf</w:t>
        </w:r>
      </w:hyperlink>
      <w:r>
        <w:rPr>
          <w:i/>
          <w:iCs/>
        </w:rPr>
        <w:t xml:space="preserve"> </w:t>
      </w:r>
    </w:p>
  </w:footnote>
  <w:footnote w:id="118">
    <w:p w14:paraId="0A2C4AB6" w14:textId="45AA6F08" w:rsidR="00577C9E" w:rsidRPr="009B67E4" w:rsidRDefault="00577C9E" w:rsidP="009E0567">
      <w:pPr>
        <w:pStyle w:val="FootnoteText"/>
        <w:jc w:val="both"/>
      </w:pPr>
      <w:r w:rsidRPr="009B67E4">
        <w:rPr>
          <w:rStyle w:val="FootnoteReference"/>
        </w:rPr>
        <w:footnoteRef/>
      </w:r>
      <w:r w:rsidRPr="009B67E4">
        <w:t xml:space="preserve"> </w:t>
      </w:r>
      <w:r w:rsidRPr="009B67E4">
        <w:rPr>
          <w:rFonts w:eastAsia="Times New Roman"/>
        </w:rPr>
        <w:t xml:space="preserve">Messina, Judith and Eli Dvorkin. </w:t>
      </w:r>
      <w:r w:rsidRPr="009B67E4">
        <w:rPr>
          <w:rFonts w:eastAsia="Times New Roman"/>
          <w:i/>
          <w:iCs/>
        </w:rPr>
        <w:t xml:space="preserve">Bolstering Minority and Immigrant-Owned Businesses by Scaling Up CDFIs. </w:t>
      </w:r>
      <w:r w:rsidRPr="009B67E4">
        <w:rPr>
          <w:rFonts w:eastAsia="Times New Roman"/>
        </w:rPr>
        <w:t xml:space="preserve">Center for an Urban Future. December 2022. </w:t>
      </w:r>
      <w:r w:rsidRPr="009B67E4">
        <w:rPr>
          <w:rFonts w:eastAsia="Times New Roman"/>
          <w:i/>
          <w:iCs/>
        </w:rPr>
        <w:t xml:space="preserve">Available at: </w:t>
      </w:r>
      <w:hyperlink r:id="rId69" w:anchor=":~:text=New%20York%20City%20has%20approximately,fewer%20than%20350%20loans%20annually">
        <w:r w:rsidRPr="009B67E4">
          <w:rPr>
            <w:rStyle w:val="Hyperlink"/>
            <w:rFonts w:eastAsia="Times New Roman"/>
            <w:i/>
            <w:iCs/>
          </w:rPr>
          <w:t>https://nycfuture.org/research/bolstering-minority-and-immigrant-owned-businesses-by-scaling-up-cdfis#:~:text=New%20York%20City%20has%20approximately,fewer%20than%20350%20loans%20annually</w:t>
        </w:r>
      </w:hyperlink>
      <w:r w:rsidRPr="009B67E4">
        <w:rPr>
          <w:i/>
          <w:iCs/>
        </w:rPr>
        <w:t>.</w:t>
      </w:r>
    </w:p>
  </w:footnote>
  <w:footnote w:id="119">
    <w:p w14:paraId="2F396900" w14:textId="4BF83FC9" w:rsidR="00577C9E" w:rsidRPr="009B67E4" w:rsidRDefault="00577C9E" w:rsidP="00156522">
      <w:pPr>
        <w:pStyle w:val="FootnoteText"/>
        <w:jc w:val="both"/>
      </w:pPr>
      <w:r w:rsidRPr="009B67E4">
        <w:rPr>
          <w:rStyle w:val="FootnoteReference"/>
        </w:rPr>
        <w:footnoteRef/>
      </w:r>
      <w:r w:rsidRPr="009B67E4">
        <w:rPr>
          <w:rFonts w:eastAsia="Times New Roman"/>
        </w:rPr>
        <w:t xml:space="preserve"> </w:t>
      </w:r>
      <w:r w:rsidRPr="009B67E4">
        <w:rPr>
          <w:rFonts w:eastAsia="Times New Roman"/>
          <w:i/>
          <w:iCs/>
        </w:rPr>
        <w:t xml:space="preserve">What is a CDFI? </w:t>
      </w:r>
      <w:r w:rsidRPr="009B67E4">
        <w:rPr>
          <w:rFonts w:eastAsia="Times New Roman"/>
        </w:rPr>
        <w:t xml:space="preserve">Opportunity Finance Network. (Accessed </w:t>
      </w:r>
      <w:r>
        <w:rPr>
          <w:rFonts w:eastAsia="Times New Roman"/>
        </w:rPr>
        <w:t>October 2, 2025</w:t>
      </w:r>
      <w:r w:rsidRPr="009B67E4">
        <w:rPr>
          <w:rFonts w:eastAsia="Times New Roman"/>
        </w:rPr>
        <w:t xml:space="preserve">). </w:t>
      </w:r>
      <w:r w:rsidRPr="009B67E4">
        <w:rPr>
          <w:rFonts w:eastAsia="Times New Roman"/>
          <w:i/>
          <w:iCs/>
        </w:rPr>
        <w:t xml:space="preserve">Available at: </w:t>
      </w:r>
      <w:hyperlink r:id="rId70">
        <w:r w:rsidRPr="009B67E4">
          <w:rPr>
            <w:rStyle w:val="Hyperlink"/>
            <w:rFonts w:eastAsia="Times New Roman"/>
            <w:i/>
            <w:iCs/>
          </w:rPr>
          <w:t>https://www.ofn.org/what-is-a-cdfi/</w:t>
        </w:r>
      </w:hyperlink>
      <w:r w:rsidRPr="009B67E4">
        <w:rPr>
          <w:rFonts w:eastAsia="Times New Roman"/>
          <w:i/>
          <w:iCs/>
        </w:rPr>
        <w:t xml:space="preserve"> </w:t>
      </w:r>
    </w:p>
  </w:footnote>
  <w:footnote w:id="120">
    <w:p w14:paraId="487DF70C" w14:textId="2A2F4C9B" w:rsidR="00577C9E" w:rsidRPr="009B67E4" w:rsidRDefault="00577C9E" w:rsidP="00156522">
      <w:pPr>
        <w:pStyle w:val="FootnoteText"/>
        <w:jc w:val="both"/>
        <w:rPr>
          <w:rFonts w:eastAsia="Times"/>
          <w:i/>
          <w:iCs/>
        </w:rPr>
      </w:pPr>
      <w:r w:rsidRPr="009B67E4">
        <w:rPr>
          <w:rStyle w:val="FootnoteReference"/>
        </w:rPr>
        <w:footnoteRef/>
      </w:r>
      <w:r w:rsidRPr="009B67E4">
        <w:t xml:space="preserve"> </w:t>
      </w:r>
      <w:r w:rsidRPr="009B67E4">
        <w:rPr>
          <w:rFonts w:eastAsia="Times"/>
          <w:i/>
          <w:iCs/>
        </w:rPr>
        <w:t xml:space="preserve">U.S. Department of the Treasury Community Development Financial Institutions Fund. </w:t>
      </w:r>
      <w:r w:rsidRPr="009B67E4">
        <w:rPr>
          <w:rFonts w:eastAsia="Times"/>
        </w:rPr>
        <w:t xml:space="preserve">Federal Deposit Insurance Corporation. (Accessed on </w:t>
      </w:r>
      <w:r>
        <w:rPr>
          <w:rFonts w:eastAsia="Times"/>
        </w:rPr>
        <w:t>October 2</w:t>
      </w:r>
      <w:r w:rsidRPr="009B67E4">
        <w:rPr>
          <w:rFonts w:eastAsia="Times"/>
        </w:rPr>
        <w:t>, 202</w:t>
      </w:r>
      <w:r>
        <w:rPr>
          <w:rFonts w:eastAsia="Times"/>
        </w:rPr>
        <w:t>5</w:t>
      </w:r>
      <w:r w:rsidRPr="009B67E4">
        <w:rPr>
          <w:rFonts w:eastAsia="Times"/>
        </w:rPr>
        <w:t xml:space="preserve">). </w:t>
      </w:r>
      <w:r w:rsidRPr="009B67E4">
        <w:rPr>
          <w:rFonts w:eastAsia="Times"/>
          <w:i/>
          <w:iCs/>
        </w:rPr>
        <w:t xml:space="preserve">Available at: </w:t>
      </w:r>
      <w:hyperlink r:id="rId71">
        <w:r w:rsidRPr="009B67E4">
          <w:rPr>
            <w:rStyle w:val="Hyperlink"/>
            <w:rFonts w:eastAsia="Times"/>
            <w:i/>
            <w:iCs/>
          </w:rPr>
          <w:t>https://www.fdic.gov/resources/bankers/affordable-mortgage-lending-center/guide/part-1-docs/cdfi-overview.pdf</w:t>
        </w:r>
      </w:hyperlink>
      <w:r w:rsidRPr="009B67E4">
        <w:rPr>
          <w:rFonts w:eastAsia="Times"/>
          <w:i/>
          <w:iCs/>
        </w:rPr>
        <w:t xml:space="preserve"> </w:t>
      </w:r>
    </w:p>
  </w:footnote>
  <w:footnote w:id="121">
    <w:p w14:paraId="237B5D3B" w14:textId="77777777" w:rsidR="00577C9E" w:rsidRPr="009B67E4" w:rsidRDefault="00577C9E" w:rsidP="00156522">
      <w:pPr>
        <w:pStyle w:val="FootnoteText"/>
        <w:jc w:val="both"/>
      </w:pPr>
      <w:r w:rsidRPr="009B67E4">
        <w:rPr>
          <w:rStyle w:val="FootnoteReference"/>
        </w:rPr>
        <w:footnoteRef/>
      </w:r>
      <w:r w:rsidRPr="009B67E4">
        <w:t xml:space="preserve"> </w:t>
      </w:r>
      <w:r w:rsidRPr="009B67E4">
        <w:rPr>
          <w:rFonts w:eastAsia="Times"/>
          <w:i/>
          <w:iCs/>
        </w:rPr>
        <w:t xml:space="preserve">Community Development Financial Institution (CDFI) and Community Development (CD) Bank Resource Directory. </w:t>
      </w:r>
      <w:r w:rsidRPr="009B67E4">
        <w:rPr>
          <w:rFonts w:eastAsia="Times"/>
        </w:rPr>
        <w:t xml:space="preserve">Office of the Comptroller of the Currency. (Accessed on June 22, 2023). </w:t>
      </w:r>
      <w:r w:rsidRPr="009B67E4">
        <w:rPr>
          <w:rFonts w:eastAsia="Times"/>
          <w:i/>
          <w:iCs/>
        </w:rPr>
        <w:t xml:space="preserve">Available at: </w:t>
      </w:r>
      <w:hyperlink r:id="rId72">
        <w:r w:rsidRPr="009B67E4">
          <w:rPr>
            <w:rStyle w:val="Hyperlink"/>
            <w:rFonts w:eastAsia="Times"/>
            <w:i/>
            <w:iCs/>
          </w:rPr>
          <w:t>https://www.occ.gov/topics/consumers-and-communities/community-affairs/resource-directories/cdfi-and-cd-bank/index-cdfi-and-cd-bank-resource-directory.html</w:t>
        </w:r>
      </w:hyperlink>
      <w:r w:rsidRPr="009B67E4">
        <w:rPr>
          <w:rFonts w:eastAsia="Times"/>
          <w:i/>
          <w:iCs/>
        </w:rPr>
        <w:t xml:space="preserve"> </w:t>
      </w:r>
    </w:p>
  </w:footnote>
  <w:footnote w:id="122">
    <w:p w14:paraId="4EB45A0E" w14:textId="5269D147" w:rsidR="00577C9E" w:rsidRPr="009B67E4" w:rsidRDefault="00577C9E" w:rsidP="00156522">
      <w:pPr>
        <w:pStyle w:val="FootnoteText"/>
        <w:jc w:val="both"/>
      </w:pPr>
      <w:r w:rsidRPr="009B67E4">
        <w:rPr>
          <w:rStyle w:val="FootnoteReference"/>
        </w:rPr>
        <w:footnoteRef/>
      </w:r>
      <w:r w:rsidRPr="009B67E4">
        <w:t xml:space="preserve"> </w:t>
      </w:r>
      <w:r w:rsidRPr="009B67E4">
        <w:rPr>
          <w:rFonts w:eastAsia="Times"/>
          <w:i/>
          <w:iCs/>
        </w:rPr>
        <w:t xml:space="preserve">Supra </w:t>
      </w:r>
      <w:r w:rsidRPr="00D6073A">
        <w:rPr>
          <w:rFonts w:eastAsia="Times"/>
        </w:rPr>
        <w:t>note 120.</w:t>
      </w:r>
    </w:p>
  </w:footnote>
  <w:footnote w:id="123">
    <w:p w14:paraId="77EF98B5" w14:textId="77777777" w:rsidR="00577C9E" w:rsidRPr="009B67E4" w:rsidRDefault="00577C9E" w:rsidP="00156522">
      <w:pPr>
        <w:pStyle w:val="FootnoteText"/>
        <w:jc w:val="both"/>
      </w:pPr>
      <w:r w:rsidRPr="009B67E4">
        <w:rPr>
          <w:rStyle w:val="FootnoteReference"/>
        </w:rPr>
        <w:footnoteRef/>
      </w:r>
      <w:r w:rsidRPr="009B67E4">
        <w:t xml:space="preserve"> </w:t>
      </w:r>
      <w:r w:rsidRPr="009B67E4">
        <w:rPr>
          <w:rFonts w:eastAsia="Times"/>
          <w:i/>
          <w:iCs/>
        </w:rPr>
        <w:t>Id.</w:t>
      </w:r>
    </w:p>
  </w:footnote>
  <w:footnote w:id="124">
    <w:p w14:paraId="44C98D12" w14:textId="507F474D" w:rsidR="00577C9E" w:rsidRPr="00EF59B8" w:rsidRDefault="00577C9E">
      <w:pPr>
        <w:pStyle w:val="FootnoteText"/>
        <w:rPr>
          <w:i/>
        </w:rPr>
      </w:pPr>
      <w:r>
        <w:rPr>
          <w:rStyle w:val="FootnoteReference"/>
        </w:rPr>
        <w:footnoteRef/>
      </w:r>
      <w:r>
        <w:t xml:space="preserve"> Hughes, Robin. “BankThink OMB’s slow-walking of CDFI funds is making the housing crisis worse.” AMERICAN BANKER. (September 26, 2025). </w:t>
      </w:r>
      <w:r>
        <w:rPr>
          <w:i/>
        </w:rPr>
        <w:t xml:space="preserve">Available at: </w:t>
      </w:r>
      <w:hyperlink r:id="rId73" w:history="1">
        <w:r w:rsidRPr="00A86B76">
          <w:rPr>
            <w:rStyle w:val="Hyperlink"/>
            <w:i/>
          </w:rPr>
          <w:t>https://www.americanbanker.com/opinion/cdfi-funds-blocked-by-omb-would-fund-affordable-housing</w:t>
        </w:r>
      </w:hyperlink>
      <w:r>
        <w:rPr>
          <w:i/>
        </w:rPr>
        <w:t xml:space="preserve"> </w:t>
      </w:r>
    </w:p>
  </w:footnote>
  <w:footnote w:id="125">
    <w:p w14:paraId="785297ED" w14:textId="2703A8A7" w:rsidR="00577C9E" w:rsidRPr="009B67E4" w:rsidRDefault="00577C9E" w:rsidP="00156522">
      <w:pPr>
        <w:pStyle w:val="FootnoteText"/>
        <w:jc w:val="both"/>
      </w:pPr>
      <w:r w:rsidRPr="009B67E4">
        <w:rPr>
          <w:rStyle w:val="FootnoteReference"/>
        </w:rPr>
        <w:footnoteRef/>
      </w:r>
      <w:r w:rsidRPr="009B67E4">
        <w:t xml:space="preserve"> </w:t>
      </w:r>
      <w:r>
        <w:rPr>
          <w:rFonts w:eastAsia="Times New Roman"/>
          <w:i/>
          <w:iCs/>
        </w:rPr>
        <w:t xml:space="preserve">Supra </w:t>
      </w:r>
      <w:r>
        <w:rPr>
          <w:rFonts w:eastAsia="Times New Roman"/>
        </w:rPr>
        <w:t>note 118.</w:t>
      </w:r>
      <w:r w:rsidRPr="009B67E4">
        <w:rPr>
          <w:i/>
          <w:iCs/>
        </w:rPr>
        <w:t>.</w:t>
      </w:r>
    </w:p>
  </w:footnote>
  <w:footnote w:id="126">
    <w:p w14:paraId="4CCD5A13" w14:textId="0B81DCFE" w:rsidR="00577C9E" w:rsidRPr="00CF2437" w:rsidRDefault="00577C9E">
      <w:pPr>
        <w:pStyle w:val="FootnoteText"/>
        <w:rPr>
          <w:i/>
          <w:iCs/>
        </w:rPr>
      </w:pPr>
      <w:r>
        <w:rPr>
          <w:rStyle w:val="FootnoteReference"/>
        </w:rPr>
        <w:footnoteRef/>
      </w:r>
      <w:r>
        <w:t xml:space="preserve"> The New York City Council. </w:t>
      </w:r>
      <w:r>
        <w:rPr>
          <w:i/>
          <w:iCs/>
        </w:rPr>
        <w:t xml:space="preserve">Local law 133 of 2023. </w:t>
      </w:r>
      <w:r>
        <w:t xml:space="preserve">Legistar. </w:t>
      </w:r>
      <w:r>
        <w:rPr>
          <w:i/>
          <w:iCs/>
        </w:rPr>
        <w:t xml:space="preserve">Available at: </w:t>
      </w:r>
      <w:hyperlink r:id="rId74" w:history="1">
        <w:r w:rsidRPr="00303318">
          <w:rPr>
            <w:rStyle w:val="Hyperlink"/>
            <w:i/>
            <w:iCs/>
          </w:rPr>
          <w:t>https://legistar.council.nyc.gov/LegislationDetail.aspx?ID=6067651&amp;GUID=5B72861F-87A1-40C7-ABC5-77DAE8F4EE34&amp;Options=Advanced&amp;Search=</w:t>
        </w:r>
      </w:hyperlink>
      <w:r>
        <w:rPr>
          <w:i/>
          <w:iCs/>
        </w:rPr>
        <w:t xml:space="preserve"> </w:t>
      </w:r>
    </w:p>
  </w:footnote>
  <w:footnote w:id="127">
    <w:p w14:paraId="518CF5C0" w14:textId="6AA0798A" w:rsidR="00577C9E" w:rsidRPr="00E961CA" w:rsidRDefault="00577C9E">
      <w:pPr>
        <w:pStyle w:val="FootnoteText"/>
        <w:rPr>
          <w:i/>
          <w:iCs/>
        </w:rPr>
      </w:pPr>
      <w:r>
        <w:rPr>
          <w:rStyle w:val="FootnoteReference"/>
        </w:rPr>
        <w:footnoteRef/>
      </w:r>
      <w:r>
        <w:t xml:space="preserve"> The New York City Council. </w:t>
      </w:r>
      <w:r>
        <w:rPr>
          <w:i/>
          <w:iCs/>
        </w:rPr>
        <w:t xml:space="preserve">Local law 137 of 2023. </w:t>
      </w:r>
      <w:r>
        <w:t xml:space="preserve">Legistar. </w:t>
      </w:r>
      <w:r>
        <w:rPr>
          <w:i/>
          <w:iCs/>
        </w:rPr>
        <w:t xml:space="preserve">Available at: </w:t>
      </w:r>
      <w:hyperlink r:id="rId75" w:history="1">
        <w:r w:rsidRPr="00303318">
          <w:rPr>
            <w:rStyle w:val="Hyperlink"/>
            <w:i/>
            <w:iCs/>
          </w:rPr>
          <w:t>https://legistar.council.nyc.gov/LegislationDetail.aspx?ID=6267702&amp;GUID=13974571-7650-4CD4-85F8-3EC678A1B4A9&amp;Options=Advanced&amp;Search=</w:t>
        </w:r>
      </w:hyperlink>
      <w:r>
        <w:rPr>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22FE5" w14:textId="77298013" w:rsidR="00577C9E" w:rsidRDefault="00577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A26BD"/>
    <w:multiLevelType w:val="hybridMultilevel"/>
    <w:tmpl w:val="941440A8"/>
    <w:lvl w:ilvl="0" w:tplc="EE3051DC">
      <w:start w:val="1"/>
      <w:numFmt w:val="upperRoman"/>
      <w:lvlText w:val="%1."/>
      <w:lvlJc w:val="left"/>
      <w:pPr>
        <w:ind w:left="720" w:hanging="720"/>
      </w:pPr>
      <w:rPr>
        <w:rFonts w:ascii="Times New Roman" w:eastAsia="Times New Roman" w:hAnsi="Times New Roman" w:cs="Times New Roman"/>
      </w:rPr>
    </w:lvl>
    <w:lvl w:ilvl="1" w:tplc="EB1643D2">
      <w:start w:val="1"/>
      <w:numFmt w:val="lowerLetter"/>
      <w:lvlText w:val="%2."/>
      <w:lvlJc w:val="left"/>
      <w:pPr>
        <w:ind w:left="1080" w:hanging="360"/>
      </w:pPr>
      <w:rPr>
        <w:b w:val="0"/>
        <w:bCs w:val="0"/>
        <w:strike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7E81822"/>
    <w:multiLevelType w:val="hybridMultilevel"/>
    <w:tmpl w:val="90D01E66"/>
    <w:lvl w:ilvl="0" w:tplc="FFFFFFFF">
      <w:start w:val="1"/>
      <w:numFmt w:val="lowerRoman"/>
      <w:lvlText w:val="%1."/>
      <w:lvlJc w:val="left"/>
      <w:pPr>
        <w:ind w:left="2520" w:hanging="720"/>
      </w:pPr>
      <w:rPr>
        <w:rFonts w:hint="default"/>
        <w:b/>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2EB333DD"/>
    <w:multiLevelType w:val="hybridMultilevel"/>
    <w:tmpl w:val="8CA8850A"/>
    <w:lvl w:ilvl="0" w:tplc="8368C2B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F927FF"/>
    <w:multiLevelType w:val="hybridMultilevel"/>
    <w:tmpl w:val="A1CCB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CB05C1"/>
    <w:multiLevelType w:val="hybridMultilevel"/>
    <w:tmpl w:val="93BE68F4"/>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8C957F5"/>
    <w:multiLevelType w:val="hybridMultilevel"/>
    <w:tmpl w:val="90D01E66"/>
    <w:lvl w:ilvl="0" w:tplc="8CDA18BE">
      <w:start w:val="1"/>
      <w:numFmt w:val="lowerRoman"/>
      <w:lvlText w:val="%1."/>
      <w:lvlJc w:val="left"/>
      <w:pPr>
        <w:ind w:left="2520" w:hanging="720"/>
      </w:pPr>
      <w:rPr>
        <w:rFonts w:hint="default"/>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DE97D64"/>
    <w:multiLevelType w:val="hybridMultilevel"/>
    <w:tmpl w:val="90D01E66"/>
    <w:lvl w:ilvl="0" w:tplc="FFFFFFFF">
      <w:start w:val="1"/>
      <w:numFmt w:val="lowerRoman"/>
      <w:lvlText w:val="%1."/>
      <w:lvlJc w:val="left"/>
      <w:pPr>
        <w:ind w:left="2520" w:hanging="720"/>
      </w:pPr>
      <w:rPr>
        <w:rFonts w:hint="default"/>
        <w:b/>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5E1C33DB"/>
    <w:multiLevelType w:val="hybridMultilevel"/>
    <w:tmpl w:val="FFFFFFFF"/>
    <w:lvl w:ilvl="0" w:tplc="B08A485C">
      <w:start w:val="1"/>
      <w:numFmt w:val="bullet"/>
      <w:lvlText w:val=""/>
      <w:lvlJc w:val="left"/>
      <w:pPr>
        <w:ind w:left="720" w:hanging="360"/>
      </w:pPr>
      <w:rPr>
        <w:rFonts w:ascii="Symbol" w:hAnsi="Symbol" w:hint="default"/>
      </w:rPr>
    </w:lvl>
    <w:lvl w:ilvl="1" w:tplc="754A0150">
      <w:start w:val="1"/>
      <w:numFmt w:val="bullet"/>
      <w:lvlText w:val="o"/>
      <w:lvlJc w:val="left"/>
      <w:pPr>
        <w:ind w:left="1440" w:hanging="360"/>
      </w:pPr>
      <w:rPr>
        <w:rFonts w:ascii="Courier New" w:hAnsi="Courier New" w:cs="Times New Roman" w:hint="default"/>
      </w:rPr>
    </w:lvl>
    <w:lvl w:ilvl="2" w:tplc="B87E6FB6">
      <w:start w:val="1"/>
      <w:numFmt w:val="bullet"/>
      <w:lvlText w:val=""/>
      <w:lvlJc w:val="left"/>
      <w:pPr>
        <w:ind w:left="2160" w:hanging="360"/>
      </w:pPr>
      <w:rPr>
        <w:rFonts w:ascii="Wingdings" w:hAnsi="Wingdings" w:hint="default"/>
      </w:rPr>
    </w:lvl>
    <w:lvl w:ilvl="3" w:tplc="F76EF680">
      <w:start w:val="1"/>
      <w:numFmt w:val="bullet"/>
      <w:lvlText w:val=""/>
      <w:lvlJc w:val="left"/>
      <w:pPr>
        <w:ind w:left="2880" w:hanging="360"/>
      </w:pPr>
      <w:rPr>
        <w:rFonts w:ascii="Symbol" w:hAnsi="Symbol" w:hint="default"/>
      </w:rPr>
    </w:lvl>
    <w:lvl w:ilvl="4" w:tplc="4E78A508">
      <w:start w:val="1"/>
      <w:numFmt w:val="bullet"/>
      <w:lvlText w:val="o"/>
      <w:lvlJc w:val="left"/>
      <w:pPr>
        <w:ind w:left="3600" w:hanging="360"/>
      </w:pPr>
      <w:rPr>
        <w:rFonts w:ascii="Courier New" w:hAnsi="Courier New" w:cs="Times New Roman" w:hint="default"/>
      </w:rPr>
    </w:lvl>
    <w:lvl w:ilvl="5" w:tplc="A394DBB8">
      <w:start w:val="1"/>
      <w:numFmt w:val="bullet"/>
      <w:lvlText w:val=""/>
      <w:lvlJc w:val="left"/>
      <w:pPr>
        <w:ind w:left="4320" w:hanging="360"/>
      </w:pPr>
      <w:rPr>
        <w:rFonts w:ascii="Wingdings" w:hAnsi="Wingdings" w:hint="default"/>
      </w:rPr>
    </w:lvl>
    <w:lvl w:ilvl="6" w:tplc="AAE0D6F6">
      <w:start w:val="1"/>
      <w:numFmt w:val="bullet"/>
      <w:lvlText w:val=""/>
      <w:lvlJc w:val="left"/>
      <w:pPr>
        <w:ind w:left="5040" w:hanging="360"/>
      </w:pPr>
      <w:rPr>
        <w:rFonts w:ascii="Symbol" w:hAnsi="Symbol" w:hint="default"/>
      </w:rPr>
    </w:lvl>
    <w:lvl w:ilvl="7" w:tplc="5BE6E8EE">
      <w:start w:val="1"/>
      <w:numFmt w:val="bullet"/>
      <w:lvlText w:val="o"/>
      <w:lvlJc w:val="left"/>
      <w:pPr>
        <w:ind w:left="5760" w:hanging="360"/>
      </w:pPr>
      <w:rPr>
        <w:rFonts w:ascii="Courier New" w:hAnsi="Courier New" w:cs="Times New Roman" w:hint="default"/>
      </w:rPr>
    </w:lvl>
    <w:lvl w:ilvl="8" w:tplc="B50E6F14">
      <w:start w:val="1"/>
      <w:numFmt w:val="bullet"/>
      <w:lvlText w:val=""/>
      <w:lvlJc w:val="left"/>
      <w:pPr>
        <w:ind w:left="6480" w:hanging="360"/>
      </w:pPr>
      <w:rPr>
        <w:rFonts w:ascii="Wingdings" w:hAnsi="Wingdings" w:hint="default"/>
      </w:rPr>
    </w:lvl>
  </w:abstractNum>
  <w:abstractNum w:abstractNumId="8" w15:restartNumberingAfterBreak="0">
    <w:nsid w:val="5E1F1364"/>
    <w:multiLevelType w:val="hybridMultilevel"/>
    <w:tmpl w:val="184471AE"/>
    <w:lvl w:ilvl="0" w:tplc="67C42614">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0572B8"/>
    <w:multiLevelType w:val="hybridMultilevel"/>
    <w:tmpl w:val="BEC6405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5242EA2"/>
    <w:multiLevelType w:val="hybridMultilevel"/>
    <w:tmpl w:val="16E0FB0C"/>
    <w:lvl w:ilvl="0" w:tplc="FFFFFFFF">
      <w:start w:val="1"/>
      <w:numFmt w:val="lowerRoman"/>
      <w:lvlText w:val="%1."/>
      <w:lvlJc w:val="left"/>
      <w:pPr>
        <w:ind w:left="2520" w:hanging="72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num w:numId="1">
    <w:abstractNumId w:val="0"/>
  </w:num>
  <w:num w:numId="2">
    <w:abstractNumId w:val="4"/>
  </w:num>
  <w:num w:numId="3">
    <w:abstractNumId w:val="2"/>
  </w:num>
  <w:num w:numId="4">
    <w:abstractNumId w:val="9"/>
  </w:num>
  <w:num w:numId="5">
    <w:abstractNumId w:val="5"/>
  </w:num>
  <w:num w:numId="6">
    <w:abstractNumId w:val="10"/>
  </w:num>
  <w:num w:numId="7">
    <w:abstractNumId w:val="1"/>
  </w:num>
  <w:num w:numId="8">
    <w:abstractNumId w:val="3"/>
  </w:num>
  <w:num w:numId="9">
    <w:abstractNumId w:val="6"/>
  </w:num>
  <w:num w:numId="10">
    <w:abstractNumId w:val="8"/>
  </w:num>
  <w:num w:numId="11">
    <w:abstractNumId w:val="7"/>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B77"/>
    <w:rsid w:val="00000E49"/>
    <w:rsid w:val="00007066"/>
    <w:rsid w:val="000179B5"/>
    <w:rsid w:val="000222FE"/>
    <w:rsid w:val="0002260C"/>
    <w:rsid w:val="0003476A"/>
    <w:rsid w:val="00036B7B"/>
    <w:rsid w:val="00037794"/>
    <w:rsid w:val="0005062B"/>
    <w:rsid w:val="00053867"/>
    <w:rsid w:val="00053A5C"/>
    <w:rsid w:val="00055D78"/>
    <w:rsid w:val="000637A4"/>
    <w:rsid w:val="00065C4E"/>
    <w:rsid w:val="00075966"/>
    <w:rsid w:val="000932F8"/>
    <w:rsid w:val="00096367"/>
    <w:rsid w:val="00096DB0"/>
    <w:rsid w:val="000B2B9C"/>
    <w:rsid w:val="000B584B"/>
    <w:rsid w:val="000B7633"/>
    <w:rsid w:val="000C31F3"/>
    <w:rsid w:val="000C6D07"/>
    <w:rsid w:val="000D107A"/>
    <w:rsid w:val="000D3CDD"/>
    <w:rsid w:val="000D6B52"/>
    <w:rsid w:val="000E5A70"/>
    <w:rsid w:val="000F0245"/>
    <w:rsid w:val="000F2AF2"/>
    <w:rsid w:val="000F3C14"/>
    <w:rsid w:val="000F4793"/>
    <w:rsid w:val="00104000"/>
    <w:rsid w:val="00107CA7"/>
    <w:rsid w:val="00112D1C"/>
    <w:rsid w:val="00121F90"/>
    <w:rsid w:val="00124CA7"/>
    <w:rsid w:val="00130F06"/>
    <w:rsid w:val="0013138F"/>
    <w:rsid w:val="00135694"/>
    <w:rsid w:val="001405E9"/>
    <w:rsid w:val="00140EE5"/>
    <w:rsid w:val="001464E4"/>
    <w:rsid w:val="00156522"/>
    <w:rsid w:val="00180FF4"/>
    <w:rsid w:val="001862ED"/>
    <w:rsid w:val="00186B76"/>
    <w:rsid w:val="001A074E"/>
    <w:rsid w:val="001A0C84"/>
    <w:rsid w:val="001A2AE7"/>
    <w:rsid w:val="001A72E1"/>
    <w:rsid w:val="001B02DE"/>
    <w:rsid w:val="001B0CB3"/>
    <w:rsid w:val="001B18BE"/>
    <w:rsid w:val="001B629C"/>
    <w:rsid w:val="001C246B"/>
    <w:rsid w:val="001C4617"/>
    <w:rsid w:val="001C59FB"/>
    <w:rsid w:val="001C7F41"/>
    <w:rsid w:val="001D2F8D"/>
    <w:rsid w:val="001D7F49"/>
    <w:rsid w:val="001E0A1A"/>
    <w:rsid w:val="00211ADB"/>
    <w:rsid w:val="0021257E"/>
    <w:rsid w:val="00214303"/>
    <w:rsid w:val="00214A40"/>
    <w:rsid w:val="00215190"/>
    <w:rsid w:val="00237A58"/>
    <w:rsid w:val="002452CA"/>
    <w:rsid w:val="0025427B"/>
    <w:rsid w:val="0025431A"/>
    <w:rsid w:val="002625CE"/>
    <w:rsid w:val="00264CCC"/>
    <w:rsid w:val="00273CFE"/>
    <w:rsid w:val="00276435"/>
    <w:rsid w:val="00282C3F"/>
    <w:rsid w:val="002845C7"/>
    <w:rsid w:val="00285FBA"/>
    <w:rsid w:val="0029175C"/>
    <w:rsid w:val="002927B3"/>
    <w:rsid w:val="0029796E"/>
    <w:rsid w:val="002A2CC6"/>
    <w:rsid w:val="002B4FF9"/>
    <w:rsid w:val="002B7925"/>
    <w:rsid w:val="002C6B77"/>
    <w:rsid w:val="002C732F"/>
    <w:rsid w:val="002D5B44"/>
    <w:rsid w:val="002E51CF"/>
    <w:rsid w:val="002F3D0D"/>
    <w:rsid w:val="002F3FDB"/>
    <w:rsid w:val="002F7450"/>
    <w:rsid w:val="00302CF9"/>
    <w:rsid w:val="0030404E"/>
    <w:rsid w:val="00307030"/>
    <w:rsid w:val="00311ACD"/>
    <w:rsid w:val="00315346"/>
    <w:rsid w:val="003257E9"/>
    <w:rsid w:val="00342175"/>
    <w:rsid w:val="00342829"/>
    <w:rsid w:val="003539A6"/>
    <w:rsid w:val="00355083"/>
    <w:rsid w:val="003649D4"/>
    <w:rsid w:val="00382B3D"/>
    <w:rsid w:val="003834A9"/>
    <w:rsid w:val="0038372B"/>
    <w:rsid w:val="00385940"/>
    <w:rsid w:val="00385F7B"/>
    <w:rsid w:val="0039152F"/>
    <w:rsid w:val="003A0F4F"/>
    <w:rsid w:val="003A21C3"/>
    <w:rsid w:val="003B4C72"/>
    <w:rsid w:val="003B51FA"/>
    <w:rsid w:val="003B785E"/>
    <w:rsid w:val="003C3334"/>
    <w:rsid w:val="003C3D9A"/>
    <w:rsid w:val="003D1210"/>
    <w:rsid w:val="003D1E7C"/>
    <w:rsid w:val="003D2EAD"/>
    <w:rsid w:val="003D73D2"/>
    <w:rsid w:val="003E0594"/>
    <w:rsid w:val="003E7C15"/>
    <w:rsid w:val="003F3810"/>
    <w:rsid w:val="003F74C2"/>
    <w:rsid w:val="00417B0A"/>
    <w:rsid w:val="00424512"/>
    <w:rsid w:val="004250D2"/>
    <w:rsid w:val="0043097F"/>
    <w:rsid w:val="00431B08"/>
    <w:rsid w:val="00432017"/>
    <w:rsid w:val="004323EF"/>
    <w:rsid w:val="00442D32"/>
    <w:rsid w:val="004708E4"/>
    <w:rsid w:val="00474AD2"/>
    <w:rsid w:val="00483C07"/>
    <w:rsid w:val="00485C03"/>
    <w:rsid w:val="004942A8"/>
    <w:rsid w:val="004A6A79"/>
    <w:rsid w:val="004B482A"/>
    <w:rsid w:val="004C0C18"/>
    <w:rsid w:val="004D1903"/>
    <w:rsid w:val="004D1A0E"/>
    <w:rsid w:val="004D7381"/>
    <w:rsid w:val="004D76CF"/>
    <w:rsid w:val="004E1C0F"/>
    <w:rsid w:val="004F7136"/>
    <w:rsid w:val="004F77DB"/>
    <w:rsid w:val="0050358A"/>
    <w:rsid w:val="00503CCA"/>
    <w:rsid w:val="00507E5E"/>
    <w:rsid w:val="0051215F"/>
    <w:rsid w:val="00514E16"/>
    <w:rsid w:val="00517760"/>
    <w:rsid w:val="00520A1A"/>
    <w:rsid w:val="00522626"/>
    <w:rsid w:val="0052680C"/>
    <w:rsid w:val="00527950"/>
    <w:rsid w:val="00532F0A"/>
    <w:rsid w:val="00533B28"/>
    <w:rsid w:val="00535E8B"/>
    <w:rsid w:val="005475D0"/>
    <w:rsid w:val="005564F0"/>
    <w:rsid w:val="005637E3"/>
    <w:rsid w:val="0056660F"/>
    <w:rsid w:val="00566943"/>
    <w:rsid w:val="00567723"/>
    <w:rsid w:val="00571366"/>
    <w:rsid w:val="00573084"/>
    <w:rsid w:val="005775AB"/>
    <w:rsid w:val="00577C9E"/>
    <w:rsid w:val="00582B46"/>
    <w:rsid w:val="00582C35"/>
    <w:rsid w:val="00583AD6"/>
    <w:rsid w:val="0059084A"/>
    <w:rsid w:val="00590BF0"/>
    <w:rsid w:val="00590D07"/>
    <w:rsid w:val="005924A6"/>
    <w:rsid w:val="00594FBC"/>
    <w:rsid w:val="00595E98"/>
    <w:rsid w:val="005A4B87"/>
    <w:rsid w:val="005C7BDC"/>
    <w:rsid w:val="005E0BC5"/>
    <w:rsid w:val="005E17B1"/>
    <w:rsid w:val="005E4527"/>
    <w:rsid w:val="005E4CCB"/>
    <w:rsid w:val="005F67E5"/>
    <w:rsid w:val="00600D33"/>
    <w:rsid w:val="00604CC9"/>
    <w:rsid w:val="00606136"/>
    <w:rsid w:val="006119B8"/>
    <w:rsid w:val="00613F58"/>
    <w:rsid w:val="00615699"/>
    <w:rsid w:val="00617A80"/>
    <w:rsid w:val="00626537"/>
    <w:rsid w:val="006332E7"/>
    <w:rsid w:val="00633A13"/>
    <w:rsid w:val="006346DD"/>
    <w:rsid w:val="00645540"/>
    <w:rsid w:val="00645751"/>
    <w:rsid w:val="00645873"/>
    <w:rsid w:val="00654304"/>
    <w:rsid w:val="006550B2"/>
    <w:rsid w:val="00657FC1"/>
    <w:rsid w:val="00665EE3"/>
    <w:rsid w:val="00686903"/>
    <w:rsid w:val="00686BA7"/>
    <w:rsid w:val="00686BD3"/>
    <w:rsid w:val="00691802"/>
    <w:rsid w:val="006A247B"/>
    <w:rsid w:val="006A37A5"/>
    <w:rsid w:val="006A3903"/>
    <w:rsid w:val="006C1AED"/>
    <w:rsid w:val="006C2E52"/>
    <w:rsid w:val="006D1376"/>
    <w:rsid w:val="006D1B7E"/>
    <w:rsid w:val="006D2F66"/>
    <w:rsid w:val="006D3CF1"/>
    <w:rsid w:val="006D41AD"/>
    <w:rsid w:val="006F50CF"/>
    <w:rsid w:val="006F542F"/>
    <w:rsid w:val="006F5669"/>
    <w:rsid w:val="00700F60"/>
    <w:rsid w:val="007016C1"/>
    <w:rsid w:val="007146FD"/>
    <w:rsid w:val="00715F26"/>
    <w:rsid w:val="00730F83"/>
    <w:rsid w:val="0073181E"/>
    <w:rsid w:val="007326CD"/>
    <w:rsid w:val="0074332F"/>
    <w:rsid w:val="007507C4"/>
    <w:rsid w:val="00780DA4"/>
    <w:rsid w:val="00787397"/>
    <w:rsid w:val="0079273D"/>
    <w:rsid w:val="00795976"/>
    <w:rsid w:val="007A2466"/>
    <w:rsid w:val="007C45F3"/>
    <w:rsid w:val="007C4753"/>
    <w:rsid w:val="007C4E5D"/>
    <w:rsid w:val="007C5299"/>
    <w:rsid w:val="007C79A7"/>
    <w:rsid w:val="007C7F62"/>
    <w:rsid w:val="007E2052"/>
    <w:rsid w:val="007E31EE"/>
    <w:rsid w:val="007E610C"/>
    <w:rsid w:val="007E7147"/>
    <w:rsid w:val="007F01C9"/>
    <w:rsid w:val="007F062C"/>
    <w:rsid w:val="007F1842"/>
    <w:rsid w:val="00801322"/>
    <w:rsid w:val="00803331"/>
    <w:rsid w:val="00807F01"/>
    <w:rsid w:val="0082451F"/>
    <w:rsid w:val="00830B9B"/>
    <w:rsid w:val="008336E7"/>
    <w:rsid w:val="00835006"/>
    <w:rsid w:val="008355A5"/>
    <w:rsid w:val="008358F9"/>
    <w:rsid w:val="00836539"/>
    <w:rsid w:val="00841DA9"/>
    <w:rsid w:val="00842CD4"/>
    <w:rsid w:val="00844659"/>
    <w:rsid w:val="0085105B"/>
    <w:rsid w:val="008563EB"/>
    <w:rsid w:val="00860A82"/>
    <w:rsid w:val="00871764"/>
    <w:rsid w:val="00872E51"/>
    <w:rsid w:val="008819A6"/>
    <w:rsid w:val="0088453B"/>
    <w:rsid w:val="008A39A6"/>
    <w:rsid w:val="008A6713"/>
    <w:rsid w:val="008C48BB"/>
    <w:rsid w:val="008E10DF"/>
    <w:rsid w:val="008E26D7"/>
    <w:rsid w:val="008E4C9A"/>
    <w:rsid w:val="008F5A29"/>
    <w:rsid w:val="0090271C"/>
    <w:rsid w:val="0090317A"/>
    <w:rsid w:val="00910F46"/>
    <w:rsid w:val="00916C81"/>
    <w:rsid w:val="00932B62"/>
    <w:rsid w:val="00934506"/>
    <w:rsid w:val="00935AC1"/>
    <w:rsid w:val="0094547B"/>
    <w:rsid w:val="009476BD"/>
    <w:rsid w:val="009525AA"/>
    <w:rsid w:val="00954FD7"/>
    <w:rsid w:val="009554C1"/>
    <w:rsid w:val="00960B73"/>
    <w:rsid w:val="0096101D"/>
    <w:rsid w:val="009650B5"/>
    <w:rsid w:val="0099231A"/>
    <w:rsid w:val="00992EF5"/>
    <w:rsid w:val="009A59DC"/>
    <w:rsid w:val="009A60AA"/>
    <w:rsid w:val="009B3D1E"/>
    <w:rsid w:val="009B476C"/>
    <w:rsid w:val="009C76C3"/>
    <w:rsid w:val="009D1330"/>
    <w:rsid w:val="009D69E9"/>
    <w:rsid w:val="009E0567"/>
    <w:rsid w:val="009E504D"/>
    <w:rsid w:val="009E590D"/>
    <w:rsid w:val="009E721B"/>
    <w:rsid w:val="009E7D72"/>
    <w:rsid w:val="009F7CCD"/>
    <w:rsid w:val="00A040FA"/>
    <w:rsid w:val="00A04106"/>
    <w:rsid w:val="00A045B4"/>
    <w:rsid w:val="00A05B6D"/>
    <w:rsid w:val="00A20A1C"/>
    <w:rsid w:val="00A21246"/>
    <w:rsid w:val="00A2298D"/>
    <w:rsid w:val="00A27043"/>
    <w:rsid w:val="00A37576"/>
    <w:rsid w:val="00A525E4"/>
    <w:rsid w:val="00A55422"/>
    <w:rsid w:val="00A55744"/>
    <w:rsid w:val="00A66515"/>
    <w:rsid w:val="00A72C32"/>
    <w:rsid w:val="00A7767D"/>
    <w:rsid w:val="00A813CF"/>
    <w:rsid w:val="00A81E31"/>
    <w:rsid w:val="00A83EC4"/>
    <w:rsid w:val="00A86881"/>
    <w:rsid w:val="00A92AC6"/>
    <w:rsid w:val="00A94FEB"/>
    <w:rsid w:val="00AB0052"/>
    <w:rsid w:val="00AB0A18"/>
    <w:rsid w:val="00AB153A"/>
    <w:rsid w:val="00AC7EF2"/>
    <w:rsid w:val="00AD47C3"/>
    <w:rsid w:val="00AD53CC"/>
    <w:rsid w:val="00AE189D"/>
    <w:rsid w:val="00AE24D1"/>
    <w:rsid w:val="00AF17C4"/>
    <w:rsid w:val="00AF22C9"/>
    <w:rsid w:val="00AF39A9"/>
    <w:rsid w:val="00AF71D3"/>
    <w:rsid w:val="00B10FEB"/>
    <w:rsid w:val="00B12A1F"/>
    <w:rsid w:val="00B16834"/>
    <w:rsid w:val="00B17AB1"/>
    <w:rsid w:val="00B2146F"/>
    <w:rsid w:val="00B24F02"/>
    <w:rsid w:val="00B26320"/>
    <w:rsid w:val="00B4028A"/>
    <w:rsid w:val="00B42531"/>
    <w:rsid w:val="00B53203"/>
    <w:rsid w:val="00B536AB"/>
    <w:rsid w:val="00B5553D"/>
    <w:rsid w:val="00B63158"/>
    <w:rsid w:val="00B76073"/>
    <w:rsid w:val="00B81886"/>
    <w:rsid w:val="00B81EF2"/>
    <w:rsid w:val="00B8393A"/>
    <w:rsid w:val="00BA6A46"/>
    <w:rsid w:val="00BA6B81"/>
    <w:rsid w:val="00BC36CF"/>
    <w:rsid w:val="00BC5383"/>
    <w:rsid w:val="00BC65BC"/>
    <w:rsid w:val="00BC7231"/>
    <w:rsid w:val="00BC7B6F"/>
    <w:rsid w:val="00BD6D51"/>
    <w:rsid w:val="00BD6FE0"/>
    <w:rsid w:val="00BE0125"/>
    <w:rsid w:val="00BE5F47"/>
    <w:rsid w:val="00BE61E8"/>
    <w:rsid w:val="00BE6C50"/>
    <w:rsid w:val="00BE71E7"/>
    <w:rsid w:val="00C072A4"/>
    <w:rsid w:val="00C11055"/>
    <w:rsid w:val="00C1213B"/>
    <w:rsid w:val="00C17144"/>
    <w:rsid w:val="00C25D42"/>
    <w:rsid w:val="00C46358"/>
    <w:rsid w:val="00C608B9"/>
    <w:rsid w:val="00C6436F"/>
    <w:rsid w:val="00C750D4"/>
    <w:rsid w:val="00C81766"/>
    <w:rsid w:val="00C845C8"/>
    <w:rsid w:val="00C864E5"/>
    <w:rsid w:val="00C87ECE"/>
    <w:rsid w:val="00C92578"/>
    <w:rsid w:val="00C942A8"/>
    <w:rsid w:val="00C94BE4"/>
    <w:rsid w:val="00C9534F"/>
    <w:rsid w:val="00CA0812"/>
    <w:rsid w:val="00CA44EF"/>
    <w:rsid w:val="00CA7242"/>
    <w:rsid w:val="00CB4E80"/>
    <w:rsid w:val="00CD4A2F"/>
    <w:rsid w:val="00CF2437"/>
    <w:rsid w:val="00CF56EB"/>
    <w:rsid w:val="00D00941"/>
    <w:rsid w:val="00D07BB5"/>
    <w:rsid w:val="00D117BB"/>
    <w:rsid w:val="00D15145"/>
    <w:rsid w:val="00D15295"/>
    <w:rsid w:val="00D15E44"/>
    <w:rsid w:val="00D16307"/>
    <w:rsid w:val="00D2136D"/>
    <w:rsid w:val="00D22C26"/>
    <w:rsid w:val="00D242CC"/>
    <w:rsid w:val="00D25A9F"/>
    <w:rsid w:val="00D34564"/>
    <w:rsid w:val="00D34DA6"/>
    <w:rsid w:val="00D36F93"/>
    <w:rsid w:val="00D6073A"/>
    <w:rsid w:val="00D62684"/>
    <w:rsid w:val="00D62E36"/>
    <w:rsid w:val="00D62F9C"/>
    <w:rsid w:val="00D77267"/>
    <w:rsid w:val="00D8020B"/>
    <w:rsid w:val="00D8263C"/>
    <w:rsid w:val="00D8449C"/>
    <w:rsid w:val="00D928B9"/>
    <w:rsid w:val="00DA5970"/>
    <w:rsid w:val="00DA7EDB"/>
    <w:rsid w:val="00DB089A"/>
    <w:rsid w:val="00DC7A1E"/>
    <w:rsid w:val="00DD5BB2"/>
    <w:rsid w:val="00DD64EE"/>
    <w:rsid w:val="00DE16B4"/>
    <w:rsid w:val="00DE2E15"/>
    <w:rsid w:val="00DE3C02"/>
    <w:rsid w:val="00DE40E6"/>
    <w:rsid w:val="00DE4E1C"/>
    <w:rsid w:val="00E069DC"/>
    <w:rsid w:val="00E17447"/>
    <w:rsid w:val="00E2554B"/>
    <w:rsid w:val="00E32F04"/>
    <w:rsid w:val="00E3445C"/>
    <w:rsid w:val="00E4047C"/>
    <w:rsid w:val="00E42CFD"/>
    <w:rsid w:val="00E42F8E"/>
    <w:rsid w:val="00E45082"/>
    <w:rsid w:val="00E53702"/>
    <w:rsid w:val="00E57167"/>
    <w:rsid w:val="00E6742D"/>
    <w:rsid w:val="00E6768E"/>
    <w:rsid w:val="00E71317"/>
    <w:rsid w:val="00E77D4D"/>
    <w:rsid w:val="00E835AD"/>
    <w:rsid w:val="00E91E7D"/>
    <w:rsid w:val="00E961CA"/>
    <w:rsid w:val="00EA1079"/>
    <w:rsid w:val="00EB7F93"/>
    <w:rsid w:val="00ED2C7C"/>
    <w:rsid w:val="00EE10DD"/>
    <w:rsid w:val="00EE2112"/>
    <w:rsid w:val="00EE6953"/>
    <w:rsid w:val="00EF0F8D"/>
    <w:rsid w:val="00EF59B8"/>
    <w:rsid w:val="00F0021E"/>
    <w:rsid w:val="00F03FE6"/>
    <w:rsid w:val="00F0772F"/>
    <w:rsid w:val="00F12691"/>
    <w:rsid w:val="00F13727"/>
    <w:rsid w:val="00F17518"/>
    <w:rsid w:val="00F26397"/>
    <w:rsid w:val="00F26FBB"/>
    <w:rsid w:val="00F27C93"/>
    <w:rsid w:val="00F40226"/>
    <w:rsid w:val="00F460B9"/>
    <w:rsid w:val="00F54EF1"/>
    <w:rsid w:val="00F605B6"/>
    <w:rsid w:val="00F710FA"/>
    <w:rsid w:val="00F72D5E"/>
    <w:rsid w:val="00F736BF"/>
    <w:rsid w:val="00F75F6F"/>
    <w:rsid w:val="00F81BC0"/>
    <w:rsid w:val="00F93C34"/>
    <w:rsid w:val="00F97A40"/>
    <w:rsid w:val="00FA0D78"/>
    <w:rsid w:val="00FA1B82"/>
    <w:rsid w:val="00FA37BE"/>
    <w:rsid w:val="00FC46E1"/>
    <w:rsid w:val="00FD44DB"/>
    <w:rsid w:val="00FE0325"/>
    <w:rsid w:val="00FE2D77"/>
    <w:rsid w:val="00FE41D5"/>
    <w:rsid w:val="00FE5BB2"/>
    <w:rsid w:val="00FE645A"/>
    <w:rsid w:val="00FE66F3"/>
    <w:rsid w:val="00FE688F"/>
    <w:rsid w:val="00FF0C57"/>
    <w:rsid w:val="00FF2FB2"/>
    <w:rsid w:val="148B8AB0"/>
    <w:rsid w:val="19532688"/>
    <w:rsid w:val="770A0F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701CDD"/>
  <w15:chartTrackingRefBased/>
  <w15:docId w15:val="{D7EF9B96-38D3-4C34-8085-13B0F9023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B77"/>
    <w:pPr>
      <w:spacing w:after="200" w:line="276" w:lineRule="auto"/>
    </w:pPr>
    <w:rPr>
      <w:rFonts w:ascii="Times New Roman" w:hAnsi="Times New Roman" w:cs="Times New Roman"/>
      <w:color w:val="000000"/>
      <w:sz w:val="24"/>
      <w:szCs w:val="24"/>
    </w:rPr>
  </w:style>
  <w:style w:type="paragraph" w:styleId="Heading1">
    <w:name w:val="heading 1"/>
    <w:basedOn w:val="Normal"/>
    <w:next w:val="Normal"/>
    <w:link w:val="Heading1Char"/>
    <w:uiPriority w:val="9"/>
    <w:qFormat/>
    <w:rsid w:val="002C6B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qFormat/>
    <w:rsid w:val="002C6B77"/>
    <w:pPr>
      <w:keepNext/>
      <w:spacing w:after="0" w:line="240" w:lineRule="auto"/>
      <w:jc w:val="center"/>
      <w:outlineLvl w:val="4"/>
    </w:pPr>
    <w:rPr>
      <w:rFonts w:ascii="Arial" w:eastAsia="Arial Unicode MS" w:hAnsi="Arial"/>
      <w:b/>
      <w:szCs w:val="20"/>
    </w:rPr>
  </w:style>
  <w:style w:type="paragraph" w:styleId="Heading6">
    <w:name w:val="heading 6"/>
    <w:basedOn w:val="Normal"/>
    <w:next w:val="Normal"/>
    <w:link w:val="Heading6Char"/>
    <w:qFormat/>
    <w:rsid w:val="002C6B77"/>
    <w:pPr>
      <w:keepNext/>
      <w:spacing w:after="0" w:line="240" w:lineRule="auto"/>
      <w:jc w:val="center"/>
      <w:outlineLvl w:val="5"/>
    </w:pPr>
    <w:rPr>
      <w:rFonts w:eastAsia="Arial Unicode M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B77"/>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rsid w:val="002C6B77"/>
    <w:rPr>
      <w:rFonts w:ascii="Arial" w:eastAsia="Arial Unicode MS" w:hAnsi="Arial" w:cs="Times New Roman"/>
      <w:b/>
      <w:color w:val="000000"/>
      <w:sz w:val="24"/>
      <w:szCs w:val="20"/>
    </w:rPr>
  </w:style>
  <w:style w:type="character" w:customStyle="1" w:styleId="Heading6Char">
    <w:name w:val="Heading 6 Char"/>
    <w:basedOn w:val="DefaultParagraphFont"/>
    <w:link w:val="Heading6"/>
    <w:rsid w:val="002C6B77"/>
    <w:rPr>
      <w:rFonts w:ascii="Times New Roman" w:eastAsia="Arial Unicode MS" w:hAnsi="Times New Roman" w:cs="Times New Roman"/>
      <w:color w:val="000000"/>
      <w:sz w:val="24"/>
      <w:szCs w:val="20"/>
    </w:rPr>
  </w:style>
  <w:style w:type="character" w:styleId="Hyperlink">
    <w:name w:val="Hyperlink"/>
    <w:basedOn w:val="DefaultParagraphFont"/>
    <w:uiPriority w:val="99"/>
    <w:unhideWhenUsed/>
    <w:rsid w:val="002C6B77"/>
    <w:rPr>
      <w:color w:val="0000FF"/>
      <w:u w:val="single"/>
    </w:rPr>
  </w:style>
  <w:style w:type="paragraph" w:styleId="FootnoteText">
    <w:name w:val="footnote text"/>
    <w:aliases w:val="FT"/>
    <w:basedOn w:val="Normal"/>
    <w:link w:val="FootnoteTextChar"/>
    <w:uiPriority w:val="99"/>
    <w:unhideWhenUsed/>
    <w:rsid w:val="002C6B77"/>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2C6B77"/>
    <w:rPr>
      <w:rFonts w:ascii="Times New Roman" w:hAnsi="Times New Roman" w:cs="Times New Roman"/>
      <w:color w:val="000000"/>
      <w:sz w:val="20"/>
      <w:szCs w:val="20"/>
    </w:rPr>
  </w:style>
  <w:style w:type="character" w:styleId="FootnoteReference">
    <w:name w:val="footnote reference"/>
    <w:uiPriority w:val="99"/>
    <w:unhideWhenUsed/>
    <w:rsid w:val="002C6B77"/>
    <w:rPr>
      <w:vertAlign w:val="superscript"/>
    </w:rPr>
  </w:style>
  <w:style w:type="paragraph" w:styleId="NormalWeb">
    <w:name w:val="Normal (Web)"/>
    <w:basedOn w:val="Normal"/>
    <w:uiPriority w:val="99"/>
    <w:unhideWhenUsed/>
    <w:rsid w:val="002C6B77"/>
    <w:pPr>
      <w:spacing w:before="100" w:beforeAutospacing="1" w:after="100" w:afterAutospacing="1" w:line="240" w:lineRule="auto"/>
    </w:pPr>
    <w:rPr>
      <w:rFonts w:eastAsia="Times New Roman"/>
    </w:rPr>
  </w:style>
  <w:style w:type="paragraph" w:styleId="Footer">
    <w:name w:val="footer"/>
    <w:basedOn w:val="Normal"/>
    <w:link w:val="FooterChar"/>
    <w:uiPriority w:val="99"/>
    <w:unhideWhenUsed/>
    <w:rsid w:val="002C6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B77"/>
    <w:rPr>
      <w:rFonts w:ascii="Times New Roman" w:hAnsi="Times New Roman" w:cs="Times New Roman"/>
      <w:color w:val="000000"/>
      <w:sz w:val="24"/>
      <w:szCs w:val="24"/>
    </w:rPr>
  </w:style>
  <w:style w:type="paragraph" w:styleId="ListParagraph">
    <w:name w:val="List Paragraph"/>
    <w:basedOn w:val="Normal"/>
    <w:uiPriority w:val="34"/>
    <w:qFormat/>
    <w:rsid w:val="002C6B77"/>
    <w:pPr>
      <w:ind w:left="720"/>
      <w:contextualSpacing/>
    </w:pPr>
  </w:style>
  <w:style w:type="paragraph" w:styleId="Header">
    <w:name w:val="header"/>
    <w:basedOn w:val="Normal"/>
    <w:link w:val="HeaderChar"/>
    <w:uiPriority w:val="99"/>
    <w:unhideWhenUsed/>
    <w:rsid w:val="002C6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B77"/>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C6B77"/>
    <w:rPr>
      <w:sz w:val="16"/>
      <w:szCs w:val="16"/>
    </w:rPr>
  </w:style>
  <w:style w:type="paragraph" w:styleId="CommentText">
    <w:name w:val="annotation text"/>
    <w:basedOn w:val="Normal"/>
    <w:link w:val="CommentTextChar"/>
    <w:uiPriority w:val="99"/>
    <w:unhideWhenUsed/>
    <w:rsid w:val="002C6B77"/>
    <w:pPr>
      <w:spacing w:line="240" w:lineRule="auto"/>
    </w:pPr>
    <w:rPr>
      <w:sz w:val="20"/>
      <w:szCs w:val="20"/>
    </w:rPr>
  </w:style>
  <w:style w:type="character" w:customStyle="1" w:styleId="CommentTextChar">
    <w:name w:val="Comment Text Char"/>
    <w:basedOn w:val="DefaultParagraphFont"/>
    <w:link w:val="CommentText"/>
    <w:uiPriority w:val="99"/>
    <w:rsid w:val="002C6B77"/>
    <w:rPr>
      <w:rFonts w:ascii="Times New Roman" w:hAnsi="Times New Roman" w:cs="Times New Roman"/>
      <w:color w:val="000000"/>
      <w:sz w:val="20"/>
      <w:szCs w:val="20"/>
    </w:rPr>
  </w:style>
  <w:style w:type="paragraph" w:styleId="BodyText">
    <w:name w:val="Body Text"/>
    <w:basedOn w:val="Normal"/>
    <w:link w:val="BodyTextChar"/>
    <w:uiPriority w:val="99"/>
    <w:rsid w:val="002C6B77"/>
    <w:pPr>
      <w:spacing w:after="0" w:line="480" w:lineRule="auto"/>
      <w:ind w:firstLine="720"/>
      <w:jc w:val="both"/>
    </w:pPr>
    <w:rPr>
      <w:rFonts w:eastAsia="Times New Roman"/>
    </w:rPr>
  </w:style>
  <w:style w:type="character" w:customStyle="1" w:styleId="BodyTextChar">
    <w:name w:val="Body Text Char"/>
    <w:basedOn w:val="DefaultParagraphFont"/>
    <w:link w:val="BodyText"/>
    <w:uiPriority w:val="99"/>
    <w:rsid w:val="002C6B77"/>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2C6B77"/>
    <w:rPr>
      <w:i/>
      <w:iCs/>
    </w:rPr>
  </w:style>
  <w:style w:type="character" w:customStyle="1" w:styleId="cosmallcaps">
    <w:name w:val="co_smallcaps"/>
    <w:basedOn w:val="DefaultParagraphFont"/>
    <w:rsid w:val="002C6B77"/>
  </w:style>
  <w:style w:type="paragraph" w:styleId="HTMLPreformatted">
    <w:name w:val="HTML Preformatted"/>
    <w:basedOn w:val="Normal"/>
    <w:link w:val="HTMLPreformattedChar"/>
    <w:uiPriority w:val="99"/>
    <w:unhideWhenUsed/>
    <w:rsid w:val="002C6B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C6B77"/>
    <w:rPr>
      <w:rFonts w:ascii="Courier New" w:eastAsia="Times New Roman" w:hAnsi="Courier New" w:cs="Courier New"/>
      <w:color w:val="000000"/>
      <w:sz w:val="20"/>
      <w:szCs w:val="20"/>
    </w:rPr>
  </w:style>
  <w:style w:type="character" w:styleId="PageNumber">
    <w:name w:val="page number"/>
    <w:basedOn w:val="DefaultParagraphFont"/>
    <w:unhideWhenUsed/>
    <w:rsid w:val="002C6B77"/>
  </w:style>
  <w:style w:type="paragraph" w:styleId="BalloonText">
    <w:name w:val="Balloon Text"/>
    <w:basedOn w:val="Normal"/>
    <w:link w:val="BalloonTextChar"/>
    <w:uiPriority w:val="99"/>
    <w:semiHidden/>
    <w:unhideWhenUsed/>
    <w:rsid w:val="002C6B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B77"/>
    <w:rPr>
      <w:rFonts w:ascii="Segoe UI"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F0021E"/>
    <w:rPr>
      <w:b/>
      <w:bCs/>
    </w:rPr>
  </w:style>
  <w:style w:type="character" w:customStyle="1" w:styleId="CommentSubjectChar">
    <w:name w:val="Comment Subject Char"/>
    <w:basedOn w:val="CommentTextChar"/>
    <w:link w:val="CommentSubject"/>
    <w:uiPriority w:val="99"/>
    <w:semiHidden/>
    <w:rsid w:val="00F0021E"/>
    <w:rPr>
      <w:rFonts w:ascii="Times New Roman" w:hAnsi="Times New Roman" w:cs="Times New Roman"/>
      <w:b/>
      <w:bCs/>
      <w:color w:val="000000"/>
      <w:sz w:val="20"/>
      <w:szCs w:val="20"/>
    </w:rPr>
  </w:style>
  <w:style w:type="character" w:styleId="FollowedHyperlink">
    <w:name w:val="FollowedHyperlink"/>
    <w:basedOn w:val="DefaultParagraphFont"/>
    <w:uiPriority w:val="99"/>
    <w:semiHidden/>
    <w:unhideWhenUsed/>
    <w:rsid w:val="00F0021E"/>
    <w:rPr>
      <w:color w:val="954F72" w:themeColor="followedHyperlink"/>
      <w:u w:val="single"/>
    </w:rPr>
  </w:style>
  <w:style w:type="character" w:customStyle="1" w:styleId="cosearchterm">
    <w:name w:val="co_searchterm"/>
    <w:basedOn w:val="DefaultParagraphFont"/>
    <w:rsid w:val="001C4617"/>
  </w:style>
  <w:style w:type="table" w:styleId="PlainTable3">
    <w:name w:val="Plain Table 3"/>
    <w:basedOn w:val="TableNormal"/>
    <w:uiPriority w:val="43"/>
    <w:rsid w:val="00B53203"/>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960B73"/>
    <w:pPr>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910F46"/>
    <w:rPr>
      <w:color w:val="605E5C"/>
      <w:shd w:val="clear" w:color="auto" w:fill="E1DFDD"/>
    </w:rPr>
  </w:style>
  <w:style w:type="character" w:styleId="LineNumber">
    <w:name w:val="line number"/>
    <w:basedOn w:val="DefaultParagraphFont"/>
    <w:uiPriority w:val="99"/>
    <w:semiHidden/>
    <w:unhideWhenUsed/>
    <w:rsid w:val="003C3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6185">
      <w:bodyDiv w:val="1"/>
      <w:marLeft w:val="0"/>
      <w:marRight w:val="0"/>
      <w:marTop w:val="0"/>
      <w:marBottom w:val="0"/>
      <w:divBdr>
        <w:top w:val="none" w:sz="0" w:space="0" w:color="auto"/>
        <w:left w:val="none" w:sz="0" w:space="0" w:color="auto"/>
        <w:bottom w:val="none" w:sz="0" w:space="0" w:color="auto"/>
        <w:right w:val="none" w:sz="0" w:space="0" w:color="auto"/>
      </w:divBdr>
    </w:div>
    <w:div w:id="47000126">
      <w:bodyDiv w:val="1"/>
      <w:marLeft w:val="0"/>
      <w:marRight w:val="0"/>
      <w:marTop w:val="0"/>
      <w:marBottom w:val="0"/>
      <w:divBdr>
        <w:top w:val="none" w:sz="0" w:space="0" w:color="auto"/>
        <w:left w:val="none" w:sz="0" w:space="0" w:color="auto"/>
        <w:bottom w:val="none" w:sz="0" w:space="0" w:color="auto"/>
        <w:right w:val="none" w:sz="0" w:space="0" w:color="auto"/>
      </w:divBdr>
    </w:div>
    <w:div w:id="74670330">
      <w:bodyDiv w:val="1"/>
      <w:marLeft w:val="0"/>
      <w:marRight w:val="0"/>
      <w:marTop w:val="0"/>
      <w:marBottom w:val="0"/>
      <w:divBdr>
        <w:top w:val="none" w:sz="0" w:space="0" w:color="auto"/>
        <w:left w:val="none" w:sz="0" w:space="0" w:color="auto"/>
        <w:bottom w:val="none" w:sz="0" w:space="0" w:color="auto"/>
        <w:right w:val="none" w:sz="0" w:space="0" w:color="auto"/>
      </w:divBdr>
    </w:div>
    <w:div w:id="405684024">
      <w:bodyDiv w:val="1"/>
      <w:marLeft w:val="0"/>
      <w:marRight w:val="0"/>
      <w:marTop w:val="0"/>
      <w:marBottom w:val="0"/>
      <w:divBdr>
        <w:top w:val="none" w:sz="0" w:space="0" w:color="auto"/>
        <w:left w:val="none" w:sz="0" w:space="0" w:color="auto"/>
        <w:bottom w:val="none" w:sz="0" w:space="0" w:color="auto"/>
        <w:right w:val="none" w:sz="0" w:space="0" w:color="auto"/>
      </w:divBdr>
    </w:div>
    <w:div w:id="633802307">
      <w:bodyDiv w:val="1"/>
      <w:marLeft w:val="0"/>
      <w:marRight w:val="0"/>
      <w:marTop w:val="0"/>
      <w:marBottom w:val="0"/>
      <w:divBdr>
        <w:top w:val="none" w:sz="0" w:space="0" w:color="auto"/>
        <w:left w:val="none" w:sz="0" w:space="0" w:color="auto"/>
        <w:bottom w:val="none" w:sz="0" w:space="0" w:color="auto"/>
        <w:right w:val="none" w:sz="0" w:space="0" w:color="auto"/>
      </w:divBdr>
    </w:div>
    <w:div w:id="866871680">
      <w:bodyDiv w:val="1"/>
      <w:marLeft w:val="0"/>
      <w:marRight w:val="0"/>
      <w:marTop w:val="0"/>
      <w:marBottom w:val="0"/>
      <w:divBdr>
        <w:top w:val="none" w:sz="0" w:space="0" w:color="auto"/>
        <w:left w:val="none" w:sz="0" w:space="0" w:color="auto"/>
        <w:bottom w:val="none" w:sz="0" w:space="0" w:color="auto"/>
        <w:right w:val="none" w:sz="0" w:space="0" w:color="auto"/>
      </w:divBdr>
    </w:div>
    <w:div w:id="1083067553">
      <w:bodyDiv w:val="1"/>
      <w:marLeft w:val="0"/>
      <w:marRight w:val="0"/>
      <w:marTop w:val="0"/>
      <w:marBottom w:val="0"/>
      <w:divBdr>
        <w:top w:val="none" w:sz="0" w:space="0" w:color="auto"/>
        <w:left w:val="none" w:sz="0" w:space="0" w:color="auto"/>
        <w:bottom w:val="none" w:sz="0" w:space="0" w:color="auto"/>
        <w:right w:val="none" w:sz="0" w:space="0" w:color="auto"/>
      </w:divBdr>
    </w:div>
    <w:div w:id="1314135963">
      <w:bodyDiv w:val="1"/>
      <w:marLeft w:val="0"/>
      <w:marRight w:val="0"/>
      <w:marTop w:val="0"/>
      <w:marBottom w:val="0"/>
      <w:divBdr>
        <w:top w:val="none" w:sz="0" w:space="0" w:color="auto"/>
        <w:left w:val="none" w:sz="0" w:space="0" w:color="auto"/>
        <w:bottom w:val="none" w:sz="0" w:space="0" w:color="auto"/>
        <w:right w:val="none" w:sz="0" w:space="0" w:color="auto"/>
      </w:divBdr>
    </w:div>
    <w:div w:id="1362587720">
      <w:bodyDiv w:val="1"/>
      <w:marLeft w:val="0"/>
      <w:marRight w:val="0"/>
      <w:marTop w:val="0"/>
      <w:marBottom w:val="0"/>
      <w:divBdr>
        <w:top w:val="none" w:sz="0" w:space="0" w:color="auto"/>
        <w:left w:val="none" w:sz="0" w:space="0" w:color="auto"/>
        <w:bottom w:val="none" w:sz="0" w:space="0" w:color="auto"/>
        <w:right w:val="none" w:sz="0" w:space="0" w:color="auto"/>
      </w:divBdr>
    </w:div>
    <w:div w:id="1403677134">
      <w:bodyDiv w:val="1"/>
      <w:marLeft w:val="0"/>
      <w:marRight w:val="0"/>
      <w:marTop w:val="0"/>
      <w:marBottom w:val="0"/>
      <w:divBdr>
        <w:top w:val="none" w:sz="0" w:space="0" w:color="auto"/>
        <w:left w:val="none" w:sz="0" w:space="0" w:color="auto"/>
        <w:bottom w:val="none" w:sz="0" w:space="0" w:color="auto"/>
        <w:right w:val="none" w:sz="0" w:space="0" w:color="auto"/>
      </w:divBdr>
    </w:div>
    <w:div w:id="1454834634">
      <w:bodyDiv w:val="1"/>
      <w:marLeft w:val="0"/>
      <w:marRight w:val="0"/>
      <w:marTop w:val="0"/>
      <w:marBottom w:val="0"/>
      <w:divBdr>
        <w:top w:val="none" w:sz="0" w:space="0" w:color="auto"/>
        <w:left w:val="none" w:sz="0" w:space="0" w:color="auto"/>
        <w:bottom w:val="none" w:sz="0" w:space="0" w:color="auto"/>
        <w:right w:val="none" w:sz="0" w:space="0" w:color="auto"/>
      </w:divBdr>
    </w:div>
    <w:div w:id="1476024923">
      <w:bodyDiv w:val="1"/>
      <w:marLeft w:val="0"/>
      <w:marRight w:val="0"/>
      <w:marTop w:val="0"/>
      <w:marBottom w:val="0"/>
      <w:divBdr>
        <w:top w:val="none" w:sz="0" w:space="0" w:color="auto"/>
        <w:left w:val="none" w:sz="0" w:space="0" w:color="auto"/>
        <w:bottom w:val="none" w:sz="0" w:space="0" w:color="auto"/>
        <w:right w:val="none" w:sz="0" w:space="0" w:color="auto"/>
      </w:divBdr>
    </w:div>
    <w:div w:id="1535314087">
      <w:bodyDiv w:val="1"/>
      <w:marLeft w:val="0"/>
      <w:marRight w:val="0"/>
      <w:marTop w:val="0"/>
      <w:marBottom w:val="0"/>
      <w:divBdr>
        <w:top w:val="none" w:sz="0" w:space="0" w:color="auto"/>
        <w:left w:val="none" w:sz="0" w:space="0" w:color="auto"/>
        <w:bottom w:val="none" w:sz="0" w:space="0" w:color="auto"/>
        <w:right w:val="none" w:sz="0" w:space="0" w:color="auto"/>
      </w:divBdr>
    </w:div>
    <w:div w:id="1565412777">
      <w:bodyDiv w:val="1"/>
      <w:marLeft w:val="0"/>
      <w:marRight w:val="0"/>
      <w:marTop w:val="0"/>
      <w:marBottom w:val="0"/>
      <w:divBdr>
        <w:top w:val="none" w:sz="0" w:space="0" w:color="auto"/>
        <w:left w:val="none" w:sz="0" w:space="0" w:color="auto"/>
        <w:bottom w:val="none" w:sz="0" w:space="0" w:color="auto"/>
        <w:right w:val="none" w:sz="0" w:space="0" w:color="auto"/>
      </w:divBdr>
    </w:div>
    <w:div w:id="1633899098">
      <w:bodyDiv w:val="1"/>
      <w:marLeft w:val="0"/>
      <w:marRight w:val="0"/>
      <w:marTop w:val="0"/>
      <w:marBottom w:val="0"/>
      <w:divBdr>
        <w:top w:val="none" w:sz="0" w:space="0" w:color="auto"/>
        <w:left w:val="none" w:sz="0" w:space="0" w:color="auto"/>
        <w:bottom w:val="none" w:sz="0" w:space="0" w:color="auto"/>
        <w:right w:val="none" w:sz="0" w:space="0" w:color="auto"/>
      </w:divBdr>
    </w:div>
    <w:div w:id="1892689477">
      <w:bodyDiv w:val="1"/>
      <w:marLeft w:val="0"/>
      <w:marRight w:val="0"/>
      <w:marTop w:val="0"/>
      <w:marBottom w:val="0"/>
      <w:divBdr>
        <w:top w:val="none" w:sz="0" w:space="0" w:color="auto"/>
        <w:left w:val="none" w:sz="0" w:space="0" w:color="auto"/>
        <w:bottom w:val="none" w:sz="0" w:space="0" w:color="auto"/>
        <w:right w:val="none" w:sz="0" w:space="0" w:color="auto"/>
      </w:divBdr>
    </w:div>
    <w:div w:id="1895310748">
      <w:bodyDiv w:val="1"/>
      <w:marLeft w:val="0"/>
      <w:marRight w:val="0"/>
      <w:marTop w:val="0"/>
      <w:marBottom w:val="0"/>
      <w:divBdr>
        <w:top w:val="none" w:sz="0" w:space="0" w:color="auto"/>
        <w:left w:val="none" w:sz="0" w:space="0" w:color="auto"/>
        <w:bottom w:val="none" w:sz="0" w:space="0" w:color="auto"/>
        <w:right w:val="none" w:sz="0" w:space="0" w:color="auto"/>
      </w:divBdr>
    </w:div>
    <w:div w:id="2025398225">
      <w:bodyDiv w:val="1"/>
      <w:marLeft w:val="0"/>
      <w:marRight w:val="0"/>
      <w:marTop w:val="0"/>
      <w:marBottom w:val="0"/>
      <w:divBdr>
        <w:top w:val="none" w:sz="0" w:space="0" w:color="auto"/>
        <w:left w:val="none" w:sz="0" w:space="0" w:color="auto"/>
        <w:bottom w:val="none" w:sz="0" w:space="0" w:color="auto"/>
        <w:right w:val="none" w:sz="0" w:space="0" w:color="auto"/>
      </w:divBdr>
    </w:div>
    <w:div w:id="206780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_rels/footnotes.xml.rels><?xml version="1.0" encoding="UTF-8" standalone="yes"?>
<Relationships xmlns="http://schemas.openxmlformats.org/package/2006/relationships"><Relationship Id="rId26" Type="http://schemas.openxmlformats.org/officeDocument/2006/relationships/hyperlink" Target="https://www.ftc.gov/business-guidance/privacy-security/gramm-leach-bliley-act" TargetMode="External"/><Relationship Id="rId21" Type="http://schemas.openxmlformats.org/officeDocument/2006/relationships/hyperlink" Target="https://www.hhs.gov/hipaa/for-professionals/privacy/index.html" TargetMode="External"/><Relationship Id="rId42" Type="http://schemas.openxmlformats.org/officeDocument/2006/relationships/hyperlink" Target="https://www.sba.gov/about-sba/organization." TargetMode="External"/><Relationship Id="rId47" Type="http://schemas.openxmlformats.org/officeDocument/2006/relationships/hyperlink" Target="https://www.nyc.gov/site/sbs/about/pr20221027-sandy10years-businessprep.page" TargetMode="External"/><Relationship Id="rId63" Type="http://schemas.openxmlformats.org/officeDocument/2006/relationships/hyperlink" Target="https://www.nyc.gov/mayors-office/news/2025/05/mayor-adams-launches-silentshield-investing-1-6-million-technology-immediately-connect" TargetMode="External"/><Relationship Id="rId68" Type="http://schemas.openxmlformats.org/officeDocument/2006/relationships/hyperlink" Target="https://opportunity.census.gov/assets/files/2021-problem-statements/post-covid/MBDA_Improving%20Minority%20Businesses%20Access%20to%20Capital.pdf" TargetMode="External"/><Relationship Id="rId2" Type="http://schemas.openxmlformats.org/officeDocument/2006/relationships/hyperlink" Target="https://trumpwhitehouse.archives.gov/wp-content/uploads/2018/02/The-Cost-of-Malicious-Cyber-Activity-to-the-U.S.-Economy.pdf" TargetMode="External"/><Relationship Id="rId16" Type="http://schemas.openxmlformats.org/officeDocument/2006/relationships/hyperlink" Target="https://www.forbes.com/councils/forbesbusinesscouncil/2025/01/10/preparing-for-2025-the-smb-cybersecurity-gap/" TargetMode="External"/><Relationship Id="rId29" Type="http://schemas.openxmlformats.org/officeDocument/2006/relationships/hyperlink" Target="https://www.ftc.gov/business-guidance/resources/ftc-safeguards-rule-what-your-business-needs-know" TargetMode="External"/><Relationship Id="rId11" Type="http://schemas.openxmlformats.org/officeDocument/2006/relationships/hyperlink" Target="https://www.mastercard.com/us/en/news-and-trends/stories/2025/small-business-cybersecurity-study.html" TargetMode="External"/><Relationship Id="rId24" Type="http://schemas.openxmlformats.org/officeDocument/2006/relationships/hyperlink" Target="https://www.hhs.gov/sites/default/files/ocr/privacy/hipaa/administrative/securityrule/techsafeguards.pdf" TargetMode="External"/><Relationship Id="rId32" Type="http://schemas.openxmlformats.org/officeDocument/2006/relationships/hyperlink" Target="https://www.sec.gov/rules-regulations/2023/07/s7-09-22" TargetMode="External"/><Relationship Id="rId37" Type="http://schemas.openxmlformats.org/officeDocument/2006/relationships/hyperlink" Target="https://www.jacksonlewis.com/insights/new-york-shield-act-faqs" TargetMode="External"/><Relationship Id="rId40" Type="http://schemas.openxmlformats.org/officeDocument/2006/relationships/hyperlink" Target="https://ag.ny.gov/press-release/2025/attorney-general-james-secures-975000-auto-insurance-company-over-data-breach" TargetMode="External"/><Relationship Id="rId45" Type="http://schemas.openxmlformats.org/officeDocument/2006/relationships/hyperlink" Target="https://nysbdc.org/specialty-programs/cybersecurity/" TargetMode="External"/><Relationship Id="rId53" Type="http://schemas.openxmlformats.org/officeDocument/2006/relationships/hyperlink" Target="https://www.fcc.gov/communications-business-opportunities/cybersecurity-small-businesses" TargetMode="External"/><Relationship Id="rId58" Type="http://schemas.openxmlformats.org/officeDocument/2006/relationships/hyperlink" Target="https://counciloncj.org/shoplifting-trends-what-you-need-to-know/" TargetMode="External"/><Relationship Id="rId66" Type="http://schemas.openxmlformats.org/officeDocument/2006/relationships/hyperlink" Target="https://w42st.com/post/morton-williams-worker-dies-shoplifter/" TargetMode="External"/><Relationship Id="rId74" Type="http://schemas.openxmlformats.org/officeDocument/2006/relationships/hyperlink" Target="https://legistar.council.nyc.gov/LegislationDetail.aspx?ID=6067651&amp;GUID=5B72861F-87A1-40C7-ABC5-77DAE8F4EE34&amp;Options=Advanced&amp;Search=" TargetMode="External"/><Relationship Id="rId5" Type="http://schemas.openxmlformats.org/officeDocument/2006/relationships/hyperlink" Target="https://www.computerworld.com/author/Jaikumar-Vijayan/" TargetMode="External"/><Relationship Id="rId61" Type="http://schemas.openxmlformats.org/officeDocument/2006/relationships/hyperlink" Target="https://www.nyc.gov/mayors-office/news/2023/05/mayor-adams-plan-combat-retail-theft-new-york-city" TargetMode="External"/><Relationship Id="rId19" Type="http://schemas.openxmlformats.org/officeDocument/2006/relationships/hyperlink" Target="https://dis-blog.thalesgroup.com/security/2016/06/06/10-years-cyber-security-past-decade-taught-us/" TargetMode="External"/><Relationship Id="rId14" Type="http://schemas.openxmlformats.org/officeDocument/2006/relationships/hyperlink" Target="https://www.prnewswire.com/news-releases/ponemon-cyberattacks-on-smbs-rising-globally-becoming-more-targeted-and-sophisticated-300933394.html" TargetMode="External"/><Relationship Id="rId22" Type="http://schemas.openxmlformats.org/officeDocument/2006/relationships/hyperlink" Target="https://www.hhs.gov/hipaa/for-professionals/security/index.html" TargetMode="External"/><Relationship Id="rId27" Type="http://schemas.openxmlformats.org/officeDocument/2006/relationships/hyperlink" Target="https://www.saltycloud.com/blog/what-is-glba/" TargetMode="External"/><Relationship Id="rId30" Type="http://schemas.openxmlformats.org/officeDocument/2006/relationships/hyperlink" Target="https://www.ftc.gov/news-events/news/press-releases/2021/10/ftc-strengthens-security-safeguards-consumer-financial-information-following-widespread-data" TargetMode="External"/><Relationship Id="rId35" Type="http://schemas.openxmlformats.org/officeDocument/2006/relationships/hyperlink" Target="https://www.dfs.ny.gov/industry_guidance/cybersecurity" TargetMode="External"/><Relationship Id="rId43" Type="http://schemas.openxmlformats.org/officeDocument/2006/relationships/hyperlink" Target="https://www.sba.gov/local-assistance/resource-partners." TargetMode="External"/><Relationship Id="rId48" Type="http://schemas.openxmlformats.org/officeDocument/2006/relationships/hyperlink" Target="https://www.nyc.gov/site/sbs/about/pr20230501-mastercardexpansion.page" TargetMode="External"/><Relationship Id="rId56" Type="http://schemas.openxmlformats.org/officeDocument/2006/relationships/hyperlink" Target="https://nyc-business.nyc.gov/nycbusiness/" TargetMode="External"/><Relationship Id="rId64" Type="http://schemas.openxmlformats.org/officeDocument/2006/relationships/hyperlink" Target="https://www.nyc.gov/site/nypd/news/pr014/nypd-record-low-shooting-incidents-shooting-victims-the-first-eight-months-the" TargetMode="External"/><Relationship Id="rId69" Type="http://schemas.openxmlformats.org/officeDocument/2006/relationships/hyperlink" Target="https://nycfuture.org/research/bolstering-minority-and-immigrant-owned-businesses-by-scaling-up-cdfis" TargetMode="External"/><Relationship Id="rId8" Type="http://schemas.openxmlformats.org/officeDocument/2006/relationships/hyperlink" Target="https://yahoodatabreachsettlement.com/" TargetMode="External"/><Relationship Id="rId51" Type="http://schemas.openxmlformats.org/officeDocument/2006/relationships/hyperlink" Target="https://nyc-business.nyc.gov/nycbusiness/emergency-preparedness/emergency-preparedness-resources" TargetMode="External"/><Relationship Id="rId72" Type="http://schemas.openxmlformats.org/officeDocument/2006/relationships/hyperlink" Target="https://www.occ.gov/topics/consumers-and-communities/community-affairs/resource-directories/cdfi-and-cd-bank/index-cdfi-and-cd-bank-resource-directory.html" TargetMode="External"/><Relationship Id="rId3" Type="http://schemas.openxmlformats.org/officeDocument/2006/relationships/hyperlink" Target="https://www.ncsl.org/technology-and-communication/security-breach-notification-laws" TargetMode="External"/><Relationship Id="rId12" Type="http://schemas.openxmlformats.org/officeDocument/2006/relationships/hyperlink" Target="https://www.verizon.com/business/resources/T163/reports/2025-dbir-data-breach-investigations-report.pdf" TargetMode="External"/><Relationship Id="rId17" Type="http://schemas.openxmlformats.org/officeDocument/2006/relationships/hyperlink" Target="https://www.nytimes.com/2020/02/09/technology/ransomware-attacks.html" TargetMode="External"/><Relationship Id="rId25" Type="http://schemas.openxmlformats.org/officeDocument/2006/relationships/hyperlink" Target="https://www.congress.gov/crs-product/R47434" TargetMode="External"/><Relationship Id="rId33" Type="http://schemas.openxmlformats.org/officeDocument/2006/relationships/hyperlink" Target="https://www.ftc.gov/business-guidance/privacy-security/childrens-privacy" TargetMode="External"/><Relationship Id="rId38" Type="http://schemas.openxmlformats.org/officeDocument/2006/relationships/hyperlink" Target="https://eur-lex.europa.eu/legal-content/EN/TXT/?uri=celex%3A32016R0679" TargetMode="External"/><Relationship Id="rId46" Type="http://schemas.openxmlformats.org/officeDocument/2006/relationships/hyperlink" Target="https://www.nyc.gov/site/sbs/about/pr20221027-sandy10years-businessprep.page" TargetMode="External"/><Relationship Id="rId59" Type="http://schemas.openxmlformats.org/officeDocument/2006/relationships/hyperlink" Target="https://www.nysenate.gov/newsroom/press-releases/2024/monica-r-martinez/new-york-adopts-legislation-fight-organized-shop" TargetMode="External"/><Relationship Id="rId67" Type="http://schemas.openxmlformats.org/officeDocument/2006/relationships/hyperlink" Target="https://doi.org/10.1080/08276331.2017.1297106" TargetMode="External"/><Relationship Id="rId20" Type="http://schemas.openxmlformats.org/officeDocument/2006/relationships/hyperlink" Target="https://1.next.westlaw.com/Link/Document/FullText?findType=L&amp;pubNum=1000546&amp;cite=42USCAS1320D-6&amp;originatingDoc=I94a61d8ccde511e9adfea82903531a62&amp;refType=LQ&amp;originationContext=document&amp;transitionType=DocumentItem&amp;contextData=(sc.History*oc.UserEnteredCitation)" TargetMode="External"/><Relationship Id="rId41" Type="http://schemas.openxmlformats.org/officeDocument/2006/relationships/hyperlink" Target="https://www.dataprotectionreport.com/2025/04/new-york-attorney-general-personal-data-and-shield-act/" TargetMode="External"/><Relationship Id="rId54" Type="http://schemas.openxmlformats.org/officeDocument/2006/relationships/hyperlink" Target="https://nyc-business.nyc.gov/nycbusiness/bprep" TargetMode="External"/><Relationship Id="rId62" Type="http://schemas.openxmlformats.org/officeDocument/2006/relationships/hyperlink" Target="https://www.nyc.gov/mayors-office/news/2024/05/mayor-adams-new-pilot-program-combat-retail-theft-create-efficiencies-improve" TargetMode="External"/><Relationship Id="rId70" Type="http://schemas.openxmlformats.org/officeDocument/2006/relationships/hyperlink" Target="https://www.ofn.org/what-is-a-cdfi/" TargetMode="External"/><Relationship Id="rId75" Type="http://schemas.openxmlformats.org/officeDocument/2006/relationships/hyperlink" Target="https://legistar.council.nyc.gov/LegislationDetail.aspx?ID=6267702&amp;GUID=13974571-7650-4CD4-85F8-3EC678A1B4A9&amp;Options=Advanced&amp;Search=" TargetMode="External"/><Relationship Id="rId1" Type="http://schemas.openxmlformats.org/officeDocument/2006/relationships/hyperlink" Target="https://www.cnbc.com/2019/10/13/cyberattacks-cost-small-companies-200k-putting-many-out-of-business.html" TargetMode="External"/><Relationship Id="rId6" Type="http://schemas.openxmlformats.org/officeDocument/2006/relationships/hyperlink" Target="https://www.computerworld.com/article/1600083/tjx-reaches-9-75-million-breach-settlement-with-41-states.html" TargetMode="External"/><Relationship Id="rId15" Type="http://schemas.openxmlformats.org/officeDocument/2006/relationships/hyperlink" Target="https://cowbell.insure/wp-content/uploads/pdfs/Cowbell-Cyber-Round-Up-Q2-2023.pdf" TargetMode="External"/><Relationship Id="rId23" Type="http://schemas.openxmlformats.org/officeDocument/2006/relationships/hyperlink" Target="https://onlinedegrees.bradley.edu/blog/hipaa-privacy-rule-vs-hipaa-security-rule" TargetMode="External"/><Relationship Id="rId28" Type="http://schemas.openxmlformats.org/officeDocument/2006/relationships/hyperlink" Target="https://www.ftc.gov/system/files/documents/plain-language/bus67-how-comply-privacy-consumer-financial-information-rule-gramm-leach-bliley-act.pdf" TargetMode="External"/><Relationship Id="rId36" Type="http://schemas.openxmlformats.org/officeDocument/2006/relationships/hyperlink" Target="https://www.dfs.ny.gov/reports_and_publications/press_releases/pr202311011" TargetMode="External"/><Relationship Id="rId49" Type="http://schemas.openxmlformats.org/officeDocument/2006/relationships/hyperlink" Target="https://www.mastercard.com/us/en/business/industry-segment/small-medium-business/digital-doors.html" TargetMode="External"/><Relationship Id="rId57" Type="http://schemas.openxmlformats.org/officeDocument/2006/relationships/hyperlink" Target="https://data.cityofnewyork.us/Public-Safety/NYC-Retail-Theft-Complaints-by-Year/7qq4-py3j" TargetMode="External"/><Relationship Id="rId10" Type="http://schemas.openxmlformats.org/officeDocument/2006/relationships/hyperlink" Target="https://www.captechu.edu/blog/biggest-data-breach-ever-spotlights-ongoing-challenges-users-and-cybersecurity-professionals" TargetMode="External"/><Relationship Id="rId31" Type="http://schemas.openxmlformats.org/officeDocument/2006/relationships/hyperlink" Target="https://www.ftc.gov/business-guidance/blog/2024/05/safeguards-rule-notification-requirement-now-effect" TargetMode="External"/><Relationship Id="rId44" Type="http://schemas.openxmlformats.org/officeDocument/2006/relationships/hyperlink" Target="https://www.sba.gov/business-guide/manage-your-business/strengthen-your-cybersecurity" TargetMode="External"/><Relationship Id="rId52" Type="http://schemas.openxmlformats.org/officeDocument/2006/relationships/hyperlink" Target="https://gcatoolkit.org/smallbusiness/" TargetMode="External"/><Relationship Id="rId60" Type="http://schemas.openxmlformats.org/officeDocument/2006/relationships/hyperlink" Target="https://www.governor.ny.gov/news/following-crack-down-organized-retail-theft-governor-hochul-announces-reduction-retail-theft" TargetMode="External"/><Relationship Id="rId65" Type="http://schemas.openxmlformats.org/officeDocument/2006/relationships/hyperlink" Target="https://www.retailbrew.com/stories/2025/03/03/58-of-consumers-prefer-online-shopping-to-in-person-visits-due-to-retail-crime-survey" TargetMode="External"/><Relationship Id="rId73" Type="http://schemas.openxmlformats.org/officeDocument/2006/relationships/hyperlink" Target="https://www.americanbanker.com/opinion/cdfi-funds-blocked-by-omb-would-fund-affordable-housing" TargetMode="External"/><Relationship Id="rId4" Type="http://schemas.openxmlformats.org/officeDocument/2006/relationships/hyperlink" Target="https://www.infosecurity-magazine.com/opinions/the-history-of-cybersecurity/" TargetMode="External"/><Relationship Id="rId9" Type="http://schemas.openxmlformats.org/officeDocument/2006/relationships/hyperlink" Target="https://www.revelsi.com/en/blog/15-billion-records-exposed-due-to-misconfigured-database/" TargetMode="External"/><Relationship Id="rId13" Type="http://schemas.openxmlformats.org/officeDocument/2006/relationships/hyperlink" Target="https://www.cpomagazine.com/cyber-security/smb-study-reveals-majority-of-small-businesses-arent-taking-cyber-attacks-seriously/" TargetMode="External"/><Relationship Id="rId18" Type="http://schemas.openxmlformats.org/officeDocument/2006/relationships/hyperlink" Target="https://reports.weforum.org/docs/WEF_Global_Cybersecurity_Outlook_2025.pdf" TargetMode="External"/><Relationship Id="rId39" Type="http://schemas.openxmlformats.org/officeDocument/2006/relationships/hyperlink" Target="https://ag.ny.gov/resources/organizations/data-breach-reporting/shield-act" TargetMode="External"/><Relationship Id="rId34" Type="http://schemas.openxmlformats.org/officeDocument/2006/relationships/hyperlink" Target="https://www.ftc.gov/business-guidance/resources/complying-coppa-frequently-asked-questions" TargetMode="External"/><Relationship Id="rId50" Type="http://schemas.openxmlformats.org/officeDocument/2006/relationships/hyperlink" Target="https://www.nyc.gov/content/oti/pages/testimony/oti-testimony-before-nyc-council-committee-tech" TargetMode="External"/><Relationship Id="rId55" Type="http://schemas.openxmlformats.org/officeDocument/2006/relationships/hyperlink" Target="https://portal.311.nyc.gov/article/?kanumber=KA-02897&amp;language=en" TargetMode="External"/><Relationship Id="rId7" Type="http://schemas.openxmlformats.org/officeDocument/2006/relationships/hyperlink" Target="https://www.csoonline.com/article/534628/the-biggest-data-breaches-of-the-21st-century.html" TargetMode="External"/><Relationship Id="rId71" Type="http://schemas.openxmlformats.org/officeDocument/2006/relationships/hyperlink" Target="https://www.fdic.gov/resources/bankers/affordable-mortgage-lending-center/guide/part-1-docs/cdfi-overview.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17250-B730-4C6C-94C0-5ADC57594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5148</Words>
  <Characters>29349</Characters>
  <Application>Microsoft Office Word</Application>
  <DocSecurity>4</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Byhovsky, Irene</dc:creator>
  <cp:keywords/>
  <dc:description/>
  <cp:lastModifiedBy>DelFranco, Ruthie</cp:lastModifiedBy>
  <cp:revision>2</cp:revision>
  <cp:lastPrinted>2020-02-24T22:17:00Z</cp:lastPrinted>
  <dcterms:created xsi:type="dcterms:W3CDTF">2025-10-14T14:46:00Z</dcterms:created>
  <dcterms:modified xsi:type="dcterms:W3CDTF">2025-10-14T14:46:00Z</dcterms:modified>
</cp:coreProperties>
</file>