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20554" w14:textId="2E4D7429" w:rsidR="00B05D12" w:rsidRPr="002E1889" w:rsidRDefault="002E1889" w:rsidP="002E1889">
      <w:pPr>
        <w:jc w:val="center"/>
        <w:rPr>
          <w:b/>
          <w:bCs/>
        </w:rPr>
      </w:pPr>
      <w:r w:rsidRPr="002E1889">
        <w:rPr>
          <w:b/>
          <w:bCs/>
        </w:rPr>
        <w:t xml:space="preserve">Report </w:t>
      </w:r>
      <w:proofErr w:type="gramStart"/>
      <w:r w:rsidRPr="002E1889">
        <w:rPr>
          <w:b/>
          <w:bCs/>
        </w:rPr>
        <w:t>of</w:t>
      </w:r>
      <w:proofErr w:type="gramEnd"/>
      <w:r w:rsidRPr="002E1889">
        <w:rPr>
          <w:b/>
          <w:bCs/>
        </w:rPr>
        <w:t xml:space="preserve"> </w:t>
      </w:r>
      <w:proofErr w:type="gramStart"/>
      <w:r w:rsidRPr="002E1889">
        <w:rPr>
          <w:b/>
          <w:bCs/>
        </w:rPr>
        <w:t>the Consumer</w:t>
      </w:r>
      <w:proofErr w:type="gramEnd"/>
      <w:r w:rsidRPr="002E1889">
        <w:rPr>
          <w:b/>
          <w:bCs/>
        </w:rPr>
        <w:t xml:space="preserve"> and Worker Protection</w:t>
      </w:r>
    </w:p>
    <w:p w14:paraId="0294715C" w14:textId="77777777" w:rsidR="002E1889" w:rsidRDefault="002E1889"/>
    <w:p w14:paraId="0AEA07F4" w14:textId="3EDF7BF3" w:rsidR="002E1889" w:rsidRPr="009D3203" w:rsidRDefault="002E1889" w:rsidP="002E1889">
      <w:pPr>
        <w:tabs>
          <w:tab w:val="right" w:pos="7200"/>
        </w:tabs>
        <w:spacing w:before="30" w:after="30" w:line="240" w:lineRule="auto"/>
        <w:jc w:val="center"/>
        <w:rPr>
          <w:rFonts w:ascii="Times New Roman" w:eastAsia="Times New Roman" w:hAnsi="Times New Roman"/>
          <w:sz w:val="21"/>
          <w:szCs w:val="21"/>
        </w:rPr>
      </w:pPr>
      <w:r w:rsidRPr="009D3203">
        <w:rPr>
          <w:rFonts w:ascii="Times New Roman" w:eastAsia="Times New Roman" w:hAnsi="Times New Roman"/>
          <w:sz w:val="21"/>
          <w:szCs w:val="21"/>
        </w:rPr>
        <w:t xml:space="preserve">Report for Int. No. </w:t>
      </w:r>
      <w:r>
        <w:rPr>
          <w:rFonts w:ascii="Times New Roman" w:eastAsia="Times New Roman" w:hAnsi="Times New Roman"/>
          <w:sz w:val="21"/>
          <w:szCs w:val="21"/>
        </w:rPr>
        <w:t>408-A</w:t>
      </w:r>
    </w:p>
    <w:p w14:paraId="4F3FC23A" w14:textId="77777777" w:rsidR="002E1889" w:rsidRPr="009D3203" w:rsidRDefault="002E1889" w:rsidP="002E1889">
      <w:pPr>
        <w:suppressLineNumbers/>
        <w:shd w:val="clear" w:color="auto" w:fill="FFFFFF"/>
        <w:spacing w:line="240" w:lineRule="auto"/>
        <w:ind w:left="360" w:hanging="360"/>
        <w:contextualSpacing/>
        <w:jc w:val="both"/>
        <w:rPr>
          <w:rFonts w:ascii="Times New Roman" w:eastAsia="Times New Roman" w:hAnsi="Times New Roman"/>
          <w:b/>
          <w:sz w:val="21"/>
          <w:szCs w:val="21"/>
        </w:rPr>
      </w:pPr>
    </w:p>
    <w:p w14:paraId="5C0B19D0" w14:textId="08B96D15" w:rsidR="002E1889" w:rsidRPr="009D3203" w:rsidRDefault="002E1889" w:rsidP="002E1889">
      <w:pPr>
        <w:suppressLineNumbers/>
        <w:shd w:val="clear" w:color="auto" w:fill="FFFFFF"/>
        <w:spacing w:line="240" w:lineRule="auto"/>
        <w:ind w:left="360" w:hanging="360"/>
        <w:contextualSpacing/>
        <w:jc w:val="both"/>
        <w:rPr>
          <w:rFonts w:ascii="Times New Roman" w:hAnsi="Times New Roman"/>
          <w:b/>
          <w:color w:val="000000"/>
          <w:sz w:val="21"/>
          <w:szCs w:val="21"/>
        </w:rPr>
      </w:pPr>
      <w:r w:rsidRPr="009D3203">
        <w:rPr>
          <w:rFonts w:ascii="Times New Roman" w:eastAsia="Times New Roman" w:hAnsi="Times New Roman"/>
          <w:b/>
          <w:sz w:val="21"/>
          <w:szCs w:val="21"/>
        </w:rPr>
        <w:t xml:space="preserve">Report of the Committee on </w:t>
      </w:r>
      <w:r>
        <w:rPr>
          <w:rFonts w:ascii="Times New Roman" w:eastAsia="Times New Roman" w:hAnsi="Times New Roman"/>
          <w:b/>
          <w:sz w:val="21"/>
          <w:szCs w:val="21"/>
        </w:rPr>
        <w:t>Consumer and Worker Protection</w:t>
      </w:r>
      <w:r w:rsidRPr="009D3203">
        <w:rPr>
          <w:rFonts w:ascii="Times New Roman" w:eastAsia="Times New Roman" w:hAnsi="Times New Roman"/>
          <w:b/>
          <w:sz w:val="21"/>
          <w:szCs w:val="21"/>
        </w:rPr>
        <w:t xml:space="preserve"> in favor of approving and adopting, as amended, </w:t>
      </w:r>
      <w:r>
        <w:rPr>
          <w:rFonts w:ascii="Times New Roman" w:hAnsi="Times New Roman"/>
          <w:b/>
          <w:color w:val="000000"/>
          <w:sz w:val="21"/>
          <w:szCs w:val="21"/>
        </w:rPr>
        <w:t>a</w:t>
      </w:r>
    </w:p>
    <w:p w14:paraId="30EA2C3C" w14:textId="77777777" w:rsidR="002E1889" w:rsidRPr="009D3203" w:rsidRDefault="002E1889" w:rsidP="002E1889">
      <w:pPr>
        <w:spacing w:before="20" w:after="20" w:line="240" w:lineRule="auto"/>
        <w:jc w:val="both"/>
        <w:rPr>
          <w:rFonts w:ascii="Times New Roman" w:eastAsia="Times New Roman" w:hAnsi="Times New Roman"/>
          <w:sz w:val="21"/>
          <w:szCs w:val="21"/>
        </w:rPr>
      </w:pPr>
    </w:p>
    <w:p w14:paraId="22AFD450" w14:textId="77777777" w:rsidR="002E1889" w:rsidRPr="009D3203" w:rsidRDefault="002E1889" w:rsidP="002E1889">
      <w:pPr>
        <w:spacing w:before="20" w:after="20" w:line="240" w:lineRule="auto"/>
        <w:ind w:firstLine="360"/>
        <w:jc w:val="both"/>
        <w:rPr>
          <w:rFonts w:ascii="Times New Roman" w:eastAsia="Times New Roman" w:hAnsi="Times New Roman"/>
          <w:sz w:val="21"/>
          <w:szCs w:val="21"/>
        </w:rPr>
      </w:pPr>
      <w:r w:rsidRPr="009D3203">
        <w:rPr>
          <w:rFonts w:ascii="Times New Roman" w:eastAsia="Times New Roman" w:hAnsi="Times New Roman"/>
          <w:sz w:val="21"/>
          <w:szCs w:val="21"/>
        </w:rPr>
        <w:t xml:space="preserve">The Committee on </w:t>
      </w:r>
      <w:proofErr w:type="spellStart"/>
      <w:r w:rsidRPr="009D3203">
        <w:rPr>
          <w:rFonts w:ascii="Times New Roman" w:eastAsia="Times New Roman" w:hAnsi="Times New Roman"/>
          <w:sz w:val="21"/>
          <w:szCs w:val="21"/>
        </w:rPr>
        <w:t>xxxxxx</w:t>
      </w:r>
      <w:proofErr w:type="spellEnd"/>
      <w:r w:rsidRPr="009D3203">
        <w:rPr>
          <w:rFonts w:ascii="Times New Roman" w:eastAsia="Times New Roman" w:hAnsi="Times New Roman"/>
          <w:sz w:val="21"/>
          <w:szCs w:val="21"/>
        </w:rPr>
        <w:t xml:space="preserve">, to which the annexed proposed amended local law was referred on </w:t>
      </w:r>
      <w:proofErr w:type="spellStart"/>
      <w:r w:rsidRPr="009D3203">
        <w:rPr>
          <w:rFonts w:ascii="Times New Roman" w:eastAsia="Times New Roman" w:hAnsi="Times New Roman"/>
          <w:sz w:val="21"/>
          <w:szCs w:val="21"/>
        </w:rPr>
        <w:t>xxxxxxxx</w:t>
      </w:r>
      <w:proofErr w:type="spellEnd"/>
      <w:r w:rsidRPr="009D3203">
        <w:rPr>
          <w:rFonts w:ascii="Times New Roman" w:eastAsia="Times New Roman" w:hAnsi="Times New Roman"/>
          <w:sz w:val="21"/>
          <w:szCs w:val="21"/>
        </w:rPr>
        <w:t xml:space="preserve">, 20xx (Minutes, page </w:t>
      </w:r>
      <w:proofErr w:type="spellStart"/>
      <w:r w:rsidRPr="009D3203">
        <w:rPr>
          <w:rFonts w:ascii="Times New Roman" w:eastAsia="Times New Roman" w:hAnsi="Times New Roman"/>
          <w:sz w:val="21"/>
          <w:szCs w:val="21"/>
        </w:rPr>
        <w:t>x</w:t>
      </w:r>
      <w:r>
        <w:rPr>
          <w:rFonts w:ascii="Times New Roman" w:eastAsia="Times New Roman" w:hAnsi="Times New Roman"/>
          <w:sz w:val="21"/>
          <w:szCs w:val="21"/>
        </w:rPr>
        <w:t>x</w:t>
      </w:r>
      <w:r w:rsidRPr="009D3203">
        <w:rPr>
          <w:rFonts w:ascii="Times New Roman" w:eastAsia="Times New Roman" w:hAnsi="Times New Roman"/>
          <w:sz w:val="21"/>
          <w:szCs w:val="21"/>
        </w:rPr>
        <w:t>xx</w:t>
      </w:r>
      <w:proofErr w:type="spellEnd"/>
      <w:r w:rsidRPr="009D3203">
        <w:rPr>
          <w:rFonts w:ascii="Times New Roman" w:eastAsia="Times New Roman" w:hAnsi="Times New Roman"/>
          <w:sz w:val="21"/>
          <w:szCs w:val="21"/>
        </w:rPr>
        <w:t>), respectfully</w:t>
      </w:r>
    </w:p>
    <w:p w14:paraId="4E70C4B9" w14:textId="77777777" w:rsidR="002E1889" w:rsidRPr="009D3203" w:rsidRDefault="002E1889" w:rsidP="002E1889">
      <w:pPr>
        <w:spacing w:before="20" w:after="20" w:line="240" w:lineRule="auto"/>
        <w:jc w:val="center"/>
        <w:rPr>
          <w:rFonts w:ascii="Times New Roman" w:eastAsia="Times New Roman" w:hAnsi="Times New Roman"/>
          <w:b/>
          <w:sz w:val="21"/>
          <w:szCs w:val="21"/>
        </w:rPr>
      </w:pPr>
      <w:r w:rsidRPr="009D3203">
        <w:rPr>
          <w:rFonts w:ascii="Times New Roman" w:eastAsia="Times New Roman" w:hAnsi="Times New Roman"/>
          <w:b/>
          <w:sz w:val="21"/>
          <w:szCs w:val="21"/>
        </w:rPr>
        <w:t>REPORTS:</w:t>
      </w:r>
    </w:p>
    <w:p w14:paraId="5737C7DF" w14:textId="77777777" w:rsidR="002E1889" w:rsidRPr="009D3203" w:rsidRDefault="002E1889" w:rsidP="002E1889">
      <w:pPr>
        <w:spacing w:before="20" w:after="20" w:line="240" w:lineRule="auto"/>
        <w:jc w:val="center"/>
        <w:rPr>
          <w:rFonts w:ascii="Times New Roman" w:eastAsia="Times New Roman" w:hAnsi="Times New Roman"/>
          <w:b/>
          <w:sz w:val="21"/>
          <w:szCs w:val="21"/>
        </w:rPr>
      </w:pPr>
    </w:p>
    <w:p w14:paraId="11FB879D" w14:textId="77777777" w:rsidR="002E1889" w:rsidRDefault="002E1889" w:rsidP="002E1889">
      <w:pPr>
        <w:spacing w:before="20" w:after="20" w:line="240" w:lineRule="auto"/>
        <w:jc w:val="center"/>
        <w:rPr>
          <w:rFonts w:ascii="Times New Roman" w:eastAsia="Times New Roman" w:hAnsi="Times New Roman"/>
          <w:b/>
          <w:sz w:val="21"/>
          <w:szCs w:val="21"/>
        </w:rPr>
      </w:pPr>
    </w:p>
    <w:p w14:paraId="3365E402" w14:textId="77777777" w:rsidR="002E1889" w:rsidRDefault="002E1889" w:rsidP="002E1889">
      <w:pPr>
        <w:spacing w:before="20" w:after="20" w:line="240" w:lineRule="auto"/>
        <w:jc w:val="center"/>
        <w:rPr>
          <w:rFonts w:ascii="Times New Roman" w:eastAsia="Times New Roman" w:hAnsi="Times New Roman"/>
          <w:b/>
          <w:sz w:val="21"/>
          <w:szCs w:val="21"/>
        </w:rPr>
      </w:pPr>
    </w:p>
    <w:p w14:paraId="4EE83176" w14:textId="77777777" w:rsidR="002E1889" w:rsidRDefault="002E1889"/>
    <w:p w14:paraId="6E7D4051" w14:textId="77777777" w:rsidR="002E1889" w:rsidRDefault="002E1889"/>
    <w:p w14:paraId="26C52C99" w14:textId="77777777" w:rsidR="002E1889" w:rsidRDefault="002E1889"/>
    <w:p w14:paraId="1CBB3A5E" w14:textId="77777777" w:rsidR="002E1889" w:rsidRDefault="002E1889"/>
    <w:p w14:paraId="22FB8975" w14:textId="682E7762" w:rsidR="00E803F6" w:rsidRDefault="00E803F6" w:rsidP="00E803F6">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408-A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6B48D2" w:rsidRPr="006B48D2">
        <w:rPr>
          <w:rFonts w:ascii="Times New Roman" w:hAnsi="Times New Roman"/>
          <w:sz w:val="24"/>
          <w:szCs w:val="24"/>
        </w:rPr>
        <w:t xml:space="preserve">By the Public Advocate (Mr. Williams) and Council Members Louis, Sanchez, Hanif, Menin, Won, Marte, </w:t>
      </w:r>
      <w:proofErr w:type="spellStart"/>
      <w:r w:rsidR="006B48D2" w:rsidRPr="006B48D2">
        <w:rPr>
          <w:rFonts w:ascii="Times New Roman" w:hAnsi="Times New Roman"/>
          <w:sz w:val="24"/>
          <w:szCs w:val="24"/>
        </w:rPr>
        <w:t>Farías</w:t>
      </w:r>
      <w:proofErr w:type="spellEnd"/>
      <w:r w:rsidR="006B48D2" w:rsidRPr="006B48D2">
        <w:rPr>
          <w:rFonts w:ascii="Times New Roman" w:hAnsi="Times New Roman"/>
          <w:sz w:val="24"/>
          <w:szCs w:val="24"/>
        </w:rPr>
        <w:t xml:space="preserve">, De La Rosa, Krishnan, Ayala, </w:t>
      </w:r>
      <w:proofErr w:type="spellStart"/>
      <w:r w:rsidR="006B48D2" w:rsidRPr="006B48D2">
        <w:rPr>
          <w:rFonts w:ascii="Times New Roman" w:hAnsi="Times New Roman"/>
          <w:sz w:val="24"/>
          <w:szCs w:val="24"/>
        </w:rPr>
        <w:t>Ossé</w:t>
      </w:r>
      <w:proofErr w:type="spellEnd"/>
      <w:r w:rsidR="006B48D2" w:rsidRPr="006B48D2">
        <w:rPr>
          <w:rFonts w:ascii="Times New Roman" w:hAnsi="Times New Roman"/>
          <w:sz w:val="24"/>
          <w:szCs w:val="24"/>
        </w:rPr>
        <w:t xml:space="preserve">, Cabán, Nurse, </w:t>
      </w:r>
      <w:proofErr w:type="spellStart"/>
      <w:r w:rsidR="006B48D2" w:rsidRPr="006B48D2">
        <w:rPr>
          <w:rFonts w:ascii="Times New Roman" w:hAnsi="Times New Roman"/>
          <w:sz w:val="24"/>
          <w:szCs w:val="24"/>
        </w:rPr>
        <w:t>Restler</w:t>
      </w:r>
      <w:proofErr w:type="spellEnd"/>
      <w:r w:rsidR="006B48D2" w:rsidRPr="006B48D2">
        <w:rPr>
          <w:rFonts w:ascii="Times New Roman" w:hAnsi="Times New Roman"/>
          <w:sz w:val="24"/>
          <w:szCs w:val="24"/>
        </w:rPr>
        <w:t>, Gutiérrez, Avilés, Hudson, Feliz, Abreu, Brannan, Banks, Brewer, Joseph, Williams, Salaam and Narcisse</w:t>
      </w:r>
    </w:p>
    <w:p w14:paraId="26D511EA" w14:textId="77777777" w:rsidR="00E803F6" w:rsidRPr="005B3D13" w:rsidRDefault="00E803F6" w:rsidP="00E803F6">
      <w:pPr>
        <w:spacing w:after="0" w:line="240" w:lineRule="auto"/>
        <w:ind w:left="4500" w:hanging="4500"/>
        <w:jc w:val="both"/>
        <w:rPr>
          <w:rFonts w:ascii="Times New Roman" w:eastAsia="MS Mincho" w:hAnsi="Times New Roman"/>
          <w:b/>
          <w:spacing w:val="-3"/>
          <w:sz w:val="24"/>
          <w:szCs w:val="24"/>
          <w:u w:val="single"/>
        </w:rPr>
      </w:pPr>
    </w:p>
    <w:p w14:paraId="571D11A0" w14:textId="48F9DBBA" w:rsidR="00E803F6" w:rsidRPr="00F4180A" w:rsidRDefault="00E803F6" w:rsidP="00E803F6">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proofErr w:type="gramStart"/>
      <w:r w:rsidR="006B48D2" w:rsidRPr="006B48D2">
        <w:rPr>
          <w:rFonts w:ascii="Times New Roman" w:hAnsi="Times New Roman"/>
          <w:color w:val="000000"/>
          <w:sz w:val="24"/>
          <w:szCs w:val="24"/>
        </w:rPr>
        <w:t>A Local</w:t>
      </w:r>
      <w:proofErr w:type="gramEnd"/>
      <w:r w:rsidR="006B48D2" w:rsidRPr="006B48D2">
        <w:rPr>
          <w:rFonts w:ascii="Times New Roman" w:hAnsi="Times New Roman"/>
          <w:color w:val="000000"/>
          <w:sz w:val="24"/>
          <w:szCs w:val="24"/>
        </w:rPr>
        <w:t xml:space="preserve"> Law to amend the New York city charter, in relation to creating a division within the department of small business services to assist street vendors and reporting regarding such assistance efforts</w:t>
      </w:r>
    </w:p>
    <w:p w14:paraId="68E7E2FA" w14:textId="77777777" w:rsidR="00E803F6" w:rsidRDefault="00E803F6" w:rsidP="006B48D2">
      <w:pPr>
        <w:spacing w:after="0" w:line="240" w:lineRule="auto"/>
        <w:jc w:val="both"/>
        <w:rPr>
          <w:rFonts w:ascii="Times New Roman" w:eastAsia="MS Mincho" w:hAnsi="Times New Roman"/>
          <w:b/>
          <w:spacing w:val="-3"/>
          <w:sz w:val="24"/>
          <w:szCs w:val="24"/>
          <w:u w:val="single"/>
        </w:rPr>
      </w:pPr>
    </w:p>
    <w:p w14:paraId="008A070A" w14:textId="06656D5C" w:rsidR="00800F1A" w:rsidRPr="00800F1A" w:rsidRDefault="00800F1A" w:rsidP="00800F1A">
      <w:pPr>
        <w:spacing w:after="0" w:line="240" w:lineRule="auto"/>
        <w:ind w:left="4500" w:hanging="4500"/>
        <w:jc w:val="both"/>
        <w:rPr>
          <w:rFonts w:ascii="Times New Roman" w:eastAsia="MS Mincho" w:hAnsi="Times New Roman"/>
          <w:b/>
          <w:spacing w:val="-3"/>
          <w:sz w:val="24"/>
          <w:szCs w:val="24"/>
        </w:rPr>
      </w:pPr>
      <w:r>
        <w:rPr>
          <w:rFonts w:ascii="Times New Roman" w:eastAsia="MS Mincho" w:hAnsi="Times New Roman"/>
          <w:b/>
          <w:spacing w:val="-3"/>
          <w:sz w:val="24"/>
          <w:szCs w:val="24"/>
          <w:u w:val="single"/>
        </w:rPr>
        <w:t>PROPOSED I</w:t>
      </w:r>
      <w:r w:rsidR="006B48D2">
        <w:rPr>
          <w:rFonts w:ascii="Times New Roman" w:eastAsia="MS Mincho" w:hAnsi="Times New Roman"/>
          <w:b/>
          <w:spacing w:val="-3"/>
          <w:sz w:val="24"/>
          <w:szCs w:val="24"/>
          <w:u w:val="single"/>
        </w:rPr>
        <w:t>N</w:t>
      </w:r>
      <w:r>
        <w:rPr>
          <w:rFonts w:ascii="Times New Roman" w:eastAsia="MS Mincho" w:hAnsi="Times New Roman"/>
          <w:b/>
          <w:spacing w:val="-3"/>
          <w:sz w:val="24"/>
          <w:szCs w:val="24"/>
          <w:u w:val="single"/>
        </w:rPr>
        <w:t>T. NO. 431-</w:t>
      </w:r>
      <w:r w:rsidR="00AF1D52">
        <w:rPr>
          <w:rFonts w:ascii="Times New Roman" w:eastAsia="MS Mincho" w:hAnsi="Times New Roman"/>
          <w:b/>
          <w:spacing w:val="-3"/>
          <w:sz w:val="24"/>
          <w:szCs w:val="24"/>
          <w:u w:val="single"/>
        </w:rPr>
        <w:t>B</w:t>
      </w:r>
      <w:r>
        <w:rPr>
          <w:rFonts w:ascii="Times New Roman" w:eastAsia="MS Mincho" w:hAnsi="Times New Roman"/>
          <w:b/>
          <w:spacing w:val="-3"/>
          <w:sz w:val="24"/>
          <w:szCs w:val="24"/>
          <w:u w:val="single"/>
        </w:rPr>
        <w:t>:</w:t>
      </w:r>
      <w:r>
        <w:rPr>
          <w:rFonts w:ascii="Times New Roman" w:eastAsia="MS Mincho" w:hAnsi="Times New Roman"/>
          <w:b/>
          <w:spacing w:val="-3"/>
          <w:sz w:val="24"/>
          <w:szCs w:val="24"/>
        </w:rPr>
        <w:tab/>
      </w:r>
      <w:r w:rsidR="00F12E0F" w:rsidRPr="00F12E0F">
        <w:rPr>
          <w:rFonts w:ascii="Times New Roman" w:hAnsi="Times New Roman"/>
          <w:sz w:val="24"/>
          <w:szCs w:val="24"/>
        </w:rPr>
        <w:t xml:space="preserve">By Council Members Sanchez, Farías, De La Rosa, Krishnan, Hanif, Ayala, </w:t>
      </w:r>
      <w:proofErr w:type="spellStart"/>
      <w:r w:rsidR="00F12E0F" w:rsidRPr="00F12E0F">
        <w:rPr>
          <w:rFonts w:ascii="Times New Roman" w:hAnsi="Times New Roman"/>
          <w:sz w:val="24"/>
          <w:szCs w:val="24"/>
        </w:rPr>
        <w:t>Ossé</w:t>
      </w:r>
      <w:proofErr w:type="spellEnd"/>
      <w:r w:rsidR="00F12E0F" w:rsidRPr="00F12E0F">
        <w:rPr>
          <w:rFonts w:ascii="Times New Roman" w:hAnsi="Times New Roman"/>
          <w:sz w:val="24"/>
          <w:szCs w:val="24"/>
        </w:rPr>
        <w:t xml:space="preserve">, Cabán, Nurse, Marte, </w:t>
      </w:r>
      <w:proofErr w:type="spellStart"/>
      <w:r w:rsidR="00F12E0F" w:rsidRPr="00F12E0F">
        <w:rPr>
          <w:rFonts w:ascii="Times New Roman" w:hAnsi="Times New Roman"/>
          <w:sz w:val="24"/>
          <w:szCs w:val="24"/>
        </w:rPr>
        <w:t>Restler</w:t>
      </w:r>
      <w:proofErr w:type="spellEnd"/>
      <w:r w:rsidR="00F12E0F" w:rsidRPr="00F12E0F">
        <w:rPr>
          <w:rFonts w:ascii="Times New Roman" w:hAnsi="Times New Roman"/>
          <w:sz w:val="24"/>
          <w:szCs w:val="24"/>
        </w:rPr>
        <w:t>, Gutiérrez, Won, Avilés, Hudson, Louis, the Public Advocate (Mr. Williams), Salaam, Feliz, Brannan, Banks, Abreu, Brewer, Joseph, Menin, Salamanca, Riley, Powers, Schulman, Brooks-Powers, Lee, Stevens, Gennaro and Epstein (in conjunction with the Queens and Brooklyn Borough Presidents)</w:t>
      </w:r>
    </w:p>
    <w:p w14:paraId="4A3CB724" w14:textId="77777777" w:rsidR="00800F1A" w:rsidRPr="005B3D13" w:rsidRDefault="00800F1A" w:rsidP="00800F1A">
      <w:pPr>
        <w:spacing w:after="0" w:line="240" w:lineRule="auto"/>
        <w:ind w:left="4500" w:hanging="4500"/>
        <w:jc w:val="both"/>
        <w:rPr>
          <w:rFonts w:ascii="Times New Roman" w:eastAsia="MS Mincho" w:hAnsi="Times New Roman"/>
          <w:b/>
          <w:spacing w:val="-3"/>
          <w:sz w:val="24"/>
          <w:szCs w:val="24"/>
          <w:u w:val="single"/>
        </w:rPr>
      </w:pPr>
    </w:p>
    <w:p w14:paraId="4B30107D" w14:textId="0CBDAECF" w:rsidR="00800F1A" w:rsidRDefault="00800F1A" w:rsidP="004637F7">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00F91DDE" w:rsidRPr="00F91DDE">
        <w:rPr>
          <w:rFonts w:ascii="Times New Roman" w:hAnsi="Times New Roman"/>
          <w:color w:val="000000"/>
          <w:sz w:val="24"/>
          <w:szCs w:val="24"/>
        </w:rPr>
        <w:t xml:space="preserve">A Local Law to amend the New York city charter and the administrative code of the city of New </w:t>
      </w:r>
      <w:r w:rsidR="00F91DDE" w:rsidRPr="00F91DDE">
        <w:rPr>
          <w:rFonts w:ascii="Times New Roman" w:hAnsi="Times New Roman"/>
          <w:color w:val="000000"/>
          <w:sz w:val="24"/>
          <w:szCs w:val="24"/>
        </w:rPr>
        <w:lastRenderedPageBreak/>
        <w:t>York, in relation to expanding business licensing and regulatory compliance of all mobile food and general vendors</w:t>
      </w:r>
    </w:p>
    <w:p w14:paraId="54828B98" w14:textId="77777777" w:rsidR="004637F7" w:rsidRPr="004637F7" w:rsidRDefault="004637F7" w:rsidP="004637F7">
      <w:pPr>
        <w:spacing w:after="0" w:line="240" w:lineRule="auto"/>
        <w:ind w:left="4500" w:hanging="4500"/>
        <w:jc w:val="both"/>
        <w:rPr>
          <w:rFonts w:ascii="Times New Roman" w:eastAsia="MS Mincho" w:hAnsi="Times New Roman"/>
          <w:spacing w:val="-3"/>
          <w:sz w:val="24"/>
          <w:szCs w:val="24"/>
        </w:rPr>
      </w:pPr>
    </w:p>
    <w:p w14:paraId="4FDC38AF" w14:textId="009BE28C" w:rsidR="006B48D2" w:rsidRDefault="006B48D2" w:rsidP="006B48D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12</w:t>
      </w:r>
      <w:r w:rsidR="007261FF">
        <w:rPr>
          <w:rFonts w:ascii="Times New Roman" w:eastAsia="MS Mincho" w:hAnsi="Times New Roman"/>
          <w:b/>
          <w:spacing w:val="-3"/>
          <w:sz w:val="24"/>
          <w:szCs w:val="24"/>
          <w:u w:val="single"/>
        </w:rPr>
        <w:t>5</w:t>
      </w:r>
      <w:r w:rsidR="005342F5">
        <w:rPr>
          <w:rFonts w:ascii="Times New Roman" w:eastAsia="MS Mincho" w:hAnsi="Times New Roman"/>
          <w:b/>
          <w:spacing w:val="-3"/>
          <w:sz w:val="24"/>
          <w:szCs w:val="24"/>
          <w:u w:val="single"/>
        </w:rPr>
        <w:t>1</w:t>
      </w:r>
      <w:r>
        <w:rPr>
          <w:rFonts w:ascii="Times New Roman" w:eastAsia="MS Mincho" w:hAnsi="Times New Roman"/>
          <w:b/>
          <w:spacing w:val="-3"/>
          <w:sz w:val="24"/>
          <w:szCs w:val="24"/>
          <w:u w:val="single"/>
        </w:rPr>
        <w:t>-A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7261FF" w:rsidRPr="007261FF">
        <w:rPr>
          <w:rFonts w:ascii="Times New Roman" w:hAnsi="Times New Roman"/>
          <w:sz w:val="24"/>
          <w:szCs w:val="24"/>
        </w:rPr>
        <w:t xml:space="preserve">By Council Members </w:t>
      </w:r>
      <w:proofErr w:type="spellStart"/>
      <w:r w:rsidR="007261FF" w:rsidRPr="007261FF">
        <w:rPr>
          <w:rFonts w:ascii="Times New Roman" w:hAnsi="Times New Roman"/>
          <w:sz w:val="24"/>
          <w:szCs w:val="24"/>
        </w:rPr>
        <w:t>Farías</w:t>
      </w:r>
      <w:proofErr w:type="spellEnd"/>
      <w:r w:rsidR="007261FF" w:rsidRPr="007261FF">
        <w:rPr>
          <w:rFonts w:ascii="Times New Roman" w:hAnsi="Times New Roman"/>
          <w:sz w:val="24"/>
          <w:szCs w:val="24"/>
        </w:rPr>
        <w:t>, Louis, Banks, Joseph, Sanchez and the Public Advocate (Mr. Williams)</w:t>
      </w:r>
    </w:p>
    <w:p w14:paraId="4E77621F" w14:textId="77777777" w:rsidR="006B48D2" w:rsidRPr="005B3D13" w:rsidRDefault="006B48D2" w:rsidP="006B48D2">
      <w:pPr>
        <w:spacing w:after="0" w:line="240" w:lineRule="auto"/>
        <w:ind w:left="4500" w:hanging="4500"/>
        <w:jc w:val="both"/>
        <w:rPr>
          <w:rFonts w:ascii="Times New Roman" w:eastAsia="MS Mincho" w:hAnsi="Times New Roman"/>
          <w:b/>
          <w:spacing w:val="-3"/>
          <w:sz w:val="24"/>
          <w:szCs w:val="24"/>
          <w:u w:val="single"/>
        </w:rPr>
      </w:pPr>
    </w:p>
    <w:p w14:paraId="74B06855" w14:textId="5F01A534" w:rsidR="006B48D2" w:rsidRPr="004637F7" w:rsidRDefault="006B48D2" w:rsidP="004637F7">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252E2D">
        <w:rPr>
          <w:rFonts w:ascii="Times New Roman" w:hAnsi="Times New Roman"/>
          <w:color w:val="000000"/>
          <w:sz w:val="24"/>
          <w:szCs w:val="24"/>
        </w:rPr>
        <w:t xml:space="preserve">A Local Law to amend the administrative code of the city of New York, </w:t>
      </w:r>
      <w:r w:rsidR="00B67196" w:rsidRPr="00B67196">
        <w:rPr>
          <w:rFonts w:ascii="Times New Roman" w:hAnsi="Times New Roman"/>
          <w:color w:val="000000"/>
          <w:sz w:val="24"/>
          <w:szCs w:val="24"/>
        </w:rPr>
        <w:t>in relation to issuing licenses to mobile food and general vendors</w:t>
      </w:r>
    </w:p>
    <w:p w14:paraId="4CA30273" w14:textId="77777777" w:rsidR="00800F1A" w:rsidRDefault="00800F1A" w:rsidP="00B05D12">
      <w:pPr>
        <w:spacing w:after="0" w:line="240" w:lineRule="auto"/>
        <w:ind w:left="4500" w:hanging="4500"/>
        <w:jc w:val="both"/>
        <w:rPr>
          <w:rFonts w:ascii="Times New Roman" w:eastAsia="MS Mincho" w:hAnsi="Times New Roman"/>
          <w:b/>
          <w:spacing w:val="-3"/>
          <w:sz w:val="24"/>
          <w:szCs w:val="24"/>
          <w:u w:val="single"/>
        </w:rPr>
      </w:pPr>
    </w:p>
    <w:p w14:paraId="19CAC52E" w14:textId="645C868F" w:rsidR="00B05D12" w:rsidRDefault="00B05D12" w:rsidP="00B05D1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1332-A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B05D12">
        <w:rPr>
          <w:rFonts w:ascii="Times New Roman" w:hAnsi="Times New Roman"/>
          <w:sz w:val="24"/>
          <w:szCs w:val="24"/>
        </w:rPr>
        <w:t xml:space="preserve">By Council Members Brannan, Nurse, Abreu, </w:t>
      </w:r>
      <w:proofErr w:type="spellStart"/>
      <w:r w:rsidRPr="00B05D12">
        <w:rPr>
          <w:rFonts w:ascii="Times New Roman" w:hAnsi="Times New Roman"/>
          <w:sz w:val="24"/>
          <w:szCs w:val="24"/>
        </w:rPr>
        <w:t>Restler</w:t>
      </w:r>
      <w:proofErr w:type="spellEnd"/>
      <w:r w:rsidRPr="00B05D12">
        <w:rPr>
          <w:rFonts w:ascii="Times New Roman" w:hAnsi="Times New Roman"/>
          <w:sz w:val="24"/>
          <w:szCs w:val="24"/>
        </w:rPr>
        <w:t xml:space="preserve">, Cabán, Banks, Marte, Brewer, Hanif, Krishnan, Gutiérrez, Joseph, Feliz, Ayala, Hudson, </w:t>
      </w:r>
      <w:proofErr w:type="spellStart"/>
      <w:r w:rsidRPr="00B05D12">
        <w:rPr>
          <w:rFonts w:ascii="Times New Roman" w:hAnsi="Times New Roman"/>
          <w:sz w:val="24"/>
          <w:szCs w:val="24"/>
        </w:rPr>
        <w:t>Ossé</w:t>
      </w:r>
      <w:proofErr w:type="spellEnd"/>
      <w:r w:rsidRPr="00B05D12">
        <w:rPr>
          <w:rFonts w:ascii="Times New Roman" w:hAnsi="Times New Roman"/>
          <w:sz w:val="24"/>
          <w:szCs w:val="24"/>
        </w:rPr>
        <w:t>, Avilés, Sanchez, Salaam, De La Rosa, Farías, Williams, Stevens, Brooks-Powers, Powers, Lee, Louis and the Public Advocate (Mr. Williams)</w:t>
      </w:r>
    </w:p>
    <w:p w14:paraId="53127F6C" w14:textId="77777777" w:rsidR="00B05D12" w:rsidRPr="005B3D13"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12FB2CF0" w14:textId="77777777" w:rsidR="00B05D12" w:rsidRPr="00F4180A" w:rsidRDefault="00B05D12" w:rsidP="00B05D12">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252E2D">
        <w:rPr>
          <w:rFonts w:ascii="Times New Roman" w:hAnsi="Times New Roman"/>
          <w:color w:val="000000"/>
          <w:sz w:val="24"/>
          <w:szCs w:val="24"/>
        </w:rPr>
        <w:t>A Local Law to amend the administrative code of the city of New York, in relation to the wrongful deactivation of app-based delivery workers</w:t>
      </w:r>
    </w:p>
    <w:p w14:paraId="27F16C31" w14:textId="77777777" w:rsidR="00B05D12" w:rsidRDefault="00B05D12"/>
    <w:p w14:paraId="76A2870A" w14:textId="1B524362" w:rsidR="00B05D12" w:rsidRPr="00B05D12" w:rsidRDefault="00B05D12" w:rsidP="00B05D1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 xml:space="preserve">PROPOSED </w:t>
      </w: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1391-A</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B05D12">
        <w:rPr>
          <w:rFonts w:ascii="Times New Roman" w:hAnsi="Times New Roman"/>
          <w:sz w:val="24"/>
          <w:szCs w:val="24"/>
        </w:rPr>
        <w:t xml:space="preserve">By The Speaker (Council Member Adams) and Council Members Hudson, Brannan, Narcisse, Cabán, Menin, Hanks, Won, </w:t>
      </w:r>
      <w:proofErr w:type="spellStart"/>
      <w:r w:rsidRPr="00B05D12">
        <w:rPr>
          <w:rFonts w:ascii="Times New Roman" w:hAnsi="Times New Roman"/>
          <w:sz w:val="24"/>
          <w:szCs w:val="24"/>
        </w:rPr>
        <w:t>Restler</w:t>
      </w:r>
      <w:proofErr w:type="spellEnd"/>
      <w:r w:rsidRPr="00B05D12">
        <w:rPr>
          <w:rFonts w:ascii="Times New Roman" w:hAnsi="Times New Roman"/>
          <w:sz w:val="24"/>
          <w:szCs w:val="24"/>
        </w:rPr>
        <w:t xml:space="preserve">, De La Rosa, Ung, Moya, Schulman, </w:t>
      </w:r>
      <w:proofErr w:type="spellStart"/>
      <w:r w:rsidRPr="00B05D12">
        <w:rPr>
          <w:rFonts w:ascii="Times New Roman" w:hAnsi="Times New Roman"/>
          <w:sz w:val="24"/>
          <w:szCs w:val="24"/>
        </w:rPr>
        <w:t>Farías</w:t>
      </w:r>
      <w:proofErr w:type="spellEnd"/>
      <w:r w:rsidRPr="00B05D12">
        <w:rPr>
          <w:rFonts w:ascii="Times New Roman" w:hAnsi="Times New Roman"/>
          <w:sz w:val="24"/>
          <w:szCs w:val="24"/>
        </w:rPr>
        <w:t xml:space="preserve">, Gennaro, Ayala, Gutiérrez, Hanif, Brewer, Bottcher, Krishnan, Marte, Brooks-Powers, Dinowitz, Salaam, Banks, Abreu, Lee, Powers, </w:t>
      </w:r>
      <w:proofErr w:type="spellStart"/>
      <w:r w:rsidRPr="00B05D12">
        <w:rPr>
          <w:rFonts w:ascii="Times New Roman" w:hAnsi="Times New Roman"/>
          <w:sz w:val="24"/>
          <w:szCs w:val="24"/>
        </w:rPr>
        <w:t>Ossé</w:t>
      </w:r>
      <w:proofErr w:type="spellEnd"/>
      <w:r w:rsidRPr="00B05D12">
        <w:rPr>
          <w:rFonts w:ascii="Times New Roman" w:hAnsi="Times New Roman"/>
          <w:sz w:val="24"/>
          <w:szCs w:val="24"/>
        </w:rPr>
        <w:t>, Avilés, Stevens, Louis, Zhuang, Feliz, Riley, Salamanca, Nurse, Joseph, Williams, Mealy, Sanchez and the Public Advocate (Mr. Williams)</w:t>
      </w:r>
    </w:p>
    <w:p w14:paraId="5423836B" w14:textId="77777777" w:rsidR="00B05D12" w:rsidRPr="00B05D12"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71757237" w14:textId="0B5EFB4A" w:rsidR="00B05D12" w:rsidRDefault="00B05D12" w:rsidP="00B05D12">
      <w:pPr>
        <w:spacing w:after="0" w:line="240" w:lineRule="auto"/>
        <w:ind w:left="4500" w:hanging="4500"/>
        <w:jc w:val="both"/>
        <w:rPr>
          <w:rFonts w:ascii="Times New Roman" w:hAnsi="Times New Roman"/>
          <w:color w:val="000000"/>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B05D12">
        <w:rPr>
          <w:rFonts w:ascii="Times New Roman" w:hAnsi="Times New Roman"/>
          <w:color w:val="000000"/>
          <w:sz w:val="24"/>
          <w:szCs w:val="24"/>
        </w:rPr>
        <w:t>A Local Law to amend the administrative code of the city of New York, in relation to the establishment of compensation standards for security guards</w:t>
      </w:r>
    </w:p>
    <w:p w14:paraId="4A69A971" w14:textId="77777777" w:rsidR="00B05D12" w:rsidRDefault="00B05D12" w:rsidP="00B05D12">
      <w:pPr>
        <w:spacing w:after="0" w:line="240" w:lineRule="auto"/>
        <w:ind w:left="4500" w:hanging="4500"/>
        <w:jc w:val="both"/>
        <w:rPr>
          <w:rFonts w:ascii="Times New Roman" w:eastAsia="MS Mincho" w:hAnsi="Times New Roman"/>
          <w:spacing w:val="-3"/>
          <w:sz w:val="24"/>
          <w:szCs w:val="24"/>
        </w:rPr>
      </w:pPr>
    </w:p>
    <w:p w14:paraId="63952F7C" w14:textId="35DD97C9" w:rsidR="00B05D12" w:rsidRPr="00B05D12" w:rsidRDefault="00B05D12" w:rsidP="00B05D12">
      <w:pPr>
        <w:spacing w:after="0" w:line="240" w:lineRule="auto"/>
        <w:ind w:left="4500" w:hanging="4500"/>
        <w:jc w:val="both"/>
        <w:rPr>
          <w:rFonts w:ascii="Times New Roman" w:hAnsi="Times New Roman"/>
          <w:sz w:val="24"/>
          <w:szCs w:val="24"/>
        </w:rPr>
      </w:pPr>
      <w:r>
        <w:rPr>
          <w:rFonts w:ascii="Times New Roman" w:eastAsia="MS Mincho" w:hAnsi="Times New Roman"/>
          <w:b/>
          <w:spacing w:val="-3"/>
          <w:sz w:val="24"/>
          <w:szCs w:val="24"/>
          <w:u w:val="single"/>
        </w:rPr>
        <w:t>RESOLUTION NO. 499</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B05D12">
        <w:rPr>
          <w:rFonts w:ascii="Times New Roman" w:hAnsi="Times New Roman"/>
          <w:sz w:val="24"/>
          <w:szCs w:val="24"/>
        </w:rPr>
        <w:t xml:space="preserve">By Council Members Joseph, Farías, Avilés, Cabán, Salaam, Banks, Sanchez, Brannan, Brewer, Stevens, Louis, Rivera, </w:t>
      </w:r>
      <w:proofErr w:type="spellStart"/>
      <w:r w:rsidRPr="00B05D12">
        <w:rPr>
          <w:rFonts w:ascii="Times New Roman" w:hAnsi="Times New Roman"/>
          <w:sz w:val="24"/>
          <w:szCs w:val="24"/>
        </w:rPr>
        <w:t>Ossé</w:t>
      </w:r>
      <w:proofErr w:type="spellEnd"/>
      <w:r w:rsidRPr="00B05D12">
        <w:rPr>
          <w:rFonts w:ascii="Times New Roman" w:hAnsi="Times New Roman"/>
          <w:sz w:val="24"/>
          <w:szCs w:val="24"/>
        </w:rPr>
        <w:t>, Ayala, Schulman, Brooks-Powers, Feliz, Gutiérrez and Narcisse</w:t>
      </w:r>
    </w:p>
    <w:p w14:paraId="6D4B9E48" w14:textId="77777777" w:rsidR="00B05D12" w:rsidRPr="00B05D12" w:rsidRDefault="00B05D12" w:rsidP="00B05D12">
      <w:pPr>
        <w:spacing w:after="0" w:line="240" w:lineRule="auto"/>
        <w:ind w:left="4500" w:hanging="4500"/>
        <w:jc w:val="both"/>
        <w:rPr>
          <w:rFonts w:ascii="Times New Roman" w:eastAsia="MS Mincho" w:hAnsi="Times New Roman"/>
          <w:b/>
          <w:spacing w:val="-3"/>
          <w:sz w:val="24"/>
          <w:szCs w:val="24"/>
          <w:u w:val="single"/>
        </w:rPr>
      </w:pPr>
    </w:p>
    <w:p w14:paraId="09042220" w14:textId="6F4A4934" w:rsidR="00B05D12" w:rsidRDefault="00B05D12" w:rsidP="00B05D12">
      <w:pPr>
        <w:spacing w:after="0" w:line="240" w:lineRule="auto"/>
        <w:ind w:left="4500" w:hanging="4500"/>
        <w:jc w:val="both"/>
        <w:rPr>
          <w:rFonts w:ascii="Times New Roman" w:hAnsi="Times New Roman"/>
          <w:color w:val="000000"/>
          <w:sz w:val="24"/>
          <w:szCs w:val="24"/>
        </w:rPr>
      </w:pPr>
      <w:r w:rsidRPr="005B3D13">
        <w:rPr>
          <w:rFonts w:ascii="Times New Roman" w:eastAsia="MS Mincho" w:hAnsi="Times New Roman"/>
          <w:b/>
          <w:spacing w:val="-3"/>
          <w:sz w:val="24"/>
          <w:szCs w:val="24"/>
          <w:u w:val="single"/>
        </w:rPr>
        <w:lastRenderedPageBreak/>
        <w:t>TITLE:</w:t>
      </w:r>
      <w:r w:rsidRPr="005B3D13">
        <w:rPr>
          <w:rFonts w:ascii="Times New Roman" w:eastAsia="MS Mincho" w:hAnsi="Times New Roman"/>
          <w:b/>
          <w:spacing w:val="-3"/>
          <w:sz w:val="24"/>
          <w:szCs w:val="24"/>
        </w:rPr>
        <w:tab/>
      </w:r>
      <w:r w:rsidRPr="00B05D12">
        <w:rPr>
          <w:rFonts w:ascii="Times New Roman" w:hAnsi="Times New Roman"/>
          <w:color w:val="000000"/>
          <w:sz w:val="24"/>
          <w:szCs w:val="24"/>
        </w:rPr>
        <w:t>Resolution calling on the United States Congress to pass, and the President to sign, the Protecting Consumers from Deceptive AI Act.</w:t>
      </w:r>
    </w:p>
    <w:p w14:paraId="457FE39B" w14:textId="77777777" w:rsidR="00C637B1" w:rsidRPr="00351681" w:rsidRDefault="00C637B1" w:rsidP="00F6758B">
      <w:pPr>
        <w:spacing w:after="0" w:line="480" w:lineRule="auto"/>
        <w:jc w:val="both"/>
        <w:rPr>
          <w:rFonts w:ascii="Times New Roman" w:eastAsia="MS Mincho" w:hAnsi="Times New Roman"/>
          <w:spacing w:val="-3"/>
          <w:sz w:val="24"/>
          <w:szCs w:val="24"/>
        </w:rPr>
      </w:pPr>
    </w:p>
    <w:p w14:paraId="074C24CC" w14:textId="20DD7373" w:rsidR="00EE6693" w:rsidRPr="00351681" w:rsidRDefault="00EE6693" w:rsidP="0028119D">
      <w:pPr>
        <w:pStyle w:val="ListParagraph"/>
        <w:numPr>
          <w:ilvl w:val="0"/>
          <w:numId w:val="1"/>
        </w:numPr>
        <w:spacing w:after="0" w:line="480" w:lineRule="auto"/>
        <w:jc w:val="both"/>
        <w:rPr>
          <w:rFonts w:ascii="Times New Roman" w:eastAsia="MS Mincho" w:hAnsi="Times New Roman" w:cs="Times New Roman"/>
          <w:b/>
          <w:bCs/>
          <w:spacing w:val="-3"/>
        </w:rPr>
      </w:pPr>
      <w:r w:rsidRPr="00351681">
        <w:rPr>
          <w:rFonts w:ascii="Times New Roman" w:eastAsia="MS Mincho" w:hAnsi="Times New Roman" w:cs="Times New Roman"/>
          <w:b/>
          <w:bCs/>
          <w:spacing w:val="-3"/>
        </w:rPr>
        <w:t>INTRODUCTION</w:t>
      </w:r>
    </w:p>
    <w:p w14:paraId="7B75CB07" w14:textId="5CCECEB2" w:rsidR="00C637B1" w:rsidRPr="00351681" w:rsidRDefault="00EE6693" w:rsidP="00112145">
      <w:pPr>
        <w:spacing w:after="0" w:line="480" w:lineRule="auto"/>
        <w:ind w:firstLine="720"/>
        <w:jc w:val="both"/>
        <w:rPr>
          <w:rFonts w:ascii="Times New Roman" w:hAnsi="Times New Roman"/>
          <w:color w:val="000000"/>
          <w:sz w:val="24"/>
          <w:szCs w:val="24"/>
        </w:rPr>
      </w:pPr>
      <w:r w:rsidRPr="00351681">
        <w:rPr>
          <w:rFonts w:ascii="Times New Roman" w:eastAsia="MS Mincho" w:hAnsi="Times New Roman"/>
          <w:spacing w:val="-3"/>
          <w:sz w:val="24"/>
          <w:szCs w:val="24"/>
        </w:rPr>
        <w:t xml:space="preserve">On December 18, 2025, the Committee on Consumer and Worker Protection, chaired by Council Member Julie Menin, will hold a vote on </w:t>
      </w:r>
      <w:r w:rsidR="004637F7">
        <w:rPr>
          <w:rFonts w:ascii="Times New Roman" w:eastAsia="MS Mincho" w:hAnsi="Times New Roman"/>
          <w:spacing w:val="-3"/>
          <w:sz w:val="24"/>
          <w:szCs w:val="24"/>
        </w:rPr>
        <w:t xml:space="preserve">Proposed Introduction Number </w:t>
      </w:r>
      <w:r w:rsidR="00405277">
        <w:rPr>
          <w:rFonts w:ascii="Times New Roman" w:eastAsia="MS Mincho" w:hAnsi="Times New Roman"/>
          <w:spacing w:val="-3"/>
          <w:sz w:val="24"/>
          <w:szCs w:val="24"/>
        </w:rPr>
        <w:t xml:space="preserve">408-A, </w:t>
      </w:r>
      <w:r w:rsidR="00405277" w:rsidRPr="00405277">
        <w:rPr>
          <w:rFonts w:ascii="Times New Roman" w:eastAsia="MS Mincho" w:hAnsi="Times New Roman"/>
          <w:spacing w:val="-3"/>
          <w:sz w:val="24"/>
          <w:szCs w:val="24"/>
        </w:rPr>
        <w:t>in relation to creating a division within the department of small business services to assist street vendors and reporting regarding such assistance efforts</w:t>
      </w:r>
      <w:r w:rsidR="00405277">
        <w:rPr>
          <w:rFonts w:ascii="Times New Roman" w:eastAsia="MS Mincho" w:hAnsi="Times New Roman"/>
          <w:spacing w:val="-3"/>
          <w:sz w:val="24"/>
          <w:szCs w:val="24"/>
        </w:rPr>
        <w:t>; Proposed Introduction Number 431-</w:t>
      </w:r>
      <w:r w:rsidR="00AF1D52">
        <w:rPr>
          <w:rFonts w:ascii="Times New Roman" w:eastAsia="MS Mincho" w:hAnsi="Times New Roman"/>
          <w:spacing w:val="-3"/>
          <w:sz w:val="24"/>
          <w:szCs w:val="24"/>
        </w:rPr>
        <w:t>B</w:t>
      </w:r>
      <w:r w:rsidR="00405277">
        <w:rPr>
          <w:rFonts w:ascii="Times New Roman" w:eastAsia="MS Mincho" w:hAnsi="Times New Roman"/>
          <w:spacing w:val="-3"/>
          <w:sz w:val="24"/>
          <w:szCs w:val="24"/>
        </w:rPr>
        <w:t xml:space="preserve">, </w:t>
      </w:r>
      <w:r w:rsidR="00B67196" w:rsidRPr="00B67196">
        <w:rPr>
          <w:rFonts w:ascii="Times New Roman" w:eastAsia="MS Mincho" w:hAnsi="Times New Roman"/>
          <w:spacing w:val="-3"/>
          <w:sz w:val="24"/>
          <w:szCs w:val="24"/>
        </w:rPr>
        <w:t>in relation to expanding business licensing and regulatory compliance of all mobile food and general vendors</w:t>
      </w:r>
      <w:r w:rsidR="00B67196">
        <w:rPr>
          <w:rFonts w:ascii="Times New Roman" w:eastAsia="MS Mincho" w:hAnsi="Times New Roman"/>
          <w:spacing w:val="-3"/>
          <w:sz w:val="24"/>
          <w:szCs w:val="24"/>
        </w:rPr>
        <w:t xml:space="preserve">; Proposed Introduction Number 1251-A, </w:t>
      </w:r>
      <w:r w:rsidR="002B5137" w:rsidRPr="002B5137">
        <w:rPr>
          <w:rFonts w:ascii="Times New Roman" w:eastAsia="MS Mincho" w:hAnsi="Times New Roman"/>
          <w:spacing w:val="-3"/>
          <w:sz w:val="24"/>
          <w:szCs w:val="24"/>
        </w:rPr>
        <w:t>in relation to issuing licenses to mobile food and general vendors</w:t>
      </w:r>
      <w:r w:rsidR="002B5137">
        <w:rPr>
          <w:rFonts w:ascii="Times New Roman" w:eastAsia="MS Mincho" w:hAnsi="Times New Roman"/>
          <w:spacing w:val="-3"/>
          <w:sz w:val="24"/>
          <w:szCs w:val="24"/>
        </w:rPr>
        <w:t xml:space="preserve">; </w:t>
      </w:r>
      <w:r w:rsidRPr="00351681">
        <w:rPr>
          <w:rFonts w:ascii="Times New Roman" w:eastAsia="MS Mincho" w:hAnsi="Times New Roman"/>
          <w:spacing w:val="-3"/>
          <w:sz w:val="24"/>
          <w:szCs w:val="24"/>
        </w:rPr>
        <w:t xml:space="preserve">Proposed Introduction Number 1332-A, </w:t>
      </w:r>
      <w:r w:rsidRPr="00351681">
        <w:rPr>
          <w:rFonts w:ascii="Times New Roman" w:hAnsi="Times New Roman"/>
          <w:color w:val="000000"/>
          <w:sz w:val="24"/>
          <w:szCs w:val="24"/>
        </w:rPr>
        <w:t xml:space="preserve">in relation to the wrongful deactivation of app-based delivery workers; Proposed Introduction Number 1391-A, in relation to the establishment of compensation standards for security guards; and Resolution Number 499, calling on the United States Congress to pass, and the President to sign, the Protecting Consumers from Deceptive AI Act. </w:t>
      </w:r>
      <w:r w:rsidR="002B5137">
        <w:rPr>
          <w:rFonts w:ascii="Times New Roman" w:hAnsi="Times New Roman"/>
          <w:color w:val="000000"/>
          <w:sz w:val="24"/>
          <w:szCs w:val="24"/>
        </w:rPr>
        <w:t>The Committee heard a previous version of Proposed Introduction Number 408-A, Proposed Introduction Number 431-</w:t>
      </w:r>
      <w:r w:rsidR="00D83465">
        <w:rPr>
          <w:rFonts w:ascii="Times New Roman" w:hAnsi="Times New Roman"/>
          <w:color w:val="000000"/>
          <w:sz w:val="24"/>
          <w:szCs w:val="24"/>
        </w:rPr>
        <w:t>B</w:t>
      </w:r>
      <w:r w:rsidR="002B5137">
        <w:rPr>
          <w:rFonts w:ascii="Times New Roman" w:hAnsi="Times New Roman"/>
          <w:color w:val="000000"/>
          <w:sz w:val="24"/>
          <w:szCs w:val="24"/>
        </w:rPr>
        <w:t xml:space="preserve"> and Proposed Introduction Number 1291-A on </w:t>
      </w:r>
      <w:r w:rsidR="009B36A0">
        <w:rPr>
          <w:rFonts w:ascii="Times New Roman" w:hAnsi="Times New Roman"/>
          <w:color w:val="000000"/>
          <w:sz w:val="24"/>
          <w:szCs w:val="24"/>
        </w:rPr>
        <w:t>May 6, 2025 and received testimony from the Department of Health and Mental Hygiene (DOHMH), the Department of Consumer and Worker Protection (DCWP),</w:t>
      </w:r>
      <w:r w:rsidR="00112145">
        <w:rPr>
          <w:rFonts w:ascii="Times New Roman" w:hAnsi="Times New Roman"/>
          <w:color w:val="000000"/>
          <w:sz w:val="24"/>
          <w:szCs w:val="24"/>
        </w:rPr>
        <w:t xml:space="preserve"> the Department of Small Business Services (SBS),</w:t>
      </w:r>
      <w:r w:rsidR="009B36A0">
        <w:rPr>
          <w:rFonts w:ascii="Times New Roman" w:hAnsi="Times New Roman"/>
          <w:color w:val="000000"/>
          <w:sz w:val="24"/>
          <w:szCs w:val="24"/>
        </w:rPr>
        <w:t xml:space="preserve"> </w:t>
      </w:r>
      <w:r w:rsidR="00B77DFB">
        <w:rPr>
          <w:rFonts w:ascii="Times New Roman" w:hAnsi="Times New Roman"/>
          <w:color w:val="000000"/>
          <w:sz w:val="24"/>
          <w:szCs w:val="24"/>
        </w:rPr>
        <w:t xml:space="preserve">the Department of Sanitation (DSNY), </w:t>
      </w:r>
      <w:r w:rsidR="007B568D">
        <w:rPr>
          <w:rFonts w:ascii="Times New Roman" w:hAnsi="Times New Roman"/>
          <w:color w:val="000000"/>
          <w:sz w:val="24"/>
          <w:szCs w:val="24"/>
        </w:rPr>
        <w:t xml:space="preserve">business </w:t>
      </w:r>
      <w:r w:rsidR="00157086">
        <w:rPr>
          <w:rFonts w:ascii="Times New Roman" w:hAnsi="Times New Roman"/>
          <w:color w:val="000000"/>
          <w:sz w:val="24"/>
          <w:szCs w:val="24"/>
        </w:rPr>
        <w:t>representatives</w:t>
      </w:r>
      <w:r w:rsidR="007B568D">
        <w:rPr>
          <w:rFonts w:ascii="Times New Roman" w:hAnsi="Times New Roman"/>
          <w:color w:val="000000"/>
          <w:sz w:val="24"/>
          <w:szCs w:val="24"/>
        </w:rPr>
        <w:t xml:space="preserve">, street vendors, community boards, </w:t>
      </w:r>
      <w:r w:rsidR="00C7375C">
        <w:rPr>
          <w:rFonts w:ascii="Times New Roman" w:hAnsi="Times New Roman"/>
          <w:color w:val="000000"/>
          <w:sz w:val="24"/>
          <w:szCs w:val="24"/>
        </w:rPr>
        <w:t xml:space="preserve">and other </w:t>
      </w:r>
      <w:r w:rsidR="00157086">
        <w:rPr>
          <w:rFonts w:ascii="Times New Roman" w:hAnsi="Times New Roman"/>
          <w:color w:val="000000"/>
          <w:sz w:val="24"/>
          <w:szCs w:val="24"/>
        </w:rPr>
        <w:t>interested stakeholders.</w:t>
      </w:r>
      <w:r w:rsidR="00B77DFB">
        <w:rPr>
          <w:rFonts w:ascii="Times New Roman" w:hAnsi="Times New Roman"/>
          <w:color w:val="000000"/>
          <w:sz w:val="24"/>
          <w:szCs w:val="24"/>
        </w:rPr>
        <w:t xml:space="preserve"> </w:t>
      </w:r>
      <w:r w:rsidRPr="00351681">
        <w:rPr>
          <w:rFonts w:ascii="Times New Roman" w:hAnsi="Times New Roman"/>
          <w:color w:val="000000"/>
          <w:sz w:val="24"/>
          <w:szCs w:val="24"/>
        </w:rPr>
        <w:t xml:space="preserve">The Committee heard Resolution Number 499 and a previous version of Proposed Introduction Number 1332-A on September 12, 2025 and received testimony from </w:t>
      </w:r>
      <w:r w:rsidR="00926823">
        <w:rPr>
          <w:rFonts w:ascii="Times New Roman" w:hAnsi="Times New Roman"/>
          <w:color w:val="000000"/>
          <w:sz w:val="24"/>
          <w:szCs w:val="24"/>
        </w:rPr>
        <w:t>DCWP</w:t>
      </w:r>
      <w:r w:rsidRPr="00351681">
        <w:rPr>
          <w:rFonts w:ascii="Times New Roman" w:hAnsi="Times New Roman"/>
          <w:color w:val="000000"/>
          <w:sz w:val="24"/>
          <w:szCs w:val="24"/>
        </w:rPr>
        <w:t xml:space="preserve">, third-party delivery services, workers’ advocates, and other stakeholders. The Committee heard a previous version of Proposed Introduction Number 1391-A </w:t>
      </w:r>
      <w:r w:rsidRPr="00351681">
        <w:rPr>
          <w:rFonts w:ascii="Times New Roman" w:hAnsi="Times New Roman"/>
          <w:color w:val="000000"/>
          <w:sz w:val="24"/>
          <w:szCs w:val="24"/>
        </w:rPr>
        <w:lastRenderedPageBreak/>
        <w:t xml:space="preserve">on October 30, 2025 and received testimony from DCWP, security companies, unions, workers’ advocates and other stakeholders. </w:t>
      </w:r>
    </w:p>
    <w:p w14:paraId="05D7FF80" w14:textId="3791819A" w:rsidR="00EE6693" w:rsidRPr="00351681" w:rsidRDefault="00EE6693" w:rsidP="0028119D">
      <w:pPr>
        <w:pStyle w:val="ListParagraph"/>
        <w:numPr>
          <w:ilvl w:val="0"/>
          <w:numId w:val="1"/>
        </w:numPr>
        <w:spacing w:after="0" w:line="480" w:lineRule="auto"/>
        <w:jc w:val="both"/>
        <w:rPr>
          <w:rFonts w:ascii="Times New Roman" w:eastAsia="MS Mincho" w:hAnsi="Times New Roman" w:cs="Times New Roman"/>
          <w:b/>
          <w:bCs/>
          <w:spacing w:val="-3"/>
        </w:rPr>
      </w:pPr>
      <w:r w:rsidRPr="00351681">
        <w:rPr>
          <w:rFonts w:ascii="Times New Roman" w:eastAsia="MS Mincho" w:hAnsi="Times New Roman" w:cs="Times New Roman"/>
          <w:b/>
          <w:bCs/>
          <w:spacing w:val="-3"/>
        </w:rPr>
        <w:t>BACKGROUND</w:t>
      </w:r>
    </w:p>
    <w:p w14:paraId="7644EAEA" w14:textId="6064DFF3" w:rsidR="001D5C0A" w:rsidRDefault="007C1AD0" w:rsidP="0028119D">
      <w:pPr>
        <w:pStyle w:val="ListParagraph"/>
        <w:numPr>
          <w:ilvl w:val="1"/>
          <w:numId w:val="1"/>
        </w:numPr>
        <w:spacing w:after="0" w:line="480" w:lineRule="auto"/>
        <w:jc w:val="both"/>
        <w:rPr>
          <w:rFonts w:ascii="Times New Roman" w:eastAsia="MS Mincho" w:hAnsi="Times New Roman" w:cs="Times New Roman"/>
          <w:b/>
          <w:bCs/>
          <w:spacing w:val="-3"/>
        </w:rPr>
      </w:pPr>
      <w:r>
        <w:rPr>
          <w:rFonts w:ascii="Times New Roman" w:eastAsia="MS Mincho" w:hAnsi="Times New Roman" w:cs="Times New Roman"/>
          <w:b/>
          <w:bCs/>
          <w:spacing w:val="-3"/>
        </w:rPr>
        <w:t xml:space="preserve">Street Vending </w:t>
      </w:r>
      <w:r w:rsidR="00C15DB1">
        <w:rPr>
          <w:rFonts w:ascii="Times New Roman" w:eastAsia="MS Mincho" w:hAnsi="Times New Roman" w:cs="Times New Roman"/>
          <w:b/>
          <w:bCs/>
          <w:spacing w:val="-3"/>
        </w:rPr>
        <w:t>in New York City</w:t>
      </w:r>
    </w:p>
    <w:p w14:paraId="059B63B4" w14:textId="77777777" w:rsidR="000F4B93" w:rsidRDefault="000F4B93" w:rsidP="000F4B93">
      <w:pPr>
        <w:pStyle w:val="EndnoteText"/>
        <w:spacing w:line="480" w:lineRule="auto"/>
        <w:ind w:firstLine="720"/>
        <w:jc w:val="both"/>
        <w:rPr>
          <w:rFonts w:ascii="Times New Roman" w:hAnsi="Times New Roman"/>
          <w:szCs w:val="24"/>
        </w:rPr>
      </w:pPr>
      <w:r w:rsidRPr="004F43E9">
        <w:rPr>
          <w:rFonts w:ascii="Times New Roman" w:hAnsi="Times New Roman"/>
          <w:szCs w:val="24"/>
        </w:rPr>
        <w:t>New York City’s street vendors contribute to the vibrancy of the City’s streets and to the City’s food and retail landscape. They often offer cheaper food and merchandise alternatives to those sold in traditional stores or sell fresh fruit and vegetables in underserved areas that are considered food deserts. Street vending in this City has existed for centuries and has consistently been an avenue for newly arrived immigrants and those with minimal work opportunities to make a living, from peddlers selling oysters and clams in the early 1800s to vendors today selling hot dogs and halal food.</w:t>
      </w:r>
      <w:r w:rsidRPr="004F43E9">
        <w:rPr>
          <w:rFonts w:ascii="Times New Roman" w:hAnsi="Times New Roman"/>
          <w:szCs w:val="24"/>
          <w:vertAlign w:val="superscript"/>
        </w:rPr>
        <w:footnoteReference w:id="1"/>
      </w:r>
      <w:r w:rsidRPr="004F43E9">
        <w:rPr>
          <w:rFonts w:ascii="Times New Roman" w:hAnsi="Times New Roman"/>
          <w:szCs w:val="24"/>
        </w:rPr>
        <w:t xml:space="preserve"> However, over their centuries of operation in New York City, street vendors have consistently struggled to be seen as equal counterparts to other small business merchants. This quote from the 1906 Mayoral Push-Cart Commission aptly captures the situation today as it did back then: “While adding materially to the picturesqueness of the city’s streets and imparting that air of foreign life which is so interesting to the traveler, lending an element of gaiety and charm to the scene which is otherwise lacking, the practical disadvantages from the undue congestion of peddlers in certain localities are so great as to lead to a demand in many quarters for the entire abolition of this industry, if it may be dignified by that term</w:t>
      </w:r>
      <w:r w:rsidRPr="004F43E9">
        <w:rPr>
          <w:rFonts w:ascii="Times New Roman" w:hAnsi="Times New Roman"/>
          <w:i/>
          <w:szCs w:val="24"/>
        </w:rPr>
        <w:t>.</w:t>
      </w:r>
      <w:r w:rsidRPr="004F43E9">
        <w:rPr>
          <w:rFonts w:ascii="Times New Roman" w:hAnsi="Times New Roman"/>
          <w:szCs w:val="24"/>
        </w:rPr>
        <w:t>”</w:t>
      </w:r>
      <w:r w:rsidRPr="004F43E9">
        <w:rPr>
          <w:rFonts w:ascii="Times New Roman" w:hAnsi="Times New Roman"/>
          <w:szCs w:val="24"/>
          <w:vertAlign w:val="superscript"/>
        </w:rPr>
        <w:footnoteReference w:id="2"/>
      </w:r>
      <w:r w:rsidRPr="004F43E9">
        <w:rPr>
          <w:rFonts w:ascii="Times New Roman" w:hAnsi="Times New Roman"/>
          <w:szCs w:val="24"/>
        </w:rPr>
        <w:t xml:space="preserve"> The City’s vending regulations aim to balance the competing needs of vendors, customers, residents</w:t>
      </w:r>
      <w:r>
        <w:rPr>
          <w:rFonts w:ascii="Times New Roman" w:hAnsi="Times New Roman"/>
          <w:szCs w:val="24"/>
        </w:rPr>
        <w:t>,</w:t>
      </w:r>
      <w:r w:rsidRPr="004F43E9">
        <w:rPr>
          <w:rFonts w:ascii="Times New Roman" w:hAnsi="Times New Roman"/>
          <w:szCs w:val="24"/>
        </w:rPr>
        <w:t xml:space="preserve"> and brick and </w:t>
      </w:r>
      <w:r w:rsidRPr="004F43E9">
        <w:rPr>
          <w:rFonts w:ascii="Times New Roman" w:hAnsi="Times New Roman"/>
          <w:szCs w:val="24"/>
        </w:rPr>
        <w:lastRenderedPageBreak/>
        <w:t xml:space="preserve">mortar establishments. </w:t>
      </w:r>
    </w:p>
    <w:p w14:paraId="4169F853" w14:textId="709BEDAB" w:rsidR="000F4B93" w:rsidRPr="000F4B93" w:rsidRDefault="000F4B93" w:rsidP="000F4B93">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Street vending in New York City is governed by a complex set of State and City laws and rules administered by different agencies depending on the items for sale, where the sales take place, and who is doing the selling. Agencies responsible for vending regulations and enforcement include DCWP, DOHMH, DSNY, the New York Police Department (NYPD), and the Department of Parks and Recreation. In addition, the Office of Administrative Trials and Hearings (OATH) </w:t>
      </w:r>
      <w:proofErr w:type="gramStart"/>
      <w:r w:rsidRPr="004F43E9">
        <w:rPr>
          <w:rFonts w:ascii="Times New Roman" w:hAnsi="Times New Roman"/>
          <w:szCs w:val="24"/>
        </w:rPr>
        <w:t>adjudicates</w:t>
      </w:r>
      <w:proofErr w:type="gramEnd"/>
      <w:r w:rsidRPr="004F43E9">
        <w:rPr>
          <w:rFonts w:ascii="Times New Roman" w:hAnsi="Times New Roman"/>
          <w:szCs w:val="24"/>
        </w:rPr>
        <w:t xml:space="preserve"> civil penalties vendors receive for violations of the Health Code or Administrative Code. This patchwork of laws and rules often causes confusion for both vendors and enforcement agencies.</w:t>
      </w:r>
    </w:p>
    <w:p w14:paraId="6ABED2DB" w14:textId="3450CCEB" w:rsidR="00133CE7" w:rsidRPr="004F43E9" w:rsidRDefault="00133CE7" w:rsidP="00133CE7">
      <w:pPr>
        <w:pStyle w:val="EndnoteText"/>
        <w:numPr>
          <w:ilvl w:val="1"/>
          <w:numId w:val="1"/>
        </w:numPr>
        <w:spacing w:line="480" w:lineRule="auto"/>
        <w:jc w:val="both"/>
        <w:rPr>
          <w:rFonts w:ascii="Times New Roman" w:hAnsi="Times New Roman"/>
          <w:b/>
          <w:szCs w:val="24"/>
        </w:rPr>
      </w:pPr>
      <w:r w:rsidRPr="004F43E9">
        <w:rPr>
          <w:rFonts w:ascii="Times New Roman" w:hAnsi="Times New Roman"/>
          <w:b/>
          <w:szCs w:val="24"/>
        </w:rPr>
        <w:t xml:space="preserve">Street Vending </w:t>
      </w:r>
      <w:r>
        <w:rPr>
          <w:rFonts w:ascii="Times New Roman" w:hAnsi="Times New Roman"/>
          <w:b/>
          <w:szCs w:val="24"/>
        </w:rPr>
        <w:t>Licenses and Permits</w:t>
      </w:r>
      <w:r w:rsidRPr="004F43E9">
        <w:rPr>
          <w:rFonts w:ascii="Times New Roman" w:hAnsi="Times New Roman"/>
          <w:b/>
          <w:szCs w:val="24"/>
        </w:rPr>
        <w:t xml:space="preserve"> </w:t>
      </w:r>
    </w:p>
    <w:p w14:paraId="35AC11DF"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Broadly speaking, street vending falls into the following three categories: first amendment vending; general merchandise vending; and mobile food vending (MFV). Each type of street vending is governed by specific laws and guidelines, and in some cases, the number of licenses or permits available are capped, as illustrated in the table below.</w:t>
      </w:r>
    </w:p>
    <w:p w14:paraId="25366A96" w14:textId="77777777" w:rsidR="00133CE7" w:rsidRPr="004F43E9" w:rsidRDefault="00133CE7" w:rsidP="00133CE7">
      <w:pPr>
        <w:pStyle w:val="EndnoteText"/>
        <w:spacing w:after="60"/>
        <w:ind w:left="360"/>
        <w:jc w:val="center"/>
        <w:rPr>
          <w:rFonts w:ascii="Times New Roman" w:hAnsi="Times New Roman"/>
          <w:b/>
          <w:szCs w:val="24"/>
        </w:rPr>
      </w:pPr>
      <w:r w:rsidRPr="004F43E9">
        <w:rPr>
          <w:rFonts w:ascii="Times New Roman" w:hAnsi="Times New Roman"/>
          <w:b/>
          <w:szCs w:val="24"/>
        </w:rPr>
        <w:t>Types of street vending in New York City</w:t>
      </w:r>
      <w:r w:rsidRPr="004F43E9">
        <w:rPr>
          <w:rStyle w:val="FootnoteReference"/>
          <w:rFonts w:ascii="Times New Roman" w:eastAsiaTheme="majorEastAsia" w:hAnsi="Times New Roman"/>
          <w:b/>
          <w:szCs w:val="24"/>
        </w:rPr>
        <w:footnoteReference w:id="3"/>
      </w:r>
    </w:p>
    <w:tbl>
      <w:tblPr>
        <w:tblStyle w:val="TableGrid"/>
        <w:tblW w:w="9450" w:type="dxa"/>
        <w:tblInd w:w="-5" w:type="dxa"/>
        <w:tblLook w:val="04A0" w:firstRow="1" w:lastRow="0" w:firstColumn="1" w:lastColumn="0" w:noHBand="0" w:noVBand="1"/>
      </w:tblPr>
      <w:tblGrid>
        <w:gridCol w:w="1949"/>
        <w:gridCol w:w="2500"/>
        <w:gridCol w:w="2500"/>
        <w:gridCol w:w="2501"/>
      </w:tblGrid>
      <w:tr w:rsidR="00133CE7" w:rsidRPr="004F43E9" w14:paraId="19CC19E7" w14:textId="77777777">
        <w:trPr>
          <w:trHeight w:val="725"/>
        </w:trPr>
        <w:tc>
          <w:tcPr>
            <w:tcW w:w="1949" w:type="dxa"/>
            <w:hideMark/>
          </w:tcPr>
          <w:p w14:paraId="33A3B66A" w14:textId="77777777" w:rsidR="00133CE7" w:rsidRPr="004F43E9" w:rsidRDefault="00133CE7">
            <w:pPr>
              <w:pStyle w:val="EndnoteText"/>
              <w:jc w:val="both"/>
              <w:rPr>
                <w:rFonts w:ascii="Times New Roman" w:hAnsi="Times New Roman"/>
                <w:szCs w:val="24"/>
              </w:rPr>
            </w:pPr>
          </w:p>
        </w:tc>
        <w:tc>
          <w:tcPr>
            <w:tcW w:w="2500" w:type="dxa"/>
            <w:hideMark/>
          </w:tcPr>
          <w:p w14:paraId="2A99C3A5"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General Vending</w:t>
            </w:r>
          </w:p>
        </w:tc>
        <w:tc>
          <w:tcPr>
            <w:tcW w:w="2500" w:type="dxa"/>
            <w:hideMark/>
          </w:tcPr>
          <w:p w14:paraId="67F36130"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Mobile Food Vending</w:t>
            </w:r>
          </w:p>
        </w:tc>
        <w:tc>
          <w:tcPr>
            <w:tcW w:w="2501" w:type="dxa"/>
            <w:hideMark/>
          </w:tcPr>
          <w:p w14:paraId="7EE45CE1"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First Amendment Vending</w:t>
            </w:r>
          </w:p>
        </w:tc>
      </w:tr>
      <w:tr w:rsidR="00133CE7" w:rsidRPr="004F43E9" w14:paraId="69A6092C" w14:textId="77777777">
        <w:trPr>
          <w:trHeight w:val="1258"/>
        </w:trPr>
        <w:tc>
          <w:tcPr>
            <w:tcW w:w="1949" w:type="dxa"/>
            <w:hideMark/>
          </w:tcPr>
          <w:p w14:paraId="460A77A1"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Items Sold</w:t>
            </w:r>
          </w:p>
        </w:tc>
        <w:tc>
          <w:tcPr>
            <w:tcW w:w="2500" w:type="dxa"/>
            <w:hideMark/>
          </w:tcPr>
          <w:p w14:paraId="1A9C249F"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Sell non-food goods or services </w:t>
            </w:r>
          </w:p>
        </w:tc>
        <w:tc>
          <w:tcPr>
            <w:tcW w:w="2500" w:type="dxa"/>
            <w:hideMark/>
          </w:tcPr>
          <w:p w14:paraId="7335A606"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Sell food and beverage items </w:t>
            </w:r>
          </w:p>
        </w:tc>
        <w:tc>
          <w:tcPr>
            <w:tcW w:w="2501" w:type="dxa"/>
            <w:hideMark/>
          </w:tcPr>
          <w:p w14:paraId="6C2F3235"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 xml:space="preserve">Exclusively sell newspapers, periodicals, books, pamphlets, art </w:t>
            </w:r>
          </w:p>
        </w:tc>
      </w:tr>
      <w:tr w:rsidR="00133CE7" w:rsidRPr="004F43E9" w14:paraId="0BFC5E86" w14:textId="77777777">
        <w:trPr>
          <w:trHeight w:val="1258"/>
        </w:trPr>
        <w:tc>
          <w:tcPr>
            <w:tcW w:w="1949" w:type="dxa"/>
          </w:tcPr>
          <w:p w14:paraId="21BAC8CF" w14:textId="77777777" w:rsidR="00133CE7" w:rsidRPr="004F43E9" w:rsidRDefault="00133CE7">
            <w:pPr>
              <w:pStyle w:val="EndnoteText"/>
              <w:jc w:val="both"/>
              <w:rPr>
                <w:rFonts w:ascii="Times New Roman" w:hAnsi="Times New Roman"/>
                <w:b/>
                <w:bCs/>
                <w:szCs w:val="24"/>
              </w:rPr>
            </w:pPr>
            <w:r w:rsidRPr="004F43E9">
              <w:rPr>
                <w:rFonts w:ascii="Times New Roman" w:hAnsi="Times New Roman"/>
                <w:b/>
                <w:bCs/>
                <w:szCs w:val="24"/>
              </w:rPr>
              <w:t>Licensing Agency</w:t>
            </w:r>
          </w:p>
        </w:tc>
        <w:tc>
          <w:tcPr>
            <w:tcW w:w="2500" w:type="dxa"/>
          </w:tcPr>
          <w:p w14:paraId="15B66F4A"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Licensed by DCWP</w:t>
            </w:r>
          </w:p>
        </w:tc>
        <w:tc>
          <w:tcPr>
            <w:tcW w:w="2500" w:type="dxa"/>
          </w:tcPr>
          <w:p w14:paraId="12D8254E"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Licensed by DOHMH</w:t>
            </w:r>
          </w:p>
        </w:tc>
        <w:tc>
          <w:tcPr>
            <w:tcW w:w="2501" w:type="dxa"/>
          </w:tcPr>
          <w:p w14:paraId="091BD664"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No license required</w:t>
            </w:r>
          </w:p>
        </w:tc>
      </w:tr>
      <w:tr w:rsidR="00133CE7" w:rsidRPr="004F43E9" w14:paraId="037DFDB2" w14:textId="77777777">
        <w:trPr>
          <w:trHeight w:val="2013"/>
        </w:trPr>
        <w:tc>
          <w:tcPr>
            <w:tcW w:w="1949" w:type="dxa"/>
            <w:hideMark/>
          </w:tcPr>
          <w:p w14:paraId="6BC2E3E3"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lastRenderedPageBreak/>
              <w:t>Cap on Licenses/Permits</w:t>
            </w:r>
          </w:p>
        </w:tc>
        <w:tc>
          <w:tcPr>
            <w:tcW w:w="2500" w:type="dxa"/>
            <w:hideMark/>
          </w:tcPr>
          <w:p w14:paraId="2EAD77EC"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Capped at 853 by local law except veteran vendors and those with special licenses</w:t>
            </w:r>
          </w:p>
        </w:tc>
        <w:tc>
          <w:tcPr>
            <w:tcW w:w="2500" w:type="dxa"/>
            <w:hideMark/>
          </w:tcPr>
          <w:p w14:paraId="4FDE6755"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Capped by local law by borough and license type. Expanded by LL18/2021</w:t>
            </w:r>
          </w:p>
        </w:tc>
        <w:tc>
          <w:tcPr>
            <w:tcW w:w="2501" w:type="dxa"/>
            <w:hideMark/>
          </w:tcPr>
          <w:p w14:paraId="222F167A"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No cap</w:t>
            </w:r>
          </w:p>
        </w:tc>
      </w:tr>
      <w:tr w:rsidR="00133CE7" w:rsidRPr="004F43E9" w14:paraId="65DB9E12" w14:textId="77777777">
        <w:trPr>
          <w:trHeight w:val="1452"/>
        </w:trPr>
        <w:tc>
          <w:tcPr>
            <w:tcW w:w="1949" w:type="dxa"/>
            <w:hideMark/>
          </w:tcPr>
          <w:p w14:paraId="137A520F" w14:textId="77777777" w:rsidR="00133CE7" w:rsidRPr="004F43E9" w:rsidRDefault="00133CE7">
            <w:pPr>
              <w:pStyle w:val="EndnoteText"/>
              <w:jc w:val="both"/>
              <w:rPr>
                <w:rFonts w:ascii="Times New Roman" w:hAnsi="Times New Roman"/>
                <w:szCs w:val="24"/>
              </w:rPr>
            </w:pPr>
            <w:r w:rsidRPr="004F43E9">
              <w:rPr>
                <w:rFonts w:ascii="Times New Roman" w:hAnsi="Times New Roman"/>
                <w:b/>
                <w:bCs/>
                <w:szCs w:val="24"/>
              </w:rPr>
              <w:t>Regulation of Setups</w:t>
            </w:r>
          </w:p>
        </w:tc>
        <w:tc>
          <w:tcPr>
            <w:tcW w:w="2500" w:type="dxa"/>
            <w:hideMark/>
          </w:tcPr>
          <w:p w14:paraId="56AACC5C"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0" w:type="dxa"/>
            <w:hideMark/>
          </w:tcPr>
          <w:p w14:paraId="716EC720"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c>
          <w:tcPr>
            <w:tcW w:w="2501" w:type="dxa"/>
            <w:hideMark/>
          </w:tcPr>
          <w:p w14:paraId="41DA116F" w14:textId="77777777" w:rsidR="00133CE7" w:rsidRPr="004F43E9" w:rsidRDefault="00133CE7">
            <w:pPr>
              <w:pStyle w:val="EndnoteText"/>
              <w:jc w:val="both"/>
              <w:rPr>
                <w:rFonts w:ascii="Times New Roman" w:hAnsi="Times New Roman"/>
                <w:szCs w:val="24"/>
              </w:rPr>
            </w:pPr>
            <w:r w:rsidRPr="004F43E9">
              <w:rPr>
                <w:rFonts w:ascii="Times New Roman" w:hAnsi="Times New Roman"/>
                <w:szCs w:val="24"/>
              </w:rPr>
              <w:t>Limited by time, place and manner restrictions</w:t>
            </w:r>
          </w:p>
        </w:tc>
      </w:tr>
    </w:tbl>
    <w:p w14:paraId="354C1512" w14:textId="77777777" w:rsidR="00133CE7" w:rsidRPr="004F43E9" w:rsidRDefault="00133CE7" w:rsidP="00133CE7">
      <w:pPr>
        <w:pStyle w:val="EndnoteText"/>
        <w:spacing w:line="480" w:lineRule="auto"/>
        <w:ind w:left="360"/>
        <w:jc w:val="both"/>
        <w:rPr>
          <w:rFonts w:ascii="Times New Roman" w:hAnsi="Times New Roman"/>
          <w:szCs w:val="24"/>
        </w:rPr>
      </w:pPr>
    </w:p>
    <w:p w14:paraId="42D12908" w14:textId="77777777" w:rsidR="00133CE7" w:rsidRPr="004F43E9" w:rsidRDefault="00133CE7" w:rsidP="00133CE7">
      <w:pPr>
        <w:pStyle w:val="EndnoteText"/>
        <w:spacing w:line="480" w:lineRule="auto"/>
        <w:ind w:firstLine="720"/>
        <w:jc w:val="both"/>
        <w:rPr>
          <w:rFonts w:ascii="Times New Roman" w:hAnsi="Times New Roman"/>
          <w:i/>
          <w:iCs/>
          <w:szCs w:val="24"/>
        </w:rPr>
      </w:pPr>
      <w:r w:rsidRPr="004F43E9">
        <w:rPr>
          <w:rFonts w:ascii="Times New Roman" w:hAnsi="Times New Roman"/>
          <w:i/>
          <w:iCs/>
          <w:szCs w:val="24"/>
        </w:rPr>
        <w:t>General and First Amendment vending licenses</w:t>
      </w:r>
    </w:p>
    <w:p w14:paraId="6D1FFB69" w14:textId="625E34EC"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General merchandise vendors require a license that can be obtained through DCWP. Since 1979 there has been a cap on these licenses at 853.</w:t>
      </w:r>
      <w:r w:rsidRPr="004F43E9">
        <w:rPr>
          <w:rStyle w:val="FootnoteReference"/>
          <w:rFonts w:ascii="Times New Roman" w:eastAsiaTheme="majorEastAsia" w:hAnsi="Times New Roman"/>
          <w:szCs w:val="24"/>
        </w:rPr>
        <w:footnoteReference w:id="4"/>
      </w:r>
      <w:r w:rsidRPr="004F43E9">
        <w:rPr>
          <w:rFonts w:ascii="Times New Roman" w:hAnsi="Times New Roman"/>
          <w:szCs w:val="24"/>
        </w:rPr>
        <w:t xml:space="preserve"> There are 10,809 applicants on the citywide waiting list for general vending licenses</w:t>
      </w:r>
      <w:r w:rsidR="005D42EB">
        <w:rPr>
          <w:rFonts w:ascii="Times New Roman" w:hAnsi="Times New Roman"/>
          <w:szCs w:val="24"/>
        </w:rPr>
        <w:t>,</w:t>
      </w:r>
      <w:r w:rsidRPr="004F43E9">
        <w:rPr>
          <w:rFonts w:ascii="Times New Roman" w:hAnsi="Times New Roman"/>
          <w:szCs w:val="24"/>
        </w:rPr>
        <w:t xml:space="preserve"> which is closed to new applicants.</w:t>
      </w:r>
      <w:r w:rsidRPr="004F43E9">
        <w:rPr>
          <w:rStyle w:val="FootnoteReference"/>
          <w:rFonts w:ascii="Times New Roman" w:eastAsiaTheme="majorEastAsia" w:hAnsi="Times New Roman"/>
          <w:szCs w:val="24"/>
        </w:rPr>
        <w:footnoteReference w:id="5"/>
      </w:r>
      <w:r w:rsidRPr="004F43E9">
        <w:rPr>
          <w:rFonts w:ascii="Times New Roman" w:hAnsi="Times New Roman"/>
          <w:szCs w:val="24"/>
        </w:rPr>
        <w:t xml:space="preserve"> First Amendment vendors – those who sell political or artistic products – do not require a license, but they must abide by various time, place and manner restrictions.</w:t>
      </w:r>
      <w:r w:rsidRPr="004F43E9">
        <w:rPr>
          <w:rStyle w:val="FootnoteReference"/>
          <w:rFonts w:ascii="Times New Roman" w:eastAsiaTheme="majorEastAsia" w:hAnsi="Times New Roman"/>
          <w:szCs w:val="24"/>
        </w:rPr>
        <w:footnoteReference w:id="6"/>
      </w:r>
      <w:r w:rsidRPr="004F43E9">
        <w:rPr>
          <w:rFonts w:ascii="Times New Roman" w:hAnsi="Times New Roman"/>
          <w:szCs w:val="24"/>
        </w:rPr>
        <w:t xml:space="preserve"> </w:t>
      </w:r>
    </w:p>
    <w:p w14:paraId="7EFCCD5F" w14:textId="77777777" w:rsidR="00133CE7"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section 32 of the General Business Law (GBL) of the State of New York, every honorably discharged member of the armed forces of the United States who is a resident of the state and a veteran of any war or has served overseas has the right to vend upon the streets or highways of the county of their residence.</w:t>
      </w:r>
      <w:r w:rsidRPr="004F43E9">
        <w:rPr>
          <w:rStyle w:val="FootnoteReference"/>
          <w:rFonts w:ascii="Times New Roman" w:eastAsiaTheme="majorEastAsia" w:hAnsi="Times New Roman"/>
          <w:szCs w:val="24"/>
        </w:rPr>
        <w:footnoteReference w:id="7"/>
      </w:r>
      <w:r w:rsidRPr="004F43E9">
        <w:rPr>
          <w:rFonts w:ascii="Times New Roman" w:hAnsi="Times New Roman"/>
          <w:szCs w:val="24"/>
        </w:rPr>
        <w:t xml:space="preserve"> In the City of New York, all veteran vendor licenses are administered by DCWP in accordance with state law. General vending licenses available to veterans under section 32 of the GBL are unlimited and compel the veteran vendor to comply with </w:t>
      </w:r>
      <w:r w:rsidRPr="004F43E9">
        <w:rPr>
          <w:rFonts w:ascii="Times New Roman" w:hAnsi="Times New Roman"/>
          <w:szCs w:val="24"/>
        </w:rPr>
        <w:lastRenderedPageBreak/>
        <w:t>all time, place and manner restrictions that regulate general vendors.</w:t>
      </w:r>
      <w:r w:rsidRPr="004F43E9">
        <w:rPr>
          <w:rStyle w:val="FootnoteReference"/>
          <w:rFonts w:ascii="Times New Roman" w:eastAsiaTheme="majorEastAsia" w:hAnsi="Times New Roman"/>
          <w:szCs w:val="24"/>
        </w:rPr>
        <w:footnoteReference w:id="8"/>
      </w:r>
      <w:r w:rsidRPr="004F43E9">
        <w:rPr>
          <w:rFonts w:ascii="Times New Roman" w:hAnsi="Times New Roman"/>
          <w:szCs w:val="24"/>
        </w:rPr>
        <w:t xml:space="preserve"> </w:t>
      </w:r>
    </w:p>
    <w:p w14:paraId="435FBACF"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Pursuant to state law, general vendor licenses are free of cost to the applicant. Section 35-a of the GBL further provides that veterans who are disabled due to injuries sustained in the line of duty are eligible for a specialized vending license (SVL).</w:t>
      </w:r>
      <w:r w:rsidRPr="004F43E9">
        <w:rPr>
          <w:rStyle w:val="FootnoteReference"/>
          <w:rFonts w:ascii="Times New Roman" w:eastAsiaTheme="majorEastAsia" w:hAnsi="Times New Roman"/>
          <w:szCs w:val="24"/>
        </w:rPr>
        <w:footnoteReference w:id="9"/>
      </w:r>
      <w:r w:rsidRPr="004F43E9">
        <w:rPr>
          <w:rFonts w:ascii="Times New Roman" w:hAnsi="Times New Roman"/>
          <w:szCs w:val="24"/>
        </w:rPr>
        <w:t xml:space="preserve"> Holders of an SVL may operate on many City streets where vending might be otherwise prohibited.</w:t>
      </w:r>
      <w:r w:rsidRPr="004F43E9">
        <w:rPr>
          <w:rStyle w:val="FootnoteReference"/>
          <w:rFonts w:ascii="Times New Roman" w:eastAsiaTheme="majorEastAsia" w:hAnsi="Times New Roman"/>
          <w:szCs w:val="24"/>
        </w:rPr>
        <w:footnoteReference w:id="10"/>
      </w:r>
      <w:r w:rsidRPr="004F43E9">
        <w:rPr>
          <w:rFonts w:ascii="Times New Roman" w:hAnsi="Times New Roman"/>
          <w:szCs w:val="24"/>
        </w:rPr>
        <w:t xml:space="preserve"> Disabled veterans eligible for an SVL who desire to vend in the “midtown core” of Manhattan must secure a midtown core specialized license (MSVL), which are capped at 105.</w:t>
      </w:r>
      <w:r w:rsidRPr="004F43E9">
        <w:rPr>
          <w:rStyle w:val="FootnoteReference"/>
          <w:rFonts w:ascii="Times New Roman" w:eastAsiaTheme="majorEastAsia" w:hAnsi="Times New Roman"/>
          <w:szCs w:val="24"/>
        </w:rPr>
        <w:footnoteReference w:id="11"/>
      </w:r>
      <w:r w:rsidRPr="004F43E9">
        <w:rPr>
          <w:rFonts w:ascii="Times New Roman" w:hAnsi="Times New Roman"/>
          <w:szCs w:val="24"/>
        </w:rPr>
        <w:t xml:space="preserve"> The midtown core is defined by the GBL and incorporated into City rules as the area within 13th St (south) and 65th St (north), and 2nd Ave (east) and 9th/Columbus Ave (west).</w:t>
      </w:r>
      <w:r w:rsidRPr="004F43E9">
        <w:rPr>
          <w:rStyle w:val="FootnoteReference"/>
          <w:rFonts w:ascii="Times New Roman" w:eastAsiaTheme="majorEastAsia" w:hAnsi="Times New Roman"/>
          <w:szCs w:val="24"/>
        </w:rPr>
        <w:footnoteReference w:id="12"/>
      </w:r>
      <w:r w:rsidRPr="004F43E9">
        <w:rPr>
          <w:rFonts w:ascii="Times New Roman" w:hAnsi="Times New Roman"/>
          <w:szCs w:val="24"/>
        </w:rPr>
        <w:t xml:space="preserve"> </w:t>
      </w:r>
    </w:p>
    <w:p w14:paraId="4A8E766F" w14:textId="77777777" w:rsidR="00133CE7" w:rsidRPr="004F43E9" w:rsidRDefault="00133CE7" w:rsidP="00133CE7">
      <w:pPr>
        <w:pStyle w:val="EndnoteText"/>
        <w:spacing w:line="480" w:lineRule="auto"/>
        <w:ind w:firstLine="720"/>
        <w:jc w:val="both"/>
        <w:rPr>
          <w:rFonts w:ascii="Times New Roman" w:hAnsi="Times New Roman"/>
          <w:bCs/>
          <w:i/>
          <w:szCs w:val="24"/>
        </w:rPr>
      </w:pPr>
      <w:r w:rsidRPr="004F43E9">
        <w:rPr>
          <w:rFonts w:ascii="Times New Roman" w:hAnsi="Times New Roman"/>
          <w:bCs/>
          <w:i/>
          <w:szCs w:val="24"/>
        </w:rPr>
        <w:t>Mobile food vending licenses and permits</w:t>
      </w:r>
    </w:p>
    <w:p w14:paraId="566254FE" w14:textId="473A4372"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Selling food on the streets of New York City is known as mobile food vending (MFV) and it is regulated by </w:t>
      </w:r>
      <w:proofErr w:type="gramStart"/>
      <w:r w:rsidRPr="004F43E9">
        <w:rPr>
          <w:rFonts w:ascii="Times New Roman" w:hAnsi="Times New Roman"/>
          <w:szCs w:val="24"/>
        </w:rPr>
        <w:t>a number of</w:t>
      </w:r>
      <w:proofErr w:type="gramEnd"/>
      <w:r w:rsidRPr="004F43E9">
        <w:rPr>
          <w:rFonts w:ascii="Times New Roman" w:hAnsi="Times New Roman"/>
          <w:szCs w:val="24"/>
        </w:rPr>
        <w:t xml:space="preserve"> different agencies and provisions. Before 2021, a critical component of MFV was securing a permit for the physical vending cart. Unlike personal vending licenses that apply to the individual food seller, MFV permits are linked to the food cart, which means that the food vendor and the permit holder could be two different people. The number of available MFV permits has been capped at 3,000 for citywide permits, 200 borough specific permits, 1,000 temporary/seasonal permits and 1,000 green cart permits. The waiting list for new vendors to obtain a permit was also capped at 2,500 and closed in 2007.</w:t>
      </w:r>
      <w:r w:rsidRPr="004F43E9">
        <w:rPr>
          <w:rStyle w:val="FootnoteReference"/>
          <w:rFonts w:ascii="Times New Roman" w:eastAsiaTheme="majorEastAsia" w:hAnsi="Times New Roman"/>
          <w:szCs w:val="24"/>
        </w:rPr>
        <w:footnoteReference w:id="13"/>
      </w:r>
      <w:r w:rsidRPr="004F43E9">
        <w:rPr>
          <w:rFonts w:ascii="Times New Roman" w:hAnsi="Times New Roman"/>
          <w:szCs w:val="24"/>
        </w:rPr>
        <w:t xml:space="preserve"> </w:t>
      </w:r>
    </w:p>
    <w:p w14:paraId="156377DB"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The decades-long cap on permits created an underground market for legacy permit holders </w:t>
      </w:r>
      <w:r w:rsidRPr="004F43E9">
        <w:rPr>
          <w:rFonts w:ascii="Times New Roman" w:hAnsi="Times New Roman"/>
          <w:szCs w:val="24"/>
        </w:rPr>
        <w:lastRenderedPageBreak/>
        <w:t>to illegally rent their permits to new vendors for thousands of dollars per year.</w:t>
      </w:r>
      <w:r w:rsidRPr="004F43E9">
        <w:rPr>
          <w:rStyle w:val="FootnoteReference"/>
          <w:rFonts w:ascii="Times New Roman" w:eastAsiaTheme="majorEastAsia" w:hAnsi="Times New Roman"/>
          <w:szCs w:val="24"/>
        </w:rPr>
        <w:footnoteReference w:id="14"/>
      </w:r>
      <w:r w:rsidRPr="004F43E9">
        <w:rPr>
          <w:rFonts w:ascii="Times New Roman" w:hAnsi="Times New Roman"/>
          <w:szCs w:val="24"/>
        </w:rPr>
        <w:t xml:space="preserve"> It is alleged that the rental price for a cart permit on the illegal market could run between $15,000 and $30,000 annually.</w:t>
      </w:r>
      <w:r w:rsidRPr="004F43E9">
        <w:rPr>
          <w:rStyle w:val="FootnoteReference"/>
          <w:rFonts w:ascii="Times New Roman" w:eastAsiaTheme="majorEastAsia" w:hAnsi="Times New Roman"/>
          <w:szCs w:val="24"/>
        </w:rPr>
        <w:footnoteReference w:id="15"/>
      </w:r>
      <w:r w:rsidRPr="004F43E9">
        <w:rPr>
          <w:rFonts w:ascii="Times New Roman" w:hAnsi="Times New Roman"/>
          <w:szCs w:val="24"/>
        </w:rPr>
        <w:t xml:space="preserve"> It was estimated that the illegal market in New York City’s mobile food vending industry was worth between $15 million and $20 million per year and approximately 70-80 percent of permits were illegally in use.</w:t>
      </w:r>
      <w:r w:rsidRPr="004F43E9">
        <w:rPr>
          <w:rStyle w:val="FootnoteReference"/>
          <w:rFonts w:ascii="Times New Roman" w:eastAsiaTheme="majorEastAsia" w:hAnsi="Times New Roman"/>
          <w:szCs w:val="24"/>
        </w:rPr>
        <w:footnoteReference w:id="16"/>
      </w:r>
      <w:r w:rsidRPr="004F43E9">
        <w:rPr>
          <w:rFonts w:ascii="Times New Roman" w:hAnsi="Times New Roman"/>
          <w:szCs w:val="24"/>
        </w:rPr>
        <w:t xml:space="preserve"> The proliferation of the underground market meant that it was “harder for immigrant entrepreneurs to build equity and take the first step up the economic ladder.”</w:t>
      </w:r>
      <w:r w:rsidRPr="004F43E9">
        <w:rPr>
          <w:rStyle w:val="FootnoteReference"/>
          <w:rFonts w:ascii="Times New Roman" w:eastAsiaTheme="majorEastAsia" w:hAnsi="Times New Roman"/>
          <w:szCs w:val="24"/>
        </w:rPr>
        <w:footnoteReference w:id="17"/>
      </w:r>
      <w:r w:rsidRPr="004F43E9">
        <w:rPr>
          <w:rFonts w:ascii="Times New Roman" w:hAnsi="Times New Roman"/>
          <w:szCs w:val="24"/>
        </w:rPr>
        <w:t xml:space="preserve"> </w:t>
      </w:r>
    </w:p>
    <w:p w14:paraId="23F9CF66" w14:textId="541EB7DA"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To address these issues, the Council passed Local Law 18 of 2021</w:t>
      </w:r>
      <w:r>
        <w:rPr>
          <w:rFonts w:ascii="Times New Roman" w:hAnsi="Times New Roman"/>
          <w:szCs w:val="24"/>
        </w:rPr>
        <w:t xml:space="preserve"> (LL 18)</w:t>
      </w:r>
      <w:r w:rsidRPr="004F43E9">
        <w:rPr>
          <w:rFonts w:ascii="Times New Roman" w:hAnsi="Times New Roman"/>
          <w:szCs w:val="24"/>
        </w:rPr>
        <w:t>, which established a new licensing and permitting scheme for MFVs and required the City to issue 445 new permits each year for 10 consecutive years.</w:t>
      </w:r>
      <w:r w:rsidRPr="004F43E9">
        <w:rPr>
          <w:rStyle w:val="FootnoteReference"/>
          <w:rFonts w:ascii="Times New Roman" w:eastAsiaTheme="majorEastAsia" w:hAnsi="Times New Roman"/>
          <w:szCs w:val="24"/>
        </w:rPr>
        <w:footnoteReference w:id="18"/>
      </w:r>
      <w:r w:rsidRPr="004F43E9">
        <w:rPr>
          <w:rFonts w:ascii="Times New Roman" w:hAnsi="Times New Roman"/>
          <w:szCs w:val="24"/>
        </w:rPr>
        <w:t xml:space="preserve"> Pursuant to this law, beginning in 2032, all MFVs would be required to obtain a supervisory license. All supervisory license holders would be entitled to a supervisory permit. Under the new scheme, a supervisory permit holder or another holder of a supervisory license must be physically present and vending at the mobile vending unit to prevent the illegal market in vending permits.</w:t>
      </w:r>
      <w:r w:rsidRPr="004F43E9">
        <w:rPr>
          <w:rStyle w:val="FootnoteReference"/>
          <w:rFonts w:ascii="Times New Roman" w:eastAsiaTheme="majorEastAsia" w:hAnsi="Times New Roman"/>
          <w:szCs w:val="24"/>
        </w:rPr>
        <w:footnoteReference w:id="19"/>
      </w:r>
    </w:p>
    <w:p w14:paraId="4196306E"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Currently, there are six different types of mobile food vending permits in circulation: </w:t>
      </w:r>
    </w:p>
    <w:p w14:paraId="39CCC487" w14:textId="2386CD32" w:rsidR="00133CE7" w:rsidRPr="004F43E9" w:rsidRDefault="00133CE7" w:rsidP="00C717B1">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Supervisory license permit</w:t>
      </w:r>
      <w:r w:rsidRPr="004F43E9">
        <w:rPr>
          <w:rFonts w:ascii="Times New Roman" w:hAnsi="Times New Roman"/>
          <w:szCs w:val="24"/>
        </w:rPr>
        <w:t>: These permits are available to supervisory license</w:t>
      </w:r>
      <w:r w:rsidR="00896AD8">
        <w:rPr>
          <w:rFonts w:ascii="Times New Roman" w:hAnsi="Times New Roman"/>
          <w:szCs w:val="24"/>
        </w:rPr>
        <w:t xml:space="preserve"> </w:t>
      </w:r>
      <w:r w:rsidRPr="004F43E9">
        <w:rPr>
          <w:rFonts w:ascii="Times New Roman" w:hAnsi="Times New Roman"/>
          <w:szCs w:val="24"/>
        </w:rPr>
        <w:t xml:space="preserve">holders and allow year-round vending. There are 445 new permits offered each year, 45 of those permits are </w:t>
      </w:r>
      <w:r w:rsidRPr="004F43E9">
        <w:rPr>
          <w:rFonts w:ascii="Times New Roman" w:hAnsi="Times New Roman"/>
          <w:szCs w:val="24"/>
        </w:rPr>
        <w:lastRenderedPageBreak/>
        <w:t>exclusively available to veteran vendors and 300 of those permits are restricted to boroughs other than Manhattan. By July 1, 2032, all legacy permit holders of citywide permits and borough specific permits must transition to supervisory permits. At that time, it will be unlawful to vend without a supervisory license holder present.</w:t>
      </w:r>
      <w:r w:rsidRPr="004F43E9">
        <w:rPr>
          <w:rStyle w:val="FootnoteReference"/>
          <w:rFonts w:ascii="Times New Roman" w:eastAsiaTheme="majorEastAsia" w:hAnsi="Times New Roman"/>
          <w:szCs w:val="24"/>
        </w:rPr>
        <w:footnoteReference w:id="20"/>
      </w:r>
      <w:r w:rsidRPr="004F43E9">
        <w:rPr>
          <w:rFonts w:ascii="Times New Roman" w:hAnsi="Times New Roman"/>
          <w:szCs w:val="24"/>
        </w:rPr>
        <w:t xml:space="preserve"> There are approximately 10,000 vendors on waiting lists to obtain a supervisory license and permit.</w:t>
      </w:r>
      <w:r w:rsidRPr="004F43E9">
        <w:rPr>
          <w:rStyle w:val="FootnoteReference"/>
          <w:rFonts w:ascii="Times New Roman" w:eastAsiaTheme="majorEastAsia" w:hAnsi="Times New Roman"/>
          <w:szCs w:val="24"/>
        </w:rPr>
        <w:footnoteReference w:id="21"/>
      </w:r>
      <w:r w:rsidRPr="004F43E9">
        <w:rPr>
          <w:rFonts w:ascii="Times New Roman" w:hAnsi="Times New Roman"/>
          <w:szCs w:val="24"/>
        </w:rPr>
        <w:t xml:space="preserve"> The cost for this permit is $438.</w:t>
      </w:r>
      <w:r w:rsidRPr="004F43E9">
        <w:rPr>
          <w:rStyle w:val="FootnoteReference"/>
          <w:rFonts w:ascii="Times New Roman" w:eastAsiaTheme="majorEastAsia" w:hAnsi="Times New Roman"/>
          <w:szCs w:val="24"/>
        </w:rPr>
        <w:footnoteReference w:id="22"/>
      </w:r>
    </w:p>
    <w:p w14:paraId="7F9C3D57"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Citywide permit</w:t>
      </w:r>
      <w:r w:rsidRPr="004F43E9">
        <w:rPr>
          <w:rFonts w:ascii="Times New Roman" w:hAnsi="Times New Roman"/>
          <w:szCs w:val="24"/>
        </w:rPr>
        <w:t xml:space="preserve">: Prior to the enactment of Local Law 18, this was the most valuable and sought after food vending permit. It allows mobile food vendors to vend across all five boroughs, </w:t>
      </w:r>
      <w:proofErr w:type="gramStart"/>
      <w:r w:rsidRPr="004F43E9">
        <w:rPr>
          <w:rFonts w:ascii="Times New Roman" w:hAnsi="Times New Roman"/>
          <w:szCs w:val="24"/>
        </w:rPr>
        <w:t>year round</w:t>
      </w:r>
      <w:proofErr w:type="gramEnd"/>
      <w:r w:rsidRPr="004F43E9">
        <w:rPr>
          <w:rFonts w:ascii="Times New Roman" w:hAnsi="Times New Roman"/>
          <w:szCs w:val="24"/>
        </w:rPr>
        <w:t>. The cap on these permits is 3,000 (100 are set aside for veterans or people with a disability), and the permit is valid for two years.</w:t>
      </w:r>
      <w:r w:rsidRPr="004F43E9">
        <w:rPr>
          <w:rStyle w:val="FootnoteReference"/>
          <w:rFonts w:ascii="Times New Roman" w:eastAsiaTheme="majorEastAsia" w:hAnsi="Times New Roman"/>
          <w:szCs w:val="24"/>
        </w:rPr>
        <w:footnoteReference w:id="23"/>
      </w:r>
      <w:r w:rsidRPr="004F43E9">
        <w:rPr>
          <w:rFonts w:ascii="Times New Roman" w:hAnsi="Times New Roman"/>
          <w:szCs w:val="24"/>
        </w:rPr>
        <w:t xml:space="preserve"> Upon renewal of such permit, permit holders are entitled to apply for a supervisory license and permit. </w:t>
      </w:r>
    </w:p>
    <w:p w14:paraId="27EA2BB1"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Borough specific permit</w:t>
      </w:r>
      <w:r w:rsidRPr="004F43E9">
        <w:rPr>
          <w:rFonts w:ascii="Times New Roman" w:hAnsi="Times New Roman"/>
          <w:szCs w:val="24"/>
        </w:rPr>
        <w:t>: This permit restricts food vendors from vending in Manhattan and only allows the holder to operate in the other four boroughs. There are 200 of these permits in total (50 for each borough) and the permit is valid for two years.</w:t>
      </w:r>
      <w:r w:rsidRPr="004F43E9">
        <w:rPr>
          <w:rStyle w:val="FootnoteReference"/>
          <w:rFonts w:ascii="Times New Roman" w:eastAsiaTheme="majorEastAsia" w:hAnsi="Times New Roman"/>
          <w:szCs w:val="24"/>
        </w:rPr>
        <w:footnoteReference w:id="24"/>
      </w:r>
      <w:r w:rsidRPr="004F43E9">
        <w:rPr>
          <w:rFonts w:ascii="Times New Roman" w:hAnsi="Times New Roman"/>
          <w:szCs w:val="24"/>
        </w:rPr>
        <w:t xml:space="preserve"> Upon renewal of such permit, permit holders are entitled to apply for a supervisory license and permit.</w:t>
      </w:r>
    </w:p>
    <w:p w14:paraId="5D9AED28"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Temporary (seasonal) permit</w:t>
      </w:r>
      <w:r w:rsidRPr="004F43E9">
        <w:rPr>
          <w:rFonts w:ascii="Times New Roman" w:hAnsi="Times New Roman"/>
          <w:szCs w:val="24"/>
        </w:rPr>
        <w:t>: This allows vendors to sell food in all boroughs, but sales are only permitted from April 1 to October 31. This permit must be renewed each year and there are 1,000 permits in total.</w:t>
      </w:r>
      <w:r w:rsidRPr="004F43E9">
        <w:rPr>
          <w:rStyle w:val="FootnoteReference"/>
          <w:rFonts w:ascii="Times New Roman" w:eastAsiaTheme="majorEastAsia" w:hAnsi="Times New Roman"/>
          <w:szCs w:val="24"/>
        </w:rPr>
        <w:footnoteReference w:id="25"/>
      </w:r>
      <w:r w:rsidRPr="004F43E9">
        <w:rPr>
          <w:rFonts w:ascii="Times New Roman" w:hAnsi="Times New Roman"/>
          <w:szCs w:val="24"/>
        </w:rPr>
        <w:t xml:space="preserve"> For food that is prepared on-site, the permit costs $35 and for prepared </w:t>
      </w:r>
      <w:r w:rsidRPr="004F43E9">
        <w:rPr>
          <w:rFonts w:ascii="Times New Roman" w:hAnsi="Times New Roman"/>
          <w:szCs w:val="24"/>
        </w:rPr>
        <w:lastRenderedPageBreak/>
        <w:t>foods, the permit is $15.</w:t>
      </w:r>
      <w:r w:rsidRPr="004F43E9">
        <w:rPr>
          <w:rStyle w:val="FootnoteReference"/>
          <w:rFonts w:ascii="Times New Roman" w:eastAsiaTheme="majorEastAsia" w:hAnsi="Times New Roman"/>
          <w:szCs w:val="24"/>
        </w:rPr>
        <w:footnoteReference w:id="26"/>
      </w:r>
      <w:r w:rsidRPr="004F43E9">
        <w:rPr>
          <w:rFonts w:ascii="Times New Roman" w:hAnsi="Times New Roman"/>
          <w:szCs w:val="24"/>
        </w:rPr>
        <w:t xml:space="preserve"> </w:t>
      </w:r>
    </w:p>
    <w:p w14:paraId="1B88F8CA"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Green cart permit</w:t>
      </w:r>
      <w:r w:rsidRPr="004F43E9">
        <w:rPr>
          <w:rFonts w:ascii="Times New Roman" w:hAnsi="Times New Roman"/>
          <w:szCs w:val="24"/>
        </w:rPr>
        <w:t xml:space="preserve">: This limits food vendors to selling fruits and vegetables, bottled drinking water and plain nuts. Vendors with these permits are restricted </w:t>
      </w:r>
      <w:proofErr w:type="gramStart"/>
      <w:r w:rsidRPr="004F43E9">
        <w:rPr>
          <w:rFonts w:ascii="Times New Roman" w:hAnsi="Times New Roman"/>
          <w:szCs w:val="24"/>
        </w:rPr>
        <w:t>to</w:t>
      </w:r>
      <w:proofErr w:type="gramEnd"/>
      <w:r w:rsidRPr="004F43E9">
        <w:rPr>
          <w:rFonts w:ascii="Times New Roman" w:hAnsi="Times New Roman"/>
          <w:szCs w:val="24"/>
        </w:rPr>
        <w:t xml:space="preserve"> selling their produce in one borough only, and they are limited to certain areas within the specific borough. The designated areas are demarcated according to police districts.</w:t>
      </w:r>
      <w:r w:rsidRPr="004F43E9">
        <w:rPr>
          <w:rStyle w:val="FootnoteReference"/>
          <w:rFonts w:ascii="Times New Roman" w:eastAsiaTheme="majorEastAsia" w:hAnsi="Times New Roman"/>
          <w:szCs w:val="24"/>
        </w:rPr>
        <w:footnoteReference w:id="27"/>
      </w:r>
      <w:r w:rsidRPr="004F43E9">
        <w:rPr>
          <w:rFonts w:ascii="Times New Roman" w:hAnsi="Times New Roman"/>
          <w:szCs w:val="24"/>
        </w:rPr>
        <w:t xml:space="preserve"> There are in total 1,000 of these permits available, 350 for Brooklyn, 350 for the Bronx, 150 for Manhattan, 100 for Queens and 50 for Staten Island.</w:t>
      </w:r>
      <w:r w:rsidRPr="004F43E9">
        <w:rPr>
          <w:rStyle w:val="FootnoteReference"/>
          <w:rFonts w:ascii="Times New Roman" w:eastAsiaTheme="majorEastAsia" w:hAnsi="Times New Roman"/>
          <w:szCs w:val="24"/>
        </w:rPr>
        <w:footnoteReference w:id="28"/>
      </w:r>
      <w:r w:rsidRPr="004F43E9">
        <w:rPr>
          <w:rFonts w:ascii="Times New Roman" w:hAnsi="Times New Roman"/>
          <w:szCs w:val="24"/>
        </w:rPr>
        <w:t xml:space="preserve"> The green cart program was implemented under Mayor Bloomberg as a way to address New York City food deserts and to encourage healthy eating by New Yorkers.</w:t>
      </w:r>
      <w:r w:rsidRPr="004F43E9">
        <w:rPr>
          <w:rStyle w:val="FootnoteReference"/>
          <w:rFonts w:ascii="Times New Roman" w:eastAsiaTheme="majorEastAsia" w:hAnsi="Times New Roman"/>
          <w:szCs w:val="24"/>
        </w:rPr>
        <w:footnoteReference w:id="29"/>
      </w:r>
      <w:r w:rsidRPr="004F43E9">
        <w:rPr>
          <w:rFonts w:ascii="Times New Roman" w:hAnsi="Times New Roman"/>
          <w:szCs w:val="24"/>
        </w:rPr>
        <w:t xml:space="preserve"> These permits are valid for two years and initially cost $75. The cost to renew the permit is $50.</w:t>
      </w:r>
      <w:r w:rsidRPr="004F43E9">
        <w:rPr>
          <w:rStyle w:val="FootnoteReference"/>
          <w:rFonts w:ascii="Times New Roman" w:eastAsiaTheme="majorEastAsia" w:hAnsi="Times New Roman"/>
          <w:szCs w:val="24"/>
        </w:rPr>
        <w:footnoteReference w:id="30"/>
      </w:r>
    </w:p>
    <w:p w14:paraId="70BD2E61"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Restricted area permit</w:t>
      </w:r>
      <w:r w:rsidRPr="004F43E9">
        <w:rPr>
          <w:rFonts w:ascii="Times New Roman" w:hAnsi="Times New Roman"/>
          <w:szCs w:val="24"/>
        </w:rPr>
        <w:t xml:space="preserve">: These permits restrict MFVs </w:t>
      </w:r>
      <w:proofErr w:type="gramStart"/>
      <w:r w:rsidRPr="004F43E9">
        <w:rPr>
          <w:rFonts w:ascii="Times New Roman" w:hAnsi="Times New Roman"/>
          <w:szCs w:val="24"/>
        </w:rPr>
        <w:t>to</w:t>
      </w:r>
      <w:proofErr w:type="gramEnd"/>
      <w:r w:rsidRPr="004F43E9">
        <w:rPr>
          <w:rFonts w:ascii="Times New Roman" w:hAnsi="Times New Roman"/>
          <w:szCs w:val="24"/>
        </w:rPr>
        <w:t xml:space="preserve"> </w:t>
      </w:r>
      <w:proofErr w:type="gramStart"/>
      <w:r w:rsidRPr="004F43E9">
        <w:rPr>
          <w:rFonts w:ascii="Times New Roman" w:hAnsi="Times New Roman"/>
          <w:szCs w:val="24"/>
        </w:rPr>
        <w:t>selling on</w:t>
      </w:r>
      <w:proofErr w:type="gramEnd"/>
      <w:r w:rsidRPr="004F43E9">
        <w:rPr>
          <w:rFonts w:ascii="Times New Roman" w:hAnsi="Times New Roman"/>
          <w:szCs w:val="24"/>
        </w:rPr>
        <w:t xml:space="preserve"> private property and it requires a lease agreement from the property owner. There are no limits on the number of these permits and they are valid for two or less years, depending on the lease agreement.</w:t>
      </w:r>
      <w:r w:rsidRPr="004F43E9">
        <w:rPr>
          <w:rStyle w:val="FootnoteReference"/>
          <w:rFonts w:ascii="Times New Roman" w:eastAsiaTheme="majorEastAsia" w:hAnsi="Times New Roman"/>
          <w:szCs w:val="24"/>
        </w:rPr>
        <w:footnoteReference w:id="31"/>
      </w:r>
      <w:r w:rsidRPr="004F43E9">
        <w:rPr>
          <w:rFonts w:ascii="Times New Roman" w:hAnsi="Times New Roman"/>
          <w:szCs w:val="24"/>
        </w:rPr>
        <w:t xml:space="preserve"> If the foods for sale at these carts are prepared or processed on-site, the cost for this permit is $200. If the food is pre-packaged, the cost for the permit is $75.</w:t>
      </w:r>
      <w:r w:rsidRPr="004F43E9">
        <w:rPr>
          <w:rStyle w:val="FootnoteReference"/>
          <w:rFonts w:ascii="Times New Roman" w:eastAsiaTheme="majorEastAsia" w:hAnsi="Times New Roman"/>
          <w:szCs w:val="24"/>
        </w:rPr>
        <w:footnoteReference w:id="32"/>
      </w:r>
    </w:p>
    <w:p w14:paraId="24A926A4"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u w:val="single"/>
        </w:rPr>
        <w:t>Specialized vendor permit</w:t>
      </w:r>
      <w:r w:rsidRPr="004F43E9">
        <w:rPr>
          <w:rFonts w:ascii="Times New Roman" w:hAnsi="Times New Roman"/>
          <w:szCs w:val="24"/>
        </w:rPr>
        <w:t xml:space="preserve">: These permits allow year-round vending along the perimeters of New York City parks. Although there is no cap on the number of these permits, only veterans </w:t>
      </w:r>
      <w:r w:rsidRPr="004F43E9">
        <w:rPr>
          <w:rFonts w:ascii="Times New Roman" w:hAnsi="Times New Roman"/>
          <w:szCs w:val="24"/>
        </w:rPr>
        <w:lastRenderedPageBreak/>
        <w:t>with a disability are eligible for these permits.</w:t>
      </w:r>
      <w:r w:rsidRPr="004F43E9">
        <w:rPr>
          <w:rStyle w:val="FootnoteReference"/>
          <w:rFonts w:ascii="Times New Roman" w:eastAsiaTheme="majorEastAsia" w:hAnsi="Times New Roman"/>
          <w:szCs w:val="24"/>
        </w:rPr>
        <w:footnoteReference w:id="33"/>
      </w:r>
      <w:r w:rsidRPr="004F43E9">
        <w:rPr>
          <w:rFonts w:ascii="Times New Roman" w:hAnsi="Times New Roman"/>
          <w:szCs w:val="24"/>
        </w:rPr>
        <w:t xml:space="preserve"> </w:t>
      </w:r>
    </w:p>
    <w:p w14:paraId="083C2E89"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To sell food from a mobile vending unit in New York City, individuals must obtain a personal license for MFV. The application for this license can be made in person at New York’s Citywide Licensing Center (under DCWP), although the license is issued by DOHMH.</w:t>
      </w:r>
      <w:r w:rsidRPr="004F43E9">
        <w:rPr>
          <w:rStyle w:val="FootnoteReference"/>
          <w:rFonts w:ascii="Times New Roman" w:eastAsiaTheme="majorEastAsia" w:hAnsi="Times New Roman"/>
          <w:szCs w:val="24"/>
        </w:rPr>
        <w:footnoteReference w:id="34"/>
      </w:r>
      <w:r w:rsidRPr="004F43E9">
        <w:rPr>
          <w:rFonts w:ascii="Times New Roman" w:hAnsi="Times New Roman"/>
          <w:szCs w:val="24"/>
        </w:rPr>
        <w:t xml:space="preserve"> A full-term license is valid for two years and costs $50, while a seasonal license (valid from April 1 to October 31) costs $10.</w:t>
      </w:r>
      <w:r w:rsidRPr="004F43E9">
        <w:rPr>
          <w:rStyle w:val="FootnoteReference"/>
          <w:rFonts w:ascii="Times New Roman" w:eastAsiaTheme="majorEastAsia" w:hAnsi="Times New Roman"/>
          <w:szCs w:val="24"/>
        </w:rPr>
        <w:footnoteReference w:id="35"/>
      </w:r>
      <w:r w:rsidRPr="004F43E9">
        <w:rPr>
          <w:rFonts w:ascii="Times New Roman" w:hAnsi="Times New Roman"/>
          <w:szCs w:val="24"/>
        </w:rPr>
        <w:t xml:space="preserve"> There are no costs for honorably discharged U.S. veterans, or their surviving spouse/domestic partner. These licenses are issued as </w:t>
      </w:r>
      <w:proofErr w:type="gramStart"/>
      <w:r w:rsidRPr="004F43E9">
        <w:rPr>
          <w:rFonts w:ascii="Times New Roman" w:hAnsi="Times New Roman"/>
          <w:szCs w:val="24"/>
        </w:rPr>
        <w:t>a photo</w:t>
      </w:r>
      <w:proofErr w:type="gramEnd"/>
      <w:r w:rsidRPr="004F43E9">
        <w:rPr>
          <w:rFonts w:ascii="Times New Roman" w:hAnsi="Times New Roman"/>
          <w:szCs w:val="24"/>
        </w:rPr>
        <w:t xml:space="preserve"> ID. There are no caps on the number of Mobile Food Vendor Personal Licenses issued by DOHMH,</w:t>
      </w:r>
      <w:r w:rsidRPr="004F43E9">
        <w:rPr>
          <w:rFonts w:ascii="Times New Roman" w:hAnsi="Times New Roman"/>
          <w:szCs w:val="24"/>
          <w:vertAlign w:val="superscript"/>
        </w:rPr>
        <w:footnoteReference w:id="36"/>
      </w:r>
      <w:r w:rsidRPr="004F43E9">
        <w:rPr>
          <w:rFonts w:ascii="Times New Roman" w:hAnsi="Times New Roman"/>
          <w:szCs w:val="24"/>
        </w:rPr>
        <w:t xml:space="preserve"> and there are estimated to be about 19,000 vendors with these licenses.</w:t>
      </w:r>
      <w:r w:rsidRPr="004F43E9">
        <w:rPr>
          <w:rFonts w:ascii="Times New Roman" w:hAnsi="Times New Roman"/>
          <w:szCs w:val="24"/>
          <w:vertAlign w:val="superscript"/>
        </w:rPr>
        <w:footnoteReference w:id="37"/>
      </w:r>
      <w:r w:rsidRPr="004F43E9">
        <w:rPr>
          <w:rFonts w:ascii="Times New Roman" w:hAnsi="Times New Roman"/>
          <w:szCs w:val="24"/>
        </w:rPr>
        <w:t xml:space="preserve"> </w:t>
      </w:r>
    </w:p>
    <w:p w14:paraId="07D1DFCA" w14:textId="77777777" w:rsidR="00133CE7" w:rsidRPr="004F43E9" w:rsidRDefault="00133CE7" w:rsidP="00133CE7">
      <w:pPr>
        <w:pStyle w:val="EndnoteText"/>
        <w:spacing w:line="480" w:lineRule="auto"/>
        <w:ind w:firstLine="720"/>
        <w:jc w:val="both"/>
        <w:rPr>
          <w:rFonts w:ascii="Times New Roman" w:hAnsi="Times New Roman"/>
          <w:szCs w:val="24"/>
        </w:rPr>
      </w:pPr>
      <w:r w:rsidRPr="004F43E9">
        <w:rPr>
          <w:rFonts w:ascii="Times New Roman" w:hAnsi="Times New Roman"/>
          <w:szCs w:val="24"/>
        </w:rPr>
        <w:t>As part of securing a personal MFV license, all applicants must take a mobile food vending protection course.</w:t>
      </w:r>
      <w:r w:rsidRPr="004F43E9">
        <w:rPr>
          <w:rFonts w:ascii="Times New Roman" w:hAnsi="Times New Roman"/>
          <w:szCs w:val="24"/>
          <w:vertAlign w:val="superscript"/>
        </w:rPr>
        <w:footnoteReference w:id="38"/>
      </w:r>
      <w:r w:rsidRPr="004F43E9">
        <w:rPr>
          <w:rFonts w:ascii="Times New Roman" w:hAnsi="Times New Roman"/>
          <w:szCs w:val="24"/>
        </w:rPr>
        <w:t xml:space="preserve"> The course is run over two days with a four-hour class each day. The course costs $53 and is available to take in multiple languages.</w:t>
      </w:r>
      <w:r w:rsidRPr="004F43E9">
        <w:rPr>
          <w:rFonts w:ascii="Times New Roman" w:hAnsi="Times New Roman"/>
          <w:szCs w:val="24"/>
          <w:vertAlign w:val="superscript"/>
        </w:rPr>
        <w:footnoteReference w:id="39"/>
      </w:r>
      <w:r w:rsidRPr="004F43E9">
        <w:rPr>
          <w:rFonts w:ascii="Times New Roman" w:hAnsi="Times New Roman"/>
          <w:szCs w:val="24"/>
        </w:rPr>
        <w:t xml:space="preserve"> Lastly, mobile food vendors also need to obtain a Certificate of Authority from the New York State Department of Taxation and Finance, which bestows the right to collect tax on applicable items.</w:t>
      </w:r>
      <w:r w:rsidRPr="004F43E9">
        <w:rPr>
          <w:rFonts w:ascii="Times New Roman" w:hAnsi="Times New Roman"/>
          <w:szCs w:val="24"/>
          <w:vertAlign w:val="superscript"/>
        </w:rPr>
        <w:footnoteReference w:id="40"/>
      </w:r>
      <w:r w:rsidRPr="004F43E9">
        <w:rPr>
          <w:rFonts w:ascii="Times New Roman" w:hAnsi="Times New Roman"/>
          <w:szCs w:val="24"/>
        </w:rPr>
        <w:t xml:space="preserve"> </w:t>
      </w:r>
    </w:p>
    <w:p w14:paraId="19830DB2" w14:textId="77777777" w:rsidR="00133CE7" w:rsidRPr="004F43E9" w:rsidRDefault="00133CE7" w:rsidP="00133CE7">
      <w:pPr>
        <w:pStyle w:val="EndnoteText"/>
        <w:spacing w:line="480" w:lineRule="auto"/>
        <w:ind w:firstLine="720"/>
        <w:jc w:val="both"/>
        <w:rPr>
          <w:rFonts w:ascii="Times New Roman" w:hAnsi="Times New Roman"/>
          <w:szCs w:val="24"/>
        </w:rPr>
      </w:pPr>
      <w:r>
        <w:rPr>
          <w:rFonts w:ascii="Times New Roman" w:hAnsi="Times New Roman"/>
          <w:szCs w:val="24"/>
        </w:rPr>
        <w:t>LL 18</w:t>
      </w:r>
      <w:r w:rsidRPr="004F43E9">
        <w:rPr>
          <w:rFonts w:ascii="Times New Roman" w:hAnsi="Times New Roman"/>
          <w:szCs w:val="24"/>
        </w:rPr>
        <w:t xml:space="preserve">, which created a new type of MFV license called a supervisory license, changed </w:t>
      </w:r>
      <w:r w:rsidRPr="004F43E9">
        <w:rPr>
          <w:rFonts w:ascii="Times New Roman" w:hAnsi="Times New Roman"/>
          <w:szCs w:val="24"/>
        </w:rPr>
        <w:lastRenderedPageBreak/>
        <w:t xml:space="preserve">what is required of vendors operating a food vending cart. Pursuant to this local law, a supervisory license holder must be working at a cart with a supervisory license </w:t>
      </w:r>
      <w:proofErr w:type="gramStart"/>
      <w:r w:rsidRPr="004F43E9">
        <w:rPr>
          <w:rFonts w:ascii="Times New Roman" w:hAnsi="Times New Roman"/>
          <w:szCs w:val="24"/>
        </w:rPr>
        <w:t>permit, or</w:t>
      </w:r>
      <w:proofErr w:type="gramEnd"/>
      <w:r w:rsidRPr="004F43E9">
        <w:rPr>
          <w:rFonts w:ascii="Times New Roman" w:hAnsi="Times New Roman"/>
          <w:szCs w:val="24"/>
        </w:rPr>
        <w:t xml:space="preserve"> risk a penalty of $1,000 for operating without a supervisory licensee. By July 1, 2032, all permitted vending carts must be operated by a supervisory licensee. Pursuant to this law, MVF licensees may work on a mobile food vending unit, but a supervisory license holder must also be present.  </w:t>
      </w:r>
    </w:p>
    <w:p w14:paraId="03B1BB8B" w14:textId="7531AC4C" w:rsidR="00A722F7" w:rsidRPr="00EC4832" w:rsidRDefault="00A722F7" w:rsidP="00A722F7">
      <w:pPr>
        <w:pStyle w:val="EndnoteText"/>
        <w:numPr>
          <w:ilvl w:val="1"/>
          <w:numId w:val="1"/>
        </w:numPr>
        <w:spacing w:line="480" w:lineRule="auto"/>
        <w:jc w:val="both"/>
        <w:rPr>
          <w:rFonts w:ascii="Times New Roman" w:hAnsi="Times New Roman"/>
          <w:b/>
          <w:iCs/>
          <w:szCs w:val="24"/>
        </w:rPr>
      </w:pPr>
      <w:r>
        <w:rPr>
          <w:rFonts w:ascii="Times New Roman" w:hAnsi="Times New Roman"/>
          <w:b/>
          <w:iCs/>
          <w:szCs w:val="24"/>
        </w:rPr>
        <w:t xml:space="preserve">Street Vending </w:t>
      </w:r>
      <w:r w:rsidRPr="00EC4832">
        <w:rPr>
          <w:rFonts w:ascii="Times New Roman" w:hAnsi="Times New Roman"/>
          <w:b/>
          <w:iCs/>
          <w:szCs w:val="24"/>
        </w:rPr>
        <w:t>Time Place and Manner Restrictions</w:t>
      </w:r>
      <w:r>
        <w:rPr>
          <w:rFonts w:ascii="Times New Roman" w:hAnsi="Times New Roman"/>
          <w:b/>
          <w:iCs/>
          <w:szCs w:val="24"/>
        </w:rPr>
        <w:t xml:space="preserve"> </w:t>
      </w:r>
    </w:p>
    <w:p w14:paraId="547484C2" w14:textId="32EC981D" w:rsidR="00A722F7" w:rsidRPr="004F43E9"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In addition to the license and, for mobile food vendors, permit required to vend in New York City, vendors are required to meet a plethora of requirements for the time, place and </w:t>
      </w:r>
      <w:proofErr w:type="gramStart"/>
      <w:r w:rsidRPr="004F43E9">
        <w:rPr>
          <w:rFonts w:ascii="Times New Roman" w:hAnsi="Times New Roman"/>
          <w:szCs w:val="24"/>
        </w:rPr>
        <w:t>manner in which</w:t>
      </w:r>
      <w:proofErr w:type="gramEnd"/>
      <w:r w:rsidRPr="004F43E9">
        <w:rPr>
          <w:rFonts w:ascii="Times New Roman" w:hAnsi="Times New Roman"/>
          <w:szCs w:val="24"/>
        </w:rPr>
        <w:t xml:space="preserve"> they conduct business. Establishing where vendors can lawfully operate has always been a contentious issue for the City. During his term, Mayor Giuliani established the Street Vendor Review Panel (SVRP), the only body able to restrict streets to vending by rulemaking. However, after many contentious street closures and numerous court cases, the SVRP came to be seen as undemocratic, classist and overly restrictive.</w:t>
      </w:r>
      <w:r w:rsidR="00522313">
        <w:rPr>
          <w:rStyle w:val="FootnoteReference"/>
          <w:rFonts w:ascii="Times New Roman" w:hAnsi="Times New Roman"/>
          <w:szCs w:val="24"/>
        </w:rPr>
        <w:footnoteReference w:id="41"/>
      </w:r>
      <w:r w:rsidRPr="004F43E9">
        <w:rPr>
          <w:rFonts w:ascii="Times New Roman" w:hAnsi="Times New Roman"/>
          <w:szCs w:val="24"/>
        </w:rPr>
        <w:t xml:space="preserve"> Its last ruling was in 2000.</w:t>
      </w:r>
      <w:r w:rsidRPr="004F43E9">
        <w:rPr>
          <w:rStyle w:val="FootnoteReference"/>
          <w:rFonts w:ascii="Times New Roman" w:eastAsiaTheme="majorEastAsia" w:hAnsi="Times New Roman"/>
          <w:szCs w:val="24"/>
        </w:rPr>
        <w:footnoteReference w:id="42"/>
      </w:r>
      <w:r w:rsidRPr="004F43E9">
        <w:rPr>
          <w:rFonts w:ascii="Times New Roman" w:hAnsi="Times New Roman"/>
          <w:szCs w:val="24"/>
        </w:rPr>
        <w:t xml:space="preserve"> </w:t>
      </w:r>
    </w:p>
    <w:p w14:paraId="1515E856" w14:textId="5D63CEA7" w:rsidR="00A722F7" w:rsidRPr="004F43E9" w:rsidRDefault="00A722F7" w:rsidP="00A722F7">
      <w:pPr>
        <w:pStyle w:val="EndnoteText"/>
        <w:spacing w:line="480" w:lineRule="auto"/>
        <w:ind w:firstLine="720"/>
        <w:jc w:val="both"/>
        <w:rPr>
          <w:rFonts w:ascii="Times New Roman" w:hAnsi="Times New Roman"/>
          <w:szCs w:val="24"/>
        </w:rPr>
      </w:pPr>
      <w:r>
        <w:rPr>
          <w:rFonts w:ascii="Times New Roman" w:hAnsi="Times New Roman"/>
          <w:szCs w:val="24"/>
        </w:rPr>
        <w:t xml:space="preserve">In response to community concerns around congestion, sanitation, safety and security, the Council has enacted legislation restricting vending in particular zoning districts, on </w:t>
      </w:r>
      <w:proofErr w:type="gramStart"/>
      <w:r>
        <w:rPr>
          <w:rFonts w:ascii="Times New Roman" w:hAnsi="Times New Roman"/>
          <w:szCs w:val="24"/>
        </w:rPr>
        <w:t>particular days</w:t>
      </w:r>
      <w:proofErr w:type="gramEnd"/>
      <w:r>
        <w:rPr>
          <w:rFonts w:ascii="Times New Roman" w:hAnsi="Times New Roman"/>
          <w:szCs w:val="24"/>
        </w:rPr>
        <w:t xml:space="preserve"> of the week, or </w:t>
      </w:r>
      <w:proofErr w:type="gramStart"/>
      <w:r>
        <w:rPr>
          <w:rFonts w:ascii="Times New Roman" w:hAnsi="Times New Roman"/>
          <w:szCs w:val="24"/>
        </w:rPr>
        <w:t>particular periods</w:t>
      </w:r>
      <w:proofErr w:type="gramEnd"/>
      <w:r>
        <w:rPr>
          <w:rFonts w:ascii="Times New Roman" w:hAnsi="Times New Roman"/>
          <w:szCs w:val="24"/>
        </w:rPr>
        <w:t xml:space="preserve"> of the year</w:t>
      </w:r>
      <w:r w:rsidRPr="004F43E9">
        <w:rPr>
          <w:rFonts w:ascii="Times New Roman" w:hAnsi="Times New Roman"/>
          <w:szCs w:val="24"/>
        </w:rPr>
        <w:t>.</w:t>
      </w:r>
      <w:r w:rsidRPr="004F43E9" w:rsidDel="00E24A33">
        <w:rPr>
          <w:rFonts w:ascii="Times New Roman" w:hAnsi="Times New Roman"/>
          <w:szCs w:val="24"/>
          <w:vertAlign w:val="superscript"/>
        </w:rPr>
        <w:t xml:space="preserve"> </w:t>
      </w:r>
      <w:r>
        <w:rPr>
          <w:rFonts w:ascii="Times New Roman" w:hAnsi="Times New Roman"/>
          <w:szCs w:val="24"/>
        </w:rPr>
        <w:t xml:space="preserve">As a result, </w:t>
      </w:r>
      <w:r w:rsidRPr="004F43E9">
        <w:rPr>
          <w:rFonts w:ascii="Times New Roman" w:hAnsi="Times New Roman"/>
          <w:szCs w:val="24"/>
        </w:rPr>
        <w:t xml:space="preserve">there are </w:t>
      </w:r>
      <w:r w:rsidR="00912E4A">
        <w:rPr>
          <w:rFonts w:ascii="Times New Roman" w:hAnsi="Times New Roman"/>
          <w:szCs w:val="24"/>
        </w:rPr>
        <w:t>dozens of</w:t>
      </w:r>
      <w:r w:rsidRPr="004F43E9">
        <w:rPr>
          <w:rFonts w:ascii="Times New Roman" w:hAnsi="Times New Roman"/>
          <w:szCs w:val="24"/>
        </w:rPr>
        <w:t xml:space="preserve"> streets where vending is banned</w:t>
      </w:r>
      <w:r w:rsidR="00912E4A">
        <w:rPr>
          <w:rFonts w:ascii="Times New Roman" w:hAnsi="Times New Roman"/>
          <w:szCs w:val="24"/>
        </w:rPr>
        <w:t xml:space="preserve"> completely,</w:t>
      </w:r>
      <w:r w:rsidRPr="004F43E9">
        <w:rPr>
          <w:rFonts w:ascii="Times New Roman" w:hAnsi="Times New Roman"/>
          <w:szCs w:val="24"/>
        </w:rPr>
        <w:t xml:space="preserve"> while vending on other streets are restricted to certain times and days of the year.</w:t>
      </w:r>
      <w:r w:rsidRPr="004F43E9">
        <w:rPr>
          <w:rStyle w:val="FootnoteReference"/>
          <w:rFonts w:ascii="Times New Roman" w:eastAsiaTheme="majorEastAsia" w:hAnsi="Times New Roman"/>
          <w:szCs w:val="24"/>
        </w:rPr>
        <w:footnoteReference w:id="43"/>
      </w:r>
      <w:r w:rsidRPr="004F43E9">
        <w:rPr>
          <w:rFonts w:ascii="Times New Roman" w:hAnsi="Times New Roman"/>
          <w:szCs w:val="24"/>
        </w:rPr>
        <w:t xml:space="preserve"> This may be due to the width of the sidewalk, a need to keep the street clear from </w:t>
      </w:r>
      <w:r w:rsidRPr="004F43E9">
        <w:rPr>
          <w:rFonts w:ascii="Times New Roman" w:hAnsi="Times New Roman"/>
          <w:szCs w:val="24"/>
        </w:rPr>
        <w:lastRenderedPageBreak/>
        <w:t>obstructions (for example, around security checkpoints), or because the area is overly congested</w:t>
      </w:r>
      <w:r>
        <w:rPr>
          <w:rFonts w:ascii="Times New Roman" w:hAnsi="Times New Roman"/>
          <w:szCs w:val="24"/>
        </w:rPr>
        <w:t xml:space="preserve"> (for example, Dyker Heights during the holiday season)</w:t>
      </w:r>
      <w:r w:rsidRPr="004F43E9">
        <w:rPr>
          <w:rFonts w:ascii="Times New Roman" w:hAnsi="Times New Roman"/>
          <w:szCs w:val="24"/>
        </w:rPr>
        <w:t xml:space="preserve">. In </w:t>
      </w:r>
      <w:r>
        <w:rPr>
          <w:rFonts w:ascii="Times New Roman" w:hAnsi="Times New Roman"/>
          <w:szCs w:val="24"/>
        </w:rPr>
        <w:t>addition</w:t>
      </w:r>
      <w:r w:rsidRPr="004F43E9">
        <w:rPr>
          <w:rFonts w:ascii="Times New Roman" w:hAnsi="Times New Roman"/>
          <w:szCs w:val="24"/>
        </w:rPr>
        <w:t xml:space="preserve">, </w:t>
      </w:r>
      <w:r>
        <w:rPr>
          <w:rFonts w:ascii="Times New Roman" w:hAnsi="Times New Roman"/>
          <w:szCs w:val="24"/>
        </w:rPr>
        <w:t xml:space="preserve">there are regulations on the activity of veteran vendors who are allowed to vend on streets otherwise restricted to vendors. </w:t>
      </w:r>
      <w:r w:rsidRPr="004F43E9">
        <w:rPr>
          <w:rFonts w:ascii="Times New Roman" w:hAnsi="Times New Roman"/>
          <w:szCs w:val="24"/>
        </w:rPr>
        <w:t>SVLs are limited to two per block face when vending on streets otherwise restricted to street vendors</w:t>
      </w:r>
      <w:r>
        <w:rPr>
          <w:rFonts w:ascii="Times New Roman" w:hAnsi="Times New Roman"/>
          <w:szCs w:val="24"/>
        </w:rPr>
        <w:t xml:space="preserve"> and </w:t>
      </w:r>
      <w:r w:rsidRPr="004F43E9">
        <w:rPr>
          <w:rFonts w:ascii="Times New Roman" w:hAnsi="Times New Roman"/>
          <w:szCs w:val="24"/>
        </w:rPr>
        <w:t>MSVLs are limited to one per block face.</w:t>
      </w:r>
      <w:r w:rsidRPr="004F43E9">
        <w:rPr>
          <w:rStyle w:val="FootnoteReference"/>
          <w:rFonts w:ascii="Times New Roman" w:eastAsiaTheme="majorEastAsia" w:hAnsi="Times New Roman"/>
          <w:szCs w:val="24"/>
        </w:rPr>
        <w:footnoteReference w:id="44"/>
      </w:r>
      <w:r w:rsidRPr="004F43E9">
        <w:rPr>
          <w:rFonts w:ascii="Times New Roman" w:hAnsi="Times New Roman"/>
          <w:szCs w:val="24"/>
        </w:rPr>
        <w:t xml:space="preserve"> When a third or second, as applicable, vendor arrives, the priority number on the license determines which vendors may remain.</w:t>
      </w:r>
      <w:r w:rsidRPr="004F43E9">
        <w:rPr>
          <w:rStyle w:val="FootnoteReference"/>
          <w:rFonts w:ascii="Times New Roman" w:eastAsiaTheme="majorEastAsia" w:hAnsi="Times New Roman"/>
          <w:szCs w:val="24"/>
        </w:rPr>
        <w:footnoteReference w:id="45"/>
      </w:r>
      <w:r w:rsidRPr="004F43E9">
        <w:rPr>
          <w:rFonts w:ascii="Times New Roman" w:hAnsi="Times New Roman"/>
          <w:szCs w:val="24"/>
        </w:rPr>
        <w:t xml:space="preserve"> </w:t>
      </w:r>
    </w:p>
    <w:p w14:paraId="047EE744" w14:textId="77777777" w:rsidR="00A722F7" w:rsidRPr="004F43E9" w:rsidRDefault="00A722F7" w:rsidP="00A722F7">
      <w:pPr>
        <w:pStyle w:val="EndnoteText"/>
        <w:spacing w:line="480" w:lineRule="auto"/>
        <w:jc w:val="both"/>
        <w:rPr>
          <w:rFonts w:ascii="Times New Roman" w:hAnsi="Times New Roman"/>
          <w:szCs w:val="24"/>
        </w:rPr>
      </w:pPr>
      <w:r>
        <w:rPr>
          <w:rFonts w:ascii="Times New Roman" w:hAnsi="Times New Roman"/>
          <w:szCs w:val="24"/>
        </w:rPr>
        <w:tab/>
      </w:r>
      <w:r w:rsidRPr="004F43E9">
        <w:rPr>
          <w:rFonts w:ascii="Times New Roman" w:hAnsi="Times New Roman"/>
          <w:szCs w:val="24"/>
        </w:rPr>
        <w:t>Once a suitable street has been located, vendors must navigate the sidewalk regulations. Listed below are but a few examples of where vendors can set up:</w:t>
      </w:r>
    </w:p>
    <w:p w14:paraId="137ABBC7"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On a sidewalk that is at least 12 feet </w:t>
      </w:r>
      <w:proofErr w:type="gramStart"/>
      <w:r w:rsidRPr="004F43E9">
        <w:rPr>
          <w:rFonts w:ascii="Times New Roman" w:hAnsi="Times New Roman"/>
          <w:szCs w:val="24"/>
        </w:rPr>
        <w:t>wide;</w:t>
      </w:r>
      <w:proofErr w:type="gramEnd"/>
      <w:r w:rsidRPr="004F43E9">
        <w:rPr>
          <w:rFonts w:ascii="Times New Roman" w:hAnsi="Times New Roman"/>
          <w:szCs w:val="24"/>
        </w:rPr>
        <w:t xml:space="preserve"> </w:t>
      </w:r>
    </w:p>
    <w:p w14:paraId="66826AE0"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 xml:space="preserve">Within 6-12 inches of the </w:t>
      </w:r>
      <w:proofErr w:type="gramStart"/>
      <w:r w:rsidRPr="004F43E9">
        <w:rPr>
          <w:rFonts w:ascii="Times New Roman" w:hAnsi="Times New Roman"/>
          <w:szCs w:val="24"/>
        </w:rPr>
        <w:t>curb;</w:t>
      </w:r>
      <w:proofErr w:type="gramEnd"/>
      <w:r w:rsidRPr="004F43E9">
        <w:rPr>
          <w:rFonts w:ascii="Times New Roman" w:hAnsi="Times New Roman"/>
          <w:szCs w:val="24"/>
        </w:rPr>
        <w:t xml:space="preserve"> </w:t>
      </w:r>
    </w:p>
    <w:p w14:paraId="344B0C4F"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At least 10 feet away from any crosswalk, driveway or subway entrance/</w:t>
      </w:r>
      <w:proofErr w:type="gramStart"/>
      <w:r w:rsidRPr="004F43E9">
        <w:rPr>
          <w:rFonts w:ascii="Times New Roman" w:hAnsi="Times New Roman"/>
          <w:szCs w:val="24"/>
        </w:rPr>
        <w:t>exit;</w:t>
      </w:r>
      <w:proofErr w:type="gramEnd"/>
      <w:r w:rsidRPr="004F43E9">
        <w:rPr>
          <w:rFonts w:ascii="Times New Roman" w:hAnsi="Times New Roman"/>
          <w:szCs w:val="24"/>
        </w:rPr>
        <w:t xml:space="preserve"> </w:t>
      </w:r>
    </w:p>
    <w:p w14:paraId="3E2412FC" w14:textId="77777777" w:rsidR="00A722F7" w:rsidRPr="004F43E9"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At least 20 feet from a building entrance or exit; or</w:t>
      </w:r>
    </w:p>
    <w:p w14:paraId="08F910B0" w14:textId="77777777" w:rsidR="00A722F7" w:rsidRPr="005E3F77" w:rsidRDefault="00A722F7" w:rsidP="00A722F7">
      <w:pPr>
        <w:pStyle w:val="EndnoteText"/>
        <w:numPr>
          <w:ilvl w:val="0"/>
          <w:numId w:val="3"/>
        </w:numPr>
        <w:spacing w:line="480" w:lineRule="auto"/>
        <w:jc w:val="both"/>
        <w:rPr>
          <w:rFonts w:ascii="Times New Roman" w:hAnsi="Times New Roman"/>
          <w:szCs w:val="24"/>
        </w:rPr>
      </w:pPr>
      <w:r w:rsidRPr="004F43E9">
        <w:rPr>
          <w:rFonts w:ascii="Times New Roman" w:hAnsi="Times New Roman"/>
          <w:szCs w:val="24"/>
        </w:rPr>
        <w:t>In an area that is not designated as a ‘no standing zone</w:t>
      </w:r>
      <w:r>
        <w:rPr>
          <w:rFonts w:ascii="Times New Roman" w:hAnsi="Times New Roman"/>
          <w:szCs w:val="24"/>
        </w:rPr>
        <w:t>,</w:t>
      </w:r>
      <w:r w:rsidRPr="004F43E9">
        <w:rPr>
          <w:rFonts w:ascii="Times New Roman" w:hAnsi="Times New Roman"/>
          <w:szCs w:val="24"/>
        </w:rPr>
        <w:t>’</w:t>
      </w:r>
      <w:r>
        <w:rPr>
          <w:rFonts w:ascii="Times New Roman" w:hAnsi="Times New Roman"/>
          <w:szCs w:val="24"/>
        </w:rPr>
        <w:t xml:space="preserve"> </w:t>
      </w:r>
      <w:r w:rsidRPr="004F43E9">
        <w:rPr>
          <w:rFonts w:ascii="Times New Roman" w:hAnsi="Times New Roman"/>
          <w:szCs w:val="24"/>
        </w:rPr>
        <w:t>a bus stop or a hospital.</w:t>
      </w:r>
      <w:r w:rsidRPr="004F43E9">
        <w:rPr>
          <w:rStyle w:val="FootnoteReference"/>
          <w:rFonts w:ascii="Times New Roman" w:eastAsiaTheme="majorEastAsia" w:hAnsi="Times New Roman"/>
          <w:szCs w:val="24"/>
        </w:rPr>
        <w:footnoteReference w:id="46"/>
      </w:r>
      <w:r w:rsidRPr="004F43E9">
        <w:rPr>
          <w:rFonts w:ascii="Times New Roman" w:hAnsi="Times New Roman"/>
          <w:szCs w:val="24"/>
        </w:rPr>
        <w:t xml:space="preserve"> </w:t>
      </w:r>
    </w:p>
    <w:p w14:paraId="5601D9D2" w14:textId="3FB5ADA9" w:rsidR="00A722F7" w:rsidRPr="004F43E9" w:rsidRDefault="00A722F7" w:rsidP="00A722F7">
      <w:pPr>
        <w:pStyle w:val="EndnoteText"/>
        <w:spacing w:line="480" w:lineRule="auto"/>
        <w:ind w:firstLine="720"/>
        <w:jc w:val="both"/>
        <w:rPr>
          <w:rFonts w:ascii="Times New Roman" w:hAnsi="Times New Roman"/>
          <w:b/>
          <w:noProof/>
          <w:szCs w:val="24"/>
        </w:rPr>
      </w:pPr>
      <w:r w:rsidRPr="004F43E9">
        <w:rPr>
          <w:rFonts w:ascii="Times New Roman" w:hAnsi="Times New Roman"/>
          <w:szCs w:val="24"/>
        </w:rPr>
        <w:t>There are also multiple regulations regarding the physical setups vendors use. General vendors’ tables, carts or stands can be no more than 8 feet long, 3 feet deep, and 5 feet tall.</w:t>
      </w:r>
      <w:r w:rsidRPr="004F43E9">
        <w:rPr>
          <w:rStyle w:val="FootnoteReference"/>
          <w:rFonts w:ascii="Times New Roman" w:hAnsi="Times New Roman"/>
          <w:szCs w:val="24"/>
        </w:rPr>
        <w:footnoteReference w:id="47"/>
      </w:r>
      <w:r w:rsidRPr="004F43E9">
        <w:rPr>
          <w:rFonts w:ascii="Times New Roman" w:hAnsi="Times New Roman"/>
          <w:szCs w:val="24"/>
        </w:rPr>
        <w:t xml:space="preserve"> General vendors cannot place items for sale directly on the sidewalk</w:t>
      </w:r>
      <w:r w:rsidR="00F725C1">
        <w:rPr>
          <w:rFonts w:ascii="Times New Roman" w:hAnsi="Times New Roman"/>
          <w:szCs w:val="24"/>
        </w:rPr>
        <w:t>,</w:t>
      </w:r>
      <w:r w:rsidRPr="004F43E9">
        <w:rPr>
          <w:rFonts w:ascii="Times New Roman" w:hAnsi="Times New Roman"/>
          <w:szCs w:val="24"/>
        </w:rPr>
        <w:t xml:space="preserve"> or on a blanket, board or piece of cardboard on the sidewalk.</w:t>
      </w:r>
      <w:r w:rsidRPr="004F43E9">
        <w:rPr>
          <w:rStyle w:val="FootnoteReference"/>
          <w:rFonts w:ascii="Times New Roman" w:hAnsi="Times New Roman"/>
          <w:szCs w:val="24"/>
        </w:rPr>
        <w:footnoteReference w:id="48"/>
      </w:r>
      <w:r w:rsidRPr="004F43E9">
        <w:rPr>
          <w:rFonts w:ascii="Times New Roman" w:hAnsi="Times New Roman"/>
          <w:szCs w:val="24"/>
        </w:rPr>
        <w:t xml:space="preserve"> Mobile food vending setup regulations vary and are determined by the types of foods sold. For example, carts for prepacked foods require overhead structures (such as an umbrella or canopy), thermometers and both hot and cold storage (i.e. food warmers or refrigeration). Carts that sell grilled meats are also required to have these elements, in </w:t>
      </w:r>
      <w:r w:rsidRPr="004F43E9">
        <w:rPr>
          <w:rFonts w:ascii="Times New Roman" w:hAnsi="Times New Roman"/>
          <w:szCs w:val="24"/>
        </w:rPr>
        <w:lastRenderedPageBreak/>
        <w:t>addition to potable water, sinks for washing food and cooking utensils as well as a handwashing sink and ventilation.</w:t>
      </w:r>
      <w:r w:rsidRPr="004F43E9">
        <w:rPr>
          <w:rStyle w:val="FootnoteReference"/>
          <w:rFonts w:ascii="Times New Roman" w:eastAsiaTheme="majorEastAsia" w:hAnsi="Times New Roman"/>
          <w:szCs w:val="24"/>
        </w:rPr>
        <w:footnoteReference w:id="49"/>
      </w:r>
      <w:r w:rsidRPr="004F43E9">
        <w:rPr>
          <w:rFonts w:ascii="Times New Roman" w:hAnsi="Times New Roman"/>
          <w:szCs w:val="24"/>
        </w:rPr>
        <w:t xml:space="preserve"> The size of the cart is also restricted and regulated, as are the water and propane tanks.</w:t>
      </w:r>
      <w:r w:rsidRPr="004F43E9">
        <w:rPr>
          <w:rStyle w:val="FootnoteReference"/>
          <w:rFonts w:ascii="Times New Roman" w:eastAsiaTheme="majorEastAsia" w:hAnsi="Times New Roman"/>
          <w:szCs w:val="24"/>
        </w:rPr>
        <w:footnoteReference w:id="50"/>
      </w:r>
      <w:r w:rsidRPr="004F43E9">
        <w:rPr>
          <w:rFonts w:ascii="Times New Roman" w:hAnsi="Times New Roman"/>
          <w:szCs w:val="24"/>
        </w:rPr>
        <w:t xml:space="preserve"> </w:t>
      </w:r>
    </w:p>
    <w:p w14:paraId="200E3BBC" w14:textId="77777777" w:rsidR="00A722F7" w:rsidRPr="004F43E9"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DOHMH is required to inspect food vending carts before a permit is initially issued and at least once a year thereafter. Inspections are also conducted when the permit requires renewal, if modifications are made to the cart, if there have been complaints or reports made about potential violations, to follow up a Health Commissioner order, or to correct a violation.</w:t>
      </w:r>
      <w:r w:rsidRPr="004F43E9">
        <w:rPr>
          <w:rStyle w:val="FootnoteReference"/>
          <w:rFonts w:ascii="Times New Roman" w:eastAsiaTheme="majorEastAsia" w:hAnsi="Times New Roman"/>
          <w:szCs w:val="24"/>
        </w:rPr>
        <w:footnoteReference w:id="51"/>
      </w:r>
      <w:r w:rsidRPr="004F43E9">
        <w:rPr>
          <w:rFonts w:ascii="Times New Roman" w:hAnsi="Times New Roman"/>
          <w:szCs w:val="24"/>
        </w:rPr>
        <w:t xml:space="preserve"> Since the passage of Local Law 108 of 2017, mobile food vending carts must also be inspected and issued a letter grade similar to restaurants and other food establishments.</w:t>
      </w:r>
      <w:r w:rsidRPr="004F43E9">
        <w:rPr>
          <w:rStyle w:val="FootnoteReference"/>
          <w:rFonts w:ascii="Times New Roman" w:eastAsiaTheme="majorEastAsia" w:hAnsi="Times New Roman"/>
          <w:szCs w:val="24"/>
        </w:rPr>
        <w:footnoteReference w:id="52"/>
      </w:r>
      <w:r w:rsidRPr="004F43E9">
        <w:rPr>
          <w:rFonts w:ascii="Times New Roman" w:hAnsi="Times New Roman"/>
          <w:szCs w:val="24"/>
        </w:rPr>
        <w:t xml:space="preserve"> </w:t>
      </w:r>
    </w:p>
    <w:p w14:paraId="5D166B18" w14:textId="77777777" w:rsidR="00A722F7" w:rsidRDefault="00A722F7" w:rsidP="00A722F7">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At the close of business, </w:t>
      </w:r>
      <w:r>
        <w:rPr>
          <w:rFonts w:ascii="Times New Roman" w:hAnsi="Times New Roman"/>
          <w:szCs w:val="24"/>
        </w:rPr>
        <w:t>MFVs</w:t>
      </w:r>
      <w:r w:rsidRPr="004F43E9">
        <w:rPr>
          <w:rFonts w:ascii="Times New Roman" w:hAnsi="Times New Roman"/>
          <w:szCs w:val="24"/>
        </w:rPr>
        <w:t xml:space="preserve"> must remove their carts from the street, and the carts must be stored and cleaned in a DOHMH approved facility – usually a commissary or depot. Regulations also require MFVs to prepare their foods for the day at, or to purchase pre-prepared foods from, the commissary.</w:t>
      </w:r>
      <w:r w:rsidRPr="004F43E9">
        <w:rPr>
          <w:rStyle w:val="FootnoteReference"/>
          <w:rFonts w:ascii="Times New Roman" w:eastAsiaTheme="majorEastAsia" w:hAnsi="Times New Roman"/>
          <w:szCs w:val="24"/>
        </w:rPr>
        <w:footnoteReference w:id="53"/>
      </w:r>
      <w:r w:rsidRPr="004F43E9">
        <w:rPr>
          <w:rFonts w:ascii="Times New Roman" w:hAnsi="Times New Roman"/>
          <w:szCs w:val="24"/>
        </w:rPr>
        <w:t xml:space="preserve"> The cost to store a cart at a depot or commissary is in </w:t>
      </w:r>
      <w:proofErr w:type="gramStart"/>
      <w:r w:rsidRPr="004F43E9">
        <w:rPr>
          <w:rFonts w:ascii="Times New Roman" w:hAnsi="Times New Roman"/>
          <w:szCs w:val="24"/>
        </w:rPr>
        <w:t>the hundreds</w:t>
      </w:r>
      <w:proofErr w:type="gramEnd"/>
      <w:r w:rsidRPr="004F43E9">
        <w:rPr>
          <w:rFonts w:ascii="Times New Roman" w:hAnsi="Times New Roman"/>
          <w:szCs w:val="24"/>
        </w:rPr>
        <w:t xml:space="preserve"> of dollars per month.</w:t>
      </w:r>
      <w:r w:rsidRPr="004F43E9">
        <w:rPr>
          <w:rStyle w:val="FootnoteReference"/>
          <w:rFonts w:ascii="Times New Roman" w:eastAsiaTheme="majorEastAsia" w:hAnsi="Times New Roman"/>
          <w:szCs w:val="24"/>
        </w:rPr>
        <w:footnoteReference w:id="54"/>
      </w:r>
    </w:p>
    <w:p w14:paraId="5DB38F0E" w14:textId="41C46EFF" w:rsidR="00952CD8" w:rsidRDefault="00952CD8" w:rsidP="008E4151">
      <w:pPr>
        <w:pStyle w:val="EndnoteText"/>
        <w:numPr>
          <w:ilvl w:val="1"/>
          <w:numId w:val="1"/>
        </w:numPr>
        <w:spacing w:line="480" w:lineRule="auto"/>
        <w:jc w:val="both"/>
        <w:rPr>
          <w:rFonts w:ascii="Times New Roman" w:hAnsi="Times New Roman"/>
          <w:b/>
          <w:bCs/>
          <w:szCs w:val="24"/>
        </w:rPr>
      </w:pPr>
      <w:r>
        <w:rPr>
          <w:rFonts w:ascii="Times New Roman" w:hAnsi="Times New Roman"/>
          <w:b/>
          <w:bCs/>
          <w:szCs w:val="24"/>
        </w:rPr>
        <w:t>Penalties for Street Vending Violations</w:t>
      </w:r>
    </w:p>
    <w:p w14:paraId="63FDFF1A" w14:textId="0A502FA9" w:rsidR="00952CD8" w:rsidRDefault="00952CD8" w:rsidP="00952CD8">
      <w:pPr>
        <w:pStyle w:val="EndnoteText"/>
        <w:spacing w:line="480" w:lineRule="auto"/>
        <w:ind w:firstLine="720"/>
        <w:jc w:val="both"/>
        <w:rPr>
          <w:rFonts w:ascii="Times New Roman" w:hAnsi="Times New Roman"/>
          <w:szCs w:val="24"/>
        </w:rPr>
      </w:pPr>
      <w:r>
        <w:rPr>
          <w:rFonts w:ascii="Times New Roman" w:hAnsi="Times New Roman"/>
          <w:szCs w:val="24"/>
        </w:rPr>
        <w:t>Currently, a</w:t>
      </w:r>
      <w:r w:rsidRPr="004F43E9">
        <w:rPr>
          <w:rFonts w:ascii="Times New Roman" w:hAnsi="Times New Roman"/>
          <w:szCs w:val="24"/>
        </w:rPr>
        <w:t>ny person who vends without a license is guilty of a misdemeanor punishable by a fine of up to $1,000, by imprisonment of up to three months, or both.</w:t>
      </w:r>
      <w:r w:rsidRPr="004F43E9">
        <w:rPr>
          <w:rStyle w:val="FootnoteReference"/>
          <w:rFonts w:ascii="Times New Roman" w:eastAsiaTheme="majorEastAsia" w:hAnsi="Times New Roman"/>
          <w:szCs w:val="24"/>
        </w:rPr>
        <w:footnoteReference w:id="55"/>
      </w:r>
      <w:r w:rsidRPr="004F43E9">
        <w:rPr>
          <w:rFonts w:ascii="Times New Roman" w:hAnsi="Times New Roman"/>
          <w:szCs w:val="24"/>
        </w:rPr>
        <w:t xml:space="preserve"> </w:t>
      </w:r>
      <w:r>
        <w:rPr>
          <w:rFonts w:ascii="Times New Roman" w:hAnsi="Times New Roman"/>
          <w:szCs w:val="24"/>
        </w:rPr>
        <w:t xml:space="preserve">On September 10, </w:t>
      </w:r>
      <w:r>
        <w:rPr>
          <w:rFonts w:ascii="Times New Roman" w:hAnsi="Times New Roman"/>
          <w:szCs w:val="24"/>
        </w:rPr>
        <w:lastRenderedPageBreak/>
        <w:t xml:space="preserve">2025, the Council enacted Local Law 122 of 2022 over a mayoral veto to </w:t>
      </w:r>
      <w:r w:rsidRPr="00B42D6B">
        <w:rPr>
          <w:rFonts w:ascii="Times New Roman" w:hAnsi="Times New Roman"/>
          <w:szCs w:val="24"/>
        </w:rPr>
        <w:t>remove all misdemeanor criminal penalties for general vendors and mobile food vendors.</w:t>
      </w:r>
      <w:r>
        <w:rPr>
          <w:rStyle w:val="FootnoteReference"/>
          <w:rFonts w:ascii="Times New Roman" w:hAnsi="Times New Roman"/>
          <w:szCs w:val="24"/>
        </w:rPr>
        <w:footnoteReference w:id="56"/>
      </w:r>
      <w:r w:rsidRPr="00B42D6B">
        <w:rPr>
          <w:rFonts w:ascii="Times New Roman" w:hAnsi="Times New Roman"/>
          <w:szCs w:val="24"/>
        </w:rPr>
        <w:t xml:space="preserve"> </w:t>
      </w:r>
      <w:r>
        <w:rPr>
          <w:rFonts w:ascii="Times New Roman" w:hAnsi="Times New Roman"/>
          <w:szCs w:val="24"/>
        </w:rPr>
        <w:t>When the law takes effect on March 9, 2026, v</w:t>
      </w:r>
      <w:r w:rsidRPr="00B42D6B">
        <w:rPr>
          <w:rFonts w:ascii="Times New Roman" w:hAnsi="Times New Roman"/>
          <w:szCs w:val="24"/>
        </w:rPr>
        <w:t>endors who operate without a license could be subject to a violation and a fine or a civil penalty. Vendors who violate any other street vending laws would be subject to a civil penalty</w:t>
      </w:r>
      <w:r>
        <w:rPr>
          <w:rFonts w:ascii="Times New Roman" w:hAnsi="Times New Roman"/>
          <w:szCs w:val="24"/>
        </w:rPr>
        <w:t>.</w:t>
      </w:r>
    </w:p>
    <w:p w14:paraId="22308521" w14:textId="54BFE32A" w:rsidR="00952CD8" w:rsidRPr="004F43E9" w:rsidRDefault="00952CD8" w:rsidP="000012CE">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Unlicensed general vendors are </w:t>
      </w:r>
      <w:r w:rsidR="000012CE">
        <w:rPr>
          <w:rFonts w:ascii="Times New Roman" w:hAnsi="Times New Roman"/>
          <w:szCs w:val="24"/>
        </w:rPr>
        <w:t xml:space="preserve">also </w:t>
      </w:r>
      <w:r w:rsidRPr="004F43E9">
        <w:rPr>
          <w:rFonts w:ascii="Times New Roman" w:hAnsi="Times New Roman"/>
          <w:szCs w:val="24"/>
        </w:rPr>
        <w:t xml:space="preserve">subject to fines </w:t>
      </w:r>
      <w:r>
        <w:rPr>
          <w:rFonts w:ascii="Times New Roman" w:hAnsi="Times New Roman"/>
          <w:szCs w:val="24"/>
        </w:rPr>
        <w:t>and</w:t>
      </w:r>
      <w:r w:rsidRPr="004F43E9">
        <w:rPr>
          <w:rFonts w:ascii="Times New Roman" w:hAnsi="Times New Roman"/>
          <w:szCs w:val="24"/>
        </w:rPr>
        <w:t xml:space="preserve"> penalties for each day of unlicensed business activity.</w:t>
      </w:r>
      <w:r w:rsidRPr="00ED0CB9">
        <w:rPr>
          <w:rStyle w:val="FootnoteReference"/>
          <w:rFonts w:ascii="Times New Roman" w:eastAsiaTheme="majorEastAsia" w:hAnsi="Times New Roman"/>
          <w:szCs w:val="24"/>
        </w:rPr>
        <w:t xml:space="preserve"> </w:t>
      </w:r>
      <w:r w:rsidRPr="004F43E9">
        <w:rPr>
          <w:rStyle w:val="FootnoteReference"/>
          <w:rFonts w:ascii="Times New Roman" w:eastAsiaTheme="majorEastAsia" w:hAnsi="Times New Roman"/>
          <w:szCs w:val="24"/>
        </w:rPr>
        <w:footnoteReference w:id="57"/>
      </w:r>
      <w:r w:rsidRPr="004F43E9">
        <w:rPr>
          <w:rFonts w:ascii="Times New Roman" w:hAnsi="Times New Roman"/>
          <w:szCs w:val="24"/>
        </w:rPr>
        <w:t xml:space="preserve"> General vendors who violate time, place and manner requirements set forth in the Code face fines of up to $500 for multiple offenses over a two-year period. Both licensed and unlicensed vendors may have their carts or goods seized for certain transgressions and face possible forfeiture of their possessions. Authorized officers and employees of DCWP and DSNY have the power to enforce the laws, rules, and regulations related to general vendors. </w:t>
      </w:r>
    </w:p>
    <w:p w14:paraId="4CE0B7F5" w14:textId="061C8351" w:rsidR="00952CD8" w:rsidRPr="00A7744A" w:rsidRDefault="00952CD8" w:rsidP="00A7744A">
      <w:pPr>
        <w:pStyle w:val="EndnoteText"/>
        <w:spacing w:line="480" w:lineRule="auto"/>
        <w:ind w:firstLine="720"/>
        <w:jc w:val="both"/>
        <w:rPr>
          <w:rFonts w:ascii="Times New Roman" w:hAnsi="Times New Roman"/>
          <w:b/>
          <w:szCs w:val="24"/>
          <w:u w:val="single"/>
        </w:rPr>
      </w:pPr>
      <w:r w:rsidRPr="004F43E9">
        <w:rPr>
          <w:rFonts w:ascii="Times New Roman" w:hAnsi="Times New Roman"/>
          <w:szCs w:val="24"/>
        </w:rPr>
        <w:t>Food vendors who violate time, place and manner the requirements set forth in the Code face fines of up to $500 for multiple offenses over a two-year period, possible forfeiture of their possessions, and may have their carts or goods seized for certain transgressions.</w:t>
      </w:r>
      <w:r w:rsidRPr="00B35F00">
        <w:rPr>
          <w:rStyle w:val="FootnoteReference"/>
          <w:rFonts w:ascii="Times New Roman" w:eastAsiaTheme="majorEastAsia" w:hAnsi="Times New Roman"/>
          <w:szCs w:val="24"/>
        </w:rPr>
        <w:t xml:space="preserve"> </w:t>
      </w:r>
      <w:r w:rsidRPr="004F43E9">
        <w:rPr>
          <w:rStyle w:val="FootnoteReference"/>
          <w:rFonts w:ascii="Times New Roman" w:eastAsiaTheme="majorEastAsia" w:hAnsi="Times New Roman"/>
          <w:szCs w:val="24"/>
        </w:rPr>
        <w:footnoteReference w:id="58"/>
      </w:r>
      <w:r w:rsidRPr="004F43E9">
        <w:rPr>
          <w:rFonts w:ascii="Times New Roman" w:hAnsi="Times New Roman"/>
          <w:szCs w:val="24"/>
        </w:rPr>
        <w:t xml:space="preserve"> They may also have their licenses suspended or revoked for certain fraudulent activity, or for three or more violations of the Code within a two-year period. Unlicensed food vendors are subject to additional fines and may have their carts and goods seized. </w:t>
      </w:r>
    </w:p>
    <w:p w14:paraId="37BB3594" w14:textId="7C54D670" w:rsidR="008E4151" w:rsidRPr="008E4151" w:rsidRDefault="008E4151" w:rsidP="008E4151">
      <w:pPr>
        <w:pStyle w:val="EndnoteText"/>
        <w:numPr>
          <w:ilvl w:val="1"/>
          <w:numId w:val="1"/>
        </w:numPr>
        <w:spacing w:line="480" w:lineRule="auto"/>
        <w:jc w:val="both"/>
        <w:rPr>
          <w:rFonts w:ascii="Times New Roman" w:hAnsi="Times New Roman"/>
          <w:b/>
          <w:bCs/>
          <w:szCs w:val="24"/>
        </w:rPr>
      </w:pPr>
      <w:r w:rsidRPr="008E4151">
        <w:rPr>
          <w:rFonts w:ascii="Times New Roman" w:hAnsi="Times New Roman"/>
          <w:b/>
          <w:bCs/>
          <w:szCs w:val="24"/>
        </w:rPr>
        <w:t>Street Vending Enforcement</w:t>
      </w:r>
    </w:p>
    <w:p w14:paraId="1137E82B" w14:textId="558D7BBC" w:rsidR="00086B05" w:rsidRPr="004F43E9" w:rsidRDefault="00086B05" w:rsidP="00086B05">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Just as there are multiple agencies responsible for street vending licensing, enforcement of vending laws and rules is conducted by multiple agencies. Prior to </w:t>
      </w:r>
      <w:r>
        <w:rPr>
          <w:rFonts w:ascii="Times New Roman" w:hAnsi="Times New Roman"/>
          <w:szCs w:val="24"/>
        </w:rPr>
        <w:t>LL</w:t>
      </w:r>
      <w:r w:rsidRPr="004F43E9">
        <w:rPr>
          <w:rFonts w:ascii="Times New Roman" w:hAnsi="Times New Roman"/>
          <w:szCs w:val="24"/>
        </w:rPr>
        <w:t xml:space="preserve"> 18, enforcement for vending </w:t>
      </w:r>
      <w:r w:rsidRPr="004F43E9">
        <w:rPr>
          <w:rFonts w:ascii="Times New Roman" w:hAnsi="Times New Roman"/>
          <w:szCs w:val="24"/>
        </w:rPr>
        <w:lastRenderedPageBreak/>
        <w:t xml:space="preserve">laws was handled by DCWP, DOHMH and NYPD. </w:t>
      </w:r>
      <w:r>
        <w:rPr>
          <w:rFonts w:ascii="Times New Roman" w:hAnsi="Times New Roman"/>
          <w:szCs w:val="24"/>
        </w:rPr>
        <w:t>LL</w:t>
      </w:r>
      <w:r w:rsidRPr="004F43E9">
        <w:rPr>
          <w:rFonts w:ascii="Times New Roman" w:hAnsi="Times New Roman"/>
          <w:szCs w:val="24"/>
        </w:rPr>
        <w:t>18 established the Office of Street Vendor Enforcement (OSVE) as the primary enforcement agency for street vending, and established that its enforcement activities shall, at a minimum, include a sufficient number of street patrols to inspect or examine the vending activities of at least 75 percent of applicable permittees or licensees on an annual basis.</w:t>
      </w:r>
      <w:r w:rsidRPr="004F43E9">
        <w:rPr>
          <w:rStyle w:val="FootnoteReference"/>
          <w:rFonts w:ascii="Times New Roman" w:hAnsi="Times New Roman"/>
          <w:szCs w:val="24"/>
        </w:rPr>
        <w:footnoteReference w:id="59"/>
      </w:r>
      <w:r w:rsidRPr="004F43E9">
        <w:rPr>
          <w:rFonts w:ascii="Times New Roman" w:hAnsi="Times New Roman"/>
          <w:szCs w:val="24"/>
        </w:rPr>
        <w:t xml:space="preserve"> The office was established in DCWP in 2021 and transferred to DSNY on April 1, 2023.</w:t>
      </w:r>
      <w:r w:rsidRPr="004F43E9">
        <w:rPr>
          <w:rStyle w:val="FootnoteReference"/>
          <w:rFonts w:ascii="Times New Roman" w:eastAsiaTheme="majorEastAsia" w:hAnsi="Times New Roman"/>
          <w:szCs w:val="24"/>
        </w:rPr>
        <w:footnoteReference w:id="60"/>
      </w:r>
      <w:r w:rsidRPr="004F43E9">
        <w:rPr>
          <w:rFonts w:ascii="Times New Roman" w:hAnsi="Times New Roman"/>
          <w:szCs w:val="24"/>
        </w:rPr>
        <w:t xml:space="preserve"> During the approximately two years that OSVE was in DCWP, 14 vendor inspectors conducted more than 25,000 inspections, issued 2,875 vending-related summonses, and authorized confiscations of vendor goods 37 times.</w:t>
      </w:r>
      <w:r w:rsidRPr="004F43E9">
        <w:rPr>
          <w:rStyle w:val="FootnoteReference"/>
          <w:rFonts w:ascii="Times New Roman" w:eastAsiaTheme="majorEastAsia" w:hAnsi="Times New Roman"/>
          <w:szCs w:val="24"/>
        </w:rPr>
        <w:footnoteReference w:id="61"/>
      </w:r>
      <w:r w:rsidRPr="004F43E9">
        <w:rPr>
          <w:rFonts w:ascii="Times New Roman" w:hAnsi="Times New Roman"/>
          <w:szCs w:val="24"/>
        </w:rPr>
        <w:t xml:space="preserve"> From the time OSVE was transferred to DSNY on April 1, 2023 through May 13, 2024, the Department’s 40 employees devoted to vending enforcement conducted 9,400 inspections, issued 2,135 violations, and authorized confiscations in 2,062 instances.</w:t>
      </w:r>
      <w:r w:rsidRPr="004F43E9">
        <w:rPr>
          <w:rStyle w:val="FootnoteReference"/>
          <w:rFonts w:ascii="Times New Roman" w:eastAsiaTheme="majorEastAsia" w:hAnsi="Times New Roman"/>
          <w:szCs w:val="24"/>
        </w:rPr>
        <w:footnoteReference w:id="62"/>
      </w:r>
      <w:r w:rsidRPr="004F43E9">
        <w:rPr>
          <w:rFonts w:ascii="Times New Roman" w:hAnsi="Times New Roman"/>
          <w:szCs w:val="24"/>
        </w:rPr>
        <w:t xml:space="preserve"> </w:t>
      </w:r>
      <w:r w:rsidR="00727287">
        <w:rPr>
          <w:rFonts w:ascii="Times New Roman" w:hAnsi="Times New Roman"/>
          <w:szCs w:val="24"/>
        </w:rPr>
        <w:t xml:space="preserve">From July 2024 through April 2025, OSVE </w:t>
      </w:r>
      <w:r w:rsidR="001052D9">
        <w:rPr>
          <w:rFonts w:ascii="Times New Roman" w:hAnsi="Times New Roman"/>
          <w:szCs w:val="24"/>
        </w:rPr>
        <w:t>conducted more than 8,000 inspections, issued approximately 5,000 summonses and donated or composted about 1.25 million pounds of food that was either abandoned or vended illegally.</w:t>
      </w:r>
      <w:r w:rsidR="001052D9">
        <w:rPr>
          <w:rStyle w:val="FootnoteReference"/>
          <w:rFonts w:ascii="Times New Roman" w:hAnsi="Times New Roman"/>
          <w:szCs w:val="24"/>
        </w:rPr>
        <w:footnoteReference w:id="63"/>
      </w:r>
      <w:r w:rsidR="00281D35">
        <w:rPr>
          <w:rFonts w:ascii="Times New Roman" w:hAnsi="Times New Roman"/>
          <w:szCs w:val="24"/>
        </w:rPr>
        <w:t xml:space="preserve"> OSVE reports that approximately one quarter of the vending summonses they issue are for unlicensed vending.</w:t>
      </w:r>
      <w:r w:rsidR="00281D35">
        <w:rPr>
          <w:rStyle w:val="FootnoteReference"/>
          <w:rFonts w:ascii="Times New Roman" w:hAnsi="Times New Roman"/>
          <w:szCs w:val="24"/>
        </w:rPr>
        <w:footnoteReference w:id="64"/>
      </w:r>
    </w:p>
    <w:p w14:paraId="5F3E39C8" w14:textId="65E2BCCC" w:rsidR="006203A7" w:rsidRPr="006203A7" w:rsidRDefault="00086B05" w:rsidP="001052D9">
      <w:pPr>
        <w:pStyle w:val="EndnoteText"/>
        <w:spacing w:line="480" w:lineRule="auto"/>
        <w:ind w:firstLine="720"/>
        <w:rPr>
          <w:rFonts w:ascii="Times New Roman" w:hAnsi="Times New Roman"/>
          <w:szCs w:val="24"/>
        </w:rPr>
      </w:pPr>
      <w:r w:rsidRPr="004F43E9">
        <w:rPr>
          <w:rFonts w:ascii="Times New Roman" w:hAnsi="Times New Roman"/>
          <w:szCs w:val="24"/>
        </w:rPr>
        <w:t>Even since OSVE’s establishment, NYPD continues to issue more civil summonses for street vending violations than any other agency, as illustrated by the chart below.</w:t>
      </w:r>
      <w:r w:rsidRPr="004F43E9">
        <w:rPr>
          <w:rStyle w:val="FootnoteReference"/>
          <w:rFonts w:ascii="Times New Roman" w:hAnsi="Times New Roman"/>
          <w:szCs w:val="24"/>
        </w:rPr>
        <w:footnoteReference w:id="65"/>
      </w:r>
      <w:r w:rsidRPr="004F43E9">
        <w:rPr>
          <w:rFonts w:ascii="Times New Roman" w:hAnsi="Times New Roman"/>
          <w:szCs w:val="24"/>
        </w:rPr>
        <w:t xml:space="preserve"> The most common civil vending violations issued </w:t>
      </w:r>
      <w:r>
        <w:rPr>
          <w:rFonts w:ascii="Times New Roman" w:hAnsi="Times New Roman"/>
          <w:szCs w:val="24"/>
        </w:rPr>
        <w:t xml:space="preserve">by all enforcement agencies </w:t>
      </w:r>
      <w:r w:rsidRPr="004F43E9">
        <w:rPr>
          <w:rFonts w:ascii="Times New Roman" w:hAnsi="Times New Roman"/>
          <w:szCs w:val="24"/>
        </w:rPr>
        <w:t xml:space="preserve">in 2024 were for unlicensed </w:t>
      </w:r>
      <w:r w:rsidRPr="004F43E9">
        <w:rPr>
          <w:rFonts w:ascii="Times New Roman" w:hAnsi="Times New Roman"/>
          <w:szCs w:val="24"/>
        </w:rPr>
        <w:lastRenderedPageBreak/>
        <w:t>vending;</w:t>
      </w:r>
      <w:r w:rsidRPr="004F43E9">
        <w:rPr>
          <w:rStyle w:val="FootnoteReference"/>
          <w:rFonts w:ascii="Times New Roman" w:hAnsi="Times New Roman"/>
          <w:szCs w:val="24"/>
        </w:rPr>
        <w:footnoteReference w:id="66"/>
      </w:r>
      <w:r w:rsidRPr="004F43E9">
        <w:rPr>
          <w:rFonts w:ascii="Times New Roman" w:hAnsi="Times New Roman"/>
          <w:szCs w:val="24"/>
        </w:rPr>
        <w:t xml:space="preserve"> vending on a sidewalk less than 12 feet wide or not at the curb;</w:t>
      </w:r>
      <w:r w:rsidRPr="004F43E9">
        <w:rPr>
          <w:rStyle w:val="FootnoteReference"/>
          <w:rFonts w:ascii="Times New Roman" w:hAnsi="Times New Roman"/>
          <w:szCs w:val="24"/>
        </w:rPr>
        <w:footnoteReference w:id="67"/>
      </w:r>
      <w:r w:rsidRPr="004F43E9">
        <w:rPr>
          <w:rFonts w:ascii="Times New Roman" w:hAnsi="Times New Roman"/>
          <w:szCs w:val="24"/>
        </w:rPr>
        <w:t xml:space="preserve"> vending in a bus stop, next to a hospital, or within 10 feet of a drive, subway, or crosswalk;</w:t>
      </w:r>
      <w:r w:rsidRPr="004F43E9">
        <w:rPr>
          <w:rStyle w:val="FootnoteReference"/>
          <w:rFonts w:ascii="Times New Roman" w:hAnsi="Times New Roman"/>
          <w:szCs w:val="24"/>
        </w:rPr>
        <w:footnoteReference w:id="68"/>
      </w:r>
      <w:r w:rsidRPr="004F43E9">
        <w:rPr>
          <w:rFonts w:ascii="Times New Roman" w:hAnsi="Times New Roman"/>
          <w:szCs w:val="24"/>
        </w:rPr>
        <w:t xml:space="preserve"> and vending at a prohibited time or place.</w:t>
      </w:r>
      <w:r w:rsidRPr="004F43E9">
        <w:rPr>
          <w:rStyle w:val="FootnoteReference"/>
          <w:rFonts w:ascii="Times New Roman" w:hAnsi="Times New Roman"/>
          <w:szCs w:val="24"/>
        </w:rPr>
        <w:footnoteReference w:id="69"/>
      </w:r>
      <w:r w:rsidR="00824A6B">
        <w:rPr>
          <w:rFonts w:ascii="Times New Roman" w:hAnsi="Times New Roman"/>
          <w:szCs w:val="24"/>
        </w:rPr>
        <w:t xml:space="preserve"> </w:t>
      </w:r>
    </w:p>
    <w:p w14:paraId="145FCECE" w14:textId="0ABB47F3" w:rsidR="00DB24F6" w:rsidRPr="006203A7" w:rsidRDefault="00DB24F6" w:rsidP="00DB24F6">
      <w:pPr>
        <w:pStyle w:val="EndnoteText"/>
        <w:spacing w:line="480" w:lineRule="auto"/>
        <w:ind w:firstLine="720"/>
        <w:rPr>
          <w:rFonts w:ascii="Times New Roman" w:hAnsi="Times New Roman"/>
          <w:szCs w:val="24"/>
        </w:rPr>
      </w:pPr>
      <w:r w:rsidRPr="004F43E9">
        <w:rPr>
          <w:rFonts w:ascii="Times New Roman" w:hAnsi="Times New Roman"/>
          <w:noProof/>
          <w:szCs w:val="24"/>
        </w:rPr>
        <w:drawing>
          <wp:anchor distT="0" distB="0" distL="114300" distR="114300" simplePos="0" relativeHeight="251658241" behindDoc="0" locked="0" layoutInCell="1" allowOverlap="1" wp14:anchorId="64A8A026" wp14:editId="1FEA4333">
            <wp:simplePos x="0" y="0"/>
            <wp:positionH relativeFrom="margin">
              <wp:align>center</wp:align>
            </wp:positionH>
            <wp:positionV relativeFrom="paragraph">
              <wp:posOffset>0</wp:posOffset>
            </wp:positionV>
            <wp:extent cx="6842760" cy="5010150"/>
            <wp:effectExtent l="0" t="0" r="0" b="0"/>
            <wp:wrapSquare wrapText="bothSides"/>
            <wp:docPr id="583803216" name="Picture 1" descr="A graph of a vending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03216" name="Picture 1" descr="A graph of a vending cas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842760" cy="5010150"/>
                    </a:xfrm>
                    <a:prstGeom prst="rect">
                      <a:avLst/>
                    </a:prstGeom>
                  </pic:spPr>
                </pic:pic>
              </a:graphicData>
            </a:graphic>
            <wp14:sizeRelH relativeFrom="margin">
              <wp14:pctWidth>0</wp14:pctWidth>
            </wp14:sizeRelH>
            <wp14:sizeRelV relativeFrom="margin">
              <wp14:pctHeight>0</wp14:pctHeight>
            </wp14:sizeRelV>
          </wp:anchor>
        </w:drawing>
      </w:r>
    </w:p>
    <w:p w14:paraId="54DAEE5F" w14:textId="13287009" w:rsidR="0073263A" w:rsidRDefault="0073263A" w:rsidP="003C0333">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Issues and Concerns Related to Street Vending</w:t>
      </w:r>
    </w:p>
    <w:p w14:paraId="33A2AF9C" w14:textId="0E43E427" w:rsidR="00977DCA" w:rsidRDefault="0073263A" w:rsidP="00977DCA">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Though the total number of street vendors in the City is unknown, some estimates suggest </w:t>
      </w:r>
      <w:r w:rsidRPr="004F43E9">
        <w:rPr>
          <w:rFonts w:ascii="Times New Roman" w:hAnsi="Times New Roman"/>
          <w:szCs w:val="24"/>
        </w:rPr>
        <w:lastRenderedPageBreak/>
        <w:t>the total number of active vendors in the City is 23,000.</w:t>
      </w:r>
      <w:r w:rsidRPr="004F43E9">
        <w:rPr>
          <w:rStyle w:val="FootnoteReference"/>
          <w:rFonts w:ascii="Times New Roman" w:hAnsi="Times New Roman"/>
          <w:szCs w:val="24"/>
        </w:rPr>
        <w:footnoteReference w:id="70"/>
      </w:r>
      <w:r w:rsidRPr="004F43E9">
        <w:rPr>
          <w:rFonts w:ascii="Times New Roman" w:hAnsi="Times New Roman"/>
          <w:szCs w:val="24"/>
        </w:rPr>
        <w:t xml:space="preserve"> As discussed above, the caps on both general and food vendors have caused the illegal market to flourish and </w:t>
      </w:r>
      <w:r w:rsidR="0087720A">
        <w:rPr>
          <w:rFonts w:ascii="Times New Roman" w:hAnsi="Times New Roman"/>
          <w:szCs w:val="24"/>
        </w:rPr>
        <w:t xml:space="preserve">an estimated </w:t>
      </w:r>
      <w:r w:rsidRPr="004F43E9">
        <w:rPr>
          <w:rFonts w:ascii="Times New Roman" w:hAnsi="Times New Roman"/>
          <w:szCs w:val="24"/>
        </w:rPr>
        <w:t xml:space="preserve"> </w:t>
      </w:r>
      <w:r w:rsidR="00037A3D">
        <w:rPr>
          <w:rFonts w:ascii="Times New Roman" w:hAnsi="Times New Roman"/>
          <w:szCs w:val="24"/>
        </w:rPr>
        <w:t>75 percent of MFV and 37 percent of general</w:t>
      </w:r>
      <w:r w:rsidRPr="004F43E9">
        <w:rPr>
          <w:rFonts w:ascii="Times New Roman" w:hAnsi="Times New Roman"/>
          <w:szCs w:val="24"/>
        </w:rPr>
        <w:t xml:space="preserve"> vendors in New York City work </w:t>
      </w:r>
      <w:r w:rsidR="0016779D">
        <w:rPr>
          <w:rFonts w:ascii="Times New Roman" w:hAnsi="Times New Roman"/>
          <w:szCs w:val="24"/>
        </w:rPr>
        <w:t>without a license</w:t>
      </w:r>
      <w:r w:rsidRPr="004F43E9">
        <w:rPr>
          <w:rFonts w:ascii="Times New Roman" w:hAnsi="Times New Roman"/>
          <w:szCs w:val="24"/>
        </w:rPr>
        <w:t>.</w:t>
      </w:r>
      <w:r w:rsidR="0087720A">
        <w:rPr>
          <w:rStyle w:val="FootnoteReference"/>
          <w:rFonts w:ascii="Times New Roman" w:hAnsi="Times New Roman"/>
          <w:szCs w:val="24"/>
        </w:rPr>
        <w:footnoteReference w:id="71"/>
      </w:r>
      <w:r w:rsidRPr="004F43E9">
        <w:rPr>
          <w:rFonts w:ascii="Times New Roman" w:hAnsi="Times New Roman"/>
          <w:szCs w:val="24"/>
        </w:rPr>
        <w:t xml:space="preserve"> The Independent Budget Office estimate</w:t>
      </w:r>
      <w:r w:rsidR="00977DCA">
        <w:rPr>
          <w:rFonts w:ascii="Times New Roman" w:hAnsi="Times New Roman"/>
          <w:szCs w:val="24"/>
        </w:rPr>
        <w:t>d in January 2024</w:t>
      </w:r>
      <w:r w:rsidRPr="004F43E9">
        <w:rPr>
          <w:rFonts w:ascii="Times New Roman" w:hAnsi="Times New Roman"/>
          <w:szCs w:val="24"/>
        </w:rPr>
        <w:t xml:space="preserve"> that lifting the cap on street vending permits and licenses would bring a net revenue gain to the City of about $1.7 million to about $</w:t>
      </w:r>
      <w:r>
        <w:rPr>
          <w:rFonts w:ascii="Times New Roman" w:hAnsi="Times New Roman"/>
          <w:szCs w:val="24"/>
        </w:rPr>
        <w:t>59</w:t>
      </w:r>
      <w:r w:rsidRPr="004F43E9">
        <w:rPr>
          <w:rFonts w:ascii="Times New Roman" w:hAnsi="Times New Roman"/>
          <w:szCs w:val="24"/>
        </w:rPr>
        <w:t xml:space="preserve"> million.</w:t>
      </w:r>
      <w:r w:rsidRPr="004F43E9">
        <w:rPr>
          <w:rStyle w:val="FootnoteReference"/>
          <w:rFonts w:ascii="Times New Roman" w:hAnsi="Times New Roman"/>
          <w:szCs w:val="24"/>
        </w:rPr>
        <w:footnoteReference w:id="72"/>
      </w:r>
      <w:r w:rsidRPr="0089172A">
        <w:rPr>
          <w:rFonts w:ascii="Times New Roman" w:hAnsi="Times New Roman"/>
          <w:szCs w:val="24"/>
        </w:rPr>
        <w:t xml:space="preserve"> </w:t>
      </w:r>
    </w:p>
    <w:p w14:paraId="3B19FA86" w14:textId="1503D242" w:rsidR="0073263A" w:rsidRPr="004F43E9" w:rsidRDefault="00977DCA" w:rsidP="00977DCA">
      <w:pPr>
        <w:pStyle w:val="EndnoteText"/>
        <w:spacing w:line="480" w:lineRule="auto"/>
        <w:ind w:firstLine="720"/>
        <w:jc w:val="both"/>
        <w:rPr>
          <w:rFonts w:ascii="Times New Roman" w:hAnsi="Times New Roman"/>
          <w:szCs w:val="24"/>
        </w:rPr>
      </w:pPr>
      <w:r>
        <w:rPr>
          <w:rFonts w:ascii="Times New Roman" w:hAnsi="Times New Roman"/>
          <w:szCs w:val="24"/>
        </w:rPr>
        <w:t>T</w:t>
      </w:r>
      <w:r w:rsidR="0073263A" w:rsidRPr="004F43E9">
        <w:rPr>
          <w:rFonts w:ascii="Times New Roman" w:hAnsi="Times New Roman"/>
          <w:szCs w:val="24"/>
        </w:rPr>
        <w:t>he Council</w:t>
      </w:r>
      <w:r w:rsidR="0073263A">
        <w:rPr>
          <w:rFonts w:ascii="Times New Roman" w:hAnsi="Times New Roman"/>
          <w:szCs w:val="24"/>
        </w:rPr>
        <w:t xml:space="preserve"> did</w:t>
      </w:r>
      <w:r w:rsidR="0073263A" w:rsidRPr="004F43E9">
        <w:rPr>
          <w:rFonts w:ascii="Times New Roman" w:hAnsi="Times New Roman"/>
          <w:szCs w:val="24"/>
        </w:rPr>
        <w:t xml:space="preserve"> substantially expand access to MFV through the passage of LL 18 in 2021</w:t>
      </w:r>
      <w:r w:rsidR="0073263A">
        <w:rPr>
          <w:rFonts w:ascii="Times New Roman" w:hAnsi="Times New Roman"/>
          <w:szCs w:val="24"/>
        </w:rPr>
        <w:t xml:space="preserve"> by requiring DOHMH to make 445 supervisory license applications available to prospective MFVs every year from 2022 through 2032</w:t>
      </w:r>
      <w:r w:rsidR="0073263A" w:rsidRPr="004F43E9">
        <w:rPr>
          <w:rFonts w:ascii="Times New Roman" w:hAnsi="Times New Roman"/>
          <w:szCs w:val="24"/>
        </w:rPr>
        <w:t xml:space="preserve">. </w:t>
      </w:r>
      <w:r w:rsidR="0073263A">
        <w:rPr>
          <w:rFonts w:ascii="Times New Roman" w:hAnsi="Times New Roman"/>
          <w:szCs w:val="24"/>
        </w:rPr>
        <w:t>A</w:t>
      </w:r>
      <w:r w:rsidR="0073263A" w:rsidRPr="004F43E9">
        <w:rPr>
          <w:rFonts w:ascii="Times New Roman" w:hAnsi="Times New Roman"/>
          <w:szCs w:val="24"/>
        </w:rPr>
        <w:t xml:space="preserve">lthough DOHMH has complied with </w:t>
      </w:r>
      <w:r w:rsidR="0073263A">
        <w:rPr>
          <w:rFonts w:ascii="Times New Roman" w:hAnsi="Times New Roman"/>
          <w:szCs w:val="24"/>
        </w:rPr>
        <w:t>this requirement</w:t>
      </w:r>
      <w:r w:rsidR="0073263A" w:rsidRPr="004F43E9">
        <w:rPr>
          <w:rFonts w:ascii="Times New Roman" w:hAnsi="Times New Roman"/>
          <w:szCs w:val="24"/>
        </w:rPr>
        <w:t xml:space="preserve">, </w:t>
      </w:r>
      <w:r w:rsidR="0073263A">
        <w:rPr>
          <w:rFonts w:ascii="Times New Roman" w:hAnsi="Times New Roman"/>
          <w:szCs w:val="24"/>
        </w:rPr>
        <w:t>not every license application results in a license issued, and not every license issued results in the issuance of a supervisory permit</w:t>
      </w:r>
      <w:r w:rsidR="0073263A" w:rsidRPr="004F43E9">
        <w:rPr>
          <w:rFonts w:ascii="Times New Roman" w:hAnsi="Times New Roman"/>
          <w:szCs w:val="24"/>
        </w:rPr>
        <w:t xml:space="preserve">. As of </w:t>
      </w:r>
      <w:r w:rsidR="00D65167">
        <w:rPr>
          <w:rFonts w:ascii="Times New Roman" w:hAnsi="Times New Roman"/>
          <w:szCs w:val="24"/>
        </w:rPr>
        <w:t>April 2025</w:t>
      </w:r>
      <w:r w:rsidR="0073263A" w:rsidRPr="004F43E9">
        <w:rPr>
          <w:rFonts w:ascii="Times New Roman" w:hAnsi="Times New Roman"/>
          <w:szCs w:val="24"/>
        </w:rPr>
        <w:t xml:space="preserve">, DOHMH had released all </w:t>
      </w:r>
      <w:r w:rsidR="0040568E">
        <w:rPr>
          <w:rFonts w:ascii="Times New Roman" w:hAnsi="Times New Roman"/>
          <w:szCs w:val="24"/>
        </w:rPr>
        <w:t>1,335</w:t>
      </w:r>
      <w:r w:rsidR="0073263A" w:rsidRPr="004F43E9">
        <w:rPr>
          <w:rFonts w:ascii="Times New Roman" w:hAnsi="Times New Roman"/>
          <w:szCs w:val="24"/>
        </w:rPr>
        <w:t xml:space="preserve"> applications for supervisory licenses required by LL 18.</w:t>
      </w:r>
      <w:r w:rsidR="0073263A" w:rsidRPr="004F43E9">
        <w:rPr>
          <w:rStyle w:val="FootnoteReference"/>
          <w:rFonts w:ascii="Times New Roman" w:hAnsi="Times New Roman"/>
          <w:szCs w:val="24"/>
        </w:rPr>
        <w:t xml:space="preserve"> </w:t>
      </w:r>
      <w:r w:rsidR="0073263A" w:rsidRPr="004F43E9">
        <w:rPr>
          <w:rStyle w:val="FootnoteReference"/>
          <w:rFonts w:ascii="Times New Roman" w:hAnsi="Times New Roman"/>
          <w:szCs w:val="24"/>
        </w:rPr>
        <w:footnoteReference w:id="73"/>
      </w:r>
      <w:r w:rsidR="0073263A" w:rsidRPr="004F43E9">
        <w:rPr>
          <w:rFonts w:ascii="Times New Roman" w:hAnsi="Times New Roman"/>
          <w:szCs w:val="24"/>
        </w:rPr>
        <w:t xml:space="preserve"> </w:t>
      </w:r>
      <w:r w:rsidR="009E1612">
        <w:rPr>
          <w:rFonts w:ascii="Times New Roman" w:hAnsi="Times New Roman"/>
          <w:szCs w:val="24"/>
        </w:rPr>
        <w:t xml:space="preserve">Of </w:t>
      </w:r>
      <w:r w:rsidR="0073263A" w:rsidRPr="004F43E9">
        <w:rPr>
          <w:rFonts w:ascii="Times New Roman" w:hAnsi="Times New Roman"/>
          <w:szCs w:val="24"/>
        </w:rPr>
        <w:t>t</w:t>
      </w:r>
      <w:r w:rsidR="009E1612">
        <w:rPr>
          <w:rFonts w:ascii="Times New Roman" w:hAnsi="Times New Roman"/>
          <w:szCs w:val="24"/>
        </w:rPr>
        <w:t>hose</w:t>
      </w:r>
      <w:r w:rsidR="0073263A" w:rsidRPr="004F43E9">
        <w:rPr>
          <w:rFonts w:ascii="Times New Roman" w:hAnsi="Times New Roman"/>
          <w:szCs w:val="24"/>
        </w:rPr>
        <w:t xml:space="preserve"> applications</w:t>
      </w:r>
      <w:r w:rsidR="009E1612">
        <w:rPr>
          <w:rFonts w:ascii="Times New Roman" w:hAnsi="Times New Roman"/>
          <w:szCs w:val="24"/>
        </w:rPr>
        <w:t>,</w:t>
      </w:r>
      <w:r w:rsidR="0073263A" w:rsidRPr="004F43E9">
        <w:rPr>
          <w:rFonts w:ascii="Times New Roman" w:hAnsi="Times New Roman"/>
          <w:szCs w:val="24"/>
        </w:rPr>
        <w:t xml:space="preserve"> </w:t>
      </w:r>
      <w:r w:rsidR="00E452FE">
        <w:rPr>
          <w:rFonts w:ascii="Times New Roman" w:hAnsi="Times New Roman"/>
          <w:szCs w:val="24"/>
        </w:rPr>
        <w:t>823</w:t>
      </w:r>
      <w:r w:rsidR="0073263A" w:rsidRPr="004F43E9">
        <w:rPr>
          <w:rFonts w:ascii="Times New Roman" w:hAnsi="Times New Roman"/>
          <w:szCs w:val="24"/>
        </w:rPr>
        <w:t xml:space="preserve"> had been submitted to DOHMH and, of those, only </w:t>
      </w:r>
      <w:r w:rsidR="00E452FE">
        <w:rPr>
          <w:rFonts w:ascii="Times New Roman" w:hAnsi="Times New Roman"/>
          <w:szCs w:val="24"/>
        </w:rPr>
        <w:t>382</w:t>
      </w:r>
      <w:r w:rsidR="0073263A" w:rsidRPr="004F43E9">
        <w:rPr>
          <w:rFonts w:ascii="Times New Roman" w:hAnsi="Times New Roman"/>
          <w:szCs w:val="24"/>
        </w:rPr>
        <w:t xml:space="preserve"> had initiated their supervisory permit process.</w:t>
      </w:r>
      <w:r w:rsidR="0073263A" w:rsidRPr="004F43E9">
        <w:rPr>
          <w:rStyle w:val="FootnoteReference"/>
          <w:rFonts w:ascii="Times New Roman" w:hAnsi="Times New Roman"/>
          <w:szCs w:val="24"/>
        </w:rPr>
        <w:footnoteReference w:id="74"/>
      </w:r>
      <w:r w:rsidR="0073263A" w:rsidRPr="004F43E9">
        <w:rPr>
          <w:rFonts w:ascii="Times New Roman" w:hAnsi="Times New Roman"/>
          <w:szCs w:val="24"/>
        </w:rPr>
        <w:t xml:space="preserve"> </w:t>
      </w:r>
      <w:r w:rsidR="0073263A">
        <w:rPr>
          <w:rFonts w:ascii="Times New Roman" w:hAnsi="Times New Roman"/>
          <w:szCs w:val="24"/>
        </w:rPr>
        <w:t>Meanwhile</w:t>
      </w:r>
      <w:r w:rsidR="0073263A" w:rsidRPr="004F43E9">
        <w:rPr>
          <w:rFonts w:ascii="Times New Roman" w:hAnsi="Times New Roman"/>
          <w:szCs w:val="24"/>
        </w:rPr>
        <w:t>, advocates have argued that releasing 445 supervisory license</w:t>
      </w:r>
      <w:r w:rsidR="00415FAF">
        <w:rPr>
          <w:rFonts w:ascii="Times New Roman" w:hAnsi="Times New Roman"/>
          <w:szCs w:val="24"/>
        </w:rPr>
        <w:t xml:space="preserve"> application</w:t>
      </w:r>
      <w:r w:rsidR="0073263A" w:rsidRPr="004F43E9">
        <w:rPr>
          <w:rFonts w:ascii="Times New Roman" w:hAnsi="Times New Roman"/>
          <w:szCs w:val="24"/>
        </w:rPr>
        <w:t>s each year for ten years is not sufficient to meet the needs of the 23,000 individuals currently working as vendors and the more than 10,000 individuals on the waitlists.</w:t>
      </w:r>
      <w:r w:rsidR="0073263A" w:rsidRPr="004F43E9">
        <w:rPr>
          <w:rStyle w:val="FootnoteReference"/>
          <w:rFonts w:ascii="Times New Roman" w:hAnsi="Times New Roman"/>
          <w:szCs w:val="24"/>
        </w:rPr>
        <w:footnoteReference w:id="75"/>
      </w:r>
      <w:r w:rsidR="0073263A" w:rsidRPr="004F43E9">
        <w:rPr>
          <w:rFonts w:ascii="Times New Roman" w:hAnsi="Times New Roman"/>
          <w:szCs w:val="24"/>
        </w:rPr>
        <w:t xml:space="preserve"> </w:t>
      </w:r>
    </w:p>
    <w:p w14:paraId="74797EF3" w14:textId="077C58FE" w:rsidR="0073263A" w:rsidRDefault="0073263A" w:rsidP="0073263A">
      <w:pPr>
        <w:pStyle w:val="EndnoteText"/>
        <w:spacing w:line="480" w:lineRule="auto"/>
        <w:ind w:firstLine="720"/>
        <w:jc w:val="both"/>
        <w:rPr>
          <w:rFonts w:ascii="Times New Roman" w:hAnsi="Times New Roman"/>
          <w:szCs w:val="24"/>
        </w:rPr>
      </w:pPr>
      <w:r w:rsidRPr="004F43E9">
        <w:rPr>
          <w:rFonts w:ascii="Times New Roman" w:hAnsi="Times New Roman"/>
          <w:szCs w:val="24"/>
        </w:rPr>
        <w:t xml:space="preserve">Some vendors criticize excessive penalties for minor infractions and arbitrary enforcement of vendor </w:t>
      </w:r>
      <w:proofErr w:type="gramStart"/>
      <w:r w:rsidRPr="004F43E9">
        <w:rPr>
          <w:rFonts w:ascii="Times New Roman" w:hAnsi="Times New Roman"/>
          <w:szCs w:val="24"/>
        </w:rPr>
        <w:t>regulations, and</w:t>
      </w:r>
      <w:proofErr w:type="gramEnd"/>
      <w:r w:rsidRPr="004F43E9">
        <w:rPr>
          <w:rFonts w:ascii="Times New Roman" w:hAnsi="Times New Roman"/>
          <w:szCs w:val="24"/>
        </w:rPr>
        <w:t xml:space="preserve"> believe they are unfairly and disproportionately targeted by City </w:t>
      </w:r>
      <w:r w:rsidRPr="004F43E9">
        <w:rPr>
          <w:rFonts w:ascii="Times New Roman" w:hAnsi="Times New Roman"/>
          <w:szCs w:val="24"/>
        </w:rPr>
        <w:lastRenderedPageBreak/>
        <w:t xml:space="preserve">government. </w:t>
      </w:r>
      <w:r>
        <w:rPr>
          <w:rFonts w:ascii="Times New Roman" w:hAnsi="Times New Roman"/>
          <w:szCs w:val="24"/>
        </w:rPr>
        <w:t xml:space="preserve">A study published by the Cornell ILR Worker Institute found that the large number of agencies responsible for regulating vending was duplicative and put vendors at </w:t>
      </w:r>
      <w:r w:rsidRPr="00C10316">
        <w:rPr>
          <w:rFonts w:ascii="Times New Roman" w:hAnsi="Times New Roman"/>
          <w:szCs w:val="24"/>
        </w:rPr>
        <w:t>high exposure to ticketing.</w:t>
      </w:r>
      <w:r>
        <w:rPr>
          <w:rStyle w:val="FootnoteReference"/>
          <w:rFonts w:ascii="Times New Roman" w:hAnsi="Times New Roman"/>
          <w:szCs w:val="24"/>
        </w:rPr>
        <w:footnoteReference w:id="76"/>
      </w:r>
      <w:r w:rsidRPr="00C10316">
        <w:rPr>
          <w:rFonts w:ascii="Times New Roman" w:hAnsi="Times New Roman"/>
          <w:szCs w:val="24"/>
        </w:rPr>
        <w:t xml:space="preserve"> </w:t>
      </w:r>
      <w:r>
        <w:rPr>
          <w:rFonts w:ascii="Times New Roman" w:hAnsi="Times New Roman"/>
          <w:szCs w:val="24"/>
        </w:rPr>
        <w:t xml:space="preserve">In addition, </w:t>
      </w:r>
      <w:r w:rsidR="00DD5876">
        <w:rPr>
          <w:rFonts w:ascii="Times New Roman" w:hAnsi="Times New Roman"/>
          <w:szCs w:val="24"/>
        </w:rPr>
        <w:t>vendors and advocates</w:t>
      </w:r>
      <w:r w:rsidR="004E669E">
        <w:rPr>
          <w:rFonts w:ascii="Times New Roman" w:hAnsi="Times New Roman"/>
          <w:szCs w:val="24"/>
        </w:rPr>
        <w:t xml:space="preserve"> assert that it is unfair to penalize </w:t>
      </w:r>
      <w:r w:rsidR="00DD5876">
        <w:rPr>
          <w:rFonts w:ascii="Times New Roman" w:hAnsi="Times New Roman"/>
          <w:szCs w:val="24"/>
        </w:rPr>
        <w:t>unlicensed vendors</w:t>
      </w:r>
      <w:r w:rsidR="004E669E">
        <w:rPr>
          <w:rFonts w:ascii="Times New Roman" w:hAnsi="Times New Roman"/>
          <w:szCs w:val="24"/>
        </w:rPr>
        <w:t xml:space="preserve"> when there is no </w:t>
      </w:r>
      <w:r w:rsidR="005A2676">
        <w:rPr>
          <w:rFonts w:ascii="Times New Roman" w:hAnsi="Times New Roman"/>
          <w:szCs w:val="24"/>
        </w:rPr>
        <w:t>opportunity</w:t>
      </w:r>
      <w:r w:rsidR="005A2676" w:rsidRPr="005A2676">
        <w:rPr>
          <w:rFonts w:ascii="Times New Roman" w:hAnsi="Times New Roman"/>
          <w:szCs w:val="24"/>
        </w:rPr>
        <w:t xml:space="preserve"> to obtain the required license and permits to operate</w:t>
      </w:r>
      <w:r w:rsidR="005A2676">
        <w:rPr>
          <w:rFonts w:ascii="Times New Roman" w:hAnsi="Times New Roman"/>
          <w:szCs w:val="24"/>
        </w:rPr>
        <w:t>, or even to get on a waiting list</w:t>
      </w:r>
      <w:r w:rsidR="00E27068">
        <w:rPr>
          <w:rFonts w:ascii="Times New Roman" w:hAnsi="Times New Roman"/>
          <w:szCs w:val="24"/>
        </w:rPr>
        <w:t xml:space="preserve"> for the </w:t>
      </w:r>
      <w:r w:rsidR="00FB5F59">
        <w:rPr>
          <w:rFonts w:ascii="Times New Roman" w:hAnsi="Times New Roman"/>
          <w:szCs w:val="24"/>
        </w:rPr>
        <w:t>business license</w:t>
      </w:r>
      <w:r w:rsidR="005A2676">
        <w:rPr>
          <w:rFonts w:ascii="Times New Roman" w:hAnsi="Times New Roman"/>
          <w:szCs w:val="24"/>
        </w:rPr>
        <w:t>.</w:t>
      </w:r>
      <w:r w:rsidR="00DD5876">
        <w:rPr>
          <w:rStyle w:val="FootnoteReference"/>
          <w:rFonts w:ascii="Times New Roman" w:hAnsi="Times New Roman"/>
          <w:szCs w:val="24"/>
        </w:rPr>
        <w:footnoteReference w:id="77"/>
      </w:r>
      <w:r w:rsidR="00EA2660" w:rsidRPr="00EA2660">
        <w:rPr>
          <w:rFonts w:ascii="Times New Roman" w:hAnsi="Times New Roman"/>
          <w:szCs w:val="24"/>
        </w:rPr>
        <w:t xml:space="preserve"> </w:t>
      </w:r>
      <w:r w:rsidR="00EA2660">
        <w:rPr>
          <w:rFonts w:ascii="Times New Roman" w:hAnsi="Times New Roman"/>
          <w:szCs w:val="24"/>
        </w:rPr>
        <w:t>Violations for unlicensed vending appear to do little to change behavior, and because unlicensed vendors have no opportunity to get a license, there is little incentive to pay the fines; p</w:t>
      </w:r>
      <w:r w:rsidR="00EA2660" w:rsidRPr="00824A6B">
        <w:rPr>
          <w:rFonts w:ascii="Times New Roman" w:hAnsi="Times New Roman"/>
          <w:szCs w:val="24"/>
        </w:rPr>
        <w:t>ublicly available data from the Office of Administrative Trials and Hearings indicates that, since January 2024, the overall payment rate for penalties imposed for unlicensed vending is about 10</w:t>
      </w:r>
      <w:r w:rsidR="00EA2660">
        <w:rPr>
          <w:rFonts w:ascii="Times New Roman" w:hAnsi="Times New Roman"/>
          <w:szCs w:val="24"/>
        </w:rPr>
        <w:t xml:space="preserve"> percent</w:t>
      </w:r>
      <w:r w:rsidR="00EA2660" w:rsidRPr="00824A6B">
        <w:rPr>
          <w:rFonts w:ascii="Times New Roman" w:hAnsi="Times New Roman"/>
          <w:szCs w:val="24"/>
        </w:rPr>
        <w:t>.</w:t>
      </w:r>
      <w:r w:rsidR="00EA2660" w:rsidRPr="00824A6B">
        <w:rPr>
          <w:rFonts w:ascii="Times New Roman" w:hAnsi="Times New Roman"/>
          <w:szCs w:val="24"/>
          <w:vertAlign w:val="superscript"/>
        </w:rPr>
        <w:footnoteReference w:id="78"/>
      </w:r>
    </w:p>
    <w:p w14:paraId="74083592" w14:textId="2AA4CAF3" w:rsidR="0073263A" w:rsidRPr="004F43E9" w:rsidRDefault="0073263A" w:rsidP="00513332">
      <w:pPr>
        <w:pStyle w:val="EndnoteText"/>
        <w:spacing w:line="480" w:lineRule="auto"/>
        <w:ind w:firstLine="720"/>
        <w:jc w:val="both"/>
        <w:rPr>
          <w:rFonts w:ascii="Times New Roman" w:hAnsi="Times New Roman"/>
          <w:szCs w:val="24"/>
        </w:rPr>
      </w:pPr>
      <w:r w:rsidRPr="004F43E9">
        <w:rPr>
          <w:rFonts w:ascii="Times New Roman" w:hAnsi="Times New Roman"/>
          <w:szCs w:val="24"/>
        </w:rPr>
        <w:t>Various community boards, businesses, BIDs and individuals have voiced their concern to the City Council about unlawful activity by street vendors, including the frequent violation of time, place and manner restrictions, and congestion in certain locations that force pedestrians into the street—thus raising a public safety concern.</w:t>
      </w:r>
      <w:r>
        <w:rPr>
          <w:rStyle w:val="FootnoteReference"/>
          <w:rFonts w:ascii="Times New Roman" w:hAnsi="Times New Roman"/>
          <w:szCs w:val="24"/>
        </w:rPr>
        <w:footnoteReference w:id="79"/>
      </w:r>
      <w:r w:rsidRPr="004F43E9" w:rsidDel="00E24A33">
        <w:rPr>
          <w:rFonts w:ascii="Times New Roman" w:hAnsi="Times New Roman"/>
          <w:szCs w:val="24"/>
          <w:vertAlign w:val="superscript"/>
        </w:rPr>
        <w:t xml:space="preserve"> </w:t>
      </w:r>
      <w:r w:rsidR="005A4005">
        <w:rPr>
          <w:rFonts w:ascii="Times New Roman" w:hAnsi="Times New Roman"/>
          <w:szCs w:val="24"/>
        </w:rPr>
        <w:t>H</w:t>
      </w:r>
      <w:r>
        <w:rPr>
          <w:rFonts w:ascii="Times New Roman" w:hAnsi="Times New Roman"/>
          <w:szCs w:val="24"/>
        </w:rPr>
        <w:t xml:space="preserve">ot spots </w:t>
      </w:r>
      <w:r w:rsidR="005A4005">
        <w:rPr>
          <w:rFonts w:ascii="Times New Roman" w:hAnsi="Times New Roman"/>
          <w:szCs w:val="24"/>
        </w:rPr>
        <w:t>for unlawful vending activity</w:t>
      </w:r>
      <w:r>
        <w:rPr>
          <w:rFonts w:ascii="Times New Roman" w:hAnsi="Times New Roman"/>
          <w:szCs w:val="24"/>
        </w:rPr>
        <w:t xml:space="preserve"> include Fordham Road in the Bronx</w:t>
      </w:r>
      <w:r>
        <w:rPr>
          <w:rStyle w:val="FootnoteReference"/>
          <w:rFonts w:ascii="Times New Roman" w:hAnsi="Times New Roman"/>
          <w:szCs w:val="24"/>
        </w:rPr>
        <w:footnoteReference w:id="80"/>
      </w:r>
      <w:r>
        <w:rPr>
          <w:rFonts w:ascii="Times New Roman" w:hAnsi="Times New Roman"/>
          <w:szCs w:val="24"/>
        </w:rPr>
        <w:t xml:space="preserve"> and Roosevelt Avenue in Queens.</w:t>
      </w:r>
      <w:r>
        <w:rPr>
          <w:rStyle w:val="FootnoteReference"/>
          <w:rFonts w:ascii="Times New Roman" w:hAnsi="Times New Roman"/>
          <w:szCs w:val="24"/>
        </w:rPr>
        <w:footnoteReference w:id="81"/>
      </w:r>
      <w:r w:rsidR="004E0654">
        <w:rPr>
          <w:rFonts w:ascii="Times New Roman" w:hAnsi="Times New Roman"/>
          <w:szCs w:val="24"/>
        </w:rPr>
        <w:t xml:space="preserve"> </w:t>
      </w:r>
    </w:p>
    <w:p w14:paraId="5DD985D3" w14:textId="5031A238" w:rsidR="0073263A" w:rsidRPr="00605D51" w:rsidRDefault="0073263A" w:rsidP="00605D51">
      <w:pPr>
        <w:pStyle w:val="EndnoteText"/>
        <w:spacing w:line="480" w:lineRule="auto"/>
        <w:ind w:firstLine="720"/>
        <w:jc w:val="both"/>
        <w:rPr>
          <w:rFonts w:ascii="Times New Roman" w:hAnsi="Times New Roman"/>
          <w:szCs w:val="24"/>
        </w:rPr>
      </w:pPr>
      <w:r>
        <w:rPr>
          <w:rFonts w:ascii="Times New Roman" w:hAnsi="Times New Roman"/>
          <w:szCs w:val="24"/>
        </w:rPr>
        <w:t xml:space="preserve">Some vendors also </w:t>
      </w:r>
      <w:r w:rsidR="00FB7FEC">
        <w:rPr>
          <w:rFonts w:ascii="Times New Roman" w:hAnsi="Times New Roman"/>
          <w:szCs w:val="24"/>
        </w:rPr>
        <w:t>believe</w:t>
      </w:r>
      <w:r>
        <w:rPr>
          <w:rFonts w:ascii="Times New Roman" w:hAnsi="Times New Roman"/>
          <w:szCs w:val="24"/>
        </w:rPr>
        <w:t xml:space="preserve"> that there is not sufficient education and outreach for them to </w:t>
      </w:r>
      <w:r>
        <w:rPr>
          <w:rFonts w:ascii="Times New Roman" w:hAnsi="Times New Roman"/>
          <w:szCs w:val="24"/>
        </w:rPr>
        <w:lastRenderedPageBreak/>
        <w:t>thrive as businesses and maintain compliance with relevant law and rules.</w:t>
      </w:r>
      <w:r>
        <w:rPr>
          <w:rStyle w:val="FootnoteReference"/>
          <w:rFonts w:ascii="Times New Roman" w:hAnsi="Times New Roman"/>
          <w:szCs w:val="24"/>
        </w:rPr>
        <w:footnoteReference w:id="82"/>
      </w:r>
      <w:r>
        <w:rPr>
          <w:rFonts w:ascii="Times New Roman" w:hAnsi="Times New Roman"/>
          <w:szCs w:val="24"/>
        </w:rPr>
        <w:t xml:space="preserve"> SBS does provide some support to vendors—including f</w:t>
      </w:r>
      <w:r w:rsidRPr="00F1167D">
        <w:rPr>
          <w:rFonts w:ascii="Times New Roman" w:hAnsi="Times New Roman"/>
          <w:szCs w:val="24"/>
        </w:rPr>
        <w:t>inancing assistance</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g</w:t>
      </w:r>
      <w:r w:rsidRPr="00F1167D">
        <w:rPr>
          <w:rFonts w:ascii="Times New Roman" w:hAnsi="Times New Roman"/>
          <w:szCs w:val="24"/>
        </w:rPr>
        <w:t>eneral business courses</w:t>
      </w:r>
      <w:r>
        <w:rPr>
          <w:rFonts w:ascii="Times New Roman" w:hAnsi="Times New Roman"/>
          <w:szCs w:val="24"/>
        </w:rPr>
        <w:t>,</w:t>
      </w:r>
      <w:r w:rsidRPr="00F1167D">
        <w:rPr>
          <w:rFonts w:ascii="Times New Roman" w:hAnsi="Times New Roman"/>
          <w:szCs w:val="24"/>
        </w:rPr>
        <w:t xml:space="preserve"> </w:t>
      </w:r>
      <w:r>
        <w:rPr>
          <w:rFonts w:ascii="Times New Roman" w:hAnsi="Times New Roman"/>
          <w:szCs w:val="24"/>
        </w:rPr>
        <w:t>a</w:t>
      </w:r>
      <w:r w:rsidRPr="00F1167D">
        <w:rPr>
          <w:rFonts w:ascii="Times New Roman" w:hAnsi="Times New Roman"/>
          <w:szCs w:val="24"/>
        </w:rPr>
        <w:t>dvice on navigating government</w:t>
      </w:r>
      <w:r>
        <w:rPr>
          <w:rFonts w:ascii="Times New Roman" w:hAnsi="Times New Roman"/>
          <w:szCs w:val="24"/>
        </w:rPr>
        <w:t xml:space="preserve"> and l</w:t>
      </w:r>
      <w:r w:rsidRPr="00F1167D">
        <w:rPr>
          <w:rFonts w:ascii="Times New Roman" w:hAnsi="Times New Roman"/>
          <w:szCs w:val="24"/>
        </w:rPr>
        <w:t>egal assistance</w:t>
      </w:r>
      <w:r>
        <w:rPr>
          <w:rFonts w:ascii="Times New Roman" w:hAnsi="Times New Roman"/>
          <w:szCs w:val="24"/>
        </w:rPr>
        <w:t>—but it is not known how many street vendors they serve annually.</w:t>
      </w:r>
      <w:r>
        <w:rPr>
          <w:rStyle w:val="FootnoteReference"/>
          <w:rFonts w:ascii="Times New Roman" w:hAnsi="Times New Roman"/>
          <w:szCs w:val="24"/>
        </w:rPr>
        <w:footnoteReference w:id="83"/>
      </w:r>
      <w:r>
        <w:rPr>
          <w:rFonts w:ascii="Times New Roman" w:hAnsi="Times New Roman"/>
          <w:szCs w:val="24"/>
        </w:rPr>
        <w:t xml:space="preserve"> To advertise its offerings to street vendors, SBS has mailed a </w:t>
      </w:r>
      <w:r w:rsidRPr="00987A88">
        <w:rPr>
          <w:rFonts w:ascii="Times New Roman" w:hAnsi="Times New Roman"/>
          <w:szCs w:val="24"/>
        </w:rPr>
        <w:t>brochure highlighting services available to street vendors to over 22,000 licensed street vendors</w:t>
      </w:r>
      <w:r>
        <w:rPr>
          <w:rFonts w:ascii="Times New Roman" w:hAnsi="Times New Roman"/>
          <w:szCs w:val="24"/>
        </w:rPr>
        <w:t xml:space="preserve"> and DOHMH</w:t>
      </w:r>
      <w:r w:rsidRPr="00987A88">
        <w:rPr>
          <w:rFonts w:ascii="Times New Roman" w:hAnsi="Times New Roman"/>
          <w:szCs w:val="24"/>
        </w:rPr>
        <w:t xml:space="preserve"> also included an additional 13,000 brochures in their mailings to eligible supervisory license applicants</w:t>
      </w:r>
      <w:r>
        <w:rPr>
          <w:rFonts w:ascii="Times New Roman" w:hAnsi="Times New Roman"/>
          <w:szCs w:val="24"/>
        </w:rPr>
        <w:t>.</w:t>
      </w:r>
      <w:r>
        <w:rPr>
          <w:rStyle w:val="FootnoteReference"/>
          <w:rFonts w:ascii="Times New Roman" w:hAnsi="Times New Roman"/>
          <w:szCs w:val="24"/>
        </w:rPr>
        <w:footnoteReference w:id="84"/>
      </w:r>
    </w:p>
    <w:p w14:paraId="56045A46" w14:textId="3B660BAE" w:rsidR="00EE6693" w:rsidRPr="003C0333" w:rsidRDefault="00EE6693" w:rsidP="003C0333">
      <w:pPr>
        <w:pStyle w:val="ListParagraph"/>
        <w:numPr>
          <w:ilvl w:val="1"/>
          <w:numId w:val="1"/>
        </w:numPr>
        <w:spacing w:after="0" w:line="480" w:lineRule="auto"/>
        <w:jc w:val="both"/>
        <w:rPr>
          <w:rFonts w:ascii="Times New Roman" w:eastAsia="MS Mincho" w:hAnsi="Times New Roman"/>
          <w:b/>
          <w:bCs/>
          <w:spacing w:val="-3"/>
        </w:rPr>
      </w:pPr>
      <w:r w:rsidRPr="003C0333">
        <w:rPr>
          <w:rFonts w:ascii="Times New Roman" w:eastAsia="MS Mincho" w:hAnsi="Times New Roman"/>
          <w:b/>
          <w:bCs/>
          <w:spacing w:val="-3"/>
        </w:rPr>
        <w:t xml:space="preserve">Deactivation of Contracted Delivery Workers </w:t>
      </w:r>
    </w:p>
    <w:p w14:paraId="1BF90E7E" w14:textId="77777777" w:rsidR="00EE6693" w:rsidRPr="00351681" w:rsidRDefault="00EE6693" w:rsidP="0028119D">
      <w:pPr>
        <w:spacing w:after="0" w:line="480" w:lineRule="auto"/>
        <w:ind w:firstLine="720"/>
        <w:jc w:val="both"/>
        <w:rPr>
          <w:rFonts w:ascii="Times New Roman" w:hAnsi="Times New Roman"/>
          <w:sz w:val="24"/>
          <w:szCs w:val="24"/>
        </w:rPr>
      </w:pPr>
      <w:r w:rsidRPr="00351681">
        <w:rPr>
          <w:rFonts w:ascii="Times New Roman" w:eastAsia="MS Mincho" w:hAnsi="Times New Roman"/>
          <w:sz w:val="24"/>
          <w:szCs w:val="24"/>
        </w:rPr>
        <w:t>In recent years, e-commerce has transformed the way New Yorkers shop for food, groceries and other products.</w:t>
      </w:r>
      <w:r w:rsidRPr="00351681">
        <w:rPr>
          <w:rFonts w:ascii="Times New Roman" w:hAnsi="Times New Roman"/>
          <w:sz w:val="24"/>
          <w:szCs w:val="24"/>
        </w:rPr>
        <w:t xml:space="preserve"> </w:t>
      </w:r>
      <w:r w:rsidRPr="00351681">
        <w:rPr>
          <w:rFonts w:ascii="Times New Roman" w:eastAsia="MS Mincho" w:hAnsi="Times New Roman"/>
          <w:sz w:val="24"/>
          <w:szCs w:val="24"/>
        </w:rPr>
        <w:t>Delivery services were gaining traction before the COVID-19 pandemic,</w:t>
      </w:r>
      <w:r w:rsidRPr="00351681">
        <w:rPr>
          <w:rFonts w:ascii="Times New Roman" w:hAnsi="Times New Roman"/>
          <w:sz w:val="24"/>
          <w:szCs w:val="24"/>
          <w:vertAlign w:val="superscript"/>
        </w:rPr>
        <w:footnoteReference w:id="85"/>
      </w:r>
      <w:r w:rsidRPr="00351681">
        <w:rPr>
          <w:rFonts w:ascii="Times New Roman" w:eastAsia="MS Mincho" w:hAnsi="Times New Roman"/>
          <w:sz w:val="24"/>
          <w:szCs w:val="24"/>
        </w:rPr>
        <w:t xml:space="preserve"> but the pandemic supercharged their growth as consumers embraced online shopping and delivery as a safe and convenient alternative to in-store shopping.</w:t>
      </w:r>
      <w:r w:rsidRPr="00351681">
        <w:rPr>
          <w:rStyle w:val="FootnoteReference"/>
          <w:rFonts w:ascii="Times New Roman" w:eastAsia="MS Mincho" w:hAnsi="Times New Roman"/>
          <w:sz w:val="24"/>
          <w:szCs w:val="24"/>
        </w:rPr>
        <w:footnoteReference w:id="86"/>
      </w:r>
      <w:r w:rsidRPr="00351681">
        <w:rPr>
          <w:rFonts w:ascii="Times New Roman" w:eastAsia="MS Mincho" w:hAnsi="Times New Roman"/>
          <w:sz w:val="24"/>
          <w:szCs w:val="24"/>
        </w:rPr>
        <w:t xml:space="preserve"> </w:t>
      </w:r>
      <w:r w:rsidRPr="00351681">
        <w:rPr>
          <w:rFonts w:ascii="Times New Roman" w:hAnsi="Times New Roman"/>
          <w:sz w:val="24"/>
          <w:szCs w:val="24"/>
        </w:rPr>
        <w:t>A 2022 study by DCWP estimated that 61,000 delivery workers work for app-based restaurant delivery services in NYC in any given week, and that approximately 122,100 unique individuals performed delivery work for these companies in the last quarter of 2021.</w:t>
      </w:r>
      <w:r w:rsidRPr="00351681">
        <w:rPr>
          <w:rStyle w:val="FootnoteReference"/>
          <w:rFonts w:ascii="Times New Roman" w:hAnsi="Times New Roman"/>
          <w:sz w:val="24"/>
          <w:szCs w:val="24"/>
        </w:rPr>
        <w:footnoteReference w:id="87"/>
      </w:r>
      <w:r w:rsidRPr="00351681">
        <w:rPr>
          <w:rFonts w:ascii="Times New Roman" w:hAnsi="Times New Roman"/>
          <w:sz w:val="24"/>
          <w:szCs w:val="24"/>
        </w:rPr>
        <w:t xml:space="preserve"> </w:t>
      </w:r>
    </w:p>
    <w:p w14:paraId="02D12E77" w14:textId="0330E7C5" w:rsidR="00EE6693" w:rsidRPr="00351681" w:rsidRDefault="00EE6693" w:rsidP="0028119D">
      <w:pPr>
        <w:spacing w:after="0" w:line="480" w:lineRule="auto"/>
        <w:ind w:firstLine="720"/>
        <w:jc w:val="both"/>
        <w:rPr>
          <w:rFonts w:ascii="Times New Roman" w:hAnsi="Times New Roman"/>
          <w:sz w:val="24"/>
          <w:szCs w:val="24"/>
        </w:rPr>
      </w:pPr>
      <w:r w:rsidRPr="00351681">
        <w:rPr>
          <w:rFonts w:ascii="Times New Roman" w:hAnsi="Times New Roman"/>
          <w:sz w:val="24"/>
          <w:szCs w:val="24"/>
        </w:rPr>
        <w:t xml:space="preserve">While contracted delivery work offers flexibility and is an important avenue for employment for immigrant New Yorkers in particular, many contracted delivery workers have felt </w:t>
      </w:r>
      <w:r w:rsidRPr="00351681">
        <w:rPr>
          <w:rFonts w:ascii="Times New Roman" w:hAnsi="Times New Roman"/>
          <w:sz w:val="24"/>
          <w:szCs w:val="24"/>
        </w:rPr>
        <w:lastRenderedPageBreak/>
        <w:t>exploited by poor conditions and pay.</w:t>
      </w:r>
      <w:r w:rsidR="00B3206D">
        <w:rPr>
          <w:rStyle w:val="FootnoteReference"/>
          <w:rFonts w:ascii="Times New Roman" w:hAnsi="Times New Roman"/>
          <w:sz w:val="24"/>
          <w:szCs w:val="24"/>
        </w:rPr>
        <w:footnoteReference w:id="88"/>
      </w:r>
      <w:r w:rsidRPr="00351681">
        <w:rPr>
          <w:rFonts w:ascii="Times New Roman" w:hAnsi="Times New Roman"/>
          <w:sz w:val="24"/>
          <w:szCs w:val="24"/>
        </w:rPr>
        <w:t xml:space="preserve"> The Council passed a package of legislation in 2021 to provide better wages and working conditions for third-party food delivery workers. Local Law 113 of 2021 required food delivery applications and couriers to make available insulated bags to any delivery worker who has completed at least six deliveries for the company.</w:t>
      </w:r>
      <w:r w:rsidRPr="00351681">
        <w:rPr>
          <w:rStyle w:val="FootnoteReference"/>
          <w:rFonts w:ascii="Times New Roman" w:hAnsi="Times New Roman"/>
          <w:sz w:val="24"/>
          <w:szCs w:val="24"/>
        </w:rPr>
        <w:footnoteReference w:id="89"/>
      </w:r>
      <w:r w:rsidRPr="00351681">
        <w:rPr>
          <w:rFonts w:ascii="Times New Roman" w:hAnsi="Times New Roman"/>
          <w:sz w:val="24"/>
          <w:szCs w:val="24"/>
        </w:rPr>
        <w:t xml:space="preserve"> Local Law 114 of 2021 required food delivery applications to provide delivery workers the opportunity to set a maximum distance per trip and the ability to decline to accept trips over bridges or tunnels.</w:t>
      </w:r>
      <w:r w:rsidRPr="00351681">
        <w:rPr>
          <w:rStyle w:val="FootnoteReference"/>
          <w:rFonts w:ascii="Times New Roman" w:hAnsi="Times New Roman"/>
          <w:sz w:val="24"/>
          <w:szCs w:val="24"/>
        </w:rPr>
        <w:footnoteReference w:id="90"/>
      </w:r>
      <w:r w:rsidRPr="00351681">
        <w:rPr>
          <w:rFonts w:ascii="Times New Roman" w:hAnsi="Times New Roman"/>
          <w:sz w:val="24"/>
          <w:szCs w:val="24"/>
        </w:rPr>
        <w:t xml:space="preserve"> Local Law 115 of 2021 required DCWP to study the working conditions of delivery workers and promulgate rules establishing a minimum amount the platforms must pay workers per trip.</w:t>
      </w:r>
      <w:r w:rsidRPr="00351681">
        <w:rPr>
          <w:rStyle w:val="FootnoteReference"/>
          <w:rFonts w:ascii="Times New Roman" w:hAnsi="Times New Roman"/>
          <w:sz w:val="24"/>
          <w:szCs w:val="24"/>
        </w:rPr>
        <w:footnoteReference w:id="91"/>
      </w:r>
      <w:r w:rsidRPr="00351681">
        <w:rPr>
          <w:rFonts w:ascii="Times New Roman" w:hAnsi="Times New Roman"/>
          <w:sz w:val="24"/>
          <w:szCs w:val="24"/>
        </w:rPr>
        <w:t xml:space="preserve"> Local Law 116 of 2021 prohibited food delivery apps and couriers from charging delivery workers for the payment of their wages and required that the companies pay their delivery workers for their work at least once per week.</w:t>
      </w:r>
      <w:r w:rsidRPr="00351681">
        <w:rPr>
          <w:rStyle w:val="FootnoteReference"/>
          <w:rFonts w:ascii="Times New Roman" w:hAnsi="Times New Roman"/>
          <w:sz w:val="24"/>
          <w:szCs w:val="24"/>
        </w:rPr>
        <w:footnoteReference w:id="92"/>
      </w:r>
      <w:r w:rsidRPr="00351681">
        <w:rPr>
          <w:rFonts w:ascii="Times New Roman" w:hAnsi="Times New Roman"/>
          <w:sz w:val="24"/>
          <w:szCs w:val="24"/>
        </w:rPr>
        <w:t xml:space="preserve"> Local Law 117 of 2021 required that food delivery applications include a provision in contracts with restaurants requiring them to make their toilet facilities available for delivery workers’ use, as long as the delivery worker seeks to access the facilities while picking up a food or beverage order for delivery.</w:t>
      </w:r>
      <w:r w:rsidRPr="00351681">
        <w:rPr>
          <w:rStyle w:val="FootnoteReference"/>
          <w:rFonts w:ascii="Times New Roman" w:hAnsi="Times New Roman"/>
          <w:sz w:val="24"/>
          <w:szCs w:val="24"/>
        </w:rPr>
        <w:footnoteReference w:id="93"/>
      </w:r>
      <w:r w:rsidRPr="00351681">
        <w:rPr>
          <w:rFonts w:ascii="Times New Roman" w:hAnsi="Times New Roman"/>
          <w:sz w:val="24"/>
          <w:szCs w:val="24"/>
        </w:rPr>
        <w:t xml:space="preserve"> In July 2025, the Council passed </w:t>
      </w:r>
      <w:r w:rsidRPr="00351681">
        <w:rPr>
          <w:rFonts w:ascii="Times New Roman" w:hAnsi="Times New Roman"/>
          <w:sz w:val="24"/>
          <w:szCs w:val="24"/>
        </w:rPr>
        <w:lastRenderedPageBreak/>
        <w:t>Introduction Number 1133-A and Introduction Number 1135-A to expand minimum pay to all contracted delivery workers, including those working for grocery delivery services.</w:t>
      </w:r>
      <w:r w:rsidRPr="00351681">
        <w:rPr>
          <w:rStyle w:val="FootnoteReference"/>
          <w:rFonts w:ascii="Times New Roman" w:hAnsi="Times New Roman"/>
          <w:sz w:val="24"/>
          <w:szCs w:val="24"/>
        </w:rPr>
        <w:footnoteReference w:id="94"/>
      </w:r>
    </w:p>
    <w:p w14:paraId="43EC7C34" w14:textId="4F54F99B" w:rsidR="00286D9A" w:rsidRPr="00351681" w:rsidRDefault="00EE6693" w:rsidP="00FB3DA0">
      <w:pPr>
        <w:tabs>
          <w:tab w:val="left" w:pos="270"/>
        </w:tabs>
        <w:spacing w:after="0" w:line="480" w:lineRule="auto"/>
        <w:ind w:firstLine="720"/>
        <w:jc w:val="both"/>
        <w:rPr>
          <w:rFonts w:ascii="Times New Roman" w:hAnsi="Times New Roman"/>
          <w:sz w:val="24"/>
          <w:szCs w:val="24"/>
        </w:rPr>
      </w:pPr>
      <w:r w:rsidRPr="00351681">
        <w:rPr>
          <w:rFonts w:ascii="Times New Roman" w:hAnsi="Times New Roman"/>
          <w:sz w:val="24"/>
          <w:szCs w:val="24"/>
        </w:rPr>
        <w:t xml:space="preserve">In addition to issues around wages and working conditions, many contracted delivery workers report that they lose </w:t>
      </w:r>
      <w:r w:rsidR="00F9123E" w:rsidRPr="00351681">
        <w:rPr>
          <w:rFonts w:ascii="Times New Roman" w:hAnsi="Times New Roman"/>
          <w:sz w:val="24"/>
          <w:szCs w:val="24"/>
        </w:rPr>
        <w:t>the ability to secure work through</w:t>
      </w:r>
      <w:r w:rsidRPr="00351681">
        <w:rPr>
          <w:rFonts w:ascii="Times New Roman" w:hAnsi="Times New Roman"/>
          <w:sz w:val="24"/>
          <w:szCs w:val="24"/>
        </w:rPr>
        <w:t xml:space="preserve"> the apps—also known as “deactivation”—without warning, explanation or recourse.</w:t>
      </w:r>
      <w:r w:rsidRPr="00351681">
        <w:rPr>
          <w:rStyle w:val="FootnoteReference"/>
          <w:rFonts w:ascii="Times New Roman" w:hAnsi="Times New Roman"/>
          <w:sz w:val="24"/>
          <w:szCs w:val="24"/>
        </w:rPr>
        <w:footnoteReference w:id="95"/>
      </w:r>
      <w:r w:rsidRPr="00351681">
        <w:rPr>
          <w:rFonts w:ascii="Times New Roman" w:hAnsi="Times New Roman"/>
          <w:sz w:val="24"/>
          <w:szCs w:val="24"/>
        </w:rPr>
        <w:t xml:space="preserve"> When individuals sign up to work for delivery apps, they agree to terms and conditions that specify what circumstances may lead to deactivation.</w:t>
      </w:r>
      <w:r w:rsidRPr="00351681">
        <w:rPr>
          <w:rStyle w:val="FootnoteReference"/>
          <w:rFonts w:ascii="Times New Roman" w:hAnsi="Times New Roman"/>
          <w:sz w:val="24"/>
          <w:szCs w:val="24"/>
        </w:rPr>
        <w:footnoteReference w:id="96"/>
      </w:r>
      <w:r w:rsidRPr="00351681">
        <w:rPr>
          <w:rFonts w:ascii="Times New Roman" w:hAnsi="Times New Roman"/>
          <w:sz w:val="24"/>
          <w:szCs w:val="24"/>
        </w:rPr>
        <w:t xml:space="preserve"> The delivery apps also</w:t>
      </w:r>
      <w:r w:rsidR="00F9123E" w:rsidRPr="00351681">
        <w:rPr>
          <w:rFonts w:ascii="Times New Roman" w:hAnsi="Times New Roman"/>
          <w:sz w:val="24"/>
          <w:szCs w:val="24"/>
        </w:rPr>
        <w:t xml:space="preserve"> </w:t>
      </w:r>
      <w:r w:rsidR="00DD1D75">
        <w:rPr>
          <w:rFonts w:ascii="Times New Roman" w:hAnsi="Times New Roman"/>
          <w:sz w:val="24"/>
          <w:szCs w:val="24"/>
        </w:rPr>
        <w:t xml:space="preserve">advertise on their websites </w:t>
      </w:r>
      <w:r w:rsidR="00FC58BE">
        <w:rPr>
          <w:rFonts w:ascii="Times New Roman" w:hAnsi="Times New Roman"/>
          <w:sz w:val="24"/>
          <w:szCs w:val="24"/>
        </w:rPr>
        <w:t xml:space="preserve">and asserted in testimony </w:t>
      </w:r>
      <w:r w:rsidR="00DD1D75">
        <w:rPr>
          <w:rFonts w:ascii="Times New Roman" w:hAnsi="Times New Roman"/>
          <w:sz w:val="24"/>
          <w:szCs w:val="24"/>
        </w:rPr>
        <w:t>to have</w:t>
      </w:r>
      <w:r w:rsidRPr="00351681">
        <w:rPr>
          <w:rFonts w:ascii="Times New Roman" w:hAnsi="Times New Roman"/>
          <w:sz w:val="24"/>
          <w:szCs w:val="24"/>
        </w:rPr>
        <w:t xml:space="preserve"> processes by which workers can appeal a deactivation.</w:t>
      </w:r>
      <w:r w:rsidRPr="00351681">
        <w:rPr>
          <w:rStyle w:val="FootnoteReference"/>
          <w:rFonts w:ascii="Times New Roman" w:hAnsi="Times New Roman"/>
          <w:sz w:val="24"/>
          <w:szCs w:val="24"/>
        </w:rPr>
        <w:footnoteReference w:id="97"/>
      </w:r>
      <w:r w:rsidRPr="00351681">
        <w:rPr>
          <w:rFonts w:ascii="Times New Roman" w:hAnsi="Times New Roman"/>
          <w:sz w:val="24"/>
          <w:szCs w:val="24"/>
        </w:rPr>
        <w:t xml:space="preserve"> </w:t>
      </w:r>
    </w:p>
    <w:p w14:paraId="03B5E7B1" w14:textId="5BF81ACF" w:rsidR="00EE6693" w:rsidRPr="00351681" w:rsidRDefault="00286D9A" w:rsidP="0028119D">
      <w:pPr>
        <w:tabs>
          <w:tab w:val="left" w:pos="270"/>
        </w:tabs>
        <w:spacing w:after="0" w:line="480" w:lineRule="auto"/>
        <w:ind w:firstLine="720"/>
        <w:jc w:val="both"/>
        <w:rPr>
          <w:rFonts w:ascii="Times New Roman" w:hAnsi="Times New Roman"/>
          <w:sz w:val="24"/>
          <w:szCs w:val="24"/>
        </w:rPr>
      </w:pPr>
      <w:r w:rsidRPr="00351681">
        <w:rPr>
          <w:rFonts w:ascii="Times New Roman" w:hAnsi="Times New Roman"/>
          <w:sz w:val="24"/>
          <w:szCs w:val="24"/>
        </w:rPr>
        <w:t>Despite apps’ policies</w:t>
      </w:r>
      <w:r w:rsidR="00EE6693" w:rsidRPr="00351681">
        <w:rPr>
          <w:rFonts w:ascii="Times New Roman" w:hAnsi="Times New Roman"/>
          <w:sz w:val="24"/>
          <w:szCs w:val="24"/>
        </w:rPr>
        <w:t xml:space="preserve">, in practice many deactivated workers report that they </w:t>
      </w:r>
      <w:r w:rsidR="00373995" w:rsidRPr="00351681">
        <w:rPr>
          <w:rFonts w:ascii="Times New Roman" w:hAnsi="Times New Roman"/>
          <w:sz w:val="24"/>
          <w:szCs w:val="24"/>
        </w:rPr>
        <w:t xml:space="preserve">lose access to the apps without being </w:t>
      </w:r>
      <w:r w:rsidR="00EE6693" w:rsidRPr="00351681">
        <w:rPr>
          <w:rFonts w:ascii="Times New Roman" w:hAnsi="Times New Roman"/>
          <w:sz w:val="24"/>
          <w:szCs w:val="24"/>
        </w:rPr>
        <w:t>given a clear reason why they can no longer access their accounts and that the appeals processes can take months</w:t>
      </w:r>
      <w:r w:rsidR="00B16981">
        <w:rPr>
          <w:rFonts w:ascii="Times New Roman" w:hAnsi="Times New Roman"/>
          <w:sz w:val="24"/>
          <w:szCs w:val="24"/>
        </w:rPr>
        <w:t>, if it exists at all</w:t>
      </w:r>
      <w:r w:rsidR="00EE6693" w:rsidRPr="00351681">
        <w:rPr>
          <w:rFonts w:ascii="Times New Roman" w:hAnsi="Times New Roman"/>
          <w:sz w:val="24"/>
          <w:szCs w:val="24"/>
        </w:rPr>
        <w:t>.</w:t>
      </w:r>
      <w:r w:rsidR="00EE6693" w:rsidRPr="00351681">
        <w:rPr>
          <w:rStyle w:val="FootnoteReference"/>
          <w:rFonts w:ascii="Times New Roman" w:hAnsi="Times New Roman"/>
          <w:sz w:val="24"/>
          <w:szCs w:val="24"/>
        </w:rPr>
        <w:footnoteReference w:id="98"/>
      </w:r>
      <w:r w:rsidR="00111D63" w:rsidRPr="00351681">
        <w:rPr>
          <w:rFonts w:ascii="Times New Roman" w:hAnsi="Times New Roman"/>
          <w:sz w:val="24"/>
          <w:szCs w:val="24"/>
        </w:rPr>
        <w:t xml:space="preserve"> </w:t>
      </w:r>
      <w:r w:rsidR="00F9123E" w:rsidRPr="00351681">
        <w:rPr>
          <w:rFonts w:ascii="Times New Roman" w:hAnsi="Times New Roman"/>
          <w:sz w:val="24"/>
          <w:szCs w:val="24"/>
        </w:rPr>
        <w:t xml:space="preserve">In a 2021 </w:t>
      </w:r>
      <w:r w:rsidR="008640E7" w:rsidRPr="00351681">
        <w:rPr>
          <w:rFonts w:ascii="Times New Roman" w:hAnsi="Times New Roman"/>
          <w:sz w:val="24"/>
          <w:szCs w:val="24"/>
        </w:rPr>
        <w:t>survey</w:t>
      </w:r>
      <w:r w:rsidR="00F9123E" w:rsidRPr="00351681">
        <w:rPr>
          <w:rFonts w:ascii="Times New Roman" w:hAnsi="Times New Roman"/>
          <w:sz w:val="24"/>
          <w:szCs w:val="24"/>
        </w:rPr>
        <w:t xml:space="preserve">, 68 percent of </w:t>
      </w:r>
      <w:r w:rsidR="008640E7" w:rsidRPr="00351681">
        <w:rPr>
          <w:rFonts w:ascii="Times New Roman" w:hAnsi="Times New Roman"/>
          <w:sz w:val="24"/>
          <w:szCs w:val="24"/>
        </w:rPr>
        <w:t xml:space="preserve">food delivery workers had </w:t>
      </w:r>
      <w:r w:rsidR="009B3722">
        <w:rPr>
          <w:rFonts w:ascii="Times New Roman" w:hAnsi="Times New Roman"/>
          <w:sz w:val="24"/>
          <w:szCs w:val="24"/>
        </w:rPr>
        <w:t>experienced</w:t>
      </w:r>
      <w:r w:rsidR="008640E7" w:rsidRPr="00351681">
        <w:rPr>
          <w:rFonts w:ascii="Times New Roman" w:hAnsi="Times New Roman"/>
          <w:sz w:val="24"/>
          <w:szCs w:val="24"/>
        </w:rPr>
        <w:t xml:space="preserve"> issues with discipline </w:t>
      </w:r>
      <w:r w:rsidR="009B3722">
        <w:rPr>
          <w:rFonts w:ascii="Times New Roman" w:hAnsi="Times New Roman"/>
          <w:sz w:val="24"/>
          <w:szCs w:val="24"/>
        </w:rPr>
        <w:t xml:space="preserve">from the apps </w:t>
      </w:r>
      <w:r w:rsidR="008640E7" w:rsidRPr="00351681">
        <w:rPr>
          <w:rFonts w:ascii="Times New Roman" w:hAnsi="Times New Roman"/>
          <w:sz w:val="24"/>
          <w:szCs w:val="24"/>
        </w:rPr>
        <w:t>and reported that there was no explanation given or formal appeals process</w:t>
      </w:r>
      <w:r w:rsidR="00373995" w:rsidRPr="00351681">
        <w:rPr>
          <w:rFonts w:ascii="Times New Roman" w:hAnsi="Times New Roman"/>
          <w:sz w:val="24"/>
          <w:szCs w:val="24"/>
        </w:rPr>
        <w:t>.</w:t>
      </w:r>
      <w:r w:rsidR="008640E7" w:rsidRPr="00351681">
        <w:rPr>
          <w:rStyle w:val="FootnoteReference"/>
          <w:rFonts w:ascii="Times New Roman" w:hAnsi="Times New Roman"/>
          <w:sz w:val="24"/>
          <w:szCs w:val="24"/>
        </w:rPr>
        <w:footnoteReference w:id="99"/>
      </w:r>
      <w:r w:rsidRPr="00351681">
        <w:rPr>
          <w:rFonts w:ascii="Times New Roman" w:hAnsi="Times New Roman"/>
          <w:sz w:val="24"/>
          <w:szCs w:val="24"/>
        </w:rPr>
        <w:t xml:space="preserve"> This is consistent with testimony</w:t>
      </w:r>
      <w:r w:rsidR="00A81C15" w:rsidRPr="00351681">
        <w:rPr>
          <w:rFonts w:ascii="Times New Roman" w:hAnsi="Times New Roman"/>
          <w:sz w:val="24"/>
          <w:szCs w:val="24"/>
        </w:rPr>
        <w:t xml:space="preserve"> from over 20 delivery workers at</w:t>
      </w:r>
      <w:r w:rsidRPr="00351681">
        <w:rPr>
          <w:rFonts w:ascii="Times New Roman" w:hAnsi="Times New Roman"/>
          <w:sz w:val="24"/>
          <w:szCs w:val="24"/>
        </w:rPr>
        <w:t xml:space="preserve"> the Committee</w:t>
      </w:r>
      <w:r w:rsidR="00A81C15" w:rsidRPr="00351681">
        <w:rPr>
          <w:rFonts w:ascii="Times New Roman" w:hAnsi="Times New Roman"/>
          <w:sz w:val="24"/>
          <w:szCs w:val="24"/>
        </w:rPr>
        <w:t>’s</w:t>
      </w:r>
      <w:r w:rsidRPr="00351681">
        <w:rPr>
          <w:rFonts w:ascii="Times New Roman" w:hAnsi="Times New Roman"/>
          <w:sz w:val="24"/>
          <w:szCs w:val="24"/>
        </w:rPr>
        <w:t xml:space="preserve"> September 2025 hearing</w:t>
      </w:r>
      <w:r w:rsidR="00373995" w:rsidRPr="00351681">
        <w:rPr>
          <w:rFonts w:ascii="Times New Roman" w:hAnsi="Times New Roman"/>
          <w:sz w:val="24"/>
          <w:szCs w:val="24"/>
        </w:rPr>
        <w:t xml:space="preserve"> who reported that they lost access </w:t>
      </w:r>
      <w:r w:rsidR="00373995" w:rsidRPr="00351681">
        <w:rPr>
          <w:rFonts w:ascii="Times New Roman" w:hAnsi="Times New Roman"/>
          <w:sz w:val="24"/>
          <w:szCs w:val="24"/>
        </w:rPr>
        <w:lastRenderedPageBreak/>
        <w:t>to their livelihood</w:t>
      </w:r>
      <w:r w:rsidR="00D40935">
        <w:rPr>
          <w:rFonts w:ascii="Times New Roman" w:hAnsi="Times New Roman"/>
          <w:sz w:val="24"/>
          <w:szCs w:val="24"/>
        </w:rPr>
        <w:t xml:space="preserve"> with no warning</w:t>
      </w:r>
      <w:r w:rsidR="00E673E7">
        <w:rPr>
          <w:rFonts w:ascii="Times New Roman" w:hAnsi="Times New Roman"/>
          <w:sz w:val="24"/>
          <w:szCs w:val="24"/>
        </w:rPr>
        <w:t>, clear rationale or ability to appeal</w:t>
      </w:r>
      <w:r w:rsidRPr="00351681">
        <w:rPr>
          <w:rFonts w:ascii="Times New Roman" w:hAnsi="Times New Roman"/>
          <w:sz w:val="24"/>
          <w:szCs w:val="24"/>
        </w:rPr>
        <w:t>.</w:t>
      </w:r>
      <w:r w:rsidR="00E673E7">
        <w:rPr>
          <w:rStyle w:val="FootnoteReference"/>
          <w:rFonts w:ascii="Times New Roman" w:hAnsi="Times New Roman"/>
          <w:sz w:val="24"/>
          <w:szCs w:val="24"/>
        </w:rPr>
        <w:footnoteReference w:id="100"/>
      </w:r>
      <w:r w:rsidRPr="00351681">
        <w:rPr>
          <w:rFonts w:ascii="Times New Roman" w:hAnsi="Times New Roman"/>
          <w:sz w:val="24"/>
          <w:szCs w:val="24"/>
        </w:rPr>
        <w:t xml:space="preserve"> </w:t>
      </w:r>
      <w:r w:rsidR="00BC2B80">
        <w:rPr>
          <w:rFonts w:ascii="Times New Roman" w:hAnsi="Times New Roman"/>
          <w:sz w:val="24"/>
          <w:szCs w:val="24"/>
        </w:rPr>
        <w:t>Many of these workers believed they were deactivated for delays that were not within their control, such as road closures</w:t>
      </w:r>
      <w:r w:rsidR="001028DC">
        <w:rPr>
          <w:rFonts w:ascii="Times New Roman" w:hAnsi="Times New Roman"/>
          <w:sz w:val="24"/>
          <w:szCs w:val="24"/>
        </w:rPr>
        <w:t xml:space="preserve"> or restaurants not having food ready upon their arrival.</w:t>
      </w:r>
      <w:r w:rsidR="001028DC">
        <w:rPr>
          <w:rStyle w:val="FootnoteReference"/>
          <w:rFonts w:ascii="Times New Roman" w:hAnsi="Times New Roman"/>
          <w:sz w:val="24"/>
          <w:szCs w:val="24"/>
        </w:rPr>
        <w:footnoteReference w:id="101"/>
      </w:r>
      <w:r w:rsidR="00BC2B80" w:rsidRPr="00351681">
        <w:rPr>
          <w:rFonts w:ascii="Times New Roman" w:hAnsi="Times New Roman"/>
          <w:sz w:val="24"/>
          <w:szCs w:val="24"/>
        </w:rPr>
        <w:t xml:space="preserve"> </w:t>
      </w:r>
      <w:r w:rsidRPr="00351681">
        <w:rPr>
          <w:rFonts w:ascii="Times New Roman" w:hAnsi="Times New Roman"/>
          <w:sz w:val="24"/>
          <w:szCs w:val="24"/>
        </w:rPr>
        <w:t>One worker, who had completed over 7,000 deliveries for Grubhub and had extremely high rates of order acceptance and on-time delivery, was deactivated</w:t>
      </w:r>
      <w:r w:rsidR="00080FE8">
        <w:rPr>
          <w:rFonts w:ascii="Times New Roman" w:hAnsi="Times New Roman"/>
          <w:sz w:val="24"/>
          <w:szCs w:val="24"/>
        </w:rPr>
        <w:t xml:space="preserve"> in </w:t>
      </w:r>
      <w:r w:rsidR="00676FBA">
        <w:rPr>
          <w:rFonts w:ascii="Times New Roman" w:hAnsi="Times New Roman"/>
          <w:sz w:val="24"/>
          <w:szCs w:val="24"/>
        </w:rPr>
        <w:t>June 2025</w:t>
      </w:r>
      <w:r w:rsidR="00080FE8">
        <w:rPr>
          <w:rFonts w:ascii="Times New Roman" w:hAnsi="Times New Roman"/>
          <w:sz w:val="24"/>
          <w:szCs w:val="24"/>
        </w:rPr>
        <w:t xml:space="preserve"> </w:t>
      </w:r>
      <w:r w:rsidRPr="00351681">
        <w:rPr>
          <w:rFonts w:ascii="Times New Roman" w:hAnsi="Times New Roman"/>
          <w:sz w:val="24"/>
          <w:szCs w:val="24"/>
        </w:rPr>
        <w:t>after he was hit by a car while working and spent two days in the hospital</w:t>
      </w:r>
      <w:r w:rsidR="00A81C15" w:rsidRPr="00351681">
        <w:rPr>
          <w:rFonts w:ascii="Times New Roman" w:hAnsi="Times New Roman"/>
          <w:sz w:val="24"/>
          <w:szCs w:val="24"/>
        </w:rPr>
        <w:t>; as of September he had not yet successfully challenged the deactivation</w:t>
      </w:r>
      <w:r w:rsidRPr="00351681">
        <w:rPr>
          <w:rFonts w:ascii="Times New Roman" w:hAnsi="Times New Roman"/>
          <w:sz w:val="24"/>
          <w:szCs w:val="24"/>
        </w:rPr>
        <w:t>.</w:t>
      </w:r>
      <w:r w:rsidRPr="00351681">
        <w:rPr>
          <w:rStyle w:val="FootnoteReference"/>
          <w:rFonts w:ascii="Times New Roman" w:hAnsi="Times New Roman"/>
          <w:sz w:val="24"/>
          <w:szCs w:val="24"/>
        </w:rPr>
        <w:footnoteReference w:id="102"/>
      </w:r>
    </w:p>
    <w:p w14:paraId="536F3D40" w14:textId="7B44C04C" w:rsidR="00B80A83" w:rsidRPr="00351681" w:rsidRDefault="00BF1397" w:rsidP="0028119D">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Contracted delivery workers pro</w:t>
      </w:r>
      <w:r w:rsidR="009B29FF">
        <w:rPr>
          <w:rFonts w:ascii="Times New Roman" w:hAnsi="Times New Roman"/>
          <w:sz w:val="24"/>
          <w:szCs w:val="24"/>
        </w:rPr>
        <w:t xml:space="preserve">vide valued services to </w:t>
      </w:r>
      <w:r w:rsidR="00B161F2">
        <w:rPr>
          <w:rFonts w:ascii="Times New Roman" w:hAnsi="Times New Roman"/>
          <w:sz w:val="24"/>
          <w:szCs w:val="24"/>
        </w:rPr>
        <w:t>New Yorkers</w:t>
      </w:r>
      <w:r w:rsidR="009B29FF">
        <w:rPr>
          <w:rFonts w:ascii="Times New Roman" w:hAnsi="Times New Roman"/>
          <w:sz w:val="24"/>
          <w:szCs w:val="24"/>
        </w:rPr>
        <w:t>. A</w:t>
      </w:r>
      <w:r w:rsidR="00B808AA">
        <w:rPr>
          <w:rFonts w:ascii="Times New Roman" w:hAnsi="Times New Roman"/>
          <w:sz w:val="24"/>
          <w:szCs w:val="24"/>
        </w:rPr>
        <w:t xml:space="preserve">rbitrary and unfair deactivations </w:t>
      </w:r>
      <w:r w:rsidR="008E6803">
        <w:rPr>
          <w:rFonts w:ascii="Times New Roman" w:hAnsi="Times New Roman"/>
          <w:sz w:val="24"/>
          <w:szCs w:val="24"/>
        </w:rPr>
        <w:t>of contracted delivery workers are harmful to workers and their families.</w:t>
      </w:r>
      <w:r w:rsidR="001216E7">
        <w:rPr>
          <w:rFonts w:ascii="Times New Roman" w:hAnsi="Times New Roman"/>
          <w:sz w:val="24"/>
          <w:szCs w:val="24"/>
        </w:rPr>
        <w:t xml:space="preserve"> </w:t>
      </w:r>
      <w:r w:rsidR="007967D5">
        <w:rPr>
          <w:rFonts w:ascii="Times New Roman" w:hAnsi="Times New Roman"/>
          <w:sz w:val="24"/>
          <w:szCs w:val="24"/>
        </w:rPr>
        <w:t xml:space="preserve">Without regulation and oversight, the City is unable to ensure that the </w:t>
      </w:r>
      <w:r w:rsidR="005F4C83">
        <w:rPr>
          <w:rFonts w:ascii="Times New Roman" w:hAnsi="Times New Roman"/>
          <w:sz w:val="24"/>
          <w:szCs w:val="24"/>
        </w:rPr>
        <w:t>delivery services</w:t>
      </w:r>
      <w:r w:rsidR="007967D5">
        <w:rPr>
          <w:rFonts w:ascii="Times New Roman" w:hAnsi="Times New Roman"/>
          <w:sz w:val="24"/>
          <w:szCs w:val="24"/>
        </w:rPr>
        <w:t xml:space="preserve"> are fairly implementing deactivation protocols and giving workers an opportunity to challenge deactivation. </w:t>
      </w:r>
      <w:r w:rsidR="00AF07E4">
        <w:rPr>
          <w:rFonts w:ascii="Times New Roman" w:hAnsi="Times New Roman"/>
          <w:sz w:val="24"/>
          <w:szCs w:val="24"/>
        </w:rPr>
        <w:t xml:space="preserve">This is particularly important in the context of the </w:t>
      </w:r>
      <w:r w:rsidR="001200A7">
        <w:rPr>
          <w:rFonts w:ascii="Times New Roman" w:hAnsi="Times New Roman"/>
          <w:sz w:val="24"/>
          <w:szCs w:val="24"/>
        </w:rPr>
        <w:t xml:space="preserve">implementation of </w:t>
      </w:r>
      <w:r w:rsidR="001200A7" w:rsidRPr="00351681">
        <w:rPr>
          <w:rFonts w:ascii="Times New Roman" w:hAnsi="Times New Roman"/>
          <w:sz w:val="24"/>
          <w:szCs w:val="24"/>
        </w:rPr>
        <w:t>Local Law 115 of 2021</w:t>
      </w:r>
      <w:r w:rsidR="001200A7">
        <w:rPr>
          <w:rFonts w:ascii="Times New Roman" w:hAnsi="Times New Roman"/>
          <w:sz w:val="24"/>
          <w:szCs w:val="24"/>
        </w:rPr>
        <w:t xml:space="preserve">, Local Law </w:t>
      </w:r>
      <w:r w:rsidR="0040141D">
        <w:rPr>
          <w:rFonts w:ascii="Times New Roman" w:hAnsi="Times New Roman"/>
          <w:sz w:val="24"/>
          <w:szCs w:val="24"/>
        </w:rPr>
        <w:t xml:space="preserve">123 of 2025 and Local Law 124 of 2025 </w:t>
      </w:r>
      <w:r w:rsidR="001200A7">
        <w:rPr>
          <w:rFonts w:ascii="Times New Roman" w:hAnsi="Times New Roman"/>
          <w:sz w:val="24"/>
          <w:szCs w:val="24"/>
        </w:rPr>
        <w:t>which</w:t>
      </w:r>
      <w:r w:rsidR="0040141D">
        <w:rPr>
          <w:rFonts w:ascii="Times New Roman" w:hAnsi="Times New Roman"/>
          <w:sz w:val="24"/>
          <w:szCs w:val="24"/>
        </w:rPr>
        <w:t xml:space="preserve"> together</w:t>
      </w:r>
      <w:r w:rsidR="001200A7">
        <w:rPr>
          <w:rFonts w:ascii="Times New Roman" w:hAnsi="Times New Roman"/>
          <w:sz w:val="24"/>
          <w:szCs w:val="24"/>
        </w:rPr>
        <w:t xml:space="preserve"> </w:t>
      </w:r>
      <w:r w:rsidR="00A873C7">
        <w:rPr>
          <w:rFonts w:ascii="Times New Roman" w:hAnsi="Times New Roman"/>
          <w:sz w:val="24"/>
          <w:szCs w:val="24"/>
        </w:rPr>
        <w:t>establish</w:t>
      </w:r>
      <w:r w:rsidR="001200A7">
        <w:rPr>
          <w:rFonts w:ascii="Times New Roman" w:hAnsi="Times New Roman"/>
          <w:sz w:val="24"/>
          <w:szCs w:val="24"/>
        </w:rPr>
        <w:t xml:space="preserve"> minimum pay rate</w:t>
      </w:r>
      <w:r w:rsidR="00A873C7">
        <w:rPr>
          <w:rFonts w:ascii="Times New Roman" w:hAnsi="Times New Roman"/>
          <w:sz w:val="24"/>
          <w:szCs w:val="24"/>
        </w:rPr>
        <w:t>s</w:t>
      </w:r>
      <w:r w:rsidR="001200A7">
        <w:rPr>
          <w:rFonts w:ascii="Times New Roman" w:hAnsi="Times New Roman"/>
          <w:sz w:val="24"/>
          <w:szCs w:val="24"/>
        </w:rPr>
        <w:t xml:space="preserve"> for contracted delivery workers</w:t>
      </w:r>
      <w:r w:rsidR="001200A7" w:rsidRPr="00351681">
        <w:rPr>
          <w:rFonts w:ascii="Times New Roman" w:hAnsi="Times New Roman"/>
          <w:sz w:val="24"/>
          <w:szCs w:val="24"/>
        </w:rPr>
        <w:t>.</w:t>
      </w:r>
      <w:r w:rsidR="001200A7" w:rsidRPr="00351681">
        <w:rPr>
          <w:rStyle w:val="FootnoteReference"/>
          <w:rFonts w:ascii="Times New Roman" w:hAnsi="Times New Roman"/>
          <w:sz w:val="24"/>
          <w:szCs w:val="24"/>
        </w:rPr>
        <w:footnoteReference w:id="103"/>
      </w:r>
      <w:r w:rsidR="007967D5">
        <w:rPr>
          <w:rFonts w:ascii="Times New Roman" w:hAnsi="Times New Roman"/>
          <w:sz w:val="24"/>
          <w:szCs w:val="24"/>
        </w:rPr>
        <w:t xml:space="preserve"> Many workers at the September 2025 hearing </w:t>
      </w:r>
      <w:r w:rsidR="007503EC">
        <w:rPr>
          <w:rFonts w:ascii="Times New Roman" w:hAnsi="Times New Roman"/>
          <w:sz w:val="24"/>
          <w:szCs w:val="24"/>
        </w:rPr>
        <w:t>and in complaints to DCWP have testified</w:t>
      </w:r>
      <w:r w:rsidR="007967D5">
        <w:rPr>
          <w:rFonts w:ascii="Times New Roman" w:hAnsi="Times New Roman"/>
          <w:sz w:val="24"/>
          <w:szCs w:val="24"/>
        </w:rPr>
        <w:t xml:space="preserve"> that they were deactivated for allegedly “fraudulently</w:t>
      </w:r>
      <w:r w:rsidR="007503EC">
        <w:rPr>
          <w:rFonts w:ascii="Times New Roman" w:hAnsi="Times New Roman"/>
          <w:sz w:val="24"/>
          <w:szCs w:val="24"/>
        </w:rPr>
        <w:t>”</w:t>
      </w:r>
      <w:r w:rsidR="007967D5">
        <w:rPr>
          <w:rFonts w:ascii="Times New Roman" w:hAnsi="Times New Roman"/>
          <w:sz w:val="24"/>
          <w:szCs w:val="24"/>
        </w:rPr>
        <w:t xml:space="preserve"> </w:t>
      </w:r>
      <w:r w:rsidR="007503EC">
        <w:rPr>
          <w:rFonts w:ascii="Times New Roman" w:hAnsi="Times New Roman"/>
          <w:sz w:val="24"/>
          <w:szCs w:val="24"/>
        </w:rPr>
        <w:t>extending</w:t>
      </w:r>
      <w:r w:rsidR="0078177C" w:rsidRPr="0078177C">
        <w:rPr>
          <w:rFonts w:ascii="Times New Roman" w:hAnsi="Times New Roman"/>
          <w:sz w:val="24"/>
          <w:szCs w:val="24"/>
        </w:rPr>
        <w:t xml:space="preserve"> </w:t>
      </w:r>
      <w:r w:rsidR="007503EC">
        <w:rPr>
          <w:rFonts w:ascii="Times New Roman" w:hAnsi="Times New Roman"/>
          <w:sz w:val="24"/>
          <w:szCs w:val="24"/>
        </w:rPr>
        <w:t xml:space="preserve">the time </w:t>
      </w:r>
      <w:r w:rsidR="0083232C">
        <w:rPr>
          <w:rFonts w:ascii="Times New Roman" w:hAnsi="Times New Roman"/>
          <w:sz w:val="24"/>
          <w:szCs w:val="24"/>
        </w:rPr>
        <w:lastRenderedPageBreak/>
        <w:t xml:space="preserve">for </w:t>
      </w:r>
      <w:r w:rsidR="0078177C" w:rsidRPr="0078177C">
        <w:rPr>
          <w:rFonts w:ascii="Times New Roman" w:hAnsi="Times New Roman"/>
          <w:sz w:val="24"/>
          <w:szCs w:val="24"/>
        </w:rPr>
        <w:t>engaged pay during a delivery</w:t>
      </w:r>
      <w:r w:rsidR="00D926B1">
        <w:rPr>
          <w:rFonts w:ascii="Times New Roman" w:hAnsi="Times New Roman"/>
          <w:sz w:val="24"/>
          <w:szCs w:val="24"/>
        </w:rPr>
        <w:t xml:space="preserve"> when in fact they were delayed due to conditions outside their control</w:t>
      </w:r>
      <w:r w:rsidR="0083232C">
        <w:rPr>
          <w:rFonts w:ascii="Times New Roman" w:hAnsi="Times New Roman"/>
          <w:sz w:val="24"/>
          <w:szCs w:val="24"/>
        </w:rPr>
        <w:t>.</w:t>
      </w:r>
      <w:r w:rsidR="0083232C">
        <w:rPr>
          <w:rStyle w:val="FootnoteReference"/>
          <w:rFonts w:ascii="Times New Roman" w:hAnsi="Times New Roman"/>
          <w:sz w:val="24"/>
          <w:szCs w:val="24"/>
        </w:rPr>
        <w:footnoteReference w:id="104"/>
      </w:r>
      <w:r w:rsidR="0078177C">
        <w:rPr>
          <w:rFonts w:ascii="Times New Roman" w:hAnsi="Times New Roman"/>
          <w:sz w:val="24"/>
          <w:szCs w:val="24"/>
        </w:rPr>
        <w:t xml:space="preserve"> </w:t>
      </w:r>
      <w:r w:rsidR="00B80A83">
        <w:rPr>
          <w:rFonts w:ascii="Times New Roman" w:hAnsi="Times New Roman"/>
          <w:sz w:val="24"/>
          <w:szCs w:val="24"/>
        </w:rPr>
        <w:t>Other jurisdictions hav</w:t>
      </w:r>
      <w:r w:rsidR="008A3677">
        <w:rPr>
          <w:rFonts w:ascii="Times New Roman" w:hAnsi="Times New Roman"/>
          <w:sz w:val="24"/>
          <w:szCs w:val="24"/>
        </w:rPr>
        <w:t xml:space="preserve">e enacted legislation to address wrongful deactivations of contracted delivery workers. </w:t>
      </w:r>
      <w:r w:rsidR="00785CB2">
        <w:rPr>
          <w:rFonts w:ascii="Times New Roman" w:hAnsi="Times New Roman"/>
          <w:sz w:val="24"/>
          <w:szCs w:val="24"/>
        </w:rPr>
        <w:t xml:space="preserve">In August 2023, the Seattle City Council passed, and the </w:t>
      </w:r>
      <w:proofErr w:type="gramStart"/>
      <w:r w:rsidR="00785CB2">
        <w:rPr>
          <w:rFonts w:ascii="Times New Roman" w:hAnsi="Times New Roman"/>
          <w:sz w:val="24"/>
          <w:szCs w:val="24"/>
        </w:rPr>
        <w:t>Mayor</w:t>
      </w:r>
      <w:proofErr w:type="gramEnd"/>
      <w:r w:rsidR="00785CB2">
        <w:rPr>
          <w:rFonts w:ascii="Times New Roman" w:hAnsi="Times New Roman"/>
          <w:sz w:val="24"/>
          <w:szCs w:val="24"/>
        </w:rPr>
        <w:t xml:space="preserve"> </w:t>
      </w:r>
      <w:proofErr w:type="gramStart"/>
      <w:r w:rsidR="00785CB2">
        <w:rPr>
          <w:rFonts w:ascii="Times New Roman" w:hAnsi="Times New Roman"/>
          <w:sz w:val="24"/>
          <w:szCs w:val="24"/>
        </w:rPr>
        <w:t>signed,</w:t>
      </w:r>
      <w:proofErr w:type="gramEnd"/>
      <w:r w:rsidR="00785CB2">
        <w:rPr>
          <w:rFonts w:ascii="Times New Roman" w:hAnsi="Times New Roman"/>
          <w:sz w:val="24"/>
          <w:szCs w:val="24"/>
        </w:rPr>
        <w:t xml:space="preserve"> the App-Based Worker Deactivation Rights Ordinance</w:t>
      </w:r>
      <w:r w:rsidR="00C367C3">
        <w:rPr>
          <w:rFonts w:ascii="Times New Roman" w:hAnsi="Times New Roman"/>
          <w:sz w:val="24"/>
          <w:szCs w:val="24"/>
        </w:rPr>
        <w:t>,</w:t>
      </w:r>
      <w:r w:rsidR="002C3653">
        <w:rPr>
          <w:rFonts w:ascii="Times New Roman" w:hAnsi="Times New Roman"/>
          <w:sz w:val="24"/>
          <w:szCs w:val="24"/>
        </w:rPr>
        <w:t xml:space="preserve"> which provides </w:t>
      </w:r>
      <w:r w:rsidR="002C3653" w:rsidRPr="002C3653">
        <w:rPr>
          <w:rFonts w:ascii="Times New Roman" w:hAnsi="Times New Roman"/>
          <w:sz w:val="24"/>
          <w:szCs w:val="24"/>
        </w:rPr>
        <w:t>several deactivation-related rights and protections</w:t>
      </w:r>
      <w:r w:rsidR="002C3653">
        <w:rPr>
          <w:rFonts w:ascii="Times New Roman" w:hAnsi="Times New Roman"/>
          <w:sz w:val="24"/>
          <w:szCs w:val="24"/>
        </w:rPr>
        <w:t xml:space="preserve"> for certain contracted app-based workers.</w:t>
      </w:r>
      <w:r w:rsidR="002C3653">
        <w:rPr>
          <w:rStyle w:val="FootnoteReference"/>
          <w:rFonts w:ascii="Times New Roman" w:hAnsi="Times New Roman"/>
          <w:sz w:val="24"/>
          <w:szCs w:val="24"/>
        </w:rPr>
        <w:footnoteReference w:id="105"/>
      </w:r>
      <w:r w:rsidR="002254C6">
        <w:rPr>
          <w:rFonts w:ascii="Times New Roman" w:hAnsi="Times New Roman"/>
          <w:sz w:val="24"/>
          <w:szCs w:val="24"/>
        </w:rPr>
        <w:t xml:space="preserve"> </w:t>
      </w:r>
      <w:r w:rsidR="00CD3683">
        <w:rPr>
          <w:rFonts w:ascii="Times New Roman" w:hAnsi="Times New Roman"/>
          <w:sz w:val="24"/>
          <w:szCs w:val="24"/>
        </w:rPr>
        <w:t>In 2024, C</w:t>
      </w:r>
      <w:r w:rsidR="00B53EA4">
        <w:rPr>
          <w:rFonts w:ascii="Times New Roman" w:hAnsi="Times New Roman"/>
          <w:sz w:val="24"/>
          <w:szCs w:val="24"/>
        </w:rPr>
        <w:t xml:space="preserve">olorado enacted </w:t>
      </w:r>
      <w:r w:rsidR="00B724DD">
        <w:rPr>
          <w:rFonts w:ascii="Times New Roman" w:hAnsi="Times New Roman"/>
          <w:sz w:val="24"/>
          <w:szCs w:val="24"/>
        </w:rPr>
        <w:t>legislation specifying how a delivery platform may deactivate a contracted delivery worker</w:t>
      </w:r>
      <w:r w:rsidR="002F1215">
        <w:rPr>
          <w:rFonts w:ascii="Times New Roman" w:hAnsi="Times New Roman"/>
          <w:sz w:val="24"/>
          <w:szCs w:val="24"/>
        </w:rPr>
        <w:t>.</w:t>
      </w:r>
      <w:r w:rsidR="002F1215">
        <w:rPr>
          <w:rStyle w:val="FootnoteReference"/>
          <w:rFonts w:ascii="Times New Roman" w:hAnsi="Times New Roman"/>
          <w:sz w:val="24"/>
          <w:szCs w:val="24"/>
        </w:rPr>
        <w:footnoteReference w:id="106"/>
      </w:r>
    </w:p>
    <w:p w14:paraId="25C7D8D0" w14:textId="6849DDF8" w:rsidR="00EE6693" w:rsidRPr="002A4F79" w:rsidRDefault="00EE6693" w:rsidP="002A4F79">
      <w:pPr>
        <w:pStyle w:val="ListParagraph"/>
        <w:numPr>
          <w:ilvl w:val="1"/>
          <w:numId w:val="1"/>
        </w:numPr>
        <w:spacing w:after="0" w:line="480" w:lineRule="auto"/>
        <w:jc w:val="both"/>
        <w:rPr>
          <w:rFonts w:ascii="Times New Roman" w:eastAsia="MS Mincho" w:hAnsi="Times New Roman"/>
          <w:b/>
          <w:spacing w:val="-3"/>
        </w:rPr>
      </w:pPr>
      <w:r w:rsidRPr="002A4F79">
        <w:rPr>
          <w:rFonts w:ascii="Times New Roman" w:eastAsia="MS Mincho" w:hAnsi="Times New Roman"/>
          <w:b/>
          <w:spacing w:val="-3"/>
        </w:rPr>
        <w:t>Security Guard</w:t>
      </w:r>
      <w:r w:rsidR="00E82B51" w:rsidRPr="002A4F79">
        <w:rPr>
          <w:rFonts w:ascii="Times New Roman" w:eastAsia="MS Mincho" w:hAnsi="Times New Roman"/>
          <w:b/>
          <w:spacing w:val="-3"/>
        </w:rPr>
        <w:t xml:space="preserve"> Compensation</w:t>
      </w:r>
    </w:p>
    <w:p w14:paraId="25FD37ED" w14:textId="5BC11F19" w:rsidR="00EE6693" w:rsidRPr="00DF6F97" w:rsidRDefault="00EE6693" w:rsidP="0028119D">
      <w:pPr>
        <w:spacing w:after="0" w:line="480" w:lineRule="auto"/>
        <w:ind w:firstLine="720"/>
        <w:jc w:val="both"/>
        <w:rPr>
          <w:rFonts w:ascii="Times New Roman" w:hAnsi="Times New Roman"/>
          <w:sz w:val="24"/>
          <w:szCs w:val="24"/>
        </w:rPr>
      </w:pPr>
      <w:r w:rsidRPr="00351681">
        <w:rPr>
          <w:rFonts w:ascii="Times New Roman" w:hAnsi="Times New Roman"/>
          <w:sz w:val="24"/>
          <w:szCs w:val="24"/>
        </w:rPr>
        <w:t>Security guards play an important role in New York City’s public safety infrastructure: they monitor access to office buildings, educational institutions, large events and other sensitive spaces; conduct surveillance to identify potential security concerns; and respond to real</w:t>
      </w:r>
      <w:r w:rsidR="00C367C3">
        <w:rPr>
          <w:rFonts w:ascii="Times New Roman" w:hAnsi="Times New Roman"/>
          <w:sz w:val="24"/>
          <w:szCs w:val="24"/>
        </w:rPr>
        <w:t>-</w:t>
      </w:r>
      <w:proofErr w:type="gramStart"/>
      <w:r w:rsidRPr="00351681">
        <w:rPr>
          <w:rFonts w:ascii="Times New Roman" w:hAnsi="Times New Roman"/>
          <w:sz w:val="24"/>
          <w:szCs w:val="24"/>
        </w:rPr>
        <w:t>time  emergencies</w:t>
      </w:r>
      <w:proofErr w:type="gramEnd"/>
      <w:r w:rsidRPr="00351681">
        <w:rPr>
          <w:rFonts w:ascii="Times New Roman" w:hAnsi="Times New Roman"/>
          <w:sz w:val="24"/>
          <w:szCs w:val="24"/>
        </w:rPr>
        <w:t>. An estimated 81,900 security guards work for private sector employers in New York City.</w:t>
      </w:r>
      <w:r w:rsidRPr="00351681">
        <w:rPr>
          <w:rStyle w:val="FootnoteReference"/>
          <w:rFonts w:ascii="Times New Roman" w:hAnsi="Times New Roman"/>
          <w:sz w:val="24"/>
          <w:szCs w:val="24"/>
        </w:rPr>
        <w:footnoteReference w:id="107"/>
      </w:r>
      <w:r w:rsidRPr="00351681">
        <w:rPr>
          <w:rFonts w:ascii="Times New Roman" w:hAnsi="Times New Roman"/>
          <w:sz w:val="24"/>
          <w:szCs w:val="24"/>
        </w:rPr>
        <w:t xml:space="preserve"> </w:t>
      </w:r>
      <w:r w:rsidR="00C367C3">
        <w:rPr>
          <w:rFonts w:ascii="Times New Roman" w:hAnsi="Times New Roman"/>
          <w:sz w:val="24"/>
          <w:szCs w:val="24"/>
        </w:rPr>
        <w:t>In general, s</w:t>
      </w:r>
      <w:r w:rsidR="00080F67">
        <w:rPr>
          <w:rFonts w:ascii="Times New Roman" w:hAnsi="Times New Roman"/>
          <w:sz w:val="24"/>
          <w:szCs w:val="24"/>
        </w:rPr>
        <w:t xml:space="preserve">ecurity workers face </w:t>
      </w:r>
      <w:r w:rsidR="00047341">
        <w:rPr>
          <w:rFonts w:ascii="Times New Roman" w:hAnsi="Times New Roman"/>
          <w:sz w:val="24"/>
          <w:szCs w:val="24"/>
        </w:rPr>
        <w:t xml:space="preserve">much </w:t>
      </w:r>
      <w:r w:rsidR="00080F67">
        <w:rPr>
          <w:rFonts w:ascii="Times New Roman" w:hAnsi="Times New Roman"/>
          <w:sz w:val="24"/>
          <w:szCs w:val="24"/>
        </w:rPr>
        <w:t xml:space="preserve">higher rates of </w:t>
      </w:r>
      <w:r w:rsidR="00047341">
        <w:rPr>
          <w:rFonts w:ascii="Times New Roman" w:hAnsi="Times New Roman"/>
          <w:sz w:val="24"/>
          <w:szCs w:val="24"/>
        </w:rPr>
        <w:t>fatal workplace injuries</w:t>
      </w:r>
      <w:r w:rsidR="0009461A">
        <w:rPr>
          <w:rFonts w:ascii="Times New Roman" w:hAnsi="Times New Roman"/>
          <w:sz w:val="24"/>
          <w:szCs w:val="24"/>
        </w:rPr>
        <w:t xml:space="preserve"> than other workers</w:t>
      </w:r>
      <w:r w:rsidR="00DF6F97" w:rsidRPr="00DF6F97">
        <w:rPr>
          <w:rFonts w:ascii="Times New Roman" w:hAnsi="Times New Roman"/>
          <w:sz w:val="24"/>
          <w:szCs w:val="24"/>
        </w:rPr>
        <w:t>.</w:t>
      </w:r>
      <w:r w:rsidR="00AD7869">
        <w:rPr>
          <w:rStyle w:val="FootnoteReference"/>
          <w:rFonts w:ascii="Times New Roman" w:hAnsi="Times New Roman"/>
          <w:sz w:val="24"/>
          <w:szCs w:val="24"/>
        </w:rPr>
        <w:footnoteReference w:id="108"/>
      </w:r>
      <w:r w:rsidR="00DF6F97" w:rsidRPr="00DF6F97">
        <w:rPr>
          <w:rFonts w:ascii="Times New Roman" w:hAnsi="Times New Roman"/>
          <w:sz w:val="24"/>
          <w:szCs w:val="24"/>
        </w:rPr>
        <w:t xml:space="preserve"> </w:t>
      </w:r>
      <w:r w:rsidRPr="00351681">
        <w:rPr>
          <w:rFonts w:ascii="Times New Roman" w:hAnsi="Times New Roman"/>
          <w:sz w:val="24"/>
          <w:szCs w:val="24"/>
        </w:rPr>
        <w:t>As active shooter incidents become increasingly frequent</w:t>
      </w:r>
      <w:r w:rsidR="0050271D">
        <w:rPr>
          <w:rFonts w:ascii="Times New Roman" w:hAnsi="Times New Roman"/>
          <w:sz w:val="24"/>
          <w:szCs w:val="24"/>
        </w:rPr>
        <w:t>,</w:t>
      </w:r>
      <w:r w:rsidR="0050271D" w:rsidRPr="00351681">
        <w:rPr>
          <w:rStyle w:val="FootnoteReference"/>
          <w:rFonts w:ascii="Times New Roman" w:hAnsi="Times New Roman"/>
          <w:sz w:val="24"/>
          <w:szCs w:val="24"/>
        </w:rPr>
        <w:footnoteReference w:id="109"/>
      </w:r>
      <w:r w:rsidRPr="00351681">
        <w:rPr>
          <w:rFonts w:ascii="Times New Roman" w:hAnsi="Times New Roman"/>
          <w:sz w:val="24"/>
          <w:szCs w:val="24"/>
        </w:rPr>
        <w:t xml:space="preserve"> </w:t>
      </w:r>
      <w:r w:rsidR="0009461A">
        <w:rPr>
          <w:rFonts w:ascii="Times New Roman" w:hAnsi="Times New Roman"/>
          <w:sz w:val="24"/>
          <w:szCs w:val="24"/>
        </w:rPr>
        <w:t xml:space="preserve">and the </w:t>
      </w:r>
      <w:r w:rsidR="0000065C">
        <w:rPr>
          <w:rFonts w:ascii="Times New Roman" w:hAnsi="Times New Roman"/>
          <w:sz w:val="24"/>
          <w:szCs w:val="24"/>
        </w:rPr>
        <w:t xml:space="preserve">rates of retail theft in New York City remain </w:t>
      </w:r>
      <w:r w:rsidR="00AF65DB">
        <w:rPr>
          <w:rFonts w:ascii="Times New Roman" w:hAnsi="Times New Roman"/>
          <w:sz w:val="24"/>
          <w:szCs w:val="24"/>
        </w:rPr>
        <w:t xml:space="preserve">nearly 70 percent above </w:t>
      </w:r>
      <w:r w:rsidR="0050271D">
        <w:rPr>
          <w:rFonts w:ascii="Times New Roman" w:hAnsi="Times New Roman"/>
          <w:sz w:val="24"/>
          <w:szCs w:val="24"/>
        </w:rPr>
        <w:t>2019 levels,</w:t>
      </w:r>
      <w:r w:rsidR="00F35C29">
        <w:rPr>
          <w:rStyle w:val="FootnoteReference"/>
          <w:rFonts w:ascii="Times New Roman" w:hAnsi="Times New Roman"/>
          <w:sz w:val="24"/>
          <w:szCs w:val="24"/>
        </w:rPr>
        <w:footnoteReference w:id="110"/>
      </w:r>
      <w:r w:rsidR="0050271D">
        <w:rPr>
          <w:rFonts w:ascii="Times New Roman" w:hAnsi="Times New Roman"/>
          <w:sz w:val="24"/>
          <w:szCs w:val="24"/>
        </w:rPr>
        <w:t xml:space="preserve"> </w:t>
      </w:r>
      <w:r w:rsidRPr="00351681">
        <w:rPr>
          <w:rFonts w:ascii="Times New Roman" w:hAnsi="Times New Roman"/>
          <w:sz w:val="24"/>
          <w:szCs w:val="24"/>
        </w:rPr>
        <w:t xml:space="preserve">the job of security officers is </w:t>
      </w:r>
      <w:r w:rsidRPr="00351681">
        <w:rPr>
          <w:rFonts w:ascii="Times New Roman" w:hAnsi="Times New Roman"/>
          <w:sz w:val="24"/>
          <w:szCs w:val="24"/>
        </w:rPr>
        <w:lastRenderedPageBreak/>
        <w:t>both more important and more dangerous than ever. On July 28, 2025, unarmed security guard Aland Etienne was killed in a shooting at</w:t>
      </w:r>
      <w:r w:rsidR="00C367C3">
        <w:rPr>
          <w:rFonts w:ascii="Times New Roman" w:hAnsi="Times New Roman"/>
          <w:sz w:val="24"/>
          <w:szCs w:val="24"/>
        </w:rPr>
        <w:t xml:space="preserve"> a</w:t>
      </w:r>
      <w:r w:rsidRPr="00351681">
        <w:rPr>
          <w:rFonts w:ascii="Times New Roman" w:hAnsi="Times New Roman"/>
          <w:sz w:val="24"/>
          <w:szCs w:val="24"/>
        </w:rPr>
        <w:t xml:space="preserve"> midtown office building while working.</w:t>
      </w:r>
      <w:r w:rsidRPr="00351681">
        <w:rPr>
          <w:rStyle w:val="FootnoteReference"/>
          <w:rFonts w:ascii="Times New Roman" w:hAnsi="Times New Roman"/>
          <w:sz w:val="24"/>
          <w:szCs w:val="24"/>
        </w:rPr>
        <w:footnoteReference w:id="111"/>
      </w:r>
    </w:p>
    <w:p w14:paraId="364F95F4" w14:textId="7F8C8032" w:rsidR="00EE6693" w:rsidRPr="00351681" w:rsidRDefault="00EE6693" w:rsidP="0028119D">
      <w:pPr>
        <w:pStyle w:val="NoSpacing"/>
        <w:spacing w:line="480" w:lineRule="auto"/>
        <w:ind w:firstLine="720"/>
        <w:jc w:val="both"/>
        <w:rPr>
          <w:rFonts w:ascii="Times New Roman" w:hAnsi="Times New Roman"/>
        </w:rPr>
      </w:pPr>
      <w:r w:rsidRPr="00351681">
        <w:rPr>
          <w:rFonts w:ascii="Times New Roman" w:hAnsi="Times New Roman"/>
        </w:rPr>
        <w:t>Security guards in NYC have a median hourly wage of $20.29</w:t>
      </w:r>
      <w:r w:rsidR="00DB714D">
        <w:rPr>
          <w:rFonts w:ascii="Times New Roman" w:hAnsi="Times New Roman"/>
        </w:rPr>
        <w:t>—well below the living wage for a single adult in New York City of $32.85</w:t>
      </w:r>
      <w:r w:rsidR="00155F07">
        <w:rPr>
          <w:rFonts w:ascii="Times New Roman" w:hAnsi="Times New Roman"/>
        </w:rPr>
        <w:t>—</w:t>
      </w:r>
      <w:r w:rsidR="00155F07" w:rsidRPr="00351681">
        <w:rPr>
          <w:rFonts w:ascii="Times New Roman" w:hAnsi="Times New Roman"/>
        </w:rPr>
        <w:t>and a median annual income of $40,311</w:t>
      </w:r>
      <w:r w:rsidRPr="00351681">
        <w:rPr>
          <w:rFonts w:ascii="Times New Roman" w:hAnsi="Times New Roman"/>
        </w:rPr>
        <w:t>.</w:t>
      </w:r>
      <w:r w:rsidRPr="00351681">
        <w:rPr>
          <w:rStyle w:val="FootnoteReference"/>
          <w:rFonts w:ascii="Times New Roman" w:hAnsi="Times New Roman"/>
        </w:rPr>
        <w:footnoteReference w:id="112"/>
      </w:r>
      <w:r w:rsidRPr="00351681">
        <w:rPr>
          <w:rFonts w:ascii="Times New Roman" w:hAnsi="Times New Roman"/>
        </w:rPr>
        <w:t xml:space="preserve"> </w:t>
      </w:r>
      <w:r w:rsidR="008771D6">
        <w:rPr>
          <w:rFonts w:ascii="Times New Roman" w:hAnsi="Times New Roman"/>
        </w:rPr>
        <w:t>Further, t</w:t>
      </w:r>
      <w:r w:rsidRPr="00351681">
        <w:rPr>
          <w:rFonts w:ascii="Times New Roman" w:hAnsi="Times New Roman"/>
        </w:rPr>
        <w:t>he wages for security guards vary by race and gender: black security guards earn a median hourly wage of $19.06, female security guards earn a median hourly wage of $17.59, and white security guards earn a median hourly wage of $30.22.</w:t>
      </w:r>
      <w:r w:rsidRPr="00351681">
        <w:rPr>
          <w:rStyle w:val="FootnoteReference"/>
          <w:rFonts w:ascii="Times New Roman" w:hAnsi="Times New Roman"/>
        </w:rPr>
        <w:footnoteReference w:id="113"/>
      </w:r>
      <w:r w:rsidRPr="00351681">
        <w:rPr>
          <w:rFonts w:ascii="Times New Roman" w:hAnsi="Times New Roman"/>
        </w:rPr>
        <w:t xml:space="preserve"> Approximately 38 percent of security guards employed in NYC do not have health insurance provided through their employer or union.</w:t>
      </w:r>
      <w:r w:rsidRPr="00351681">
        <w:rPr>
          <w:rStyle w:val="FootnoteReference"/>
          <w:rFonts w:ascii="Times New Roman" w:hAnsi="Times New Roman"/>
        </w:rPr>
        <w:footnoteReference w:id="114"/>
      </w:r>
      <w:r w:rsidRPr="00351681">
        <w:rPr>
          <w:rFonts w:ascii="Times New Roman" w:hAnsi="Times New Roman"/>
        </w:rPr>
        <w:t xml:space="preserve"> Nationwide, 17.8 percent of all security officers were enrolled in Medicaid in 2023, compared with only 9.9 percent of private sector workers overall.</w:t>
      </w:r>
      <w:r w:rsidRPr="00351681">
        <w:rPr>
          <w:rStyle w:val="FootnoteReference"/>
          <w:rFonts w:ascii="Times New Roman" w:hAnsi="Times New Roman"/>
        </w:rPr>
        <w:footnoteReference w:id="115"/>
      </w:r>
      <w:r w:rsidRPr="00351681">
        <w:rPr>
          <w:rFonts w:ascii="Times New Roman" w:hAnsi="Times New Roman"/>
        </w:rPr>
        <w:t> </w:t>
      </w:r>
    </w:p>
    <w:p w14:paraId="6D4DCD3B" w14:textId="5DD3A2DC" w:rsidR="00EE6693" w:rsidRPr="00351681" w:rsidRDefault="00EE6693" w:rsidP="0028119D">
      <w:pPr>
        <w:pStyle w:val="NoSpacing"/>
        <w:spacing w:line="480" w:lineRule="auto"/>
        <w:ind w:firstLine="720"/>
        <w:jc w:val="both"/>
        <w:rPr>
          <w:rFonts w:ascii="Times New Roman" w:hAnsi="Times New Roman"/>
        </w:rPr>
      </w:pPr>
      <w:r w:rsidRPr="00351681">
        <w:rPr>
          <w:rFonts w:ascii="Times New Roman" w:hAnsi="Times New Roman"/>
        </w:rPr>
        <w:t>Security guards employed through NYC government contracts</w:t>
      </w:r>
      <w:r w:rsidR="00ED0630">
        <w:rPr>
          <w:rFonts w:ascii="Times New Roman" w:hAnsi="Times New Roman"/>
        </w:rPr>
        <w:t xml:space="preserve"> in excess of $1,500</w:t>
      </w:r>
      <w:r w:rsidRPr="00351681">
        <w:rPr>
          <w:rFonts w:ascii="Times New Roman" w:hAnsi="Times New Roman"/>
        </w:rPr>
        <w:t xml:space="preserve"> as well as at certain buildings receiving financial assistance from, or leasing space to, City government are entitled to the prevailing wage.</w:t>
      </w:r>
      <w:r w:rsidRPr="00351681">
        <w:rPr>
          <w:rStyle w:val="FootnoteReference"/>
          <w:rFonts w:ascii="Times New Roman" w:hAnsi="Times New Roman"/>
        </w:rPr>
        <w:footnoteReference w:id="116"/>
      </w:r>
      <w:r w:rsidRPr="00351681">
        <w:rPr>
          <w:rFonts w:ascii="Times New Roman" w:hAnsi="Times New Roman"/>
        </w:rPr>
        <w:t xml:space="preserve"> </w:t>
      </w:r>
      <w:r w:rsidR="003069F6" w:rsidRPr="0012303B">
        <w:rPr>
          <w:rFonts w:ascii="Times New Roman" w:eastAsia="Times New Roman" w:hAnsi="Times New Roman"/>
          <w:bCs/>
          <w:kern w:val="36"/>
        </w:rPr>
        <w:t>Prevailing wage laws require entities working under a government contract</w:t>
      </w:r>
      <w:r w:rsidRPr="00351681">
        <w:rPr>
          <w:rFonts w:ascii="Times New Roman" w:eastAsia="Times New Roman" w:hAnsi="Times New Roman"/>
          <w:bCs/>
          <w:kern w:val="36"/>
        </w:rPr>
        <w:t xml:space="preserve"> to pay the </w:t>
      </w:r>
      <w:r w:rsidR="003069F6" w:rsidRPr="0012303B">
        <w:rPr>
          <w:rFonts w:ascii="Times New Roman" w:eastAsia="Times New Roman" w:hAnsi="Times New Roman"/>
          <w:bCs/>
          <w:kern w:val="36"/>
        </w:rPr>
        <w:t>“</w:t>
      </w:r>
      <w:r w:rsidRPr="00351681">
        <w:rPr>
          <w:rFonts w:ascii="Times New Roman" w:eastAsia="Times New Roman" w:hAnsi="Times New Roman"/>
          <w:bCs/>
          <w:kern w:val="36"/>
        </w:rPr>
        <w:t>prevailing</w:t>
      </w:r>
      <w:r w:rsidR="003069F6" w:rsidRPr="0012303B">
        <w:rPr>
          <w:rFonts w:ascii="Times New Roman" w:eastAsia="Times New Roman" w:hAnsi="Times New Roman"/>
          <w:bCs/>
          <w:kern w:val="36"/>
        </w:rPr>
        <w:t xml:space="preserve">” wage for each job that is </w:t>
      </w:r>
      <w:r w:rsidR="003069F6">
        <w:rPr>
          <w:rFonts w:ascii="Times New Roman" w:eastAsia="Times New Roman" w:hAnsi="Times New Roman"/>
          <w:bCs/>
          <w:kern w:val="36"/>
        </w:rPr>
        <w:t>a</w:t>
      </w:r>
      <w:r w:rsidR="003069F6" w:rsidRPr="0012303B">
        <w:rPr>
          <w:rFonts w:ascii="Times New Roman" w:eastAsia="Times New Roman" w:hAnsi="Times New Roman"/>
          <w:bCs/>
          <w:kern w:val="36"/>
        </w:rPr>
        <w:t>t least the median or locally prevailing wage and any fringe benefits paid on similar projects in the region</w:t>
      </w:r>
      <w:r w:rsidR="003069F6">
        <w:rPr>
          <w:rFonts w:ascii="Times New Roman" w:eastAsia="Times New Roman" w:hAnsi="Times New Roman"/>
          <w:bCs/>
          <w:kern w:val="36"/>
        </w:rPr>
        <w:t>.</w:t>
      </w:r>
      <w:r w:rsidRPr="00351681">
        <w:rPr>
          <w:rFonts w:ascii="Times New Roman" w:eastAsia="Times New Roman" w:hAnsi="Times New Roman"/>
          <w:bCs/>
          <w:kern w:val="36"/>
        </w:rPr>
        <w:t xml:space="preserve"> </w:t>
      </w:r>
      <w:r w:rsidRPr="00351681">
        <w:rPr>
          <w:rFonts w:ascii="Times New Roman" w:hAnsi="Times New Roman"/>
        </w:rPr>
        <w:t xml:space="preserve">In New York City, the prevailing wage is set annually by the New York City Comptroller for each trade or occupation </w:t>
      </w:r>
      <w:r w:rsidRPr="00351681">
        <w:rPr>
          <w:rFonts w:ascii="Times New Roman" w:hAnsi="Times New Roman"/>
        </w:rPr>
        <w:lastRenderedPageBreak/>
        <w:t>and varies based on tenure.</w:t>
      </w:r>
      <w:r w:rsidRPr="00351681">
        <w:rPr>
          <w:rStyle w:val="FootnoteReference"/>
          <w:rFonts w:ascii="Times New Roman" w:hAnsi="Times New Roman"/>
        </w:rPr>
        <w:footnoteReference w:id="117"/>
      </w:r>
      <w:r w:rsidRPr="00351681">
        <w:rPr>
          <w:rFonts w:ascii="Times New Roman" w:hAnsi="Times New Roman"/>
        </w:rPr>
        <w:t xml:space="preserve"> For both armed and unarmed security guards, the prevailing wage includes the wage rate, supplemental benefit rate, overtime standards, paid holidays, vacation and sick leave.</w:t>
      </w:r>
      <w:r w:rsidRPr="00351681">
        <w:rPr>
          <w:rStyle w:val="FootnoteReference"/>
          <w:rFonts w:ascii="Times New Roman" w:hAnsi="Times New Roman"/>
        </w:rPr>
        <w:footnoteReference w:id="118"/>
      </w:r>
    </w:p>
    <w:p w14:paraId="112639B4" w14:textId="77777777" w:rsidR="00272BA1" w:rsidRDefault="00EE6693" w:rsidP="00EE6693">
      <w:pPr>
        <w:spacing w:after="0" w:line="480" w:lineRule="auto"/>
        <w:ind w:firstLine="720"/>
        <w:jc w:val="both"/>
        <w:rPr>
          <w:rFonts w:ascii="Times New Roman" w:hAnsi="Times New Roman"/>
          <w:sz w:val="24"/>
          <w:szCs w:val="24"/>
        </w:rPr>
      </w:pPr>
      <w:r w:rsidRPr="0028119D">
        <w:rPr>
          <w:rFonts w:ascii="Times New Roman" w:hAnsi="Times New Roman"/>
          <w:sz w:val="24"/>
          <w:szCs w:val="24"/>
        </w:rPr>
        <w:t>It is important that security be consistent and reliable. However, employee turnover in the NYC security industry has risen over time and is much higher than in the private sector generally: in 2024, the NYC security services sector had a turnover rate of 77 percent, compared to 58.1 percent in the private sector as a whole.</w:t>
      </w:r>
      <w:r w:rsidRPr="0028119D">
        <w:rPr>
          <w:rStyle w:val="FootnoteReference"/>
          <w:rFonts w:ascii="Times New Roman" w:hAnsi="Times New Roman"/>
          <w:sz w:val="24"/>
          <w:szCs w:val="24"/>
        </w:rPr>
        <w:footnoteReference w:id="119"/>
      </w:r>
      <w:r w:rsidRPr="0028119D">
        <w:rPr>
          <w:rFonts w:ascii="Times New Roman" w:hAnsi="Times New Roman"/>
          <w:sz w:val="24"/>
          <w:szCs w:val="24"/>
        </w:rPr>
        <w:t xml:space="preserve"> Studies have shown a direct relationship between high turnover and decreased service quality as employees who remain in a role are able to build skills and expertise.</w:t>
      </w:r>
      <w:r w:rsidRPr="0028119D">
        <w:rPr>
          <w:rStyle w:val="FootnoteReference"/>
          <w:rFonts w:ascii="Times New Roman" w:hAnsi="Times New Roman"/>
          <w:sz w:val="24"/>
          <w:szCs w:val="24"/>
        </w:rPr>
        <w:footnoteReference w:id="120"/>
      </w:r>
      <w:r w:rsidRPr="0028119D">
        <w:rPr>
          <w:rFonts w:ascii="Times New Roman" w:hAnsi="Times New Roman"/>
          <w:sz w:val="24"/>
          <w:szCs w:val="24"/>
        </w:rPr>
        <w:t xml:space="preserve"> </w:t>
      </w:r>
    </w:p>
    <w:p w14:paraId="30D650A9" w14:textId="30FBD1CB" w:rsidR="00C72DDB" w:rsidRPr="0028119D" w:rsidRDefault="00EE6693" w:rsidP="00FB3DA0">
      <w:pPr>
        <w:spacing w:after="0" w:line="480" w:lineRule="auto"/>
        <w:ind w:firstLine="720"/>
        <w:jc w:val="both"/>
        <w:rPr>
          <w:rFonts w:ascii="Times New Roman" w:eastAsia="MS Mincho" w:hAnsi="Times New Roman"/>
          <w:spacing w:val="-3"/>
          <w:sz w:val="24"/>
          <w:szCs w:val="24"/>
        </w:rPr>
      </w:pPr>
      <w:r w:rsidRPr="0028119D">
        <w:rPr>
          <w:rFonts w:ascii="Times New Roman" w:hAnsi="Times New Roman"/>
          <w:sz w:val="24"/>
          <w:szCs w:val="24"/>
        </w:rPr>
        <w:t>One well-documented way to decrease turnover is to increase compensation.</w:t>
      </w:r>
      <w:r w:rsidRPr="0028119D">
        <w:rPr>
          <w:rStyle w:val="FootnoteReference"/>
          <w:rFonts w:ascii="Times New Roman" w:hAnsi="Times New Roman"/>
          <w:sz w:val="24"/>
          <w:szCs w:val="24"/>
        </w:rPr>
        <w:footnoteReference w:id="121"/>
      </w:r>
      <w:r w:rsidRPr="0028119D">
        <w:rPr>
          <w:rFonts w:ascii="Times New Roman" w:hAnsi="Times New Roman"/>
          <w:sz w:val="24"/>
          <w:szCs w:val="24"/>
        </w:rPr>
        <w:t xml:space="preserve"> Indeed, several security industry publications have recommended increasing wages and benefits as a means of improving employee retention and performance in the sector.</w:t>
      </w:r>
      <w:r w:rsidRPr="0028119D">
        <w:rPr>
          <w:rStyle w:val="FootnoteReference"/>
          <w:rFonts w:ascii="Times New Roman" w:hAnsi="Times New Roman"/>
          <w:sz w:val="24"/>
          <w:szCs w:val="24"/>
        </w:rPr>
        <w:footnoteReference w:id="122"/>
      </w:r>
      <w:r w:rsidRPr="0028119D">
        <w:rPr>
          <w:rFonts w:ascii="Times New Roman" w:hAnsi="Times New Roman"/>
          <w:sz w:val="24"/>
          <w:szCs w:val="24"/>
        </w:rPr>
        <w:t xml:space="preserve"> </w:t>
      </w:r>
      <w:r w:rsidR="00E347DA">
        <w:rPr>
          <w:rFonts w:ascii="Times New Roman" w:hAnsi="Times New Roman"/>
          <w:sz w:val="24"/>
          <w:szCs w:val="24"/>
        </w:rPr>
        <w:t>One security employer testified at the October 30, 2025 hearing that they</w:t>
      </w:r>
      <w:r w:rsidR="002676C8">
        <w:rPr>
          <w:rFonts w:ascii="Times New Roman" w:hAnsi="Times New Roman"/>
          <w:sz w:val="24"/>
          <w:szCs w:val="24"/>
        </w:rPr>
        <w:t xml:space="preserve"> see better </w:t>
      </w:r>
      <w:r w:rsidR="009030C4">
        <w:rPr>
          <w:rFonts w:ascii="Times New Roman" w:hAnsi="Times New Roman"/>
          <w:sz w:val="24"/>
          <w:szCs w:val="24"/>
        </w:rPr>
        <w:t xml:space="preserve">retention and overall worker performance when they are able to pay their security guards higher wages but that they get </w:t>
      </w:r>
      <w:r w:rsidR="009030C4">
        <w:rPr>
          <w:rFonts w:ascii="Times New Roman" w:hAnsi="Times New Roman"/>
          <w:sz w:val="24"/>
          <w:szCs w:val="24"/>
        </w:rPr>
        <w:lastRenderedPageBreak/>
        <w:t xml:space="preserve">underbid by competitors, leading to </w:t>
      </w:r>
      <w:r w:rsidR="00F57523">
        <w:rPr>
          <w:rFonts w:ascii="Times New Roman" w:hAnsi="Times New Roman"/>
          <w:sz w:val="24"/>
          <w:szCs w:val="24"/>
        </w:rPr>
        <w:t>high turnover and less experienced security guards.</w:t>
      </w:r>
      <w:r w:rsidR="00F57523">
        <w:rPr>
          <w:rStyle w:val="FootnoteReference"/>
          <w:rFonts w:ascii="Times New Roman" w:hAnsi="Times New Roman"/>
          <w:sz w:val="24"/>
          <w:szCs w:val="24"/>
        </w:rPr>
        <w:footnoteReference w:id="123"/>
      </w:r>
      <w:r w:rsidR="00F57523">
        <w:rPr>
          <w:rFonts w:ascii="Times New Roman" w:hAnsi="Times New Roman"/>
          <w:sz w:val="24"/>
          <w:szCs w:val="24"/>
        </w:rPr>
        <w:t xml:space="preserve"> </w:t>
      </w:r>
      <w:r w:rsidRPr="0028119D">
        <w:rPr>
          <w:rFonts w:ascii="Times New Roman" w:hAnsi="Times New Roman"/>
          <w:sz w:val="24"/>
          <w:szCs w:val="24"/>
        </w:rPr>
        <w:t>In 2008, Washington, D.C. enacted legislation setting the minimum wage for security officers working at office buildings at the prevailing wage, citing high levels of turnover in the industry.</w:t>
      </w:r>
      <w:r w:rsidRPr="0028119D">
        <w:rPr>
          <w:rFonts w:ascii="Times New Roman" w:hAnsi="Times New Roman"/>
          <w:sz w:val="24"/>
          <w:szCs w:val="24"/>
          <w:vertAlign w:val="superscript"/>
        </w:rPr>
        <w:footnoteReference w:id="124"/>
      </w:r>
      <w:r w:rsidR="00423195" w:rsidRPr="0028119D">
        <w:rPr>
          <w:rFonts w:ascii="Times New Roman" w:hAnsi="Times New Roman"/>
          <w:sz w:val="24"/>
          <w:szCs w:val="24"/>
        </w:rPr>
        <w:t xml:space="preserve"> </w:t>
      </w:r>
    </w:p>
    <w:p w14:paraId="1527A1C8" w14:textId="74AAE480" w:rsidR="00345209" w:rsidRPr="0066300D" w:rsidRDefault="001E197C" w:rsidP="0066300D">
      <w:pPr>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S</w:t>
      </w:r>
      <w:r w:rsidR="00157C4A">
        <w:rPr>
          <w:rFonts w:ascii="Times New Roman" w:eastAsia="MS Mincho" w:hAnsi="Times New Roman"/>
          <w:spacing w:val="-3"/>
          <w:sz w:val="24"/>
          <w:szCs w:val="24"/>
        </w:rPr>
        <w:t>everal witnesses</w:t>
      </w:r>
      <w:r w:rsidR="00314384" w:rsidRPr="0028119D">
        <w:rPr>
          <w:rFonts w:ascii="Times New Roman" w:eastAsia="MS Mincho" w:hAnsi="Times New Roman"/>
          <w:spacing w:val="-3"/>
          <w:sz w:val="24"/>
          <w:szCs w:val="24"/>
        </w:rPr>
        <w:t xml:space="preserve"> </w:t>
      </w:r>
      <w:r w:rsidR="004C1C54">
        <w:rPr>
          <w:rFonts w:ascii="Times New Roman" w:eastAsia="MS Mincho" w:hAnsi="Times New Roman"/>
          <w:spacing w:val="-3"/>
          <w:sz w:val="24"/>
          <w:szCs w:val="24"/>
        </w:rPr>
        <w:t>opposed to the bill</w:t>
      </w:r>
      <w:r w:rsidR="00314384" w:rsidRPr="0028119D">
        <w:rPr>
          <w:rFonts w:ascii="Times New Roman" w:eastAsia="MS Mincho" w:hAnsi="Times New Roman"/>
          <w:spacing w:val="-3"/>
          <w:sz w:val="24"/>
          <w:szCs w:val="24"/>
        </w:rPr>
        <w:t xml:space="preserve"> testified that New York City is preempted from establishing</w:t>
      </w:r>
      <w:r w:rsidR="00345209" w:rsidRPr="0028119D">
        <w:rPr>
          <w:rFonts w:ascii="Times New Roman" w:eastAsia="MS Mincho" w:hAnsi="Times New Roman"/>
          <w:spacing w:val="-3"/>
          <w:sz w:val="24"/>
          <w:szCs w:val="24"/>
        </w:rPr>
        <w:t xml:space="preserve"> minimum wages</w:t>
      </w:r>
      <w:r w:rsidR="00314384" w:rsidRPr="0028119D">
        <w:rPr>
          <w:rFonts w:ascii="Times New Roman" w:eastAsia="MS Mincho" w:hAnsi="Times New Roman"/>
          <w:spacing w:val="-3"/>
          <w:sz w:val="24"/>
          <w:szCs w:val="24"/>
        </w:rPr>
        <w:t xml:space="preserve"> for </w:t>
      </w:r>
      <w:r w:rsidR="00740656">
        <w:rPr>
          <w:rFonts w:ascii="Times New Roman" w:eastAsia="MS Mincho" w:hAnsi="Times New Roman"/>
          <w:spacing w:val="-3"/>
          <w:sz w:val="24"/>
          <w:szCs w:val="24"/>
        </w:rPr>
        <w:t>private sector workers</w:t>
      </w:r>
      <w:r w:rsidR="00483F7B" w:rsidRPr="00483F7B">
        <w:rPr>
          <w:rFonts w:ascii="Times New Roman" w:eastAsia="MS Mincho" w:hAnsi="Times New Roman"/>
          <w:spacing w:val="-3"/>
          <w:sz w:val="24"/>
          <w:szCs w:val="24"/>
        </w:rPr>
        <w:t xml:space="preserve"> based on the </w:t>
      </w:r>
      <w:r w:rsidR="00483F7B">
        <w:rPr>
          <w:rFonts w:ascii="Times New Roman" w:eastAsia="MS Mincho" w:hAnsi="Times New Roman"/>
          <w:spacing w:val="-3"/>
          <w:sz w:val="24"/>
          <w:szCs w:val="24"/>
        </w:rPr>
        <w:t xml:space="preserve">New York State </w:t>
      </w:r>
      <w:r w:rsidR="00483F7B" w:rsidRPr="00483F7B">
        <w:rPr>
          <w:rFonts w:ascii="Times New Roman" w:eastAsia="MS Mincho" w:hAnsi="Times New Roman"/>
          <w:spacing w:val="-3"/>
          <w:sz w:val="24"/>
          <w:szCs w:val="24"/>
        </w:rPr>
        <w:t xml:space="preserve">Court of </w:t>
      </w:r>
      <w:r w:rsidR="005D6807" w:rsidRPr="00483F7B">
        <w:rPr>
          <w:rFonts w:ascii="Times New Roman" w:eastAsia="MS Mincho" w:hAnsi="Times New Roman"/>
          <w:spacing w:val="-3"/>
          <w:sz w:val="24"/>
          <w:szCs w:val="24"/>
        </w:rPr>
        <w:t>Appeals</w:t>
      </w:r>
      <w:r w:rsidR="005D6807">
        <w:rPr>
          <w:rFonts w:ascii="Times New Roman" w:eastAsia="MS Mincho" w:hAnsi="Times New Roman"/>
          <w:spacing w:val="-3"/>
          <w:sz w:val="24"/>
          <w:szCs w:val="24"/>
        </w:rPr>
        <w:t>’</w:t>
      </w:r>
      <w:r w:rsidR="00483F7B" w:rsidRPr="00483F7B">
        <w:rPr>
          <w:rFonts w:ascii="Times New Roman" w:eastAsia="MS Mincho" w:hAnsi="Times New Roman"/>
          <w:spacing w:val="-3"/>
          <w:sz w:val="24"/>
          <w:szCs w:val="24"/>
        </w:rPr>
        <w:t xml:space="preserve"> decision in </w:t>
      </w:r>
      <w:r w:rsidR="00483F7B" w:rsidRPr="00483F7B">
        <w:rPr>
          <w:rFonts w:ascii="Times New Roman" w:eastAsia="MS Mincho" w:hAnsi="Times New Roman"/>
          <w:i/>
          <w:iCs/>
          <w:spacing w:val="-3"/>
          <w:sz w:val="24"/>
          <w:szCs w:val="24"/>
        </w:rPr>
        <w:t>Wholesale Laundry Board of Trade, Inc. v. City of New York</w:t>
      </w:r>
      <w:r w:rsidR="009023A7">
        <w:rPr>
          <w:rFonts w:ascii="Times New Roman" w:eastAsia="MS Mincho" w:hAnsi="Times New Roman"/>
          <w:i/>
          <w:iCs/>
          <w:spacing w:val="-3"/>
          <w:sz w:val="24"/>
          <w:szCs w:val="24"/>
        </w:rPr>
        <w:t>,</w:t>
      </w:r>
      <w:r w:rsidR="009023A7" w:rsidRPr="009023A7">
        <w:rPr>
          <w:rFonts w:ascii="Times New Roman" w:eastAsia="MS Mincho" w:hAnsi="Times New Roman"/>
          <w:i/>
          <w:iCs/>
          <w:spacing w:val="-3"/>
          <w:sz w:val="24"/>
          <w:szCs w:val="24"/>
        </w:rPr>
        <w:t xml:space="preserve"> </w:t>
      </w:r>
      <w:r w:rsidR="009023A7" w:rsidRPr="007472C0">
        <w:rPr>
          <w:rFonts w:ascii="Times New Roman" w:eastAsia="MS Mincho" w:hAnsi="Times New Roman"/>
          <w:spacing w:val="-3"/>
          <w:sz w:val="24"/>
          <w:szCs w:val="24"/>
        </w:rPr>
        <w:t xml:space="preserve">17 A.D.2d 327 (1st </w:t>
      </w:r>
      <w:proofErr w:type="spellStart"/>
      <w:r w:rsidR="009023A7" w:rsidRPr="007472C0">
        <w:rPr>
          <w:rFonts w:ascii="Times New Roman" w:eastAsia="MS Mincho" w:hAnsi="Times New Roman"/>
          <w:spacing w:val="-3"/>
          <w:sz w:val="24"/>
          <w:szCs w:val="24"/>
        </w:rPr>
        <w:t>Dep’t</w:t>
      </w:r>
      <w:proofErr w:type="spellEnd"/>
      <w:r w:rsidR="009023A7" w:rsidRPr="007472C0">
        <w:rPr>
          <w:rFonts w:ascii="Times New Roman" w:eastAsia="MS Mincho" w:hAnsi="Times New Roman"/>
          <w:spacing w:val="-3"/>
          <w:sz w:val="24"/>
          <w:szCs w:val="24"/>
        </w:rPr>
        <w:t xml:space="preserve"> 1962)</w:t>
      </w:r>
      <w:r w:rsidR="006209D0">
        <w:rPr>
          <w:rFonts w:ascii="Times New Roman" w:eastAsia="MS Mincho" w:hAnsi="Times New Roman"/>
          <w:spacing w:val="-3"/>
          <w:sz w:val="24"/>
          <w:szCs w:val="24"/>
        </w:rPr>
        <w:t>.</w:t>
      </w:r>
      <w:r w:rsidR="001D18AB">
        <w:rPr>
          <w:rStyle w:val="FootnoteReference"/>
          <w:rFonts w:ascii="Times New Roman" w:eastAsia="MS Mincho" w:hAnsi="Times New Roman"/>
          <w:spacing w:val="-3"/>
          <w:sz w:val="24"/>
          <w:szCs w:val="24"/>
        </w:rPr>
        <w:footnoteReference w:id="125"/>
      </w:r>
      <w:r w:rsidR="006209D0">
        <w:rPr>
          <w:rFonts w:ascii="Times New Roman" w:eastAsia="MS Mincho" w:hAnsi="Times New Roman"/>
          <w:spacing w:val="-3"/>
          <w:sz w:val="24"/>
          <w:szCs w:val="24"/>
        </w:rPr>
        <w:t xml:space="preserve"> </w:t>
      </w:r>
      <w:r w:rsidR="00345209" w:rsidRPr="0028119D">
        <w:rPr>
          <w:rFonts w:ascii="Times New Roman" w:eastAsia="MS Mincho" w:hAnsi="Times New Roman"/>
          <w:i/>
          <w:iCs/>
          <w:spacing w:val="-3"/>
          <w:sz w:val="24"/>
          <w:szCs w:val="24"/>
        </w:rPr>
        <w:t xml:space="preserve"> </w:t>
      </w:r>
      <w:r w:rsidR="00D96E60">
        <w:rPr>
          <w:rFonts w:ascii="Times New Roman" w:eastAsia="MS Mincho" w:hAnsi="Times New Roman"/>
          <w:spacing w:val="-3"/>
          <w:sz w:val="24"/>
          <w:szCs w:val="24"/>
        </w:rPr>
        <w:t>Some</w:t>
      </w:r>
      <w:r w:rsidR="007D2005">
        <w:rPr>
          <w:rFonts w:ascii="Times New Roman" w:eastAsia="MS Mincho" w:hAnsi="Times New Roman"/>
          <w:spacing w:val="-3"/>
          <w:sz w:val="24"/>
          <w:szCs w:val="24"/>
        </w:rPr>
        <w:t xml:space="preserve"> </w:t>
      </w:r>
      <w:r w:rsidR="004C1C54">
        <w:rPr>
          <w:rFonts w:ascii="Times New Roman" w:eastAsia="MS Mincho" w:hAnsi="Times New Roman"/>
          <w:spacing w:val="-3"/>
          <w:sz w:val="24"/>
          <w:szCs w:val="24"/>
        </w:rPr>
        <w:t>legal experts</w:t>
      </w:r>
      <w:r w:rsidR="006A47EB">
        <w:rPr>
          <w:rFonts w:ascii="Times New Roman" w:eastAsia="MS Mincho" w:hAnsi="Times New Roman"/>
          <w:spacing w:val="-3"/>
          <w:sz w:val="24"/>
          <w:szCs w:val="24"/>
        </w:rPr>
        <w:t>, however</w:t>
      </w:r>
      <w:r w:rsidR="001A0037">
        <w:rPr>
          <w:rFonts w:ascii="Times New Roman" w:eastAsia="MS Mincho" w:hAnsi="Times New Roman"/>
          <w:spacing w:val="-3"/>
          <w:sz w:val="24"/>
          <w:szCs w:val="24"/>
        </w:rPr>
        <w:t>,</w:t>
      </w:r>
      <w:r w:rsidR="007D2005">
        <w:rPr>
          <w:rFonts w:ascii="Times New Roman" w:eastAsia="MS Mincho" w:hAnsi="Times New Roman"/>
          <w:spacing w:val="-3"/>
          <w:sz w:val="24"/>
          <w:szCs w:val="24"/>
        </w:rPr>
        <w:t xml:space="preserve"> argued that</w:t>
      </w:r>
      <w:r w:rsidR="00CC501B">
        <w:rPr>
          <w:rFonts w:ascii="Times New Roman" w:eastAsia="MS Mincho" w:hAnsi="Times New Roman"/>
          <w:spacing w:val="-3"/>
          <w:sz w:val="24"/>
          <w:szCs w:val="24"/>
        </w:rPr>
        <w:t xml:space="preserve"> the proposition that</w:t>
      </w:r>
      <w:r w:rsidR="007D2005">
        <w:rPr>
          <w:rFonts w:ascii="Times New Roman" w:eastAsia="MS Mincho" w:hAnsi="Times New Roman"/>
          <w:spacing w:val="-3"/>
          <w:sz w:val="24"/>
          <w:szCs w:val="24"/>
        </w:rPr>
        <w:t xml:space="preserve"> </w:t>
      </w:r>
      <w:r w:rsidR="007472C0">
        <w:rPr>
          <w:rFonts w:ascii="Times New Roman" w:eastAsia="MS Mincho" w:hAnsi="Times New Roman"/>
          <w:i/>
          <w:iCs/>
          <w:spacing w:val="-3"/>
          <w:sz w:val="24"/>
          <w:szCs w:val="24"/>
        </w:rPr>
        <w:t>Wholesale Laundr</w:t>
      </w:r>
      <w:r w:rsidR="00CC501B">
        <w:rPr>
          <w:rFonts w:ascii="Times New Roman" w:eastAsia="MS Mincho" w:hAnsi="Times New Roman"/>
          <w:i/>
          <w:iCs/>
          <w:spacing w:val="-3"/>
          <w:sz w:val="24"/>
          <w:szCs w:val="24"/>
        </w:rPr>
        <w:t>y</w:t>
      </w:r>
      <w:r w:rsidR="007472C0">
        <w:rPr>
          <w:rFonts w:ascii="Times New Roman" w:eastAsia="MS Mincho" w:hAnsi="Times New Roman"/>
          <w:i/>
          <w:iCs/>
          <w:spacing w:val="-3"/>
          <w:sz w:val="24"/>
          <w:szCs w:val="24"/>
        </w:rPr>
        <w:t xml:space="preserve"> </w:t>
      </w:r>
      <w:r w:rsidR="00CC501B">
        <w:rPr>
          <w:rFonts w:ascii="Times New Roman" w:eastAsia="MS Mincho" w:hAnsi="Times New Roman"/>
          <w:spacing w:val="-3"/>
          <w:sz w:val="24"/>
          <w:szCs w:val="24"/>
        </w:rPr>
        <w:t xml:space="preserve">prohibits </w:t>
      </w:r>
      <w:r w:rsidR="00FC0A95">
        <w:rPr>
          <w:rFonts w:ascii="Times New Roman" w:eastAsia="MS Mincho" w:hAnsi="Times New Roman"/>
          <w:spacing w:val="-3"/>
          <w:sz w:val="24"/>
          <w:szCs w:val="24"/>
        </w:rPr>
        <w:t xml:space="preserve">municipalities from increasing their minimum wage </w:t>
      </w:r>
      <w:r w:rsidR="007472C0">
        <w:rPr>
          <w:rFonts w:ascii="Times New Roman" w:eastAsia="MS Mincho" w:hAnsi="Times New Roman"/>
          <w:spacing w:val="-3"/>
          <w:sz w:val="24"/>
          <w:szCs w:val="24"/>
        </w:rPr>
        <w:t>is “misunderstood</w:t>
      </w:r>
      <w:r w:rsidR="00203634">
        <w:rPr>
          <w:rFonts w:ascii="Times New Roman" w:eastAsia="MS Mincho" w:hAnsi="Times New Roman"/>
          <w:spacing w:val="-3"/>
          <w:sz w:val="24"/>
          <w:szCs w:val="24"/>
        </w:rPr>
        <w:t>,</w:t>
      </w:r>
      <w:r w:rsidR="00AC6B6D">
        <w:rPr>
          <w:rFonts w:ascii="Times New Roman" w:eastAsia="MS Mincho" w:hAnsi="Times New Roman"/>
          <w:spacing w:val="-3"/>
          <w:sz w:val="24"/>
          <w:szCs w:val="24"/>
        </w:rPr>
        <w:t>”</w:t>
      </w:r>
      <w:r w:rsidR="007F3478">
        <w:rPr>
          <w:rStyle w:val="FootnoteReference"/>
          <w:rFonts w:ascii="Times New Roman" w:eastAsia="MS Mincho" w:hAnsi="Times New Roman"/>
          <w:spacing w:val="-3"/>
          <w:sz w:val="24"/>
          <w:szCs w:val="24"/>
        </w:rPr>
        <w:footnoteReference w:id="126"/>
      </w:r>
      <w:r w:rsidR="00203634">
        <w:rPr>
          <w:rFonts w:ascii="Times New Roman" w:eastAsia="MS Mincho" w:hAnsi="Times New Roman"/>
          <w:spacing w:val="-3"/>
          <w:sz w:val="24"/>
          <w:szCs w:val="24"/>
        </w:rPr>
        <w:t xml:space="preserve"> </w:t>
      </w:r>
      <w:r w:rsidR="00AC6B6D">
        <w:rPr>
          <w:rFonts w:ascii="Times New Roman" w:eastAsia="MS Mincho" w:hAnsi="Times New Roman"/>
          <w:spacing w:val="-3"/>
          <w:sz w:val="24"/>
          <w:szCs w:val="24"/>
        </w:rPr>
        <w:t xml:space="preserve">that </w:t>
      </w:r>
      <w:r w:rsidR="005147F6">
        <w:rPr>
          <w:rFonts w:ascii="Times New Roman" w:eastAsia="MS Mincho" w:hAnsi="Times New Roman"/>
          <w:spacing w:val="-3"/>
          <w:sz w:val="24"/>
          <w:szCs w:val="24"/>
        </w:rPr>
        <w:t>it was “</w:t>
      </w:r>
      <w:r w:rsidR="005147F6" w:rsidRPr="005147F6">
        <w:rPr>
          <w:rFonts w:ascii="Times New Roman" w:eastAsia="MS Mincho" w:hAnsi="Times New Roman"/>
          <w:spacing w:val="-3"/>
          <w:sz w:val="24"/>
          <w:szCs w:val="24"/>
        </w:rPr>
        <w:t>a tenuous ruling that relies on assumptions that have been disproven over the succeeding decades</w:t>
      </w:r>
      <w:r w:rsidR="00533F0B">
        <w:rPr>
          <w:rFonts w:ascii="Times New Roman" w:eastAsia="MS Mincho" w:hAnsi="Times New Roman"/>
          <w:spacing w:val="-3"/>
          <w:sz w:val="24"/>
          <w:szCs w:val="24"/>
        </w:rPr>
        <w:t>,”</w:t>
      </w:r>
      <w:r w:rsidR="007F3478">
        <w:rPr>
          <w:rStyle w:val="FootnoteReference"/>
          <w:rFonts w:ascii="Times New Roman" w:eastAsia="MS Mincho" w:hAnsi="Times New Roman"/>
          <w:spacing w:val="-3"/>
          <w:sz w:val="24"/>
          <w:szCs w:val="24"/>
        </w:rPr>
        <w:footnoteReference w:id="127"/>
      </w:r>
      <w:r w:rsidR="00533F0B">
        <w:rPr>
          <w:rFonts w:ascii="Times New Roman" w:eastAsia="MS Mincho" w:hAnsi="Times New Roman"/>
          <w:spacing w:val="-3"/>
          <w:sz w:val="24"/>
          <w:szCs w:val="24"/>
        </w:rPr>
        <w:t xml:space="preserve"> and that</w:t>
      </w:r>
      <w:r w:rsidR="005147F6">
        <w:rPr>
          <w:rFonts w:ascii="Times New Roman" w:eastAsia="MS Mincho" w:hAnsi="Times New Roman"/>
          <w:spacing w:val="-3"/>
          <w:sz w:val="24"/>
          <w:szCs w:val="24"/>
        </w:rPr>
        <w:t xml:space="preserve"> </w:t>
      </w:r>
      <w:r w:rsidR="00AC6B6D">
        <w:rPr>
          <w:rFonts w:ascii="Times New Roman" w:eastAsia="MS Mincho" w:hAnsi="Times New Roman"/>
          <w:spacing w:val="-3"/>
          <w:sz w:val="24"/>
          <w:szCs w:val="24"/>
        </w:rPr>
        <w:t>“</w:t>
      </w:r>
      <w:r w:rsidR="00AC6B6D" w:rsidRPr="00AC6B6D">
        <w:rPr>
          <w:rFonts w:ascii="Times New Roman" w:eastAsia="MS Mincho" w:hAnsi="Times New Roman"/>
          <w:spacing w:val="-3"/>
          <w:sz w:val="24"/>
          <w:szCs w:val="24"/>
        </w:rPr>
        <w:t>the legal landscape</w:t>
      </w:r>
      <w:r w:rsidR="00AC6B6D">
        <w:rPr>
          <w:rFonts w:ascii="Times New Roman" w:eastAsia="MS Mincho" w:hAnsi="Times New Roman"/>
          <w:spacing w:val="-3"/>
          <w:sz w:val="24"/>
          <w:szCs w:val="24"/>
        </w:rPr>
        <w:t xml:space="preserve"> </w:t>
      </w:r>
      <w:r w:rsidR="00AC6B6D" w:rsidRPr="00AC6B6D">
        <w:rPr>
          <w:rFonts w:ascii="Times New Roman" w:eastAsia="MS Mincho" w:hAnsi="Times New Roman"/>
          <w:spacing w:val="-3"/>
          <w:sz w:val="24"/>
          <w:szCs w:val="24"/>
        </w:rPr>
        <w:t xml:space="preserve">has changed so much that it is hard to see how </w:t>
      </w:r>
      <w:r w:rsidR="00AC6B6D" w:rsidRPr="00AC6B6D">
        <w:rPr>
          <w:rFonts w:ascii="Times New Roman" w:eastAsia="MS Mincho" w:hAnsi="Times New Roman"/>
          <w:i/>
          <w:iCs/>
          <w:spacing w:val="-3"/>
          <w:sz w:val="24"/>
          <w:szCs w:val="24"/>
        </w:rPr>
        <w:t>Wholesale Laundry</w:t>
      </w:r>
      <w:r w:rsidR="00AC6B6D" w:rsidRPr="00AC6B6D">
        <w:rPr>
          <w:rFonts w:ascii="Times New Roman" w:eastAsia="MS Mincho" w:hAnsi="Times New Roman"/>
          <w:spacing w:val="-3"/>
          <w:sz w:val="24"/>
          <w:szCs w:val="24"/>
        </w:rPr>
        <w:t xml:space="preserve"> binds this Council</w:t>
      </w:r>
      <w:r w:rsidR="00AC6B6D">
        <w:rPr>
          <w:rFonts w:ascii="Times New Roman" w:eastAsia="MS Mincho" w:hAnsi="Times New Roman"/>
          <w:spacing w:val="-3"/>
          <w:sz w:val="24"/>
          <w:szCs w:val="24"/>
        </w:rPr>
        <w:t xml:space="preserve"> </w:t>
      </w:r>
      <w:r w:rsidR="00AC6B6D" w:rsidRPr="00AC6B6D">
        <w:rPr>
          <w:rFonts w:ascii="Times New Roman" w:eastAsia="MS Mincho" w:hAnsi="Times New Roman"/>
          <w:spacing w:val="-3"/>
          <w:sz w:val="24"/>
          <w:szCs w:val="24"/>
        </w:rPr>
        <w:t>anymore</w:t>
      </w:r>
      <w:r w:rsidR="00F32DC2">
        <w:rPr>
          <w:rFonts w:ascii="Times New Roman" w:eastAsia="MS Mincho" w:hAnsi="Times New Roman"/>
          <w:spacing w:val="-3"/>
          <w:sz w:val="24"/>
          <w:szCs w:val="24"/>
        </w:rPr>
        <w:t>.</w:t>
      </w:r>
      <w:r w:rsidR="00AC6B6D">
        <w:rPr>
          <w:rFonts w:ascii="Times New Roman" w:eastAsia="MS Mincho" w:hAnsi="Times New Roman"/>
          <w:spacing w:val="-3"/>
          <w:sz w:val="24"/>
          <w:szCs w:val="24"/>
        </w:rPr>
        <w:t>”</w:t>
      </w:r>
      <w:r w:rsidR="00AC6B6D">
        <w:rPr>
          <w:rStyle w:val="FootnoteReference"/>
          <w:rFonts w:ascii="Times New Roman" w:eastAsia="MS Mincho" w:hAnsi="Times New Roman"/>
          <w:spacing w:val="-3"/>
          <w:sz w:val="24"/>
          <w:szCs w:val="24"/>
        </w:rPr>
        <w:footnoteReference w:id="128"/>
      </w:r>
      <w:r w:rsidR="007D2005">
        <w:rPr>
          <w:rFonts w:ascii="Times New Roman" w:eastAsia="MS Mincho" w:hAnsi="Times New Roman"/>
          <w:spacing w:val="-3"/>
          <w:sz w:val="24"/>
          <w:szCs w:val="24"/>
        </w:rPr>
        <w:t xml:space="preserve"> </w:t>
      </w:r>
      <w:r w:rsidR="00B542CC">
        <w:rPr>
          <w:rFonts w:ascii="Times New Roman" w:eastAsia="MS Mincho" w:hAnsi="Times New Roman"/>
          <w:spacing w:val="-3"/>
          <w:sz w:val="24"/>
          <w:szCs w:val="24"/>
        </w:rPr>
        <w:t>Moreover</w:t>
      </w:r>
      <w:r w:rsidR="006876FB">
        <w:rPr>
          <w:rFonts w:ascii="Times New Roman" w:eastAsia="MS Mincho" w:hAnsi="Times New Roman"/>
          <w:spacing w:val="-3"/>
          <w:sz w:val="24"/>
          <w:szCs w:val="24"/>
        </w:rPr>
        <w:t xml:space="preserve">, they </w:t>
      </w:r>
      <w:r w:rsidR="00B542CC">
        <w:rPr>
          <w:rFonts w:ascii="Times New Roman" w:eastAsia="MS Mincho" w:hAnsi="Times New Roman"/>
          <w:spacing w:val="-3"/>
          <w:sz w:val="24"/>
          <w:szCs w:val="24"/>
        </w:rPr>
        <w:t>drew a distinction between</w:t>
      </w:r>
      <w:r w:rsidR="00951088">
        <w:rPr>
          <w:rFonts w:ascii="Times New Roman" w:eastAsia="MS Mincho" w:hAnsi="Times New Roman"/>
          <w:spacing w:val="-3"/>
          <w:sz w:val="24"/>
          <w:szCs w:val="24"/>
        </w:rPr>
        <w:t xml:space="preserve"> the public safety motivation </w:t>
      </w:r>
      <w:r w:rsidR="00B542CC">
        <w:rPr>
          <w:rFonts w:ascii="Times New Roman" w:eastAsia="MS Mincho" w:hAnsi="Times New Roman"/>
          <w:spacing w:val="-3"/>
          <w:sz w:val="24"/>
          <w:szCs w:val="24"/>
        </w:rPr>
        <w:t>underlying</w:t>
      </w:r>
      <w:r w:rsidR="00951088">
        <w:rPr>
          <w:rFonts w:ascii="Times New Roman" w:eastAsia="MS Mincho" w:hAnsi="Times New Roman"/>
          <w:spacing w:val="-3"/>
          <w:sz w:val="24"/>
          <w:szCs w:val="24"/>
        </w:rPr>
        <w:t xml:space="preserve"> Introduction Number 1391 </w:t>
      </w:r>
      <w:r w:rsidR="006A3656">
        <w:rPr>
          <w:rFonts w:ascii="Times New Roman" w:eastAsia="MS Mincho" w:hAnsi="Times New Roman"/>
          <w:spacing w:val="-3"/>
          <w:sz w:val="24"/>
          <w:szCs w:val="24"/>
        </w:rPr>
        <w:t xml:space="preserve">and the </w:t>
      </w:r>
      <w:r w:rsidR="004619DD">
        <w:rPr>
          <w:rFonts w:ascii="Times New Roman" w:eastAsia="MS Mincho" w:hAnsi="Times New Roman"/>
          <w:spacing w:val="-3"/>
          <w:sz w:val="24"/>
          <w:szCs w:val="24"/>
        </w:rPr>
        <w:t>purely economic rationale</w:t>
      </w:r>
      <w:r w:rsidR="002C3018">
        <w:rPr>
          <w:rFonts w:ascii="Times New Roman" w:eastAsia="MS Mincho" w:hAnsi="Times New Roman"/>
          <w:spacing w:val="-3"/>
          <w:sz w:val="24"/>
          <w:szCs w:val="24"/>
        </w:rPr>
        <w:t xml:space="preserve"> behind the wage increase struck down in </w:t>
      </w:r>
      <w:r w:rsidR="002C3018">
        <w:rPr>
          <w:rFonts w:ascii="Times New Roman" w:eastAsia="MS Mincho" w:hAnsi="Times New Roman"/>
          <w:i/>
          <w:iCs/>
          <w:spacing w:val="-3"/>
          <w:sz w:val="24"/>
          <w:szCs w:val="24"/>
        </w:rPr>
        <w:t>Wholesale Laundry</w:t>
      </w:r>
      <w:r w:rsidR="002C3018">
        <w:rPr>
          <w:rFonts w:ascii="Times New Roman" w:eastAsia="MS Mincho" w:hAnsi="Times New Roman"/>
          <w:spacing w:val="-3"/>
          <w:sz w:val="24"/>
          <w:szCs w:val="24"/>
        </w:rPr>
        <w:t>.</w:t>
      </w:r>
      <w:r w:rsidR="002C3018">
        <w:rPr>
          <w:rStyle w:val="FootnoteReference"/>
          <w:rFonts w:ascii="Times New Roman" w:eastAsia="MS Mincho" w:hAnsi="Times New Roman"/>
          <w:spacing w:val="-3"/>
          <w:sz w:val="24"/>
          <w:szCs w:val="24"/>
        </w:rPr>
        <w:footnoteReference w:id="129"/>
      </w:r>
    </w:p>
    <w:p w14:paraId="15607B0B" w14:textId="4B0CFBF1" w:rsidR="00EE6693" w:rsidRDefault="00EE6693" w:rsidP="002A4F79">
      <w:pPr>
        <w:pStyle w:val="ListParagraph"/>
        <w:numPr>
          <w:ilvl w:val="0"/>
          <w:numId w:val="1"/>
        </w:numPr>
        <w:spacing w:after="0" w:line="480" w:lineRule="auto"/>
        <w:jc w:val="both"/>
        <w:rPr>
          <w:rFonts w:ascii="Times New Roman" w:eastAsia="MS Mincho" w:hAnsi="Times New Roman"/>
          <w:b/>
          <w:bCs/>
          <w:spacing w:val="-3"/>
        </w:rPr>
      </w:pPr>
      <w:r w:rsidRPr="00EE6693">
        <w:rPr>
          <w:rFonts w:ascii="Times New Roman" w:eastAsia="MS Mincho" w:hAnsi="Times New Roman"/>
          <w:b/>
          <w:bCs/>
          <w:spacing w:val="-3"/>
        </w:rPr>
        <w:t>LEGISLATIVE ANALYSIS</w:t>
      </w:r>
    </w:p>
    <w:p w14:paraId="0E65D9B5" w14:textId="4E36F32D" w:rsidR="00624E30" w:rsidRDefault="00624E30"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Proposed Introduction Number 40</w:t>
      </w:r>
      <w:r w:rsidR="007C1D47">
        <w:rPr>
          <w:rFonts w:ascii="Times New Roman" w:eastAsia="MS Mincho" w:hAnsi="Times New Roman"/>
          <w:b/>
          <w:bCs/>
          <w:spacing w:val="-3"/>
        </w:rPr>
        <w:t>8</w:t>
      </w:r>
      <w:r>
        <w:rPr>
          <w:rFonts w:ascii="Times New Roman" w:eastAsia="MS Mincho" w:hAnsi="Times New Roman"/>
          <w:b/>
          <w:bCs/>
          <w:spacing w:val="-3"/>
        </w:rPr>
        <w:t>-A</w:t>
      </w:r>
    </w:p>
    <w:p w14:paraId="435BF3E7" w14:textId="79422987" w:rsidR="007C1D47" w:rsidRPr="00742B28" w:rsidRDefault="007C1D47" w:rsidP="007C1D47">
      <w:pPr>
        <w:spacing w:after="0" w:line="480" w:lineRule="auto"/>
        <w:jc w:val="both"/>
        <w:rPr>
          <w:rFonts w:ascii="Times New Roman" w:eastAsia="Times New Roman" w:hAnsi="Times New Roman"/>
          <w:color w:val="000000"/>
          <w:sz w:val="24"/>
          <w:szCs w:val="24"/>
        </w:rPr>
      </w:pPr>
      <w:r>
        <w:rPr>
          <w:rFonts w:ascii="Times New Roman" w:eastAsia="Times New Roman" w:hAnsi="Times New Roman"/>
          <w:color w:val="000000"/>
        </w:rPr>
        <w:lastRenderedPageBreak/>
        <w:tab/>
      </w:r>
      <w:r w:rsidRPr="00742B28">
        <w:rPr>
          <w:rFonts w:ascii="Times New Roman" w:eastAsia="Times New Roman" w:hAnsi="Times New Roman"/>
          <w:color w:val="000000"/>
          <w:sz w:val="24"/>
          <w:szCs w:val="24"/>
        </w:rPr>
        <w:t>This bill would create a Division of Street Vendor Assistance within SBS to assist street vendors. The Division would serve as a clearinghouse for the provision of services and resources for entrepreneurs interested in street vending opportunities, publish a list of services and resources vendors may use, and connect street vendors to SBS programs. The Division would also be required to offer training and education</w:t>
      </w:r>
      <w:r w:rsidR="00943EB2">
        <w:rPr>
          <w:rFonts w:ascii="Times New Roman" w:eastAsia="Times New Roman" w:hAnsi="Times New Roman"/>
          <w:color w:val="000000"/>
          <w:sz w:val="24"/>
          <w:szCs w:val="24"/>
        </w:rPr>
        <w:t>,</w:t>
      </w:r>
      <w:r w:rsidRPr="00742B28">
        <w:rPr>
          <w:rFonts w:ascii="Times New Roman" w:eastAsia="Times New Roman" w:hAnsi="Times New Roman"/>
          <w:color w:val="000000"/>
          <w:sz w:val="24"/>
          <w:szCs w:val="24"/>
        </w:rPr>
        <w:t xml:space="preserve"> and to conduct outreach to street vendors. Further, the Commissioner </w:t>
      </w:r>
      <w:r w:rsidR="00943EB2">
        <w:rPr>
          <w:rFonts w:ascii="Times New Roman" w:eastAsia="Times New Roman" w:hAnsi="Times New Roman"/>
          <w:color w:val="000000"/>
          <w:sz w:val="24"/>
          <w:szCs w:val="24"/>
        </w:rPr>
        <w:t xml:space="preserve">of SBS </w:t>
      </w:r>
      <w:r w:rsidRPr="00742B28">
        <w:rPr>
          <w:rFonts w:ascii="Times New Roman" w:eastAsia="Times New Roman" w:hAnsi="Times New Roman"/>
          <w:color w:val="000000"/>
          <w:sz w:val="24"/>
          <w:szCs w:val="24"/>
        </w:rPr>
        <w:t>would be required to annually submit to the Speaker and the Mayor, and publish on the SBS website, a report on the Division’s assistance to street vendors.</w:t>
      </w:r>
      <w:r w:rsidRPr="00C226DC">
        <w:rPr>
          <w:rFonts w:ascii="Times New Roman" w:eastAsia="Times New Roman" w:hAnsi="Times New Roman"/>
          <w:color w:val="000000"/>
          <w:sz w:val="24"/>
          <w:szCs w:val="24"/>
        </w:rPr>
        <w:br/>
      </w:r>
      <w:r w:rsidRPr="00742B28">
        <w:rPr>
          <w:rFonts w:ascii="Times New Roman" w:eastAsia="Times New Roman" w:hAnsi="Times New Roman"/>
          <w:color w:val="000000"/>
          <w:sz w:val="24"/>
          <w:szCs w:val="24"/>
        </w:rPr>
        <w:tab/>
        <w:t xml:space="preserve">Since introduction, this bill has been amended to </w:t>
      </w:r>
      <w:r w:rsidR="00516DE6">
        <w:rPr>
          <w:rFonts w:ascii="Times New Roman" w:eastAsia="Times New Roman" w:hAnsi="Times New Roman"/>
          <w:color w:val="000000"/>
          <w:sz w:val="24"/>
          <w:szCs w:val="24"/>
        </w:rPr>
        <w:t>account for SBS</w:t>
      </w:r>
      <w:r w:rsidRPr="00742B28">
        <w:rPr>
          <w:rFonts w:ascii="Times New Roman" w:eastAsia="Times New Roman" w:hAnsi="Times New Roman"/>
          <w:color w:val="000000"/>
          <w:sz w:val="24"/>
          <w:szCs w:val="24"/>
        </w:rPr>
        <w:t xml:space="preserve"> services </w:t>
      </w:r>
      <w:r w:rsidR="00516DE6">
        <w:rPr>
          <w:rFonts w:ascii="Times New Roman" w:eastAsia="Times New Roman" w:hAnsi="Times New Roman"/>
          <w:color w:val="000000"/>
          <w:sz w:val="24"/>
          <w:szCs w:val="24"/>
        </w:rPr>
        <w:t xml:space="preserve">already being made </w:t>
      </w:r>
      <w:r w:rsidRPr="00742B28">
        <w:rPr>
          <w:rFonts w:ascii="Times New Roman" w:eastAsia="Times New Roman" w:hAnsi="Times New Roman"/>
          <w:color w:val="000000"/>
          <w:sz w:val="24"/>
          <w:szCs w:val="24"/>
        </w:rPr>
        <w:t xml:space="preserve">available to vendors. </w:t>
      </w:r>
    </w:p>
    <w:p w14:paraId="02C115A9" w14:textId="0FF557CA" w:rsidR="00624E30" w:rsidRPr="00742B28" w:rsidRDefault="007C1D47" w:rsidP="00624E30">
      <w:pPr>
        <w:spacing w:after="0" w:line="480" w:lineRule="auto"/>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ab/>
        <w:t xml:space="preserve">This bill would take effect 180 days after it becomes law. </w:t>
      </w:r>
    </w:p>
    <w:p w14:paraId="1D9C35D5" w14:textId="1DE8EA66" w:rsidR="00FB080C" w:rsidRDefault="00FB080C"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Proposed Introduction Number 431-B</w:t>
      </w:r>
    </w:p>
    <w:p w14:paraId="76F51D7B"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1 of t</w:t>
      </w:r>
      <w:r w:rsidRPr="00C226DC">
        <w:rPr>
          <w:rFonts w:ascii="Times New Roman" w:eastAsia="Times New Roman" w:hAnsi="Times New Roman"/>
          <w:color w:val="000000"/>
          <w:sz w:val="24"/>
          <w:szCs w:val="24"/>
        </w:rPr>
        <w:t xml:space="preserve">his bill would </w:t>
      </w:r>
      <w:r w:rsidRPr="00742B28">
        <w:rPr>
          <w:rFonts w:ascii="Times New Roman" w:eastAsia="Times New Roman" w:hAnsi="Times New Roman"/>
          <w:color w:val="000000"/>
          <w:sz w:val="24"/>
          <w:szCs w:val="24"/>
        </w:rPr>
        <w:t xml:space="preserve">increase the share of enforcement agents required to inspect street vendor setups, and it would require enforcement agents to focus their efforts on areas restricted to vending and areas with a high concentration of pedestrians. </w:t>
      </w:r>
    </w:p>
    <w:p w14:paraId="3478E920"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2 of this bill would increase the number of supervisory licenses made available to veterans from 45 each year to 200 each year for five years beginning in 2026. The total amount of supervisory licenses available pursuant to this paragraph by 2031 would be 1,180. This would include the 180 licenses that were already issued pursuant to local law number 18 for the year 2021 between 2022 through 2025. </w:t>
      </w:r>
    </w:p>
    <w:p w14:paraId="1D944AC4"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3 of this bill would increase the number of supervisory licenses available to non-veterans from 400 to 2,000 each year for five years beginning in 2026. The total amount of supervisory licenses available pursuant to this paragraph by 2031 would be 11,600. This would </w:t>
      </w:r>
      <w:r w:rsidRPr="00742B28">
        <w:rPr>
          <w:rFonts w:ascii="Times New Roman" w:eastAsia="Times New Roman" w:hAnsi="Times New Roman"/>
          <w:color w:val="000000"/>
          <w:sz w:val="24"/>
          <w:szCs w:val="24"/>
        </w:rPr>
        <w:lastRenderedPageBreak/>
        <w:t xml:space="preserve">include the 1,600 licenses that were already issued pursuant to local law number 18 for the year 2021 between 2022 through 2025. </w:t>
      </w:r>
    </w:p>
    <w:p w14:paraId="5D050862"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4 of this bill would expand training requirements for food vendors to include information and education related to vending restrictions.</w:t>
      </w:r>
    </w:p>
    <w:p w14:paraId="251F86DF"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5 of this bill would </w:t>
      </w:r>
      <w:bookmarkStart w:id="4" w:name="_Hlk216870286"/>
      <w:r w:rsidRPr="00742B28">
        <w:rPr>
          <w:rFonts w:ascii="Times New Roman" w:eastAsia="Times New Roman" w:hAnsi="Times New Roman"/>
          <w:color w:val="000000"/>
          <w:sz w:val="24"/>
          <w:szCs w:val="24"/>
        </w:rPr>
        <w:t>create cleanliness and waste removal requirements for mobile food vendors. Such vendors would be required to keep the area around their cart free from garbage and display proof of proper waste disposal to enforcement agents upon request.</w:t>
      </w:r>
    </w:p>
    <w:bookmarkEnd w:id="4"/>
    <w:p w14:paraId="4585E8BC" w14:textId="48F071CF"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6 of this bill would </w:t>
      </w:r>
      <w:bookmarkStart w:id="5" w:name="_Hlk216870399"/>
      <w:r w:rsidRPr="00742B28">
        <w:rPr>
          <w:rFonts w:ascii="Times New Roman" w:eastAsia="Times New Roman" w:hAnsi="Times New Roman"/>
          <w:color w:val="000000"/>
          <w:sz w:val="24"/>
          <w:szCs w:val="24"/>
        </w:rPr>
        <w:t xml:space="preserve">authorize DOHMH to suspend or revoke a food vendor’s license for </w:t>
      </w:r>
      <w:r w:rsidR="007D5026">
        <w:rPr>
          <w:rFonts w:ascii="Times New Roman" w:eastAsia="Times New Roman" w:hAnsi="Times New Roman"/>
          <w:color w:val="000000"/>
          <w:sz w:val="24"/>
          <w:szCs w:val="24"/>
        </w:rPr>
        <w:t>3</w:t>
      </w:r>
      <w:r w:rsidRPr="00742B28">
        <w:rPr>
          <w:rFonts w:ascii="Times New Roman" w:eastAsia="Times New Roman" w:hAnsi="Times New Roman"/>
          <w:color w:val="000000"/>
          <w:sz w:val="24"/>
          <w:szCs w:val="24"/>
        </w:rPr>
        <w:t xml:space="preserve"> violations of certain </w:t>
      </w:r>
      <w:proofErr w:type="gramStart"/>
      <w:r w:rsidRPr="00742B28">
        <w:rPr>
          <w:rFonts w:ascii="Times New Roman" w:eastAsia="Times New Roman" w:hAnsi="Times New Roman"/>
          <w:color w:val="000000"/>
          <w:sz w:val="24"/>
          <w:szCs w:val="24"/>
        </w:rPr>
        <w:t>siting</w:t>
      </w:r>
      <w:proofErr w:type="gramEnd"/>
      <w:r w:rsidRPr="00742B28">
        <w:rPr>
          <w:rFonts w:ascii="Times New Roman" w:eastAsia="Times New Roman" w:hAnsi="Times New Roman"/>
          <w:color w:val="000000"/>
          <w:sz w:val="24"/>
          <w:szCs w:val="24"/>
        </w:rPr>
        <w:t xml:space="preserve"> requirements committed within a one-year period. </w:t>
      </w:r>
      <w:bookmarkEnd w:id="5"/>
      <w:r w:rsidR="00844B22">
        <w:rPr>
          <w:rFonts w:ascii="Times New Roman" w:eastAsia="Times New Roman" w:hAnsi="Times New Roman"/>
          <w:color w:val="000000"/>
          <w:sz w:val="24"/>
          <w:szCs w:val="24"/>
        </w:rPr>
        <w:t xml:space="preserve">If a vendor violated such </w:t>
      </w:r>
      <w:proofErr w:type="gramStart"/>
      <w:r w:rsidR="00844B22">
        <w:rPr>
          <w:rFonts w:ascii="Times New Roman" w:eastAsia="Times New Roman" w:hAnsi="Times New Roman"/>
          <w:color w:val="000000"/>
          <w:sz w:val="24"/>
          <w:szCs w:val="24"/>
        </w:rPr>
        <w:t>siting</w:t>
      </w:r>
      <w:proofErr w:type="gramEnd"/>
      <w:r w:rsidR="00844B22">
        <w:rPr>
          <w:rFonts w:ascii="Times New Roman" w:eastAsia="Times New Roman" w:hAnsi="Times New Roman"/>
          <w:color w:val="000000"/>
          <w:sz w:val="24"/>
          <w:szCs w:val="24"/>
        </w:rPr>
        <w:t xml:space="preserve"> requirements </w:t>
      </w:r>
      <w:r w:rsidR="007D5026">
        <w:rPr>
          <w:rFonts w:ascii="Times New Roman" w:eastAsia="Times New Roman" w:hAnsi="Times New Roman"/>
          <w:color w:val="000000"/>
          <w:sz w:val="24"/>
          <w:szCs w:val="24"/>
        </w:rPr>
        <w:t>3</w:t>
      </w:r>
      <w:r w:rsidR="00844B22">
        <w:rPr>
          <w:rFonts w:ascii="Times New Roman" w:eastAsia="Times New Roman" w:hAnsi="Times New Roman"/>
          <w:color w:val="000000"/>
          <w:sz w:val="24"/>
          <w:szCs w:val="24"/>
        </w:rPr>
        <w:t xml:space="preserve"> times in one year, </w:t>
      </w:r>
      <w:r w:rsidR="007D5026">
        <w:rPr>
          <w:rFonts w:ascii="Times New Roman" w:eastAsia="Times New Roman" w:hAnsi="Times New Roman"/>
          <w:color w:val="000000"/>
          <w:sz w:val="24"/>
          <w:szCs w:val="24"/>
        </w:rPr>
        <w:t>their</w:t>
      </w:r>
      <w:r w:rsidR="00844B22">
        <w:rPr>
          <w:rFonts w:ascii="Times New Roman" w:eastAsia="Times New Roman" w:hAnsi="Times New Roman"/>
          <w:color w:val="000000"/>
          <w:sz w:val="24"/>
          <w:szCs w:val="24"/>
        </w:rPr>
        <w:t xml:space="preserve"> license would be suspended </w:t>
      </w:r>
      <w:r w:rsidR="007D5026">
        <w:rPr>
          <w:rFonts w:ascii="Times New Roman" w:eastAsia="Times New Roman" w:hAnsi="Times New Roman"/>
          <w:color w:val="000000"/>
          <w:sz w:val="24"/>
          <w:szCs w:val="24"/>
        </w:rPr>
        <w:t>for 30 days. I</w:t>
      </w:r>
      <w:r w:rsidR="00844B22">
        <w:rPr>
          <w:rFonts w:ascii="Times New Roman" w:eastAsia="Times New Roman" w:hAnsi="Times New Roman"/>
          <w:color w:val="000000"/>
          <w:sz w:val="24"/>
          <w:szCs w:val="24"/>
        </w:rPr>
        <w:t xml:space="preserve">f the vendor committed </w:t>
      </w:r>
      <w:r w:rsidR="007D5026">
        <w:rPr>
          <w:rFonts w:ascii="Times New Roman" w:eastAsia="Times New Roman" w:hAnsi="Times New Roman"/>
          <w:color w:val="000000"/>
          <w:sz w:val="24"/>
          <w:szCs w:val="24"/>
        </w:rPr>
        <w:t xml:space="preserve">6 </w:t>
      </w:r>
      <w:r w:rsidR="00650BDB">
        <w:rPr>
          <w:rFonts w:ascii="Times New Roman" w:eastAsia="Times New Roman" w:hAnsi="Times New Roman"/>
          <w:color w:val="000000"/>
          <w:sz w:val="24"/>
          <w:szCs w:val="24"/>
        </w:rPr>
        <w:t xml:space="preserve">such </w:t>
      </w:r>
      <w:r w:rsidR="00844B22">
        <w:rPr>
          <w:rFonts w:ascii="Times New Roman" w:eastAsia="Times New Roman" w:hAnsi="Times New Roman"/>
          <w:color w:val="000000"/>
          <w:sz w:val="24"/>
          <w:szCs w:val="24"/>
        </w:rPr>
        <w:t>violations</w:t>
      </w:r>
      <w:r w:rsidR="007D5026">
        <w:rPr>
          <w:rFonts w:ascii="Times New Roman" w:eastAsia="Times New Roman" w:hAnsi="Times New Roman"/>
          <w:color w:val="000000"/>
          <w:sz w:val="24"/>
          <w:szCs w:val="24"/>
        </w:rPr>
        <w:t xml:space="preserve"> within the year</w:t>
      </w:r>
      <w:r w:rsidR="00844B22">
        <w:rPr>
          <w:rFonts w:ascii="Times New Roman" w:eastAsia="Times New Roman" w:hAnsi="Times New Roman"/>
          <w:color w:val="000000"/>
          <w:sz w:val="24"/>
          <w:szCs w:val="24"/>
        </w:rPr>
        <w:t xml:space="preserve">, </w:t>
      </w:r>
      <w:r w:rsidR="007D5026">
        <w:rPr>
          <w:rFonts w:ascii="Times New Roman" w:eastAsia="Times New Roman" w:hAnsi="Times New Roman"/>
          <w:color w:val="000000"/>
          <w:sz w:val="24"/>
          <w:szCs w:val="24"/>
        </w:rPr>
        <w:t xml:space="preserve">their </w:t>
      </w:r>
      <w:r w:rsidR="00844B22">
        <w:rPr>
          <w:rFonts w:ascii="Times New Roman" w:eastAsia="Times New Roman" w:hAnsi="Times New Roman"/>
          <w:color w:val="000000"/>
          <w:sz w:val="24"/>
          <w:szCs w:val="24"/>
        </w:rPr>
        <w:t xml:space="preserve">license would be </w:t>
      </w:r>
      <w:r w:rsidR="007D5026">
        <w:rPr>
          <w:rFonts w:ascii="Times New Roman" w:eastAsia="Times New Roman" w:hAnsi="Times New Roman"/>
          <w:color w:val="000000"/>
          <w:sz w:val="24"/>
          <w:szCs w:val="24"/>
        </w:rPr>
        <w:t>suspended for 60 days. I</w:t>
      </w:r>
      <w:r w:rsidR="00844B22">
        <w:rPr>
          <w:rFonts w:ascii="Times New Roman" w:eastAsia="Times New Roman" w:hAnsi="Times New Roman"/>
          <w:color w:val="000000"/>
          <w:sz w:val="24"/>
          <w:szCs w:val="24"/>
        </w:rPr>
        <w:t xml:space="preserve">f </w:t>
      </w:r>
      <w:r w:rsidR="007D5026">
        <w:rPr>
          <w:rFonts w:ascii="Times New Roman" w:eastAsia="Times New Roman" w:hAnsi="Times New Roman"/>
          <w:color w:val="000000"/>
          <w:sz w:val="24"/>
          <w:szCs w:val="24"/>
        </w:rPr>
        <w:t xml:space="preserve">the vendor committed 9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violations within the year, then the license would be revoked.</w:t>
      </w:r>
      <w:r w:rsidR="00844B22">
        <w:rPr>
          <w:rFonts w:ascii="Times New Roman" w:eastAsia="Times New Roman" w:hAnsi="Times New Roman"/>
          <w:color w:val="000000"/>
          <w:sz w:val="24"/>
          <w:szCs w:val="24"/>
        </w:rPr>
        <w:t xml:space="preserve"> </w:t>
      </w:r>
      <w:r w:rsidR="007D5026" w:rsidRPr="00742B28">
        <w:rPr>
          <w:rFonts w:ascii="Times New Roman" w:eastAsia="Times New Roman" w:hAnsi="Times New Roman"/>
          <w:color w:val="000000"/>
          <w:sz w:val="24"/>
          <w:szCs w:val="24"/>
        </w:rPr>
        <w:t>Such vendor would be required to complete a food protection course to be reinstated after a suspension issued pursuant to this section.</w:t>
      </w:r>
    </w:p>
    <w:p w14:paraId="3D3E5854" w14:textId="2A2E5532"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7 of this bill would </w:t>
      </w:r>
      <w:bookmarkStart w:id="6" w:name="_Hlk216870525"/>
      <w:r w:rsidRPr="00742B28">
        <w:rPr>
          <w:rFonts w:ascii="Times New Roman" w:eastAsia="Times New Roman" w:hAnsi="Times New Roman"/>
          <w:color w:val="000000"/>
          <w:sz w:val="24"/>
          <w:szCs w:val="24"/>
        </w:rPr>
        <w:t xml:space="preserve">authorize the Commissioner of DOHMH to consider additional civil penalties up to $1,000 for unlicensed </w:t>
      </w:r>
      <w:r w:rsidR="00AE70B3" w:rsidRPr="00742B28">
        <w:rPr>
          <w:rFonts w:ascii="Times New Roman" w:eastAsia="Times New Roman" w:hAnsi="Times New Roman"/>
          <w:color w:val="000000"/>
          <w:sz w:val="24"/>
          <w:szCs w:val="24"/>
        </w:rPr>
        <w:t xml:space="preserve">food </w:t>
      </w:r>
      <w:r w:rsidRPr="00742B28">
        <w:rPr>
          <w:rFonts w:ascii="Times New Roman" w:eastAsia="Times New Roman" w:hAnsi="Times New Roman"/>
          <w:color w:val="000000"/>
          <w:sz w:val="24"/>
          <w:szCs w:val="24"/>
        </w:rPr>
        <w:t xml:space="preserve">vending where such vendor had an opportunity to obtain a vending license or add themselves to the waitlist but did not take such steps. </w:t>
      </w:r>
      <w:bookmarkEnd w:id="6"/>
      <w:r w:rsidRPr="00742B28">
        <w:rPr>
          <w:rFonts w:ascii="Times New Roman" w:eastAsia="Times New Roman" w:hAnsi="Times New Roman"/>
          <w:color w:val="000000"/>
          <w:sz w:val="24"/>
          <w:szCs w:val="24"/>
        </w:rPr>
        <w:t xml:space="preserve">This section would also increase civil penalties for vending on restricted street. </w:t>
      </w:r>
    </w:p>
    <w:p w14:paraId="1BCF54CD" w14:textId="06BE0BBC"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8 of this bill would authorize the Commissioner of DCWP to make an additional 10,500 licenses available for application to prospective general vendors by January 15, 2027. This section would prioritize getting license applications to those </w:t>
      </w:r>
      <w:r w:rsidR="00C60FE6" w:rsidRPr="00742B28">
        <w:rPr>
          <w:rFonts w:ascii="Times New Roman" w:eastAsia="Times New Roman" w:hAnsi="Times New Roman"/>
          <w:color w:val="000000"/>
          <w:sz w:val="24"/>
          <w:szCs w:val="24"/>
        </w:rPr>
        <w:t xml:space="preserve">individuals who are </w:t>
      </w:r>
      <w:r w:rsidRPr="00742B28">
        <w:rPr>
          <w:rFonts w:ascii="Times New Roman" w:eastAsia="Times New Roman" w:hAnsi="Times New Roman"/>
          <w:color w:val="000000"/>
          <w:sz w:val="24"/>
          <w:szCs w:val="24"/>
        </w:rPr>
        <w:t>already waiting on th</w:t>
      </w:r>
      <w:r w:rsidR="00C60FE6" w:rsidRPr="00742B28">
        <w:rPr>
          <w:rFonts w:ascii="Times New Roman" w:eastAsia="Times New Roman" w:hAnsi="Times New Roman"/>
          <w:color w:val="000000"/>
          <w:sz w:val="24"/>
          <w:szCs w:val="24"/>
        </w:rPr>
        <w:t xml:space="preserve">e </w:t>
      </w:r>
      <w:r w:rsidR="00680899" w:rsidRPr="00742B28">
        <w:rPr>
          <w:rFonts w:ascii="Times New Roman" w:eastAsia="Times New Roman" w:hAnsi="Times New Roman"/>
          <w:color w:val="000000"/>
          <w:sz w:val="24"/>
          <w:szCs w:val="24"/>
        </w:rPr>
        <w:t>existing</w:t>
      </w:r>
      <w:r w:rsidRPr="00742B28">
        <w:rPr>
          <w:rFonts w:ascii="Times New Roman" w:eastAsia="Times New Roman" w:hAnsi="Times New Roman"/>
          <w:color w:val="000000"/>
          <w:sz w:val="24"/>
          <w:szCs w:val="24"/>
        </w:rPr>
        <w:t xml:space="preserve"> general vendor waitlist. It would also open the waitlist to new applicants. This </w:t>
      </w:r>
      <w:r w:rsidRPr="00742B28">
        <w:rPr>
          <w:rFonts w:ascii="Times New Roman" w:eastAsia="Times New Roman" w:hAnsi="Times New Roman"/>
          <w:color w:val="000000"/>
          <w:sz w:val="24"/>
          <w:szCs w:val="24"/>
        </w:rPr>
        <w:lastRenderedPageBreak/>
        <w:t>section would prohibit</w:t>
      </w:r>
      <w:r w:rsidR="00EC5352" w:rsidRPr="00742B28">
        <w:rPr>
          <w:rFonts w:ascii="Times New Roman" w:eastAsia="Times New Roman" w:hAnsi="Times New Roman"/>
          <w:color w:val="000000"/>
          <w:sz w:val="24"/>
          <w:szCs w:val="24"/>
        </w:rPr>
        <w:t xml:space="preserve"> </w:t>
      </w:r>
      <w:r w:rsidR="00D42E12" w:rsidRPr="00742B28">
        <w:rPr>
          <w:rFonts w:ascii="Times New Roman" w:eastAsia="Times New Roman" w:hAnsi="Times New Roman"/>
          <w:color w:val="000000"/>
          <w:sz w:val="24"/>
          <w:szCs w:val="24"/>
        </w:rPr>
        <w:t xml:space="preserve">prospective </w:t>
      </w:r>
      <w:r w:rsidR="006F446A" w:rsidRPr="00742B28">
        <w:rPr>
          <w:rFonts w:ascii="Times New Roman" w:eastAsia="Times New Roman" w:hAnsi="Times New Roman"/>
          <w:color w:val="000000"/>
          <w:sz w:val="24"/>
          <w:szCs w:val="24"/>
        </w:rPr>
        <w:t xml:space="preserve">general </w:t>
      </w:r>
      <w:r w:rsidR="00D42E12" w:rsidRPr="00742B28">
        <w:rPr>
          <w:rFonts w:ascii="Times New Roman" w:eastAsia="Times New Roman" w:hAnsi="Times New Roman"/>
          <w:color w:val="000000"/>
          <w:sz w:val="24"/>
          <w:szCs w:val="24"/>
        </w:rPr>
        <w:t xml:space="preserve">vendors from </w:t>
      </w:r>
      <w:r w:rsidR="00EC5352" w:rsidRPr="00742B28">
        <w:rPr>
          <w:rFonts w:ascii="Times New Roman" w:eastAsia="Times New Roman" w:hAnsi="Times New Roman"/>
          <w:color w:val="000000"/>
          <w:sz w:val="24"/>
          <w:szCs w:val="24"/>
        </w:rPr>
        <w:t>access</w:t>
      </w:r>
      <w:r w:rsidR="00D42E12" w:rsidRPr="00742B28">
        <w:rPr>
          <w:rFonts w:ascii="Times New Roman" w:eastAsia="Times New Roman" w:hAnsi="Times New Roman"/>
          <w:color w:val="000000"/>
          <w:sz w:val="24"/>
          <w:szCs w:val="24"/>
        </w:rPr>
        <w:t>ing</w:t>
      </w:r>
      <w:r w:rsidR="00EC5352" w:rsidRPr="00742B28">
        <w:rPr>
          <w:rFonts w:ascii="Times New Roman" w:eastAsia="Times New Roman" w:hAnsi="Times New Roman"/>
          <w:color w:val="000000"/>
          <w:sz w:val="24"/>
          <w:szCs w:val="24"/>
        </w:rPr>
        <w:t xml:space="preserve"> the waitlist </w:t>
      </w:r>
      <w:r w:rsidR="00D42E12" w:rsidRPr="00742B28">
        <w:rPr>
          <w:rFonts w:ascii="Times New Roman" w:eastAsia="Times New Roman" w:hAnsi="Times New Roman"/>
          <w:color w:val="000000"/>
          <w:sz w:val="24"/>
          <w:szCs w:val="24"/>
        </w:rPr>
        <w:t>if they have</w:t>
      </w:r>
      <w:r w:rsidRPr="00742B28">
        <w:rPr>
          <w:rFonts w:ascii="Times New Roman" w:eastAsia="Times New Roman" w:hAnsi="Times New Roman"/>
          <w:color w:val="000000"/>
          <w:sz w:val="24"/>
          <w:szCs w:val="24"/>
        </w:rPr>
        <w:t xml:space="preserve"> two or more convictions for selling stolen property or trademark counterfeiting within the past two years. </w:t>
      </w:r>
    </w:p>
    <w:p w14:paraId="7BF4FE7B"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9 of this bill </w:t>
      </w:r>
      <w:r w:rsidRPr="00C226DC">
        <w:rPr>
          <w:rFonts w:ascii="Times New Roman" w:eastAsia="Times New Roman" w:hAnsi="Times New Roman"/>
          <w:color w:val="000000"/>
          <w:sz w:val="24"/>
          <w:szCs w:val="24"/>
        </w:rPr>
        <w:t>would expand the Street Vendor Advisory Board and require the board to examine and make recommendations pertaining to the new requirements.</w:t>
      </w:r>
    </w:p>
    <w:p w14:paraId="00D3B5DD"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Section 10 of this bill would create cleanliness and waste removal requirements for general vendors. Such vendors would be required to keep the area around their cart free from garbage and display proof of proper waste disposal to enforcement agents upon request.</w:t>
      </w:r>
    </w:p>
    <w:p w14:paraId="54F49874" w14:textId="40C74F89"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11 of this bill would authorize DCWP to suspend or revoke a general vendor’s license for </w:t>
      </w:r>
      <w:r w:rsidR="00E10A1E" w:rsidRPr="00742B28">
        <w:rPr>
          <w:rFonts w:ascii="Times New Roman" w:eastAsia="Times New Roman" w:hAnsi="Times New Roman"/>
          <w:color w:val="000000"/>
          <w:sz w:val="24"/>
          <w:szCs w:val="24"/>
        </w:rPr>
        <w:t xml:space="preserve">a </w:t>
      </w:r>
      <w:r w:rsidRPr="00742B28">
        <w:rPr>
          <w:rFonts w:ascii="Times New Roman" w:eastAsia="Times New Roman" w:hAnsi="Times New Roman"/>
          <w:color w:val="000000"/>
          <w:sz w:val="24"/>
          <w:szCs w:val="24"/>
        </w:rPr>
        <w:t>trademark counterfeiting</w:t>
      </w:r>
      <w:r w:rsidR="00E10A1E" w:rsidRPr="00742B28">
        <w:rPr>
          <w:rFonts w:ascii="Times New Roman" w:eastAsia="Times New Roman" w:hAnsi="Times New Roman"/>
          <w:color w:val="000000"/>
          <w:sz w:val="24"/>
          <w:szCs w:val="24"/>
        </w:rPr>
        <w:t xml:space="preserve"> conviction</w:t>
      </w:r>
      <w:r w:rsidRPr="00742B28">
        <w:rPr>
          <w:rFonts w:ascii="Times New Roman" w:eastAsia="Times New Roman" w:hAnsi="Times New Roman"/>
          <w:color w:val="000000"/>
          <w:sz w:val="24"/>
          <w:szCs w:val="24"/>
        </w:rPr>
        <w:t xml:space="preserve">. It would also authorize DCWP to suspend or revoke a general vendor’s license for </w:t>
      </w:r>
      <w:r w:rsidR="007D5026">
        <w:rPr>
          <w:rFonts w:ascii="Times New Roman" w:eastAsia="Times New Roman" w:hAnsi="Times New Roman"/>
          <w:color w:val="000000"/>
          <w:sz w:val="24"/>
          <w:szCs w:val="24"/>
        </w:rPr>
        <w:t>3</w:t>
      </w:r>
      <w:r w:rsidRPr="00742B28">
        <w:rPr>
          <w:rFonts w:ascii="Times New Roman" w:eastAsia="Times New Roman" w:hAnsi="Times New Roman"/>
          <w:color w:val="000000"/>
          <w:sz w:val="24"/>
          <w:szCs w:val="24"/>
        </w:rPr>
        <w:t xml:space="preserve"> violations of certain </w:t>
      </w:r>
      <w:proofErr w:type="gramStart"/>
      <w:r w:rsidRPr="00742B28">
        <w:rPr>
          <w:rFonts w:ascii="Times New Roman" w:eastAsia="Times New Roman" w:hAnsi="Times New Roman"/>
          <w:color w:val="000000"/>
          <w:sz w:val="24"/>
          <w:szCs w:val="24"/>
        </w:rPr>
        <w:t>siting</w:t>
      </w:r>
      <w:proofErr w:type="gramEnd"/>
      <w:r w:rsidRPr="00742B28">
        <w:rPr>
          <w:rFonts w:ascii="Times New Roman" w:eastAsia="Times New Roman" w:hAnsi="Times New Roman"/>
          <w:color w:val="000000"/>
          <w:sz w:val="24"/>
          <w:szCs w:val="24"/>
        </w:rPr>
        <w:t xml:space="preserve"> requirements committed within a one-year period.</w:t>
      </w:r>
      <w:r w:rsidR="007D5026">
        <w:rPr>
          <w:rFonts w:ascii="Times New Roman" w:eastAsia="Times New Roman" w:hAnsi="Times New Roman"/>
          <w:color w:val="000000"/>
          <w:sz w:val="24"/>
          <w:szCs w:val="24"/>
        </w:rPr>
        <w:t xml:space="preserve"> If a vendor violated such </w:t>
      </w:r>
      <w:proofErr w:type="gramStart"/>
      <w:r w:rsidR="007D5026">
        <w:rPr>
          <w:rFonts w:ascii="Times New Roman" w:eastAsia="Times New Roman" w:hAnsi="Times New Roman"/>
          <w:color w:val="000000"/>
          <w:sz w:val="24"/>
          <w:szCs w:val="24"/>
        </w:rPr>
        <w:t>siting</w:t>
      </w:r>
      <w:proofErr w:type="gramEnd"/>
      <w:r w:rsidR="007D5026">
        <w:rPr>
          <w:rFonts w:ascii="Times New Roman" w:eastAsia="Times New Roman" w:hAnsi="Times New Roman"/>
          <w:color w:val="000000"/>
          <w:sz w:val="24"/>
          <w:szCs w:val="24"/>
        </w:rPr>
        <w:t xml:space="preserve"> requirements 3 times in one year, their license would be suspended for 30 days. If the vendor committed 6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 xml:space="preserve">violations within the year, their license would be suspended for 60 days. If the vendor committed 9 </w:t>
      </w:r>
      <w:r w:rsidR="00650BDB">
        <w:rPr>
          <w:rFonts w:ascii="Times New Roman" w:eastAsia="Times New Roman" w:hAnsi="Times New Roman"/>
          <w:color w:val="000000"/>
          <w:sz w:val="24"/>
          <w:szCs w:val="24"/>
        </w:rPr>
        <w:t xml:space="preserve">such </w:t>
      </w:r>
      <w:r w:rsidR="007D5026">
        <w:rPr>
          <w:rFonts w:ascii="Times New Roman" w:eastAsia="Times New Roman" w:hAnsi="Times New Roman"/>
          <w:color w:val="000000"/>
          <w:sz w:val="24"/>
          <w:szCs w:val="24"/>
        </w:rPr>
        <w:t>violations within the year, then the license would be revoked.</w:t>
      </w:r>
    </w:p>
    <w:p w14:paraId="46898AAF" w14:textId="77777777"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Section 12 of this bill would authorize the Commissioner of DCWP to consider additional civil penalties up to $1,000 for unlicensed general vending where such vendor had an opportunity to obtain a general vending license or add themselves to the waitlist but did not take such steps. This section would also increase civil penalties for vending on a restricted street, vending in a bicycle lane, vending on a median stop of a divided roadway or vending in a park without authorization. </w:t>
      </w:r>
    </w:p>
    <w:p w14:paraId="259A3A23" w14:textId="71E3774C" w:rsidR="00624E30" w:rsidRPr="00742B28" w:rsidRDefault="00624E30" w:rsidP="00624E30">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Since introduction, this bill has been amended </w:t>
      </w:r>
      <w:r w:rsidR="003C6840">
        <w:rPr>
          <w:rFonts w:ascii="Times New Roman" w:eastAsia="Times New Roman" w:hAnsi="Times New Roman"/>
          <w:color w:val="000000"/>
          <w:sz w:val="24"/>
          <w:szCs w:val="24"/>
        </w:rPr>
        <w:t>to</w:t>
      </w:r>
      <w:r w:rsidRPr="00742B28">
        <w:rPr>
          <w:rFonts w:ascii="Times New Roman" w:eastAsia="Times New Roman" w:hAnsi="Times New Roman"/>
          <w:color w:val="000000"/>
          <w:sz w:val="24"/>
          <w:szCs w:val="24"/>
        </w:rPr>
        <w:t xml:space="preserve">: (1) increase the cap on food and general vending licenses without completely lifting the cap on such licenses; (2) add requirements for cleanliness and waste removal; (3) add authority for DCWP and DOHMH to suspend or revoke a </w:t>
      </w:r>
      <w:r w:rsidRPr="00742B28">
        <w:rPr>
          <w:rFonts w:ascii="Times New Roman" w:eastAsia="Times New Roman" w:hAnsi="Times New Roman"/>
          <w:color w:val="000000"/>
          <w:sz w:val="24"/>
          <w:szCs w:val="24"/>
        </w:rPr>
        <w:lastRenderedPageBreak/>
        <w:t>license for three violations in a one-year period; (4) add authority to impose additional penalties for unlicensed operation where a vendor took no steps to obtain a license; (5) expand the appointments and reporting requirements for the Street Vendor Advisory Board; (6) and increase civil penalties for vending on restricted streets and violations of certain siting requirements.</w:t>
      </w:r>
    </w:p>
    <w:p w14:paraId="24E4DB98" w14:textId="28B50D09" w:rsidR="00FB080C" w:rsidRPr="00742B28" w:rsidRDefault="00624E30" w:rsidP="00B83D0E">
      <w:pPr>
        <w:spacing w:after="0" w:line="480" w:lineRule="auto"/>
        <w:ind w:firstLine="720"/>
        <w:jc w:val="both"/>
        <w:rPr>
          <w:rFonts w:ascii="Times New Roman" w:eastAsia="MS Mincho" w:hAnsi="Times New Roman"/>
          <w:b/>
          <w:bCs/>
          <w:spacing w:val="-3"/>
          <w:sz w:val="24"/>
          <w:szCs w:val="24"/>
        </w:rPr>
      </w:pPr>
      <w:r w:rsidRPr="00742B28">
        <w:rPr>
          <w:rFonts w:ascii="Times New Roman" w:eastAsia="Times New Roman" w:hAnsi="Times New Roman"/>
          <w:color w:val="000000"/>
          <w:sz w:val="24"/>
          <w:szCs w:val="24"/>
        </w:rPr>
        <w:t>This bill would take effect immediately.</w:t>
      </w:r>
    </w:p>
    <w:p w14:paraId="5AEF30F5" w14:textId="7C25CC5C" w:rsidR="00D83465" w:rsidRDefault="00D83465"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 xml:space="preserve">Proposed Introduction Number </w:t>
      </w:r>
      <w:r w:rsidR="00672569">
        <w:rPr>
          <w:rFonts w:ascii="Times New Roman" w:eastAsia="MS Mincho" w:hAnsi="Times New Roman"/>
          <w:b/>
          <w:bCs/>
          <w:spacing w:val="-3"/>
        </w:rPr>
        <w:t>1251-A</w:t>
      </w:r>
    </w:p>
    <w:p w14:paraId="11DC7858" w14:textId="7C90554B"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Pursuant to </w:t>
      </w:r>
      <w:r w:rsidR="00B83D0E"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B83D0E"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 xml:space="preserve">431-B, DOHMH would make 2,200 supervisory license applications available to prospective food vendors every year within a five-year period from 2026 through 2031, and DCWP would make 10,500 general vending license applications available to prospective general vendors in 2027. However, not every license application released would result in a license issued, which means that there could be less licenses issued than are authorized. </w:t>
      </w:r>
    </w:p>
    <w:p w14:paraId="52018A34" w14:textId="3346022A"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This bill would authorize DOHMH to issue more than 2,200 supervisory license applications each year such that the total amount of licenses issued each year is up to 2,200. By the end of the roll out in 2031, DOHMH could continue to release applications</w:t>
      </w:r>
      <w:r w:rsidR="002C1EB6" w:rsidRPr="00742B28">
        <w:rPr>
          <w:rFonts w:ascii="Times New Roman" w:eastAsia="Times New Roman" w:hAnsi="Times New Roman"/>
          <w:color w:val="000000"/>
          <w:sz w:val="24"/>
          <w:szCs w:val="24"/>
        </w:rPr>
        <w:t xml:space="preserve"> until the number</w:t>
      </w:r>
      <w:r w:rsidR="005C2F3E" w:rsidRPr="00742B28">
        <w:rPr>
          <w:rFonts w:ascii="Times New Roman" w:eastAsia="Times New Roman" w:hAnsi="Times New Roman"/>
          <w:color w:val="000000"/>
          <w:sz w:val="24"/>
          <w:szCs w:val="24"/>
        </w:rPr>
        <w:t xml:space="preserve"> of licenses issued</w:t>
      </w:r>
      <w:r w:rsidRPr="00742B28">
        <w:rPr>
          <w:rFonts w:ascii="Times New Roman" w:eastAsia="Times New Roman" w:hAnsi="Times New Roman"/>
          <w:color w:val="000000"/>
          <w:sz w:val="24"/>
          <w:szCs w:val="24"/>
        </w:rPr>
        <w:t xml:space="preserve"> </w:t>
      </w:r>
      <w:r w:rsidR="005C2F3E" w:rsidRPr="00742B28">
        <w:rPr>
          <w:rFonts w:ascii="Times New Roman" w:eastAsia="Times New Roman" w:hAnsi="Times New Roman"/>
          <w:color w:val="000000"/>
          <w:sz w:val="24"/>
          <w:szCs w:val="24"/>
        </w:rPr>
        <w:t>reaches</w:t>
      </w:r>
      <w:r w:rsidRPr="00742B28">
        <w:rPr>
          <w:rFonts w:ascii="Times New Roman" w:eastAsia="Times New Roman" w:hAnsi="Times New Roman"/>
          <w:color w:val="000000"/>
          <w:sz w:val="24"/>
          <w:szCs w:val="24"/>
        </w:rPr>
        <w:t xml:space="preserve"> the cap on all supervisory licenses</w:t>
      </w:r>
      <w:r w:rsidR="005C2F3E" w:rsidRPr="00742B28">
        <w:rPr>
          <w:rFonts w:ascii="Times New Roman" w:eastAsia="Times New Roman" w:hAnsi="Times New Roman"/>
          <w:color w:val="000000"/>
          <w:sz w:val="24"/>
          <w:szCs w:val="24"/>
        </w:rPr>
        <w:t>,</w:t>
      </w:r>
      <w:r w:rsidRPr="00742B28">
        <w:rPr>
          <w:rFonts w:ascii="Times New Roman" w:eastAsia="Times New Roman" w:hAnsi="Times New Roman"/>
          <w:color w:val="000000"/>
          <w:sz w:val="24"/>
          <w:szCs w:val="24"/>
        </w:rPr>
        <w:t xml:space="preserve"> which would be 15,780 supervisory licenses. This total would include 11,000 new supervisory licenses</w:t>
      </w:r>
      <w:r w:rsidR="005C2F3E" w:rsidRPr="00742B28">
        <w:rPr>
          <w:rFonts w:ascii="Times New Roman" w:eastAsia="Times New Roman" w:hAnsi="Times New Roman"/>
          <w:color w:val="000000"/>
          <w:sz w:val="24"/>
          <w:szCs w:val="24"/>
        </w:rPr>
        <w:t xml:space="preserve"> added pursuant to Proposed Introduction 431-B</w:t>
      </w:r>
      <w:r w:rsidRPr="00742B28">
        <w:rPr>
          <w:rFonts w:ascii="Times New Roman" w:eastAsia="Times New Roman" w:hAnsi="Times New Roman"/>
          <w:color w:val="000000"/>
          <w:sz w:val="24"/>
          <w:szCs w:val="24"/>
        </w:rPr>
        <w:t xml:space="preserve">, 1,780 supervisory licenses issued pursuant to local law 18 for the year 2021 from 2022 through 2025, and 3,000 legacy permit holders who </w:t>
      </w:r>
      <w:r w:rsidR="005C2F3E" w:rsidRPr="00742B28">
        <w:rPr>
          <w:rFonts w:ascii="Times New Roman" w:eastAsia="Times New Roman" w:hAnsi="Times New Roman"/>
          <w:color w:val="000000"/>
          <w:sz w:val="24"/>
          <w:szCs w:val="24"/>
        </w:rPr>
        <w:t>received</w:t>
      </w:r>
      <w:r w:rsidRPr="00742B28">
        <w:rPr>
          <w:rFonts w:ascii="Times New Roman" w:eastAsia="Times New Roman" w:hAnsi="Times New Roman"/>
          <w:color w:val="000000"/>
          <w:sz w:val="24"/>
          <w:szCs w:val="24"/>
        </w:rPr>
        <w:t xml:space="preserve"> permits prior to </w:t>
      </w:r>
      <w:r w:rsidR="004C01F9" w:rsidRPr="00742B28">
        <w:rPr>
          <w:rFonts w:ascii="Times New Roman" w:eastAsia="Times New Roman" w:hAnsi="Times New Roman"/>
          <w:color w:val="000000"/>
          <w:sz w:val="24"/>
          <w:szCs w:val="24"/>
        </w:rPr>
        <w:t xml:space="preserve">the enactment of </w:t>
      </w:r>
      <w:r w:rsidRPr="00742B28">
        <w:rPr>
          <w:rFonts w:ascii="Times New Roman" w:eastAsia="Times New Roman" w:hAnsi="Times New Roman"/>
          <w:color w:val="000000"/>
          <w:sz w:val="24"/>
          <w:szCs w:val="24"/>
        </w:rPr>
        <w:t xml:space="preserve">local law 18 for the year 2021 and who are entitled to convert their legacy permit to a supervisory license. </w:t>
      </w:r>
    </w:p>
    <w:p w14:paraId="201FDC9C" w14:textId="14819A4C"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lastRenderedPageBreak/>
        <w:t>This bill would also authorize DCWP to issue more than 10,500 general vending license applications each year such that the total amount of general vending licenses issued could be up to 11,353, which would include the previous cap of 853 plus the 10,500 new general vending licenses.</w:t>
      </w:r>
    </w:p>
    <w:p w14:paraId="015F1FD9" w14:textId="6A459D42" w:rsidR="00FB080C"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Since introduction, this bill has been amended so that the cap on the number of licenses issued would align with the increase in the number of license applications proposed in </w:t>
      </w:r>
      <w:r w:rsidR="00742B28"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742B28"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431-B.</w:t>
      </w:r>
    </w:p>
    <w:p w14:paraId="039FF5A2" w14:textId="2041DE79" w:rsidR="00672569" w:rsidRPr="00742B28" w:rsidRDefault="00FB080C" w:rsidP="00FB080C">
      <w:pPr>
        <w:spacing w:after="0" w:line="480" w:lineRule="auto"/>
        <w:ind w:firstLine="720"/>
        <w:jc w:val="both"/>
        <w:rPr>
          <w:rFonts w:ascii="Times New Roman" w:eastAsia="Times New Roman" w:hAnsi="Times New Roman"/>
          <w:color w:val="000000"/>
          <w:sz w:val="24"/>
          <w:szCs w:val="24"/>
        </w:rPr>
      </w:pPr>
      <w:r w:rsidRPr="00742B28">
        <w:rPr>
          <w:rFonts w:ascii="Times New Roman" w:eastAsia="Times New Roman" w:hAnsi="Times New Roman"/>
          <w:color w:val="000000"/>
          <w:sz w:val="24"/>
          <w:szCs w:val="24"/>
        </w:rPr>
        <w:t xml:space="preserve">This bill would take effect on the same date as </w:t>
      </w:r>
      <w:r w:rsidR="00742B28" w:rsidRPr="00742B28">
        <w:rPr>
          <w:rFonts w:ascii="Times New Roman" w:eastAsia="Times New Roman" w:hAnsi="Times New Roman"/>
          <w:color w:val="000000"/>
          <w:sz w:val="24"/>
          <w:szCs w:val="24"/>
        </w:rPr>
        <w:t xml:space="preserve">Proposed </w:t>
      </w:r>
      <w:r w:rsidRPr="00742B28">
        <w:rPr>
          <w:rFonts w:ascii="Times New Roman" w:eastAsia="Times New Roman" w:hAnsi="Times New Roman"/>
          <w:color w:val="000000"/>
          <w:sz w:val="24"/>
          <w:szCs w:val="24"/>
        </w:rPr>
        <w:t xml:space="preserve">Introduction </w:t>
      </w:r>
      <w:r w:rsidR="00742B28" w:rsidRPr="00742B28">
        <w:rPr>
          <w:rFonts w:ascii="Times New Roman" w:eastAsia="Times New Roman" w:hAnsi="Times New Roman"/>
          <w:color w:val="000000"/>
          <w:sz w:val="24"/>
          <w:szCs w:val="24"/>
        </w:rPr>
        <w:t xml:space="preserve">Number </w:t>
      </w:r>
      <w:r w:rsidRPr="00742B28">
        <w:rPr>
          <w:rFonts w:ascii="Times New Roman" w:eastAsia="Times New Roman" w:hAnsi="Times New Roman"/>
          <w:color w:val="000000"/>
          <w:sz w:val="24"/>
          <w:szCs w:val="24"/>
        </w:rPr>
        <w:t>431-B.</w:t>
      </w:r>
    </w:p>
    <w:p w14:paraId="70EBB4C5" w14:textId="5890F663" w:rsidR="009A68A1" w:rsidRDefault="00867558" w:rsidP="002A4F79">
      <w:pPr>
        <w:pStyle w:val="ListParagraph"/>
        <w:numPr>
          <w:ilvl w:val="1"/>
          <w:numId w:val="1"/>
        </w:numPr>
        <w:spacing w:after="0" w:line="480" w:lineRule="auto"/>
        <w:jc w:val="both"/>
        <w:rPr>
          <w:rFonts w:ascii="Times New Roman" w:eastAsia="MS Mincho" w:hAnsi="Times New Roman"/>
          <w:b/>
          <w:bCs/>
          <w:spacing w:val="-3"/>
        </w:rPr>
      </w:pPr>
      <w:r>
        <w:rPr>
          <w:rFonts w:ascii="Times New Roman" w:eastAsia="MS Mincho" w:hAnsi="Times New Roman"/>
          <w:b/>
          <w:bCs/>
          <w:spacing w:val="-3"/>
        </w:rPr>
        <w:t>Proposed Introduction Number 1332-A</w:t>
      </w:r>
    </w:p>
    <w:p w14:paraId="0FD2220C"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This bill would prohibit delivery services from deactivating app-based contracted delivery workers unless the deactivation is for just cause or bona fide economic reasons. </w:t>
      </w:r>
    </w:p>
    <w:p w14:paraId="0B70E23B" w14:textId="3B4E2B03"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1 of this bill would amend the </w:t>
      </w:r>
      <w:r w:rsidR="00E304C2">
        <w:rPr>
          <w:rFonts w:ascii="Times New Roman" w:hAnsi="Times New Roman"/>
          <w:sz w:val="24"/>
          <w:szCs w:val="24"/>
        </w:rPr>
        <w:t xml:space="preserve">existing </w:t>
      </w:r>
      <w:r w:rsidRPr="00325F82">
        <w:rPr>
          <w:rFonts w:ascii="Times New Roman" w:hAnsi="Times New Roman"/>
          <w:sz w:val="24"/>
          <w:szCs w:val="24"/>
        </w:rPr>
        <w:t xml:space="preserve">definition of “delivery service” to include third-party grocery delivery services. It would amend the </w:t>
      </w:r>
      <w:r w:rsidR="00E304C2">
        <w:rPr>
          <w:rFonts w:ascii="Times New Roman" w:hAnsi="Times New Roman"/>
          <w:sz w:val="24"/>
          <w:szCs w:val="24"/>
        </w:rPr>
        <w:t xml:space="preserve">existing </w:t>
      </w:r>
      <w:r w:rsidRPr="00325F82">
        <w:rPr>
          <w:rFonts w:ascii="Times New Roman" w:hAnsi="Times New Roman"/>
          <w:sz w:val="24"/>
          <w:szCs w:val="24"/>
        </w:rPr>
        <w:t xml:space="preserve">definition of “deactivation” which would mean any indefinite or permanent discharge, termination or layoff of a contracted delivery worker or any indefinite or permanent revocation of a contracted delivery worker’s access to the delivery platform or authorization to accept deliveries on the delivery platform. </w:t>
      </w:r>
    </w:p>
    <w:p w14:paraId="04A3A9EF"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2 of this bill would authorize a complainant to file a complaint for a deactivation that occurred prior to the bill’s enactment within one year from the date the bill goes into effect. It would also give DCWP discretionary authority to investigate any complaints received pursuant to subchapter 3, related to wrongful deactivation. </w:t>
      </w:r>
    </w:p>
    <w:p w14:paraId="15BAE7A8"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3 of this bill would provide remedies for </w:t>
      </w:r>
      <w:proofErr w:type="gramStart"/>
      <w:r w:rsidRPr="00325F82">
        <w:rPr>
          <w:rFonts w:ascii="Times New Roman" w:hAnsi="Times New Roman"/>
          <w:sz w:val="24"/>
          <w:szCs w:val="24"/>
        </w:rPr>
        <w:t>wrongfully</w:t>
      </w:r>
      <w:proofErr w:type="gramEnd"/>
      <w:r w:rsidRPr="00325F82">
        <w:rPr>
          <w:rFonts w:ascii="Times New Roman" w:hAnsi="Times New Roman"/>
          <w:sz w:val="24"/>
          <w:szCs w:val="24"/>
        </w:rPr>
        <w:t xml:space="preserve"> deactivated workers including rescission of any discipline issued, reinstatement or restoration of access to the platform, payment of lost earnings, monetary relief and other equitable relief. </w:t>
      </w:r>
    </w:p>
    <w:p w14:paraId="3E55C37D"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lastRenderedPageBreak/>
        <w:t xml:space="preserve">Section 4 of this bill excludes prior deactivations from the civil penalties that may be imposed for each violation of subchapter 3, related to wrongful deactivation. </w:t>
      </w:r>
    </w:p>
    <w:p w14:paraId="7B3979BC"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5 of this bill includes a private right of action for app-based contracted delivery workers wrongfully deactivated by a delivery service. </w:t>
      </w:r>
    </w:p>
    <w:p w14:paraId="67000DA4"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Section 6 of this bill adds subchapter 3 of chapter 15 of title 20, related to the wrongful deactivation of app-based contracted delivery workers. This subchapter adds definitions for “delivery platform,” “egregious misconduct,” “just cause,” “misconduct,” “prior deactivation,” “probation period,” and “progressive discipline.” This subchapter would prohibit delivery services from deactivating app-based contracted delivery workers unless the deactivation is for just cause or a bona fide economic reason. </w:t>
      </w:r>
    </w:p>
    <w:p w14:paraId="08183F99" w14:textId="3551EA53"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A delivery service would be required to use progressive discipline prior to deactivating a worker for just cause, unless such deactivation is for egregious misconduct, and would be required to provide notice of such deactivation within 72 hours of deactivating the worker. A delivery service </w:t>
      </w:r>
      <w:r w:rsidR="001258F8">
        <w:rPr>
          <w:rFonts w:ascii="Times New Roman" w:hAnsi="Times New Roman"/>
          <w:sz w:val="24"/>
          <w:szCs w:val="24"/>
        </w:rPr>
        <w:t>would be required to</w:t>
      </w:r>
      <w:r w:rsidRPr="00325F82">
        <w:rPr>
          <w:rFonts w:ascii="Times New Roman" w:hAnsi="Times New Roman"/>
          <w:sz w:val="24"/>
          <w:szCs w:val="24"/>
        </w:rPr>
        <w:t xml:space="preserve"> </w:t>
      </w:r>
      <w:r w:rsidR="001258F8">
        <w:rPr>
          <w:rFonts w:ascii="Times New Roman" w:hAnsi="Times New Roman"/>
          <w:sz w:val="24"/>
          <w:szCs w:val="24"/>
        </w:rPr>
        <w:t>implement</w:t>
      </w:r>
      <w:r w:rsidRPr="00325F82">
        <w:rPr>
          <w:rFonts w:ascii="Times New Roman" w:hAnsi="Times New Roman"/>
          <w:sz w:val="24"/>
          <w:szCs w:val="24"/>
        </w:rPr>
        <w:t xml:space="preserve"> </w:t>
      </w:r>
      <w:r w:rsidR="00237A46">
        <w:rPr>
          <w:rFonts w:ascii="Times New Roman" w:hAnsi="Times New Roman"/>
          <w:sz w:val="24"/>
          <w:szCs w:val="24"/>
        </w:rPr>
        <w:t>a</w:t>
      </w:r>
      <w:r w:rsidRPr="00325F82">
        <w:rPr>
          <w:rFonts w:ascii="Times New Roman" w:hAnsi="Times New Roman"/>
          <w:sz w:val="24"/>
          <w:szCs w:val="24"/>
        </w:rPr>
        <w:t xml:space="preserve"> progressive discipline policy</w:t>
      </w:r>
      <w:r w:rsidR="00123D40">
        <w:rPr>
          <w:rFonts w:ascii="Times New Roman" w:hAnsi="Times New Roman"/>
          <w:sz w:val="24"/>
          <w:szCs w:val="24"/>
        </w:rPr>
        <w:t xml:space="preserve"> that</w:t>
      </w:r>
      <w:r w:rsidRPr="00325F82">
        <w:rPr>
          <w:rFonts w:ascii="Times New Roman" w:hAnsi="Times New Roman"/>
          <w:sz w:val="24"/>
          <w:szCs w:val="24"/>
        </w:rPr>
        <w:t xml:space="preserve"> </w:t>
      </w:r>
      <w:r w:rsidR="001258F8">
        <w:rPr>
          <w:rFonts w:ascii="Times New Roman" w:hAnsi="Times New Roman"/>
          <w:sz w:val="24"/>
          <w:szCs w:val="24"/>
        </w:rPr>
        <w:t>would</w:t>
      </w:r>
      <w:r w:rsidRPr="00325F82">
        <w:rPr>
          <w:rFonts w:ascii="Times New Roman" w:hAnsi="Times New Roman"/>
          <w:sz w:val="24"/>
          <w:szCs w:val="24"/>
        </w:rPr>
        <w:t xml:space="preserve"> be provided to workers upon the bill’s enactment</w:t>
      </w:r>
      <w:r w:rsidR="00DC3DB6">
        <w:rPr>
          <w:rFonts w:ascii="Times New Roman" w:hAnsi="Times New Roman"/>
          <w:sz w:val="24"/>
          <w:szCs w:val="24"/>
        </w:rPr>
        <w:t>,</w:t>
      </w:r>
      <w:r w:rsidRPr="00325F82">
        <w:rPr>
          <w:rFonts w:ascii="Times New Roman" w:hAnsi="Times New Roman"/>
          <w:sz w:val="24"/>
          <w:szCs w:val="24"/>
        </w:rPr>
        <w:t xml:space="preserve"> or prior to the worker’s first trip, whichever is later. </w:t>
      </w:r>
    </w:p>
    <w:p w14:paraId="254C7D17"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A delivery service would be required to provide 120 days’ advance notice prior to deactivation for bona fide economic reasons, which would be supported by business records demonstrating a reduction in volume of sales or profit in the prior fiscal quarter. </w:t>
      </w:r>
    </w:p>
    <w:p w14:paraId="0267B127"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The notice provided to a deactivated delivery worker would contain an explanation of the reasons for the deactivation and the right to challenge such deactivation. A deactivated worker would also be entitled to information and data from the delivery service related to such deactivation. </w:t>
      </w:r>
    </w:p>
    <w:p w14:paraId="5F03D7D1" w14:textId="77777777"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lastRenderedPageBreak/>
        <w:t xml:space="preserve">Within one year of the bill’s effective date, an app-based contracted delivery worker subject to a prior deactivation by a delivery service could petition such service for reinstatement, and such service would be required to reinstate such worker unless the prior deactivation was during a probation period or was for just cause or a bona fide economic reason. An app-based contracted delivery worker would be entitled to challenge a prior wrongful deactivation within one year of the bill’s effective date. </w:t>
      </w:r>
    </w:p>
    <w:p w14:paraId="317B650A" w14:textId="714BB3ED" w:rsidR="009A68A1" w:rsidRPr="00325F82" w:rsidRDefault="009A68A1" w:rsidP="009A68A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An app-based contracted delivery worker could challenge their deactivation in an informal resolution process with the delivery service, or request that DCWP investigate the deactivation. DCWP would maintain records on deactivations during the preceding year, which would be posted on the department’s website. DCWP could also require delivery services to maintain records </w:t>
      </w:r>
      <w:proofErr w:type="gramStart"/>
      <w:r w:rsidR="006121EC">
        <w:rPr>
          <w:rFonts w:ascii="Times New Roman" w:hAnsi="Times New Roman"/>
          <w:sz w:val="24"/>
          <w:szCs w:val="24"/>
        </w:rPr>
        <w:t xml:space="preserve">in order </w:t>
      </w:r>
      <w:r w:rsidRPr="00325F82">
        <w:rPr>
          <w:rFonts w:ascii="Times New Roman" w:hAnsi="Times New Roman"/>
          <w:sz w:val="24"/>
          <w:szCs w:val="24"/>
        </w:rPr>
        <w:t>to</w:t>
      </w:r>
      <w:proofErr w:type="gramEnd"/>
      <w:r w:rsidRPr="00325F82">
        <w:rPr>
          <w:rFonts w:ascii="Times New Roman" w:hAnsi="Times New Roman"/>
          <w:sz w:val="24"/>
          <w:szCs w:val="24"/>
        </w:rPr>
        <w:t xml:space="preserve"> implement and enforce this bill. </w:t>
      </w:r>
    </w:p>
    <w:p w14:paraId="5D722B15" w14:textId="0F7083B9" w:rsidR="00027C83" w:rsidRPr="00027C83" w:rsidRDefault="009A68A1" w:rsidP="00027C83">
      <w:pPr>
        <w:spacing w:after="0" w:line="480" w:lineRule="auto"/>
        <w:jc w:val="both"/>
        <w:rPr>
          <w:rFonts w:ascii="Times New Roman" w:hAnsi="Times New Roman"/>
          <w:sz w:val="24"/>
          <w:szCs w:val="24"/>
        </w:rPr>
      </w:pPr>
      <w:r w:rsidRPr="00325F82">
        <w:rPr>
          <w:rFonts w:ascii="Times New Roman" w:hAnsi="Times New Roman"/>
          <w:sz w:val="24"/>
          <w:szCs w:val="24"/>
        </w:rPr>
        <w:tab/>
        <w:t>Since introduction, this bill has been amended</w:t>
      </w:r>
      <w:r w:rsidR="00C22D5F">
        <w:rPr>
          <w:rFonts w:ascii="Times New Roman" w:hAnsi="Times New Roman"/>
          <w:sz w:val="24"/>
          <w:szCs w:val="24"/>
        </w:rPr>
        <w:t xml:space="preserve"> to reflect </w:t>
      </w:r>
      <w:r w:rsidR="00B20FD8">
        <w:rPr>
          <w:rFonts w:ascii="Times New Roman" w:hAnsi="Times New Roman"/>
          <w:sz w:val="24"/>
          <w:szCs w:val="24"/>
        </w:rPr>
        <w:t>feedback from stakeholders and ensure appropriate r</w:t>
      </w:r>
      <w:r w:rsidR="001F1517">
        <w:rPr>
          <w:rFonts w:ascii="Times New Roman" w:hAnsi="Times New Roman"/>
          <w:sz w:val="24"/>
          <w:szCs w:val="24"/>
        </w:rPr>
        <w:t>ecourse for delivery workers subject to</w:t>
      </w:r>
      <w:r w:rsidR="0039291E">
        <w:rPr>
          <w:rFonts w:ascii="Times New Roman" w:hAnsi="Times New Roman"/>
          <w:sz w:val="24"/>
          <w:szCs w:val="24"/>
        </w:rPr>
        <w:t xml:space="preserve"> wrongful deactivation</w:t>
      </w:r>
      <w:r w:rsidR="00123519">
        <w:rPr>
          <w:rFonts w:ascii="Times New Roman" w:hAnsi="Times New Roman"/>
          <w:sz w:val="24"/>
          <w:szCs w:val="24"/>
        </w:rPr>
        <w:t xml:space="preserve">. </w:t>
      </w:r>
      <w:r w:rsidR="00CA641B">
        <w:rPr>
          <w:rFonts w:ascii="Times New Roman" w:hAnsi="Times New Roman"/>
          <w:sz w:val="24"/>
          <w:szCs w:val="24"/>
        </w:rPr>
        <w:t xml:space="preserve">Specifically, the amendments </w:t>
      </w:r>
      <w:r w:rsidR="00AC5461">
        <w:rPr>
          <w:rFonts w:ascii="Times New Roman" w:hAnsi="Times New Roman"/>
          <w:sz w:val="24"/>
          <w:szCs w:val="24"/>
        </w:rPr>
        <w:t xml:space="preserve">address </w:t>
      </w:r>
      <w:r w:rsidR="001760FB">
        <w:rPr>
          <w:rFonts w:ascii="Times New Roman" w:hAnsi="Times New Roman"/>
          <w:sz w:val="24"/>
          <w:szCs w:val="24"/>
        </w:rPr>
        <w:t xml:space="preserve">concerns </w:t>
      </w:r>
      <w:r w:rsidR="008B1400">
        <w:rPr>
          <w:rFonts w:ascii="Times New Roman" w:hAnsi="Times New Roman"/>
          <w:sz w:val="24"/>
          <w:szCs w:val="24"/>
        </w:rPr>
        <w:t>raised by</w:t>
      </w:r>
      <w:r w:rsidR="001760FB">
        <w:rPr>
          <w:rFonts w:ascii="Times New Roman" w:hAnsi="Times New Roman"/>
          <w:sz w:val="24"/>
          <w:szCs w:val="24"/>
        </w:rPr>
        <w:t xml:space="preserve"> delivery </w:t>
      </w:r>
      <w:r w:rsidR="005850ED">
        <w:rPr>
          <w:rFonts w:ascii="Times New Roman" w:hAnsi="Times New Roman"/>
          <w:sz w:val="24"/>
          <w:szCs w:val="24"/>
        </w:rPr>
        <w:t>services</w:t>
      </w:r>
      <w:r w:rsidR="001760FB">
        <w:rPr>
          <w:rFonts w:ascii="Times New Roman" w:hAnsi="Times New Roman"/>
          <w:sz w:val="24"/>
          <w:szCs w:val="24"/>
        </w:rPr>
        <w:t xml:space="preserve"> that</w:t>
      </w:r>
      <w:r w:rsidR="00AC5461">
        <w:rPr>
          <w:rFonts w:ascii="Times New Roman" w:hAnsi="Times New Roman"/>
          <w:sz w:val="24"/>
          <w:szCs w:val="24"/>
        </w:rPr>
        <w:t xml:space="preserve"> </w:t>
      </w:r>
      <w:r w:rsidR="00EB3DA8">
        <w:rPr>
          <w:rFonts w:ascii="Times New Roman" w:hAnsi="Times New Roman"/>
          <w:sz w:val="24"/>
          <w:szCs w:val="24"/>
        </w:rPr>
        <w:t xml:space="preserve">a temporary reduction or restriction </w:t>
      </w:r>
      <w:r w:rsidR="001760FB">
        <w:rPr>
          <w:rFonts w:ascii="Times New Roman" w:hAnsi="Times New Roman"/>
          <w:sz w:val="24"/>
          <w:szCs w:val="24"/>
        </w:rPr>
        <w:t>in</w:t>
      </w:r>
      <w:r w:rsidR="00EB3DA8">
        <w:rPr>
          <w:rFonts w:ascii="Times New Roman" w:hAnsi="Times New Roman"/>
          <w:sz w:val="24"/>
          <w:szCs w:val="24"/>
        </w:rPr>
        <w:t xml:space="preserve"> access to the </w:t>
      </w:r>
      <w:r w:rsidR="00722D1B">
        <w:rPr>
          <w:rFonts w:ascii="Times New Roman" w:hAnsi="Times New Roman"/>
          <w:sz w:val="24"/>
          <w:szCs w:val="24"/>
        </w:rPr>
        <w:t xml:space="preserve">delivery platform </w:t>
      </w:r>
      <w:r w:rsidR="00BF68CF">
        <w:rPr>
          <w:rFonts w:ascii="Times New Roman" w:hAnsi="Times New Roman"/>
          <w:sz w:val="24"/>
          <w:szCs w:val="24"/>
        </w:rPr>
        <w:t>s</w:t>
      </w:r>
      <w:r w:rsidR="00D043C6">
        <w:rPr>
          <w:rFonts w:ascii="Times New Roman" w:hAnsi="Times New Roman"/>
          <w:sz w:val="24"/>
          <w:szCs w:val="24"/>
        </w:rPr>
        <w:t xml:space="preserve">hould </w:t>
      </w:r>
      <w:r w:rsidR="008F37E3">
        <w:rPr>
          <w:rFonts w:ascii="Times New Roman" w:hAnsi="Times New Roman"/>
          <w:sz w:val="24"/>
          <w:szCs w:val="24"/>
        </w:rPr>
        <w:t xml:space="preserve">not be </w:t>
      </w:r>
      <w:r w:rsidR="009D3B1C">
        <w:rPr>
          <w:rFonts w:ascii="Times New Roman" w:hAnsi="Times New Roman"/>
          <w:sz w:val="24"/>
          <w:szCs w:val="24"/>
        </w:rPr>
        <w:t xml:space="preserve">characterized as </w:t>
      </w:r>
      <w:proofErr w:type="gramStart"/>
      <w:r w:rsidR="009D3B1C">
        <w:rPr>
          <w:rFonts w:ascii="Times New Roman" w:hAnsi="Times New Roman"/>
          <w:sz w:val="24"/>
          <w:szCs w:val="24"/>
        </w:rPr>
        <w:t>a</w:t>
      </w:r>
      <w:r w:rsidR="008F37E3">
        <w:rPr>
          <w:rFonts w:ascii="Times New Roman" w:hAnsi="Times New Roman"/>
          <w:sz w:val="24"/>
          <w:szCs w:val="24"/>
        </w:rPr>
        <w:t xml:space="preserve"> deactivation</w:t>
      </w:r>
      <w:proofErr w:type="gramEnd"/>
      <w:r w:rsidR="008F37E3">
        <w:rPr>
          <w:rFonts w:ascii="Times New Roman" w:hAnsi="Times New Roman"/>
          <w:sz w:val="24"/>
          <w:szCs w:val="24"/>
        </w:rPr>
        <w:t xml:space="preserve"> </w:t>
      </w:r>
      <w:r w:rsidR="009D3B1C">
        <w:rPr>
          <w:rFonts w:ascii="Times New Roman" w:hAnsi="Times New Roman"/>
          <w:sz w:val="24"/>
          <w:szCs w:val="24"/>
        </w:rPr>
        <w:t>because</w:t>
      </w:r>
      <w:r w:rsidR="005850ED">
        <w:rPr>
          <w:rFonts w:ascii="Times New Roman" w:hAnsi="Times New Roman"/>
          <w:sz w:val="24"/>
          <w:szCs w:val="24"/>
        </w:rPr>
        <w:t xml:space="preserve"> it </w:t>
      </w:r>
      <w:r w:rsidR="00B328D5">
        <w:rPr>
          <w:rFonts w:ascii="Times New Roman" w:hAnsi="Times New Roman"/>
          <w:sz w:val="24"/>
          <w:szCs w:val="24"/>
        </w:rPr>
        <w:t xml:space="preserve">could be </w:t>
      </w:r>
      <w:r w:rsidR="00C4134F">
        <w:rPr>
          <w:rFonts w:ascii="Times New Roman" w:hAnsi="Times New Roman"/>
          <w:sz w:val="24"/>
          <w:szCs w:val="24"/>
        </w:rPr>
        <w:t xml:space="preserve">related to </w:t>
      </w:r>
      <w:r w:rsidR="00B75537">
        <w:rPr>
          <w:rFonts w:ascii="Times New Roman" w:hAnsi="Times New Roman"/>
          <w:sz w:val="24"/>
          <w:szCs w:val="24"/>
        </w:rPr>
        <w:t xml:space="preserve">the availability of work and not </w:t>
      </w:r>
      <w:r w:rsidR="00FB37A8">
        <w:rPr>
          <w:rFonts w:ascii="Times New Roman" w:hAnsi="Times New Roman"/>
          <w:sz w:val="24"/>
          <w:szCs w:val="24"/>
        </w:rPr>
        <w:t xml:space="preserve">to </w:t>
      </w:r>
      <w:r w:rsidR="00B75537">
        <w:rPr>
          <w:rFonts w:ascii="Times New Roman" w:hAnsi="Times New Roman"/>
          <w:sz w:val="24"/>
          <w:szCs w:val="24"/>
        </w:rPr>
        <w:t>worker misconduct</w:t>
      </w:r>
      <w:r w:rsidR="0076166E">
        <w:rPr>
          <w:rFonts w:ascii="Times New Roman" w:hAnsi="Times New Roman"/>
          <w:sz w:val="24"/>
          <w:szCs w:val="24"/>
        </w:rPr>
        <w:t>.</w:t>
      </w:r>
      <w:r w:rsidR="00173558">
        <w:rPr>
          <w:rFonts w:ascii="Times New Roman" w:hAnsi="Times New Roman"/>
          <w:sz w:val="24"/>
          <w:szCs w:val="24"/>
        </w:rPr>
        <w:t xml:space="preserve"> Amen</w:t>
      </w:r>
      <w:r w:rsidR="000E052F">
        <w:rPr>
          <w:rFonts w:ascii="Times New Roman" w:hAnsi="Times New Roman"/>
          <w:sz w:val="24"/>
          <w:szCs w:val="24"/>
        </w:rPr>
        <w:t xml:space="preserve">dments also address concerns raised by delivery services that </w:t>
      </w:r>
      <w:r w:rsidR="00844B22">
        <w:rPr>
          <w:rFonts w:ascii="Times New Roman" w:hAnsi="Times New Roman"/>
          <w:sz w:val="24"/>
          <w:szCs w:val="24"/>
        </w:rPr>
        <w:t>especially bad</w:t>
      </w:r>
      <w:r w:rsidR="00F87709">
        <w:rPr>
          <w:rFonts w:ascii="Times New Roman" w:hAnsi="Times New Roman"/>
          <w:sz w:val="24"/>
          <w:szCs w:val="24"/>
        </w:rPr>
        <w:t xml:space="preserve"> misconduct </w:t>
      </w:r>
      <w:r w:rsidR="00D002FD">
        <w:rPr>
          <w:rFonts w:ascii="Times New Roman" w:hAnsi="Times New Roman"/>
          <w:sz w:val="24"/>
          <w:szCs w:val="24"/>
        </w:rPr>
        <w:t>should be grounds for deactivation without progressive discipline</w:t>
      </w:r>
      <w:r w:rsidR="00352B94">
        <w:rPr>
          <w:rFonts w:ascii="Times New Roman" w:hAnsi="Times New Roman"/>
          <w:sz w:val="24"/>
          <w:szCs w:val="24"/>
        </w:rPr>
        <w:t xml:space="preserve"> such misconduct would be defined</w:t>
      </w:r>
      <w:r w:rsidR="002B4155">
        <w:rPr>
          <w:rFonts w:ascii="Times New Roman" w:hAnsi="Times New Roman"/>
          <w:sz w:val="24"/>
          <w:szCs w:val="24"/>
        </w:rPr>
        <w:t xml:space="preserve"> in the amended version of the bill</w:t>
      </w:r>
      <w:r w:rsidR="00352B94">
        <w:rPr>
          <w:rFonts w:ascii="Times New Roman" w:hAnsi="Times New Roman"/>
          <w:sz w:val="24"/>
          <w:szCs w:val="24"/>
        </w:rPr>
        <w:t xml:space="preserve"> as </w:t>
      </w:r>
      <w:r w:rsidR="006F43A3">
        <w:rPr>
          <w:rFonts w:ascii="Times New Roman" w:hAnsi="Times New Roman"/>
          <w:sz w:val="24"/>
          <w:szCs w:val="24"/>
        </w:rPr>
        <w:t xml:space="preserve">egregious </w:t>
      </w:r>
      <w:proofErr w:type="gramStart"/>
      <w:r w:rsidR="006F43A3">
        <w:rPr>
          <w:rFonts w:ascii="Times New Roman" w:hAnsi="Times New Roman"/>
          <w:sz w:val="24"/>
          <w:szCs w:val="24"/>
        </w:rPr>
        <w:t>misconduct</w:t>
      </w:r>
      <w:r w:rsidR="00844B22">
        <w:rPr>
          <w:rFonts w:ascii="Times New Roman" w:hAnsi="Times New Roman"/>
          <w:sz w:val="24"/>
          <w:szCs w:val="24"/>
        </w:rPr>
        <w:t>, and</w:t>
      </w:r>
      <w:proofErr w:type="gramEnd"/>
      <w:r w:rsidR="00844B22">
        <w:rPr>
          <w:rFonts w:ascii="Times New Roman" w:hAnsi="Times New Roman"/>
          <w:sz w:val="24"/>
          <w:szCs w:val="24"/>
        </w:rPr>
        <w:t xml:space="preserve"> would be grounds for immediate discipline</w:t>
      </w:r>
      <w:r w:rsidR="00CD46F0">
        <w:rPr>
          <w:rFonts w:ascii="Times New Roman" w:hAnsi="Times New Roman"/>
          <w:sz w:val="24"/>
          <w:szCs w:val="24"/>
        </w:rPr>
        <w:t>.</w:t>
      </w:r>
      <w:r w:rsidR="001F1517">
        <w:rPr>
          <w:rFonts w:ascii="Times New Roman" w:hAnsi="Times New Roman"/>
          <w:sz w:val="24"/>
          <w:szCs w:val="24"/>
        </w:rPr>
        <w:t xml:space="preserve"> </w:t>
      </w:r>
      <w:r w:rsidR="00685080">
        <w:rPr>
          <w:rFonts w:ascii="Times New Roman" w:hAnsi="Times New Roman"/>
          <w:sz w:val="24"/>
          <w:szCs w:val="24"/>
        </w:rPr>
        <w:t xml:space="preserve">The amendments further address concerns </w:t>
      </w:r>
      <w:r w:rsidR="00E141BE">
        <w:rPr>
          <w:rFonts w:ascii="Times New Roman" w:hAnsi="Times New Roman"/>
          <w:sz w:val="24"/>
          <w:szCs w:val="24"/>
        </w:rPr>
        <w:t xml:space="preserve">raised by </w:t>
      </w:r>
      <w:r w:rsidR="00085FAA">
        <w:rPr>
          <w:rFonts w:ascii="Times New Roman" w:hAnsi="Times New Roman"/>
          <w:sz w:val="24"/>
          <w:szCs w:val="24"/>
        </w:rPr>
        <w:t>delivery services and advocates for</w:t>
      </w:r>
      <w:r w:rsidR="00E141BE">
        <w:rPr>
          <w:rFonts w:ascii="Times New Roman" w:hAnsi="Times New Roman"/>
          <w:sz w:val="24"/>
          <w:szCs w:val="24"/>
        </w:rPr>
        <w:t xml:space="preserve"> </w:t>
      </w:r>
      <w:r w:rsidR="00574D14">
        <w:rPr>
          <w:rFonts w:ascii="Times New Roman" w:hAnsi="Times New Roman"/>
          <w:sz w:val="24"/>
          <w:szCs w:val="24"/>
        </w:rPr>
        <w:t>victims of sexual abuse</w:t>
      </w:r>
      <w:r w:rsidR="00685080">
        <w:rPr>
          <w:rFonts w:ascii="Times New Roman" w:hAnsi="Times New Roman"/>
          <w:sz w:val="24"/>
          <w:szCs w:val="24"/>
        </w:rPr>
        <w:t xml:space="preserve"> </w:t>
      </w:r>
      <w:r w:rsidR="00FF11FA">
        <w:rPr>
          <w:rFonts w:ascii="Times New Roman" w:hAnsi="Times New Roman"/>
          <w:sz w:val="24"/>
          <w:szCs w:val="24"/>
        </w:rPr>
        <w:t xml:space="preserve">that </w:t>
      </w:r>
      <w:r w:rsidR="00892B87">
        <w:rPr>
          <w:rFonts w:ascii="Times New Roman" w:hAnsi="Times New Roman"/>
          <w:sz w:val="24"/>
          <w:szCs w:val="24"/>
        </w:rPr>
        <w:t xml:space="preserve">a </w:t>
      </w:r>
      <w:r w:rsidR="00844B22">
        <w:rPr>
          <w:rFonts w:ascii="Times New Roman" w:hAnsi="Times New Roman"/>
          <w:sz w:val="24"/>
          <w:szCs w:val="24"/>
        </w:rPr>
        <w:t>14-day</w:t>
      </w:r>
      <w:r w:rsidR="00892B87">
        <w:rPr>
          <w:rFonts w:ascii="Times New Roman" w:hAnsi="Times New Roman"/>
          <w:sz w:val="24"/>
          <w:szCs w:val="24"/>
        </w:rPr>
        <w:t xml:space="preserve"> notice requirement prior to deactivation would allow </w:t>
      </w:r>
      <w:r w:rsidR="00FF11FA">
        <w:rPr>
          <w:rFonts w:ascii="Times New Roman" w:hAnsi="Times New Roman"/>
          <w:sz w:val="24"/>
          <w:szCs w:val="24"/>
        </w:rPr>
        <w:t>workers</w:t>
      </w:r>
      <w:r w:rsidR="00892B87">
        <w:rPr>
          <w:rFonts w:ascii="Times New Roman" w:hAnsi="Times New Roman"/>
          <w:sz w:val="24"/>
          <w:szCs w:val="24"/>
        </w:rPr>
        <w:t xml:space="preserve"> </w:t>
      </w:r>
      <w:r w:rsidR="00E141BE">
        <w:rPr>
          <w:rFonts w:ascii="Times New Roman" w:hAnsi="Times New Roman"/>
          <w:sz w:val="24"/>
          <w:szCs w:val="24"/>
        </w:rPr>
        <w:t xml:space="preserve">who engage in misconduct to continue </w:t>
      </w:r>
      <w:r w:rsidR="00E311CC">
        <w:rPr>
          <w:rFonts w:ascii="Times New Roman" w:hAnsi="Times New Roman"/>
          <w:sz w:val="24"/>
          <w:szCs w:val="24"/>
        </w:rPr>
        <w:t xml:space="preserve">working </w:t>
      </w:r>
      <w:r w:rsidR="00E141BE">
        <w:rPr>
          <w:rFonts w:ascii="Times New Roman" w:hAnsi="Times New Roman"/>
          <w:sz w:val="24"/>
          <w:szCs w:val="24"/>
        </w:rPr>
        <w:t>on the platform and potentially harm consumers</w:t>
      </w:r>
      <w:r w:rsidR="00E311CC">
        <w:rPr>
          <w:rFonts w:ascii="Times New Roman" w:hAnsi="Times New Roman"/>
          <w:sz w:val="24"/>
          <w:szCs w:val="24"/>
        </w:rPr>
        <w:t xml:space="preserve"> during the notice period</w:t>
      </w:r>
      <w:r w:rsidR="00E141BE">
        <w:rPr>
          <w:rFonts w:ascii="Times New Roman" w:hAnsi="Times New Roman"/>
          <w:sz w:val="24"/>
          <w:szCs w:val="24"/>
        </w:rPr>
        <w:t>.</w:t>
      </w:r>
      <w:r w:rsidR="00685080">
        <w:rPr>
          <w:rFonts w:ascii="Times New Roman" w:hAnsi="Times New Roman"/>
          <w:sz w:val="24"/>
          <w:szCs w:val="24"/>
        </w:rPr>
        <w:t xml:space="preserve"> </w:t>
      </w:r>
      <w:r w:rsidR="00CD24BC">
        <w:rPr>
          <w:rFonts w:ascii="Times New Roman" w:hAnsi="Times New Roman"/>
          <w:sz w:val="24"/>
          <w:szCs w:val="24"/>
        </w:rPr>
        <w:t xml:space="preserve">Delivery services’ concerns </w:t>
      </w:r>
      <w:r w:rsidR="008D1461">
        <w:rPr>
          <w:rFonts w:ascii="Times New Roman" w:hAnsi="Times New Roman"/>
          <w:sz w:val="24"/>
          <w:szCs w:val="24"/>
        </w:rPr>
        <w:t xml:space="preserve">about sharing consumer complaints with deactivated </w:t>
      </w:r>
      <w:r w:rsidR="008D1461">
        <w:rPr>
          <w:rFonts w:ascii="Times New Roman" w:hAnsi="Times New Roman"/>
          <w:sz w:val="24"/>
          <w:szCs w:val="24"/>
        </w:rPr>
        <w:lastRenderedPageBreak/>
        <w:t xml:space="preserve">workers were </w:t>
      </w:r>
      <w:r w:rsidR="00A07EAA">
        <w:rPr>
          <w:rFonts w:ascii="Times New Roman" w:hAnsi="Times New Roman"/>
          <w:sz w:val="24"/>
          <w:szCs w:val="24"/>
        </w:rPr>
        <w:t xml:space="preserve">partially </w:t>
      </w:r>
      <w:r w:rsidR="008D1461">
        <w:rPr>
          <w:rFonts w:ascii="Times New Roman" w:hAnsi="Times New Roman"/>
          <w:sz w:val="24"/>
          <w:szCs w:val="24"/>
        </w:rPr>
        <w:t xml:space="preserve">addressed by requiring </w:t>
      </w:r>
      <w:r w:rsidR="00A07EAA">
        <w:rPr>
          <w:rFonts w:ascii="Times New Roman" w:hAnsi="Times New Roman"/>
          <w:sz w:val="24"/>
          <w:szCs w:val="24"/>
        </w:rPr>
        <w:t>any personally identifiable information to be redacted</w:t>
      </w:r>
      <w:r w:rsidR="00027C83">
        <w:rPr>
          <w:rFonts w:ascii="Times New Roman" w:hAnsi="Times New Roman"/>
          <w:sz w:val="24"/>
          <w:szCs w:val="24"/>
        </w:rPr>
        <w:t xml:space="preserve"> </w:t>
      </w:r>
      <w:r w:rsidR="00027C83" w:rsidRPr="00027C83">
        <w:rPr>
          <w:rFonts w:ascii="Times New Roman" w:hAnsi="Times New Roman"/>
          <w:sz w:val="24"/>
          <w:szCs w:val="24"/>
        </w:rPr>
        <w:t xml:space="preserve">but could not be totally addressed because, in the interests of due process, it may be required that the </w:t>
      </w:r>
      <w:r w:rsidR="00027C83">
        <w:rPr>
          <w:rFonts w:ascii="Times New Roman" w:hAnsi="Times New Roman"/>
          <w:sz w:val="24"/>
          <w:szCs w:val="24"/>
        </w:rPr>
        <w:t>delivery worker</w:t>
      </w:r>
      <w:r w:rsidR="00027C83" w:rsidRPr="00027C83">
        <w:rPr>
          <w:rFonts w:ascii="Times New Roman" w:hAnsi="Times New Roman"/>
          <w:sz w:val="24"/>
          <w:szCs w:val="24"/>
        </w:rPr>
        <w:t xml:space="preserve"> be provided information about the specific allegation giving rise to their deactivation (including when and where the </w:t>
      </w:r>
      <w:r w:rsidR="00027C83">
        <w:rPr>
          <w:rFonts w:ascii="Times New Roman" w:hAnsi="Times New Roman"/>
          <w:sz w:val="24"/>
          <w:szCs w:val="24"/>
        </w:rPr>
        <w:t>worker</w:t>
      </w:r>
      <w:r w:rsidR="00027C83" w:rsidRPr="00027C83">
        <w:rPr>
          <w:rFonts w:ascii="Times New Roman" w:hAnsi="Times New Roman"/>
          <w:sz w:val="24"/>
          <w:szCs w:val="24"/>
        </w:rPr>
        <w:t xml:space="preserve"> allegedly engaged in the misconduct).</w:t>
      </w:r>
    </w:p>
    <w:p w14:paraId="65E001A1" w14:textId="37C972C4" w:rsidR="009A68A1" w:rsidRPr="00325F82" w:rsidRDefault="0076166E" w:rsidP="000418B5">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has </w:t>
      </w:r>
      <w:r w:rsidR="00027C83">
        <w:rPr>
          <w:rFonts w:ascii="Times New Roman" w:hAnsi="Times New Roman"/>
          <w:sz w:val="24"/>
          <w:szCs w:val="24"/>
        </w:rPr>
        <w:t xml:space="preserve">also </w:t>
      </w:r>
      <w:r>
        <w:rPr>
          <w:rFonts w:ascii="Times New Roman" w:hAnsi="Times New Roman"/>
          <w:sz w:val="24"/>
          <w:szCs w:val="24"/>
        </w:rPr>
        <w:t>been amended</w:t>
      </w:r>
      <w:r w:rsidR="00352B94">
        <w:rPr>
          <w:rFonts w:ascii="Times New Roman" w:hAnsi="Times New Roman"/>
          <w:sz w:val="24"/>
          <w:szCs w:val="24"/>
        </w:rPr>
        <w:t xml:space="preserve"> </w:t>
      </w:r>
      <w:r w:rsidR="00027C83">
        <w:rPr>
          <w:rFonts w:ascii="Times New Roman" w:hAnsi="Times New Roman"/>
          <w:sz w:val="24"/>
          <w:szCs w:val="24"/>
        </w:rPr>
        <w:t>to</w:t>
      </w:r>
      <w:r w:rsidR="009A68A1" w:rsidRPr="00325F82">
        <w:rPr>
          <w:rFonts w:ascii="Times New Roman" w:hAnsi="Times New Roman"/>
          <w:sz w:val="24"/>
          <w:szCs w:val="24"/>
        </w:rPr>
        <w:t xml:space="preserve">: (1) </w:t>
      </w:r>
      <w:r w:rsidR="00020FA8">
        <w:rPr>
          <w:rFonts w:ascii="Times New Roman" w:hAnsi="Times New Roman"/>
          <w:sz w:val="24"/>
          <w:szCs w:val="24"/>
        </w:rPr>
        <w:t>apply</w:t>
      </w:r>
      <w:r w:rsidR="009A68A1" w:rsidRPr="00325F82">
        <w:rPr>
          <w:rFonts w:ascii="Times New Roman" w:hAnsi="Times New Roman"/>
          <w:sz w:val="24"/>
          <w:szCs w:val="24"/>
        </w:rPr>
        <w:t xml:space="preserve"> to contracted delivery workers retained by a delivery service</w:t>
      </w:r>
      <w:r w:rsidR="001F1517">
        <w:rPr>
          <w:rFonts w:ascii="Times New Roman" w:hAnsi="Times New Roman"/>
          <w:sz w:val="24"/>
          <w:szCs w:val="24"/>
        </w:rPr>
        <w:t>,</w:t>
      </w:r>
      <w:r w:rsidR="009A68A1" w:rsidRPr="00325F82">
        <w:rPr>
          <w:rFonts w:ascii="Times New Roman" w:hAnsi="Times New Roman"/>
          <w:sz w:val="24"/>
          <w:szCs w:val="24"/>
        </w:rPr>
        <w:t xml:space="preserve"> except it would not apply to a delivery service that does not maintain a website, mobile application or other internet service; (2)</w:t>
      </w:r>
      <w:r w:rsidR="001F1517">
        <w:rPr>
          <w:rFonts w:ascii="Times New Roman" w:hAnsi="Times New Roman"/>
          <w:sz w:val="24"/>
          <w:szCs w:val="24"/>
        </w:rPr>
        <w:t xml:space="preserve"> </w:t>
      </w:r>
      <w:r w:rsidR="00C10491">
        <w:rPr>
          <w:rFonts w:ascii="Times New Roman" w:hAnsi="Times New Roman"/>
          <w:sz w:val="24"/>
          <w:szCs w:val="24"/>
        </w:rPr>
        <w:t>amend</w:t>
      </w:r>
      <w:r w:rsidR="009A68A1" w:rsidRPr="00325F82">
        <w:rPr>
          <w:rFonts w:ascii="Times New Roman" w:hAnsi="Times New Roman"/>
          <w:sz w:val="24"/>
          <w:szCs w:val="24"/>
        </w:rPr>
        <w:t xml:space="preserve"> existing definition for “deactivation”</w:t>
      </w:r>
      <w:r w:rsidR="001F1517">
        <w:rPr>
          <w:rFonts w:ascii="Times New Roman" w:hAnsi="Times New Roman"/>
          <w:sz w:val="24"/>
          <w:szCs w:val="24"/>
        </w:rPr>
        <w:t xml:space="preserve"> </w:t>
      </w:r>
      <w:r w:rsidR="00FF3F68">
        <w:rPr>
          <w:rFonts w:ascii="Times New Roman" w:hAnsi="Times New Roman"/>
          <w:sz w:val="24"/>
          <w:szCs w:val="24"/>
        </w:rPr>
        <w:t xml:space="preserve">to limit coverage to full deactivation or indefinite </w:t>
      </w:r>
      <w:r w:rsidR="007E2767">
        <w:rPr>
          <w:rFonts w:ascii="Times New Roman" w:hAnsi="Times New Roman"/>
          <w:sz w:val="24"/>
          <w:szCs w:val="24"/>
        </w:rPr>
        <w:t>suspension</w:t>
      </w:r>
      <w:r w:rsidR="00C70193">
        <w:rPr>
          <w:rFonts w:ascii="Times New Roman" w:hAnsi="Times New Roman"/>
          <w:sz w:val="24"/>
          <w:szCs w:val="24"/>
        </w:rPr>
        <w:t xml:space="preserve">; </w:t>
      </w:r>
      <w:r w:rsidR="00C10491">
        <w:rPr>
          <w:rFonts w:ascii="Times New Roman" w:hAnsi="Times New Roman"/>
          <w:sz w:val="24"/>
          <w:szCs w:val="24"/>
        </w:rPr>
        <w:t>amends</w:t>
      </w:r>
      <w:r w:rsidR="00C70193">
        <w:rPr>
          <w:rFonts w:ascii="Times New Roman" w:hAnsi="Times New Roman"/>
          <w:sz w:val="24"/>
          <w:szCs w:val="24"/>
        </w:rPr>
        <w:t xml:space="preserve"> existing definition for</w:t>
      </w:r>
      <w:r w:rsidR="009A68A1" w:rsidRPr="00325F82">
        <w:rPr>
          <w:rFonts w:ascii="Times New Roman" w:hAnsi="Times New Roman"/>
          <w:sz w:val="24"/>
          <w:szCs w:val="24"/>
        </w:rPr>
        <w:t xml:space="preserve"> “delivery service</w:t>
      </w:r>
      <w:r w:rsidR="00C70193">
        <w:rPr>
          <w:rFonts w:ascii="Times New Roman" w:hAnsi="Times New Roman"/>
          <w:sz w:val="24"/>
          <w:szCs w:val="24"/>
        </w:rPr>
        <w:t>;</w:t>
      </w:r>
      <w:r w:rsidR="009A68A1" w:rsidRPr="00325F82">
        <w:rPr>
          <w:rFonts w:ascii="Times New Roman" w:hAnsi="Times New Roman"/>
          <w:sz w:val="24"/>
          <w:szCs w:val="24"/>
        </w:rPr>
        <w:t>”</w:t>
      </w:r>
      <w:r w:rsidR="00C70193">
        <w:rPr>
          <w:rFonts w:ascii="Times New Roman" w:hAnsi="Times New Roman"/>
          <w:sz w:val="24"/>
          <w:szCs w:val="24"/>
        </w:rPr>
        <w:t xml:space="preserve"> (</w:t>
      </w:r>
      <w:r w:rsidR="00F42AFA">
        <w:rPr>
          <w:rFonts w:ascii="Times New Roman" w:hAnsi="Times New Roman"/>
          <w:sz w:val="24"/>
          <w:szCs w:val="24"/>
        </w:rPr>
        <w:t>3)</w:t>
      </w:r>
      <w:r w:rsidR="007055B3">
        <w:rPr>
          <w:rFonts w:ascii="Times New Roman" w:hAnsi="Times New Roman"/>
          <w:sz w:val="24"/>
          <w:szCs w:val="24"/>
        </w:rPr>
        <w:t xml:space="preserve"> </w:t>
      </w:r>
      <w:r w:rsidR="00C10491">
        <w:rPr>
          <w:rFonts w:ascii="Times New Roman" w:hAnsi="Times New Roman"/>
          <w:sz w:val="24"/>
          <w:szCs w:val="24"/>
        </w:rPr>
        <w:t>add</w:t>
      </w:r>
      <w:r w:rsidR="009A68A1" w:rsidRPr="00325F82">
        <w:rPr>
          <w:rFonts w:ascii="Times New Roman" w:hAnsi="Times New Roman"/>
          <w:sz w:val="24"/>
          <w:szCs w:val="24"/>
        </w:rPr>
        <w:t xml:space="preserve"> </w:t>
      </w:r>
      <w:r w:rsidR="002C290C">
        <w:rPr>
          <w:rFonts w:ascii="Times New Roman" w:hAnsi="Times New Roman"/>
          <w:sz w:val="24"/>
          <w:szCs w:val="24"/>
        </w:rPr>
        <w:t xml:space="preserve">a </w:t>
      </w:r>
      <w:r w:rsidR="009A68A1" w:rsidRPr="00325F82">
        <w:rPr>
          <w:rFonts w:ascii="Times New Roman" w:hAnsi="Times New Roman"/>
          <w:sz w:val="24"/>
          <w:szCs w:val="24"/>
        </w:rPr>
        <w:t xml:space="preserve">definition for “egregious misconduct,” </w:t>
      </w:r>
      <w:r w:rsidR="009B68EE">
        <w:rPr>
          <w:rFonts w:ascii="Times New Roman" w:hAnsi="Times New Roman"/>
          <w:sz w:val="24"/>
          <w:szCs w:val="24"/>
        </w:rPr>
        <w:t xml:space="preserve">to clarify the </w:t>
      </w:r>
      <w:r w:rsidR="004974FC">
        <w:rPr>
          <w:rFonts w:ascii="Times New Roman" w:hAnsi="Times New Roman"/>
          <w:sz w:val="24"/>
          <w:szCs w:val="24"/>
        </w:rPr>
        <w:t xml:space="preserve">type of misconduct that </w:t>
      </w:r>
      <w:r w:rsidR="002C290C">
        <w:rPr>
          <w:rFonts w:ascii="Times New Roman" w:hAnsi="Times New Roman"/>
          <w:sz w:val="24"/>
          <w:szCs w:val="24"/>
        </w:rPr>
        <w:t xml:space="preserve">rises to the level of immediate suspension without progressive discipline; (4) </w:t>
      </w:r>
      <w:r w:rsidR="00C10491">
        <w:rPr>
          <w:rFonts w:ascii="Times New Roman" w:hAnsi="Times New Roman"/>
          <w:sz w:val="24"/>
          <w:szCs w:val="24"/>
        </w:rPr>
        <w:t>adds</w:t>
      </w:r>
      <w:r w:rsidR="002C290C">
        <w:rPr>
          <w:rFonts w:ascii="Times New Roman" w:hAnsi="Times New Roman"/>
          <w:sz w:val="24"/>
          <w:szCs w:val="24"/>
        </w:rPr>
        <w:t xml:space="preserve"> definitions</w:t>
      </w:r>
      <w:r w:rsidR="00C10491">
        <w:rPr>
          <w:rFonts w:ascii="Times New Roman" w:hAnsi="Times New Roman"/>
          <w:sz w:val="24"/>
          <w:szCs w:val="24"/>
        </w:rPr>
        <w:t xml:space="preserve"> for</w:t>
      </w:r>
      <w:r w:rsidR="002C290C">
        <w:rPr>
          <w:rFonts w:ascii="Times New Roman" w:hAnsi="Times New Roman"/>
          <w:sz w:val="24"/>
          <w:szCs w:val="24"/>
        </w:rPr>
        <w:t xml:space="preserve"> </w:t>
      </w:r>
      <w:r w:rsidR="009A68A1" w:rsidRPr="00325F82">
        <w:rPr>
          <w:rFonts w:ascii="Times New Roman" w:hAnsi="Times New Roman"/>
          <w:sz w:val="24"/>
          <w:szCs w:val="24"/>
        </w:rPr>
        <w:t>“misconduct,” and “prior deactivation”</w:t>
      </w:r>
      <w:r w:rsidR="003A60ED">
        <w:rPr>
          <w:rFonts w:ascii="Times New Roman" w:hAnsi="Times New Roman"/>
          <w:sz w:val="24"/>
          <w:szCs w:val="24"/>
        </w:rPr>
        <w:t xml:space="preserve"> </w:t>
      </w:r>
      <w:r w:rsidR="009A68A1" w:rsidRPr="00325F82">
        <w:rPr>
          <w:rFonts w:ascii="Times New Roman" w:hAnsi="Times New Roman"/>
          <w:sz w:val="24"/>
          <w:szCs w:val="24"/>
        </w:rPr>
        <w:t>(</w:t>
      </w:r>
      <w:r w:rsidR="002C290C">
        <w:rPr>
          <w:rFonts w:ascii="Times New Roman" w:hAnsi="Times New Roman"/>
          <w:sz w:val="24"/>
          <w:szCs w:val="24"/>
        </w:rPr>
        <w:t>5</w:t>
      </w:r>
      <w:r w:rsidR="009A68A1" w:rsidRPr="00325F82">
        <w:rPr>
          <w:rFonts w:ascii="Times New Roman" w:hAnsi="Times New Roman"/>
          <w:sz w:val="24"/>
          <w:szCs w:val="24"/>
        </w:rPr>
        <w:t xml:space="preserve">) </w:t>
      </w:r>
      <w:r w:rsidR="00224355">
        <w:rPr>
          <w:rFonts w:ascii="Times New Roman" w:hAnsi="Times New Roman"/>
          <w:sz w:val="24"/>
          <w:szCs w:val="24"/>
        </w:rPr>
        <w:t xml:space="preserve">remove 14 days’ advance notice </w:t>
      </w:r>
      <w:r w:rsidR="00E328D4">
        <w:rPr>
          <w:rFonts w:ascii="Times New Roman" w:hAnsi="Times New Roman"/>
          <w:sz w:val="24"/>
          <w:szCs w:val="24"/>
        </w:rPr>
        <w:t xml:space="preserve">of an impending deactivation </w:t>
      </w:r>
      <w:r w:rsidR="00B0204C">
        <w:rPr>
          <w:rFonts w:ascii="Times New Roman" w:hAnsi="Times New Roman"/>
          <w:sz w:val="24"/>
          <w:szCs w:val="24"/>
        </w:rPr>
        <w:t xml:space="preserve">for just cause </w:t>
      </w:r>
      <w:r w:rsidR="00E328D4">
        <w:rPr>
          <w:rFonts w:ascii="Times New Roman" w:hAnsi="Times New Roman"/>
          <w:sz w:val="24"/>
          <w:szCs w:val="24"/>
        </w:rPr>
        <w:t xml:space="preserve">and instead </w:t>
      </w:r>
      <w:r w:rsidR="00C10491">
        <w:rPr>
          <w:rFonts w:ascii="Times New Roman" w:hAnsi="Times New Roman"/>
          <w:sz w:val="24"/>
          <w:szCs w:val="24"/>
        </w:rPr>
        <w:t>requires</w:t>
      </w:r>
      <w:r w:rsidR="009A68A1" w:rsidRPr="00325F82">
        <w:rPr>
          <w:rFonts w:ascii="Times New Roman" w:hAnsi="Times New Roman"/>
          <w:sz w:val="24"/>
          <w:szCs w:val="24"/>
        </w:rPr>
        <w:t xml:space="preserve"> notice within 72 hours of deactivation, which would include </w:t>
      </w:r>
      <w:r w:rsidR="00A4049B">
        <w:rPr>
          <w:rFonts w:ascii="Times New Roman" w:hAnsi="Times New Roman"/>
          <w:sz w:val="24"/>
          <w:szCs w:val="24"/>
        </w:rPr>
        <w:t xml:space="preserve">providing notice of </w:t>
      </w:r>
      <w:r w:rsidR="009A68A1" w:rsidRPr="00325F82">
        <w:rPr>
          <w:rFonts w:ascii="Times New Roman" w:hAnsi="Times New Roman"/>
          <w:sz w:val="24"/>
          <w:szCs w:val="24"/>
        </w:rPr>
        <w:t>information about such worker’s rights; (</w:t>
      </w:r>
      <w:r w:rsidR="00E119E0">
        <w:rPr>
          <w:rFonts w:ascii="Times New Roman" w:hAnsi="Times New Roman"/>
          <w:sz w:val="24"/>
          <w:szCs w:val="24"/>
        </w:rPr>
        <w:t>6</w:t>
      </w:r>
      <w:r w:rsidR="009A68A1" w:rsidRPr="00325F82">
        <w:rPr>
          <w:rFonts w:ascii="Times New Roman" w:hAnsi="Times New Roman"/>
          <w:sz w:val="24"/>
          <w:szCs w:val="24"/>
        </w:rPr>
        <w:t xml:space="preserve">) </w:t>
      </w:r>
      <w:r w:rsidR="005C6756">
        <w:rPr>
          <w:rFonts w:ascii="Times New Roman" w:hAnsi="Times New Roman"/>
          <w:sz w:val="24"/>
          <w:szCs w:val="24"/>
        </w:rPr>
        <w:t>provide</w:t>
      </w:r>
      <w:r w:rsidR="009A68A1" w:rsidRPr="00325F82">
        <w:rPr>
          <w:rFonts w:ascii="Times New Roman" w:hAnsi="Times New Roman"/>
          <w:sz w:val="24"/>
          <w:szCs w:val="24"/>
        </w:rPr>
        <w:t xml:space="preserve"> recourse for prior wrongful deactivations; (</w:t>
      </w:r>
      <w:r w:rsidR="00E119E0">
        <w:rPr>
          <w:rFonts w:ascii="Times New Roman" w:hAnsi="Times New Roman"/>
          <w:sz w:val="24"/>
          <w:szCs w:val="24"/>
        </w:rPr>
        <w:t>7</w:t>
      </w:r>
      <w:r w:rsidR="009A68A1" w:rsidRPr="00325F82">
        <w:rPr>
          <w:rFonts w:ascii="Times New Roman" w:hAnsi="Times New Roman"/>
          <w:sz w:val="24"/>
          <w:szCs w:val="24"/>
        </w:rPr>
        <w:t xml:space="preserve">) </w:t>
      </w:r>
      <w:r w:rsidR="005C6756">
        <w:rPr>
          <w:rFonts w:ascii="Times New Roman" w:hAnsi="Times New Roman"/>
          <w:sz w:val="24"/>
          <w:szCs w:val="24"/>
        </w:rPr>
        <w:t>remove</w:t>
      </w:r>
      <w:r w:rsidR="009A68A1" w:rsidRPr="00325F82">
        <w:rPr>
          <w:rFonts w:ascii="Times New Roman" w:hAnsi="Times New Roman"/>
          <w:sz w:val="24"/>
          <w:szCs w:val="24"/>
        </w:rPr>
        <w:t xml:space="preserve"> arbitration requirements; (</w:t>
      </w:r>
      <w:r w:rsidR="00E119E0">
        <w:rPr>
          <w:rFonts w:ascii="Times New Roman" w:hAnsi="Times New Roman"/>
          <w:sz w:val="24"/>
          <w:szCs w:val="24"/>
        </w:rPr>
        <w:t>8</w:t>
      </w:r>
      <w:r w:rsidR="009A68A1" w:rsidRPr="00325F82">
        <w:rPr>
          <w:rFonts w:ascii="Times New Roman" w:hAnsi="Times New Roman"/>
          <w:sz w:val="24"/>
          <w:szCs w:val="24"/>
        </w:rPr>
        <w:t xml:space="preserve">) </w:t>
      </w:r>
      <w:r w:rsidR="005C6756">
        <w:rPr>
          <w:rFonts w:ascii="Times New Roman" w:hAnsi="Times New Roman"/>
          <w:sz w:val="24"/>
          <w:szCs w:val="24"/>
        </w:rPr>
        <w:t>add</w:t>
      </w:r>
      <w:r w:rsidR="009A68A1" w:rsidRPr="00325F82">
        <w:rPr>
          <w:rFonts w:ascii="Times New Roman" w:hAnsi="Times New Roman"/>
          <w:sz w:val="24"/>
          <w:szCs w:val="24"/>
        </w:rPr>
        <w:t xml:space="preserve"> recordkeeping requirements; and (</w:t>
      </w:r>
      <w:r w:rsidR="00E119E0">
        <w:rPr>
          <w:rFonts w:ascii="Times New Roman" w:hAnsi="Times New Roman"/>
          <w:sz w:val="24"/>
          <w:szCs w:val="24"/>
        </w:rPr>
        <w:t>9</w:t>
      </w:r>
      <w:r w:rsidR="009A68A1" w:rsidRPr="00325F82">
        <w:rPr>
          <w:rFonts w:ascii="Times New Roman" w:hAnsi="Times New Roman"/>
          <w:sz w:val="24"/>
          <w:szCs w:val="24"/>
        </w:rPr>
        <w:t xml:space="preserve">) </w:t>
      </w:r>
      <w:r w:rsidR="005C6756">
        <w:rPr>
          <w:rFonts w:ascii="Times New Roman" w:hAnsi="Times New Roman"/>
          <w:sz w:val="24"/>
          <w:szCs w:val="24"/>
        </w:rPr>
        <w:t>add</w:t>
      </w:r>
      <w:r w:rsidR="009A68A1" w:rsidRPr="00325F82">
        <w:rPr>
          <w:rFonts w:ascii="Times New Roman" w:hAnsi="Times New Roman"/>
          <w:sz w:val="24"/>
          <w:szCs w:val="24"/>
        </w:rPr>
        <w:t xml:space="preserve"> progressive discipline policy </w:t>
      </w:r>
      <w:r w:rsidR="008A1540">
        <w:rPr>
          <w:rFonts w:ascii="Times New Roman" w:hAnsi="Times New Roman"/>
          <w:sz w:val="24"/>
          <w:szCs w:val="24"/>
        </w:rPr>
        <w:t>requirements</w:t>
      </w:r>
      <w:r w:rsidR="009A68A1" w:rsidRPr="00325F82">
        <w:rPr>
          <w:rFonts w:ascii="Times New Roman" w:hAnsi="Times New Roman"/>
          <w:sz w:val="24"/>
          <w:szCs w:val="24"/>
        </w:rPr>
        <w:t xml:space="preserve">. </w:t>
      </w:r>
    </w:p>
    <w:p w14:paraId="4399875D" w14:textId="285AC75A" w:rsidR="00EF6345" w:rsidRPr="00972441" w:rsidRDefault="009A68A1" w:rsidP="00972441">
      <w:pPr>
        <w:spacing w:after="0" w:line="480" w:lineRule="auto"/>
        <w:ind w:firstLine="720"/>
        <w:jc w:val="both"/>
        <w:rPr>
          <w:rFonts w:ascii="Times New Roman" w:hAnsi="Times New Roman"/>
          <w:sz w:val="24"/>
          <w:szCs w:val="24"/>
        </w:rPr>
      </w:pPr>
      <w:r w:rsidRPr="00325F82">
        <w:rPr>
          <w:rFonts w:ascii="Times New Roman" w:hAnsi="Times New Roman"/>
          <w:sz w:val="24"/>
          <w:szCs w:val="24"/>
        </w:rPr>
        <w:t xml:space="preserve">The bill would take </w:t>
      </w:r>
      <w:proofErr w:type="gramStart"/>
      <w:r w:rsidRPr="00325F82">
        <w:rPr>
          <w:rFonts w:ascii="Times New Roman" w:hAnsi="Times New Roman"/>
          <w:sz w:val="24"/>
          <w:szCs w:val="24"/>
        </w:rPr>
        <w:t>effect</w:t>
      </w:r>
      <w:proofErr w:type="gramEnd"/>
      <w:r w:rsidRPr="00325F82">
        <w:rPr>
          <w:rFonts w:ascii="Times New Roman" w:hAnsi="Times New Roman"/>
          <w:sz w:val="24"/>
          <w:szCs w:val="24"/>
        </w:rPr>
        <w:t xml:space="preserve"> 1 year after it becomes law.</w:t>
      </w:r>
    </w:p>
    <w:p w14:paraId="6C8A2B01" w14:textId="69FBDE3E" w:rsidR="00972441" w:rsidRPr="0063666D" w:rsidRDefault="00912E6D" w:rsidP="002A4F79">
      <w:pPr>
        <w:pStyle w:val="ListParagraph"/>
        <w:numPr>
          <w:ilvl w:val="1"/>
          <w:numId w:val="1"/>
        </w:numPr>
        <w:spacing w:after="0" w:line="480" w:lineRule="auto"/>
        <w:jc w:val="both"/>
        <w:rPr>
          <w:rFonts w:ascii="Times New Roman" w:hAnsi="Times New Roman"/>
          <w:b/>
        </w:rPr>
      </w:pPr>
      <w:r w:rsidRPr="0063666D">
        <w:rPr>
          <w:rFonts w:ascii="Times New Roman" w:hAnsi="Times New Roman"/>
          <w:b/>
        </w:rPr>
        <w:t>Proposed Introduction Number 1391-A</w:t>
      </w:r>
    </w:p>
    <w:p w14:paraId="2CA4B9A2" w14:textId="77777777"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add a new chapter 16 to title 20 of the administrative code related to security guards. It would add definitions for “covered security guard employer,” “covered security guard,” “paid time off,” “supplemental benefit,” and “wage.” </w:t>
      </w:r>
    </w:p>
    <w:p w14:paraId="46724355" w14:textId="7F4C69BF"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direct covered security guard employers to provide their covered security guard employees with minimum wage, paid </w:t>
      </w:r>
      <w:r w:rsidR="00DF3A2F">
        <w:rPr>
          <w:rFonts w:ascii="Times New Roman" w:eastAsia="Aptos" w:hAnsi="Times New Roman"/>
          <w:color w:val="000000"/>
          <w:kern w:val="2"/>
          <w:sz w:val="24"/>
          <w:szCs w:val="24"/>
          <w:shd w:val="clear" w:color="auto" w:fill="FFFFFF"/>
          <w14:ligatures w14:val="standardContextual"/>
        </w:rPr>
        <w:t>time off</w:t>
      </w:r>
      <w:r w:rsidRPr="00972441">
        <w:rPr>
          <w:rFonts w:ascii="Times New Roman" w:eastAsia="Aptos" w:hAnsi="Times New Roman"/>
          <w:color w:val="000000"/>
          <w:kern w:val="2"/>
          <w:sz w:val="24"/>
          <w:szCs w:val="24"/>
          <w:shd w:val="clear" w:color="auto" w:fill="FFFFFF"/>
          <w14:ligatures w14:val="standardContextual"/>
        </w:rPr>
        <w:t xml:space="preserve"> and supplemental benefits that meet or exceed the minimum wage, paid </w:t>
      </w:r>
      <w:r w:rsidR="00DF3A2F">
        <w:rPr>
          <w:rFonts w:ascii="Times New Roman" w:eastAsia="Aptos" w:hAnsi="Times New Roman"/>
          <w:color w:val="000000"/>
          <w:kern w:val="2"/>
          <w:sz w:val="24"/>
          <w:szCs w:val="24"/>
          <w:shd w:val="clear" w:color="auto" w:fill="FFFFFF"/>
          <w14:ligatures w14:val="standardContextual"/>
        </w:rPr>
        <w:t>time off</w:t>
      </w:r>
      <w:r w:rsidRPr="00972441">
        <w:rPr>
          <w:rFonts w:ascii="Times New Roman" w:eastAsia="Aptos" w:hAnsi="Times New Roman"/>
          <w:color w:val="000000"/>
          <w:kern w:val="2"/>
          <w:sz w:val="24"/>
          <w:szCs w:val="24"/>
          <w:shd w:val="clear" w:color="auto" w:fill="FFFFFF"/>
          <w14:ligatures w14:val="standardContextual"/>
        </w:rPr>
        <w:t xml:space="preserve"> and supplemental benefits required for private sector security </w:t>
      </w:r>
      <w:r w:rsidRPr="00972441">
        <w:rPr>
          <w:rFonts w:ascii="Times New Roman" w:eastAsia="Aptos" w:hAnsi="Times New Roman"/>
          <w:color w:val="000000"/>
          <w:kern w:val="2"/>
          <w:sz w:val="24"/>
          <w:szCs w:val="24"/>
          <w:shd w:val="clear" w:color="auto" w:fill="FFFFFF"/>
          <w14:ligatures w14:val="standardContextual"/>
        </w:rPr>
        <w:lastRenderedPageBreak/>
        <w:t xml:space="preserve">guards engaged on New York City public building service contracts </w:t>
      </w:r>
      <w:proofErr w:type="gramStart"/>
      <w:r w:rsidRPr="00972441">
        <w:rPr>
          <w:rFonts w:ascii="Times New Roman" w:eastAsia="Aptos" w:hAnsi="Times New Roman"/>
          <w:color w:val="000000"/>
          <w:kern w:val="2"/>
          <w:sz w:val="24"/>
          <w:szCs w:val="24"/>
          <w:shd w:val="clear" w:color="auto" w:fill="FFFFFF"/>
          <w14:ligatures w14:val="standardContextual"/>
        </w:rPr>
        <w:t>in excess of</w:t>
      </w:r>
      <w:proofErr w:type="gramEnd"/>
      <w:r w:rsidRPr="00972441">
        <w:rPr>
          <w:rFonts w:ascii="Times New Roman" w:eastAsia="Aptos" w:hAnsi="Times New Roman"/>
          <w:color w:val="000000"/>
          <w:kern w:val="2"/>
          <w:sz w:val="24"/>
          <w:szCs w:val="24"/>
          <w:shd w:val="clear" w:color="auto" w:fill="FFFFFF"/>
          <w14:ligatures w14:val="standardContextual"/>
        </w:rPr>
        <w:t xml:space="preserve"> $1,500. </w:t>
      </w:r>
      <w:r w:rsidR="00411738">
        <w:rPr>
          <w:rFonts w:ascii="Times New Roman" w:eastAsia="Aptos" w:hAnsi="Times New Roman"/>
          <w:color w:val="000000"/>
          <w:kern w:val="2"/>
          <w:sz w:val="24"/>
          <w:szCs w:val="24"/>
          <w:shd w:val="clear" w:color="auto" w:fill="FFFFFF"/>
          <w14:ligatures w14:val="standardContextual"/>
        </w:rPr>
        <w:t xml:space="preserve">Employers </w:t>
      </w:r>
      <w:r w:rsidR="00972E54">
        <w:rPr>
          <w:rFonts w:ascii="Times New Roman" w:eastAsia="Aptos" w:hAnsi="Times New Roman"/>
          <w:color w:val="000000"/>
          <w:kern w:val="2"/>
          <w:sz w:val="24"/>
          <w:szCs w:val="24"/>
          <w:shd w:val="clear" w:color="auto" w:fill="FFFFFF"/>
          <w14:ligatures w14:val="standardContextual"/>
        </w:rPr>
        <w:t xml:space="preserve">of </w:t>
      </w:r>
      <w:r w:rsidR="00253075">
        <w:rPr>
          <w:rFonts w:ascii="Times New Roman" w:eastAsia="Aptos" w:hAnsi="Times New Roman"/>
          <w:color w:val="000000"/>
          <w:kern w:val="2"/>
          <w:sz w:val="24"/>
          <w:szCs w:val="24"/>
          <w:shd w:val="clear" w:color="auto" w:fill="FFFFFF"/>
          <w14:ligatures w14:val="standardContextual"/>
        </w:rPr>
        <w:t>private sector security guards</w:t>
      </w:r>
      <w:r w:rsidR="000C7FB3">
        <w:rPr>
          <w:rFonts w:ascii="Times New Roman" w:eastAsia="Aptos" w:hAnsi="Times New Roman"/>
          <w:color w:val="000000"/>
          <w:kern w:val="2"/>
          <w:sz w:val="24"/>
          <w:szCs w:val="24"/>
          <w:shd w:val="clear" w:color="auto" w:fill="FFFFFF"/>
          <w14:ligatures w14:val="standardContextual"/>
        </w:rPr>
        <w:t xml:space="preserve"> engaged on New York City public building service contracts </w:t>
      </w:r>
      <w:proofErr w:type="gramStart"/>
      <w:r w:rsidR="000C7FB3">
        <w:rPr>
          <w:rFonts w:ascii="Times New Roman" w:eastAsia="Aptos" w:hAnsi="Times New Roman"/>
          <w:color w:val="000000"/>
          <w:kern w:val="2"/>
          <w:sz w:val="24"/>
          <w:szCs w:val="24"/>
          <w:shd w:val="clear" w:color="auto" w:fill="FFFFFF"/>
          <w14:ligatures w14:val="standardContextual"/>
        </w:rPr>
        <w:t>in excess of</w:t>
      </w:r>
      <w:proofErr w:type="gramEnd"/>
      <w:r w:rsidR="000C7FB3">
        <w:rPr>
          <w:rFonts w:ascii="Times New Roman" w:eastAsia="Aptos" w:hAnsi="Times New Roman"/>
          <w:color w:val="000000"/>
          <w:kern w:val="2"/>
          <w:sz w:val="24"/>
          <w:szCs w:val="24"/>
          <w:shd w:val="clear" w:color="auto" w:fill="FFFFFF"/>
          <w14:ligatures w14:val="standardContextual"/>
        </w:rPr>
        <w:t xml:space="preserve"> $1,500 </w:t>
      </w:r>
      <w:r w:rsidR="00DD1791">
        <w:rPr>
          <w:rFonts w:ascii="Times New Roman" w:eastAsia="Aptos" w:hAnsi="Times New Roman"/>
          <w:color w:val="000000"/>
          <w:kern w:val="2"/>
          <w:sz w:val="24"/>
          <w:szCs w:val="24"/>
          <w:shd w:val="clear" w:color="auto" w:fill="FFFFFF"/>
          <w14:ligatures w14:val="standardContextual"/>
        </w:rPr>
        <w:t xml:space="preserve">are required to </w:t>
      </w:r>
      <w:r w:rsidR="00224F2D">
        <w:rPr>
          <w:rFonts w:ascii="Times New Roman" w:eastAsia="Aptos" w:hAnsi="Times New Roman"/>
          <w:color w:val="000000"/>
          <w:kern w:val="2"/>
          <w:sz w:val="24"/>
          <w:szCs w:val="24"/>
          <w:shd w:val="clear" w:color="auto" w:fill="FFFFFF"/>
          <w14:ligatures w14:val="standardContextual"/>
        </w:rPr>
        <w:t>provide</w:t>
      </w:r>
      <w:r w:rsidR="00DD1791">
        <w:rPr>
          <w:rFonts w:ascii="Times New Roman" w:eastAsia="Aptos" w:hAnsi="Times New Roman"/>
          <w:color w:val="000000"/>
          <w:kern w:val="2"/>
          <w:sz w:val="24"/>
          <w:szCs w:val="24"/>
          <w:shd w:val="clear" w:color="auto" w:fill="FFFFFF"/>
          <w14:ligatures w14:val="standardContextual"/>
        </w:rPr>
        <w:t xml:space="preserve"> </w:t>
      </w:r>
      <w:r w:rsidR="00E32A2A">
        <w:rPr>
          <w:rFonts w:ascii="Times New Roman" w:eastAsia="Aptos" w:hAnsi="Times New Roman"/>
          <w:color w:val="000000"/>
          <w:kern w:val="2"/>
          <w:sz w:val="24"/>
          <w:szCs w:val="24"/>
          <w:shd w:val="clear" w:color="auto" w:fill="FFFFFF"/>
          <w14:ligatures w14:val="standardContextual"/>
        </w:rPr>
        <w:t>their employe</w:t>
      </w:r>
      <w:r w:rsidR="009D3891">
        <w:rPr>
          <w:rFonts w:ascii="Times New Roman" w:eastAsia="Aptos" w:hAnsi="Times New Roman"/>
          <w:color w:val="000000"/>
          <w:kern w:val="2"/>
          <w:sz w:val="24"/>
          <w:szCs w:val="24"/>
          <w:shd w:val="clear" w:color="auto" w:fill="FFFFFF"/>
          <w14:ligatures w14:val="standardContextual"/>
        </w:rPr>
        <w:t>es</w:t>
      </w:r>
      <w:r w:rsidR="00E32A2A">
        <w:rPr>
          <w:rFonts w:ascii="Times New Roman" w:eastAsia="Aptos" w:hAnsi="Times New Roman"/>
          <w:color w:val="000000"/>
          <w:kern w:val="2"/>
          <w:sz w:val="24"/>
          <w:szCs w:val="24"/>
          <w:shd w:val="clear" w:color="auto" w:fill="FFFFFF"/>
          <w14:ligatures w14:val="standardContextual"/>
        </w:rPr>
        <w:t xml:space="preserve"> with </w:t>
      </w:r>
      <w:r w:rsidR="00DD1791">
        <w:rPr>
          <w:rFonts w:ascii="Times New Roman" w:eastAsia="Aptos" w:hAnsi="Times New Roman"/>
          <w:color w:val="000000"/>
          <w:kern w:val="2"/>
          <w:sz w:val="24"/>
          <w:szCs w:val="24"/>
          <w:shd w:val="clear" w:color="auto" w:fill="FFFFFF"/>
          <w14:ligatures w14:val="standardContextual"/>
        </w:rPr>
        <w:t xml:space="preserve">the applicable building service employee </w:t>
      </w:r>
      <w:r w:rsidR="00224F2D">
        <w:rPr>
          <w:rFonts w:ascii="Times New Roman" w:eastAsia="Aptos" w:hAnsi="Times New Roman"/>
          <w:color w:val="000000"/>
          <w:kern w:val="2"/>
          <w:sz w:val="24"/>
          <w:szCs w:val="24"/>
          <w:shd w:val="clear" w:color="auto" w:fill="FFFFFF"/>
          <w14:ligatures w14:val="standardContextual"/>
        </w:rPr>
        <w:t>prevailing wage</w:t>
      </w:r>
      <w:r w:rsidR="0029747E">
        <w:rPr>
          <w:rFonts w:ascii="Times New Roman" w:eastAsia="Aptos" w:hAnsi="Times New Roman"/>
          <w:color w:val="000000"/>
          <w:kern w:val="2"/>
          <w:sz w:val="24"/>
          <w:szCs w:val="24"/>
          <w:shd w:val="clear" w:color="auto" w:fill="FFFFFF"/>
          <w14:ligatures w14:val="standardContextual"/>
        </w:rPr>
        <w:t>. Such prevailing wage schedule is</w:t>
      </w:r>
      <w:r w:rsidR="00BB460E">
        <w:rPr>
          <w:rFonts w:ascii="Times New Roman" w:eastAsia="Aptos" w:hAnsi="Times New Roman"/>
          <w:color w:val="000000"/>
          <w:kern w:val="2"/>
          <w:sz w:val="24"/>
          <w:szCs w:val="24"/>
          <w:shd w:val="clear" w:color="auto" w:fill="FFFFFF"/>
          <w14:ligatures w14:val="standardContextual"/>
        </w:rPr>
        <w:t xml:space="preserve"> published by the </w:t>
      </w:r>
      <w:r w:rsidR="009D3891">
        <w:rPr>
          <w:rFonts w:ascii="Times New Roman" w:eastAsia="Aptos" w:hAnsi="Times New Roman"/>
          <w:color w:val="000000"/>
          <w:kern w:val="2"/>
          <w:sz w:val="24"/>
          <w:szCs w:val="24"/>
          <w:shd w:val="clear" w:color="auto" w:fill="FFFFFF"/>
          <w14:ligatures w14:val="standardContextual"/>
        </w:rPr>
        <w:t>c</w:t>
      </w:r>
      <w:r w:rsidR="00BB460E">
        <w:rPr>
          <w:rFonts w:ascii="Times New Roman" w:eastAsia="Aptos" w:hAnsi="Times New Roman"/>
          <w:color w:val="000000"/>
          <w:kern w:val="2"/>
          <w:sz w:val="24"/>
          <w:szCs w:val="24"/>
          <w:shd w:val="clear" w:color="auto" w:fill="FFFFFF"/>
          <w14:ligatures w14:val="standardContextual"/>
        </w:rPr>
        <w:t>omptroller</w:t>
      </w:r>
      <w:r w:rsidR="00360582">
        <w:rPr>
          <w:rFonts w:ascii="Times New Roman" w:eastAsia="Aptos" w:hAnsi="Times New Roman"/>
          <w:color w:val="000000"/>
          <w:kern w:val="2"/>
          <w:sz w:val="24"/>
          <w:szCs w:val="24"/>
          <w:shd w:val="clear" w:color="auto" w:fill="FFFFFF"/>
          <w14:ligatures w14:val="standardContextual"/>
        </w:rPr>
        <w:t xml:space="preserve"> in accordance with chapter 2 of title 44 of the rules of the city of New York.</w:t>
      </w:r>
    </w:p>
    <w:p w14:paraId="288DF8A9" w14:textId="5323C145"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This bill would require DCWP to post</w:t>
      </w:r>
      <w:r w:rsidR="00EE145E">
        <w:rPr>
          <w:rFonts w:ascii="Times New Roman" w:eastAsia="Aptos" w:hAnsi="Times New Roman"/>
          <w:color w:val="000000"/>
          <w:kern w:val="2"/>
          <w:sz w:val="24"/>
          <w:szCs w:val="24"/>
          <w:shd w:val="clear" w:color="auto" w:fill="FFFFFF"/>
          <w14:ligatures w14:val="standardContextual"/>
        </w:rPr>
        <w:t xml:space="preserve"> the following on the department’s website:</w:t>
      </w:r>
      <w:r w:rsidRPr="00972441">
        <w:rPr>
          <w:rFonts w:ascii="Times New Roman" w:eastAsia="Aptos" w:hAnsi="Times New Roman"/>
          <w:color w:val="000000"/>
          <w:kern w:val="2"/>
          <w:sz w:val="24"/>
          <w:szCs w:val="24"/>
          <w:shd w:val="clear" w:color="auto" w:fill="FFFFFF"/>
          <w14:ligatures w14:val="standardContextual"/>
        </w:rPr>
        <w:t xml:space="preserve"> the number of complaints received, </w:t>
      </w:r>
      <w:r w:rsidR="00EE145E">
        <w:rPr>
          <w:rFonts w:ascii="Times New Roman" w:eastAsia="Aptos" w:hAnsi="Times New Roman"/>
          <w:color w:val="000000"/>
          <w:kern w:val="2"/>
          <w:sz w:val="24"/>
          <w:szCs w:val="24"/>
          <w:shd w:val="clear" w:color="auto" w:fill="FFFFFF"/>
          <w14:ligatures w14:val="standardContextual"/>
        </w:rPr>
        <w:t xml:space="preserve">the department’s </w:t>
      </w:r>
      <w:r w:rsidRPr="00972441">
        <w:rPr>
          <w:rFonts w:ascii="Times New Roman" w:eastAsia="Aptos" w:hAnsi="Times New Roman"/>
          <w:color w:val="000000"/>
          <w:kern w:val="2"/>
          <w:sz w:val="24"/>
          <w:szCs w:val="24"/>
          <w:shd w:val="clear" w:color="auto" w:fill="FFFFFF"/>
          <w14:ligatures w14:val="standardContextual"/>
        </w:rPr>
        <w:t xml:space="preserve">investigation results, </w:t>
      </w:r>
      <w:r w:rsidR="00EE145E">
        <w:rPr>
          <w:rFonts w:ascii="Times New Roman" w:eastAsia="Aptos" w:hAnsi="Times New Roman"/>
          <w:color w:val="000000"/>
          <w:kern w:val="2"/>
          <w:sz w:val="24"/>
          <w:szCs w:val="24"/>
          <w:shd w:val="clear" w:color="auto" w:fill="FFFFFF"/>
          <w14:ligatures w14:val="standardContextual"/>
        </w:rPr>
        <w:t xml:space="preserve">the </w:t>
      </w:r>
      <w:r w:rsidRPr="00972441">
        <w:rPr>
          <w:rFonts w:ascii="Times New Roman" w:eastAsia="Aptos" w:hAnsi="Times New Roman"/>
          <w:color w:val="000000"/>
          <w:kern w:val="2"/>
          <w:sz w:val="24"/>
          <w:szCs w:val="24"/>
          <w:shd w:val="clear" w:color="auto" w:fill="FFFFFF"/>
          <w14:ligatures w14:val="standardContextual"/>
        </w:rPr>
        <w:t xml:space="preserve">average time for a complaint to be resolved, </w:t>
      </w:r>
      <w:r w:rsidR="00FF248E">
        <w:rPr>
          <w:rFonts w:ascii="Times New Roman" w:eastAsia="Aptos" w:hAnsi="Times New Roman"/>
          <w:color w:val="000000"/>
          <w:kern w:val="2"/>
          <w:sz w:val="24"/>
          <w:szCs w:val="24"/>
          <w:shd w:val="clear" w:color="auto" w:fill="FFFFFF"/>
          <w14:ligatures w14:val="standardContextual"/>
        </w:rPr>
        <w:t xml:space="preserve">and </w:t>
      </w:r>
      <w:r w:rsidR="00EE145E">
        <w:rPr>
          <w:rFonts w:ascii="Times New Roman" w:eastAsia="Aptos" w:hAnsi="Times New Roman"/>
          <w:color w:val="000000"/>
          <w:kern w:val="2"/>
          <w:sz w:val="24"/>
          <w:szCs w:val="24"/>
          <w:shd w:val="clear" w:color="auto" w:fill="FFFFFF"/>
          <w14:ligatures w14:val="standardContextual"/>
        </w:rPr>
        <w:t xml:space="preserve">the </w:t>
      </w:r>
      <w:r w:rsidRPr="00972441">
        <w:rPr>
          <w:rFonts w:ascii="Times New Roman" w:eastAsia="Aptos" w:hAnsi="Times New Roman"/>
          <w:color w:val="000000"/>
          <w:kern w:val="2"/>
          <w:sz w:val="24"/>
          <w:szCs w:val="24"/>
          <w:shd w:val="clear" w:color="auto" w:fill="FFFFFF"/>
          <w14:ligatures w14:val="standardContextual"/>
        </w:rPr>
        <w:t>education and outreach conducted</w:t>
      </w:r>
      <w:r w:rsidR="00DF3A2F">
        <w:rPr>
          <w:rFonts w:ascii="Times New Roman" w:eastAsia="Aptos" w:hAnsi="Times New Roman"/>
          <w:color w:val="000000"/>
          <w:kern w:val="2"/>
          <w:sz w:val="24"/>
          <w:szCs w:val="24"/>
          <w:shd w:val="clear" w:color="auto" w:fill="FFFFFF"/>
          <w14:ligatures w14:val="standardContextual"/>
        </w:rPr>
        <w:t xml:space="preserve"> by the department</w:t>
      </w:r>
      <w:r w:rsidRPr="00972441">
        <w:rPr>
          <w:rFonts w:ascii="Times New Roman" w:eastAsia="Aptos" w:hAnsi="Times New Roman"/>
          <w:color w:val="000000"/>
          <w:kern w:val="2"/>
          <w:sz w:val="24"/>
          <w:szCs w:val="24"/>
          <w:shd w:val="clear" w:color="auto" w:fill="FFFFFF"/>
          <w14:ligatures w14:val="standardContextual"/>
        </w:rPr>
        <w:t>. DCWP would also publish a notice of rights that covered security guard employers could</w:t>
      </w:r>
      <w:r w:rsidR="000F1A68">
        <w:rPr>
          <w:rFonts w:ascii="Times New Roman" w:eastAsia="Aptos" w:hAnsi="Times New Roman"/>
          <w:color w:val="000000"/>
          <w:kern w:val="2"/>
          <w:sz w:val="24"/>
          <w:szCs w:val="24"/>
          <w:shd w:val="clear" w:color="auto" w:fill="FFFFFF"/>
          <w14:ligatures w14:val="standardContextual"/>
        </w:rPr>
        <w:t xml:space="preserve"> use to</w:t>
      </w:r>
      <w:r w:rsidRPr="00972441">
        <w:rPr>
          <w:rFonts w:ascii="Times New Roman" w:eastAsia="Aptos" w:hAnsi="Times New Roman"/>
          <w:color w:val="000000"/>
          <w:kern w:val="2"/>
          <w:sz w:val="24"/>
          <w:szCs w:val="24"/>
          <w:shd w:val="clear" w:color="auto" w:fill="FFFFFF"/>
          <w14:ligatures w14:val="standardContextual"/>
        </w:rPr>
        <w:t xml:space="preserve"> inform their covered security guard employees of their rights under this chapter.  </w:t>
      </w:r>
    </w:p>
    <w:p w14:paraId="69892AA2" w14:textId="77777777"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require covered security guard </w:t>
      </w:r>
      <w:proofErr w:type="gramStart"/>
      <w:r w:rsidRPr="00972441">
        <w:rPr>
          <w:rFonts w:ascii="Times New Roman" w:eastAsia="Aptos" w:hAnsi="Times New Roman"/>
          <w:color w:val="000000"/>
          <w:kern w:val="2"/>
          <w:sz w:val="24"/>
          <w:szCs w:val="24"/>
          <w:shd w:val="clear" w:color="auto" w:fill="FFFFFF"/>
          <w14:ligatures w14:val="standardContextual"/>
        </w:rPr>
        <w:t>employers</w:t>
      </w:r>
      <w:proofErr w:type="gramEnd"/>
      <w:r w:rsidRPr="00972441">
        <w:rPr>
          <w:rFonts w:ascii="Times New Roman" w:eastAsia="Aptos" w:hAnsi="Times New Roman"/>
          <w:color w:val="000000"/>
          <w:kern w:val="2"/>
          <w:sz w:val="24"/>
          <w:szCs w:val="24"/>
          <w:shd w:val="clear" w:color="auto" w:fill="FFFFFF"/>
          <w14:ligatures w14:val="standardContextual"/>
        </w:rPr>
        <w:t xml:space="preserve"> to retain records documenting compliance with this chapter for a period of 6 years. </w:t>
      </w:r>
    </w:p>
    <w:p w14:paraId="4E356E61" w14:textId="29B4083D"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prohibit retaliation against a covered security guard who exercises their rights </w:t>
      </w:r>
      <w:r w:rsidR="00A62C8F">
        <w:rPr>
          <w:rFonts w:ascii="Times New Roman" w:eastAsia="Aptos" w:hAnsi="Times New Roman"/>
          <w:color w:val="000000"/>
          <w:kern w:val="2"/>
          <w:sz w:val="24"/>
          <w:szCs w:val="24"/>
          <w:shd w:val="clear" w:color="auto" w:fill="FFFFFF"/>
          <w14:ligatures w14:val="standardContextual"/>
        </w:rPr>
        <w:t>under this chapter</w:t>
      </w:r>
      <w:r w:rsidRPr="00972441">
        <w:rPr>
          <w:rFonts w:ascii="Times New Roman" w:eastAsia="Aptos" w:hAnsi="Times New Roman"/>
          <w:color w:val="000000"/>
          <w:kern w:val="2"/>
          <w:sz w:val="24"/>
          <w:szCs w:val="24"/>
          <w:shd w:val="clear" w:color="auto" w:fill="FFFFFF"/>
          <w14:ligatures w14:val="standardContextual"/>
        </w:rPr>
        <w:t xml:space="preserve">. </w:t>
      </w:r>
    </w:p>
    <w:p w14:paraId="72D85DCC" w14:textId="4A18182F" w:rsidR="00972441" w:rsidRPr="00972441" w:rsidRDefault="00972441" w:rsidP="00972441">
      <w:pPr>
        <w:spacing w:after="0" w:line="480" w:lineRule="auto"/>
        <w:ind w:firstLine="720"/>
        <w:jc w:val="both"/>
        <w:rPr>
          <w:rFonts w:ascii="Times New Roman" w:eastAsia="Aptos" w:hAnsi="Times New Roman"/>
          <w:color w:val="000000"/>
          <w:kern w:val="2"/>
          <w:sz w:val="24"/>
          <w:szCs w:val="24"/>
          <w:shd w:val="clear" w:color="auto" w:fill="FFFFFF"/>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set forth enforcement options including those available to the </w:t>
      </w:r>
      <w:proofErr w:type="gramStart"/>
      <w:r w:rsidRPr="00972441">
        <w:rPr>
          <w:rFonts w:ascii="Times New Roman" w:eastAsia="Aptos" w:hAnsi="Times New Roman"/>
          <w:color w:val="000000"/>
          <w:kern w:val="2"/>
          <w:sz w:val="24"/>
          <w:szCs w:val="24"/>
          <w:shd w:val="clear" w:color="auto" w:fill="FFFFFF"/>
          <w14:ligatures w14:val="standardContextual"/>
        </w:rPr>
        <w:t>City</w:t>
      </w:r>
      <w:proofErr w:type="gramEnd"/>
      <w:r w:rsidRPr="00972441">
        <w:rPr>
          <w:rFonts w:ascii="Times New Roman" w:eastAsia="Aptos" w:hAnsi="Times New Roman"/>
          <w:color w:val="000000"/>
          <w:kern w:val="2"/>
          <w:sz w:val="24"/>
          <w:szCs w:val="24"/>
          <w:shd w:val="clear" w:color="auto" w:fill="FFFFFF"/>
          <w14:ligatures w14:val="standardContextual"/>
        </w:rPr>
        <w:t xml:space="preserve"> and to workers. A complainant could file a complaint within 2 years of when they knew or should have known of a violation of this chapter. DCWP could also conduct their own investigation into a violation of this chapter. DCWP could impose civil penalties for violations of this chapter ranging from $500 to $1,000. </w:t>
      </w:r>
    </w:p>
    <w:p w14:paraId="71933DCA" w14:textId="77777777" w:rsidR="00972441" w:rsidRPr="00972441" w:rsidRDefault="00972441" w:rsidP="00972441">
      <w:pPr>
        <w:spacing w:after="0" w:line="480" w:lineRule="auto"/>
        <w:ind w:firstLine="720"/>
        <w:jc w:val="both"/>
        <w:rPr>
          <w:rFonts w:ascii="Times New Roman" w:eastAsia="Aptos" w:hAnsi="Times New Roman"/>
          <w:kern w:val="2"/>
          <w:sz w:val="24"/>
          <w:szCs w:val="24"/>
          <w14:ligatures w14:val="standardContextual"/>
        </w:rPr>
      </w:pPr>
      <w:r w:rsidRPr="00972441">
        <w:rPr>
          <w:rFonts w:ascii="Times New Roman" w:eastAsia="Aptos" w:hAnsi="Times New Roman"/>
          <w:color w:val="000000"/>
          <w:kern w:val="2"/>
          <w:sz w:val="24"/>
          <w:szCs w:val="24"/>
          <w:shd w:val="clear" w:color="auto" w:fill="FFFFFF"/>
          <w14:ligatures w14:val="standardContextual"/>
        </w:rPr>
        <w:t xml:space="preserve">This bill would set forth remedies for covered security guards including compensatory damages and orders directing compliance with the requirements of this chapter. Remedies related to violations of the retaliation provision could include </w:t>
      </w:r>
      <w:proofErr w:type="gramStart"/>
      <w:r w:rsidRPr="00972441">
        <w:rPr>
          <w:rFonts w:ascii="Times New Roman" w:eastAsia="Aptos" w:hAnsi="Times New Roman"/>
          <w:color w:val="000000"/>
          <w:kern w:val="2"/>
          <w:sz w:val="24"/>
          <w:szCs w:val="24"/>
          <w:shd w:val="clear" w:color="auto" w:fill="FFFFFF"/>
          <w14:ligatures w14:val="standardContextual"/>
        </w:rPr>
        <w:t>rescission</w:t>
      </w:r>
      <w:proofErr w:type="gramEnd"/>
      <w:r w:rsidRPr="00972441">
        <w:rPr>
          <w:rFonts w:ascii="Times New Roman" w:eastAsia="Aptos" w:hAnsi="Times New Roman"/>
          <w:color w:val="000000"/>
          <w:kern w:val="2"/>
          <w:sz w:val="24"/>
          <w:szCs w:val="24"/>
          <w:shd w:val="clear" w:color="auto" w:fill="FFFFFF"/>
          <w14:ligatures w14:val="standardContextual"/>
        </w:rPr>
        <w:t xml:space="preserve"> of discipline, reinstatement, back pay and monetary relief. </w:t>
      </w:r>
    </w:p>
    <w:p w14:paraId="38B650C4" w14:textId="5FB773D9"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lastRenderedPageBreak/>
        <w:tab/>
        <w:t xml:space="preserve">This bill would not apply to workers already covered by an agreement that is subject to the </w:t>
      </w:r>
      <w:r w:rsidR="007D1669">
        <w:rPr>
          <w:rFonts w:ascii="Times New Roman" w:eastAsia="Aptos" w:hAnsi="Times New Roman"/>
          <w:kern w:val="2"/>
          <w:sz w:val="24"/>
          <w:szCs w:val="24"/>
          <w14:ligatures w14:val="standardContextual"/>
        </w:rPr>
        <w:t xml:space="preserve">applicable building service employee </w:t>
      </w:r>
      <w:r w:rsidRPr="00972441">
        <w:rPr>
          <w:rFonts w:ascii="Times New Roman" w:eastAsia="Aptos" w:hAnsi="Times New Roman"/>
          <w:kern w:val="2"/>
          <w:sz w:val="24"/>
          <w:szCs w:val="24"/>
          <w14:ligatures w14:val="standardContextual"/>
        </w:rPr>
        <w:t xml:space="preserve">prevailing wage, nor would it apply to workers covered by a collective bargaining agreement that waives the provisions in this </w:t>
      </w:r>
      <w:proofErr w:type="gramStart"/>
      <w:r w:rsidRPr="00972441">
        <w:rPr>
          <w:rFonts w:ascii="Times New Roman" w:eastAsia="Aptos" w:hAnsi="Times New Roman"/>
          <w:kern w:val="2"/>
          <w:sz w:val="24"/>
          <w:szCs w:val="24"/>
          <w14:ligatures w14:val="standardContextual"/>
        </w:rPr>
        <w:t>chapter</w:t>
      </w:r>
      <w:r w:rsidR="00B20FD8">
        <w:rPr>
          <w:rFonts w:ascii="Times New Roman" w:eastAsia="Aptos" w:hAnsi="Times New Roman"/>
          <w:kern w:val="2"/>
          <w:sz w:val="24"/>
          <w:szCs w:val="24"/>
          <w14:ligatures w14:val="standardContextual"/>
        </w:rPr>
        <w:t>,</w:t>
      </w:r>
      <w:r w:rsidRPr="00972441">
        <w:rPr>
          <w:rFonts w:ascii="Times New Roman" w:eastAsia="Aptos" w:hAnsi="Times New Roman"/>
          <w:kern w:val="2"/>
          <w:sz w:val="24"/>
          <w:szCs w:val="24"/>
          <w14:ligatures w14:val="standardContextual"/>
        </w:rPr>
        <w:t xml:space="preserve"> and</w:t>
      </w:r>
      <w:proofErr w:type="gramEnd"/>
      <w:r w:rsidRPr="00972441">
        <w:rPr>
          <w:rFonts w:ascii="Times New Roman" w:eastAsia="Aptos" w:hAnsi="Times New Roman"/>
          <w:kern w:val="2"/>
          <w:sz w:val="24"/>
          <w:szCs w:val="24"/>
          <w14:ligatures w14:val="standardContextual"/>
        </w:rPr>
        <w:t xml:space="preserve"> provides comparable </w:t>
      </w:r>
      <w:r w:rsidR="00367B18">
        <w:rPr>
          <w:rFonts w:ascii="Times New Roman" w:eastAsia="Aptos" w:hAnsi="Times New Roman"/>
          <w:kern w:val="2"/>
          <w:sz w:val="24"/>
          <w:szCs w:val="24"/>
          <w14:ligatures w14:val="standardContextual"/>
        </w:rPr>
        <w:t xml:space="preserve">wages and </w:t>
      </w:r>
      <w:r w:rsidRPr="00972441">
        <w:rPr>
          <w:rFonts w:ascii="Times New Roman" w:eastAsia="Aptos" w:hAnsi="Times New Roman"/>
          <w:kern w:val="2"/>
          <w:sz w:val="24"/>
          <w:szCs w:val="24"/>
          <w14:ligatures w14:val="standardContextual"/>
        </w:rPr>
        <w:t xml:space="preserve">benefits. This bill would only apply to workers already covered by a designated agreement on the date that such agreement expires. A designated agreement would be one that is entered into on or before October 30, 2025, and imposes requirements on a security guard employer relating to wages, supplemental benefits or paid time off. </w:t>
      </w:r>
    </w:p>
    <w:p w14:paraId="454535B6" w14:textId="6877E025"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Since introduction, this bill has been amended </w:t>
      </w:r>
      <w:r w:rsidR="00B20FD8">
        <w:rPr>
          <w:rFonts w:ascii="Times New Roman" w:eastAsia="Aptos" w:hAnsi="Times New Roman"/>
          <w:kern w:val="2"/>
          <w:sz w:val="24"/>
          <w:szCs w:val="24"/>
          <w14:ligatures w14:val="standardContextual"/>
        </w:rPr>
        <w:t>a</w:t>
      </w:r>
      <w:r w:rsidRPr="00972441">
        <w:rPr>
          <w:rFonts w:ascii="Times New Roman" w:eastAsia="Aptos" w:hAnsi="Times New Roman"/>
          <w:kern w:val="2"/>
          <w:sz w:val="24"/>
          <w:szCs w:val="24"/>
          <w14:ligatures w14:val="standardContextual"/>
        </w:rPr>
        <w:t>s</w:t>
      </w:r>
      <w:r w:rsidR="00B20FD8">
        <w:rPr>
          <w:rFonts w:ascii="Times New Roman" w:eastAsia="Aptos" w:hAnsi="Times New Roman"/>
          <w:kern w:val="2"/>
          <w:sz w:val="24"/>
          <w:szCs w:val="24"/>
          <w14:ligatures w14:val="standardContextual"/>
        </w:rPr>
        <w:t xml:space="preserve"> follows</w:t>
      </w:r>
      <w:r w:rsidRPr="00972441">
        <w:rPr>
          <w:rFonts w:ascii="Times New Roman" w:eastAsia="Aptos" w:hAnsi="Times New Roman"/>
          <w:kern w:val="2"/>
          <w:sz w:val="24"/>
          <w:szCs w:val="24"/>
          <w14:ligatures w14:val="standardContextual"/>
        </w:rPr>
        <w:t xml:space="preserve">: (1) adds definitions for “paid time off,” “supplemental benefit,” and “wage;” (2) removes the requirement that DCWP </w:t>
      </w:r>
      <w:r w:rsidR="00E77A4C">
        <w:rPr>
          <w:rFonts w:ascii="Times New Roman" w:eastAsia="Aptos" w:hAnsi="Times New Roman"/>
          <w:kern w:val="2"/>
          <w:sz w:val="24"/>
          <w:szCs w:val="24"/>
          <w14:ligatures w14:val="standardContextual"/>
        </w:rPr>
        <w:t>determine security guard minimum</w:t>
      </w:r>
      <w:r w:rsidRPr="00972441">
        <w:rPr>
          <w:rFonts w:ascii="Times New Roman" w:eastAsia="Aptos" w:hAnsi="Times New Roman"/>
          <w:kern w:val="2"/>
          <w:sz w:val="24"/>
          <w:szCs w:val="24"/>
          <w14:ligatures w14:val="standardContextual"/>
        </w:rPr>
        <w:t xml:space="preserve"> wage</w:t>
      </w:r>
      <w:r w:rsidR="00E77A4C">
        <w:rPr>
          <w:rFonts w:ascii="Times New Roman" w:eastAsia="Aptos" w:hAnsi="Times New Roman"/>
          <w:kern w:val="2"/>
          <w:sz w:val="24"/>
          <w:szCs w:val="24"/>
          <w14:ligatures w14:val="standardContextual"/>
        </w:rPr>
        <w:t>, paid time off and supplemental benefits</w:t>
      </w:r>
      <w:r w:rsidRPr="00972441">
        <w:rPr>
          <w:rFonts w:ascii="Times New Roman" w:eastAsia="Aptos" w:hAnsi="Times New Roman"/>
          <w:kern w:val="2"/>
          <w:sz w:val="24"/>
          <w:szCs w:val="24"/>
          <w14:ligatures w14:val="standardContextual"/>
        </w:rPr>
        <w:t>, and</w:t>
      </w:r>
      <w:r w:rsidR="00E77A4C">
        <w:rPr>
          <w:rFonts w:ascii="Times New Roman" w:eastAsia="Aptos" w:hAnsi="Times New Roman"/>
          <w:kern w:val="2"/>
          <w:sz w:val="24"/>
          <w:szCs w:val="24"/>
          <w14:ligatures w14:val="standardContextual"/>
        </w:rPr>
        <w:t xml:space="preserve"> instead</w:t>
      </w:r>
      <w:r w:rsidRPr="00972441">
        <w:rPr>
          <w:rFonts w:ascii="Times New Roman" w:eastAsia="Aptos" w:hAnsi="Times New Roman"/>
          <w:kern w:val="2"/>
          <w:sz w:val="24"/>
          <w:szCs w:val="24"/>
          <w14:ligatures w14:val="standardContextual"/>
        </w:rPr>
        <w:t xml:space="preserve"> </w:t>
      </w:r>
      <w:r w:rsidR="00A9665F">
        <w:rPr>
          <w:rFonts w:ascii="Times New Roman" w:eastAsia="Aptos" w:hAnsi="Times New Roman"/>
          <w:kern w:val="2"/>
          <w:sz w:val="24"/>
          <w:szCs w:val="24"/>
          <w14:ligatures w14:val="standardContextual"/>
        </w:rPr>
        <w:t>imposes</w:t>
      </w:r>
      <w:r w:rsidRPr="00972441">
        <w:rPr>
          <w:rFonts w:ascii="Times New Roman" w:eastAsia="Aptos" w:hAnsi="Times New Roman"/>
          <w:kern w:val="2"/>
          <w:sz w:val="24"/>
          <w:szCs w:val="24"/>
          <w14:ligatures w14:val="standardContextual"/>
        </w:rPr>
        <w:t xml:space="preserve"> the minimum wage, paid </w:t>
      </w:r>
      <w:r w:rsidR="002D580A">
        <w:rPr>
          <w:rFonts w:ascii="Times New Roman" w:eastAsia="Aptos" w:hAnsi="Times New Roman"/>
          <w:kern w:val="2"/>
          <w:sz w:val="24"/>
          <w:szCs w:val="24"/>
          <w14:ligatures w14:val="standardContextual"/>
        </w:rPr>
        <w:t>time off</w:t>
      </w:r>
      <w:r w:rsidRPr="00972441">
        <w:rPr>
          <w:rFonts w:ascii="Times New Roman" w:eastAsia="Aptos" w:hAnsi="Times New Roman"/>
          <w:kern w:val="2"/>
          <w:sz w:val="24"/>
          <w:szCs w:val="24"/>
          <w14:ligatures w14:val="standardContextual"/>
        </w:rPr>
        <w:t xml:space="preserve"> and supplemental benefits </w:t>
      </w:r>
      <w:r w:rsidR="00924BC2">
        <w:rPr>
          <w:rFonts w:ascii="Times New Roman" w:eastAsia="Aptos" w:hAnsi="Times New Roman"/>
          <w:kern w:val="2"/>
          <w:sz w:val="24"/>
          <w:szCs w:val="24"/>
          <w14:ligatures w14:val="standardContextual"/>
        </w:rPr>
        <w:t xml:space="preserve">that </w:t>
      </w:r>
      <w:r w:rsidRPr="00972441">
        <w:rPr>
          <w:rFonts w:ascii="Times New Roman" w:eastAsia="Aptos" w:hAnsi="Times New Roman"/>
          <w:kern w:val="2"/>
          <w:sz w:val="24"/>
          <w:szCs w:val="24"/>
          <w14:ligatures w14:val="standardContextual"/>
        </w:rPr>
        <w:t>meet or exceed those of private security guards engaged on New York City public building service contracts in excess of $1,500</w:t>
      </w:r>
      <w:r w:rsidR="00B20167">
        <w:rPr>
          <w:rFonts w:ascii="Times New Roman" w:eastAsia="Aptos" w:hAnsi="Times New Roman"/>
          <w:kern w:val="2"/>
          <w:sz w:val="24"/>
          <w:szCs w:val="24"/>
          <w14:ligatures w14:val="standardContextual"/>
        </w:rPr>
        <w:t>, which are subject to prevailing wage</w:t>
      </w:r>
      <w:r w:rsidR="00F152BC">
        <w:rPr>
          <w:rFonts w:ascii="Times New Roman" w:eastAsia="Aptos" w:hAnsi="Times New Roman"/>
          <w:kern w:val="2"/>
          <w:sz w:val="24"/>
          <w:szCs w:val="24"/>
          <w14:ligatures w14:val="standardContextual"/>
        </w:rPr>
        <w:t xml:space="preserve"> rates</w:t>
      </w:r>
      <w:r w:rsidRPr="00972441">
        <w:rPr>
          <w:rFonts w:ascii="Times New Roman" w:eastAsia="Aptos" w:hAnsi="Times New Roman"/>
          <w:kern w:val="2"/>
          <w:sz w:val="24"/>
          <w:szCs w:val="24"/>
          <w14:ligatures w14:val="standardContextual"/>
        </w:rPr>
        <w:t xml:space="preserve">; (3) removes training requirements for covered security guards; (4) removes the division of security guards and the security guard advocate; (5) excludes certain collective bargaining agreements; and (6) extends the effective date to 180 days provided that designated agreements would apply on their date of termination. </w:t>
      </w:r>
    </w:p>
    <w:p w14:paraId="0B2A5E0A" w14:textId="77777777" w:rsidR="00972441" w:rsidRPr="00972441" w:rsidRDefault="00972441" w:rsidP="00972441">
      <w:pPr>
        <w:spacing w:after="0" w:line="480" w:lineRule="auto"/>
        <w:jc w:val="both"/>
        <w:rPr>
          <w:rFonts w:ascii="Times New Roman" w:eastAsia="Aptos" w:hAnsi="Times New Roman"/>
          <w:kern w:val="2"/>
          <w:sz w:val="24"/>
          <w:szCs w:val="24"/>
          <w14:ligatures w14:val="standardContextual"/>
        </w:rPr>
      </w:pPr>
      <w:r w:rsidRPr="00972441">
        <w:rPr>
          <w:rFonts w:ascii="Times New Roman" w:eastAsia="Aptos" w:hAnsi="Times New Roman"/>
          <w:kern w:val="2"/>
          <w:sz w:val="24"/>
          <w:szCs w:val="24"/>
          <w14:ligatures w14:val="standardContextual"/>
        </w:rPr>
        <w:tab/>
        <w:t xml:space="preserve">This bill would take effect 180 days after it becomes law. </w:t>
      </w:r>
    </w:p>
    <w:p w14:paraId="79B9E030" w14:textId="77777777" w:rsidR="00912E6D" w:rsidRDefault="00912E6D" w:rsidP="00912E6D">
      <w:pPr>
        <w:pStyle w:val="ListParagraph"/>
        <w:spacing w:after="0" w:line="240" w:lineRule="auto"/>
        <w:ind w:left="1440"/>
        <w:jc w:val="both"/>
        <w:rPr>
          <w:rFonts w:ascii="Times New Roman" w:eastAsia="MS Mincho" w:hAnsi="Times New Roman"/>
          <w:b/>
          <w:bCs/>
          <w:spacing w:val="-3"/>
        </w:rPr>
      </w:pPr>
    </w:p>
    <w:p w14:paraId="3AA8888A" w14:textId="16D7A2C8" w:rsidR="00867558" w:rsidRDefault="00867558" w:rsidP="002A4F79">
      <w:pPr>
        <w:pStyle w:val="ListParagraph"/>
        <w:numPr>
          <w:ilvl w:val="0"/>
          <w:numId w:val="1"/>
        </w:numPr>
        <w:spacing w:after="0" w:line="240" w:lineRule="auto"/>
        <w:jc w:val="both"/>
        <w:rPr>
          <w:rFonts w:ascii="Times New Roman" w:eastAsia="MS Mincho" w:hAnsi="Times New Roman"/>
          <w:b/>
          <w:bCs/>
          <w:spacing w:val="-3"/>
        </w:rPr>
      </w:pPr>
      <w:r>
        <w:rPr>
          <w:rFonts w:ascii="Times New Roman" w:eastAsia="MS Mincho" w:hAnsi="Times New Roman"/>
          <w:b/>
          <w:bCs/>
          <w:spacing w:val="-3"/>
        </w:rPr>
        <w:t xml:space="preserve">CONCLUSION </w:t>
      </w:r>
    </w:p>
    <w:p w14:paraId="51AEB93E" w14:textId="77777777" w:rsidR="00867558" w:rsidRPr="00EE6693" w:rsidRDefault="00867558" w:rsidP="00867558">
      <w:pPr>
        <w:pStyle w:val="ListParagraph"/>
        <w:spacing w:after="0" w:line="240" w:lineRule="auto"/>
        <w:ind w:left="1080"/>
        <w:jc w:val="both"/>
        <w:rPr>
          <w:rFonts w:ascii="Times New Roman" w:eastAsia="MS Mincho" w:hAnsi="Times New Roman"/>
          <w:b/>
          <w:bCs/>
          <w:spacing w:val="-3"/>
        </w:rPr>
      </w:pPr>
    </w:p>
    <w:p w14:paraId="5CADA25C" w14:textId="1721A84B" w:rsidR="00912E6D" w:rsidRPr="00924BC2" w:rsidRDefault="00A82986" w:rsidP="00AE7985">
      <w:pPr>
        <w:spacing w:line="480" w:lineRule="auto"/>
        <w:ind w:firstLine="720"/>
        <w:rPr>
          <w:rFonts w:ascii="Times New Roman" w:eastAsia="Aptos" w:hAnsi="Times New Roman"/>
          <w:kern w:val="2"/>
          <w:sz w:val="24"/>
          <w:szCs w:val="24"/>
          <w14:ligatures w14:val="standardContextual"/>
        </w:rPr>
      </w:pPr>
      <w:r>
        <w:rPr>
          <w:rFonts w:ascii="Times New Roman" w:eastAsia="Aptos" w:hAnsi="Times New Roman"/>
          <w:kern w:val="2"/>
          <w:sz w:val="24"/>
          <w:szCs w:val="24"/>
          <w14:ligatures w14:val="standardContextual"/>
        </w:rPr>
        <w:t xml:space="preserve">The Committee </w:t>
      </w:r>
      <w:r w:rsidR="00AF0E10">
        <w:rPr>
          <w:rFonts w:ascii="Times New Roman" w:eastAsia="Aptos" w:hAnsi="Times New Roman"/>
          <w:kern w:val="2"/>
          <w:sz w:val="24"/>
          <w:szCs w:val="24"/>
          <w14:ligatures w14:val="standardContextual"/>
        </w:rPr>
        <w:t>conducted</w:t>
      </w:r>
      <w:r>
        <w:rPr>
          <w:rFonts w:ascii="Times New Roman" w:eastAsia="Aptos" w:hAnsi="Times New Roman"/>
          <w:kern w:val="2"/>
          <w:sz w:val="24"/>
          <w:szCs w:val="24"/>
          <w14:ligatures w14:val="standardContextual"/>
        </w:rPr>
        <w:t xml:space="preserve"> robust hearings on these bills and resolution </w:t>
      </w:r>
      <w:r w:rsidR="000153D1">
        <w:rPr>
          <w:rFonts w:ascii="Times New Roman" w:eastAsia="Aptos" w:hAnsi="Times New Roman"/>
          <w:kern w:val="2"/>
          <w:sz w:val="24"/>
          <w:szCs w:val="24"/>
          <w14:ligatures w14:val="standardContextual"/>
        </w:rPr>
        <w:t xml:space="preserve">and </w:t>
      </w:r>
      <w:r w:rsidR="00E314DC">
        <w:rPr>
          <w:rFonts w:ascii="Times New Roman" w:eastAsia="Aptos" w:hAnsi="Times New Roman"/>
          <w:kern w:val="2"/>
          <w:sz w:val="24"/>
          <w:szCs w:val="24"/>
          <w14:ligatures w14:val="standardContextual"/>
        </w:rPr>
        <w:t xml:space="preserve">the Council </w:t>
      </w:r>
      <w:r w:rsidR="00D04875">
        <w:rPr>
          <w:rFonts w:ascii="Times New Roman" w:eastAsia="Aptos" w:hAnsi="Times New Roman"/>
          <w:kern w:val="2"/>
          <w:sz w:val="24"/>
          <w:szCs w:val="24"/>
          <w14:ligatures w14:val="standardContextual"/>
        </w:rPr>
        <w:t>extensively engaged stakeholders to amend the legislation</w:t>
      </w:r>
      <w:r w:rsidR="00AE7985">
        <w:rPr>
          <w:rFonts w:ascii="Times New Roman" w:eastAsia="Aptos" w:hAnsi="Times New Roman"/>
          <w:kern w:val="2"/>
          <w:sz w:val="24"/>
          <w:szCs w:val="24"/>
          <w14:ligatures w14:val="standardContextual"/>
        </w:rPr>
        <w:t xml:space="preserve"> </w:t>
      </w:r>
      <w:r w:rsidR="000153D1">
        <w:rPr>
          <w:rFonts w:ascii="Times New Roman" w:eastAsia="Aptos" w:hAnsi="Times New Roman"/>
          <w:kern w:val="2"/>
          <w:sz w:val="24"/>
          <w:szCs w:val="24"/>
          <w14:ligatures w14:val="standardContextual"/>
        </w:rPr>
        <w:t xml:space="preserve">prior </w:t>
      </w:r>
      <w:r w:rsidR="00AE7985">
        <w:rPr>
          <w:rFonts w:ascii="Times New Roman" w:eastAsia="Aptos" w:hAnsi="Times New Roman"/>
          <w:kern w:val="2"/>
          <w:sz w:val="24"/>
          <w:szCs w:val="24"/>
          <w14:ligatures w14:val="standardContextual"/>
        </w:rPr>
        <w:t>to</w:t>
      </w:r>
      <w:r w:rsidR="000153D1">
        <w:rPr>
          <w:rFonts w:ascii="Times New Roman" w:eastAsia="Aptos" w:hAnsi="Times New Roman"/>
          <w:kern w:val="2"/>
          <w:sz w:val="24"/>
          <w:szCs w:val="24"/>
          <w14:ligatures w14:val="standardContextual"/>
        </w:rPr>
        <w:t xml:space="preserve"> holding</w:t>
      </w:r>
      <w:r w:rsidR="00AE7985">
        <w:rPr>
          <w:rFonts w:ascii="Times New Roman" w:eastAsia="Aptos" w:hAnsi="Times New Roman"/>
          <w:kern w:val="2"/>
          <w:sz w:val="24"/>
          <w:szCs w:val="24"/>
          <w14:ligatures w14:val="standardContextual"/>
        </w:rPr>
        <w:t xml:space="preserve"> a vote on these matters. </w:t>
      </w:r>
    </w:p>
    <w:p w14:paraId="3DB8A46C" w14:textId="77777777" w:rsidR="00912E6D" w:rsidRDefault="00912E6D" w:rsidP="00B05D12"/>
    <w:p w14:paraId="0D3CB172" w14:textId="77777777" w:rsidR="00CD6444" w:rsidRDefault="00CD6444" w:rsidP="00B05D12"/>
    <w:p w14:paraId="237D5812" w14:textId="77777777" w:rsidR="00CD6444" w:rsidRDefault="00CD6444" w:rsidP="00B05D12"/>
    <w:p w14:paraId="4AE8F192" w14:textId="77777777" w:rsidR="00CD6444" w:rsidRDefault="00CD6444" w:rsidP="00B05D12"/>
    <w:p w14:paraId="36F2A327" w14:textId="77777777" w:rsidR="00CD6444" w:rsidRDefault="00CD6444" w:rsidP="00B05D12"/>
    <w:p w14:paraId="1C75B3E2" w14:textId="77777777" w:rsidR="00CD6444" w:rsidRDefault="00CD6444" w:rsidP="00B05D12"/>
    <w:p w14:paraId="48D180A1" w14:textId="77777777" w:rsidR="00CD6444" w:rsidRDefault="00CD6444" w:rsidP="00B05D12"/>
    <w:p w14:paraId="4CE0F758" w14:textId="77777777" w:rsidR="00CD6444" w:rsidRDefault="00CD6444" w:rsidP="00B05D12"/>
    <w:p w14:paraId="0ACC23B5" w14:textId="77777777" w:rsidR="00CD6444" w:rsidRDefault="00CD6444" w:rsidP="00B05D12"/>
    <w:p w14:paraId="2CCA6474" w14:textId="77777777" w:rsidR="00CD6444" w:rsidRDefault="00CD6444" w:rsidP="00B05D12"/>
    <w:p w14:paraId="24EB9F03" w14:textId="77777777" w:rsidR="00CD6444" w:rsidRDefault="00CD6444" w:rsidP="00B05D12"/>
    <w:p w14:paraId="788807F6" w14:textId="77777777" w:rsidR="00CD6444" w:rsidRDefault="00CD6444" w:rsidP="00B05D12"/>
    <w:p w14:paraId="29D31423" w14:textId="77777777" w:rsidR="00CD6444" w:rsidRDefault="00CD6444" w:rsidP="00B05D12"/>
    <w:p w14:paraId="344E589A" w14:textId="77777777" w:rsidR="00CD6444" w:rsidRDefault="00CD6444" w:rsidP="00B05D12"/>
    <w:p w14:paraId="5AC799E0" w14:textId="77777777" w:rsidR="00CD6444" w:rsidRDefault="00CD6444" w:rsidP="00B05D12"/>
    <w:p w14:paraId="5CCB03A4" w14:textId="77777777" w:rsidR="00CD6444" w:rsidRDefault="00CD6444" w:rsidP="00B05D12"/>
    <w:p w14:paraId="1CFB06B9" w14:textId="77777777" w:rsidR="000418B5" w:rsidRDefault="000418B5" w:rsidP="008D1DFD">
      <w:pPr>
        <w:spacing w:after="0" w:line="240" w:lineRule="auto"/>
        <w:jc w:val="center"/>
        <w:rPr>
          <w:rFonts w:ascii="Times New Roman" w:eastAsia="Times New Roman" w:hAnsi="Times New Roman"/>
          <w:sz w:val="24"/>
          <w:szCs w:val="24"/>
        </w:rPr>
      </w:pPr>
    </w:p>
    <w:p w14:paraId="4B96BF9F" w14:textId="77777777" w:rsidR="000418B5" w:rsidRDefault="000418B5" w:rsidP="008D1DFD">
      <w:pPr>
        <w:spacing w:after="0" w:line="240" w:lineRule="auto"/>
        <w:jc w:val="center"/>
        <w:rPr>
          <w:rFonts w:ascii="Times New Roman" w:eastAsia="Times New Roman" w:hAnsi="Times New Roman"/>
          <w:sz w:val="24"/>
          <w:szCs w:val="24"/>
        </w:rPr>
      </w:pPr>
    </w:p>
    <w:p w14:paraId="178E26CB" w14:textId="77777777" w:rsidR="000418B5" w:rsidRDefault="000418B5" w:rsidP="008D1DFD">
      <w:pPr>
        <w:spacing w:after="0" w:line="240" w:lineRule="auto"/>
        <w:jc w:val="center"/>
        <w:rPr>
          <w:rFonts w:ascii="Times New Roman" w:eastAsia="Times New Roman" w:hAnsi="Times New Roman"/>
          <w:sz w:val="24"/>
          <w:szCs w:val="24"/>
        </w:rPr>
      </w:pPr>
    </w:p>
    <w:p w14:paraId="786CC904" w14:textId="77777777" w:rsidR="000418B5" w:rsidRDefault="000418B5" w:rsidP="008D1DFD">
      <w:pPr>
        <w:spacing w:after="0" w:line="240" w:lineRule="auto"/>
        <w:jc w:val="center"/>
        <w:rPr>
          <w:rFonts w:ascii="Times New Roman" w:eastAsia="Times New Roman" w:hAnsi="Times New Roman"/>
          <w:sz w:val="24"/>
          <w:szCs w:val="24"/>
        </w:rPr>
      </w:pPr>
    </w:p>
    <w:p w14:paraId="7E457E4A" w14:textId="77777777" w:rsidR="000418B5" w:rsidRDefault="000418B5" w:rsidP="008D1DFD">
      <w:pPr>
        <w:spacing w:after="0" w:line="240" w:lineRule="auto"/>
        <w:jc w:val="center"/>
        <w:rPr>
          <w:rFonts w:ascii="Times New Roman" w:eastAsia="Times New Roman" w:hAnsi="Times New Roman"/>
          <w:sz w:val="24"/>
          <w:szCs w:val="24"/>
        </w:rPr>
      </w:pPr>
    </w:p>
    <w:p w14:paraId="588A04E4" w14:textId="77777777" w:rsidR="000418B5" w:rsidRDefault="000418B5" w:rsidP="008D1DFD">
      <w:pPr>
        <w:spacing w:after="0" w:line="240" w:lineRule="auto"/>
        <w:jc w:val="center"/>
        <w:rPr>
          <w:rFonts w:ascii="Times New Roman" w:eastAsia="Times New Roman" w:hAnsi="Times New Roman"/>
          <w:sz w:val="24"/>
          <w:szCs w:val="24"/>
        </w:rPr>
      </w:pPr>
    </w:p>
    <w:p w14:paraId="79861921" w14:textId="77777777" w:rsidR="000418B5" w:rsidRDefault="000418B5" w:rsidP="008D1DFD">
      <w:pPr>
        <w:spacing w:after="0" w:line="240" w:lineRule="auto"/>
        <w:jc w:val="center"/>
        <w:rPr>
          <w:rFonts w:ascii="Times New Roman" w:eastAsia="Times New Roman" w:hAnsi="Times New Roman"/>
          <w:sz w:val="24"/>
          <w:szCs w:val="24"/>
        </w:rPr>
      </w:pPr>
    </w:p>
    <w:p w14:paraId="2DEA419D" w14:textId="77777777" w:rsidR="000418B5" w:rsidRDefault="000418B5" w:rsidP="008D1DFD">
      <w:pPr>
        <w:spacing w:after="0" w:line="240" w:lineRule="auto"/>
        <w:jc w:val="center"/>
        <w:rPr>
          <w:rFonts w:ascii="Times New Roman" w:eastAsia="Times New Roman" w:hAnsi="Times New Roman"/>
          <w:sz w:val="24"/>
          <w:szCs w:val="24"/>
        </w:rPr>
      </w:pPr>
    </w:p>
    <w:p w14:paraId="59088925" w14:textId="77777777" w:rsidR="000418B5" w:rsidRDefault="000418B5" w:rsidP="008D1DFD">
      <w:pPr>
        <w:spacing w:after="0" w:line="240" w:lineRule="auto"/>
        <w:jc w:val="center"/>
        <w:rPr>
          <w:rFonts w:ascii="Times New Roman" w:eastAsia="Times New Roman" w:hAnsi="Times New Roman"/>
          <w:sz w:val="24"/>
          <w:szCs w:val="24"/>
        </w:rPr>
      </w:pPr>
    </w:p>
    <w:p w14:paraId="1885B35B" w14:textId="77777777" w:rsidR="000418B5" w:rsidRDefault="000418B5" w:rsidP="008D1DFD">
      <w:pPr>
        <w:spacing w:after="0" w:line="240" w:lineRule="auto"/>
        <w:jc w:val="center"/>
        <w:rPr>
          <w:rFonts w:ascii="Times New Roman" w:eastAsia="Times New Roman" w:hAnsi="Times New Roman"/>
          <w:sz w:val="24"/>
          <w:szCs w:val="24"/>
        </w:rPr>
      </w:pPr>
    </w:p>
    <w:p w14:paraId="613DAF6E" w14:textId="77777777" w:rsidR="000418B5" w:rsidRDefault="000418B5" w:rsidP="008D1DFD">
      <w:pPr>
        <w:spacing w:after="0" w:line="240" w:lineRule="auto"/>
        <w:jc w:val="center"/>
        <w:rPr>
          <w:rFonts w:ascii="Times New Roman" w:eastAsia="Times New Roman" w:hAnsi="Times New Roman"/>
          <w:sz w:val="24"/>
          <w:szCs w:val="24"/>
        </w:rPr>
      </w:pPr>
    </w:p>
    <w:p w14:paraId="45352515" w14:textId="77777777" w:rsidR="000418B5" w:rsidRDefault="000418B5" w:rsidP="008D1DFD">
      <w:pPr>
        <w:spacing w:after="0" w:line="240" w:lineRule="auto"/>
        <w:jc w:val="center"/>
        <w:rPr>
          <w:rFonts w:ascii="Times New Roman" w:eastAsia="Times New Roman" w:hAnsi="Times New Roman"/>
          <w:sz w:val="24"/>
          <w:szCs w:val="24"/>
        </w:rPr>
      </w:pPr>
    </w:p>
    <w:p w14:paraId="7E9F9414" w14:textId="77777777" w:rsidR="000418B5" w:rsidRDefault="000418B5" w:rsidP="008D1DFD">
      <w:pPr>
        <w:spacing w:after="0" w:line="240" w:lineRule="auto"/>
        <w:jc w:val="center"/>
        <w:rPr>
          <w:rFonts w:ascii="Times New Roman" w:eastAsia="Times New Roman" w:hAnsi="Times New Roman"/>
          <w:sz w:val="24"/>
          <w:szCs w:val="24"/>
        </w:rPr>
      </w:pPr>
    </w:p>
    <w:p w14:paraId="796B6C56" w14:textId="77777777" w:rsidR="000418B5" w:rsidRDefault="000418B5" w:rsidP="008D1DFD">
      <w:pPr>
        <w:spacing w:after="0" w:line="240" w:lineRule="auto"/>
        <w:jc w:val="center"/>
        <w:rPr>
          <w:rFonts w:ascii="Times New Roman" w:eastAsia="Times New Roman" w:hAnsi="Times New Roman"/>
          <w:sz w:val="24"/>
          <w:szCs w:val="24"/>
        </w:rPr>
      </w:pPr>
    </w:p>
    <w:p w14:paraId="03F4C29C" w14:textId="77777777" w:rsidR="000418B5" w:rsidRDefault="000418B5" w:rsidP="008D1DFD">
      <w:pPr>
        <w:spacing w:after="0" w:line="240" w:lineRule="auto"/>
        <w:jc w:val="center"/>
        <w:rPr>
          <w:rFonts w:ascii="Times New Roman" w:eastAsia="Times New Roman" w:hAnsi="Times New Roman"/>
          <w:sz w:val="24"/>
          <w:szCs w:val="24"/>
        </w:rPr>
      </w:pPr>
    </w:p>
    <w:p w14:paraId="5EA03892" w14:textId="77777777" w:rsidR="000418B5" w:rsidRDefault="000418B5" w:rsidP="008D1DFD">
      <w:pPr>
        <w:spacing w:after="0" w:line="240" w:lineRule="auto"/>
        <w:jc w:val="center"/>
        <w:rPr>
          <w:rFonts w:ascii="Times New Roman" w:eastAsia="Times New Roman" w:hAnsi="Times New Roman"/>
          <w:sz w:val="24"/>
          <w:szCs w:val="24"/>
        </w:rPr>
      </w:pPr>
    </w:p>
    <w:p w14:paraId="7CE7E3C2" w14:textId="77777777" w:rsidR="000418B5" w:rsidRDefault="000418B5" w:rsidP="008D1DFD">
      <w:pPr>
        <w:spacing w:after="0" w:line="240" w:lineRule="auto"/>
        <w:jc w:val="center"/>
        <w:rPr>
          <w:rFonts w:ascii="Times New Roman" w:eastAsia="Times New Roman" w:hAnsi="Times New Roman"/>
          <w:sz w:val="24"/>
          <w:szCs w:val="24"/>
        </w:rPr>
      </w:pPr>
    </w:p>
    <w:p w14:paraId="59B54AAE" w14:textId="77777777" w:rsidR="000418B5" w:rsidRDefault="000418B5" w:rsidP="008D1DFD">
      <w:pPr>
        <w:spacing w:after="0" w:line="240" w:lineRule="auto"/>
        <w:jc w:val="center"/>
        <w:rPr>
          <w:rFonts w:ascii="Times New Roman" w:eastAsia="Times New Roman" w:hAnsi="Times New Roman"/>
          <w:sz w:val="24"/>
          <w:szCs w:val="24"/>
        </w:rPr>
      </w:pPr>
    </w:p>
    <w:p w14:paraId="3BB61EC4" w14:textId="77777777" w:rsidR="000418B5" w:rsidRDefault="000418B5" w:rsidP="008D1DFD">
      <w:pPr>
        <w:spacing w:after="0" w:line="240" w:lineRule="auto"/>
        <w:jc w:val="center"/>
        <w:rPr>
          <w:rFonts w:ascii="Times New Roman" w:eastAsia="Times New Roman" w:hAnsi="Times New Roman"/>
          <w:sz w:val="24"/>
          <w:szCs w:val="24"/>
        </w:rPr>
      </w:pPr>
    </w:p>
    <w:p w14:paraId="76A2934B" w14:textId="77777777" w:rsidR="000418B5" w:rsidRDefault="000418B5" w:rsidP="008D1DFD">
      <w:pPr>
        <w:spacing w:after="0" w:line="240" w:lineRule="auto"/>
        <w:jc w:val="center"/>
        <w:rPr>
          <w:rFonts w:ascii="Times New Roman" w:eastAsia="Times New Roman" w:hAnsi="Times New Roman"/>
          <w:sz w:val="24"/>
          <w:szCs w:val="24"/>
        </w:rPr>
      </w:pPr>
    </w:p>
    <w:p w14:paraId="64604A85" w14:textId="77777777" w:rsidR="000418B5" w:rsidRDefault="000418B5" w:rsidP="008D1DFD">
      <w:pPr>
        <w:spacing w:after="0" w:line="240" w:lineRule="auto"/>
        <w:jc w:val="center"/>
        <w:rPr>
          <w:rFonts w:ascii="Times New Roman" w:eastAsia="Times New Roman" w:hAnsi="Times New Roman"/>
          <w:sz w:val="24"/>
          <w:szCs w:val="24"/>
        </w:rPr>
      </w:pPr>
    </w:p>
    <w:p w14:paraId="452C05CE" w14:textId="55F99F47" w:rsidR="008D1DFD" w:rsidRPr="008D1DFD" w:rsidRDefault="008D1DFD" w:rsidP="008D1DFD">
      <w:pPr>
        <w:spacing w:after="0" w:line="240" w:lineRule="auto"/>
        <w:jc w:val="center"/>
        <w:rPr>
          <w:rFonts w:ascii="Times New Roman" w:eastAsia="Times New Roman" w:hAnsi="Times New Roman"/>
          <w:sz w:val="24"/>
          <w:szCs w:val="24"/>
        </w:rPr>
      </w:pPr>
      <w:r w:rsidRPr="008D1DFD">
        <w:rPr>
          <w:rFonts w:ascii="Times New Roman" w:eastAsia="Times New Roman" w:hAnsi="Times New Roman"/>
          <w:sz w:val="24"/>
          <w:szCs w:val="24"/>
        </w:rPr>
        <w:lastRenderedPageBreak/>
        <w:t>Proposed Int. No. 408-A</w:t>
      </w:r>
    </w:p>
    <w:p w14:paraId="44E78867" w14:textId="77777777" w:rsidR="008D1DFD" w:rsidRPr="008D1DFD" w:rsidRDefault="008D1DFD" w:rsidP="008D1DFD">
      <w:pPr>
        <w:spacing w:after="0" w:line="240" w:lineRule="auto"/>
        <w:jc w:val="center"/>
        <w:rPr>
          <w:rFonts w:ascii="Times New Roman" w:eastAsia="Times New Roman" w:hAnsi="Times New Roman"/>
          <w:sz w:val="24"/>
          <w:szCs w:val="24"/>
        </w:rPr>
      </w:pPr>
    </w:p>
    <w:p w14:paraId="0168A5B9" w14:textId="77777777" w:rsidR="008D1DFD" w:rsidRPr="008D1DFD" w:rsidRDefault="008D1DFD" w:rsidP="008D1DFD">
      <w:pPr>
        <w:autoSpaceDE w:val="0"/>
        <w:autoSpaceDN w:val="0"/>
        <w:adjustRightInd w:val="0"/>
        <w:spacing w:after="0" w:line="240" w:lineRule="auto"/>
        <w:jc w:val="both"/>
        <w:rPr>
          <w:rFonts w:ascii="Times New Roman" w:hAnsi="Times New Roman"/>
          <w:sz w:val="24"/>
          <w:szCs w:val="24"/>
        </w:rPr>
      </w:pPr>
      <w:r w:rsidRPr="008D1DFD">
        <w:rPr>
          <w:rFonts w:ascii="Times New Roman" w:hAnsi="Times New Roman"/>
          <w:sz w:val="24"/>
          <w:szCs w:val="24"/>
        </w:rPr>
        <w:t xml:space="preserve">By the Public Advocate (Mr. Williams) and Council Members </w:t>
      </w:r>
      <w:r w:rsidRPr="008D1DFD">
        <w:rPr>
          <w:rFonts w:ascii="Times New Roman" w:hAnsi="Times New Roman"/>
          <w:color w:val="000000"/>
          <w:sz w:val="24"/>
          <w:szCs w:val="24"/>
        </w:rPr>
        <w:t xml:space="preserve">Louis, Sanchez, Hanif, Menin, Won, Marte, </w:t>
      </w:r>
      <w:proofErr w:type="spellStart"/>
      <w:r w:rsidRPr="008D1DFD">
        <w:rPr>
          <w:rFonts w:ascii="Times New Roman" w:hAnsi="Times New Roman"/>
          <w:color w:val="000000"/>
          <w:sz w:val="24"/>
          <w:szCs w:val="24"/>
        </w:rPr>
        <w:t>Farías</w:t>
      </w:r>
      <w:proofErr w:type="spellEnd"/>
      <w:r w:rsidRPr="008D1DFD">
        <w:rPr>
          <w:rFonts w:ascii="Times New Roman" w:hAnsi="Times New Roman"/>
          <w:color w:val="000000"/>
          <w:sz w:val="24"/>
          <w:szCs w:val="24"/>
        </w:rPr>
        <w:t xml:space="preserve">, De La Rosa, Krishnan, Ayala, </w:t>
      </w:r>
      <w:proofErr w:type="spellStart"/>
      <w:r w:rsidRPr="008D1DFD">
        <w:rPr>
          <w:rFonts w:ascii="Times New Roman" w:hAnsi="Times New Roman"/>
          <w:color w:val="000000"/>
          <w:sz w:val="24"/>
          <w:szCs w:val="24"/>
        </w:rPr>
        <w:t>Ossé</w:t>
      </w:r>
      <w:proofErr w:type="spellEnd"/>
      <w:r w:rsidRPr="008D1DFD">
        <w:rPr>
          <w:rFonts w:ascii="Times New Roman" w:hAnsi="Times New Roman"/>
          <w:color w:val="000000"/>
          <w:sz w:val="24"/>
          <w:szCs w:val="24"/>
        </w:rPr>
        <w:t xml:space="preserve">, Cabán, Nurse, </w:t>
      </w:r>
      <w:proofErr w:type="spellStart"/>
      <w:r w:rsidRPr="008D1DFD">
        <w:rPr>
          <w:rFonts w:ascii="Times New Roman" w:hAnsi="Times New Roman"/>
          <w:color w:val="000000"/>
          <w:sz w:val="24"/>
          <w:szCs w:val="24"/>
        </w:rPr>
        <w:t>Restler</w:t>
      </w:r>
      <w:proofErr w:type="spellEnd"/>
      <w:r w:rsidRPr="008D1DFD">
        <w:rPr>
          <w:rFonts w:ascii="Times New Roman" w:hAnsi="Times New Roman"/>
          <w:color w:val="000000"/>
          <w:sz w:val="24"/>
          <w:szCs w:val="24"/>
        </w:rPr>
        <w:t>, Gutiérrez, Avilés, Hudson, Feliz, Abreu, Brannan, Banks, Brewer, Joseph, Williams, Salaam and Narcisse</w:t>
      </w:r>
    </w:p>
    <w:p w14:paraId="26AA5691" w14:textId="77777777" w:rsidR="008D1DFD" w:rsidRPr="008D1DFD" w:rsidRDefault="008D1DFD" w:rsidP="008D1DFD">
      <w:pPr>
        <w:spacing w:after="0" w:line="240" w:lineRule="auto"/>
        <w:jc w:val="both"/>
        <w:rPr>
          <w:rFonts w:ascii="Times New Roman" w:hAnsi="Times New Roman"/>
          <w:sz w:val="24"/>
          <w:szCs w:val="24"/>
        </w:rPr>
      </w:pPr>
    </w:p>
    <w:p w14:paraId="6FC7C088" w14:textId="77777777" w:rsidR="008D1DFD" w:rsidRPr="008D1DFD" w:rsidRDefault="008D1DFD" w:rsidP="008D1DFD">
      <w:pPr>
        <w:spacing w:after="0" w:line="240" w:lineRule="auto"/>
        <w:jc w:val="both"/>
        <w:rPr>
          <w:rFonts w:ascii="Times New Roman" w:eastAsia="Times New Roman" w:hAnsi="Times New Roman"/>
          <w:vanish/>
          <w:sz w:val="24"/>
          <w:szCs w:val="24"/>
        </w:rPr>
      </w:pPr>
      <w:r w:rsidRPr="008D1DFD">
        <w:rPr>
          <w:rFonts w:ascii="Times New Roman" w:eastAsia="Times New Roman" w:hAnsi="Times New Roman"/>
          <w:vanish/>
          <w:sz w:val="24"/>
          <w:szCs w:val="24"/>
        </w:rPr>
        <w:t>..Title</w:t>
      </w:r>
    </w:p>
    <w:p w14:paraId="5D320E2A" w14:textId="77777777" w:rsidR="008D1DFD" w:rsidRPr="008D1DFD" w:rsidRDefault="008D1DFD" w:rsidP="008D1DFD">
      <w:pPr>
        <w:spacing w:after="0" w:line="240" w:lineRule="auto"/>
        <w:jc w:val="both"/>
        <w:rPr>
          <w:rFonts w:ascii="Times New Roman" w:eastAsia="Times New Roman" w:hAnsi="Times New Roman"/>
          <w:sz w:val="24"/>
          <w:szCs w:val="24"/>
        </w:rPr>
      </w:pPr>
      <w:r w:rsidRPr="008D1DFD">
        <w:rPr>
          <w:rFonts w:ascii="Times New Roman" w:eastAsia="Times New Roman" w:hAnsi="Times New Roman"/>
          <w:sz w:val="24"/>
          <w:szCs w:val="24"/>
        </w:rPr>
        <w:t xml:space="preserve">A Local Law to amend the New York city charter, in relation to creating a division within the department of small business services to assist street vendors and reporting regarding such assistance efforts </w:t>
      </w:r>
    </w:p>
    <w:p w14:paraId="645640F0" w14:textId="77777777" w:rsidR="008D1DFD" w:rsidRPr="008D1DFD" w:rsidRDefault="008D1DFD" w:rsidP="008D1DFD">
      <w:pPr>
        <w:spacing w:after="0" w:line="240" w:lineRule="auto"/>
        <w:jc w:val="both"/>
        <w:rPr>
          <w:rFonts w:ascii="Times New Roman" w:eastAsia="Times New Roman" w:hAnsi="Times New Roman"/>
          <w:vanish/>
          <w:sz w:val="24"/>
          <w:szCs w:val="24"/>
        </w:rPr>
      </w:pPr>
      <w:r w:rsidRPr="008D1DFD">
        <w:rPr>
          <w:rFonts w:ascii="Times New Roman" w:eastAsia="Times New Roman" w:hAnsi="Times New Roman"/>
          <w:vanish/>
          <w:sz w:val="24"/>
          <w:szCs w:val="24"/>
        </w:rPr>
        <w:t>..Body</w:t>
      </w:r>
    </w:p>
    <w:p w14:paraId="5C0635AA" w14:textId="77777777" w:rsidR="008D1DFD" w:rsidRPr="008D1DFD" w:rsidRDefault="008D1DFD" w:rsidP="008D1DFD">
      <w:pPr>
        <w:spacing w:after="0" w:line="240" w:lineRule="auto"/>
        <w:jc w:val="both"/>
        <w:rPr>
          <w:rFonts w:ascii="Times New Roman" w:eastAsia="Times New Roman" w:hAnsi="Times New Roman"/>
          <w:sz w:val="24"/>
          <w:szCs w:val="24"/>
          <w:u w:val="single"/>
        </w:rPr>
      </w:pPr>
    </w:p>
    <w:p w14:paraId="7545ABF9" w14:textId="77777777" w:rsidR="008D1DFD" w:rsidRPr="008D1DFD" w:rsidRDefault="008D1DFD" w:rsidP="008D1DFD">
      <w:pPr>
        <w:spacing w:after="0" w:line="480" w:lineRule="auto"/>
        <w:jc w:val="both"/>
        <w:rPr>
          <w:rFonts w:ascii="Times New Roman" w:eastAsia="Times New Roman" w:hAnsi="Times New Roman"/>
          <w:sz w:val="24"/>
          <w:szCs w:val="24"/>
        </w:rPr>
      </w:pPr>
      <w:r w:rsidRPr="008D1DFD">
        <w:rPr>
          <w:rFonts w:ascii="Times New Roman" w:eastAsia="Times New Roman" w:hAnsi="Times New Roman"/>
          <w:sz w:val="24"/>
          <w:szCs w:val="24"/>
          <w:u w:val="single"/>
        </w:rPr>
        <w:t>Be it enacted by the Council as follows:</w:t>
      </w:r>
    </w:p>
    <w:p w14:paraId="0CE35AE8" w14:textId="77777777" w:rsidR="008D1DFD" w:rsidRPr="008D1DFD" w:rsidRDefault="008D1DFD" w:rsidP="008D1DFD">
      <w:pPr>
        <w:spacing w:after="0" w:line="480" w:lineRule="auto"/>
        <w:ind w:firstLine="720"/>
        <w:jc w:val="both"/>
        <w:rPr>
          <w:rFonts w:ascii="Times New Roman" w:eastAsia="Times New Roman" w:hAnsi="Times New Roman"/>
          <w:sz w:val="24"/>
          <w:szCs w:val="24"/>
        </w:rPr>
        <w:sectPr w:rsidR="008D1DFD" w:rsidRPr="008D1DFD" w:rsidSect="008D1DFD">
          <w:footerReference w:type="default" r:id="rId9"/>
          <w:footerReference w:type="first" r:id="rId10"/>
          <w:pgSz w:w="12240" w:h="15840"/>
          <w:pgMar w:top="1440" w:right="1440" w:bottom="1440" w:left="1440" w:header="720" w:footer="720" w:gutter="0"/>
          <w:cols w:space="720"/>
          <w:docGrid w:linePitch="360"/>
        </w:sectPr>
      </w:pPr>
    </w:p>
    <w:p w14:paraId="09233C0B" w14:textId="77777777" w:rsidR="008D1DFD" w:rsidRPr="008D1DFD" w:rsidRDefault="008D1DFD" w:rsidP="008D1DFD">
      <w:pPr>
        <w:spacing w:after="0" w:line="480" w:lineRule="auto"/>
        <w:ind w:firstLine="720"/>
        <w:jc w:val="both"/>
        <w:rPr>
          <w:rFonts w:ascii="Times New Roman" w:eastAsia="Times New Roman" w:hAnsi="Times New Roman"/>
          <w:sz w:val="24"/>
          <w:szCs w:val="24"/>
        </w:rPr>
      </w:pPr>
      <w:r w:rsidRPr="008D1DFD">
        <w:rPr>
          <w:rFonts w:ascii="Times New Roman" w:eastAsia="Times New Roman" w:hAnsi="Times New Roman"/>
          <w:sz w:val="24"/>
          <w:szCs w:val="24"/>
        </w:rPr>
        <w:t xml:space="preserve">Section 1. Chapter 56 of the New York city charter is amended by adding a new section 1309.1 to read as follows: </w:t>
      </w:r>
    </w:p>
    <w:p w14:paraId="27C32998"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 1309.1. Division of street vendor services. a. Definitions. For purposes of this section, the following terms have the following meanings: </w:t>
      </w:r>
    </w:p>
    <w:p w14:paraId="051F7D85"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Department. The term “department” means the department of small business services.</w:t>
      </w:r>
    </w:p>
    <w:p w14:paraId="241F0DD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 Food vendor. The term “food vendor” has the same meaning as set forth in section 17-306 of the administrative code.</w:t>
      </w:r>
    </w:p>
    <w:p w14:paraId="5663BA1D"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General vendor. The term “general vendor” has the same meaning as set forth in section 20-452 of the administrative code.</w:t>
      </w:r>
    </w:p>
    <w:p w14:paraId="4AE7DAC7"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Street vendor. The term “street vendor” means general vendor and food vendor.</w:t>
      </w:r>
    </w:p>
    <w:p w14:paraId="3BC0E1E1"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b. Responsibilities of the division. 1. There shall be a division of street vendor services within the department. Such division shall:</w:t>
      </w:r>
    </w:p>
    <w:p w14:paraId="71A6498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(a) Serve as a clearinghouse for the provision of services and resources for entrepreneurs interested in street vending </w:t>
      </w:r>
      <w:proofErr w:type="gramStart"/>
      <w:r w:rsidRPr="008D1DFD">
        <w:rPr>
          <w:rFonts w:ascii="Times New Roman" w:eastAsia="Times New Roman" w:hAnsi="Times New Roman"/>
          <w:sz w:val="24"/>
          <w:szCs w:val="24"/>
          <w:u w:val="single"/>
        </w:rPr>
        <w:t>opportunities;</w:t>
      </w:r>
      <w:proofErr w:type="gramEnd"/>
      <w:r w:rsidRPr="008D1DFD">
        <w:rPr>
          <w:rFonts w:ascii="Times New Roman" w:eastAsia="Times New Roman" w:hAnsi="Times New Roman"/>
          <w:sz w:val="24"/>
          <w:szCs w:val="24"/>
          <w:u w:val="single"/>
        </w:rPr>
        <w:t xml:space="preserve"> </w:t>
      </w:r>
    </w:p>
    <w:p w14:paraId="1360BE1B"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(b) Publish on the department’s website a list of such services and resources that street vendors may </w:t>
      </w:r>
      <w:proofErr w:type="gramStart"/>
      <w:r w:rsidRPr="008D1DFD">
        <w:rPr>
          <w:rFonts w:ascii="Times New Roman" w:eastAsia="Times New Roman" w:hAnsi="Times New Roman"/>
          <w:sz w:val="24"/>
          <w:szCs w:val="24"/>
          <w:u w:val="single"/>
        </w:rPr>
        <w:t>utilize;</w:t>
      </w:r>
      <w:proofErr w:type="gramEnd"/>
      <w:r w:rsidRPr="008D1DFD">
        <w:rPr>
          <w:rFonts w:ascii="Times New Roman" w:eastAsia="Times New Roman" w:hAnsi="Times New Roman"/>
          <w:sz w:val="24"/>
          <w:szCs w:val="24"/>
          <w:u w:val="single"/>
        </w:rPr>
        <w:t xml:space="preserve"> </w:t>
      </w:r>
    </w:p>
    <w:p w14:paraId="0169CC7B"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 xml:space="preserve">(c) Connect street vendors to the department’s </w:t>
      </w:r>
      <w:proofErr w:type="gramStart"/>
      <w:r w:rsidRPr="008D1DFD">
        <w:rPr>
          <w:rFonts w:ascii="Times New Roman" w:eastAsia="Times New Roman" w:hAnsi="Times New Roman"/>
          <w:sz w:val="24"/>
          <w:szCs w:val="24"/>
          <w:u w:val="single"/>
        </w:rPr>
        <w:t>programs;</w:t>
      </w:r>
      <w:proofErr w:type="gramEnd"/>
      <w:r w:rsidRPr="008D1DFD">
        <w:rPr>
          <w:rFonts w:ascii="Times New Roman" w:eastAsia="Times New Roman" w:hAnsi="Times New Roman"/>
          <w:sz w:val="24"/>
          <w:szCs w:val="24"/>
          <w:u w:val="single"/>
        </w:rPr>
        <w:t xml:space="preserve"> </w:t>
      </w:r>
    </w:p>
    <w:p w14:paraId="52D646C6"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lastRenderedPageBreak/>
        <w:t>(d) O</w:t>
      </w:r>
      <w:r w:rsidRPr="008D1DFD">
        <w:rPr>
          <w:rFonts w:ascii="Times New Roman" w:eastAsia="Times New Roman" w:hAnsi="Times New Roman"/>
          <w:color w:val="000000"/>
          <w:sz w:val="24"/>
          <w:szCs w:val="24"/>
          <w:u w:val="single"/>
          <w:shd w:val="clear" w:color="auto" w:fill="FFFFFF"/>
        </w:rPr>
        <w:t xml:space="preserve">ffer </w:t>
      </w:r>
      <w:r w:rsidRPr="008D1DFD">
        <w:rPr>
          <w:rFonts w:ascii="Times New Roman" w:eastAsia="Times New Roman" w:hAnsi="Times New Roman"/>
          <w:color w:val="000000"/>
          <w:sz w:val="24"/>
          <w:szCs w:val="24"/>
          <w:u w:val="single"/>
        </w:rPr>
        <w:t xml:space="preserve">business </w:t>
      </w:r>
      <w:r w:rsidRPr="008D1DFD">
        <w:rPr>
          <w:rFonts w:ascii="Times New Roman" w:eastAsia="Times New Roman" w:hAnsi="Times New Roman"/>
          <w:color w:val="000000"/>
          <w:sz w:val="24"/>
          <w:szCs w:val="24"/>
          <w:u w:val="single"/>
          <w:shd w:val="clear" w:color="auto" w:fill="FFFFFF"/>
        </w:rPr>
        <w:t xml:space="preserve">education </w:t>
      </w:r>
      <w:r w:rsidRPr="008D1DFD">
        <w:rPr>
          <w:rFonts w:ascii="Times New Roman" w:eastAsia="Times New Roman" w:hAnsi="Times New Roman"/>
          <w:color w:val="000000"/>
          <w:sz w:val="24"/>
          <w:szCs w:val="24"/>
          <w:u w:val="single"/>
        </w:rPr>
        <w:t>and conduct outreach in the designated citywide languages, as such term is defined in section 23-1101,</w:t>
      </w:r>
      <w:r w:rsidRPr="008D1DFD">
        <w:rPr>
          <w:rFonts w:ascii="Times New Roman" w:eastAsia="Times New Roman" w:hAnsi="Times New Roman"/>
          <w:color w:val="000000"/>
          <w:sz w:val="24"/>
          <w:szCs w:val="24"/>
          <w:u w:val="single"/>
          <w:shd w:val="clear" w:color="auto" w:fill="FFFFFF"/>
        </w:rPr>
        <w:t xml:space="preserve"> to street vendors on </w:t>
      </w:r>
      <w:r w:rsidRPr="008D1DFD">
        <w:rPr>
          <w:rFonts w:ascii="Times New Roman" w:eastAsia="Times New Roman" w:hAnsi="Times New Roman"/>
          <w:color w:val="000000"/>
          <w:sz w:val="24"/>
          <w:szCs w:val="24"/>
          <w:u w:val="single"/>
        </w:rPr>
        <w:t xml:space="preserve">entrepreneurship and </w:t>
      </w:r>
      <w:r w:rsidRPr="008D1DFD">
        <w:rPr>
          <w:rFonts w:ascii="Times New Roman" w:eastAsia="Times New Roman" w:hAnsi="Times New Roman"/>
          <w:color w:val="000000"/>
          <w:sz w:val="24"/>
          <w:szCs w:val="24"/>
          <w:u w:val="single"/>
          <w:shd w:val="clear" w:color="auto" w:fill="FFFFFF"/>
        </w:rPr>
        <w:t>compliance with all applicable local laws, rules, and regulations, including but not limited to such laws, rules, and regulations concerning legal vending locations and time, place, and manner restrictions applicable to vending</w:t>
      </w:r>
      <w:r w:rsidRPr="008D1DFD">
        <w:rPr>
          <w:rFonts w:ascii="Times New Roman" w:eastAsia="Times New Roman" w:hAnsi="Times New Roman"/>
          <w:sz w:val="24"/>
          <w:szCs w:val="24"/>
          <w:u w:val="single"/>
        </w:rPr>
        <w:t>; and</w:t>
      </w:r>
    </w:p>
    <w:p w14:paraId="01660DB3"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(e) Adjust department programs to facilitate access for street vendors.</w:t>
      </w:r>
    </w:p>
    <w:p w14:paraId="43283CF5"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2. The education offered pursuant to subparagraph (d) of paragraph 1 of this subdivision shall be directed toward vendors in areas with a high density of street vendors and toward vendors in any areas identified by the office of street vendor enforcement as featuring a high level of complaints about street vendor</w:t>
      </w:r>
      <w:r w:rsidRPr="008D1DFD">
        <w:rPr>
          <w:rFonts w:ascii="Times New Roman" w:eastAsia="Times New Roman" w:hAnsi="Times New Roman"/>
          <w:color w:val="000000"/>
          <w:sz w:val="24"/>
          <w:szCs w:val="24"/>
          <w:u w:val="single"/>
        </w:rPr>
        <w:t xml:space="preserve"> activity.</w:t>
      </w:r>
      <w:r w:rsidRPr="008D1DFD">
        <w:rPr>
          <w:rFonts w:ascii="Times New Roman" w:eastAsia="Times New Roman" w:hAnsi="Times New Roman"/>
          <w:color w:val="000000"/>
          <w:sz w:val="24"/>
          <w:szCs w:val="24"/>
          <w:u w:val="single"/>
          <w:shd w:val="clear" w:color="auto" w:fill="FFFFFF"/>
        </w:rPr>
        <w:t xml:space="preserve"> </w:t>
      </w:r>
    </w:p>
    <w:p w14:paraId="79B74DEE"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pPr>
      <w:r w:rsidRPr="008D1DFD">
        <w:rPr>
          <w:rFonts w:ascii="Times New Roman" w:eastAsia="Times New Roman" w:hAnsi="Times New Roman"/>
          <w:sz w:val="24"/>
          <w:szCs w:val="24"/>
          <w:u w:val="single"/>
        </w:rPr>
        <w:t>c. Reporting. No later than 180 days after the effective date of the local law that added this section and annually thereafter, the commissioner shall submit to the speaker of the council and to the mayor, and the commissioner shall publish on the department's website, a report on (</w:t>
      </w:r>
      <w:proofErr w:type="spellStart"/>
      <w:r w:rsidRPr="008D1DFD">
        <w:rPr>
          <w:rFonts w:ascii="Times New Roman" w:eastAsia="Times New Roman" w:hAnsi="Times New Roman"/>
          <w:sz w:val="24"/>
          <w:szCs w:val="24"/>
          <w:u w:val="single"/>
        </w:rPr>
        <w:t>i</w:t>
      </w:r>
      <w:proofErr w:type="spellEnd"/>
      <w:r w:rsidRPr="008D1DFD">
        <w:rPr>
          <w:rFonts w:ascii="Times New Roman" w:eastAsia="Times New Roman" w:hAnsi="Times New Roman"/>
          <w:sz w:val="24"/>
          <w:szCs w:val="24"/>
          <w:u w:val="single"/>
        </w:rPr>
        <w:t>) the number of food vendors and general vendors to which the division of street vendor services provided assistance during the previous year, and (ii) the types of assistance provided to food vendors and general vendors by such division during the previous year, disaggregated by percentage.</w:t>
      </w:r>
    </w:p>
    <w:p w14:paraId="0835A158" w14:textId="77777777" w:rsidR="008D1DFD" w:rsidRPr="008D1DFD" w:rsidRDefault="008D1DFD" w:rsidP="008D1DFD">
      <w:pPr>
        <w:spacing w:after="0" w:line="480" w:lineRule="auto"/>
        <w:ind w:firstLine="720"/>
        <w:jc w:val="both"/>
        <w:rPr>
          <w:rFonts w:ascii="Times New Roman" w:eastAsia="Times New Roman" w:hAnsi="Times New Roman"/>
          <w:sz w:val="18"/>
          <w:szCs w:val="18"/>
        </w:rPr>
      </w:pPr>
      <w:r w:rsidRPr="008D1DFD">
        <w:rPr>
          <w:rFonts w:ascii="Times New Roman" w:eastAsia="Times New Roman" w:hAnsi="Times New Roman"/>
          <w:sz w:val="24"/>
          <w:szCs w:val="24"/>
        </w:rPr>
        <w:t>§ 2. This local law takes effect 180 days after it becomes law.</w:t>
      </w:r>
      <w:r w:rsidRPr="008D1DFD">
        <w:rPr>
          <w:rFonts w:ascii="Times New Roman" w:eastAsia="Times New Roman" w:hAnsi="Times New Roman"/>
          <w:sz w:val="18"/>
          <w:szCs w:val="18"/>
        </w:rPr>
        <w:t xml:space="preserve"> </w:t>
      </w:r>
    </w:p>
    <w:p w14:paraId="0C7B6671" w14:textId="77777777" w:rsidR="008D1DFD" w:rsidRPr="008D1DFD" w:rsidRDefault="008D1DFD" w:rsidP="008D1DFD">
      <w:pPr>
        <w:spacing w:after="0" w:line="480" w:lineRule="auto"/>
        <w:ind w:firstLine="720"/>
        <w:jc w:val="both"/>
        <w:rPr>
          <w:rFonts w:ascii="Times New Roman" w:eastAsia="Times New Roman" w:hAnsi="Times New Roman"/>
          <w:sz w:val="24"/>
          <w:szCs w:val="24"/>
          <w:u w:val="single"/>
        </w:rPr>
        <w:sectPr w:rsidR="008D1DFD" w:rsidRPr="008D1DFD" w:rsidSect="008D1DFD">
          <w:type w:val="continuous"/>
          <w:pgSz w:w="12240" w:h="15840"/>
          <w:pgMar w:top="1440" w:right="1440" w:bottom="1440" w:left="1440" w:header="720" w:footer="720" w:gutter="0"/>
          <w:lnNumType w:countBy="1"/>
          <w:cols w:space="720"/>
          <w:titlePg/>
          <w:docGrid w:linePitch="360"/>
        </w:sectPr>
      </w:pPr>
    </w:p>
    <w:p w14:paraId="7515BCBD" w14:textId="77777777" w:rsidR="008D1DFD" w:rsidRPr="008D1DFD" w:rsidRDefault="008D1DFD" w:rsidP="008D1DFD">
      <w:pPr>
        <w:spacing w:after="0" w:line="240" w:lineRule="auto"/>
        <w:jc w:val="both"/>
        <w:rPr>
          <w:rFonts w:ascii="Times New Roman" w:eastAsia="Times New Roman" w:hAnsi="Times New Roman"/>
          <w:sz w:val="18"/>
          <w:szCs w:val="18"/>
        </w:rPr>
      </w:pPr>
    </w:p>
    <w:p w14:paraId="5DF687A2" w14:textId="77777777" w:rsidR="008D1DFD" w:rsidRPr="008D1DFD" w:rsidRDefault="008D1DFD" w:rsidP="008D1DFD">
      <w:pPr>
        <w:spacing w:after="0" w:line="240" w:lineRule="auto"/>
        <w:jc w:val="both"/>
        <w:rPr>
          <w:rFonts w:ascii="Times New Roman" w:eastAsia="Times New Roman" w:hAnsi="Times New Roman"/>
          <w:sz w:val="18"/>
          <w:szCs w:val="18"/>
        </w:rPr>
      </w:pPr>
    </w:p>
    <w:p w14:paraId="55BE3E1F" w14:textId="77777777" w:rsidR="008D1DFD" w:rsidRPr="008D1DFD" w:rsidRDefault="008D1DFD" w:rsidP="008D1DFD">
      <w:pPr>
        <w:spacing w:after="0" w:line="240" w:lineRule="auto"/>
        <w:jc w:val="both"/>
        <w:rPr>
          <w:rFonts w:ascii="Times New Roman" w:eastAsia="Times New Roman" w:hAnsi="Times New Roman"/>
          <w:sz w:val="18"/>
          <w:szCs w:val="18"/>
        </w:rPr>
      </w:pPr>
    </w:p>
    <w:p w14:paraId="7E621728" w14:textId="77777777" w:rsidR="008D1DFD" w:rsidRPr="008D1DFD" w:rsidRDefault="008D1DFD" w:rsidP="008D1DFD">
      <w:pPr>
        <w:spacing w:after="0" w:line="240" w:lineRule="auto"/>
        <w:jc w:val="both"/>
        <w:rPr>
          <w:rFonts w:ascii="Times New Roman" w:eastAsia="Times New Roman" w:hAnsi="Times New Roman"/>
          <w:sz w:val="18"/>
          <w:szCs w:val="18"/>
        </w:rPr>
      </w:pPr>
    </w:p>
    <w:p w14:paraId="141F48F4"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NM/SS</w:t>
      </w:r>
    </w:p>
    <w:p w14:paraId="0F3E7004"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LS #4494/5774/9408/9517/10303/12814/14198/14890</w:t>
      </w:r>
    </w:p>
    <w:p w14:paraId="695C05D8" w14:textId="77777777" w:rsidR="008D1DFD" w:rsidRPr="008D1DFD" w:rsidRDefault="008D1DFD" w:rsidP="008D1DFD">
      <w:pPr>
        <w:spacing w:after="0" w:line="240" w:lineRule="auto"/>
        <w:jc w:val="both"/>
        <w:rPr>
          <w:rFonts w:ascii="Times New Roman" w:eastAsia="Times New Roman" w:hAnsi="Times New Roman"/>
          <w:sz w:val="18"/>
          <w:szCs w:val="18"/>
        </w:rPr>
      </w:pPr>
      <w:r w:rsidRPr="008D1DFD">
        <w:rPr>
          <w:rFonts w:ascii="Times New Roman" w:eastAsia="Times New Roman" w:hAnsi="Times New Roman"/>
          <w:sz w:val="18"/>
          <w:szCs w:val="18"/>
        </w:rPr>
        <w:t>12/10/25 10:44pm</w:t>
      </w:r>
    </w:p>
    <w:p w14:paraId="0A5918BF" w14:textId="77777777" w:rsidR="008D1DFD" w:rsidRPr="008D1DFD" w:rsidRDefault="008D1DFD" w:rsidP="008D1DFD">
      <w:pPr>
        <w:spacing w:after="0" w:line="240" w:lineRule="auto"/>
        <w:jc w:val="both"/>
        <w:rPr>
          <w:rFonts w:ascii="Times New Roman" w:eastAsia="Times New Roman" w:hAnsi="Times New Roman"/>
          <w:sz w:val="18"/>
          <w:szCs w:val="18"/>
        </w:rPr>
      </w:pPr>
    </w:p>
    <w:p w14:paraId="171712BC" w14:textId="77777777" w:rsidR="008D1DFD" w:rsidRPr="008D1DFD" w:rsidRDefault="008D1DFD" w:rsidP="008D1DFD">
      <w:pPr>
        <w:spacing w:after="0" w:line="240" w:lineRule="auto"/>
        <w:rPr>
          <w:rFonts w:ascii="Times New Roman" w:eastAsia="Times New Roman" w:hAnsi="Times New Roman"/>
          <w:sz w:val="18"/>
          <w:szCs w:val="18"/>
        </w:rPr>
      </w:pPr>
    </w:p>
    <w:p w14:paraId="5536903C" w14:textId="77777777" w:rsidR="000418B5" w:rsidRDefault="000418B5" w:rsidP="00EA53FC">
      <w:pPr>
        <w:spacing w:after="0" w:line="240" w:lineRule="auto"/>
        <w:jc w:val="center"/>
        <w:rPr>
          <w:rFonts w:ascii="Times New Roman" w:eastAsia="Times New Roman" w:hAnsi="Times New Roman"/>
          <w:sz w:val="24"/>
          <w:szCs w:val="24"/>
        </w:rPr>
      </w:pPr>
    </w:p>
    <w:p w14:paraId="421AD657" w14:textId="77777777" w:rsidR="000418B5" w:rsidRDefault="000418B5" w:rsidP="00EA53FC">
      <w:pPr>
        <w:spacing w:after="0" w:line="240" w:lineRule="auto"/>
        <w:jc w:val="center"/>
        <w:rPr>
          <w:rFonts w:ascii="Times New Roman" w:eastAsia="Times New Roman" w:hAnsi="Times New Roman"/>
          <w:sz w:val="24"/>
          <w:szCs w:val="24"/>
        </w:rPr>
      </w:pPr>
    </w:p>
    <w:p w14:paraId="4606E763" w14:textId="77777777" w:rsidR="000418B5" w:rsidRDefault="000418B5" w:rsidP="00EA53FC">
      <w:pPr>
        <w:spacing w:after="0" w:line="240" w:lineRule="auto"/>
        <w:jc w:val="center"/>
        <w:rPr>
          <w:rFonts w:ascii="Times New Roman" w:eastAsia="Times New Roman" w:hAnsi="Times New Roman"/>
          <w:sz w:val="24"/>
          <w:szCs w:val="24"/>
        </w:rPr>
      </w:pPr>
    </w:p>
    <w:p w14:paraId="2DDCC0AD" w14:textId="77777777" w:rsidR="000418B5" w:rsidRDefault="000418B5" w:rsidP="00EA53FC">
      <w:pPr>
        <w:spacing w:after="0" w:line="240" w:lineRule="auto"/>
        <w:jc w:val="center"/>
        <w:rPr>
          <w:rFonts w:ascii="Times New Roman" w:eastAsia="Times New Roman" w:hAnsi="Times New Roman"/>
          <w:sz w:val="24"/>
          <w:szCs w:val="24"/>
        </w:rPr>
      </w:pPr>
    </w:p>
    <w:p w14:paraId="1774A53B" w14:textId="77777777" w:rsidR="000418B5" w:rsidRDefault="000418B5" w:rsidP="00EA53FC">
      <w:pPr>
        <w:spacing w:after="0" w:line="240" w:lineRule="auto"/>
        <w:jc w:val="center"/>
        <w:rPr>
          <w:rFonts w:ascii="Times New Roman" w:eastAsia="Times New Roman" w:hAnsi="Times New Roman"/>
          <w:sz w:val="24"/>
          <w:szCs w:val="24"/>
        </w:rPr>
      </w:pPr>
    </w:p>
    <w:p w14:paraId="4F622722" w14:textId="77777777" w:rsidR="000418B5" w:rsidRDefault="000418B5" w:rsidP="00EA53FC">
      <w:pPr>
        <w:spacing w:after="0" w:line="240" w:lineRule="auto"/>
        <w:jc w:val="center"/>
        <w:rPr>
          <w:rFonts w:ascii="Times New Roman" w:eastAsia="Times New Roman" w:hAnsi="Times New Roman"/>
          <w:sz w:val="24"/>
          <w:szCs w:val="24"/>
        </w:rPr>
      </w:pPr>
    </w:p>
    <w:p w14:paraId="0278B291" w14:textId="77777777" w:rsidR="000418B5" w:rsidRDefault="000418B5" w:rsidP="00EA53FC">
      <w:pPr>
        <w:spacing w:after="0" w:line="240" w:lineRule="auto"/>
        <w:jc w:val="center"/>
        <w:rPr>
          <w:rFonts w:ascii="Times New Roman" w:eastAsia="Times New Roman" w:hAnsi="Times New Roman"/>
          <w:sz w:val="24"/>
          <w:szCs w:val="24"/>
        </w:rPr>
      </w:pPr>
    </w:p>
    <w:p w14:paraId="20C05B61" w14:textId="77777777" w:rsidR="000418B5" w:rsidRDefault="000418B5" w:rsidP="00EA53FC">
      <w:pPr>
        <w:spacing w:after="0" w:line="240" w:lineRule="auto"/>
        <w:jc w:val="center"/>
        <w:rPr>
          <w:rFonts w:ascii="Times New Roman" w:eastAsia="Times New Roman" w:hAnsi="Times New Roman"/>
          <w:sz w:val="24"/>
          <w:szCs w:val="24"/>
        </w:rPr>
      </w:pPr>
    </w:p>
    <w:p w14:paraId="412856E7" w14:textId="77777777" w:rsidR="000418B5" w:rsidRDefault="000418B5" w:rsidP="00EA53FC">
      <w:pPr>
        <w:spacing w:after="0" w:line="240" w:lineRule="auto"/>
        <w:jc w:val="center"/>
        <w:rPr>
          <w:rFonts w:ascii="Times New Roman" w:eastAsia="Times New Roman" w:hAnsi="Times New Roman"/>
          <w:sz w:val="24"/>
          <w:szCs w:val="24"/>
        </w:rPr>
      </w:pPr>
    </w:p>
    <w:p w14:paraId="703242DC" w14:textId="77777777" w:rsidR="000418B5" w:rsidRDefault="000418B5" w:rsidP="00EA53FC">
      <w:pPr>
        <w:spacing w:after="0" w:line="240" w:lineRule="auto"/>
        <w:jc w:val="center"/>
        <w:rPr>
          <w:rFonts w:ascii="Times New Roman" w:eastAsia="Times New Roman" w:hAnsi="Times New Roman"/>
          <w:sz w:val="24"/>
          <w:szCs w:val="24"/>
        </w:rPr>
      </w:pPr>
    </w:p>
    <w:p w14:paraId="3A1B7188" w14:textId="77777777" w:rsidR="000418B5" w:rsidRDefault="000418B5" w:rsidP="00EA53FC">
      <w:pPr>
        <w:spacing w:after="0" w:line="240" w:lineRule="auto"/>
        <w:jc w:val="center"/>
        <w:rPr>
          <w:rFonts w:ascii="Times New Roman" w:eastAsia="Times New Roman" w:hAnsi="Times New Roman"/>
          <w:sz w:val="24"/>
          <w:szCs w:val="24"/>
        </w:rPr>
      </w:pPr>
    </w:p>
    <w:p w14:paraId="77FD111D" w14:textId="77777777" w:rsidR="000418B5" w:rsidRDefault="000418B5" w:rsidP="00EA53FC">
      <w:pPr>
        <w:spacing w:after="0" w:line="240" w:lineRule="auto"/>
        <w:jc w:val="center"/>
        <w:rPr>
          <w:rFonts w:ascii="Times New Roman" w:eastAsia="Times New Roman" w:hAnsi="Times New Roman"/>
          <w:sz w:val="24"/>
          <w:szCs w:val="24"/>
        </w:rPr>
      </w:pPr>
    </w:p>
    <w:p w14:paraId="50B0E53E" w14:textId="77777777" w:rsidR="000418B5" w:rsidRDefault="000418B5" w:rsidP="00EA53FC">
      <w:pPr>
        <w:spacing w:after="0" w:line="240" w:lineRule="auto"/>
        <w:jc w:val="center"/>
        <w:rPr>
          <w:rFonts w:ascii="Times New Roman" w:eastAsia="Times New Roman" w:hAnsi="Times New Roman"/>
          <w:sz w:val="24"/>
          <w:szCs w:val="24"/>
        </w:rPr>
      </w:pPr>
    </w:p>
    <w:p w14:paraId="0E562D2B" w14:textId="77777777" w:rsidR="000418B5" w:rsidRDefault="000418B5" w:rsidP="00EA53FC">
      <w:pPr>
        <w:spacing w:after="0" w:line="240" w:lineRule="auto"/>
        <w:jc w:val="center"/>
        <w:rPr>
          <w:rFonts w:ascii="Times New Roman" w:eastAsia="Times New Roman" w:hAnsi="Times New Roman"/>
          <w:sz w:val="24"/>
          <w:szCs w:val="24"/>
        </w:rPr>
      </w:pPr>
    </w:p>
    <w:p w14:paraId="2ABBD500" w14:textId="77777777" w:rsidR="000418B5" w:rsidRDefault="000418B5" w:rsidP="00EA53FC">
      <w:pPr>
        <w:spacing w:after="0" w:line="240" w:lineRule="auto"/>
        <w:jc w:val="center"/>
        <w:rPr>
          <w:rFonts w:ascii="Times New Roman" w:eastAsia="Times New Roman" w:hAnsi="Times New Roman"/>
          <w:sz w:val="24"/>
          <w:szCs w:val="24"/>
        </w:rPr>
      </w:pPr>
    </w:p>
    <w:p w14:paraId="76CFB511" w14:textId="77777777" w:rsidR="000418B5" w:rsidRDefault="000418B5" w:rsidP="00EA53FC">
      <w:pPr>
        <w:spacing w:after="0" w:line="240" w:lineRule="auto"/>
        <w:jc w:val="center"/>
        <w:rPr>
          <w:rFonts w:ascii="Times New Roman" w:eastAsia="Times New Roman" w:hAnsi="Times New Roman"/>
          <w:sz w:val="24"/>
          <w:szCs w:val="24"/>
        </w:rPr>
      </w:pPr>
    </w:p>
    <w:p w14:paraId="014880EF" w14:textId="77777777" w:rsidR="000418B5" w:rsidRDefault="000418B5" w:rsidP="00EA53FC">
      <w:pPr>
        <w:spacing w:after="0" w:line="240" w:lineRule="auto"/>
        <w:jc w:val="center"/>
        <w:rPr>
          <w:rFonts w:ascii="Times New Roman" w:eastAsia="Times New Roman" w:hAnsi="Times New Roman"/>
          <w:sz w:val="24"/>
          <w:szCs w:val="24"/>
        </w:rPr>
      </w:pPr>
    </w:p>
    <w:p w14:paraId="34D17145" w14:textId="77777777" w:rsidR="000418B5" w:rsidRDefault="000418B5" w:rsidP="00EA53FC">
      <w:pPr>
        <w:spacing w:after="0" w:line="240" w:lineRule="auto"/>
        <w:jc w:val="center"/>
        <w:rPr>
          <w:rFonts w:ascii="Times New Roman" w:eastAsia="Times New Roman" w:hAnsi="Times New Roman"/>
          <w:sz w:val="24"/>
          <w:szCs w:val="24"/>
        </w:rPr>
      </w:pPr>
    </w:p>
    <w:p w14:paraId="04AE4BD2" w14:textId="77777777" w:rsidR="000418B5" w:rsidRDefault="000418B5" w:rsidP="00EA53FC">
      <w:pPr>
        <w:spacing w:after="0" w:line="240" w:lineRule="auto"/>
        <w:jc w:val="center"/>
        <w:rPr>
          <w:rFonts w:ascii="Times New Roman" w:eastAsia="Times New Roman" w:hAnsi="Times New Roman"/>
          <w:sz w:val="24"/>
          <w:szCs w:val="24"/>
        </w:rPr>
      </w:pPr>
    </w:p>
    <w:p w14:paraId="19785053" w14:textId="77777777" w:rsidR="000418B5" w:rsidRDefault="000418B5" w:rsidP="00EA53FC">
      <w:pPr>
        <w:spacing w:after="0" w:line="240" w:lineRule="auto"/>
        <w:jc w:val="center"/>
        <w:rPr>
          <w:rFonts w:ascii="Times New Roman" w:eastAsia="Times New Roman" w:hAnsi="Times New Roman"/>
          <w:sz w:val="24"/>
          <w:szCs w:val="24"/>
        </w:rPr>
      </w:pPr>
    </w:p>
    <w:p w14:paraId="43F9AF21" w14:textId="77777777" w:rsidR="000418B5" w:rsidRDefault="000418B5" w:rsidP="00EA53FC">
      <w:pPr>
        <w:spacing w:after="0" w:line="240" w:lineRule="auto"/>
        <w:jc w:val="center"/>
        <w:rPr>
          <w:rFonts w:ascii="Times New Roman" w:eastAsia="Times New Roman" w:hAnsi="Times New Roman"/>
          <w:sz w:val="24"/>
          <w:szCs w:val="24"/>
        </w:rPr>
      </w:pPr>
    </w:p>
    <w:p w14:paraId="40FD41DA" w14:textId="77777777" w:rsidR="000418B5" w:rsidRDefault="000418B5" w:rsidP="00EA53FC">
      <w:pPr>
        <w:spacing w:after="0" w:line="240" w:lineRule="auto"/>
        <w:jc w:val="center"/>
        <w:rPr>
          <w:rFonts w:ascii="Times New Roman" w:eastAsia="Times New Roman" w:hAnsi="Times New Roman"/>
          <w:sz w:val="24"/>
          <w:szCs w:val="24"/>
        </w:rPr>
      </w:pPr>
    </w:p>
    <w:p w14:paraId="4B24D168" w14:textId="77777777" w:rsidR="000418B5" w:rsidRDefault="000418B5" w:rsidP="00EA53FC">
      <w:pPr>
        <w:spacing w:after="0" w:line="240" w:lineRule="auto"/>
        <w:jc w:val="center"/>
        <w:rPr>
          <w:rFonts w:ascii="Times New Roman" w:eastAsia="Times New Roman" w:hAnsi="Times New Roman"/>
          <w:sz w:val="24"/>
          <w:szCs w:val="24"/>
        </w:rPr>
      </w:pPr>
    </w:p>
    <w:p w14:paraId="5B0F9627" w14:textId="77777777" w:rsidR="000418B5" w:rsidRDefault="000418B5" w:rsidP="00EA53FC">
      <w:pPr>
        <w:spacing w:after="0" w:line="240" w:lineRule="auto"/>
        <w:jc w:val="center"/>
        <w:rPr>
          <w:rFonts w:ascii="Times New Roman" w:eastAsia="Times New Roman" w:hAnsi="Times New Roman"/>
          <w:sz w:val="24"/>
          <w:szCs w:val="24"/>
        </w:rPr>
      </w:pPr>
    </w:p>
    <w:p w14:paraId="23A2FE5D" w14:textId="77777777" w:rsidR="000418B5" w:rsidRDefault="000418B5" w:rsidP="00EA53FC">
      <w:pPr>
        <w:spacing w:after="0" w:line="240" w:lineRule="auto"/>
        <w:jc w:val="center"/>
        <w:rPr>
          <w:rFonts w:ascii="Times New Roman" w:eastAsia="Times New Roman" w:hAnsi="Times New Roman"/>
          <w:sz w:val="24"/>
          <w:szCs w:val="24"/>
        </w:rPr>
      </w:pPr>
    </w:p>
    <w:p w14:paraId="3E4CA292" w14:textId="77777777" w:rsidR="000418B5" w:rsidRDefault="000418B5" w:rsidP="00EA53FC">
      <w:pPr>
        <w:spacing w:after="0" w:line="240" w:lineRule="auto"/>
        <w:jc w:val="center"/>
        <w:rPr>
          <w:rFonts w:ascii="Times New Roman" w:eastAsia="Times New Roman" w:hAnsi="Times New Roman"/>
          <w:sz w:val="24"/>
          <w:szCs w:val="24"/>
        </w:rPr>
      </w:pPr>
    </w:p>
    <w:p w14:paraId="58CA10E7" w14:textId="77777777" w:rsidR="000418B5" w:rsidRDefault="000418B5" w:rsidP="00EA53FC">
      <w:pPr>
        <w:spacing w:after="0" w:line="240" w:lineRule="auto"/>
        <w:jc w:val="center"/>
        <w:rPr>
          <w:rFonts w:ascii="Times New Roman" w:eastAsia="Times New Roman" w:hAnsi="Times New Roman"/>
          <w:sz w:val="24"/>
          <w:szCs w:val="24"/>
        </w:rPr>
      </w:pPr>
    </w:p>
    <w:p w14:paraId="322E2F27" w14:textId="77777777" w:rsidR="000418B5" w:rsidRDefault="000418B5" w:rsidP="00EA53FC">
      <w:pPr>
        <w:spacing w:after="0" w:line="240" w:lineRule="auto"/>
        <w:jc w:val="center"/>
        <w:rPr>
          <w:rFonts w:ascii="Times New Roman" w:eastAsia="Times New Roman" w:hAnsi="Times New Roman"/>
          <w:sz w:val="24"/>
          <w:szCs w:val="24"/>
        </w:rPr>
      </w:pPr>
    </w:p>
    <w:p w14:paraId="3EB05C09" w14:textId="77777777" w:rsidR="000418B5" w:rsidRDefault="000418B5" w:rsidP="00EA53FC">
      <w:pPr>
        <w:spacing w:after="0" w:line="240" w:lineRule="auto"/>
        <w:jc w:val="center"/>
        <w:rPr>
          <w:rFonts w:ascii="Times New Roman" w:eastAsia="Times New Roman" w:hAnsi="Times New Roman"/>
          <w:sz w:val="24"/>
          <w:szCs w:val="24"/>
        </w:rPr>
      </w:pPr>
    </w:p>
    <w:p w14:paraId="18FF4011" w14:textId="77777777" w:rsidR="000418B5" w:rsidRDefault="000418B5" w:rsidP="00EA53FC">
      <w:pPr>
        <w:spacing w:after="0" w:line="240" w:lineRule="auto"/>
        <w:jc w:val="center"/>
        <w:rPr>
          <w:rFonts w:ascii="Times New Roman" w:eastAsia="Times New Roman" w:hAnsi="Times New Roman"/>
          <w:sz w:val="24"/>
          <w:szCs w:val="24"/>
        </w:rPr>
      </w:pPr>
    </w:p>
    <w:p w14:paraId="05541F9D" w14:textId="77777777" w:rsidR="000418B5" w:rsidRDefault="000418B5" w:rsidP="00EA53FC">
      <w:pPr>
        <w:spacing w:after="0" w:line="240" w:lineRule="auto"/>
        <w:jc w:val="center"/>
        <w:rPr>
          <w:rFonts w:ascii="Times New Roman" w:eastAsia="Times New Roman" w:hAnsi="Times New Roman"/>
          <w:sz w:val="24"/>
          <w:szCs w:val="24"/>
        </w:rPr>
      </w:pPr>
    </w:p>
    <w:p w14:paraId="4025DB2C" w14:textId="77777777" w:rsidR="000418B5" w:rsidRDefault="000418B5" w:rsidP="00EA53FC">
      <w:pPr>
        <w:spacing w:after="0" w:line="240" w:lineRule="auto"/>
        <w:jc w:val="center"/>
        <w:rPr>
          <w:rFonts w:ascii="Times New Roman" w:eastAsia="Times New Roman" w:hAnsi="Times New Roman"/>
          <w:sz w:val="24"/>
          <w:szCs w:val="24"/>
        </w:rPr>
      </w:pPr>
    </w:p>
    <w:p w14:paraId="4DCE6A75" w14:textId="77777777" w:rsidR="000418B5" w:rsidRDefault="000418B5" w:rsidP="00EA53FC">
      <w:pPr>
        <w:spacing w:after="0" w:line="240" w:lineRule="auto"/>
        <w:jc w:val="center"/>
        <w:rPr>
          <w:rFonts w:ascii="Times New Roman" w:eastAsia="Times New Roman" w:hAnsi="Times New Roman"/>
          <w:sz w:val="24"/>
          <w:szCs w:val="24"/>
        </w:rPr>
      </w:pPr>
    </w:p>
    <w:p w14:paraId="090E5521" w14:textId="77777777" w:rsidR="000418B5" w:rsidRDefault="000418B5" w:rsidP="00EA53FC">
      <w:pPr>
        <w:spacing w:after="0" w:line="240" w:lineRule="auto"/>
        <w:jc w:val="center"/>
        <w:rPr>
          <w:rFonts w:ascii="Times New Roman" w:eastAsia="Times New Roman" w:hAnsi="Times New Roman"/>
          <w:sz w:val="24"/>
          <w:szCs w:val="24"/>
        </w:rPr>
      </w:pPr>
    </w:p>
    <w:p w14:paraId="287DC920" w14:textId="77777777" w:rsidR="000418B5" w:rsidRDefault="000418B5" w:rsidP="00EA53FC">
      <w:pPr>
        <w:spacing w:after="0" w:line="240" w:lineRule="auto"/>
        <w:jc w:val="center"/>
        <w:rPr>
          <w:rFonts w:ascii="Times New Roman" w:eastAsia="Times New Roman" w:hAnsi="Times New Roman"/>
          <w:sz w:val="24"/>
          <w:szCs w:val="24"/>
        </w:rPr>
      </w:pPr>
    </w:p>
    <w:p w14:paraId="2C0F354F" w14:textId="77777777" w:rsidR="000418B5" w:rsidRDefault="000418B5" w:rsidP="00EA53FC">
      <w:pPr>
        <w:spacing w:after="0" w:line="240" w:lineRule="auto"/>
        <w:jc w:val="center"/>
        <w:rPr>
          <w:rFonts w:ascii="Times New Roman" w:eastAsia="Times New Roman" w:hAnsi="Times New Roman"/>
          <w:sz w:val="24"/>
          <w:szCs w:val="24"/>
        </w:rPr>
      </w:pPr>
    </w:p>
    <w:p w14:paraId="761DBCE9" w14:textId="77777777" w:rsidR="000418B5" w:rsidRDefault="000418B5" w:rsidP="00EA53FC">
      <w:pPr>
        <w:spacing w:after="0" w:line="240" w:lineRule="auto"/>
        <w:jc w:val="center"/>
        <w:rPr>
          <w:rFonts w:ascii="Times New Roman" w:eastAsia="Times New Roman" w:hAnsi="Times New Roman"/>
          <w:sz w:val="24"/>
          <w:szCs w:val="24"/>
        </w:rPr>
      </w:pPr>
    </w:p>
    <w:p w14:paraId="0D2B37F2" w14:textId="77777777" w:rsidR="000418B5" w:rsidRDefault="000418B5" w:rsidP="00EA53FC">
      <w:pPr>
        <w:spacing w:after="0" w:line="240" w:lineRule="auto"/>
        <w:jc w:val="center"/>
        <w:rPr>
          <w:rFonts w:ascii="Times New Roman" w:eastAsia="Times New Roman" w:hAnsi="Times New Roman"/>
          <w:sz w:val="24"/>
          <w:szCs w:val="24"/>
        </w:rPr>
      </w:pPr>
    </w:p>
    <w:p w14:paraId="07E4FA55" w14:textId="77777777" w:rsidR="000418B5" w:rsidRDefault="000418B5" w:rsidP="00EA53FC">
      <w:pPr>
        <w:spacing w:after="0" w:line="240" w:lineRule="auto"/>
        <w:jc w:val="center"/>
        <w:rPr>
          <w:rFonts w:ascii="Times New Roman" w:eastAsia="Times New Roman" w:hAnsi="Times New Roman"/>
          <w:sz w:val="24"/>
          <w:szCs w:val="24"/>
        </w:rPr>
      </w:pPr>
    </w:p>
    <w:p w14:paraId="7EDF73E6" w14:textId="77777777" w:rsidR="000418B5" w:rsidRDefault="000418B5" w:rsidP="00EA53FC">
      <w:pPr>
        <w:spacing w:after="0" w:line="240" w:lineRule="auto"/>
        <w:jc w:val="center"/>
        <w:rPr>
          <w:rFonts w:ascii="Times New Roman" w:eastAsia="Times New Roman" w:hAnsi="Times New Roman"/>
          <w:sz w:val="24"/>
          <w:szCs w:val="24"/>
        </w:rPr>
      </w:pPr>
    </w:p>
    <w:p w14:paraId="17F2C1BD" w14:textId="76643F5B" w:rsidR="00EA53FC" w:rsidRPr="00EA53FC" w:rsidRDefault="00EA53FC" w:rsidP="00EA53FC">
      <w:pPr>
        <w:spacing w:after="0" w:line="240" w:lineRule="auto"/>
        <w:jc w:val="center"/>
        <w:rPr>
          <w:rFonts w:ascii="Times New Roman" w:eastAsia="Times New Roman" w:hAnsi="Times New Roman"/>
          <w:sz w:val="24"/>
          <w:szCs w:val="24"/>
        </w:rPr>
      </w:pPr>
      <w:r w:rsidRPr="00EA53FC">
        <w:rPr>
          <w:rFonts w:ascii="Times New Roman" w:eastAsia="Times New Roman" w:hAnsi="Times New Roman"/>
          <w:sz w:val="24"/>
          <w:szCs w:val="24"/>
        </w:rPr>
        <w:lastRenderedPageBreak/>
        <w:t>Proposed Int. No. 431-B</w:t>
      </w:r>
    </w:p>
    <w:p w14:paraId="56FF2BC0" w14:textId="77777777" w:rsidR="00EA53FC" w:rsidRPr="00EA53FC" w:rsidRDefault="00EA53FC" w:rsidP="00EA53FC">
      <w:pPr>
        <w:spacing w:after="0" w:line="240" w:lineRule="auto"/>
        <w:jc w:val="center"/>
        <w:rPr>
          <w:rFonts w:ascii="Times New Roman" w:eastAsia="Times New Roman" w:hAnsi="Times New Roman"/>
          <w:sz w:val="24"/>
          <w:szCs w:val="24"/>
        </w:rPr>
      </w:pPr>
    </w:p>
    <w:p w14:paraId="163E5884" w14:textId="77777777" w:rsidR="00EA53FC" w:rsidRPr="00EA53FC" w:rsidRDefault="00EA53FC" w:rsidP="00EA53FC">
      <w:pPr>
        <w:autoSpaceDE w:val="0"/>
        <w:autoSpaceDN w:val="0"/>
        <w:adjustRightInd w:val="0"/>
        <w:spacing w:after="0"/>
        <w:jc w:val="both"/>
        <w:rPr>
          <w:rFonts w:ascii="Times New Roman" w:hAnsi="Times New Roman"/>
          <w:sz w:val="24"/>
          <w:szCs w:val="24"/>
        </w:rPr>
      </w:pPr>
      <w:r w:rsidRPr="00EA53FC">
        <w:rPr>
          <w:rFonts w:ascii="Times New Roman" w:hAnsi="Times New Roman"/>
          <w:color w:val="000000"/>
          <w:sz w:val="24"/>
          <w:szCs w:val="24"/>
        </w:rPr>
        <w:t xml:space="preserve">By Council Members Sanchez, Farías, De La Rosa, Krishnan, Hanif, Ayala, </w:t>
      </w:r>
      <w:proofErr w:type="spellStart"/>
      <w:r w:rsidRPr="00EA53FC">
        <w:rPr>
          <w:rFonts w:ascii="Times New Roman" w:hAnsi="Times New Roman"/>
          <w:color w:val="000000"/>
          <w:sz w:val="24"/>
          <w:szCs w:val="24"/>
        </w:rPr>
        <w:t>Ossé</w:t>
      </w:r>
      <w:proofErr w:type="spellEnd"/>
      <w:r w:rsidRPr="00EA53FC">
        <w:rPr>
          <w:rFonts w:ascii="Times New Roman" w:hAnsi="Times New Roman"/>
          <w:color w:val="000000"/>
          <w:sz w:val="24"/>
          <w:szCs w:val="24"/>
        </w:rPr>
        <w:t xml:space="preserve">, Cabán, Nurse, Marte, </w:t>
      </w:r>
      <w:proofErr w:type="spellStart"/>
      <w:r w:rsidRPr="00EA53FC">
        <w:rPr>
          <w:rFonts w:ascii="Times New Roman" w:hAnsi="Times New Roman"/>
          <w:color w:val="000000"/>
          <w:sz w:val="24"/>
          <w:szCs w:val="24"/>
        </w:rPr>
        <w:t>Restler</w:t>
      </w:r>
      <w:proofErr w:type="spellEnd"/>
      <w:r w:rsidRPr="00EA53FC">
        <w:rPr>
          <w:rFonts w:ascii="Times New Roman" w:hAnsi="Times New Roman"/>
          <w:color w:val="000000"/>
          <w:sz w:val="24"/>
          <w:szCs w:val="24"/>
        </w:rPr>
        <w:t>, Gutiérrez, Won, Avilés, Hudson, Louis, the Public Advocate (Mr. Williams), Salaam, Feliz, Brannan, Banks, Abreu, Brewer, Joseph, Menin, Salamanca, Riley, Powers, Schulman, Brooks-Powers, Lee, Stevens, Gennaro and Epstein (in conjunction with the Queens and Brooklyn Borough Presidents)</w:t>
      </w:r>
    </w:p>
    <w:p w14:paraId="70D68BC7" w14:textId="77777777" w:rsidR="00EA53FC" w:rsidRPr="00EA53FC" w:rsidRDefault="00EA53FC" w:rsidP="00EA53FC">
      <w:pPr>
        <w:spacing w:after="0"/>
        <w:rPr>
          <w:rFonts w:ascii="Times New Roman" w:hAnsi="Times New Roman"/>
          <w:sz w:val="24"/>
          <w:szCs w:val="24"/>
        </w:rPr>
      </w:pPr>
    </w:p>
    <w:p w14:paraId="71BD4A99" w14:textId="77777777" w:rsidR="00EA53FC" w:rsidRPr="00EA53FC" w:rsidRDefault="00EA53FC" w:rsidP="00EA53FC">
      <w:pPr>
        <w:spacing w:after="0" w:line="240" w:lineRule="auto"/>
        <w:jc w:val="both"/>
        <w:rPr>
          <w:rFonts w:ascii="Times New Roman" w:eastAsia="Times New Roman" w:hAnsi="Times New Roman"/>
          <w:vanish/>
          <w:sz w:val="24"/>
          <w:szCs w:val="24"/>
        </w:rPr>
      </w:pPr>
      <w:r w:rsidRPr="00EA53FC">
        <w:rPr>
          <w:rFonts w:ascii="Times New Roman" w:eastAsia="Times New Roman" w:hAnsi="Times New Roman"/>
          <w:vanish/>
          <w:sz w:val="24"/>
          <w:szCs w:val="24"/>
        </w:rPr>
        <w:t>..Title</w:t>
      </w:r>
    </w:p>
    <w:p w14:paraId="05E3D2C9" w14:textId="77777777" w:rsidR="00EA53FC" w:rsidRPr="00EA53FC" w:rsidRDefault="00EA53FC" w:rsidP="00EA53FC">
      <w:pPr>
        <w:spacing w:after="0" w:line="240" w:lineRule="auto"/>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A Local Law to amend the New York city charter and the administrative code of the city of New York, in relation to expanding business licensing and regulatory compliance of all mobile food and general vendors </w:t>
      </w:r>
    </w:p>
    <w:p w14:paraId="101A1E99" w14:textId="77777777" w:rsidR="00EA53FC" w:rsidRPr="00EA53FC" w:rsidRDefault="00EA53FC" w:rsidP="00EA53FC">
      <w:pPr>
        <w:spacing w:after="0" w:line="240" w:lineRule="auto"/>
        <w:jc w:val="both"/>
        <w:rPr>
          <w:rFonts w:ascii="Times New Roman" w:eastAsia="Times New Roman" w:hAnsi="Times New Roman"/>
          <w:vanish/>
          <w:sz w:val="24"/>
          <w:szCs w:val="24"/>
        </w:rPr>
      </w:pPr>
      <w:r w:rsidRPr="00EA53FC">
        <w:rPr>
          <w:rFonts w:ascii="Times New Roman" w:eastAsia="Times New Roman" w:hAnsi="Times New Roman"/>
          <w:vanish/>
          <w:sz w:val="24"/>
          <w:szCs w:val="24"/>
        </w:rPr>
        <w:t>..Body</w:t>
      </w:r>
    </w:p>
    <w:p w14:paraId="55148230" w14:textId="77777777" w:rsidR="00EA53FC" w:rsidRPr="00EA53FC" w:rsidRDefault="00EA53FC" w:rsidP="00EA53FC">
      <w:pPr>
        <w:spacing w:after="0" w:line="240" w:lineRule="auto"/>
        <w:jc w:val="both"/>
        <w:rPr>
          <w:rFonts w:ascii="Times New Roman" w:eastAsia="Times New Roman" w:hAnsi="Times New Roman"/>
          <w:sz w:val="24"/>
          <w:szCs w:val="24"/>
          <w:u w:val="single"/>
        </w:rPr>
      </w:pPr>
    </w:p>
    <w:p w14:paraId="0ED34488" w14:textId="77777777" w:rsidR="00EA53FC" w:rsidRPr="00EA53FC" w:rsidRDefault="00EA53FC" w:rsidP="00EA53FC">
      <w:pPr>
        <w:spacing w:after="0" w:line="240" w:lineRule="auto"/>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Be it enacted by the Council as follows:</w:t>
      </w:r>
    </w:p>
    <w:p w14:paraId="59F8C7C2" w14:textId="77777777" w:rsidR="00EA53FC" w:rsidRPr="00EA53FC" w:rsidRDefault="00EA53FC" w:rsidP="00EA53FC">
      <w:pPr>
        <w:spacing w:after="0" w:line="240" w:lineRule="auto"/>
        <w:jc w:val="both"/>
        <w:rPr>
          <w:rFonts w:ascii="Times New Roman" w:eastAsia="Times New Roman" w:hAnsi="Times New Roman"/>
          <w:sz w:val="24"/>
          <w:szCs w:val="24"/>
        </w:rPr>
      </w:pPr>
    </w:p>
    <w:p w14:paraId="381439B7" w14:textId="77777777" w:rsidR="00EA53FC" w:rsidRPr="00EA53FC" w:rsidRDefault="00EA53FC" w:rsidP="00EA53FC">
      <w:pPr>
        <w:spacing w:after="0" w:line="480" w:lineRule="auto"/>
        <w:ind w:firstLine="720"/>
        <w:jc w:val="both"/>
        <w:rPr>
          <w:rFonts w:ascii="Times New Roman" w:eastAsia="Times New Roman" w:hAnsi="Times New Roman"/>
          <w:sz w:val="24"/>
          <w:szCs w:val="24"/>
        </w:rPr>
        <w:sectPr w:rsidR="00EA53FC" w:rsidRPr="00EA53FC" w:rsidSect="00EA53FC">
          <w:footerReference w:type="default" r:id="rId11"/>
          <w:footerReference w:type="first" r:id="rId12"/>
          <w:pgSz w:w="12240" w:h="15840"/>
          <w:pgMar w:top="1440" w:right="1440" w:bottom="1440" w:left="1440" w:header="720" w:footer="720" w:gutter="0"/>
          <w:cols w:space="720"/>
          <w:docGrid w:linePitch="360"/>
        </w:sectPr>
      </w:pPr>
    </w:p>
    <w:p w14:paraId="7AF6EBF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Section 1. Section 13-e of the New York city charter, as amended by local law number 117 for the year 2024, is amended to read as follows:</w:t>
      </w:r>
    </w:p>
    <w:p w14:paraId="6DC704F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13-e. Office of street vendor enforcement.  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w:t>
      </w:r>
      <w:proofErr w:type="gramStart"/>
      <w:r w:rsidRPr="00EA53FC">
        <w:rPr>
          <w:rFonts w:ascii="Times New Roman" w:eastAsia="Times New Roman" w:hAnsi="Times New Roman"/>
          <w:sz w:val="24"/>
          <w:szCs w:val="24"/>
        </w:rPr>
        <w:t>a sufficient number of</w:t>
      </w:r>
      <w:proofErr w:type="gramEnd"/>
      <w:r w:rsidRPr="00EA53FC">
        <w:rPr>
          <w:rFonts w:ascii="Times New Roman" w:eastAsia="Times New Roman" w:hAnsi="Times New Roman"/>
          <w:sz w:val="24"/>
          <w:szCs w:val="24"/>
        </w:rPr>
        <w:t xml:space="preserve"> street patrols to inspect or examine the vending activities of at least [75] </w:t>
      </w:r>
      <w:r w:rsidRPr="00EA53FC">
        <w:rPr>
          <w:rFonts w:ascii="Times New Roman" w:eastAsia="Times New Roman" w:hAnsi="Times New Roman"/>
          <w:sz w:val="24"/>
          <w:szCs w:val="24"/>
          <w:u w:val="single"/>
        </w:rPr>
        <w:t>80</w:t>
      </w:r>
      <w:r w:rsidRPr="00EA53FC">
        <w:rPr>
          <w:rFonts w:ascii="Times New Roman" w:eastAsia="Times New Roman" w:hAnsi="Times New Roman"/>
          <w:sz w:val="24"/>
          <w:szCs w:val="24"/>
        </w:rPr>
        <w:t xml:space="preserve"> percent of applicable permittees or licensees on an annual basis. For the purposes of this section, the term "applicable permittees or licensees" means persons issued full-term or temporary permits 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Such office shall have the power and duty to:</w:t>
      </w:r>
    </w:p>
    <w:p w14:paraId="07169EC0"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a. enforce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09D4DA9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focus its enforcement efforts on areas including, but not limited to, areas adjacent to retailers that dedicate substantial floor area to the sale of fresh fruits and vegetables, </w:t>
      </w:r>
      <w:r w:rsidRPr="00EA53FC">
        <w:rPr>
          <w:rFonts w:ascii="Times New Roman" w:eastAsia="Times New Roman" w:hAnsi="Times New Roman"/>
          <w:sz w:val="24"/>
          <w:szCs w:val="24"/>
          <w:u w:val="single"/>
        </w:rPr>
        <w:t>areas that are restricted to vending by sections 17-315 and 20-465 of the administrative code,</w:t>
      </w:r>
      <w:r w:rsidRPr="00EA53FC">
        <w:rPr>
          <w:rFonts w:ascii="Times New Roman" w:eastAsia="Times New Roman" w:hAnsi="Times New Roman"/>
          <w:sz w:val="24"/>
          <w:szCs w:val="24"/>
        </w:rPr>
        <w:t xml:space="preserve"> and any other areas identified by the department of transportation as [excessively congested] </w:t>
      </w:r>
      <w:r w:rsidRPr="00EA53FC">
        <w:rPr>
          <w:rFonts w:ascii="Times New Roman" w:eastAsia="Times New Roman" w:hAnsi="Times New Roman"/>
          <w:sz w:val="24"/>
          <w:szCs w:val="24"/>
          <w:u w:val="single"/>
        </w:rPr>
        <w:t>a global corridor or a regional corridor</w:t>
      </w:r>
      <w:r w:rsidRPr="00EA53FC">
        <w:rPr>
          <w:rFonts w:ascii="Times New Roman" w:eastAsia="Times New Roman" w:hAnsi="Times New Roman"/>
          <w:sz w:val="24"/>
          <w:szCs w:val="24"/>
        </w:rPr>
        <w:t xml:space="preserve"> and featuring a high level of complaints about vendor activity, if any;</w:t>
      </w:r>
    </w:p>
    <w:p w14:paraId="45D24DC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w:t>
      </w:r>
      <w:proofErr w:type="gramStart"/>
      <w:r w:rsidRPr="00EA53FC">
        <w:rPr>
          <w:rFonts w:ascii="Times New Roman" w:eastAsia="Times New Roman" w:hAnsi="Times New Roman"/>
          <w:sz w:val="24"/>
          <w:szCs w:val="24"/>
        </w:rPr>
        <w:t>collaborate</w:t>
      </w:r>
      <w:proofErr w:type="gramEnd"/>
      <w:r w:rsidRPr="00EA53FC">
        <w:rPr>
          <w:rFonts w:ascii="Times New Roman" w:eastAsia="Times New Roman" w:hAnsi="Times New Roman"/>
          <w:sz w:val="24"/>
          <w:szCs w:val="24"/>
        </w:rPr>
        <w:t xml:space="preserve"> with the department of small business services to provide training, outreach and education to all street vendors on entrepreneurship and compliance with all applicable local laws and regulations, as well as solicit feedback from the street vendor </w:t>
      </w:r>
      <w:proofErr w:type="gramStart"/>
      <w:r w:rsidRPr="00EA53FC">
        <w:rPr>
          <w:rFonts w:ascii="Times New Roman" w:eastAsia="Times New Roman" w:hAnsi="Times New Roman"/>
          <w:sz w:val="24"/>
          <w:szCs w:val="24"/>
        </w:rPr>
        <w:t>community;</w:t>
      </w:r>
      <w:proofErr w:type="gramEnd"/>
    </w:p>
    <w:p w14:paraId="2FFDFE3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w:t>
      </w:r>
      <w:proofErr w:type="gramStart"/>
      <w:r w:rsidRPr="00EA53FC">
        <w:rPr>
          <w:rFonts w:ascii="Times New Roman" w:eastAsia="Times New Roman" w:hAnsi="Times New Roman"/>
          <w:sz w:val="24"/>
          <w:szCs w:val="24"/>
        </w:rPr>
        <w:t>receive</w:t>
      </w:r>
      <w:proofErr w:type="gramEnd"/>
      <w:r w:rsidRPr="00EA53FC">
        <w:rPr>
          <w:rFonts w:ascii="Times New Roman" w:eastAsia="Times New Roman" w:hAnsi="Times New Roman"/>
          <w:sz w:val="24"/>
          <w:szCs w:val="24"/>
        </w:rPr>
        <w:t xml:space="preserve"> all complaints related to street vending on the streets and sidewalks of the city of New York from the </w:t>
      </w:r>
      <w:proofErr w:type="gramStart"/>
      <w:r w:rsidRPr="00EA53FC">
        <w:rPr>
          <w:rFonts w:ascii="Times New Roman" w:eastAsia="Times New Roman" w:hAnsi="Times New Roman"/>
          <w:sz w:val="24"/>
          <w:szCs w:val="24"/>
        </w:rPr>
        <w:t>311 service</w:t>
      </w:r>
      <w:proofErr w:type="gramEnd"/>
      <w:r w:rsidRPr="00EA53FC">
        <w:rPr>
          <w:rFonts w:ascii="Times New Roman" w:eastAsia="Times New Roman" w:hAnsi="Times New Roman"/>
          <w:sz w:val="24"/>
          <w:szCs w:val="24"/>
        </w:rPr>
        <w:t xml:space="preserve"> center or from any other means; and</w:t>
      </w:r>
    </w:p>
    <w:p w14:paraId="3E0D7B2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w:t>
      </w:r>
      <w:proofErr w:type="gramStart"/>
      <w:r w:rsidRPr="00EA53FC">
        <w:rPr>
          <w:rFonts w:ascii="Times New Roman" w:eastAsia="Times New Roman" w:hAnsi="Times New Roman"/>
          <w:sz w:val="24"/>
          <w:szCs w:val="24"/>
        </w:rPr>
        <w:t>engage</w:t>
      </w:r>
      <w:proofErr w:type="gramEnd"/>
      <w:r w:rsidRPr="00EA53FC">
        <w:rPr>
          <w:rFonts w:ascii="Times New Roman" w:eastAsia="Times New Roman" w:hAnsi="Times New Roman"/>
          <w:sz w:val="24"/>
          <w:szCs w:val="24"/>
        </w:rPr>
        <w:t xml:space="preserve"> in </w:t>
      </w:r>
      <w:proofErr w:type="gramStart"/>
      <w:r w:rsidRPr="00EA53FC">
        <w:rPr>
          <w:rFonts w:ascii="Times New Roman" w:eastAsia="Times New Roman" w:hAnsi="Times New Roman"/>
          <w:sz w:val="24"/>
          <w:szCs w:val="24"/>
        </w:rPr>
        <w:t>such other</w:t>
      </w:r>
      <w:proofErr w:type="gramEnd"/>
      <w:r w:rsidRPr="00EA53FC">
        <w:rPr>
          <w:rFonts w:ascii="Times New Roman" w:eastAsia="Times New Roman" w:hAnsi="Times New Roman"/>
          <w:sz w:val="24"/>
          <w:szCs w:val="24"/>
        </w:rPr>
        <w:t xml:space="preserve"> activities related to enforcement of laws related to vending on the streets and sidewalks and in parks of the city of New York, or related to improving compliance with such laws, as may be designated by the mayor. For the purposes of this section, ["excessively congested" areas include, but are not limited to, areas where pedestrian volume regularly approaches or exceeds the capacity of the sidewalk] </w:t>
      </w:r>
      <w:r w:rsidRPr="00EA53FC">
        <w:rPr>
          <w:rFonts w:ascii="Times New Roman" w:eastAsia="Times New Roman" w:hAnsi="Times New Roman"/>
          <w:sz w:val="24"/>
          <w:szCs w:val="24"/>
          <w:u w:val="single"/>
        </w:rPr>
        <w:t>a “global corridor” and a “regional corridor”  are each one of the five street categories referenced in the department of transportation’s NYC streets plan established pursuant to section 19-199.1 of the administrative code</w:t>
      </w:r>
      <w:r w:rsidRPr="00EA53FC">
        <w:rPr>
          <w:rFonts w:ascii="Times New Roman" w:eastAsia="Times New Roman" w:hAnsi="Times New Roman"/>
          <w:sz w:val="24"/>
          <w:szCs w:val="24"/>
        </w:rPr>
        <w:t>.</w:t>
      </w:r>
    </w:p>
    <w:p w14:paraId="263ABA2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 2. Subparagraph a of paragraph 3 of subdivision b of section 17-307 of the administrative code of the city of New York, as amended by local law number 18 for the year 2021, is amended to read as follows: </w:t>
      </w:r>
    </w:p>
    <w:p w14:paraId="36050180"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w:t>
      </w:r>
      <w:proofErr w:type="spellStart"/>
      <w:r w:rsidRPr="00EA53FC">
        <w:rPr>
          <w:rFonts w:ascii="Times New Roman" w:eastAsia="Times New Roman" w:hAnsi="Times New Roman"/>
          <w:sz w:val="24"/>
          <w:szCs w:val="24"/>
        </w:rPr>
        <w:t>i</w:t>
      </w:r>
      <w:proofErr w:type="spellEnd"/>
      <w:r w:rsidRPr="00EA53FC">
        <w:rPr>
          <w:rFonts w:ascii="Times New Roman" w:eastAsia="Times New Roman" w:hAnsi="Times New Roman"/>
          <w:sz w:val="24"/>
          <w:szCs w:val="24"/>
        </w:rPr>
        <w:t>)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79176B5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(ii) The department shall make available for application [45] </w:t>
      </w:r>
      <w:r w:rsidRPr="00EA53FC">
        <w:rPr>
          <w:rFonts w:ascii="Times New Roman" w:eastAsia="Times New Roman" w:hAnsi="Times New Roman"/>
          <w:sz w:val="24"/>
          <w:szCs w:val="24"/>
          <w:u w:val="single"/>
        </w:rPr>
        <w:t>200</w:t>
      </w:r>
      <w:r w:rsidRPr="00EA53FC">
        <w:rPr>
          <w:rFonts w:ascii="Times New Roman" w:eastAsia="Times New Roman" w:hAnsi="Times New Roman"/>
          <w:sz w:val="24"/>
          <w:szCs w:val="24"/>
        </w:rPr>
        <w:t xml:space="preserve"> supervisory licenses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In addition to the 100 permits authorized to be issued by clause (</w:t>
      </w:r>
      <w:proofErr w:type="spellStart"/>
      <w:r w:rsidRPr="00EA53FC">
        <w:rPr>
          <w:rFonts w:ascii="Times New Roman" w:eastAsia="Times New Roman" w:hAnsi="Times New Roman"/>
          <w:sz w:val="24"/>
          <w:szCs w:val="24"/>
        </w:rPr>
        <w:t>i</w:t>
      </w:r>
      <w:proofErr w:type="spellEnd"/>
      <w:r w:rsidRPr="00EA53FC">
        <w:rPr>
          <w:rFonts w:ascii="Times New Roman" w:eastAsia="Times New Roman" w:hAnsi="Times New Roman"/>
          <w:sz w:val="24"/>
          <w:szCs w:val="24"/>
        </w:rPr>
        <w:t xml:space="preserve">)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Pr="00EA53FC">
        <w:rPr>
          <w:rFonts w:ascii="Times New Roman" w:eastAsia="Times New Roman" w:hAnsi="Times New Roman"/>
          <w:sz w:val="24"/>
          <w:szCs w:val="24"/>
          <w:u w:val="single"/>
        </w:rPr>
        <w:t>200</w:t>
      </w:r>
      <w:r w:rsidRPr="00EA53FC">
        <w:rPr>
          <w:rFonts w:ascii="Times New Roman" w:eastAsia="Times New Roman" w:hAnsi="Times New Roman"/>
          <w:sz w:val="24"/>
          <w:szCs w:val="24"/>
        </w:rPr>
        <w:t xml:space="preserve"> permits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and issue a permit to each applicant who complies with the requirements for such permit.</w:t>
      </w:r>
    </w:p>
    <w:p w14:paraId="127D81E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73EE709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(iv) The commissioner shall establish a waiting </w:t>
      </w:r>
      <w:proofErr w:type="gramStart"/>
      <w:r w:rsidRPr="00EA53FC">
        <w:rPr>
          <w:rFonts w:ascii="Times New Roman" w:eastAsia="Times New Roman" w:hAnsi="Times New Roman"/>
          <w:sz w:val="24"/>
          <w:szCs w:val="24"/>
        </w:rPr>
        <w:t>list[</w:t>
      </w:r>
      <w:proofErr w:type="gramEnd"/>
      <w:r w:rsidRPr="00EA53FC">
        <w:rPr>
          <w:rFonts w:ascii="Times New Roman" w:eastAsia="Times New Roman" w:hAnsi="Times New Roman"/>
          <w:sz w:val="24"/>
          <w:szCs w:val="24"/>
        </w:rPr>
        <w:t xml:space="preserve">, not to exceed four hundred in number,] to be administered in accordance with procedures to be established by the rules of the commissioner. </w:t>
      </w:r>
    </w:p>
    <w:p w14:paraId="1D61FE4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rPr>
        <w:lastRenderedPageBreak/>
        <w:t>§ 3. Paragraph 5 of subdivision b of section 17-307 of the administrative code of the city of New York, as amended by local law number 18 for the year 2021, is amended to read as follows:</w:t>
      </w:r>
    </w:p>
    <w:p w14:paraId="53642D2D"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5. (a)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xml:space="preserve">. On or after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all permits issued under this subchapter, except fresh fruits and vegetables permits, shall be designated for use only when any holder of a supervisory license is physically present and vending.</w:t>
      </w:r>
    </w:p>
    <w:p w14:paraId="4525F33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The commissioner shall make available for application [400] </w:t>
      </w:r>
      <w:r w:rsidRPr="00EA53FC">
        <w:rPr>
          <w:rFonts w:ascii="Times New Roman" w:eastAsia="Times New Roman" w:hAnsi="Times New Roman"/>
          <w:sz w:val="24"/>
          <w:szCs w:val="24"/>
          <w:u w:val="single"/>
        </w:rPr>
        <w:t>2,000</w:t>
      </w:r>
      <w:r w:rsidRPr="00EA53FC">
        <w:rPr>
          <w:rFonts w:ascii="Times New Roman" w:eastAsia="Times New Roman" w:hAnsi="Times New Roman"/>
          <w:sz w:val="24"/>
          <w:szCs w:val="24"/>
        </w:rPr>
        <w:t xml:space="preserve"> supervisory licenses per twelve-month period for [ten] </w:t>
      </w:r>
      <w:r w:rsidRPr="00EA53FC">
        <w:rPr>
          <w:rFonts w:ascii="Times New Roman" w:eastAsia="Times New Roman" w:hAnsi="Times New Roman"/>
          <w:sz w:val="24"/>
          <w:szCs w:val="24"/>
          <w:u w:val="single"/>
        </w:rPr>
        <w:t>five</w:t>
      </w:r>
      <w:r w:rsidRPr="00EA53FC">
        <w:rPr>
          <w:rFonts w:ascii="Times New Roman" w:eastAsia="Times New Roman" w:hAnsi="Times New Roman"/>
          <w:sz w:val="24"/>
          <w:szCs w:val="24"/>
        </w:rPr>
        <w:t xml:space="preserve"> consecutive years beginning on [July 1, 2022] </w:t>
      </w:r>
      <w:r w:rsidRPr="00EA53FC">
        <w:rPr>
          <w:rFonts w:ascii="Times New Roman" w:eastAsia="Times New Roman" w:hAnsi="Times New Roman"/>
          <w:sz w:val="24"/>
          <w:szCs w:val="24"/>
          <w:u w:val="single"/>
        </w:rPr>
        <w:t>July 1, 2026</w:t>
      </w:r>
      <w:r w:rsidRPr="00EA53FC">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2032] </w:t>
      </w:r>
      <w:r w:rsidRPr="00EA53FC">
        <w:rPr>
          <w:rFonts w:ascii="Times New Roman" w:eastAsia="Times New Roman" w:hAnsi="Times New Roman"/>
          <w:sz w:val="24"/>
          <w:szCs w:val="24"/>
          <w:u w:val="single"/>
        </w:rPr>
        <w:t>July 1, 2031</w:t>
      </w:r>
      <w:r w:rsidRPr="00EA53FC">
        <w:rPr>
          <w:rFonts w:ascii="Times New Roman" w:eastAsia="Times New Roman" w:hAnsi="Times New Roman"/>
          <w:sz w:val="24"/>
          <w:szCs w:val="24"/>
        </w:rPr>
        <w:t>, the commissioner shall make available for application supervisory licenses to any person seeking to renew a permit that was issued under this subchapter before July 1, 2022.</w:t>
      </w:r>
    </w:p>
    <w:p w14:paraId="5BF02C9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In accordance with procedures to be established by rules of the commissioner, in each </w:t>
      </w:r>
      <w:proofErr w:type="gramStart"/>
      <w:r w:rsidRPr="00EA53FC">
        <w:rPr>
          <w:rFonts w:ascii="Times New Roman" w:eastAsia="Times New Roman" w:hAnsi="Times New Roman"/>
          <w:sz w:val="24"/>
          <w:szCs w:val="24"/>
        </w:rPr>
        <w:t>twelve month</w:t>
      </w:r>
      <w:proofErr w:type="gramEnd"/>
      <w:r w:rsidRPr="00EA53FC">
        <w:rPr>
          <w:rFonts w:ascii="Times New Roman" w:eastAsia="Times New Roman" w:hAnsi="Times New Roman"/>
          <w:sz w:val="24"/>
          <w:szCs w:val="24"/>
        </w:rPr>
        <w:t xml:space="preserve"> period, [100] </w:t>
      </w:r>
      <w:r w:rsidRPr="00EA53FC">
        <w:rPr>
          <w:rFonts w:ascii="Times New Roman" w:eastAsia="Times New Roman" w:hAnsi="Times New Roman"/>
          <w:sz w:val="24"/>
          <w:szCs w:val="24"/>
          <w:u w:val="single"/>
        </w:rPr>
        <w:t>500</w:t>
      </w:r>
      <w:r w:rsidRPr="00EA53FC">
        <w:rPr>
          <w:rFonts w:ascii="Times New Roman" w:eastAsia="Times New Roman" w:hAnsi="Times New Roman"/>
          <w:sz w:val="24"/>
          <w:szCs w:val="24"/>
        </w:rPr>
        <w:t xml:space="preserve"> of the supervisory licenses made available for application under this paragraph shall be designated for use in any borough, and the remaining [300] </w:t>
      </w:r>
      <w:r w:rsidRPr="00EA53FC">
        <w:rPr>
          <w:rFonts w:ascii="Times New Roman" w:eastAsia="Times New Roman" w:hAnsi="Times New Roman"/>
          <w:sz w:val="24"/>
          <w:szCs w:val="24"/>
          <w:u w:val="single"/>
        </w:rPr>
        <w:t>1,500</w:t>
      </w:r>
      <w:r w:rsidRPr="00EA53FC">
        <w:rPr>
          <w:rFonts w:ascii="Times New Roman" w:eastAsia="Times New Roman" w:hAnsi="Times New Roman"/>
          <w:sz w:val="24"/>
          <w:szCs w:val="24"/>
        </w:rPr>
        <w:t xml:space="preserve"> such supervisory licenses shall be designated for use in boroughs outside of Manhattan.</w:t>
      </w:r>
    </w:p>
    <w:p w14:paraId="27EC869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(d) Preferences shall be given in the availability of applications for supervisory licenses pursuant to this paragraph and in the placement on a waiting list </w:t>
      </w:r>
      <w:proofErr w:type="gramStart"/>
      <w:r w:rsidRPr="00EA53FC">
        <w:rPr>
          <w:rFonts w:ascii="Times New Roman" w:eastAsia="Times New Roman" w:hAnsi="Times New Roman"/>
          <w:sz w:val="24"/>
          <w:szCs w:val="24"/>
        </w:rPr>
        <w:t>therefor</w:t>
      </w:r>
      <w:proofErr w:type="gramEnd"/>
      <w:r w:rsidRPr="00EA53FC">
        <w:rPr>
          <w:rFonts w:ascii="Times New Roman" w:eastAsia="Times New Roman" w:hAnsi="Times New Roman"/>
          <w:sz w:val="24"/>
          <w:szCs w:val="24"/>
        </w:rPr>
        <w:t xml:space="preserve"> to the following categories of persons in the following order.</w:t>
      </w:r>
    </w:p>
    <w:p w14:paraId="37F4E70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w:t>
      </w:r>
      <w:proofErr w:type="spellStart"/>
      <w:r w:rsidRPr="00EA53FC">
        <w:rPr>
          <w:rFonts w:ascii="Times New Roman" w:eastAsia="Times New Roman" w:hAnsi="Times New Roman"/>
          <w:sz w:val="24"/>
          <w:szCs w:val="24"/>
        </w:rPr>
        <w:t>i</w:t>
      </w:r>
      <w:proofErr w:type="spellEnd"/>
      <w:r w:rsidRPr="00EA53FC">
        <w:rPr>
          <w:rFonts w:ascii="Times New Roman" w:eastAsia="Times New Roman" w:hAnsi="Times New Roman"/>
          <w:sz w:val="24"/>
          <w:szCs w:val="24"/>
        </w:rPr>
        <w:t>)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494F3DD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00048CE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(iii) Persons who have held a food vendor license continuously since on or before March 1, 2017 but </w:t>
      </w:r>
      <w:proofErr w:type="gramStart"/>
      <w:r w:rsidRPr="00EA53FC">
        <w:rPr>
          <w:rFonts w:ascii="Times New Roman" w:eastAsia="Times New Roman" w:hAnsi="Times New Roman"/>
          <w:sz w:val="24"/>
          <w:szCs w:val="24"/>
        </w:rPr>
        <w:t>are were</w:t>
      </w:r>
      <w:proofErr w:type="gramEnd"/>
      <w:r w:rsidRPr="00EA53FC">
        <w:rPr>
          <w:rFonts w:ascii="Times New Roman" w:eastAsia="Times New Roman" w:hAnsi="Times New Roman"/>
          <w:sz w:val="24"/>
          <w:szCs w:val="24"/>
        </w:rPr>
        <w:t xml:space="preserve"> not on a waiting list for a full-term permit pursuant to this subchapter as of the effective date of the local law that added this paragraph.</w:t>
      </w:r>
    </w:p>
    <w:p w14:paraId="499EDA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(iv) Persons who have not held a food vendor license continuously since on or before March 1, 2017 and were not on a waiting list for a full-term permit pursuant to this subchapter as of the effective date of the local law that added this paragraph.</w:t>
      </w:r>
    </w:p>
    <w:p w14:paraId="6E22034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The commissioner may by rule limit the number of places on such waiting </w:t>
      </w:r>
      <w:proofErr w:type="gramStart"/>
      <w:r w:rsidRPr="00EA53FC">
        <w:rPr>
          <w:rFonts w:ascii="Times New Roman" w:eastAsia="Times New Roman" w:hAnsi="Times New Roman"/>
          <w:sz w:val="24"/>
          <w:szCs w:val="24"/>
        </w:rPr>
        <w:t>list, but</w:t>
      </w:r>
      <w:proofErr w:type="gramEnd"/>
      <w:r w:rsidRPr="00EA53FC">
        <w:rPr>
          <w:rFonts w:ascii="Times New Roman" w:eastAsia="Times New Roman" w:hAnsi="Times New Roman"/>
          <w:sz w:val="24"/>
          <w:szCs w:val="24"/>
        </w:rPr>
        <w:t xml:space="preserve"> shall ensure that such waiting list is operative prior to supervisory licenses becoming available to new individuals.</w:t>
      </w:r>
    </w:p>
    <w:p w14:paraId="29E43E0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(f) No later than July 1, 2031, the commissioner shall replenish the waiting list in accordance with the preferences set forth in this paragraph. </w:t>
      </w:r>
    </w:p>
    <w:p w14:paraId="342BF2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4.  Subdivision h of section 17-307 of the administrative code of the city of New York, as added by local law number 18 for the year 2021, is amended to read as follows:</w:t>
      </w:r>
    </w:p>
    <w:p w14:paraId="14F3905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h. 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00EA53FC">
        <w:rPr>
          <w:rFonts w:ascii="Times New Roman" w:eastAsia="Times New Roman" w:hAnsi="Times New Roman"/>
          <w:sz w:val="24"/>
          <w:szCs w:val="24"/>
          <w:u w:val="single"/>
        </w:rPr>
        <w:t>Such training shall include information related to any vending restriction applicable to the prospective license holder and shall include education related to vending restrictions applicable to the prospective license holder.</w:t>
      </w:r>
      <w:r w:rsidRPr="00EA53FC">
        <w:rPr>
          <w:rFonts w:ascii="Times New Roman" w:eastAsia="Times New Roman" w:hAnsi="Times New Roman"/>
          <w:sz w:val="24"/>
          <w:szCs w:val="24"/>
        </w:rPr>
        <w:t xml:space="preserve"> 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5EF4F24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5. Subchapter 2 of chapter 3 of title 17 of the administrative code of the city of New York is amended by adding a new section 17-315.1 to read as follows:</w:t>
      </w:r>
    </w:p>
    <w:p w14:paraId="75FE9E9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17-315.1 Cleanliness and waste removal requirements. a. A vendor shall keep the area within a 2-foot radius surrounding such vendor’s vending vehicle or pushcart free from obstruction and keep such area free from garbage, refuse, rubbish, litter or debris.</w:t>
      </w:r>
    </w:p>
    <w:p w14:paraId="44173E81"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lastRenderedPageBreak/>
        <w:t xml:space="preserve">b. A vendor shall, upon the request of a person authorized to enforce this section, provide proof of the proper waste disposal at a commissary required by subdivision e of section 89.27 of the New York city health code, in accordance with rules </w:t>
      </w:r>
      <w:proofErr w:type="gramStart"/>
      <w:r w:rsidRPr="00EA53FC">
        <w:rPr>
          <w:rFonts w:ascii="Times New Roman" w:eastAsia="Times New Roman" w:hAnsi="Times New Roman"/>
          <w:sz w:val="24"/>
          <w:szCs w:val="24"/>
          <w:u w:val="single"/>
        </w:rPr>
        <w:t>of  the</w:t>
      </w:r>
      <w:proofErr w:type="gramEnd"/>
      <w:r w:rsidRPr="00EA53FC">
        <w:rPr>
          <w:rFonts w:ascii="Times New Roman" w:eastAsia="Times New Roman" w:hAnsi="Times New Roman"/>
          <w:sz w:val="24"/>
          <w:szCs w:val="24"/>
          <w:u w:val="single"/>
        </w:rPr>
        <w:t xml:space="preserve"> department of sanitation, as allowed by law. </w:t>
      </w:r>
    </w:p>
    <w:p w14:paraId="4AC5BC7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6. Section 17-317 of the administrative code of the city of New York is amended by adding a new subdivision g to read as follows:</w:t>
      </w:r>
    </w:p>
    <w:p w14:paraId="1EDD219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g. 1. </w:t>
      </w:r>
      <w:bookmarkStart w:id="7" w:name="_Hlk216288844"/>
      <w:r w:rsidRPr="00EA53FC">
        <w:rPr>
          <w:rFonts w:ascii="Times New Roman" w:eastAsia="Times New Roman" w:hAnsi="Times New Roman"/>
          <w:sz w:val="24"/>
          <w:szCs w:val="24"/>
          <w:u w:val="single"/>
        </w:rPr>
        <w:t>The department may suspend or revoke a</w:t>
      </w:r>
      <w:bookmarkEnd w:id="7"/>
      <w:r w:rsidRPr="00EA53FC">
        <w:rPr>
          <w:rFonts w:ascii="Times New Roman" w:eastAsia="Times New Roman" w:hAnsi="Times New Roman"/>
          <w:sz w:val="24"/>
          <w:szCs w:val="24"/>
          <w:u w:val="single"/>
        </w:rPr>
        <w:t xml:space="preserve"> supervisory license or supervisory permit or other permit or license issued pursuant to this subchapter, after notice and an opportunity to be heard, for three violations of subdivisions b, c, e, g or h of section 17-315 committed within a 1-year period, as determined by the department. Such license or permit shall be suspended for 30 days upon the first such determination, 60 days upon the second such determination, and revoked upon the third such determination. </w:t>
      </w:r>
    </w:p>
    <w:p w14:paraId="245F56D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2. Prior to the reinstatement of a license, permit, supervisory license, or supervisory license permit suspended pursuant to paragraph 1 of this subdivision, such licensee or permittee shall complete the food protection course offered by the department, pursuant to section 81.15 the New York city health code or successor rules or regulations regarding food protection certificates required for all such </w:t>
      </w:r>
      <w:proofErr w:type="gramStart"/>
      <w:r w:rsidRPr="00EA53FC">
        <w:rPr>
          <w:rFonts w:ascii="Times New Roman" w:eastAsia="Times New Roman" w:hAnsi="Times New Roman"/>
          <w:sz w:val="24"/>
          <w:szCs w:val="24"/>
          <w:u w:val="single"/>
        </w:rPr>
        <w:t>licensees</w:t>
      </w:r>
      <w:proofErr w:type="gramEnd"/>
      <w:r w:rsidRPr="00EA53FC">
        <w:rPr>
          <w:rFonts w:ascii="Times New Roman" w:eastAsia="Times New Roman" w:hAnsi="Times New Roman"/>
          <w:sz w:val="24"/>
          <w:szCs w:val="24"/>
          <w:u w:val="single"/>
        </w:rPr>
        <w:t>.</w:t>
      </w:r>
      <w:r w:rsidRPr="00EA53FC" w:rsidDel="007D7F20">
        <w:rPr>
          <w:rFonts w:ascii="Times New Roman" w:eastAsia="Times New Roman" w:hAnsi="Times New Roman"/>
          <w:sz w:val="24"/>
          <w:szCs w:val="24"/>
          <w:u w:val="single"/>
        </w:rPr>
        <w:t xml:space="preserve"> </w:t>
      </w:r>
    </w:p>
    <w:p w14:paraId="7892F83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7. Subdivision b of section 17-325 of the administrative code of the city of New York, as amended by local law number 122 for the year 2025, is amended to read as follows:</w:t>
      </w:r>
    </w:p>
    <w:p w14:paraId="3948C00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1. In addition to the penalties prescribed by subdivision a of this section, any person who violates, or any person aiding another to violate, the provisions of subdivision a, b, or c of section 17-307 [of this subchapter] shall be liable for a civil penalty of not less than $150 nor more than $1,000 together with a penalty of $100 per day for every day during which the unlicensed business </w:t>
      </w:r>
      <w:r w:rsidRPr="00EA53FC">
        <w:rPr>
          <w:rFonts w:ascii="Times New Roman" w:eastAsia="Times New Roman" w:hAnsi="Times New Roman"/>
          <w:sz w:val="24"/>
          <w:szCs w:val="24"/>
        </w:rPr>
        <w:lastRenderedPageBreak/>
        <w:t xml:space="preserve">operated; except that a person who violates, or any person aiding another to violate, the provisions of subdivision a, b, or c of section 17-307 [of this subchapter] by engaging in continued unlicensed activity as defined by the commissioner, considering factors including but not limited to the frequency and duration of such unlicensed activity, shall be liable for a civil penalty of $1,000 together with a penalty of $250 per day for every day during which the unlicensed business operated. </w:t>
      </w:r>
      <w:r w:rsidRPr="00EA53FC">
        <w:rPr>
          <w:rFonts w:ascii="Times New Roman" w:eastAsia="Times New Roman" w:hAnsi="Times New Roman"/>
          <w:sz w:val="24"/>
          <w:szCs w:val="24"/>
          <w:u w:val="single"/>
        </w:rPr>
        <w:t>The commissioner may also consider additional civil penalties of up to $1,000 if such person had an opportunity to obtain a license or add themselves to the waitlist for such license.</w:t>
      </w:r>
    </w:p>
    <w:p w14:paraId="36FB9DF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2. Any person who violates any of the provisions of this subchapter, other than subdivision a, b, or c of section 17-307 [of this subchapter] </w:t>
      </w:r>
      <w:r w:rsidRPr="00EA53FC">
        <w:rPr>
          <w:rFonts w:ascii="Times New Roman" w:eastAsia="Times New Roman" w:hAnsi="Times New Roman"/>
          <w:sz w:val="24"/>
          <w:szCs w:val="24"/>
          <w:u w:val="single"/>
        </w:rPr>
        <w:t>or subdivision k of section 17-315</w:t>
      </w:r>
      <w:r w:rsidRPr="00EA53FC">
        <w:rPr>
          <w:rFonts w:ascii="Times New Roman" w:eastAsia="Times New Roman" w:hAnsi="Times New Roman"/>
          <w:sz w:val="24"/>
          <w:szCs w:val="24"/>
        </w:rPr>
        <w:t>, or any of the rules and regulations promulgated hereunder shall be liable for a civil penalty as follows:</w:t>
      </w:r>
    </w:p>
    <w:p w14:paraId="6DE8DDC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For the first violation, a penalty of $25.</w:t>
      </w:r>
    </w:p>
    <w:p w14:paraId="1990361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(b) For the second violation issued for the same offense within a period of two years of the date of a first violation, a penalty of $50.</w:t>
      </w:r>
    </w:p>
    <w:p w14:paraId="4C76F4E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For the third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$100, in addition to the remedy provided for in subdivision f of section 17-317 [of this subchapter].</w:t>
      </w:r>
    </w:p>
    <w:p w14:paraId="0A9D394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For any subsequent violations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$250.</w:t>
      </w:r>
    </w:p>
    <w:p w14:paraId="4CAA1A1A"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3. Notwithstanding paragraph 2 of this subdivision, any person that violates subdivision c of section 17-311 by failing to firmly affix a current letter grade or letter grade pending card to a vending vehicle or pushcart in a conspicuous place as required by rules of the department shall be liable for a civil penalty of $500.</w:t>
      </w:r>
    </w:p>
    <w:p w14:paraId="34B826B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4. Any person that violates section 17-311 or subdivisions a or b of section 17-315, or any rules promulgated thereunder, shall not be subject to a civil penalty for a first-time violation if such person proves to the satisfaction of the department, within [seven] </w:t>
      </w:r>
      <w:r w:rsidRPr="00EA53FC">
        <w:rPr>
          <w:rFonts w:ascii="Times New Roman" w:eastAsia="Times New Roman" w:hAnsi="Times New Roman"/>
          <w:sz w:val="24"/>
          <w:szCs w:val="24"/>
          <w:u w:val="single"/>
        </w:rPr>
        <w:t>7</w:t>
      </w:r>
      <w:r w:rsidRPr="00EA53FC">
        <w:rPr>
          <w:rFonts w:ascii="Times New Roman" w:eastAsia="Times New Roman" w:hAnsi="Times New Roman"/>
          <w:sz w:val="24"/>
          <w:szCs w:val="24"/>
        </w:rPr>
        <w:t xml:space="preserve"> days of the issuance of the notice of violation and prior to the commencement of an adjudication 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17-311 or subdivisions a or b of section 17-315, or any rules promulgated thereunder. The department shall permit such proof to be submitted electronically or in person. A person may seek review, in the office of administrative trials and hearings, of the determination that the person has not submitted proof of a cure within 15 days of receiving written notification of such determination.</w:t>
      </w:r>
    </w:p>
    <w:p w14:paraId="17B2416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5. Any person who violates subdivision k of section 17-315, or any of the rules and regulations promulgated hereunder, shall be liable for a civil penalty as follows:</w:t>
      </w:r>
    </w:p>
    <w:p w14:paraId="2C84D19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(a) For the first violation, a penalty of $50.</w:t>
      </w:r>
    </w:p>
    <w:p w14:paraId="7E6A0D6F"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For the second violation issued for the same offense within a period of 2 years of the date of a first violation, a penalty of $100.</w:t>
      </w:r>
    </w:p>
    <w:p w14:paraId="45924B4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For the third violation issued for the same offense within a period of 2 years of the date of a first violation, a penalty of $200, in addition to the remedy provided for in subdivision f of section 17-317.</w:t>
      </w:r>
    </w:p>
    <w:p w14:paraId="185E57EE" w14:textId="77777777" w:rsidR="00EA53FC" w:rsidRPr="00EA53FC" w:rsidDel="007D7F20"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(d) For any subsequent violations issued for the same offense within a period of 2 years of the date of a first violation, a penalty of $400.</w:t>
      </w:r>
    </w:p>
    <w:p w14:paraId="7660125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8. Section 20-459 of the administrative code of the city of New York is amended to read as follows:</w:t>
      </w:r>
    </w:p>
    <w:p w14:paraId="5EAC550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20-459 New licenses; existing licenses. a. The </w:t>
      </w:r>
      <w:r w:rsidRPr="00EA53FC">
        <w:rPr>
          <w:rFonts w:ascii="Times New Roman" w:eastAsia="Times New Roman" w:hAnsi="Times New Roman"/>
          <w:sz w:val="24"/>
          <w:szCs w:val="24"/>
          <w:u w:val="single"/>
        </w:rPr>
        <w:t>maximum</w:t>
      </w:r>
      <w:r w:rsidRPr="00EA53FC">
        <w:rPr>
          <w:rFonts w:ascii="Times New Roman" w:eastAsia="Times New Roman" w:hAnsi="Times New Roman"/>
          <w:sz w:val="24"/>
          <w:szCs w:val="24"/>
        </w:rPr>
        <w:t xml:space="preserve"> number of licenses in effect pursuant to this subchapter [on the first day of September, nineteen hundred seventy-nine shall be the maximum number of licenses permitted to be in effect]</w:t>
      </w:r>
      <w:r w:rsidRPr="00EA53FC">
        <w:rPr>
          <w:rFonts w:ascii="Times New Roman" w:eastAsia="Times New Roman" w:hAnsi="Times New Roman"/>
          <w:sz w:val="24"/>
          <w:szCs w:val="24"/>
          <w:u w:val="single"/>
        </w:rPr>
        <w:t xml:space="preserve"> shall be 853 in addition to the number of licenses granted pursuant to subdivisions c and h of this section</w:t>
      </w:r>
      <w:r w:rsidRPr="00EA53FC">
        <w:rPr>
          <w:rFonts w:ascii="Times New Roman" w:eastAsia="Times New Roman" w:hAnsi="Times New Roman"/>
          <w:sz w:val="24"/>
          <w:szCs w:val="24"/>
        </w:rPr>
        <w:t xml:space="preserve">. </w:t>
      </w:r>
    </w:p>
    <w:p w14:paraId="14466A5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b.   A license issued pursuant to this subchapter shall be renewable by the licensee upon its expiration or within sixty days of its expiration provided the licensee meets all other requirements for renewal, provided that the license has not been revoked, and provided that the licensee has not committed violations which could be a basis for license revocation under any provision of this subchapter.</w:t>
      </w:r>
    </w:p>
    <w:p w14:paraId="6C69ACE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c. The commissioner shall make available for application 10,500 additional licenses on January 15, 2027. </w:t>
      </w:r>
    </w:p>
    <w:p w14:paraId="2D1AB69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d. 1. In accordance with procedures to be established by rules of the commissioner, 2,625 of the general vending licenses made available for application under this section shall be designated for use in any borough, and the remaining 7,875 of such general vending licenses shall be designated for use in boroughs outside of Manhattan.</w:t>
      </w:r>
    </w:p>
    <w:p w14:paraId="74DC94C0"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2. A general vendor with a license designated for use in boroughs outside of Manhattan pursuant to this subdivision shall not vend in Manhattan. A general vendor who vends in Manhattan using such a license shall be considered an unlicensed vendor for purposes of section 20-453.</w:t>
      </w:r>
    </w:p>
    <w:p w14:paraId="4D43834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e. The commissioner shall open, establish and maintain a new waiting list for the issuance of licenses pursuant to this subchapter to be administered in accordance with the requirements to </w:t>
      </w:r>
      <w:r w:rsidRPr="00EA53FC">
        <w:rPr>
          <w:rFonts w:ascii="Times New Roman" w:eastAsia="Times New Roman" w:hAnsi="Times New Roman"/>
          <w:sz w:val="24"/>
          <w:szCs w:val="24"/>
          <w:u w:val="single"/>
        </w:rPr>
        <w:lastRenderedPageBreak/>
        <w:t xml:space="preserve">be established by the rules of the commissioner. The commissioner may by rule limit the number of places on such waiting </w:t>
      </w:r>
      <w:proofErr w:type="gramStart"/>
      <w:r w:rsidRPr="00EA53FC">
        <w:rPr>
          <w:rFonts w:ascii="Times New Roman" w:eastAsia="Times New Roman" w:hAnsi="Times New Roman"/>
          <w:sz w:val="24"/>
          <w:szCs w:val="24"/>
          <w:u w:val="single"/>
        </w:rPr>
        <w:t>list, but</w:t>
      </w:r>
      <w:proofErr w:type="gramEnd"/>
      <w:r w:rsidRPr="00EA53FC">
        <w:rPr>
          <w:rFonts w:ascii="Times New Roman" w:eastAsia="Times New Roman" w:hAnsi="Times New Roman"/>
          <w:sz w:val="24"/>
          <w:szCs w:val="24"/>
          <w:u w:val="single"/>
        </w:rPr>
        <w:t xml:space="preserve"> shall ensure that such waiting list is operative prior to the date on which additional general vendor licenses become available pursuant to subdivision c of this section. </w:t>
      </w:r>
    </w:p>
    <w:p w14:paraId="321052F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f. Persons who have been assigned a priority number by the department to track their application for a general vendor license on a preexisting waiting list maintained pursuant to section 2-319 of title 6 of the rules of the city of New York,  shall be given preference on the waiting list established pursuant to subdivision e of this section, and the ordering of  such persons on such list shall be</w:t>
      </w:r>
      <w:r w:rsidRPr="00EA53FC" w:rsidDel="00E951D6">
        <w:rPr>
          <w:rFonts w:ascii="Times New Roman" w:eastAsia="Times New Roman" w:hAnsi="Times New Roman"/>
          <w:sz w:val="24"/>
          <w:szCs w:val="24"/>
          <w:u w:val="single"/>
        </w:rPr>
        <w:t xml:space="preserve"> </w:t>
      </w:r>
      <w:r w:rsidRPr="00EA53FC">
        <w:rPr>
          <w:rFonts w:ascii="Times New Roman" w:eastAsia="Times New Roman" w:hAnsi="Times New Roman"/>
          <w:sz w:val="24"/>
          <w:szCs w:val="24"/>
          <w:u w:val="single"/>
        </w:rPr>
        <w:t>based on priority numbers currently assigned to them.</w:t>
      </w:r>
    </w:p>
    <w:p w14:paraId="374BF0E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g. No persons with two or more convictions of possessing or selling stolen property or trademark counterfeiting pursuant to section 165.40, 165.45, 165.50 or 165.71 of the penal law within two years of the date such persons applies for the waiting list or general vendor license, shall be placed on a waiting list or provided an application for a general vendor license pursuant to this section. </w:t>
      </w:r>
    </w:p>
    <w:p w14:paraId="77667F1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h. Reserved.</w:t>
      </w:r>
    </w:p>
    <w:p w14:paraId="3226DB7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9. Section 20-465.2 of the administrative code of the city of New York, as added by local law number 18 for the year 2021, is amended to read as follows:</w:t>
      </w:r>
    </w:p>
    <w:p w14:paraId="17BE47F6" w14:textId="014A9FFE"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20-465.2 Street vendor advisory board. a. There is hereby established a street vendor advisory board consisting of the commissioner of consumer and worker protection, the commissioner of health and mental hygiene, the commissioner of small business services, the commissioner of transportation, </w:t>
      </w:r>
      <w:r w:rsidRPr="00EA53FC">
        <w:rPr>
          <w:rFonts w:ascii="Times New Roman" w:eastAsia="Times New Roman" w:hAnsi="Times New Roman"/>
          <w:sz w:val="24"/>
          <w:szCs w:val="24"/>
          <w:u w:val="single"/>
        </w:rPr>
        <w:t>the commissioner of sanitation,</w:t>
      </w:r>
      <w:r w:rsidRPr="00EA53FC">
        <w:rPr>
          <w:rFonts w:ascii="Times New Roman" w:eastAsia="Times New Roman" w:hAnsi="Times New Roman"/>
          <w:sz w:val="24"/>
          <w:szCs w:val="24"/>
        </w:rPr>
        <w:t xml:space="preserve"> and the police commissioner, or the designee of any such commissioner, </w:t>
      </w:r>
      <w:r w:rsidRPr="00EA53FC">
        <w:rPr>
          <w:rFonts w:ascii="Times New Roman" w:eastAsia="Times New Roman" w:hAnsi="Times New Roman"/>
          <w:sz w:val="24"/>
          <w:szCs w:val="24"/>
          <w:u w:val="single"/>
        </w:rPr>
        <w:t>the speaker of the council or their designee,</w:t>
      </w:r>
      <w:r w:rsidRPr="00EA53FC">
        <w:rPr>
          <w:rFonts w:ascii="Times New Roman" w:eastAsia="Times New Roman" w:hAnsi="Times New Roman"/>
          <w:sz w:val="24"/>
          <w:szCs w:val="24"/>
        </w:rPr>
        <w:t xml:space="preserve"> [six] </w:t>
      </w:r>
      <w:r w:rsidRPr="00EA53FC">
        <w:rPr>
          <w:rFonts w:ascii="Times New Roman" w:eastAsia="Times New Roman" w:hAnsi="Times New Roman"/>
          <w:sz w:val="24"/>
          <w:szCs w:val="24"/>
          <w:u w:val="single"/>
        </w:rPr>
        <w:t>10</w:t>
      </w:r>
      <w:r w:rsidRPr="00EA53FC">
        <w:rPr>
          <w:rFonts w:ascii="Times New Roman" w:eastAsia="Times New Roman" w:hAnsi="Times New Roman"/>
          <w:sz w:val="24"/>
          <w:szCs w:val="24"/>
        </w:rPr>
        <w:t xml:space="preserve"> members appointed by the speaker, two of whom represent street vendors, one of whom [represent] </w:t>
      </w:r>
      <w:r w:rsidRPr="00EA53FC">
        <w:rPr>
          <w:rFonts w:ascii="Times New Roman" w:eastAsia="Times New Roman" w:hAnsi="Times New Roman"/>
          <w:sz w:val="24"/>
          <w:szCs w:val="24"/>
          <w:u w:val="single"/>
        </w:rPr>
        <w:lastRenderedPageBreak/>
        <w:t>represents</w:t>
      </w:r>
      <w:r w:rsidRPr="00EA53FC">
        <w:rPr>
          <w:rFonts w:ascii="Times New Roman" w:eastAsia="Times New Roman" w:hAnsi="Times New Roman"/>
          <w:sz w:val="24"/>
          <w:szCs w:val="24"/>
        </w:rPr>
        <w:t xml:space="preserve"> the small business community, one of whom represents organizations representing workers at retail food stores, one of whom represents property owners, </w:t>
      </w:r>
      <w:r w:rsidRPr="00EA53FC">
        <w:rPr>
          <w:rFonts w:ascii="Times New Roman" w:eastAsia="Times New Roman" w:hAnsi="Times New Roman"/>
          <w:sz w:val="24"/>
          <w:szCs w:val="24"/>
          <w:u w:val="single"/>
        </w:rPr>
        <w:t xml:space="preserve">one of whom represents veterans, one of whom represents grocery stores, one of whom represents the restaurant industry in low-income communities, </w:t>
      </w:r>
      <w:r w:rsidRPr="00EA53FC">
        <w:rPr>
          <w:rFonts w:ascii="Times New Roman" w:eastAsia="Times New Roman" w:hAnsi="Times New Roman"/>
          <w:sz w:val="24"/>
          <w:szCs w:val="24"/>
        </w:rPr>
        <w:t xml:space="preserve">and one of whom who represents a community organization, and [four] </w:t>
      </w:r>
      <w:r w:rsidRPr="00EA53FC">
        <w:rPr>
          <w:rFonts w:ascii="Times New Roman" w:eastAsia="Times New Roman" w:hAnsi="Times New Roman"/>
          <w:sz w:val="24"/>
          <w:szCs w:val="24"/>
          <w:u w:val="single"/>
        </w:rPr>
        <w:t>6</w:t>
      </w:r>
      <w:r w:rsidRPr="00EA53FC">
        <w:rPr>
          <w:rFonts w:ascii="Times New Roman" w:eastAsia="Times New Roman" w:hAnsi="Times New Roman"/>
          <w:sz w:val="24"/>
          <w:szCs w:val="24"/>
        </w:rPr>
        <w:t xml:space="preserve"> members appointed by the mayor, two of whom represent street vendors</w:t>
      </w:r>
      <w:r w:rsidRPr="00EA53FC">
        <w:rPr>
          <w:rFonts w:ascii="Times New Roman" w:eastAsia="Times New Roman" w:hAnsi="Times New Roman"/>
          <w:sz w:val="24"/>
          <w:szCs w:val="24"/>
          <w:u w:val="single"/>
        </w:rPr>
        <w:t>,</w:t>
      </w:r>
      <w:r w:rsidRPr="00EA53FC">
        <w:rPr>
          <w:rFonts w:ascii="Times New Roman" w:eastAsia="Times New Roman" w:hAnsi="Times New Roman"/>
          <w:sz w:val="24"/>
          <w:szCs w:val="24"/>
        </w:rPr>
        <w:t xml:space="preserve"> [and] two of whom represent the small business community</w:t>
      </w:r>
      <w:r w:rsidRPr="00EA53FC">
        <w:rPr>
          <w:rFonts w:ascii="Times New Roman" w:eastAsia="Times New Roman" w:hAnsi="Times New Roman"/>
          <w:sz w:val="24"/>
          <w:szCs w:val="24"/>
          <w:u w:val="single"/>
        </w:rPr>
        <w:t xml:space="preserve">, one of whom represents the immigrant community and one of whom represents the low-wage worker community. One such appointment from the speaker of the council and one such appointment from the mayor shall be appointed as co-chairs of the street vendor advisory board. </w:t>
      </w:r>
    </w:p>
    <w:p w14:paraId="79DB7923"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b. In addition to its other duties, the street vendor advisory board shall, prior to June 1 of each year from 2023 through [2030] </w:t>
      </w:r>
      <w:r w:rsidRPr="00EA53FC">
        <w:rPr>
          <w:rFonts w:ascii="Times New Roman" w:eastAsia="Times New Roman" w:hAnsi="Times New Roman"/>
          <w:sz w:val="24"/>
          <w:szCs w:val="24"/>
          <w:u w:val="single"/>
        </w:rPr>
        <w:t>2026</w:t>
      </w:r>
      <w:r w:rsidRPr="00EA53FC">
        <w:rPr>
          <w:rFonts w:ascii="Times New Roman" w:eastAsia="Times New Roman" w:hAnsi="Times New Roman"/>
          <w:sz w:val="24"/>
          <w:szCs w:val="24"/>
        </w:rPr>
        <w:t>, issue to the speaker of the council a recommendation on whether the department of health and mental hygiene's authority to issue any or all of the supervisory licenses authorized to be issued by such department should be restricted, expanded, or otherwise altered based on an analysis of the results of the increased number of food vendor permits issued pursuant to the local law that added this section.</w:t>
      </w:r>
    </w:p>
    <w:p w14:paraId="73C32C92"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The street vendor advisory board shall, prior to June 1 of each year from 2027 through 2031, issue to the speaker of the council a recommendation on whether the department’s authority to issue any or all of the general vendor licenses authorized to be issued by the department should be restricted, expanded, or otherwise altered based on an analysis of the results of the increased number of general vendor licenses issued pursuant to the local law that added this subdivision.</w:t>
      </w:r>
    </w:p>
    <w:p w14:paraId="2191DCCB"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d. The street vendor advisory board shall, prior to June 1 of each year from 2027 through 2031, issue a report to the speaker of the council analyzing the impact of the increased number of </w:t>
      </w:r>
      <w:r w:rsidRPr="00EA53FC">
        <w:rPr>
          <w:rFonts w:ascii="Times New Roman" w:eastAsia="Times New Roman" w:hAnsi="Times New Roman"/>
          <w:sz w:val="24"/>
          <w:szCs w:val="24"/>
          <w:u w:val="single"/>
        </w:rPr>
        <w:lastRenderedPageBreak/>
        <w:t xml:space="preserve">general vendor licenses and food vendor permits. Such report shall include information from 2027 through 2031 on: </w:t>
      </w:r>
    </w:p>
    <w:p w14:paraId="73D0260B"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1. The status of all waiting lists pertaining to mobile food vending and general </w:t>
      </w:r>
      <w:proofErr w:type="gramStart"/>
      <w:r w:rsidRPr="00EA53FC">
        <w:rPr>
          <w:rFonts w:ascii="Times New Roman" w:eastAsia="Times New Roman" w:hAnsi="Times New Roman"/>
          <w:sz w:val="24"/>
          <w:szCs w:val="24"/>
          <w:u w:val="single"/>
        </w:rPr>
        <w:t>vending;</w:t>
      </w:r>
      <w:proofErr w:type="gramEnd"/>
    </w:p>
    <w:p w14:paraId="13506D15"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2. The number of applications made available and the number of licenses or permits issued by the department of health and mental hygiene and the department of consumer and worker </w:t>
      </w:r>
      <w:proofErr w:type="gramStart"/>
      <w:r w:rsidRPr="00EA53FC">
        <w:rPr>
          <w:rFonts w:ascii="Times New Roman" w:eastAsia="Times New Roman" w:hAnsi="Times New Roman"/>
          <w:sz w:val="24"/>
          <w:szCs w:val="24"/>
          <w:u w:val="single"/>
        </w:rPr>
        <w:t>protection;</w:t>
      </w:r>
      <w:proofErr w:type="gramEnd"/>
    </w:p>
    <w:p w14:paraId="0F75867D"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3. The number of </w:t>
      </w:r>
      <w:proofErr w:type="gramStart"/>
      <w:r w:rsidRPr="00EA53FC">
        <w:rPr>
          <w:rFonts w:ascii="Times New Roman" w:eastAsia="Times New Roman" w:hAnsi="Times New Roman"/>
          <w:sz w:val="24"/>
          <w:szCs w:val="24"/>
          <w:u w:val="single"/>
        </w:rPr>
        <w:t>street</w:t>
      </w:r>
      <w:proofErr w:type="gramEnd"/>
      <w:r w:rsidRPr="00EA53FC">
        <w:rPr>
          <w:rFonts w:ascii="Times New Roman" w:eastAsia="Times New Roman" w:hAnsi="Times New Roman"/>
          <w:sz w:val="24"/>
          <w:szCs w:val="24"/>
          <w:u w:val="single"/>
        </w:rPr>
        <w:t xml:space="preserve"> vending related complaints </w:t>
      </w:r>
      <w:proofErr w:type="gramStart"/>
      <w:r w:rsidRPr="00EA53FC">
        <w:rPr>
          <w:rFonts w:ascii="Times New Roman" w:eastAsia="Times New Roman" w:hAnsi="Times New Roman"/>
          <w:sz w:val="24"/>
          <w:szCs w:val="24"/>
          <w:u w:val="single"/>
        </w:rPr>
        <w:t>received;</w:t>
      </w:r>
      <w:proofErr w:type="gramEnd"/>
    </w:p>
    <w:p w14:paraId="2AB5244E"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4. The number of </w:t>
      </w:r>
      <w:proofErr w:type="gramStart"/>
      <w:r w:rsidRPr="00EA53FC">
        <w:rPr>
          <w:rFonts w:ascii="Times New Roman" w:eastAsia="Times New Roman" w:hAnsi="Times New Roman"/>
          <w:sz w:val="24"/>
          <w:szCs w:val="24"/>
          <w:u w:val="single"/>
        </w:rPr>
        <w:t>street</w:t>
      </w:r>
      <w:proofErr w:type="gramEnd"/>
      <w:r w:rsidRPr="00EA53FC">
        <w:rPr>
          <w:rFonts w:ascii="Times New Roman" w:eastAsia="Times New Roman" w:hAnsi="Times New Roman"/>
          <w:sz w:val="24"/>
          <w:szCs w:val="24"/>
          <w:u w:val="single"/>
        </w:rPr>
        <w:t xml:space="preserve"> vending related violations issued by </w:t>
      </w:r>
      <w:proofErr w:type="gramStart"/>
      <w:r w:rsidRPr="00EA53FC">
        <w:rPr>
          <w:rFonts w:ascii="Times New Roman" w:eastAsia="Times New Roman" w:hAnsi="Times New Roman"/>
          <w:sz w:val="24"/>
          <w:szCs w:val="24"/>
          <w:u w:val="single"/>
        </w:rPr>
        <w:t>category;</w:t>
      </w:r>
      <w:proofErr w:type="gramEnd"/>
      <w:r w:rsidRPr="00EA53FC">
        <w:rPr>
          <w:rFonts w:ascii="Times New Roman" w:eastAsia="Times New Roman" w:hAnsi="Times New Roman"/>
          <w:sz w:val="24"/>
          <w:szCs w:val="24"/>
          <w:u w:val="single"/>
        </w:rPr>
        <w:t xml:space="preserve"> </w:t>
      </w:r>
    </w:p>
    <w:p w14:paraId="023E9556"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5. The number of street vending enforcement personnel assigned to enforce street vending within the office of street vendor </w:t>
      </w:r>
      <w:proofErr w:type="gramStart"/>
      <w:r w:rsidRPr="00EA53FC">
        <w:rPr>
          <w:rFonts w:ascii="Times New Roman" w:eastAsia="Times New Roman" w:hAnsi="Times New Roman"/>
          <w:sz w:val="24"/>
          <w:szCs w:val="24"/>
          <w:u w:val="single"/>
        </w:rPr>
        <w:t>enforcement;</w:t>
      </w:r>
      <w:proofErr w:type="gramEnd"/>
    </w:p>
    <w:p w14:paraId="35F3C548"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6. Recommendations on whether the number of street vendor enforcement personnel should be expanded </w:t>
      </w:r>
      <w:proofErr w:type="gramStart"/>
      <w:r w:rsidRPr="00EA53FC">
        <w:rPr>
          <w:rFonts w:ascii="Times New Roman" w:eastAsia="Times New Roman" w:hAnsi="Times New Roman"/>
          <w:sz w:val="24"/>
          <w:szCs w:val="24"/>
          <w:u w:val="single"/>
        </w:rPr>
        <w:t>or otherwise</w:t>
      </w:r>
      <w:proofErr w:type="gramEnd"/>
      <w:r w:rsidRPr="00EA53FC">
        <w:rPr>
          <w:rFonts w:ascii="Times New Roman" w:eastAsia="Times New Roman" w:hAnsi="Times New Roman"/>
          <w:sz w:val="24"/>
          <w:szCs w:val="24"/>
          <w:u w:val="single"/>
        </w:rPr>
        <w:t xml:space="preserve"> </w:t>
      </w:r>
      <w:proofErr w:type="gramStart"/>
      <w:r w:rsidRPr="00EA53FC">
        <w:rPr>
          <w:rFonts w:ascii="Times New Roman" w:eastAsia="Times New Roman" w:hAnsi="Times New Roman"/>
          <w:sz w:val="24"/>
          <w:szCs w:val="24"/>
          <w:u w:val="single"/>
        </w:rPr>
        <w:t>altered;</w:t>
      </w:r>
      <w:proofErr w:type="gramEnd"/>
    </w:p>
    <w:p w14:paraId="63E4281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xml:space="preserve">7. The number of street vending enforcement unit inspections; and </w:t>
      </w:r>
    </w:p>
    <w:p w14:paraId="42E3998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t xml:space="preserve">8. Recommendations on whether the department </w:t>
      </w:r>
      <w:bookmarkStart w:id="8" w:name="_Hlk210830434"/>
      <w:r w:rsidRPr="00EA53FC">
        <w:rPr>
          <w:rFonts w:ascii="Times New Roman" w:eastAsia="Times New Roman" w:hAnsi="Times New Roman"/>
          <w:sz w:val="24"/>
          <w:szCs w:val="24"/>
          <w:u w:val="single"/>
        </w:rPr>
        <w:t xml:space="preserve">of health and mental hygiene or the department of consumer and worker </w:t>
      </w:r>
      <w:proofErr w:type="gramStart"/>
      <w:r w:rsidRPr="00EA53FC">
        <w:rPr>
          <w:rFonts w:ascii="Times New Roman" w:eastAsia="Times New Roman" w:hAnsi="Times New Roman"/>
          <w:sz w:val="24"/>
          <w:szCs w:val="24"/>
          <w:u w:val="single"/>
        </w:rPr>
        <w:t>protection</w:t>
      </w:r>
      <w:bookmarkEnd w:id="8"/>
      <w:r w:rsidRPr="00EA53FC">
        <w:rPr>
          <w:rFonts w:ascii="Times New Roman" w:eastAsia="Times New Roman" w:hAnsi="Times New Roman"/>
          <w:sz w:val="24"/>
          <w:szCs w:val="24"/>
          <w:u w:val="single"/>
        </w:rPr>
        <w:t>’s</w:t>
      </w:r>
      <w:proofErr w:type="gramEnd"/>
      <w:r w:rsidRPr="00EA53FC">
        <w:rPr>
          <w:rFonts w:ascii="Times New Roman" w:eastAsia="Times New Roman" w:hAnsi="Times New Roman"/>
          <w:sz w:val="24"/>
          <w:szCs w:val="24"/>
          <w:u w:val="single"/>
        </w:rPr>
        <w:t xml:space="preserve"> authority </w:t>
      </w:r>
      <w:proofErr w:type="gramStart"/>
      <w:r w:rsidRPr="00EA53FC">
        <w:rPr>
          <w:rFonts w:ascii="Times New Roman" w:eastAsia="Times New Roman" w:hAnsi="Times New Roman"/>
          <w:sz w:val="24"/>
          <w:szCs w:val="24"/>
          <w:u w:val="single"/>
        </w:rPr>
        <w:t>to issue</w:t>
      </w:r>
      <w:proofErr w:type="gramEnd"/>
      <w:r w:rsidRPr="00EA53FC">
        <w:rPr>
          <w:rFonts w:ascii="Times New Roman" w:eastAsia="Times New Roman" w:hAnsi="Times New Roman"/>
          <w:sz w:val="24"/>
          <w:szCs w:val="24"/>
          <w:u w:val="single"/>
        </w:rPr>
        <w:t xml:space="preserve"> licenses and permits should be restricted, expanded or otherwise altered based on analysis of the results of the number of licenses issued each year.</w:t>
      </w:r>
      <w:r w:rsidRPr="00EA53FC">
        <w:rPr>
          <w:rFonts w:ascii="Times New Roman" w:eastAsia="Times New Roman" w:hAnsi="Times New Roman"/>
          <w:sz w:val="24"/>
          <w:szCs w:val="24"/>
        </w:rPr>
        <w:t xml:space="preserve"> </w:t>
      </w:r>
    </w:p>
    <w:p w14:paraId="3086BF3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10. Subchapter 27 of chapter 2 of title 20 of the administrative code of the city of New York is amended by adding a new section 20-465.3 to read as follows:</w:t>
      </w:r>
    </w:p>
    <w:p w14:paraId="3C619624"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 20-465.3 Cleanliness and waste removal requirements. a. A general vendor shall keep the area within a 2-foot radius surrounding such vendor’s vending vehicle, pushcart, or stand free from obstruction and keep such area free from garbage, refuse, rubbish, litter or debris.</w:t>
      </w:r>
    </w:p>
    <w:p w14:paraId="06C9A6AB"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u w:val="single"/>
        </w:rPr>
        <w:lastRenderedPageBreak/>
        <w:t xml:space="preserve">b. A general vendor shall, upon the request of a person authorized to enforce this section, provide proof of proper waste disposal as required by rules of the department of sanitation, as allowed by law. </w:t>
      </w:r>
    </w:p>
    <w:p w14:paraId="010B9B7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11. Section 20-467 of the administrative code of the city of New York is amended to read as follows:</w:t>
      </w:r>
    </w:p>
    <w:p w14:paraId="355786DC"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 20-467 Suspension and revocation of license. </w:t>
      </w:r>
      <w:r w:rsidRPr="00EA53FC">
        <w:rPr>
          <w:rFonts w:ascii="Times New Roman" w:eastAsia="Times New Roman" w:hAnsi="Times New Roman"/>
          <w:sz w:val="24"/>
          <w:szCs w:val="24"/>
          <w:u w:val="single"/>
        </w:rPr>
        <w:t>a.</w:t>
      </w:r>
      <w:r w:rsidRPr="00EA53FC">
        <w:rPr>
          <w:rFonts w:ascii="Times New Roman" w:eastAsia="Times New Roman" w:hAnsi="Times New Roman"/>
          <w:sz w:val="24"/>
          <w:szCs w:val="24"/>
        </w:rPr>
        <w:t xml:space="preserve"> Any license issued pursuant to the provisions of this subchapter may be suspended or revoked by the commissioner upon notice and [hearing] </w:t>
      </w:r>
      <w:r w:rsidRPr="00EA53FC">
        <w:rPr>
          <w:rFonts w:ascii="Times New Roman" w:eastAsia="Times New Roman" w:hAnsi="Times New Roman"/>
          <w:sz w:val="24"/>
          <w:szCs w:val="24"/>
          <w:u w:val="single"/>
        </w:rPr>
        <w:t>an opportunity to be heard</w:t>
      </w:r>
      <w:r w:rsidRPr="00EA53FC">
        <w:rPr>
          <w:rFonts w:ascii="Times New Roman" w:eastAsia="Times New Roman" w:hAnsi="Times New Roman"/>
          <w:sz w:val="24"/>
          <w:szCs w:val="24"/>
        </w:rPr>
        <w:t xml:space="preserve"> for any of the following causes:</w:t>
      </w:r>
    </w:p>
    <w:p w14:paraId="79DD77F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[a.] </w:t>
      </w:r>
      <w:r w:rsidRPr="00EA53FC">
        <w:rPr>
          <w:rFonts w:ascii="Times New Roman" w:eastAsia="Times New Roman" w:hAnsi="Times New Roman"/>
          <w:sz w:val="24"/>
          <w:szCs w:val="24"/>
          <w:u w:val="single"/>
        </w:rPr>
        <w:t>1.</w:t>
      </w:r>
      <w:r w:rsidRPr="00EA53FC">
        <w:rPr>
          <w:rFonts w:ascii="Times New Roman" w:eastAsia="Times New Roman" w:hAnsi="Times New Roman"/>
          <w:sz w:val="24"/>
          <w:szCs w:val="24"/>
        </w:rPr>
        <w:t xml:space="preserve"> Fraud, misrepresentation, or false statements contained in the application for the </w:t>
      </w:r>
      <w:proofErr w:type="gramStart"/>
      <w:r w:rsidRPr="00EA53FC">
        <w:rPr>
          <w:rFonts w:ascii="Times New Roman" w:eastAsia="Times New Roman" w:hAnsi="Times New Roman"/>
          <w:sz w:val="24"/>
          <w:szCs w:val="24"/>
        </w:rPr>
        <w:t>license;</w:t>
      </w:r>
      <w:proofErr w:type="gramEnd"/>
    </w:p>
    <w:p w14:paraId="4050467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Violation of chapter one or subchapter one of chapter five of this title of this code or the regulations promulgated thereto; provided, however, that in the event of a conflict between the provisions of such chapter and subchapter and the provisions of this subchapter, the provisions of this subchapter shall </w:t>
      </w:r>
      <w:proofErr w:type="gramStart"/>
      <w:r w:rsidRPr="00EA53FC">
        <w:rPr>
          <w:rFonts w:ascii="Times New Roman" w:eastAsia="Times New Roman" w:hAnsi="Times New Roman"/>
          <w:sz w:val="24"/>
          <w:szCs w:val="24"/>
        </w:rPr>
        <w:t>prevail;</w:t>
      </w:r>
      <w:proofErr w:type="gramEnd"/>
    </w:p>
    <w:p w14:paraId="62AC0B8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w:t>
      </w:r>
      <w:r w:rsidRPr="00EA53FC">
        <w:rPr>
          <w:rFonts w:ascii="Times New Roman" w:eastAsia="Times New Roman" w:hAnsi="Times New Roman"/>
          <w:sz w:val="24"/>
          <w:szCs w:val="24"/>
          <w:u w:val="single"/>
        </w:rPr>
        <w:t>3.</w:t>
      </w:r>
      <w:r w:rsidRPr="00EA53FC">
        <w:rPr>
          <w:rFonts w:ascii="Times New Roman" w:eastAsia="Times New Roman" w:hAnsi="Times New Roman"/>
          <w:sz w:val="24"/>
          <w:szCs w:val="24"/>
        </w:rPr>
        <w:t xml:space="preserve"> Fraud, misrepresentation, or false statements made in connection with the selling or leasing of any goods or </w:t>
      </w:r>
      <w:proofErr w:type="gramStart"/>
      <w:r w:rsidRPr="00EA53FC">
        <w:rPr>
          <w:rFonts w:ascii="Times New Roman" w:eastAsia="Times New Roman" w:hAnsi="Times New Roman"/>
          <w:sz w:val="24"/>
          <w:szCs w:val="24"/>
        </w:rPr>
        <w:t>services;</w:t>
      </w:r>
      <w:proofErr w:type="gramEnd"/>
    </w:p>
    <w:p w14:paraId="7D436B7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w:t>
      </w:r>
      <w:r w:rsidRPr="00EA53FC">
        <w:rPr>
          <w:rFonts w:ascii="Times New Roman" w:eastAsia="Times New Roman" w:hAnsi="Times New Roman"/>
          <w:sz w:val="24"/>
          <w:szCs w:val="24"/>
          <w:u w:val="single"/>
        </w:rPr>
        <w:t>4.</w:t>
      </w:r>
      <w:r w:rsidRPr="00EA53FC">
        <w:rPr>
          <w:rFonts w:ascii="Times New Roman" w:eastAsia="Times New Roman" w:hAnsi="Times New Roman"/>
          <w:sz w:val="24"/>
          <w:szCs w:val="24"/>
        </w:rPr>
        <w:t xml:space="preserve"> Four or more violations of any provision of this subchapter or the regulations promulgated thereto in a two-year </w:t>
      </w:r>
      <w:proofErr w:type="gramStart"/>
      <w:r w:rsidRPr="00EA53FC">
        <w:rPr>
          <w:rFonts w:ascii="Times New Roman" w:eastAsia="Times New Roman" w:hAnsi="Times New Roman"/>
          <w:sz w:val="24"/>
          <w:szCs w:val="24"/>
        </w:rPr>
        <w:t>period;</w:t>
      </w:r>
      <w:proofErr w:type="gramEnd"/>
    </w:p>
    <w:p w14:paraId="1E7EDF98"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[e.] </w:t>
      </w:r>
      <w:r w:rsidRPr="00EA53FC">
        <w:rPr>
          <w:rFonts w:ascii="Times New Roman" w:eastAsia="Times New Roman" w:hAnsi="Times New Roman"/>
          <w:sz w:val="24"/>
          <w:szCs w:val="24"/>
          <w:u w:val="single"/>
        </w:rPr>
        <w:t>5.</w:t>
      </w:r>
      <w:r w:rsidRPr="00EA53FC">
        <w:rPr>
          <w:rFonts w:ascii="Times New Roman" w:eastAsia="Times New Roman" w:hAnsi="Times New Roman"/>
          <w:sz w:val="24"/>
          <w:szCs w:val="24"/>
        </w:rPr>
        <w:t xml:space="preserve"> Failure to answer a summons or notice of violation, appear for a hearing, or pay a fine or civil penalty imposed pursuant to the provisions of this subchapter or the regulations promulgated </w:t>
      </w:r>
      <w:proofErr w:type="gramStart"/>
      <w:r w:rsidRPr="00EA53FC">
        <w:rPr>
          <w:rFonts w:ascii="Times New Roman" w:eastAsia="Times New Roman" w:hAnsi="Times New Roman"/>
          <w:sz w:val="24"/>
          <w:szCs w:val="24"/>
        </w:rPr>
        <w:t>hereunder;</w:t>
      </w:r>
      <w:proofErr w:type="gramEnd"/>
    </w:p>
    <w:p w14:paraId="04548D95" w14:textId="77777777" w:rsidR="00EA53FC" w:rsidRPr="00EA53FC" w:rsidRDefault="00EA53FC" w:rsidP="00EA53FC">
      <w:pPr>
        <w:spacing w:after="0" w:line="480" w:lineRule="auto"/>
        <w:ind w:firstLine="720"/>
        <w:rPr>
          <w:rFonts w:ascii="Times New Roman" w:eastAsia="Times New Roman" w:hAnsi="Times New Roman"/>
          <w:sz w:val="24"/>
          <w:szCs w:val="24"/>
          <w:u w:val="single"/>
        </w:rPr>
      </w:pPr>
      <w:r w:rsidRPr="00EA53FC">
        <w:rPr>
          <w:rFonts w:ascii="Times New Roman" w:eastAsia="Times New Roman" w:hAnsi="Times New Roman"/>
          <w:sz w:val="24"/>
          <w:szCs w:val="24"/>
        </w:rPr>
        <w:t xml:space="preserve">[f.] </w:t>
      </w:r>
      <w:r w:rsidRPr="00EA53FC">
        <w:rPr>
          <w:rFonts w:ascii="Times New Roman" w:eastAsia="Times New Roman" w:hAnsi="Times New Roman"/>
          <w:sz w:val="24"/>
          <w:szCs w:val="24"/>
          <w:u w:val="single"/>
        </w:rPr>
        <w:t>6.</w:t>
      </w:r>
      <w:r w:rsidRPr="00EA53FC">
        <w:rPr>
          <w:rFonts w:ascii="Times New Roman" w:eastAsia="Times New Roman" w:hAnsi="Times New Roman"/>
          <w:sz w:val="24"/>
          <w:szCs w:val="24"/>
        </w:rPr>
        <w:t xml:space="preserve"> Conviction of possessing or selling stolen property pursuant to section 165.40, 165.45</w:t>
      </w:r>
      <w:r w:rsidRPr="00EA53FC">
        <w:rPr>
          <w:rFonts w:ascii="Times New Roman" w:eastAsia="Times New Roman" w:hAnsi="Times New Roman"/>
          <w:sz w:val="24"/>
          <w:szCs w:val="24"/>
          <w:u w:val="single"/>
        </w:rPr>
        <w:t>,</w:t>
      </w:r>
      <w:r w:rsidRPr="00EA53FC">
        <w:rPr>
          <w:rFonts w:ascii="Times New Roman" w:eastAsia="Times New Roman" w:hAnsi="Times New Roman"/>
          <w:sz w:val="24"/>
          <w:szCs w:val="24"/>
        </w:rPr>
        <w:t xml:space="preserve"> [or] 165.50</w:t>
      </w:r>
      <w:r w:rsidRPr="00EA53FC">
        <w:rPr>
          <w:rFonts w:ascii="Times New Roman" w:eastAsia="Times New Roman" w:hAnsi="Times New Roman"/>
          <w:sz w:val="24"/>
          <w:szCs w:val="24"/>
          <w:u w:val="single"/>
        </w:rPr>
        <w:t>, or 165.71</w:t>
      </w:r>
      <w:r w:rsidRPr="00EA53FC">
        <w:rPr>
          <w:rFonts w:ascii="Times New Roman" w:eastAsia="Times New Roman" w:hAnsi="Times New Roman"/>
          <w:sz w:val="24"/>
          <w:szCs w:val="24"/>
        </w:rPr>
        <w:t xml:space="preserve"> of the penal law.</w:t>
      </w:r>
      <w:r w:rsidRPr="00EA53FC">
        <w:rPr>
          <w:rFonts w:ascii="Times New Roman" w:eastAsia="Times New Roman" w:hAnsi="Times New Roman"/>
          <w:sz w:val="24"/>
          <w:szCs w:val="24"/>
          <w:u w:val="single"/>
        </w:rPr>
        <w:t xml:space="preserve"> </w:t>
      </w:r>
    </w:p>
    <w:p w14:paraId="3AC84BEB" w14:textId="77777777" w:rsidR="00EA53FC" w:rsidRPr="00EA53FC" w:rsidRDefault="00EA53FC" w:rsidP="00EA53FC">
      <w:pPr>
        <w:spacing w:after="0" w:line="480" w:lineRule="auto"/>
        <w:ind w:firstLine="720"/>
        <w:rPr>
          <w:rFonts w:ascii="Times New Roman" w:eastAsia="Times New Roman" w:hAnsi="Times New Roman"/>
          <w:sz w:val="24"/>
          <w:szCs w:val="24"/>
          <w:u w:val="single"/>
        </w:rPr>
      </w:pPr>
      <w:r w:rsidRPr="00EA53FC">
        <w:rPr>
          <w:rFonts w:ascii="Times New Roman" w:eastAsia="Times New Roman" w:hAnsi="Times New Roman"/>
          <w:sz w:val="24"/>
          <w:szCs w:val="24"/>
          <w:u w:val="single"/>
        </w:rPr>
        <w:lastRenderedPageBreak/>
        <w:t xml:space="preserve">b. Any license issued pursuant to this chapter may be suspended or revoked after notice and an opportunity to be heard for three violations of subdivisions c, e, h or </w:t>
      </w:r>
      <w:proofErr w:type="spellStart"/>
      <w:r w:rsidRPr="00EA53FC">
        <w:rPr>
          <w:rFonts w:ascii="Times New Roman" w:eastAsia="Times New Roman" w:hAnsi="Times New Roman"/>
          <w:sz w:val="24"/>
          <w:szCs w:val="24"/>
          <w:u w:val="single"/>
        </w:rPr>
        <w:t>i</w:t>
      </w:r>
      <w:proofErr w:type="spellEnd"/>
      <w:r w:rsidRPr="00EA53FC">
        <w:rPr>
          <w:rFonts w:ascii="Times New Roman" w:eastAsia="Times New Roman" w:hAnsi="Times New Roman"/>
          <w:sz w:val="24"/>
          <w:szCs w:val="24"/>
          <w:u w:val="single"/>
        </w:rPr>
        <w:t xml:space="preserve"> of section 20-465 committed within a 1-year period, as determined by the department. Such license shall be suspended for 30 days upon the first such determination, 60 days upon the second such determination, and revoked upon the third such determination.</w:t>
      </w:r>
    </w:p>
    <w:p w14:paraId="31155874"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12. Subdivision b of section 20-472 of the administrative code of the city of New York, as amended by local law number 122 for the year 2025, is amended to read as follows:</w:t>
      </w:r>
    </w:p>
    <w:p w14:paraId="1AEF2B11"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b. 1. In addition to the penalties prescribed by subdivision a of this section, any person who violates, or any person aiding another to violate, the provisions of section 20-453 [of this subchapter] shall be liable for a civil penalty of $250 together with a penalty of $250 per day for every day during which the unlicensed business operated; except that a person who violates, or any person aiding another to violate, the provisions of section 20-453 [of this subchapter] by engaging in continued unlicensed activity as defined by the commissioner, considering factors including but not limited to the frequency and duration of such unlicensed activity </w:t>
      </w:r>
      <w:r w:rsidRPr="00EA53FC">
        <w:rPr>
          <w:rFonts w:ascii="Times New Roman" w:eastAsia="Times New Roman" w:hAnsi="Times New Roman"/>
          <w:sz w:val="24"/>
          <w:szCs w:val="24"/>
          <w:u w:val="single"/>
        </w:rPr>
        <w:t>and whether such vendor had an opportunity to obtain a license</w:t>
      </w:r>
      <w:r w:rsidRPr="00EA53FC">
        <w:rPr>
          <w:rFonts w:ascii="Times New Roman" w:eastAsia="Times New Roman" w:hAnsi="Times New Roman"/>
          <w:sz w:val="24"/>
          <w:szCs w:val="24"/>
        </w:rPr>
        <w:t xml:space="preserve">, shall be liable for a civil penalty of $1,000 together with a penalty of $250 per day for every day during which the unlicensed business operated. </w:t>
      </w:r>
      <w:r w:rsidRPr="00EA53FC">
        <w:rPr>
          <w:rFonts w:ascii="Times New Roman" w:eastAsia="Times New Roman" w:hAnsi="Times New Roman"/>
          <w:sz w:val="24"/>
          <w:szCs w:val="24"/>
          <w:u w:val="single"/>
        </w:rPr>
        <w:t>The commissioner may also consider additional civil penalties of up to $1,000 if such person had an opportunity to obtain a license or add themselves to the waitlist for such license.</w:t>
      </w:r>
    </w:p>
    <w:p w14:paraId="6453E53E"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2. Any person who violates any of the provisions of this subchapter, other than section 20-453 </w:t>
      </w:r>
      <w:r w:rsidRPr="00EA53FC">
        <w:rPr>
          <w:rFonts w:ascii="Times New Roman" w:eastAsia="Times New Roman" w:hAnsi="Times New Roman"/>
          <w:sz w:val="24"/>
          <w:szCs w:val="24"/>
          <w:u w:val="single"/>
        </w:rPr>
        <w:t>or subdivisions (g), (h), (</w:t>
      </w:r>
      <w:proofErr w:type="spellStart"/>
      <w:r w:rsidRPr="00EA53FC">
        <w:rPr>
          <w:rFonts w:ascii="Times New Roman" w:eastAsia="Times New Roman" w:hAnsi="Times New Roman"/>
          <w:sz w:val="24"/>
          <w:szCs w:val="24"/>
          <w:u w:val="single"/>
        </w:rPr>
        <w:t>i</w:t>
      </w:r>
      <w:proofErr w:type="spellEnd"/>
      <w:r w:rsidRPr="00EA53FC">
        <w:rPr>
          <w:rFonts w:ascii="Times New Roman" w:eastAsia="Times New Roman" w:hAnsi="Times New Roman"/>
          <w:sz w:val="24"/>
          <w:szCs w:val="24"/>
          <w:u w:val="single"/>
        </w:rPr>
        <w:t>) or (j) of section 20-465</w:t>
      </w:r>
      <w:r w:rsidRPr="00EA53FC">
        <w:rPr>
          <w:rFonts w:ascii="Times New Roman" w:eastAsia="Times New Roman" w:hAnsi="Times New Roman"/>
          <w:sz w:val="24"/>
          <w:szCs w:val="24"/>
        </w:rPr>
        <w:t>, or any of the rules and regulations promulgated hereunder shall be liable for a civil penalty as follows:</w:t>
      </w:r>
    </w:p>
    <w:p w14:paraId="018E72F7"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(a) For the first violation, a penalty of $25.</w:t>
      </w:r>
    </w:p>
    <w:p w14:paraId="50DD0F5F"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lastRenderedPageBreak/>
        <w:t xml:space="preserve">(b) For the second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$50.</w:t>
      </w:r>
    </w:p>
    <w:p w14:paraId="4BA39EB5"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(c) For the third violation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$100.</w:t>
      </w:r>
    </w:p>
    <w:p w14:paraId="5F0C59F9"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 xml:space="preserve">(d) For any subsequent violations issued for the same offense within a period of [two] </w:t>
      </w:r>
      <w:r w:rsidRPr="00EA53FC">
        <w:rPr>
          <w:rFonts w:ascii="Times New Roman" w:eastAsia="Times New Roman" w:hAnsi="Times New Roman"/>
          <w:sz w:val="24"/>
          <w:szCs w:val="24"/>
          <w:u w:val="single"/>
        </w:rPr>
        <w:t>2</w:t>
      </w:r>
      <w:r w:rsidRPr="00EA53FC">
        <w:rPr>
          <w:rFonts w:ascii="Times New Roman" w:eastAsia="Times New Roman" w:hAnsi="Times New Roman"/>
          <w:sz w:val="24"/>
          <w:szCs w:val="24"/>
        </w:rPr>
        <w:t xml:space="preserve"> years of the date of a first violation, a penalty of $250.</w:t>
      </w:r>
    </w:p>
    <w:p w14:paraId="77E48596" w14:textId="77777777" w:rsidR="00EA53FC" w:rsidRPr="00EA53FC" w:rsidRDefault="00EA53FC" w:rsidP="00EA53FC">
      <w:pPr>
        <w:spacing w:after="0" w:line="480" w:lineRule="auto"/>
        <w:ind w:firstLine="720"/>
        <w:jc w:val="both"/>
        <w:rPr>
          <w:rFonts w:ascii="Times New Roman" w:eastAsia="Times New Roman" w:hAnsi="Times New Roman"/>
          <w:sz w:val="24"/>
          <w:szCs w:val="24"/>
        </w:rPr>
      </w:pPr>
      <w:r w:rsidRPr="00EA53FC">
        <w:rPr>
          <w:rFonts w:ascii="Times New Roman" w:eastAsia="Times New Roman" w:hAnsi="Times New Roman"/>
          <w:sz w:val="24"/>
          <w:szCs w:val="24"/>
        </w:rPr>
        <w:t>3. Notwithstanding any inconsistent provision of this subdivision, a person shall be subject to a civil penalty of zero dollars for a first violation of subdivision b of section 20-461 [of this subchapter] or any rule or regulation promulgated thereunder. The notice of violation for such first violation shall inform the respondent of the provision of law or rule that the department believes the respondent has violated, describe the condition or activity that is the basis for the notice of violation, and advise the respondent that the law authorizes civil penalties for such violation and that subsequent violations may result in the imposition of such civil penalties. Any person who violates subdivision b of section 20-461 or any rule or regulation promulgated thereunder shall be subject to a civil penalty of $25 for a second violation and a civil penalty of $50 for a third or subsequent violation.</w:t>
      </w:r>
    </w:p>
    <w:p w14:paraId="14E5CD6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4</w:t>
      </w:r>
      <w:proofErr w:type="gramStart"/>
      <w:r w:rsidRPr="00EA53FC">
        <w:rPr>
          <w:rFonts w:ascii="Times New Roman" w:eastAsia="Times New Roman" w:hAnsi="Times New Roman"/>
          <w:sz w:val="24"/>
          <w:szCs w:val="24"/>
          <w:u w:val="single"/>
        </w:rPr>
        <w:t>.  Any</w:t>
      </w:r>
      <w:proofErr w:type="gramEnd"/>
      <w:r w:rsidRPr="00EA53FC">
        <w:rPr>
          <w:rFonts w:ascii="Times New Roman" w:eastAsia="Times New Roman" w:hAnsi="Times New Roman"/>
          <w:sz w:val="24"/>
          <w:szCs w:val="24"/>
          <w:u w:val="single"/>
        </w:rPr>
        <w:t> person who violates subdivisions (g), (h), (</w:t>
      </w:r>
      <w:proofErr w:type="spellStart"/>
      <w:r w:rsidRPr="00EA53FC">
        <w:rPr>
          <w:rFonts w:ascii="Times New Roman" w:eastAsia="Times New Roman" w:hAnsi="Times New Roman"/>
          <w:sz w:val="24"/>
          <w:szCs w:val="24"/>
          <w:u w:val="single"/>
        </w:rPr>
        <w:t>i</w:t>
      </w:r>
      <w:proofErr w:type="spellEnd"/>
      <w:r w:rsidRPr="00EA53FC">
        <w:rPr>
          <w:rFonts w:ascii="Times New Roman" w:eastAsia="Times New Roman" w:hAnsi="Times New Roman"/>
          <w:sz w:val="24"/>
          <w:szCs w:val="24"/>
          <w:u w:val="single"/>
        </w:rPr>
        <w:t>) or (j) of section 20-465, or any of the rules and regulations promulgated hereunder, shall be liable for a civil penalty as follows:</w:t>
      </w:r>
    </w:p>
    <w:p w14:paraId="4F065A83"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(a) For the first violation, a penalty of $50.</w:t>
      </w:r>
    </w:p>
    <w:p w14:paraId="41CB28DC"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(b) For the second violation issued for the same offense within a period of 2 years of the date of a first violation, a penalty of $100.</w:t>
      </w:r>
    </w:p>
    <w:p w14:paraId="29EB4E86"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t>(c) For the third violation issued for the same offense within a period of 2 years of the date of a first violation, a penalty of $200.</w:t>
      </w:r>
    </w:p>
    <w:p w14:paraId="433032E9" w14:textId="77777777" w:rsidR="00EA53FC" w:rsidRPr="00EA53FC" w:rsidRDefault="00EA53FC" w:rsidP="00EA53FC">
      <w:pPr>
        <w:spacing w:after="0" w:line="480" w:lineRule="auto"/>
        <w:ind w:firstLine="720"/>
        <w:jc w:val="both"/>
        <w:rPr>
          <w:rFonts w:ascii="Times New Roman" w:eastAsia="Times New Roman" w:hAnsi="Times New Roman"/>
          <w:sz w:val="24"/>
          <w:szCs w:val="24"/>
          <w:u w:val="single"/>
        </w:rPr>
      </w:pPr>
      <w:r w:rsidRPr="00EA53FC">
        <w:rPr>
          <w:rFonts w:ascii="Times New Roman" w:eastAsia="Times New Roman" w:hAnsi="Times New Roman"/>
          <w:sz w:val="24"/>
          <w:szCs w:val="24"/>
          <w:u w:val="single"/>
        </w:rPr>
        <w:lastRenderedPageBreak/>
        <w:t>(d) For any subsequent violations issued for the same offense within a period of 2 years of the date of a first violation, a penalty of $400.</w:t>
      </w:r>
    </w:p>
    <w:p w14:paraId="2B1DF262" w14:textId="77777777" w:rsidR="00EA53FC" w:rsidRPr="00EA53FC" w:rsidRDefault="00EA53FC" w:rsidP="00EA53FC">
      <w:pPr>
        <w:spacing w:after="0" w:line="480" w:lineRule="auto"/>
        <w:ind w:firstLine="720"/>
        <w:rPr>
          <w:rFonts w:ascii="Times New Roman" w:eastAsia="Times New Roman" w:hAnsi="Times New Roman"/>
          <w:sz w:val="24"/>
          <w:szCs w:val="24"/>
        </w:rPr>
      </w:pPr>
      <w:r w:rsidRPr="00EA53FC">
        <w:rPr>
          <w:rFonts w:ascii="Times New Roman" w:eastAsia="Times New Roman" w:hAnsi="Times New Roman"/>
          <w:sz w:val="24"/>
          <w:szCs w:val="24"/>
        </w:rPr>
        <w:t>§ 13. This local law takes effect immediately.</w:t>
      </w:r>
    </w:p>
    <w:p w14:paraId="36E855FF" w14:textId="77777777" w:rsidR="00B7115B" w:rsidRPr="00EA53FC" w:rsidRDefault="00B7115B" w:rsidP="00EA53FC">
      <w:pPr>
        <w:spacing w:after="0" w:line="240" w:lineRule="auto"/>
        <w:jc w:val="both"/>
        <w:rPr>
          <w:rFonts w:ascii="Times New Roman" w:eastAsia="Times New Roman" w:hAnsi="Times New Roman"/>
          <w:sz w:val="18"/>
          <w:szCs w:val="18"/>
        </w:rPr>
        <w:sectPr w:rsidR="00B7115B" w:rsidRPr="00EA53FC" w:rsidSect="00EA53FC">
          <w:type w:val="continuous"/>
          <w:pgSz w:w="12240" w:h="15840"/>
          <w:pgMar w:top="1440" w:right="1440" w:bottom="1440" w:left="1440" w:header="720" w:footer="720" w:gutter="0"/>
          <w:lnNumType w:countBy="1"/>
          <w:cols w:space="720"/>
          <w:titlePg/>
          <w:docGrid w:linePitch="360"/>
        </w:sectPr>
      </w:pPr>
    </w:p>
    <w:p w14:paraId="0A37DA8D"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lastRenderedPageBreak/>
        <w:t>SS</w:t>
      </w:r>
    </w:p>
    <w:p w14:paraId="1BC80E92"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LS #8036</w:t>
      </w:r>
    </w:p>
    <w:p w14:paraId="64E3A51E" w14:textId="77777777" w:rsidR="00EA53FC" w:rsidRPr="00EA53FC" w:rsidRDefault="00EA53FC" w:rsidP="00EA53FC">
      <w:pPr>
        <w:spacing w:after="0" w:line="240" w:lineRule="auto"/>
        <w:jc w:val="both"/>
        <w:rPr>
          <w:rFonts w:ascii="Times New Roman" w:eastAsia="Times New Roman" w:hAnsi="Times New Roman"/>
          <w:sz w:val="18"/>
          <w:szCs w:val="18"/>
        </w:rPr>
      </w:pPr>
      <w:r w:rsidRPr="00EA53FC">
        <w:rPr>
          <w:rFonts w:ascii="Times New Roman" w:eastAsia="Times New Roman" w:hAnsi="Times New Roman"/>
          <w:sz w:val="18"/>
          <w:szCs w:val="18"/>
        </w:rPr>
        <w:t>12/10/2025 10:07 PM</w:t>
      </w:r>
    </w:p>
    <w:p w14:paraId="0C4264F1" w14:textId="77777777" w:rsidR="00EA53FC" w:rsidRPr="00EA53FC" w:rsidRDefault="00EA53FC" w:rsidP="00EA53FC">
      <w:pPr>
        <w:spacing w:after="0" w:line="240" w:lineRule="auto"/>
        <w:rPr>
          <w:rFonts w:ascii="Times New Roman" w:eastAsia="Times New Roman" w:hAnsi="Times New Roman"/>
          <w:sz w:val="18"/>
          <w:szCs w:val="18"/>
        </w:rPr>
      </w:pPr>
    </w:p>
    <w:p w14:paraId="6A271A62" w14:textId="77777777" w:rsidR="00EA53FC" w:rsidRPr="00EA53FC" w:rsidRDefault="00EA53FC" w:rsidP="00EA53FC">
      <w:pPr>
        <w:spacing w:after="0" w:line="240" w:lineRule="auto"/>
        <w:rPr>
          <w:rFonts w:ascii="Times New Roman" w:eastAsia="Times New Roman" w:hAnsi="Times New Roman"/>
          <w:sz w:val="18"/>
          <w:szCs w:val="18"/>
        </w:rPr>
      </w:pPr>
    </w:p>
    <w:p w14:paraId="06E6B938" w14:textId="77777777" w:rsidR="00E915AF" w:rsidRDefault="00E915AF" w:rsidP="008A1CD9">
      <w:pPr>
        <w:spacing w:after="0" w:line="240" w:lineRule="auto"/>
        <w:jc w:val="center"/>
        <w:rPr>
          <w:rFonts w:ascii="Times New Roman" w:eastAsia="Times New Roman" w:hAnsi="Times New Roman"/>
          <w:sz w:val="24"/>
          <w:szCs w:val="24"/>
        </w:rPr>
      </w:pPr>
    </w:p>
    <w:p w14:paraId="0098030B" w14:textId="77777777" w:rsidR="00E915AF" w:rsidRDefault="00E915AF" w:rsidP="008A1CD9">
      <w:pPr>
        <w:spacing w:after="0" w:line="240" w:lineRule="auto"/>
        <w:jc w:val="center"/>
        <w:rPr>
          <w:rFonts w:ascii="Times New Roman" w:eastAsia="Times New Roman" w:hAnsi="Times New Roman"/>
          <w:sz w:val="24"/>
          <w:szCs w:val="24"/>
        </w:rPr>
      </w:pPr>
    </w:p>
    <w:p w14:paraId="2692A8C0" w14:textId="77777777" w:rsidR="00E915AF" w:rsidRDefault="00E915AF" w:rsidP="008A1CD9">
      <w:pPr>
        <w:spacing w:after="0" w:line="240" w:lineRule="auto"/>
        <w:jc w:val="center"/>
        <w:rPr>
          <w:rFonts w:ascii="Times New Roman" w:eastAsia="Times New Roman" w:hAnsi="Times New Roman"/>
          <w:sz w:val="24"/>
          <w:szCs w:val="24"/>
        </w:rPr>
      </w:pPr>
    </w:p>
    <w:p w14:paraId="0F440882" w14:textId="77777777" w:rsidR="00E915AF" w:rsidRDefault="00E915AF" w:rsidP="008A1CD9">
      <w:pPr>
        <w:spacing w:after="0" w:line="240" w:lineRule="auto"/>
        <w:jc w:val="center"/>
        <w:rPr>
          <w:rFonts w:ascii="Times New Roman" w:eastAsia="Times New Roman" w:hAnsi="Times New Roman"/>
          <w:sz w:val="24"/>
          <w:szCs w:val="24"/>
        </w:rPr>
      </w:pPr>
    </w:p>
    <w:p w14:paraId="7C350507" w14:textId="77777777" w:rsidR="00E915AF" w:rsidRDefault="00E915AF" w:rsidP="008A1CD9">
      <w:pPr>
        <w:spacing w:after="0" w:line="240" w:lineRule="auto"/>
        <w:jc w:val="center"/>
        <w:rPr>
          <w:rFonts w:ascii="Times New Roman" w:eastAsia="Times New Roman" w:hAnsi="Times New Roman"/>
          <w:sz w:val="24"/>
          <w:szCs w:val="24"/>
        </w:rPr>
      </w:pPr>
    </w:p>
    <w:p w14:paraId="77B8E7D4" w14:textId="77777777" w:rsidR="00E915AF" w:rsidRDefault="00E915AF" w:rsidP="008A1CD9">
      <w:pPr>
        <w:spacing w:after="0" w:line="240" w:lineRule="auto"/>
        <w:jc w:val="center"/>
        <w:rPr>
          <w:rFonts w:ascii="Times New Roman" w:eastAsia="Times New Roman" w:hAnsi="Times New Roman"/>
          <w:sz w:val="24"/>
          <w:szCs w:val="24"/>
        </w:rPr>
      </w:pPr>
    </w:p>
    <w:p w14:paraId="77F68CA0" w14:textId="77777777" w:rsidR="00E915AF" w:rsidRDefault="00E915AF" w:rsidP="008A1CD9">
      <w:pPr>
        <w:spacing w:after="0" w:line="240" w:lineRule="auto"/>
        <w:jc w:val="center"/>
        <w:rPr>
          <w:rFonts w:ascii="Times New Roman" w:eastAsia="Times New Roman" w:hAnsi="Times New Roman"/>
          <w:sz w:val="24"/>
          <w:szCs w:val="24"/>
        </w:rPr>
      </w:pPr>
    </w:p>
    <w:p w14:paraId="441E50A9" w14:textId="77777777" w:rsidR="00E915AF" w:rsidRDefault="00E915AF" w:rsidP="008A1CD9">
      <w:pPr>
        <w:spacing w:after="0" w:line="240" w:lineRule="auto"/>
        <w:jc w:val="center"/>
        <w:rPr>
          <w:rFonts w:ascii="Times New Roman" w:eastAsia="Times New Roman" w:hAnsi="Times New Roman"/>
          <w:sz w:val="24"/>
          <w:szCs w:val="24"/>
        </w:rPr>
      </w:pPr>
    </w:p>
    <w:p w14:paraId="317F5F12" w14:textId="77777777" w:rsidR="00E915AF" w:rsidRDefault="00E915AF" w:rsidP="008A1CD9">
      <w:pPr>
        <w:spacing w:after="0" w:line="240" w:lineRule="auto"/>
        <w:jc w:val="center"/>
        <w:rPr>
          <w:rFonts w:ascii="Times New Roman" w:eastAsia="Times New Roman" w:hAnsi="Times New Roman"/>
          <w:sz w:val="24"/>
          <w:szCs w:val="24"/>
        </w:rPr>
      </w:pPr>
    </w:p>
    <w:p w14:paraId="3AF8EA87" w14:textId="77777777" w:rsidR="00E915AF" w:rsidRDefault="00E915AF" w:rsidP="008A1CD9">
      <w:pPr>
        <w:spacing w:after="0" w:line="240" w:lineRule="auto"/>
        <w:jc w:val="center"/>
        <w:rPr>
          <w:rFonts w:ascii="Times New Roman" w:eastAsia="Times New Roman" w:hAnsi="Times New Roman"/>
          <w:sz w:val="24"/>
          <w:szCs w:val="24"/>
        </w:rPr>
      </w:pPr>
    </w:p>
    <w:p w14:paraId="00C98945" w14:textId="77777777" w:rsidR="00E915AF" w:rsidRDefault="00E915AF" w:rsidP="008A1CD9">
      <w:pPr>
        <w:spacing w:after="0" w:line="240" w:lineRule="auto"/>
        <w:jc w:val="center"/>
        <w:rPr>
          <w:rFonts w:ascii="Times New Roman" w:eastAsia="Times New Roman" w:hAnsi="Times New Roman"/>
          <w:sz w:val="24"/>
          <w:szCs w:val="24"/>
        </w:rPr>
      </w:pPr>
    </w:p>
    <w:p w14:paraId="650B2529" w14:textId="77777777" w:rsidR="00E915AF" w:rsidRDefault="00E915AF" w:rsidP="008A1CD9">
      <w:pPr>
        <w:spacing w:after="0" w:line="240" w:lineRule="auto"/>
        <w:jc w:val="center"/>
        <w:rPr>
          <w:rFonts w:ascii="Times New Roman" w:eastAsia="Times New Roman" w:hAnsi="Times New Roman"/>
          <w:sz w:val="24"/>
          <w:szCs w:val="24"/>
        </w:rPr>
      </w:pPr>
    </w:p>
    <w:p w14:paraId="4945D5BE" w14:textId="77777777" w:rsidR="00E915AF" w:rsidRDefault="00E915AF" w:rsidP="008A1CD9">
      <w:pPr>
        <w:spacing w:after="0" w:line="240" w:lineRule="auto"/>
        <w:jc w:val="center"/>
        <w:rPr>
          <w:rFonts w:ascii="Times New Roman" w:eastAsia="Times New Roman" w:hAnsi="Times New Roman"/>
          <w:sz w:val="24"/>
          <w:szCs w:val="24"/>
        </w:rPr>
      </w:pPr>
    </w:p>
    <w:p w14:paraId="5966ED77" w14:textId="77777777" w:rsidR="00E915AF" w:rsidRDefault="00E915AF" w:rsidP="008A1CD9">
      <w:pPr>
        <w:spacing w:after="0" w:line="240" w:lineRule="auto"/>
        <w:jc w:val="center"/>
        <w:rPr>
          <w:rFonts w:ascii="Times New Roman" w:eastAsia="Times New Roman" w:hAnsi="Times New Roman"/>
          <w:sz w:val="24"/>
          <w:szCs w:val="24"/>
        </w:rPr>
      </w:pPr>
    </w:p>
    <w:p w14:paraId="64A0CBAB" w14:textId="77777777" w:rsidR="00E915AF" w:rsidRDefault="00E915AF" w:rsidP="008A1CD9">
      <w:pPr>
        <w:spacing w:after="0" w:line="240" w:lineRule="auto"/>
        <w:jc w:val="center"/>
        <w:rPr>
          <w:rFonts w:ascii="Times New Roman" w:eastAsia="Times New Roman" w:hAnsi="Times New Roman"/>
          <w:sz w:val="24"/>
          <w:szCs w:val="24"/>
        </w:rPr>
      </w:pPr>
    </w:p>
    <w:p w14:paraId="4D860231" w14:textId="77777777" w:rsidR="00E915AF" w:rsidRDefault="00E915AF" w:rsidP="008A1CD9">
      <w:pPr>
        <w:spacing w:after="0" w:line="240" w:lineRule="auto"/>
        <w:jc w:val="center"/>
        <w:rPr>
          <w:rFonts w:ascii="Times New Roman" w:eastAsia="Times New Roman" w:hAnsi="Times New Roman"/>
          <w:sz w:val="24"/>
          <w:szCs w:val="24"/>
        </w:rPr>
      </w:pPr>
    </w:p>
    <w:p w14:paraId="6BD8EA4B" w14:textId="77777777" w:rsidR="00E915AF" w:rsidRDefault="00E915AF" w:rsidP="008A1CD9">
      <w:pPr>
        <w:spacing w:after="0" w:line="240" w:lineRule="auto"/>
        <w:jc w:val="center"/>
        <w:rPr>
          <w:rFonts w:ascii="Times New Roman" w:eastAsia="Times New Roman" w:hAnsi="Times New Roman"/>
          <w:sz w:val="24"/>
          <w:szCs w:val="24"/>
        </w:rPr>
      </w:pPr>
    </w:p>
    <w:p w14:paraId="42EB57D3" w14:textId="77777777" w:rsidR="00E915AF" w:rsidRDefault="00E915AF" w:rsidP="008A1CD9">
      <w:pPr>
        <w:spacing w:after="0" w:line="240" w:lineRule="auto"/>
        <w:jc w:val="center"/>
        <w:rPr>
          <w:rFonts w:ascii="Times New Roman" w:eastAsia="Times New Roman" w:hAnsi="Times New Roman"/>
          <w:sz w:val="24"/>
          <w:szCs w:val="24"/>
        </w:rPr>
      </w:pPr>
    </w:p>
    <w:p w14:paraId="128376DD" w14:textId="77777777" w:rsidR="00E915AF" w:rsidRDefault="00E915AF" w:rsidP="008A1CD9">
      <w:pPr>
        <w:spacing w:after="0" w:line="240" w:lineRule="auto"/>
        <w:jc w:val="center"/>
        <w:rPr>
          <w:rFonts w:ascii="Times New Roman" w:eastAsia="Times New Roman" w:hAnsi="Times New Roman"/>
          <w:sz w:val="24"/>
          <w:szCs w:val="24"/>
        </w:rPr>
      </w:pPr>
    </w:p>
    <w:p w14:paraId="022F8EDD" w14:textId="77777777" w:rsidR="00E915AF" w:rsidRDefault="00E915AF" w:rsidP="008A1CD9">
      <w:pPr>
        <w:spacing w:after="0" w:line="240" w:lineRule="auto"/>
        <w:jc w:val="center"/>
        <w:rPr>
          <w:rFonts w:ascii="Times New Roman" w:eastAsia="Times New Roman" w:hAnsi="Times New Roman"/>
          <w:sz w:val="24"/>
          <w:szCs w:val="24"/>
        </w:rPr>
      </w:pPr>
    </w:p>
    <w:p w14:paraId="5C2337EB" w14:textId="77777777" w:rsidR="00E915AF" w:rsidRDefault="00E915AF" w:rsidP="008A1CD9">
      <w:pPr>
        <w:spacing w:after="0" w:line="240" w:lineRule="auto"/>
        <w:jc w:val="center"/>
        <w:rPr>
          <w:rFonts w:ascii="Times New Roman" w:eastAsia="Times New Roman" w:hAnsi="Times New Roman"/>
          <w:sz w:val="24"/>
          <w:szCs w:val="24"/>
        </w:rPr>
      </w:pPr>
    </w:p>
    <w:p w14:paraId="7DCB2B5D" w14:textId="77777777" w:rsidR="00E915AF" w:rsidRDefault="00E915AF" w:rsidP="008A1CD9">
      <w:pPr>
        <w:spacing w:after="0" w:line="240" w:lineRule="auto"/>
        <w:jc w:val="center"/>
        <w:rPr>
          <w:rFonts w:ascii="Times New Roman" w:eastAsia="Times New Roman" w:hAnsi="Times New Roman"/>
          <w:sz w:val="24"/>
          <w:szCs w:val="24"/>
        </w:rPr>
      </w:pPr>
    </w:p>
    <w:p w14:paraId="4EBB3642" w14:textId="77777777" w:rsidR="00E915AF" w:rsidRDefault="00E915AF" w:rsidP="008A1CD9">
      <w:pPr>
        <w:spacing w:after="0" w:line="240" w:lineRule="auto"/>
        <w:jc w:val="center"/>
        <w:rPr>
          <w:rFonts w:ascii="Times New Roman" w:eastAsia="Times New Roman" w:hAnsi="Times New Roman"/>
          <w:sz w:val="24"/>
          <w:szCs w:val="24"/>
        </w:rPr>
      </w:pPr>
    </w:p>
    <w:p w14:paraId="779C0C7E" w14:textId="77777777" w:rsidR="00E915AF" w:rsidRDefault="00E915AF" w:rsidP="008A1CD9">
      <w:pPr>
        <w:spacing w:after="0" w:line="240" w:lineRule="auto"/>
        <w:jc w:val="center"/>
        <w:rPr>
          <w:rFonts w:ascii="Times New Roman" w:eastAsia="Times New Roman" w:hAnsi="Times New Roman"/>
          <w:sz w:val="24"/>
          <w:szCs w:val="24"/>
        </w:rPr>
      </w:pPr>
    </w:p>
    <w:p w14:paraId="3967A67B" w14:textId="77777777" w:rsidR="00E915AF" w:rsidRDefault="00E915AF" w:rsidP="008A1CD9">
      <w:pPr>
        <w:spacing w:after="0" w:line="240" w:lineRule="auto"/>
        <w:jc w:val="center"/>
        <w:rPr>
          <w:rFonts w:ascii="Times New Roman" w:eastAsia="Times New Roman" w:hAnsi="Times New Roman"/>
          <w:sz w:val="24"/>
          <w:szCs w:val="24"/>
        </w:rPr>
      </w:pPr>
    </w:p>
    <w:p w14:paraId="61A21510" w14:textId="77777777" w:rsidR="00E915AF" w:rsidRDefault="00E915AF" w:rsidP="008A1CD9">
      <w:pPr>
        <w:spacing w:after="0" w:line="240" w:lineRule="auto"/>
        <w:jc w:val="center"/>
        <w:rPr>
          <w:rFonts w:ascii="Times New Roman" w:eastAsia="Times New Roman" w:hAnsi="Times New Roman"/>
          <w:sz w:val="24"/>
          <w:szCs w:val="24"/>
        </w:rPr>
      </w:pPr>
    </w:p>
    <w:p w14:paraId="348761E5" w14:textId="77777777" w:rsidR="00E915AF" w:rsidRDefault="00E915AF" w:rsidP="008A1CD9">
      <w:pPr>
        <w:spacing w:after="0" w:line="240" w:lineRule="auto"/>
        <w:jc w:val="center"/>
        <w:rPr>
          <w:rFonts w:ascii="Times New Roman" w:eastAsia="Times New Roman" w:hAnsi="Times New Roman"/>
          <w:sz w:val="24"/>
          <w:szCs w:val="24"/>
        </w:rPr>
      </w:pPr>
    </w:p>
    <w:p w14:paraId="4D364626" w14:textId="77777777" w:rsidR="00E915AF" w:rsidRDefault="00E915AF" w:rsidP="008A1CD9">
      <w:pPr>
        <w:spacing w:after="0" w:line="240" w:lineRule="auto"/>
        <w:jc w:val="center"/>
        <w:rPr>
          <w:rFonts w:ascii="Times New Roman" w:eastAsia="Times New Roman" w:hAnsi="Times New Roman"/>
          <w:sz w:val="24"/>
          <w:szCs w:val="24"/>
        </w:rPr>
      </w:pPr>
    </w:p>
    <w:p w14:paraId="17B04E53" w14:textId="77777777" w:rsidR="00E915AF" w:rsidRDefault="00E915AF" w:rsidP="008A1CD9">
      <w:pPr>
        <w:spacing w:after="0" w:line="240" w:lineRule="auto"/>
        <w:jc w:val="center"/>
        <w:rPr>
          <w:rFonts w:ascii="Times New Roman" w:eastAsia="Times New Roman" w:hAnsi="Times New Roman"/>
          <w:sz w:val="24"/>
          <w:szCs w:val="24"/>
        </w:rPr>
      </w:pPr>
    </w:p>
    <w:p w14:paraId="33357FC3" w14:textId="77777777" w:rsidR="00E915AF" w:rsidRDefault="00E915AF" w:rsidP="008A1CD9">
      <w:pPr>
        <w:spacing w:after="0" w:line="240" w:lineRule="auto"/>
        <w:jc w:val="center"/>
        <w:rPr>
          <w:rFonts w:ascii="Times New Roman" w:eastAsia="Times New Roman" w:hAnsi="Times New Roman"/>
          <w:sz w:val="24"/>
          <w:szCs w:val="24"/>
        </w:rPr>
      </w:pPr>
    </w:p>
    <w:p w14:paraId="338C3B3E" w14:textId="77777777" w:rsidR="00E915AF" w:rsidRDefault="00E915AF" w:rsidP="008A1CD9">
      <w:pPr>
        <w:spacing w:after="0" w:line="240" w:lineRule="auto"/>
        <w:jc w:val="center"/>
        <w:rPr>
          <w:rFonts w:ascii="Times New Roman" w:eastAsia="Times New Roman" w:hAnsi="Times New Roman"/>
          <w:sz w:val="24"/>
          <w:szCs w:val="24"/>
        </w:rPr>
      </w:pPr>
    </w:p>
    <w:p w14:paraId="4ADE1E77" w14:textId="77777777" w:rsidR="00E915AF" w:rsidRDefault="00E915AF" w:rsidP="008A1CD9">
      <w:pPr>
        <w:spacing w:after="0" w:line="240" w:lineRule="auto"/>
        <w:jc w:val="center"/>
        <w:rPr>
          <w:rFonts w:ascii="Times New Roman" w:eastAsia="Times New Roman" w:hAnsi="Times New Roman"/>
          <w:sz w:val="24"/>
          <w:szCs w:val="24"/>
        </w:rPr>
      </w:pPr>
    </w:p>
    <w:p w14:paraId="2B897064" w14:textId="77777777" w:rsidR="00E915AF" w:rsidRDefault="00E915AF" w:rsidP="008A1CD9">
      <w:pPr>
        <w:spacing w:after="0" w:line="240" w:lineRule="auto"/>
        <w:jc w:val="center"/>
        <w:rPr>
          <w:rFonts w:ascii="Times New Roman" w:eastAsia="Times New Roman" w:hAnsi="Times New Roman"/>
          <w:sz w:val="24"/>
          <w:szCs w:val="24"/>
        </w:rPr>
      </w:pPr>
    </w:p>
    <w:p w14:paraId="4AC9A599" w14:textId="77777777" w:rsidR="00E915AF" w:rsidRDefault="00E915AF" w:rsidP="008A1CD9">
      <w:pPr>
        <w:spacing w:after="0" w:line="240" w:lineRule="auto"/>
        <w:jc w:val="center"/>
        <w:rPr>
          <w:rFonts w:ascii="Times New Roman" w:eastAsia="Times New Roman" w:hAnsi="Times New Roman"/>
          <w:sz w:val="24"/>
          <w:szCs w:val="24"/>
        </w:rPr>
      </w:pPr>
    </w:p>
    <w:p w14:paraId="23F20FDF" w14:textId="77777777" w:rsidR="00E915AF" w:rsidRDefault="00E915AF" w:rsidP="008A1CD9">
      <w:pPr>
        <w:spacing w:after="0" w:line="240" w:lineRule="auto"/>
        <w:jc w:val="center"/>
        <w:rPr>
          <w:rFonts w:ascii="Times New Roman" w:eastAsia="Times New Roman" w:hAnsi="Times New Roman"/>
          <w:sz w:val="24"/>
          <w:szCs w:val="24"/>
        </w:rPr>
      </w:pPr>
    </w:p>
    <w:p w14:paraId="3EAF3ACA" w14:textId="77777777" w:rsidR="00E915AF" w:rsidRDefault="00E915AF" w:rsidP="008A1CD9">
      <w:pPr>
        <w:spacing w:after="0" w:line="240" w:lineRule="auto"/>
        <w:jc w:val="center"/>
        <w:rPr>
          <w:rFonts w:ascii="Times New Roman" w:eastAsia="Times New Roman" w:hAnsi="Times New Roman"/>
          <w:sz w:val="24"/>
          <w:szCs w:val="24"/>
        </w:rPr>
      </w:pPr>
    </w:p>
    <w:p w14:paraId="09A37D37" w14:textId="77777777" w:rsidR="00E915AF" w:rsidRDefault="00E915AF" w:rsidP="008A1CD9">
      <w:pPr>
        <w:spacing w:after="0" w:line="240" w:lineRule="auto"/>
        <w:jc w:val="center"/>
        <w:rPr>
          <w:rFonts w:ascii="Times New Roman" w:eastAsia="Times New Roman" w:hAnsi="Times New Roman"/>
          <w:sz w:val="24"/>
          <w:szCs w:val="24"/>
        </w:rPr>
      </w:pPr>
    </w:p>
    <w:p w14:paraId="178490E4" w14:textId="77777777" w:rsidR="00E915AF" w:rsidRDefault="00E915AF" w:rsidP="008A1CD9">
      <w:pPr>
        <w:spacing w:after="0" w:line="240" w:lineRule="auto"/>
        <w:jc w:val="center"/>
        <w:rPr>
          <w:rFonts w:ascii="Times New Roman" w:eastAsia="Times New Roman" w:hAnsi="Times New Roman"/>
          <w:sz w:val="24"/>
          <w:szCs w:val="24"/>
        </w:rPr>
      </w:pPr>
    </w:p>
    <w:p w14:paraId="375282AB" w14:textId="77777777" w:rsidR="00E915AF" w:rsidRDefault="00E915AF" w:rsidP="008A1CD9">
      <w:pPr>
        <w:spacing w:after="0" w:line="240" w:lineRule="auto"/>
        <w:jc w:val="center"/>
        <w:rPr>
          <w:rFonts w:ascii="Times New Roman" w:eastAsia="Times New Roman" w:hAnsi="Times New Roman"/>
          <w:sz w:val="24"/>
          <w:szCs w:val="24"/>
        </w:rPr>
      </w:pPr>
    </w:p>
    <w:p w14:paraId="0767C495" w14:textId="77777777" w:rsidR="00E915AF" w:rsidRDefault="00E915AF" w:rsidP="008A1CD9">
      <w:pPr>
        <w:spacing w:after="0" w:line="240" w:lineRule="auto"/>
        <w:jc w:val="center"/>
        <w:rPr>
          <w:rFonts w:ascii="Times New Roman" w:eastAsia="Times New Roman" w:hAnsi="Times New Roman"/>
          <w:sz w:val="24"/>
          <w:szCs w:val="24"/>
        </w:rPr>
      </w:pPr>
    </w:p>
    <w:p w14:paraId="54E31AA6" w14:textId="77777777" w:rsidR="00E915AF" w:rsidRDefault="00E915AF" w:rsidP="008A1CD9">
      <w:pPr>
        <w:spacing w:after="0" w:line="240" w:lineRule="auto"/>
        <w:jc w:val="center"/>
        <w:rPr>
          <w:rFonts w:ascii="Times New Roman" w:eastAsia="Times New Roman" w:hAnsi="Times New Roman"/>
          <w:sz w:val="24"/>
          <w:szCs w:val="24"/>
        </w:rPr>
      </w:pPr>
    </w:p>
    <w:p w14:paraId="48A7D052" w14:textId="77777777" w:rsidR="00E915AF" w:rsidRDefault="00E915AF" w:rsidP="008A1CD9">
      <w:pPr>
        <w:spacing w:after="0" w:line="240" w:lineRule="auto"/>
        <w:jc w:val="center"/>
        <w:rPr>
          <w:rFonts w:ascii="Times New Roman" w:eastAsia="Times New Roman" w:hAnsi="Times New Roman"/>
          <w:sz w:val="24"/>
          <w:szCs w:val="24"/>
        </w:rPr>
      </w:pPr>
    </w:p>
    <w:p w14:paraId="13367100" w14:textId="77777777" w:rsidR="00E915AF" w:rsidRDefault="00E915AF" w:rsidP="008A1CD9">
      <w:pPr>
        <w:spacing w:after="0" w:line="240" w:lineRule="auto"/>
        <w:jc w:val="center"/>
        <w:rPr>
          <w:rFonts w:ascii="Times New Roman" w:eastAsia="Times New Roman" w:hAnsi="Times New Roman"/>
          <w:sz w:val="24"/>
          <w:szCs w:val="24"/>
        </w:rPr>
      </w:pPr>
    </w:p>
    <w:p w14:paraId="28E08109" w14:textId="4CF94E1C" w:rsidR="008A1CD9" w:rsidRPr="008A1CD9" w:rsidRDefault="008A1CD9" w:rsidP="008A1CD9">
      <w:pPr>
        <w:spacing w:after="0" w:line="240" w:lineRule="auto"/>
        <w:jc w:val="center"/>
        <w:rPr>
          <w:rFonts w:ascii="Times New Roman" w:eastAsia="Times New Roman" w:hAnsi="Times New Roman"/>
          <w:sz w:val="24"/>
          <w:szCs w:val="24"/>
        </w:rPr>
      </w:pPr>
      <w:r w:rsidRPr="008A1CD9">
        <w:rPr>
          <w:rFonts w:ascii="Times New Roman" w:eastAsia="Times New Roman" w:hAnsi="Times New Roman"/>
          <w:sz w:val="24"/>
          <w:szCs w:val="24"/>
        </w:rPr>
        <w:lastRenderedPageBreak/>
        <w:t>Proposed Int. No. 1251-A</w:t>
      </w:r>
    </w:p>
    <w:p w14:paraId="47C30A90" w14:textId="77777777" w:rsidR="008A1CD9" w:rsidRPr="008A1CD9" w:rsidRDefault="008A1CD9" w:rsidP="008A1CD9">
      <w:pPr>
        <w:spacing w:after="0" w:line="240" w:lineRule="auto"/>
        <w:jc w:val="center"/>
        <w:rPr>
          <w:rFonts w:ascii="Times New Roman" w:eastAsia="Times New Roman" w:hAnsi="Times New Roman"/>
          <w:sz w:val="24"/>
          <w:szCs w:val="24"/>
        </w:rPr>
      </w:pPr>
    </w:p>
    <w:p w14:paraId="20791D6B" w14:textId="77777777" w:rsidR="008A1CD9" w:rsidRPr="008A1CD9" w:rsidRDefault="008A1CD9" w:rsidP="008A1CD9">
      <w:pPr>
        <w:autoSpaceDE w:val="0"/>
        <w:autoSpaceDN w:val="0"/>
        <w:adjustRightInd w:val="0"/>
        <w:spacing w:after="0" w:line="240" w:lineRule="auto"/>
        <w:jc w:val="both"/>
        <w:rPr>
          <w:rFonts w:ascii="Times New Roman" w:hAnsi="Times New Roman"/>
          <w:sz w:val="24"/>
          <w:szCs w:val="24"/>
        </w:rPr>
      </w:pPr>
      <w:r w:rsidRPr="008A1CD9">
        <w:rPr>
          <w:rFonts w:ascii="Times New Roman" w:hAnsi="Times New Roman"/>
          <w:sz w:val="24"/>
          <w:szCs w:val="24"/>
        </w:rPr>
        <w:t xml:space="preserve">By Council Members </w:t>
      </w:r>
      <w:proofErr w:type="spellStart"/>
      <w:r w:rsidRPr="008A1CD9">
        <w:rPr>
          <w:rFonts w:ascii="Times New Roman" w:hAnsi="Times New Roman"/>
          <w:sz w:val="24"/>
          <w:szCs w:val="24"/>
        </w:rPr>
        <w:t>Farías</w:t>
      </w:r>
      <w:proofErr w:type="spellEnd"/>
      <w:r w:rsidRPr="008A1CD9">
        <w:rPr>
          <w:rFonts w:ascii="Times New Roman" w:hAnsi="Times New Roman"/>
          <w:sz w:val="24"/>
          <w:szCs w:val="24"/>
        </w:rPr>
        <w:t>, Louis, Banks, Joseph, Sanchez and the Public Advocate (Mr. Williams)</w:t>
      </w:r>
    </w:p>
    <w:p w14:paraId="616A42F3" w14:textId="77777777" w:rsidR="008A1CD9" w:rsidRPr="008A1CD9" w:rsidRDefault="008A1CD9" w:rsidP="008A1CD9">
      <w:pPr>
        <w:spacing w:after="0" w:line="240" w:lineRule="auto"/>
        <w:jc w:val="center"/>
        <w:rPr>
          <w:rFonts w:ascii="Times New Roman" w:eastAsia="Times New Roman" w:hAnsi="Times New Roman"/>
          <w:sz w:val="24"/>
          <w:szCs w:val="24"/>
        </w:rPr>
      </w:pPr>
    </w:p>
    <w:p w14:paraId="44973D24" w14:textId="77777777" w:rsidR="008A1CD9" w:rsidRPr="008A1CD9" w:rsidRDefault="008A1CD9" w:rsidP="008A1CD9">
      <w:pPr>
        <w:spacing w:after="0" w:line="240" w:lineRule="auto"/>
        <w:jc w:val="both"/>
        <w:rPr>
          <w:rFonts w:ascii="Times New Roman" w:eastAsia="Times New Roman" w:hAnsi="Times New Roman"/>
          <w:vanish/>
          <w:sz w:val="24"/>
          <w:szCs w:val="24"/>
        </w:rPr>
      </w:pPr>
      <w:r w:rsidRPr="008A1CD9">
        <w:rPr>
          <w:rFonts w:ascii="Times New Roman" w:eastAsia="Times New Roman" w:hAnsi="Times New Roman"/>
          <w:vanish/>
          <w:sz w:val="24"/>
          <w:szCs w:val="24"/>
        </w:rPr>
        <w:t>..Title</w:t>
      </w:r>
    </w:p>
    <w:p w14:paraId="79117840" w14:textId="77777777" w:rsidR="008A1CD9" w:rsidRPr="008A1CD9" w:rsidRDefault="008A1CD9" w:rsidP="008A1CD9">
      <w:pPr>
        <w:spacing w:after="0" w:line="240" w:lineRule="auto"/>
        <w:jc w:val="both"/>
        <w:rPr>
          <w:rFonts w:ascii="Times New Roman" w:eastAsia="Times New Roman" w:hAnsi="Times New Roman"/>
          <w:sz w:val="24"/>
          <w:szCs w:val="24"/>
        </w:rPr>
      </w:pPr>
      <w:r w:rsidRPr="008A1CD9">
        <w:rPr>
          <w:rFonts w:ascii="Times New Roman" w:eastAsia="Times New Roman" w:hAnsi="Times New Roman"/>
          <w:sz w:val="24"/>
          <w:szCs w:val="24"/>
        </w:rPr>
        <w:t>A Local Law to amend the administrative code of the city of New York, in relation to issuing licenses to mobile food and general vendors</w:t>
      </w:r>
    </w:p>
    <w:p w14:paraId="2E3F17DA" w14:textId="77777777" w:rsidR="008A1CD9" w:rsidRPr="008A1CD9" w:rsidRDefault="008A1CD9" w:rsidP="008A1CD9">
      <w:pPr>
        <w:spacing w:after="0" w:line="240" w:lineRule="auto"/>
        <w:jc w:val="both"/>
        <w:rPr>
          <w:rFonts w:ascii="Times New Roman" w:eastAsia="Times New Roman" w:hAnsi="Times New Roman"/>
          <w:vanish/>
          <w:sz w:val="24"/>
          <w:szCs w:val="24"/>
        </w:rPr>
      </w:pPr>
      <w:r w:rsidRPr="008A1CD9">
        <w:rPr>
          <w:rFonts w:ascii="Times New Roman" w:eastAsia="Times New Roman" w:hAnsi="Times New Roman"/>
          <w:vanish/>
          <w:sz w:val="24"/>
          <w:szCs w:val="24"/>
        </w:rPr>
        <w:t>..Body</w:t>
      </w:r>
    </w:p>
    <w:p w14:paraId="4582CF8D" w14:textId="77777777" w:rsidR="008A1CD9" w:rsidRPr="008A1CD9" w:rsidRDefault="008A1CD9" w:rsidP="008A1CD9">
      <w:pPr>
        <w:spacing w:after="0" w:line="240" w:lineRule="auto"/>
        <w:jc w:val="both"/>
        <w:rPr>
          <w:rFonts w:ascii="Times New Roman" w:eastAsia="Times New Roman" w:hAnsi="Times New Roman"/>
          <w:sz w:val="24"/>
          <w:szCs w:val="24"/>
          <w:u w:val="single"/>
        </w:rPr>
      </w:pPr>
    </w:p>
    <w:p w14:paraId="46612765" w14:textId="77777777" w:rsidR="008A1CD9" w:rsidRPr="008A1CD9" w:rsidRDefault="008A1CD9" w:rsidP="008A1CD9">
      <w:pPr>
        <w:spacing w:after="0" w:line="240" w:lineRule="auto"/>
        <w:jc w:val="both"/>
        <w:rPr>
          <w:rFonts w:ascii="Times New Roman" w:eastAsia="Times New Roman" w:hAnsi="Times New Roman"/>
          <w:sz w:val="24"/>
          <w:szCs w:val="24"/>
          <w:u w:val="single"/>
        </w:rPr>
      </w:pPr>
      <w:r w:rsidRPr="008A1CD9">
        <w:rPr>
          <w:rFonts w:ascii="Times New Roman" w:eastAsia="Times New Roman" w:hAnsi="Times New Roman"/>
          <w:sz w:val="24"/>
          <w:szCs w:val="24"/>
          <w:u w:val="single"/>
        </w:rPr>
        <w:t>Be it enacted by the Council as follows:</w:t>
      </w:r>
    </w:p>
    <w:p w14:paraId="183118FF" w14:textId="77777777" w:rsidR="008A1CD9" w:rsidRPr="008A1CD9" w:rsidRDefault="008A1CD9" w:rsidP="008A1CD9">
      <w:pPr>
        <w:spacing w:after="0" w:line="240" w:lineRule="auto"/>
        <w:ind w:firstLine="720"/>
        <w:jc w:val="both"/>
        <w:rPr>
          <w:rFonts w:ascii="Times New Roman" w:eastAsia="Times New Roman" w:hAnsi="Times New Roman"/>
          <w:sz w:val="24"/>
          <w:szCs w:val="24"/>
        </w:rPr>
      </w:pPr>
    </w:p>
    <w:p w14:paraId="2E98B72B" w14:textId="77777777" w:rsidR="008A1CD9" w:rsidRPr="008A1CD9" w:rsidRDefault="008A1CD9" w:rsidP="008A1CD9">
      <w:pPr>
        <w:spacing w:after="0" w:line="480" w:lineRule="auto"/>
        <w:ind w:firstLine="720"/>
        <w:jc w:val="both"/>
        <w:rPr>
          <w:rFonts w:ascii="Times New Roman" w:eastAsia="Times New Roman" w:hAnsi="Times New Roman"/>
          <w:sz w:val="24"/>
          <w:szCs w:val="24"/>
        </w:rPr>
        <w:sectPr w:rsidR="008A1CD9" w:rsidRPr="008A1CD9" w:rsidSect="008A1CD9">
          <w:footerReference w:type="default" r:id="rId13"/>
          <w:footerReference w:type="first" r:id="rId14"/>
          <w:pgSz w:w="12240" w:h="15840"/>
          <w:pgMar w:top="1440" w:right="1440" w:bottom="1440" w:left="1440" w:header="720" w:footer="720" w:gutter="0"/>
          <w:cols w:space="720"/>
          <w:docGrid w:linePitch="360"/>
        </w:sectPr>
      </w:pPr>
    </w:p>
    <w:p w14:paraId="33B7BFDE"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Section 1. Paragraph 3 of subdivision b of section 17-307 of the administrative code of the city of New York, subparagraph (a) of such subdivision as amended by a local law for the year 2025 </w:t>
      </w:r>
      <w:bookmarkStart w:id="9" w:name="_Hlk214355260"/>
      <w:r w:rsidRPr="008A1CD9">
        <w:rPr>
          <w:rFonts w:ascii="Times New Roman" w:eastAsia="Times New Roman" w:hAnsi="Times New Roman"/>
          <w:sz w:val="24"/>
          <w:szCs w:val="24"/>
        </w:rPr>
        <w:t>amending the administrative code of the city of New York, relating to expanding business licensing and regulatory compliance of all mobile food and general vendors, as proposed in introduction number 431-B for the year 2024, subparagraph (b) of such subdivision as amended by local law number 80 for the year 2021, subparagraph (c) of such subdivision as added by local law number 9 for the year 2008 and redesignated by local law number 18 for the year 2021 is amended to read as follows</w:t>
      </w:r>
      <w:bookmarkEnd w:id="9"/>
      <w:r w:rsidRPr="008A1CD9">
        <w:rPr>
          <w:rFonts w:ascii="Times New Roman" w:eastAsia="Times New Roman" w:hAnsi="Times New Roman"/>
          <w:sz w:val="24"/>
          <w:szCs w:val="24"/>
        </w:rPr>
        <w:t>:</w:t>
      </w:r>
    </w:p>
    <w:p w14:paraId="2B4879EC"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3. (a) (</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167A1726"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(ii) The department shall make available for application </w:t>
      </w:r>
      <w:r w:rsidRPr="008A1CD9">
        <w:rPr>
          <w:rFonts w:ascii="Times New Roman" w:eastAsia="Times New Roman" w:hAnsi="Times New Roman"/>
          <w:sz w:val="24"/>
          <w:szCs w:val="24"/>
          <w:u w:val="single"/>
        </w:rPr>
        <w:t>at least</w:t>
      </w:r>
      <w:r w:rsidRPr="008A1CD9">
        <w:rPr>
          <w:rFonts w:ascii="Times New Roman" w:eastAsia="Times New Roman" w:hAnsi="Times New Roman"/>
          <w:sz w:val="24"/>
          <w:szCs w:val="24"/>
        </w:rPr>
        <w:t xml:space="preserve"> 200 supervisory licenses per twelve-month period for five consecutive years beginning on July 1, 2026. </w:t>
      </w:r>
      <w:r w:rsidRPr="008A1CD9">
        <w:rPr>
          <w:rFonts w:ascii="Times New Roman" w:eastAsia="Times New Roman" w:hAnsi="Times New Roman"/>
          <w:sz w:val="24"/>
          <w:szCs w:val="24"/>
          <w:u w:val="single"/>
        </w:rPr>
        <w:t xml:space="preserve">Where the number of supervisory licenses issued in such twelve-month period is less than 200, the department may make additional supervisory licenses available for application such that the total number of supervisory licenses issued per twelve-month period beginning on July 1, 2026 is up to 200 and </w:t>
      </w:r>
      <w:r w:rsidRPr="008A1CD9">
        <w:rPr>
          <w:rFonts w:ascii="Times New Roman" w:eastAsia="Times New Roman" w:hAnsi="Times New Roman"/>
          <w:sz w:val="24"/>
          <w:szCs w:val="24"/>
          <w:u w:val="single"/>
        </w:rPr>
        <w:lastRenderedPageBreak/>
        <w:t>the cumulative total number of supervisory licenses issued pursuant to this paragraph by July 1, 2031 is up to 1,180.</w:t>
      </w:r>
      <w:r w:rsidRPr="008A1CD9">
        <w:rPr>
          <w:rFonts w:ascii="Times New Roman" w:eastAsia="Times New Roman" w:hAnsi="Times New Roman"/>
          <w:sz w:val="24"/>
          <w:szCs w:val="24"/>
        </w:rPr>
        <w:t xml:space="preserve"> In addition to the 100 permits authorized to be issued by clause (</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200 permits per twelve-month period for five consecutive years beginning on July 1, 2026 and issue a permit to each applicant who complies with the requirements for such permit.</w:t>
      </w:r>
    </w:p>
    <w:p w14:paraId="64D6BA0F"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Supervisory licenses available pursuant to this paragraph shall be made available for application in accordance with the preferences specified in subparagraph (b) of this paragraph and the procedures established by the commissioner.</w:t>
      </w:r>
    </w:p>
    <w:p w14:paraId="1CACC691"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The commissioner shall establish a waiting list to be administered in accordance with procedures to be established by rules of the commissioner.</w:t>
      </w:r>
    </w:p>
    <w:p w14:paraId="2B4A587B"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(b) Preferences shall be given in the issuance of permits pursuant to this paragraph and in the placement on such waiting list to the following categories of persons in the following order:</w:t>
      </w:r>
    </w:p>
    <w:p w14:paraId="5E313C2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21DE6DDB"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 Disabled veterans.</w:t>
      </w:r>
    </w:p>
    <w:p w14:paraId="6D29266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(iii) Disabled persons.</w:t>
      </w:r>
    </w:p>
    <w:p w14:paraId="5EB40275"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(iv) Veterans.</w:t>
      </w:r>
    </w:p>
    <w:p w14:paraId="3ACF1AD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(c) This paragraph shall not apply to fresh fruits and vegetables permits.</w:t>
      </w:r>
    </w:p>
    <w:p w14:paraId="3645B03A"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lastRenderedPageBreak/>
        <w:t>§ 2. Paragraph 5 of subdivision b of section 17-307 of the administrative code of the city of New York, as added by local law number 18 for the year 2021, subparagraphs (a), (b), (c) and (f) of such subdivision as amended by a local law for the year 2025 amending the administrative code of the city of New York, relating to expanding business licensing and regulatory compliance of all mobile food and general vendors, as proposed in introduction number 431-B for the year 2024 is amended to read as follows:</w:t>
      </w:r>
    </w:p>
    <w:p w14:paraId="2A86802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5. (a)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2031. On or after July 1, 2031, all permits issued under this subchapter, except fresh fruits and vegetables permits, shall be designated for use only when any holder of a supervisory license is physically present and vending.</w:t>
      </w:r>
    </w:p>
    <w:p w14:paraId="04EF4544"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(b) The commissioner shall make available for application </w:t>
      </w:r>
      <w:r w:rsidRPr="008A1CD9">
        <w:rPr>
          <w:rFonts w:ascii="Times New Roman" w:eastAsia="Times New Roman" w:hAnsi="Times New Roman"/>
          <w:sz w:val="24"/>
          <w:szCs w:val="24"/>
          <w:u w:val="single"/>
        </w:rPr>
        <w:t>at least</w:t>
      </w:r>
      <w:r w:rsidRPr="008A1CD9">
        <w:rPr>
          <w:rFonts w:ascii="Times New Roman" w:eastAsia="Times New Roman" w:hAnsi="Times New Roman"/>
          <w:sz w:val="24"/>
          <w:szCs w:val="24"/>
        </w:rPr>
        <w:t xml:space="preserve"> 2,000 supervisory licenses per twelve-month period for five consecutive years beginning on July 1, 2026. </w:t>
      </w:r>
      <w:r w:rsidRPr="008A1CD9">
        <w:rPr>
          <w:rFonts w:ascii="Times New Roman" w:eastAsia="Times New Roman" w:hAnsi="Times New Roman"/>
          <w:sz w:val="24"/>
          <w:szCs w:val="24"/>
          <w:u w:val="single"/>
        </w:rPr>
        <w:t>Where the number of supervisory licenses issued in such twelve-month period is less than 2,000, the department may make additional supervisory licenses available for application such that the total number of licenses issued per twelve-month period beginning on July 1, 2026 is up to 2,000 and the total cumulative number of licenses issued pursuant to this paragraph by July 1, 2031 is up to 11,200.</w:t>
      </w:r>
      <w:r w:rsidRPr="008A1CD9">
        <w:rPr>
          <w:rFonts w:ascii="Times New Roman" w:eastAsia="Times New Roman" w:hAnsi="Times New Roman"/>
          <w:sz w:val="24"/>
          <w:szCs w:val="24"/>
        </w:rPr>
        <w:t xml:space="preserve"> 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July 1, 2031, the commissioner shall make available for application </w:t>
      </w:r>
      <w:r w:rsidRPr="008A1CD9">
        <w:rPr>
          <w:rFonts w:ascii="Times New Roman" w:eastAsia="Times New Roman" w:hAnsi="Times New Roman"/>
          <w:sz w:val="24"/>
          <w:szCs w:val="24"/>
        </w:rPr>
        <w:lastRenderedPageBreak/>
        <w:t>supervisory licenses to any person seeking to renew a permit that was issued under this subchapter before July 1, 2022.</w:t>
      </w:r>
    </w:p>
    <w:p w14:paraId="6A41072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(c) In accordance with procedures to be established by rules of the commissioner, in each twelve-month period, </w:t>
      </w:r>
      <w:r w:rsidRPr="008A1CD9">
        <w:rPr>
          <w:rFonts w:ascii="Times New Roman" w:eastAsia="Times New Roman" w:hAnsi="Times New Roman"/>
          <w:sz w:val="24"/>
          <w:szCs w:val="24"/>
          <w:u w:val="single"/>
        </w:rPr>
        <w:t>up to</w:t>
      </w:r>
      <w:r w:rsidRPr="008A1CD9">
        <w:rPr>
          <w:rFonts w:ascii="Times New Roman" w:eastAsia="Times New Roman" w:hAnsi="Times New Roman"/>
          <w:sz w:val="24"/>
          <w:szCs w:val="24"/>
        </w:rPr>
        <w:t xml:space="preserve"> 500 of the supervisory licenses [made available for application] </w:t>
      </w:r>
      <w:r w:rsidRPr="008A1CD9">
        <w:rPr>
          <w:rFonts w:ascii="Times New Roman" w:eastAsia="Times New Roman" w:hAnsi="Times New Roman"/>
          <w:sz w:val="24"/>
          <w:szCs w:val="24"/>
          <w:u w:val="single"/>
        </w:rPr>
        <w:t>that may be issued</w:t>
      </w:r>
      <w:r w:rsidRPr="008A1CD9">
        <w:rPr>
          <w:rFonts w:ascii="Times New Roman" w:eastAsia="Times New Roman" w:hAnsi="Times New Roman"/>
          <w:sz w:val="24"/>
          <w:szCs w:val="24"/>
        </w:rPr>
        <w:t xml:space="preserve"> under this paragraph shall be designated for use in any borough, and [the remaining] </w:t>
      </w:r>
      <w:r w:rsidRPr="008A1CD9">
        <w:rPr>
          <w:rFonts w:ascii="Times New Roman" w:eastAsia="Times New Roman" w:hAnsi="Times New Roman"/>
          <w:sz w:val="24"/>
          <w:szCs w:val="24"/>
          <w:u w:val="single"/>
        </w:rPr>
        <w:t>up to</w:t>
      </w:r>
      <w:r w:rsidRPr="008A1CD9">
        <w:rPr>
          <w:rFonts w:ascii="Times New Roman" w:eastAsia="Times New Roman" w:hAnsi="Times New Roman"/>
          <w:sz w:val="24"/>
          <w:szCs w:val="24"/>
        </w:rPr>
        <w:t xml:space="preserve"> 1,500 such supervisory licenses </w:t>
      </w:r>
      <w:r w:rsidRPr="008A1CD9">
        <w:rPr>
          <w:rFonts w:ascii="Times New Roman" w:eastAsia="Times New Roman" w:hAnsi="Times New Roman"/>
          <w:sz w:val="24"/>
          <w:szCs w:val="24"/>
          <w:u w:val="single"/>
        </w:rPr>
        <w:t>that may be issued under this paragraph</w:t>
      </w:r>
      <w:r w:rsidRPr="008A1CD9">
        <w:rPr>
          <w:rFonts w:ascii="Times New Roman" w:eastAsia="Times New Roman" w:hAnsi="Times New Roman"/>
          <w:sz w:val="24"/>
          <w:szCs w:val="24"/>
        </w:rPr>
        <w:t xml:space="preserve"> shall be designated for use in boroughs outside of Manhattan.</w:t>
      </w:r>
    </w:p>
    <w:p w14:paraId="5BBC9858"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(d) Preferences shall be given in the availability of applications for supervisory licenses pursuant to this paragraph and in the placement on a waiting list </w:t>
      </w:r>
      <w:proofErr w:type="gramStart"/>
      <w:r w:rsidRPr="008A1CD9">
        <w:rPr>
          <w:rFonts w:ascii="Times New Roman" w:eastAsia="Times New Roman" w:hAnsi="Times New Roman"/>
          <w:sz w:val="24"/>
          <w:szCs w:val="24"/>
        </w:rPr>
        <w:t>therefor</w:t>
      </w:r>
      <w:proofErr w:type="gramEnd"/>
      <w:r w:rsidRPr="008A1CD9">
        <w:rPr>
          <w:rFonts w:ascii="Times New Roman" w:eastAsia="Times New Roman" w:hAnsi="Times New Roman"/>
          <w:sz w:val="24"/>
          <w:szCs w:val="24"/>
        </w:rPr>
        <w:t xml:space="preserve"> to the following categories of persons in the following order:</w:t>
      </w:r>
    </w:p>
    <w:p w14:paraId="6D2D49BF"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w:t>
      </w:r>
      <w:proofErr w:type="spellStart"/>
      <w:r w:rsidRPr="008A1CD9">
        <w:rPr>
          <w:rFonts w:ascii="Times New Roman" w:eastAsia="Times New Roman" w:hAnsi="Times New Roman"/>
          <w:sz w:val="24"/>
          <w:szCs w:val="24"/>
        </w:rPr>
        <w:t>i</w:t>
      </w:r>
      <w:proofErr w:type="spellEnd"/>
      <w:r w:rsidRPr="008A1CD9">
        <w:rPr>
          <w:rFonts w:ascii="Times New Roman" w:eastAsia="Times New Roman" w:hAnsi="Times New Roman"/>
          <w:sz w:val="24"/>
          <w:szCs w:val="24"/>
        </w:rPr>
        <w:t>)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7D73262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458BE3D0"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(iii) Persons who have held a food vendor license continuously since on or before March 1, 2017 but </w:t>
      </w:r>
      <w:proofErr w:type="gramStart"/>
      <w:r w:rsidRPr="008A1CD9">
        <w:rPr>
          <w:rFonts w:ascii="Times New Roman" w:eastAsia="Times New Roman" w:hAnsi="Times New Roman"/>
          <w:sz w:val="24"/>
          <w:szCs w:val="24"/>
        </w:rPr>
        <w:t>are were</w:t>
      </w:r>
      <w:proofErr w:type="gramEnd"/>
      <w:r w:rsidRPr="008A1CD9">
        <w:rPr>
          <w:rFonts w:ascii="Times New Roman" w:eastAsia="Times New Roman" w:hAnsi="Times New Roman"/>
          <w:sz w:val="24"/>
          <w:szCs w:val="24"/>
        </w:rPr>
        <w:t xml:space="preserve"> not on a waiting list for a full-term permit pursuant to this subchapter as of the effective date of the local law that added this paragraph.</w:t>
      </w:r>
    </w:p>
    <w:p w14:paraId="22AF7237"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lastRenderedPageBreak/>
        <w:t>(iv) Persons who have not held a food vendor license continuously since on or before March 1, 2017 and were not on a waiting list for a full-term permit pursuant to this subchapter as of the effective date of the local law that added this paragraph.</w:t>
      </w:r>
    </w:p>
    <w:p w14:paraId="3FBD5EAE"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(e) The commissioner may by rule limit the number of places on such waiting </w:t>
      </w:r>
      <w:proofErr w:type="gramStart"/>
      <w:r w:rsidRPr="008A1CD9">
        <w:rPr>
          <w:rFonts w:ascii="Times New Roman" w:eastAsia="Times New Roman" w:hAnsi="Times New Roman"/>
          <w:sz w:val="24"/>
          <w:szCs w:val="24"/>
        </w:rPr>
        <w:t>list, but</w:t>
      </w:r>
      <w:proofErr w:type="gramEnd"/>
      <w:r w:rsidRPr="008A1CD9">
        <w:rPr>
          <w:rFonts w:ascii="Times New Roman" w:eastAsia="Times New Roman" w:hAnsi="Times New Roman"/>
          <w:sz w:val="24"/>
          <w:szCs w:val="24"/>
        </w:rPr>
        <w:t xml:space="preserve"> shall ensure that such waiting list is operative prior to supervisory licenses becoming available to new individuals.</w:t>
      </w:r>
    </w:p>
    <w:p w14:paraId="5EE6039D"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(f) No later than July 1, 2031, the commissioner shall replenish the waiting list in accordance with the preferences set forth in this paragraph. </w:t>
      </w:r>
    </w:p>
    <w:p w14:paraId="39258609"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3. Subdivision h of section 20-459 of the administrative code of the city of New York, as added by a local law for the year 2025 amending the administrative code of the city of New York, relating to expanding business licensing and regulatory compliance of all mobile food and general vendors, as proposed in introduction number 431-A for the year 2024, is amended to read as follows:</w:t>
      </w:r>
    </w:p>
    <w:p w14:paraId="6F93E59A"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xml:space="preserve">h. [Reserved] </w:t>
      </w:r>
      <w:r w:rsidRPr="008A1CD9">
        <w:rPr>
          <w:rFonts w:ascii="Times New Roman" w:eastAsia="Times New Roman" w:hAnsi="Times New Roman"/>
          <w:sz w:val="24"/>
          <w:szCs w:val="24"/>
          <w:u w:val="single"/>
        </w:rPr>
        <w:t>Where the number of general vending licenses issued pursuant to subdivision c of this section is less than 10,500, the department may make additional licenses available for application such that the total number of licenses issued by July 1, 2031 is up to 11,353</w:t>
      </w:r>
      <w:r w:rsidRPr="008A1CD9">
        <w:rPr>
          <w:rFonts w:ascii="Times New Roman" w:eastAsia="Times New Roman" w:hAnsi="Times New Roman"/>
          <w:sz w:val="24"/>
          <w:szCs w:val="24"/>
        </w:rPr>
        <w:t>.</w:t>
      </w:r>
    </w:p>
    <w:p w14:paraId="17DC3916" w14:textId="77777777" w:rsidR="008A1CD9" w:rsidRPr="008A1CD9" w:rsidRDefault="008A1CD9" w:rsidP="008A1CD9">
      <w:pPr>
        <w:spacing w:after="0" w:line="480" w:lineRule="auto"/>
        <w:ind w:firstLine="720"/>
        <w:jc w:val="both"/>
        <w:rPr>
          <w:rFonts w:ascii="Times New Roman" w:eastAsia="Times New Roman" w:hAnsi="Times New Roman"/>
          <w:sz w:val="24"/>
          <w:szCs w:val="24"/>
        </w:rPr>
      </w:pPr>
      <w:r w:rsidRPr="008A1CD9">
        <w:rPr>
          <w:rFonts w:ascii="Times New Roman" w:eastAsia="Times New Roman" w:hAnsi="Times New Roman"/>
          <w:sz w:val="24"/>
          <w:szCs w:val="24"/>
        </w:rPr>
        <w:t>§ 4. This local law takes effect on the same date that a local law for the year 2025 amending the administrative code of the city of New York, relating to expanding business licensing and regulatory compliance of all mobile food and general vendors, as proposed in introduction number 431-B for the year 2024, takes effect.</w:t>
      </w:r>
    </w:p>
    <w:p w14:paraId="7686C972" w14:textId="77777777" w:rsidR="008A1CD9" w:rsidRPr="008A1CD9" w:rsidRDefault="008A1CD9" w:rsidP="008A1CD9">
      <w:pPr>
        <w:spacing w:after="0" w:line="240" w:lineRule="auto"/>
        <w:jc w:val="both"/>
        <w:rPr>
          <w:rFonts w:ascii="Times New Roman" w:eastAsia="Times New Roman" w:hAnsi="Times New Roman"/>
          <w:sz w:val="18"/>
          <w:szCs w:val="18"/>
        </w:rPr>
        <w:sectPr w:rsidR="008A1CD9" w:rsidRPr="008A1CD9" w:rsidSect="008A1CD9">
          <w:type w:val="continuous"/>
          <w:pgSz w:w="12240" w:h="15840"/>
          <w:pgMar w:top="1440" w:right="1440" w:bottom="1440" w:left="1440" w:header="720" w:footer="720" w:gutter="0"/>
          <w:lnNumType w:countBy="1"/>
          <w:cols w:space="720"/>
          <w:titlePg/>
          <w:docGrid w:linePitch="360"/>
        </w:sectPr>
      </w:pPr>
    </w:p>
    <w:p w14:paraId="2BEB0D0E" w14:textId="77777777" w:rsidR="008A1CD9" w:rsidRPr="008A1CD9" w:rsidRDefault="008A1CD9" w:rsidP="008A1CD9">
      <w:pPr>
        <w:spacing w:after="0" w:line="240" w:lineRule="auto"/>
        <w:jc w:val="both"/>
        <w:rPr>
          <w:rFonts w:ascii="Times New Roman" w:eastAsia="Times New Roman" w:hAnsi="Times New Roman"/>
          <w:sz w:val="18"/>
          <w:szCs w:val="18"/>
        </w:rPr>
      </w:pPr>
    </w:p>
    <w:p w14:paraId="7360A8A0" w14:textId="77777777" w:rsidR="008A1CD9" w:rsidRPr="008A1CD9" w:rsidRDefault="008A1CD9" w:rsidP="008A1CD9">
      <w:pPr>
        <w:spacing w:after="0" w:line="240" w:lineRule="auto"/>
        <w:jc w:val="both"/>
        <w:rPr>
          <w:rFonts w:ascii="Times New Roman" w:eastAsia="Times New Roman" w:hAnsi="Times New Roman"/>
          <w:sz w:val="18"/>
          <w:szCs w:val="18"/>
        </w:rPr>
      </w:pPr>
      <w:r w:rsidRPr="008A1CD9">
        <w:rPr>
          <w:rFonts w:ascii="Times New Roman" w:eastAsia="Times New Roman" w:hAnsi="Times New Roman"/>
          <w:sz w:val="18"/>
          <w:szCs w:val="18"/>
        </w:rPr>
        <w:t>SS</w:t>
      </w:r>
    </w:p>
    <w:p w14:paraId="5E31FA75" w14:textId="77777777" w:rsidR="008A1CD9" w:rsidRPr="008A1CD9" w:rsidRDefault="008A1CD9" w:rsidP="008A1CD9">
      <w:pPr>
        <w:spacing w:after="0" w:line="240" w:lineRule="auto"/>
        <w:jc w:val="both"/>
        <w:rPr>
          <w:rFonts w:ascii="Times New Roman" w:eastAsia="Times New Roman" w:hAnsi="Times New Roman"/>
          <w:sz w:val="18"/>
          <w:szCs w:val="18"/>
        </w:rPr>
      </w:pPr>
      <w:r w:rsidRPr="008A1CD9">
        <w:rPr>
          <w:rFonts w:ascii="Times New Roman" w:eastAsia="Times New Roman" w:hAnsi="Times New Roman"/>
          <w:sz w:val="18"/>
          <w:szCs w:val="18"/>
        </w:rPr>
        <w:t>LS #15896</w:t>
      </w:r>
    </w:p>
    <w:p w14:paraId="3E624FEB" w14:textId="77777777" w:rsidR="008A1CD9" w:rsidRPr="008A1CD9" w:rsidRDefault="008A1CD9" w:rsidP="008A1CD9">
      <w:pPr>
        <w:spacing w:after="0" w:line="240" w:lineRule="auto"/>
        <w:rPr>
          <w:rFonts w:ascii="Times New Roman" w:eastAsia="Times New Roman" w:hAnsi="Times New Roman"/>
          <w:sz w:val="18"/>
          <w:szCs w:val="18"/>
        </w:rPr>
      </w:pPr>
      <w:r w:rsidRPr="008A1CD9">
        <w:rPr>
          <w:rFonts w:ascii="Times New Roman" w:eastAsia="Times New Roman" w:hAnsi="Times New Roman"/>
          <w:sz w:val="18"/>
          <w:szCs w:val="18"/>
        </w:rPr>
        <w:t>12/10/2025 10:08 PM</w:t>
      </w:r>
    </w:p>
    <w:p w14:paraId="5CA0B60C" w14:textId="77777777" w:rsidR="008A1CD9" w:rsidRPr="008A1CD9" w:rsidRDefault="008A1CD9" w:rsidP="008A1CD9">
      <w:pPr>
        <w:spacing w:after="0" w:line="240" w:lineRule="auto"/>
        <w:rPr>
          <w:rFonts w:ascii="Times New Roman" w:eastAsia="Times New Roman" w:hAnsi="Times New Roman"/>
          <w:sz w:val="18"/>
          <w:szCs w:val="18"/>
        </w:rPr>
      </w:pPr>
    </w:p>
    <w:p w14:paraId="6685F901" w14:textId="77777777" w:rsidR="00912E6D" w:rsidRDefault="00912E6D" w:rsidP="00B05D12"/>
    <w:p w14:paraId="5C47DEE5" w14:textId="77777777" w:rsidR="002F7A40" w:rsidRDefault="002F7A40" w:rsidP="002F7A40">
      <w:pPr>
        <w:spacing w:after="0" w:line="240" w:lineRule="auto"/>
        <w:jc w:val="center"/>
        <w:rPr>
          <w:rFonts w:ascii="Times New Roman" w:eastAsia="Times New Roman" w:hAnsi="Times New Roman"/>
          <w:sz w:val="24"/>
          <w:szCs w:val="24"/>
        </w:rPr>
      </w:pPr>
    </w:p>
    <w:p w14:paraId="55BA9595" w14:textId="77777777" w:rsidR="002F7A40" w:rsidRDefault="002F7A40" w:rsidP="002F7A40">
      <w:pPr>
        <w:spacing w:after="0" w:line="240" w:lineRule="auto"/>
        <w:jc w:val="center"/>
        <w:rPr>
          <w:rFonts w:ascii="Times New Roman" w:eastAsia="Times New Roman" w:hAnsi="Times New Roman"/>
          <w:sz w:val="24"/>
          <w:szCs w:val="24"/>
        </w:rPr>
      </w:pPr>
    </w:p>
    <w:p w14:paraId="03749EBD" w14:textId="77777777" w:rsidR="00E915AF" w:rsidRDefault="00E915AF" w:rsidP="002F7A40">
      <w:pPr>
        <w:spacing w:after="0" w:line="240" w:lineRule="auto"/>
        <w:jc w:val="center"/>
        <w:rPr>
          <w:rFonts w:ascii="Times New Roman" w:eastAsia="Times New Roman" w:hAnsi="Times New Roman"/>
          <w:sz w:val="24"/>
          <w:szCs w:val="24"/>
        </w:rPr>
      </w:pPr>
    </w:p>
    <w:p w14:paraId="404A1571" w14:textId="77777777" w:rsidR="00E915AF" w:rsidRDefault="00E915AF" w:rsidP="002F7A40">
      <w:pPr>
        <w:spacing w:after="0" w:line="240" w:lineRule="auto"/>
        <w:jc w:val="center"/>
        <w:rPr>
          <w:rFonts w:ascii="Times New Roman" w:eastAsia="Times New Roman" w:hAnsi="Times New Roman"/>
          <w:sz w:val="24"/>
          <w:szCs w:val="24"/>
        </w:rPr>
      </w:pPr>
    </w:p>
    <w:p w14:paraId="3487C217" w14:textId="77777777" w:rsidR="00E915AF" w:rsidRDefault="00E915AF" w:rsidP="002F7A40">
      <w:pPr>
        <w:spacing w:after="0" w:line="240" w:lineRule="auto"/>
        <w:jc w:val="center"/>
        <w:rPr>
          <w:rFonts w:ascii="Times New Roman" w:eastAsia="Times New Roman" w:hAnsi="Times New Roman"/>
          <w:sz w:val="24"/>
          <w:szCs w:val="24"/>
        </w:rPr>
      </w:pPr>
    </w:p>
    <w:p w14:paraId="127539B3" w14:textId="77777777" w:rsidR="00E915AF" w:rsidRDefault="00E915AF" w:rsidP="002F7A40">
      <w:pPr>
        <w:spacing w:after="0" w:line="240" w:lineRule="auto"/>
        <w:jc w:val="center"/>
        <w:rPr>
          <w:rFonts w:ascii="Times New Roman" w:eastAsia="Times New Roman" w:hAnsi="Times New Roman"/>
          <w:sz w:val="24"/>
          <w:szCs w:val="24"/>
        </w:rPr>
      </w:pPr>
    </w:p>
    <w:p w14:paraId="69A93110" w14:textId="77777777" w:rsidR="00E915AF" w:rsidRDefault="00E915AF" w:rsidP="002F7A40">
      <w:pPr>
        <w:spacing w:after="0" w:line="240" w:lineRule="auto"/>
        <w:jc w:val="center"/>
        <w:rPr>
          <w:rFonts w:ascii="Times New Roman" w:eastAsia="Times New Roman" w:hAnsi="Times New Roman"/>
          <w:sz w:val="24"/>
          <w:szCs w:val="24"/>
        </w:rPr>
      </w:pPr>
    </w:p>
    <w:p w14:paraId="250D864D" w14:textId="77777777" w:rsidR="00E915AF" w:rsidRDefault="00E915AF" w:rsidP="002F7A40">
      <w:pPr>
        <w:spacing w:after="0" w:line="240" w:lineRule="auto"/>
        <w:jc w:val="center"/>
        <w:rPr>
          <w:rFonts w:ascii="Times New Roman" w:eastAsia="Times New Roman" w:hAnsi="Times New Roman"/>
          <w:sz w:val="24"/>
          <w:szCs w:val="24"/>
        </w:rPr>
      </w:pPr>
    </w:p>
    <w:p w14:paraId="1DD07B0D" w14:textId="77777777" w:rsidR="00E915AF" w:rsidRDefault="00E915AF" w:rsidP="002F7A40">
      <w:pPr>
        <w:spacing w:after="0" w:line="240" w:lineRule="auto"/>
        <w:jc w:val="center"/>
        <w:rPr>
          <w:rFonts w:ascii="Times New Roman" w:eastAsia="Times New Roman" w:hAnsi="Times New Roman"/>
          <w:sz w:val="24"/>
          <w:szCs w:val="24"/>
        </w:rPr>
      </w:pPr>
    </w:p>
    <w:p w14:paraId="34455A4E" w14:textId="77777777" w:rsidR="00E915AF" w:rsidRDefault="00E915AF" w:rsidP="002F7A40">
      <w:pPr>
        <w:spacing w:after="0" w:line="240" w:lineRule="auto"/>
        <w:jc w:val="center"/>
        <w:rPr>
          <w:rFonts w:ascii="Times New Roman" w:eastAsia="Times New Roman" w:hAnsi="Times New Roman"/>
          <w:sz w:val="24"/>
          <w:szCs w:val="24"/>
        </w:rPr>
      </w:pPr>
    </w:p>
    <w:p w14:paraId="78E138BA" w14:textId="77777777" w:rsidR="00E915AF" w:rsidRDefault="00E915AF" w:rsidP="002F7A40">
      <w:pPr>
        <w:spacing w:after="0" w:line="240" w:lineRule="auto"/>
        <w:jc w:val="center"/>
        <w:rPr>
          <w:rFonts w:ascii="Times New Roman" w:eastAsia="Times New Roman" w:hAnsi="Times New Roman"/>
          <w:sz w:val="24"/>
          <w:szCs w:val="24"/>
        </w:rPr>
      </w:pPr>
    </w:p>
    <w:p w14:paraId="0059038B" w14:textId="77777777" w:rsidR="00E915AF" w:rsidRDefault="00E915AF" w:rsidP="002F7A40">
      <w:pPr>
        <w:spacing w:after="0" w:line="240" w:lineRule="auto"/>
        <w:jc w:val="center"/>
        <w:rPr>
          <w:rFonts w:ascii="Times New Roman" w:eastAsia="Times New Roman" w:hAnsi="Times New Roman"/>
          <w:sz w:val="24"/>
          <w:szCs w:val="24"/>
        </w:rPr>
      </w:pPr>
    </w:p>
    <w:p w14:paraId="2BA3FB33" w14:textId="77777777" w:rsidR="00E915AF" w:rsidRDefault="00E915AF" w:rsidP="002F7A40">
      <w:pPr>
        <w:spacing w:after="0" w:line="240" w:lineRule="auto"/>
        <w:jc w:val="center"/>
        <w:rPr>
          <w:rFonts w:ascii="Times New Roman" w:eastAsia="Times New Roman" w:hAnsi="Times New Roman"/>
          <w:sz w:val="24"/>
          <w:szCs w:val="24"/>
        </w:rPr>
      </w:pPr>
    </w:p>
    <w:p w14:paraId="132219EA" w14:textId="77777777" w:rsidR="00E915AF" w:rsidRDefault="00E915AF" w:rsidP="002F7A40">
      <w:pPr>
        <w:spacing w:after="0" w:line="240" w:lineRule="auto"/>
        <w:jc w:val="center"/>
        <w:rPr>
          <w:rFonts w:ascii="Times New Roman" w:eastAsia="Times New Roman" w:hAnsi="Times New Roman"/>
          <w:sz w:val="24"/>
          <w:szCs w:val="24"/>
        </w:rPr>
      </w:pPr>
    </w:p>
    <w:p w14:paraId="6ACF4719" w14:textId="77777777" w:rsidR="00E915AF" w:rsidRDefault="00E915AF" w:rsidP="002F7A40">
      <w:pPr>
        <w:spacing w:after="0" w:line="240" w:lineRule="auto"/>
        <w:jc w:val="center"/>
        <w:rPr>
          <w:rFonts w:ascii="Times New Roman" w:eastAsia="Times New Roman" w:hAnsi="Times New Roman"/>
          <w:sz w:val="24"/>
          <w:szCs w:val="24"/>
        </w:rPr>
      </w:pPr>
    </w:p>
    <w:p w14:paraId="467AC941" w14:textId="77777777" w:rsidR="00E915AF" w:rsidRDefault="00E915AF" w:rsidP="002F7A40">
      <w:pPr>
        <w:spacing w:after="0" w:line="240" w:lineRule="auto"/>
        <w:jc w:val="center"/>
        <w:rPr>
          <w:rFonts w:ascii="Times New Roman" w:eastAsia="Times New Roman" w:hAnsi="Times New Roman"/>
          <w:sz w:val="24"/>
          <w:szCs w:val="24"/>
        </w:rPr>
      </w:pPr>
    </w:p>
    <w:p w14:paraId="3FEBC6ED" w14:textId="77777777" w:rsidR="00E915AF" w:rsidRDefault="00E915AF" w:rsidP="002F7A40">
      <w:pPr>
        <w:spacing w:after="0" w:line="240" w:lineRule="auto"/>
        <w:jc w:val="center"/>
        <w:rPr>
          <w:rFonts w:ascii="Times New Roman" w:eastAsia="Times New Roman" w:hAnsi="Times New Roman"/>
          <w:sz w:val="24"/>
          <w:szCs w:val="24"/>
        </w:rPr>
      </w:pPr>
    </w:p>
    <w:p w14:paraId="24478E96" w14:textId="77777777" w:rsidR="00E915AF" w:rsidRDefault="00E915AF" w:rsidP="002F7A40">
      <w:pPr>
        <w:spacing w:after="0" w:line="240" w:lineRule="auto"/>
        <w:jc w:val="center"/>
        <w:rPr>
          <w:rFonts w:ascii="Times New Roman" w:eastAsia="Times New Roman" w:hAnsi="Times New Roman"/>
          <w:sz w:val="24"/>
          <w:szCs w:val="24"/>
        </w:rPr>
      </w:pPr>
    </w:p>
    <w:p w14:paraId="74F8ECBE" w14:textId="77777777" w:rsidR="00E915AF" w:rsidRDefault="00E915AF" w:rsidP="002F7A40">
      <w:pPr>
        <w:spacing w:after="0" w:line="240" w:lineRule="auto"/>
        <w:jc w:val="center"/>
        <w:rPr>
          <w:rFonts w:ascii="Times New Roman" w:eastAsia="Times New Roman" w:hAnsi="Times New Roman"/>
          <w:sz w:val="24"/>
          <w:szCs w:val="24"/>
        </w:rPr>
      </w:pPr>
    </w:p>
    <w:p w14:paraId="4F5FEB22" w14:textId="77777777" w:rsidR="00E915AF" w:rsidRDefault="00E915AF" w:rsidP="002F7A40">
      <w:pPr>
        <w:spacing w:after="0" w:line="240" w:lineRule="auto"/>
        <w:jc w:val="center"/>
        <w:rPr>
          <w:rFonts w:ascii="Times New Roman" w:eastAsia="Times New Roman" w:hAnsi="Times New Roman"/>
          <w:sz w:val="24"/>
          <w:szCs w:val="24"/>
        </w:rPr>
      </w:pPr>
    </w:p>
    <w:p w14:paraId="1153C1FC" w14:textId="77777777" w:rsidR="00E915AF" w:rsidRDefault="00E915AF" w:rsidP="002F7A40">
      <w:pPr>
        <w:spacing w:after="0" w:line="240" w:lineRule="auto"/>
        <w:jc w:val="center"/>
        <w:rPr>
          <w:rFonts w:ascii="Times New Roman" w:eastAsia="Times New Roman" w:hAnsi="Times New Roman"/>
          <w:sz w:val="24"/>
          <w:szCs w:val="24"/>
        </w:rPr>
      </w:pPr>
    </w:p>
    <w:p w14:paraId="6C743782" w14:textId="77777777" w:rsidR="00E915AF" w:rsidRDefault="00E915AF" w:rsidP="002F7A40">
      <w:pPr>
        <w:spacing w:after="0" w:line="240" w:lineRule="auto"/>
        <w:jc w:val="center"/>
        <w:rPr>
          <w:rFonts w:ascii="Times New Roman" w:eastAsia="Times New Roman" w:hAnsi="Times New Roman"/>
          <w:sz w:val="24"/>
          <w:szCs w:val="24"/>
        </w:rPr>
      </w:pPr>
    </w:p>
    <w:p w14:paraId="43E3D8D8" w14:textId="77777777" w:rsidR="00E915AF" w:rsidRDefault="00E915AF" w:rsidP="002F7A40">
      <w:pPr>
        <w:spacing w:after="0" w:line="240" w:lineRule="auto"/>
        <w:jc w:val="center"/>
        <w:rPr>
          <w:rFonts w:ascii="Times New Roman" w:eastAsia="Times New Roman" w:hAnsi="Times New Roman"/>
          <w:sz w:val="24"/>
          <w:szCs w:val="24"/>
        </w:rPr>
      </w:pPr>
    </w:p>
    <w:p w14:paraId="5E5AAB0D" w14:textId="77777777" w:rsidR="00E915AF" w:rsidRDefault="00E915AF" w:rsidP="002F7A40">
      <w:pPr>
        <w:spacing w:after="0" w:line="240" w:lineRule="auto"/>
        <w:jc w:val="center"/>
        <w:rPr>
          <w:rFonts w:ascii="Times New Roman" w:eastAsia="Times New Roman" w:hAnsi="Times New Roman"/>
          <w:sz w:val="24"/>
          <w:szCs w:val="24"/>
        </w:rPr>
      </w:pPr>
    </w:p>
    <w:p w14:paraId="3BC9AA07" w14:textId="77777777" w:rsidR="00E915AF" w:rsidRDefault="00E915AF" w:rsidP="002F7A40">
      <w:pPr>
        <w:spacing w:after="0" w:line="240" w:lineRule="auto"/>
        <w:jc w:val="center"/>
        <w:rPr>
          <w:rFonts w:ascii="Times New Roman" w:eastAsia="Times New Roman" w:hAnsi="Times New Roman"/>
          <w:sz w:val="24"/>
          <w:szCs w:val="24"/>
        </w:rPr>
      </w:pPr>
    </w:p>
    <w:p w14:paraId="2A2A1D82" w14:textId="77777777" w:rsidR="00E915AF" w:rsidRDefault="00E915AF" w:rsidP="002F7A40">
      <w:pPr>
        <w:spacing w:after="0" w:line="240" w:lineRule="auto"/>
        <w:jc w:val="center"/>
        <w:rPr>
          <w:rFonts w:ascii="Times New Roman" w:eastAsia="Times New Roman" w:hAnsi="Times New Roman"/>
          <w:sz w:val="24"/>
          <w:szCs w:val="24"/>
        </w:rPr>
      </w:pPr>
    </w:p>
    <w:p w14:paraId="135F97F8" w14:textId="77777777" w:rsidR="00E915AF" w:rsidRDefault="00E915AF" w:rsidP="002F7A40">
      <w:pPr>
        <w:spacing w:after="0" w:line="240" w:lineRule="auto"/>
        <w:jc w:val="center"/>
        <w:rPr>
          <w:rFonts w:ascii="Times New Roman" w:eastAsia="Times New Roman" w:hAnsi="Times New Roman"/>
          <w:sz w:val="24"/>
          <w:szCs w:val="24"/>
        </w:rPr>
      </w:pPr>
    </w:p>
    <w:p w14:paraId="56319837" w14:textId="77777777" w:rsidR="00E915AF" w:rsidRDefault="00E915AF" w:rsidP="002F7A40">
      <w:pPr>
        <w:spacing w:after="0" w:line="240" w:lineRule="auto"/>
        <w:jc w:val="center"/>
        <w:rPr>
          <w:rFonts w:ascii="Times New Roman" w:eastAsia="Times New Roman" w:hAnsi="Times New Roman"/>
          <w:sz w:val="24"/>
          <w:szCs w:val="24"/>
        </w:rPr>
      </w:pPr>
    </w:p>
    <w:p w14:paraId="4902B372" w14:textId="77777777" w:rsidR="00E915AF" w:rsidRDefault="00E915AF" w:rsidP="002F7A40">
      <w:pPr>
        <w:spacing w:after="0" w:line="240" w:lineRule="auto"/>
        <w:jc w:val="center"/>
        <w:rPr>
          <w:rFonts w:ascii="Times New Roman" w:eastAsia="Times New Roman" w:hAnsi="Times New Roman"/>
          <w:sz w:val="24"/>
          <w:szCs w:val="24"/>
        </w:rPr>
      </w:pPr>
    </w:p>
    <w:p w14:paraId="479E6BCA" w14:textId="77777777" w:rsidR="00E915AF" w:rsidRDefault="00E915AF" w:rsidP="002F7A40">
      <w:pPr>
        <w:spacing w:after="0" w:line="240" w:lineRule="auto"/>
        <w:jc w:val="center"/>
        <w:rPr>
          <w:rFonts w:ascii="Times New Roman" w:eastAsia="Times New Roman" w:hAnsi="Times New Roman"/>
          <w:sz w:val="24"/>
          <w:szCs w:val="24"/>
        </w:rPr>
      </w:pPr>
    </w:p>
    <w:p w14:paraId="66AEF762" w14:textId="77777777" w:rsidR="00E915AF" w:rsidRDefault="00E915AF" w:rsidP="002F7A40">
      <w:pPr>
        <w:spacing w:after="0" w:line="240" w:lineRule="auto"/>
        <w:jc w:val="center"/>
        <w:rPr>
          <w:rFonts w:ascii="Times New Roman" w:eastAsia="Times New Roman" w:hAnsi="Times New Roman"/>
          <w:sz w:val="24"/>
          <w:szCs w:val="24"/>
        </w:rPr>
      </w:pPr>
    </w:p>
    <w:p w14:paraId="241D5BF3" w14:textId="77777777" w:rsidR="00E915AF" w:rsidRDefault="00E915AF" w:rsidP="002F7A40">
      <w:pPr>
        <w:spacing w:after="0" w:line="240" w:lineRule="auto"/>
        <w:jc w:val="center"/>
        <w:rPr>
          <w:rFonts w:ascii="Times New Roman" w:eastAsia="Times New Roman" w:hAnsi="Times New Roman"/>
          <w:sz w:val="24"/>
          <w:szCs w:val="24"/>
        </w:rPr>
      </w:pPr>
    </w:p>
    <w:p w14:paraId="375062D3" w14:textId="77777777" w:rsidR="00E915AF" w:rsidRDefault="00E915AF" w:rsidP="002F7A40">
      <w:pPr>
        <w:spacing w:after="0" w:line="240" w:lineRule="auto"/>
        <w:jc w:val="center"/>
        <w:rPr>
          <w:rFonts w:ascii="Times New Roman" w:eastAsia="Times New Roman" w:hAnsi="Times New Roman"/>
          <w:sz w:val="24"/>
          <w:szCs w:val="24"/>
        </w:rPr>
      </w:pPr>
    </w:p>
    <w:p w14:paraId="74BA098B" w14:textId="77777777" w:rsidR="00E915AF" w:rsidRDefault="00E915AF" w:rsidP="002F7A40">
      <w:pPr>
        <w:spacing w:after="0" w:line="240" w:lineRule="auto"/>
        <w:jc w:val="center"/>
        <w:rPr>
          <w:rFonts w:ascii="Times New Roman" w:eastAsia="Times New Roman" w:hAnsi="Times New Roman"/>
          <w:sz w:val="24"/>
          <w:szCs w:val="24"/>
        </w:rPr>
      </w:pPr>
    </w:p>
    <w:p w14:paraId="2F6F32EB" w14:textId="77777777" w:rsidR="00E915AF" w:rsidRDefault="00E915AF" w:rsidP="002F7A40">
      <w:pPr>
        <w:spacing w:after="0" w:line="240" w:lineRule="auto"/>
        <w:jc w:val="center"/>
        <w:rPr>
          <w:rFonts w:ascii="Times New Roman" w:eastAsia="Times New Roman" w:hAnsi="Times New Roman"/>
          <w:sz w:val="24"/>
          <w:szCs w:val="24"/>
        </w:rPr>
      </w:pPr>
    </w:p>
    <w:p w14:paraId="41EA7C8F" w14:textId="77777777" w:rsidR="00E915AF" w:rsidRDefault="00E915AF" w:rsidP="002F7A40">
      <w:pPr>
        <w:spacing w:after="0" w:line="240" w:lineRule="auto"/>
        <w:jc w:val="center"/>
        <w:rPr>
          <w:rFonts w:ascii="Times New Roman" w:eastAsia="Times New Roman" w:hAnsi="Times New Roman"/>
          <w:sz w:val="24"/>
          <w:szCs w:val="24"/>
        </w:rPr>
      </w:pPr>
    </w:p>
    <w:p w14:paraId="6D213CF6" w14:textId="77777777" w:rsidR="00E915AF" w:rsidRDefault="00E915AF" w:rsidP="002F7A40">
      <w:pPr>
        <w:spacing w:after="0" w:line="240" w:lineRule="auto"/>
        <w:jc w:val="center"/>
        <w:rPr>
          <w:rFonts w:ascii="Times New Roman" w:eastAsia="Times New Roman" w:hAnsi="Times New Roman"/>
          <w:sz w:val="24"/>
          <w:szCs w:val="24"/>
        </w:rPr>
      </w:pPr>
    </w:p>
    <w:p w14:paraId="5D80CE3C" w14:textId="77777777" w:rsidR="00E915AF" w:rsidRDefault="00E915AF" w:rsidP="002F7A40">
      <w:pPr>
        <w:spacing w:after="0" w:line="240" w:lineRule="auto"/>
        <w:jc w:val="center"/>
        <w:rPr>
          <w:rFonts w:ascii="Times New Roman" w:eastAsia="Times New Roman" w:hAnsi="Times New Roman"/>
          <w:sz w:val="24"/>
          <w:szCs w:val="24"/>
        </w:rPr>
      </w:pPr>
    </w:p>
    <w:p w14:paraId="63D73C27" w14:textId="77777777" w:rsidR="00E915AF" w:rsidRDefault="00E915AF" w:rsidP="002F7A40">
      <w:pPr>
        <w:spacing w:after="0" w:line="240" w:lineRule="auto"/>
        <w:jc w:val="center"/>
        <w:rPr>
          <w:rFonts w:ascii="Times New Roman" w:eastAsia="Times New Roman" w:hAnsi="Times New Roman"/>
          <w:sz w:val="24"/>
          <w:szCs w:val="24"/>
        </w:rPr>
      </w:pPr>
    </w:p>
    <w:p w14:paraId="499EA118" w14:textId="77777777" w:rsidR="00E915AF" w:rsidRDefault="00E915AF" w:rsidP="002F7A40">
      <w:pPr>
        <w:spacing w:after="0" w:line="240" w:lineRule="auto"/>
        <w:jc w:val="center"/>
        <w:rPr>
          <w:rFonts w:ascii="Times New Roman" w:eastAsia="Times New Roman" w:hAnsi="Times New Roman"/>
          <w:sz w:val="24"/>
          <w:szCs w:val="24"/>
        </w:rPr>
      </w:pPr>
    </w:p>
    <w:p w14:paraId="687FC8FE" w14:textId="77777777" w:rsidR="00E915AF" w:rsidRDefault="00E915AF" w:rsidP="002F7A40">
      <w:pPr>
        <w:spacing w:after="0" w:line="240" w:lineRule="auto"/>
        <w:jc w:val="center"/>
        <w:rPr>
          <w:rFonts w:ascii="Times New Roman" w:eastAsia="Times New Roman" w:hAnsi="Times New Roman"/>
          <w:sz w:val="24"/>
          <w:szCs w:val="24"/>
        </w:rPr>
      </w:pPr>
    </w:p>
    <w:p w14:paraId="33CC917B" w14:textId="6596E298" w:rsidR="002F7A40" w:rsidRPr="002F7A40" w:rsidRDefault="002F7A40" w:rsidP="002F7A40">
      <w:pPr>
        <w:spacing w:after="0" w:line="240" w:lineRule="auto"/>
        <w:jc w:val="center"/>
        <w:rPr>
          <w:rFonts w:ascii="Times New Roman" w:eastAsia="Times New Roman" w:hAnsi="Times New Roman"/>
          <w:sz w:val="24"/>
          <w:szCs w:val="24"/>
        </w:rPr>
      </w:pPr>
      <w:r w:rsidRPr="002F7A40">
        <w:rPr>
          <w:rFonts w:ascii="Times New Roman" w:eastAsia="Times New Roman" w:hAnsi="Times New Roman"/>
          <w:sz w:val="24"/>
          <w:szCs w:val="24"/>
        </w:rPr>
        <w:lastRenderedPageBreak/>
        <w:t>Proposed Int. No. 1332-A</w:t>
      </w:r>
    </w:p>
    <w:p w14:paraId="49F5E231" w14:textId="77777777" w:rsidR="002F7A40" w:rsidRPr="002F7A40" w:rsidRDefault="002F7A40" w:rsidP="002F7A40">
      <w:pPr>
        <w:spacing w:after="0" w:line="240" w:lineRule="auto"/>
        <w:jc w:val="center"/>
        <w:rPr>
          <w:rFonts w:ascii="Times New Roman" w:eastAsia="Times New Roman" w:hAnsi="Times New Roman"/>
          <w:sz w:val="24"/>
          <w:szCs w:val="24"/>
        </w:rPr>
      </w:pPr>
    </w:p>
    <w:p w14:paraId="78F348B7" w14:textId="77777777" w:rsidR="002F7A40" w:rsidRPr="002F7A40" w:rsidRDefault="002F7A40" w:rsidP="002F7A40">
      <w:pPr>
        <w:spacing w:after="0" w:line="240" w:lineRule="auto"/>
        <w:jc w:val="both"/>
        <w:rPr>
          <w:rFonts w:ascii="Times New Roman" w:eastAsia="Times New Roman" w:hAnsi="Times New Roman"/>
          <w:sz w:val="24"/>
          <w:szCs w:val="24"/>
        </w:rPr>
      </w:pPr>
      <w:r w:rsidRPr="002F7A40">
        <w:rPr>
          <w:rFonts w:ascii="Times New Roman" w:eastAsia="Times New Roman" w:hAnsi="Times New Roman"/>
          <w:sz w:val="24"/>
          <w:szCs w:val="24"/>
        </w:rPr>
        <w:t xml:space="preserve">By Council Members Brannan, Nurse, Abreu, </w:t>
      </w:r>
      <w:proofErr w:type="spellStart"/>
      <w:r w:rsidRPr="002F7A40">
        <w:rPr>
          <w:rFonts w:ascii="Times New Roman" w:eastAsia="Times New Roman" w:hAnsi="Times New Roman"/>
          <w:sz w:val="24"/>
          <w:szCs w:val="24"/>
        </w:rPr>
        <w:t>Restler</w:t>
      </w:r>
      <w:proofErr w:type="spellEnd"/>
      <w:r w:rsidRPr="002F7A40">
        <w:rPr>
          <w:rFonts w:ascii="Times New Roman" w:eastAsia="Times New Roman" w:hAnsi="Times New Roman"/>
          <w:sz w:val="24"/>
          <w:szCs w:val="24"/>
        </w:rPr>
        <w:t xml:space="preserve">, Cabán, Banks, Marte, Brewer, Hanif, Krishnan, Gutiérrez, Joseph, Feliz, Ayala, Hudson, </w:t>
      </w:r>
      <w:proofErr w:type="spellStart"/>
      <w:r w:rsidRPr="002F7A40">
        <w:rPr>
          <w:rFonts w:ascii="Times New Roman" w:eastAsia="Times New Roman" w:hAnsi="Times New Roman"/>
          <w:sz w:val="24"/>
          <w:szCs w:val="24"/>
        </w:rPr>
        <w:t>Ossé</w:t>
      </w:r>
      <w:proofErr w:type="spellEnd"/>
      <w:r w:rsidRPr="002F7A40">
        <w:rPr>
          <w:rFonts w:ascii="Times New Roman" w:eastAsia="Times New Roman" w:hAnsi="Times New Roman"/>
          <w:sz w:val="24"/>
          <w:szCs w:val="24"/>
        </w:rPr>
        <w:t>, Avilés, Sanchez, Salaam, De La Rosa, Farías, Williams, Stevens, Brooks-Powers, Powers, Lee, Louis, Epstein and the Public Advocate (Mr. Williams)</w:t>
      </w:r>
    </w:p>
    <w:p w14:paraId="2839894C" w14:textId="77777777" w:rsidR="002F7A40" w:rsidRPr="002F7A40" w:rsidRDefault="002F7A40" w:rsidP="002F7A40">
      <w:pPr>
        <w:spacing w:after="0" w:line="240" w:lineRule="auto"/>
        <w:jc w:val="both"/>
        <w:rPr>
          <w:rFonts w:ascii="Times New Roman" w:eastAsia="Times New Roman" w:hAnsi="Times New Roman"/>
          <w:sz w:val="24"/>
          <w:szCs w:val="24"/>
        </w:rPr>
      </w:pPr>
    </w:p>
    <w:p w14:paraId="4254E2FB" w14:textId="77777777" w:rsidR="002F7A40" w:rsidRPr="002F7A40" w:rsidRDefault="002F7A40" w:rsidP="002F7A40">
      <w:pPr>
        <w:spacing w:after="0" w:line="240" w:lineRule="auto"/>
        <w:jc w:val="both"/>
        <w:rPr>
          <w:rFonts w:ascii="Times New Roman" w:eastAsia="Times New Roman" w:hAnsi="Times New Roman"/>
          <w:vanish/>
          <w:sz w:val="24"/>
          <w:szCs w:val="24"/>
        </w:rPr>
      </w:pPr>
      <w:r w:rsidRPr="002F7A40">
        <w:rPr>
          <w:rFonts w:ascii="Times New Roman" w:eastAsia="Times New Roman" w:hAnsi="Times New Roman"/>
          <w:vanish/>
          <w:sz w:val="24"/>
          <w:szCs w:val="24"/>
        </w:rPr>
        <w:t>..Title</w:t>
      </w:r>
    </w:p>
    <w:p w14:paraId="4D947DC4" w14:textId="77777777" w:rsidR="002F7A40" w:rsidRPr="002F7A40" w:rsidRDefault="002F7A40" w:rsidP="002F7A40">
      <w:pPr>
        <w:spacing w:after="0" w:line="240" w:lineRule="auto"/>
        <w:jc w:val="both"/>
        <w:rPr>
          <w:rFonts w:ascii="Times New Roman" w:eastAsia="Times New Roman" w:hAnsi="Times New Roman"/>
          <w:sz w:val="24"/>
          <w:szCs w:val="24"/>
        </w:rPr>
      </w:pPr>
      <w:proofErr w:type="gramStart"/>
      <w:r w:rsidRPr="002F7A40">
        <w:rPr>
          <w:rFonts w:ascii="Times New Roman" w:eastAsia="Times New Roman" w:hAnsi="Times New Roman"/>
          <w:sz w:val="24"/>
          <w:szCs w:val="24"/>
        </w:rPr>
        <w:t>A Local</w:t>
      </w:r>
      <w:proofErr w:type="gramEnd"/>
      <w:r w:rsidRPr="002F7A40">
        <w:rPr>
          <w:rFonts w:ascii="Times New Roman" w:eastAsia="Times New Roman" w:hAnsi="Times New Roman"/>
          <w:sz w:val="24"/>
          <w:szCs w:val="24"/>
        </w:rPr>
        <w:t xml:space="preserve"> Law to amend the administrative code of the city of New York, in relation to the wrongful deactivation of app-based contracted delivery workers</w:t>
      </w:r>
    </w:p>
    <w:p w14:paraId="54A9A616" w14:textId="77777777" w:rsidR="002F7A40" w:rsidRPr="002F7A40" w:rsidRDefault="002F7A40" w:rsidP="002F7A40">
      <w:pPr>
        <w:spacing w:after="0" w:line="240" w:lineRule="auto"/>
        <w:jc w:val="both"/>
        <w:rPr>
          <w:rFonts w:ascii="Times New Roman" w:eastAsia="Times New Roman" w:hAnsi="Times New Roman"/>
          <w:vanish/>
          <w:sz w:val="24"/>
          <w:szCs w:val="24"/>
        </w:rPr>
      </w:pPr>
      <w:r w:rsidRPr="002F7A40">
        <w:rPr>
          <w:rFonts w:ascii="Times New Roman" w:eastAsia="Times New Roman" w:hAnsi="Times New Roman"/>
          <w:vanish/>
          <w:sz w:val="24"/>
          <w:szCs w:val="24"/>
        </w:rPr>
        <w:t>..Body</w:t>
      </w:r>
    </w:p>
    <w:p w14:paraId="0B558AB0" w14:textId="77777777" w:rsidR="002F7A40" w:rsidRPr="002F7A40" w:rsidRDefault="002F7A40" w:rsidP="002F7A40">
      <w:pPr>
        <w:spacing w:after="0" w:line="240" w:lineRule="auto"/>
        <w:jc w:val="both"/>
        <w:rPr>
          <w:rFonts w:ascii="Times New Roman" w:eastAsia="Times New Roman" w:hAnsi="Times New Roman"/>
          <w:sz w:val="24"/>
          <w:szCs w:val="24"/>
          <w:u w:val="single"/>
        </w:rPr>
      </w:pPr>
    </w:p>
    <w:p w14:paraId="59AFCE9A" w14:textId="151CBCE7" w:rsidR="003D1312" w:rsidRDefault="002F7A40" w:rsidP="00AD3B91">
      <w:pPr>
        <w:spacing w:line="240" w:lineRule="auto"/>
        <w:jc w:val="both"/>
        <w:rPr>
          <w:rFonts w:ascii="Times New Roman" w:eastAsia="Times New Roman" w:hAnsi="Times New Roman"/>
          <w:sz w:val="24"/>
          <w:szCs w:val="24"/>
        </w:rPr>
      </w:pPr>
      <w:r w:rsidRPr="002F7A40">
        <w:rPr>
          <w:rFonts w:ascii="Times New Roman" w:eastAsia="Times New Roman" w:hAnsi="Times New Roman"/>
          <w:sz w:val="24"/>
          <w:szCs w:val="24"/>
          <w:u w:val="single"/>
        </w:rPr>
        <w:t>Be it enacted by the Council as follows:</w:t>
      </w:r>
    </w:p>
    <w:p w14:paraId="0578E9E2" w14:textId="4BE2DFC8" w:rsidR="002F7A40" w:rsidRPr="002F7A40" w:rsidRDefault="002F7A40" w:rsidP="00AD3B91">
      <w:pPr>
        <w:spacing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Section 1. The definitions of “delivery service” and “deactivation” in section 20-1501 of the administrative code of the city of New York, the definition of “delivery service” as added by local law number 123 for the year 2025 and the definition of “deactivation” as added by local law number 95 for the year 2025, are amended to read as follows:</w:t>
      </w:r>
    </w:p>
    <w:p w14:paraId="0AB1277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10" w:name="rid-0-0-0-234647"/>
      <w:bookmarkStart w:id="11" w:name="JD_20-1501"/>
      <w:bookmarkStart w:id="12" w:name="rid-0-0-0-234646"/>
      <w:bookmarkStart w:id="13" w:name="rid-0-0-0-202969"/>
      <w:bookmarkStart w:id="14" w:name="rid-0-0-0-135033"/>
      <w:bookmarkStart w:id="15" w:name="rid-0-0-0-234660"/>
      <w:bookmarkStart w:id="16" w:name="rid-0-0-0-234659"/>
      <w:bookmarkEnd w:id="10"/>
      <w:bookmarkEnd w:id="11"/>
      <w:bookmarkEnd w:id="12"/>
      <w:bookmarkEnd w:id="13"/>
      <w:bookmarkEnd w:id="14"/>
      <w:bookmarkEnd w:id="15"/>
      <w:bookmarkEnd w:id="16"/>
      <w:r w:rsidRPr="002F7A40">
        <w:rPr>
          <w:rFonts w:ascii="Times New Roman" w:eastAsia="Times New Roman" w:hAnsi="Times New Roman"/>
          <w:sz w:val="24"/>
          <w:szCs w:val="24"/>
        </w:rPr>
        <w:t>Delivery service. The term “delivery service” means a person that facilitates, offers, or arranges for the delivery of goods to or from a location in the city, including, but not limited to, a third-party food delivery service[ and]</w:t>
      </w:r>
      <w:r w:rsidRPr="002F7A40">
        <w:rPr>
          <w:rFonts w:ascii="Times New Roman" w:eastAsia="Times New Roman" w:hAnsi="Times New Roman"/>
          <w:sz w:val="24"/>
          <w:szCs w:val="24"/>
          <w:u w:val="single"/>
        </w:rPr>
        <w:t>,</w:t>
      </w:r>
      <w:r w:rsidRPr="002F7A40">
        <w:rPr>
          <w:rFonts w:ascii="Times New Roman" w:eastAsia="Times New Roman" w:hAnsi="Times New Roman"/>
          <w:sz w:val="24"/>
          <w:szCs w:val="24"/>
        </w:rPr>
        <w:t xml:space="preserve"> a third-party courier service,</w:t>
      </w:r>
      <w:r w:rsidRPr="002F7A40">
        <w:rPr>
          <w:rFonts w:ascii="Times New Roman" w:eastAsia="Times New Roman" w:hAnsi="Times New Roman"/>
          <w:sz w:val="24"/>
          <w:szCs w:val="24"/>
          <w:u w:val="single"/>
        </w:rPr>
        <w:t xml:space="preserve"> and third-party grocery delivery service,</w:t>
      </w:r>
      <w:r w:rsidRPr="002F7A40">
        <w:rPr>
          <w:rFonts w:ascii="Times New Roman" w:eastAsia="Times New Roman" w:hAnsi="Times New Roman"/>
          <w:sz w:val="24"/>
          <w:szCs w:val="24"/>
        </w:rPr>
        <w:t xml:space="preserve"> provided that the term “delivery service” does not include any such person that facilitates, offers or arranges fewer than 50 trips each week, or any person that facilitates, offers or arranges for the delivery of goods solely by vehicles required by federal or state law, rule or regulation to be registered with the federal motor carrier safety administration.</w:t>
      </w:r>
    </w:p>
    <w:p w14:paraId="4942F79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 xml:space="preserve">Deactivation. The term “deactivation” means any indefinite or permanent discharge, termination or layoff of a contracted delivery worker or any </w:t>
      </w:r>
      <w:r w:rsidRPr="002F7A40">
        <w:rPr>
          <w:rFonts w:ascii="Times New Roman" w:eastAsia="Times New Roman" w:hAnsi="Times New Roman"/>
          <w:sz w:val="24"/>
          <w:szCs w:val="24"/>
          <w:u w:val="single"/>
        </w:rPr>
        <w:t>indefinite or permanent</w:t>
      </w:r>
      <w:r w:rsidRPr="002F7A40">
        <w:rPr>
          <w:rFonts w:ascii="Times New Roman" w:eastAsia="Times New Roman" w:hAnsi="Times New Roman"/>
          <w:sz w:val="24"/>
          <w:szCs w:val="24"/>
        </w:rPr>
        <w:t xml:space="preserve"> revocation [or restriction] of a contracted delivery worker’s access to the delivery platform or authorization to accept deliveries on the delivery platform.</w:t>
      </w:r>
    </w:p>
    <w:p w14:paraId="29201D2A"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 xml:space="preserve">§ 2. Subdivision b of section 20-1507, as amended by local law number 123 for 2025, is amended to read as follows: </w:t>
      </w:r>
      <w:bookmarkStart w:id="17" w:name="JD_20-1507"/>
      <w:bookmarkStart w:id="18" w:name="rid-0-0-0-135044"/>
      <w:bookmarkEnd w:id="17"/>
      <w:bookmarkEnd w:id="18"/>
    </w:p>
    <w:p w14:paraId="500BA388"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19" w:name="rid-0-0-0-135019"/>
      <w:bookmarkEnd w:id="19"/>
      <w:r w:rsidRPr="002F7A40">
        <w:rPr>
          <w:rFonts w:ascii="Times New Roman" w:eastAsia="Times New Roman" w:hAnsi="Times New Roman"/>
          <w:sz w:val="24"/>
          <w:szCs w:val="24"/>
        </w:rPr>
        <w:lastRenderedPageBreak/>
        <w:t>b. 1. Any person alleging a violation of this chapter may file a complaint with the department within 2 years of the date the person knew or should have known of the alleged violation</w:t>
      </w:r>
      <w:r w:rsidRPr="002F7A40">
        <w:rPr>
          <w:rFonts w:ascii="Times New Roman" w:eastAsia="Times New Roman" w:hAnsi="Times New Roman"/>
          <w:sz w:val="24"/>
          <w:szCs w:val="24"/>
          <w:u w:val="single"/>
        </w:rPr>
        <w:t>, except that a complaint alleging a violation of section 20-1533 may be filed within one year after the effective date of the local law that added subchapter 3 of this chapter</w:t>
      </w:r>
      <w:r w:rsidRPr="002F7A40">
        <w:rPr>
          <w:rFonts w:ascii="Times New Roman" w:eastAsia="Times New Roman" w:hAnsi="Times New Roman"/>
          <w:sz w:val="24"/>
          <w:szCs w:val="24"/>
        </w:rPr>
        <w:t>.</w:t>
      </w:r>
    </w:p>
    <w:p w14:paraId="698D78FD"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0" w:name="rid-0-0-0-135018"/>
      <w:bookmarkEnd w:id="20"/>
      <w:r w:rsidRPr="002F7A40">
        <w:rPr>
          <w:rFonts w:ascii="Times New Roman" w:eastAsia="Times New Roman" w:hAnsi="Times New Roman"/>
          <w:sz w:val="24"/>
          <w:szCs w:val="24"/>
        </w:rPr>
        <w:t>2. Upon receiving such a complaint, the department shall investigate it</w:t>
      </w:r>
      <w:r w:rsidRPr="002F7A40">
        <w:rPr>
          <w:rFonts w:ascii="Times New Roman" w:eastAsia="Times New Roman" w:hAnsi="Times New Roman"/>
          <w:sz w:val="24"/>
          <w:szCs w:val="24"/>
          <w:u w:val="single"/>
        </w:rPr>
        <w:t>, except that upon receiving a complaint alleging a violation of subchapter 3, the department may investigate the complaint</w:t>
      </w:r>
      <w:r w:rsidRPr="002F7A40">
        <w:rPr>
          <w:rFonts w:ascii="Times New Roman" w:eastAsia="Times New Roman" w:hAnsi="Times New Roman"/>
          <w:sz w:val="24"/>
          <w:szCs w:val="24"/>
        </w:rPr>
        <w:t>.</w:t>
      </w:r>
    </w:p>
    <w:p w14:paraId="736760EB"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1" w:name="rid-0-0-0-135017"/>
      <w:bookmarkEnd w:id="21"/>
      <w:r w:rsidRPr="002F7A40">
        <w:rPr>
          <w:rFonts w:ascii="Times New Roman" w:eastAsia="Times New Roman" w:hAnsi="Times New Roman"/>
          <w:sz w:val="24"/>
          <w:szCs w:val="24"/>
        </w:rPr>
        <w:t>3. The department may open an investigation on its own initiative.</w:t>
      </w:r>
    </w:p>
    <w:p w14:paraId="5FFDFD7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2" w:name="rid-0-0-0-135016"/>
      <w:bookmarkEnd w:id="22"/>
      <w:r w:rsidRPr="002F7A40">
        <w:rPr>
          <w:rFonts w:ascii="Times New Roman" w:eastAsia="Times New Roman" w:hAnsi="Times New Roman"/>
          <w:sz w:val="24"/>
          <w:szCs w:val="24"/>
        </w:rPr>
        <w:t>4. A person or entity under investigation shall, in accordance with applicable law, provide the department with information or evidence that the department requests pursuant to the investigation. The department may attempt to resolve an investigation concerning a violation of this chapter through any action authorized by chapter 64 of the charter. Adjudicatory powers pursuant to this subchapter may be exercised by the commissioner or by the office of administrative trials and hearings pursuant to chapter 64 of the charter, in accordance with any delegation of such adjudicatory powers by the department to such office pursuant to paragraph (1) of subdivision (h) of section 2203 of the charter.</w:t>
      </w:r>
    </w:p>
    <w:p w14:paraId="2DF2E128"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3" w:name="rid-0-0-0-135015"/>
      <w:bookmarkEnd w:id="23"/>
      <w:r w:rsidRPr="002F7A40">
        <w:rPr>
          <w:rFonts w:ascii="Times New Roman" w:eastAsia="Times New Roman" w:hAnsi="Times New Roman"/>
          <w:sz w:val="24"/>
          <w:szCs w:val="24"/>
        </w:rPr>
        <w:t>5. 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w:t>
      </w:r>
    </w:p>
    <w:p w14:paraId="59B4843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4" w:name="rid-0-0-0-135014"/>
      <w:bookmarkStart w:id="25" w:name="rid-0-0-0-135013"/>
      <w:bookmarkStart w:id="26" w:name="rid-0-0-0-135012"/>
      <w:bookmarkEnd w:id="24"/>
      <w:bookmarkEnd w:id="25"/>
      <w:bookmarkEnd w:id="26"/>
      <w:r w:rsidRPr="002F7A40">
        <w:rPr>
          <w:rFonts w:ascii="Times New Roman" w:eastAsia="Times New Roman" w:hAnsi="Times New Roman"/>
          <w:sz w:val="24"/>
          <w:szCs w:val="24"/>
        </w:rPr>
        <w:t xml:space="preserve">§ 3. Subdivision a of section 20-1508, as amended by local law number 123 for 2025, is amended to read as follows: </w:t>
      </w:r>
    </w:p>
    <w:p w14:paraId="7D40ECCC"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7" w:name="JD_20-1508"/>
      <w:bookmarkStart w:id="28" w:name="rid-0-0-0-135043"/>
      <w:bookmarkEnd w:id="27"/>
      <w:bookmarkEnd w:id="28"/>
      <w:r w:rsidRPr="002F7A40">
        <w:rPr>
          <w:rFonts w:ascii="Times New Roman" w:eastAsia="Times New Roman" w:hAnsi="Times New Roman"/>
          <w:sz w:val="24"/>
          <w:szCs w:val="24"/>
        </w:rPr>
        <w:lastRenderedPageBreak/>
        <w:t>a. For violations of their rights under this chapter, a contracted delivery worker shall be entitled to the following relief:</w:t>
      </w:r>
    </w:p>
    <w:p w14:paraId="3EC93E8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29" w:name="rid-0-0-0-135011"/>
      <w:bookmarkEnd w:id="29"/>
      <w:r w:rsidRPr="002F7A40">
        <w:rPr>
          <w:rFonts w:ascii="Times New Roman" w:eastAsia="Times New Roman" w:hAnsi="Times New Roman"/>
          <w:sz w:val="24"/>
          <w:szCs w:val="24"/>
        </w:rPr>
        <w:t xml:space="preserve">1. all compensatory damages and other relief required to make the worker or former worker </w:t>
      </w:r>
      <w:proofErr w:type="gramStart"/>
      <w:r w:rsidRPr="002F7A40">
        <w:rPr>
          <w:rFonts w:ascii="Times New Roman" w:eastAsia="Times New Roman" w:hAnsi="Times New Roman"/>
          <w:sz w:val="24"/>
          <w:szCs w:val="24"/>
        </w:rPr>
        <w:t>whole;</w:t>
      </w:r>
      <w:proofErr w:type="gramEnd"/>
    </w:p>
    <w:p w14:paraId="496FA00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rPr>
        <w:t>2. an order directing compliance with the requirements set forth in this chapter; and</w:t>
      </w:r>
    </w:p>
    <w:p w14:paraId="5A5AD2C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0" w:name="rid-0-0-0-135009"/>
      <w:bookmarkEnd w:id="30"/>
      <w:r w:rsidRPr="002F7A40">
        <w:rPr>
          <w:rFonts w:ascii="Times New Roman" w:eastAsia="Times New Roman" w:hAnsi="Times New Roman"/>
          <w:sz w:val="24"/>
          <w:szCs w:val="24"/>
        </w:rPr>
        <w:t>3. for each violation of:</w:t>
      </w:r>
    </w:p>
    <w:p w14:paraId="6954286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1" w:name="rid-0-0-0-135008"/>
      <w:bookmarkEnd w:id="31"/>
      <w:r w:rsidRPr="002F7A40">
        <w:rPr>
          <w:rFonts w:ascii="Times New Roman" w:eastAsia="Times New Roman" w:hAnsi="Times New Roman"/>
          <w:sz w:val="24"/>
          <w:szCs w:val="24"/>
        </w:rPr>
        <w:t>(a) section 20-1504,</w:t>
      </w:r>
    </w:p>
    <w:p w14:paraId="5C9DEB27"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2" w:name="rid-0-0-0-135007"/>
      <w:bookmarkEnd w:id="32"/>
      <w:r w:rsidRPr="002F7A40">
        <w:rPr>
          <w:rFonts w:ascii="Times New Roman" w:eastAsia="Times New Roman" w:hAnsi="Times New Roman"/>
          <w:sz w:val="24"/>
          <w:szCs w:val="24"/>
        </w:rPr>
        <w:t xml:space="preserve">(1) $500 for each violation not involving denial of future work opportunities </w:t>
      </w:r>
      <w:r w:rsidRPr="002F7A40">
        <w:rPr>
          <w:rFonts w:ascii="Times New Roman" w:eastAsia="Times New Roman" w:hAnsi="Times New Roman"/>
          <w:sz w:val="24"/>
          <w:szCs w:val="24"/>
          <w:u w:val="single"/>
        </w:rPr>
        <w:t xml:space="preserve">or </w:t>
      </w:r>
      <w:proofErr w:type="gramStart"/>
      <w:r w:rsidRPr="002F7A40">
        <w:rPr>
          <w:rFonts w:ascii="Times New Roman" w:eastAsia="Times New Roman" w:hAnsi="Times New Roman"/>
          <w:sz w:val="24"/>
          <w:szCs w:val="24"/>
          <w:u w:val="single"/>
        </w:rPr>
        <w:t>deactivation</w:t>
      </w:r>
      <w:r w:rsidRPr="002F7A40">
        <w:rPr>
          <w:rFonts w:ascii="Times New Roman" w:eastAsia="Times New Roman" w:hAnsi="Times New Roman"/>
          <w:sz w:val="24"/>
          <w:szCs w:val="24"/>
        </w:rPr>
        <w:t>;</w:t>
      </w:r>
      <w:proofErr w:type="gramEnd"/>
    </w:p>
    <w:p w14:paraId="31530FC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3" w:name="rid-0-0-0-135006"/>
      <w:bookmarkEnd w:id="33"/>
      <w:r w:rsidRPr="002F7A40">
        <w:rPr>
          <w:rFonts w:ascii="Times New Roman" w:eastAsia="Times New Roman" w:hAnsi="Times New Roman"/>
          <w:sz w:val="24"/>
          <w:szCs w:val="24"/>
        </w:rPr>
        <w:t>(2) $2,500 for each violation involving denial of future work opportunities</w:t>
      </w:r>
      <w:r w:rsidRPr="002F7A40">
        <w:rPr>
          <w:rFonts w:ascii="Times New Roman" w:eastAsia="Times New Roman" w:hAnsi="Times New Roman"/>
          <w:sz w:val="24"/>
          <w:szCs w:val="24"/>
          <w:u w:val="single"/>
        </w:rPr>
        <w:t xml:space="preserve"> or deactivation</w:t>
      </w:r>
      <w:r w:rsidRPr="002F7A40">
        <w:rPr>
          <w:rFonts w:ascii="Times New Roman" w:eastAsia="Times New Roman" w:hAnsi="Times New Roman"/>
          <w:sz w:val="24"/>
          <w:szCs w:val="24"/>
        </w:rPr>
        <w:t>; and</w:t>
      </w:r>
    </w:p>
    <w:p w14:paraId="5A924D77"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4" w:name="rid-0-0-0-135005"/>
      <w:bookmarkEnd w:id="34"/>
      <w:r w:rsidRPr="002F7A40">
        <w:rPr>
          <w:rFonts w:ascii="Times New Roman" w:eastAsia="Times New Roman" w:hAnsi="Times New Roman"/>
          <w:sz w:val="24"/>
          <w:szCs w:val="24"/>
        </w:rPr>
        <w:t>(3) any equitable relief appropriate under the circumstances, including but not limited to</w:t>
      </w:r>
      <w:r w:rsidRPr="002F7A40">
        <w:rPr>
          <w:rFonts w:ascii="Times New Roman" w:eastAsia="Times New Roman" w:hAnsi="Times New Roman"/>
          <w:sz w:val="24"/>
          <w:szCs w:val="24"/>
          <w:u w:val="single"/>
        </w:rPr>
        <w:t>, rescission of any discipline issued, reinstatement of any deactivated contracted delivery worker, or</w:t>
      </w:r>
      <w:r w:rsidRPr="002F7A40">
        <w:rPr>
          <w:rFonts w:ascii="Times New Roman" w:eastAsia="Times New Roman" w:hAnsi="Times New Roman"/>
          <w:sz w:val="24"/>
          <w:szCs w:val="24"/>
        </w:rPr>
        <w:t xml:space="preserve"> payment of any lost earnings resulting from such retaliation.</w:t>
      </w:r>
    </w:p>
    <w:p w14:paraId="39B2C33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5" w:name="rid-0-0-0-135004"/>
      <w:bookmarkEnd w:id="35"/>
      <w:r w:rsidRPr="002F7A40">
        <w:rPr>
          <w:rFonts w:ascii="Times New Roman" w:eastAsia="Times New Roman" w:hAnsi="Times New Roman"/>
          <w:sz w:val="24"/>
          <w:szCs w:val="24"/>
        </w:rPr>
        <w:t xml:space="preserve">(b) section 20-1521, </w:t>
      </w:r>
      <w:proofErr w:type="gramStart"/>
      <w:r w:rsidRPr="002F7A40">
        <w:rPr>
          <w:rFonts w:ascii="Times New Roman" w:eastAsia="Times New Roman" w:hAnsi="Times New Roman"/>
          <w:sz w:val="24"/>
          <w:szCs w:val="24"/>
        </w:rPr>
        <w:t>$200;</w:t>
      </w:r>
      <w:proofErr w:type="gramEnd"/>
    </w:p>
    <w:p w14:paraId="19F71D6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6" w:name="rid-0-0-0-135003"/>
      <w:bookmarkEnd w:id="36"/>
      <w:r w:rsidRPr="002F7A40">
        <w:rPr>
          <w:rFonts w:ascii="Times New Roman" w:eastAsia="Times New Roman" w:hAnsi="Times New Roman"/>
          <w:sz w:val="24"/>
          <w:szCs w:val="24"/>
        </w:rPr>
        <w:t xml:space="preserve">(c) section 20-1522, including any minimum payment established by rule pursuant to section 20-1522, 3 times the amount of any payment that should have been made and was not timely </w:t>
      </w:r>
      <w:proofErr w:type="gramStart"/>
      <w:r w:rsidRPr="002F7A40">
        <w:rPr>
          <w:rFonts w:ascii="Times New Roman" w:eastAsia="Times New Roman" w:hAnsi="Times New Roman"/>
          <w:sz w:val="24"/>
          <w:szCs w:val="24"/>
        </w:rPr>
        <w:t>made;</w:t>
      </w:r>
      <w:proofErr w:type="gramEnd"/>
    </w:p>
    <w:p w14:paraId="382F896D"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7" w:name="rid-0-0-0-135002"/>
      <w:bookmarkEnd w:id="37"/>
      <w:r w:rsidRPr="002F7A40">
        <w:rPr>
          <w:rFonts w:ascii="Times New Roman" w:eastAsia="Times New Roman" w:hAnsi="Times New Roman"/>
          <w:sz w:val="24"/>
          <w:szCs w:val="24"/>
        </w:rPr>
        <w:t xml:space="preserve">(d) section 20-1523, </w:t>
      </w:r>
      <w:proofErr w:type="gramStart"/>
      <w:r w:rsidRPr="002F7A40">
        <w:rPr>
          <w:rFonts w:ascii="Times New Roman" w:eastAsia="Times New Roman" w:hAnsi="Times New Roman"/>
          <w:sz w:val="24"/>
          <w:szCs w:val="24"/>
        </w:rPr>
        <w:t>$200;</w:t>
      </w:r>
      <w:proofErr w:type="gramEnd"/>
    </w:p>
    <w:p w14:paraId="12B7FD5B"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38" w:name="rid-0-0-0-135001"/>
      <w:bookmarkEnd w:id="38"/>
      <w:r w:rsidRPr="002F7A40">
        <w:rPr>
          <w:rFonts w:ascii="Times New Roman" w:eastAsia="Times New Roman" w:hAnsi="Times New Roman"/>
          <w:sz w:val="24"/>
          <w:szCs w:val="24"/>
        </w:rPr>
        <w:t>(e) section 20-1524, $200; [and]</w:t>
      </w:r>
    </w:p>
    <w:p w14:paraId="377F4EF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bookmarkStart w:id="39" w:name="rid-0-0-0-135000"/>
      <w:bookmarkEnd w:id="39"/>
      <w:r w:rsidRPr="002F7A40">
        <w:rPr>
          <w:rFonts w:ascii="Times New Roman" w:eastAsia="Times New Roman" w:hAnsi="Times New Roman"/>
          <w:sz w:val="24"/>
          <w:szCs w:val="24"/>
        </w:rPr>
        <w:t>(f) section 20-1527, $200</w:t>
      </w:r>
      <w:proofErr w:type="gramStart"/>
      <w:r w:rsidRPr="002F7A40">
        <w:rPr>
          <w:rFonts w:ascii="Times New Roman" w:eastAsia="Times New Roman" w:hAnsi="Times New Roman"/>
          <w:sz w:val="24"/>
          <w:szCs w:val="24"/>
        </w:rPr>
        <w:t>[.]</w:t>
      </w:r>
      <w:r w:rsidRPr="002F7A40">
        <w:rPr>
          <w:rFonts w:ascii="Times New Roman" w:eastAsia="Times New Roman" w:hAnsi="Times New Roman"/>
          <w:sz w:val="24"/>
          <w:szCs w:val="24"/>
          <w:u w:val="single"/>
        </w:rPr>
        <w:t>;</w:t>
      </w:r>
      <w:proofErr w:type="gramEnd"/>
    </w:p>
    <w:p w14:paraId="2A0561C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(g) section 20-1532 or section 20-1533, reinstatement or restoration of access to the delivery platform of a delivery service, unless waived by a contracted delivery </w:t>
      </w:r>
      <w:proofErr w:type="gramStart"/>
      <w:r w:rsidRPr="002F7A40">
        <w:rPr>
          <w:rFonts w:ascii="Times New Roman" w:eastAsia="Times New Roman" w:hAnsi="Times New Roman"/>
          <w:sz w:val="24"/>
          <w:szCs w:val="24"/>
          <w:u w:val="single"/>
        </w:rPr>
        <w:t>worker;</w:t>
      </w:r>
      <w:proofErr w:type="gramEnd"/>
    </w:p>
    <w:p w14:paraId="2B85C9EB"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lastRenderedPageBreak/>
        <w:t xml:space="preserve">(h) section 20-1532, the department may, in addition, grant the following relief: $500, rescission of any discipline issued, payment of any lost earnings resulting from the wrongful deactivation, and any other equitable relief as may be </w:t>
      </w:r>
      <w:proofErr w:type="gramStart"/>
      <w:r w:rsidRPr="002F7A40">
        <w:rPr>
          <w:rFonts w:ascii="Times New Roman" w:eastAsia="Times New Roman" w:hAnsi="Times New Roman"/>
          <w:sz w:val="24"/>
          <w:szCs w:val="24"/>
          <w:u w:val="single"/>
        </w:rPr>
        <w:t>appropriate;</w:t>
      </w:r>
      <w:proofErr w:type="gramEnd"/>
    </w:p>
    <w:p w14:paraId="46A00B0C"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w:t>
      </w:r>
      <w:proofErr w:type="spellStart"/>
      <w:r w:rsidRPr="002F7A40">
        <w:rPr>
          <w:rFonts w:ascii="Times New Roman" w:eastAsia="Times New Roman" w:hAnsi="Times New Roman"/>
          <w:sz w:val="24"/>
          <w:szCs w:val="24"/>
          <w:u w:val="single"/>
        </w:rPr>
        <w:t>i</w:t>
      </w:r>
      <w:proofErr w:type="spellEnd"/>
      <w:r w:rsidRPr="002F7A40">
        <w:rPr>
          <w:rFonts w:ascii="Times New Roman" w:eastAsia="Times New Roman" w:hAnsi="Times New Roman"/>
          <w:sz w:val="24"/>
          <w:szCs w:val="24"/>
          <w:u w:val="single"/>
        </w:rPr>
        <w:t xml:space="preserve">) subdivision c of section 20-1534, </w:t>
      </w:r>
      <w:proofErr w:type="gramStart"/>
      <w:r w:rsidRPr="002F7A40">
        <w:rPr>
          <w:rFonts w:ascii="Times New Roman" w:eastAsia="Times New Roman" w:hAnsi="Times New Roman"/>
          <w:sz w:val="24"/>
          <w:szCs w:val="24"/>
          <w:u w:val="single"/>
        </w:rPr>
        <w:t>$500;</w:t>
      </w:r>
      <w:proofErr w:type="gramEnd"/>
    </w:p>
    <w:p w14:paraId="04D49A90"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(j) section 20-1536, $500; and</w:t>
      </w:r>
    </w:p>
    <w:p w14:paraId="6B3A399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(k) section 20-1539, $500.</w:t>
      </w:r>
    </w:p>
    <w:p w14:paraId="33BF2C7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0" w:name="rid-0-0-0-134999"/>
      <w:bookmarkEnd w:id="40"/>
      <w:r w:rsidRPr="002F7A40">
        <w:rPr>
          <w:rFonts w:ascii="Times New Roman" w:eastAsia="Times New Roman" w:hAnsi="Times New Roman"/>
          <w:sz w:val="24"/>
          <w:szCs w:val="24"/>
        </w:rPr>
        <w:t xml:space="preserve">§ 4. </w:t>
      </w:r>
      <w:bookmarkStart w:id="41" w:name="rid-0-0-0-234664"/>
      <w:bookmarkStart w:id="42" w:name="rid-0-0-0-134998"/>
      <w:bookmarkEnd w:id="41"/>
      <w:bookmarkEnd w:id="42"/>
      <w:r w:rsidRPr="002F7A40">
        <w:rPr>
          <w:rFonts w:ascii="Times New Roman" w:eastAsia="Times New Roman" w:hAnsi="Times New Roman"/>
          <w:sz w:val="24"/>
          <w:szCs w:val="24"/>
        </w:rPr>
        <w:t xml:space="preserve">Subdivision a of section 20-1509, as amended by local law number 123 for 2025, is amended to read as follows: </w:t>
      </w:r>
    </w:p>
    <w:p w14:paraId="4818D0E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3" w:name="JD_20-1509"/>
      <w:bookmarkStart w:id="44" w:name="rid-0-0-0-135042"/>
      <w:bookmarkEnd w:id="43"/>
      <w:bookmarkEnd w:id="44"/>
      <w:r w:rsidRPr="002F7A40">
        <w:rPr>
          <w:rFonts w:ascii="Times New Roman" w:eastAsia="Times New Roman" w:hAnsi="Times New Roman"/>
          <w:sz w:val="24"/>
          <w:szCs w:val="24"/>
        </w:rPr>
        <w:t xml:space="preserve">a. For each violation of this chapter, </w:t>
      </w:r>
      <w:r w:rsidRPr="002F7A40">
        <w:rPr>
          <w:rFonts w:ascii="Times New Roman" w:eastAsia="Times New Roman" w:hAnsi="Times New Roman"/>
          <w:sz w:val="24"/>
          <w:szCs w:val="24"/>
          <w:u w:val="single"/>
        </w:rPr>
        <w:t xml:space="preserve">except for any violation of section 20-1533, </w:t>
      </w:r>
      <w:r w:rsidRPr="002F7A40">
        <w:rPr>
          <w:rFonts w:ascii="Times New Roman" w:eastAsia="Times New Roman" w:hAnsi="Times New Roman"/>
          <w:sz w:val="24"/>
          <w:szCs w:val="24"/>
        </w:rPr>
        <w:t>any person is liable for a penalty of $500 for the first violation and, for subsequent violations that occur within 2 years of any previous violation of this chapter, up to $750 for the second violation and up to $1,000 for each succeeding violation.</w:t>
      </w:r>
    </w:p>
    <w:p w14:paraId="7B121BCE"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5" w:name="rid-0-0-0-134997"/>
      <w:bookmarkStart w:id="46" w:name="rid-0-0-0-134996"/>
      <w:bookmarkEnd w:id="45"/>
      <w:bookmarkEnd w:id="46"/>
      <w:r w:rsidRPr="002F7A40">
        <w:rPr>
          <w:rFonts w:ascii="Times New Roman" w:eastAsia="Times New Roman" w:hAnsi="Times New Roman"/>
          <w:sz w:val="24"/>
          <w:szCs w:val="24"/>
        </w:rPr>
        <w:t>§ 5. Subdivisions a, b, and c of section 20-1511, as amended by local law number 123 for 2025, are amended to read as follows:</w:t>
      </w:r>
      <w:bookmarkStart w:id="47" w:name="rid-0-0-0-134995"/>
      <w:bookmarkEnd w:id="47"/>
      <w:r w:rsidRPr="002F7A40">
        <w:rPr>
          <w:rFonts w:ascii="Times New Roman" w:eastAsia="Times New Roman" w:hAnsi="Times New Roman"/>
          <w:sz w:val="24"/>
          <w:szCs w:val="24"/>
        </w:rPr>
        <w:t xml:space="preserve"> </w:t>
      </w:r>
    </w:p>
    <w:p w14:paraId="00C1A666"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48" w:name="JD_20-1510"/>
      <w:bookmarkStart w:id="49" w:name="rid-0-0-0-135041"/>
      <w:bookmarkStart w:id="50" w:name="rid-0-0-0-134994"/>
      <w:bookmarkStart w:id="51" w:name="rid-0-0-0-134992"/>
      <w:bookmarkStart w:id="52" w:name="JD_20-1511"/>
      <w:bookmarkStart w:id="53" w:name="rid-0-0-0-135040"/>
      <w:bookmarkEnd w:id="48"/>
      <w:bookmarkEnd w:id="49"/>
      <w:bookmarkEnd w:id="50"/>
      <w:bookmarkEnd w:id="51"/>
      <w:bookmarkEnd w:id="52"/>
      <w:bookmarkEnd w:id="53"/>
      <w:r w:rsidRPr="002F7A40">
        <w:rPr>
          <w:rFonts w:ascii="Times New Roman" w:eastAsia="Times New Roman" w:hAnsi="Times New Roman"/>
          <w:sz w:val="24"/>
          <w:szCs w:val="24"/>
        </w:rPr>
        <w:t>a. Any person alleging a violation of the following provisions of this chapter may bring a civil action, in accordance with applicable law, in any court of competent jurisdiction:</w:t>
      </w:r>
    </w:p>
    <w:p w14:paraId="20195493"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4" w:name="rid-0-0-0-134993"/>
      <w:bookmarkEnd w:id="54"/>
      <w:r w:rsidRPr="002F7A40">
        <w:rPr>
          <w:rFonts w:ascii="Times New Roman" w:eastAsia="Times New Roman" w:hAnsi="Times New Roman"/>
          <w:sz w:val="24"/>
          <w:szCs w:val="24"/>
        </w:rPr>
        <w:t xml:space="preserve">1. section </w:t>
      </w:r>
      <w:proofErr w:type="gramStart"/>
      <w:r w:rsidRPr="002F7A40">
        <w:rPr>
          <w:rFonts w:ascii="Times New Roman" w:eastAsia="Times New Roman" w:hAnsi="Times New Roman"/>
          <w:sz w:val="24"/>
          <w:szCs w:val="24"/>
        </w:rPr>
        <w:t>20-1504;</w:t>
      </w:r>
      <w:proofErr w:type="gramEnd"/>
    </w:p>
    <w:p w14:paraId="06CE43C1"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5" w:name="rid-0-0-0-134991"/>
      <w:bookmarkEnd w:id="55"/>
      <w:r w:rsidRPr="002F7A40">
        <w:rPr>
          <w:rFonts w:ascii="Times New Roman" w:eastAsia="Times New Roman" w:hAnsi="Times New Roman"/>
          <w:sz w:val="24"/>
          <w:szCs w:val="24"/>
        </w:rPr>
        <w:t xml:space="preserve">2. section </w:t>
      </w:r>
      <w:proofErr w:type="gramStart"/>
      <w:r w:rsidRPr="002F7A40">
        <w:rPr>
          <w:rFonts w:ascii="Times New Roman" w:eastAsia="Times New Roman" w:hAnsi="Times New Roman"/>
          <w:sz w:val="24"/>
          <w:szCs w:val="24"/>
        </w:rPr>
        <w:t>20-1521;</w:t>
      </w:r>
      <w:proofErr w:type="gramEnd"/>
    </w:p>
    <w:p w14:paraId="3209F28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6" w:name="rid-0-0-0-134990"/>
      <w:bookmarkEnd w:id="56"/>
      <w:r w:rsidRPr="002F7A40">
        <w:rPr>
          <w:rFonts w:ascii="Times New Roman" w:eastAsia="Times New Roman" w:hAnsi="Times New Roman"/>
          <w:sz w:val="24"/>
          <w:szCs w:val="24"/>
        </w:rPr>
        <w:t xml:space="preserve">3. section 20-1522, including any minimum payment established by rule pursuant to section </w:t>
      </w:r>
      <w:proofErr w:type="gramStart"/>
      <w:r w:rsidRPr="002F7A40">
        <w:rPr>
          <w:rFonts w:ascii="Times New Roman" w:eastAsia="Times New Roman" w:hAnsi="Times New Roman"/>
          <w:sz w:val="24"/>
          <w:szCs w:val="24"/>
        </w:rPr>
        <w:t>20-1522;</w:t>
      </w:r>
      <w:proofErr w:type="gramEnd"/>
    </w:p>
    <w:p w14:paraId="42A92793"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7" w:name="rid-0-0-0-134989"/>
      <w:bookmarkEnd w:id="57"/>
      <w:r w:rsidRPr="002F7A40">
        <w:rPr>
          <w:rFonts w:ascii="Times New Roman" w:eastAsia="Times New Roman" w:hAnsi="Times New Roman"/>
          <w:sz w:val="24"/>
          <w:szCs w:val="24"/>
        </w:rPr>
        <w:t>4. section 20-1523; [and]</w:t>
      </w:r>
    </w:p>
    <w:p w14:paraId="6E601964"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bookmarkStart w:id="58" w:name="rid-0-0-0-134988"/>
      <w:bookmarkEnd w:id="58"/>
      <w:r w:rsidRPr="002F7A40">
        <w:rPr>
          <w:rFonts w:ascii="Times New Roman" w:eastAsia="Times New Roman" w:hAnsi="Times New Roman"/>
          <w:sz w:val="24"/>
          <w:szCs w:val="24"/>
        </w:rPr>
        <w:t>5. section 20-1524</w:t>
      </w:r>
      <w:proofErr w:type="gramStart"/>
      <w:r w:rsidRPr="002F7A40">
        <w:rPr>
          <w:rFonts w:ascii="Times New Roman" w:eastAsia="Times New Roman" w:hAnsi="Times New Roman"/>
          <w:sz w:val="24"/>
          <w:szCs w:val="24"/>
        </w:rPr>
        <w:t>[.]</w:t>
      </w:r>
      <w:r w:rsidRPr="002F7A40">
        <w:rPr>
          <w:rFonts w:ascii="Times New Roman" w:eastAsia="Times New Roman" w:hAnsi="Times New Roman"/>
          <w:sz w:val="24"/>
          <w:szCs w:val="24"/>
          <w:u w:val="single"/>
        </w:rPr>
        <w:t>;</w:t>
      </w:r>
      <w:proofErr w:type="gramEnd"/>
    </w:p>
    <w:p w14:paraId="77BAF188" w14:textId="77777777" w:rsidR="002F7A40" w:rsidRPr="002F7A40" w:rsidRDefault="002F7A40" w:rsidP="002F7A40">
      <w:pPr>
        <w:spacing w:after="0" w:line="480" w:lineRule="auto"/>
        <w:ind w:firstLine="720"/>
        <w:jc w:val="both"/>
        <w:rPr>
          <w:rFonts w:ascii="Times New Roman" w:eastAsia="Times New Roman" w:hAnsi="Times New Roman"/>
          <w:sz w:val="24"/>
          <w:szCs w:val="24"/>
          <w:lang w:val="fr-FR"/>
        </w:rPr>
      </w:pPr>
      <w:r w:rsidRPr="002F7A40">
        <w:rPr>
          <w:rFonts w:ascii="Times New Roman" w:eastAsia="Times New Roman" w:hAnsi="Times New Roman"/>
          <w:sz w:val="24"/>
          <w:szCs w:val="24"/>
          <w:u w:val="single"/>
          <w:lang w:val="fr-FR"/>
        </w:rPr>
        <w:t>6. section 20-</w:t>
      </w:r>
      <w:proofErr w:type="gramStart"/>
      <w:r w:rsidRPr="002F7A40">
        <w:rPr>
          <w:rFonts w:ascii="Times New Roman" w:eastAsia="Times New Roman" w:hAnsi="Times New Roman"/>
          <w:sz w:val="24"/>
          <w:szCs w:val="24"/>
          <w:u w:val="single"/>
          <w:lang w:val="fr-FR"/>
        </w:rPr>
        <w:t>1532;</w:t>
      </w:r>
      <w:proofErr w:type="gramEnd"/>
      <w:r w:rsidRPr="002F7A40">
        <w:rPr>
          <w:rFonts w:ascii="Times New Roman" w:eastAsia="Times New Roman" w:hAnsi="Times New Roman"/>
          <w:sz w:val="24"/>
          <w:szCs w:val="24"/>
          <w:u w:val="single"/>
          <w:lang w:val="fr-FR"/>
        </w:rPr>
        <w:t xml:space="preserve"> </w:t>
      </w:r>
    </w:p>
    <w:p w14:paraId="59D0F74D" w14:textId="77777777" w:rsidR="002F7A40" w:rsidRPr="002F7A40" w:rsidRDefault="002F7A40" w:rsidP="002F7A40">
      <w:pPr>
        <w:spacing w:after="0" w:line="480" w:lineRule="auto"/>
        <w:ind w:firstLine="720"/>
        <w:jc w:val="both"/>
        <w:rPr>
          <w:rFonts w:ascii="Times New Roman" w:eastAsia="Times New Roman" w:hAnsi="Times New Roman"/>
          <w:sz w:val="24"/>
          <w:szCs w:val="24"/>
          <w:lang w:val="fr-FR"/>
        </w:rPr>
      </w:pPr>
      <w:r w:rsidRPr="002F7A40">
        <w:rPr>
          <w:rFonts w:ascii="Times New Roman" w:eastAsia="Times New Roman" w:hAnsi="Times New Roman"/>
          <w:sz w:val="24"/>
          <w:szCs w:val="24"/>
          <w:u w:val="single"/>
          <w:lang w:val="fr-FR"/>
        </w:rPr>
        <w:lastRenderedPageBreak/>
        <w:t>7. section 20-</w:t>
      </w:r>
      <w:proofErr w:type="gramStart"/>
      <w:r w:rsidRPr="002F7A40">
        <w:rPr>
          <w:rFonts w:ascii="Times New Roman" w:eastAsia="Times New Roman" w:hAnsi="Times New Roman"/>
          <w:sz w:val="24"/>
          <w:szCs w:val="24"/>
          <w:u w:val="single"/>
          <w:lang w:val="fr-FR"/>
        </w:rPr>
        <w:t>1533</w:t>
      </w:r>
      <w:r w:rsidRPr="002F7A40">
        <w:rPr>
          <w:rFonts w:ascii="Times New Roman" w:eastAsia="Times New Roman" w:hAnsi="Times New Roman"/>
          <w:sz w:val="24"/>
          <w:szCs w:val="24"/>
          <w:lang w:val="fr-FR"/>
        </w:rPr>
        <w:t>;</w:t>
      </w:r>
      <w:proofErr w:type="gramEnd"/>
    </w:p>
    <w:p w14:paraId="40AC196B"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lang w:val="fr-FR"/>
        </w:rPr>
      </w:pPr>
      <w:r w:rsidRPr="002F7A40">
        <w:rPr>
          <w:rFonts w:ascii="Times New Roman" w:eastAsia="Times New Roman" w:hAnsi="Times New Roman"/>
          <w:sz w:val="24"/>
          <w:szCs w:val="24"/>
          <w:u w:val="single"/>
          <w:lang w:val="fr-FR"/>
        </w:rPr>
        <w:t>8. section 20-</w:t>
      </w:r>
      <w:proofErr w:type="gramStart"/>
      <w:r w:rsidRPr="002F7A40">
        <w:rPr>
          <w:rFonts w:ascii="Times New Roman" w:eastAsia="Times New Roman" w:hAnsi="Times New Roman"/>
          <w:sz w:val="24"/>
          <w:szCs w:val="24"/>
          <w:u w:val="single"/>
          <w:lang w:val="fr-FR"/>
        </w:rPr>
        <w:t>1534;</w:t>
      </w:r>
      <w:proofErr w:type="gramEnd"/>
    </w:p>
    <w:p w14:paraId="2557EC8C"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lang w:val="fr-FR"/>
        </w:rPr>
      </w:pPr>
      <w:r w:rsidRPr="002F7A40">
        <w:rPr>
          <w:rFonts w:ascii="Times New Roman" w:eastAsia="Times New Roman" w:hAnsi="Times New Roman"/>
          <w:sz w:val="24"/>
          <w:szCs w:val="24"/>
          <w:u w:val="single"/>
          <w:lang w:val="fr-FR"/>
        </w:rPr>
        <w:t>9. section 20-</w:t>
      </w:r>
      <w:proofErr w:type="gramStart"/>
      <w:r w:rsidRPr="002F7A40">
        <w:rPr>
          <w:rFonts w:ascii="Times New Roman" w:eastAsia="Times New Roman" w:hAnsi="Times New Roman"/>
          <w:sz w:val="24"/>
          <w:szCs w:val="24"/>
          <w:u w:val="single"/>
          <w:lang w:val="fr-FR"/>
        </w:rPr>
        <w:t>1536;</w:t>
      </w:r>
      <w:proofErr w:type="gramEnd"/>
      <w:r w:rsidRPr="002F7A40">
        <w:rPr>
          <w:rFonts w:ascii="Times New Roman" w:eastAsia="Times New Roman" w:hAnsi="Times New Roman"/>
          <w:sz w:val="24"/>
          <w:szCs w:val="24"/>
          <w:u w:val="single"/>
          <w:lang w:val="fr-FR"/>
        </w:rPr>
        <w:t xml:space="preserve"> and</w:t>
      </w:r>
    </w:p>
    <w:p w14:paraId="391A860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10. section 20-1539.</w:t>
      </w:r>
    </w:p>
    <w:p w14:paraId="4995C710"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59" w:name="rid-0-0-0-134987"/>
      <w:bookmarkEnd w:id="59"/>
      <w:r w:rsidRPr="002F7A40">
        <w:rPr>
          <w:rFonts w:ascii="Times New Roman" w:eastAsia="Times New Roman" w:hAnsi="Times New Roman"/>
          <w:sz w:val="24"/>
          <w:szCs w:val="24"/>
        </w:rPr>
        <w:t>b. Such court may order compensatory, injunctive and declaratory relief, including the remedies set forth in section 20-1508, and reasonable attorney's fees and costs</w:t>
      </w:r>
      <w:r w:rsidRPr="002F7A40">
        <w:rPr>
          <w:rFonts w:ascii="Times New Roman" w:eastAsia="Times New Roman" w:hAnsi="Times New Roman"/>
          <w:sz w:val="24"/>
          <w:szCs w:val="24"/>
          <w:u w:val="single"/>
        </w:rPr>
        <w:t>, provided that, for each violation of section 20-1532 or 20-1533, the court may order reinstatement or restoration of access to the delivery platform of the contracted delivery worker, unless waived by the contracted delivery worker, and may order the delivery service to pay the reasonable attorney’s fees and costs of the contracted delivery worker, and in addition, for each violation of section 20-1532 or 20-1533, the court may order punitive damages</w:t>
      </w:r>
      <w:r w:rsidRPr="002F7A40">
        <w:rPr>
          <w:rFonts w:ascii="Times New Roman" w:eastAsia="Times New Roman" w:hAnsi="Times New Roman"/>
          <w:sz w:val="24"/>
          <w:szCs w:val="24"/>
        </w:rPr>
        <w:t>.</w:t>
      </w:r>
    </w:p>
    <w:p w14:paraId="120293F2"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60" w:name="rid-0-0-0-134986"/>
      <w:bookmarkEnd w:id="60"/>
      <w:r w:rsidRPr="002F7A40">
        <w:rPr>
          <w:rFonts w:ascii="Times New Roman" w:eastAsia="Times New Roman" w:hAnsi="Times New Roman"/>
          <w:sz w:val="24"/>
          <w:szCs w:val="24"/>
        </w:rPr>
        <w:t>c. A civil action under this section shall be commenced within 2 years of the date the person knew or should have known of the alleged violation</w:t>
      </w:r>
      <w:r w:rsidRPr="002F7A40">
        <w:rPr>
          <w:rFonts w:ascii="Times New Roman" w:eastAsia="Times New Roman" w:hAnsi="Times New Roman"/>
          <w:sz w:val="24"/>
          <w:szCs w:val="24"/>
          <w:u w:val="single"/>
        </w:rPr>
        <w:t>, except that for a violation of section 20-1533, a civil action shall be commenced within one year after the effective date of the local law that added subchapter 3 of this chapter</w:t>
      </w:r>
      <w:r w:rsidRPr="002F7A40">
        <w:rPr>
          <w:rFonts w:ascii="Times New Roman" w:eastAsia="Times New Roman" w:hAnsi="Times New Roman"/>
          <w:sz w:val="24"/>
          <w:szCs w:val="24"/>
        </w:rPr>
        <w:t>.</w:t>
      </w:r>
    </w:p>
    <w:p w14:paraId="07F26A4F"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bookmarkStart w:id="61" w:name="rid-0-0-0-134985"/>
      <w:bookmarkStart w:id="62" w:name="rid-0-0-0-134984"/>
      <w:bookmarkStart w:id="63" w:name="rid-0-0-0-134981"/>
      <w:bookmarkStart w:id="64" w:name="rid-0-0-0-234666"/>
      <w:bookmarkStart w:id="65" w:name="rid-0-0-0-234658"/>
      <w:bookmarkStart w:id="66" w:name="rid-0-0-0-234657"/>
      <w:bookmarkStart w:id="67" w:name="rid-0-0-0-234656"/>
      <w:bookmarkStart w:id="68" w:name="rid-0-0-0-234655"/>
      <w:bookmarkStart w:id="69" w:name="rid-0-0-0-234654"/>
      <w:bookmarkStart w:id="70" w:name="rid-0-0-0-234653"/>
      <w:bookmarkStart w:id="71" w:name="rid-0-0-0-234652"/>
      <w:bookmarkStart w:id="72" w:name="rid-0-0-0-234651"/>
      <w:bookmarkStart w:id="73" w:name="rid-0-0-0-234650"/>
      <w:bookmarkStart w:id="74" w:name="rid-0-0-0-234649"/>
      <w:bookmarkStart w:id="75" w:name="rid-0-0-0-234648"/>
      <w:bookmarkStart w:id="76" w:name="rid-0-0-0-135032"/>
      <w:bookmarkStart w:id="77" w:name="rid-0-0-0-135049"/>
      <w:bookmarkStart w:id="78" w:name="JD_20-1502"/>
      <w:bookmarkStart w:id="79" w:name="rid-0-0-0-234622"/>
      <w:bookmarkStart w:id="80" w:name="rid-0-0-0-135031"/>
      <w:bookmarkStart w:id="81" w:name="rid-0-0-0-13503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2F7A40">
        <w:rPr>
          <w:rFonts w:ascii="Times New Roman" w:eastAsia="Times New Roman" w:hAnsi="Times New Roman"/>
          <w:sz w:val="24"/>
          <w:szCs w:val="24"/>
        </w:rPr>
        <w:t>§ 6. Chapter 15 of title 20 of the administrative code of the city of New York is amended by adding a new subchapter 3 to read as follows:</w:t>
      </w:r>
    </w:p>
    <w:p w14:paraId="79E4FF6F" w14:textId="77777777" w:rsidR="002F7A40" w:rsidRPr="002F7A40" w:rsidRDefault="002F7A40" w:rsidP="002F7A40">
      <w:pPr>
        <w:spacing w:after="0" w:line="480" w:lineRule="auto"/>
        <w:ind w:firstLine="720"/>
        <w:jc w:val="center"/>
        <w:rPr>
          <w:rFonts w:ascii="Times New Roman" w:eastAsia="Times New Roman" w:hAnsi="Times New Roman"/>
          <w:sz w:val="24"/>
          <w:szCs w:val="24"/>
          <w:u w:val="single"/>
        </w:rPr>
      </w:pPr>
      <w:r w:rsidRPr="002F7A40">
        <w:rPr>
          <w:rFonts w:ascii="Times New Roman" w:eastAsia="Times New Roman" w:hAnsi="Times New Roman"/>
          <w:sz w:val="24"/>
          <w:szCs w:val="24"/>
          <w:u w:val="single"/>
        </w:rPr>
        <w:t>SUBCHAPTER 3</w:t>
      </w:r>
    </w:p>
    <w:p w14:paraId="61284201" w14:textId="77777777" w:rsidR="002F7A40" w:rsidRPr="002F7A40" w:rsidRDefault="002F7A40" w:rsidP="002F7A40">
      <w:pPr>
        <w:spacing w:after="0" w:line="480" w:lineRule="auto"/>
        <w:ind w:firstLine="720"/>
        <w:jc w:val="center"/>
        <w:rPr>
          <w:rFonts w:ascii="Times New Roman" w:eastAsia="Times New Roman" w:hAnsi="Times New Roman"/>
          <w:sz w:val="24"/>
          <w:szCs w:val="24"/>
          <w:u w:val="single"/>
        </w:rPr>
      </w:pPr>
      <w:r w:rsidRPr="002F7A40">
        <w:rPr>
          <w:rFonts w:ascii="Times New Roman" w:eastAsia="Times New Roman" w:hAnsi="Times New Roman"/>
          <w:sz w:val="24"/>
          <w:szCs w:val="24"/>
          <w:u w:val="single"/>
        </w:rPr>
        <w:t>WRONGFUL DEACTIVATION OF APP-BASED CONTRACTED DELIVERY WORKERS</w:t>
      </w:r>
    </w:p>
    <w:p w14:paraId="607903CB" w14:textId="77777777" w:rsidR="002F7A40" w:rsidRPr="002F7A40" w:rsidRDefault="002F7A40" w:rsidP="002F7A40">
      <w:pPr>
        <w:spacing w:after="0" w:line="480" w:lineRule="auto"/>
        <w:ind w:firstLine="720"/>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 xml:space="preserve">§ 20-1531 </w:t>
      </w:r>
      <w:r w:rsidRPr="002F7A40">
        <w:rPr>
          <w:rFonts w:ascii="Times New Roman" w:eastAsia="Times New Roman" w:hAnsi="Times New Roman"/>
          <w:color w:val="000000"/>
          <w:sz w:val="24"/>
          <w:szCs w:val="24"/>
          <w:u w:val="single"/>
          <w:shd w:val="clear" w:color="auto" w:fill="FFFFFF"/>
        </w:rPr>
        <w:t xml:space="preserve">Definitions. As used in this subchapter, the following terms have the following meanings: </w:t>
      </w:r>
    </w:p>
    <w:p w14:paraId="1D935E03"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lastRenderedPageBreak/>
        <w:t xml:space="preserve">Delivery platform. The term “delivery platform” means </w:t>
      </w:r>
      <w:r w:rsidRPr="002F7A40">
        <w:rPr>
          <w:rFonts w:ascii="Times New Roman" w:eastAsia="Times New Roman" w:hAnsi="Times New Roman"/>
          <w:sz w:val="24"/>
          <w:szCs w:val="24"/>
          <w:u w:val="single"/>
        </w:rPr>
        <w:t xml:space="preserve">a </w:t>
      </w:r>
      <w:r w:rsidRPr="002F7A40">
        <w:rPr>
          <w:rFonts w:ascii="Times New Roman" w:eastAsia="Times New Roman" w:hAnsi="Times New Roman"/>
          <w:color w:val="000000"/>
          <w:sz w:val="24"/>
          <w:szCs w:val="24"/>
          <w:u w:val="single"/>
          <w:shd w:val="clear" w:color="auto" w:fill="FFFFFF"/>
        </w:rPr>
        <w:t>website, mobile application, or other internet service through which a delivery service offers or assigns a trip to a contracted delivery worker retained by such delivery service.</w:t>
      </w:r>
    </w:p>
    <w:p w14:paraId="398A55B5"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Egregious misconduct. The term “egregious misconduct” means </w:t>
      </w:r>
      <w:r w:rsidRPr="002F7A40">
        <w:rPr>
          <w:rFonts w:ascii="Times New Roman" w:eastAsia="Times New Roman" w:hAnsi="Times New Roman"/>
          <w:sz w:val="24"/>
          <w:szCs w:val="24"/>
          <w:u w:val="single"/>
        </w:rPr>
        <w:t>misconduct that is so outrageous, dangerous, or illegal that a delivery service cannot reasonably expect to correct it through progressive discipline. “Egregious misconduct” may include, but is not limited to, depending on the circumstances: (</w:t>
      </w:r>
      <w:proofErr w:type="spellStart"/>
      <w:r w:rsidRPr="002F7A40">
        <w:rPr>
          <w:rFonts w:ascii="Times New Roman" w:eastAsia="Times New Roman" w:hAnsi="Times New Roman"/>
          <w:sz w:val="24"/>
          <w:szCs w:val="24"/>
          <w:u w:val="single"/>
        </w:rPr>
        <w:t>i</w:t>
      </w:r>
      <w:proofErr w:type="spellEnd"/>
      <w:r w:rsidRPr="002F7A40">
        <w:rPr>
          <w:rFonts w:ascii="Times New Roman" w:eastAsia="Times New Roman" w:hAnsi="Times New Roman"/>
          <w:sz w:val="24"/>
          <w:szCs w:val="24"/>
          <w:u w:val="single"/>
        </w:rPr>
        <w:t>) violence or threats of violence; (ii) theft; (iii) sexual harassment; (iv) discrimination in violation of federal, state, or local law; or (v) willful destruction of property.</w:t>
      </w:r>
      <w:r w:rsidRPr="002F7A40">
        <w:rPr>
          <w:rFonts w:ascii="Times New Roman" w:eastAsia="Times New Roman" w:hAnsi="Times New Roman"/>
          <w:color w:val="000000"/>
          <w:sz w:val="24"/>
          <w:szCs w:val="24"/>
          <w:u w:val="single"/>
          <w:shd w:val="clear" w:color="auto" w:fill="FFFFFF"/>
        </w:rPr>
        <w:t xml:space="preserve"> </w:t>
      </w:r>
    </w:p>
    <w:p w14:paraId="0B06D893"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color w:val="000000"/>
          <w:sz w:val="24"/>
          <w:szCs w:val="24"/>
          <w:u w:val="single"/>
          <w:shd w:val="clear" w:color="auto" w:fill="FFFFFF"/>
        </w:rPr>
        <w:t xml:space="preserve">Just cause. The term “just cause” means a contracted delivery worker’s </w:t>
      </w:r>
      <w:r w:rsidRPr="002F7A40">
        <w:rPr>
          <w:rFonts w:ascii="Times New Roman" w:eastAsia="Times New Roman" w:hAnsi="Times New Roman"/>
          <w:sz w:val="24"/>
          <w:szCs w:val="24"/>
          <w:u w:val="single"/>
        </w:rPr>
        <w:t>misconduct or failure to satisfactorily perform their job duties for a delivery service.</w:t>
      </w:r>
    </w:p>
    <w:p w14:paraId="20AF2E62"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Misconduct. The term “misconduct” means conduct that is demonstrably and materially harmful to a delivery service’s legitimate business interests.</w:t>
      </w:r>
    </w:p>
    <w:p w14:paraId="7B933B2B"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Prior deactivation. The term “prior deactivation” means a deactivation that occurred during the 6 years prior to the effective date of the local law that added this subchapter.</w:t>
      </w:r>
    </w:p>
    <w:p w14:paraId="5A51CB18"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Probation period. The term “probation period” means a period of 30 calendar days </w:t>
      </w:r>
      <w:r w:rsidRPr="002F7A40">
        <w:rPr>
          <w:rFonts w:ascii="Times New Roman" w:eastAsia="Times New Roman" w:hAnsi="Times New Roman"/>
          <w:sz w:val="24"/>
          <w:szCs w:val="24"/>
          <w:u w:val="single"/>
        </w:rPr>
        <w:t>beginning on</w:t>
      </w:r>
      <w:r w:rsidRPr="002F7A40">
        <w:rPr>
          <w:rFonts w:ascii="Times New Roman" w:eastAsia="Times New Roman" w:hAnsi="Times New Roman"/>
          <w:color w:val="000000"/>
          <w:sz w:val="24"/>
          <w:szCs w:val="24"/>
          <w:u w:val="single"/>
          <w:shd w:val="clear" w:color="auto" w:fill="FFFFFF"/>
        </w:rPr>
        <w:t xml:space="preserve"> the first date that a contracted delivery worker performs delivery services for a delivery service.</w:t>
      </w:r>
    </w:p>
    <w:p w14:paraId="0EE935E8"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Progressive discipline. The term “progressive discipline” means a disciplinary system that provides for a graduated range of </w:t>
      </w:r>
      <w:r w:rsidRPr="002F7A40">
        <w:rPr>
          <w:rFonts w:ascii="Times New Roman" w:eastAsia="Times New Roman" w:hAnsi="Times New Roman"/>
          <w:sz w:val="24"/>
          <w:szCs w:val="24"/>
          <w:u w:val="single"/>
        </w:rPr>
        <w:t xml:space="preserve">disciplinary measures, including but not limited to warnings and further training requirements, </w:t>
      </w:r>
      <w:r w:rsidRPr="002F7A40">
        <w:rPr>
          <w:rFonts w:ascii="Times New Roman" w:eastAsia="Times New Roman" w:hAnsi="Times New Roman"/>
          <w:color w:val="000000"/>
          <w:sz w:val="24"/>
          <w:szCs w:val="24"/>
          <w:u w:val="single"/>
          <w:shd w:val="clear" w:color="auto" w:fill="FFFFFF"/>
        </w:rPr>
        <w:t xml:space="preserve">in response to a contracted delivery worker’s </w:t>
      </w:r>
      <w:r w:rsidRPr="002F7A40">
        <w:rPr>
          <w:rFonts w:ascii="Times New Roman" w:eastAsia="Times New Roman" w:hAnsi="Times New Roman"/>
          <w:sz w:val="24"/>
          <w:szCs w:val="24"/>
          <w:u w:val="single"/>
        </w:rPr>
        <w:t>misconduct or</w:t>
      </w:r>
      <w:r w:rsidRPr="002F7A40">
        <w:rPr>
          <w:rFonts w:ascii="Times New Roman" w:eastAsia="Times New Roman" w:hAnsi="Times New Roman"/>
          <w:color w:val="000000"/>
          <w:sz w:val="24"/>
          <w:szCs w:val="24"/>
          <w:u w:val="single"/>
          <w:shd w:val="clear" w:color="auto" w:fill="FFFFFF"/>
        </w:rPr>
        <w:t xml:space="preserve"> failure to satisfactorily perform job duties for </w:t>
      </w:r>
      <w:r w:rsidRPr="002F7A40">
        <w:rPr>
          <w:rFonts w:ascii="Times New Roman" w:eastAsia="Times New Roman" w:hAnsi="Times New Roman"/>
          <w:sz w:val="24"/>
          <w:szCs w:val="24"/>
          <w:u w:val="single"/>
        </w:rPr>
        <w:t>a delivery service, with the type of disciplinary measure varying based on the frequency and degree of such misconduct or failure</w:t>
      </w:r>
      <w:r w:rsidRPr="002F7A40">
        <w:rPr>
          <w:rFonts w:ascii="Times New Roman" w:eastAsia="Times New Roman" w:hAnsi="Times New Roman"/>
          <w:color w:val="000000"/>
          <w:sz w:val="24"/>
          <w:szCs w:val="24"/>
          <w:u w:val="single"/>
          <w:shd w:val="clear" w:color="auto" w:fill="FFFFFF"/>
        </w:rPr>
        <w:t>.</w:t>
      </w:r>
    </w:p>
    <w:p w14:paraId="23C5C51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lastRenderedPageBreak/>
        <w:t xml:space="preserve">§ 20-1532 Prohibition on wrongful deactivation. </w:t>
      </w:r>
      <w:r w:rsidRPr="002F7A40">
        <w:rPr>
          <w:rFonts w:ascii="Times New Roman" w:eastAsia="Times New Roman" w:hAnsi="Times New Roman"/>
          <w:color w:val="000000"/>
          <w:sz w:val="24"/>
          <w:szCs w:val="24"/>
          <w:u w:val="single"/>
        </w:rPr>
        <w:t xml:space="preserve">a. A delivery service shall not deactivate a contracted delivery worker </w:t>
      </w:r>
      <w:r w:rsidRPr="002F7A40">
        <w:rPr>
          <w:rFonts w:ascii="Times New Roman" w:eastAsia="Times New Roman" w:hAnsi="Times New Roman"/>
          <w:sz w:val="24"/>
          <w:szCs w:val="24"/>
          <w:u w:val="single"/>
        </w:rPr>
        <w:t>after such contracted delivery worker</w:t>
      </w:r>
      <w:r w:rsidRPr="002F7A40">
        <w:rPr>
          <w:rFonts w:ascii="Times New Roman" w:eastAsia="Times New Roman" w:hAnsi="Times New Roman"/>
          <w:color w:val="000000"/>
          <w:sz w:val="24"/>
          <w:szCs w:val="24"/>
          <w:u w:val="single"/>
        </w:rPr>
        <w:t xml:space="preserve">’s probation period </w:t>
      </w:r>
      <w:r w:rsidRPr="002F7A40">
        <w:rPr>
          <w:rFonts w:ascii="Times New Roman" w:eastAsia="Times New Roman" w:hAnsi="Times New Roman"/>
          <w:sz w:val="24"/>
          <w:szCs w:val="24"/>
          <w:u w:val="single"/>
        </w:rPr>
        <w:t>with such service</w:t>
      </w:r>
      <w:r w:rsidRPr="002F7A40">
        <w:rPr>
          <w:rFonts w:ascii="Times New Roman" w:eastAsia="Times New Roman" w:hAnsi="Times New Roman"/>
          <w:color w:val="000000"/>
          <w:sz w:val="24"/>
          <w:szCs w:val="24"/>
          <w:u w:val="single"/>
        </w:rPr>
        <w:t xml:space="preserve"> except for just cause, for a bona fide economic reason</w:t>
      </w:r>
      <w:r w:rsidRPr="002F7A40">
        <w:rPr>
          <w:rFonts w:ascii="Times New Roman" w:eastAsia="Times New Roman" w:hAnsi="Times New Roman"/>
          <w:sz w:val="24"/>
          <w:szCs w:val="24"/>
          <w:u w:val="single"/>
        </w:rPr>
        <w:t>, as described in section 20-1534, or where federal, state, or local law or rule requires such delivery service to deactivate such contracted delivery worker</w:t>
      </w:r>
      <w:r w:rsidRPr="002F7A40">
        <w:rPr>
          <w:rFonts w:ascii="Times New Roman" w:eastAsia="Times New Roman" w:hAnsi="Times New Roman"/>
          <w:color w:val="000000"/>
          <w:sz w:val="24"/>
          <w:szCs w:val="24"/>
          <w:u w:val="single"/>
        </w:rPr>
        <w:t>.</w:t>
      </w:r>
    </w:p>
    <w:p w14:paraId="752806C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b. In determining whether a delivery service has deactivated a contracted delivery worker for just cause, a </w:t>
      </w:r>
      <w:proofErr w:type="gramStart"/>
      <w:r w:rsidRPr="002F7A40">
        <w:rPr>
          <w:rFonts w:ascii="Times New Roman" w:eastAsia="Times New Roman" w:hAnsi="Times New Roman"/>
          <w:color w:val="000000"/>
          <w:sz w:val="24"/>
          <w:szCs w:val="24"/>
          <w:u w:val="single"/>
        </w:rPr>
        <w:t>fact-finder</w:t>
      </w:r>
      <w:proofErr w:type="gramEnd"/>
      <w:r w:rsidRPr="002F7A40">
        <w:rPr>
          <w:rFonts w:ascii="Times New Roman" w:eastAsia="Times New Roman" w:hAnsi="Times New Roman"/>
          <w:color w:val="000000"/>
          <w:sz w:val="24"/>
          <w:szCs w:val="24"/>
          <w:u w:val="single"/>
        </w:rPr>
        <w:t xml:space="preserve"> shall consider, in addition to any other relevant factors, whether:</w:t>
      </w:r>
    </w:p>
    <w:p w14:paraId="1B9A1728"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1. Such contracted delivery worker knew or should have known of such delivery service’s policy, rule, or practice that </w:t>
      </w:r>
      <w:proofErr w:type="gramStart"/>
      <w:r w:rsidRPr="002F7A40">
        <w:rPr>
          <w:rFonts w:ascii="Times New Roman" w:eastAsia="Times New Roman" w:hAnsi="Times New Roman"/>
          <w:color w:val="000000"/>
          <w:sz w:val="24"/>
          <w:szCs w:val="24"/>
          <w:u w:val="single"/>
        </w:rPr>
        <w:t>forms</w:t>
      </w:r>
      <w:proofErr w:type="gramEnd"/>
      <w:r w:rsidRPr="002F7A40">
        <w:rPr>
          <w:rFonts w:ascii="Times New Roman" w:eastAsia="Times New Roman" w:hAnsi="Times New Roman"/>
          <w:color w:val="000000"/>
          <w:sz w:val="24"/>
          <w:szCs w:val="24"/>
          <w:u w:val="single"/>
        </w:rPr>
        <w:t xml:space="preserve"> a basis for progressive discipline or such deactivation and knew or should have known of the potential consequences for violation of such policy, rule, or </w:t>
      </w:r>
      <w:proofErr w:type="gramStart"/>
      <w:r w:rsidRPr="002F7A40">
        <w:rPr>
          <w:rFonts w:ascii="Times New Roman" w:eastAsia="Times New Roman" w:hAnsi="Times New Roman"/>
          <w:color w:val="000000"/>
          <w:sz w:val="24"/>
          <w:szCs w:val="24"/>
          <w:u w:val="single"/>
        </w:rPr>
        <w:t>practice;</w:t>
      </w:r>
      <w:proofErr w:type="gramEnd"/>
    </w:p>
    <w:p w14:paraId="01771900"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2. Such delivery </w:t>
      </w:r>
      <w:proofErr w:type="gramStart"/>
      <w:r w:rsidRPr="002F7A40">
        <w:rPr>
          <w:rFonts w:ascii="Times New Roman" w:eastAsia="Times New Roman" w:hAnsi="Times New Roman"/>
          <w:color w:val="000000"/>
          <w:sz w:val="24"/>
          <w:szCs w:val="24"/>
          <w:u w:val="single"/>
        </w:rPr>
        <w:t>service’s</w:t>
      </w:r>
      <w:proofErr w:type="gramEnd"/>
      <w:r w:rsidRPr="002F7A40">
        <w:rPr>
          <w:rFonts w:ascii="Times New Roman" w:eastAsia="Times New Roman" w:hAnsi="Times New Roman"/>
          <w:color w:val="000000"/>
          <w:sz w:val="24"/>
          <w:szCs w:val="24"/>
          <w:u w:val="single"/>
        </w:rPr>
        <w:t xml:space="preserve"> policy, rule, or practice that forms a basis for progressive discipline or such deactivation is reasonably related to safe and efficient delivery service </w:t>
      </w:r>
      <w:proofErr w:type="gramStart"/>
      <w:r w:rsidRPr="002F7A40">
        <w:rPr>
          <w:rFonts w:ascii="Times New Roman" w:eastAsia="Times New Roman" w:hAnsi="Times New Roman"/>
          <w:color w:val="000000"/>
          <w:sz w:val="24"/>
          <w:szCs w:val="24"/>
          <w:u w:val="single"/>
        </w:rPr>
        <w:t>operations;</w:t>
      </w:r>
      <w:proofErr w:type="gramEnd"/>
    </w:p>
    <w:p w14:paraId="5106C2B5"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3. Such delivery service provided relevant and adequate training to such contracted delivery </w:t>
      </w:r>
      <w:proofErr w:type="gramStart"/>
      <w:r w:rsidRPr="002F7A40">
        <w:rPr>
          <w:rFonts w:ascii="Times New Roman" w:eastAsia="Times New Roman" w:hAnsi="Times New Roman"/>
          <w:color w:val="000000"/>
          <w:sz w:val="24"/>
          <w:szCs w:val="24"/>
          <w:u w:val="single"/>
        </w:rPr>
        <w:t>worker;</w:t>
      </w:r>
      <w:proofErr w:type="gramEnd"/>
    </w:p>
    <w:p w14:paraId="0B686BF4"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4. Such delivery service’s policy, rule, or practice that forms a basis for such deactivation, including the utilization of progressive discipline, was reasonable and applied </w:t>
      </w:r>
      <w:proofErr w:type="gramStart"/>
      <w:r w:rsidRPr="002F7A40">
        <w:rPr>
          <w:rFonts w:ascii="Times New Roman" w:eastAsia="Times New Roman" w:hAnsi="Times New Roman"/>
          <w:color w:val="000000"/>
          <w:sz w:val="24"/>
          <w:szCs w:val="24"/>
          <w:u w:val="single"/>
        </w:rPr>
        <w:t>consistently;</w:t>
      </w:r>
      <w:proofErr w:type="gramEnd"/>
    </w:p>
    <w:p w14:paraId="4002388C"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xml:space="preserve">5. Such delivery service undertook a fair and objective investigation into such contracted delivery worker’s misconduct or failure to </w:t>
      </w:r>
      <w:proofErr w:type="gramStart"/>
      <w:r w:rsidRPr="002F7A40">
        <w:rPr>
          <w:rFonts w:ascii="Times New Roman" w:eastAsia="Times New Roman" w:hAnsi="Times New Roman"/>
          <w:color w:val="000000"/>
          <w:sz w:val="24"/>
          <w:szCs w:val="24"/>
          <w:u w:val="single"/>
          <w:shd w:val="clear" w:color="auto" w:fill="FFFFFF"/>
        </w:rPr>
        <w:t>satisfactorily perform job</w:t>
      </w:r>
      <w:proofErr w:type="gramEnd"/>
      <w:r w:rsidRPr="002F7A40">
        <w:rPr>
          <w:rFonts w:ascii="Times New Roman" w:eastAsia="Times New Roman" w:hAnsi="Times New Roman"/>
          <w:color w:val="000000"/>
          <w:sz w:val="24"/>
          <w:szCs w:val="24"/>
          <w:u w:val="single"/>
          <w:shd w:val="clear" w:color="auto" w:fill="FFFFFF"/>
        </w:rPr>
        <w:t xml:space="preserve"> </w:t>
      </w:r>
      <w:proofErr w:type="gramStart"/>
      <w:r w:rsidRPr="002F7A40">
        <w:rPr>
          <w:rFonts w:ascii="Times New Roman" w:eastAsia="Times New Roman" w:hAnsi="Times New Roman"/>
          <w:color w:val="000000"/>
          <w:sz w:val="24"/>
          <w:szCs w:val="24"/>
          <w:u w:val="single"/>
          <w:shd w:val="clear" w:color="auto" w:fill="FFFFFF"/>
        </w:rPr>
        <w:t>duties;</w:t>
      </w:r>
      <w:proofErr w:type="gramEnd"/>
    </w:p>
    <w:p w14:paraId="30402296"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6. Such deactivation is a reasonable response to such contracted delivery worker’s misconduct or </w:t>
      </w:r>
      <w:r w:rsidRPr="002F7A40">
        <w:rPr>
          <w:rFonts w:ascii="Times New Roman" w:eastAsia="Times New Roman" w:hAnsi="Times New Roman"/>
          <w:color w:val="000000"/>
          <w:sz w:val="24"/>
          <w:szCs w:val="24"/>
          <w:u w:val="single"/>
          <w:shd w:val="clear" w:color="auto" w:fill="FFFFFF"/>
        </w:rPr>
        <w:t>failure to satisfactorily perform job duties</w:t>
      </w:r>
      <w:r w:rsidRPr="002F7A40">
        <w:rPr>
          <w:rFonts w:ascii="Times New Roman" w:eastAsia="Times New Roman" w:hAnsi="Times New Roman"/>
          <w:color w:val="000000"/>
          <w:sz w:val="24"/>
          <w:szCs w:val="24"/>
          <w:u w:val="single"/>
        </w:rPr>
        <w:t xml:space="preserve"> and accounts for any mitigating circumstances, including but not limited to such contracted delivery worker’s past work history; and</w:t>
      </w:r>
    </w:p>
    <w:p w14:paraId="277B922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lastRenderedPageBreak/>
        <w:t xml:space="preserve">7. Such contracted delivery worker violated the policy, rule, or practice or engaged in any misconduct or </w:t>
      </w:r>
      <w:r w:rsidRPr="002F7A40">
        <w:rPr>
          <w:rFonts w:ascii="Times New Roman" w:eastAsia="Times New Roman" w:hAnsi="Times New Roman"/>
          <w:color w:val="000000"/>
          <w:sz w:val="24"/>
          <w:szCs w:val="24"/>
          <w:u w:val="single"/>
          <w:shd w:val="clear" w:color="auto" w:fill="FFFFFF"/>
        </w:rPr>
        <w:t>failure to satisfactorily perform job duties</w:t>
      </w:r>
      <w:r w:rsidRPr="002F7A40">
        <w:rPr>
          <w:rFonts w:ascii="Times New Roman" w:eastAsia="Times New Roman" w:hAnsi="Times New Roman"/>
          <w:color w:val="000000"/>
          <w:sz w:val="24"/>
          <w:szCs w:val="24"/>
          <w:u w:val="single"/>
        </w:rPr>
        <w:t xml:space="preserve"> that </w:t>
      </w:r>
      <w:proofErr w:type="gramStart"/>
      <w:r w:rsidRPr="002F7A40">
        <w:rPr>
          <w:rFonts w:ascii="Times New Roman" w:eastAsia="Times New Roman" w:hAnsi="Times New Roman"/>
          <w:color w:val="000000"/>
          <w:sz w:val="24"/>
          <w:szCs w:val="24"/>
          <w:u w:val="single"/>
        </w:rPr>
        <w:t>forms</w:t>
      </w:r>
      <w:proofErr w:type="gramEnd"/>
      <w:r w:rsidRPr="002F7A40">
        <w:rPr>
          <w:rFonts w:ascii="Times New Roman" w:eastAsia="Times New Roman" w:hAnsi="Times New Roman"/>
          <w:color w:val="000000"/>
          <w:sz w:val="24"/>
          <w:szCs w:val="24"/>
          <w:u w:val="single"/>
        </w:rPr>
        <w:t xml:space="preserve"> a basis for progressive discipline or such deactivation.</w:t>
      </w:r>
    </w:p>
    <w:p w14:paraId="4AA2F52D"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c. Except where deactivation is for egregious misconduct, </w:t>
      </w:r>
      <w:proofErr w:type="gramStart"/>
      <w:r w:rsidRPr="002F7A40">
        <w:rPr>
          <w:rFonts w:ascii="Times New Roman" w:eastAsia="Times New Roman" w:hAnsi="Times New Roman"/>
          <w:color w:val="000000"/>
          <w:sz w:val="24"/>
          <w:szCs w:val="24"/>
          <w:u w:val="single"/>
        </w:rPr>
        <w:t>a deactivation</w:t>
      </w:r>
      <w:proofErr w:type="gramEnd"/>
      <w:r w:rsidRPr="002F7A40">
        <w:rPr>
          <w:rFonts w:ascii="Times New Roman" w:eastAsia="Times New Roman" w:hAnsi="Times New Roman"/>
          <w:color w:val="000000"/>
          <w:sz w:val="24"/>
          <w:szCs w:val="24"/>
          <w:u w:val="single"/>
        </w:rPr>
        <w:t xml:space="preserve"> of a contract delivery worker shall not be considered based on just cause unless a delivery service demonstrates that:</w:t>
      </w:r>
    </w:p>
    <w:p w14:paraId="68A4A7B8"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1. Such delivery service has utilized progressive discipline; </w:t>
      </w:r>
      <w:r w:rsidRPr="002F7A40">
        <w:rPr>
          <w:rFonts w:ascii="Times New Roman" w:eastAsia="Times New Roman" w:hAnsi="Times New Roman"/>
          <w:sz w:val="24"/>
          <w:szCs w:val="24"/>
          <w:u w:val="single"/>
        </w:rPr>
        <w:t xml:space="preserve">provided, however, that such delivery service may not rely on progressive discipline issued more than 1 year before such deactivation; </w:t>
      </w:r>
      <w:r w:rsidRPr="002F7A40">
        <w:rPr>
          <w:rFonts w:ascii="Times New Roman" w:eastAsia="Times New Roman" w:hAnsi="Times New Roman"/>
          <w:color w:val="000000"/>
          <w:sz w:val="24"/>
          <w:szCs w:val="24"/>
          <w:u w:val="single"/>
        </w:rPr>
        <w:t>and</w:t>
      </w:r>
    </w:p>
    <w:p w14:paraId="0FC33F06"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2. Such delivery service had a written policy on progressive discipline that was in effect and was provided to such contracted delivery worker. </w:t>
      </w:r>
    </w:p>
    <w:p w14:paraId="5055825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d. Where </w:t>
      </w:r>
      <w:proofErr w:type="gramStart"/>
      <w:r w:rsidRPr="002F7A40">
        <w:rPr>
          <w:rFonts w:ascii="Times New Roman" w:eastAsia="Times New Roman" w:hAnsi="Times New Roman"/>
          <w:color w:val="000000"/>
          <w:sz w:val="24"/>
          <w:szCs w:val="24"/>
          <w:u w:val="single"/>
        </w:rPr>
        <w:t>a deactivation</w:t>
      </w:r>
      <w:proofErr w:type="gramEnd"/>
      <w:r w:rsidRPr="002F7A40">
        <w:rPr>
          <w:rFonts w:ascii="Times New Roman" w:eastAsia="Times New Roman" w:hAnsi="Times New Roman"/>
          <w:color w:val="000000"/>
          <w:sz w:val="24"/>
          <w:szCs w:val="24"/>
          <w:u w:val="single"/>
        </w:rPr>
        <w:t xml:space="preserve"> of a contracted delivery worker is for a </w:t>
      </w:r>
      <w:r w:rsidRPr="002F7A40">
        <w:rPr>
          <w:rFonts w:ascii="Times New Roman" w:eastAsia="Times New Roman" w:hAnsi="Times New Roman"/>
          <w:sz w:val="24"/>
          <w:szCs w:val="24"/>
          <w:u w:val="single"/>
        </w:rPr>
        <w:t xml:space="preserve">bona fide economic reason, as described in section 20-1534, a delivery service must provide, in </w:t>
      </w:r>
      <w:proofErr w:type="gramStart"/>
      <w:r w:rsidRPr="002F7A40">
        <w:rPr>
          <w:rFonts w:ascii="Times New Roman" w:eastAsia="Times New Roman" w:hAnsi="Times New Roman"/>
          <w:sz w:val="24"/>
          <w:szCs w:val="24"/>
          <w:u w:val="single"/>
        </w:rPr>
        <w:t>a form</w:t>
      </w:r>
      <w:proofErr w:type="gramEnd"/>
      <w:r w:rsidRPr="002F7A40">
        <w:rPr>
          <w:rFonts w:ascii="Times New Roman" w:eastAsia="Times New Roman" w:hAnsi="Times New Roman"/>
          <w:sz w:val="24"/>
          <w:szCs w:val="24"/>
          <w:u w:val="single"/>
        </w:rPr>
        <w:t xml:space="preserve"> and manner designated by the department, an advance notice of layoff to such contracted delivery worker at least</w:t>
      </w:r>
      <w:r w:rsidRPr="002F7A40" w:rsidDel="0023515E">
        <w:rPr>
          <w:rFonts w:ascii="Times New Roman" w:eastAsia="Times New Roman" w:hAnsi="Times New Roman"/>
          <w:sz w:val="24"/>
          <w:szCs w:val="24"/>
          <w:u w:val="single"/>
        </w:rPr>
        <w:t xml:space="preserve"> </w:t>
      </w:r>
      <w:r w:rsidRPr="002F7A40">
        <w:rPr>
          <w:rFonts w:ascii="Times New Roman" w:eastAsia="Times New Roman" w:hAnsi="Times New Roman"/>
          <w:sz w:val="24"/>
          <w:szCs w:val="24"/>
          <w:u w:val="single"/>
        </w:rPr>
        <w:t>120 days prior to such deactivation. Such advance notice shall state all the precise and detailed reasons for, and the effective date of, such deactivation. Such advance notice shall include information about: (</w:t>
      </w:r>
      <w:proofErr w:type="spellStart"/>
      <w:r w:rsidRPr="002F7A40">
        <w:rPr>
          <w:rFonts w:ascii="Times New Roman" w:eastAsia="Times New Roman" w:hAnsi="Times New Roman"/>
          <w:sz w:val="24"/>
          <w:szCs w:val="24"/>
          <w:u w:val="single"/>
        </w:rPr>
        <w:t>i</w:t>
      </w:r>
      <w:proofErr w:type="spellEnd"/>
      <w:r w:rsidRPr="002F7A40">
        <w:rPr>
          <w:rFonts w:ascii="Times New Roman" w:eastAsia="Times New Roman" w:hAnsi="Times New Roman"/>
          <w:sz w:val="24"/>
          <w:szCs w:val="24"/>
          <w:u w:val="single"/>
        </w:rPr>
        <w:t>) such contracted delivery worker’s right to challenge such deactivation as unlawful pursuant to this subchapter; (ii) how such contracted delivery worker may initiate an informal resolution process with such delivery service pursuant to section 20-1537; (iii) the opportunity for such contracted delivery worker to submit evidence to substantiate a challenge to such deactivation; and (iv) such contracted delivery worker’s right to file a complaint with the department, or initiate a private action.</w:t>
      </w:r>
    </w:p>
    <w:p w14:paraId="7B7680D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lastRenderedPageBreak/>
        <w:t xml:space="preserve">e. </w:t>
      </w:r>
      <w:r w:rsidRPr="002F7A40">
        <w:rPr>
          <w:rFonts w:ascii="Times New Roman" w:eastAsia="Times New Roman" w:hAnsi="Times New Roman"/>
          <w:sz w:val="24"/>
          <w:szCs w:val="24"/>
          <w:u w:val="single"/>
        </w:rPr>
        <w:t xml:space="preserve">Within 72 hours after deactivating a contracted delivery worker, a delivery service shall provide, in </w:t>
      </w:r>
      <w:proofErr w:type="gramStart"/>
      <w:r w:rsidRPr="002F7A40">
        <w:rPr>
          <w:rFonts w:ascii="Times New Roman" w:eastAsia="Times New Roman" w:hAnsi="Times New Roman"/>
          <w:sz w:val="24"/>
          <w:szCs w:val="24"/>
          <w:u w:val="single"/>
        </w:rPr>
        <w:t>a form</w:t>
      </w:r>
      <w:proofErr w:type="gramEnd"/>
      <w:r w:rsidRPr="002F7A40">
        <w:rPr>
          <w:rFonts w:ascii="Times New Roman" w:eastAsia="Times New Roman" w:hAnsi="Times New Roman"/>
          <w:sz w:val="24"/>
          <w:szCs w:val="24"/>
          <w:u w:val="single"/>
        </w:rPr>
        <w:t xml:space="preserve"> and manner designated by the department, a notice of deactivation to such contracted delivery worker which contains a written explanation of all the precise and detailed reasons for such deactivation and the effective date of such deactivation. Such notice shall include information about: (</w:t>
      </w:r>
      <w:proofErr w:type="spellStart"/>
      <w:r w:rsidRPr="002F7A40">
        <w:rPr>
          <w:rFonts w:ascii="Times New Roman" w:eastAsia="Times New Roman" w:hAnsi="Times New Roman"/>
          <w:sz w:val="24"/>
          <w:szCs w:val="24"/>
          <w:u w:val="single"/>
        </w:rPr>
        <w:t>i</w:t>
      </w:r>
      <w:proofErr w:type="spellEnd"/>
      <w:r w:rsidRPr="002F7A40">
        <w:rPr>
          <w:rFonts w:ascii="Times New Roman" w:eastAsia="Times New Roman" w:hAnsi="Times New Roman"/>
          <w:sz w:val="24"/>
          <w:szCs w:val="24"/>
          <w:u w:val="single"/>
        </w:rPr>
        <w:t>) such contracted delivery worker’s right to challenge such deactivation as unlawful pursuant to this subchapter; (ii) how such contracted delivery worker may initiate an informal resolution process with such delivery service pursuant to section 20-1537; (iii) the opportunity for such contracted delivery worker to submit evidence to substantiate a challenge to such deactivation; and (iv) such contracted delivery worker’s right to file a complaint with the department, or initiate a private action.</w:t>
      </w:r>
      <w:r w:rsidRPr="002F7A40">
        <w:rPr>
          <w:rFonts w:ascii="Times New Roman" w:eastAsia="Times New Roman" w:hAnsi="Times New Roman"/>
          <w:color w:val="000000"/>
          <w:sz w:val="24"/>
          <w:szCs w:val="24"/>
          <w:u w:val="single"/>
        </w:rPr>
        <w:t>.</w:t>
      </w:r>
    </w:p>
    <w:p w14:paraId="0C3AE47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f. This section shall not apply to any deactivation that occurred prior to the effective date of the local law that added this section.</w:t>
      </w:r>
    </w:p>
    <w:p w14:paraId="4A5BBA5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 20-1533 </w:t>
      </w:r>
      <w:r w:rsidRPr="002F7A40">
        <w:rPr>
          <w:rFonts w:ascii="Times New Roman" w:eastAsia="Times New Roman" w:hAnsi="Times New Roman"/>
          <w:sz w:val="24"/>
          <w:szCs w:val="24"/>
          <w:u w:val="single"/>
        </w:rPr>
        <w:t xml:space="preserve">Prior deactivations. a. </w:t>
      </w:r>
      <w:r w:rsidRPr="002F7A40">
        <w:rPr>
          <w:rFonts w:ascii="Times New Roman" w:eastAsia="Times New Roman" w:hAnsi="Times New Roman"/>
          <w:color w:val="212121"/>
          <w:sz w:val="24"/>
          <w:szCs w:val="24"/>
          <w:u w:val="single"/>
        </w:rPr>
        <w:t xml:space="preserve">Within 1 year after the effective date of the local law that added this section, a </w:t>
      </w:r>
      <w:r w:rsidRPr="002F7A40">
        <w:rPr>
          <w:rFonts w:ascii="Times New Roman" w:eastAsia="Times New Roman" w:hAnsi="Times New Roman"/>
          <w:sz w:val="24"/>
          <w:szCs w:val="24"/>
          <w:u w:val="single"/>
        </w:rPr>
        <w:t>contracted delivery worker who was subject to a prior deactivation by a delivery service may petition such delivery service for reinstatement or restoration of access to such delivery service’s delivery platform. Within 30 days after receipt of such petition, such delivery service shall reinstate or restore such contracted delivery worker’s access to such delivery platform, unless such prior deactivation occurred during the probation period or was for just cause, for a bona fide economic reason, as described in section 20-1534, or required by federal, state, or local law or rule.</w:t>
      </w:r>
    </w:p>
    <w:p w14:paraId="3C097BC5"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b. In determining whether a prior deactivation of a contracted delivery worker by a delivery service was for just cause, a </w:t>
      </w:r>
      <w:proofErr w:type="gramStart"/>
      <w:r w:rsidRPr="002F7A40">
        <w:rPr>
          <w:rFonts w:ascii="Times New Roman" w:eastAsia="Times New Roman" w:hAnsi="Times New Roman"/>
          <w:sz w:val="24"/>
          <w:szCs w:val="24"/>
          <w:u w:val="single"/>
        </w:rPr>
        <w:t>fact-finder</w:t>
      </w:r>
      <w:proofErr w:type="gramEnd"/>
      <w:r w:rsidRPr="002F7A40">
        <w:rPr>
          <w:rFonts w:ascii="Times New Roman" w:eastAsia="Times New Roman" w:hAnsi="Times New Roman"/>
          <w:sz w:val="24"/>
          <w:szCs w:val="24"/>
          <w:u w:val="single"/>
        </w:rPr>
        <w:t xml:space="preserve"> shall consider, in addition to any other relevant factors, whether:</w:t>
      </w:r>
    </w:p>
    <w:p w14:paraId="52DE0351"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lastRenderedPageBreak/>
        <w:t xml:space="preserve">1. Such contracted delivery worker knew or should have known of such delivery service’s policy, rule, or practice that formed a basis for such prior deactivation and knew or should have known of the potential consequences for violation of such policy, rule or </w:t>
      </w:r>
      <w:proofErr w:type="gramStart"/>
      <w:r w:rsidRPr="002F7A40">
        <w:rPr>
          <w:rFonts w:ascii="Times New Roman" w:eastAsia="Times New Roman" w:hAnsi="Times New Roman"/>
          <w:sz w:val="24"/>
          <w:szCs w:val="24"/>
          <w:u w:val="single"/>
        </w:rPr>
        <w:t>practice;</w:t>
      </w:r>
      <w:proofErr w:type="gramEnd"/>
    </w:p>
    <w:p w14:paraId="2A321098" w14:textId="77777777" w:rsidR="002F7A40" w:rsidRPr="002F7A40" w:rsidRDefault="002F7A40" w:rsidP="002F7A40">
      <w:pPr>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 xml:space="preserve">2. Such delivery service’s policy, rule, or practice that formed a basis for such prior deactivation was reasonably related to safe and efficient delivery service </w:t>
      </w:r>
      <w:proofErr w:type="gramStart"/>
      <w:r w:rsidRPr="002F7A40">
        <w:rPr>
          <w:rFonts w:ascii="Times New Roman" w:eastAsia="Times New Roman" w:hAnsi="Times New Roman"/>
          <w:sz w:val="24"/>
          <w:szCs w:val="24"/>
          <w:u w:val="single"/>
        </w:rPr>
        <w:t>operations;</w:t>
      </w:r>
      <w:proofErr w:type="gramEnd"/>
    </w:p>
    <w:p w14:paraId="5DB36CB6"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3. Such delivery service’s policy, rule or practice that formed a basis for such prior deactivation was reasonable and applied </w:t>
      </w:r>
      <w:proofErr w:type="gramStart"/>
      <w:r w:rsidRPr="002F7A40">
        <w:rPr>
          <w:rFonts w:ascii="Times New Roman" w:eastAsia="Times New Roman" w:hAnsi="Times New Roman"/>
          <w:sz w:val="24"/>
          <w:szCs w:val="24"/>
          <w:u w:val="single"/>
        </w:rPr>
        <w:t>consistently;</w:t>
      </w:r>
      <w:proofErr w:type="gramEnd"/>
    </w:p>
    <w:p w14:paraId="475E659F" w14:textId="77777777" w:rsidR="002F7A40" w:rsidRPr="002F7A40" w:rsidRDefault="002F7A40" w:rsidP="002F7A40">
      <w:pPr>
        <w:widowControl w:val="0"/>
        <w:tabs>
          <w:tab w:val="left" w:pos="720"/>
        </w:tabs>
        <w:autoSpaceDE w:val="0"/>
        <w:autoSpaceDN w:val="0"/>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4. Such prior deactivation was a reasonable response to such contracted delivery worker’s misconduct or failure to satisfactorily perform job duties and accounted for any mitigating circumstances, including, but not limited to, such contracted delivery worker’s past work </w:t>
      </w:r>
      <w:proofErr w:type="gramStart"/>
      <w:r w:rsidRPr="002F7A40">
        <w:rPr>
          <w:rFonts w:ascii="Times New Roman" w:eastAsia="Times New Roman" w:hAnsi="Times New Roman"/>
          <w:sz w:val="24"/>
          <w:szCs w:val="24"/>
          <w:u w:val="single"/>
        </w:rPr>
        <w:t>history;</w:t>
      </w:r>
      <w:proofErr w:type="gramEnd"/>
      <w:r w:rsidRPr="002F7A40">
        <w:rPr>
          <w:rFonts w:ascii="Times New Roman" w:eastAsia="Times New Roman" w:hAnsi="Times New Roman"/>
          <w:sz w:val="24"/>
          <w:szCs w:val="24"/>
          <w:u w:val="single"/>
        </w:rPr>
        <w:t xml:space="preserve"> </w:t>
      </w:r>
    </w:p>
    <w:p w14:paraId="0B6D66FF" w14:textId="77777777" w:rsidR="002F7A40" w:rsidRPr="002F7A40" w:rsidRDefault="002F7A40" w:rsidP="002F7A40">
      <w:pPr>
        <w:widowControl w:val="0"/>
        <w:tabs>
          <w:tab w:val="left" w:pos="720"/>
        </w:tabs>
        <w:autoSpaceDE w:val="0"/>
        <w:autoSpaceDN w:val="0"/>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5. Such contracted delivery worker violated the policy, rule, or practice or committed </w:t>
      </w:r>
      <w:proofErr w:type="gramStart"/>
      <w:r w:rsidRPr="002F7A40">
        <w:rPr>
          <w:rFonts w:ascii="Times New Roman" w:eastAsia="Times New Roman" w:hAnsi="Times New Roman"/>
          <w:sz w:val="24"/>
          <w:szCs w:val="24"/>
          <w:u w:val="single"/>
        </w:rPr>
        <w:t>the misconduct</w:t>
      </w:r>
      <w:proofErr w:type="gramEnd"/>
      <w:r w:rsidRPr="002F7A40">
        <w:rPr>
          <w:rFonts w:ascii="Times New Roman" w:eastAsia="Times New Roman" w:hAnsi="Times New Roman"/>
          <w:sz w:val="24"/>
          <w:szCs w:val="24"/>
          <w:u w:val="single"/>
        </w:rPr>
        <w:t xml:space="preserve"> or failure to satisfactorily perform job duties that formed a basis for such prior deactivation; and</w:t>
      </w:r>
    </w:p>
    <w:p w14:paraId="7F14FD21" w14:textId="77777777" w:rsidR="002F7A40" w:rsidRPr="002F7A40" w:rsidRDefault="002F7A40" w:rsidP="002F7A40">
      <w:pPr>
        <w:widowControl w:val="0"/>
        <w:tabs>
          <w:tab w:val="left" w:pos="720"/>
        </w:tabs>
        <w:autoSpaceDE w:val="0"/>
        <w:autoSpaceDN w:val="0"/>
        <w:spacing w:after="0" w:line="480" w:lineRule="auto"/>
        <w:ind w:firstLine="720"/>
        <w:jc w:val="both"/>
        <w:rPr>
          <w:rFonts w:ascii="Times New Roman" w:eastAsia="Times New Roman" w:hAnsi="Times New Roman"/>
          <w:sz w:val="24"/>
          <w:szCs w:val="24"/>
        </w:rPr>
      </w:pPr>
      <w:r w:rsidRPr="002F7A40">
        <w:rPr>
          <w:rFonts w:ascii="Times New Roman" w:eastAsia="Times New Roman" w:hAnsi="Times New Roman"/>
          <w:sz w:val="24"/>
          <w:szCs w:val="24"/>
          <w:u w:val="single"/>
        </w:rPr>
        <w:t>6. Such delivery service considered any exculpatory evidence or other facts indicating that such contracted delivery worker did not violate such delivery service’s policy, rule or practice.</w:t>
      </w:r>
    </w:p>
    <w:p w14:paraId="633FD98A"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c. If a delivery service does not reinstate or restore access of a contracted delivery worker who was subject to a prior deactivation to such delivery service’s delivery platform within 30 days after receipt of a petition pursuant to subdivision a of this section, such delivery service shall provide a written explanation, in a form and manner designated by the department, to such contracted delivery worker of all the precise and detailed reasons for such prior deactivation. Such written explanation shall include information about: (</w:t>
      </w:r>
      <w:proofErr w:type="spellStart"/>
      <w:r w:rsidRPr="002F7A40">
        <w:rPr>
          <w:rFonts w:ascii="Times New Roman" w:eastAsia="Times New Roman" w:hAnsi="Times New Roman"/>
          <w:sz w:val="24"/>
          <w:szCs w:val="24"/>
          <w:u w:val="single"/>
        </w:rPr>
        <w:t>i</w:t>
      </w:r>
      <w:proofErr w:type="spellEnd"/>
      <w:r w:rsidRPr="002F7A40">
        <w:rPr>
          <w:rFonts w:ascii="Times New Roman" w:eastAsia="Times New Roman" w:hAnsi="Times New Roman"/>
          <w:sz w:val="24"/>
          <w:szCs w:val="24"/>
          <w:u w:val="single"/>
        </w:rPr>
        <w:t xml:space="preserve">) such contracted delivery worker’s right to challenge such prior deactivation as unlawful pursuant to this subchapter; (ii) how such contracted delivery worker may initiate an informal resolution process with the delivery service pursuant to </w:t>
      </w:r>
      <w:r w:rsidRPr="002F7A40">
        <w:rPr>
          <w:rFonts w:ascii="Times New Roman" w:eastAsia="Times New Roman" w:hAnsi="Times New Roman"/>
          <w:sz w:val="24"/>
          <w:szCs w:val="24"/>
          <w:u w:val="single"/>
        </w:rPr>
        <w:lastRenderedPageBreak/>
        <w:t>section 20-1537; (iii) the opportunity of such contracted delivery worker to submit evidence to substantiate a challenge to such prior deactivation; and (iv) such contracted delivery worker’s right to file a complaint with the department, or initiate a private action.</w:t>
      </w:r>
    </w:p>
    <w:p w14:paraId="23897B65"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d. Notwithstanding any other provision of this section, a delivery service may decline to immediately reinstate or restore access to such delivery service’s delivery platform to a contracted delivery worker whose access is required to be reinstated or restored pursuant to subdivision a of this section if such contracted delivery worker does not meet a minimum requirement that applies to all current contracted delivery workers for such delivery service or if such delivery service is not providing access to such delivery platform to any new contracted delivery worker, and has not provided such access during the 3 months prior to the effective date of the local law that added this section. Where such delivery service declines to immediately reinstate or restore access to such delivery platform pursuant to this subdivision, such delivery service shall maintain a waitlist of contracted delivery worker whose access to such delivery platform is required to be reinstated or restored pursuant to subdivision a of this section and reinstate or restore such contracted delivery worker’ access to such delivery platform, in the order in which such contracted delivery workers were placed on such waitlist, provided that any such contracted delivery worker meets the minimum requirements that apply to all current contracted delivery workers for such delivery service, prior to providing any other new contracted delivery worker access to such delivery platform.</w:t>
      </w:r>
    </w:p>
    <w:p w14:paraId="6C4F999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20-1534 Bona fide economic reasons. a. A deactivation, including a prior deactivation, shall not be considered based on a bona fide economic reason unless supported by a delivery service’s business records demonstrating that such deactivation is in response to: (</w:t>
      </w:r>
      <w:proofErr w:type="spellStart"/>
      <w:r w:rsidRPr="002F7A40">
        <w:rPr>
          <w:rFonts w:ascii="Times New Roman" w:eastAsia="Times New Roman" w:hAnsi="Times New Roman"/>
          <w:color w:val="000000"/>
          <w:sz w:val="24"/>
          <w:szCs w:val="24"/>
          <w:u w:val="single"/>
        </w:rPr>
        <w:t>i</w:t>
      </w:r>
      <w:proofErr w:type="spellEnd"/>
      <w:r w:rsidRPr="002F7A40">
        <w:rPr>
          <w:rFonts w:ascii="Times New Roman" w:eastAsia="Times New Roman" w:hAnsi="Times New Roman"/>
          <w:color w:val="000000"/>
          <w:sz w:val="24"/>
          <w:szCs w:val="24"/>
          <w:u w:val="single"/>
        </w:rPr>
        <w:t>) a proportionate reduction in volume of sales</w:t>
      </w:r>
      <w:r w:rsidRPr="002F7A40">
        <w:rPr>
          <w:rFonts w:ascii="Times New Roman" w:eastAsia="Times New Roman" w:hAnsi="Times New Roman"/>
          <w:sz w:val="24"/>
          <w:szCs w:val="24"/>
          <w:u w:val="single"/>
        </w:rPr>
        <w:t xml:space="preserve"> or profit within the fiscal quarter that ended prior to the </w:t>
      </w:r>
      <w:r w:rsidRPr="002F7A40">
        <w:rPr>
          <w:rFonts w:ascii="Times New Roman" w:eastAsia="Times New Roman" w:hAnsi="Times New Roman"/>
          <w:sz w:val="24"/>
          <w:szCs w:val="24"/>
          <w:u w:val="single"/>
        </w:rPr>
        <w:lastRenderedPageBreak/>
        <w:t>issuance of a notice of layoff required by subdivision d of section 20-1532; or (ii) a delivery service discontinuing its driving services in the city</w:t>
      </w:r>
      <w:r w:rsidRPr="002F7A40">
        <w:rPr>
          <w:rFonts w:ascii="Times New Roman" w:eastAsia="Times New Roman" w:hAnsi="Times New Roman"/>
          <w:color w:val="000000"/>
          <w:sz w:val="24"/>
          <w:szCs w:val="24"/>
          <w:u w:val="single"/>
        </w:rPr>
        <w:t>.</w:t>
      </w:r>
    </w:p>
    <w:p w14:paraId="44C550FD"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b. 1. </w:t>
      </w:r>
      <w:r w:rsidRPr="002F7A40">
        <w:rPr>
          <w:rFonts w:ascii="Times New Roman" w:eastAsia="Times New Roman" w:hAnsi="Times New Roman"/>
          <w:sz w:val="24"/>
          <w:szCs w:val="24"/>
          <w:u w:val="single"/>
        </w:rPr>
        <w:t xml:space="preserve">Where a delivery service performs </w:t>
      </w:r>
      <w:r w:rsidRPr="002F7A40">
        <w:rPr>
          <w:rFonts w:ascii="Times New Roman" w:eastAsia="Times New Roman" w:hAnsi="Times New Roman"/>
          <w:color w:val="000000"/>
          <w:sz w:val="24"/>
          <w:szCs w:val="24"/>
          <w:u w:val="single"/>
        </w:rPr>
        <w:t xml:space="preserve">deactivations </w:t>
      </w:r>
      <w:r w:rsidRPr="002F7A40">
        <w:rPr>
          <w:rFonts w:ascii="Times New Roman" w:eastAsia="Times New Roman" w:hAnsi="Times New Roman"/>
          <w:sz w:val="24"/>
          <w:szCs w:val="24"/>
          <w:u w:val="single"/>
        </w:rPr>
        <w:t>of contracted delivery workers</w:t>
      </w:r>
      <w:r w:rsidRPr="002F7A40">
        <w:rPr>
          <w:rFonts w:ascii="Times New Roman" w:eastAsia="Times New Roman" w:hAnsi="Times New Roman"/>
          <w:color w:val="000000"/>
          <w:sz w:val="24"/>
          <w:szCs w:val="24"/>
          <w:u w:val="single"/>
        </w:rPr>
        <w:t xml:space="preserve"> based on a bona fide economic reason, such deactivations must be made in order of seniority </w:t>
      </w:r>
      <w:r w:rsidRPr="002F7A40">
        <w:rPr>
          <w:rFonts w:ascii="Times New Roman" w:eastAsia="Times New Roman" w:hAnsi="Times New Roman"/>
          <w:sz w:val="24"/>
          <w:szCs w:val="24"/>
          <w:u w:val="single"/>
        </w:rPr>
        <w:t>of such contracted delivery workers, in accordance with rules of the department</w:t>
      </w:r>
      <w:r w:rsidRPr="002F7A40">
        <w:rPr>
          <w:rFonts w:ascii="Times New Roman" w:eastAsia="Times New Roman" w:hAnsi="Times New Roman"/>
          <w:color w:val="000000"/>
          <w:sz w:val="24"/>
          <w:szCs w:val="24"/>
          <w:u w:val="single"/>
        </w:rPr>
        <w:t xml:space="preserve">. For purposes of this section, seniority shall account for the date such contracted delivery worker commenced serving as a delivery worker for such service, and the amount of work performed by such contracted delivery worker in the timeframe. </w:t>
      </w:r>
    </w:p>
    <w:p w14:paraId="60C0C6DC"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2. A delivery service shall make reasonable efforts to offer reinstatement or </w:t>
      </w:r>
      <w:r w:rsidRPr="002F7A40">
        <w:rPr>
          <w:rFonts w:ascii="Times New Roman" w:eastAsia="Times New Roman" w:hAnsi="Times New Roman"/>
          <w:color w:val="212121"/>
          <w:sz w:val="24"/>
          <w:szCs w:val="24"/>
          <w:u w:val="single"/>
        </w:rPr>
        <w:t>restoration of access to such delivery service’s delivery platform</w:t>
      </w:r>
      <w:r w:rsidRPr="002F7A40">
        <w:rPr>
          <w:rFonts w:ascii="Times New Roman" w:eastAsia="Times New Roman" w:hAnsi="Times New Roman"/>
          <w:sz w:val="24"/>
          <w:szCs w:val="24"/>
          <w:u w:val="single"/>
        </w:rPr>
        <w:t xml:space="preserve"> to any contracted delivery worker deactivated by such delivery service based on a bona fide economic reason within the previous 3 years, if any, before such delivery service may provide any other new contracted delivery worker access to such delivery platform.</w:t>
      </w:r>
    </w:p>
    <w:p w14:paraId="5E99D4A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 xml:space="preserve">3. </w:t>
      </w:r>
      <w:r w:rsidRPr="002F7A40">
        <w:rPr>
          <w:rFonts w:ascii="Times New Roman" w:eastAsia="Times New Roman" w:hAnsi="Times New Roman"/>
          <w:color w:val="000000"/>
          <w:sz w:val="24"/>
          <w:szCs w:val="24"/>
          <w:u w:val="single"/>
        </w:rPr>
        <w:t>This subdivision shall apply only to deactivations that occur on or after the effective date of the local law that added this section.</w:t>
      </w:r>
    </w:p>
    <w:p w14:paraId="4E80696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 20-1535 Burden of proof; evidence. a. </w:t>
      </w:r>
      <w:r w:rsidRPr="002F7A40">
        <w:rPr>
          <w:rFonts w:ascii="Times New Roman" w:eastAsia="Times New Roman" w:hAnsi="Times New Roman"/>
          <w:sz w:val="24"/>
          <w:szCs w:val="24"/>
          <w:u w:val="single"/>
        </w:rPr>
        <w:t xml:space="preserve">In any proceeding alleging a violation by a delivery service of section </w:t>
      </w:r>
      <w:r w:rsidRPr="002F7A40">
        <w:rPr>
          <w:rFonts w:ascii="Times New Roman" w:eastAsia="Times New Roman" w:hAnsi="Times New Roman"/>
          <w:color w:val="212529"/>
          <w:sz w:val="24"/>
          <w:szCs w:val="24"/>
          <w:u w:val="single"/>
        </w:rPr>
        <w:t>20-1532 or section 20-1533</w:t>
      </w:r>
      <w:r w:rsidRPr="002F7A40">
        <w:rPr>
          <w:rFonts w:ascii="Times New Roman" w:eastAsia="Times New Roman" w:hAnsi="Times New Roman"/>
          <w:sz w:val="24"/>
          <w:szCs w:val="24"/>
          <w:u w:val="single"/>
        </w:rPr>
        <w:t>, such</w:t>
      </w:r>
      <w:r w:rsidRPr="002F7A40">
        <w:rPr>
          <w:rFonts w:ascii="Times New Roman" w:eastAsia="Times New Roman" w:hAnsi="Times New Roman"/>
          <w:color w:val="000000"/>
          <w:sz w:val="24"/>
          <w:szCs w:val="24"/>
          <w:u w:val="single"/>
        </w:rPr>
        <w:t xml:space="preserve"> delivery service shall bear the burden of proving just cause </w:t>
      </w:r>
      <w:r w:rsidRPr="002F7A40">
        <w:rPr>
          <w:rFonts w:ascii="Times New Roman" w:eastAsia="Times New Roman" w:hAnsi="Times New Roman"/>
          <w:sz w:val="24"/>
          <w:szCs w:val="24"/>
          <w:u w:val="single"/>
        </w:rPr>
        <w:t xml:space="preserve">pursuant to </w:t>
      </w:r>
      <w:r w:rsidRPr="002F7A40">
        <w:rPr>
          <w:rFonts w:ascii="Times New Roman" w:eastAsia="Times New Roman" w:hAnsi="Times New Roman"/>
          <w:color w:val="212529"/>
          <w:sz w:val="24"/>
          <w:szCs w:val="24"/>
          <w:u w:val="single"/>
        </w:rPr>
        <w:t xml:space="preserve">section 20-1532 or 20-1533 </w:t>
      </w:r>
      <w:r w:rsidRPr="002F7A40">
        <w:rPr>
          <w:rFonts w:ascii="Times New Roman" w:eastAsia="Times New Roman" w:hAnsi="Times New Roman"/>
          <w:color w:val="000000"/>
          <w:sz w:val="24"/>
          <w:szCs w:val="24"/>
          <w:u w:val="single"/>
        </w:rPr>
        <w:t>by a preponderance of the evidence, subject to the rules of evidence as set forth in the civil practice law and rules or, where applicable, the common law.</w:t>
      </w:r>
    </w:p>
    <w:p w14:paraId="2F597B7A"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b. In determining whether a delivery service had just cause for a deactivation, a fact-finder may not consider any reasons proffered by the delivery service not included in the notice of deactivation provided to the contracted delivery worker pursuant to subdivision e of section 20-</w:t>
      </w:r>
      <w:r w:rsidRPr="002F7A40">
        <w:rPr>
          <w:rFonts w:ascii="Times New Roman" w:eastAsia="Times New Roman" w:hAnsi="Times New Roman"/>
          <w:sz w:val="24"/>
          <w:szCs w:val="24"/>
          <w:u w:val="single"/>
        </w:rPr>
        <w:lastRenderedPageBreak/>
        <w:t>1532 or the written explanation provided to the contracted delivery worker pursuant to subdivision c of section 20-1533.</w:t>
      </w:r>
    </w:p>
    <w:p w14:paraId="16E2BAFC"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sz w:val="24"/>
          <w:szCs w:val="24"/>
          <w:u w:val="single"/>
        </w:rPr>
        <w:t xml:space="preserve">c. A contracted delivery worker may submit evidence in any proceeding alleging a violation of this subchapter that was not provided to a delivery service pursuant to section 20-1533 or section 20-1537, and a </w:t>
      </w:r>
      <w:proofErr w:type="gramStart"/>
      <w:r w:rsidRPr="002F7A40">
        <w:rPr>
          <w:rFonts w:ascii="Times New Roman" w:eastAsia="Times New Roman" w:hAnsi="Times New Roman"/>
          <w:sz w:val="24"/>
          <w:szCs w:val="24"/>
          <w:u w:val="single"/>
        </w:rPr>
        <w:t>fact-finder</w:t>
      </w:r>
      <w:proofErr w:type="gramEnd"/>
      <w:r w:rsidRPr="002F7A40">
        <w:rPr>
          <w:rFonts w:ascii="Times New Roman" w:eastAsia="Times New Roman" w:hAnsi="Times New Roman"/>
          <w:sz w:val="24"/>
          <w:szCs w:val="24"/>
          <w:u w:val="single"/>
        </w:rPr>
        <w:t xml:space="preserve"> shall consider such evidence, notwithstanding any failure by such contracted delivery worker to submit such evidence to such delivery service prior to such proceeding.</w:t>
      </w:r>
    </w:p>
    <w:p w14:paraId="132C09D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20-1536 Provision of data. a. Upon the issuance of a notice of deactivation required pursuant to subdivision e of section 20-1532, a delivery service shall provide a deactivated contracted delivery worker with information and data relevant to such contracted delivery worker’s deactivation. Such information shall include, but need not be limited to:</w:t>
      </w:r>
    </w:p>
    <w:p w14:paraId="1B829B6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 xml:space="preserve">1. Performance data specific to such contracted delivery </w:t>
      </w:r>
      <w:proofErr w:type="gramStart"/>
      <w:r w:rsidRPr="002F7A40">
        <w:rPr>
          <w:rFonts w:ascii="Times New Roman" w:eastAsia="Times New Roman" w:hAnsi="Times New Roman"/>
          <w:color w:val="000000"/>
          <w:sz w:val="24"/>
          <w:szCs w:val="24"/>
          <w:u w:val="single"/>
        </w:rPr>
        <w:t>worker;</w:t>
      </w:r>
      <w:proofErr w:type="gramEnd"/>
    </w:p>
    <w:p w14:paraId="7C919D6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2. All customer comments, ratings, and complaints received regarding the contracted delivery worker; and</w:t>
      </w:r>
    </w:p>
    <w:p w14:paraId="794F8AF2"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3. Anonymized and aggregated reports, covering the 12 months prior to such contracted delivery worker’s deactivation, regarding discipline, including deactivation, imposed by such delivery service on any other contracted delivery workers who engaged in the same or similar misconduct or failure to satisfactorily perform job duties forming a basis for the deactivation of the contracted delivery worker subject to such notice.</w:t>
      </w:r>
    </w:p>
    <w:p w14:paraId="7B9257B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b. The information or data required by subdivision a </w:t>
      </w:r>
      <w:r w:rsidRPr="002F7A40">
        <w:rPr>
          <w:rFonts w:ascii="Times New Roman" w:eastAsia="Times New Roman" w:hAnsi="Times New Roman"/>
          <w:sz w:val="24"/>
          <w:szCs w:val="24"/>
          <w:u w:val="single"/>
        </w:rPr>
        <w:t xml:space="preserve">of this section shall be redacted </w:t>
      </w:r>
      <w:r w:rsidRPr="002F7A40">
        <w:rPr>
          <w:rFonts w:ascii="Times New Roman" w:eastAsia="Times New Roman" w:hAnsi="Times New Roman"/>
          <w:color w:val="000000"/>
          <w:sz w:val="24"/>
          <w:szCs w:val="24"/>
          <w:u w:val="single"/>
        </w:rPr>
        <w:t>to remove the personally identifiable information of customers</w:t>
      </w:r>
      <w:r w:rsidRPr="002F7A40">
        <w:rPr>
          <w:rFonts w:ascii="Times New Roman" w:eastAsia="Times New Roman" w:hAnsi="Times New Roman"/>
          <w:sz w:val="24"/>
          <w:szCs w:val="24"/>
          <w:u w:val="single"/>
        </w:rPr>
        <w:t>, provided that a factfinder may require disclosure of certain personally identifiable information if a contracted delivery worker could not otherwise meaningfully contest the basis for the deactivation</w:t>
      </w:r>
      <w:r w:rsidRPr="002F7A40">
        <w:rPr>
          <w:rFonts w:ascii="Times New Roman" w:eastAsia="Times New Roman" w:hAnsi="Times New Roman"/>
          <w:color w:val="000000"/>
          <w:sz w:val="24"/>
          <w:szCs w:val="24"/>
          <w:u w:val="single"/>
        </w:rPr>
        <w:t>.</w:t>
      </w:r>
    </w:p>
    <w:p w14:paraId="383C777A"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sz w:val="24"/>
          <w:szCs w:val="24"/>
          <w:u w:val="single"/>
        </w:rPr>
        <w:lastRenderedPageBreak/>
        <w:t xml:space="preserve">c. Upon the issuance of the notice required pursuant to subdivision c of section 20-1533, a delivery service shall provide a deactivated contracted delivery worker with information and data relevant to such contracted delivery worker’s deactivation, including all information required under subdivision a of this section, to the extent that such information is available to such delivery service. </w:t>
      </w:r>
    </w:p>
    <w:p w14:paraId="02C0555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r w:rsidRPr="002F7A40">
        <w:rPr>
          <w:rFonts w:ascii="Times New Roman" w:eastAsia="Times New Roman" w:hAnsi="Times New Roman"/>
          <w:color w:val="000000"/>
          <w:sz w:val="24"/>
          <w:szCs w:val="24"/>
          <w:u w:val="single"/>
        </w:rPr>
        <w:t>d. For at least 6 years after deactivating a contracted</w:t>
      </w:r>
      <w:r w:rsidRPr="002F7A40">
        <w:rPr>
          <w:rFonts w:ascii="Times New Roman" w:eastAsia="Times New Roman" w:hAnsi="Times New Roman"/>
          <w:color w:val="000000"/>
          <w:sz w:val="24"/>
          <w:szCs w:val="24"/>
          <w:highlight w:val="white"/>
          <w:u w:val="single"/>
        </w:rPr>
        <w:t xml:space="preserve"> delivery worker</w:t>
      </w:r>
      <w:r w:rsidRPr="002F7A40">
        <w:rPr>
          <w:rFonts w:ascii="Times New Roman" w:eastAsia="Times New Roman" w:hAnsi="Times New Roman"/>
          <w:color w:val="000000"/>
          <w:sz w:val="24"/>
          <w:szCs w:val="24"/>
          <w:u w:val="single"/>
        </w:rPr>
        <w:t xml:space="preserve">, a </w:t>
      </w:r>
      <w:r w:rsidRPr="002F7A40">
        <w:rPr>
          <w:rFonts w:ascii="Times New Roman" w:eastAsia="Times New Roman" w:hAnsi="Times New Roman"/>
          <w:color w:val="000000"/>
          <w:sz w:val="24"/>
          <w:szCs w:val="24"/>
          <w:highlight w:val="white"/>
          <w:u w:val="single"/>
        </w:rPr>
        <w:t xml:space="preserve">delivery service </w:t>
      </w:r>
      <w:r w:rsidRPr="002F7A40">
        <w:rPr>
          <w:rFonts w:ascii="Times New Roman" w:eastAsia="Times New Roman" w:hAnsi="Times New Roman"/>
          <w:color w:val="000000"/>
          <w:sz w:val="24"/>
          <w:szCs w:val="24"/>
          <w:u w:val="single"/>
        </w:rPr>
        <w:t xml:space="preserve">must continue to provide such </w:t>
      </w:r>
      <w:r w:rsidRPr="002F7A40">
        <w:rPr>
          <w:rFonts w:ascii="Times New Roman" w:eastAsia="Times New Roman" w:hAnsi="Times New Roman"/>
          <w:color w:val="000000"/>
          <w:sz w:val="24"/>
          <w:szCs w:val="24"/>
          <w:highlight w:val="white"/>
          <w:u w:val="single"/>
        </w:rPr>
        <w:t>contracted delivery worker</w:t>
      </w:r>
      <w:r w:rsidRPr="002F7A40">
        <w:rPr>
          <w:rFonts w:ascii="Times New Roman" w:eastAsia="Times New Roman" w:hAnsi="Times New Roman"/>
          <w:color w:val="000000"/>
          <w:sz w:val="24"/>
          <w:szCs w:val="24"/>
          <w:u w:val="single"/>
        </w:rPr>
        <w:t xml:space="preserve"> with access to all information and data concerning such contracted </w:t>
      </w:r>
      <w:r w:rsidRPr="002F7A40">
        <w:rPr>
          <w:rFonts w:ascii="Times New Roman" w:eastAsia="Times New Roman" w:hAnsi="Times New Roman"/>
          <w:color w:val="000000"/>
          <w:sz w:val="24"/>
          <w:szCs w:val="24"/>
          <w:highlight w:val="white"/>
          <w:u w:val="single"/>
        </w:rPr>
        <w:t>delivery worker</w:t>
      </w:r>
      <w:r w:rsidRPr="002F7A40">
        <w:rPr>
          <w:rFonts w:ascii="Times New Roman" w:eastAsia="Times New Roman" w:hAnsi="Times New Roman"/>
          <w:color w:val="000000"/>
          <w:sz w:val="24"/>
          <w:szCs w:val="24"/>
          <w:u w:val="single"/>
        </w:rPr>
        <w:t xml:space="preserve"> that such </w:t>
      </w:r>
      <w:r w:rsidRPr="002F7A40">
        <w:rPr>
          <w:rFonts w:ascii="Times New Roman" w:eastAsia="Times New Roman" w:hAnsi="Times New Roman"/>
          <w:color w:val="000000"/>
          <w:sz w:val="24"/>
          <w:szCs w:val="24"/>
          <w:highlight w:val="white"/>
          <w:u w:val="single"/>
        </w:rPr>
        <w:t>contracted delivery worker</w:t>
      </w:r>
      <w:r w:rsidRPr="002F7A40">
        <w:rPr>
          <w:rFonts w:ascii="Times New Roman" w:eastAsia="Times New Roman" w:hAnsi="Times New Roman"/>
          <w:color w:val="000000"/>
          <w:sz w:val="24"/>
          <w:szCs w:val="24"/>
          <w:u w:val="single"/>
        </w:rPr>
        <w:t xml:space="preserve"> had access to prior to deactivation, including but not limited to such contracted delivery worker’s tax and payment records.</w:t>
      </w:r>
    </w:p>
    <w:p w14:paraId="2797CD05"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 20-1537 Informal resolution process. a. A delivery service shall maintain an email address, website or other form of electronic communication through which a contracted delivery worker or their representative may challenge </w:t>
      </w:r>
      <w:r w:rsidRPr="002F7A40">
        <w:rPr>
          <w:rFonts w:ascii="Times New Roman" w:eastAsia="Times New Roman" w:hAnsi="Times New Roman"/>
          <w:sz w:val="24"/>
          <w:szCs w:val="24"/>
          <w:u w:val="single"/>
        </w:rPr>
        <w:t>such contracted delivery worker’s deactivation, prior deactivation, or impending deactivation for which such contracted delivery worker received a notice of layoff pursuant to subdivision d of section 20-1532</w:t>
      </w:r>
      <w:r w:rsidRPr="002F7A40">
        <w:rPr>
          <w:rFonts w:ascii="Times New Roman" w:eastAsia="Times New Roman" w:hAnsi="Times New Roman"/>
          <w:color w:val="000000"/>
          <w:sz w:val="24"/>
          <w:szCs w:val="24"/>
          <w:u w:val="single"/>
        </w:rPr>
        <w:t xml:space="preserve"> as unlawful pursuant to this subchapter. Such delivery service must </w:t>
      </w:r>
      <w:r w:rsidRPr="002F7A40">
        <w:rPr>
          <w:rFonts w:ascii="Times New Roman" w:eastAsia="Times New Roman" w:hAnsi="Times New Roman"/>
          <w:sz w:val="24"/>
          <w:szCs w:val="24"/>
          <w:u w:val="single"/>
        </w:rPr>
        <w:t xml:space="preserve">provide such contracted delivery </w:t>
      </w:r>
      <w:proofErr w:type="gramStart"/>
      <w:r w:rsidRPr="002F7A40">
        <w:rPr>
          <w:rFonts w:ascii="Times New Roman" w:eastAsia="Times New Roman" w:hAnsi="Times New Roman"/>
          <w:sz w:val="24"/>
          <w:szCs w:val="24"/>
          <w:u w:val="single"/>
        </w:rPr>
        <w:t>worker</w:t>
      </w:r>
      <w:proofErr w:type="gramEnd"/>
      <w:r w:rsidRPr="002F7A40">
        <w:rPr>
          <w:rFonts w:ascii="Times New Roman" w:eastAsia="Times New Roman" w:hAnsi="Times New Roman"/>
          <w:sz w:val="24"/>
          <w:szCs w:val="24"/>
          <w:u w:val="single"/>
        </w:rPr>
        <w:t xml:space="preserve"> an opportunity to submit evidence to substantiate any such challenge</w:t>
      </w:r>
      <w:r w:rsidRPr="002F7A40">
        <w:rPr>
          <w:rFonts w:ascii="Times New Roman" w:eastAsia="Times New Roman" w:hAnsi="Times New Roman"/>
          <w:color w:val="000000"/>
          <w:sz w:val="24"/>
          <w:szCs w:val="24"/>
          <w:u w:val="single"/>
        </w:rPr>
        <w:t xml:space="preserve"> and accept written communications pursuant to this section in the language in which they are written.</w:t>
      </w:r>
    </w:p>
    <w:p w14:paraId="05A0F27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 xml:space="preserve">b. A contracted delivery worker may seek informal resolution </w:t>
      </w:r>
      <w:r w:rsidRPr="002F7A40">
        <w:rPr>
          <w:rFonts w:ascii="Times New Roman" w:eastAsia="Times New Roman" w:hAnsi="Times New Roman"/>
          <w:sz w:val="24"/>
          <w:szCs w:val="24"/>
          <w:u w:val="single"/>
        </w:rPr>
        <w:t xml:space="preserve">of a deactivation of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or an impending deactivation for which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receives a notice of layoff pursuant to subdivision d of section 20-1532, by a delivery service by initiating, within 1 year of such deactivation or receipt of such notice of layoff, an informal resolution process</w:t>
      </w:r>
      <w:r w:rsidRPr="002F7A40">
        <w:rPr>
          <w:rFonts w:ascii="Times New Roman" w:eastAsia="Times New Roman" w:hAnsi="Times New Roman"/>
          <w:color w:val="000000"/>
          <w:sz w:val="24"/>
          <w:szCs w:val="24"/>
          <w:u w:val="single"/>
        </w:rPr>
        <w:t xml:space="preserve"> through the email address, website, or other form of electronic </w:t>
      </w:r>
      <w:r w:rsidRPr="002F7A40">
        <w:rPr>
          <w:rFonts w:ascii="Times New Roman" w:eastAsia="Times New Roman" w:hAnsi="Times New Roman"/>
          <w:color w:val="000000"/>
          <w:sz w:val="24"/>
          <w:szCs w:val="24"/>
          <w:u w:val="single"/>
        </w:rPr>
        <w:lastRenderedPageBreak/>
        <w:t>communication maintained by such delivery service pursuant to subdivision a of this section, or through any other means that such contracted delivery worker and such delivery service agree to. The parties shall have 15 days after commencing such informal resolution process to reach a resolution, unless such contracted delivery worker and such delivery service mutually agree to a longer timeframe. If the parties resolve a challenge pursuant to this subdivision, they shall memorialize such resolution in a written agreement, on a form provided by the department.</w:t>
      </w:r>
    </w:p>
    <w:p w14:paraId="0A819752"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rPr>
      </w:pPr>
      <w:r w:rsidRPr="002F7A40">
        <w:rPr>
          <w:rFonts w:ascii="Times New Roman" w:eastAsia="Times New Roman" w:hAnsi="Times New Roman"/>
          <w:color w:val="000000"/>
          <w:sz w:val="24"/>
          <w:szCs w:val="24"/>
          <w:u w:val="single"/>
        </w:rPr>
        <w:t>c. A failure by a delivery service to engage in an informal resolution process as described in this section shall not be subject to a civil penalty under this chapter.</w:t>
      </w:r>
    </w:p>
    <w:p w14:paraId="2896D618"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color w:val="000000"/>
          <w:sz w:val="24"/>
          <w:szCs w:val="24"/>
          <w:u w:val="single"/>
          <w:shd w:val="clear" w:color="auto" w:fill="FFFFFF"/>
        </w:rPr>
        <w:t>§ 20-1538 Reporting; records; information. a. Data collection and reporting.  No less than annually, the department shall make available on the city’s website a report on deactivations and alleged violations of sections 20-1532 and 20-1533 during the preceding calendar year. The department shall promulgate rules requiring that delivery services produce anonymized, aggregated data necessary to prepare such report. Such report shall include, with respect to the year preceding the release of such report: (</w:t>
      </w:r>
      <w:proofErr w:type="spellStart"/>
      <w:r w:rsidRPr="002F7A40">
        <w:rPr>
          <w:rFonts w:ascii="Times New Roman" w:eastAsia="Times New Roman" w:hAnsi="Times New Roman"/>
          <w:color w:val="000000"/>
          <w:sz w:val="24"/>
          <w:szCs w:val="24"/>
          <w:u w:val="single"/>
          <w:shd w:val="clear" w:color="auto" w:fill="FFFFFF"/>
        </w:rPr>
        <w:t>i</w:t>
      </w:r>
      <w:proofErr w:type="spellEnd"/>
      <w:r w:rsidRPr="002F7A40">
        <w:rPr>
          <w:rFonts w:ascii="Times New Roman" w:eastAsia="Times New Roman" w:hAnsi="Times New Roman"/>
          <w:color w:val="000000"/>
          <w:sz w:val="24"/>
          <w:szCs w:val="24"/>
          <w:u w:val="single"/>
          <w:shd w:val="clear" w:color="auto" w:fill="FFFFFF"/>
        </w:rPr>
        <w:t xml:space="preserve">) the number of contracted delivery workers of each delivery service deactivated for just cause or bona fide economic reasons; (ii) the number of contracted delivery workers who filed complaints with the department alleging violations of sections 20-1532 and 20-1533 and the outcomes of such complaints; (iii) the number of contracted delivery workers who initiated an informal resolution process; (iv) the number of contracted delivery workers who reached an informal resolution with a delivery service; (v) the number of contracted delivery workers who commenced arbitrations or private actions that include claims alleging violations of sections 20-1532 or 20-1533 and the outcomes of such proceedings; and (vi) any other information the department deems relevant. </w:t>
      </w:r>
      <w:r w:rsidRPr="002F7A40">
        <w:rPr>
          <w:rFonts w:ascii="Times New Roman" w:eastAsia="Times New Roman" w:hAnsi="Times New Roman"/>
          <w:color w:val="212121"/>
          <w:sz w:val="24"/>
          <w:szCs w:val="24"/>
          <w:u w:val="single"/>
        </w:rPr>
        <w:t xml:space="preserve">Until all </w:t>
      </w:r>
      <w:r w:rsidRPr="002F7A40">
        <w:rPr>
          <w:rFonts w:ascii="Times New Roman" w:eastAsia="Times New Roman" w:hAnsi="Times New Roman"/>
          <w:color w:val="000000"/>
          <w:sz w:val="24"/>
          <w:szCs w:val="24"/>
          <w:u w:val="single"/>
          <w:shd w:val="clear" w:color="auto" w:fill="FFFFFF"/>
        </w:rPr>
        <w:t>contracted delivery workers</w:t>
      </w:r>
      <w:r w:rsidRPr="002F7A40">
        <w:rPr>
          <w:rFonts w:ascii="Times New Roman" w:eastAsia="Times New Roman" w:hAnsi="Times New Roman"/>
          <w:color w:val="212121"/>
          <w:sz w:val="24"/>
          <w:szCs w:val="24"/>
          <w:u w:val="single"/>
        </w:rPr>
        <w:t xml:space="preserve"> placed on a waitlist pursuant to section 20-1533 have had their delivery platform access restored, such </w:t>
      </w:r>
      <w:r w:rsidRPr="002F7A40">
        <w:rPr>
          <w:rFonts w:ascii="Times New Roman" w:eastAsia="Times New Roman" w:hAnsi="Times New Roman"/>
          <w:color w:val="212121"/>
          <w:sz w:val="24"/>
          <w:szCs w:val="24"/>
          <w:u w:val="single"/>
        </w:rPr>
        <w:lastRenderedPageBreak/>
        <w:t xml:space="preserve">report shall also include the number of </w:t>
      </w:r>
      <w:r w:rsidRPr="002F7A40">
        <w:rPr>
          <w:rFonts w:ascii="Times New Roman" w:eastAsia="Times New Roman" w:hAnsi="Times New Roman"/>
          <w:color w:val="000000"/>
          <w:sz w:val="24"/>
          <w:szCs w:val="24"/>
          <w:u w:val="single"/>
          <w:shd w:val="clear" w:color="auto" w:fill="FFFFFF"/>
        </w:rPr>
        <w:t>contracted delivery workers</w:t>
      </w:r>
      <w:r w:rsidRPr="002F7A40">
        <w:rPr>
          <w:rFonts w:ascii="Times New Roman" w:eastAsia="Times New Roman" w:hAnsi="Times New Roman"/>
          <w:color w:val="212121"/>
          <w:sz w:val="24"/>
          <w:szCs w:val="24"/>
          <w:u w:val="single"/>
        </w:rPr>
        <w:t xml:space="preserve"> with prior deactivations who petitioned a delivery service for reinstatement or restoration of their access to such delivery service’s delivery platform and the number of </w:t>
      </w:r>
      <w:r w:rsidRPr="002F7A40">
        <w:rPr>
          <w:rFonts w:ascii="Times New Roman" w:eastAsia="Times New Roman" w:hAnsi="Times New Roman"/>
          <w:color w:val="000000"/>
          <w:sz w:val="24"/>
          <w:szCs w:val="24"/>
          <w:u w:val="single"/>
          <w:shd w:val="clear" w:color="auto" w:fill="FFFFFF"/>
        </w:rPr>
        <w:t>contracted delivery workers</w:t>
      </w:r>
      <w:r w:rsidRPr="002F7A40">
        <w:rPr>
          <w:rFonts w:ascii="Times New Roman" w:eastAsia="Times New Roman" w:hAnsi="Times New Roman"/>
          <w:color w:val="212121"/>
          <w:sz w:val="24"/>
          <w:szCs w:val="24"/>
          <w:u w:val="single"/>
        </w:rPr>
        <w:t xml:space="preserve"> who were placed on a waitlist pursuant to section 20-1533.</w:t>
      </w:r>
    </w:p>
    <w:p w14:paraId="3DA01E20"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color w:val="000000"/>
          <w:sz w:val="24"/>
          <w:szCs w:val="24"/>
          <w:u w:val="single"/>
          <w:shd w:val="clear" w:color="auto" w:fill="FFFFFF"/>
        </w:rPr>
        <w:t xml:space="preserve">b. </w:t>
      </w:r>
      <w:r w:rsidRPr="002F7A40">
        <w:rPr>
          <w:rFonts w:ascii="Times New Roman" w:eastAsia="Times New Roman" w:hAnsi="Times New Roman"/>
          <w:color w:val="212121"/>
          <w:sz w:val="24"/>
          <w:szCs w:val="24"/>
          <w:u w:val="single"/>
          <w:shd w:val="clear" w:color="auto" w:fill="FFFFFF"/>
        </w:rPr>
        <w:t>Recordkeeping. 1. The department may promulgate rules concerning the maintenance, retention, and provision by a delivery service of data necessary to the implementation and enforcement of this subchapter, which may include a</w:t>
      </w:r>
      <w:r w:rsidRPr="002F7A40">
        <w:rPr>
          <w:rFonts w:ascii="Times New Roman" w:eastAsia="Times New Roman" w:hAnsi="Times New Roman"/>
          <w:sz w:val="24"/>
          <w:szCs w:val="24"/>
          <w:u w:val="single"/>
        </w:rPr>
        <w:t xml:space="preserve"> requirement that a delivery service adhere to a uniform system of records and submit such records and other reports as the department may determine, in accordance with applicable law and rules and with appropriate notice.</w:t>
      </w:r>
    </w:p>
    <w:p w14:paraId="42B08F6F"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2. To implement or enforce the provisions of this subchapter, the department may issue an order or subpoena </w:t>
      </w:r>
      <w:proofErr w:type="gramStart"/>
      <w:r w:rsidRPr="002F7A40">
        <w:rPr>
          <w:rFonts w:ascii="Times New Roman" w:eastAsia="Times New Roman" w:hAnsi="Times New Roman"/>
          <w:sz w:val="24"/>
          <w:szCs w:val="24"/>
          <w:u w:val="single"/>
        </w:rPr>
        <w:t>for the production of</w:t>
      </w:r>
      <w:proofErr w:type="gramEnd"/>
      <w:r w:rsidRPr="002F7A40">
        <w:rPr>
          <w:rFonts w:ascii="Times New Roman" w:eastAsia="Times New Roman" w:hAnsi="Times New Roman"/>
          <w:sz w:val="24"/>
          <w:szCs w:val="24"/>
          <w:u w:val="single"/>
        </w:rPr>
        <w:t xml:space="preserve"> data, documents, testimony, or other information from a delivery service. Such data, documents, testimony, or other information may include, but are not limited to, information about the data that a delivery service monitors, collects, or stores about or from a contracted delivery worker or customer; information about discipline imposed on a contracted delivery worker;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0A7B7F0D"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 xml:space="preserve">c. Information and assistance program. The department shall establish a program that provides information and assistance to contracted delivery worker relating to the provisions of this subchapter. Such program shall include assistance by a natural person by phone and email and outreach and education to the public relating to the provisions of this subchapter. Such program </w:t>
      </w:r>
      <w:r w:rsidRPr="002F7A40">
        <w:rPr>
          <w:rFonts w:ascii="Times New Roman" w:eastAsia="Times New Roman" w:hAnsi="Times New Roman"/>
          <w:sz w:val="24"/>
          <w:szCs w:val="24"/>
          <w:u w:val="single"/>
        </w:rPr>
        <w:lastRenderedPageBreak/>
        <w:t xml:space="preserve">shall not provide legal advice but may provide general information and referrals to legal service providers. </w:t>
      </w:r>
    </w:p>
    <w:p w14:paraId="3EC5D483" w14:textId="77777777" w:rsidR="002F7A40" w:rsidRPr="002F7A40" w:rsidRDefault="002F7A40" w:rsidP="002F7A40">
      <w:pPr>
        <w:spacing w:after="0" w:line="480" w:lineRule="auto"/>
        <w:ind w:firstLine="720"/>
        <w:jc w:val="both"/>
        <w:outlineLvl w:val="1"/>
        <w:rPr>
          <w:rFonts w:ascii="Times New Roman" w:eastAsia="Times New Roman" w:hAnsi="Times New Roman"/>
          <w:sz w:val="24"/>
          <w:szCs w:val="24"/>
          <w:u w:val="single"/>
        </w:rPr>
      </w:pPr>
      <w:r w:rsidRPr="002F7A40">
        <w:rPr>
          <w:rFonts w:ascii="Times New Roman" w:eastAsia="Times New Roman" w:hAnsi="Times New Roman"/>
          <w:sz w:val="24"/>
          <w:szCs w:val="24"/>
          <w:highlight w:val="white"/>
          <w:u w:val="single"/>
        </w:rPr>
        <w:t>§ 20-1539 Progressive discipline policy.</w:t>
      </w:r>
      <w:r w:rsidRPr="002F7A40">
        <w:rPr>
          <w:rFonts w:ascii="Times New Roman" w:eastAsia="Times New Roman" w:hAnsi="Times New Roman"/>
          <w:sz w:val="24"/>
          <w:szCs w:val="24"/>
          <w:u w:val="single"/>
        </w:rPr>
        <w:t xml:space="preserve"> a. A delivery service shall maintain a written progressive discipline policy in a single writing and adhere to such policy. </w:t>
      </w:r>
    </w:p>
    <w:p w14:paraId="467687AC"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b. The written policy required pursuant to subdivision a of this section shall satisfy all requirements of this subchapter and, at a minimum, address the following:</w:t>
      </w:r>
    </w:p>
    <w:p w14:paraId="4C3FA26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1. Types of misconduct by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color w:val="000000"/>
          <w:sz w:val="24"/>
          <w:szCs w:val="24"/>
          <w:u w:val="single"/>
          <w:shd w:val="clear" w:color="auto" w:fill="FFFFFF"/>
        </w:rPr>
        <w:t> </w:t>
      </w:r>
      <w:r w:rsidRPr="002F7A40">
        <w:rPr>
          <w:rFonts w:ascii="Times New Roman" w:eastAsia="Times New Roman" w:hAnsi="Times New Roman"/>
          <w:sz w:val="24"/>
          <w:szCs w:val="24"/>
          <w:u w:val="single"/>
        </w:rPr>
        <w:t xml:space="preserve">that may warrant </w:t>
      </w:r>
      <w:proofErr w:type="gramStart"/>
      <w:r w:rsidRPr="002F7A40">
        <w:rPr>
          <w:rFonts w:ascii="Times New Roman" w:eastAsia="Times New Roman" w:hAnsi="Times New Roman"/>
          <w:sz w:val="24"/>
          <w:szCs w:val="24"/>
          <w:u w:val="single"/>
        </w:rPr>
        <w:t>discipline;</w:t>
      </w:r>
      <w:proofErr w:type="gramEnd"/>
    </w:p>
    <w:p w14:paraId="40465037"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2. Any performance standards used to assess failure to satisfactorily perform job duties by a </w:t>
      </w:r>
      <w:r w:rsidRPr="002F7A40">
        <w:rPr>
          <w:rFonts w:ascii="Times New Roman" w:eastAsia="Times New Roman" w:hAnsi="Times New Roman"/>
          <w:color w:val="000000"/>
          <w:sz w:val="24"/>
          <w:szCs w:val="24"/>
          <w:u w:val="single"/>
        </w:rPr>
        <w:t xml:space="preserve">contracted delivery </w:t>
      </w:r>
      <w:proofErr w:type="gramStart"/>
      <w:r w:rsidRPr="002F7A40">
        <w:rPr>
          <w:rFonts w:ascii="Times New Roman" w:eastAsia="Times New Roman" w:hAnsi="Times New Roman"/>
          <w:color w:val="000000"/>
          <w:sz w:val="24"/>
          <w:szCs w:val="24"/>
          <w:u w:val="single"/>
        </w:rPr>
        <w:t>worker</w:t>
      </w:r>
      <w:r w:rsidRPr="002F7A40">
        <w:rPr>
          <w:rFonts w:ascii="Times New Roman" w:eastAsia="Times New Roman" w:hAnsi="Times New Roman"/>
          <w:sz w:val="24"/>
          <w:szCs w:val="24"/>
          <w:u w:val="single"/>
        </w:rPr>
        <w:t>;</w:t>
      </w:r>
      <w:proofErr w:type="gramEnd"/>
    </w:p>
    <w:p w14:paraId="64801F0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3. Disciplinary measures that may be applied to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including but not limited to </w:t>
      </w:r>
      <w:proofErr w:type="gramStart"/>
      <w:r w:rsidRPr="002F7A40">
        <w:rPr>
          <w:rFonts w:ascii="Times New Roman" w:eastAsia="Times New Roman" w:hAnsi="Times New Roman"/>
          <w:sz w:val="24"/>
          <w:szCs w:val="24"/>
          <w:u w:val="single"/>
        </w:rPr>
        <w:t>deactivation;</w:t>
      </w:r>
      <w:proofErr w:type="gramEnd"/>
    </w:p>
    <w:p w14:paraId="2234241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4. Procedures for notifying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of disciplinary measures that a delivery service intends to take against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and providing an opportunity to respond; and</w:t>
      </w:r>
    </w:p>
    <w:p w14:paraId="4559758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5. Procedures for applying discipline against a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w:t>
      </w:r>
    </w:p>
    <w:p w14:paraId="13FF6AFB"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c. The written policy required </w:t>
      </w:r>
      <w:proofErr w:type="gramStart"/>
      <w:r w:rsidRPr="002F7A40">
        <w:rPr>
          <w:rFonts w:ascii="Times New Roman" w:eastAsia="Times New Roman" w:hAnsi="Times New Roman"/>
          <w:sz w:val="24"/>
          <w:szCs w:val="24"/>
          <w:u w:val="single"/>
        </w:rPr>
        <w:t>pursuant to</w:t>
      </w:r>
      <w:proofErr w:type="gramEnd"/>
      <w:r w:rsidRPr="002F7A40">
        <w:rPr>
          <w:rFonts w:ascii="Times New Roman" w:eastAsia="Times New Roman" w:hAnsi="Times New Roman"/>
          <w:sz w:val="24"/>
          <w:szCs w:val="24"/>
          <w:u w:val="single"/>
        </w:rPr>
        <w:t xml:space="preserve"> subdivision a of this section must be clear and specific such that a reasonable person can understand the acts and omissions that may result in deactivation or other disciplinary measures.</w:t>
      </w:r>
    </w:p>
    <w:p w14:paraId="48B7E0F8"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d. A delivery service shall provide the written policy required pursuant to subdivision a of this section to each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retained by such delivery service in English and in any other language as the department may determine by rule. A delivery service shall provide such policy to each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no later than the effective date of this subdivision, or </w:t>
      </w:r>
      <w:r w:rsidRPr="002F7A40">
        <w:rPr>
          <w:rFonts w:ascii="Times New Roman" w:eastAsia="Times New Roman" w:hAnsi="Times New Roman"/>
          <w:sz w:val="24"/>
          <w:szCs w:val="24"/>
          <w:u w:val="single"/>
        </w:rPr>
        <w:lastRenderedPageBreak/>
        <w:t xml:space="preserve">prior to such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s first trip, whichever is later, in a form and manner that the department may determine by rule.</w:t>
      </w:r>
    </w:p>
    <w:p w14:paraId="513E765D" w14:textId="77777777" w:rsidR="002F7A40" w:rsidRPr="002F7A40" w:rsidRDefault="002F7A40" w:rsidP="002F7A40">
      <w:pPr>
        <w:spacing w:after="0" w:line="480" w:lineRule="auto"/>
        <w:ind w:firstLine="720"/>
        <w:jc w:val="both"/>
        <w:rPr>
          <w:rFonts w:ascii="Times New Roman" w:eastAsia="Times New Roman" w:hAnsi="Times New Roman"/>
          <w:sz w:val="24"/>
          <w:szCs w:val="24"/>
          <w:u w:val="single"/>
        </w:rPr>
      </w:pPr>
      <w:r w:rsidRPr="002F7A40">
        <w:rPr>
          <w:rFonts w:ascii="Times New Roman" w:eastAsia="Times New Roman" w:hAnsi="Times New Roman"/>
          <w:sz w:val="24"/>
          <w:szCs w:val="24"/>
          <w:u w:val="single"/>
        </w:rPr>
        <w:t xml:space="preserve">e. A delivery service shall notify each </w:t>
      </w:r>
      <w:r w:rsidRPr="002F7A40">
        <w:rPr>
          <w:rFonts w:ascii="Times New Roman" w:eastAsia="Times New Roman" w:hAnsi="Times New Roman"/>
          <w:color w:val="000000"/>
          <w:sz w:val="24"/>
          <w:szCs w:val="24"/>
          <w:u w:val="single"/>
        </w:rPr>
        <w:t>contracted delivery worker</w:t>
      </w:r>
      <w:r w:rsidRPr="002F7A40">
        <w:rPr>
          <w:rFonts w:ascii="Times New Roman" w:eastAsia="Times New Roman" w:hAnsi="Times New Roman"/>
          <w:sz w:val="24"/>
          <w:szCs w:val="24"/>
          <w:u w:val="single"/>
        </w:rPr>
        <w:t xml:space="preserve"> of any change to the written policy required pursuant to subdivision a of this section at least 14 days before such change takes effect.</w:t>
      </w:r>
    </w:p>
    <w:p w14:paraId="644FB9AE"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u w:val="single"/>
        </w:rPr>
        <w:t>f. The department may promulgate rules establishing minimum requirements for the progressive discipline policy required pursuant to subdivision a of this section, including, but not limited to, requiring that a delivery service establish a system of graduated discipline based on the accrual of disciplinary points, strikes, or other similar consequences for misconduct or failure to satisfactorily perform job duties.</w:t>
      </w:r>
      <w:r w:rsidRPr="002F7A40">
        <w:rPr>
          <w:rFonts w:ascii="Times New Roman" w:eastAsia="Times New Roman" w:hAnsi="Times New Roman"/>
          <w:color w:val="000000"/>
          <w:sz w:val="24"/>
          <w:szCs w:val="24"/>
          <w:u w:val="single"/>
          <w:shd w:val="clear" w:color="auto" w:fill="FFFFFF"/>
        </w:rPr>
        <w:t xml:space="preserve"> </w:t>
      </w:r>
    </w:p>
    <w:p w14:paraId="619337A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highlight w:val="white"/>
          <w:u w:val="single"/>
        </w:rPr>
        <w:t>§ 20-1540 Exceptions. This subchapter shall not:</w:t>
      </w:r>
    </w:p>
    <w:p w14:paraId="67C9F926" w14:textId="77777777" w:rsidR="002F7A40" w:rsidRPr="002F7A40" w:rsidRDefault="002F7A40" w:rsidP="002F7A40">
      <w:pPr>
        <w:spacing w:after="0" w:line="480" w:lineRule="auto"/>
        <w:ind w:firstLine="720"/>
        <w:jc w:val="both"/>
        <w:rPr>
          <w:rFonts w:ascii="Times New Roman" w:eastAsia="Times New Roman" w:hAnsi="Times New Roman"/>
          <w:sz w:val="24"/>
          <w:szCs w:val="24"/>
          <w:highlight w:val="white"/>
          <w:u w:val="single"/>
        </w:rPr>
      </w:pPr>
      <w:r w:rsidRPr="002F7A40">
        <w:rPr>
          <w:rFonts w:ascii="Times New Roman" w:eastAsia="Times New Roman" w:hAnsi="Times New Roman"/>
          <w:sz w:val="24"/>
          <w:szCs w:val="24"/>
          <w:highlight w:val="white"/>
          <w:u w:val="single"/>
        </w:rPr>
        <w:t xml:space="preserve">1. Apply </w:t>
      </w:r>
      <w:proofErr w:type="gramStart"/>
      <w:r w:rsidRPr="002F7A40">
        <w:rPr>
          <w:rFonts w:ascii="Times New Roman" w:eastAsia="Times New Roman" w:hAnsi="Times New Roman"/>
          <w:sz w:val="24"/>
          <w:szCs w:val="24"/>
          <w:highlight w:val="white"/>
          <w:u w:val="single"/>
        </w:rPr>
        <w:t>to</w:t>
      </w:r>
      <w:proofErr w:type="gramEnd"/>
      <w:r w:rsidRPr="002F7A40">
        <w:rPr>
          <w:rFonts w:ascii="Times New Roman" w:eastAsia="Times New Roman" w:hAnsi="Times New Roman"/>
          <w:sz w:val="24"/>
          <w:szCs w:val="24"/>
          <w:highlight w:val="white"/>
          <w:u w:val="single"/>
        </w:rPr>
        <w:t xml:space="preserve"> the deactivation of any </w:t>
      </w:r>
      <w:r w:rsidRPr="002F7A40">
        <w:rPr>
          <w:rFonts w:ascii="Times New Roman" w:eastAsia="Times New Roman" w:hAnsi="Times New Roman"/>
          <w:sz w:val="24"/>
          <w:szCs w:val="24"/>
          <w:u w:val="single"/>
        </w:rPr>
        <w:t xml:space="preserve">contracted delivery worker by a delivery service </w:t>
      </w:r>
      <w:r w:rsidRPr="002F7A40">
        <w:rPr>
          <w:rFonts w:ascii="Times New Roman" w:eastAsia="Times New Roman" w:hAnsi="Times New Roman"/>
          <w:sz w:val="24"/>
          <w:szCs w:val="24"/>
          <w:highlight w:val="white"/>
          <w:u w:val="single"/>
        </w:rPr>
        <w:t xml:space="preserve">during such </w:t>
      </w:r>
      <w:r w:rsidRPr="002F7A40">
        <w:rPr>
          <w:rFonts w:ascii="Times New Roman" w:eastAsia="Times New Roman" w:hAnsi="Times New Roman"/>
          <w:sz w:val="24"/>
          <w:szCs w:val="24"/>
          <w:u w:val="single"/>
        </w:rPr>
        <w:t>contracted delivery worker</w:t>
      </w:r>
      <w:r w:rsidRPr="002F7A40">
        <w:rPr>
          <w:rFonts w:ascii="Times New Roman" w:eastAsia="Times New Roman" w:hAnsi="Times New Roman"/>
          <w:sz w:val="24"/>
          <w:szCs w:val="24"/>
          <w:highlight w:val="white"/>
          <w:u w:val="single"/>
        </w:rPr>
        <w:t xml:space="preserve">’s probation period with such </w:t>
      </w:r>
      <w:proofErr w:type="gramStart"/>
      <w:r w:rsidRPr="002F7A40">
        <w:rPr>
          <w:rFonts w:ascii="Times New Roman" w:eastAsia="Times New Roman" w:hAnsi="Times New Roman"/>
          <w:sz w:val="24"/>
          <w:szCs w:val="24"/>
          <w:highlight w:val="white"/>
          <w:u w:val="single"/>
        </w:rPr>
        <w:t>service;</w:t>
      </w:r>
      <w:proofErr w:type="gramEnd"/>
      <w:r w:rsidRPr="002F7A40">
        <w:rPr>
          <w:rFonts w:ascii="Times New Roman" w:eastAsia="Times New Roman" w:hAnsi="Times New Roman"/>
          <w:sz w:val="24"/>
          <w:szCs w:val="24"/>
          <w:highlight w:val="white"/>
          <w:u w:val="single"/>
        </w:rPr>
        <w:t xml:space="preserve"> </w:t>
      </w:r>
    </w:p>
    <w:p w14:paraId="4A680297" w14:textId="77777777" w:rsidR="002F7A40" w:rsidRPr="002F7A40" w:rsidRDefault="002F7A40" w:rsidP="002F7A40">
      <w:pPr>
        <w:spacing w:after="0" w:line="480" w:lineRule="auto"/>
        <w:ind w:firstLine="720"/>
        <w:jc w:val="both"/>
        <w:rPr>
          <w:rFonts w:ascii="Times New Roman" w:eastAsia="Times New Roman" w:hAnsi="Times New Roman"/>
          <w:color w:val="000000"/>
          <w:sz w:val="24"/>
          <w:szCs w:val="24"/>
          <w:u w:val="single"/>
          <w:shd w:val="clear" w:color="auto" w:fill="FFFFFF"/>
        </w:rPr>
      </w:pPr>
      <w:r w:rsidRPr="002F7A40">
        <w:rPr>
          <w:rFonts w:ascii="Times New Roman" w:eastAsia="Times New Roman" w:hAnsi="Times New Roman"/>
          <w:sz w:val="24"/>
          <w:szCs w:val="24"/>
          <w:highlight w:val="white"/>
          <w:u w:val="single"/>
        </w:rPr>
        <w:t xml:space="preserve">2. </w:t>
      </w:r>
      <w:r w:rsidRPr="002F7A40">
        <w:rPr>
          <w:rFonts w:ascii="Times New Roman" w:eastAsia="Times New Roman" w:hAnsi="Times New Roman"/>
          <w:color w:val="000000"/>
          <w:sz w:val="24"/>
          <w:szCs w:val="24"/>
          <w:u w:val="single"/>
          <w:shd w:val="clear" w:color="auto" w:fill="FFFFFF"/>
        </w:rPr>
        <w:t>Limit or otherwise affect the applicability of any right or benefit conferred upon or afforded to a</w:t>
      </w:r>
      <w:r w:rsidRPr="002F7A40">
        <w:rPr>
          <w:rFonts w:ascii="Times New Roman" w:eastAsia="Times New Roman" w:hAnsi="Times New Roman"/>
          <w:color w:val="000000"/>
          <w:sz w:val="24"/>
          <w:szCs w:val="24"/>
          <w:u w:val="single"/>
        </w:rPr>
        <w:t xml:space="preserve"> contracted delivery worker</w:t>
      </w:r>
      <w:r w:rsidRPr="002F7A40">
        <w:rPr>
          <w:rFonts w:ascii="Times New Roman" w:eastAsia="Times New Roman" w:hAnsi="Times New Roman"/>
          <w:color w:val="000000"/>
          <w:sz w:val="24"/>
          <w:szCs w:val="24"/>
          <w:u w:val="single"/>
          <w:shd w:val="clear" w:color="auto" w:fill="FFFFFF"/>
        </w:rPr>
        <w:t xml:space="preserve"> by the provisions of any other law, regulation, rule, requirement, policy, or standard, including but not limited to any federal, state, or local law </w:t>
      </w:r>
      <w:proofErr w:type="gramStart"/>
      <w:r w:rsidRPr="002F7A40">
        <w:rPr>
          <w:rFonts w:ascii="Times New Roman" w:eastAsia="Times New Roman" w:hAnsi="Times New Roman"/>
          <w:color w:val="000000"/>
          <w:sz w:val="24"/>
          <w:szCs w:val="24"/>
          <w:u w:val="single"/>
          <w:shd w:val="clear" w:color="auto" w:fill="FFFFFF"/>
        </w:rPr>
        <w:t>providing for</w:t>
      </w:r>
      <w:proofErr w:type="gramEnd"/>
      <w:r w:rsidRPr="002F7A40">
        <w:rPr>
          <w:rFonts w:ascii="Times New Roman" w:eastAsia="Times New Roman" w:hAnsi="Times New Roman"/>
          <w:color w:val="000000"/>
          <w:sz w:val="24"/>
          <w:szCs w:val="24"/>
          <w:u w:val="single"/>
          <w:shd w:val="clear" w:color="auto" w:fill="FFFFFF"/>
        </w:rPr>
        <w:t xml:space="preserve"> protections against retaliation or discrimination.</w:t>
      </w:r>
    </w:p>
    <w:p w14:paraId="13384841"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sz w:val="24"/>
          <w:szCs w:val="24"/>
          <w:highlight w:val="white"/>
          <w:u w:val="single"/>
        </w:rPr>
      </w:pPr>
      <w:r w:rsidRPr="002F7A40">
        <w:rPr>
          <w:rFonts w:ascii="Times New Roman" w:eastAsia="Times New Roman" w:hAnsi="Times New Roman"/>
          <w:sz w:val="24"/>
          <w:szCs w:val="24"/>
          <w:highlight w:val="white"/>
          <w:u w:val="single"/>
        </w:rPr>
        <w:t>3. Apply to a delivery service that does not maintain a website, mobile application, or other internet service through which such delivery service offers or assigns a trip to a contracted delivery worker retained by such delivery service.</w:t>
      </w:r>
    </w:p>
    <w:p w14:paraId="7138A094"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4"/>
          <w:szCs w:val="24"/>
        </w:rPr>
      </w:pPr>
      <w:r w:rsidRPr="002F7A40">
        <w:rPr>
          <w:rFonts w:ascii="Times New Roman" w:eastAsia="Times New Roman" w:hAnsi="Times New Roman"/>
          <w:color w:val="000000"/>
          <w:sz w:val="24"/>
          <w:szCs w:val="24"/>
          <w:shd w:val="clear" w:color="auto" w:fill="FFFFFF"/>
        </w:rPr>
        <w:t xml:space="preserve">§ 7. This local law takes effect </w:t>
      </w:r>
      <w:r w:rsidRPr="002F7A40">
        <w:rPr>
          <w:rFonts w:ascii="Times New Roman" w:eastAsia="Times New Roman" w:hAnsi="Times New Roman"/>
          <w:sz w:val="24"/>
          <w:szCs w:val="24"/>
        </w:rPr>
        <w:t>1 year</w:t>
      </w:r>
      <w:r w:rsidRPr="002F7A40" w:rsidDel="001407AE">
        <w:rPr>
          <w:rFonts w:ascii="Times New Roman" w:eastAsia="Times New Roman" w:hAnsi="Times New Roman"/>
          <w:color w:val="000000"/>
          <w:sz w:val="24"/>
          <w:szCs w:val="24"/>
          <w:shd w:val="clear" w:color="auto" w:fill="FFFFFF"/>
        </w:rPr>
        <w:t xml:space="preserve"> </w:t>
      </w:r>
      <w:r w:rsidRPr="002F7A40">
        <w:rPr>
          <w:rFonts w:ascii="Times New Roman" w:eastAsia="Times New Roman" w:hAnsi="Times New Roman"/>
          <w:color w:val="000000"/>
          <w:sz w:val="24"/>
          <w:szCs w:val="24"/>
          <w:shd w:val="clear" w:color="auto" w:fill="FFFFFF"/>
        </w:rPr>
        <w:t>after it becomes law, provided that: (</w:t>
      </w:r>
      <w:proofErr w:type="spellStart"/>
      <w:r w:rsidRPr="002F7A40">
        <w:rPr>
          <w:rFonts w:ascii="Times New Roman" w:eastAsia="Times New Roman" w:hAnsi="Times New Roman"/>
          <w:color w:val="000000"/>
          <w:sz w:val="24"/>
          <w:szCs w:val="24"/>
          <w:shd w:val="clear" w:color="auto" w:fill="FFFFFF"/>
        </w:rPr>
        <w:t>i</w:t>
      </w:r>
      <w:proofErr w:type="spellEnd"/>
      <w:r w:rsidRPr="002F7A40">
        <w:rPr>
          <w:rFonts w:ascii="Times New Roman" w:eastAsia="Times New Roman" w:hAnsi="Times New Roman"/>
          <w:color w:val="000000"/>
          <w:sz w:val="24"/>
          <w:szCs w:val="24"/>
          <w:shd w:val="clear" w:color="auto" w:fill="FFFFFF"/>
        </w:rPr>
        <w:t>) the commissioner of consumer and worker protection shall take such measures as are necessary for the implementation of this local law, including the promulgation of rules, prior to such date;</w:t>
      </w:r>
      <w:r w:rsidRPr="002F7A40">
        <w:rPr>
          <w:rFonts w:ascii="Times New Roman" w:eastAsia="Times New Roman" w:hAnsi="Times New Roman"/>
          <w:sz w:val="24"/>
          <w:szCs w:val="24"/>
        </w:rPr>
        <w:t xml:space="preserve"> and </w:t>
      </w:r>
      <w:r w:rsidRPr="002F7A40">
        <w:rPr>
          <w:rFonts w:ascii="Times New Roman" w:eastAsia="Times New Roman" w:hAnsi="Times New Roman"/>
          <w:sz w:val="24"/>
          <w:szCs w:val="24"/>
        </w:rPr>
        <w:lastRenderedPageBreak/>
        <w:t>(ii) that any requirement on a delivery service, as defined in section 20-1501 of the administrative code of the city of New York, to provide data, documents, testimony, or other information to the department of consumer and worker protection, by rules adopted pursuant to subdivisions (a) and (b) of section 20-1538, as added by section six of this local law, may take effect prior to such date.</w:t>
      </w:r>
      <w:r w:rsidRPr="002F7A40">
        <w:rPr>
          <w:rFonts w:ascii="Times New Roman" w:eastAsia="Times New Roman" w:hAnsi="Times New Roman"/>
          <w:color w:val="000000"/>
          <w:sz w:val="14"/>
          <w:szCs w:val="14"/>
        </w:rPr>
        <w:t xml:space="preserve">  </w:t>
      </w:r>
    </w:p>
    <w:p w14:paraId="24754C19" w14:textId="77777777" w:rsidR="002F7A40" w:rsidRPr="002F7A40" w:rsidRDefault="002F7A40" w:rsidP="002F7A40">
      <w:pPr>
        <w:shd w:val="clear" w:color="auto" w:fill="FFFFFF"/>
        <w:spacing w:after="0" w:line="480" w:lineRule="auto"/>
        <w:ind w:firstLine="720"/>
        <w:jc w:val="both"/>
        <w:rPr>
          <w:rFonts w:ascii="Times New Roman" w:eastAsia="Times New Roman" w:hAnsi="Times New Roman"/>
          <w:color w:val="000000"/>
          <w:sz w:val="27"/>
          <w:szCs w:val="27"/>
        </w:rPr>
      </w:pPr>
    </w:p>
    <w:p w14:paraId="42F51826" w14:textId="77777777" w:rsidR="002F7A40" w:rsidRPr="002F7A40" w:rsidRDefault="002F7A40" w:rsidP="002F7A40">
      <w:pPr>
        <w:spacing w:after="0" w:line="240" w:lineRule="auto"/>
        <w:jc w:val="both"/>
        <w:rPr>
          <w:rFonts w:ascii="Times New Roman" w:eastAsia="Times New Roman" w:hAnsi="Times New Roman"/>
          <w:sz w:val="18"/>
          <w:szCs w:val="18"/>
        </w:rPr>
      </w:pPr>
    </w:p>
    <w:p w14:paraId="4FAC4511" w14:textId="77777777" w:rsidR="002F7A40" w:rsidRPr="002F7A40" w:rsidRDefault="002F7A40" w:rsidP="002F7A40">
      <w:pPr>
        <w:spacing w:after="0" w:line="240" w:lineRule="auto"/>
        <w:jc w:val="both"/>
        <w:rPr>
          <w:rFonts w:ascii="Times New Roman" w:eastAsia="Times New Roman" w:hAnsi="Times New Roman"/>
          <w:sz w:val="18"/>
          <w:szCs w:val="18"/>
        </w:rPr>
      </w:pPr>
      <w:r w:rsidRPr="002F7A40">
        <w:rPr>
          <w:rFonts w:ascii="Times New Roman" w:eastAsia="Times New Roman" w:hAnsi="Times New Roman"/>
          <w:sz w:val="18"/>
          <w:szCs w:val="18"/>
        </w:rPr>
        <w:t>EH</w:t>
      </w:r>
    </w:p>
    <w:p w14:paraId="1EE28029" w14:textId="77777777" w:rsidR="002F7A40" w:rsidRPr="002F7A40" w:rsidRDefault="002F7A40" w:rsidP="002F7A40">
      <w:pPr>
        <w:spacing w:after="0" w:line="240" w:lineRule="auto"/>
        <w:jc w:val="both"/>
        <w:rPr>
          <w:rFonts w:ascii="Times New Roman" w:eastAsia="Times New Roman" w:hAnsi="Times New Roman"/>
          <w:sz w:val="18"/>
          <w:szCs w:val="18"/>
        </w:rPr>
      </w:pPr>
      <w:r w:rsidRPr="002F7A40">
        <w:rPr>
          <w:rFonts w:ascii="Times New Roman" w:eastAsia="Times New Roman" w:hAnsi="Times New Roman"/>
          <w:sz w:val="18"/>
          <w:szCs w:val="18"/>
        </w:rPr>
        <w:t>LS #6040/15520</w:t>
      </w:r>
    </w:p>
    <w:p w14:paraId="725B5658" w14:textId="77777777" w:rsidR="002F7A40" w:rsidRPr="002F7A40" w:rsidRDefault="002F7A40" w:rsidP="002F7A40">
      <w:pPr>
        <w:spacing w:after="0" w:line="240" w:lineRule="auto"/>
        <w:rPr>
          <w:rFonts w:ascii="Times New Roman" w:eastAsia="Times New Roman" w:hAnsi="Times New Roman"/>
          <w:sz w:val="18"/>
          <w:szCs w:val="18"/>
        </w:rPr>
      </w:pPr>
      <w:r w:rsidRPr="002F7A40">
        <w:rPr>
          <w:rFonts w:ascii="Times New Roman" w:eastAsia="Times New Roman" w:hAnsi="Times New Roman"/>
          <w:sz w:val="18"/>
          <w:szCs w:val="18"/>
        </w:rPr>
        <w:t>12/10/2025 11:11 PM</w:t>
      </w:r>
    </w:p>
    <w:p w14:paraId="350C69AD" w14:textId="77777777" w:rsidR="002F7A40" w:rsidRPr="002F7A40" w:rsidRDefault="002F7A40" w:rsidP="002F7A40">
      <w:pPr>
        <w:spacing w:after="0" w:line="240" w:lineRule="auto"/>
        <w:rPr>
          <w:rFonts w:ascii="Times New Roman" w:eastAsia="Times New Roman" w:hAnsi="Times New Roman"/>
          <w:sz w:val="18"/>
          <w:szCs w:val="18"/>
        </w:rPr>
      </w:pPr>
    </w:p>
    <w:p w14:paraId="383EE77E" w14:textId="77777777" w:rsidR="002F7A40" w:rsidRPr="002F7A40" w:rsidRDefault="002F7A40" w:rsidP="002F7A40">
      <w:pPr>
        <w:spacing w:after="0" w:line="240" w:lineRule="auto"/>
        <w:rPr>
          <w:rFonts w:ascii="Times New Roman" w:eastAsia="Times New Roman" w:hAnsi="Times New Roman"/>
          <w:sz w:val="18"/>
          <w:szCs w:val="18"/>
        </w:rPr>
      </w:pPr>
    </w:p>
    <w:p w14:paraId="604397DA" w14:textId="77777777" w:rsidR="002F7A40" w:rsidRPr="002F7A40" w:rsidRDefault="002F7A40" w:rsidP="002F7A40">
      <w:pPr>
        <w:spacing w:after="0" w:line="240" w:lineRule="auto"/>
        <w:ind w:firstLine="720"/>
        <w:rPr>
          <w:rFonts w:ascii="Times New Roman" w:eastAsia="Times New Roman" w:hAnsi="Times New Roman"/>
          <w:sz w:val="24"/>
          <w:szCs w:val="24"/>
        </w:rPr>
      </w:pPr>
    </w:p>
    <w:p w14:paraId="1C256030" w14:textId="77777777" w:rsidR="002F7A40" w:rsidRPr="002F7A40" w:rsidRDefault="002F7A40" w:rsidP="002F7A40">
      <w:pPr>
        <w:spacing w:after="0" w:line="240" w:lineRule="auto"/>
        <w:rPr>
          <w:rFonts w:ascii="Times New Roman" w:eastAsia="Times New Roman" w:hAnsi="Times New Roman"/>
          <w:sz w:val="24"/>
          <w:szCs w:val="24"/>
        </w:rPr>
      </w:pPr>
    </w:p>
    <w:p w14:paraId="2817C310" w14:textId="77777777" w:rsidR="00912E6D" w:rsidRDefault="00912E6D" w:rsidP="00B05D12"/>
    <w:p w14:paraId="531C101A" w14:textId="77777777" w:rsidR="00B05D12" w:rsidRDefault="00B05D12"/>
    <w:p w14:paraId="2F8ABBAF" w14:textId="77777777" w:rsidR="00AE7985" w:rsidRDefault="00AE7985"/>
    <w:p w14:paraId="08E03C69" w14:textId="77777777" w:rsidR="00AE7985" w:rsidRDefault="00AE7985"/>
    <w:p w14:paraId="742EA15D" w14:textId="77777777" w:rsidR="00AE7985" w:rsidRDefault="00AE7985"/>
    <w:p w14:paraId="36624981" w14:textId="77777777" w:rsidR="00AE7985" w:rsidRDefault="00AE7985"/>
    <w:p w14:paraId="76B43273" w14:textId="77777777" w:rsidR="00AE7985" w:rsidRDefault="00AE7985"/>
    <w:p w14:paraId="78614D73" w14:textId="77777777" w:rsidR="00AE7985" w:rsidRDefault="00AE7985"/>
    <w:p w14:paraId="3F1753F7" w14:textId="77777777" w:rsidR="00AE7985" w:rsidRDefault="00AE7985"/>
    <w:p w14:paraId="11D044C6" w14:textId="77777777" w:rsidR="00AE7985" w:rsidRDefault="00AE7985"/>
    <w:p w14:paraId="4081F55D" w14:textId="77777777" w:rsidR="00AE7985" w:rsidRDefault="00AE7985"/>
    <w:p w14:paraId="517AA3F8" w14:textId="77777777" w:rsidR="00AE7985" w:rsidRDefault="00AE7985"/>
    <w:p w14:paraId="086C0024" w14:textId="2FF7B4D0" w:rsidR="00AE7985" w:rsidRDefault="00AE7985"/>
    <w:p w14:paraId="7E1BD029" w14:textId="77777777" w:rsidR="008A1D90" w:rsidRDefault="008A1D90"/>
    <w:p w14:paraId="6C1C98FE" w14:textId="77777777" w:rsidR="00377BEC" w:rsidRDefault="00377BEC"/>
    <w:p w14:paraId="3B000986" w14:textId="77777777" w:rsidR="00E915AF" w:rsidRDefault="00E915AF" w:rsidP="00E901B8">
      <w:pPr>
        <w:spacing w:after="0" w:line="240" w:lineRule="auto"/>
        <w:jc w:val="center"/>
      </w:pPr>
    </w:p>
    <w:p w14:paraId="69305B73" w14:textId="77777777" w:rsidR="00E915AF" w:rsidRDefault="00E915AF" w:rsidP="00E901B8">
      <w:pPr>
        <w:spacing w:after="0" w:line="240" w:lineRule="auto"/>
        <w:jc w:val="center"/>
      </w:pPr>
    </w:p>
    <w:p w14:paraId="173E1550" w14:textId="4C580E7B" w:rsidR="00E901B8" w:rsidRPr="00E901B8" w:rsidRDefault="00E901B8" w:rsidP="00E901B8">
      <w:pPr>
        <w:spacing w:after="0" w:line="240" w:lineRule="auto"/>
        <w:jc w:val="center"/>
        <w:rPr>
          <w:rFonts w:ascii="Times New Roman" w:eastAsia="Times New Roman" w:hAnsi="Times New Roman"/>
          <w:sz w:val="24"/>
          <w:szCs w:val="24"/>
        </w:rPr>
      </w:pPr>
      <w:r w:rsidRPr="00E901B8">
        <w:rPr>
          <w:rFonts w:ascii="Times New Roman" w:eastAsia="Times New Roman" w:hAnsi="Times New Roman"/>
          <w:sz w:val="24"/>
          <w:szCs w:val="24"/>
        </w:rPr>
        <w:lastRenderedPageBreak/>
        <w:t>Proposed Int. No. 1391-A</w:t>
      </w:r>
    </w:p>
    <w:p w14:paraId="43C45848" w14:textId="77777777" w:rsidR="00E901B8" w:rsidRPr="00E901B8" w:rsidRDefault="00E901B8" w:rsidP="00E901B8">
      <w:pPr>
        <w:spacing w:after="0" w:line="240" w:lineRule="auto"/>
        <w:jc w:val="center"/>
        <w:rPr>
          <w:rFonts w:ascii="Times New Roman" w:eastAsia="Times New Roman" w:hAnsi="Times New Roman"/>
          <w:sz w:val="24"/>
          <w:szCs w:val="24"/>
        </w:rPr>
      </w:pPr>
    </w:p>
    <w:p w14:paraId="5E7BA12A" w14:textId="77777777" w:rsidR="00E901B8" w:rsidRPr="00E901B8" w:rsidRDefault="00E901B8" w:rsidP="00E901B8">
      <w:pPr>
        <w:autoSpaceDE w:val="0"/>
        <w:autoSpaceDN w:val="0"/>
        <w:adjustRightInd w:val="0"/>
        <w:spacing w:after="0" w:line="240" w:lineRule="auto"/>
        <w:jc w:val="both"/>
        <w:rPr>
          <w:rFonts w:ascii="Times New Roman" w:hAnsi="Times New Roman"/>
          <w:sz w:val="24"/>
          <w:szCs w:val="24"/>
        </w:rPr>
      </w:pPr>
      <w:r w:rsidRPr="00E901B8">
        <w:rPr>
          <w:rFonts w:ascii="Times New Roman" w:hAnsi="Times New Roman"/>
          <w:sz w:val="24"/>
          <w:szCs w:val="24"/>
        </w:rPr>
        <w:t xml:space="preserve">By The Speaker (Council Member Adams) and Council Members Hudson, Brannan, Narcisse, Cabán, Menin, Hanks, Won, </w:t>
      </w:r>
      <w:proofErr w:type="spellStart"/>
      <w:r w:rsidRPr="00E901B8">
        <w:rPr>
          <w:rFonts w:ascii="Times New Roman" w:hAnsi="Times New Roman"/>
          <w:sz w:val="24"/>
          <w:szCs w:val="24"/>
        </w:rPr>
        <w:t>Restler</w:t>
      </w:r>
      <w:proofErr w:type="spellEnd"/>
      <w:r w:rsidRPr="00E901B8">
        <w:rPr>
          <w:rFonts w:ascii="Times New Roman" w:hAnsi="Times New Roman"/>
          <w:sz w:val="24"/>
          <w:szCs w:val="24"/>
        </w:rPr>
        <w:t xml:space="preserve">, De La Rosa, Ung, Moya, Schulman, </w:t>
      </w:r>
      <w:proofErr w:type="spellStart"/>
      <w:r w:rsidRPr="00E901B8">
        <w:rPr>
          <w:rFonts w:ascii="Times New Roman" w:hAnsi="Times New Roman"/>
          <w:sz w:val="24"/>
          <w:szCs w:val="24"/>
        </w:rPr>
        <w:t>Farías</w:t>
      </w:r>
      <w:proofErr w:type="spellEnd"/>
      <w:r w:rsidRPr="00E901B8">
        <w:rPr>
          <w:rFonts w:ascii="Times New Roman" w:hAnsi="Times New Roman"/>
          <w:sz w:val="24"/>
          <w:szCs w:val="24"/>
        </w:rPr>
        <w:t xml:space="preserve">, Gennaro, Ayala, Gutiérrez, Hanif, Brewer, Bottcher, Krishnan, Marte, Brooks-Powers, Dinowitz, Salaam, Banks, Abreu, Lee, Powers, </w:t>
      </w:r>
      <w:proofErr w:type="spellStart"/>
      <w:r w:rsidRPr="00E901B8">
        <w:rPr>
          <w:rFonts w:ascii="Times New Roman" w:hAnsi="Times New Roman"/>
          <w:sz w:val="24"/>
          <w:szCs w:val="24"/>
        </w:rPr>
        <w:t>Ossé</w:t>
      </w:r>
      <w:proofErr w:type="spellEnd"/>
      <w:r w:rsidRPr="00E901B8">
        <w:rPr>
          <w:rFonts w:ascii="Times New Roman" w:hAnsi="Times New Roman"/>
          <w:sz w:val="24"/>
          <w:szCs w:val="24"/>
        </w:rPr>
        <w:t>, Avilés, Stevens, Louis, Zhuang, Feliz, Riley, Salamanca, Nurse, Joseph, Williams, Mealy, Sanchez and the Public Advocate (Mr. Williams)</w:t>
      </w:r>
    </w:p>
    <w:p w14:paraId="47E2AE63" w14:textId="77777777" w:rsidR="00E901B8" w:rsidRPr="00E901B8" w:rsidRDefault="00E901B8" w:rsidP="00E901B8">
      <w:pPr>
        <w:spacing w:after="0" w:line="240" w:lineRule="auto"/>
        <w:rPr>
          <w:rFonts w:ascii="Times New Roman" w:eastAsia="Times New Roman" w:hAnsi="Times New Roman"/>
          <w:sz w:val="24"/>
          <w:szCs w:val="24"/>
        </w:rPr>
      </w:pPr>
    </w:p>
    <w:p w14:paraId="5E48D58B" w14:textId="77777777" w:rsidR="00E901B8" w:rsidRPr="00E901B8" w:rsidRDefault="00E901B8" w:rsidP="00E901B8">
      <w:pPr>
        <w:spacing w:after="0" w:line="240" w:lineRule="auto"/>
        <w:jc w:val="both"/>
        <w:rPr>
          <w:rFonts w:ascii="Times New Roman" w:eastAsia="Times New Roman" w:hAnsi="Times New Roman"/>
          <w:vanish/>
          <w:sz w:val="24"/>
          <w:szCs w:val="24"/>
        </w:rPr>
      </w:pPr>
      <w:r w:rsidRPr="00E901B8">
        <w:rPr>
          <w:rFonts w:ascii="Times New Roman" w:eastAsia="Times New Roman" w:hAnsi="Times New Roman"/>
          <w:vanish/>
          <w:sz w:val="24"/>
          <w:szCs w:val="24"/>
        </w:rPr>
        <w:t>..Title</w:t>
      </w:r>
    </w:p>
    <w:p w14:paraId="2B351D93" w14:textId="77777777" w:rsidR="00E901B8" w:rsidRPr="00E901B8" w:rsidRDefault="00E901B8" w:rsidP="00E901B8">
      <w:pPr>
        <w:spacing w:after="0" w:line="240" w:lineRule="auto"/>
        <w:jc w:val="both"/>
        <w:rPr>
          <w:rFonts w:ascii="Times New Roman" w:eastAsia="Times New Roman" w:hAnsi="Times New Roman"/>
          <w:sz w:val="24"/>
          <w:szCs w:val="24"/>
        </w:rPr>
      </w:pPr>
      <w:r w:rsidRPr="00E901B8">
        <w:rPr>
          <w:rFonts w:ascii="Times New Roman" w:eastAsia="Times New Roman" w:hAnsi="Times New Roman"/>
          <w:sz w:val="24"/>
          <w:szCs w:val="24"/>
        </w:rPr>
        <w:t>A Local Law to amend the administrative code of the city of New York, in relation to the establishment of compensation standards for security guards</w:t>
      </w:r>
    </w:p>
    <w:p w14:paraId="2FBC4F58" w14:textId="77777777" w:rsidR="00E901B8" w:rsidRPr="00E901B8" w:rsidRDefault="00E901B8" w:rsidP="00E901B8">
      <w:pPr>
        <w:spacing w:after="0" w:line="240" w:lineRule="auto"/>
        <w:jc w:val="both"/>
        <w:rPr>
          <w:rFonts w:ascii="Times New Roman" w:eastAsia="Times New Roman" w:hAnsi="Times New Roman"/>
          <w:vanish/>
          <w:sz w:val="24"/>
          <w:szCs w:val="24"/>
        </w:rPr>
      </w:pPr>
      <w:r w:rsidRPr="00E901B8">
        <w:rPr>
          <w:rFonts w:ascii="Times New Roman" w:eastAsia="Times New Roman" w:hAnsi="Times New Roman"/>
          <w:vanish/>
          <w:sz w:val="24"/>
          <w:szCs w:val="24"/>
        </w:rPr>
        <w:t>..Body</w:t>
      </w:r>
    </w:p>
    <w:p w14:paraId="663CAC9F" w14:textId="77777777" w:rsidR="00E901B8" w:rsidRPr="00E901B8" w:rsidRDefault="00E901B8" w:rsidP="00E901B8">
      <w:pPr>
        <w:spacing w:after="0" w:line="240" w:lineRule="auto"/>
        <w:jc w:val="both"/>
        <w:rPr>
          <w:rFonts w:ascii="Times New Roman" w:eastAsia="Times New Roman" w:hAnsi="Times New Roman"/>
          <w:sz w:val="24"/>
          <w:szCs w:val="24"/>
          <w:u w:val="single"/>
        </w:rPr>
      </w:pPr>
    </w:p>
    <w:p w14:paraId="40B73ECE" w14:textId="77777777" w:rsidR="00E901B8" w:rsidRPr="00E901B8" w:rsidRDefault="00E901B8" w:rsidP="00E901B8">
      <w:pPr>
        <w:spacing w:after="0" w:line="240" w:lineRule="auto"/>
        <w:jc w:val="both"/>
        <w:rPr>
          <w:rFonts w:ascii="Times New Roman" w:eastAsia="Times New Roman" w:hAnsi="Times New Roman"/>
          <w:sz w:val="24"/>
          <w:szCs w:val="24"/>
        </w:rPr>
      </w:pPr>
      <w:r w:rsidRPr="00E901B8">
        <w:rPr>
          <w:rFonts w:ascii="Times New Roman" w:eastAsia="Times New Roman" w:hAnsi="Times New Roman"/>
          <w:sz w:val="24"/>
          <w:szCs w:val="24"/>
          <w:u w:val="single"/>
        </w:rPr>
        <w:t>Be it enacted by the Council as follows:</w:t>
      </w:r>
    </w:p>
    <w:p w14:paraId="50F14604" w14:textId="77777777" w:rsidR="00E901B8" w:rsidRPr="00E901B8" w:rsidRDefault="00E901B8" w:rsidP="00E901B8">
      <w:pPr>
        <w:spacing w:after="0" w:line="240" w:lineRule="auto"/>
        <w:ind w:firstLine="720"/>
        <w:jc w:val="both"/>
        <w:rPr>
          <w:rFonts w:ascii="Times New Roman" w:eastAsia="Times New Roman" w:hAnsi="Times New Roman"/>
          <w:sz w:val="24"/>
          <w:szCs w:val="24"/>
        </w:rPr>
      </w:pPr>
    </w:p>
    <w:p w14:paraId="5317F7D8" w14:textId="77777777" w:rsidR="00E901B8" w:rsidRPr="00E901B8" w:rsidRDefault="00E901B8" w:rsidP="00E901B8">
      <w:pPr>
        <w:spacing w:after="0" w:line="480" w:lineRule="auto"/>
        <w:ind w:firstLine="720"/>
        <w:jc w:val="both"/>
        <w:rPr>
          <w:rFonts w:ascii="Times New Roman" w:eastAsia="Times New Roman" w:hAnsi="Times New Roman"/>
          <w:sz w:val="24"/>
          <w:szCs w:val="24"/>
        </w:rPr>
        <w:sectPr w:rsidR="00E901B8" w:rsidRPr="00E901B8" w:rsidSect="00E901B8">
          <w:footerReference w:type="default" r:id="rId15"/>
          <w:footerReference w:type="first" r:id="rId16"/>
          <w:pgSz w:w="12240" w:h="15840"/>
          <w:pgMar w:top="1440" w:right="1440" w:bottom="1440" w:left="1440" w:header="720" w:footer="720" w:gutter="0"/>
          <w:cols w:space="720"/>
          <w:docGrid w:linePitch="360"/>
        </w:sectPr>
      </w:pPr>
    </w:p>
    <w:p w14:paraId="598C04FD"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r w:rsidRPr="00E901B8">
        <w:rPr>
          <w:rFonts w:ascii="Times New Roman" w:eastAsia="Times New Roman" w:hAnsi="Times New Roman"/>
          <w:sz w:val="24"/>
          <w:szCs w:val="24"/>
        </w:rPr>
        <w:t>Section 1. Title 20 of the administrative code of the city of New York is amended by adding a new chapter 16 to read as follows:</w:t>
      </w:r>
    </w:p>
    <w:p w14:paraId="6BA850D9" w14:textId="77777777" w:rsidR="00E901B8" w:rsidRPr="00E901B8" w:rsidRDefault="00E901B8" w:rsidP="00E901B8">
      <w:pPr>
        <w:spacing w:after="0" w:line="480" w:lineRule="auto"/>
        <w:ind w:firstLine="720"/>
        <w:jc w:val="center"/>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CHAPTER 16 </w:t>
      </w:r>
    </w:p>
    <w:p w14:paraId="33328719" w14:textId="77777777" w:rsidR="00E901B8" w:rsidRPr="00E901B8" w:rsidRDefault="00E901B8" w:rsidP="00E901B8">
      <w:pPr>
        <w:spacing w:after="0" w:line="480" w:lineRule="auto"/>
        <w:ind w:firstLine="720"/>
        <w:jc w:val="center"/>
        <w:rPr>
          <w:rFonts w:ascii="Times New Roman" w:eastAsia="Times New Roman" w:hAnsi="Times New Roman"/>
          <w:sz w:val="24"/>
          <w:szCs w:val="24"/>
          <w:u w:val="single"/>
        </w:rPr>
      </w:pPr>
      <w:r w:rsidRPr="00E901B8">
        <w:rPr>
          <w:rFonts w:ascii="Times New Roman" w:eastAsia="Times New Roman" w:hAnsi="Times New Roman"/>
          <w:sz w:val="24"/>
          <w:szCs w:val="24"/>
          <w:u w:val="single"/>
        </w:rPr>
        <w:t>SECURITY GUARDS</w:t>
      </w:r>
    </w:p>
    <w:p w14:paraId="3475A41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20-1601 Definitions. As used in this subchapter, the following terms have the following meanings: </w:t>
      </w:r>
    </w:p>
    <w:p w14:paraId="20242626"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Covered security guard employer. The term “covered security guard employer” means any person who employs one or more covered security guards in New York city, but shall not include: (</w:t>
      </w:r>
      <w:proofErr w:type="spellStart"/>
      <w:r w:rsidRPr="00E901B8">
        <w:rPr>
          <w:rFonts w:ascii="Times New Roman" w:eastAsia="Times New Roman" w:hAnsi="Times New Roman"/>
          <w:sz w:val="24"/>
          <w:szCs w:val="24"/>
          <w:u w:val="single"/>
        </w:rPr>
        <w:t>i</w:t>
      </w:r>
      <w:proofErr w:type="spellEnd"/>
      <w:r w:rsidRPr="00E901B8">
        <w:rPr>
          <w:rFonts w:ascii="Times New Roman" w:eastAsia="Times New Roman" w:hAnsi="Times New Roman"/>
          <w:sz w:val="24"/>
          <w:szCs w:val="24"/>
          <w:u w:val="single"/>
        </w:rPr>
        <w:t>) the United States government; (ii) the state of New York, including any office, department, independent agency, authority, institution, association, society or other body of the state including the legislature and the judiciary; (iii) the port authority of New York and New Jersey; and (iv) the city of New York.</w:t>
      </w:r>
    </w:p>
    <w:p w14:paraId="25D850F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Covered security guard. The term “covered security guard” means any person employed by a covered security guard employer</w:t>
      </w:r>
      <w:r w:rsidRPr="00E901B8" w:rsidDel="00B16054">
        <w:rPr>
          <w:rFonts w:ascii="Times New Roman" w:eastAsia="Times New Roman" w:hAnsi="Times New Roman"/>
          <w:sz w:val="24"/>
          <w:szCs w:val="24"/>
          <w:u w:val="single"/>
        </w:rPr>
        <w:t xml:space="preserve"> </w:t>
      </w:r>
      <w:r w:rsidRPr="00E901B8">
        <w:rPr>
          <w:rFonts w:ascii="Times New Roman" w:eastAsia="Times New Roman" w:hAnsi="Times New Roman"/>
          <w:sz w:val="24"/>
          <w:szCs w:val="24"/>
          <w:u w:val="single"/>
        </w:rPr>
        <w:t xml:space="preserve">to principally perform one or more of the functions set forth in subdivision 6 of section 89-f of the general business law and who is required to have a current and valid registration card issued in accordance with article 7-A of the general business law. </w:t>
      </w:r>
    </w:p>
    <w:p w14:paraId="76A66F9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 xml:space="preserve">Paid time off. The term “paid time off” means paid leave as identified in the applicable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 including but not limited to holidays, vacation and sick leave.</w:t>
      </w:r>
    </w:p>
    <w:p w14:paraId="6A14C51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Supplemental benefit. The term “supplemental benefit” means fringe benefits including medical or hospital care, pensions on retirement or death, compensation for injuries or illness resulting from occupational activity, or insurance  to  provide any of the foregoing, unemployment benefits, life insurance, disability and sickness insurance, accident insurance, vacation and  holiday pay, costs of apprenticeship or other similar programs and other bona fide fringe benefits not otherwise required by federal, state or local law to be provided by a covered security guard employer to a covered security guard.</w:t>
      </w:r>
    </w:p>
    <w:p w14:paraId="39DA8C6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Wage. The term “wage” means wage as identified in the applicable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p>
    <w:p w14:paraId="10482A7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20-1602 Security guard minimum wage required. Beginning January 1, 2027, a covered security guard employer shall pay a wage to a covered security guard for each hour worked that meets or exceeds the wage requirements for private sector security guards engaged on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r w:rsidRPr="00E901B8" w:rsidDel="00E7048D">
        <w:rPr>
          <w:rFonts w:ascii="Times New Roman" w:eastAsia="Times New Roman" w:hAnsi="Times New Roman"/>
          <w:sz w:val="24"/>
          <w:szCs w:val="24"/>
          <w:u w:val="single"/>
        </w:rPr>
        <w:t xml:space="preserve"> </w:t>
      </w:r>
    </w:p>
    <w:p w14:paraId="3B92378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20-1603 Security guard minimum paid time off required. Beginning January 1, 2028, a covered security guard employer shall provide a covered security guard with paid time off benefits that meet or exceed the paid time off benefits required for private sector security guards engaged on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r w:rsidRPr="00E901B8" w:rsidDel="00E7048D">
        <w:rPr>
          <w:rFonts w:ascii="Times New Roman" w:eastAsia="Times New Roman" w:hAnsi="Times New Roman"/>
          <w:sz w:val="24"/>
          <w:szCs w:val="24"/>
          <w:u w:val="single"/>
        </w:rPr>
        <w:t xml:space="preserve"> </w:t>
      </w:r>
    </w:p>
    <w:p w14:paraId="736817A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20-1604 Security guard minimum supplemental benefits required. Beginning January 1, 2029, a covered security guard employer shall pay a supplemental benefit to a covered security </w:t>
      </w:r>
      <w:r w:rsidRPr="00E901B8">
        <w:rPr>
          <w:rFonts w:ascii="Times New Roman" w:eastAsia="Times New Roman" w:hAnsi="Times New Roman"/>
          <w:sz w:val="24"/>
          <w:szCs w:val="24"/>
          <w:u w:val="single"/>
        </w:rPr>
        <w:lastRenderedPageBreak/>
        <w:t xml:space="preserve">guard that meets or exceeds the supplemental benefits required for private sector security guards engaged on New York city public building service contracts </w:t>
      </w:r>
      <w:proofErr w:type="gramStart"/>
      <w:r w:rsidRPr="00E901B8">
        <w:rPr>
          <w:rFonts w:ascii="Times New Roman" w:eastAsia="Times New Roman" w:hAnsi="Times New Roman"/>
          <w:sz w:val="24"/>
          <w:szCs w:val="24"/>
          <w:u w:val="single"/>
        </w:rPr>
        <w:t>in excess of</w:t>
      </w:r>
      <w:proofErr w:type="gramEnd"/>
      <w:r w:rsidRPr="00E901B8">
        <w:rPr>
          <w:rFonts w:ascii="Times New Roman" w:eastAsia="Times New Roman" w:hAnsi="Times New Roman"/>
          <w:sz w:val="24"/>
          <w:szCs w:val="24"/>
          <w:u w:val="single"/>
        </w:rPr>
        <w:t xml:space="preserve"> $1,500.</w:t>
      </w:r>
      <w:r w:rsidRPr="00E901B8" w:rsidDel="00E7048D">
        <w:rPr>
          <w:rFonts w:ascii="Times New Roman" w:eastAsia="Times New Roman" w:hAnsi="Times New Roman"/>
          <w:sz w:val="24"/>
          <w:szCs w:val="24"/>
          <w:u w:val="single"/>
        </w:rPr>
        <w:t xml:space="preserve"> </w:t>
      </w:r>
    </w:p>
    <w:p w14:paraId="7B5FEF3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82" w:name="OLE_LINK1"/>
      <w:r w:rsidRPr="00E901B8">
        <w:rPr>
          <w:rFonts w:ascii="Times New Roman" w:eastAsia="Times New Roman" w:hAnsi="Times New Roman"/>
          <w:sz w:val="24"/>
          <w:szCs w:val="24"/>
          <w:u w:val="single"/>
        </w:rPr>
        <w:t xml:space="preserve">§ 20-1605 </w:t>
      </w:r>
      <w:bookmarkEnd w:id="82"/>
      <w:r w:rsidRPr="00E901B8">
        <w:rPr>
          <w:rFonts w:ascii="Times New Roman" w:eastAsia="Times New Roman" w:hAnsi="Times New Roman"/>
          <w:sz w:val="24"/>
          <w:szCs w:val="24"/>
          <w:u w:val="single"/>
        </w:rPr>
        <w:t>Security guard minimum wage and benefits schedule posting. No later than September 1, 2026, and annually thereafter, the commissioner shall post on the department’s website the applicable minimum wage, minimum paid time off and minimum supplemental benefits required by this chapter.</w:t>
      </w:r>
    </w:p>
    <w:p w14:paraId="2A697FA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20-1606 Website and reporting. The department shall annually post on its website and submit to the speaker of the council the following information: </w:t>
      </w:r>
    </w:p>
    <w:p w14:paraId="2C520B3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a. The number of complaints received by the department pursuant to this </w:t>
      </w:r>
      <w:proofErr w:type="gramStart"/>
      <w:r w:rsidRPr="00E901B8">
        <w:rPr>
          <w:rFonts w:ascii="Times New Roman" w:eastAsia="Times New Roman" w:hAnsi="Times New Roman"/>
          <w:sz w:val="24"/>
          <w:szCs w:val="24"/>
          <w:u w:val="single"/>
        </w:rPr>
        <w:t>chapter;</w:t>
      </w:r>
      <w:proofErr w:type="gramEnd"/>
      <w:r w:rsidRPr="00E901B8">
        <w:rPr>
          <w:rFonts w:ascii="Times New Roman" w:eastAsia="Times New Roman" w:hAnsi="Times New Roman"/>
          <w:sz w:val="24"/>
          <w:szCs w:val="24"/>
          <w:u w:val="single"/>
        </w:rPr>
        <w:t xml:space="preserve"> </w:t>
      </w:r>
    </w:p>
    <w:p w14:paraId="6284507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The results of investigations undertaken pursuant to this </w:t>
      </w:r>
      <w:proofErr w:type="gramStart"/>
      <w:r w:rsidRPr="00E901B8">
        <w:rPr>
          <w:rFonts w:ascii="Times New Roman" w:eastAsia="Times New Roman" w:hAnsi="Times New Roman"/>
          <w:sz w:val="24"/>
          <w:szCs w:val="24"/>
          <w:u w:val="single"/>
        </w:rPr>
        <w:t>chapter;</w:t>
      </w:r>
      <w:proofErr w:type="gramEnd"/>
      <w:r w:rsidRPr="00E901B8">
        <w:rPr>
          <w:rFonts w:ascii="Times New Roman" w:eastAsia="Times New Roman" w:hAnsi="Times New Roman"/>
          <w:sz w:val="24"/>
          <w:szCs w:val="24"/>
          <w:u w:val="single"/>
        </w:rPr>
        <w:t xml:space="preserve"> </w:t>
      </w:r>
    </w:p>
    <w:p w14:paraId="09107E4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 The average time for a complaint to be resolved pursuant to this </w:t>
      </w:r>
      <w:proofErr w:type="gramStart"/>
      <w:r w:rsidRPr="00E901B8">
        <w:rPr>
          <w:rFonts w:ascii="Times New Roman" w:eastAsia="Times New Roman" w:hAnsi="Times New Roman"/>
          <w:sz w:val="24"/>
          <w:szCs w:val="24"/>
          <w:u w:val="single"/>
        </w:rPr>
        <w:t>chapter;</w:t>
      </w:r>
      <w:proofErr w:type="gramEnd"/>
    </w:p>
    <w:p w14:paraId="58C99D2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d. Education and outreach conducted by the department regarding the provisions of this chapter; and</w:t>
      </w:r>
    </w:p>
    <w:p w14:paraId="499F74F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Any other information the department deems appropriate.</w:t>
      </w:r>
    </w:p>
    <w:p w14:paraId="05578C6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20-1607 Recordkeeping. a. A covered security guard employer shall retain records documenting such employer’s compliance with the applicable requirements of this chapter for a period of 6 years, and shall allow the department to access such records and other relevant information, consistent with applicable law and in accordance with rules of the department and with appropriate notice, in furtherance of an investigation conducted pursuant to this chapter. A covered security guard employer must maintain records in their original format and provide such records to the department in their original format or </w:t>
      </w:r>
      <w:proofErr w:type="spellStart"/>
      <w:proofErr w:type="gramStart"/>
      <w:r w:rsidRPr="00E901B8">
        <w:rPr>
          <w:rFonts w:ascii="Times New Roman" w:eastAsia="Times New Roman" w:hAnsi="Times New Roman"/>
          <w:sz w:val="24"/>
          <w:szCs w:val="24"/>
          <w:u w:val="single"/>
        </w:rPr>
        <w:t>a</w:t>
      </w:r>
      <w:proofErr w:type="spellEnd"/>
      <w:proofErr w:type="gramEnd"/>
      <w:r w:rsidRPr="00E901B8">
        <w:rPr>
          <w:rFonts w:ascii="Times New Roman" w:eastAsia="Times New Roman" w:hAnsi="Times New Roman"/>
          <w:sz w:val="24"/>
          <w:szCs w:val="24"/>
          <w:u w:val="single"/>
        </w:rPr>
        <w:t xml:space="preserve"> electronic format as set forth in rules of the department. The department also may establish by rule, and require covered security guard employers to adhere </w:t>
      </w:r>
      <w:proofErr w:type="gramStart"/>
      <w:r w:rsidRPr="00E901B8">
        <w:rPr>
          <w:rFonts w:ascii="Times New Roman" w:eastAsia="Times New Roman" w:hAnsi="Times New Roman"/>
          <w:sz w:val="24"/>
          <w:szCs w:val="24"/>
          <w:u w:val="single"/>
        </w:rPr>
        <w:t>to,</w:t>
      </w:r>
      <w:proofErr w:type="gramEnd"/>
      <w:r w:rsidRPr="00E901B8">
        <w:rPr>
          <w:rFonts w:ascii="Times New Roman" w:eastAsia="Times New Roman" w:hAnsi="Times New Roman"/>
          <w:sz w:val="24"/>
          <w:szCs w:val="24"/>
          <w:u w:val="single"/>
        </w:rPr>
        <w:t xml:space="preserve"> a uniform system of records.</w:t>
      </w:r>
    </w:p>
    <w:p w14:paraId="0AB2801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b. The failure of a covered security guard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7CE809E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20-1608 Notice of rights. a. The commissioner shall publish and make available on the city’s website a notice for a covered security guard employer to provide to covered security guards, informing them of their rights under this subchapter. The commissioner shall update such notice if any changes are made to the requirements of this chapter or as otherwise deemed appropriate by the commissioner.</w:t>
      </w:r>
    </w:p>
    <w:p w14:paraId="6CD0DB2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A covered security guard employer shall provide such notice to a covered security guard at the commencement of employment or, for covered security guards who were already employed prior to the effective date of the chapter, within 30 days of the effective date of the local law that added this chapter. Such notice may be provided in electronic </w:t>
      </w:r>
      <w:proofErr w:type="gramStart"/>
      <w:r w:rsidRPr="00E901B8">
        <w:rPr>
          <w:rFonts w:ascii="Times New Roman" w:eastAsia="Times New Roman" w:hAnsi="Times New Roman"/>
          <w:sz w:val="24"/>
          <w:szCs w:val="24"/>
          <w:u w:val="single"/>
        </w:rPr>
        <w:t>format, and</w:t>
      </w:r>
      <w:proofErr w:type="gramEnd"/>
      <w:r w:rsidRPr="00E901B8">
        <w:rPr>
          <w:rFonts w:ascii="Times New Roman" w:eastAsia="Times New Roman" w:hAnsi="Times New Roman"/>
          <w:sz w:val="24"/>
          <w:szCs w:val="24"/>
          <w:u w:val="single"/>
        </w:rPr>
        <w:t xml:space="preserve"> shall be in English and the primary language of the covered security guard, provided that the commissioner has made the notice available in such a language. </w:t>
      </w:r>
    </w:p>
    <w:p w14:paraId="23753BB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20-1609 Retaliation. a. No person shall take any adverse action against a covered security guard that penalizes such covered security guard </w:t>
      </w:r>
      <w:proofErr w:type="gramStart"/>
      <w:r w:rsidRPr="00E901B8">
        <w:rPr>
          <w:rFonts w:ascii="Times New Roman" w:eastAsia="Times New Roman" w:hAnsi="Times New Roman"/>
          <w:sz w:val="24"/>
          <w:szCs w:val="24"/>
          <w:u w:val="single"/>
        </w:rPr>
        <w:t>for, or</w:t>
      </w:r>
      <w:proofErr w:type="gramEnd"/>
      <w:r w:rsidRPr="00E901B8">
        <w:rPr>
          <w:rFonts w:ascii="Times New Roman" w:eastAsia="Times New Roman" w:hAnsi="Times New Roman"/>
          <w:sz w:val="24"/>
          <w:szCs w:val="24"/>
          <w:u w:val="single"/>
        </w:rPr>
        <w:t xml:space="preserve"> is reasonably likely to deter such covered security guard from, exercising or attempting to exercise any right protected under this chapter. Taking an adverse action includes threatening, intimidating, disciplining, discharging, demoting, suspending or harassing a covered security guard, reducing the hours or pay of a covered security guard, transferring a covered security guard to a worksite that a reasonable person would consider less desirable, informing another employer that a covered security guard has engaged in activities </w:t>
      </w:r>
      <w:r w:rsidRPr="00E901B8">
        <w:rPr>
          <w:rFonts w:ascii="Times New Roman" w:eastAsia="Times New Roman" w:hAnsi="Times New Roman"/>
          <w:sz w:val="24"/>
          <w:szCs w:val="24"/>
          <w:u w:val="single"/>
        </w:rPr>
        <w:lastRenderedPageBreak/>
        <w:t>protected by this chapter, and discriminating against the covered security guard, including actions related to perceived immigration status or work authorization status. A covered security guard need not explicitly refer to this chapter or the rights enumerated herein to be protected from retaliation.</w:t>
      </w:r>
    </w:p>
    <w:p w14:paraId="6380CAB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termination or other disciplinary action taken by a covered security employer against a covered security guard within 90 days of the covered security guard’s exercise of rights under this chapter, assisting any other person in doing so, or informing any person about their rights, shall raise a rebuttable presumption of having done so in retaliation for the exercise of those rights.</w:t>
      </w:r>
    </w:p>
    <w:p w14:paraId="5EEEF779"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83" w:name="_Hlk216263090"/>
      <w:r w:rsidRPr="00E901B8">
        <w:rPr>
          <w:rFonts w:ascii="Times New Roman" w:eastAsia="Times New Roman" w:hAnsi="Times New Roman"/>
          <w:sz w:val="24"/>
          <w:szCs w:val="24"/>
          <w:u w:val="single"/>
        </w:rPr>
        <w:t>§ 20-1610</w:t>
      </w:r>
      <w:bookmarkEnd w:id="83"/>
      <w:r w:rsidRPr="00E901B8">
        <w:rPr>
          <w:rFonts w:ascii="Times New Roman" w:eastAsia="Times New Roman" w:hAnsi="Times New Roman"/>
          <w:sz w:val="24"/>
          <w:szCs w:val="24"/>
          <w:u w:val="single"/>
        </w:rPr>
        <w:t xml:space="preserve"> Administrative enforcement. a. The commissioner shall enforce the provisions of this chapter.</w:t>
      </w:r>
    </w:p>
    <w:p w14:paraId="1098C0F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Any person alleging a violation of this chapter shall have the right to file a complaint with the department within 2 years of the date they knew or should have known of the alleged violation. Upon receiving such complaint, the department shall investigate it. </w:t>
      </w:r>
    </w:p>
    <w:p w14:paraId="4F307031"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The department may open an investigation on its own initiative.</w:t>
      </w:r>
    </w:p>
    <w:p w14:paraId="104CF02E"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d. The department shall maintain 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the complainant’s identity prior to such disclosure.</w:t>
      </w:r>
    </w:p>
    <w:p w14:paraId="72A6C92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e. A person or entity under investigation shall, in accordance with applicable law, provide the department with relevant information or evidence that the department requests pursuant to the investigation. The department may attempt to resolve an investigation concerning a violation of this chapter through any action authorized by chapter 64 of the charter. Adjudicatory powers pursuant to this chapter may be exercised by the commissioner or by the office of administrative </w:t>
      </w:r>
      <w:r w:rsidRPr="00E901B8">
        <w:rPr>
          <w:rFonts w:ascii="Times New Roman" w:eastAsia="Times New Roman" w:hAnsi="Times New Roman"/>
          <w:sz w:val="24"/>
          <w:szCs w:val="24"/>
          <w:u w:val="single"/>
        </w:rPr>
        <w:lastRenderedPageBreak/>
        <w:t>trials and hearings pursuant to chapter 64 of the charter, in accordance with any delegation of such adjudicatory powers by the department to such office pursuant to paragraph (1) of subdivision (h) of section 2203 of the charter.</w:t>
      </w:r>
    </w:p>
    <w:p w14:paraId="0380096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f. The commissioner may promulgate rules necessary and appropriate to the administration of this chapter.</w:t>
      </w:r>
    </w:p>
    <w:p w14:paraId="61F68B3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20-1611 Remedies for covered security guards. For violations of their rights under this chapter, a covered security guard shall be entitled to the following relief:</w:t>
      </w:r>
    </w:p>
    <w:p w14:paraId="4A47970B"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a. all compensatory damages and other relief required to make the covered security guard or former covered security guard whole, including but not limited to the full amount of any underpayments, including interest thereon, and an additional amount equal to twice the underpaid wages or benefits as liquidated </w:t>
      </w:r>
      <w:proofErr w:type="gramStart"/>
      <w:r w:rsidRPr="00E901B8">
        <w:rPr>
          <w:rFonts w:ascii="Times New Roman" w:eastAsia="Times New Roman" w:hAnsi="Times New Roman"/>
          <w:sz w:val="24"/>
          <w:szCs w:val="24"/>
          <w:u w:val="single"/>
        </w:rPr>
        <w:t>damages;</w:t>
      </w:r>
      <w:proofErr w:type="gramEnd"/>
    </w:p>
    <w:p w14:paraId="377A679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an order directing compliance with the requirements set forth in this chapter; and</w:t>
      </w:r>
    </w:p>
    <w:p w14:paraId="6DE43F6D"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c. for each violation of section 20-1609:</w:t>
      </w:r>
    </w:p>
    <w:p w14:paraId="68622E4F"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1. rescission of any discipline issued, reinstatement of any covered security guard terminated and payment of back pay for any loss of pay or benefits resulting from discipline or other action taken in violation of section </w:t>
      </w:r>
      <w:proofErr w:type="gramStart"/>
      <w:r w:rsidRPr="00E901B8">
        <w:rPr>
          <w:rFonts w:ascii="Times New Roman" w:eastAsia="Times New Roman" w:hAnsi="Times New Roman"/>
          <w:sz w:val="24"/>
          <w:szCs w:val="24"/>
          <w:u w:val="single"/>
        </w:rPr>
        <w:t>20-1609;</w:t>
      </w:r>
      <w:proofErr w:type="gramEnd"/>
    </w:p>
    <w:p w14:paraId="1997745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2. $500 for each violation not involving termination; and</w:t>
      </w:r>
    </w:p>
    <w:p w14:paraId="6256760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3. $2,500 for each violation involving termination. </w:t>
      </w:r>
    </w:p>
    <w:p w14:paraId="29FA0D1C"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20-1612 Civil penalties. a. For each violation of this chapter, a person is liable for a penalty of $500 for the first violation and, for subsequent violations that occur within 2 years of any previous violation of this subchapter, up to $750 for the second violation and up to $1,000 for each succeeding violation. </w:t>
      </w:r>
    </w:p>
    <w:p w14:paraId="78D5B19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b. For any violation of this chapter, the relief and penalties imposed pursuant to this chapter shall be imposed on a per covered security guard and per instance basis.</w:t>
      </w:r>
    </w:p>
    <w:p w14:paraId="390B5742"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20-1613 Enforcement by corporation counsel. The corporation counsel or such other persons designated by the corporation counsel on behalf of the department may initiate in any court of competent jurisdiction any action or proceeding that may be appropriate or necessary for correction of any violation issued pursuant to sections 20-1610 through 20-1612, including actions to secure permanent injunctions, enjoining any acts or practices that constitute such violation, mandating compliance with the provisions of this chapter, or such other relief as may be appropriate.</w:t>
      </w:r>
    </w:p>
    <w:p w14:paraId="031F51A0"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bookmarkStart w:id="84" w:name="_Hlk216263170"/>
      <w:r w:rsidRPr="00E901B8">
        <w:rPr>
          <w:rFonts w:ascii="Times New Roman" w:eastAsia="Times New Roman" w:hAnsi="Times New Roman"/>
          <w:sz w:val="24"/>
          <w:szCs w:val="24"/>
          <w:u w:val="single"/>
        </w:rPr>
        <w:t>§ 20-1614</w:t>
      </w:r>
      <w:bookmarkEnd w:id="84"/>
      <w:r w:rsidRPr="00E901B8">
        <w:rPr>
          <w:rFonts w:ascii="Times New Roman" w:eastAsia="Times New Roman" w:hAnsi="Times New Roman"/>
          <w:sz w:val="24"/>
          <w:szCs w:val="24"/>
          <w:u w:val="single"/>
        </w:rPr>
        <w:t xml:space="preserve"> Civil action by corporation counsel for pattern or practice of violations. a. 1. Where reasonable cause exists to believe that a covered security guard employer is engaged in a pattern or practice of violations of this chapter, the corporation counsel or such other persons designated by the corporation counsel may commence a civil action on behalf of the city in a court of competent jurisdiction.</w:t>
      </w:r>
    </w:p>
    <w:p w14:paraId="638B2803"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2. The corporation counsel or such other persons designated by the corporation counsel shall commence such action by filing a complaint setting forth facts relating to such pattern or practice and requesting relief, which may include injunctive relief, relief set forth in section 20-1611, civil penalties set forth in 20-1612, and any other appropriate relief.</w:t>
      </w:r>
    </w:p>
    <w:p w14:paraId="6C8AE07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26D24339"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c. Nothing in this section prohibits (</w:t>
      </w:r>
      <w:proofErr w:type="spellStart"/>
      <w:r w:rsidRPr="00E901B8">
        <w:rPr>
          <w:rFonts w:ascii="Times New Roman" w:eastAsia="Times New Roman" w:hAnsi="Times New Roman"/>
          <w:sz w:val="24"/>
          <w:szCs w:val="24"/>
          <w:u w:val="single"/>
        </w:rPr>
        <w:t>i</w:t>
      </w:r>
      <w:proofErr w:type="spellEnd"/>
      <w:r w:rsidRPr="00E901B8">
        <w:rPr>
          <w:rFonts w:ascii="Times New Roman" w:eastAsia="Times New Roman" w:hAnsi="Times New Roman"/>
          <w:sz w:val="24"/>
          <w:szCs w:val="24"/>
          <w:u w:val="single"/>
        </w:rPr>
        <w:t>) the department from exercising its authority under sections 20-1610 through 20-1612 or (ii) a person alleging a violation of this chapter from filing a complaint pursuant to section 20-1610 based on the same facts pertaining to such a pattern or practice, provided that a civil action pursuant to this section shall not have previously been commenced.</w:t>
      </w:r>
    </w:p>
    <w:p w14:paraId="6B699D46"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20-1615 Enforcement by a private right of action. a. Any person alleging a violation of this chapter may commence a civil action in any court of competent jurisdiction to seek relief as provided in section 20-1611. A civil action to enforce this chapter may </w:t>
      </w:r>
      <w:proofErr w:type="gramStart"/>
      <w:r w:rsidRPr="00E901B8">
        <w:rPr>
          <w:rFonts w:ascii="Times New Roman" w:eastAsia="Times New Roman" w:hAnsi="Times New Roman"/>
          <w:sz w:val="24"/>
          <w:szCs w:val="24"/>
          <w:u w:val="single"/>
        </w:rPr>
        <w:t>be commenced</w:t>
      </w:r>
      <w:proofErr w:type="gramEnd"/>
      <w:r w:rsidRPr="00E901B8">
        <w:rPr>
          <w:rFonts w:ascii="Times New Roman" w:eastAsia="Times New Roman" w:hAnsi="Times New Roman"/>
          <w:sz w:val="24"/>
          <w:szCs w:val="24"/>
          <w:u w:val="single"/>
        </w:rPr>
        <w:t xml:space="preserve"> no later than 6 years after the plaintiff knew or should have known of the violation. </w:t>
      </w:r>
    </w:p>
    <w:p w14:paraId="4DC36FC7"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b.  The court may award any appropriate remedy at law or equity including, but not limited to, the remedies set forth in section 20-1611. The court shall award reasonable </w:t>
      </w:r>
      <w:proofErr w:type="gramStart"/>
      <w:r w:rsidRPr="00E901B8">
        <w:rPr>
          <w:rFonts w:ascii="Times New Roman" w:eastAsia="Times New Roman" w:hAnsi="Times New Roman"/>
          <w:sz w:val="24"/>
          <w:szCs w:val="24"/>
          <w:u w:val="single"/>
        </w:rPr>
        <w:t>attorney's</w:t>
      </w:r>
      <w:proofErr w:type="gramEnd"/>
      <w:r w:rsidRPr="00E901B8">
        <w:rPr>
          <w:rFonts w:ascii="Times New Roman" w:eastAsia="Times New Roman" w:hAnsi="Times New Roman"/>
          <w:sz w:val="24"/>
          <w:szCs w:val="24"/>
          <w:u w:val="single"/>
        </w:rPr>
        <w:t xml:space="preserve"> fees and costs to any complaining party who prevails in any such enforcement action.</w:t>
      </w:r>
    </w:p>
    <w:p w14:paraId="5DA40E1E"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c. Any person filing a civil action shall simultaneously serve notice of such action and a copy of the complaint upon the department. Failure to so serve such notice shall not adversely affect any person's cause of action. </w:t>
      </w:r>
    </w:p>
    <w:p w14:paraId="79BE7328"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d. A covered security guard need not file a complaint with the department pursuant to section 20-1610 before bringing a civil action; however, no person shall file a civil action based on the same facts as a complaint filed with the department pursuant to section 20-1610 unless such complaint has been withdrawn or dismissed without prejudice to further action. </w:t>
      </w:r>
    </w:p>
    <w:p w14:paraId="1A54B2B4"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e. No person shall file a complaint with the department pursuant to section 20-1610 based on the same facts as a civil action filed pursuant to this section unless such action has been withdrawn or dismissed without prejudice to further action.</w:t>
      </w:r>
    </w:p>
    <w:p w14:paraId="3E586FE5"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lastRenderedPageBreak/>
        <w:t xml:space="preserve">f. The commencement or pendency of a civil action by a covered security guard does not preclude the department from investigating a covered security guard employer or commencing, prosecuting or settling a case against a covered security guard employer based on some or </w:t>
      </w:r>
      <w:proofErr w:type="gramStart"/>
      <w:r w:rsidRPr="00E901B8">
        <w:rPr>
          <w:rFonts w:ascii="Times New Roman" w:eastAsia="Times New Roman" w:hAnsi="Times New Roman"/>
          <w:sz w:val="24"/>
          <w:szCs w:val="24"/>
          <w:u w:val="single"/>
        </w:rPr>
        <w:t>all of</w:t>
      </w:r>
      <w:proofErr w:type="gramEnd"/>
      <w:r w:rsidRPr="00E901B8">
        <w:rPr>
          <w:rFonts w:ascii="Times New Roman" w:eastAsia="Times New Roman" w:hAnsi="Times New Roman"/>
          <w:sz w:val="24"/>
          <w:szCs w:val="24"/>
          <w:u w:val="single"/>
        </w:rPr>
        <w:t xml:space="preserve"> the same violations.</w:t>
      </w:r>
    </w:p>
    <w:p w14:paraId="61C96920"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 xml:space="preserve">§ 20-1616 Exclusions. a. The provisions of this chapter shall not apply to any work performed under a contract subject to the McNamara-O’Hara Service Contract Act of 1965, section 6701 of title 41 of the United States code, article 9 of the labor law, article 19-D of the labor law, section 42-A of the public service law, sections 421-a, 467-a, 467-m and 485-x of the real property tax law, section 6-109.1, regarding prevailing wage for security guards and fire guards at city-contracted shelters, or a successor provision, section 6-130, regarding prevailing wage for building service employees in city leased or financially assisted facilities, or a successor provision, section 10-172, and any work subject to a compensation standard prescribed by a rule or regulation of the port authority of New York and New Jersey. </w:t>
      </w:r>
    </w:p>
    <w:p w14:paraId="06D2CEAA" w14:textId="77777777" w:rsidR="00E901B8" w:rsidRPr="00E901B8" w:rsidRDefault="00E901B8" w:rsidP="00E901B8">
      <w:pPr>
        <w:spacing w:after="0" w:line="480" w:lineRule="auto"/>
        <w:ind w:firstLine="720"/>
        <w:jc w:val="both"/>
        <w:rPr>
          <w:rFonts w:ascii="Times New Roman" w:eastAsia="Times New Roman" w:hAnsi="Times New Roman"/>
          <w:sz w:val="24"/>
          <w:szCs w:val="24"/>
          <w:u w:val="single"/>
        </w:rPr>
      </w:pPr>
      <w:r w:rsidRPr="00E901B8">
        <w:rPr>
          <w:rFonts w:ascii="Times New Roman" w:eastAsia="Times New Roman" w:hAnsi="Times New Roman"/>
          <w:sz w:val="24"/>
          <w:szCs w:val="24"/>
          <w:u w:val="single"/>
        </w:rPr>
        <w:t>b. The provisions of this chapter shall not apply to any covered security guard subject to a collective bargaining agreement if (</w:t>
      </w:r>
      <w:proofErr w:type="spellStart"/>
      <w:r w:rsidRPr="00E901B8">
        <w:rPr>
          <w:rFonts w:ascii="Times New Roman" w:eastAsia="Times New Roman" w:hAnsi="Times New Roman"/>
          <w:sz w:val="24"/>
          <w:szCs w:val="24"/>
          <w:u w:val="single"/>
        </w:rPr>
        <w:t>i</w:t>
      </w:r>
      <w:proofErr w:type="spellEnd"/>
      <w:r w:rsidRPr="00E901B8">
        <w:rPr>
          <w:rFonts w:ascii="Times New Roman" w:eastAsia="Times New Roman" w:hAnsi="Times New Roman"/>
          <w:sz w:val="24"/>
          <w:szCs w:val="24"/>
          <w:u w:val="single"/>
        </w:rPr>
        <w:t xml:space="preserve">) such provisions are expressly waived in such collective bargaining agreement and (ii) such collective bargaining agreement provides for a combination of wages, paid time off, and supplemental benefits equal to or greater than the combination of wages, paid time off, and supplemental benefits required by this chapter. </w:t>
      </w:r>
    </w:p>
    <w:p w14:paraId="604F01A9"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bookmarkStart w:id="85" w:name="_Hlk216202058"/>
      <w:r w:rsidRPr="00E901B8">
        <w:rPr>
          <w:rFonts w:ascii="Times New Roman" w:eastAsia="Times New Roman" w:hAnsi="Times New Roman"/>
          <w:sz w:val="24"/>
          <w:szCs w:val="24"/>
        </w:rPr>
        <w:t xml:space="preserve">§ 2. </w:t>
      </w:r>
      <w:bookmarkStart w:id="86" w:name="_Hlk216201995"/>
      <w:r w:rsidRPr="00E901B8">
        <w:rPr>
          <w:rFonts w:ascii="Times New Roman" w:eastAsia="Times New Roman" w:hAnsi="Times New Roman"/>
          <w:sz w:val="24"/>
          <w:szCs w:val="24"/>
        </w:rPr>
        <w:t>Designated agreement. The term “designated agreement” means an enforceable agreement between a covered security guard and a covered security guard employer</w:t>
      </w:r>
      <w:r w:rsidRPr="00E901B8">
        <w:rPr>
          <w:rFonts w:ascii="Times New Roman" w:eastAsia="Times New Roman" w:hAnsi="Times New Roman"/>
          <w:b/>
          <w:bCs/>
          <w:sz w:val="24"/>
          <w:szCs w:val="24"/>
        </w:rPr>
        <w:t xml:space="preserve"> </w:t>
      </w:r>
      <w:r w:rsidRPr="00E901B8">
        <w:rPr>
          <w:rFonts w:ascii="Times New Roman" w:eastAsia="Times New Roman" w:hAnsi="Times New Roman"/>
          <w:sz w:val="24"/>
          <w:szCs w:val="24"/>
        </w:rPr>
        <w:t>that (</w:t>
      </w:r>
      <w:proofErr w:type="spellStart"/>
      <w:r w:rsidRPr="00E901B8">
        <w:rPr>
          <w:rFonts w:ascii="Times New Roman" w:eastAsia="Times New Roman" w:hAnsi="Times New Roman"/>
          <w:sz w:val="24"/>
          <w:szCs w:val="24"/>
        </w:rPr>
        <w:t>i</w:t>
      </w:r>
      <w:proofErr w:type="spellEnd"/>
      <w:r w:rsidRPr="00E901B8">
        <w:rPr>
          <w:rFonts w:ascii="Times New Roman" w:eastAsia="Times New Roman" w:hAnsi="Times New Roman"/>
          <w:sz w:val="24"/>
          <w:szCs w:val="24"/>
        </w:rPr>
        <w:t>) imposes requirements on such security guard employer relating to the provision of paid time off, supplemental benefits, or the payment of wages; (ii) was entered into on or before October 30, 2025; and (iii) includes a termination date.</w:t>
      </w:r>
      <w:bookmarkEnd w:id="86"/>
    </w:p>
    <w:p w14:paraId="51FF892F" w14:textId="77777777" w:rsidR="00E901B8" w:rsidRPr="00E901B8" w:rsidRDefault="00E901B8" w:rsidP="00E901B8">
      <w:pPr>
        <w:spacing w:after="0" w:line="480" w:lineRule="auto"/>
        <w:ind w:firstLine="720"/>
        <w:jc w:val="both"/>
        <w:rPr>
          <w:rFonts w:ascii="Times New Roman" w:eastAsia="Times New Roman" w:hAnsi="Times New Roman"/>
          <w:sz w:val="24"/>
          <w:szCs w:val="24"/>
        </w:rPr>
      </w:pPr>
      <w:r w:rsidRPr="00E901B8">
        <w:rPr>
          <w:rFonts w:ascii="Times New Roman" w:eastAsia="Times New Roman" w:hAnsi="Times New Roman"/>
          <w:sz w:val="24"/>
          <w:szCs w:val="24"/>
        </w:rPr>
        <w:lastRenderedPageBreak/>
        <w:t>§ 3. This local law takes effect 180 days after it becomes law, provided that in the case of covered security guards subject to a valid collective bargaining agreement or other designated agreement, this local law shall apply to such covered security guards on the date of the termination of such collective bargaining agreement or designated agreement, provided such collective bargaining agreement or designated agreement has a termination date on a date certain.</w:t>
      </w:r>
    </w:p>
    <w:bookmarkEnd w:id="85"/>
    <w:p w14:paraId="533EB347" w14:textId="77777777" w:rsidR="00E901B8" w:rsidRPr="00E901B8" w:rsidRDefault="00E901B8" w:rsidP="00E901B8">
      <w:pPr>
        <w:spacing w:after="0" w:line="240" w:lineRule="auto"/>
        <w:jc w:val="both"/>
        <w:rPr>
          <w:rFonts w:ascii="Times New Roman" w:eastAsia="Times New Roman" w:hAnsi="Times New Roman"/>
          <w:sz w:val="18"/>
          <w:szCs w:val="18"/>
        </w:rPr>
        <w:sectPr w:rsidR="00E901B8" w:rsidRPr="00E901B8" w:rsidSect="00E901B8">
          <w:type w:val="continuous"/>
          <w:pgSz w:w="12240" w:h="15840"/>
          <w:pgMar w:top="1440" w:right="1440" w:bottom="1440" w:left="1440" w:header="720" w:footer="720" w:gutter="0"/>
          <w:lnNumType w:countBy="1"/>
          <w:cols w:space="720"/>
          <w:titlePg/>
          <w:docGrid w:linePitch="360"/>
        </w:sectPr>
      </w:pPr>
    </w:p>
    <w:p w14:paraId="27709784" w14:textId="77777777" w:rsidR="00E901B8" w:rsidRPr="00E901B8" w:rsidRDefault="00E901B8" w:rsidP="00E901B8">
      <w:pPr>
        <w:spacing w:after="0" w:line="240" w:lineRule="auto"/>
        <w:rPr>
          <w:rFonts w:ascii="Times New Roman" w:eastAsia="Times New Roman" w:hAnsi="Times New Roman"/>
          <w:sz w:val="18"/>
          <w:szCs w:val="18"/>
        </w:rPr>
      </w:pPr>
    </w:p>
    <w:p w14:paraId="25716BEF" w14:textId="77777777" w:rsidR="00E901B8" w:rsidRPr="00E901B8" w:rsidRDefault="00E901B8" w:rsidP="00E901B8">
      <w:pPr>
        <w:spacing w:after="0" w:line="240" w:lineRule="auto"/>
        <w:rPr>
          <w:rFonts w:ascii="Times New Roman" w:eastAsia="Times New Roman" w:hAnsi="Times New Roman"/>
          <w:sz w:val="18"/>
          <w:szCs w:val="18"/>
        </w:rPr>
      </w:pPr>
    </w:p>
    <w:p w14:paraId="0B468685" w14:textId="77777777" w:rsidR="00E901B8" w:rsidRPr="00E901B8" w:rsidRDefault="00E901B8" w:rsidP="00E901B8">
      <w:pPr>
        <w:spacing w:after="0" w:line="240" w:lineRule="auto"/>
        <w:rPr>
          <w:rFonts w:ascii="Times New Roman" w:eastAsia="Times New Roman" w:hAnsi="Times New Roman"/>
          <w:sz w:val="18"/>
          <w:szCs w:val="18"/>
        </w:rPr>
      </w:pPr>
      <w:r w:rsidRPr="00E901B8">
        <w:rPr>
          <w:rFonts w:ascii="Times New Roman" w:eastAsia="Times New Roman" w:hAnsi="Times New Roman"/>
          <w:sz w:val="18"/>
          <w:szCs w:val="18"/>
        </w:rPr>
        <w:t>LS # 20452</w:t>
      </w:r>
    </w:p>
    <w:p w14:paraId="2BA355DD" w14:textId="77777777" w:rsidR="00E901B8" w:rsidRPr="00E901B8" w:rsidRDefault="00E901B8" w:rsidP="00E901B8">
      <w:pPr>
        <w:spacing w:after="0" w:line="240" w:lineRule="auto"/>
        <w:rPr>
          <w:rFonts w:ascii="Times New Roman" w:eastAsia="Times New Roman" w:hAnsi="Times New Roman"/>
          <w:sz w:val="18"/>
          <w:szCs w:val="18"/>
        </w:rPr>
      </w:pPr>
      <w:r w:rsidRPr="00E901B8">
        <w:rPr>
          <w:rFonts w:ascii="Times New Roman" w:eastAsia="Times New Roman" w:hAnsi="Times New Roman"/>
          <w:sz w:val="18"/>
          <w:szCs w:val="18"/>
        </w:rPr>
        <w:t>12/10/2025 6:26 PM</w:t>
      </w:r>
    </w:p>
    <w:p w14:paraId="2303C5D0" w14:textId="77777777" w:rsidR="00377BEC" w:rsidRDefault="00377BEC"/>
    <w:p w14:paraId="43C8E464" w14:textId="77777777" w:rsidR="00377BEC" w:rsidRDefault="00377BEC"/>
    <w:p w14:paraId="3D44CB4D" w14:textId="77777777" w:rsidR="00377BEC" w:rsidRDefault="00377BEC"/>
    <w:p w14:paraId="1815C8E4" w14:textId="77777777" w:rsidR="008543B1" w:rsidRDefault="008543B1" w:rsidP="008543B1">
      <w:pPr>
        <w:spacing w:after="0" w:line="240" w:lineRule="auto"/>
        <w:jc w:val="center"/>
        <w:rPr>
          <w:rFonts w:ascii="Times New Roman" w:hAnsi="Times New Roman"/>
          <w:sz w:val="24"/>
          <w:szCs w:val="24"/>
        </w:rPr>
      </w:pPr>
    </w:p>
    <w:p w14:paraId="26426B18" w14:textId="77777777" w:rsidR="008543B1" w:rsidRDefault="008543B1" w:rsidP="008543B1">
      <w:pPr>
        <w:spacing w:after="0" w:line="240" w:lineRule="auto"/>
        <w:jc w:val="center"/>
        <w:rPr>
          <w:rFonts w:ascii="Times New Roman" w:hAnsi="Times New Roman"/>
          <w:sz w:val="24"/>
          <w:szCs w:val="24"/>
        </w:rPr>
      </w:pPr>
    </w:p>
    <w:p w14:paraId="48A2B2D4" w14:textId="77777777" w:rsidR="008543B1" w:rsidRDefault="008543B1" w:rsidP="008543B1">
      <w:pPr>
        <w:spacing w:after="0" w:line="240" w:lineRule="auto"/>
        <w:jc w:val="center"/>
        <w:rPr>
          <w:rFonts w:ascii="Times New Roman" w:hAnsi="Times New Roman"/>
          <w:sz w:val="24"/>
          <w:szCs w:val="24"/>
        </w:rPr>
      </w:pPr>
    </w:p>
    <w:p w14:paraId="0DD381AA" w14:textId="77777777" w:rsidR="008543B1" w:rsidRDefault="008543B1" w:rsidP="008543B1">
      <w:pPr>
        <w:spacing w:after="0" w:line="240" w:lineRule="auto"/>
        <w:jc w:val="center"/>
        <w:rPr>
          <w:rFonts w:ascii="Times New Roman" w:hAnsi="Times New Roman"/>
          <w:sz w:val="24"/>
          <w:szCs w:val="24"/>
        </w:rPr>
      </w:pPr>
    </w:p>
    <w:p w14:paraId="6328EEE1" w14:textId="77777777" w:rsidR="008543B1" w:rsidRDefault="008543B1" w:rsidP="008543B1">
      <w:pPr>
        <w:spacing w:after="0" w:line="240" w:lineRule="auto"/>
        <w:jc w:val="center"/>
        <w:rPr>
          <w:rFonts w:ascii="Times New Roman" w:hAnsi="Times New Roman"/>
          <w:sz w:val="24"/>
          <w:szCs w:val="24"/>
        </w:rPr>
      </w:pPr>
    </w:p>
    <w:p w14:paraId="0E4092D5" w14:textId="77777777" w:rsidR="008543B1" w:rsidRDefault="008543B1" w:rsidP="008543B1">
      <w:pPr>
        <w:spacing w:after="0" w:line="240" w:lineRule="auto"/>
        <w:jc w:val="center"/>
        <w:rPr>
          <w:rFonts w:ascii="Times New Roman" w:hAnsi="Times New Roman"/>
          <w:sz w:val="24"/>
          <w:szCs w:val="24"/>
        </w:rPr>
      </w:pPr>
    </w:p>
    <w:p w14:paraId="6328B8AE" w14:textId="77777777" w:rsidR="008543B1" w:rsidRDefault="008543B1" w:rsidP="008543B1">
      <w:pPr>
        <w:spacing w:after="0" w:line="240" w:lineRule="auto"/>
        <w:jc w:val="center"/>
        <w:rPr>
          <w:rFonts w:ascii="Times New Roman" w:hAnsi="Times New Roman"/>
          <w:sz w:val="24"/>
          <w:szCs w:val="24"/>
        </w:rPr>
      </w:pPr>
    </w:p>
    <w:p w14:paraId="731D0AC9" w14:textId="77777777" w:rsidR="008543B1" w:rsidRDefault="008543B1" w:rsidP="008543B1">
      <w:pPr>
        <w:spacing w:after="0" w:line="240" w:lineRule="auto"/>
        <w:jc w:val="center"/>
        <w:rPr>
          <w:rFonts w:ascii="Times New Roman" w:hAnsi="Times New Roman"/>
          <w:sz w:val="24"/>
          <w:szCs w:val="24"/>
        </w:rPr>
      </w:pPr>
    </w:p>
    <w:p w14:paraId="2990ED8F" w14:textId="77777777" w:rsidR="008543B1" w:rsidRDefault="008543B1" w:rsidP="008543B1">
      <w:pPr>
        <w:spacing w:after="0" w:line="240" w:lineRule="auto"/>
        <w:jc w:val="center"/>
        <w:rPr>
          <w:rFonts w:ascii="Times New Roman" w:hAnsi="Times New Roman"/>
          <w:sz w:val="24"/>
          <w:szCs w:val="24"/>
        </w:rPr>
      </w:pPr>
    </w:p>
    <w:p w14:paraId="7DD2C641" w14:textId="77777777" w:rsidR="008543B1" w:rsidRDefault="008543B1" w:rsidP="008543B1">
      <w:pPr>
        <w:spacing w:after="0" w:line="240" w:lineRule="auto"/>
        <w:jc w:val="center"/>
        <w:rPr>
          <w:rFonts w:ascii="Times New Roman" w:hAnsi="Times New Roman"/>
          <w:sz w:val="24"/>
          <w:szCs w:val="24"/>
        </w:rPr>
      </w:pPr>
    </w:p>
    <w:p w14:paraId="744A9588" w14:textId="77777777" w:rsidR="008543B1" w:rsidRDefault="008543B1" w:rsidP="008543B1">
      <w:pPr>
        <w:spacing w:after="0" w:line="240" w:lineRule="auto"/>
        <w:jc w:val="center"/>
        <w:rPr>
          <w:rFonts w:ascii="Times New Roman" w:hAnsi="Times New Roman"/>
          <w:sz w:val="24"/>
          <w:szCs w:val="24"/>
        </w:rPr>
      </w:pPr>
    </w:p>
    <w:p w14:paraId="7506834F" w14:textId="77777777" w:rsidR="008543B1" w:rsidRDefault="008543B1" w:rsidP="008543B1">
      <w:pPr>
        <w:spacing w:after="0" w:line="240" w:lineRule="auto"/>
        <w:jc w:val="center"/>
        <w:rPr>
          <w:rFonts w:ascii="Times New Roman" w:hAnsi="Times New Roman"/>
          <w:sz w:val="24"/>
          <w:szCs w:val="24"/>
        </w:rPr>
      </w:pPr>
    </w:p>
    <w:p w14:paraId="0F3A9AC6" w14:textId="77777777" w:rsidR="008543B1" w:rsidRDefault="008543B1" w:rsidP="008543B1">
      <w:pPr>
        <w:spacing w:after="0" w:line="240" w:lineRule="auto"/>
        <w:jc w:val="center"/>
        <w:rPr>
          <w:rFonts w:ascii="Times New Roman" w:hAnsi="Times New Roman"/>
          <w:sz w:val="24"/>
          <w:szCs w:val="24"/>
        </w:rPr>
      </w:pPr>
    </w:p>
    <w:p w14:paraId="6383669D" w14:textId="77777777" w:rsidR="008543B1" w:rsidRDefault="008543B1" w:rsidP="008543B1">
      <w:pPr>
        <w:spacing w:after="0" w:line="240" w:lineRule="auto"/>
        <w:jc w:val="center"/>
        <w:rPr>
          <w:rFonts w:ascii="Times New Roman" w:hAnsi="Times New Roman"/>
          <w:sz w:val="24"/>
          <w:szCs w:val="24"/>
        </w:rPr>
      </w:pPr>
    </w:p>
    <w:p w14:paraId="1EF59854" w14:textId="77777777" w:rsidR="008543B1" w:rsidRDefault="008543B1" w:rsidP="008543B1">
      <w:pPr>
        <w:spacing w:after="0" w:line="240" w:lineRule="auto"/>
        <w:jc w:val="center"/>
        <w:rPr>
          <w:rFonts w:ascii="Times New Roman" w:hAnsi="Times New Roman"/>
          <w:sz w:val="24"/>
          <w:szCs w:val="24"/>
        </w:rPr>
      </w:pPr>
    </w:p>
    <w:p w14:paraId="40EDA946" w14:textId="77777777" w:rsidR="008543B1" w:rsidRDefault="008543B1" w:rsidP="008543B1">
      <w:pPr>
        <w:spacing w:after="0" w:line="240" w:lineRule="auto"/>
        <w:jc w:val="center"/>
        <w:rPr>
          <w:rFonts w:ascii="Times New Roman" w:hAnsi="Times New Roman"/>
          <w:sz w:val="24"/>
          <w:szCs w:val="24"/>
        </w:rPr>
      </w:pPr>
    </w:p>
    <w:p w14:paraId="733339B5" w14:textId="77777777" w:rsidR="008543B1" w:rsidRDefault="008543B1" w:rsidP="008543B1">
      <w:pPr>
        <w:spacing w:after="0" w:line="240" w:lineRule="auto"/>
        <w:jc w:val="center"/>
        <w:rPr>
          <w:rFonts w:ascii="Times New Roman" w:hAnsi="Times New Roman"/>
          <w:sz w:val="24"/>
          <w:szCs w:val="24"/>
        </w:rPr>
      </w:pPr>
    </w:p>
    <w:p w14:paraId="36052B46" w14:textId="77777777" w:rsidR="008543B1" w:rsidRDefault="008543B1" w:rsidP="008543B1">
      <w:pPr>
        <w:spacing w:after="0" w:line="240" w:lineRule="auto"/>
        <w:jc w:val="center"/>
        <w:rPr>
          <w:rFonts w:ascii="Times New Roman" w:hAnsi="Times New Roman"/>
          <w:sz w:val="24"/>
          <w:szCs w:val="24"/>
        </w:rPr>
      </w:pPr>
    </w:p>
    <w:p w14:paraId="3689466D" w14:textId="77777777" w:rsidR="008543B1" w:rsidRDefault="008543B1" w:rsidP="008543B1">
      <w:pPr>
        <w:spacing w:after="0" w:line="240" w:lineRule="auto"/>
        <w:jc w:val="center"/>
        <w:rPr>
          <w:rFonts w:ascii="Times New Roman" w:hAnsi="Times New Roman"/>
          <w:sz w:val="24"/>
          <w:szCs w:val="24"/>
        </w:rPr>
      </w:pPr>
    </w:p>
    <w:p w14:paraId="2A2E1124" w14:textId="77777777" w:rsidR="008543B1" w:rsidRDefault="008543B1" w:rsidP="008543B1">
      <w:pPr>
        <w:spacing w:after="0" w:line="240" w:lineRule="auto"/>
        <w:jc w:val="center"/>
        <w:rPr>
          <w:rFonts w:ascii="Times New Roman" w:hAnsi="Times New Roman"/>
          <w:sz w:val="24"/>
          <w:szCs w:val="24"/>
        </w:rPr>
      </w:pPr>
    </w:p>
    <w:p w14:paraId="75D3E701" w14:textId="77777777" w:rsidR="008543B1" w:rsidRDefault="008543B1" w:rsidP="008543B1">
      <w:pPr>
        <w:spacing w:after="0" w:line="240" w:lineRule="auto"/>
        <w:jc w:val="center"/>
        <w:rPr>
          <w:rFonts w:ascii="Times New Roman" w:hAnsi="Times New Roman"/>
          <w:sz w:val="24"/>
          <w:szCs w:val="24"/>
        </w:rPr>
      </w:pPr>
    </w:p>
    <w:p w14:paraId="313670E3" w14:textId="77777777" w:rsidR="008543B1" w:rsidRDefault="008543B1" w:rsidP="008543B1">
      <w:pPr>
        <w:spacing w:after="0" w:line="240" w:lineRule="auto"/>
        <w:jc w:val="center"/>
        <w:rPr>
          <w:rFonts w:ascii="Times New Roman" w:hAnsi="Times New Roman"/>
          <w:sz w:val="24"/>
          <w:szCs w:val="24"/>
        </w:rPr>
      </w:pPr>
    </w:p>
    <w:p w14:paraId="54F6F2B4" w14:textId="77777777" w:rsidR="008543B1" w:rsidRDefault="008543B1" w:rsidP="008543B1">
      <w:pPr>
        <w:spacing w:after="0" w:line="240" w:lineRule="auto"/>
        <w:jc w:val="center"/>
        <w:rPr>
          <w:rFonts w:ascii="Times New Roman" w:hAnsi="Times New Roman"/>
          <w:sz w:val="24"/>
          <w:szCs w:val="24"/>
        </w:rPr>
      </w:pPr>
    </w:p>
    <w:p w14:paraId="79C8CB6F" w14:textId="77777777" w:rsidR="008543B1" w:rsidRDefault="008543B1" w:rsidP="008543B1">
      <w:pPr>
        <w:spacing w:after="0" w:line="240" w:lineRule="auto"/>
        <w:jc w:val="center"/>
        <w:rPr>
          <w:rFonts w:ascii="Times New Roman" w:hAnsi="Times New Roman"/>
          <w:sz w:val="24"/>
          <w:szCs w:val="24"/>
        </w:rPr>
      </w:pPr>
    </w:p>
    <w:p w14:paraId="2BB6B262" w14:textId="77777777" w:rsidR="008543B1" w:rsidRDefault="008543B1" w:rsidP="008543B1">
      <w:pPr>
        <w:spacing w:after="0" w:line="240" w:lineRule="auto"/>
        <w:jc w:val="center"/>
        <w:rPr>
          <w:rFonts w:ascii="Times New Roman" w:hAnsi="Times New Roman"/>
          <w:sz w:val="24"/>
          <w:szCs w:val="24"/>
        </w:rPr>
      </w:pPr>
    </w:p>
    <w:p w14:paraId="07A19DA8" w14:textId="77777777" w:rsidR="008543B1" w:rsidRDefault="008543B1" w:rsidP="008543B1">
      <w:pPr>
        <w:spacing w:after="0" w:line="240" w:lineRule="auto"/>
        <w:jc w:val="center"/>
        <w:rPr>
          <w:rFonts w:ascii="Times New Roman" w:hAnsi="Times New Roman"/>
          <w:sz w:val="24"/>
          <w:szCs w:val="24"/>
        </w:rPr>
      </w:pPr>
    </w:p>
    <w:p w14:paraId="07B0E042" w14:textId="77777777" w:rsidR="008543B1" w:rsidRDefault="008543B1" w:rsidP="008543B1">
      <w:pPr>
        <w:spacing w:after="0" w:line="240" w:lineRule="auto"/>
        <w:jc w:val="center"/>
        <w:rPr>
          <w:rFonts w:ascii="Times New Roman" w:hAnsi="Times New Roman"/>
          <w:sz w:val="24"/>
          <w:szCs w:val="24"/>
        </w:rPr>
      </w:pPr>
    </w:p>
    <w:p w14:paraId="0B7B94A3" w14:textId="77777777" w:rsidR="008543B1" w:rsidRDefault="008543B1" w:rsidP="008543B1">
      <w:pPr>
        <w:spacing w:after="0" w:line="240" w:lineRule="auto"/>
        <w:jc w:val="center"/>
        <w:rPr>
          <w:rFonts w:ascii="Times New Roman" w:hAnsi="Times New Roman"/>
          <w:sz w:val="24"/>
          <w:szCs w:val="24"/>
        </w:rPr>
      </w:pPr>
    </w:p>
    <w:p w14:paraId="25A997BE" w14:textId="77777777" w:rsidR="008543B1" w:rsidRDefault="008543B1" w:rsidP="008543B1">
      <w:pPr>
        <w:spacing w:after="0" w:line="240" w:lineRule="auto"/>
        <w:jc w:val="center"/>
        <w:rPr>
          <w:rFonts w:ascii="Times New Roman" w:hAnsi="Times New Roman"/>
          <w:sz w:val="24"/>
          <w:szCs w:val="24"/>
        </w:rPr>
      </w:pPr>
    </w:p>
    <w:p w14:paraId="09A3789C" w14:textId="77777777" w:rsidR="008543B1" w:rsidRDefault="008543B1" w:rsidP="008543B1">
      <w:pPr>
        <w:spacing w:after="0" w:line="240" w:lineRule="auto"/>
        <w:jc w:val="center"/>
        <w:rPr>
          <w:rFonts w:ascii="Times New Roman" w:hAnsi="Times New Roman"/>
          <w:sz w:val="24"/>
          <w:szCs w:val="24"/>
        </w:rPr>
      </w:pPr>
    </w:p>
    <w:p w14:paraId="1B05C041" w14:textId="77777777" w:rsidR="008543B1" w:rsidRDefault="008543B1" w:rsidP="008543B1">
      <w:pPr>
        <w:spacing w:after="0" w:line="240" w:lineRule="auto"/>
        <w:jc w:val="center"/>
        <w:rPr>
          <w:rFonts w:ascii="Times New Roman" w:hAnsi="Times New Roman"/>
          <w:sz w:val="24"/>
          <w:szCs w:val="24"/>
        </w:rPr>
      </w:pPr>
    </w:p>
    <w:p w14:paraId="00E46721" w14:textId="77777777" w:rsidR="008543B1" w:rsidRDefault="008543B1" w:rsidP="008543B1">
      <w:pPr>
        <w:spacing w:after="0" w:line="240" w:lineRule="auto"/>
        <w:jc w:val="center"/>
        <w:rPr>
          <w:rFonts w:ascii="Times New Roman" w:hAnsi="Times New Roman"/>
          <w:sz w:val="24"/>
          <w:szCs w:val="24"/>
        </w:rPr>
      </w:pPr>
    </w:p>
    <w:p w14:paraId="3C73AABF" w14:textId="77777777" w:rsidR="008543B1" w:rsidRDefault="008543B1" w:rsidP="008543B1">
      <w:pPr>
        <w:spacing w:after="0" w:line="240" w:lineRule="auto"/>
        <w:jc w:val="center"/>
        <w:rPr>
          <w:rFonts w:ascii="Times New Roman" w:hAnsi="Times New Roman"/>
          <w:sz w:val="24"/>
          <w:szCs w:val="24"/>
        </w:rPr>
      </w:pPr>
    </w:p>
    <w:p w14:paraId="5385C532" w14:textId="77777777" w:rsidR="008543B1" w:rsidRDefault="008543B1" w:rsidP="008543B1">
      <w:pPr>
        <w:spacing w:after="0" w:line="240" w:lineRule="auto"/>
        <w:jc w:val="center"/>
        <w:rPr>
          <w:rFonts w:ascii="Times New Roman" w:hAnsi="Times New Roman"/>
          <w:sz w:val="24"/>
          <w:szCs w:val="24"/>
        </w:rPr>
      </w:pPr>
    </w:p>
    <w:p w14:paraId="4B3E1767" w14:textId="77777777" w:rsidR="008543B1" w:rsidRDefault="008543B1" w:rsidP="008543B1">
      <w:pPr>
        <w:spacing w:after="0" w:line="240" w:lineRule="auto"/>
        <w:jc w:val="center"/>
        <w:rPr>
          <w:rFonts w:ascii="Times New Roman" w:hAnsi="Times New Roman"/>
          <w:sz w:val="24"/>
          <w:szCs w:val="24"/>
        </w:rPr>
      </w:pPr>
    </w:p>
    <w:p w14:paraId="395EBBA0" w14:textId="77777777" w:rsidR="008543B1" w:rsidRDefault="008543B1" w:rsidP="008543B1">
      <w:pPr>
        <w:spacing w:after="0" w:line="240" w:lineRule="auto"/>
        <w:jc w:val="center"/>
        <w:rPr>
          <w:rFonts w:ascii="Times New Roman" w:hAnsi="Times New Roman"/>
          <w:sz w:val="24"/>
          <w:szCs w:val="24"/>
        </w:rPr>
      </w:pPr>
    </w:p>
    <w:p w14:paraId="6EDE74B4" w14:textId="77777777" w:rsidR="008543B1" w:rsidRDefault="008543B1" w:rsidP="008543B1">
      <w:pPr>
        <w:spacing w:after="0" w:line="240" w:lineRule="auto"/>
        <w:jc w:val="center"/>
        <w:rPr>
          <w:rFonts w:ascii="Times New Roman" w:hAnsi="Times New Roman"/>
          <w:sz w:val="24"/>
          <w:szCs w:val="24"/>
        </w:rPr>
      </w:pPr>
    </w:p>
    <w:p w14:paraId="386E4131" w14:textId="77777777" w:rsidR="008543B1" w:rsidRDefault="008543B1" w:rsidP="008543B1">
      <w:pPr>
        <w:spacing w:after="0" w:line="240" w:lineRule="auto"/>
        <w:jc w:val="center"/>
        <w:rPr>
          <w:rFonts w:ascii="Times New Roman" w:hAnsi="Times New Roman"/>
          <w:sz w:val="24"/>
          <w:szCs w:val="24"/>
        </w:rPr>
      </w:pPr>
    </w:p>
    <w:p w14:paraId="4A63520E" w14:textId="6730064A" w:rsidR="008543B1" w:rsidRPr="008543B1" w:rsidRDefault="008543B1" w:rsidP="008543B1">
      <w:pPr>
        <w:spacing w:after="0" w:line="240" w:lineRule="auto"/>
        <w:jc w:val="center"/>
        <w:rPr>
          <w:rFonts w:ascii="Times New Roman" w:hAnsi="Times New Roman"/>
          <w:sz w:val="24"/>
          <w:szCs w:val="24"/>
        </w:rPr>
      </w:pPr>
      <w:r w:rsidRPr="008543B1">
        <w:rPr>
          <w:rFonts w:ascii="Times New Roman" w:hAnsi="Times New Roman"/>
          <w:sz w:val="24"/>
          <w:szCs w:val="24"/>
        </w:rPr>
        <w:lastRenderedPageBreak/>
        <w:t>Res. No. 499</w:t>
      </w:r>
    </w:p>
    <w:p w14:paraId="5F4FD1FB" w14:textId="77777777" w:rsidR="008543B1" w:rsidRPr="008543B1" w:rsidRDefault="008543B1" w:rsidP="008543B1">
      <w:pPr>
        <w:spacing w:after="0" w:line="240" w:lineRule="auto"/>
        <w:rPr>
          <w:rFonts w:ascii="Times New Roman" w:hAnsi="Times New Roman"/>
          <w:sz w:val="24"/>
          <w:szCs w:val="24"/>
        </w:rPr>
      </w:pPr>
    </w:p>
    <w:p w14:paraId="1437746F" w14:textId="77777777" w:rsidR="008543B1" w:rsidRPr="008543B1" w:rsidRDefault="008543B1" w:rsidP="008543B1">
      <w:pPr>
        <w:spacing w:after="0" w:line="240" w:lineRule="auto"/>
        <w:jc w:val="both"/>
        <w:rPr>
          <w:rFonts w:ascii="Times New Roman" w:hAnsi="Times New Roman"/>
          <w:vanish/>
          <w:sz w:val="24"/>
          <w:szCs w:val="24"/>
        </w:rPr>
      </w:pPr>
      <w:r w:rsidRPr="008543B1">
        <w:rPr>
          <w:rFonts w:ascii="Times New Roman" w:hAnsi="Times New Roman"/>
          <w:vanish/>
          <w:sz w:val="24"/>
          <w:szCs w:val="24"/>
        </w:rPr>
        <w:t>..Title</w:t>
      </w:r>
    </w:p>
    <w:p w14:paraId="2E7A8F88" w14:textId="77777777" w:rsidR="008543B1" w:rsidRPr="008543B1" w:rsidRDefault="008543B1" w:rsidP="008543B1">
      <w:pPr>
        <w:spacing w:after="0" w:line="240" w:lineRule="auto"/>
        <w:jc w:val="both"/>
        <w:rPr>
          <w:rFonts w:ascii="Times New Roman" w:hAnsi="Times New Roman"/>
          <w:sz w:val="24"/>
          <w:szCs w:val="24"/>
        </w:rPr>
      </w:pPr>
      <w:r w:rsidRPr="008543B1">
        <w:rPr>
          <w:rFonts w:ascii="Times New Roman" w:hAnsi="Times New Roman"/>
          <w:sz w:val="24"/>
          <w:szCs w:val="24"/>
        </w:rPr>
        <w:t>Resolution calling on the United States Congress to pass, and the President to sign, the Protecting Consumers from Deceptive AI Act.</w:t>
      </w:r>
    </w:p>
    <w:p w14:paraId="2EE119A4" w14:textId="77777777" w:rsidR="008543B1" w:rsidRPr="008543B1" w:rsidRDefault="008543B1" w:rsidP="008543B1">
      <w:pPr>
        <w:spacing w:after="0" w:line="240" w:lineRule="auto"/>
        <w:jc w:val="both"/>
        <w:rPr>
          <w:rFonts w:ascii="Times New Roman" w:hAnsi="Times New Roman"/>
          <w:vanish/>
          <w:sz w:val="24"/>
          <w:szCs w:val="24"/>
        </w:rPr>
      </w:pPr>
      <w:r w:rsidRPr="008543B1">
        <w:rPr>
          <w:rFonts w:ascii="Times New Roman" w:hAnsi="Times New Roman"/>
          <w:vanish/>
          <w:sz w:val="24"/>
          <w:szCs w:val="24"/>
        </w:rPr>
        <w:t>..Body</w:t>
      </w:r>
    </w:p>
    <w:p w14:paraId="0CA17C20" w14:textId="77777777" w:rsidR="008543B1" w:rsidRPr="008543B1" w:rsidRDefault="008543B1" w:rsidP="008543B1">
      <w:pPr>
        <w:spacing w:after="0" w:line="240" w:lineRule="auto"/>
        <w:jc w:val="both"/>
        <w:rPr>
          <w:rFonts w:ascii="Times New Roman" w:hAnsi="Times New Roman"/>
          <w:sz w:val="24"/>
          <w:szCs w:val="24"/>
        </w:rPr>
      </w:pPr>
    </w:p>
    <w:p w14:paraId="2A239F68" w14:textId="77777777" w:rsidR="008543B1" w:rsidRPr="008543B1" w:rsidRDefault="008543B1" w:rsidP="008543B1">
      <w:pPr>
        <w:autoSpaceDE w:val="0"/>
        <w:autoSpaceDN w:val="0"/>
        <w:adjustRightInd w:val="0"/>
        <w:spacing w:after="0" w:line="240" w:lineRule="auto"/>
        <w:jc w:val="both"/>
        <w:rPr>
          <w:rFonts w:ascii="Times New Roman" w:hAnsi="Times New Roman"/>
          <w:sz w:val="24"/>
          <w:szCs w:val="24"/>
        </w:rPr>
      </w:pPr>
      <w:r w:rsidRPr="008543B1">
        <w:rPr>
          <w:rFonts w:ascii="Times New Roman" w:hAnsi="Times New Roman"/>
          <w:sz w:val="24"/>
          <w:szCs w:val="24"/>
        </w:rPr>
        <w:t xml:space="preserve">By Council Members Joseph, Farías, Avilés, Cabán, Salaam, Banks, Sanchez, Brannan, Brewer, Stevens, Louis, Rivera, </w:t>
      </w:r>
      <w:proofErr w:type="spellStart"/>
      <w:r w:rsidRPr="008543B1">
        <w:rPr>
          <w:rFonts w:ascii="Times New Roman" w:hAnsi="Times New Roman"/>
          <w:sz w:val="24"/>
          <w:szCs w:val="24"/>
        </w:rPr>
        <w:t>Ossé</w:t>
      </w:r>
      <w:proofErr w:type="spellEnd"/>
      <w:r w:rsidRPr="008543B1">
        <w:rPr>
          <w:rFonts w:ascii="Times New Roman" w:hAnsi="Times New Roman"/>
          <w:sz w:val="24"/>
          <w:szCs w:val="24"/>
        </w:rPr>
        <w:t>, Ayala, Schulman, Brooks-Powers, Feliz, Gutiérrez and Narcisse</w:t>
      </w:r>
    </w:p>
    <w:p w14:paraId="33A73312" w14:textId="77777777" w:rsidR="008543B1" w:rsidRPr="008543B1" w:rsidRDefault="008543B1" w:rsidP="008543B1">
      <w:pPr>
        <w:spacing w:after="0" w:line="240" w:lineRule="auto"/>
        <w:jc w:val="both"/>
        <w:rPr>
          <w:rFonts w:ascii="Times New Roman" w:hAnsi="Times New Roman"/>
          <w:sz w:val="24"/>
          <w:szCs w:val="24"/>
        </w:rPr>
      </w:pPr>
    </w:p>
    <w:p w14:paraId="305F0EA9"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w:t>
      </w:r>
      <w:proofErr w:type="gramStart"/>
      <w:r w:rsidRPr="008543B1">
        <w:rPr>
          <w:rFonts w:ascii="Times New Roman" w:eastAsia="Times New Roman" w:hAnsi="Times New Roman"/>
          <w:sz w:val="24"/>
          <w:szCs w:val="24"/>
        </w:rPr>
        <w:t>The</w:t>
      </w:r>
      <w:proofErr w:type="gramEnd"/>
      <w:r w:rsidRPr="008543B1">
        <w:rPr>
          <w:rFonts w:ascii="Times New Roman" w:eastAsia="Times New Roman" w:hAnsi="Times New Roman"/>
          <w:sz w:val="24"/>
          <w:szCs w:val="24"/>
        </w:rPr>
        <w:t xml:space="preserve"> advancement of generative artificial intelligence (AI) models has led to a significant increase in the creation of convincing “deepfakes,” or computationally created media that falsely represent reality; and </w:t>
      </w:r>
    </w:p>
    <w:p w14:paraId="49C22A0F"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w:t>
      </w:r>
      <w:proofErr w:type="gramStart"/>
      <w:r w:rsidRPr="008543B1">
        <w:rPr>
          <w:rFonts w:ascii="Times New Roman" w:eastAsia="Times New Roman" w:hAnsi="Times New Roman"/>
          <w:sz w:val="24"/>
          <w:szCs w:val="24"/>
        </w:rPr>
        <w:t>It</w:t>
      </w:r>
      <w:proofErr w:type="gramEnd"/>
      <w:r w:rsidRPr="008543B1">
        <w:rPr>
          <w:rFonts w:ascii="Times New Roman" w:eastAsia="Times New Roman" w:hAnsi="Times New Roman"/>
          <w:sz w:val="24"/>
          <w:szCs w:val="24"/>
        </w:rPr>
        <w:t xml:space="preserve"> is difficult to tell real and AI-generated images, audio, and videos apart, and multiple studies have shown that people cannot reliably detect </w:t>
      </w:r>
      <w:proofErr w:type="gramStart"/>
      <w:r w:rsidRPr="008543B1">
        <w:rPr>
          <w:rFonts w:ascii="Times New Roman" w:eastAsia="Times New Roman" w:hAnsi="Times New Roman"/>
          <w:sz w:val="24"/>
          <w:szCs w:val="24"/>
        </w:rPr>
        <w:t>deepfakes</w:t>
      </w:r>
      <w:proofErr w:type="gramEnd"/>
      <w:r w:rsidRPr="008543B1">
        <w:rPr>
          <w:rFonts w:ascii="Times New Roman" w:eastAsia="Times New Roman" w:hAnsi="Times New Roman"/>
          <w:sz w:val="24"/>
          <w:szCs w:val="24"/>
        </w:rPr>
        <w:t xml:space="preserve">; and </w:t>
      </w:r>
    </w:p>
    <w:p w14:paraId="38D451EC"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Bad actors can use deepfakes to deceive, misrepresent, and influence people, and researchers at cybersecurity company Mandiant have documented </w:t>
      </w:r>
      <w:proofErr w:type="gramStart"/>
      <w:r w:rsidRPr="008543B1">
        <w:rPr>
          <w:rFonts w:ascii="Times New Roman" w:eastAsia="Times New Roman" w:hAnsi="Times New Roman"/>
          <w:sz w:val="24"/>
          <w:szCs w:val="24"/>
        </w:rPr>
        <w:t>a number of</w:t>
      </w:r>
      <w:proofErr w:type="gramEnd"/>
      <w:r w:rsidRPr="008543B1">
        <w:rPr>
          <w:rFonts w:ascii="Times New Roman" w:eastAsia="Times New Roman" w:hAnsi="Times New Roman"/>
          <w:sz w:val="24"/>
          <w:szCs w:val="24"/>
        </w:rPr>
        <w:t xml:space="preserve"> instances of illicit actors using AI and deepfake technology for phishing scams, misinformation, and other illicit purposes; and </w:t>
      </w:r>
    </w:p>
    <w:p w14:paraId="4457A7B8"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Deceptive deepfakes have robbed millions of dollars from companies and individuals worldwide, including scams involving parents getting calls from cloned versions of their child’s voice asking for money, according to a 2023 </w:t>
      </w:r>
      <w:r w:rsidRPr="008543B1">
        <w:rPr>
          <w:rFonts w:ascii="Times New Roman" w:eastAsia="Times New Roman" w:hAnsi="Times New Roman"/>
          <w:i/>
          <w:sz w:val="24"/>
          <w:szCs w:val="24"/>
        </w:rPr>
        <w:t xml:space="preserve">Bloomberg </w:t>
      </w:r>
      <w:r w:rsidRPr="008543B1">
        <w:rPr>
          <w:rFonts w:ascii="Times New Roman" w:eastAsia="Times New Roman" w:hAnsi="Times New Roman"/>
          <w:sz w:val="24"/>
          <w:szCs w:val="24"/>
        </w:rPr>
        <w:t xml:space="preserve">report; and </w:t>
      </w:r>
    </w:p>
    <w:p w14:paraId="71CA27A4"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Deepfake celebrity endorsements of various products and scams have proliferated in the past year, including ads in which a deepfake of Tom Hanks endorsed a dental insurance plan and a deepfake of Taylor Swift promoted a cookware giveaway, as reported by </w:t>
      </w:r>
      <w:r w:rsidRPr="008543B1">
        <w:rPr>
          <w:rFonts w:ascii="Times New Roman" w:eastAsia="Times New Roman" w:hAnsi="Times New Roman"/>
          <w:i/>
          <w:sz w:val="24"/>
          <w:szCs w:val="24"/>
        </w:rPr>
        <w:t>The New York Times</w:t>
      </w:r>
      <w:r w:rsidRPr="008543B1">
        <w:rPr>
          <w:rFonts w:ascii="Times New Roman" w:eastAsia="Times New Roman" w:hAnsi="Times New Roman"/>
          <w:sz w:val="24"/>
          <w:szCs w:val="24"/>
        </w:rPr>
        <w:t xml:space="preserve">; and </w:t>
      </w:r>
    </w:p>
    <w:p w14:paraId="735FAAB2"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Whereas, Deepfakes are also being used to influence politics, including an audio recording featuring a voice deepfake of Manhattan Democratic leader and former state Assemblyman Keith Wright disparaging Harlem Assemblywoman Inez Dickens posted online in 2023; and</w:t>
      </w:r>
    </w:p>
    <w:p w14:paraId="38247310"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lastRenderedPageBreak/>
        <w:t>Whereas,</w:t>
      </w:r>
      <w:proofErr w:type="gramEnd"/>
      <w:r w:rsidRPr="008543B1">
        <w:rPr>
          <w:rFonts w:ascii="Times New Roman" w:eastAsia="Times New Roman" w:hAnsi="Times New Roman"/>
          <w:sz w:val="24"/>
          <w:szCs w:val="24"/>
        </w:rPr>
        <w:t xml:space="preserve"> AI-generated content has led to numerous instances of harm to minors, particularly through the sharing of fake sexually explicit media; and </w:t>
      </w:r>
    </w:p>
    <w:p w14:paraId="695F0527"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Clear labeling of AI-generated content would help protect New Yorkers from deception; and </w:t>
      </w:r>
    </w:p>
    <w:p w14:paraId="7D5588EC"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Whereas, </w:t>
      </w:r>
      <w:proofErr w:type="gramStart"/>
      <w:r w:rsidRPr="008543B1">
        <w:rPr>
          <w:rFonts w:ascii="Times New Roman" w:eastAsia="Times New Roman" w:hAnsi="Times New Roman"/>
          <w:sz w:val="24"/>
          <w:szCs w:val="24"/>
        </w:rPr>
        <w:t>As</w:t>
      </w:r>
      <w:proofErr w:type="gramEnd"/>
      <w:r w:rsidRPr="008543B1">
        <w:rPr>
          <w:rFonts w:ascii="Times New Roman" w:eastAsia="Times New Roman" w:hAnsi="Times New Roman"/>
          <w:sz w:val="24"/>
          <w:szCs w:val="24"/>
        </w:rPr>
        <w:t xml:space="preserve"> part of the Fiscal Year 2025 state budget, New York amended section 14-106 of the Election Law to require any entity that distributes or publishes any political communication altered with AI technology that could reasonably be perceived as authentic include a disclaimer that the material has been manipulated; and </w:t>
      </w:r>
    </w:p>
    <w:p w14:paraId="5572CB2E"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The Protecting Consumers from Deceptive AI Act, introduced in Congress by Representatives Anna Eshoo and Neal Dunn, attempts to mitigate the risks posed by deepfakes by requiring disclosures of all AI-generated content; and </w:t>
      </w:r>
    </w:p>
    <w:p w14:paraId="2FE990E2"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H.R.7766, the Protecting Consumers from Deceptive AI Act, would direct the National Institute of Standards and Technology to facilitate the development of standards for identifying and labeling AI-generated content; and  </w:t>
      </w:r>
    </w:p>
    <w:p w14:paraId="2E67FA88"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The Protecting Consumers from Deceptive AI Act would require generative AI developers to include machine-readable disclosures such as watermarks within content generated by their AI applications; and </w:t>
      </w:r>
    </w:p>
    <w:p w14:paraId="6602F15F"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proofErr w:type="gramStart"/>
      <w:r w:rsidRPr="008543B1">
        <w:rPr>
          <w:rFonts w:ascii="Times New Roman" w:eastAsia="Times New Roman" w:hAnsi="Times New Roman"/>
          <w:sz w:val="24"/>
          <w:szCs w:val="24"/>
        </w:rPr>
        <w:t>Whereas,</w:t>
      </w:r>
      <w:proofErr w:type="gramEnd"/>
      <w:r w:rsidRPr="008543B1">
        <w:rPr>
          <w:rFonts w:ascii="Times New Roman" w:eastAsia="Times New Roman" w:hAnsi="Times New Roman"/>
          <w:sz w:val="24"/>
          <w:szCs w:val="24"/>
        </w:rPr>
        <w:t xml:space="preserve"> The Protecting Consumers from Deceptive AI Act would require online platforms to use these disclosures to label AI-generated content; now, therefore, be it,</w:t>
      </w:r>
    </w:p>
    <w:p w14:paraId="19F2ABAC" w14:textId="77777777" w:rsidR="008543B1" w:rsidRPr="008543B1" w:rsidRDefault="008543B1" w:rsidP="008543B1">
      <w:pPr>
        <w:shd w:val="clear" w:color="auto" w:fill="FFFFFF"/>
        <w:spacing w:after="0" w:line="480" w:lineRule="auto"/>
        <w:ind w:firstLine="720"/>
        <w:jc w:val="both"/>
        <w:rPr>
          <w:rFonts w:ascii="Times New Roman" w:eastAsia="Times New Roman" w:hAnsi="Times New Roman"/>
          <w:sz w:val="24"/>
          <w:szCs w:val="24"/>
        </w:rPr>
      </w:pPr>
      <w:r w:rsidRPr="008543B1">
        <w:rPr>
          <w:rFonts w:ascii="Times New Roman" w:eastAsia="Times New Roman" w:hAnsi="Times New Roman"/>
          <w:sz w:val="24"/>
          <w:szCs w:val="24"/>
        </w:rPr>
        <w:t xml:space="preserve">Resolved, That the Council of the City of New York calls </w:t>
      </w:r>
      <w:proofErr w:type="gramStart"/>
      <w:r w:rsidRPr="008543B1">
        <w:rPr>
          <w:rFonts w:ascii="Times New Roman" w:eastAsia="Times New Roman" w:hAnsi="Times New Roman"/>
          <w:sz w:val="24"/>
          <w:szCs w:val="24"/>
        </w:rPr>
        <w:t>on  the</w:t>
      </w:r>
      <w:proofErr w:type="gramEnd"/>
      <w:r w:rsidRPr="008543B1">
        <w:rPr>
          <w:rFonts w:ascii="Times New Roman" w:eastAsia="Times New Roman" w:hAnsi="Times New Roman"/>
          <w:sz w:val="24"/>
          <w:szCs w:val="24"/>
        </w:rPr>
        <w:t xml:space="preserve"> United States Congress to pass, and the President to sign, the Protecting Consumers from Deceptive AI Act.</w:t>
      </w:r>
    </w:p>
    <w:p w14:paraId="0DB09704" w14:textId="77777777" w:rsidR="008543B1" w:rsidRPr="008543B1" w:rsidRDefault="008543B1" w:rsidP="008543B1">
      <w:pPr>
        <w:shd w:val="clear" w:color="auto" w:fill="FFFFFF"/>
        <w:spacing w:after="0" w:line="480" w:lineRule="auto"/>
        <w:jc w:val="both"/>
        <w:rPr>
          <w:rFonts w:ascii="Times New Roman" w:eastAsia="Times New Roman" w:hAnsi="Times New Roman"/>
          <w:sz w:val="20"/>
          <w:szCs w:val="20"/>
        </w:rPr>
      </w:pPr>
    </w:p>
    <w:p w14:paraId="4A9E2A67" w14:textId="77777777" w:rsidR="008543B1" w:rsidRPr="008543B1" w:rsidRDefault="008543B1" w:rsidP="008543B1">
      <w:pPr>
        <w:shd w:val="clear" w:color="auto" w:fill="FFFFFF"/>
        <w:spacing w:after="0" w:line="240" w:lineRule="auto"/>
        <w:jc w:val="both"/>
        <w:rPr>
          <w:rFonts w:ascii="Times New Roman" w:eastAsia="Times New Roman" w:hAnsi="Times New Roman"/>
          <w:sz w:val="20"/>
          <w:szCs w:val="20"/>
        </w:rPr>
      </w:pPr>
      <w:r w:rsidRPr="008543B1">
        <w:rPr>
          <w:rFonts w:ascii="Times New Roman" w:eastAsia="Times New Roman" w:hAnsi="Times New Roman"/>
          <w:sz w:val="20"/>
          <w:szCs w:val="20"/>
        </w:rPr>
        <w:t>NEM</w:t>
      </w:r>
    </w:p>
    <w:p w14:paraId="30CD82DE" w14:textId="77777777" w:rsidR="008543B1" w:rsidRPr="008543B1" w:rsidRDefault="008543B1" w:rsidP="008543B1">
      <w:pPr>
        <w:shd w:val="clear" w:color="auto" w:fill="FFFFFF"/>
        <w:spacing w:after="0" w:line="240" w:lineRule="auto"/>
        <w:jc w:val="both"/>
        <w:rPr>
          <w:rFonts w:ascii="Times New Roman" w:eastAsia="Times New Roman" w:hAnsi="Times New Roman"/>
          <w:sz w:val="20"/>
          <w:szCs w:val="20"/>
        </w:rPr>
      </w:pPr>
      <w:r w:rsidRPr="008543B1">
        <w:rPr>
          <w:rFonts w:ascii="Times New Roman" w:eastAsia="Times New Roman" w:hAnsi="Times New Roman"/>
          <w:sz w:val="20"/>
          <w:szCs w:val="20"/>
        </w:rPr>
        <w:t>LS 17103</w:t>
      </w:r>
    </w:p>
    <w:p w14:paraId="49E13C42" w14:textId="440523D3" w:rsidR="00377BEC" w:rsidRPr="00E915AF" w:rsidRDefault="008543B1" w:rsidP="00E915AF">
      <w:pPr>
        <w:shd w:val="clear" w:color="auto" w:fill="FFFFFF"/>
        <w:spacing w:after="0" w:line="240" w:lineRule="auto"/>
        <w:jc w:val="both"/>
        <w:rPr>
          <w:rFonts w:ascii="Times New Roman" w:eastAsia="Times New Roman" w:hAnsi="Times New Roman"/>
          <w:sz w:val="20"/>
          <w:szCs w:val="20"/>
        </w:rPr>
      </w:pPr>
      <w:r w:rsidRPr="008543B1">
        <w:rPr>
          <w:rFonts w:ascii="Times New Roman" w:eastAsia="Times New Roman" w:hAnsi="Times New Roman"/>
          <w:sz w:val="20"/>
          <w:szCs w:val="20"/>
        </w:rPr>
        <w:t>7/11/24</w:t>
      </w:r>
    </w:p>
    <w:p w14:paraId="623661DF" w14:textId="77777777" w:rsidR="00377BEC" w:rsidRDefault="00377BEC"/>
    <w:p w14:paraId="7CB37F39" w14:textId="77777777" w:rsidR="00377BEC" w:rsidRDefault="00377BEC"/>
    <w:p w14:paraId="52619EB4" w14:textId="77777777" w:rsidR="00377BEC" w:rsidRDefault="00377BEC"/>
    <w:p w14:paraId="039D8472" w14:textId="77777777" w:rsidR="00377BEC" w:rsidRDefault="00377BEC"/>
    <w:sectPr w:rsidR="00377BEC">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FEC9F" w14:textId="77777777" w:rsidR="00F17B78" w:rsidRDefault="00F17B78" w:rsidP="00EE6693">
      <w:pPr>
        <w:spacing w:after="0" w:line="240" w:lineRule="auto"/>
      </w:pPr>
      <w:r>
        <w:separator/>
      </w:r>
    </w:p>
  </w:endnote>
  <w:endnote w:type="continuationSeparator" w:id="0">
    <w:p w14:paraId="1492E755" w14:textId="77777777" w:rsidR="00F17B78" w:rsidRDefault="00F17B78" w:rsidP="00EE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Content>
      <w:p w14:paraId="20B5ABEA" w14:textId="54626B0D" w:rsidR="00393D14" w:rsidRPr="001A1406" w:rsidRDefault="00393D14" w:rsidP="001A1406">
        <w:pPr>
          <w:pStyle w:val="Footer"/>
          <w:jc w:val="center"/>
          <w:rPr>
            <w:rFonts w:ascii="Times New Roman" w:hAnsi="Times New Roman"/>
            <w:sz w:val="24"/>
            <w:szCs w:val="24"/>
          </w:rPr>
        </w:pPr>
        <w:r w:rsidRPr="001A1406">
          <w:rPr>
            <w:rFonts w:ascii="Times New Roman" w:hAnsi="Times New Roman"/>
            <w:sz w:val="24"/>
            <w:szCs w:val="24"/>
          </w:rPr>
          <w:fldChar w:fldCharType="begin"/>
        </w:r>
        <w:r w:rsidRPr="001A1406">
          <w:rPr>
            <w:rFonts w:ascii="Times New Roman" w:hAnsi="Times New Roman"/>
            <w:sz w:val="24"/>
            <w:szCs w:val="24"/>
          </w:rPr>
          <w:instrText xml:space="preserve"> PAGE   \* MERGEFORMAT </w:instrText>
        </w:r>
        <w:r w:rsidRPr="001A1406">
          <w:rPr>
            <w:rFonts w:ascii="Times New Roman" w:hAnsi="Times New Roman"/>
            <w:sz w:val="24"/>
            <w:szCs w:val="24"/>
          </w:rPr>
          <w:fldChar w:fldCharType="separate"/>
        </w:r>
        <w:r w:rsidR="00241745">
          <w:rPr>
            <w:rFonts w:ascii="Times New Roman" w:hAnsi="Times New Roman"/>
            <w:noProof/>
            <w:sz w:val="24"/>
            <w:szCs w:val="24"/>
          </w:rPr>
          <w:t>1</w:t>
        </w:r>
        <w:r w:rsidRPr="001A1406">
          <w:rPr>
            <w:rFonts w:ascii="Times New Roman" w:hAnsi="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9A12D9B" w14:textId="77777777" w:rsidR="00393D14" w:rsidRDefault="00393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F94B6" w14:textId="77777777" w:rsidR="00393D14" w:rsidRDefault="00393D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156319"/>
      <w:docPartObj>
        <w:docPartGallery w:val="Page Numbers (Bottom of Page)"/>
        <w:docPartUnique/>
      </w:docPartObj>
    </w:sdtPr>
    <w:sdtEndPr>
      <w:rPr>
        <w:noProof/>
      </w:rPr>
    </w:sdtEndPr>
    <w:sdtContent>
      <w:p w14:paraId="024EF006" w14:textId="301C1992" w:rsidR="00393D14" w:rsidRDefault="00393D14">
        <w:pPr>
          <w:pStyle w:val="Footer"/>
          <w:jc w:val="center"/>
        </w:pPr>
        <w:r>
          <w:fldChar w:fldCharType="begin"/>
        </w:r>
        <w:r>
          <w:instrText xml:space="preserve"> PAGE   \* MERGEFORMAT </w:instrText>
        </w:r>
        <w:r>
          <w:fldChar w:fldCharType="separate"/>
        </w:r>
        <w:r w:rsidR="00C717B1">
          <w:rPr>
            <w:noProof/>
          </w:rPr>
          <w:t>48</w:t>
        </w:r>
        <w:r>
          <w:rPr>
            <w:noProof/>
          </w:rPr>
          <w:fldChar w:fldCharType="end"/>
        </w:r>
      </w:p>
    </w:sdtContent>
  </w:sdt>
  <w:p w14:paraId="295AC3E3" w14:textId="77777777" w:rsidR="00393D14" w:rsidRDefault="00393D1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214615"/>
      <w:docPartObj>
        <w:docPartGallery w:val="Page Numbers (Bottom of Page)"/>
        <w:docPartUnique/>
      </w:docPartObj>
    </w:sdtPr>
    <w:sdtEndPr>
      <w:rPr>
        <w:noProof/>
      </w:rPr>
    </w:sdtEndPr>
    <w:sdtContent>
      <w:p w14:paraId="73A5BDDF" w14:textId="77777777" w:rsidR="00393D14" w:rsidRDefault="00393D14">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387213FD" w14:textId="77777777" w:rsidR="00393D14" w:rsidRDefault="00393D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831472"/>
      <w:docPartObj>
        <w:docPartGallery w:val="Page Numbers (Bottom of Page)"/>
        <w:docPartUnique/>
      </w:docPartObj>
    </w:sdtPr>
    <w:sdtEndPr>
      <w:rPr>
        <w:noProof/>
      </w:rPr>
    </w:sdtEndPr>
    <w:sdtContent>
      <w:p w14:paraId="0FC60A56" w14:textId="051EABD6" w:rsidR="00393D14" w:rsidRDefault="00393D14">
        <w:pPr>
          <w:pStyle w:val="Footer"/>
          <w:jc w:val="center"/>
        </w:pPr>
        <w:r>
          <w:fldChar w:fldCharType="begin"/>
        </w:r>
        <w:r>
          <w:instrText xml:space="preserve"> PAGE   \* MERGEFORMAT </w:instrText>
        </w:r>
        <w:r>
          <w:fldChar w:fldCharType="separate"/>
        </w:r>
        <w:r w:rsidR="00844B22">
          <w:rPr>
            <w:noProof/>
          </w:rPr>
          <w:t>62</w:t>
        </w:r>
        <w:r>
          <w:rPr>
            <w:noProof/>
          </w:rPr>
          <w:fldChar w:fldCharType="end"/>
        </w:r>
      </w:p>
    </w:sdtContent>
  </w:sdt>
  <w:p w14:paraId="3B87380B" w14:textId="77777777" w:rsidR="00393D14" w:rsidRDefault="00393D1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77645"/>
      <w:docPartObj>
        <w:docPartGallery w:val="Page Numbers (Bottom of Page)"/>
        <w:docPartUnique/>
      </w:docPartObj>
    </w:sdtPr>
    <w:sdtEndPr>
      <w:rPr>
        <w:noProof/>
      </w:rPr>
    </w:sdtEndPr>
    <w:sdtContent>
      <w:p w14:paraId="18E412AC" w14:textId="77777777" w:rsidR="00393D14" w:rsidRDefault="00393D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0AD1D11" w14:textId="77777777" w:rsidR="00393D14" w:rsidRDefault="00393D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228903"/>
      <w:docPartObj>
        <w:docPartGallery w:val="Page Numbers (Bottom of Page)"/>
        <w:docPartUnique/>
      </w:docPartObj>
    </w:sdtPr>
    <w:sdtEndPr>
      <w:rPr>
        <w:noProof/>
      </w:rPr>
    </w:sdtEndPr>
    <w:sdtContent>
      <w:p w14:paraId="1A2AC2FE" w14:textId="0F783223" w:rsidR="00393D14" w:rsidRDefault="00393D14" w:rsidP="009C4800">
        <w:pPr>
          <w:pStyle w:val="Footer"/>
          <w:jc w:val="center"/>
        </w:pPr>
        <w:r>
          <w:fldChar w:fldCharType="begin"/>
        </w:r>
        <w:r>
          <w:instrText xml:space="preserve"> PAGE   \* MERGEFORMAT </w:instrText>
        </w:r>
        <w:r>
          <w:fldChar w:fldCharType="separate"/>
        </w:r>
        <w:r w:rsidR="00844B22">
          <w:rPr>
            <w:noProof/>
          </w:rPr>
          <w:t>91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093372"/>
      <w:docPartObj>
        <w:docPartGallery w:val="Page Numbers (Bottom of Page)"/>
        <w:docPartUnique/>
      </w:docPartObj>
    </w:sdtPr>
    <w:sdtEndPr>
      <w:rPr>
        <w:noProof/>
      </w:rPr>
    </w:sdtEndPr>
    <w:sdtContent>
      <w:p w14:paraId="7C6DF4B2" w14:textId="77777777" w:rsidR="00393D14" w:rsidRDefault="00393D14">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21515A9C" w14:textId="77777777" w:rsidR="00393D14" w:rsidRDefault="00393D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929549589"/>
      <w:docPartObj>
        <w:docPartGallery w:val="Page Numbers (Bottom of Page)"/>
        <w:docPartUnique/>
      </w:docPartObj>
    </w:sdtPr>
    <w:sdtEndPr>
      <w:rPr>
        <w:noProof/>
      </w:rPr>
    </w:sdtEndPr>
    <w:sdtContent>
      <w:p w14:paraId="4ED3726F" w14:textId="7A442BD0" w:rsidR="00393D14" w:rsidRPr="00B72E0B" w:rsidRDefault="00393D14" w:rsidP="00B72E0B">
        <w:pPr>
          <w:pStyle w:val="Footer"/>
          <w:jc w:val="center"/>
          <w:rPr>
            <w:rFonts w:ascii="Times New Roman" w:hAnsi="Times New Roman"/>
            <w:sz w:val="24"/>
            <w:szCs w:val="24"/>
          </w:rPr>
        </w:pPr>
        <w:r w:rsidRPr="00B72E0B">
          <w:rPr>
            <w:rFonts w:ascii="Times New Roman" w:hAnsi="Times New Roman"/>
            <w:sz w:val="24"/>
            <w:szCs w:val="24"/>
          </w:rPr>
          <w:fldChar w:fldCharType="begin"/>
        </w:r>
        <w:r w:rsidRPr="00B72E0B">
          <w:rPr>
            <w:rFonts w:ascii="Times New Roman" w:hAnsi="Times New Roman"/>
            <w:sz w:val="24"/>
            <w:szCs w:val="24"/>
          </w:rPr>
          <w:instrText xml:space="preserve"> PAGE   \* MERGEFORMAT </w:instrText>
        </w:r>
        <w:r w:rsidRPr="00B72E0B">
          <w:rPr>
            <w:rFonts w:ascii="Times New Roman" w:hAnsi="Times New Roman"/>
            <w:sz w:val="24"/>
            <w:szCs w:val="24"/>
          </w:rPr>
          <w:fldChar w:fldCharType="separate"/>
        </w:r>
        <w:r w:rsidR="00844B22">
          <w:rPr>
            <w:rFonts w:ascii="Times New Roman" w:hAnsi="Times New Roman"/>
            <w:noProof/>
            <w:sz w:val="24"/>
            <w:szCs w:val="24"/>
          </w:rPr>
          <w:t>95</w:t>
        </w:r>
        <w:r w:rsidRPr="00B72E0B">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0DE2" w14:textId="77777777" w:rsidR="00F17B78" w:rsidRDefault="00F17B78" w:rsidP="00EE6693">
      <w:pPr>
        <w:spacing w:after="0" w:line="240" w:lineRule="auto"/>
      </w:pPr>
      <w:r>
        <w:separator/>
      </w:r>
    </w:p>
  </w:footnote>
  <w:footnote w:type="continuationSeparator" w:id="0">
    <w:p w14:paraId="47DC4F55" w14:textId="77777777" w:rsidR="00F17B78" w:rsidRDefault="00F17B78" w:rsidP="00EE6693">
      <w:pPr>
        <w:spacing w:after="0" w:line="240" w:lineRule="auto"/>
      </w:pPr>
      <w:r>
        <w:continuationSeparator/>
      </w:r>
    </w:p>
  </w:footnote>
  <w:footnote w:id="1">
    <w:p w14:paraId="2F634C3B" w14:textId="77777777" w:rsidR="00393D14" w:rsidRPr="00AA63F9" w:rsidRDefault="00393D14" w:rsidP="000F4B93">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Rembert Browne et al “New York City street vendors”, Columbia University Graduate School of Architecture, Planning and &amp; Preservation, Spring 2011, available at: </w:t>
      </w:r>
      <w:hyperlink r:id="rId1" w:history="1">
        <w:r w:rsidRPr="00AA63F9">
          <w:rPr>
            <w:rStyle w:val="Hyperlink"/>
            <w:rFonts w:ascii="Times New Roman" w:hAnsi="Times New Roman"/>
          </w:rPr>
          <w:t>http://www.spacesofmigration.org/migration/wordpress/wp-content/uploads/2017/05/StreetVendorReport_Final.pdf</w:t>
        </w:r>
      </w:hyperlink>
      <w:r w:rsidRPr="00AA63F9">
        <w:rPr>
          <w:rFonts w:ascii="Times New Roman" w:hAnsi="Times New Roman"/>
        </w:rPr>
        <w:t xml:space="preserve">, pp. 10-11; Devin Gannon “From oysters to falafel: The complete history of street vending in NYC”, </w:t>
      </w:r>
      <w:r w:rsidRPr="00AA63F9">
        <w:rPr>
          <w:rFonts w:ascii="Times New Roman" w:hAnsi="Times New Roman"/>
          <w:i/>
        </w:rPr>
        <w:t>6sqft</w:t>
      </w:r>
      <w:r w:rsidRPr="00AA63F9">
        <w:rPr>
          <w:rFonts w:ascii="Times New Roman" w:hAnsi="Times New Roman"/>
        </w:rPr>
        <w:t xml:space="preserve">, August 10, 2017, available at: </w:t>
      </w:r>
      <w:hyperlink r:id="rId2" w:history="1">
        <w:r w:rsidRPr="00AA63F9">
          <w:rPr>
            <w:rStyle w:val="Hyperlink"/>
            <w:rFonts w:ascii="Times New Roman" w:hAnsi="Times New Roman"/>
          </w:rPr>
          <w:t>https://www.6sqft.com/from-oysters-to-falafel-the-complete-history-of-street-vending-in-nyc/</w:t>
        </w:r>
      </w:hyperlink>
      <w:r w:rsidRPr="00AA63F9">
        <w:rPr>
          <w:rFonts w:ascii="Times New Roman" w:hAnsi="Times New Roman"/>
        </w:rPr>
        <w:t xml:space="preserve">. </w:t>
      </w:r>
    </w:p>
  </w:footnote>
  <w:footnote w:id="2">
    <w:p w14:paraId="0F7034ED" w14:textId="77777777" w:rsidR="00393D14" w:rsidRPr="00AA63F9" w:rsidRDefault="00393D14" w:rsidP="000F4B93">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Mayor’s Push-Cart Commission “Report of the Mayor’s Push-Cart Commission”, September 10, 1906, available at: </w:t>
      </w:r>
      <w:hyperlink r:id="rId3" w:history="1">
        <w:r w:rsidRPr="00AA63F9">
          <w:rPr>
            <w:rStyle w:val="Hyperlink"/>
            <w:rFonts w:ascii="Times New Roman" w:hAnsi="Times New Roman"/>
          </w:rPr>
          <w:t>http://www.archive.org/stream/reportofmayorspu00newyrich/reportofmayorspu00newyrich_djvu.txt</w:t>
        </w:r>
      </w:hyperlink>
      <w:r w:rsidRPr="00AA63F9">
        <w:rPr>
          <w:rFonts w:ascii="Times New Roman" w:hAnsi="Times New Roman"/>
        </w:rPr>
        <w:t xml:space="preserve">. </w:t>
      </w:r>
    </w:p>
  </w:footnote>
  <w:footnote w:id="3">
    <w:p w14:paraId="53B119D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Information from: Street Vending in NYC Overview and Recommendations from the Street Vendor Advisory Board, May 2022, available at: </w:t>
      </w:r>
      <w:hyperlink r:id="rId4" w:anchor=":~:text=Overview%20of%20Street%20Vending%20Regulations,-Street%20vending%20in&amp;text=The%20Administrative%20Code%20and%20the,services%20in%20a%20public%20place" w:history="1">
        <w:r w:rsidRPr="00AA63F9">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sidRPr="00AA63F9">
        <w:rPr>
          <w:rFonts w:ascii="Times New Roman" w:hAnsi="Times New Roman"/>
        </w:rPr>
        <w:t xml:space="preserve">). </w:t>
      </w:r>
    </w:p>
  </w:footnote>
  <w:footnote w:id="4">
    <w:p w14:paraId="4C382A96"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Local Law 50 of 1979. </w:t>
      </w:r>
    </w:p>
  </w:footnote>
  <w:footnote w:id="5">
    <w:p w14:paraId="21C69728" w14:textId="62968515"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Department of Consumer Affairs “Consumer Affairs opens waiting list for general vendor licenses to sell goods and services on the street”, October 25, 2016, available at: </w:t>
      </w:r>
      <w:hyperlink r:id="rId5" w:history="1">
        <w:r w:rsidRPr="00EF5089">
          <w:rPr>
            <w:rStyle w:val="Hyperlink"/>
          </w:rPr>
          <w:t>https://web.archive.org/web/20240423075904/https://www.nyc.gov/site/dca/media/pr102516.page</w:t>
        </w:r>
      </w:hyperlink>
      <w:r>
        <w:t>.</w:t>
      </w:r>
      <w:r w:rsidRPr="00AA63F9">
        <w:rPr>
          <w:rFonts w:ascii="Times New Roman" w:hAnsi="Times New Roman"/>
        </w:rPr>
        <w:t xml:space="preserve"> </w:t>
      </w:r>
    </w:p>
  </w:footnote>
  <w:footnote w:id="6">
    <w:p w14:paraId="5AA1AB2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Solutions “Street Vending” available at: </w:t>
      </w:r>
      <w:hyperlink r:id="rId6" w:history="1">
        <w:r w:rsidRPr="00AA63F9">
          <w:rPr>
            <w:rStyle w:val="Hyperlink"/>
            <w:rFonts w:ascii="Times New Roman" w:hAnsi="Times New Roman"/>
          </w:rPr>
          <w:t>http://www.nyc.gov/html/sbs/nycbiz/downloads/pdf/educational/sector_guides/street_vending.pdf</w:t>
        </w:r>
      </w:hyperlink>
      <w:r w:rsidRPr="00AA63F9">
        <w:rPr>
          <w:rFonts w:ascii="Times New Roman" w:hAnsi="Times New Roman"/>
        </w:rPr>
        <w:t xml:space="preserve">. </w:t>
      </w:r>
    </w:p>
  </w:footnote>
  <w:footnote w:id="7">
    <w:p w14:paraId="072EE36A"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§32.</w:t>
      </w:r>
    </w:p>
  </w:footnote>
  <w:footnote w:id="8">
    <w:p w14:paraId="2CD7057E"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9">
    <w:p w14:paraId="4FFA7E27"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0">
    <w:p w14:paraId="57C66DAA"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§35-a.</w:t>
      </w:r>
    </w:p>
  </w:footnote>
  <w:footnote w:id="11">
    <w:p w14:paraId="726A083E"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 Gen. Bus. Law § 35-a(7). and N.Y., Rules, Tit. 6, § 2-315(3).</w:t>
      </w:r>
    </w:p>
  </w:footnote>
  <w:footnote w:id="12">
    <w:p w14:paraId="68CB2B8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13">
    <w:p w14:paraId="5551E7BB"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David Gonzalez, “$20,000 for a Permit? New York May Finally Offer Vendors Some Relief”, </w:t>
      </w:r>
      <w:r w:rsidRPr="00AA63F9">
        <w:rPr>
          <w:rFonts w:ascii="Times New Roman" w:hAnsi="Times New Roman"/>
          <w:i/>
        </w:rPr>
        <w:t>New York Times</w:t>
      </w:r>
      <w:r w:rsidRPr="00AA63F9">
        <w:rPr>
          <w:rFonts w:ascii="Times New Roman" w:hAnsi="Times New Roman"/>
        </w:rPr>
        <w:t xml:space="preserve">, September 28, 2021, available at </w:t>
      </w:r>
      <w:hyperlink r:id="rId7" w:history="1">
        <w:r w:rsidRPr="00AA63F9">
          <w:rPr>
            <w:rStyle w:val="Hyperlink"/>
            <w:rFonts w:ascii="Times New Roman" w:hAnsi="Times New Roman"/>
          </w:rPr>
          <w:t>https://www.nytimes.com/2021/01/29/nyregion/street-vendors-permits-nyc.html</w:t>
        </w:r>
      </w:hyperlink>
      <w:r w:rsidRPr="00AA63F9">
        <w:rPr>
          <w:rFonts w:ascii="Times New Roman" w:hAnsi="Times New Roman"/>
        </w:rPr>
        <w:t xml:space="preserve">.   </w:t>
      </w:r>
    </w:p>
  </w:footnote>
  <w:footnote w:id="14">
    <w:p w14:paraId="4233DD4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Id. </w:t>
      </w:r>
    </w:p>
  </w:footnote>
  <w:footnote w:id="15">
    <w:p w14:paraId="5ABCDFA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Adam Davidson “The food-truck business stinks”, </w:t>
      </w:r>
      <w:r w:rsidRPr="00AA63F9">
        <w:rPr>
          <w:rFonts w:ascii="Times New Roman" w:hAnsi="Times New Roman"/>
          <w:i/>
        </w:rPr>
        <w:t>New York Times</w:t>
      </w:r>
      <w:r w:rsidRPr="00AA63F9">
        <w:rPr>
          <w:rFonts w:ascii="Times New Roman" w:hAnsi="Times New Roman"/>
        </w:rPr>
        <w:t xml:space="preserve">, May 7, 2013, available at: </w:t>
      </w:r>
      <w:hyperlink r:id="rId8" w:history="1">
        <w:r w:rsidRPr="00AA63F9">
          <w:rPr>
            <w:rStyle w:val="Hyperlink"/>
            <w:rFonts w:ascii="Times New Roman" w:hAnsi="Times New Roman"/>
          </w:rPr>
          <w:t>https://www.nytimes.com/2013/05/12/magazine/the-food-truck-business-stinks.html</w:t>
        </w:r>
      </w:hyperlink>
      <w:r w:rsidRPr="00AA63F9">
        <w:rPr>
          <w:rFonts w:ascii="Times New Roman" w:hAnsi="Times New Roman"/>
        </w:rPr>
        <w:t xml:space="preserve">; Tejal Rao “A day in the life of a food vendor”, </w:t>
      </w:r>
      <w:r w:rsidRPr="00AA63F9">
        <w:rPr>
          <w:rFonts w:ascii="Times New Roman" w:hAnsi="Times New Roman"/>
          <w:i/>
        </w:rPr>
        <w:t>New York Times</w:t>
      </w:r>
      <w:r w:rsidRPr="00AA63F9">
        <w:rPr>
          <w:rFonts w:ascii="Times New Roman" w:hAnsi="Times New Roman"/>
        </w:rPr>
        <w:t xml:space="preserve">, April 18, 2017, available at: </w:t>
      </w:r>
      <w:hyperlink r:id="rId9" w:history="1">
        <w:r w:rsidRPr="00AA63F9">
          <w:rPr>
            <w:rStyle w:val="Hyperlink"/>
            <w:rFonts w:ascii="Times New Roman" w:hAnsi="Times New Roman"/>
          </w:rPr>
          <w:t>https://www.nytimes.com/2017/04/18/dining/halal-cart-food-vendor-new-york-city.html</w:t>
        </w:r>
      </w:hyperlink>
      <w:r w:rsidRPr="00AA63F9">
        <w:rPr>
          <w:rFonts w:ascii="Times New Roman" w:hAnsi="Times New Roman"/>
        </w:rPr>
        <w:t xml:space="preserve">. </w:t>
      </w:r>
    </w:p>
  </w:footnote>
  <w:footnote w:id="16">
    <w:p w14:paraId="1ADD1B55"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Id. </w:t>
      </w:r>
    </w:p>
  </w:footnote>
  <w:footnote w:id="17">
    <w:p w14:paraId="2F6E438D"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Jeff Koyen, “Inside the Underground Economy Propping Up New York City’s Food Carts” </w:t>
      </w:r>
      <w:r w:rsidRPr="00AA63F9">
        <w:rPr>
          <w:rFonts w:ascii="Times New Roman" w:hAnsi="Times New Roman"/>
          <w:i/>
        </w:rPr>
        <w:t>Crains</w:t>
      </w:r>
      <w:r w:rsidRPr="00AA63F9">
        <w:rPr>
          <w:rFonts w:ascii="Times New Roman" w:hAnsi="Times New Roman"/>
        </w:rPr>
        <w:t xml:space="preserve">, June 12, 2016, available at: </w:t>
      </w:r>
      <w:hyperlink r:id="rId10" w:history="1">
        <w:r w:rsidRPr="00AA63F9">
          <w:rPr>
            <w:rStyle w:val="Hyperlink"/>
            <w:rFonts w:ascii="Times New Roman" w:hAnsi="Times New Roman"/>
          </w:rPr>
          <w:t>https://www.crainsnewyork.com/article/20160612/HOSPITALITY_TOURISM/160619986/hot-dog-vendors-and-coffee-carts-turn-to-a-black-market-operating-in-the-open-to-buy-permits-and-licen</w:t>
        </w:r>
      </w:hyperlink>
      <w:r w:rsidRPr="00AA63F9">
        <w:rPr>
          <w:rFonts w:ascii="Times New Roman" w:hAnsi="Times New Roman"/>
        </w:rPr>
        <w:t xml:space="preserve">.  </w:t>
      </w:r>
    </w:p>
  </w:footnote>
  <w:footnote w:id="18">
    <w:p w14:paraId="3422507D"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Local Law 18 of 2021, available at: </w:t>
      </w:r>
      <w:hyperlink r:id="rId11" w:history="1">
        <w:r w:rsidRPr="00AA63F9">
          <w:rPr>
            <w:rStyle w:val="Hyperlink"/>
            <w:rFonts w:ascii="Times New Roman" w:hAnsi="Times New Roman"/>
          </w:rPr>
          <w:t>https://legistar.council.nyc.gov/LegislationDetail.aspx?ID=3686667&amp;GUID=A0683818-66E6-4651-8B31-3D65EE4D61B1&amp;Options=ID|Text|&amp;Search=18</w:t>
        </w:r>
      </w:hyperlink>
      <w:r w:rsidRPr="00AA63F9">
        <w:rPr>
          <w:rFonts w:ascii="Times New Roman" w:hAnsi="Times New Roman"/>
        </w:rPr>
        <w:t xml:space="preserve">. </w:t>
      </w:r>
    </w:p>
  </w:footnote>
  <w:footnote w:id="19">
    <w:p w14:paraId="2376A434"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“Supervisory Licenses: What Mobile Food Vendors Need to Know” available at: </w:t>
      </w:r>
      <w:hyperlink r:id="rId12" w:history="1">
        <w:r w:rsidRPr="00AA63F9">
          <w:rPr>
            <w:rStyle w:val="Hyperlink"/>
            <w:rFonts w:ascii="Times New Roman" w:hAnsi="Times New Roman"/>
          </w:rPr>
          <w:t>https://www.nyc.gov/assets/doh/downloads/pdf/rii/supervisory-licenses-what-vendors-need-to-know.pdf</w:t>
        </w:r>
      </w:hyperlink>
      <w:r w:rsidRPr="00AA63F9">
        <w:rPr>
          <w:rFonts w:ascii="Times New Roman" w:hAnsi="Times New Roman"/>
        </w:rPr>
        <w:t xml:space="preserve">. </w:t>
      </w:r>
    </w:p>
  </w:footnote>
  <w:footnote w:id="20">
    <w:p w14:paraId="19861BBC"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Ad. Code § 17-307(b)(1)(a). </w:t>
      </w:r>
    </w:p>
  </w:footnote>
  <w:footnote w:id="21">
    <w:p w14:paraId="48E2C1A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Hafeezat Bishi, “8 months later, NYC vendors are still fighting for officials to fulfill their promises”, </w:t>
      </w:r>
      <w:r w:rsidRPr="00AA63F9">
        <w:rPr>
          <w:rFonts w:ascii="Times New Roman" w:hAnsi="Times New Roman"/>
          <w:i/>
        </w:rPr>
        <w:t>Prism</w:t>
      </w:r>
      <w:r w:rsidRPr="00AA63F9">
        <w:rPr>
          <w:rFonts w:ascii="Times New Roman" w:hAnsi="Times New Roman"/>
        </w:rPr>
        <w:t xml:space="preserve">, March 27, 2023, available at: </w:t>
      </w:r>
      <w:hyperlink r:id="rId13" w:anchor=":~:text=The%20department%20told%20Prism%20they,the%20end%20of%20the%20month" w:history="1">
        <w:r w:rsidRPr="00AA63F9">
          <w:rPr>
            <w:rStyle w:val="Hyperlink"/>
            <w:rFonts w:ascii="Times New Roman" w:hAnsi="Times New Roman"/>
          </w:rPr>
          <w:t>https://prismreports.org/2023/03/27/nyc-vendors-fight-officials-fulfill-promises/#:~:text=The%20department%20told%20Prism%20they,the%20end%20of%20the%20month</w:t>
        </w:r>
      </w:hyperlink>
      <w:r w:rsidRPr="00AA63F9">
        <w:rPr>
          <w:rFonts w:ascii="Times New Roman" w:hAnsi="Times New Roman"/>
        </w:rPr>
        <w:t xml:space="preserve">. </w:t>
      </w:r>
    </w:p>
  </w:footnote>
  <w:footnote w:id="22">
    <w:p w14:paraId="3E2C1303"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“Supervisory Licenses: What Mobile Food Vendors Need to Know”, available at: </w:t>
      </w:r>
      <w:hyperlink r:id="rId14" w:history="1">
        <w:r w:rsidRPr="00AA63F9">
          <w:rPr>
            <w:rStyle w:val="Hyperlink"/>
            <w:rFonts w:ascii="Times New Roman" w:hAnsi="Times New Roman"/>
          </w:rPr>
          <w:t>https://www.nyc.gov/assets/doh/downloads/pdf/rii/supervisory-license-presentation.pdf</w:t>
        </w:r>
      </w:hyperlink>
      <w:r w:rsidRPr="00AA63F9">
        <w:rPr>
          <w:rFonts w:ascii="Times New Roman" w:hAnsi="Times New Roman"/>
        </w:rPr>
        <w:t xml:space="preserve">. </w:t>
      </w:r>
    </w:p>
  </w:footnote>
  <w:footnote w:id="23">
    <w:p w14:paraId="3BE230C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“What mobile food vendors should know”, available at: </w:t>
      </w:r>
      <w:hyperlink r:id="rId15" w:history="1">
        <w:r w:rsidRPr="00AA63F9">
          <w:rPr>
            <w:rStyle w:val="Hyperlink"/>
            <w:rFonts w:ascii="Times New Roman" w:hAnsi="Times New Roman"/>
          </w:rPr>
          <w:t>https://www1.nyc.gov/assets/doh/downloads/pdf/rii/regulations-for-mobile-food-vendors.pdf</w:t>
        </w:r>
      </w:hyperlink>
      <w:r w:rsidRPr="00AA63F9">
        <w:rPr>
          <w:rFonts w:ascii="Times New Roman" w:hAnsi="Times New Roman"/>
        </w:rPr>
        <w:t>, p. 4, last accessed January 22, 2019.</w:t>
      </w:r>
    </w:p>
  </w:footnote>
  <w:footnote w:id="24">
    <w:p w14:paraId="6F76489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available at: </w:t>
      </w:r>
      <w:hyperlink r:id="rId16" w:history="1">
        <w:r w:rsidRPr="00AA63F9">
          <w:rPr>
            <w:rStyle w:val="Hyperlink"/>
            <w:rFonts w:ascii="Times New Roman" w:hAnsi="Times New Roman"/>
          </w:rPr>
          <w:t>https://www.nyc.gov/site/doh/business/food-operators/mobile-and-temporary-food-vendors.page</w:t>
        </w:r>
      </w:hyperlink>
      <w:r w:rsidRPr="00AA63F9">
        <w:rPr>
          <w:rFonts w:ascii="Times New Roman" w:hAnsi="Times New Roman"/>
        </w:rPr>
        <w:t xml:space="preserve">. </w:t>
      </w:r>
    </w:p>
  </w:footnote>
  <w:footnote w:id="25">
    <w:p w14:paraId="27CAA956"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Ad. Code § 17-307(f)(3)(a)(i). </w:t>
      </w:r>
    </w:p>
  </w:footnote>
  <w:footnote w:id="26">
    <w:p w14:paraId="24CF06CF"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“Mobile Food Vending Permit, Application Forms and Instructions,” p. 5, available at: </w:t>
      </w:r>
      <w:hyperlink r:id="rId17" w:history="1">
        <w:r w:rsidRPr="00AA63F9">
          <w:rPr>
            <w:rStyle w:val="Hyperlink"/>
            <w:rFonts w:ascii="Times New Roman" w:hAnsi="Times New Roman"/>
          </w:rPr>
          <w:t>https://www.nyc.gov/assets/doh/downloads/pdf/sbs/mfv-new-permit-application.pdf</w:t>
        </w:r>
      </w:hyperlink>
      <w:r w:rsidRPr="00AA63F9">
        <w:rPr>
          <w:rFonts w:ascii="Times New Roman" w:hAnsi="Times New Roman"/>
        </w:rPr>
        <w:t>, last accessed December 8, 2023.</w:t>
      </w:r>
    </w:p>
  </w:footnote>
  <w:footnote w:id="27">
    <w:p w14:paraId="35450060"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For a map of green cart designated areas see: “NYC green cart”, available at: </w:t>
      </w:r>
      <w:hyperlink r:id="rId18" w:history="1">
        <w:r w:rsidRPr="00AA63F9">
          <w:rPr>
            <w:rStyle w:val="Hyperlink"/>
            <w:rFonts w:ascii="Times New Roman" w:hAnsi="Times New Roman"/>
          </w:rPr>
          <w:t>https://www1.nyc.gov/assets/doh/downloads/pdf/cdp/green_carts_areas.pdf</w:t>
        </w:r>
      </w:hyperlink>
      <w:r w:rsidRPr="00AA63F9">
        <w:rPr>
          <w:rFonts w:ascii="Times New Roman" w:hAnsi="Times New Roman"/>
        </w:rPr>
        <w:t>, last accessed December 6, 2023.</w:t>
      </w:r>
    </w:p>
  </w:footnote>
  <w:footnote w:id="28">
    <w:p w14:paraId="332C4029"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“Green Carts”, available at: </w:t>
      </w:r>
      <w:hyperlink r:id="rId19" w:history="1">
        <w:r w:rsidRPr="00AA63F9">
          <w:rPr>
            <w:rStyle w:val="Hyperlink"/>
            <w:rFonts w:ascii="Times New Roman" w:hAnsi="Times New Roman"/>
          </w:rPr>
          <w:t>https://www.nyc.gov/site/doh/business/food-operators/green-carts.page</w:t>
        </w:r>
      </w:hyperlink>
      <w:r w:rsidRPr="00AA63F9">
        <w:rPr>
          <w:rFonts w:ascii="Times New Roman" w:hAnsi="Times New Roman"/>
        </w:rPr>
        <w:t>, last accessed December 6, 2023.</w:t>
      </w:r>
    </w:p>
  </w:footnote>
  <w:footnote w:id="29">
    <w:p w14:paraId="43A64434"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“‘Green carts’ will increase access to health foods, improving the health of an estimated 75,000 New Yorkers”, available at: </w:t>
      </w:r>
      <w:hyperlink r:id="rId20" w:history="1">
        <w:r w:rsidRPr="00AA63F9">
          <w:rPr>
            <w:rStyle w:val="Hyperlink"/>
            <w:rFonts w:ascii="Times New Roman" w:hAnsi="Times New Roman"/>
          </w:rPr>
          <w:t>https://www1.nyc.gov/assets/doh/downloads/pdf/cdp/green_carts_summary.pdf</w:t>
        </w:r>
      </w:hyperlink>
      <w:r w:rsidRPr="00AA63F9">
        <w:rPr>
          <w:rFonts w:ascii="Times New Roman" w:hAnsi="Times New Roman"/>
        </w:rPr>
        <w:t>, last accessed December 6, 2023.</w:t>
      </w:r>
    </w:p>
  </w:footnote>
  <w:footnote w:id="30">
    <w:p w14:paraId="5C935A87"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“General Information About New York City Green Carts”, available at: </w:t>
      </w:r>
      <w:hyperlink r:id="rId21" w:history="1">
        <w:r w:rsidRPr="00AA63F9">
          <w:rPr>
            <w:rStyle w:val="Hyperlink"/>
            <w:rFonts w:ascii="Times New Roman" w:hAnsi="Times New Roman"/>
          </w:rPr>
          <w:t>https://www.nyc.gov/assets/doh/downloads/pdf/cdp/green_carts_faq.pdf</w:t>
        </w:r>
      </w:hyperlink>
      <w:r w:rsidRPr="00AA63F9">
        <w:rPr>
          <w:rFonts w:ascii="Times New Roman" w:hAnsi="Times New Roman"/>
        </w:rPr>
        <w:t>, last accessed December 6, 2023.</w:t>
      </w:r>
    </w:p>
  </w:footnote>
  <w:footnote w:id="31">
    <w:p w14:paraId="1C04CC81"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 Restricted area mobile food vending permit - Apply,” available at: </w:t>
      </w:r>
      <w:hyperlink r:id="rId22" w:history="1">
        <w:r w:rsidRPr="00AA63F9">
          <w:rPr>
            <w:rStyle w:val="Hyperlink"/>
            <w:rFonts w:ascii="Times New Roman" w:hAnsi="Times New Roman"/>
          </w:rPr>
          <w:t>https://nyc-business.nyc.gov/nycbusiness/description/restricted-area-permit/apply</w:t>
        </w:r>
      </w:hyperlink>
      <w:r w:rsidRPr="00AA63F9">
        <w:rPr>
          <w:rFonts w:ascii="Times New Roman" w:hAnsi="Times New Roman"/>
        </w:rPr>
        <w:t>, last accessed December 8, 2023.</w:t>
      </w:r>
    </w:p>
  </w:footnote>
  <w:footnote w:id="32">
    <w:p w14:paraId="7F263412"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33">
    <w:p w14:paraId="77A8941E"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Sanitation “Mobile Food Vendor Licensing Law: Educational Highlights and Tips to Help Understand the Regulations”, available at: </w:t>
      </w:r>
      <w:hyperlink r:id="rId23" w:history="1">
        <w:r w:rsidRPr="00AA63F9">
          <w:rPr>
            <w:rStyle w:val="Hyperlink"/>
            <w:rFonts w:ascii="Times New Roman" w:hAnsi="Times New Roman"/>
          </w:rPr>
          <w:t>https://dsny.cityofnewyork.us/wp-content/uploads/2023/05/mobile-food-vendor-educational-highlights-tips.pdf</w:t>
        </w:r>
      </w:hyperlink>
      <w:r w:rsidRPr="00AA63F9">
        <w:rPr>
          <w:rFonts w:ascii="Times New Roman" w:hAnsi="Times New Roman"/>
        </w:rPr>
        <w:t xml:space="preserve">. </w:t>
      </w:r>
    </w:p>
  </w:footnote>
  <w:footnote w:id="34">
    <w:p w14:paraId="19472D39"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“Instructions for applying for an initial mobile food vendor license form the NYC Health Department”, available at: </w:t>
      </w:r>
      <w:hyperlink r:id="rId24" w:history="1">
        <w:r w:rsidRPr="00AA63F9">
          <w:rPr>
            <w:rStyle w:val="Hyperlink"/>
            <w:rFonts w:ascii="Times New Roman" w:hAnsi="Times New Roman"/>
          </w:rPr>
          <w:t>https://www1.nyc.gov/assets/doh/downloads/pdf/permit/mfv_application_forms_package.pdf</w:t>
        </w:r>
      </w:hyperlink>
      <w:r w:rsidRPr="00AA63F9">
        <w:rPr>
          <w:rFonts w:ascii="Times New Roman" w:hAnsi="Times New Roman"/>
        </w:rPr>
        <w:t>, last accessed December 6, 2023.</w:t>
      </w:r>
    </w:p>
  </w:footnote>
  <w:footnote w:id="35">
    <w:p w14:paraId="5A9EB3F4"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Note that supervisory licenses, which come with the right to a permit, cost more.</w:t>
      </w:r>
    </w:p>
  </w:footnote>
  <w:footnote w:id="36">
    <w:p w14:paraId="156A8616"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37">
    <w:p w14:paraId="32A6C9CB"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Kathleen Dunn “Decriminalize street vending: Reform and social justice”, in Julian Agyeman, Caitlin Matthews and Hannah Sobel </w:t>
      </w:r>
      <w:r w:rsidRPr="00AA63F9">
        <w:rPr>
          <w:rFonts w:ascii="Times New Roman" w:hAnsi="Times New Roman"/>
          <w:i/>
        </w:rPr>
        <w:t>Food Trucks, Cultural Identity, and Social Justice</w:t>
      </w:r>
      <w:r w:rsidRPr="00AA63F9">
        <w:rPr>
          <w:rFonts w:ascii="Times New Roman" w:hAnsi="Times New Roman"/>
        </w:rPr>
        <w:t xml:space="preserve"> (2017), MIT Press; Cambridge, MA, p. 51.</w:t>
      </w:r>
    </w:p>
  </w:footnote>
  <w:footnote w:id="38">
    <w:p w14:paraId="43983561"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“Mobile food vending license – About”, available at: </w:t>
      </w:r>
      <w:hyperlink r:id="rId25" w:history="1">
        <w:r w:rsidRPr="00AA63F9">
          <w:rPr>
            <w:rStyle w:val="Hyperlink"/>
            <w:rFonts w:ascii="Times New Roman" w:hAnsi="Times New Roman"/>
          </w:rPr>
          <w:t>https://www1.nyc.gov/nycbusiness/description/mobile-food-vending-license</w:t>
        </w:r>
      </w:hyperlink>
      <w:r w:rsidRPr="00AA63F9">
        <w:rPr>
          <w:rFonts w:ascii="Times New Roman" w:hAnsi="Times New Roman"/>
        </w:rPr>
        <w:t>, last accessed December 8, 2023.</w:t>
      </w:r>
    </w:p>
  </w:footnote>
  <w:footnote w:id="39">
    <w:p w14:paraId="4144B2C3"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“Food protection course for mobile vendors – About”, available at: </w:t>
      </w:r>
      <w:hyperlink r:id="rId26" w:history="1">
        <w:r w:rsidRPr="00AA63F9">
          <w:rPr>
            <w:rStyle w:val="Hyperlink"/>
            <w:rFonts w:ascii="Times New Roman" w:hAnsi="Times New Roman"/>
          </w:rPr>
          <w:t>https://www1.nyc.gov/nycbusiness/description/food-protection-course-for-mobile-vendors</w:t>
        </w:r>
      </w:hyperlink>
      <w:r w:rsidRPr="00AA63F9">
        <w:rPr>
          <w:rFonts w:ascii="Times New Roman" w:hAnsi="Times New Roman"/>
        </w:rPr>
        <w:t xml:space="preserve">, last accessed December 8, 2023. </w:t>
      </w:r>
    </w:p>
  </w:footnote>
  <w:footnote w:id="40">
    <w:p w14:paraId="038ACB98" w14:textId="77777777" w:rsidR="00393D14" w:rsidRPr="00AA63F9" w:rsidRDefault="00393D14" w:rsidP="00133CE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Business “Mobile food vending license – Apply”, available at: </w:t>
      </w:r>
      <w:hyperlink r:id="rId27" w:history="1">
        <w:r w:rsidRPr="00AA63F9">
          <w:rPr>
            <w:rStyle w:val="Hyperlink"/>
            <w:rFonts w:ascii="Times New Roman" w:hAnsi="Times New Roman"/>
          </w:rPr>
          <w:t>https://www1.nyc.gov/nycbusiness/description/mobile-food-vending-license/apply</w:t>
        </w:r>
      </w:hyperlink>
      <w:r w:rsidRPr="00AA63F9">
        <w:rPr>
          <w:rFonts w:ascii="Times New Roman" w:hAnsi="Times New Roman"/>
        </w:rPr>
        <w:t xml:space="preserve">, last accessed December 6, 2023. </w:t>
      </w:r>
    </w:p>
  </w:footnote>
  <w:footnote w:id="41">
    <w:p w14:paraId="13C55BEC" w14:textId="757C1044" w:rsidR="00393D14" w:rsidRPr="001F532F" w:rsidRDefault="00393D14">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Ryan Thomas Devlin “Informal urbanism: Legal ambiguity, uncertainty, and the management of street vending in New York City” (dissertation), University of California, Spring 2010, available at: </w:t>
      </w:r>
      <w:hyperlink r:id="rId28" w:history="1">
        <w:r w:rsidRPr="001F532F">
          <w:rPr>
            <w:rStyle w:val="Hyperlink"/>
            <w:rFonts w:ascii="Times New Roman" w:hAnsi="Times New Roman"/>
          </w:rPr>
          <w:t>http://digitalassets.lib.berkeley.edu/etd/ucb/text/Devlin_berkeley_0028E_10609.pdf</w:t>
        </w:r>
      </w:hyperlink>
    </w:p>
  </w:footnote>
  <w:footnote w:id="42">
    <w:p w14:paraId="401762B7" w14:textId="3C65A780"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EE6F16">
        <w:rPr>
          <w:rFonts w:ascii="Times New Roman" w:hAnsi="Times New Roman"/>
        </w:rPr>
        <w:t xml:space="preserve">: Street Vending in NYC Overview and Recommendations from the Street Vendor Advisory Board, May 2022, available at: </w:t>
      </w:r>
      <w:hyperlink r:id="rId29" w:anchor=":~:text=Overview%20of%20Street%20Vending%20Regulations,-Street%20vending%20in&amp;text=The%20Administrative%20Code%20and%20the,services%20in%20a%20public%20place" w:history="1">
        <w:r w:rsidRPr="00EF5089">
          <w:rPr>
            <w:rStyle w:val="Hyperlink"/>
            <w:rFonts w:ascii="Times New Roman" w:hAnsi="Times New Roman"/>
          </w:rPr>
          <w:t>https://www.nyc.gov/assets/dca/downloads/pdf/partners/SVAB-Report-2022.pdf#:~:text=Overview%20of%20Street%20Vending%20Regulations,-Street%20vending%20in&amp;text=The%20Administrative%20Code%20and%20the,services%20in%20a%20public%20place</w:t>
        </w:r>
      </w:hyperlink>
      <w:r>
        <w:rPr>
          <w:rFonts w:ascii="Times New Roman" w:hAnsi="Times New Roman"/>
        </w:rPr>
        <w:t xml:space="preserve"> </w:t>
      </w:r>
    </w:p>
  </w:footnote>
  <w:footnote w:id="43">
    <w:p w14:paraId="2907E21D"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“Mobile food vending restricted streets guide,” available at: </w:t>
      </w:r>
      <w:hyperlink r:id="rId30" w:history="1">
        <w:r w:rsidRPr="00AA63F9">
          <w:rPr>
            <w:rStyle w:val="Hyperlink"/>
            <w:rFonts w:ascii="Times New Roman" w:hAnsi="Times New Roman"/>
          </w:rPr>
          <w:t>https://www1.nyc.gov/assets/doh/downloads/pdf/permit/mfv_restricted_streets.pdf</w:t>
        </w:r>
      </w:hyperlink>
      <w:r w:rsidRPr="00AA63F9">
        <w:rPr>
          <w:rStyle w:val="Hyperlink"/>
          <w:rFonts w:ascii="Times New Roman" w:hAnsi="Times New Roman"/>
        </w:rPr>
        <w:t xml:space="preserve">, last </w:t>
      </w:r>
      <w:r w:rsidRPr="00AA63F9">
        <w:rPr>
          <w:rFonts w:ascii="Times New Roman" w:hAnsi="Times New Roman"/>
        </w:rPr>
        <w:t xml:space="preserve">accessed December 8, 2023. </w:t>
      </w:r>
    </w:p>
  </w:footnote>
  <w:footnote w:id="44">
    <w:p w14:paraId="2E7A49D4"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45">
    <w:p w14:paraId="246F14F2"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rPr>
        <w:t>See</w:t>
      </w:r>
      <w:r w:rsidRPr="00AA63F9">
        <w:rPr>
          <w:rFonts w:ascii="Times New Roman" w:hAnsi="Times New Roman"/>
        </w:rPr>
        <w:t xml:space="preserve"> </w:t>
      </w:r>
      <w:r w:rsidRPr="00AA63F9">
        <w:rPr>
          <w:rFonts w:ascii="Times New Roman" w:hAnsi="Times New Roman"/>
          <w:u w:val="single"/>
        </w:rPr>
        <w:t>Rossi v New York City Dep’t of Parks</w:t>
      </w:r>
      <w:r w:rsidRPr="00AA63F9">
        <w:rPr>
          <w:rFonts w:ascii="Times New Roman" w:hAnsi="Times New Roman"/>
        </w:rPr>
        <w:t>, 2015 WL 1565887. While the court deliberates the meaning of a “block face” for purposes of applying GBL 35-a, it plainly accepted that even a holder of a specialized vending license pursuant to state law must acquire a permit before vending food.</w:t>
      </w:r>
    </w:p>
  </w:footnote>
  <w:footnote w:id="46">
    <w:p w14:paraId="548353F7"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at note 46. </w:t>
      </w:r>
    </w:p>
  </w:footnote>
  <w:footnote w:id="47">
    <w:p w14:paraId="4D391295"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§20-465(b), 20-465(n</w:t>
      </w:r>
      <w:r w:rsidRPr="00312EE5">
        <w:rPr>
          <w:rFonts w:ascii="Times New Roman" w:hAnsi="Times New Roman"/>
        </w:rPr>
        <w:t>).</w:t>
      </w:r>
    </w:p>
  </w:footnote>
  <w:footnote w:id="48">
    <w:p w14:paraId="218AAE87"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§20-465(n</w:t>
      </w:r>
      <w:r w:rsidRPr="00312EE5">
        <w:rPr>
          <w:rFonts w:ascii="Times New Roman" w:hAnsi="Times New Roman"/>
        </w:rPr>
        <w:t>).</w:t>
      </w:r>
    </w:p>
  </w:footnote>
  <w:footnote w:id="49">
    <w:p w14:paraId="6056470F"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Rules and Regulations for Mobile Food Vending, available at: </w:t>
      </w:r>
      <w:hyperlink r:id="rId31" w:history="1">
        <w:r w:rsidRPr="00AA63F9">
          <w:rPr>
            <w:rStyle w:val="Hyperlink"/>
            <w:rFonts w:ascii="Times New Roman" w:hAnsi="Times New Roman"/>
          </w:rPr>
          <w:t>www.nyc.gov/assets/doh/downloads/pdf/rii/rules-regs-mfv.pdf</w:t>
        </w:r>
      </w:hyperlink>
      <w:r w:rsidRPr="00AA63F9">
        <w:rPr>
          <w:rFonts w:ascii="Times New Roman" w:hAnsi="Times New Roman"/>
        </w:rPr>
        <w:t xml:space="preserve">. </w:t>
      </w:r>
    </w:p>
  </w:footnote>
  <w:footnote w:id="50">
    <w:p w14:paraId="68F0F85E"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51">
    <w:p w14:paraId="7F7519E4"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 xml:space="preserve">. </w:t>
      </w:r>
    </w:p>
  </w:footnote>
  <w:footnote w:id="52">
    <w:p w14:paraId="4A6F47AC"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Health “Letter grading for mobile food vending units: What vendors need to know”, available at: </w:t>
      </w:r>
      <w:hyperlink r:id="rId32" w:history="1">
        <w:r w:rsidRPr="00AA63F9">
          <w:rPr>
            <w:rStyle w:val="Hyperlink"/>
            <w:rFonts w:ascii="Times New Roman" w:hAnsi="Times New Roman"/>
          </w:rPr>
          <w:t>https://www1.nyc.gov/assets/doh/downloads/pdf/rii/mfv-what-vendors-need-to-know.pdf</w:t>
        </w:r>
      </w:hyperlink>
      <w:r w:rsidRPr="00AA63F9">
        <w:rPr>
          <w:rFonts w:ascii="Times New Roman" w:hAnsi="Times New Roman"/>
        </w:rPr>
        <w:t xml:space="preserve">, last accessed December 8, 2023. </w:t>
      </w:r>
    </w:p>
  </w:footnote>
  <w:footnote w:id="53">
    <w:p w14:paraId="2A1D7777"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312EE5">
        <w:rPr>
          <w:rFonts w:ascii="Times New Roman" w:hAnsi="Times New Roman"/>
          <w:i/>
        </w:rPr>
        <w:t>Id</w:t>
      </w:r>
      <w:r w:rsidRPr="00AA63F9">
        <w:rPr>
          <w:rFonts w:ascii="Times New Roman" w:hAnsi="Times New Roman"/>
        </w:rPr>
        <w:t>.</w:t>
      </w:r>
    </w:p>
  </w:footnote>
  <w:footnote w:id="54">
    <w:p w14:paraId="477CCBE0" w14:textId="77777777" w:rsidR="00393D14" w:rsidRPr="00AA63F9" w:rsidRDefault="00393D14" w:rsidP="00A722F7">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for example Jeff Koyen “Inside the underground economy propping up New York city’s food carts”, </w:t>
      </w:r>
      <w:r w:rsidRPr="00AA63F9">
        <w:rPr>
          <w:rFonts w:ascii="Times New Roman" w:hAnsi="Times New Roman"/>
          <w:i/>
        </w:rPr>
        <w:t>Crains</w:t>
      </w:r>
      <w:r w:rsidRPr="00AA63F9">
        <w:rPr>
          <w:rFonts w:ascii="Times New Roman" w:hAnsi="Times New Roman"/>
        </w:rPr>
        <w:t xml:space="preserve">, June 12, 2016, available at: </w:t>
      </w:r>
      <w:hyperlink r:id="rId33" w:history="1">
        <w:r w:rsidRPr="00AA63F9">
          <w:rPr>
            <w:rStyle w:val="Hyperlink"/>
            <w:rFonts w:ascii="Times New Roman" w:hAnsi="Times New Roman"/>
          </w:rPr>
          <w:t>https://www.crainsnewyork.com/article/20160612/HOSPITALITY_TOURISM/160619986/hot-dog-vendors-and-coffee-carts-turn-to-a-black-market-operating-in-the-open-to-buy-permits-and-licen</w:t>
        </w:r>
      </w:hyperlink>
      <w:r w:rsidRPr="00AA63F9">
        <w:rPr>
          <w:rFonts w:ascii="Times New Roman" w:hAnsi="Times New Roman"/>
        </w:rPr>
        <w:t xml:space="preserve">. </w:t>
      </w:r>
    </w:p>
  </w:footnote>
  <w:footnote w:id="55">
    <w:p w14:paraId="75BEF458" w14:textId="77777777" w:rsidR="00393D14" w:rsidRPr="00AA63F9" w:rsidRDefault="00393D14" w:rsidP="00952CD8">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NYC Administrative Code §20-472</w:t>
      </w:r>
      <w:r>
        <w:rPr>
          <w:rFonts w:ascii="Times New Roman" w:hAnsi="Times New Roman"/>
        </w:rPr>
        <w:t>.</w:t>
      </w:r>
    </w:p>
  </w:footnote>
  <w:footnote w:id="56">
    <w:p w14:paraId="51271DF4" w14:textId="77777777" w:rsidR="00393D14" w:rsidRPr="001F532F" w:rsidRDefault="00393D14" w:rsidP="00952CD8">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Local Law 122 of 2025, available at: </w:t>
      </w:r>
      <w:hyperlink r:id="rId34" w:history="1">
        <w:r w:rsidRPr="001F532F">
          <w:rPr>
            <w:rStyle w:val="Hyperlink"/>
            <w:rFonts w:ascii="Times New Roman" w:hAnsi="Times New Roman"/>
          </w:rPr>
          <w:t>https://legistar.council.nyc.gov/LegislationDetail.aspx?ID=6495041&amp;GUID=F1F80A80-6AF7-4F5C-9616-64DB0AEDF372&amp;Options</w:t>
        </w:r>
      </w:hyperlink>
      <w:r w:rsidRPr="001F532F">
        <w:rPr>
          <w:rFonts w:ascii="Times New Roman" w:hAnsi="Times New Roman"/>
        </w:rPr>
        <w:t xml:space="preserve"> </w:t>
      </w:r>
    </w:p>
  </w:footnote>
  <w:footnote w:id="57">
    <w:p w14:paraId="64B4F5F3" w14:textId="77777777" w:rsidR="00393D14" w:rsidRPr="00AA63F9" w:rsidRDefault="00393D14" w:rsidP="00952CD8">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NYC Administrative Code §20-472</w:t>
      </w:r>
      <w:r>
        <w:rPr>
          <w:rFonts w:ascii="Times New Roman" w:hAnsi="Times New Roman"/>
        </w:rPr>
        <w:t>.</w:t>
      </w:r>
    </w:p>
  </w:footnote>
  <w:footnote w:id="58">
    <w:p w14:paraId="0D4C6317" w14:textId="77777777" w:rsidR="00393D14" w:rsidRPr="00AA63F9" w:rsidRDefault="00393D14" w:rsidP="00952CD8">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See Ad. Code §17-325, however, Introduction 1264-2023 would repeal misdemeanor criminal penalties for mobile food vendors.</w:t>
      </w:r>
    </w:p>
  </w:footnote>
  <w:footnote w:id="59">
    <w:p w14:paraId="1B37D2DC"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Charter § 13-e</w:t>
      </w:r>
      <w:r w:rsidRPr="00312EE5">
        <w:rPr>
          <w:rFonts w:ascii="Times New Roman" w:hAnsi="Times New Roman"/>
        </w:rPr>
        <w:t>.</w:t>
      </w:r>
    </w:p>
  </w:footnote>
  <w:footnote w:id="60">
    <w:p w14:paraId="47A10AE7"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Mayor Eric Adams, Letter to Commissioners Mayuga and Tisch, March 20, 2023, available at: </w:t>
      </w:r>
      <w:hyperlink r:id="rId35" w:history="1">
        <w:r w:rsidRPr="00AA63F9">
          <w:rPr>
            <w:rStyle w:val="Hyperlink"/>
            <w:rFonts w:ascii="Times New Roman" w:hAnsi="Times New Roman"/>
          </w:rPr>
          <w:t>https://www.nyc.gov/assets/dca/downloads/pdf/about/NYC-Office-of-Street-Vendor-Enforcement-Re-establish-Within-DSNY.pdf</w:t>
        </w:r>
      </w:hyperlink>
      <w:r w:rsidRPr="00AA63F9">
        <w:rPr>
          <w:rFonts w:ascii="Times New Roman" w:hAnsi="Times New Roman"/>
        </w:rPr>
        <w:t xml:space="preserve">, last accessed December 8, 2023. </w:t>
      </w:r>
    </w:p>
  </w:footnote>
  <w:footnote w:id="61">
    <w:p w14:paraId="082C169D"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Mayor Eric Adams, Letter to Comptroller Lander, September 27, 2023, provided to the Council by the Office of the Comptroller. </w:t>
      </w:r>
    </w:p>
  </w:footnote>
  <w:footnote w:id="62">
    <w:p w14:paraId="1E6C3E95"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Correspondence with DSNY, on file with the Council</w:t>
      </w:r>
      <w:r w:rsidRPr="00312EE5">
        <w:rPr>
          <w:rFonts w:ascii="Times New Roman" w:hAnsi="Times New Roman"/>
        </w:rPr>
        <w:t>.</w:t>
      </w:r>
      <w:r w:rsidRPr="00AA63F9">
        <w:rPr>
          <w:rFonts w:ascii="Times New Roman" w:hAnsi="Times New Roman"/>
        </w:rPr>
        <w:t xml:space="preserve"> </w:t>
      </w:r>
    </w:p>
  </w:footnote>
  <w:footnote w:id="63">
    <w:p w14:paraId="0ABDC4AC" w14:textId="2FB0F639" w:rsidR="00393D14" w:rsidRPr="001F532F" w:rsidRDefault="00393D14">
      <w:pPr>
        <w:pStyle w:val="FootnoteText"/>
        <w:rPr>
          <w:rFonts w:ascii="Times New Roman" w:hAnsi="Times New Roman"/>
          <w:b/>
        </w:rPr>
      </w:pPr>
      <w:r w:rsidRPr="001F532F">
        <w:rPr>
          <w:rStyle w:val="FootnoteReference"/>
          <w:rFonts w:ascii="Times New Roman" w:hAnsi="Times New Roman"/>
        </w:rPr>
        <w:footnoteRef/>
      </w:r>
      <w:r w:rsidRPr="001F532F">
        <w:rPr>
          <w:rFonts w:ascii="Times New Roman" w:hAnsi="Times New Roman"/>
        </w:rPr>
        <w:t xml:space="preserve"> </w:t>
      </w:r>
      <w:r>
        <w:rPr>
          <w:rFonts w:ascii="Times New Roman" w:hAnsi="Times New Roman"/>
        </w:rPr>
        <w:t xml:space="preserve">Testimony of DSNY before the NYC Council Committee on Consumer and Worker Protection, May 6, 2025, available at: </w:t>
      </w:r>
      <w:hyperlink r:id="rId36" w:history="1">
        <w:r w:rsidRPr="00EF5089">
          <w:rPr>
            <w:rStyle w:val="Hyperlink"/>
            <w:rFonts w:ascii="Times New Roman" w:hAnsi="Times New Roman"/>
          </w:rPr>
          <w:t>https://legistar.council.nyc.gov/LegislationDetail.aspx?ID=7292941&amp;GUID=78A1A948-B419-4505-8373-4BA1CA2857BD&amp;Options=&amp;Search=</w:t>
        </w:r>
      </w:hyperlink>
    </w:p>
  </w:footnote>
  <w:footnote w:id="64">
    <w:p w14:paraId="2FD0BF54" w14:textId="7FCEBFA1" w:rsidR="00393D14" w:rsidRPr="001F532F" w:rsidRDefault="00393D14">
      <w:pPr>
        <w:pStyle w:val="FootnoteText"/>
        <w:rPr>
          <w:rFonts w:ascii="Times New Roman" w:hAnsi="Times New Roman"/>
          <w:b/>
        </w:rPr>
      </w:pPr>
      <w:r w:rsidRPr="001F532F">
        <w:rPr>
          <w:rStyle w:val="FootnoteReference"/>
          <w:rFonts w:ascii="Times New Roman" w:hAnsi="Times New Roman"/>
        </w:rPr>
        <w:footnoteRef/>
      </w:r>
      <w:r w:rsidRPr="001F532F">
        <w:rPr>
          <w:rFonts w:ascii="Times New Roman" w:hAnsi="Times New Roman"/>
        </w:rPr>
        <w:t xml:space="preserve"> </w:t>
      </w:r>
      <w:r>
        <w:rPr>
          <w:rFonts w:ascii="Times New Roman" w:hAnsi="Times New Roman"/>
        </w:rPr>
        <w:t xml:space="preserve">Testimony of DSNY before the NYC Council Committee on Consumer and Worker Protection, May 6, 2025, available at: </w:t>
      </w:r>
      <w:hyperlink r:id="rId37" w:history="1">
        <w:r w:rsidRPr="00EF5089">
          <w:rPr>
            <w:rStyle w:val="Hyperlink"/>
            <w:rFonts w:ascii="Times New Roman" w:hAnsi="Times New Roman"/>
          </w:rPr>
          <w:t>https://legistar.council.nyc.gov/LegislationDetail.aspx?ID=7292941&amp;GUID=78A1A948-B419-4505-8373-4BA1CA2857BD&amp;Options=&amp;Search=</w:t>
        </w:r>
      </w:hyperlink>
    </w:p>
  </w:footnote>
  <w:footnote w:id="65">
    <w:p w14:paraId="39A9A0C9"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Council analysis of NYC OpenData, “Oath Hearings Division Case Status”</w:t>
      </w:r>
      <w:r>
        <w:rPr>
          <w:rFonts w:ascii="Times New Roman" w:hAnsi="Times New Roman"/>
        </w:rPr>
        <w:t>.</w:t>
      </w:r>
    </w:p>
  </w:footnote>
  <w:footnote w:id="66">
    <w:p w14:paraId="3B8A23E0"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17-307 A, § 20-453; NYC H.C. § 89.13 G; RCNY § 56 1-05 B</w:t>
      </w:r>
      <w:r>
        <w:rPr>
          <w:rFonts w:ascii="Times New Roman" w:hAnsi="Times New Roman"/>
        </w:rPr>
        <w:t>.</w:t>
      </w:r>
    </w:p>
  </w:footnote>
  <w:footnote w:id="67">
    <w:p w14:paraId="3D8F0E95"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A, § 20-465(a)</w:t>
      </w:r>
      <w:r>
        <w:rPr>
          <w:rFonts w:ascii="Times New Roman" w:hAnsi="Times New Roman"/>
        </w:rPr>
        <w:t>.</w:t>
      </w:r>
    </w:p>
  </w:footnote>
  <w:footnote w:id="68">
    <w:p w14:paraId="342F4B89"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E, § 20-465(e)</w:t>
      </w:r>
      <w:r>
        <w:rPr>
          <w:rFonts w:ascii="Times New Roman" w:hAnsi="Times New Roman"/>
        </w:rPr>
        <w:t>.</w:t>
      </w:r>
    </w:p>
  </w:footnote>
  <w:footnote w:id="69">
    <w:p w14:paraId="1571A5B5" w14:textId="77777777" w:rsidR="00393D14" w:rsidRPr="00AA63F9" w:rsidRDefault="00393D14" w:rsidP="00086B05">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NYC Administrative Code §  17-315 K, l, § 20-465.1</w:t>
      </w:r>
      <w:r>
        <w:rPr>
          <w:rFonts w:ascii="Times New Roman" w:hAnsi="Times New Roman"/>
        </w:rPr>
        <w:t>.</w:t>
      </w:r>
    </w:p>
  </w:footnote>
  <w:footnote w:id="70">
    <w:p w14:paraId="0825DDA1"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Immigration Research Initiative, “Street Vendors of New York,” September 17, 2024, available at: </w:t>
      </w:r>
      <w:hyperlink r:id="rId38" w:history="1">
        <w:r w:rsidRPr="00AA63F9">
          <w:rPr>
            <w:rStyle w:val="Hyperlink"/>
            <w:rFonts w:ascii="Times New Roman" w:hAnsi="Times New Roman"/>
          </w:rPr>
          <w:t>https://immrese</w:t>
        </w:r>
        <w:bookmarkStart w:id="0" w:name="_Hlt216879762"/>
        <w:bookmarkStart w:id="1" w:name="_Hlt216879763"/>
        <w:r w:rsidRPr="00AA63F9">
          <w:rPr>
            <w:rStyle w:val="Hyperlink"/>
            <w:rFonts w:ascii="Times New Roman" w:hAnsi="Times New Roman"/>
          </w:rPr>
          <w:t>a</w:t>
        </w:r>
        <w:bookmarkEnd w:id="0"/>
        <w:bookmarkEnd w:id="1"/>
        <w:r w:rsidRPr="00AA63F9">
          <w:rPr>
            <w:rStyle w:val="Hyperlink"/>
            <w:rFonts w:ascii="Times New Roman" w:hAnsi="Times New Roman"/>
          </w:rPr>
          <w:t>rch.org/publications/street-vendors-of-new-york/</w:t>
        </w:r>
      </w:hyperlink>
      <w:r w:rsidRPr="00312EE5">
        <w:rPr>
          <w:rStyle w:val="Hyperlink"/>
          <w:rFonts w:ascii="Times New Roman" w:hAnsi="Times New Roman"/>
        </w:rPr>
        <w:t>.</w:t>
      </w:r>
      <w:r w:rsidRPr="00AA63F9">
        <w:rPr>
          <w:rFonts w:ascii="Times New Roman" w:hAnsi="Times New Roman"/>
        </w:rPr>
        <w:t xml:space="preserve"> </w:t>
      </w:r>
    </w:p>
  </w:footnote>
  <w:footnote w:id="71">
    <w:p w14:paraId="31705FB4" w14:textId="4D2EFEF7" w:rsidR="00393D14" w:rsidRDefault="00393D14">
      <w:pPr>
        <w:pStyle w:val="FootnoteText"/>
      </w:pPr>
      <w:r>
        <w:rPr>
          <w:rStyle w:val="FootnoteReference"/>
        </w:rPr>
        <w:footnoteRef/>
      </w:r>
      <w:r>
        <w:t xml:space="preserve"> Id.</w:t>
      </w:r>
    </w:p>
  </w:footnote>
  <w:footnote w:id="72">
    <w:p w14:paraId="2FB42F2C"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Eric Mosher and Alaina Turnquist, “Fiscal Impact Of Eliminating Street Vendor Permit Caps in New York City,” New York City Independent Budget Office, January 2024, available at: </w:t>
      </w:r>
      <w:hyperlink r:id="rId39" w:history="1">
        <w:r w:rsidRPr="001F532F">
          <w:rPr>
            <w:rStyle w:val="Hyperlink"/>
            <w:rFonts w:ascii="Times New Roman" w:hAnsi="Times New Roman"/>
          </w:rPr>
          <w:t>https://www.ibo.nyc.gov/content/publications/2024-january-fiscal-impact-of-eliminating-street-vendor-permit-caps</w:t>
        </w:r>
      </w:hyperlink>
      <w:r w:rsidRPr="001F532F">
        <w:rPr>
          <w:rFonts w:ascii="Times New Roman" w:hAnsi="Times New Roman"/>
        </w:rPr>
        <w:t>.</w:t>
      </w:r>
      <w:r>
        <w:rPr>
          <w:rStyle w:val="Hyperlink"/>
          <w:rFonts w:ascii="Times New Roman" w:hAnsi="Times New Roman"/>
        </w:rPr>
        <w:t xml:space="preserve"> </w:t>
      </w:r>
    </w:p>
  </w:footnote>
  <w:footnote w:id="73">
    <w:p w14:paraId="5FC1293D" w14:textId="1F92635E" w:rsidR="00393D14" w:rsidRPr="001F532F" w:rsidRDefault="00393D14" w:rsidP="0073263A">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Testimony of Corrine Schiff before the NYC Council Committee on Consumer and Worker Protection, May 6, 2025, available at: </w:t>
      </w:r>
      <w:hyperlink r:id="rId40" w:history="1">
        <w:r w:rsidRPr="001F532F">
          <w:rPr>
            <w:rStyle w:val="Hyperlink"/>
            <w:rFonts w:ascii="Times New Roman" w:hAnsi="Times New Roman"/>
          </w:rPr>
          <w:t>https://legistar.council.nyc.gov/LegislationDetail.aspx?ID=7292941&amp;GUID=78A1A948-B419-4505-8373-4BA1CA2857BD&amp;Options=&amp;Search=</w:t>
        </w:r>
      </w:hyperlink>
      <w:r w:rsidRPr="001F532F">
        <w:rPr>
          <w:rFonts w:ascii="Times New Roman" w:hAnsi="Times New Roman"/>
        </w:rPr>
        <w:t xml:space="preserve"> </w:t>
      </w:r>
    </w:p>
  </w:footnote>
  <w:footnote w:id="74">
    <w:p w14:paraId="1057E5B3" w14:textId="0C61EFF3"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Pr>
          <w:rFonts w:ascii="Times New Roman" w:hAnsi="Times New Roman"/>
        </w:rPr>
        <w:t>Id.</w:t>
      </w:r>
    </w:p>
  </w:footnote>
  <w:footnote w:id="75">
    <w:p w14:paraId="1713C405"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Maggie Duffy, “In New York, Street Vendors Fought For and Won a Law for More Permits. They’re Still Waiting On Them.” </w:t>
      </w:r>
      <w:r w:rsidRPr="00AA63F9">
        <w:rPr>
          <w:rFonts w:ascii="Times New Roman" w:hAnsi="Times New Roman"/>
          <w:i/>
        </w:rPr>
        <w:t>Mother Jones</w:t>
      </w:r>
      <w:r w:rsidRPr="00AA63F9">
        <w:rPr>
          <w:rFonts w:ascii="Times New Roman" w:hAnsi="Times New Roman"/>
        </w:rPr>
        <w:t xml:space="preserve">, October 20, 2022, available at: </w:t>
      </w:r>
      <w:hyperlink r:id="rId41" w:history="1">
        <w:r w:rsidRPr="00AA63F9">
          <w:rPr>
            <w:rStyle w:val="Hyperlink"/>
            <w:rFonts w:ascii="Times New Roman" w:hAnsi="Times New Roman"/>
          </w:rPr>
          <w:t>https://www.motherjones.com/food/2022/10/in-new-york-street-vendors-fought-for-and-won-a-law-for-more-permits-theyre-still-waiting-on-them/</w:t>
        </w:r>
      </w:hyperlink>
      <w:r w:rsidRPr="00AA63F9">
        <w:rPr>
          <w:rFonts w:ascii="Times New Roman" w:hAnsi="Times New Roman"/>
        </w:rPr>
        <w:t xml:space="preserve">. </w:t>
      </w:r>
    </w:p>
  </w:footnote>
  <w:footnote w:id="76">
    <w:p w14:paraId="60F7F1E6"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Andrew B. Wolf and Dylan Hatch, “Evaluating the Regulation and Reform Implementation of Street Vending Laws In New York City,” ILR Worker Institute, April 2025, available for download at:  </w:t>
      </w:r>
      <w:hyperlink r:id="rId42" w:history="1">
        <w:r w:rsidRPr="00AA63F9">
          <w:rPr>
            <w:rStyle w:val="Hyperlink"/>
            <w:rFonts w:ascii="Times New Roman" w:hAnsi="Times New Roman"/>
          </w:rPr>
          <w:t>https://hdl.handle.net/1813/116768</w:t>
        </w:r>
      </w:hyperlink>
      <w:r w:rsidRPr="00312EE5">
        <w:rPr>
          <w:rStyle w:val="Hyperlink"/>
          <w:rFonts w:ascii="Times New Roman" w:hAnsi="Times New Roman"/>
        </w:rPr>
        <w:t>.</w:t>
      </w:r>
      <w:r w:rsidRPr="00AA63F9">
        <w:rPr>
          <w:rFonts w:ascii="Times New Roman" w:hAnsi="Times New Roman"/>
        </w:rPr>
        <w:t xml:space="preserve"> </w:t>
      </w:r>
    </w:p>
  </w:footnote>
  <w:footnote w:id="77">
    <w:p w14:paraId="6F4DCB8A" w14:textId="3C6855F5" w:rsidR="00393D14" w:rsidRPr="00A72F6D" w:rsidRDefault="00393D14">
      <w:pPr>
        <w:pStyle w:val="FootnoteText"/>
        <w:rPr>
          <w:rFonts w:ascii="Times New Roman" w:hAnsi="Times New Roman"/>
          <w:b/>
          <w:bCs/>
        </w:rPr>
      </w:pPr>
      <w:r>
        <w:rPr>
          <w:rStyle w:val="FootnoteReference"/>
        </w:rPr>
        <w:footnoteRef/>
      </w:r>
      <w:r>
        <w:t xml:space="preserve"> </w:t>
      </w:r>
      <w:r w:rsidRPr="001F532F">
        <w:rPr>
          <w:rFonts w:ascii="Times New Roman" w:hAnsi="Times New Roman"/>
          <w:i/>
          <w:iCs/>
        </w:rPr>
        <w:t xml:space="preserve">See </w:t>
      </w:r>
      <w:r w:rsidRPr="001F532F">
        <w:rPr>
          <w:rFonts w:ascii="Times New Roman" w:hAnsi="Times New Roman"/>
        </w:rPr>
        <w:t xml:space="preserve">Testimony of </w:t>
      </w:r>
      <w:r>
        <w:rPr>
          <w:rFonts w:ascii="Times New Roman" w:hAnsi="Times New Roman"/>
        </w:rPr>
        <w:t xml:space="preserve">Matthew Shapiro </w:t>
      </w:r>
      <w:r w:rsidRPr="001F532F">
        <w:rPr>
          <w:rFonts w:ascii="Times New Roman" w:hAnsi="Times New Roman"/>
        </w:rPr>
        <w:t xml:space="preserve">before the NYC Council Committee on Consumer and Worker Protection, May 6, 2025, available at: </w:t>
      </w:r>
      <w:hyperlink r:id="rId43" w:history="1">
        <w:r w:rsidRPr="001F532F">
          <w:rPr>
            <w:rStyle w:val="Hyperlink"/>
            <w:rFonts w:ascii="Times New Roman" w:hAnsi="Times New Roman"/>
          </w:rPr>
          <w:t>https://legistar.council.nyc.gov/LegislationDetail.aspx?ID=7292941&amp;GUID=78A1A948-B419-4505-8373-4BA1CA2857BD&amp;Options=&amp;Search=</w:t>
        </w:r>
      </w:hyperlink>
    </w:p>
  </w:footnote>
  <w:footnote w:id="78">
    <w:p w14:paraId="217A9949" w14:textId="77777777" w:rsidR="00393D14" w:rsidRPr="001F532F" w:rsidRDefault="00393D14" w:rsidP="00EA2660">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NYC OpenData, OATH Hearings Division Case Status, </w:t>
      </w:r>
      <w:hyperlink r:id="rId44" w:history="1">
        <w:r w:rsidRPr="001F532F">
          <w:rPr>
            <w:rStyle w:val="Hyperlink"/>
            <w:rFonts w:ascii="Times New Roman" w:hAnsi="Times New Roman"/>
          </w:rPr>
          <w:t>https://data.cityofnewyork.us/City-Government/OATH-Hearings-Division-Case-Status/jz4z-kudi/about_data</w:t>
        </w:r>
      </w:hyperlink>
      <w:r w:rsidRPr="001F532F">
        <w:rPr>
          <w:rFonts w:ascii="Times New Roman" w:hAnsi="Times New Roman"/>
        </w:rPr>
        <w:t xml:space="preserve">. </w:t>
      </w:r>
    </w:p>
  </w:footnote>
  <w:footnote w:id="79">
    <w:p w14:paraId="01CE84A4"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iCs/>
        </w:rPr>
        <w:t xml:space="preserve">See </w:t>
      </w:r>
      <w:r w:rsidRPr="00AA63F9">
        <w:rPr>
          <w:rFonts w:ascii="Times New Roman" w:hAnsi="Times New Roman"/>
        </w:rPr>
        <w:t xml:space="preserve">Testimony of Belmont Business Improvement District, Lincoln Square BID, National Supermarket Association, Agostino Vona, Louis Sheinker before the NYC Council Committee on Consumer and Worker Protection, December 15, 2023, available at: </w:t>
      </w:r>
      <w:hyperlink r:id="rId45" w:history="1">
        <w:r w:rsidRPr="00312EE5">
          <w:rPr>
            <w:rStyle w:val="Hyperlink"/>
            <w:rFonts w:ascii="Times New Roman" w:hAnsi="Times New Roman"/>
          </w:rPr>
          <w:t>https://legistar.council.nyc.gov/LegislationDetail.aspx?ID=6432703&amp;GUID=A489B441-8864-4371-BD1F-AC15A4B364EE&amp;</w:t>
        </w:r>
      </w:hyperlink>
      <w:r w:rsidRPr="00312EE5">
        <w:rPr>
          <w:rFonts w:ascii="Times New Roman" w:hAnsi="Times New Roman"/>
        </w:rPr>
        <w:t xml:space="preserve">. </w:t>
      </w:r>
    </w:p>
  </w:footnote>
  <w:footnote w:id="80">
    <w:p w14:paraId="06D1E67F" w14:textId="77777777" w:rsidR="00393D14" w:rsidRPr="00913B73" w:rsidRDefault="00393D14" w:rsidP="0073263A">
      <w:pPr>
        <w:pStyle w:val="FootnoteText"/>
        <w:rPr>
          <w:rFonts w:ascii="Times New Roman" w:hAnsi="Times New Roman"/>
        </w:rPr>
      </w:pPr>
      <w:r w:rsidRPr="00913B73">
        <w:rPr>
          <w:rStyle w:val="FootnoteReference"/>
          <w:rFonts w:ascii="Times New Roman" w:hAnsi="Times New Roman"/>
        </w:rPr>
        <w:footnoteRef/>
      </w:r>
      <w:r w:rsidRPr="00913B73">
        <w:rPr>
          <w:rFonts w:ascii="Times New Roman" w:hAnsi="Times New Roman"/>
        </w:rPr>
        <w:t xml:space="preserve"> Haidee Chu, “The Bronx Is the New Hot Spot for Street Vendor Tickets,” </w:t>
      </w:r>
      <w:r w:rsidRPr="00913B73">
        <w:rPr>
          <w:rFonts w:ascii="Times New Roman" w:hAnsi="Times New Roman"/>
          <w:i/>
        </w:rPr>
        <w:t>The City</w:t>
      </w:r>
      <w:r w:rsidRPr="00913B73">
        <w:rPr>
          <w:rFonts w:ascii="Times New Roman" w:hAnsi="Times New Roman"/>
        </w:rPr>
        <w:t xml:space="preserve">, April 12, 2024, available at: </w:t>
      </w:r>
      <w:hyperlink r:id="rId46" w:history="1">
        <w:r w:rsidRPr="00913B73">
          <w:rPr>
            <w:rStyle w:val="Hyperlink"/>
            <w:rFonts w:ascii="Times New Roman" w:hAnsi="Times New Roman"/>
          </w:rPr>
          <w:t>https://www.thecity.nyc/2024/04/12/vendors-tickets-violations-spike-enforcement-bronx/</w:t>
        </w:r>
      </w:hyperlink>
      <w:r>
        <w:rPr>
          <w:rStyle w:val="Hyperlink"/>
          <w:rFonts w:ascii="Times New Roman" w:hAnsi="Times New Roman"/>
        </w:rPr>
        <w:t>.</w:t>
      </w:r>
      <w:r w:rsidRPr="00913B73">
        <w:rPr>
          <w:rFonts w:ascii="Times New Roman" w:hAnsi="Times New Roman"/>
        </w:rPr>
        <w:t xml:space="preserve"> </w:t>
      </w:r>
    </w:p>
  </w:footnote>
  <w:footnote w:id="81">
    <w:p w14:paraId="3D844006" w14:textId="77777777" w:rsidR="00393D14" w:rsidRPr="00913B73" w:rsidRDefault="00393D14" w:rsidP="0073263A">
      <w:pPr>
        <w:pStyle w:val="FootnoteText"/>
        <w:rPr>
          <w:rFonts w:ascii="Times New Roman" w:hAnsi="Times New Roman"/>
        </w:rPr>
      </w:pPr>
      <w:r w:rsidRPr="00913B73">
        <w:rPr>
          <w:rStyle w:val="FootnoteReference"/>
          <w:rFonts w:ascii="Times New Roman" w:hAnsi="Times New Roman"/>
        </w:rPr>
        <w:footnoteRef/>
      </w:r>
      <w:r w:rsidRPr="00913B73">
        <w:rPr>
          <w:rFonts w:ascii="Times New Roman" w:hAnsi="Times New Roman"/>
        </w:rPr>
        <w:t xml:space="preserve"> “Mayor Adams, Councilmember Moya Launch Multi-Agency Operation to Address Urgent Public Safety and Quality-of-Life Concerns Along Roosevelt Avenue in Queens,” October 15, 2024, available at: </w:t>
      </w:r>
      <w:hyperlink r:id="rId47" w:history="1">
        <w:r w:rsidRPr="00913B73">
          <w:rPr>
            <w:rStyle w:val="Hyperlink"/>
            <w:rFonts w:ascii="Times New Roman" w:hAnsi="Times New Roman"/>
          </w:rPr>
          <w:t>https://www.nyc.gov/office-of-the-mayor/news/760-24/mayor-adams-councilmember-moya-launch-multi-agency-operation-address-urgent-public-safety-and</w:t>
        </w:r>
      </w:hyperlink>
      <w:r>
        <w:rPr>
          <w:rStyle w:val="Hyperlink"/>
          <w:rFonts w:ascii="Times New Roman" w:hAnsi="Times New Roman"/>
        </w:rPr>
        <w:t>.</w:t>
      </w:r>
      <w:r w:rsidRPr="00913B73">
        <w:rPr>
          <w:rFonts w:ascii="Times New Roman" w:hAnsi="Times New Roman"/>
        </w:rPr>
        <w:t xml:space="preserve">  </w:t>
      </w:r>
    </w:p>
  </w:footnote>
  <w:footnote w:id="82">
    <w:p w14:paraId="458439B6"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AA63F9">
        <w:rPr>
          <w:rFonts w:ascii="Times New Roman" w:hAnsi="Times New Roman"/>
          <w:i/>
          <w:iCs/>
        </w:rPr>
        <w:t xml:space="preserve">See </w:t>
      </w:r>
      <w:r w:rsidRPr="00AA63F9">
        <w:rPr>
          <w:rFonts w:ascii="Times New Roman" w:hAnsi="Times New Roman"/>
        </w:rPr>
        <w:t xml:space="preserve">Testimony of Mohamed Attia before the NYC Council Committee on Small Business, March 21, 2025, available at: </w:t>
      </w:r>
      <w:hyperlink r:id="rId48" w:history="1">
        <w:r w:rsidRPr="00AA63F9">
          <w:rPr>
            <w:rStyle w:val="Hyperlink"/>
            <w:rFonts w:ascii="Times New Roman" w:hAnsi="Times New Roman"/>
          </w:rPr>
          <w:t>https://legistar.council.nyc.gov/LegislationDetail.aspx?ID=7102140&amp;GUID=0E84D923-8D29-470D-A430-5FF7A5A55D95&amp;Options=&amp;Search=</w:t>
        </w:r>
      </w:hyperlink>
      <w:r w:rsidRPr="00AA63F9">
        <w:rPr>
          <w:rFonts w:ascii="Times New Roman" w:hAnsi="Times New Roman"/>
        </w:rPr>
        <w:t xml:space="preserve"> </w:t>
      </w:r>
    </w:p>
  </w:footnote>
  <w:footnote w:id="83">
    <w:p w14:paraId="7CA6E3A4"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Street Vendor Advisory Board, 2024 Report, on file with the Council</w:t>
      </w:r>
    </w:p>
  </w:footnote>
  <w:footnote w:id="84">
    <w:p w14:paraId="2977F354" w14:textId="77777777" w:rsidR="00393D14" w:rsidRPr="00AA63F9" w:rsidRDefault="00393D14" w:rsidP="0073263A">
      <w:pPr>
        <w:pStyle w:val="FootnoteText"/>
        <w:rPr>
          <w:rFonts w:ascii="Times New Roman" w:hAnsi="Times New Roman"/>
        </w:rPr>
      </w:pPr>
      <w:r w:rsidRPr="00AA63F9">
        <w:rPr>
          <w:rStyle w:val="FootnoteReference"/>
          <w:rFonts w:ascii="Times New Roman" w:hAnsi="Times New Roman"/>
        </w:rPr>
        <w:footnoteRef/>
      </w:r>
      <w:r w:rsidRPr="00AA63F9">
        <w:rPr>
          <w:rFonts w:ascii="Times New Roman" w:hAnsi="Times New Roman"/>
        </w:rPr>
        <w:t xml:space="preserve"> </w:t>
      </w:r>
      <w:r w:rsidRPr="00913B73">
        <w:rPr>
          <w:rFonts w:ascii="Times New Roman" w:hAnsi="Times New Roman"/>
          <w:i/>
        </w:rPr>
        <w:t>Id</w:t>
      </w:r>
      <w:r w:rsidRPr="00AA63F9">
        <w:rPr>
          <w:rFonts w:ascii="Times New Roman" w:hAnsi="Times New Roman"/>
        </w:rPr>
        <w:t>.</w:t>
      </w:r>
    </w:p>
  </w:footnote>
  <w:footnote w:id="85">
    <w:p w14:paraId="769C60AA"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See</w:t>
      </w:r>
      <w:r w:rsidRPr="0090169A">
        <w:rPr>
          <w:rFonts w:ascii="Times New Roman" w:hAnsi="Times New Roman"/>
        </w:rPr>
        <w:t xml:space="preserve"> Kabir Ahuja et al., “Ordering in: The rapid evolution of food delivery,” McKinsey and Company, September 22, 2021, available at: </w:t>
      </w:r>
      <w:hyperlink r:id="rId49" w:history="1">
        <w:r w:rsidRPr="0090169A">
          <w:rPr>
            <w:rStyle w:val="Hyperlink"/>
            <w:rFonts w:ascii="Times New Roman" w:hAnsi="Times New Roman"/>
          </w:rPr>
          <w:t>https://www.mckinsey.com/industries/technology-media-and-telecommunications/our-insights/ordering-in-the-rapid-evolution-of-food-delivery</w:t>
        </w:r>
      </w:hyperlink>
      <w:r w:rsidRPr="0090169A">
        <w:rPr>
          <w:rFonts w:ascii="Times New Roman" w:hAnsi="Times New Roman"/>
        </w:rPr>
        <w:t xml:space="preserve">   </w:t>
      </w:r>
    </w:p>
  </w:footnote>
  <w:footnote w:id="86">
    <w:p w14:paraId="68354DBF"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Kyle Wiggers, “The delivery market is coming down from its pandemic highs,” </w:t>
      </w:r>
      <w:r w:rsidRPr="0090169A">
        <w:rPr>
          <w:rFonts w:ascii="Times New Roman" w:hAnsi="Times New Roman"/>
          <w:i/>
        </w:rPr>
        <w:t>TechCrunch</w:t>
      </w:r>
      <w:r w:rsidRPr="0090169A">
        <w:rPr>
          <w:rFonts w:ascii="Times New Roman" w:hAnsi="Times New Roman"/>
        </w:rPr>
        <w:t>, June 3, 2022, available at:</w:t>
      </w:r>
      <w:r w:rsidRPr="0090169A">
        <w:rPr>
          <w:rFonts w:ascii="Times New Roman" w:hAnsi="Times New Roman"/>
          <w:i/>
        </w:rPr>
        <w:t xml:space="preserve"> </w:t>
      </w:r>
      <w:hyperlink r:id="rId50" w:history="1">
        <w:r w:rsidRPr="0090169A">
          <w:rPr>
            <w:rStyle w:val="Hyperlink"/>
            <w:rFonts w:ascii="Times New Roman" w:hAnsi="Times New Roman"/>
          </w:rPr>
          <w:t>https://techcrunch.com/2022/06/03/the-delivery-market-is-coming-down-from-its-pandemic-highs/</w:t>
        </w:r>
      </w:hyperlink>
      <w:r w:rsidRPr="0090169A">
        <w:rPr>
          <w:rFonts w:ascii="Times New Roman" w:hAnsi="Times New Roman"/>
        </w:rPr>
        <w:t xml:space="preserve"> </w:t>
      </w:r>
    </w:p>
  </w:footnote>
  <w:footnote w:id="87">
    <w:p w14:paraId="5FF4791E"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NYC Department of Consumer and Worker Protection, “A Minimum Pay Rate for App-Based Restaurant Delivery Workers in NYC,” November 2022, available at: </w:t>
      </w:r>
      <w:hyperlink r:id="rId51" w:history="1">
        <w:r w:rsidRPr="0090169A">
          <w:rPr>
            <w:rStyle w:val="Hyperlink"/>
            <w:rFonts w:ascii="Times New Roman" w:hAnsi="Times New Roman"/>
          </w:rPr>
          <w:t>https://www.nyc.gov/assets/dca/downloads/pdf/workers/Delivery-Worker-Study-November-2022.pdf</w:t>
        </w:r>
      </w:hyperlink>
      <w:r w:rsidRPr="0090169A">
        <w:rPr>
          <w:rFonts w:ascii="Times New Roman" w:hAnsi="Times New Roman"/>
        </w:rPr>
        <w:t xml:space="preserve"> </w:t>
      </w:r>
    </w:p>
  </w:footnote>
  <w:footnote w:id="88">
    <w:p w14:paraId="0638307C" w14:textId="68FD0166" w:rsidR="00393D14" w:rsidRPr="000418B5" w:rsidRDefault="00393D14">
      <w:pPr>
        <w:pStyle w:val="FootnoteText"/>
        <w:rPr>
          <w:rFonts w:ascii="Times New Roman" w:hAnsi="Times New Roman"/>
        </w:rPr>
      </w:pPr>
      <w:r>
        <w:rPr>
          <w:rStyle w:val="FootnoteReference"/>
        </w:rPr>
        <w:footnoteRef/>
      </w:r>
      <w:r>
        <w:t xml:space="preserve"> </w:t>
      </w:r>
      <w:r>
        <w:rPr>
          <w:i/>
          <w:iCs/>
        </w:rPr>
        <w:t xml:space="preserve">See </w:t>
      </w:r>
      <w:r w:rsidRPr="001F532F">
        <w:rPr>
          <w:rFonts w:ascii="Times New Roman" w:hAnsi="Times New Roman"/>
        </w:rPr>
        <w:t xml:space="preserve">Maria Figueroa, Ligia Guallpa, Andrew Wolf, Glendy Tsitouras, and Hildalyn Colón Hernández, “Essential but Unprotected: App-based Food Couriers in New York City,” Cornell University, ILR School, Workers Institute, 2023, available at: </w:t>
      </w:r>
      <w:hyperlink r:id="rId52" w:history="1">
        <w:r w:rsidRPr="001F532F">
          <w:rPr>
            <w:rStyle w:val="Hyperlink"/>
            <w:rFonts w:ascii="Times New Roman" w:hAnsi="Times New Roman"/>
          </w:rPr>
          <w:t>https://ecommons.cornell.edu/items/7236a5cb-ebf7-4629-bf02-505efd1ce1d5</w:t>
        </w:r>
      </w:hyperlink>
      <w:r>
        <w:t xml:space="preserve"> </w:t>
      </w:r>
      <w:r w:rsidRPr="001F532F">
        <w:rPr>
          <w:rFonts w:ascii="Times New Roman" w:hAnsi="Times New Roman"/>
        </w:rPr>
        <w:t xml:space="preserve"> </w:t>
      </w:r>
    </w:p>
  </w:footnote>
  <w:footnote w:id="89">
    <w:p w14:paraId="40D760D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113 of 2021, available at: </w:t>
      </w:r>
      <w:hyperlink r:id="rId53" w:history="1">
        <w:r w:rsidRPr="0090169A">
          <w:rPr>
            <w:rStyle w:val="Hyperlink"/>
            <w:rFonts w:ascii="Times New Roman" w:hAnsi="Times New Roman"/>
          </w:rPr>
          <w:t>https://legistar.council.nyc.gov/LegislationDetail.aspx?ID=4927208&amp;GUID=B078405C-0F32-4480-9149-B71883E3D12B&amp;</w:t>
        </w:r>
      </w:hyperlink>
      <w:r w:rsidRPr="0090169A">
        <w:rPr>
          <w:rFonts w:ascii="Times New Roman" w:hAnsi="Times New Roman"/>
        </w:rPr>
        <w:t xml:space="preserve"> </w:t>
      </w:r>
    </w:p>
  </w:footnote>
  <w:footnote w:id="90">
    <w:p w14:paraId="21AB1C5B"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114 of 2021, available at: </w:t>
      </w:r>
      <w:hyperlink r:id="rId54" w:history="1">
        <w:r w:rsidRPr="0090169A">
          <w:rPr>
            <w:rStyle w:val="Hyperlink"/>
            <w:rFonts w:ascii="Times New Roman" w:hAnsi="Times New Roman"/>
          </w:rPr>
          <w:t>https://legistar.council.nyc.gov/LegislationDetail.aspx?ID=4927215&amp;GUID=68592300-6B1D-40DC-9995-33D16088F98C&amp;</w:t>
        </w:r>
      </w:hyperlink>
      <w:r w:rsidRPr="0090169A">
        <w:rPr>
          <w:rFonts w:ascii="Times New Roman" w:hAnsi="Times New Roman"/>
        </w:rPr>
        <w:t xml:space="preserve"> </w:t>
      </w:r>
    </w:p>
  </w:footnote>
  <w:footnote w:id="91">
    <w:p w14:paraId="3C6B9963"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115 of 2021, available at: </w:t>
      </w:r>
      <w:hyperlink r:id="rId55" w:history="1">
        <w:r w:rsidRPr="0090169A">
          <w:rPr>
            <w:rStyle w:val="Hyperlink"/>
            <w:rFonts w:ascii="Times New Roman" w:hAnsi="Times New Roman"/>
          </w:rPr>
          <w:t>https://legistar.council.nyc.gov/LegislationDetail.aspx?ID=4927204&amp;GUID=FCEA3CE8-8F00-4C8C-9AF1-588EA076E797</w:t>
        </w:r>
      </w:hyperlink>
      <w:r w:rsidRPr="0090169A">
        <w:rPr>
          <w:rFonts w:ascii="Times New Roman" w:hAnsi="Times New Roman"/>
        </w:rPr>
        <w:t xml:space="preserve"> </w:t>
      </w:r>
    </w:p>
  </w:footnote>
  <w:footnote w:id="92">
    <w:p w14:paraId="06E84C00"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116 of 2021, available at: </w:t>
      </w:r>
      <w:hyperlink r:id="rId56" w:history="1">
        <w:r w:rsidRPr="0090169A">
          <w:rPr>
            <w:rStyle w:val="Hyperlink"/>
            <w:rFonts w:ascii="Times New Roman" w:hAnsi="Times New Roman"/>
          </w:rPr>
          <w:t>https://legistar.council.nyc.gov/LegislationDetail.aspx?ID=4927213&amp;GUID=9265CC1A-EE91-402C-9867-B8507852ED42</w:t>
        </w:r>
      </w:hyperlink>
      <w:r w:rsidRPr="0090169A">
        <w:rPr>
          <w:rFonts w:ascii="Times New Roman" w:hAnsi="Times New Roman"/>
        </w:rPr>
        <w:t xml:space="preserve"> </w:t>
      </w:r>
    </w:p>
  </w:footnote>
  <w:footnote w:id="93">
    <w:p w14:paraId="18B8581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Local Law 117 of 2021, available at: </w:t>
      </w:r>
      <w:hyperlink r:id="rId57" w:history="1">
        <w:r w:rsidRPr="0090169A">
          <w:rPr>
            <w:rStyle w:val="Hyperlink"/>
            <w:rFonts w:ascii="Times New Roman" w:hAnsi="Times New Roman"/>
          </w:rPr>
          <w:t>https://legistar.council.nyc.gov/LegislationDetail.aspx?ID=4927206&amp;GUID=4F2D9BC6-74D4-4A24-A889-85104C11881B&amp;</w:t>
        </w:r>
      </w:hyperlink>
      <w:r w:rsidRPr="0090169A">
        <w:rPr>
          <w:rFonts w:ascii="Times New Roman" w:hAnsi="Times New Roman"/>
        </w:rPr>
        <w:t xml:space="preserve"> </w:t>
      </w:r>
    </w:p>
  </w:footnote>
  <w:footnote w:id="94">
    <w:p w14:paraId="73185E1E" w14:textId="73F34F3C"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Introduction Number 1133-A, available at: </w:t>
      </w:r>
      <w:hyperlink r:id="rId58" w:history="1">
        <w:r w:rsidRPr="0090169A">
          <w:rPr>
            <w:rStyle w:val="Hyperlink"/>
            <w:rFonts w:ascii="Times New Roman" w:hAnsi="Times New Roman"/>
          </w:rPr>
          <w:t>https://legistar.council.nyc.gov/LegislationDetail.aspx?ID=</w:t>
        </w:r>
        <w:bookmarkStart w:id="2" w:name="_Hlt216884400"/>
        <w:bookmarkStart w:id="3" w:name="_Hlt216884401"/>
        <w:r w:rsidRPr="0090169A">
          <w:rPr>
            <w:rStyle w:val="Hyperlink"/>
            <w:rFonts w:ascii="Times New Roman" w:hAnsi="Times New Roman"/>
          </w:rPr>
          <w:t>7</w:t>
        </w:r>
        <w:bookmarkEnd w:id="2"/>
        <w:bookmarkEnd w:id="3"/>
        <w:r w:rsidRPr="0090169A">
          <w:rPr>
            <w:rStyle w:val="Hyperlink"/>
            <w:rFonts w:ascii="Times New Roman" w:hAnsi="Times New Roman"/>
          </w:rPr>
          <w:t>033091&amp;GUID=68249F7A-9291-416E-A5AF-136F978ACD2E&amp;Options</w:t>
        </w:r>
      </w:hyperlink>
      <w:r w:rsidRPr="0090169A">
        <w:rPr>
          <w:rFonts w:ascii="Times New Roman" w:hAnsi="Times New Roman"/>
        </w:rPr>
        <w:t xml:space="preserve">; Introduction Number 1135-A, available at: </w:t>
      </w:r>
      <w:hyperlink r:id="rId59" w:history="1">
        <w:r w:rsidRPr="0090169A">
          <w:rPr>
            <w:rStyle w:val="Hyperlink"/>
            <w:rFonts w:ascii="Times New Roman" w:hAnsi="Times New Roman"/>
          </w:rPr>
          <w:t>https://legistar.council.nyc.gov/LegislationDetail.aspx?ID=7033092&amp;GUID=D0503195-47BB-4753-85A6-0641393D88A6&amp;Options</w:t>
        </w:r>
      </w:hyperlink>
      <w:r w:rsidRPr="0090169A">
        <w:rPr>
          <w:rFonts w:ascii="Times New Roman" w:hAnsi="Times New Roman"/>
        </w:rPr>
        <w:t xml:space="preserve">     </w:t>
      </w:r>
    </w:p>
  </w:footnote>
  <w:footnote w:id="95">
    <w:p w14:paraId="08DF971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Alex Bitter and Nancy Luna, “Delivery drivers who make their living on apps like Instacart, DoorDash, and Grubhub say they're being booted with little warning or recourse,” </w:t>
      </w:r>
      <w:r w:rsidRPr="0090169A">
        <w:rPr>
          <w:rFonts w:ascii="Times New Roman" w:hAnsi="Times New Roman"/>
          <w:i/>
        </w:rPr>
        <w:t>Business Insider</w:t>
      </w:r>
      <w:r w:rsidRPr="0090169A">
        <w:rPr>
          <w:rFonts w:ascii="Times New Roman" w:hAnsi="Times New Roman"/>
        </w:rPr>
        <w:t xml:space="preserve">, October 1, 2023, available at: </w:t>
      </w:r>
      <w:hyperlink r:id="rId60" w:history="1">
        <w:r w:rsidRPr="0090169A">
          <w:rPr>
            <w:rStyle w:val="Hyperlink"/>
            <w:rFonts w:ascii="Times New Roman" w:hAnsi="Times New Roman"/>
          </w:rPr>
          <w:t>https://www.businessinsider.com/how-gig-workers-are-fighting-against-sudden-account-deactivations-2023-9</w:t>
        </w:r>
      </w:hyperlink>
      <w:r w:rsidRPr="0090169A">
        <w:rPr>
          <w:rFonts w:ascii="Times New Roman" w:hAnsi="Times New Roman"/>
        </w:rPr>
        <w:t xml:space="preserve"> </w:t>
      </w:r>
    </w:p>
  </w:footnote>
  <w:footnote w:id="96">
    <w:p w14:paraId="04B4204E" w14:textId="77777777" w:rsidR="00393D14" w:rsidRPr="0090169A" w:rsidRDefault="00393D14" w:rsidP="00EE6693">
      <w:pPr>
        <w:pStyle w:val="FootnoteText"/>
        <w:rPr>
          <w:rFonts w:ascii="Times New Roman" w:hAnsi="Times New Roman"/>
          <w:b/>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See “</w:t>
      </w:r>
      <w:r w:rsidRPr="0090169A">
        <w:rPr>
          <w:rFonts w:ascii="Times New Roman" w:hAnsi="Times New Roman"/>
        </w:rPr>
        <w:t xml:space="preserve">Terms of Use,” Grubhub, accessible at: </w:t>
      </w:r>
      <w:hyperlink r:id="rId61" w:history="1">
        <w:r w:rsidRPr="0090169A">
          <w:rPr>
            <w:rStyle w:val="Hyperlink"/>
            <w:rFonts w:ascii="Times New Roman" w:hAnsi="Times New Roman"/>
          </w:rPr>
          <w:t>https://driver.grubhub.com/terms-of-use/</w:t>
        </w:r>
      </w:hyperlink>
      <w:r w:rsidRPr="0090169A">
        <w:rPr>
          <w:rFonts w:ascii="Times New Roman" w:hAnsi="Times New Roman"/>
        </w:rPr>
        <w:t xml:space="preserve">; “Understand how you can lose account access,” Grubhub, accessible at: </w:t>
      </w:r>
      <w:hyperlink r:id="rId62" w:history="1">
        <w:r w:rsidRPr="0090169A">
          <w:rPr>
            <w:rStyle w:val="Hyperlink"/>
            <w:rFonts w:ascii="Times New Roman" w:hAnsi="Times New Roman"/>
          </w:rPr>
          <w:t>https://driver.grubhub.com/account-violations-and-deactivation/</w:t>
        </w:r>
      </w:hyperlink>
      <w:r w:rsidRPr="0090169A">
        <w:rPr>
          <w:rFonts w:ascii="Times New Roman" w:hAnsi="Times New Roman"/>
        </w:rPr>
        <w:t xml:space="preserve">; “Understanding why drivers and delivery people can lose access to their accounts,” Uber, accessible at: </w:t>
      </w:r>
      <w:hyperlink r:id="rId63" w:history="1">
        <w:r w:rsidRPr="0090169A">
          <w:rPr>
            <w:rStyle w:val="Hyperlink"/>
            <w:rFonts w:ascii="Times New Roman" w:hAnsi="Times New Roman"/>
          </w:rPr>
          <w:t>https://www.uber.com/us/en/drive/driver-app/deactivation-review/</w:t>
        </w:r>
      </w:hyperlink>
      <w:r w:rsidRPr="0090169A">
        <w:rPr>
          <w:rFonts w:ascii="Times New Roman" w:hAnsi="Times New Roman"/>
        </w:rPr>
        <w:t xml:space="preserve">  </w:t>
      </w:r>
    </w:p>
  </w:footnote>
  <w:footnote w:id="97">
    <w:p w14:paraId="0D4806BD" w14:textId="77777777" w:rsidR="00393D14" w:rsidRPr="0090169A" w:rsidRDefault="00393D14" w:rsidP="00EE6693">
      <w:pPr>
        <w:pStyle w:val="FootnoteText"/>
        <w:rPr>
          <w:rFonts w:ascii="Times New Roman" w:hAnsi="Times New Roman"/>
          <w:i/>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 xml:space="preserve">Id. </w:t>
      </w:r>
    </w:p>
  </w:footnote>
  <w:footnote w:id="98">
    <w:p w14:paraId="1F372F31"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rPr>
        <w:t xml:space="preserve">See </w:t>
      </w:r>
      <w:r w:rsidRPr="0090169A">
        <w:rPr>
          <w:rFonts w:ascii="Times New Roman" w:hAnsi="Times New Roman"/>
        </w:rPr>
        <w:t xml:space="preserve">Nick Keppler, “They Were Deactivated From Delivering. Their Finances Were Devastated,” </w:t>
      </w:r>
      <w:r w:rsidRPr="0090169A">
        <w:rPr>
          <w:rFonts w:ascii="Times New Roman" w:hAnsi="Times New Roman"/>
          <w:i/>
        </w:rPr>
        <w:t>The New York Times</w:t>
      </w:r>
      <w:r w:rsidRPr="0090169A">
        <w:rPr>
          <w:rFonts w:ascii="Times New Roman" w:hAnsi="Times New Roman"/>
        </w:rPr>
        <w:t xml:space="preserve">, March 29, 2025, available at: </w:t>
      </w:r>
      <w:hyperlink r:id="rId64" w:history="1">
        <w:r w:rsidRPr="0090169A">
          <w:rPr>
            <w:rStyle w:val="Hyperlink"/>
            <w:rFonts w:ascii="Times New Roman" w:hAnsi="Times New Roman"/>
          </w:rPr>
          <w:t>https://www.nytimes.com/2025/03/29/business/uber-lyft-doordash-deactivation.html</w:t>
        </w:r>
      </w:hyperlink>
      <w:r w:rsidRPr="0090169A">
        <w:rPr>
          <w:rFonts w:ascii="Times New Roman" w:hAnsi="Times New Roman"/>
        </w:rPr>
        <w:t xml:space="preserve"> </w:t>
      </w:r>
    </w:p>
  </w:footnote>
  <w:footnote w:id="99">
    <w:p w14:paraId="25E3B846" w14:textId="31CA7FA0" w:rsidR="00393D14" w:rsidRPr="0090169A" w:rsidRDefault="00393D14" w:rsidP="008640E7">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Maria Figueroa, Ligia Guallpa, Andrew Wolf, Glendy Tsitouras, and Hildalyn Colón Hernández, “Essential but Unprotected: App-based Food Couriers in New York City,” Cornell University, ILR School, Workers Institute, 2023, available at: </w:t>
      </w:r>
      <w:hyperlink r:id="rId65" w:history="1">
        <w:r w:rsidRPr="0090169A">
          <w:rPr>
            <w:rStyle w:val="Hyperlink"/>
            <w:rFonts w:ascii="Times New Roman" w:hAnsi="Times New Roman"/>
          </w:rPr>
          <w:t>https://ecommons.cornell.edu/items/7236a5cb-ebf7-4629-bf02-505efd1ce1d5</w:t>
        </w:r>
      </w:hyperlink>
      <w:r w:rsidRPr="0090169A">
        <w:rPr>
          <w:rFonts w:ascii="Times New Roman" w:hAnsi="Times New Roman"/>
        </w:rPr>
        <w:t xml:space="preserve"> </w:t>
      </w:r>
    </w:p>
  </w:footnote>
  <w:footnote w:id="100">
    <w:p w14:paraId="1195095F" w14:textId="4CF6878B" w:rsidR="00393D14" w:rsidRPr="0090169A" w:rsidRDefault="00393D14">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 xml:space="preserve">See </w:t>
      </w:r>
      <w:r w:rsidRPr="0090169A">
        <w:rPr>
          <w:rFonts w:ascii="Times New Roman" w:hAnsi="Times New Roman"/>
        </w:rPr>
        <w:t xml:space="preserve">Testimony of </w:t>
      </w:r>
      <w:r>
        <w:rPr>
          <w:rFonts w:ascii="Times New Roman" w:hAnsi="Times New Roman"/>
        </w:rPr>
        <w:t xml:space="preserve">the Department of Consumer and Worker Protection, </w:t>
      </w:r>
      <w:r w:rsidRPr="0090169A">
        <w:rPr>
          <w:rFonts w:ascii="Times New Roman" w:hAnsi="Times New Roman"/>
        </w:rPr>
        <w:t xml:space="preserve">Alejandro Grajales, Antonio Solis, Arafat Hossain Araf, Compaore Ibrahim, Delwar Hossain, Eugenio Noriega Castaneda, Fazlur Rahaman, Hossain Shuvo, Jahangir Alam, Jose Luis Diaz Neri, Jose Valdez, Khondoker H. Hossain, MD Hossain, MD Kazal Hossain, MD Rahman, MD Rayhan Ahmed, Mengba Li, Mohamed Pafadnam, Mohammad Alamin Miah, Mohammad Tanvir, Mosarrof Hussain, Nazmul Hasan, Nizam Joney, Oscar Antonio Landeros Montes, Pedro Isaias Rojas Tem, Rabiul Hossain, Raju Ahmed, Shake Aziz Risan, Shaoliang, Thieno Mdjou Barry and Wend Sawadogo before the NYC Council Committee on Consumer and Worker Protection, September 12, 2025, available at: </w:t>
      </w:r>
      <w:hyperlink r:id="rId66" w:history="1">
        <w:r w:rsidRPr="00E25F09">
          <w:rPr>
            <w:rStyle w:val="Hyperlink"/>
            <w:rFonts w:ascii="Times New Roman" w:hAnsi="Times New Roman"/>
          </w:rPr>
          <w:t>https://legistar.council.nyc.gov/LegislationDetail.aspx?ID=7480055&amp;GUID=265D0ED3-FB2F-48B9-AF70-79973B11E094&amp;Options=&amp;Search=</w:t>
        </w:r>
      </w:hyperlink>
    </w:p>
  </w:footnote>
  <w:footnote w:id="101">
    <w:p w14:paraId="2BC253E4" w14:textId="479C5B32"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w:t>
      </w:r>
      <w:r w:rsidRPr="00E25F09">
        <w:rPr>
          <w:rFonts w:ascii="Times New Roman" w:hAnsi="Times New Roman"/>
          <w:i/>
        </w:rPr>
        <w:t>Id</w:t>
      </w:r>
      <w:r w:rsidRPr="00E25F09">
        <w:rPr>
          <w:rFonts w:ascii="Times New Roman" w:hAnsi="Times New Roman"/>
        </w:rPr>
        <w:t>.</w:t>
      </w:r>
    </w:p>
  </w:footnote>
  <w:footnote w:id="102">
    <w:p w14:paraId="2537EB8D" w14:textId="30A16216" w:rsidR="00393D14" w:rsidRPr="0090169A" w:rsidRDefault="00393D14">
      <w:pPr>
        <w:pStyle w:val="FootnoteText"/>
        <w:rPr>
          <w:rFonts w:ascii="Times New Roman" w:hAnsi="Times New Roman"/>
        </w:rPr>
      </w:pPr>
      <w:r w:rsidRPr="0090169A">
        <w:rPr>
          <w:rStyle w:val="FootnoteReference"/>
          <w:rFonts w:ascii="Times New Roman" w:hAnsi="Times New Roman"/>
        </w:rPr>
        <w:footnoteRef/>
      </w:r>
      <w:r w:rsidRPr="00E25F09">
        <w:rPr>
          <w:rFonts w:ascii="Times New Roman" w:hAnsi="Times New Roman"/>
        </w:rPr>
        <w:t xml:space="preserve"> Testimony of Milon Chowdhury before the NYC Council Committee on Consumer and Worker Protection, September 12, 2025, available at: </w:t>
      </w:r>
      <w:hyperlink r:id="rId67" w:history="1">
        <w:r w:rsidRPr="00E25F09">
          <w:rPr>
            <w:rStyle w:val="Hyperlink"/>
            <w:rFonts w:ascii="Times New Roman" w:hAnsi="Times New Roman"/>
          </w:rPr>
          <w:t>https://legistar.council.nyc.gov/LegislationDetail.aspx?ID=7480055&amp;GUID=265D0ED3-FB2F-48B9-AF70-79973B11E094&amp;Options=&amp;Search=</w:t>
        </w:r>
      </w:hyperlink>
      <w:r w:rsidRPr="00E25F09">
        <w:rPr>
          <w:rFonts w:ascii="Times New Roman" w:hAnsi="Times New Roman"/>
        </w:rPr>
        <w:t xml:space="preserve"> </w:t>
      </w:r>
    </w:p>
  </w:footnote>
  <w:footnote w:id="103">
    <w:p w14:paraId="73956935" w14:textId="5BB72744" w:rsidR="00393D14" w:rsidRPr="001F532F" w:rsidRDefault="00393D14" w:rsidP="001200A7">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Local Law 115 of 2021, available at: </w:t>
      </w:r>
      <w:hyperlink r:id="rId68" w:history="1">
        <w:r w:rsidRPr="001F532F">
          <w:rPr>
            <w:rStyle w:val="Hyperlink"/>
            <w:rFonts w:ascii="Times New Roman" w:hAnsi="Times New Roman"/>
          </w:rPr>
          <w:t>https://legistar.council.nyc.gov/LegislationDetail.aspx?ID=4927204&amp;GUID=FCEA3CE8-8F00-4C8C-9AF1-588EA076E797</w:t>
        </w:r>
      </w:hyperlink>
      <w:r>
        <w:rPr>
          <w:rFonts w:ascii="Times New Roman" w:hAnsi="Times New Roman"/>
        </w:rPr>
        <w:t>; Local Law 123 of 2025</w:t>
      </w:r>
      <w:r w:rsidRPr="0090169A">
        <w:rPr>
          <w:rFonts w:ascii="Times New Roman" w:hAnsi="Times New Roman"/>
        </w:rPr>
        <w:t xml:space="preserve">, available at: </w:t>
      </w:r>
      <w:hyperlink r:id="rId69" w:history="1">
        <w:r w:rsidRPr="0090169A">
          <w:rPr>
            <w:rStyle w:val="Hyperlink"/>
            <w:rFonts w:ascii="Times New Roman" w:hAnsi="Times New Roman"/>
          </w:rPr>
          <w:t>https://legistar.council.nyc.gov/LegislationDetail.aspx?ID=7033091&amp;GUID=68249F7A-9291-416E-A5AF-136F978ACD2E&amp;Options</w:t>
        </w:r>
      </w:hyperlink>
      <w:r w:rsidRPr="0090169A">
        <w:rPr>
          <w:rFonts w:ascii="Times New Roman" w:hAnsi="Times New Roman"/>
        </w:rPr>
        <w:t xml:space="preserve">; </w:t>
      </w:r>
      <w:r>
        <w:rPr>
          <w:rFonts w:ascii="Times New Roman" w:hAnsi="Times New Roman"/>
        </w:rPr>
        <w:t>Local Law 124 of 2025</w:t>
      </w:r>
      <w:r w:rsidRPr="0090169A">
        <w:rPr>
          <w:rFonts w:ascii="Times New Roman" w:hAnsi="Times New Roman"/>
        </w:rPr>
        <w:t xml:space="preserve">, available at: </w:t>
      </w:r>
      <w:hyperlink r:id="rId70" w:history="1">
        <w:r w:rsidRPr="0090169A">
          <w:rPr>
            <w:rStyle w:val="Hyperlink"/>
            <w:rFonts w:ascii="Times New Roman" w:hAnsi="Times New Roman"/>
          </w:rPr>
          <w:t>https://legistar.council.nyc.gov/LegislationDetail.aspx?ID=7033092&amp;GUID=D0503195-47BB-4753-85A6-0641393D88A6&amp;Options</w:t>
        </w:r>
      </w:hyperlink>
    </w:p>
  </w:footnote>
  <w:footnote w:id="104">
    <w:p w14:paraId="779DE8AA" w14:textId="0A30E7EB" w:rsidR="00393D14" w:rsidRPr="0083232C" w:rsidRDefault="00393D14">
      <w:pPr>
        <w:pStyle w:val="FootnoteText"/>
      </w:pPr>
      <w:r>
        <w:rPr>
          <w:rStyle w:val="FootnoteReference"/>
        </w:rPr>
        <w:footnoteRef/>
      </w:r>
      <w:r>
        <w:t xml:space="preserve"> </w:t>
      </w:r>
      <w:r>
        <w:rPr>
          <w:i/>
          <w:iCs/>
        </w:rPr>
        <w:t xml:space="preserve">See </w:t>
      </w:r>
      <w:r>
        <w:t xml:space="preserve">Testimony of the Department of Consumer and Worker Protection, </w:t>
      </w:r>
      <w:r w:rsidRPr="0083232C">
        <w:t>Hossain Shuvo</w:t>
      </w:r>
      <w:r>
        <w:t xml:space="preserve">, Jahangir Alam, </w:t>
      </w:r>
      <w:r w:rsidRPr="00844387">
        <w:t>MD Rahman</w:t>
      </w:r>
      <w:r>
        <w:t xml:space="preserve">, </w:t>
      </w:r>
      <w:r w:rsidRPr="00844387">
        <w:t>Mohammad Alamin Miah</w:t>
      </w:r>
      <w:r>
        <w:t xml:space="preserve">, </w:t>
      </w:r>
      <w:r w:rsidRPr="001F532F">
        <w:rPr>
          <w:rFonts w:ascii="Times New Roman" w:hAnsi="Times New Roman"/>
        </w:rPr>
        <w:t xml:space="preserve">before the NYC Council Committee on Consumer and Worker Protection, September 12, 2025, available at: </w:t>
      </w:r>
      <w:hyperlink r:id="rId71" w:history="1">
        <w:r w:rsidRPr="001F532F">
          <w:rPr>
            <w:rStyle w:val="Hyperlink"/>
            <w:rFonts w:ascii="Times New Roman" w:hAnsi="Times New Roman"/>
          </w:rPr>
          <w:t>https://legistar.council.nyc.gov/LegislationDetail.aspx?ID=7480055&amp;GUID=265D0ED3-FB2F-48B9-AF70-79973B11E094&amp;Options=&amp;Search=</w:t>
        </w:r>
      </w:hyperlink>
    </w:p>
  </w:footnote>
  <w:footnote w:id="105">
    <w:p w14:paraId="6BE58D3F" w14:textId="4BB10540"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Seattle Municipal Code Chapter 8.40 </w:t>
      </w:r>
    </w:p>
  </w:footnote>
  <w:footnote w:id="106">
    <w:p w14:paraId="54D36AA7" w14:textId="58C5F616"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Colorado House Bill 24-1129</w:t>
      </w:r>
    </w:p>
  </w:footnote>
  <w:footnote w:id="107">
    <w:p w14:paraId="7E5756FC"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72" w:history="1">
        <w:r w:rsidRPr="0090169A">
          <w:rPr>
            <w:rStyle w:val="Hyperlink"/>
            <w:rFonts w:ascii="Times New Roman" w:hAnsi="Times New Roman"/>
          </w:rPr>
          <w:t>https://laborcenter.berkeley.edu/wp-content/uploads/2025/08/Demographic-and-Job-Characteristics-of-NYCs-Security-Guard-Workforce.pdf</w:t>
        </w:r>
      </w:hyperlink>
      <w:r w:rsidRPr="0090169A">
        <w:rPr>
          <w:rFonts w:ascii="Times New Roman" w:hAnsi="Times New Roman"/>
        </w:rPr>
        <w:t xml:space="preserve"> </w:t>
      </w:r>
    </w:p>
  </w:footnote>
  <w:footnote w:id="108">
    <w:p w14:paraId="353362A3" w14:textId="167BC10D"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U.S. Bureau of Labor Statistics, “Workplace safety for security guards,” March 9, 2012, available at: </w:t>
      </w:r>
      <w:hyperlink r:id="rId73" w:history="1">
        <w:r w:rsidRPr="00E25F09">
          <w:rPr>
            <w:rStyle w:val="Hyperlink"/>
            <w:rFonts w:ascii="Times New Roman" w:hAnsi="Times New Roman"/>
          </w:rPr>
          <w:t>https://www.bls.gov/opub/ted/2012/ted_20120309.htm</w:t>
        </w:r>
      </w:hyperlink>
      <w:r w:rsidRPr="00E25F09">
        <w:rPr>
          <w:rFonts w:ascii="Times New Roman" w:hAnsi="Times New Roman"/>
        </w:rPr>
        <w:t xml:space="preserve"> </w:t>
      </w:r>
    </w:p>
  </w:footnote>
  <w:footnote w:id="109">
    <w:p w14:paraId="2BF96C27" w14:textId="77777777" w:rsidR="00393D14" w:rsidRPr="0090169A" w:rsidRDefault="00393D14" w:rsidP="0050271D">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Federal Bureau of Investigations, “Active Shooter Incidents in the United States in 2024,” June 2025, available at: </w:t>
      </w:r>
      <w:hyperlink r:id="rId74" w:history="1">
        <w:r w:rsidRPr="0090169A">
          <w:rPr>
            <w:rStyle w:val="Hyperlink"/>
            <w:rFonts w:ascii="Times New Roman" w:hAnsi="Times New Roman"/>
          </w:rPr>
          <w:t>https://www.fbi.gov/file-repository/reports-and-publications/2024-active-shooter-report/view</w:t>
        </w:r>
      </w:hyperlink>
      <w:r w:rsidRPr="0090169A">
        <w:rPr>
          <w:rFonts w:ascii="Times New Roman" w:hAnsi="Times New Roman"/>
        </w:rPr>
        <w:t xml:space="preserve"> </w:t>
      </w:r>
    </w:p>
  </w:footnote>
  <w:footnote w:id="110">
    <w:p w14:paraId="1AD2F254" w14:textId="2F5FEDD0" w:rsidR="00393D14" w:rsidRPr="001F532F" w:rsidRDefault="00393D14">
      <w:pPr>
        <w:pStyle w:val="FootnoteText"/>
        <w:rPr>
          <w:rFonts w:ascii="Times New Roman" w:hAnsi="Times New Roman"/>
        </w:rPr>
      </w:pPr>
      <w:r w:rsidRPr="001F532F">
        <w:rPr>
          <w:rStyle w:val="FootnoteReference"/>
          <w:rFonts w:ascii="Times New Roman" w:hAnsi="Times New Roman"/>
        </w:rPr>
        <w:footnoteRef/>
      </w:r>
      <w:r w:rsidRPr="001F532F">
        <w:rPr>
          <w:rFonts w:ascii="Times New Roman" w:hAnsi="Times New Roman"/>
        </w:rPr>
        <w:t xml:space="preserve"> Brianna Seid, Ames Grawert and Jinmook Kang, “2025 Trends in Crime and Safety in New York City,” The Brennan Center for Justice, November 18, 2025, available at: </w:t>
      </w:r>
      <w:hyperlink r:id="rId75" w:history="1">
        <w:r w:rsidRPr="001F532F">
          <w:rPr>
            <w:rStyle w:val="Hyperlink"/>
            <w:rFonts w:ascii="Times New Roman" w:hAnsi="Times New Roman"/>
          </w:rPr>
          <w:t>https://www.brennancenter.org/our-work/research-reports/2025-trends-crime-and-safety-new-york-city</w:t>
        </w:r>
      </w:hyperlink>
      <w:r w:rsidRPr="001F532F">
        <w:rPr>
          <w:rFonts w:ascii="Times New Roman" w:hAnsi="Times New Roman"/>
        </w:rPr>
        <w:t xml:space="preserve"> </w:t>
      </w:r>
    </w:p>
  </w:footnote>
  <w:footnote w:id="111">
    <w:p w14:paraId="5CFBD027"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Troy Closson, “Aland Etienne Was a Devoted Father and ‘Beloved’ Security Officer,” </w:t>
      </w:r>
      <w:r w:rsidRPr="0090169A">
        <w:rPr>
          <w:rFonts w:ascii="Times New Roman" w:hAnsi="Times New Roman"/>
          <w:i/>
          <w:iCs/>
        </w:rPr>
        <w:t>The New York Times</w:t>
      </w:r>
      <w:r w:rsidRPr="0090169A">
        <w:rPr>
          <w:rFonts w:ascii="Times New Roman" w:hAnsi="Times New Roman"/>
        </w:rPr>
        <w:t xml:space="preserve">, July 29, 2025, available at: </w:t>
      </w:r>
      <w:hyperlink r:id="rId76" w:history="1">
        <w:r w:rsidRPr="0090169A">
          <w:rPr>
            <w:rStyle w:val="Hyperlink"/>
            <w:rFonts w:ascii="Times New Roman" w:hAnsi="Times New Roman"/>
          </w:rPr>
          <w:t>https://www.nytimes.com/2025/07/29/nyregion/nyc-shooting-victim-security-guard-aland-etienne.html</w:t>
        </w:r>
      </w:hyperlink>
      <w:r w:rsidRPr="0090169A">
        <w:rPr>
          <w:rFonts w:ascii="Times New Roman" w:hAnsi="Times New Roman"/>
        </w:rPr>
        <w:t xml:space="preserve"> </w:t>
      </w:r>
    </w:p>
  </w:footnote>
  <w:footnote w:id="112">
    <w:p w14:paraId="5D8886B3" w14:textId="015AC8D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77" w:history="1">
        <w:r w:rsidRPr="0090169A">
          <w:rPr>
            <w:rStyle w:val="Hyperlink"/>
            <w:rFonts w:ascii="Times New Roman" w:hAnsi="Times New Roman"/>
          </w:rPr>
          <w:t>https://laborcenter.berkeley.edu/wp-content/uploads/2025/08/Demographic-and-Job-Characteristics-of-NYCs-Security-Guard-Workforce.pdf</w:t>
        </w:r>
      </w:hyperlink>
      <w:r>
        <w:rPr>
          <w:rFonts w:ascii="Times New Roman" w:hAnsi="Times New Roman"/>
        </w:rPr>
        <w:t xml:space="preserve">; MIT Living Wage Calculation for New York, NY, available at: </w:t>
      </w:r>
      <w:hyperlink r:id="rId78" w:history="1">
        <w:r w:rsidRPr="00E25F09">
          <w:rPr>
            <w:rStyle w:val="Hyperlink"/>
            <w:rFonts w:ascii="Times New Roman" w:hAnsi="Times New Roman"/>
          </w:rPr>
          <w:t>https://livingwage.mit.edu/counties/36061</w:t>
        </w:r>
      </w:hyperlink>
      <w:r>
        <w:rPr>
          <w:rFonts w:ascii="Times New Roman" w:hAnsi="Times New Roman"/>
        </w:rPr>
        <w:t xml:space="preserve"> </w:t>
      </w:r>
    </w:p>
  </w:footnote>
  <w:footnote w:id="113">
    <w:p w14:paraId="59A46DF9"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Id.</w:t>
      </w:r>
    </w:p>
  </w:footnote>
  <w:footnote w:id="114">
    <w:p w14:paraId="141BC758"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Id.</w:t>
      </w:r>
    </w:p>
  </w:footnote>
  <w:footnote w:id="115">
    <w:p w14:paraId="08BB454D"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Aurelia Glass, “Low Standards Hurt Security Officers’ Ability To Make Ends Meet,”</w:t>
      </w:r>
      <w:r w:rsidRPr="0090169A">
        <w:rPr>
          <w:rFonts w:ascii="Times New Roman" w:hAnsi="Times New Roman"/>
          <w:b/>
          <w:bCs/>
        </w:rPr>
        <w:t xml:space="preserve"> </w:t>
      </w:r>
      <w:r w:rsidRPr="0090169A">
        <w:rPr>
          <w:rFonts w:ascii="Times New Roman" w:hAnsi="Times New Roman"/>
          <w:i/>
          <w:iCs/>
        </w:rPr>
        <w:t>Center for American Progress</w:t>
      </w:r>
      <w:r w:rsidRPr="0090169A">
        <w:rPr>
          <w:rFonts w:ascii="Times New Roman" w:hAnsi="Times New Roman"/>
        </w:rPr>
        <w:t xml:space="preserve">, October 1, 2025, available at: </w:t>
      </w:r>
      <w:hyperlink r:id="rId79" w:history="1">
        <w:r w:rsidRPr="0090169A">
          <w:rPr>
            <w:rStyle w:val="Hyperlink"/>
            <w:rFonts w:ascii="Times New Roman" w:hAnsi="Times New Roman"/>
          </w:rPr>
          <w:t>https://www.americanprogress.org/article/low-standards-hurt-security-officers-ability-to-make-ends-meet/</w:t>
        </w:r>
      </w:hyperlink>
      <w:r w:rsidRPr="0090169A">
        <w:rPr>
          <w:rFonts w:ascii="Times New Roman" w:hAnsi="Times New Roman"/>
        </w:rPr>
        <w:t xml:space="preserve"> </w:t>
      </w:r>
    </w:p>
  </w:footnote>
  <w:footnote w:id="116">
    <w:p w14:paraId="135E55A5"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NYS Labor Law Article 9, NYC Administrative Code § 6-130</w:t>
      </w:r>
    </w:p>
  </w:footnote>
  <w:footnote w:id="117">
    <w:p w14:paraId="25085709"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Office of the New York City Comptroller, </w:t>
      </w:r>
      <w:r w:rsidRPr="0090169A">
        <w:rPr>
          <w:rFonts w:ascii="Times New Roman" w:hAnsi="Times New Roman"/>
          <w:i/>
        </w:rPr>
        <w:t>NYC Wage Standards, a</w:t>
      </w:r>
      <w:r w:rsidRPr="0090169A">
        <w:rPr>
          <w:rFonts w:ascii="Times New Roman" w:hAnsi="Times New Roman"/>
        </w:rPr>
        <w:t xml:space="preserve">vailable at: </w:t>
      </w:r>
      <w:hyperlink r:id="rId80" w:history="1">
        <w:r w:rsidRPr="0090169A">
          <w:rPr>
            <w:rFonts w:ascii="Times New Roman" w:hAnsi="Times New Roman"/>
            <w:color w:val="0000FF"/>
            <w:u w:val="single"/>
          </w:rPr>
          <w:t>https://comptroller.nyc.gov/services/for-the-public/nyc-wage-standards/wage-schedules/</w:t>
        </w:r>
      </w:hyperlink>
      <w:r w:rsidRPr="0090169A">
        <w:rPr>
          <w:rFonts w:ascii="Times New Roman" w:hAnsi="Times New Roman"/>
        </w:rPr>
        <w:t>.</w:t>
      </w:r>
      <w:r w:rsidRPr="001F532F">
        <w:rPr>
          <w:rFonts w:ascii="Times New Roman" w:hAnsi="Times New Roman"/>
        </w:rPr>
        <w:t xml:space="preserve"> </w:t>
      </w:r>
    </w:p>
  </w:footnote>
  <w:footnote w:id="118">
    <w:p w14:paraId="4BFFC1AC"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Id.</w:t>
      </w:r>
    </w:p>
  </w:footnote>
  <w:footnote w:id="119">
    <w:p w14:paraId="1BAA764E"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81" w:history="1">
        <w:r w:rsidRPr="0090169A">
          <w:rPr>
            <w:rStyle w:val="Hyperlink"/>
            <w:rFonts w:ascii="Times New Roman" w:hAnsi="Times New Roman"/>
          </w:rPr>
          <w:t>https://laborcenter.berkeley.edu/wp-content/uploads/2025/08/Demographic-and-Job-Characteristics-of-NYCs-Security-Guard-Workforce.pdf</w:t>
        </w:r>
      </w:hyperlink>
      <w:r w:rsidRPr="0090169A">
        <w:rPr>
          <w:rStyle w:val="Hyperlink"/>
          <w:rFonts w:ascii="Times New Roman" w:hAnsi="Times New Roman"/>
        </w:rPr>
        <w:t>.</w:t>
      </w:r>
    </w:p>
  </w:footnote>
  <w:footnote w:id="120">
    <w:p w14:paraId="75895D9B"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See</w:t>
      </w:r>
      <w:r w:rsidRPr="0090169A">
        <w:rPr>
          <w:rFonts w:ascii="Times New Roman" w:hAnsi="Times New Roman"/>
        </w:rPr>
        <w:t xml:space="preserve"> Michael Reich, Peter Hall, and Ken Jacobs, “Living wage policies at the San Francisco airport: impacts on workers and businesses,” </w:t>
      </w:r>
      <w:r w:rsidRPr="0090169A">
        <w:rPr>
          <w:rFonts w:ascii="Times New Roman" w:hAnsi="Times New Roman"/>
          <w:i/>
          <w:iCs/>
        </w:rPr>
        <w:t>Industrial Relations</w:t>
      </w:r>
      <w:r w:rsidRPr="0090169A">
        <w:rPr>
          <w:rFonts w:ascii="Times New Roman" w:hAnsi="Times New Roman"/>
        </w:rPr>
        <w:t>, 2005 Vol. 44, No. 1, pp. 106-3.</w:t>
      </w:r>
    </w:p>
  </w:footnote>
  <w:footnote w:id="121">
    <w:p w14:paraId="31D90A41"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 xml:space="preserve">See </w:t>
      </w:r>
      <w:r w:rsidRPr="0090169A">
        <w:rPr>
          <w:rFonts w:ascii="Times New Roman" w:hAnsi="Times New Roman"/>
        </w:rPr>
        <w:t xml:space="preserve">Amanda Gallear, “The Impact of Wages and Turnover on Security and Safety in Airports: A Review of the Literature,” UC Berkeley Labor Center, October 18, 2017, available at: </w:t>
      </w:r>
      <w:hyperlink r:id="rId82" w:history="1">
        <w:r w:rsidRPr="0090169A">
          <w:rPr>
            <w:rStyle w:val="Hyperlink"/>
            <w:rFonts w:ascii="Times New Roman" w:hAnsi="Times New Roman"/>
          </w:rPr>
          <w:t>https://laborcenter.berkeley.edu/pdf/2017/SFO-literature-review.pdf</w:t>
        </w:r>
      </w:hyperlink>
      <w:r w:rsidRPr="0090169A">
        <w:rPr>
          <w:rStyle w:val="Hyperlink"/>
          <w:rFonts w:ascii="Times New Roman" w:hAnsi="Times New Roman"/>
        </w:rPr>
        <w:t>.</w:t>
      </w:r>
      <w:r w:rsidRPr="0090169A">
        <w:rPr>
          <w:rFonts w:ascii="Times New Roman" w:hAnsi="Times New Roman"/>
        </w:rPr>
        <w:t xml:space="preserve"> </w:t>
      </w:r>
    </w:p>
  </w:footnote>
  <w:footnote w:id="122">
    <w:p w14:paraId="6E6B3EB2" w14:textId="77777777" w:rsidR="00393D14" w:rsidRPr="0090169A" w:rsidRDefault="00393D14" w:rsidP="00EE6693">
      <w:pPr>
        <w:pStyle w:val="FootnoteText"/>
        <w:rPr>
          <w:rFonts w:ascii="Times New Roman" w:hAnsi="Times New Roman"/>
          <w:b/>
          <w:bCs/>
        </w:rPr>
      </w:pPr>
      <w:r w:rsidRPr="0090169A">
        <w:rPr>
          <w:rStyle w:val="FootnoteReference"/>
          <w:rFonts w:ascii="Times New Roman" w:hAnsi="Times New Roman"/>
        </w:rPr>
        <w:footnoteRef/>
      </w:r>
      <w:r w:rsidRPr="0090169A">
        <w:rPr>
          <w:rFonts w:ascii="Times New Roman" w:hAnsi="Times New Roman"/>
        </w:rPr>
        <w:t xml:space="preserve"> </w:t>
      </w:r>
      <w:r w:rsidRPr="0090169A">
        <w:rPr>
          <w:rFonts w:ascii="Times New Roman" w:hAnsi="Times New Roman"/>
          <w:i/>
          <w:iCs/>
        </w:rPr>
        <w:t xml:space="preserve">See </w:t>
      </w:r>
      <w:r w:rsidRPr="0090169A">
        <w:rPr>
          <w:rFonts w:ascii="Times New Roman" w:hAnsi="Times New Roman"/>
        </w:rPr>
        <w:t xml:space="preserve">“10 Strategies to Reduce Turnover Rates, Increase Engagement, and Retain Your Security Officers,” TrackTik, May 17, 2024, available at: </w:t>
      </w:r>
      <w:hyperlink r:id="rId83" w:history="1">
        <w:r w:rsidRPr="0090169A">
          <w:rPr>
            <w:rStyle w:val="Hyperlink"/>
            <w:rFonts w:ascii="Times New Roman" w:hAnsi="Times New Roman"/>
          </w:rPr>
          <w:t>https://www.tracktik.com/resources/blog-articles/10-strategies-to-reduce-turnover-rates-increase-engagement-and-retain-your-security-officers/</w:t>
        </w:r>
      </w:hyperlink>
      <w:r w:rsidRPr="0090169A">
        <w:rPr>
          <w:rFonts w:ascii="Times New Roman" w:hAnsi="Times New Roman"/>
        </w:rPr>
        <w:t xml:space="preserve">; “The Hidden Costs of Turnover: How Employee Retention Reduces Risk for Security Firms,” OnGuard, November 18, 2024, available at: </w:t>
      </w:r>
      <w:hyperlink r:id="rId84" w:history="1">
        <w:r w:rsidRPr="0090169A">
          <w:rPr>
            <w:rStyle w:val="Hyperlink"/>
            <w:rFonts w:ascii="Times New Roman" w:hAnsi="Times New Roman"/>
          </w:rPr>
          <w:t>https://www.eldoradoinsurance.com/security-industry-news/the-hidden-costs-of-turnover-how-employee-retention-reduces-risk-for-security-firms/</w:t>
        </w:r>
      </w:hyperlink>
      <w:r w:rsidRPr="0090169A">
        <w:rPr>
          <w:rFonts w:ascii="Times New Roman" w:hAnsi="Times New Roman"/>
        </w:rPr>
        <w:t xml:space="preserve">; “Security Staffing Challenges: 7 Tips to Reduce Turnover,” NITA, April 10, 2025, available at: </w:t>
      </w:r>
      <w:hyperlink r:id="rId85" w:history="1">
        <w:r w:rsidRPr="0090169A">
          <w:rPr>
            <w:rStyle w:val="Hyperlink"/>
            <w:rFonts w:ascii="Times New Roman" w:hAnsi="Times New Roman"/>
          </w:rPr>
          <w:t>https://investigativeacademy.com/security-staffing-challenges-7-tips-to-reduce-turnover</w:t>
        </w:r>
      </w:hyperlink>
      <w:r w:rsidRPr="0090169A">
        <w:rPr>
          <w:rFonts w:ascii="Times New Roman" w:hAnsi="Times New Roman"/>
        </w:rPr>
        <w:t xml:space="preserve">; “Leading Causes of Security Guard Turnover,” Celayix, available at: </w:t>
      </w:r>
      <w:hyperlink r:id="rId86" w:history="1">
        <w:r w:rsidRPr="0090169A">
          <w:rPr>
            <w:rStyle w:val="Hyperlink"/>
            <w:rFonts w:ascii="Times New Roman" w:hAnsi="Times New Roman"/>
          </w:rPr>
          <w:t>https://www.celayix.com/blog/leading-causes-of-security-guard-turnover/</w:t>
        </w:r>
      </w:hyperlink>
      <w:r w:rsidRPr="0090169A">
        <w:rPr>
          <w:rStyle w:val="Hyperlink"/>
          <w:rFonts w:ascii="Times New Roman" w:hAnsi="Times New Roman"/>
        </w:rPr>
        <w:t>.</w:t>
      </w:r>
      <w:r w:rsidRPr="0090169A">
        <w:rPr>
          <w:rFonts w:ascii="Times New Roman" w:hAnsi="Times New Roman"/>
        </w:rPr>
        <w:t xml:space="preserve">   </w:t>
      </w:r>
    </w:p>
  </w:footnote>
  <w:footnote w:id="123">
    <w:p w14:paraId="4D068227" w14:textId="6DF7E5B0" w:rsidR="00393D14" w:rsidRPr="00E25F09" w:rsidRDefault="00393D14">
      <w:pPr>
        <w:pStyle w:val="FootnoteText"/>
        <w:rPr>
          <w:rFonts w:ascii="Times New Roman" w:hAnsi="Times New Roman"/>
        </w:rPr>
      </w:pPr>
      <w:r w:rsidRPr="00E25F09">
        <w:rPr>
          <w:rStyle w:val="FootnoteReference"/>
          <w:rFonts w:ascii="Times New Roman" w:hAnsi="Times New Roman"/>
        </w:rPr>
        <w:footnoteRef/>
      </w:r>
      <w:r w:rsidRPr="00E25F09">
        <w:rPr>
          <w:rFonts w:ascii="Times New Roman" w:hAnsi="Times New Roman"/>
        </w:rPr>
        <w:t xml:space="preserve"> Testimony of Ken Prashad before the New York City Council Committee on Consumer and Worker Protection, October 30, 2025, available at: </w:t>
      </w:r>
      <w:hyperlink r:id="rId87" w:history="1">
        <w:r w:rsidRPr="00E25F09">
          <w:rPr>
            <w:rStyle w:val="Hyperlink"/>
            <w:rFonts w:ascii="Times New Roman" w:hAnsi="Times New Roman"/>
          </w:rPr>
          <w:t>https://legistar.council.nyc.gov/LegislationDetail.aspx?ID=7681684&amp;GUID=85593CB6-D9D4-473B-9EC0-88F301E5B320&amp;Options</w:t>
        </w:r>
      </w:hyperlink>
    </w:p>
  </w:footnote>
  <w:footnote w:id="124">
    <w:p w14:paraId="23511FC3" w14:textId="77777777" w:rsidR="00393D14" w:rsidRPr="0090169A" w:rsidRDefault="00393D14" w:rsidP="00EE6693">
      <w:pPr>
        <w:pStyle w:val="FootnoteText"/>
        <w:rPr>
          <w:rFonts w:ascii="Times New Roman" w:hAnsi="Times New Roman"/>
        </w:rPr>
      </w:pPr>
      <w:r w:rsidRPr="0090169A">
        <w:rPr>
          <w:rStyle w:val="FootnoteReference"/>
          <w:rFonts w:ascii="Times New Roman" w:hAnsi="Times New Roman"/>
        </w:rPr>
        <w:footnoteRef/>
      </w:r>
      <w:r w:rsidRPr="0090169A">
        <w:rPr>
          <w:rFonts w:ascii="Times New Roman" w:hAnsi="Times New Roman"/>
        </w:rPr>
        <w:t xml:space="preserve"> D.C. Act 17-257, “Enhanced Professional Security Amendment of 2008” available at: </w:t>
      </w:r>
      <w:hyperlink r:id="rId88" w:history="1">
        <w:r w:rsidRPr="0090169A">
          <w:rPr>
            <w:rStyle w:val="Hyperlink"/>
            <w:rFonts w:ascii="Times New Roman" w:hAnsi="Times New Roman"/>
          </w:rPr>
          <w:t>https://does.dc.gov/sites/default/files/dc/sites/does/page_content/attachments/Enhanced%20Professional%20Security%20Amendment%20Act%20of%202008.pdf</w:t>
        </w:r>
      </w:hyperlink>
      <w:r w:rsidRPr="0090169A">
        <w:rPr>
          <w:rStyle w:val="Hyperlink"/>
          <w:rFonts w:ascii="Times New Roman" w:hAnsi="Times New Roman"/>
        </w:rPr>
        <w:t>.</w:t>
      </w:r>
      <w:r w:rsidRPr="0090169A">
        <w:rPr>
          <w:rFonts w:ascii="Times New Roman" w:hAnsi="Times New Roman"/>
        </w:rPr>
        <w:t xml:space="preserve"> </w:t>
      </w:r>
    </w:p>
  </w:footnote>
  <w:footnote w:id="125">
    <w:p w14:paraId="49FF9030" w14:textId="2A8519AD" w:rsidR="00393D14" w:rsidRPr="00E25F09" w:rsidRDefault="00393D14">
      <w:pPr>
        <w:pStyle w:val="FootnoteText"/>
        <w:rPr>
          <w:rFonts w:ascii="Times New Roman" w:hAnsi="Times New Roman"/>
        </w:rPr>
      </w:pPr>
    </w:p>
  </w:footnote>
  <w:footnote w:id="126">
    <w:p w14:paraId="036546DD" w14:textId="77777777" w:rsidR="00393D14" w:rsidRPr="001F532F" w:rsidRDefault="00393D14">
      <w:pPr>
        <w:rPr>
          <w:rFonts w:ascii="Times New Roman" w:hAnsi="Times New Roman"/>
          <w:sz w:val="20"/>
          <w:szCs w:val="20"/>
        </w:rPr>
      </w:pPr>
    </w:p>
  </w:footnote>
  <w:footnote w:id="127">
    <w:p w14:paraId="5F5C37AB" w14:textId="77777777" w:rsidR="00393D14" w:rsidRPr="001F532F" w:rsidRDefault="00393D14">
      <w:pPr>
        <w:rPr>
          <w:rFonts w:ascii="Times New Roman" w:hAnsi="Times New Roman"/>
          <w:sz w:val="20"/>
          <w:szCs w:val="20"/>
        </w:rPr>
      </w:pPr>
    </w:p>
  </w:footnote>
  <w:footnote w:id="128">
    <w:p w14:paraId="6FD07B7A" w14:textId="77777777" w:rsidR="00393D14" w:rsidRPr="001F532F" w:rsidRDefault="00393D14">
      <w:pPr>
        <w:rPr>
          <w:rFonts w:ascii="Times New Roman" w:hAnsi="Times New Roman"/>
          <w:sz w:val="20"/>
          <w:szCs w:val="20"/>
        </w:rPr>
      </w:pPr>
    </w:p>
  </w:footnote>
  <w:footnote w:id="129">
    <w:p w14:paraId="2C1DE7CA" w14:textId="77777777" w:rsidR="00393D14" w:rsidRPr="001F532F" w:rsidRDefault="00393D14">
      <w:pPr>
        <w:rPr>
          <w:rFonts w:ascii="Times New Roman" w:hAnsi="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59DF"/>
    <w:multiLevelType w:val="hybridMultilevel"/>
    <w:tmpl w:val="11AC6204"/>
    <w:lvl w:ilvl="0" w:tplc="F528B20C">
      <w:start w:val="500"/>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0F77C6"/>
    <w:multiLevelType w:val="hybridMultilevel"/>
    <w:tmpl w:val="7846BB32"/>
    <w:lvl w:ilvl="0" w:tplc="9EC0BC02">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786665"/>
    <w:multiLevelType w:val="hybridMultilevel"/>
    <w:tmpl w:val="2B8E5906"/>
    <w:lvl w:ilvl="0" w:tplc="D84C7C3C">
      <w:start w:val="1"/>
      <w:numFmt w:val="upperRoman"/>
      <w:lvlText w:val="%1."/>
      <w:lvlJc w:val="left"/>
      <w:pPr>
        <w:ind w:left="1080" w:hanging="720"/>
      </w:pPr>
      <w:rPr>
        <w:rFonts w:hint="default"/>
      </w:rPr>
    </w:lvl>
    <w:lvl w:ilvl="1" w:tplc="9EC0BC0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802A9"/>
    <w:multiLevelType w:val="hybridMultilevel"/>
    <w:tmpl w:val="920A04C0"/>
    <w:lvl w:ilvl="0" w:tplc="9EC0BC02">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0E02F2"/>
    <w:multiLevelType w:val="hybridMultilevel"/>
    <w:tmpl w:val="39BAFAC4"/>
    <w:lvl w:ilvl="0" w:tplc="70AC148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382BB9"/>
    <w:multiLevelType w:val="hybridMultilevel"/>
    <w:tmpl w:val="F0E0489E"/>
    <w:lvl w:ilvl="0" w:tplc="065E7C6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553DF"/>
    <w:multiLevelType w:val="hybridMultilevel"/>
    <w:tmpl w:val="856CF818"/>
    <w:lvl w:ilvl="0" w:tplc="065E7C6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9250D"/>
    <w:multiLevelType w:val="hybridMultilevel"/>
    <w:tmpl w:val="457AA6DA"/>
    <w:lvl w:ilvl="0" w:tplc="A94A060C">
      <w:start w:val="500"/>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E80266"/>
    <w:multiLevelType w:val="hybridMultilevel"/>
    <w:tmpl w:val="BCF0B3B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505409">
    <w:abstractNumId w:val="3"/>
  </w:num>
  <w:num w:numId="2" w16cid:durableId="395400442">
    <w:abstractNumId w:val="5"/>
  </w:num>
  <w:num w:numId="3" w16cid:durableId="34353334">
    <w:abstractNumId w:val="9"/>
  </w:num>
  <w:num w:numId="4" w16cid:durableId="387387940">
    <w:abstractNumId w:val="8"/>
  </w:num>
  <w:num w:numId="5" w16cid:durableId="65109402">
    <w:abstractNumId w:val="1"/>
  </w:num>
  <w:num w:numId="6" w16cid:durableId="192378781">
    <w:abstractNumId w:val="0"/>
  </w:num>
  <w:num w:numId="7" w16cid:durableId="1247810964">
    <w:abstractNumId w:val="6"/>
  </w:num>
  <w:num w:numId="8" w16cid:durableId="1052733033">
    <w:abstractNumId w:val="7"/>
  </w:num>
  <w:num w:numId="9" w16cid:durableId="416168740">
    <w:abstractNumId w:val="4"/>
  </w:num>
  <w:num w:numId="10" w16cid:durableId="607275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D12"/>
    <w:rsid w:val="0000065C"/>
    <w:rsid w:val="000012CE"/>
    <w:rsid w:val="00004364"/>
    <w:rsid w:val="0001121C"/>
    <w:rsid w:val="00011A53"/>
    <w:rsid w:val="000153D1"/>
    <w:rsid w:val="00020FA8"/>
    <w:rsid w:val="0002769E"/>
    <w:rsid w:val="00027C83"/>
    <w:rsid w:val="00037A3D"/>
    <w:rsid w:val="000418B5"/>
    <w:rsid w:val="00043B2E"/>
    <w:rsid w:val="000459A3"/>
    <w:rsid w:val="00045A97"/>
    <w:rsid w:val="0004672E"/>
    <w:rsid w:val="00047341"/>
    <w:rsid w:val="00061949"/>
    <w:rsid w:val="00062A5D"/>
    <w:rsid w:val="00064FA8"/>
    <w:rsid w:val="00073491"/>
    <w:rsid w:val="000802BD"/>
    <w:rsid w:val="00080F67"/>
    <w:rsid w:val="00080FE8"/>
    <w:rsid w:val="00085EE9"/>
    <w:rsid w:val="00085FAA"/>
    <w:rsid w:val="00086B05"/>
    <w:rsid w:val="00086E80"/>
    <w:rsid w:val="00090C50"/>
    <w:rsid w:val="0009461A"/>
    <w:rsid w:val="00096CF5"/>
    <w:rsid w:val="000A2613"/>
    <w:rsid w:val="000B5EAB"/>
    <w:rsid w:val="000B632E"/>
    <w:rsid w:val="000C3722"/>
    <w:rsid w:val="000C6F37"/>
    <w:rsid w:val="000C767B"/>
    <w:rsid w:val="000C7FB3"/>
    <w:rsid w:val="000D2A90"/>
    <w:rsid w:val="000D4A4A"/>
    <w:rsid w:val="000D5993"/>
    <w:rsid w:val="000E049E"/>
    <w:rsid w:val="000E052F"/>
    <w:rsid w:val="000E7B3A"/>
    <w:rsid w:val="000F1A68"/>
    <w:rsid w:val="000F4B93"/>
    <w:rsid w:val="001028DC"/>
    <w:rsid w:val="00102ADB"/>
    <w:rsid w:val="001052D9"/>
    <w:rsid w:val="001056ED"/>
    <w:rsid w:val="001103BB"/>
    <w:rsid w:val="00111D63"/>
    <w:rsid w:val="00112145"/>
    <w:rsid w:val="001124D4"/>
    <w:rsid w:val="00117D67"/>
    <w:rsid w:val="001200A7"/>
    <w:rsid w:val="001216E7"/>
    <w:rsid w:val="00123519"/>
    <w:rsid w:val="00123D40"/>
    <w:rsid w:val="001258F8"/>
    <w:rsid w:val="00133CE7"/>
    <w:rsid w:val="0013767A"/>
    <w:rsid w:val="0014254C"/>
    <w:rsid w:val="00142DC1"/>
    <w:rsid w:val="001431F2"/>
    <w:rsid w:val="00154E4E"/>
    <w:rsid w:val="00155F07"/>
    <w:rsid w:val="00157086"/>
    <w:rsid w:val="00157C4A"/>
    <w:rsid w:val="0016677F"/>
    <w:rsid w:val="00167451"/>
    <w:rsid w:val="0016779D"/>
    <w:rsid w:val="00173558"/>
    <w:rsid w:val="00174BC9"/>
    <w:rsid w:val="001759D7"/>
    <w:rsid w:val="001760FB"/>
    <w:rsid w:val="00190A14"/>
    <w:rsid w:val="001970D8"/>
    <w:rsid w:val="001A0037"/>
    <w:rsid w:val="001A1406"/>
    <w:rsid w:val="001A1430"/>
    <w:rsid w:val="001B51A9"/>
    <w:rsid w:val="001B6EDE"/>
    <w:rsid w:val="001C45C9"/>
    <w:rsid w:val="001C7D66"/>
    <w:rsid w:val="001D014C"/>
    <w:rsid w:val="001D18AB"/>
    <w:rsid w:val="001D28EF"/>
    <w:rsid w:val="001D458E"/>
    <w:rsid w:val="001D5C0A"/>
    <w:rsid w:val="001D67DC"/>
    <w:rsid w:val="001E197C"/>
    <w:rsid w:val="001E3E6C"/>
    <w:rsid w:val="001F1517"/>
    <w:rsid w:val="001F40E6"/>
    <w:rsid w:val="001F532F"/>
    <w:rsid w:val="001F5574"/>
    <w:rsid w:val="00202272"/>
    <w:rsid w:val="00203634"/>
    <w:rsid w:val="00224355"/>
    <w:rsid w:val="002246AE"/>
    <w:rsid w:val="00224F2D"/>
    <w:rsid w:val="002254C6"/>
    <w:rsid w:val="00232E90"/>
    <w:rsid w:val="00237A46"/>
    <w:rsid w:val="00240632"/>
    <w:rsid w:val="00240664"/>
    <w:rsid w:val="00241745"/>
    <w:rsid w:val="00241E1D"/>
    <w:rsid w:val="00245337"/>
    <w:rsid w:val="00253075"/>
    <w:rsid w:val="00254365"/>
    <w:rsid w:val="002606A2"/>
    <w:rsid w:val="002610ED"/>
    <w:rsid w:val="0026529E"/>
    <w:rsid w:val="002676C8"/>
    <w:rsid w:val="002713F9"/>
    <w:rsid w:val="00272BA1"/>
    <w:rsid w:val="002803BF"/>
    <w:rsid w:val="0028119D"/>
    <w:rsid w:val="00281D35"/>
    <w:rsid w:val="002847C3"/>
    <w:rsid w:val="00286D9A"/>
    <w:rsid w:val="0029747E"/>
    <w:rsid w:val="002A2B07"/>
    <w:rsid w:val="002A2EC8"/>
    <w:rsid w:val="002A479D"/>
    <w:rsid w:val="002A4F79"/>
    <w:rsid w:val="002A77CA"/>
    <w:rsid w:val="002B4155"/>
    <w:rsid w:val="002B5137"/>
    <w:rsid w:val="002B7424"/>
    <w:rsid w:val="002C16C3"/>
    <w:rsid w:val="002C1EB6"/>
    <w:rsid w:val="002C2232"/>
    <w:rsid w:val="002C290C"/>
    <w:rsid w:val="002C3018"/>
    <w:rsid w:val="002C32E3"/>
    <w:rsid w:val="002C3653"/>
    <w:rsid w:val="002C48E1"/>
    <w:rsid w:val="002C5F41"/>
    <w:rsid w:val="002C622B"/>
    <w:rsid w:val="002D580A"/>
    <w:rsid w:val="002D64BF"/>
    <w:rsid w:val="002E0618"/>
    <w:rsid w:val="002E1889"/>
    <w:rsid w:val="002E3165"/>
    <w:rsid w:val="002F0E0D"/>
    <w:rsid w:val="002F1215"/>
    <w:rsid w:val="002F22C4"/>
    <w:rsid w:val="002F7A40"/>
    <w:rsid w:val="00302149"/>
    <w:rsid w:val="00302F40"/>
    <w:rsid w:val="003036DE"/>
    <w:rsid w:val="003041DB"/>
    <w:rsid w:val="003069F6"/>
    <w:rsid w:val="00307695"/>
    <w:rsid w:val="0031075B"/>
    <w:rsid w:val="003131EB"/>
    <w:rsid w:val="00313AAC"/>
    <w:rsid w:val="00313C50"/>
    <w:rsid w:val="00314384"/>
    <w:rsid w:val="00314FB5"/>
    <w:rsid w:val="003163BC"/>
    <w:rsid w:val="00322009"/>
    <w:rsid w:val="00322E61"/>
    <w:rsid w:val="00325905"/>
    <w:rsid w:val="00325F82"/>
    <w:rsid w:val="00333A8C"/>
    <w:rsid w:val="00334F11"/>
    <w:rsid w:val="003356B8"/>
    <w:rsid w:val="00345209"/>
    <w:rsid w:val="003456E1"/>
    <w:rsid w:val="003506B3"/>
    <w:rsid w:val="00350D39"/>
    <w:rsid w:val="00351681"/>
    <w:rsid w:val="003527C2"/>
    <w:rsid w:val="00352B94"/>
    <w:rsid w:val="003565C8"/>
    <w:rsid w:val="003579E4"/>
    <w:rsid w:val="00360582"/>
    <w:rsid w:val="00362172"/>
    <w:rsid w:val="003655B2"/>
    <w:rsid w:val="00367620"/>
    <w:rsid w:val="00367B18"/>
    <w:rsid w:val="0037302C"/>
    <w:rsid w:val="00373995"/>
    <w:rsid w:val="00377BEC"/>
    <w:rsid w:val="00384F36"/>
    <w:rsid w:val="0039291E"/>
    <w:rsid w:val="00393994"/>
    <w:rsid w:val="00393D14"/>
    <w:rsid w:val="00393EBD"/>
    <w:rsid w:val="003950E8"/>
    <w:rsid w:val="00395467"/>
    <w:rsid w:val="003A3557"/>
    <w:rsid w:val="003A60ED"/>
    <w:rsid w:val="003C0333"/>
    <w:rsid w:val="003C1A05"/>
    <w:rsid w:val="003C6840"/>
    <w:rsid w:val="003D1312"/>
    <w:rsid w:val="003D478B"/>
    <w:rsid w:val="003E5557"/>
    <w:rsid w:val="003E5AC4"/>
    <w:rsid w:val="003F35ED"/>
    <w:rsid w:val="0040141D"/>
    <w:rsid w:val="00403629"/>
    <w:rsid w:val="004041EF"/>
    <w:rsid w:val="00405277"/>
    <w:rsid w:val="0040568E"/>
    <w:rsid w:val="00411738"/>
    <w:rsid w:val="00411BDE"/>
    <w:rsid w:val="00412882"/>
    <w:rsid w:val="0041564D"/>
    <w:rsid w:val="00415FAF"/>
    <w:rsid w:val="004204A8"/>
    <w:rsid w:val="00423195"/>
    <w:rsid w:val="00432DA5"/>
    <w:rsid w:val="00433834"/>
    <w:rsid w:val="00433FAE"/>
    <w:rsid w:val="0043411C"/>
    <w:rsid w:val="00436EC3"/>
    <w:rsid w:val="004377B3"/>
    <w:rsid w:val="004406E0"/>
    <w:rsid w:val="004409BF"/>
    <w:rsid w:val="00445C7E"/>
    <w:rsid w:val="00453F08"/>
    <w:rsid w:val="004619DD"/>
    <w:rsid w:val="00462486"/>
    <w:rsid w:val="004637F7"/>
    <w:rsid w:val="004638B3"/>
    <w:rsid w:val="00466C7B"/>
    <w:rsid w:val="00476D2A"/>
    <w:rsid w:val="00477ADF"/>
    <w:rsid w:val="004825B9"/>
    <w:rsid w:val="00483F7B"/>
    <w:rsid w:val="00491D04"/>
    <w:rsid w:val="00495B2E"/>
    <w:rsid w:val="004974FC"/>
    <w:rsid w:val="004A33DB"/>
    <w:rsid w:val="004A5F1D"/>
    <w:rsid w:val="004B10FB"/>
    <w:rsid w:val="004C01F9"/>
    <w:rsid w:val="004C1C54"/>
    <w:rsid w:val="004D2D66"/>
    <w:rsid w:val="004D3DDF"/>
    <w:rsid w:val="004D7695"/>
    <w:rsid w:val="004E0654"/>
    <w:rsid w:val="004E16B3"/>
    <w:rsid w:val="004E2F54"/>
    <w:rsid w:val="004E3258"/>
    <w:rsid w:val="004E669E"/>
    <w:rsid w:val="004F5D92"/>
    <w:rsid w:val="005021D6"/>
    <w:rsid w:val="0050271D"/>
    <w:rsid w:val="00513332"/>
    <w:rsid w:val="00513365"/>
    <w:rsid w:val="005146B6"/>
    <w:rsid w:val="005147F6"/>
    <w:rsid w:val="00516DE6"/>
    <w:rsid w:val="00521EAA"/>
    <w:rsid w:val="00522313"/>
    <w:rsid w:val="00522E89"/>
    <w:rsid w:val="00525F76"/>
    <w:rsid w:val="00531D7F"/>
    <w:rsid w:val="00533F0B"/>
    <w:rsid w:val="005340CA"/>
    <w:rsid w:val="005342F5"/>
    <w:rsid w:val="0053679C"/>
    <w:rsid w:val="00537253"/>
    <w:rsid w:val="00546298"/>
    <w:rsid w:val="00562AF8"/>
    <w:rsid w:val="00574D14"/>
    <w:rsid w:val="005850ED"/>
    <w:rsid w:val="00585D05"/>
    <w:rsid w:val="005875A0"/>
    <w:rsid w:val="00593BEE"/>
    <w:rsid w:val="005A2554"/>
    <w:rsid w:val="005A2676"/>
    <w:rsid w:val="005A3C17"/>
    <w:rsid w:val="005A4005"/>
    <w:rsid w:val="005A73D3"/>
    <w:rsid w:val="005B3176"/>
    <w:rsid w:val="005B503B"/>
    <w:rsid w:val="005B79F7"/>
    <w:rsid w:val="005B7D53"/>
    <w:rsid w:val="005B7E57"/>
    <w:rsid w:val="005C2F3E"/>
    <w:rsid w:val="005C6756"/>
    <w:rsid w:val="005C78D8"/>
    <w:rsid w:val="005D2BAC"/>
    <w:rsid w:val="005D42EB"/>
    <w:rsid w:val="005D55ED"/>
    <w:rsid w:val="005D6807"/>
    <w:rsid w:val="005E3C46"/>
    <w:rsid w:val="005E6707"/>
    <w:rsid w:val="005E6A37"/>
    <w:rsid w:val="005F1ADB"/>
    <w:rsid w:val="005F4C83"/>
    <w:rsid w:val="005F4E76"/>
    <w:rsid w:val="00602BA0"/>
    <w:rsid w:val="00605D51"/>
    <w:rsid w:val="006103E9"/>
    <w:rsid w:val="006121EC"/>
    <w:rsid w:val="006203A7"/>
    <w:rsid w:val="006209D0"/>
    <w:rsid w:val="00622747"/>
    <w:rsid w:val="0062429C"/>
    <w:rsid w:val="00624E30"/>
    <w:rsid w:val="006318D8"/>
    <w:rsid w:val="00634DDA"/>
    <w:rsid w:val="00635C17"/>
    <w:rsid w:val="0063666D"/>
    <w:rsid w:val="00641A68"/>
    <w:rsid w:val="006436E4"/>
    <w:rsid w:val="00644761"/>
    <w:rsid w:val="00644B28"/>
    <w:rsid w:val="00646DD5"/>
    <w:rsid w:val="00650BDB"/>
    <w:rsid w:val="0065291C"/>
    <w:rsid w:val="00652DB2"/>
    <w:rsid w:val="006549DB"/>
    <w:rsid w:val="0065686B"/>
    <w:rsid w:val="0066300D"/>
    <w:rsid w:val="00664CE0"/>
    <w:rsid w:val="00672569"/>
    <w:rsid w:val="006739F5"/>
    <w:rsid w:val="006746F8"/>
    <w:rsid w:val="00676FBA"/>
    <w:rsid w:val="00680899"/>
    <w:rsid w:val="00685080"/>
    <w:rsid w:val="006876FB"/>
    <w:rsid w:val="006909CD"/>
    <w:rsid w:val="006945A3"/>
    <w:rsid w:val="00695BD2"/>
    <w:rsid w:val="006A06FA"/>
    <w:rsid w:val="006A0B18"/>
    <w:rsid w:val="006A3656"/>
    <w:rsid w:val="006A47EB"/>
    <w:rsid w:val="006A7C2E"/>
    <w:rsid w:val="006B0F5B"/>
    <w:rsid w:val="006B1E00"/>
    <w:rsid w:val="006B2234"/>
    <w:rsid w:val="006B48D2"/>
    <w:rsid w:val="006C251D"/>
    <w:rsid w:val="006C5960"/>
    <w:rsid w:val="006D49FC"/>
    <w:rsid w:val="006D53A6"/>
    <w:rsid w:val="006D7E42"/>
    <w:rsid w:val="006E1448"/>
    <w:rsid w:val="006E66BA"/>
    <w:rsid w:val="006F43A3"/>
    <w:rsid w:val="006F446A"/>
    <w:rsid w:val="00700146"/>
    <w:rsid w:val="00704313"/>
    <w:rsid w:val="007055B3"/>
    <w:rsid w:val="0070757B"/>
    <w:rsid w:val="007105DF"/>
    <w:rsid w:val="007134F9"/>
    <w:rsid w:val="00716784"/>
    <w:rsid w:val="00722D1B"/>
    <w:rsid w:val="00723DBC"/>
    <w:rsid w:val="00724A76"/>
    <w:rsid w:val="00724C10"/>
    <w:rsid w:val="00724FCB"/>
    <w:rsid w:val="007261FF"/>
    <w:rsid w:val="00727287"/>
    <w:rsid w:val="00732165"/>
    <w:rsid w:val="0073263A"/>
    <w:rsid w:val="007353A3"/>
    <w:rsid w:val="0073744C"/>
    <w:rsid w:val="00740656"/>
    <w:rsid w:val="0074229E"/>
    <w:rsid w:val="00742B28"/>
    <w:rsid w:val="00742CAD"/>
    <w:rsid w:val="0074381D"/>
    <w:rsid w:val="007442FD"/>
    <w:rsid w:val="007472C0"/>
    <w:rsid w:val="007503EC"/>
    <w:rsid w:val="00750778"/>
    <w:rsid w:val="0076166E"/>
    <w:rsid w:val="007625D3"/>
    <w:rsid w:val="00762FAA"/>
    <w:rsid w:val="00764B5F"/>
    <w:rsid w:val="00764B61"/>
    <w:rsid w:val="007679AD"/>
    <w:rsid w:val="00771ABC"/>
    <w:rsid w:val="00772317"/>
    <w:rsid w:val="007775A0"/>
    <w:rsid w:val="0078177C"/>
    <w:rsid w:val="00782620"/>
    <w:rsid w:val="0078314E"/>
    <w:rsid w:val="00783A29"/>
    <w:rsid w:val="00785CB2"/>
    <w:rsid w:val="00787DE0"/>
    <w:rsid w:val="007967D5"/>
    <w:rsid w:val="007B4239"/>
    <w:rsid w:val="007B50A9"/>
    <w:rsid w:val="007B568D"/>
    <w:rsid w:val="007B70EC"/>
    <w:rsid w:val="007B7A5A"/>
    <w:rsid w:val="007C1AD0"/>
    <w:rsid w:val="007C1D47"/>
    <w:rsid w:val="007C580E"/>
    <w:rsid w:val="007D1669"/>
    <w:rsid w:val="007D2005"/>
    <w:rsid w:val="007D4E43"/>
    <w:rsid w:val="007D5026"/>
    <w:rsid w:val="007E03D6"/>
    <w:rsid w:val="007E2767"/>
    <w:rsid w:val="007E285B"/>
    <w:rsid w:val="007F2BA5"/>
    <w:rsid w:val="007F3478"/>
    <w:rsid w:val="00800F1A"/>
    <w:rsid w:val="00811333"/>
    <w:rsid w:val="00824A6B"/>
    <w:rsid w:val="0083232C"/>
    <w:rsid w:val="00833759"/>
    <w:rsid w:val="008359A9"/>
    <w:rsid w:val="00836808"/>
    <w:rsid w:val="00842228"/>
    <w:rsid w:val="00844387"/>
    <w:rsid w:val="00844B22"/>
    <w:rsid w:val="00845209"/>
    <w:rsid w:val="00846079"/>
    <w:rsid w:val="00850F3E"/>
    <w:rsid w:val="008543B1"/>
    <w:rsid w:val="008558D7"/>
    <w:rsid w:val="00862089"/>
    <w:rsid w:val="008640E7"/>
    <w:rsid w:val="00866ECA"/>
    <w:rsid w:val="00867558"/>
    <w:rsid w:val="008735B8"/>
    <w:rsid w:val="008771D6"/>
    <w:rsid w:val="0087720A"/>
    <w:rsid w:val="00882C18"/>
    <w:rsid w:val="008868C6"/>
    <w:rsid w:val="00887631"/>
    <w:rsid w:val="008907CF"/>
    <w:rsid w:val="00891AF8"/>
    <w:rsid w:val="00892B87"/>
    <w:rsid w:val="00896AD8"/>
    <w:rsid w:val="008A1540"/>
    <w:rsid w:val="008A1CD9"/>
    <w:rsid w:val="008A1D90"/>
    <w:rsid w:val="008A3677"/>
    <w:rsid w:val="008A4BAA"/>
    <w:rsid w:val="008A4E5A"/>
    <w:rsid w:val="008B1400"/>
    <w:rsid w:val="008B6154"/>
    <w:rsid w:val="008B7FE4"/>
    <w:rsid w:val="008C272A"/>
    <w:rsid w:val="008C6731"/>
    <w:rsid w:val="008D1461"/>
    <w:rsid w:val="008D1DFD"/>
    <w:rsid w:val="008D2588"/>
    <w:rsid w:val="008D381A"/>
    <w:rsid w:val="008E4151"/>
    <w:rsid w:val="008E6803"/>
    <w:rsid w:val="008F17F8"/>
    <w:rsid w:val="008F228E"/>
    <w:rsid w:val="008F37E3"/>
    <w:rsid w:val="0090169A"/>
    <w:rsid w:val="009023A7"/>
    <w:rsid w:val="009030C4"/>
    <w:rsid w:val="009101A1"/>
    <w:rsid w:val="00912E4A"/>
    <w:rsid w:val="00912E6D"/>
    <w:rsid w:val="009140AE"/>
    <w:rsid w:val="00914F31"/>
    <w:rsid w:val="00915273"/>
    <w:rsid w:val="00915580"/>
    <w:rsid w:val="00917176"/>
    <w:rsid w:val="00924BC2"/>
    <w:rsid w:val="00926823"/>
    <w:rsid w:val="009274C8"/>
    <w:rsid w:val="009368AC"/>
    <w:rsid w:val="00936D5D"/>
    <w:rsid w:val="00937705"/>
    <w:rsid w:val="009417B8"/>
    <w:rsid w:val="00943EB2"/>
    <w:rsid w:val="009476DC"/>
    <w:rsid w:val="00951088"/>
    <w:rsid w:val="009516C3"/>
    <w:rsid w:val="00952CD8"/>
    <w:rsid w:val="00953A78"/>
    <w:rsid w:val="00956CE7"/>
    <w:rsid w:val="00965294"/>
    <w:rsid w:val="00965B1B"/>
    <w:rsid w:val="00970ED4"/>
    <w:rsid w:val="00972441"/>
    <w:rsid w:val="00972E54"/>
    <w:rsid w:val="00973ABD"/>
    <w:rsid w:val="009755C6"/>
    <w:rsid w:val="00977DCA"/>
    <w:rsid w:val="00980548"/>
    <w:rsid w:val="00981AEE"/>
    <w:rsid w:val="0098739C"/>
    <w:rsid w:val="009904B1"/>
    <w:rsid w:val="00990639"/>
    <w:rsid w:val="009952D7"/>
    <w:rsid w:val="009A68A1"/>
    <w:rsid w:val="009B29FF"/>
    <w:rsid w:val="009B36A0"/>
    <w:rsid w:val="009B3722"/>
    <w:rsid w:val="009B4A9B"/>
    <w:rsid w:val="009B68EE"/>
    <w:rsid w:val="009C4800"/>
    <w:rsid w:val="009D2383"/>
    <w:rsid w:val="009D3891"/>
    <w:rsid w:val="009D3B1C"/>
    <w:rsid w:val="009D5181"/>
    <w:rsid w:val="009E030A"/>
    <w:rsid w:val="009E1177"/>
    <w:rsid w:val="009E1612"/>
    <w:rsid w:val="009F1D01"/>
    <w:rsid w:val="00A01CD6"/>
    <w:rsid w:val="00A03480"/>
    <w:rsid w:val="00A04147"/>
    <w:rsid w:val="00A07EAA"/>
    <w:rsid w:val="00A10F2F"/>
    <w:rsid w:val="00A12183"/>
    <w:rsid w:val="00A1448A"/>
    <w:rsid w:val="00A232D0"/>
    <w:rsid w:val="00A25EA3"/>
    <w:rsid w:val="00A30FD1"/>
    <w:rsid w:val="00A3199B"/>
    <w:rsid w:val="00A4049B"/>
    <w:rsid w:val="00A40902"/>
    <w:rsid w:val="00A466A0"/>
    <w:rsid w:val="00A5124F"/>
    <w:rsid w:val="00A5424D"/>
    <w:rsid w:val="00A62C8F"/>
    <w:rsid w:val="00A70895"/>
    <w:rsid w:val="00A712DF"/>
    <w:rsid w:val="00A722F7"/>
    <w:rsid w:val="00A72E85"/>
    <w:rsid w:val="00A72F6D"/>
    <w:rsid w:val="00A7744A"/>
    <w:rsid w:val="00A81C15"/>
    <w:rsid w:val="00A82986"/>
    <w:rsid w:val="00A848F8"/>
    <w:rsid w:val="00A873C7"/>
    <w:rsid w:val="00A905AC"/>
    <w:rsid w:val="00A907DA"/>
    <w:rsid w:val="00A90839"/>
    <w:rsid w:val="00A929C7"/>
    <w:rsid w:val="00A92C79"/>
    <w:rsid w:val="00A9665F"/>
    <w:rsid w:val="00A97223"/>
    <w:rsid w:val="00AB5583"/>
    <w:rsid w:val="00AC5461"/>
    <w:rsid w:val="00AC6533"/>
    <w:rsid w:val="00AC6B6D"/>
    <w:rsid w:val="00AD3B91"/>
    <w:rsid w:val="00AD7869"/>
    <w:rsid w:val="00AE002F"/>
    <w:rsid w:val="00AE0E1F"/>
    <w:rsid w:val="00AE4425"/>
    <w:rsid w:val="00AE70B3"/>
    <w:rsid w:val="00AE7985"/>
    <w:rsid w:val="00AF07E4"/>
    <w:rsid w:val="00AF0E10"/>
    <w:rsid w:val="00AF1D52"/>
    <w:rsid w:val="00AF2B32"/>
    <w:rsid w:val="00AF65DB"/>
    <w:rsid w:val="00B0204C"/>
    <w:rsid w:val="00B05A34"/>
    <w:rsid w:val="00B05D12"/>
    <w:rsid w:val="00B06388"/>
    <w:rsid w:val="00B13EB3"/>
    <w:rsid w:val="00B15A50"/>
    <w:rsid w:val="00B161F2"/>
    <w:rsid w:val="00B16981"/>
    <w:rsid w:val="00B20167"/>
    <w:rsid w:val="00B20FD8"/>
    <w:rsid w:val="00B25262"/>
    <w:rsid w:val="00B3075A"/>
    <w:rsid w:val="00B30F1B"/>
    <w:rsid w:val="00B31EB1"/>
    <w:rsid w:val="00B3206D"/>
    <w:rsid w:val="00B328D5"/>
    <w:rsid w:val="00B33492"/>
    <w:rsid w:val="00B35F00"/>
    <w:rsid w:val="00B41194"/>
    <w:rsid w:val="00B42D6B"/>
    <w:rsid w:val="00B51389"/>
    <w:rsid w:val="00B53964"/>
    <w:rsid w:val="00B53EA4"/>
    <w:rsid w:val="00B542CC"/>
    <w:rsid w:val="00B551B1"/>
    <w:rsid w:val="00B5633F"/>
    <w:rsid w:val="00B618A0"/>
    <w:rsid w:val="00B67196"/>
    <w:rsid w:val="00B7115B"/>
    <w:rsid w:val="00B72044"/>
    <w:rsid w:val="00B724DD"/>
    <w:rsid w:val="00B72E0B"/>
    <w:rsid w:val="00B75537"/>
    <w:rsid w:val="00B76F44"/>
    <w:rsid w:val="00B77DFB"/>
    <w:rsid w:val="00B808AA"/>
    <w:rsid w:val="00B80A83"/>
    <w:rsid w:val="00B82811"/>
    <w:rsid w:val="00B83D0E"/>
    <w:rsid w:val="00B952FD"/>
    <w:rsid w:val="00B97CA1"/>
    <w:rsid w:val="00BA0378"/>
    <w:rsid w:val="00BA224F"/>
    <w:rsid w:val="00BA5DDB"/>
    <w:rsid w:val="00BB2A33"/>
    <w:rsid w:val="00BB460E"/>
    <w:rsid w:val="00BB5905"/>
    <w:rsid w:val="00BB6CF2"/>
    <w:rsid w:val="00BC0544"/>
    <w:rsid w:val="00BC2B80"/>
    <w:rsid w:val="00BC3EDF"/>
    <w:rsid w:val="00BD222D"/>
    <w:rsid w:val="00BD334F"/>
    <w:rsid w:val="00BD53BC"/>
    <w:rsid w:val="00BF0385"/>
    <w:rsid w:val="00BF1397"/>
    <w:rsid w:val="00BF5591"/>
    <w:rsid w:val="00BF68CF"/>
    <w:rsid w:val="00C053B3"/>
    <w:rsid w:val="00C10491"/>
    <w:rsid w:val="00C10C19"/>
    <w:rsid w:val="00C1188D"/>
    <w:rsid w:val="00C11A5F"/>
    <w:rsid w:val="00C15858"/>
    <w:rsid w:val="00C15DB1"/>
    <w:rsid w:val="00C20707"/>
    <w:rsid w:val="00C22D5F"/>
    <w:rsid w:val="00C367C3"/>
    <w:rsid w:val="00C40F3D"/>
    <w:rsid w:val="00C4134F"/>
    <w:rsid w:val="00C4412F"/>
    <w:rsid w:val="00C475D7"/>
    <w:rsid w:val="00C5301F"/>
    <w:rsid w:val="00C5518D"/>
    <w:rsid w:val="00C5522F"/>
    <w:rsid w:val="00C600C5"/>
    <w:rsid w:val="00C60FE6"/>
    <w:rsid w:val="00C637B1"/>
    <w:rsid w:val="00C637B2"/>
    <w:rsid w:val="00C64EDD"/>
    <w:rsid w:val="00C70193"/>
    <w:rsid w:val="00C717B1"/>
    <w:rsid w:val="00C717E6"/>
    <w:rsid w:val="00C72DDB"/>
    <w:rsid w:val="00C7375C"/>
    <w:rsid w:val="00C737B5"/>
    <w:rsid w:val="00C80AC4"/>
    <w:rsid w:val="00C820A3"/>
    <w:rsid w:val="00C84EA1"/>
    <w:rsid w:val="00C85F7C"/>
    <w:rsid w:val="00C9035A"/>
    <w:rsid w:val="00C90DCA"/>
    <w:rsid w:val="00CA5E68"/>
    <w:rsid w:val="00CA641B"/>
    <w:rsid w:val="00CC501B"/>
    <w:rsid w:val="00CC5D29"/>
    <w:rsid w:val="00CC600D"/>
    <w:rsid w:val="00CD24BC"/>
    <w:rsid w:val="00CD3683"/>
    <w:rsid w:val="00CD3D9A"/>
    <w:rsid w:val="00CD46F0"/>
    <w:rsid w:val="00CD6444"/>
    <w:rsid w:val="00CD69FC"/>
    <w:rsid w:val="00CD73B3"/>
    <w:rsid w:val="00CE0AB3"/>
    <w:rsid w:val="00CE2065"/>
    <w:rsid w:val="00CE24FE"/>
    <w:rsid w:val="00CE2DE7"/>
    <w:rsid w:val="00CE7E85"/>
    <w:rsid w:val="00CF04A7"/>
    <w:rsid w:val="00CF2399"/>
    <w:rsid w:val="00CF2592"/>
    <w:rsid w:val="00CF36B9"/>
    <w:rsid w:val="00CF3DC1"/>
    <w:rsid w:val="00D002FD"/>
    <w:rsid w:val="00D043C6"/>
    <w:rsid w:val="00D04875"/>
    <w:rsid w:val="00D067AA"/>
    <w:rsid w:val="00D10B74"/>
    <w:rsid w:val="00D1218A"/>
    <w:rsid w:val="00D15DCA"/>
    <w:rsid w:val="00D16461"/>
    <w:rsid w:val="00D2599A"/>
    <w:rsid w:val="00D34BC7"/>
    <w:rsid w:val="00D40935"/>
    <w:rsid w:val="00D42158"/>
    <w:rsid w:val="00D4228A"/>
    <w:rsid w:val="00D42729"/>
    <w:rsid w:val="00D42E12"/>
    <w:rsid w:val="00D53914"/>
    <w:rsid w:val="00D54E3C"/>
    <w:rsid w:val="00D5713C"/>
    <w:rsid w:val="00D60532"/>
    <w:rsid w:val="00D61606"/>
    <w:rsid w:val="00D61922"/>
    <w:rsid w:val="00D62B4E"/>
    <w:rsid w:val="00D650D9"/>
    <w:rsid w:val="00D65167"/>
    <w:rsid w:val="00D83465"/>
    <w:rsid w:val="00D91AB6"/>
    <w:rsid w:val="00D926B1"/>
    <w:rsid w:val="00D92B1C"/>
    <w:rsid w:val="00D96E60"/>
    <w:rsid w:val="00DA11DA"/>
    <w:rsid w:val="00DB1B74"/>
    <w:rsid w:val="00DB24F6"/>
    <w:rsid w:val="00DB2859"/>
    <w:rsid w:val="00DB6647"/>
    <w:rsid w:val="00DB714D"/>
    <w:rsid w:val="00DB78B2"/>
    <w:rsid w:val="00DC19E4"/>
    <w:rsid w:val="00DC1A09"/>
    <w:rsid w:val="00DC29F6"/>
    <w:rsid w:val="00DC3C38"/>
    <w:rsid w:val="00DC3DB6"/>
    <w:rsid w:val="00DD1791"/>
    <w:rsid w:val="00DD1D75"/>
    <w:rsid w:val="00DD4679"/>
    <w:rsid w:val="00DD5876"/>
    <w:rsid w:val="00DE3441"/>
    <w:rsid w:val="00DE4922"/>
    <w:rsid w:val="00DE5F1B"/>
    <w:rsid w:val="00DF3A2F"/>
    <w:rsid w:val="00DF6F97"/>
    <w:rsid w:val="00E01838"/>
    <w:rsid w:val="00E02827"/>
    <w:rsid w:val="00E04A63"/>
    <w:rsid w:val="00E07AA5"/>
    <w:rsid w:val="00E10A1E"/>
    <w:rsid w:val="00E119E0"/>
    <w:rsid w:val="00E11BFC"/>
    <w:rsid w:val="00E12D09"/>
    <w:rsid w:val="00E13CFB"/>
    <w:rsid w:val="00E141BE"/>
    <w:rsid w:val="00E24C59"/>
    <w:rsid w:val="00E25F09"/>
    <w:rsid w:val="00E27068"/>
    <w:rsid w:val="00E304C2"/>
    <w:rsid w:val="00E30A7F"/>
    <w:rsid w:val="00E311CC"/>
    <w:rsid w:val="00E314DC"/>
    <w:rsid w:val="00E31565"/>
    <w:rsid w:val="00E328D4"/>
    <w:rsid w:val="00E32A2A"/>
    <w:rsid w:val="00E335A2"/>
    <w:rsid w:val="00E3435C"/>
    <w:rsid w:val="00E347DA"/>
    <w:rsid w:val="00E408C4"/>
    <w:rsid w:val="00E452FE"/>
    <w:rsid w:val="00E45C64"/>
    <w:rsid w:val="00E4614E"/>
    <w:rsid w:val="00E61619"/>
    <w:rsid w:val="00E64F11"/>
    <w:rsid w:val="00E673E7"/>
    <w:rsid w:val="00E77A4C"/>
    <w:rsid w:val="00E803F6"/>
    <w:rsid w:val="00E80911"/>
    <w:rsid w:val="00E82B51"/>
    <w:rsid w:val="00E86829"/>
    <w:rsid w:val="00E901B8"/>
    <w:rsid w:val="00E915AF"/>
    <w:rsid w:val="00E92EF1"/>
    <w:rsid w:val="00E93F78"/>
    <w:rsid w:val="00E977EF"/>
    <w:rsid w:val="00EA2660"/>
    <w:rsid w:val="00EA53FC"/>
    <w:rsid w:val="00EB281E"/>
    <w:rsid w:val="00EB2825"/>
    <w:rsid w:val="00EB30E6"/>
    <w:rsid w:val="00EB3DA8"/>
    <w:rsid w:val="00EB6044"/>
    <w:rsid w:val="00EB756E"/>
    <w:rsid w:val="00EC385B"/>
    <w:rsid w:val="00EC5352"/>
    <w:rsid w:val="00EC6D20"/>
    <w:rsid w:val="00ED0630"/>
    <w:rsid w:val="00ED0A03"/>
    <w:rsid w:val="00ED0CB9"/>
    <w:rsid w:val="00ED4D0B"/>
    <w:rsid w:val="00ED4FA5"/>
    <w:rsid w:val="00ED56B7"/>
    <w:rsid w:val="00ED704F"/>
    <w:rsid w:val="00EE0062"/>
    <w:rsid w:val="00EE145E"/>
    <w:rsid w:val="00EE24A9"/>
    <w:rsid w:val="00EE3BB4"/>
    <w:rsid w:val="00EE6693"/>
    <w:rsid w:val="00EE6F16"/>
    <w:rsid w:val="00EF1873"/>
    <w:rsid w:val="00EF5148"/>
    <w:rsid w:val="00EF543A"/>
    <w:rsid w:val="00EF6345"/>
    <w:rsid w:val="00F04307"/>
    <w:rsid w:val="00F04F24"/>
    <w:rsid w:val="00F0779B"/>
    <w:rsid w:val="00F10A88"/>
    <w:rsid w:val="00F12E0F"/>
    <w:rsid w:val="00F14B99"/>
    <w:rsid w:val="00F152BC"/>
    <w:rsid w:val="00F16998"/>
    <w:rsid w:val="00F17B78"/>
    <w:rsid w:val="00F22B38"/>
    <w:rsid w:val="00F32DC2"/>
    <w:rsid w:val="00F35C29"/>
    <w:rsid w:val="00F4246C"/>
    <w:rsid w:val="00F42AFA"/>
    <w:rsid w:val="00F4458B"/>
    <w:rsid w:val="00F51B39"/>
    <w:rsid w:val="00F57523"/>
    <w:rsid w:val="00F6758B"/>
    <w:rsid w:val="00F725C1"/>
    <w:rsid w:val="00F72EC9"/>
    <w:rsid w:val="00F762DA"/>
    <w:rsid w:val="00F87709"/>
    <w:rsid w:val="00F87DD9"/>
    <w:rsid w:val="00F90C79"/>
    <w:rsid w:val="00F9123E"/>
    <w:rsid w:val="00F9165B"/>
    <w:rsid w:val="00F91870"/>
    <w:rsid w:val="00F91DDE"/>
    <w:rsid w:val="00F92D19"/>
    <w:rsid w:val="00F95F0F"/>
    <w:rsid w:val="00FA3ED6"/>
    <w:rsid w:val="00FB080C"/>
    <w:rsid w:val="00FB2826"/>
    <w:rsid w:val="00FB37A8"/>
    <w:rsid w:val="00FB3DA0"/>
    <w:rsid w:val="00FB463A"/>
    <w:rsid w:val="00FB5F59"/>
    <w:rsid w:val="00FB7FEC"/>
    <w:rsid w:val="00FC0A95"/>
    <w:rsid w:val="00FC27AC"/>
    <w:rsid w:val="00FC58BE"/>
    <w:rsid w:val="00FC5F96"/>
    <w:rsid w:val="00FD1B83"/>
    <w:rsid w:val="00FD419F"/>
    <w:rsid w:val="00FE16AF"/>
    <w:rsid w:val="00FE207A"/>
    <w:rsid w:val="00FE2DFB"/>
    <w:rsid w:val="00FE3F16"/>
    <w:rsid w:val="00FE4AAE"/>
    <w:rsid w:val="00FE7940"/>
    <w:rsid w:val="00FF11FA"/>
    <w:rsid w:val="00FF248E"/>
    <w:rsid w:val="00FF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310D"/>
  <w15:chartTrackingRefBased/>
  <w15:docId w15:val="{B614513C-AA88-4B66-8F88-527646FA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12"/>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05D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05D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5D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5D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05D1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05D1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05D1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05D1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05D1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05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D12"/>
    <w:rPr>
      <w:rFonts w:eastAsiaTheme="majorEastAsia" w:cstheme="majorBidi"/>
      <w:color w:val="272727" w:themeColor="text1" w:themeTint="D8"/>
    </w:rPr>
  </w:style>
  <w:style w:type="paragraph" w:styleId="Title">
    <w:name w:val="Title"/>
    <w:basedOn w:val="Normal"/>
    <w:next w:val="Normal"/>
    <w:link w:val="TitleChar"/>
    <w:uiPriority w:val="10"/>
    <w:qFormat/>
    <w:rsid w:val="00B05D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5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D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5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D1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05D12"/>
    <w:rPr>
      <w:i/>
      <w:iCs/>
      <w:color w:val="404040" w:themeColor="text1" w:themeTint="BF"/>
    </w:rPr>
  </w:style>
  <w:style w:type="paragraph" w:styleId="ListParagraph">
    <w:name w:val="List Paragraph"/>
    <w:basedOn w:val="Normal"/>
    <w:uiPriority w:val="34"/>
    <w:qFormat/>
    <w:rsid w:val="00B05D1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05D12"/>
    <w:rPr>
      <w:i/>
      <w:iCs/>
      <w:color w:val="0F4761" w:themeColor="accent1" w:themeShade="BF"/>
    </w:rPr>
  </w:style>
  <w:style w:type="paragraph" w:styleId="IntenseQuote">
    <w:name w:val="Intense Quote"/>
    <w:basedOn w:val="Normal"/>
    <w:next w:val="Normal"/>
    <w:link w:val="IntenseQuoteChar"/>
    <w:uiPriority w:val="30"/>
    <w:qFormat/>
    <w:rsid w:val="00B05D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05D12"/>
    <w:rPr>
      <w:i/>
      <w:iCs/>
      <w:color w:val="0F4761" w:themeColor="accent1" w:themeShade="BF"/>
    </w:rPr>
  </w:style>
  <w:style w:type="character" w:styleId="IntenseReference">
    <w:name w:val="Intense Reference"/>
    <w:basedOn w:val="DefaultParagraphFont"/>
    <w:uiPriority w:val="32"/>
    <w:qFormat/>
    <w:rsid w:val="00B05D12"/>
    <w:rPr>
      <w:b/>
      <w:bCs/>
      <w:smallCaps/>
      <w:color w:val="0F4761" w:themeColor="accent1" w:themeShade="BF"/>
      <w:spacing w:val="5"/>
    </w:rPr>
  </w:style>
  <w:style w:type="paragraph" w:customStyle="1" w:styleId="paragraph">
    <w:name w:val="paragraph"/>
    <w:basedOn w:val="Normal"/>
    <w:rsid w:val="00B05D12"/>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B05D12"/>
  </w:style>
  <w:style w:type="paragraph" w:styleId="FootnoteText">
    <w:name w:val="footnote text"/>
    <w:aliases w:val="FT"/>
    <w:basedOn w:val="Normal"/>
    <w:link w:val="FootnoteTextChar"/>
    <w:uiPriority w:val="99"/>
    <w:unhideWhenUsed/>
    <w:qFormat/>
    <w:rsid w:val="00EE6693"/>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E6693"/>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EE6693"/>
    <w:rPr>
      <w:vertAlign w:val="superscript"/>
    </w:rPr>
  </w:style>
  <w:style w:type="character" w:styleId="Hyperlink">
    <w:name w:val="Hyperlink"/>
    <w:basedOn w:val="DefaultParagraphFont"/>
    <w:uiPriority w:val="99"/>
    <w:unhideWhenUsed/>
    <w:rsid w:val="00EE6693"/>
    <w:rPr>
      <w:color w:val="467886" w:themeColor="hyperlink"/>
      <w:u w:val="single"/>
    </w:rPr>
  </w:style>
  <w:style w:type="paragraph" w:styleId="NoSpacing">
    <w:name w:val="No Spacing"/>
    <w:uiPriority w:val="1"/>
    <w:qFormat/>
    <w:rsid w:val="00EE6693"/>
    <w:pPr>
      <w:spacing w:after="0" w:line="240" w:lineRule="auto"/>
    </w:pPr>
    <w:rPr>
      <w:rFonts w:ascii="Cambria" w:eastAsia="MS Mincho" w:hAnsi="Cambria" w:cs="Times New Roman"/>
      <w:kern w:val="0"/>
      <w14:ligatures w14:val="none"/>
    </w:rPr>
  </w:style>
  <w:style w:type="character" w:customStyle="1" w:styleId="UnresolvedMention1">
    <w:name w:val="Unresolved Mention1"/>
    <w:basedOn w:val="DefaultParagraphFont"/>
    <w:uiPriority w:val="99"/>
    <w:semiHidden/>
    <w:unhideWhenUsed/>
    <w:rsid w:val="00111D63"/>
    <w:rPr>
      <w:color w:val="605E5C"/>
      <w:shd w:val="clear" w:color="auto" w:fill="E1DFDD"/>
    </w:rPr>
  </w:style>
  <w:style w:type="paragraph" w:styleId="Header">
    <w:name w:val="header"/>
    <w:basedOn w:val="Normal"/>
    <w:link w:val="HeaderChar"/>
    <w:uiPriority w:val="99"/>
    <w:unhideWhenUsed/>
    <w:rsid w:val="00867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55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867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558"/>
    <w:rPr>
      <w:rFonts w:ascii="Calibri" w:eastAsia="Calibri" w:hAnsi="Calibri" w:cs="Times New Roman"/>
      <w:kern w:val="0"/>
      <w:sz w:val="22"/>
      <w:szCs w:val="22"/>
      <w14:ligatures w14:val="none"/>
    </w:rPr>
  </w:style>
  <w:style w:type="character" w:styleId="CommentReference">
    <w:name w:val="annotation reference"/>
    <w:basedOn w:val="DefaultParagraphFont"/>
    <w:unhideWhenUsed/>
    <w:rsid w:val="00C84EA1"/>
    <w:rPr>
      <w:sz w:val="16"/>
      <w:szCs w:val="16"/>
    </w:rPr>
  </w:style>
  <w:style w:type="paragraph" w:styleId="CommentText">
    <w:name w:val="annotation text"/>
    <w:basedOn w:val="Normal"/>
    <w:link w:val="CommentTextChar"/>
    <w:unhideWhenUsed/>
    <w:rsid w:val="00C84EA1"/>
    <w:pPr>
      <w:spacing w:line="240" w:lineRule="auto"/>
    </w:pPr>
    <w:rPr>
      <w:sz w:val="20"/>
      <w:szCs w:val="20"/>
    </w:rPr>
  </w:style>
  <w:style w:type="character" w:customStyle="1" w:styleId="CommentTextChar">
    <w:name w:val="Comment Text Char"/>
    <w:basedOn w:val="DefaultParagraphFont"/>
    <w:link w:val="CommentText"/>
    <w:rsid w:val="00C84EA1"/>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4EA1"/>
    <w:rPr>
      <w:b/>
      <w:bCs/>
    </w:rPr>
  </w:style>
  <w:style w:type="character" w:customStyle="1" w:styleId="CommentSubjectChar">
    <w:name w:val="Comment Subject Char"/>
    <w:basedOn w:val="CommentTextChar"/>
    <w:link w:val="CommentSubject"/>
    <w:uiPriority w:val="99"/>
    <w:semiHidden/>
    <w:rsid w:val="00C84EA1"/>
    <w:rPr>
      <w:rFonts w:ascii="Calibri" w:eastAsia="Calibri" w:hAnsi="Calibri" w:cs="Times New Roman"/>
      <w:b/>
      <w:bCs/>
      <w:kern w:val="0"/>
      <w:sz w:val="20"/>
      <w:szCs w:val="20"/>
      <w14:ligatures w14:val="none"/>
    </w:rPr>
  </w:style>
  <w:style w:type="numbering" w:customStyle="1" w:styleId="NoList1">
    <w:name w:val="No List1"/>
    <w:next w:val="NoList"/>
    <w:uiPriority w:val="99"/>
    <w:semiHidden/>
    <w:unhideWhenUsed/>
    <w:rsid w:val="002F7A40"/>
  </w:style>
  <w:style w:type="paragraph" w:styleId="BodyText">
    <w:name w:val="Body Text"/>
    <w:basedOn w:val="Normal"/>
    <w:link w:val="BodyTextChar"/>
    <w:uiPriority w:val="99"/>
    <w:rsid w:val="002F7A40"/>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2F7A40"/>
    <w:rPr>
      <w:rFonts w:ascii="Times New Roman" w:eastAsia="Times New Roman" w:hAnsi="Times New Roman" w:cs="Times New Roman"/>
      <w:kern w:val="0"/>
      <w14:ligatures w14:val="none"/>
    </w:rPr>
  </w:style>
  <w:style w:type="paragraph" w:styleId="NormalWeb">
    <w:name w:val="Normal (Web)"/>
    <w:basedOn w:val="Normal"/>
    <w:uiPriority w:val="99"/>
    <w:unhideWhenUsed/>
    <w:rsid w:val="002F7A40"/>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2F7A40"/>
  </w:style>
  <w:style w:type="paragraph" w:styleId="Revision">
    <w:name w:val="Revision"/>
    <w:hidden/>
    <w:uiPriority w:val="99"/>
    <w:semiHidden/>
    <w:rsid w:val="002F7A40"/>
    <w:pPr>
      <w:spacing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2F7A40"/>
    <w:pPr>
      <w:spacing w:after="0" w:line="240" w:lineRule="auto"/>
      <w:ind w:firstLine="720"/>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F7A40"/>
    <w:rPr>
      <w:rFonts w:ascii="Segoe UI" w:eastAsia="Times New Roman" w:hAnsi="Segoe UI" w:cs="Segoe UI"/>
      <w:kern w:val="0"/>
      <w:sz w:val="18"/>
      <w:szCs w:val="18"/>
      <w14:ligatures w14:val="none"/>
    </w:rPr>
  </w:style>
  <w:style w:type="character" w:customStyle="1" w:styleId="Mention1">
    <w:name w:val="Mention1"/>
    <w:basedOn w:val="DefaultParagraphFont"/>
    <w:uiPriority w:val="99"/>
    <w:unhideWhenUsed/>
    <w:rsid w:val="002F7A40"/>
    <w:rPr>
      <w:color w:val="2B579A"/>
      <w:shd w:val="clear" w:color="auto" w:fill="E1DFDD"/>
    </w:rPr>
  </w:style>
  <w:style w:type="character" w:customStyle="1" w:styleId="UnresolvedMention2">
    <w:name w:val="Unresolved Mention2"/>
    <w:basedOn w:val="DefaultParagraphFont"/>
    <w:uiPriority w:val="99"/>
    <w:semiHidden/>
    <w:unhideWhenUsed/>
    <w:rsid w:val="00CD69FC"/>
    <w:rPr>
      <w:color w:val="605E5C"/>
      <w:shd w:val="clear" w:color="auto" w:fill="E1DFDD"/>
    </w:rPr>
  </w:style>
  <w:style w:type="paragraph" w:styleId="EndnoteText">
    <w:name w:val="endnote text"/>
    <w:basedOn w:val="Normal"/>
    <w:link w:val="EndnoteTextChar"/>
    <w:semiHidden/>
    <w:rsid w:val="000F4B93"/>
    <w:pPr>
      <w:widowControl w:val="0"/>
      <w:spacing w:after="0" w:line="240" w:lineRule="auto"/>
    </w:pPr>
    <w:rPr>
      <w:rFonts w:ascii="Courier New" w:eastAsia="Times New Roman" w:hAnsi="Courier New"/>
      <w:snapToGrid w:val="0"/>
      <w:sz w:val="24"/>
      <w:szCs w:val="20"/>
    </w:rPr>
  </w:style>
  <w:style w:type="character" w:customStyle="1" w:styleId="EndnoteTextChar">
    <w:name w:val="Endnote Text Char"/>
    <w:basedOn w:val="DefaultParagraphFont"/>
    <w:link w:val="EndnoteText"/>
    <w:semiHidden/>
    <w:rsid w:val="000F4B93"/>
    <w:rPr>
      <w:rFonts w:ascii="Courier New" w:eastAsia="Times New Roman" w:hAnsi="Courier New" w:cs="Times New Roman"/>
      <w:snapToGrid w:val="0"/>
      <w:kern w:val="0"/>
      <w:szCs w:val="20"/>
      <w14:ligatures w14:val="none"/>
    </w:rPr>
  </w:style>
  <w:style w:type="table" w:styleId="TableGrid">
    <w:name w:val="Table Grid"/>
    <w:basedOn w:val="TableNormal"/>
    <w:uiPriority w:val="59"/>
    <w:rsid w:val="00133CE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35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26" Type="http://schemas.openxmlformats.org/officeDocument/2006/relationships/hyperlink" Target="https://www1.nyc.gov/nycbusiness/description/food-protection-course-for-mobile-vendors" TargetMode="External"/><Relationship Id="rId21" Type="http://schemas.openxmlformats.org/officeDocument/2006/relationships/hyperlink" Target="https://www.nyc.gov/assets/doh/downloads/pdf/cdp/green_carts_faq.pdf" TargetMode="External"/><Relationship Id="rId42" Type="http://schemas.openxmlformats.org/officeDocument/2006/relationships/hyperlink" Target="https://hdl.handle.net/1813/116768" TargetMode="External"/><Relationship Id="rId47" Type="http://schemas.openxmlformats.org/officeDocument/2006/relationships/hyperlink" Target="https://www.nyc.gov/office-of-the-mayor/news/760-24/mayor-adams-councilmember-moya-launch-multi-agency-operation-address-urgent-public-safety-and" TargetMode="External"/><Relationship Id="rId63" Type="http://schemas.openxmlformats.org/officeDocument/2006/relationships/hyperlink" Target="https://www.uber.com/us/en/drive/driver-app/deactivation-review/" TargetMode="External"/><Relationship Id="rId68" Type="http://schemas.openxmlformats.org/officeDocument/2006/relationships/hyperlink" Target="https://legistar.council.nyc.gov/LegislationDetail.aspx?ID=4927204&amp;GUID=FCEA3CE8-8F00-4C8C-9AF1-588EA076E797" TargetMode="External"/><Relationship Id="rId84" Type="http://schemas.openxmlformats.org/officeDocument/2006/relationships/hyperlink" Target="https://www.eldoradoinsurance.com/security-industry-news/the-hidden-costs-of-turnover-how-employee-retention-reduces-risk-for-security-firms/" TargetMode="External"/><Relationship Id="rId16" Type="http://schemas.openxmlformats.org/officeDocument/2006/relationships/hyperlink" Target="https://www.nyc.gov/site/doh/business/food-operators/mobile-and-temporary-food-vendors.page" TargetMode="External"/><Relationship Id="rId11" Type="http://schemas.openxmlformats.org/officeDocument/2006/relationships/hyperlink" Target="https://legistar.council.nyc.gov/LegislationDetail.aspx?ID=3686667&amp;GUID=A0683818-66E6-4651-8B31-3D65EE4D61B1&amp;Options=ID|Text|&amp;Search=18" TargetMode="External"/><Relationship Id="rId32" Type="http://schemas.openxmlformats.org/officeDocument/2006/relationships/hyperlink" Target="https://www1.nyc.gov/assets/doh/downloads/pdf/rii/mfv-what-vendors-need-to-know.pdf" TargetMode="External"/><Relationship Id="rId37" Type="http://schemas.openxmlformats.org/officeDocument/2006/relationships/hyperlink" Target="https://legistar.council.nyc.gov/LegislationDetail.aspx?ID=7292941&amp;GUID=78A1A948-B419-4505-8373-4BA1CA2857BD&amp;Options=&amp;Search=" TargetMode="External"/><Relationship Id="rId53" Type="http://schemas.openxmlformats.org/officeDocument/2006/relationships/hyperlink" Target="https://legistar.council.nyc.gov/LegislationDetail.aspx?ID=4927208&amp;GUID=B078405C-0F32-4480-9149-B71883E3D12B&amp;" TargetMode="External"/><Relationship Id="rId58" Type="http://schemas.openxmlformats.org/officeDocument/2006/relationships/hyperlink" Target="https://legistar.council.nyc.gov/LegislationDetail.aspx?ID=7033091&amp;GUID=68249F7A-9291-416E-A5AF-136F978ACD2E&amp;Options" TargetMode="External"/><Relationship Id="rId74" Type="http://schemas.openxmlformats.org/officeDocument/2006/relationships/hyperlink" Target="https://www.fbi.gov/file-repository/reports-and-publications/2024-active-shooter-report/view" TargetMode="External"/><Relationship Id="rId79" Type="http://schemas.openxmlformats.org/officeDocument/2006/relationships/hyperlink" Target="https://www.americanprogress.org/article/low-standards-hurt-security-officers-ability-to-make-ends-meet/" TargetMode="External"/><Relationship Id="rId5" Type="http://schemas.openxmlformats.org/officeDocument/2006/relationships/hyperlink" Target="https://web.archive.org/web/20240423075904/https://www.nyc.gov/site/dca/media/pr102516.page" TargetMode="External"/><Relationship Id="rId19" Type="http://schemas.openxmlformats.org/officeDocument/2006/relationships/hyperlink" Target="https://www.nyc.gov/site/doh/business/food-operators/green-carts.page" TargetMode="External"/><Relationship Id="rId14" Type="http://schemas.openxmlformats.org/officeDocument/2006/relationships/hyperlink" Target="https://www.nyc.gov/assets/doh/downloads/pdf/rii/supervisory-license-presentation.pdf" TargetMode="External"/><Relationship Id="rId22" Type="http://schemas.openxmlformats.org/officeDocument/2006/relationships/hyperlink" Target="https://nyc-business.nyc.gov/nycbusiness/description/restricted-area-permit/apply" TargetMode="External"/><Relationship Id="rId27" Type="http://schemas.openxmlformats.org/officeDocument/2006/relationships/hyperlink" Target="https://www1.nyc.gov/nycbusiness/description/mobile-food-vending-license/apply" TargetMode="External"/><Relationship Id="rId30" Type="http://schemas.openxmlformats.org/officeDocument/2006/relationships/hyperlink" Target="https://www1.nyc.gov/assets/doh/downloads/pdf/permit/mfv_restricted_streets.pdf" TargetMode="External"/><Relationship Id="rId35" Type="http://schemas.openxmlformats.org/officeDocument/2006/relationships/hyperlink" Target="https://www.nyc.gov/assets/dca/downloads/pdf/about/NYC-Office-of-Street-Vendor-Enforcement-Re-establish-Within-DSNY.pdf" TargetMode="External"/><Relationship Id="rId43" Type="http://schemas.openxmlformats.org/officeDocument/2006/relationships/hyperlink" Target="https://legistar.council.nyc.gov/LegislationDetail.aspx?ID=7292941&amp;GUID=78A1A948-B419-4505-8373-4BA1CA2857BD&amp;Options=&amp;Search=" TargetMode="External"/><Relationship Id="rId48" Type="http://schemas.openxmlformats.org/officeDocument/2006/relationships/hyperlink" Target="https://legistar.council.nyc.gov/LegislationDetail.aspx?ID=7102140&amp;GUID=0E84D923-8D29-470D-A430-5FF7A5A55D95&amp;Options=&amp;Search=" TargetMode="External"/><Relationship Id="rId56" Type="http://schemas.openxmlformats.org/officeDocument/2006/relationships/hyperlink" Target="https://legistar.council.nyc.gov/LegislationDetail.aspx?ID=4927213&amp;GUID=9265CC1A-EE91-402C-9867-B8507852ED42" TargetMode="External"/><Relationship Id="rId64" Type="http://schemas.openxmlformats.org/officeDocument/2006/relationships/hyperlink" Target="https://www.nytimes.com/2025/03/29/business/uber-lyft-doordash-deactivation.html" TargetMode="External"/><Relationship Id="rId69" Type="http://schemas.openxmlformats.org/officeDocument/2006/relationships/hyperlink" Target="https://legistar.council.nyc.gov/LegislationDetail.aspx?ID=7033091&amp;GUID=68249F7A-9291-416E-A5AF-136F978ACD2E&amp;Options" TargetMode="External"/><Relationship Id="rId77" Type="http://schemas.openxmlformats.org/officeDocument/2006/relationships/hyperlink" Target="https://laborcenter.berkeley.edu/wp-content/uploads/2025/08/Demographic-and-Job-Characteristics-of-NYCs-Security-Guard-Workforce.pdf" TargetMode="External"/><Relationship Id="rId8" Type="http://schemas.openxmlformats.org/officeDocument/2006/relationships/hyperlink" Target="https://www.nytimes.com/2013/05/12/magazine/the-food-truck-business-stinks.html" TargetMode="External"/><Relationship Id="rId51" Type="http://schemas.openxmlformats.org/officeDocument/2006/relationships/hyperlink" Target="https://www.nyc.gov/assets/dca/downloads/pdf/workers/Delivery-Worker-Study-November-2022.pdf" TargetMode="External"/><Relationship Id="rId72" Type="http://schemas.openxmlformats.org/officeDocument/2006/relationships/hyperlink" Target="https://laborcenter.berkeley.edu/wp-content/uploads/2025/08/Demographic-and-Job-Characteristics-of-NYCs-Security-Guard-Workforce.pdf" TargetMode="External"/><Relationship Id="rId80" Type="http://schemas.openxmlformats.org/officeDocument/2006/relationships/hyperlink" Target="https://comptroller.nyc.gov/services/for-the-public/nyc-wage-standards/wage-schedules/" TargetMode="External"/><Relationship Id="rId85" Type="http://schemas.openxmlformats.org/officeDocument/2006/relationships/hyperlink" Target="https://investigativeacademy.com/security-staffing-challenges-7-tips-to-reduce-turnover" TargetMode="External"/><Relationship Id="rId3" Type="http://schemas.openxmlformats.org/officeDocument/2006/relationships/hyperlink" Target="http://www.archive.org/stream/reportofmayorspu00newyrich/reportofmayorspu00newyrich_djvu.txt" TargetMode="External"/><Relationship Id="rId12" Type="http://schemas.openxmlformats.org/officeDocument/2006/relationships/hyperlink" Target="https://www.nyc.gov/assets/doh/downloads/pdf/rii/supervisory-licenses-what-vendors-need-to-know.pdf" TargetMode="External"/><Relationship Id="rId17" Type="http://schemas.openxmlformats.org/officeDocument/2006/relationships/hyperlink" Target="https://www.nyc.gov/assets/doh/downloads/pdf/sbs/mfv-new-permit-application.pdf" TargetMode="External"/><Relationship Id="rId25" Type="http://schemas.openxmlformats.org/officeDocument/2006/relationships/hyperlink" Target="https://www1.nyc.gov/nycbusiness/description/mobile-food-vending-license" TargetMode="External"/><Relationship Id="rId33" Type="http://schemas.openxmlformats.org/officeDocument/2006/relationships/hyperlink" Target="https://www.crainsnewyork.com/article/20160612/HOSPITALITY_TOURISM/160619986/hot-dog-vendors-and-coffee-carts-turn-to-a-black-market-operating-in-the-open-to-buy-permits-and-licen" TargetMode="External"/><Relationship Id="rId38" Type="http://schemas.openxmlformats.org/officeDocument/2006/relationships/hyperlink" Target="https://immresearch.org/publications/street-vendors-of-new-york/" TargetMode="External"/><Relationship Id="rId46" Type="http://schemas.openxmlformats.org/officeDocument/2006/relationships/hyperlink" Target="https://www.thecity.nyc/2024/04/12/vendors-tickets-violations-spike-enforcement-bronx/" TargetMode="External"/><Relationship Id="rId59" Type="http://schemas.openxmlformats.org/officeDocument/2006/relationships/hyperlink" Target="https://legistar.council.nyc.gov/LegislationDetail.aspx?ID=7033092&amp;GUID=D0503195-47BB-4753-85A6-0641393D88A6&amp;Options" TargetMode="External"/><Relationship Id="rId67" Type="http://schemas.openxmlformats.org/officeDocument/2006/relationships/hyperlink" Target="https://legistar.council.nyc.gov/LegislationDetail.aspx?ID=7480055&amp;GUID=265D0ED3-FB2F-48B9-AF70-79973B11E094&amp;Options=&amp;Search=" TargetMode="External"/><Relationship Id="rId20" Type="http://schemas.openxmlformats.org/officeDocument/2006/relationships/hyperlink" Target="https://www1.nyc.gov/assets/doh/downloads/pdf/cdp/green_carts_summary.pdf" TargetMode="External"/><Relationship Id="rId41" Type="http://schemas.openxmlformats.org/officeDocument/2006/relationships/hyperlink" Target="https://www.motherjones.com/food/2022/10/in-new-york-street-vendors-fought-for-and-won-a-law-for-more-permits-theyre-still-waiting-on-them/" TargetMode="External"/><Relationship Id="rId54" Type="http://schemas.openxmlformats.org/officeDocument/2006/relationships/hyperlink" Target="https://legistar.council.nyc.gov/LegislationDetail.aspx?ID=4927215&amp;GUID=68592300-6B1D-40DC-9995-33D16088F98C&amp;" TargetMode="External"/><Relationship Id="rId62" Type="http://schemas.openxmlformats.org/officeDocument/2006/relationships/hyperlink" Target="https://driver.grubhub.com/account-violations-and-deactivation/" TargetMode="External"/><Relationship Id="rId70" Type="http://schemas.openxmlformats.org/officeDocument/2006/relationships/hyperlink" Target="https://legistar.council.nyc.gov/LegislationDetail.aspx?ID=7033092&amp;GUID=D0503195-47BB-4753-85A6-0641393D88A6&amp;Options" TargetMode="External"/><Relationship Id="rId75" Type="http://schemas.openxmlformats.org/officeDocument/2006/relationships/hyperlink" Target="https://www.brennancenter.org/our-work/research-reports/2025-trends-crime-and-safety-new-york-city" TargetMode="External"/><Relationship Id="rId83" Type="http://schemas.openxmlformats.org/officeDocument/2006/relationships/hyperlink" Target="https://www.tracktik.com/resources/blog-articles/10-strategies-to-reduce-turnover-rates-increase-engagement-and-retain-your-security-officers/" TargetMode="External"/><Relationship Id="rId88" Type="http://schemas.openxmlformats.org/officeDocument/2006/relationships/hyperlink" Target="https://does.dc.gov/sites/default/files/dc/sites/does/page_content/attachments/Enhanced%20Professional%20Security%20Amendment%20Act%20of%202008.pdf" TargetMode="External"/><Relationship Id="rId1" Type="http://schemas.openxmlformats.org/officeDocument/2006/relationships/hyperlink" Target="http://www.spacesofmigration.org/migration/wordpress/wp-content/uploads/2017/05/StreetVendorReport_Final.pdf" TargetMode="External"/><Relationship Id="rId6" Type="http://schemas.openxmlformats.org/officeDocument/2006/relationships/hyperlink" Target="http://www.nyc.gov/html/sbs/nycbiz/downloads/pdf/educational/sector_guides/street_vending.pdf" TargetMode="External"/><Relationship Id="rId15" Type="http://schemas.openxmlformats.org/officeDocument/2006/relationships/hyperlink" Target="https://www1.nyc.gov/assets/doh/downloads/pdf/rii/regulations-for-mobile-food-vendors.pdf" TargetMode="External"/><Relationship Id="rId23" Type="http://schemas.openxmlformats.org/officeDocument/2006/relationships/hyperlink" Target="https://dsny.cityofnewyork.us/wp-content/uploads/2023/05/mobile-food-vendor-educational-highlights-tips.pdf" TargetMode="External"/><Relationship Id="rId28" Type="http://schemas.openxmlformats.org/officeDocument/2006/relationships/hyperlink" Target="http://digitalassets.lib.berkeley.edu/etd/ucb/text/Devlin_berkeley_0028E_10609.pdf" TargetMode="External"/><Relationship Id="rId36" Type="http://schemas.openxmlformats.org/officeDocument/2006/relationships/hyperlink" Target="https://legistar.council.nyc.gov/LegislationDetail.aspx?ID=7292941&amp;GUID=78A1A948-B419-4505-8373-4BA1CA2857BD&amp;Options=&amp;Search=" TargetMode="External"/><Relationship Id="rId49" Type="http://schemas.openxmlformats.org/officeDocument/2006/relationships/hyperlink" Target="https://www.mckinsey.com/industries/technology-media-and-telecommunications/our-insights/ordering-in-the-rapid-evolution-of-food-delivery" TargetMode="External"/><Relationship Id="rId57" Type="http://schemas.openxmlformats.org/officeDocument/2006/relationships/hyperlink" Target="https://legistar.council.nyc.gov/LegislationDetail.aspx?ID=4927206&amp;GUID=4F2D9BC6-74D4-4A24-A889-85104C11881B&amp;" TargetMode="External"/><Relationship Id="rId10" Type="http://schemas.openxmlformats.org/officeDocument/2006/relationships/hyperlink" Target="https://www.crainsnewyork.com/article/20160612/HOSPITALITY_TOURISM/160619986/hot-dog-vendors-and-coffee-carts-turn-to-a-black-market-operating-in-the-open-to-buy-permits-and-licen" TargetMode="External"/><Relationship Id="rId31" Type="http://schemas.openxmlformats.org/officeDocument/2006/relationships/hyperlink" Target="http://www.nyc.gov/assets/doh/downloads/pdf/rii/rules-regs-mfv.pdf" TargetMode="External"/><Relationship Id="rId44" Type="http://schemas.openxmlformats.org/officeDocument/2006/relationships/hyperlink" Target="https://data.cityofnewyork.us/City-Government/OATH-Hearings-Division-Case-Status/jz4z-kudi/about_data" TargetMode="External"/><Relationship Id="rId52" Type="http://schemas.openxmlformats.org/officeDocument/2006/relationships/hyperlink" Target="https://ecommons.cornell.edu/items/7236a5cb-ebf7-4629-bf02-505efd1ce1d5" TargetMode="External"/><Relationship Id="rId60" Type="http://schemas.openxmlformats.org/officeDocument/2006/relationships/hyperlink" Target="https://www.businessinsider.com/how-gig-workers-are-fighting-against-sudden-account-deactivations-2023-9" TargetMode="External"/><Relationship Id="rId65" Type="http://schemas.openxmlformats.org/officeDocument/2006/relationships/hyperlink" Target="https://ecommons.cornell.edu/items/7236a5cb-ebf7-4629-bf02-505efd1ce1d5" TargetMode="External"/><Relationship Id="rId73" Type="http://schemas.openxmlformats.org/officeDocument/2006/relationships/hyperlink" Target="https://www.bls.gov/opub/ted/2012/ted_20120309.htm" TargetMode="External"/><Relationship Id="rId78" Type="http://schemas.openxmlformats.org/officeDocument/2006/relationships/hyperlink" Target="https://livingwage.mit.edu/counties/36061" TargetMode="External"/><Relationship Id="rId81" Type="http://schemas.openxmlformats.org/officeDocument/2006/relationships/hyperlink" Target="https://laborcenter.berkeley.edu/wp-content/uploads/2025/08/Demographic-and-Job-Characteristics-of-NYCs-Security-Guard-Workforce.pdf" TargetMode="External"/><Relationship Id="rId86" Type="http://schemas.openxmlformats.org/officeDocument/2006/relationships/hyperlink" Target="https://www.celayix.com/blog/leading-causes-of-security-guard-turnover/" TargetMode="External"/><Relationship Id="rId4" Type="http://schemas.openxmlformats.org/officeDocument/2006/relationships/hyperlink" Target="https://www.nyc.gov/assets/dca/downloads/pdf/partners/SVAB-Report-2022.pdf" TargetMode="External"/><Relationship Id="rId9" Type="http://schemas.openxmlformats.org/officeDocument/2006/relationships/hyperlink" Target="https://www.nytimes.com/2017/04/18/dining/halal-cart-food-vendor-new-york-city.html" TargetMode="External"/><Relationship Id="rId13" Type="http://schemas.openxmlformats.org/officeDocument/2006/relationships/hyperlink" Target="https://prismreports.org/2023/03/27/nyc-vendors-fight-officials-fulfill-promises/" TargetMode="External"/><Relationship Id="rId18" Type="http://schemas.openxmlformats.org/officeDocument/2006/relationships/hyperlink" Target="https://www1.nyc.gov/assets/doh/downloads/pdf/cdp/green_carts_areas.pdf" TargetMode="External"/><Relationship Id="rId39" Type="http://schemas.openxmlformats.org/officeDocument/2006/relationships/hyperlink" Target="https://www.ibo.nyc.gov/content/publications/2024-january-fiscal-impact-of-eliminating-street-vendor-permit-caps" TargetMode="External"/><Relationship Id="rId34" Type="http://schemas.openxmlformats.org/officeDocument/2006/relationships/hyperlink" Target="https://legistar.council.nyc.gov/LegislationDetail.aspx?ID=6495041&amp;GUID=F1F80A80-6AF7-4F5C-9616-64DB0AEDF372&amp;Options" TargetMode="External"/><Relationship Id="rId50" Type="http://schemas.openxmlformats.org/officeDocument/2006/relationships/hyperlink" Target="https://techcrunch.com/2022/06/03/the-delivery-market-is-coming-down-from-its-pandemic-highs/" TargetMode="External"/><Relationship Id="rId55" Type="http://schemas.openxmlformats.org/officeDocument/2006/relationships/hyperlink" Target="https://legistar.council.nyc.gov/LegislationDetail.aspx?ID=4927204&amp;GUID=FCEA3CE8-8F00-4C8C-9AF1-588EA076E797" TargetMode="External"/><Relationship Id="rId76" Type="http://schemas.openxmlformats.org/officeDocument/2006/relationships/hyperlink" Target="https://www.nytimes.com/2025/07/29/nyregion/nyc-shooting-victim-security-guard-aland-etienne.html" TargetMode="External"/><Relationship Id="rId7" Type="http://schemas.openxmlformats.org/officeDocument/2006/relationships/hyperlink" Target="https://www.nytimes.com/2021/01/29/nyregion/street-vendors-permits-nyc.html" TargetMode="External"/><Relationship Id="rId71" Type="http://schemas.openxmlformats.org/officeDocument/2006/relationships/hyperlink" Target="https://legistar.council.nyc.gov/LegislationDetail.aspx?ID=7480055&amp;GUID=265D0ED3-FB2F-48B9-AF70-79973B11E094&amp;Options=&amp;Search=" TargetMode="External"/><Relationship Id="rId2" Type="http://schemas.openxmlformats.org/officeDocument/2006/relationships/hyperlink" Target="https://www.6sqft.com/from-oysters-to-falafel-the-complete-history-of-street-vending-in-nyc/" TargetMode="External"/><Relationship Id="rId29" Type="http://schemas.openxmlformats.org/officeDocument/2006/relationships/hyperlink" Target="https://www.nyc.gov/assets/dca/downloads/pdf/partners/SVAB-Report-2022.pdf" TargetMode="External"/><Relationship Id="rId24" Type="http://schemas.openxmlformats.org/officeDocument/2006/relationships/hyperlink" Target="https://www1.nyc.gov/assets/doh/downloads/pdf/permit/mfv_application_forms_package.pdf" TargetMode="External"/><Relationship Id="rId40" Type="http://schemas.openxmlformats.org/officeDocument/2006/relationships/hyperlink" Target="https://legistar.council.nyc.gov/LegislationDetail.aspx?ID=7292941&amp;GUID=78A1A948-B419-4505-8373-4BA1CA2857BD&amp;Options=&amp;Search=" TargetMode="External"/><Relationship Id="rId45" Type="http://schemas.openxmlformats.org/officeDocument/2006/relationships/hyperlink" Target="https://legistar.council.nyc.gov/LegislationDetail.aspx?ID=6432703&amp;GUID=A489B441-8864-4371-BD1F-AC15A4B364EE&amp;" TargetMode="External"/><Relationship Id="rId66" Type="http://schemas.openxmlformats.org/officeDocument/2006/relationships/hyperlink" Target="https://legistar.council.nyc.gov/LegislationDetail.aspx?ID=7480055&amp;GUID=265D0ED3-FB2F-48B9-AF70-79973B11E094&amp;Options=&amp;Search=" TargetMode="External"/><Relationship Id="rId87" Type="http://schemas.openxmlformats.org/officeDocument/2006/relationships/hyperlink" Target="https://legistar.council.nyc.gov/LegislationDetail.aspx?ID=7681684&amp;GUID=85593CB6-D9D4-473B-9EC0-88F301E5B320&amp;Options=ID|Text|&amp;Search=1391" TargetMode="External"/><Relationship Id="rId61" Type="http://schemas.openxmlformats.org/officeDocument/2006/relationships/hyperlink" Target="https://driver.grubhub.com/terms-of-use/" TargetMode="External"/><Relationship Id="rId82" Type="http://schemas.openxmlformats.org/officeDocument/2006/relationships/hyperlink" Target="https://laborcenter.berkeley.edu/pdf/2017/SFO-literature-re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AB5C-3BA1-4309-B746-B80506F7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98</Pages>
  <Words>22953</Words>
  <Characters>130835</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153482</CharactersWithSpaces>
  <SharedDoc>false</SharedDoc>
  <HLinks>
    <vt:vector size="528" baseType="variant">
      <vt:variant>
        <vt:i4>3539018</vt:i4>
      </vt:variant>
      <vt:variant>
        <vt:i4>261</vt:i4>
      </vt:variant>
      <vt:variant>
        <vt:i4>0</vt:i4>
      </vt:variant>
      <vt:variant>
        <vt:i4>5</vt:i4>
      </vt:variant>
      <vt:variant>
        <vt:lpwstr>https://does.dc.gov/sites/default/files/dc/sites/does/page_content/attachments/Enhanced Professional Security Amendment Act of 2008.pdf</vt:lpwstr>
      </vt:variant>
      <vt:variant>
        <vt:lpwstr/>
      </vt:variant>
      <vt:variant>
        <vt:i4>1310722</vt:i4>
      </vt:variant>
      <vt:variant>
        <vt:i4>258</vt:i4>
      </vt:variant>
      <vt:variant>
        <vt:i4>0</vt:i4>
      </vt:variant>
      <vt:variant>
        <vt:i4>5</vt:i4>
      </vt:variant>
      <vt:variant>
        <vt:lpwstr>https://legistar.council.nyc.gov/LegislationDetail.aspx?ID=7681684&amp;GUID=85593CB6-D9D4-473B-9EC0-88F301E5B320&amp;Options=ID|Text|&amp;Search=1391</vt:lpwstr>
      </vt:variant>
      <vt:variant>
        <vt:lpwstr/>
      </vt:variant>
      <vt:variant>
        <vt:i4>7667821</vt:i4>
      </vt:variant>
      <vt:variant>
        <vt:i4>255</vt:i4>
      </vt:variant>
      <vt:variant>
        <vt:i4>0</vt:i4>
      </vt:variant>
      <vt:variant>
        <vt:i4>5</vt:i4>
      </vt:variant>
      <vt:variant>
        <vt:lpwstr>https://www.celayix.com/blog/leading-causes-of-security-guard-turnover/</vt:lpwstr>
      </vt:variant>
      <vt:variant>
        <vt:lpwstr/>
      </vt:variant>
      <vt:variant>
        <vt:i4>6357034</vt:i4>
      </vt:variant>
      <vt:variant>
        <vt:i4>252</vt:i4>
      </vt:variant>
      <vt:variant>
        <vt:i4>0</vt:i4>
      </vt:variant>
      <vt:variant>
        <vt:i4>5</vt:i4>
      </vt:variant>
      <vt:variant>
        <vt:lpwstr>https://investigativeacademy.com/security-staffing-challenges-7-tips-to-reduce-turnover</vt:lpwstr>
      </vt:variant>
      <vt:variant>
        <vt:lpwstr/>
      </vt:variant>
      <vt:variant>
        <vt:i4>1966163</vt:i4>
      </vt:variant>
      <vt:variant>
        <vt:i4>249</vt:i4>
      </vt:variant>
      <vt:variant>
        <vt:i4>0</vt:i4>
      </vt:variant>
      <vt:variant>
        <vt:i4>5</vt:i4>
      </vt:variant>
      <vt:variant>
        <vt:lpwstr>https://www.eldoradoinsurance.com/security-industry-news/the-hidden-costs-of-turnover-how-employee-retention-reduces-risk-for-security-firms/</vt:lpwstr>
      </vt:variant>
      <vt:variant>
        <vt:lpwstr/>
      </vt:variant>
      <vt:variant>
        <vt:i4>3539001</vt:i4>
      </vt:variant>
      <vt:variant>
        <vt:i4>246</vt:i4>
      </vt:variant>
      <vt:variant>
        <vt:i4>0</vt:i4>
      </vt:variant>
      <vt:variant>
        <vt:i4>5</vt:i4>
      </vt:variant>
      <vt:variant>
        <vt:lpwstr>https://www.tracktik.com/resources/blog-articles/10-strategies-to-reduce-turnover-rates-increase-engagement-and-retain-your-security-officers/</vt:lpwstr>
      </vt:variant>
      <vt:variant>
        <vt:lpwstr/>
      </vt:variant>
      <vt:variant>
        <vt:i4>7667760</vt:i4>
      </vt:variant>
      <vt:variant>
        <vt:i4>243</vt:i4>
      </vt:variant>
      <vt:variant>
        <vt:i4>0</vt:i4>
      </vt:variant>
      <vt:variant>
        <vt:i4>5</vt:i4>
      </vt:variant>
      <vt:variant>
        <vt:lpwstr>https://laborcenter.berkeley.edu/pdf/2017/SFO-literature-review.pdf</vt:lpwstr>
      </vt:variant>
      <vt:variant>
        <vt:lpwstr/>
      </vt:variant>
      <vt:variant>
        <vt:i4>5767236</vt:i4>
      </vt:variant>
      <vt:variant>
        <vt:i4>240</vt:i4>
      </vt:variant>
      <vt:variant>
        <vt:i4>0</vt:i4>
      </vt:variant>
      <vt:variant>
        <vt:i4>5</vt:i4>
      </vt:variant>
      <vt:variant>
        <vt:lpwstr>https://laborcenter.berkeley.edu/wp-content/uploads/2025/08/Demographic-and-Job-Characteristics-of-NYCs-Security-Guard-Workforce.pdf</vt:lpwstr>
      </vt:variant>
      <vt:variant>
        <vt:lpwstr/>
      </vt:variant>
      <vt:variant>
        <vt:i4>3997804</vt:i4>
      </vt:variant>
      <vt:variant>
        <vt:i4>237</vt:i4>
      </vt:variant>
      <vt:variant>
        <vt:i4>0</vt:i4>
      </vt:variant>
      <vt:variant>
        <vt:i4>5</vt:i4>
      </vt:variant>
      <vt:variant>
        <vt:lpwstr>https://comptroller.nyc.gov/services/for-the-public/nyc-wage-standards/wage-schedules/</vt:lpwstr>
      </vt:variant>
      <vt:variant>
        <vt:lpwstr/>
      </vt:variant>
      <vt:variant>
        <vt:i4>327762</vt:i4>
      </vt:variant>
      <vt:variant>
        <vt:i4>234</vt:i4>
      </vt:variant>
      <vt:variant>
        <vt:i4>0</vt:i4>
      </vt:variant>
      <vt:variant>
        <vt:i4>5</vt:i4>
      </vt:variant>
      <vt:variant>
        <vt:lpwstr>https://www.americanprogress.org/article/low-standards-hurt-security-officers-ability-to-make-ends-meet/</vt:lpwstr>
      </vt:variant>
      <vt:variant>
        <vt:lpwstr/>
      </vt:variant>
      <vt:variant>
        <vt:i4>5439518</vt:i4>
      </vt:variant>
      <vt:variant>
        <vt:i4>231</vt:i4>
      </vt:variant>
      <vt:variant>
        <vt:i4>0</vt:i4>
      </vt:variant>
      <vt:variant>
        <vt:i4>5</vt:i4>
      </vt:variant>
      <vt:variant>
        <vt:lpwstr>https://livingwage.mit.edu/counties/36061</vt:lpwstr>
      </vt:variant>
      <vt:variant>
        <vt:lpwstr/>
      </vt:variant>
      <vt:variant>
        <vt:i4>5767236</vt:i4>
      </vt:variant>
      <vt:variant>
        <vt:i4>228</vt:i4>
      </vt:variant>
      <vt:variant>
        <vt:i4>0</vt:i4>
      </vt:variant>
      <vt:variant>
        <vt:i4>5</vt:i4>
      </vt:variant>
      <vt:variant>
        <vt:lpwstr>https://laborcenter.berkeley.edu/wp-content/uploads/2025/08/Demographic-and-Job-Characteristics-of-NYCs-Security-Guard-Workforce.pdf</vt:lpwstr>
      </vt:variant>
      <vt:variant>
        <vt:lpwstr/>
      </vt:variant>
      <vt:variant>
        <vt:i4>4390937</vt:i4>
      </vt:variant>
      <vt:variant>
        <vt:i4>225</vt:i4>
      </vt:variant>
      <vt:variant>
        <vt:i4>0</vt:i4>
      </vt:variant>
      <vt:variant>
        <vt:i4>5</vt:i4>
      </vt:variant>
      <vt:variant>
        <vt:lpwstr>https://www.nytimes.com/2025/07/29/nyregion/nyc-shooting-victim-security-guard-aland-etienne.html</vt:lpwstr>
      </vt:variant>
      <vt:variant>
        <vt:lpwstr/>
      </vt:variant>
      <vt:variant>
        <vt:i4>7536701</vt:i4>
      </vt:variant>
      <vt:variant>
        <vt:i4>222</vt:i4>
      </vt:variant>
      <vt:variant>
        <vt:i4>0</vt:i4>
      </vt:variant>
      <vt:variant>
        <vt:i4>5</vt:i4>
      </vt:variant>
      <vt:variant>
        <vt:lpwstr>https://www.brennancenter.org/our-work/research-reports/2025-trends-crime-and-safety-new-york-city</vt:lpwstr>
      </vt:variant>
      <vt:variant>
        <vt:lpwstr/>
      </vt:variant>
      <vt:variant>
        <vt:i4>720976</vt:i4>
      </vt:variant>
      <vt:variant>
        <vt:i4>219</vt:i4>
      </vt:variant>
      <vt:variant>
        <vt:i4>0</vt:i4>
      </vt:variant>
      <vt:variant>
        <vt:i4>5</vt:i4>
      </vt:variant>
      <vt:variant>
        <vt:lpwstr>https://www.fbi.gov/file-repository/reports-and-publications/2024-active-shooter-report/view</vt:lpwstr>
      </vt:variant>
      <vt:variant>
        <vt:lpwstr/>
      </vt:variant>
      <vt:variant>
        <vt:i4>5439604</vt:i4>
      </vt:variant>
      <vt:variant>
        <vt:i4>216</vt:i4>
      </vt:variant>
      <vt:variant>
        <vt:i4>0</vt:i4>
      </vt:variant>
      <vt:variant>
        <vt:i4>5</vt:i4>
      </vt:variant>
      <vt:variant>
        <vt:lpwstr>https://www.bls.gov/opub/ted/2012/ted_20120309.htm</vt:lpwstr>
      </vt:variant>
      <vt:variant>
        <vt:lpwstr/>
      </vt:variant>
      <vt:variant>
        <vt:i4>5767236</vt:i4>
      </vt:variant>
      <vt:variant>
        <vt:i4>213</vt:i4>
      </vt:variant>
      <vt:variant>
        <vt:i4>0</vt:i4>
      </vt:variant>
      <vt:variant>
        <vt:i4>5</vt:i4>
      </vt:variant>
      <vt:variant>
        <vt:lpwstr>https://laborcenter.berkeley.edu/wp-content/uploads/2025/08/Demographic-and-Job-Characteristics-of-NYCs-Security-Guard-Workforce.pdf</vt:lpwstr>
      </vt:variant>
      <vt:variant>
        <vt:lpwstr/>
      </vt:variant>
      <vt:variant>
        <vt:i4>1769545</vt:i4>
      </vt:variant>
      <vt:variant>
        <vt:i4>210</vt:i4>
      </vt:variant>
      <vt:variant>
        <vt:i4>0</vt:i4>
      </vt:variant>
      <vt:variant>
        <vt:i4>5</vt:i4>
      </vt:variant>
      <vt:variant>
        <vt:lpwstr>https://legistar.council.nyc.gov/LegislationDetail.aspx?ID=7480055&amp;GUID=265D0ED3-FB2F-48B9-AF70-79973B11E094&amp;Options=&amp;Search=</vt:lpwstr>
      </vt:variant>
      <vt:variant>
        <vt:lpwstr/>
      </vt:variant>
      <vt:variant>
        <vt:i4>4915288</vt:i4>
      </vt:variant>
      <vt:variant>
        <vt:i4>207</vt:i4>
      </vt:variant>
      <vt:variant>
        <vt:i4>0</vt:i4>
      </vt:variant>
      <vt:variant>
        <vt:i4>5</vt:i4>
      </vt:variant>
      <vt:variant>
        <vt:lpwstr>https://legistar.council.nyc.gov/LegislationDetail.aspx?ID=7033092&amp;GUID=D0503195-47BB-4753-85A6-0641393D88A6&amp;Options</vt:lpwstr>
      </vt:variant>
      <vt:variant>
        <vt:lpwstr/>
      </vt:variant>
      <vt:variant>
        <vt:i4>5111814</vt:i4>
      </vt:variant>
      <vt:variant>
        <vt:i4>204</vt:i4>
      </vt:variant>
      <vt:variant>
        <vt:i4>0</vt:i4>
      </vt:variant>
      <vt:variant>
        <vt:i4>5</vt:i4>
      </vt:variant>
      <vt:variant>
        <vt:lpwstr>https://legistar.council.nyc.gov/LegislationDetail.aspx?ID=7033091&amp;GUID=68249F7A-9291-416E-A5AF-136F978ACD2E&amp;Options</vt:lpwstr>
      </vt:variant>
      <vt:variant>
        <vt:lpwstr/>
      </vt:variant>
      <vt:variant>
        <vt:i4>4456452</vt:i4>
      </vt:variant>
      <vt:variant>
        <vt:i4>201</vt:i4>
      </vt:variant>
      <vt:variant>
        <vt:i4>0</vt:i4>
      </vt:variant>
      <vt:variant>
        <vt:i4>5</vt:i4>
      </vt:variant>
      <vt:variant>
        <vt:lpwstr>https://legistar.council.nyc.gov/LegislationDetail.aspx?ID=4927204&amp;GUID=FCEA3CE8-8F00-4C8C-9AF1-588EA076E797</vt:lpwstr>
      </vt:variant>
      <vt:variant>
        <vt:lpwstr/>
      </vt:variant>
      <vt:variant>
        <vt:i4>1769545</vt:i4>
      </vt:variant>
      <vt:variant>
        <vt:i4>198</vt:i4>
      </vt:variant>
      <vt:variant>
        <vt:i4>0</vt:i4>
      </vt:variant>
      <vt:variant>
        <vt:i4>5</vt:i4>
      </vt:variant>
      <vt:variant>
        <vt:lpwstr>https://legistar.council.nyc.gov/LegislationDetail.aspx?ID=7480055&amp;GUID=265D0ED3-FB2F-48B9-AF70-79973B11E094&amp;Options=&amp;Search=</vt:lpwstr>
      </vt:variant>
      <vt:variant>
        <vt:lpwstr/>
      </vt:variant>
      <vt:variant>
        <vt:i4>1769545</vt:i4>
      </vt:variant>
      <vt:variant>
        <vt:i4>195</vt:i4>
      </vt:variant>
      <vt:variant>
        <vt:i4>0</vt:i4>
      </vt:variant>
      <vt:variant>
        <vt:i4>5</vt:i4>
      </vt:variant>
      <vt:variant>
        <vt:lpwstr>https://legistar.council.nyc.gov/LegislationDetail.aspx?ID=7480055&amp;GUID=265D0ED3-FB2F-48B9-AF70-79973B11E094&amp;Options=&amp;Search=</vt:lpwstr>
      </vt:variant>
      <vt:variant>
        <vt:lpwstr/>
      </vt:variant>
      <vt:variant>
        <vt:i4>2293815</vt:i4>
      </vt:variant>
      <vt:variant>
        <vt:i4>192</vt:i4>
      </vt:variant>
      <vt:variant>
        <vt:i4>0</vt:i4>
      </vt:variant>
      <vt:variant>
        <vt:i4>5</vt:i4>
      </vt:variant>
      <vt:variant>
        <vt:lpwstr>https://ecommons.cornell.edu/items/7236a5cb-ebf7-4629-bf02-505efd1ce1d5</vt:lpwstr>
      </vt:variant>
      <vt:variant>
        <vt:lpwstr/>
      </vt:variant>
      <vt:variant>
        <vt:i4>5898316</vt:i4>
      </vt:variant>
      <vt:variant>
        <vt:i4>189</vt:i4>
      </vt:variant>
      <vt:variant>
        <vt:i4>0</vt:i4>
      </vt:variant>
      <vt:variant>
        <vt:i4>5</vt:i4>
      </vt:variant>
      <vt:variant>
        <vt:lpwstr>https://www.nytimes.com/2025/03/29/business/uber-lyft-doordash-deactivation.html</vt:lpwstr>
      </vt:variant>
      <vt:variant>
        <vt:lpwstr/>
      </vt:variant>
      <vt:variant>
        <vt:i4>5701633</vt:i4>
      </vt:variant>
      <vt:variant>
        <vt:i4>186</vt:i4>
      </vt:variant>
      <vt:variant>
        <vt:i4>0</vt:i4>
      </vt:variant>
      <vt:variant>
        <vt:i4>5</vt:i4>
      </vt:variant>
      <vt:variant>
        <vt:lpwstr>https://www.uber.com/us/en/drive/driver-app/deactivation-review/</vt:lpwstr>
      </vt:variant>
      <vt:variant>
        <vt:lpwstr/>
      </vt:variant>
      <vt:variant>
        <vt:i4>6946870</vt:i4>
      </vt:variant>
      <vt:variant>
        <vt:i4>183</vt:i4>
      </vt:variant>
      <vt:variant>
        <vt:i4>0</vt:i4>
      </vt:variant>
      <vt:variant>
        <vt:i4>5</vt:i4>
      </vt:variant>
      <vt:variant>
        <vt:lpwstr>https://driver.grubhub.com/account-violations-and-deactivation/</vt:lpwstr>
      </vt:variant>
      <vt:variant>
        <vt:lpwstr/>
      </vt:variant>
      <vt:variant>
        <vt:i4>1704030</vt:i4>
      </vt:variant>
      <vt:variant>
        <vt:i4>180</vt:i4>
      </vt:variant>
      <vt:variant>
        <vt:i4>0</vt:i4>
      </vt:variant>
      <vt:variant>
        <vt:i4>5</vt:i4>
      </vt:variant>
      <vt:variant>
        <vt:lpwstr>https://driver.grubhub.com/terms-of-use/</vt:lpwstr>
      </vt:variant>
      <vt:variant>
        <vt:lpwstr/>
      </vt:variant>
      <vt:variant>
        <vt:i4>5701662</vt:i4>
      </vt:variant>
      <vt:variant>
        <vt:i4>177</vt:i4>
      </vt:variant>
      <vt:variant>
        <vt:i4>0</vt:i4>
      </vt:variant>
      <vt:variant>
        <vt:i4>5</vt:i4>
      </vt:variant>
      <vt:variant>
        <vt:lpwstr>https://www.businessinsider.com/how-gig-workers-are-fighting-against-sudden-account-deactivations-2023-9</vt:lpwstr>
      </vt:variant>
      <vt:variant>
        <vt:lpwstr/>
      </vt:variant>
      <vt:variant>
        <vt:i4>4915288</vt:i4>
      </vt:variant>
      <vt:variant>
        <vt:i4>174</vt:i4>
      </vt:variant>
      <vt:variant>
        <vt:i4>0</vt:i4>
      </vt:variant>
      <vt:variant>
        <vt:i4>5</vt:i4>
      </vt:variant>
      <vt:variant>
        <vt:lpwstr>https://legistar.council.nyc.gov/LegislationDetail.aspx?ID=7033092&amp;GUID=D0503195-47BB-4753-85A6-0641393D88A6&amp;Options</vt:lpwstr>
      </vt:variant>
      <vt:variant>
        <vt:lpwstr/>
      </vt:variant>
      <vt:variant>
        <vt:i4>5111814</vt:i4>
      </vt:variant>
      <vt:variant>
        <vt:i4>171</vt:i4>
      </vt:variant>
      <vt:variant>
        <vt:i4>0</vt:i4>
      </vt:variant>
      <vt:variant>
        <vt:i4>5</vt:i4>
      </vt:variant>
      <vt:variant>
        <vt:lpwstr>https://legistar.council.nyc.gov/LegislationDetail.aspx?ID=7033091&amp;GUID=68249F7A-9291-416E-A5AF-136F978ACD2E&amp;Options</vt:lpwstr>
      </vt:variant>
      <vt:variant>
        <vt:lpwstr/>
      </vt:variant>
      <vt:variant>
        <vt:i4>1507330</vt:i4>
      </vt:variant>
      <vt:variant>
        <vt:i4>168</vt:i4>
      </vt:variant>
      <vt:variant>
        <vt:i4>0</vt:i4>
      </vt:variant>
      <vt:variant>
        <vt:i4>5</vt:i4>
      </vt:variant>
      <vt:variant>
        <vt:lpwstr>https://legistar.council.nyc.gov/LegislationDetail.aspx?ID=4927206&amp;GUID=4F2D9BC6-74D4-4A24-A889-85104C11881B&amp;</vt:lpwstr>
      </vt:variant>
      <vt:variant>
        <vt:lpwstr/>
      </vt:variant>
      <vt:variant>
        <vt:i4>4653145</vt:i4>
      </vt:variant>
      <vt:variant>
        <vt:i4>165</vt:i4>
      </vt:variant>
      <vt:variant>
        <vt:i4>0</vt:i4>
      </vt:variant>
      <vt:variant>
        <vt:i4>5</vt:i4>
      </vt:variant>
      <vt:variant>
        <vt:lpwstr>https://legistar.council.nyc.gov/LegislationDetail.aspx?ID=4927213&amp;GUID=9265CC1A-EE91-402C-9867-B8507852ED42</vt:lpwstr>
      </vt:variant>
      <vt:variant>
        <vt:lpwstr/>
      </vt:variant>
      <vt:variant>
        <vt:i4>4456452</vt:i4>
      </vt:variant>
      <vt:variant>
        <vt:i4>162</vt:i4>
      </vt:variant>
      <vt:variant>
        <vt:i4>0</vt:i4>
      </vt:variant>
      <vt:variant>
        <vt:i4>5</vt:i4>
      </vt:variant>
      <vt:variant>
        <vt:lpwstr>https://legistar.council.nyc.gov/LegislationDetail.aspx?ID=4927204&amp;GUID=FCEA3CE8-8F00-4C8C-9AF1-588EA076E797</vt:lpwstr>
      </vt:variant>
      <vt:variant>
        <vt:lpwstr/>
      </vt:variant>
      <vt:variant>
        <vt:i4>1441793</vt:i4>
      </vt:variant>
      <vt:variant>
        <vt:i4>159</vt:i4>
      </vt:variant>
      <vt:variant>
        <vt:i4>0</vt:i4>
      </vt:variant>
      <vt:variant>
        <vt:i4>5</vt:i4>
      </vt:variant>
      <vt:variant>
        <vt:lpwstr>https://legistar.council.nyc.gov/LegislationDetail.aspx?ID=4927215&amp;GUID=68592300-6B1D-40DC-9995-33D16088F98C&amp;</vt:lpwstr>
      </vt:variant>
      <vt:variant>
        <vt:lpwstr/>
      </vt:variant>
      <vt:variant>
        <vt:i4>1048576</vt:i4>
      </vt:variant>
      <vt:variant>
        <vt:i4>156</vt:i4>
      </vt:variant>
      <vt:variant>
        <vt:i4>0</vt:i4>
      </vt:variant>
      <vt:variant>
        <vt:i4>5</vt:i4>
      </vt:variant>
      <vt:variant>
        <vt:lpwstr>https://legistar.council.nyc.gov/LegislationDetail.aspx?ID=4927208&amp;GUID=B078405C-0F32-4480-9149-B71883E3D12B&amp;</vt:lpwstr>
      </vt:variant>
      <vt:variant>
        <vt:lpwstr/>
      </vt:variant>
      <vt:variant>
        <vt:i4>2293815</vt:i4>
      </vt:variant>
      <vt:variant>
        <vt:i4>153</vt:i4>
      </vt:variant>
      <vt:variant>
        <vt:i4>0</vt:i4>
      </vt:variant>
      <vt:variant>
        <vt:i4>5</vt:i4>
      </vt:variant>
      <vt:variant>
        <vt:lpwstr>https://ecommons.cornell.edu/items/7236a5cb-ebf7-4629-bf02-505efd1ce1d5</vt:lpwstr>
      </vt:variant>
      <vt:variant>
        <vt:lpwstr/>
      </vt:variant>
      <vt:variant>
        <vt:i4>5636190</vt:i4>
      </vt:variant>
      <vt:variant>
        <vt:i4>150</vt:i4>
      </vt:variant>
      <vt:variant>
        <vt:i4>0</vt:i4>
      </vt:variant>
      <vt:variant>
        <vt:i4>5</vt:i4>
      </vt:variant>
      <vt:variant>
        <vt:lpwstr>https://www.nyc.gov/assets/dca/downloads/pdf/workers/Delivery-Worker-Study-November-2022.pdf</vt:lpwstr>
      </vt:variant>
      <vt:variant>
        <vt:lpwstr/>
      </vt:variant>
      <vt:variant>
        <vt:i4>5701644</vt:i4>
      </vt:variant>
      <vt:variant>
        <vt:i4>147</vt:i4>
      </vt:variant>
      <vt:variant>
        <vt:i4>0</vt:i4>
      </vt:variant>
      <vt:variant>
        <vt:i4>5</vt:i4>
      </vt:variant>
      <vt:variant>
        <vt:lpwstr>https://techcrunch.com/2022/06/03/the-delivery-market-is-coming-down-from-its-pandemic-highs/</vt:lpwstr>
      </vt:variant>
      <vt:variant>
        <vt:lpwstr/>
      </vt:variant>
      <vt:variant>
        <vt:i4>13</vt:i4>
      </vt:variant>
      <vt:variant>
        <vt:i4>144</vt:i4>
      </vt:variant>
      <vt:variant>
        <vt:i4>0</vt:i4>
      </vt:variant>
      <vt:variant>
        <vt:i4>5</vt:i4>
      </vt:variant>
      <vt:variant>
        <vt:lpwstr>https://www.mckinsey.com/industries/technology-media-and-telecommunications/our-insights/ordering-in-the-rapid-evolution-of-food-delivery</vt:lpwstr>
      </vt:variant>
      <vt:variant>
        <vt:lpwstr/>
      </vt:variant>
      <vt:variant>
        <vt:i4>1638420</vt:i4>
      </vt:variant>
      <vt:variant>
        <vt:i4>141</vt:i4>
      </vt:variant>
      <vt:variant>
        <vt:i4>0</vt:i4>
      </vt:variant>
      <vt:variant>
        <vt:i4>5</vt:i4>
      </vt:variant>
      <vt:variant>
        <vt:lpwstr>https://legistar.council.nyc.gov/LegislationDetail.aspx?ID=7102140&amp;GUID=0E84D923-8D29-470D-A430-5FF7A5A55D95&amp;Options=&amp;Search=</vt:lpwstr>
      </vt:variant>
      <vt:variant>
        <vt:lpwstr/>
      </vt:variant>
      <vt:variant>
        <vt:i4>4915267</vt:i4>
      </vt:variant>
      <vt:variant>
        <vt:i4>138</vt:i4>
      </vt:variant>
      <vt:variant>
        <vt:i4>0</vt:i4>
      </vt:variant>
      <vt:variant>
        <vt:i4>5</vt:i4>
      </vt:variant>
      <vt:variant>
        <vt:lpwstr>https://www.nyc.gov/office-of-the-mayor/news/760-24/mayor-adams-councilmember-moya-launch-multi-agency-operation-address-urgent-public-safety-and</vt:lpwstr>
      </vt:variant>
      <vt:variant>
        <vt:lpwstr/>
      </vt:variant>
      <vt:variant>
        <vt:i4>7864366</vt:i4>
      </vt:variant>
      <vt:variant>
        <vt:i4>135</vt:i4>
      </vt:variant>
      <vt:variant>
        <vt:i4>0</vt:i4>
      </vt:variant>
      <vt:variant>
        <vt:i4>5</vt:i4>
      </vt:variant>
      <vt:variant>
        <vt:lpwstr>https://www.thecity.nyc/2024/04/12/vendors-tickets-violations-spike-enforcement-bronx/</vt:lpwstr>
      </vt:variant>
      <vt:variant>
        <vt:lpwstr/>
      </vt:variant>
      <vt:variant>
        <vt:i4>4653142</vt:i4>
      </vt:variant>
      <vt:variant>
        <vt:i4>132</vt:i4>
      </vt:variant>
      <vt:variant>
        <vt:i4>0</vt:i4>
      </vt:variant>
      <vt:variant>
        <vt:i4>5</vt:i4>
      </vt:variant>
      <vt:variant>
        <vt:lpwstr>https://legistar.council.nyc.gov/LegislationDetail.aspx?ID=6432703&amp;GUID=A489B441-8864-4371-BD1F-AC15A4B364EE&amp;</vt:lpwstr>
      </vt:variant>
      <vt:variant>
        <vt:lpwstr/>
      </vt:variant>
      <vt:variant>
        <vt:i4>1966126</vt:i4>
      </vt:variant>
      <vt:variant>
        <vt:i4>129</vt:i4>
      </vt:variant>
      <vt:variant>
        <vt:i4>0</vt:i4>
      </vt:variant>
      <vt:variant>
        <vt:i4>5</vt:i4>
      </vt:variant>
      <vt:variant>
        <vt:lpwstr>https://data.cityofnewyork.us/City-Government/OATH-Hearings-Division-Case-Status/jz4z-kudi/about_data</vt:lpwstr>
      </vt:variant>
      <vt:variant>
        <vt:lpwstr/>
      </vt:variant>
      <vt:variant>
        <vt:i4>4456466</vt:i4>
      </vt:variant>
      <vt:variant>
        <vt:i4>126</vt:i4>
      </vt:variant>
      <vt:variant>
        <vt:i4>0</vt:i4>
      </vt:variant>
      <vt:variant>
        <vt:i4>5</vt:i4>
      </vt:variant>
      <vt:variant>
        <vt:lpwstr>https://legistar.council.nyc.gov/LegislationDetail.aspx?ID=7292941&amp;GUID=78A1A948-B419-4505-8373-4BA1CA2857BD&amp;Options=&amp;Search=</vt:lpwstr>
      </vt:variant>
      <vt:variant>
        <vt:lpwstr/>
      </vt:variant>
      <vt:variant>
        <vt:i4>3145840</vt:i4>
      </vt:variant>
      <vt:variant>
        <vt:i4>123</vt:i4>
      </vt:variant>
      <vt:variant>
        <vt:i4>0</vt:i4>
      </vt:variant>
      <vt:variant>
        <vt:i4>5</vt:i4>
      </vt:variant>
      <vt:variant>
        <vt:lpwstr>https://hdl.handle.net/1813/116768</vt:lpwstr>
      </vt:variant>
      <vt:variant>
        <vt:lpwstr/>
      </vt:variant>
      <vt:variant>
        <vt:i4>8257593</vt:i4>
      </vt:variant>
      <vt:variant>
        <vt:i4>120</vt:i4>
      </vt:variant>
      <vt:variant>
        <vt:i4>0</vt:i4>
      </vt:variant>
      <vt:variant>
        <vt:i4>5</vt:i4>
      </vt:variant>
      <vt:variant>
        <vt:lpwstr>https://www.motherjones.com/food/2022/10/in-new-york-street-vendors-fought-for-and-won-a-law-for-more-permits-theyre-still-waiting-on-them/</vt:lpwstr>
      </vt:variant>
      <vt:variant>
        <vt:lpwstr/>
      </vt:variant>
      <vt:variant>
        <vt:i4>4456466</vt:i4>
      </vt:variant>
      <vt:variant>
        <vt:i4>117</vt:i4>
      </vt:variant>
      <vt:variant>
        <vt:i4>0</vt:i4>
      </vt:variant>
      <vt:variant>
        <vt:i4>5</vt:i4>
      </vt:variant>
      <vt:variant>
        <vt:lpwstr>https://legistar.council.nyc.gov/LegislationDetail.aspx?ID=7292941&amp;GUID=78A1A948-B419-4505-8373-4BA1CA2857BD&amp;Options=&amp;Search=</vt:lpwstr>
      </vt:variant>
      <vt:variant>
        <vt:lpwstr/>
      </vt:variant>
      <vt:variant>
        <vt:i4>917511</vt:i4>
      </vt:variant>
      <vt:variant>
        <vt:i4>114</vt:i4>
      </vt:variant>
      <vt:variant>
        <vt:i4>0</vt:i4>
      </vt:variant>
      <vt:variant>
        <vt:i4>5</vt:i4>
      </vt:variant>
      <vt:variant>
        <vt:lpwstr>https://www.ibo.nyc.gov/content/publications/2024-january-fiscal-impact-of-eliminating-street-vendor-permit-caps</vt:lpwstr>
      </vt:variant>
      <vt:variant>
        <vt:lpwstr/>
      </vt:variant>
      <vt:variant>
        <vt:i4>5373963</vt:i4>
      </vt:variant>
      <vt:variant>
        <vt:i4>111</vt:i4>
      </vt:variant>
      <vt:variant>
        <vt:i4>0</vt:i4>
      </vt:variant>
      <vt:variant>
        <vt:i4>5</vt:i4>
      </vt:variant>
      <vt:variant>
        <vt:lpwstr>https://immresearch.org/publications/street-vendors-of-new-york/</vt:lpwstr>
      </vt:variant>
      <vt:variant>
        <vt:lpwstr/>
      </vt:variant>
      <vt:variant>
        <vt:i4>4456466</vt:i4>
      </vt:variant>
      <vt:variant>
        <vt:i4>108</vt:i4>
      </vt:variant>
      <vt:variant>
        <vt:i4>0</vt:i4>
      </vt:variant>
      <vt:variant>
        <vt:i4>5</vt:i4>
      </vt:variant>
      <vt:variant>
        <vt:lpwstr>https://legistar.council.nyc.gov/LegislationDetail.aspx?ID=7292941&amp;GUID=78A1A948-B419-4505-8373-4BA1CA2857BD&amp;Options=&amp;Search=</vt:lpwstr>
      </vt:variant>
      <vt:variant>
        <vt:lpwstr/>
      </vt:variant>
      <vt:variant>
        <vt:i4>4456466</vt:i4>
      </vt:variant>
      <vt:variant>
        <vt:i4>105</vt:i4>
      </vt:variant>
      <vt:variant>
        <vt:i4>0</vt:i4>
      </vt:variant>
      <vt:variant>
        <vt:i4>5</vt:i4>
      </vt:variant>
      <vt:variant>
        <vt:lpwstr>https://legistar.council.nyc.gov/LegislationDetail.aspx?ID=7292941&amp;GUID=78A1A948-B419-4505-8373-4BA1CA2857BD&amp;Options=&amp;Search=</vt:lpwstr>
      </vt:variant>
      <vt:variant>
        <vt:lpwstr/>
      </vt:variant>
      <vt:variant>
        <vt:i4>8192042</vt:i4>
      </vt:variant>
      <vt:variant>
        <vt:i4>102</vt:i4>
      </vt:variant>
      <vt:variant>
        <vt:i4>0</vt:i4>
      </vt:variant>
      <vt:variant>
        <vt:i4>5</vt:i4>
      </vt:variant>
      <vt:variant>
        <vt:lpwstr>https://www.nyc.gov/assets/dca/downloads/pdf/about/NYC-Office-of-Street-Vendor-Enforcement-Re-establish-Within-DSNY.pdf</vt:lpwstr>
      </vt:variant>
      <vt:variant>
        <vt:lpwstr/>
      </vt:variant>
      <vt:variant>
        <vt:i4>5177359</vt:i4>
      </vt:variant>
      <vt:variant>
        <vt:i4>99</vt:i4>
      </vt:variant>
      <vt:variant>
        <vt:i4>0</vt:i4>
      </vt:variant>
      <vt:variant>
        <vt:i4>5</vt:i4>
      </vt:variant>
      <vt:variant>
        <vt:lpwstr>https://legistar.council.nyc.gov/LegislationDetail.aspx?ID=6495041&amp;GUID=F1F80A80-6AF7-4F5C-9616-64DB0AEDF372&amp;Options</vt:lpwstr>
      </vt:variant>
      <vt:variant>
        <vt:lpwstr/>
      </vt:variant>
      <vt:variant>
        <vt:i4>8257600</vt:i4>
      </vt:variant>
      <vt:variant>
        <vt:i4>96</vt:i4>
      </vt:variant>
      <vt:variant>
        <vt:i4>0</vt:i4>
      </vt:variant>
      <vt:variant>
        <vt:i4>5</vt:i4>
      </vt:variant>
      <vt:variant>
        <vt:lpwstr>https://www.crainsnewyork.com/article/20160612/HOSPITALITY_TOURISM/160619986/hot-dog-vendors-and-coffee-carts-turn-to-a-black-market-operating-in-the-open-to-buy-permits-and-licen</vt:lpwstr>
      </vt:variant>
      <vt:variant>
        <vt:lpwstr/>
      </vt:variant>
      <vt:variant>
        <vt:i4>4063295</vt:i4>
      </vt:variant>
      <vt:variant>
        <vt:i4>93</vt:i4>
      </vt:variant>
      <vt:variant>
        <vt:i4>0</vt:i4>
      </vt:variant>
      <vt:variant>
        <vt:i4>5</vt:i4>
      </vt:variant>
      <vt:variant>
        <vt:lpwstr>https://www1.nyc.gov/assets/doh/downloads/pdf/rii/mfv-what-vendors-need-to-know.pdf</vt:lpwstr>
      </vt:variant>
      <vt:variant>
        <vt:lpwstr/>
      </vt:variant>
      <vt:variant>
        <vt:i4>3145783</vt:i4>
      </vt:variant>
      <vt:variant>
        <vt:i4>90</vt:i4>
      </vt:variant>
      <vt:variant>
        <vt:i4>0</vt:i4>
      </vt:variant>
      <vt:variant>
        <vt:i4>5</vt:i4>
      </vt:variant>
      <vt:variant>
        <vt:lpwstr>http://www.nyc.gov/assets/doh/downloads/pdf/rii/rules-regs-mfv.pdf</vt:lpwstr>
      </vt:variant>
      <vt:variant>
        <vt:lpwstr/>
      </vt:variant>
      <vt:variant>
        <vt:i4>5111833</vt:i4>
      </vt:variant>
      <vt:variant>
        <vt:i4>87</vt:i4>
      </vt:variant>
      <vt:variant>
        <vt:i4>0</vt:i4>
      </vt:variant>
      <vt:variant>
        <vt:i4>5</vt:i4>
      </vt:variant>
      <vt:variant>
        <vt:lpwstr>https://www1.nyc.gov/assets/doh/downloads/pdf/permit/mfv_restricted_streets.pdf</vt:lpwstr>
      </vt:variant>
      <vt:variant>
        <vt:lpwstr/>
      </vt:variant>
      <vt:variant>
        <vt:i4>6815853</vt:i4>
      </vt:variant>
      <vt:variant>
        <vt:i4>84</vt:i4>
      </vt:variant>
      <vt:variant>
        <vt:i4>0</vt:i4>
      </vt:variant>
      <vt:variant>
        <vt:i4>5</vt:i4>
      </vt:variant>
      <vt:variant>
        <vt:lpwstr>https://www.nyc.gov/assets/dca/downloads/pdf/partners/SVAB-Report-2022.pdf</vt:lpwstr>
      </vt:variant>
      <vt:variant>
        <vt:lpwstr>:~:text=Overview%20of%20Street%20Vending%20Regulations,-Street%20vending%20in&amp;text=The%20Administrative%20Code%20and%20the,services%20in%20a%20public%20place</vt:lpwstr>
      </vt:variant>
      <vt:variant>
        <vt:i4>5767276</vt:i4>
      </vt:variant>
      <vt:variant>
        <vt:i4>81</vt:i4>
      </vt:variant>
      <vt:variant>
        <vt:i4>0</vt:i4>
      </vt:variant>
      <vt:variant>
        <vt:i4>5</vt:i4>
      </vt:variant>
      <vt:variant>
        <vt:lpwstr>http://digitalassets.lib.berkeley.edu/etd/ucb/text/Devlin_berkeley_0028E_10609.pdf</vt:lpwstr>
      </vt:variant>
      <vt:variant>
        <vt:lpwstr/>
      </vt:variant>
      <vt:variant>
        <vt:i4>6357041</vt:i4>
      </vt:variant>
      <vt:variant>
        <vt:i4>78</vt:i4>
      </vt:variant>
      <vt:variant>
        <vt:i4>0</vt:i4>
      </vt:variant>
      <vt:variant>
        <vt:i4>5</vt:i4>
      </vt:variant>
      <vt:variant>
        <vt:lpwstr>https://www1.nyc.gov/nycbusiness/description/mobile-food-vending-license/apply</vt:lpwstr>
      </vt:variant>
      <vt:variant>
        <vt:lpwstr/>
      </vt:variant>
      <vt:variant>
        <vt:i4>7667822</vt:i4>
      </vt:variant>
      <vt:variant>
        <vt:i4>75</vt:i4>
      </vt:variant>
      <vt:variant>
        <vt:i4>0</vt:i4>
      </vt:variant>
      <vt:variant>
        <vt:i4>5</vt:i4>
      </vt:variant>
      <vt:variant>
        <vt:lpwstr>https://www1.nyc.gov/nycbusiness/description/food-protection-course-for-mobile-vendors</vt:lpwstr>
      </vt:variant>
      <vt:variant>
        <vt:lpwstr/>
      </vt:variant>
      <vt:variant>
        <vt:i4>589826</vt:i4>
      </vt:variant>
      <vt:variant>
        <vt:i4>72</vt:i4>
      </vt:variant>
      <vt:variant>
        <vt:i4>0</vt:i4>
      </vt:variant>
      <vt:variant>
        <vt:i4>5</vt:i4>
      </vt:variant>
      <vt:variant>
        <vt:lpwstr>https://www1.nyc.gov/nycbusiness/description/mobile-food-vending-license</vt:lpwstr>
      </vt:variant>
      <vt:variant>
        <vt:lpwstr/>
      </vt:variant>
      <vt:variant>
        <vt:i4>3342423</vt:i4>
      </vt:variant>
      <vt:variant>
        <vt:i4>69</vt:i4>
      </vt:variant>
      <vt:variant>
        <vt:i4>0</vt:i4>
      </vt:variant>
      <vt:variant>
        <vt:i4>5</vt:i4>
      </vt:variant>
      <vt:variant>
        <vt:lpwstr>https://www1.nyc.gov/assets/doh/downloads/pdf/permit/mfv_application_forms_package.pdf</vt:lpwstr>
      </vt:variant>
      <vt:variant>
        <vt:lpwstr/>
      </vt:variant>
      <vt:variant>
        <vt:i4>2818160</vt:i4>
      </vt:variant>
      <vt:variant>
        <vt:i4>66</vt:i4>
      </vt:variant>
      <vt:variant>
        <vt:i4>0</vt:i4>
      </vt:variant>
      <vt:variant>
        <vt:i4>5</vt:i4>
      </vt:variant>
      <vt:variant>
        <vt:lpwstr>https://dsny.cityofnewyork.us/wp-content/uploads/2023/05/mobile-food-vendor-educational-highlights-tips.pdf</vt:lpwstr>
      </vt:variant>
      <vt:variant>
        <vt:lpwstr/>
      </vt:variant>
      <vt:variant>
        <vt:i4>5570645</vt:i4>
      </vt:variant>
      <vt:variant>
        <vt:i4>63</vt:i4>
      </vt:variant>
      <vt:variant>
        <vt:i4>0</vt:i4>
      </vt:variant>
      <vt:variant>
        <vt:i4>5</vt:i4>
      </vt:variant>
      <vt:variant>
        <vt:lpwstr>https://nyc-business.nyc.gov/nycbusiness/description/restricted-area-permit/apply</vt:lpwstr>
      </vt:variant>
      <vt:variant>
        <vt:lpwstr/>
      </vt:variant>
      <vt:variant>
        <vt:i4>5308505</vt:i4>
      </vt:variant>
      <vt:variant>
        <vt:i4>60</vt:i4>
      </vt:variant>
      <vt:variant>
        <vt:i4>0</vt:i4>
      </vt:variant>
      <vt:variant>
        <vt:i4>5</vt:i4>
      </vt:variant>
      <vt:variant>
        <vt:lpwstr>https://www.nyc.gov/assets/doh/downloads/pdf/cdp/green_carts_faq.pdf</vt:lpwstr>
      </vt:variant>
      <vt:variant>
        <vt:lpwstr/>
      </vt:variant>
      <vt:variant>
        <vt:i4>4521984</vt:i4>
      </vt:variant>
      <vt:variant>
        <vt:i4>57</vt:i4>
      </vt:variant>
      <vt:variant>
        <vt:i4>0</vt:i4>
      </vt:variant>
      <vt:variant>
        <vt:i4>5</vt:i4>
      </vt:variant>
      <vt:variant>
        <vt:lpwstr>https://www1.nyc.gov/assets/doh/downloads/pdf/cdp/green_carts_summary.pdf</vt:lpwstr>
      </vt:variant>
      <vt:variant>
        <vt:lpwstr/>
      </vt:variant>
      <vt:variant>
        <vt:i4>1638481</vt:i4>
      </vt:variant>
      <vt:variant>
        <vt:i4>54</vt:i4>
      </vt:variant>
      <vt:variant>
        <vt:i4>0</vt:i4>
      </vt:variant>
      <vt:variant>
        <vt:i4>5</vt:i4>
      </vt:variant>
      <vt:variant>
        <vt:lpwstr>https://www.nyc.gov/site/doh/business/food-operators/green-carts.page</vt:lpwstr>
      </vt:variant>
      <vt:variant>
        <vt:lpwstr/>
      </vt:variant>
      <vt:variant>
        <vt:i4>3932273</vt:i4>
      </vt:variant>
      <vt:variant>
        <vt:i4>51</vt:i4>
      </vt:variant>
      <vt:variant>
        <vt:i4>0</vt:i4>
      </vt:variant>
      <vt:variant>
        <vt:i4>5</vt:i4>
      </vt:variant>
      <vt:variant>
        <vt:lpwstr>https://www1.nyc.gov/assets/doh/downloads/pdf/cdp/green_carts_areas.pdf</vt:lpwstr>
      </vt:variant>
      <vt:variant>
        <vt:lpwstr/>
      </vt:variant>
      <vt:variant>
        <vt:i4>2556007</vt:i4>
      </vt:variant>
      <vt:variant>
        <vt:i4>48</vt:i4>
      </vt:variant>
      <vt:variant>
        <vt:i4>0</vt:i4>
      </vt:variant>
      <vt:variant>
        <vt:i4>5</vt:i4>
      </vt:variant>
      <vt:variant>
        <vt:lpwstr>https://www.nyc.gov/assets/doh/downloads/pdf/sbs/mfv-new-permit-application.pdf</vt:lpwstr>
      </vt:variant>
      <vt:variant>
        <vt:lpwstr/>
      </vt:variant>
      <vt:variant>
        <vt:i4>2949153</vt:i4>
      </vt:variant>
      <vt:variant>
        <vt:i4>45</vt:i4>
      </vt:variant>
      <vt:variant>
        <vt:i4>0</vt:i4>
      </vt:variant>
      <vt:variant>
        <vt:i4>5</vt:i4>
      </vt:variant>
      <vt:variant>
        <vt:lpwstr>https://www.nyc.gov/site/doh/business/food-operators/mobile-and-temporary-food-vendors.page</vt:lpwstr>
      </vt:variant>
      <vt:variant>
        <vt:lpwstr/>
      </vt:variant>
      <vt:variant>
        <vt:i4>852036</vt:i4>
      </vt:variant>
      <vt:variant>
        <vt:i4>42</vt:i4>
      </vt:variant>
      <vt:variant>
        <vt:i4>0</vt:i4>
      </vt:variant>
      <vt:variant>
        <vt:i4>5</vt:i4>
      </vt:variant>
      <vt:variant>
        <vt:lpwstr>https://www1.nyc.gov/assets/doh/downloads/pdf/rii/regulations-for-mobile-food-vendors.pdf</vt:lpwstr>
      </vt:variant>
      <vt:variant>
        <vt:lpwstr/>
      </vt:variant>
      <vt:variant>
        <vt:i4>589852</vt:i4>
      </vt:variant>
      <vt:variant>
        <vt:i4>39</vt:i4>
      </vt:variant>
      <vt:variant>
        <vt:i4>0</vt:i4>
      </vt:variant>
      <vt:variant>
        <vt:i4>5</vt:i4>
      </vt:variant>
      <vt:variant>
        <vt:lpwstr>https://www.nyc.gov/assets/doh/downloads/pdf/rii/supervisory-license-presentation.pdf</vt:lpwstr>
      </vt:variant>
      <vt:variant>
        <vt:lpwstr/>
      </vt:variant>
      <vt:variant>
        <vt:i4>3342456</vt:i4>
      </vt:variant>
      <vt:variant>
        <vt:i4>36</vt:i4>
      </vt:variant>
      <vt:variant>
        <vt:i4>0</vt:i4>
      </vt:variant>
      <vt:variant>
        <vt:i4>5</vt:i4>
      </vt:variant>
      <vt:variant>
        <vt:lpwstr>https://prismreports.org/2023/03/27/nyc-vendors-fight-officials-fulfill-promises/</vt:lpwstr>
      </vt:variant>
      <vt:variant>
        <vt:lpwstr>:~:text=The%20department%20told%20Prism%20they,the%20end%20of%20the%20month</vt:lpwstr>
      </vt:variant>
      <vt:variant>
        <vt:i4>7209071</vt:i4>
      </vt:variant>
      <vt:variant>
        <vt:i4>33</vt:i4>
      </vt:variant>
      <vt:variant>
        <vt:i4>0</vt:i4>
      </vt:variant>
      <vt:variant>
        <vt:i4>5</vt:i4>
      </vt:variant>
      <vt:variant>
        <vt:lpwstr>https://www.nyc.gov/assets/doh/downloads/pdf/rii/supervisory-licenses-what-vendors-need-to-know.pdf</vt:lpwstr>
      </vt:variant>
      <vt:variant>
        <vt:lpwstr/>
      </vt:variant>
      <vt:variant>
        <vt:i4>7798887</vt:i4>
      </vt:variant>
      <vt:variant>
        <vt:i4>30</vt:i4>
      </vt:variant>
      <vt:variant>
        <vt:i4>0</vt:i4>
      </vt:variant>
      <vt:variant>
        <vt:i4>5</vt:i4>
      </vt:variant>
      <vt:variant>
        <vt:lpwstr>https://legistar.council.nyc.gov/LegislationDetail.aspx?ID=3686667&amp;GUID=A0683818-66E6-4651-8B31-3D65EE4D61B1&amp;Options=ID|Text|&amp;Search=18</vt:lpwstr>
      </vt:variant>
      <vt:variant>
        <vt:lpwstr/>
      </vt:variant>
      <vt:variant>
        <vt:i4>8257600</vt:i4>
      </vt:variant>
      <vt:variant>
        <vt:i4>27</vt:i4>
      </vt:variant>
      <vt:variant>
        <vt:i4>0</vt:i4>
      </vt:variant>
      <vt:variant>
        <vt:i4>5</vt:i4>
      </vt:variant>
      <vt:variant>
        <vt:lpwstr>https://www.crainsnewyork.com/article/20160612/HOSPITALITY_TOURISM/160619986/hot-dog-vendors-and-coffee-carts-turn-to-a-black-market-operating-in-the-open-to-buy-permits-and-licen</vt:lpwstr>
      </vt:variant>
      <vt:variant>
        <vt:lpwstr/>
      </vt:variant>
      <vt:variant>
        <vt:i4>8192047</vt:i4>
      </vt:variant>
      <vt:variant>
        <vt:i4>24</vt:i4>
      </vt:variant>
      <vt:variant>
        <vt:i4>0</vt:i4>
      </vt:variant>
      <vt:variant>
        <vt:i4>5</vt:i4>
      </vt:variant>
      <vt:variant>
        <vt:lpwstr>https://www.nytimes.com/2017/04/18/dining/halal-cart-food-vendor-new-york-city.html</vt:lpwstr>
      </vt:variant>
      <vt:variant>
        <vt:lpwstr/>
      </vt:variant>
      <vt:variant>
        <vt:i4>2424937</vt:i4>
      </vt:variant>
      <vt:variant>
        <vt:i4>21</vt:i4>
      </vt:variant>
      <vt:variant>
        <vt:i4>0</vt:i4>
      </vt:variant>
      <vt:variant>
        <vt:i4>5</vt:i4>
      </vt:variant>
      <vt:variant>
        <vt:lpwstr>https://www.nytimes.com/2013/05/12/magazine/the-food-truck-business-stinks.html</vt:lpwstr>
      </vt:variant>
      <vt:variant>
        <vt:lpwstr/>
      </vt:variant>
      <vt:variant>
        <vt:i4>4063287</vt:i4>
      </vt:variant>
      <vt:variant>
        <vt:i4>18</vt:i4>
      </vt:variant>
      <vt:variant>
        <vt:i4>0</vt:i4>
      </vt:variant>
      <vt:variant>
        <vt:i4>5</vt:i4>
      </vt:variant>
      <vt:variant>
        <vt:lpwstr>https://www.nytimes.com/2021/01/29/nyregion/street-vendors-permits-nyc.html</vt:lpwstr>
      </vt:variant>
      <vt:variant>
        <vt:lpwstr/>
      </vt:variant>
      <vt:variant>
        <vt:i4>786444</vt:i4>
      </vt:variant>
      <vt:variant>
        <vt:i4>15</vt:i4>
      </vt:variant>
      <vt:variant>
        <vt:i4>0</vt:i4>
      </vt:variant>
      <vt:variant>
        <vt:i4>5</vt:i4>
      </vt:variant>
      <vt:variant>
        <vt:lpwstr>http://www.nyc.gov/html/sbs/nycbiz/downloads/pdf/educational/sector_guides/street_vending.pdf</vt:lpwstr>
      </vt:variant>
      <vt:variant>
        <vt:lpwstr/>
      </vt:variant>
      <vt:variant>
        <vt:i4>8061037</vt:i4>
      </vt:variant>
      <vt:variant>
        <vt:i4>12</vt:i4>
      </vt:variant>
      <vt:variant>
        <vt:i4>0</vt:i4>
      </vt:variant>
      <vt:variant>
        <vt:i4>5</vt:i4>
      </vt:variant>
      <vt:variant>
        <vt:lpwstr>https://web.archive.org/web/20240423075904/https://www.nyc.gov/site/dca/media/pr102516.page</vt:lpwstr>
      </vt:variant>
      <vt:variant>
        <vt:lpwstr/>
      </vt:variant>
      <vt:variant>
        <vt:i4>6815853</vt:i4>
      </vt:variant>
      <vt:variant>
        <vt:i4>9</vt:i4>
      </vt:variant>
      <vt:variant>
        <vt:i4>0</vt:i4>
      </vt:variant>
      <vt:variant>
        <vt:i4>5</vt:i4>
      </vt:variant>
      <vt:variant>
        <vt:lpwstr>https://www.nyc.gov/assets/dca/downloads/pdf/partners/SVAB-Report-2022.pdf</vt:lpwstr>
      </vt:variant>
      <vt:variant>
        <vt:lpwstr>:~:text=Overview%20of%20Street%20Vending%20Regulations,-Street%20vending%20in&amp;text=The%20Administrative%20Code%20and%20the,services%20in%20a%20public%20place</vt:lpwstr>
      </vt:variant>
      <vt:variant>
        <vt:i4>3014740</vt:i4>
      </vt:variant>
      <vt:variant>
        <vt:i4>6</vt:i4>
      </vt:variant>
      <vt:variant>
        <vt:i4>0</vt:i4>
      </vt:variant>
      <vt:variant>
        <vt:i4>5</vt:i4>
      </vt:variant>
      <vt:variant>
        <vt:lpwstr>http://www.archive.org/stream/reportofmayorspu00newyrich/reportofmayorspu00newyrich_djvu.txt</vt:lpwstr>
      </vt:variant>
      <vt:variant>
        <vt:lpwstr/>
      </vt:variant>
      <vt:variant>
        <vt:i4>4390914</vt:i4>
      </vt:variant>
      <vt:variant>
        <vt:i4>3</vt:i4>
      </vt:variant>
      <vt:variant>
        <vt:i4>0</vt:i4>
      </vt:variant>
      <vt:variant>
        <vt:i4>5</vt:i4>
      </vt:variant>
      <vt:variant>
        <vt:lpwstr>https://www.6sqft.com/from-oysters-to-falafel-the-complete-history-of-street-vending-in-nyc/</vt:lpwstr>
      </vt:variant>
      <vt:variant>
        <vt:lpwstr/>
      </vt:variant>
      <vt:variant>
        <vt:i4>917551</vt:i4>
      </vt:variant>
      <vt:variant>
        <vt:i4>0</vt:i4>
      </vt:variant>
      <vt:variant>
        <vt:i4>0</vt:i4>
      </vt:variant>
      <vt:variant>
        <vt:i4>5</vt:i4>
      </vt:variant>
      <vt:variant>
        <vt:lpwstr>http://www.spacesofmigration.org/migration/wordpress/wp-content/uploads/2017/05/StreetVendorReport_Final.pdf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Distefano, Matthew</cp:lastModifiedBy>
  <cp:revision>4</cp:revision>
  <dcterms:created xsi:type="dcterms:W3CDTF">2025-12-18T15:03:00Z</dcterms:created>
  <dcterms:modified xsi:type="dcterms:W3CDTF">2026-01-13T17:32:00Z</dcterms:modified>
</cp:coreProperties>
</file>