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F641B" w14:textId="77777777" w:rsidR="00160CD3" w:rsidRPr="0072008E" w:rsidRDefault="00160CD3" w:rsidP="00160CD3">
      <w:pPr>
        <w:jc w:val="center"/>
      </w:pPr>
      <w:bookmarkStart w:id="0" w:name="_GoBack"/>
      <w:bookmarkEnd w:id="0"/>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32124F1C" w:rsidR="00356568" w:rsidRPr="001F60F4" w:rsidRDefault="002D7848"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December</w:t>
      </w:r>
      <w:r w:rsidR="00243912">
        <w:rPr>
          <w:rFonts w:ascii="Times New Roman" w:eastAsia="Times New Roman" w:hAnsi="Times New Roman" w:cs="Times New Roman"/>
          <w:sz w:val="24"/>
          <w:szCs w:val="24"/>
        </w:rPr>
        <w:t xml:space="preserve"> </w:t>
      </w:r>
      <w:r w:rsidR="00A43A41">
        <w:rPr>
          <w:rFonts w:ascii="Times New Roman" w:eastAsia="Times New Roman" w:hAnsi="Times New Roman" w:cs="Times New Roman"/>
          <w:sz w:val="24"/>
          <w:szCs w:val="24"/>
        </w:rPr>
        <w:t>18</w:t>
      </w:r>
      <w:r w:rsidR="00FE12CA">
        <w:rPr>
          <w:rFonts w:ascii="Times New Roman" w:eastAsia="Times New Roman" w:hAnsi="Times New Roman" w:cs="Times New Roman"/>
          <w:sz w:val="24"/>
          <w:szCs w:val="24"/>
        </w:rPr>
        <w:t>, 2025</w:t>
      </w:r>
    </w:p>
    <w:p w14:paraId="1B887FD9" w14:textId="4C0B15A5"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 xml:space="preserve">Hon. </w:t>
      </w:r>
      <w:r w:rsidR="008006C1" w:rsidRPr="001F60F4">
        <w:rPr>
          <w:rFonts w:ascii="Times New Roman" w:eastAsia="Times New Roman" w:hAnsi="Times New Roman" w:cs="Times New Roman"/>
          <w:sz w:val="24"/>
          <w:szCs w:val="24"/>
        </w:rPr>
        <w:t xml:space="preserve">Justin Brannan </w:t>
      </w:r>
      <w:r w:rsidRPr="001F60F4">
        <w:rPr>
          <w:rFonts w:ascii="Times New Roman" w:eastAsia="Times New Roman" w:hAnsi="Times New Roman" w:cs="Times New Roman"/>
          <w:sz w:val="24"/>
          <w:szCs w:val="24"/>
        </w:rPr>
        <w:t>Chair,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4A8C5BC2"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6447C4">
        <w:rPr>
          <w:rFonts w:ascii="Times New Roman" w:eastAsia="Times New Roman" w:hAnsi="Times New Roman" w:cs="Times New Roman"/>
          <w:sz w:val="24"/>
          <w:szCs w:val="24"/>
        </w:rPr>
        <w:t>BK Cluster II</w:t>
      </w:r>
      <w:r w:rsidR="00817ECE" w:rsidRPr="001F60F4">
        <w:rPr>
          <w:rFonts w:ascii="Times New Roman" w:eastAsia="Times New Roman" w:hAnsi="Times New Roman" w:cs="Times New Roman"/>
          <w:sz w:val="24"/>
          <w:szCs w:val="24"/>
        </w:rPr>
        <w:t xml:space="preserve"> (Council District</w:t>
      </w:r>
      <w:r w:rsidR="003F3943">
        <w:rPr>
          <w:rFonts w:ascii="Times New Roman" w:eastAsia="Times New Roman" w:hAnsi="Times New Roman" w:cs="Times New Roman"/>
          <w:sz w:val="24"/>
          <w:szCs w:val="24"/>
        </w:rPr>
        <w:t xml:space="preserve"> </w:t>
      </w:r>
      <w:r w:rsidR="006447C4">
        <w:rPr>
          <w:rFonts w:ascii="Times New Roman" w:eastAsia="Times New Roman" w:hAnsi="Times New Roman" w:cs="Times New Roman"/>
          <w:sz w:val="24"/>
          <w:szCs w:val="24"/>
        </w:rPr>
        <w:t>17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39E6238F" w:rsidR="00A468AA" w:rsidRPr="001F60F4" w:rsidRDefault="006447C4" w:rsidP="00A375CC">
      <w:pPr>
        <w:rPr>
          <w:rFonts w:ascii="Times New Roman" w:hAnsi="Times New Roman" w:cs="Times New Roman"/>
          <w:b/>
          <w:sz w:val="24"/>
          <w:szCs w:val="24"/>
          <w:u w:val="single"/>
        </w:rPr>
      </w:pPr>
      <w:r>
        <w:rPr>
          <w:rFonts w:ascii="Times New Roman" w:hAnsi="Times New Roman" w:cs="Times New Roman"/>
          <w:b/>
          <w:sz w:val="24"/>
          <w:szCs w:val="24"/>
          <w:u w:val="single"/>
        </w:rPr>
        <w:t xml:space="preserve">BK Cluster II </w:t>
      </w:r>
    </w:p>
    <w:p w14:paraId="74947E47" w14:textId="77777777" w:rsidR="006447C4" w:rsidRPr="006447C4" w:rsidRDefault="006447C4" w:rsidP="006447C4">
      <w:pPr>
        <w:pStyle w:val="MediumGrid1-Accent21"/>
        <w:ind w:left="0"/>
        <w:rPr>
          <w:iCs/>
        </w:rPr>
      </w:pPr>
      <w:r w:rsidRPr="006447C4">
        <w:rPr>
          <w:iCs/>
        </w:rPr>
        <w:t xml:space="preserve">BK Cluster Phase II (the “Project”) consists of two buildings comprised of 75 units. The buildings total 70,140 square feet and are located in the Hunts Point/Longwood neighborhoods of the Bronx. </w:t>
      </w:r>
    </w:p>
    <w:p w14:paraId="7FBD5C94" w14:textId="77777777" w:rsidR="006447C4" w:rsidRPr="006447C4" w:rsidRDefault="006447C4" w:rsidP="006447C4">
      <w:pPr>
        <w:pStyle w:val="MediumGrid1-Accent21"/>
        <w:ind w:left="0"/>
        <w:rPr>
          <w:iCs/>
        </w:rPr>
      </w:pPr>
    </w:p>
    <w:p w14:paraId="1E95A476" w14:textId="77777777" w:rsidR="006447C4" w:rsidRPr="006447C4" w:rsidRDefault="006447C4" w:rsidP="006447C4">
      <w:pPr>
        <w:pStyle w:val="MediumGrid1-Accent21"/>
        <w:ind w:left="0"/>
        <w:rPr>
          <w:iCs/>
        </w:rPr>
      </w:pPr>
      <w:r w:rsidRPr="006447C4">
        <w:rPr>
          <w:iCs/>
        </w:rPr>
        <w:t xml:space="preserve">The Project comprises of 45 one-bedroom units (two of which are reserved for superintendents), 24 two-bedroom units, and six three-bedroom units. All 73 rent-generating units are reserved for low-income individuals and families making below 60% AMI. Of these 73 units, 38 are set aside for homeless individuals. Light-touch social services will be offered to residents by Banana Kelly CIA, including case management and group programming funded through Human Resources Administration (HRA) social services. </w:t>
      </w:r>
    </w:p>
    <w:p w14:paraId="6DD2FEBC" w14:textId="77777777" w:rsidR="006447C4" w:rsidRPr="006447C4" w:rsidRDefault="006447C4" w:rsidP="006447C4">
      <w:pPr>
        <w:pStyle w:val="MediumGrid1-Accent21"/>
        <w:rPr>
          <w:iCs/>
        </w:rPr>
      </w:pPr>
    </w:p>
    <w:p w14:paraId="52835128" w14:textId="77777777" w:rsidR="006447C4" w:rsidRPr="006447C4" w:rsidRDefault="006447C4" w:rsidP="006447C4">
      <w:pPr>
        <w:pStyle w:val="MediumGrid1-Accent21"/>
        <w:ind w:left="0"/>
        <w:rPr>
          <w:iCs/>
        </w:rPr>
      </w:pPr>
      <w:r w:rsidRPr="006447C4">
        <w:rPr>
          <w:iCs/>
        </w:rPr>
        <w:t xml:space="preserve">The Project entered into a 60-year regulatory agreement on June 29, 2023, and as loan increase transaction will enter into an amendment to the regulatory agreement. There are no commercial units or community facility units in the Project. </w:t>
      </w:r>
    </w:p>
    <w:p w14:paraId="12CD43E0" w14:textId="77777777" w:rsidR="006447C4" w:rsidRPr="006447C4" w:rsidRDefault="006447C4" w:rsidP="006447C4">
      <w:pPr>
        <w:pStyle w:val="MediumGrid1-Accent21"/>
        <w:rPr>
          <w:iCs/>
        </w:rPr>
      </w:pPr>
    </w:p>
    <w:p w14:paraId="67B1A1C5" w14:textId="77777777" w:rsidR="006447C4" w:rsidRPr="006447C4" w:rsidRDefault="006447C4" w:rsidP="006447C4">
      <w:pPr>
        <w:pStyle w:val="MediumGrid1-Accent21"/>
        <w:ind w:left="0"/>
        <w:rPr>
          <w:b/>
          <w:bCs/>
          <w:i/>
          <w:iCs/>
        </w:rPr>
      </w:pPr>
      <w:r w:rsidRPr="006447C4">
        <w:rPr>
          <w:b/>
          <w:bCs/>
          <w:i/>
          <w:iCs/>
        </w:rPr>
        <w:t xml:space="preserve">Ownership History </w:t>
      </w:r>
    </w:p>
    <w:p w14:paraId="2497E1A7" w14:textId="77777777" w:rsidR="006447C4" w:rsidRPr="006447C4" w:rsidRDefault="006447C4" w:rsidP="006447C4">
      <w:pPr>
        <w:pStyle w:val="MediumGrid1-Accent21"/>
        <w:ind w:left="0"/>
        <w:rPr>
          <w:iCs/>
        </w:rPr>
      </w:pPr>
      <w:bookmarkStart w:id="1" w:name="_Hlk180596096"/>
      <w:r w:rsidRPr="006447C4">
        <w:rPr>
          <w:iCs/>
        </w:rPr>
        <w:t xml:space="preserve">This Project is part of the preservation and rehabilitation phase of the City’s ongoing effort to phase out Department of Homeless Services (DHS) cluster sites. This phase involves the rehabilitation of two of four properties acquired on April 4, 2019, by Banana Kelly Community Improvement Association, Inc. (Banana Kelly) and the Joint Ownership Entity NYC Corp. (JOE NYC) as part of the Cluster Conversion Initiative, Phase 1 Acquisition. </w:t>
      </w:r>
    </w:p>
    <w:p w14:paraId="71B88A66" w14:textId="77777777" w:rsidR="006447C4" w:rsidRPr="006447C4" w:rsidRDefault="006447C4" w:rsidP="006447C4">
      <w:pPr>
        <w:pStyle w:val="MediumGrid1-Accent21"/>
        <w:ind w:left="0"/>
        <w:rPr>
          <w:iCs/>
        </w:rPr>
      </w:pPr>
    </w:p>
    <w:p w14:paraId="4FA256E0" w14:textId="77777777" w:rsidR="006447C4" w:rsidRPr="006447C4" w:rsidRDefault="006447C4" w:rsidP="006447C4">
      <w:pPr>
        <w:pStyle w:val="MediumGrid1-Accent21"/>
        <w:ind w:left="0"/>
        <w:rPr>
          <w:iCs/>
        </w:rPr>
      </w:pPr>
      <w:r w:rsidRPr="006447C4">
        <w:rPr>
          <w:iCs/>
        </w:rPr>
        <w:t xml:space="preserve">In this transaction, the City financed the purchase of 17 “cluster sites” managed by DHS, of which JOE NYC acquired eight buildings in partnership with three member organizations: Fifth </w:t>
      </w:r>
      <w:r w:rsidRPr="006447C4">
        <w:rPr>
          <w:iCs/>
        </w:rPr>
        <w:lastRenderedPageBreak/>
        <w:t xml:space="preserve">Avenue Committee, Inc., Mutual Housing Association of New York, Inc. (MHANY), and Banana Kelly. </w:t>
      </w:r>
    </w:p>
    <w:p w14:paraId="21EBB7E7" w14:textId="77777777" w:rsidR="006447C4" w:rsidRPr="006447C4" w:rsidRDefault="006447C4" w:rsidP="006447C4">
      <w:pPr>
        <w:pStyle w:val="MediumGrid1-Accent21"/>
        <w:ind w:left="0"/>
        <w:rPr>
          <w:iCs/>
        </w:rPr>
      </w:pPr>
    </w:p>
    <w:p w14:paraId="6AFADB4D" w14:textId="77777777" w:rsidR="006447C4" w:rsidRPr="006447C4" w:rsidRDefault="006447C4" w:rsidP="006447C4">
      <w:pPr>
        <w:pStyle w:val="MediumGrid1-Accent21"/>
        <w:ind w:left="0"/>
        <w:rPr>
          <w:iCs/>
        </w:rPr>
      </w:pPr>
      <w:r w:rsidRPr="006447C4">
        <w:rPr>
          <w:iCs/>
        </w:rPr>
        <w:t xml:space="preserve">The acquisition facilitated the conversion of these properties from shelter use to affordable housing. Since acquisition, BK Cluster HDFC has held title to the properties while JOE NYC Cluster LLC is the beneficial owner. At the rehab construction closing in 2023, BK Cluster HDFC transferred title to BK Cluster Rehab HDFC as the title holder, while the beneficial owner was transferred to another special-purpose entity, JOE BK 2 Cluster LLC, wholly owned by JOE NYC. </w:t>
      </w:r>
    </w:p>
    <w:p w14:paraId="34BC16A1" w14:textId="77777777" w:rsidR="006447C4" w:rsidRPr="006447C4" w:rsidRDefault="006447C4" w:rsidP="006447C4">
      <w:pPr>
        <w:pStyle w:val="MediumGrid1-Accent21"/>
        <w:ind w:left="0"/>
        <w:rPr>
          <w:iCs/>
        </w:rPr>
      </w:pPr>
    </w:p>
    <w:p w14:paraId="7215AD17" w14:textId="1BD2D7C4" w:rsidR="006447C4" w:rsidRPr="006447C4" w:rsidRDefault="006447C4" w:rsidP="006447C4">
      <w:pPr>
        <w:pStyle w:val="MediumGrid1-Accent21"/>
        <w:ind w:left="0"/>
        <w:rPr>
          <w:iCs/>
        </w:rPr>
      </w:pPr>
      <w:r w:rsidRPr="006447C4">
        <w:rPr>
          <w:iCs/>
        </w:rPr>
        <w:t xml:space="preserve">Banana Kelly manages development activities and on-site social services, and Wavecrest Management, Ltd. (“Wavecrest”) provided property management until September 1, 2025. Banana Kelly is establishing an interim and long-term property management plan to ensure operational continuity following Wavecrest’s transition. </w:t>
      </w:r>
    </w:p>
    <w:p w14:paraId="449E4437" w14:textId="77777777" w:rsidR="006447C4" w:rsidRPr="006447C4" w:rsidRDefault="006447C4" w:rsidP="006447C4">
      <w:pPr>
        <w:pStyle w:val="MediumGrid1-Accent21"/>
        <w:rPr>
          <w:iCs/>
        </w:rPr>
      </w:pPr>
    </w:p>
    <w:p w14:paraId="06ABCB60" w14:textId="77777777" w:rsidR="006447C4" w:rsidRPr="006447C4" w:rsidRDefault="006447C4" w:rsidP="006447C4">
      <w:pPr>
        <w:pStyle w:val="MediumGrid1-Accent21"/>
        <w:ind w:left="0"/>
        <w:rPr>
          <w:b/>
          <w:bCs/>
          <w:i/>
          <w:iCs/>
        </w:rPr>
      </w:pPr>
      <w:r w:rsidRPr="006447C4">
        <w:rPr>
          <w:b/>
          <w:bCs/>
          <w:i/>
          <w:iCs/>
        </w:rPr>
        <w:t>Financing and Timeline</w:t>
      </w:r>
    </w:p>
    <w:p w14:paraId="07A5C9BE" w14:textId="77777777" w:rsidR="006447C4" w:rsidRPr="006447C4" w:rsidRDefault="006447C4" w:rsidP="006447C4">
      <w:pPr>
        <w:pStyle w:val="MediumGrid1-Accent21"/>
        <w:ind w:left="0"/>
        <w:rPr>
          <w:iCs/>
        </w:rPr>
      </w:pPr>
      <w:r w:rsidRPr="006447C4">
        <w:rPr>
          <w:iCs/>
        </w:rPr>
        <w:t xml:space="preserve">The Project was financed with HPD subsidy and Low-Income Investment Fund (LIIF) construction mortgage for rehabilitation, and HPD Subsidy and permanent mortgage from NYCERS Pension Fund (facilitated by LIIF) for permanent financing. </w:t>
      </w:r>
    </w:p>
    <w:p w14:paraId="7E392369" w14:textId="77777777" w:rsidR="006447C4" w:rsidRPr="006447C4" w:rsidRDefault="006447C4" w:rsidP="006447C4">
      <w:pPr>
        <w:pStyle w:val="MediumGrid1-Accent21"/>
        <w:ind w:left="0"/>
        <w:rPr>
          <w:iCs/>
        </w:rPr>
      </w:pPr>
    </w:p>
    <w:p w14:paraId="7110657C" w14:textId="77777777" w:rsidR="006447C4" w:rsidRPr="006447C4" w:rsidRDefault="006447C4" w:rsidP="006447C4">
      <w:pPr>
        <w:pStyle w:val="MediumGrid1-Accent21"/>
        <w:ind w:left="0"/>
        <w:rPr>
          <w:iCs/>
        </w:rPr>
      </w:pPr>
      <w:r w:rsidRPr="006447C4">
        <w:rPr>
          <w:iCs/>
        </w:rPr>
        <w:t xml:space="preserve">The Project closed on acquisition financing in April 2019, and rehabilitation financing in June 2023. New Temporary Certificates of Occupancy (TCO) are expected in June 2026 for both buildings. The Project is planning to secure a loan increase in the first Quarter 2026, and the Project is projected to convert to permanent financing in late 2027. </w:t>
      </w:r>
      <w:bookmarkEnd w:id="1"/>
    </w:p>
    <w:p w14:paraId="024145AE" w14:textId="6D223D03" w:rsidR="00606865" w:rsidRPr="007E4431" w:rsidRDefault="00DF74A3" w:rsidP="00DF74A3">
      <w:pPr>
        <w:pStyle w:val="MediumGrid1-Accent21"/>
        <w:ind w:left="0"/>
        <w:rPr>
          <w:u w:val="single"/>
        </w:rPr>
      </w:pPr>
      <w:r>
        <w:rPr>
          <w:rFonts w:eastAsia="Arial"/>
          <w:u w:val="single"/>
        </w:rPr>
        <w:br/>
      </w:r>
      <w:r w:rsidR="00606865" w:rsidRPr="007E4431">
        <w:rPr>
          <w:u w:val="single"/>
        </w:rPr>
        <w:t xml:space="preserve">Summary: </w:t>
      </w:r>
    </w:p>
    <w:p w14:paraId="1D1AD631" w14:textId="0A25290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Borough – </w:t>
      </w:r>
      <w:r w:rsidR="006447C4">
        <w:rPr>
          <w:rFonts w:ascii="Times New Roman" w:hAnsi="Times New Roman" w:cs="Times New Roman"/>
          <w:sz w:val="24"/>
          <w:szCs w:val="24"/>
        </w:rPr>
        <w:t>Bronx</w:t>
      </w:r>
    </w:p>
    <w:p w14:paraId="1BC1D711" w14:textId="70479FF6" w:rsidR="00606865" w:rsidRPr="007E4431" w:rsidRDefault="00AA16C6" w:rsidP="00606865">
      <w:pPr>
        <w:pStyle w:val="ListParagraph"/>
        <w:numPr>
          <w:ilvl w:val="0"/>
          <w:numId w:val="1"/>
        </w:numPr>
        <w:rPr>
          <w:rFonts w:ascii="Times New Roman" w:hAnsi="Times New Roman" w:cs="Times New Roman"/>
          <w:sz w:val="24"/>
          <w:szCs w:val="24"/>
        </w:rPr>
      </w:pPr>
      <w:r w:rsidRPr="0037354F">
        <w:rPr>
          <w:rFonts w:ascii="Times New Roman" w:eastAsia="Times New Roman" w:hAnsi="Times New Roman" w:cs="Times New Roman"/>
          <w:bCs/>
          <w:sz w:val="24"/>
          <w:szCs w:val="24"/>
        </w:rPr>
        <w:t xml:space="preserve">Block </w:t>
      </w:r>
      <w:r w:rsidR="006447C4">
        <w:rPr>
          <w:rFonts w:ascii="Times New Roman" w:eastAsia="Times New Roman" w:hAnsi="Times New Roman" w:cs="Times New Roman"/>
          <w:bCs/>
          <w:sz w:val="24"/>
          <w:szCs w:val="24"/>
        </w:rPr>
        <w:t>2723</w:t>
      </w:r>
      <w:r w:rsidR="007B02B6">
        <w:rPr>
          <w:rFonts w:ascii="Times New Roman" w:eastAsia="Times New Roman" w:hAnsi="Times New Roman" w:cs="Times New Roman"/>
          <w:bCs/>
          <w:sz w:val="24"/>
          <w:szCs w:val="24"/>
        </w:rPr>
        <w:t xml:space="preserve">, </w:t>
      </w:r>
      <w:r w:rsidR="006447C4">
        <w:rPr>
          <w:rFonts w:ascii="Times New Roman" w:eastAsia="Times New Roman" w:hAnsi="Times New Roman" w:cs="Times New Roman"/>
          <w:bCs/>
          <w:sz w:val="24"/>
          <w:szCs w:val="24"/>
        </w:rPr>
        <w:t>L</w:t>
      </w:r>
      <w:r w:rsidR="007B02B6">
        <w:rPr>
          <w:rFonts w:ascii="Times New Roman" w:eastAsia="Times New Roman" w:hAnsi="Times New Roman" w:cs="Times New Roman"/>
          <w:bCs/>
          <w:sz w:val="24"/>
          <w:szCs w:val="24"/>
        </w:rPr>
        <w:t xml:space="preserve">ot </w:t>
      </w:r>
      <w:r w:rsidR="006447C4">
        <w:rPr>
          <w:rFonts w:ascii="Times New Roman" w:eastAsia="Times New Roman" w:hAnsi="Times New Roman" w:cs="Times New Roman"/>
          <w:bCs/>
          <w:sz w:val="24"/>
          <w:szCs w:val="24"/>
        </w:rPr>
        <w:t>1; Block 2762, Lot 123</w:t>
      </w:r>
    </w:p>
    <w:p w14:paraId="76645B9F" w14:textId="60078B83"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w:t>
      </w:r>
      <w:r w:rsidR="00AA16C6">
        <w:rPr>
          <w:rFonts w:ascii="Times New Roman" w:hAnsi="Times New Roman" w:cs="Times New Roman"/>
          <w:sz w:val="24"/>
          <w:szCs w:val="24"/>
        </w:rPr>
        <w:t xml:space="preserve"> </w:t>
      </w:r>
      <w:r w:rsidR="006447C4">
        <w:rPr>
          <w:rFonts w:ascii="Times New Roman" w:hAnsi="Times New Roman" w:cs="Times New Roman"/>
          <w:sz w:val="24"/>
          <w:szCs w:val="24"/>
        </w:rPr>
        <w:t xml:space="preserve">Salamanca Jr. </w:t>
      </w:r>
      <w:r w:rsidR="00A43A41">
        <w:rPr>
          <w:rFonts w:ascii="Times New Roman" w:hAnsi="Times New Roman" w:cs="Times New Roman"/>
          <w:sz w:val="24"/>
          <w:szCs w:val="24"/>
        </w:rPr>
        <w:t xml:space="preserve"> </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756397DF"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6447C4">
        <w:rPr>
          <w:rFonts w:ascii="Times New Roman" w:hAnsi="Times New Roman" w:cs="Times New Roman"/>
          <w:sz w:val="24"/>
          <w:szCs w:val="24"/>
        </w:rPr>
        <w:t>2</w:t>
      </w:r>
    </w:p>
    <w:p w14:paraId="437D6B5F" w14:textId="0F1B3676"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6447C4">
        <w:rPr>
          <w:rFonts w:ascii="Times New Roman" w:hAnsi="Times New Roman" w:cs="Times New Roman"/>
          <w:sz w:val="24"/>
          <w:szCs w:val="24"/>
        </w:rPr>
        <w:t xml:space="preserve">45 </w:t>
      </w:r>
      <w:r w:rsidR="00AA16C6">
        <w:rPr>
          <w:rFonts w:ascii="Times New Roman" w:hAnsi="Times New Roman" w:cs="Times New Roman"/>
          <w:sz w:val="24"/>
          <w:szCs w:val="24"/>
        </w:rPr>
        <w:t>residential</w:t>
      </w:r>
      <w:r w:rsidR="00B850D7">
        <w:rPr>
          <w:rFonts w:ascii="Times New Roman" w:hAnsi="Times New Roman" w:cs="Times New Roman"/>
          <w:sz w:val="24"/>
          <w:szCs w:val="24"/>
        </w:rPr>
        <w:t xml:space="preserve"> units</w:t>
      </w:r>
    </w:p>
    <w:p w14:paraId="3D8CF2BB" w14:textId="514C77EC"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4538A1">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7B02B6">
        <w:rPr>
          <w:rFonts w:ascii="Times New Roman" w:hAnsi="Times New Roman" w:cs="Times New Roman"/>
          <w:sz w:val="24"/>
          <w:szCs w:val="24"/>
        </w:rPr>
        <w:t>full</w:t>
      </w:r>
      <w:r w:rsidR="00606865" w:rsidRPr="007E4431">
        <w:rPr>
          <w:rFonts w:ascii="Times New Roman" w:hAnsi="Times New Roman" w:cs="Times New Roman"/>
          <w:sz w:val="24"/>
          <w:szCs w:val="24"/>
        </w:rPr>
        <w:t>,</w:t>
      </w:r>
      <w:r w:rsidR="004538A1">
        <w:rPr>
          <w:rFonts w:ascii="Times New Roman" w:hAnsi="Times New Roman" w:cs="Times New Roman"/>
          <w:sz w:val="24"/>
          <w:szCs w:val="24"/>
        </w:rPr>
        <w:t xml:space="preserve"> 4</w:t>
      </w:r>
      <w:r w:rsidR="00606865">
        <w:rPr>
          <w:rFonts w:ascii="Times New Roman" w:hAnsi="Times New Roman" w:cs="Times New Roman"/>
          <w:sz w:val="24"/>
          <w:szCs w:val="24"/>
        </w:rPr>
        <w:t>0</w:t>
      </w:r>
      <w:r w:rsidR="00606865" w:rsidRPr="007E4431">
        <w:rPr>
          <w:rFonts w:ascii="Times New Roman" w:hAnsi="Times New Roman" w:cs="Times New Roman"/>
          <w:sz w:val="24"/>
          <w:szCs w:val="24"/>
        </w:rPr>
        <w:t xml:space="preserve"> year</w:t>
      </w:r>
    </w:p>
    <w:p w14:paraId="6348B3E4" w14:textId="1D6948ED"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2D7848">
        <w:rPr>
          <w:rFonts w:ascii="Times New Roman" w:hAnsi="Times New Roman" w:cs="Times New Roman"/>
          <w:sz w:val="24"/>
          <w:szCs w:val="24"/>
        </w:rPr>
        <w:t>rental</w:t>
      </w:r>
    </w:p>
    <w:p w14:paraId="0C56D1FE" w14:textId="24353D35" w:rsidR="00A43A41" w:rsidRPr="006447C4" w:rsidRDefault="00606865" w:rsidP="006447C4">
      <w:pPr>
        <w:pStyle w:val="ListParagraph"/>
        <w:numPr>
          <w:ilvl w:val="0"/>
          <w:numId w:val="1"/>
        </w:numPr>
        <w:rPr>
          <w:rFonts w:ascii="Times New Roman" w:hAnsi="Times New Roman" w:cs="Times New Roman"/>
          <w:sz w:val="24"/>
          <w:szCs w:val="24"/>
        </w:rPr>
      </w:pPr>
      <w:r w:rsidRPr="00A43A41">
        <w:rPr>
          <w:rFonts w:ascii="Times New Roman" w:hAnsi="Times New Roman" w:cs="Times New Roman"/>
          <w:sz w:val="24"/>
          <w:szCs w:val="24"/>
        </w:rPr>
        <w:t>Sponsor –</w:t>
      </w:r>
      <w:r w:rsidR="0081626E" w:rsidRPr="0081626E">
        <w:t xml:space="preserve"> </w:t>
      </w:r>
      <w:r w:rsidR="006447C4" w:rsidRPr="006447C4">
        <w:rPr>
          <w:rFonts w:ascii="Times New Roman" w:hAnsi="Times New Roman" w:cs="Times New Roman"/>
          <w:sz w:val="24"/>
          <w:szCs w:val="24"/>
        </w:rPr>
        <w:t>Banana Kelly CIA, Inc.</w:t>
      </w:r>
    </w:p>
    <w:p w14:paraId="275B5F43" w14:textId="79C2A5D8" w:rsidR="00606865" w:rsidRPr="00A43A41" w:rsidRDefault="00606865" w:rsidP="00BF79F2">
      <w:pPr>
        <w:pStyle w:val="ListParagraph"/>
        <w:numPr>
          <w:ilvl w:val="0"/>
          <w:numId w:val="1"/>
        </w:numPr>
        <w:rPr>
          <w:rFonts w:ascii="Times New Roman" w:hAnsi="Times New Roman" w:cs="Times New Roman"/>
          <w:sz w:val="24"/>
          <w:szCs w:val="24"/>
        </w:rPr>
      </w:pPr>
      <w:r w:rsidRPr="00A43A41">
        <w:rPr>
          <w:rFonts w:ascii="Times New Roman" w:hAnsi="Times New Roman" w:cs="Times New Roman"/>
          <w:sz w:val="24"/>
          <w:szCs w:val="24"/>
        </w:rPr>
        <w:t xml:space="preserve">Purpose – </w:t>
      </w:r>
      <w:r w:rsidR="002D7848" w:rsidRPr="00A43A41">
        <w:rPr>
          <w:rFonts w:ascii="Times New Roman" w:hAnsi="Times New Roman" w:cs="Times New Roman"/>
          <w:sz w:val="24"/>
          <w:szCs w:val="24"/>
        </w:rPr>
        <w:t>preservation</w:t>
      </w:r>
    </w:p>
    <w:p w14:paraId="77626155" w14:textId="137E71F9"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2D7848">
        <w:rPr>
          <w:rFonts w:ascii="Times New Roman" w:hAnsi="Times New Roman" w:cs="Times New Roman"/>
          <w:sz w:val="24"/>
          <w:szCs w:val="24"/>
        </w:rPr>
        <w:t>–</w:t>
      </w:r>
      <w:r w:rsidR="007B02B6">
        <w:rPr>
          <w:rFonts w:ascii="Times New Roman" w:hAnsi="Times New Roman" w:cs="Times New Roman"/>
          <w:sz w:val="24"/>
          <w:szCs w:val="24"/>
        </w:rPr>
        <w:t xml:space="preserve"> </w:t>
      </w:r>
      <w:r w:rsidR="007B02B6" w:rsidRPr="007B02B6">
        <w:rPr>
          <w:rFonts w:ascii="Times New Roman" w:hAnsi="Times New Roman" w:cs="Times New Roman"/>
          <w:sz w:val="24"/>
          <w:szCs w:val="24"/>
        </w:rPr>
        <w:t>$2</w:t>
      </w:r>
      <w:r w:rsidR="006447C4">
        <w:rPr>
          <w:rFonts w:ascii="Times New Roman" w:hAnsi="Times New Roman" w:cs="Times New Roman"/>
          <w:sz w:val="24"/>
          <w:szCs w:val="24"/>
        </w:rPr>
        <w:t>0,138,751</w:t>
      </w:r>
      <w:r w:rsidR="007B02B6" w:rsidRPr="007B02B6">
        <w:rPr>
          <w:rFonts w:ascii="Times New Roman" w:hAnsi="Times New Roman" w:cs="Times New Roman"/>
          <w:sz w:val="24"/>
          <w:szCs w:val="24"/>
        </w:rPr>
        <w:t xml:space="preserve"> </w:t>
      </w:r>
      <w:r>
        <w:rPr>
          <w:rFonts w:ascii="Times New Roman" w:hAnsi="Times New Roman" w:cs="Times New Roman"/>
          <w:sz w:val="24"/>
          <w:szCs w:val="24"/>
        </w:rPr>
        <w:t>(present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2B6A5353"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6447C4">
        <w:rPr>
          <w:rFonts w:ascii="Times New Roman" w:hAnsi="Times New Roman" w:cs="Times New Roman"/>
          <w:sz w:val="24"/>
          <w:szCs w:val="24"/>
        </w:rPr>
        <w:t>48</w:t>
      </w:r>
    </w:p>
    <w:p w14:paraId="32519BFE" w14:textId="577A85B8"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6447C4">
        <w:rPr>
          <w:rFonts w:ascii="Times New Roman" w:hAnsi="Times New Roman" w:cs="Times New Roman"/>
          <w:sz w:val="24"/>
          <w:szCs w:val="24"/>
        </w:rPr>
        <w:t>234</w:t>
      </w:r>
    </w:p>
    <w:p w14:paraId="2ADB31CA" w14:textId="115036B2"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6447C4">
        <w:rPr>
          <w:rFonts w:ascii="Times New Roman" w:hAnsi="Times New Roman" w:cs="Times New Roman"/>
          <w:sz w:val="24"/>
          <w:szCs w:val="24"/>
        </w:rPr>
        <w:t>120</w:t>
      </w:r>
    </w:p>
    <w:p w14:paraId="304CF600" w14:textId="298F9A0F"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6447C4">
        <w:rPr>
          <w:rFonts w:ascii="Times New Roman" w:hAnsi="Times New Roman" w:cs="Times New Roman"/>
          <w:sz w:val="24"/>
          <w:szCs w:val="24"/>
        </w:rPr>
        <w:t xml:space="preserve">up to </w:t>
      </w:r>
      <w:r w:rsidR="007B02B6">
        <w:rPr>
          <w:rFonts w:ascii="Times New Roman" w:hAnsi="Times New Roman" w:cs="Times New Roman"/>
          <w:sz w:val="24"/>
          <w:szCs w:val="24"/>
        </w:rPr>
        <w:t>60</w:t>
      </w:r>
      <w:r w:rsidR="006447C4">
        <w:rPr>
          <w:rFonts w:ascii="Times New Roman" w:hAnsi="Times New Roman" w:cs="Times New Roman"/>
          <w:sz w:val="24"/>
          <w:szCs w:val="24"/>
        </w:rPr>
        <w:t>%</w:t>
      </w:r>
      <w:r w:rsidR="0014209D">
        <w:rPr>
          <w:rFonts w:ascii="Times New Roman" w:hAnsi="Times New Roman" w:cs="Times New Roman"/>
          <w:sz w:val="24"/>
          <w:szCs w:val="24"/>
        </w:rPr>
        <w:t xml:space="preserve">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6164806B"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E17391">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4F4"/>
    <w:rsid w:val="00025C62"/>
    <w:rsid w:val="0003063C"/>
    <w:rsid w:val="00075BD4"/>
    <w:rsid w:val="00092C85"/>
    <w:rsid w:val="000B0F65"/>
    <w:rsid w:val="000D3292"/>
    <w:rsid w:val="00140F84"/>
    <w:rsid w:val="0014209D"/>
    <w:rsid w:val="001546F6"/>
    <w:rsid w:val="00160CD3"/>
    <w:rsid w:val="0016505C"/>
    <w:rsid w:val="001D2C9D"/>
    <w:rsid w:val="001E7D02"/>
    <w:rsid w:val="001F60F4"/>
    <w:rsid w:val="002244F4"/>
    <w:rsid w:val="00234E1A"/>
    <w:rsid w:val="00241E0F"/>
    <w:rsid w:val="00243912"/>
    <w:rsid w:val="00252DE1"/>
    <w:rsid w:val="00264194"/>
    <w:rsid w:val="002B1EA7"/>
    <w:rsid w:val="002D7848"/>
    <w:rsid w:val="00303D45"/>
    <w:rsid w:val="003261F2"/>
    <w:rsid w:val="00355C28"/>
    <w:rsid w:val="00356568"/>
    <w:rsid w:val="00363AF4"/>
    <w:rsid w:val="0036638D"/>
    <w:rsid w:val="003A2620"/>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447C4"/>
    <w:rsid w:val="006826D2"/>
    <w:rsid w:val="00683FE6"/>
    <w:rsid w:val="006E0F8E"/>
    <w:rsid w:val="006F0523"/>
    <w:rsid w:val="00702E44"/>
    <w:rsid w:val="007462C7"/>
    <w:rsid w:val="0075643D"/>
    <w:rsid w:val="00760FAC"/>
    <w:rsid w:val="007A4E1A"/>
    <w:rsid w:val="007B02B6"/>
    <w:rsid w:val="007B103F"/>
    <w:rsid w:val="007E4431"/>
    <w:rsid w:val="008006C1"/>
    <w:rsid w:val="00814C2D"/>
    <w:rsid w:val="0081626E"/>
    <w:rsid w:val="00817ECE"/>
    <w:rsid w:val="00871224"/>
    <w:rsid w:val="008927F0"/>
    <w:rsid w:val="008C1F35"/>
    <w:rsid w:val="008E62B6"/>
    <w:rsid w:val="009016B9"/>
    <w:rsid w:val="00906A1C"/>
    <w:rsid w:val="0092293C"/>
    <w:rsid w:val="009A4391"/>
    <w:rsid w:val="009B1E90"/>
    <w:rsid w:val="009D5246"/>
    <w:rsid w:val="009E1AE2"/>
    <w:rsid w:val="00A04C22"/>
    <w:rsid w:val="00A375CC"/>
    <w:rsid w:val="00A43A41"/>
    <w:rsid w:val="00A43C38"/>
    <w:rsid w:val="00A45BA7"/>
    <w:rsid w:val="00A468AA"/>
    <w:rsid w:val="00A730FC"/>
    <w:rsid w:val="00A73E9B"/>
    <w:rsid w:val="00A77C26"/>
    <w:rsid w:val="00A77F7B"/>
    <w:rsid w:val="00A81617"/>
    <w:rsid w:val="00AA16C6"/>
    <w:rsid w:val="00AB091B"/>
    <w:rsid w:val="00AD23B5"/>
    <w:rsid w:val="00B013E6"/>
    <w:rsid w:val="00B16118"/>
    <w:rsid w:val="00B26E3A"/>
    <w:rsid w:val="00B321AB"/>
    <w:rsid w:val="00B51AEE"/>
    <w:rsid w:val="00B74FC8"/>
    <w:rsid w:val="00B850D7"/>
    <w:rsid w:val="00B90454"/>
    <w:rsid w:val="00B967EA"/>
    <w:rsid w:val="00BA2C88"/>
    <w:rsid w:val="00BB296E"/>
    <w:rsid w:val="00BC6712"/>
    <w:rsid w:val="00BF3666"/>
    <w:rsid w:val="00BF6434"/>
    <w:rsid w:val="00C07B42"/>
    <w:rsid w:val="00C41285"/>
    <w:rsid w:val="00C801F0"/>
    <w:rsid w:val="00C96E38"/>
    <w:rsid w:val="00CC37CA"/>
    <w:rsid w:val="00CE2729"/>
    <w:rsid w:val="00D42199"/>
    <w:rsid w:val="00D939F9"/>
    <w:rsid w:val="00DB2CA4"/>
    <w:rsid w:val="00DC7180"/>
    <w:rsid w:val="00DF74A3"/>
    <w:rsid w:val="00E02586"/>
    <w:rsid w:val="00E17391"/>
    <w:rsid w:val="00E1783C"/>
    <w:rsid w:val="00E33F9A"/>
    <w:rsid w:val="00ED79E4"/>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3954">
      <w:bodyDiv w:val="1"/>
      <w:marLeft w:val="0"/>
      <w:marRight w:val="0"/>
      <w:marTop w:val="0"/>
      <w:marBottom w:val="0"/>
      <w:divBdr>
        <w:top w:val="none" w:sz="0" w:space="0" w:color="auto"/>
        <w:left w:val="none" w:sz="0" w:space="0" w:color="auto"/>
        <w:bottom w:val="none" w:sz="0" w:space="0" w:color="auto"/>
        <w:right w:val="none" w:sz="0" w:space="0" w:color="auto"/>
      </w:divBdr>
    </w:div>
    <w:div w:id="440303281">
      <w:bodyDiv w:val="1"/>
      <w:marLeft w:val="0"/>
      <w:marRight w:val="0"/>
      <w:marTop w:val="0"/>
      <w:marBottom w:val="0"/>
      <w:divBdr>
        <w:top w:val="none" w:sz="0" w:space="0" w:color="auto"/>
        <w:left w:val="none" w:sz="0" w:space="0" w:color="auto"/>
        <w:bottom w:val="none" w:sz="0" w:space="0" w:color="auto"/>
        <w:right w:val="none" w:sz="0" w:space="0" w:color="auto"/>
      </w:divBdr>
    </w:div>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49748945">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782603729">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 w:id="1910994487">
      <w:bodyDiv w:val="1"/>
      <w:marLeft w:val="0"/>
      <w:marRight w:val="0"/>
      <w:marTop w:val="0"/>
      <w:marBottom w:val="0"/>
      <w:divBdr>
        <w:top w:val="none" w:sz="0" w:space="0" w:color="auto"/>
        <w:left w:val="none" w:sz="0" w:space="0" w:color="auto"/>
        <w:bottom w:val="none" w:sz="0" w:space="0" w:color="auto"/>
        <w:right w:val="none" w:sz="0" w:space="0" w:color="auto"/>
      </w:divBdr>
    </w:div>
    <w:div w:id="193436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604</Words>
  <Characters>3391</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2025-12-10T19:37:00Z</dcterms:created>
  <dcterms:modified xsi:type="dcterms:W3CDTF">2025-12-10T19:37:00Z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