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10EB1" w14:textId="77777777" w:rsidR="004E763F" w:rsidRDefault="004E763F" w:rsidP="004E763F">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THE COUNCIL OF THE CITY OF NEW YORK</w:t>
      </w:r>
      <w:r>
        <w:rPr>
          <w:rStyle w:val="normaltextrun"/>
          <w:rFonts w:ascii="Arial" w:eastAsiaTheme="majorEastAsia" w:hAnsi="Arial" w:cs="Arial"/>
        </w:rPr>
        <w:t> </w:t>
      </w:r>
      <w:r>
        <w:rPr>
          <w:rStyle w:val="eop"/>
          <w:rFonts w:eastAsiaTheme="majorEastAsia"/>
        </w:rPr>
        <w:t> </w:t>
      </w:r>
    </w:p>
    <w:p w14:paraId="01BD6669" w14:textId="0AE0A1E7" w:rsidR="004E763F" w:rsidRDefault="004E763F" w:rsidP="004E763F">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RESOLUTION NO. </w:t>
      </w:r>
      <w:r w:rsidR="006E6B22">
        <w:rPr>
          <w:rStyle w:val="normaltextrun"/>
          <w:rFonts w:eastAsiaTheme="majorEastAsia"/>
          <w:b/>
          <w:bCs/>
        </w:rPr>
        <w:t>382</w:t>
      </w:r>
      <w:r>
        <w:rPr>
          <w:rStyle w:val="normaltextrun"/>
          <w:rFonts w:eastAsiaTheme="majorEastAsia"/>
        </w:rPr>
        <w:t> </w:t>
      </w:r>
      <w:r>
        <w:rPr>
          <w:rStyle w:val="eop"/>
          <w:rFonts w:eastAsiaTheme="majorEastAsia"/>
        </w:rPr>
        <w:t> </w:t>
      </w:r>
    </w:p>
    <w:p w14:paraId="5A0E6FE8" w14:textId="77777777" w:rsidR="004E763F" w:rsidRDefault="004E763F" w:rsidP="004E763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76E80619" w14:textId="11A89D8E" w:rsidR="004E763F" w:rsidRDefault="004E763F" w:rsidP="004E763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Resolution approving the decision of the City Planning Commission on ULURP No. C 260042 PCK (L.U. No. 16), acquisition and site selection of real property located</w:t>
      </w:r>
      <w:r w:rsidRPr="004E763F">
        <w:t xml:space="preserve"> </w:t>
      </w:r>
      <w:r w:rsidRPr="004E763F">
        <w:rPr>
          <w:rStyle w:val="normaltextrun"/>
          <w:rFonts w:eastAsiaTheme="majorEastAsia"/>
          <w:b/>
          <w:bCs/>
        </w:rPr>
        <w:t>at 395 Flatbush Avenue (Block 2093, Lot 1),</w:t>
      </w:r>
      <w:r>
        <w:rPr>
          <w:rStyle w:val="normaltextrun"/>
          <w:rFonts w:eastAsiaTheme="majorEastAsia"/>
          <w:b/>
          <w:bCs/>
        </w:rPr>
        <w:t> in Borough of Brooklyn, Community District 2.</w:t>
      </w:r>
      <w:r>
        <w:rPr>
          <w:rStyle w:val="normaltextrun"/>
          <w:rFonts w:eastAsiaTheme="majorEastAsia"/>
        </w:rPr>
        <w:t> </w:t>
      </w:r>
      <w:r>
        <w:rPr>
          <w:rStyle w:val="eop"/>
          <w:rFonts w:eastAsiaTheme="majorEastAsia"/>
        </w:rPr>
        <w:t> </w:t>
      </w:r>
    </w:p>
    <w:p w14:paraId="3E3EF6BA" w14:textId="77777777" w:rsidR="004E763F" w:rsidRDefault="004E763F" w:rsidP="004E763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108C0AF9" w14:textId="24C0D288" w:rsidR="004E763F" w:rsidRDefault="004E763F" w:rsidP="004E763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 xml:space="preserve">By Council Members </w:t>
      </w:r>
      <w:r w:rsidR="009662AE">
        <w:rPr>
          <w:rStyle w:val="normaltextrun"/>
          <w:rFonts w:eastAsiaTheme="majorEastAsia"/>
          <w:b/>
          <w:bCs/>
        </w:rPr>
        <w:t>Riley</w:t>
      </w:r>
      <w:r>
        <w:rPr>
          <w:rStyle w:val="normaltextrun"/>
          <w:rFonts w:eastAsiaTheme="majorEastAsia"/>
          <w:b/>
          <w:bCs/>
        </w:rPr>
        <w:t xml:space="preserve"> and </w:t>
      </w:r>
      <w:r w:rsidR="009662AE">
        <w:rPr>
          <w:rStyle w:val="normaltextrun"/>
          <w:rFonts w:eastAsiaTheme="majorEastAsia"/>
          <w:b/>
          <w:bCs/>
        </w:rPr>
        <w:t>Marte</w:t>
      </w:r>
      <w:r>
        <w:rPr>
          <w:rStyle w:val="normaltextrun"/>
          <w:rFonts w:eastAsiaTheme="majorEastAsia"/>
        </w:rPr>
        <w:t> </w:t>
      </w:r>
      <w:r>
        <w:rPr>
          <w:rStyle w:val="eop"/>
          <w:rFonts w:eastAsiaTheme="majorEastAsia"/>
        </w:rPr>
        <w:t> </w:t>
      </w:r>
    </w:p>
    <w:p w14:paraId="678DBE48" w14:textId="77777777" w:rsidR="004E763F" w:rsidRDefault="004E763F" w:rsidP="004E763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43C9C977" w14:textId="4CC4A33C" w:rsidR="004E763F" w:rsidRPr="004E763F" w:rsidRDefault="004E763F" w:rsidP="004E763F">
      <w:pPr>
        <w:pStyle w:val="paragraph"/>
        <w:spacing w:before="0" w:beforeAutospacing="0" w:after="0" w:afterAutospacing="0"/>
        <w:ind w:firstLine="720"/>
        <w:jc w:val="both"/>
        <w:textAlignment w:val="baseline"/>
        <w:rPr>
          <w:rFonts w:eastAsiaTheme="majorEastAsia"/>
        </w:rPr>
      </w:pPr>
      <w:r>
        <w:rPr>
          <w:rStyle w:val="normaltextrun"/>
          <w:rFonts w:eastAsiaTheme="majorEastAsia"/>
        </w:rPr>
        <w:t>WHEREAS, the Department of Citywide Administrative Services (DCAS) and</w:t>
      </w:r>
      <w:r w:rsidRPr="004E763F">
        <w:rPr>
          <w:rStyle w:val="normaltextrun"/>
          <w:rFonts w:eastAsiaTheme="majorEastAsia"/>
        </w:rPr>
        <w:t xml:space="preserve"> the Department of Health and Mental Hygiene</w:t>
      </w:r>
      <w:r w:rsidRPr="004E763F">
        <w:t xml:space="preserve"> </w:t>
      </w:r>
      <w:r w:rsidRPr="004E763F">
        <w:rPr>
          <w:rStyle w:val="normaltextrun"/>
          <w:rFonts w:eastAsiaTheme="majorEastAsia"/>
        </w:rPr>
        <w:t xml:space="preserve">pursuant to Section 197-c of the New York City Charter, for the acquisition </w:t>
      </w:r>
      <w:r>
        <w:rPr>
          <w:rStyle w:val="normaltextrun"/>
          <w:rFonts w:eastAsiaTheme="majorEastAsia"/>
        </w:rPr>
        <w:t xml:space="preserve">and site selection of real </w:t>
      </w:r>
      <w:r w:rsidRPr="004E763F">
        <w:rPr>
          <w:rStyle w:val="normaltextrun"/>
          <w:rFonts w:eastAsiaTheme="majorEastAsia"/>
        </w:rPr>
        <w:t xml:space="preserve">property located at 395 Flatbush Avenue (Block 2093, Lot 1), </w:t>
      </w:r>
      <w:r>
        <w:rPr>
          <w:rStyle w:val="normaltextrun"/>
          <w:rFonts w:eastAsiaTheme="majorEastAsia"/>
        </w:rPr>
        <w:t xml:space="preserve">this would facilitate </w:t>
      </w:r>
      <w:r w:rsidRPr="004E763F">
        <w:rPr>
          <w:rStyle w:val="normaltextrun"/>
          <w:rFonts w:eastAsiaTheme="majorEastAsia"/>
        </w:rPr>
        <w:t xml:space="preserve">an approximately 1,075,100 square-foot, 72-story mixed-use development, including 141,280 square feet of commercial and community facility uses, </w:t>
      </w:r>
      <w:r>
        <w:rPr>
          <w:rStyle w:val="normaltextrun"/>
          <w:rFonts w:eastAsiaTheme="majorEastAsia"/>
        </w:rPr>
        <w:t xml:space="preserve">such as </w:t>
      </w:r>
      <w:r w:rsidRPr="004E763F">
        <w:rPr>
          <w:rStyle w:val="normaltextrun"/>
          <w:rFonts w:eastAsiaTheme="majorEastAsia"/>
        </w:rPr>
        <w:t>medical clinic, office space, community facility space and laboratories</w:t>
      </w:r>
      <w:r>
        <w:rPr>
          <w:rStyle w:val="normaltextrun"/>
          <w:rFonts w:eastAsiaTheme="majorEastAsia"/>
        </w:rPr>
        <w:t xml:space="preserve">, </w:t>
      </w:r>
      <w:r w:rsidRPr="004E763F">
        <w:rPr>
          <w:rStyle w:val="normaltextrun"/>
          <w:rFonts w:eastAsiaTheme="majorEastAsia"/>
        </w:rPr>
        <w:t>933,820 square feet of residential uses with 1,263 dwelling units, of which 325 to 379 units would be permanently income-restricted pursuant to Mandatory Inclusionary Housing (MIH), and 4,745 square feet of publicly accessible open space</w:t>
      </w:r>
      <w:r>
        <w:rPr>
          <w:rStyle w:val="normaltextrun"/>
          <w:rFonts w:eastAsiaTheme="majorEastAsia"/>
        </w:rPr>
        <w:t xml:space="preserve">, </w:t>
      </w:r>
      <w:r w:rsidRPr="004E763F">
        <w:rPr>
          <w:rStyle w:val="normaltextrun"/>
          <w:rFonts w:eastAsiaTheme="majorEastAsia"/>
        </w:rPr>
        <w:t>in the Downtown Brooklyn neighborhood of Brooklyn Community District 2</w:t>
      </w:r>
      <w:r>
        <w:rPr>
          <w:rStyle w:val="normaltextrun"/>
          <w:rFonts w:eastAsiaTheme="majorEastAsia"/>
        </w:rPr>
        <w:t>, Council District 35 (ULURP No. C 2</w:t>
      </w:r>
      <w:r w:rsidR="009E6F9F">
        <w:rPr>
          <w:rStyle w:val="normaltextrun"/>
          <w:rFonts w:eastAsiaTheme="majorEastAsia"/>
        </w:rPr>
        <w:t>60042</w:t>
      </w:r>
      <w:r>
        <w:rPr>
          <w:rStyle w:val="normaltextrun"/>
          <w:rFonts w:eastAsiaTheme="majorEastAsia"/>
        </w:rPr>
        <w:t xml:space="preserve"> PCK) (the “Application”); </w:t>
      </w:r>
      <w:r>
        <w:rPr>
          <w:rStyle w:val="eop"/>
          <w:rFonts w:eastAsiaTheme="majorEastAsia"/>
        </w:rPr>
        <w:t> </w:t>
      </w:r>
    </w:p>
    <w:p w14:paraId="2F42B6FE" w14:textId="77777777" w:rsidR="004E763F" w:rsidRDefault="004E763F" w:rsidP="004E763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2D73032B" w14:textId="562744D2" w:rsidR="004E763F" w:rsidRDefault="004E763F" w:rsidP="004E763F">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 xml:space="preserve">WHEREAS, the City Planning Commission filed with the Council on </w:t>
      </w:r>
      <w:r w:rsidR="009E6F9F">
        <w:rPr>
          <w:rStyle w:val="normaltextrun"/>
          <w:rFonts w:eastAsiaTheme="majorEastAsia"/>
        </w:rPr>
        <w:t>January 13</w:t>
      </w:r>
      <w:r>
        <w:rPr>
          <w:rStyle w:val="normaltextrun"/>
          <w:rFonts w:eastAsiaTheme="majorEastAsia"/>
        </w:rPr>
        <w:t>, 202</w:t>
      </w:r>
      <w:r w:rsidR="009E6F9F">
        <w:rPr>
          <w:rStyle w:val="normaltextrun"/>
          <w:rFonts w:eastAsiaTheme="majorEastAsia"/>
        </w:rPr>
        <w:t>6</w:t>
      </w:r>
      <w:r>
        <w:rPr>
          <w:rStyle w:val="normaltextrun"/>
          <w:rFonts w:eastAsiaTheme="majorEastAsia"/>
        </w:rPr>
        <w:t xml:space="preserve"> its decision dated </w:t>
      </w:r>
      <w:r w:rsidR="009E6F9F">
        <w:rPr>
          <w:rStyle w:val="normaltextrun"/>
          <w:rFonts w:eastAsiaTheme="majorEastAsia"/>
        </w:rPr>
        <w:t>December 17</w:t>
      </w:r>
      <w:r>
        <w:rPr>
          <w:rStyle w:val="normaltextrun"/>
          <w:rFonts w:eastAsiaTheme="majorEastAsia"/>
        </w:rPr>
        <w:t>, 2025</w:t>
      </w:r>
      <w:r w:rsidR="009E6F9F">
        <w:rPr>
          <w:rStyle w:val="normaltextrun"/>
          <w:rFonts w:eastAsiaTheme="majorEastAsia"/>
        </w:rPr>
        <w:t xml:space="preserve"> </w:t>
      </w:r>
      <w:r>
        <w:rPr>
          <w:rStyle w:val="normaltextrun"/>
          <w:rFonts w:eastAsiaTheme="majorEastAsia"/>
        </w:rPr>
        <w:t xml:space="preserve"> (the “Decision”) on the Application; </w:t>
      </w:r>
      <w:r>
        <w:rPr>
          <w:rStyle w:val="eop"/>
          <w:rFonts w:eastAsiaTheme="majorEastAsia"/>
        </w:rPr>
        <w:t> </w:t>
      </w:r>
    </w:p>
    <w:p w14:paraId="304D5ABE" w14:textId="77777777" w:rsidR="004E763F" w:rsidRDefault="004E763F" w:rsidP="004E763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229F07DD" w14:textId="76C517F8" w:rsidR="004E763F" w:rsidRDefault="004E763F" w:rsidP="004E763F">
      <w:pPr>
        <w:pStyle w:val="paragraph"/>
        <w:spacing w:before="0" w:beforeAutospacing="0" w:after="0" w:afterAutospacing="0"/>
        <w:jc w:val="both"/>
        <w:textAlignment w:val="baseline"/>
        <w:rPr>
          <w:rStyle w:val="eop"/>
          <w:rFonts w:eastAsiaTheme="majorEastAsia"/>
        </w:rPr>
      </w:pPr>
      <w:r>
        <w:rPr>
          <w:rStyle w:val="normaltextrun"/>
          <w:rFonts w:eastAsiaTheme="majorEastAsia"/>
        </w:rPr>
        <w:t> </w:t>
      </w:r>
      <w:r>
        <w:rPr>
          <w:rStyle w:val="eop"/>
          <w:rFonts w:eastAsiaTheme="majorEastAsia"/>
        </w:rPr>
        <w:t> </w:t>
      </w:r>
      <w:r w:rsidR="009E6F9F">
        <w:rPr>
          <w:rStyle w:val="eop"/>
          <w:rFonts w:eastAsiaTheme="majorEastAsia"/>
        </w:rPr>
        <w:tab/>
      </w:r>
      <w:r w:rsidR="009E6F9F" w:rsidRPr="009E6F9F">
        <w:rPr>
          <w:rStyle w:val="eop"/>
          <w:rFonts w:eastAsiaTheme="majorEastAsia"/>
        </w:rPr>
        <w:t xml:space="preserve">WHEREAS, the Application is related to applications C 260038 ZMK (L.U. No. 12) a zoning map amendment from a C6-4 zoning district to a C6-12 zoning district. N 260039 ZRK (L.U. No. 13) a zoning text amendment to modify the Special Downtown Brooklyn District, and to designate the project area as an MIH area, C 260040 PPK (L.U. No. 14) a disposition approval of a City-owned property at Brooklyn Block 2093, Lot </w:t>
      </w:r>
      <w:r w:rsidR="009E6F9F">
        <w:rPr>
          <w:rStyle w:val="eop"/>
          <w:rFonts w:eastAsiaTheme="majorEastAsia"/>
        </w:rPr>
        <w:t xml:space="preserve">1 and </w:t>
      </w:r>
      <w:r w:rsidR="009E6F9F" w:rsidRPr="009E6F9F">
        <w:rPr>
          <w:rStyle w:val="eop"/>
          <w:rFonts w:eastAsiaTheme="majorEastAsia"/>
        </w:rPr>
        <w:t>C 260041 HUK (L.U. No. 15) an amendment to the Brooklyn Center Urban Renewal Plan (URP);</w:t>
      </w:r>
      <w:r w:rsidR="009E6F9F">
        <w:rPr>
          <w:rStyle w:val="eop"/>
          <w:rFonts w:eastAsiaTheme="majorEastAsia"/>
        </w:rPr>
        <w:t xml:space="preserve"> </w:t>
      </w:r>
    </w:p>
    <w:p w14:paraId="27C1AF7D" w14:textId="77777777" w:rsidR="009E6F9F" w:rsidRDefault="009E6F9F" w:rsidP="004E763F">
      <w:pPr>
        <w:pStyle w:val="paragraph"/>
        <w:spacing w:before="0" w:beforeAutospacing="0" w:after="0" w:afterAutospacing="0"/>
        <w:jc w:val="both"/>
        <w:textAlignment w:val="baseline"/>
        <w:rPr>
          <w:rFonts w:ascii="Segoe UI" w:hAnsi="Segoe UI" w:cs="Segoe UI"/>
          <w:sz w:val="18"/>
          <w:szCs w:val="18"/>
        </w:rPr>
      </w:pPr>
    </w:p>
    <w:p w14:paraId="49FD5EC9" w14:textId="428A0834" w:rsidR="004E763F" w:rsidRDefault="5DA4E845" w:rsidP="3E149E1F">
      <w:pPr>
        <w:pStyle w:val="paragraph"/>
        <w:spacing w:before="0" w:beforeAutospacing="0" w:after="0" w:afterAutospacing="0"/>
        <w:ind w:firstLine="720"/>
        <w:jc w:val="both"/>
        <w:textAlignment w:val="baseline"/>
        <w:rPr>
          <w:rFonts w:ascii="Segoe UI" w:hAnsi="Segoe UI" w:cs="Segoe UI"/>
          <w:sz w:val="18"/>
          <w:szCs w:val="18"/>
        </w:rPr>
      </w:pPr>
      <w:r w:rsidRPr="3E149E1F">
        <w:rPr>
          <w:rStyle w:val="normaltextrun"/>
          <w:rFonts w:eastAsiaTheme="majorEastAsia"/>
        </w:rPr>
        <w:t>WHEREAS, the Decision is subject to review and action by the Council pursuant to Section 197</w:t>
      </w:r>
      <w:r w:rsidR="039C91AE" w:rsidRPr="3E149E1F">
        <w:rPr>
          <w:rStyle w:val="normaltextrun"/>
          <w:rFonts w:eastAsiaTheme="majorEastAsia"/>
        </w:rPr>
        <w:t>-</w:t>
      </w:r>
      <w:r w:rsidRPr="3E149E1F">
        <w:rPr>
          <w:rStyle w:val="normaltextrun"/>
          <w:rFonts w:eastAsiaTheme="majorEastAsia"/>
        </w:rPr>
        <w:t>d of the City Charter; </w:t>
      </w:r>
      <w:r w:rsidRPr="3E149E1F">
        <w:rPr>
          <w:rStyle w:val="eop"/>
          <w:rFonts w:eastAsiaTheme="majorEastAsia"/>
        </w:rPr>
        <w:t> </w:t>
      </w:r>
    </w:p>
    <w:p w14:paraId="182A1306" w14:textId="77777777" w:rsidR="004E763F" w:rsidRDefault="004E763F" w:rsidP="004E763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21288408" w14:textId="6808C912" w:rsidR="004E763F" w:rsidRDefault="004E763F" w:rsidP="004E763F">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 xml:space="preserve">WHEREAS, upon due notice, the Council held a public hearing on the Decision and Application on </w:t>
      </w:r>
      <w:r w:rsidR="009E6F9F">
        <w:rPr>
          <w:rStyle w:val="normaltextrun"/>
          <w:rFonts w:eastAsiaTheme="majorEastAsia"/>
        </w:rPr>
        <w:t>January 27</w:t>
      </w:r>
      <w:r>
        <w:rPr>
          <w:rStyle w:val="normaltextrun"/>
          <w:rFonts w:eastAsiaTheme="majorEastAsia"/>
        </w:rPr>
        <w:t>, 202</w:t>
      </w:r>
      <w:r w:rsidR="009E6F9F">
        <w:rPr>
          <w:rStyle w:val="normaltextrun"/>
          <w:rFonts w:eastAsiaTheme="majorEastAsia"/>
        </w:rPr>
        <w:t>6</w:t>
      </w:r>
      <w:r>
        <w:rPr>
          <w:rStyle w:val="normaltextrun"/>
          <w:rFonts w:eastAsiaTheme="majorEastAsia"/>
        </w:rPr>
        <w:t>; </w:t>
      </w:r>
      <w:r>
        <w:rPr>
          <w:rStyle w:val="eop"/>
          <w:rFonts w:eastAsiaTheme="majorEastAsia"/>
        </w:rPr>
        <w:t> </w:t>
      </w:r>
    </w:p>
    <w:p w14:paraId="2A5DD8E3" w14:textId="77777777" w:rsidR="004E763F" w:rsidRDefault="004E763F" w:rsidP="004E763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6D5635DC" w14:textId="77777777" w:rsidR="004E763F" w:rsidRDefault="004E763F" w:rsidP="004E763F">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WHEREAS, the Council has considered the land use implications and other policy issues relating to the Decision and Application; and </w:t>
      </w:r>
      <w:r>
        <w:rPr>
          <w:rStyle w:val="eop"/>
          <w:rFonts w:eastAsiaTheme="majorEastAsia"/>
        </w:rPr>
        <w:t> </w:t>
      </w:r>
    </w:p>
    <w:p w14:paraId="1F5D1802" w14:textId="77777777" w:rsidR="004E763F" w:rsidRDefault="004E763F" w:rsidP="004E763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771FA0BF" w14:textId="7926B261" w:rsidR="5DA4E845" w:rsidRDefault="5DA4E845" w:rsidP="3E149E1F">
      <w:pPr>
        <w:pStyle w:val="paragraph"/>
        <w:spacing w:before="0" w:beforeAutospacing="0" w:after="0" w:afterAutospacing="0"/>
        <w:ind w:firstLine="720"/>
        <w:jc w:val="both"/>
        <w:rPr>
          <w:rStyle w:val="eop"/>
          <w:color w:val="000000" w:themeColor="text1"/>
        </w:rPr>
      </w:pPr>
      <w:r w:rsidRPr="3E149E1F">
        <w:rPr>
          <w:rStyle w:val="normaltextrun"/>
          <w:rFonts w:eastAsiaTheme="majorEastAsia"/>
        </w:rPr>
        <w:t> </w:t>
      </w:r>
      <w:r w:rsidR="4E0D6CD7">
        <w:t xml:space="preserve"> </w:t>
      </w:r>
      <w:r w:rsidR="4E0D6CD7" w:rsidRPr="3E149E1F">
        <w:rPr>
          <w:rStyle w:val="normaltextrun"/>
          <w:rFonts w:eastAsiaTheme="majorEastAsia"/>
        </w:rPr>
        <w:t>WHEREAS, the Council has considered the relevant environmental issues, including the Positive Declaration issued May 1, 2025 (CEQR No. 25HPD058K)</w:t>
      </w:r>
      <w:r w:rsidR="59E3989D" w:rsidRPr="3E149E1F">
        <w:rPr>
          <w:rStyle w:val="normaltextrun"/>
          <w:rFonts w:eastAsiaTheme="majorEastAsia"/>
        </w:rPr>
        <w:t xml:space="preserve">, and </w:t>
      </w:r>
      <w:r w:rsidR="27F7119F" w:rsidRPr="3E149E1F">
        <w:rPr>
          <w:rStyle w:val="eop"/>
          <w:color w:val="000000" w:themeColor="text1"/>
        </w:rPr>
        <w:t xml:space="preserve">a Final Environmental Impact Statement (FEIS) </w:t>
      </w:r>
      <w:r w:rsidR="799354A3" w:rsidRPr="3E149E1F">
        <w:rPr>
          <w:rStyle w:val="eop"/>
          <w:color w:val="000000" w:themeColor="text1"/>
        </w:rPr>
        <w:t xml:space="preserve">for which a </w:t>
      </w:r>
      <w:r w:rsidR="27F7119F" w:rsidRPr="3E149E1F">
        <w:rPr>
          <w:rStyle w:val="eop"/>
          <w:color w:val="000000" w:themeColor="text1"/>
        </w:rPr>
        <w:t>Notice of Completion was issued on December 5, 2025.</w:t>
      </w:r>
    </w:p>
    <w:p w14:paraId="2AC9DC6B" w14:textId="740DEC64" w:rsidR="3E149E1F" w:rsidRDefault="3E149E1F" w:rsidP="3E149E1F">
      <w:pPr>
        <w:spacing w:after="0" w:line="240" w:lineRule="auto"/>
        <w:ind w:firstLine="720"/>
        <w:jc w:val="both"/>
        <w:rPr>
          <w:rFonts w:ascii="Times New Roman" w:eastAsia="Times New Roman" w:hAnsi="Times New Roman" w:cs="Times New Roman"/>
          <w:color w:val="000000" w:themeColor="text1"/>
        </w:rPr>
      </w:pPr>
    </w:p>
    <w:p w14:paraId="5444A6E4" w14:textId="4794E71E" w:rsidR="27F7119F" w:rsidRDefault="27F7119F" w:rsidP="3E149E1F">
      <w:pPr>
        <w:spacing w:after="0" w:line="240" w:lineRule="auto"/>
        <w:ind w:firstLine="720"/>
        <w:jc w:val="both"/>
        <w:rPr>
          <w:rFonts w:ascii="Times New Roman" w:eastAsia="Times New Roman" w:hAnsi="Times New Roman" w:cs="Times New Roman"/>
          <w:color w:val="000000" w:themeColor="text1"/>
        </w:rPr>
      </w:pPr>
      <w:r w:rsidRPr="3E149E1F">
        <w:rPr>
          <w:rStyle w:val="eop"/>
          <w:rFonts w:ascii="Times New Roman" w:eastAsia="Times New Roman" w:hAnsi="Times New Roman" w:cs="Times New Roman"/>
          <w:color w:val="000000" w:themeColor="text1"/>
        </w:rPr>
        <w:t>WHEREAS, FEIS identified significant adverse impacts with respect to transportation (traffic and pedestrians) and construction (traffic, pedestrians, and noise). The proposed mitigation measures are summarized in Chapter 18 “Mitigation” of the FEIS. Potential significant adverse impacts related to hazardous materials, and noise would be avoided through (E) designation (E-</w:t>
      </w:r>
      <w:r w:rsidRPr="3E149E1F">
        <w:rPr>
          <w:rStyle w:val="eop"/>
          <w:rFonts w:ascii="Times New Roman" w:eastAsia="Times New Roman" w:hAnsi="Times New Roman" w:cs="Times New Roman"/>
          <w:color w:val="000000" w:themeColor="text1"/>
        </w:rPr>
        <w:lastRenderedPageBreak/>
        <w:t>124) on the development site (Block 2093, Lot 1), and potential significant impacts related to air quality would be avoided through provisions contained in a Land Disposition Agreement and/or similar Regulatory Agreement which would be would be executed between HPD and the Lessee as specified in FEIS Chapter 9, Chapter 12, and Chapter 11, respectively.</w:t>
      </w:r>
    </w:p>
    <w:p w14:paraId="22831333" w14:textId="4BFE8D2C" w:rsidR="004E763F" w:rsidRDefault="004E763F" w:rsidP="004E763F">
      <w:pPr>
        <w:pStyle w:val="paragraph"/>
        <w:spacing w:before="0" w:beforeAutospacing="0" w:after="0" w:afterAutospacing="0"/>
        <w:ind w:firstLine="720"/>
        <w:jc w:val="both"/>
        <w:textAlignment w:val="baseline"/>
        <w:rPr>
          <w:rFonts w:ascii="Segoe UI" w:hAnsi="Segoe UI" w:cs="Segoe UI"/>
          <w:sz w:val="18"/>
          <w:szCs w:val="18"/>
        </w:rPr>
      </w:pPr>
      <w:r>
        <w:rPr>
          <w:rStyle w:val="eop"/>
          <w:rFonts w:eastAsiaTheme="majorEastAsia"/>
        </w:rPr>
        <w:t> </w:t>
      </w:r>
    </w:p>
    <w:p w14:paraId="1984497F" w14:textId="77777777" w:rsidR="004E763F" w:rsidRDefault="004E763F" w:rsidP="004E763F">
      <w:pPr>
        <w:pStyle w:val="paragraph"/>
        <w:spacing w:before="0" w:beforeAutospacing="0" w:after="0" w:afterAutospacing="0"/>
        <w:jc w:val="both"/>
        <w:textAlignment w:val="baseline"/>
        <w:rPr>
          <w:rStyle w:val="eop"/>
          <w:rFonts w:eastAsiaTheme="majorEastAsia"/>
        </w:rPr>
      </w:pPr>
      <w:r>
        <w:rPr>
          <w:rStyle w:val="normaltextrun"/>
          <w:rFonts w:eastAsiaTheme="majorEastAsia"/>
        </w:rPr>
        <w:t>RESOLVED: </w:t>
      </w:r>
      <w:r>
        <w:rPr>
          <w:rStyle w:val="eop"/>
          <w:rFonts w:eastAsiaTheme="majorEastAsia"/>
        </w:rPr>
        <w:t> </w:t>
      </w:r>
    </w:p>
    <w:p w14:paraId="662B96D5" w14:textId="77777777" w:rsidR="009E6F9F" w:rsidRDefault="009E6F9F" w:rsidP="004E763F">
      <w:pPr>
        <w:pStyle w:val="paragraph"/>
        <w:spacing w:before="0" w:beforeAutospacing="0" w:after="0" w:afterAutospacing="0"/>
        <w:jc w:val="both"/>
        <w:textAlignment w:val="baseline"/>
        <w:rPr>
          <w:rFonts w:ascii="Segoe UI" w:hAnsi="Segoe UI" w:cs="Segoe UI"/>
          <w:sz w:val="18"/>
          <w:szCs w:val="18"/>
        </w:rPr>
      </w:pPr>
    </w:p>
    <w:p w14:paraId="69F9D2B3" w14:textId="7C40FA5E" w:rsidR="57E78A77" w:rsidRDefault="12138227" w:rsidP="3E149E1F">
      <w:pPr>
        <w:spacing w:beforeAutospacing="1" w:after="0" w:afterAutospacing="1" w:line="240" w:lineRule="auto"/>
        <w:ind w:firstLine="720"/>
        <w:jc w:val="both"/>
        <w:rPr>
          <w:rFonts w:ascii="Times New Roman" w:eastAsia="Times New Roman" w:hAnsi="Times New Roman" w:cs="Times New Roman"/>
          <w:color w:val="000000" w:themeColor="text1"/>
        </w:rPr>
      </w:pPr>
      <w:r w:rsidRPr="3E149E1F">
        <w:rPr>
          <w:rStyle w:val="eop"/>
          <w:rFonts w:ascii="Times New Roman" w:eastAsia="Times New Roman" w:hAnsi="Times New Roman" w:cs="Times New Roman"/>
          <w:color w:val="000000" w:themeColor="text1"/>
        </w:rPr>
        <w:t xml:space="preserve">Having considered the FEIS, with respect to the Decision and the </w:t>
      </w:r>
      <w:r w:rsidR="7106EA53" w:rsidRPr="3E149E1F">
        <w:rPr>
          <w:rStyle w:val="eop"/>
          <w:rFonts w:ascii="Times New Roman" w:eastAsia="Times New Roman" w:hAnsi="Times New Roman" w:cs="Times New Roman"/>
          <w:color w:val="000000" w:themeColor="text1"/>
        </w:rPr>
        <w:t>Application</w:t>
      </w:r>
      <w:r w:rsidRPr="3E149E1F">
        <w:rPr>
          <w:rStyle w:val="eop"/>
          <w:rFonts w:ascii="Times New Roman" w:eastAsia="Times New Roman" w:hAnsi="Times New Roman" w:cs="Times New Roman"/>
          <w:color w:val="000000" w:themeColor="text1"/>
        </w:rPr>
        <w:t>, the Council finds:</w:t>
      </w:r>
      <w:r w:rsidR="608B5C0F" w:rsidRPr="3E149E1F">
        <w:rPr>
          <w:rStyle w:val="eop"/>
          <w:rFonts w:ascii="Times New Roman" w:eastAsia="Times New Roman" w:hAnsi="Times New Roman" w:cs="Times New Roman"/>
          <w:color w:val="000000" w:themeColor="text1"/>
        </w:rPr>
        <w:t xml:space="preserve"> </w:t>
      </w:r>
      <w:r w:rsidR="4DFAD196" w:rsidRPr="3E149E1F">
        <w:rPr>
          <w:rStyle w:val="normaltextrun"/>
          <w:rFonts w:ascii="Times New Roman" w:eastAsia="Times New Roman" w:hAnsi="Times New Roman" w:cs="Times New Roman"/>
          <w:color w:val="000000" w:themeColor="text1"/>
        </w:rPr>
        <w:t> </w:t>
      </w:r>
    </w:p>
    <w:p w14:paraId="3423E310" w14:textId="2C09F103" w:rsidR="57E78A77" w:rsidRDefault="1356CB56" w:rsidP="3E149E1F">
      <w:pPr>
        <w:pStyle w:val="ListParagraph"/>
        <w:numPr>
          <w:ilvl w:val="0"/>
          <w:numId w:val="1"/>
        </w:numPr>
        <w:spacing w:before="240" w:after="200" w:line="240" w:lineRule="auto"/>
        <w:rPr>
          <w:rFonts w:ascii="Times New Roman" w:eastAsia="Times New Roman" w:hAnsi="Times New Roman" w:cs="Times New Roman"/>
          <w:color w:val="000000" w:themeColor="text1"/>
        </w:rPr>
      </w:pPr>
      <w:r w:rsidRPr="3E149E1F">
        <w:rPr>
          <w:rFonts w:ascii="Times" w:eastAsia="Times" w:hAnsi="Times" w:cs="Times"/>
          <w:color w:val="000000" w:themeColor="text1"/>
        </w:rPr>
        <w:t>The FEIS meets the re</w:t>
      </w:r>
      <w:r w:rsidRPr="3E149E1F">
        <w:rPr>
          <w:rFonts w:ascii="Times New Roman" w:eastAsia="Times New Roman" w:hAnsi="Times New Roman" w:cs="Times New Roman"/>
          <w:color w:val="000000" w:themeColor="text1"/>
        </w:rPr>
        <w:t xml:space="preserve">quirements of 6 N.Y.C.R.R. Part 617; </w:t>
      </w:r>
    </w:p>
    <w:p w14:paraId="05379F91" w14:textId="1327068E" w:rsidR="57E78A77" w:rsidRDefault="57E78A77" w:rsidP="3E149E1F">
      <w:pPr>
        <w:pStyle w:val="ListParagraph"/>
        <w:spacing w:before="240" w:after="200" w:line="240" w:lineRule="auto"/>
        <w:ind w:left="1080"/>
        <w:rPr>
          <w:rFonts w:ascii="Times New Roman" w:eastAsia="Times New Roman" w:hAnsi="Times New Roman" w:cs="Times New Roman"/>
          <w:color w:val="000000" w:themeColor="text1"/>
        </w:rPr>
      </w:pPr>
    </w:p>
    <w:p w14:paraId="4BD6C5C1" w14:textId="42AC2CD8" w:rsidR="57E78A77" w:rsidRDefault="4DFAD196" w:rsidP="3E149E1F">
      <w:pPr>
        <w:pStyle w:val="ListParagraph"/>
        <w:numPr>
          <w:ilvl w:val="0"/>
          <w:numId w:val="1"/>
        </w:numPr>
        <w:spacing w:before="240" w:after="200" w:line="240" w:lineRule="auto"/>
        <w:rPr>
          <w:rFonts w:ascii="Times New Roman" w:eastAsia="Times New Roman" w:hAnsi="Times New Roman" w:cs="Times New Roman"/>
          <w:color w:val="000000" w:themeColor="text1"/>
        </w:rPr>
      </w:pPr>
      <w:r w:rsidRPr="3E149E1F">
        <w:rPr>
          <w:rFonts w:ascii="Times New Roman" w:eastAsia="Times New Roman" w:hAnsi="Times New Roman" w:cs="Times New Roman"/>
          <w:color w:val="000000" w:themeColor="text1"/>
        </w:rPr>
        <w:t>The environmental impacts disclosed in the FEIS were evaluated in relation to the social, economic, and other considerations associated with the actions that are set forth in this resolution;</w:t>
      </w:r>
    </w:p>
    <w:p w14:paraId="268307BA" w14:textId="3D6E9DC9" w:rsidR="157E3246" w:rsidRDefault="157E3246" w:rsidP="157E3246">
      <w:pPr>
        <w:pStyle w:val="ListParagraph"/>
        <w:spacing w:before="240" w:after="200" w:line="240" w:lineRule="auto"/>
        <w:ind w:left="1080"/>
        <w:rPr>
          <w:rFonts w:ascii="Times New Roman" w:eastAsia="Times New Roman" w:hAnsi="Times New Roman" w:cs="Times New Roman"/>
          <w:color w:val="000000" w:themeColor="text1"/>
        </w:rPr>
      </w:pPr>
    </w:p>
    <w:p w14:paraId="57B37688" w14:textId="32939B81" w:rsidR="57E78A77" w:rsidRDefault="4DFAD196" w:rsidP="157E3246">
      <w:pPr>
        <w:pStyle w:val="ListParagraph"/>
        <w:numPr>
          <w:ilvl w:val="0"/>
          <w:numId w:val="1"/>
        </w:numPr>
        <w:spacing w:before="240" w:after="200" w:line="240" w:lineRule="auto"/>
        <w:rPr>
          <w:rFonts w:ascii="Times New Roman" w:eastAsia="Times New Roman" w:hAnsi="Times New Roman" w:cs="Times New Roman"/>
          <w:color w:val="000000" w:themeColor="text1"/>
        </w:rPr>
      </w:pPr>
      <w:r w:rsidRPr="3E149E1F">
        <w:rPr>
          <w:rFonts w:ascii="Times New Roman" w:eastAsia="Times New Roman" w:hAnsi="Times New Roman" w:cs="Times New Roman"/>
          <w:color w:val="000000" w:themeColor="text1"/>
        </w:rPr>
        <w:t xml:space="preserve">Consistent with social, economic and other essential considerations from among the reasonable alternatives available, the action is one which avoids or minimizes adverse environmental impacts to the maximum extent practicable; and </w:t>
      </w:r>
    </w:p>
    <w:p w14:paraId="20FF9795" w14:textId="33DDFED4" w:rsidR="3E149E1F" w:rsidRDefault="3E149E1F" w:rsidP="3E149E1F">
      <w:pPr>
        <w:pStyle w:val="ListParagraph"/>
        <w:spacing w:before="240" w:after="200" w:line="240" w:lineRule="auto"/>
        <w:ind w:left="1080"/>
        <w:rPr>
          <w:rFonts w:ascii="Times New Roman" w:eastAsia="Times New Roman" w:hAnsi="Times New Roman" w:cs="Times New Roman"/>
          <w:color w:val="000000" w:themeColor="text1"/>
        </w:rPr>
      </w:pPr>
    </w:p>
    <w:p w14:paraId="13D9217F" w14:textId="5F1C7E1C" w:rsidR="157E3246" w:rsidRDefault="4DFAD196" w:rsidP="3E149E1F">
      <w:pPr>
        <w:pStyle w:val="ListParagraph"/>
        <w:numPr>
          <w:ilvl w:val="0"/>
          <w:numId w:val="1"/>
        </w:numPr>
        <w:spacing w:before="240" w:after="200" w:line="240" w:lineRule="auto"/>
        <w:rPr>
          <w:rFonts w:ascii="Times New Roman" w:eastAsia="Times New Roman" w:hAnsi="Times New Roman" w:cs="Times New Roman"/>
          <w:color w:val="000000" w:themeColor="text1"/>
        </w:rPr>
      </w:pPr>
      <w:r w:rsidRPr="3E149E1F">
        <w:rPr>
          <w:rFonts w:ascii="Times New Roman" w:eastAsia="Times New Roman" w:hAnsi="Times New Roman" w:cs="Times New Roman"/>
          <w:color w:val="000000" w:themeColor="text1"/>
        </w:rPr>
        <w:t>The adverse environmental impacts identified in the FEIS will be minimized or avoided to the maximum extent practicable by incorporating the mitigation measures that were identified in the FEIS.</w:t>
      </w:r>
    </w:p>
    <w:p w14:paraId="0723ECAD" w14:textId="35DB4D92" w:rsidR="57E78A77" w:rsidRDefault="4DFAD196" w:rsidP="3E149E1F">
      <w:pPr>
        <w:spacing w:before="240" w:after="200" w:line="240" w:lineRule="auto"/>
        <w:ind w:firstLine="720"/>
        <w:contextualSpacing/>
        <w:rPr>
          <w:rFonts w:ascii="Aptos" w:eastAsia="Aptos" w:hAnsi="Aptos" w:cs="Aptos"/>
          <w:color w:val="000000" w:themeColor="text1"/>
        </w:rPr>
      </w:pPr>
      <w:r w:rsidRPr="3E149E1F">
        <w:rPr>
          <w:rFonts w:ascii="Times New Roman" w:eastAsia="Times New Roman" w:hAnsi="Times New Roman" w:cs="Times New Roman"/>
          <w:color w:val="000000" w:themeColor="text1"/>
        </w:rPr>
        <w:t>The Decision, together with the FEIS issu</w:t>
      </w:r>
      <w:r w:rsidR="30F6868F" w:rsidRPr="3E149E1F">
        <w:rPr>
          <w:rFonts w:ascii="Times New Roman" w:eastAsia="Times New Roman" w:hAnsi="Times New Roman" w:cs="Times New Roman"/>
          <w:color w:val="000000" w:themeColor="text1"/>
        </w:rPr>
        <w:t xml:space="preserve">ed on </w:t>
      </w:r>
      <w:r w:rsidRPr="3E149E1F">
        <w:rPr>
          <w:rFonts w:ascii="Times New Roman" w:eastAsia="Times New Roman" w:hAnsi="Times New Roman" w:cs="Times New Roman"/>
          <w:color w:val="000000" w:themeColor="text1"/>
        </w:rPr>
        <w:t>December 5, 2025, constitutes the written statement of findings that form the basis of the resolution, pursuant to Section 617.11(d) of the SEQRA regulations.  </w:t>
      </w:r>
      <w:r w:rsidRPr="3E149E1F">
        <w:rPr>
          <w:rStyle w:val="eop"/>
          <w:rFonts w:ascii="Aptos" w:eastAsia="Aptos" w:hAnsi="Aptos" w:cs="Aptos"/>
          <w:color w:val="000000" w:themeColor="text1"/>
        </w:rPr>
        <w:t>  </w:t>
      </w:r>
    </w:p>
    <w:p w14:paraId="64C04A97" w14:textId="54B8C879" w:rsidR="157E3246" w:rsidRDefault="157E3246" w:rsidP="157E3246">
      <w:pPr>
        <w:pStyle w:val="paragraph"/>
        <w:spacing w:before="0" w:beforeAutospacing="0" w:after="0" w:afterAutospacing="0"/>
        <w:rPr>
          <w:rFonts w:ascii="Segoe UI" w:hAnsi="Segoe UI" w:cs="Segoe UI"/>
          <w:sz w:val="18"/>
          <w:szCs w:val="18"/>
        </w:rPr>
      </w:pPr>
    </w:p>
    <w:p w14:paraId="313B94B4" w14:textId="72D24F03" w:rsidR="004E763F" w:rsidRDefault="5DA4E845" w:rsidP="3E149E1F">
      <w:pPr>
        <w:pStyle w:val="paragraph"/>
        <w:spacing w:before="0" w:beforeAutospacing="0" w:after="0"/>
        <w:ind w:firstLine="720"/>
        <w:jc w:val="both"/>
        <w:textAlignment w:val="baseline"/>
      </w:pPr>
      <w:r w:rsidRPr="3E149E1F">
        <w:rPr>
          <w:rStyle w:val="normaltextrun"/>
          <w:rFonts w:eastAsiaTheme="majorEastAsia"/>
        </w:rPr>
        <w:t>Pursuant to Section 197-</w:t>
      </w:r>
      <w:r w:rsidR="477DD987" w:rsidRPr="3E149E1F">
        <w:rPr>
          <w:rStyle w:val="normaltextrun"/>
          <w:rFonts w:eastAsiaTheme="majorEastAsia"/>
        </w:rPr>
        <w:t>d</w:t>
      </w:r>
      <w:r w:rsidRPr="3E149E1F">
        <w:rPr>
          <w:rStyle w:val="normaltextrun"/>
          <w:rFonts w:eastAsiaTheme="majorEastAsia"/>
        </w:rPr>
        <w:t> of the New York City Charter,</w:t>
      </w:r>
      <w:r w:rsidR="75E48BE4" w:rsidRPr="3E149E1F">
        <w:rPr>
          <w:rStyle w:val="normaltextrun"/>
          <w:rFonts w:eastAsiaTheme="majorEastAsia"/>
        </w:rPr>
        <w:t xml:space="preserve"> </w:t>
      </w:r>
      <w:r w:rsidRPr="3E149E1F">
        <w:rPr>
          <w:rStyle w:val="normaltextrun"/>
          <w:rFonts w:eastAsiaTheme="majorEastAsia"/>
        </w:rPr>
        <w:t>the</w:t>
      </w:r>
      <w:r w:rsidR="43E02786" w:rsidRPr="3E149E1F">
        <w:rPr>
          <w:rStyle w:val="normaltextrun"/>
          <w:rFonts w:eastAsiaTheme="majorEastAsia"/>
        </w:rPr>
        <w:t xml:space="preserve"> </w:t>
      </w:r>
      <w:r w:rsidR="43E02786" w:rsidRPr="3E149E1F">
        <w:rPr>
          <w:color w:val="000000" w:themeColor="text1"/>
        </w:rPr>
        <w:t>Application and Decision</w:t>
      </w:r>
      <w:r w:rsidRPr="3E149E1F">
        <w:rPr>
          <w:rStyle w:val="normaltextrun"/>
          <w:rFonts w:eastAsiaTheme="majorEastAsia"/>
        </w:rPr>
        <w:t>, the environmental determination and the consideration described in the report C 2</w:t>
      </w:r>
      <w:r w:rsidR="7D163712" w:rsidRPr="3E149E1F">
        <w:rPr>
          <w:rStyle w:val="normaltextrun"/>
          <w:rFonts w:eastAsiaTheme="majorEastAsia"/>
        </w:rPr>
        <w:t>60042</w:t>
      </w:r>
      <w:r w:rsidRPr="3E149E1F">
        <w:rPr>
          <w:rStyle w:val="normaltextrun"/>
          <w:rFonts w:eastAsiaTheme="majorEastAsia"/>
        </w:rPr>
        <w:t xml:space="preserve"> PCK, incorporated by reference herein, and the record before the Council, the Council approves the Decision</w:t>
      </w:r>
      <w:r w:rsidR="54C79289" w:rsidRPr="3E149E1F">
        <w:rPr>
          <w:rStyle w:val="normaltextrun"/>
          <w:rFonts w:eastAsiaTheme="majorEastAsia"/>
        </w:rPr>
        <w:t xml:space="preserve"> for </w:t>
      </w:r>
      <w:r w:rsidR="106C0D5C" w:rsidRPr="3E149E1F">
        <w:t xml:space="preserve">the acquisition of property located at 395 Flatbush Avenue (Block 2093, Lot 1), Borough of Brooklyn, Community District 2, and for site selection of such property for use as a medical clinic, office space, community facility space and laboratories. </w:t>
      </w:r>
    </w:p>
    <w:p w14:paraId="4BD7FF89" w14:textId="57D9B143" w:rsidR="3E149E1F" w:rsidRDefault="3E149E1F" w:rsidP="3E149E1F">
      <w:pPr>
        <w:pStyle w:val="paragraph"/>
        <w:spacing w:before="0" w:beforeAutospacing="0" w:after="0"/>
        <w:ind w:firstLine="720"/>
        <w:jc w:val="both"/>
      </w:pPr>
    </w:p>
    <w:p w14:paraId="55C47908" w14:textId="77777777" w:rsidR="004E763F" w:rsidRDefault="004E763F" w:rsidP="004E763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Adopted. </w:t>
      </w:r>
      <w:r>
        <w:rPr>
          <w:rStyle w:val="eop"/>
          <w:rFonts w:eastAsiaTheme="majorEastAsia"/>
        </w:rPr>
        <w:t> </w:t>
      </w:r>
    </w:p>
    <w:p w14:paraId="6D641839" w14:textId="77777777" w:rsidR="004E763F" w:rsidRDefault="004E763F" w:rsidP="004E763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34022743" w14:textId="77777777" w:rsidR="004E763F" w:rsidRDefault="004E763F" w:rsidP="004E763F">
      <w:pPr>
        <w:pStyle w:val="paragraph"/>
        <w:spacing w:before="0" w:beforeAutospacing="0" w:after="0" w:afterAutospacing="0"/>
        <w:ind w:firstLine="855"/>
        <w:jc w:val="both"/>
        <w:textAlignment w:val="baseline"/>
        <w:rPr>
          <w:rFonts w:ascii="Segoe UI" w:hAnsi="Segoe UI" w:cs="Segoe UI"/>
          <w:sz w:val="18"/>
          <w:szCs w:val="18"/>
        </w:rPr>
      </w:pPr>
      <w:r>
        <w:rPr>
          <w:rStyle w:val="normaltextrun"/>
          <w:rFonts w:eastAsiaTheme="majorEastAsia"/>
        </w:rPr>
        <w:t>Office of the City Clerk, } </w:t>
      </w:r>
      <w:r>
        <w:rPr>
          <w:rStyle w:val="eop"/>
          <w:rFonts w:eastAsiaTheme="majorEastAsia"/>
        </w:rPr>
        <w:t> </w:t>
      </w:r>
    </w:p>
    <w:p w14:paraId="51A90630" w14:textId="77777777" w:rsidR="004E763F" w:rsidRDefault="004E763F" w:rsidP="004E763F">
      <w:pPr>
        <w:pStyle w:val="paragraph"/>
        <w:spacing w:before="0" w:beforeAutospacing="0" w:after="0" w:afterAutospacing="0"/>
        <w:ind w:firstLine="840"/>
        <w:jc w:val="both"/>
        <w:textAlignment w:val="baseline"/>
        <w:rPr>
          <w:rFonts w:ascii="Segoe UI" w:hAnsi="Segoe UI" w:cs="Segoe UI"/>
          <w:sz w:val="18"/>
          <w:szCs w:val="18"/>
        </w:rPr>
      </w:pPr>
      <w:r>
        <w:rPr>
          <w:rStyle w:val="normaltextrun"/>
          <w:rFonts w:eastAsiaTheme="majorEastAsia"/>
        </w:rPr>
        <w:t>The City of New York,  } ss.: </w:t>
      </w:r>
      <w:r>
        <w:rPr>
          <w:rStyle w:val="eop"/>
          <w:rFonts w:eastAsiaTheme="majorEastAsia"/>
        </w:rPr>
        <w:t> </w:t>
      </w:r>
    </w:p>
    <w:p w14:paraId="5C5F38E7" w14:textId="77777777" w:rsidR="004E763F" w:rsidRDefault="004E763F" w:rsidP="004E763F">
      <w:pPr>
        <w:pStyle w:val="paragraph"/>
        <w:spacing w:before="0" w:beforeAutospacing="0" w:after="0" w:afterAutospacing="0"/>
        <w:ind w:firstLine="840"/>
        <w:jc w:val="both"/>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4C16CB1C" w14:textId="65101563" w:rsidR="004E763F" w:rsidRDefault="004E763F" w:rsidP="157E3246">
      <w:pPr>
        <w:pStyle w:val="paragraph"/>
        <w:spacing w:before="0" w:beforeAutospacing="0" w:after="0" w:afterAutospacing="0"/>
        <w:jc w:val="both"/>
        <w:textAlignment w:val="baseline"/>
        <w:rPr>
          <w:rFonts w:ascii="Segoe UI" w:hAnsi="Segoe UI" w:cs="Segoe UI"/>
          <w:sz w:val="18"/>
          <w:szCs w:val="18"/>
        </w:rPr>
      </w:pPr>
      <w:r w:rsidRPr="157E3246">
        <w:rPr>
          <w:rStyle w:val="normaltextrun"/>
          <w:rFonts w:eastAsiaTheme="majorEastAsia"/>
        </w:rPr>
        <w:lastRenderedPageBreak/>
        <w:t>I hereby certify that the foregoing is a true copy of a Resolution passed by The Council of The City of New York on </w:t>
      </w:r>
      <w:r w:rsidR="009662AE" w:rsidRPr="157E3246">
        <w:rPr>
          <w:rStyle w:val="normaltextrun"/>
          <w:rFonts w:eastAsiaTheme="majorEastAsia"/>
        </w:rPr>
        <w:t>February _____</w:t>
      </w:r>
      <w:r w:rsidRPr="157E3246">
        <w:rPr>
          <w:rStyle w:val="normaltextrun"/>
          <w:rFonts w:eastAsiaTheme="majorEastAsia"/>
        </w:rPr>
        <w:t>, 202</w:t>
      </w:r>
      <w:r w:rsidR="009662AE" w:rsidRPr="157E3246">
        <w:rPr>
          <w:rStyle w:val="normaltextrun"/>
          <w:rFonts w:eastAsiaTheme="majorEastAsia"/>
        </w:rPr>
        <w:t>6</w:t>
      </w:r>
      <w:r w:rsidRPr="157E3246">
        <w:rPr>
          <w:rStyle w:val="normaltextrun"/>
          <w:rFonts w:eastAsiaTheme="majorEastAsia"/>
        </w:rPr>
        <w:t>, on file in this office. </w:t>
      </w:r>
      <w:r w:rsidRPr="157E3246">
        <w:rPr>
          <w:rStyle w:val="eop"/>
          <w:rFonts w:eastAsiaTheme="majorEastAsia"/>
        </w:rPr>
        <w:t> </w:t>
      </w:r>
    </w:p>
    <w:p w14:paraId="217ADF2B" w14:textId="77777777" w:rsidR="004E763F" w:rsidRDefault="004E763F" w:rsidP="004E763F">
      <w:pPr>
        <w:pStyle w:val="paragraph"/>
        <w:spacing w:before="0" w:beforeAutospacing="0" w:after="0" w:afterAutospacing="0"/>
        <w:ind w:firstLine="840"/>
        <w:jc w:val="both"/>
        <w:textAlignment w:val="baseline"/>
        <w:rPr>
          <w:rFonts w:ascii="Segoe UI" w:hAnsi="Segoe UI" w:cs="Segoe UI"/>
          <w:sz w:val="18"/>
          <w:szCs w:val="18"/>
        </w:rPr>
      </w:pPr>
      <w:r>
        <w:rPr>
          <w:rStyle w:val="eop"/>
          <w:rFonts w:eastAsiaTheme="majorEastAsia"/>
        </w:rPr>
        <w:t> </w:t>
      </w:r>
    </w:p>
    <w:p w14:paraId="01D040FA" w14:textId="77777777" w:rsidR="004E763F" w:rsidRDefault="004E763F" w:rsidP="004E763F">
      <w:pPr>
        <w:pStyle w:val="paragraph"/>
        <w:spacing w:before="0" w:beforeAutospacing="0" w:after="0" w:afterAutospacing="0"/>
        <w:ind w:firstLine="840"/>
        <w:jc w:val="both"/>
        <w:textAlignment w:val="baseline"/>
        <w:rPr>
          <w:rFonts w:ascii="Segoe UI" w:hAnsi="Segoe UI" w:cs="Segoe UI"/>
          <w:sz w:val="18"/>
          <w:szCs w:val="18"/>
        </w:rPr>
      </w:pPr>
      <w:r>
        <w:rPr>
          <w:rStyle w:val="eop"/>
          <w:rFonts w:ascii="Segoe UI" w:eastAsiaTheme="majorEastAsia" w:hAnsi="Segoe UI" w:cs="Segoe UI"/>
          <w:sz w:val="18"/>
          <w:szCs w:val="18"/>
        </w:rPr>
        <w:t> </w:t>
      </w:r>
    </w:p>
    <w:p w14:paraId="2D596DD2" w14:textId="77777777" w:rsidR="004E763F" w:rsidRDefault="004E763F" w:rsidP="004E763F">
      <w:pPr>
        <w:pStyle w:val="paragraph"/>
        <w:spacing w:before="0" w:beforeAutospacing="0" w:after="0" w:afterAutospacing="0"/>
        <w:jc w:val="right"/>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5AD6D134" w14:textId="77777777" w:rsidR="004E763F" w:rsidRDefault="004E763F" w:rsidP="004E763F">
      <w:pPr>
        <w:pStyle w:val="paragraph"/>
        <w:spacing w:before="0" w:beforeAutospacing="0" w:after="0" w:afterAutospacing="0"/>
        <w:jc w:val="right"/>
        <w:textAlignment w:val="baseline"/>
        <w:rPr>
          <w:rFonts w:ascii="Segoe UI" w:hAnsi="Segoe UI" w:cs="Segoe UI"/>
          <w:sz w:val="18"/>
          <w:szCs w:val="18"/>
        </w:rPr>
      </w:pPr>
      <w:r>
        <w:rPr>
          <w:rStyle w:val="normaltextrun"/>
          <w:rFonts w:eastAsiaTheme="majorEastAsia"/>
        </w:rPr>
        <w:t>City Clerk, Clerk of The Council </w:t>
      </w:r>
      <w:r>
        <w:rPr>
          <w:rStyle w:val="eop"/>
          <w:rFonts w:eastAsiaTheme="majorEastAsia"/>
        </w:rPr>
        <w:t> </w:t>
      </w:r>
    </w:p>
    <w:p w14:paraId="7E24A668" w14:textId="77777777" w:rsidR="004E763F" w:rsidRDefault="004E763F" w:rsidP="004E763F">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21212A71" w14:textId="77777777" w:rsidR="0039604D" w:rsidRDefault="0039604D"/>
    <w:sectPr w:rsidR="0039604D" w:rsidSect="00A031A8">
      <w:head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019C7" w14:textId="77777777" w:rsidR="00ED7FDD" w:rsidRDefault="00ED7FDD" w:rsidP="00A031A8">
      <w:pPr>
        <w:spacing w:after="0" w:line="240" w:lineRule="auto"/>
      </w:pPr>
      <w:r>
        <w:separator/>
      </w:r>
    </w:p>
  </w:endnote>
  <w:endnote w:type="continuationSeparator" w:id="0">
    <w:p w14:paraId="77323FEC" w14:textId="77777777" w:rsidR="00ED7FDD" w:rsidRDefault="00ED7FDD" w:rsidP="00A03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E0BE5" w14:textId="77777777" w:rsidR="00ED7FDD" w:rsidRDefault="00ED7FDD" w:rsidP="00A031A8">
      <w:pPr>
        <w:spacing w:after="0" w:line="240" w:lineRule="auto"/>
      </w:pPr>
      <w:r>
        <w:separator/>
      </w:r>
    </w:p>
  </w:footnote>
  <w:footnote w:type="continuationSeparator" w:id="0">
    <w:p w14:paraId="699C108D" w14:textId="77777777" w:rsidR="00ED7FDD" w:rsidRDefault="00ED7FDD" w:rsidP="00A031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8334A" w14:textId="02FCD2DD" w:rsidR="00A031A8" w:rsidRPr="00A031A8" w:rsidRDefault="00A031A8" w:rsidP="00A031A8">
    <w:pPr>
      <w:widowControl w:val="0"/>
      <w:tabs>
        <w:tab w:val="center" w:pos="4320"/>
        <w:tab w:val="right" w:pos="8640"/>
      </w:tabs>
      <w:spacing w:after="0" w:line="240" w:lineRule="auto"/>
      <w:rPr>
        <w:rFonts w:ascii="Times New Roman" w:eastAsia="Times New Roman" w:hAnsi="Times New Roman" w:cs="Times New Roman"/>
        <w:b/>
        <w:bCs/>
        <w:snapToGrid w:val="0"/>
        <w:kern w:val="0"/>
        <w14:ligatures w14:val="none"/>
      </w:rPr>
    </w:pPr>
    <w:r w:rsidRPr="00A031A8">
      <w:rPr>
        <w:rFonts w:ascii="Times New Roman" w:eastAsia="Times New Roman" w:hAnsi="Times New Roman" w:cs="Times New Roman"/>
        <w:b/>
        <w:bCs/>
        <w:snapToGrid w:val="0"/>
        <w:kern w:val="0"/>
        <w14:ligatures w14:val="none"/>
      </w:rPr>
      <w:t xml:space="preserve">Page </w:t>
    </w:r>
    <w:r w:rsidRPr="00A031A8">
      <w:rPr>
        <w:rFonts w:ascii="Times New Roman" w:eastAsia="Times New Roman" w:hAnsi="Times New Roman" w:cs="Times New Roman"/>
        <w:b/>
        <w:bCs/>
        <w:snapToGrid w:val="0"/>
        <w:kern w:val="0"/>
        <w14:ligatures w14:val="none"/>
      </w:rPr>
      <w:fldChar w:fldCharType="begin"/>
    </w:r>
    <w:r w:rsidRPr="00A031A8">
      <w:rPr>
        <w:rFonts w:ascii="Times New Roman" w:eastAsia="Times New Roman" w:hAnsi="Times New Roman" w:cs="Times New Roman"/>
        <w:b/>
        <w:bCs/>
        <w:snapToGrid w:val="0"/>
        <w:kern w:val="0"/>
        <w14:ligatures w14:val="none"/>
      </w:rPr>
      <w:instrText xml:space="preserve"> PAGE </w:instrText>
    </w:r>
    <w:r w:rsidRPr="00A031A8">
      <w:rPr>
        <w:rFonts w:ascii="Times New Roman" w:eastAsia="Times New Roman" w:hAnsi="Times New Roman" w:cs="Times New Roman"/>
        <w:b/>
        <w:bCs/>
        <w:snapToGrid w:val="0"/>
        <w:kern w:val="0"/>
        <w14:ligatures w14:val="none"/>
      </w:rPr>
      <w:fldChar w:fldCharType="separate"/>
    </w:r>
    <w:r w:rsidRPr="00A031A8">
      <w:rPr>
        <w:rFonts w:ascii="Times New Roman" w:eastAsia="Times New Roman" w:hAnsi="Times New Roman" w:cs="Times New Roman"/>
        <w:b/>
        <w:bCs/>
        <w:snapToGrid w:val="0"/>
        <w:kern w:val="0"/>
        <w:szCs w:val="20"/>
        <w14:ligatures w14:val="none"/>
      </w:rPr>
      <w:t>2</w:t>
    </w:r>
    <w:r w:rsidRPr="00A031A8">
      <w:rPr>
        <w:rFonts w:ascii="Times New Roman" w:eastAsia="Times New Roman" w:hAnsi="Times New Roman" w:cs="Times New Roman"/>
        <w:b/>
        <w:bCs/>
        <w:snapToGrid w:val="0"/>
        <w:kern w:val="0"/>
        <w14:ligatures w14:val="none"/>
      </w:rPr>
      <w:fldChar w:fldCharType="end"/>
    </w:r>
    <w:r w:rsidRPr="00A031A8">
      <w:rPr>
        <w:rFonts w:ascii="Times New Roman" w:eastAsia="Times New Roman" w:hAnsi="Times New Roman" w:cs="Times New Roman"/>
        <w:b/>
        <w:bCs/>
        <w:snapToGrid w:val="0"/>
        <w:kern w:val="0"/>
        <w14:ligatures w14:val="none"/>
      </w:rPr>
      <w:t xml:space="preserve"> of</w:t>
    </w:r>
    <w:r>
      <w:rPr>
        <w:rFonts w:ascii="Times New Roman" w:eastAsia="Times New Roman" w:hAnsi="Times New Roman" w:cs="Times New Roman"/>
        <w:b/>
        <w:bCs/>
        <w:snapToGrid w:val="0"/>
        <w:kern w:val="0"/>
        <w14:ligatures w14:val="none"/>
      </w:rPr>
      <w:t xml:space="preserve"> 2</w:t>
    </w:r>
  </w:p>
  <w:p w14:paraId="067474E1" w14:textId="5D265520" w:rsidR="00A031A8" w:rsidRPr="00A031A8" w:rsidRDefault="00A031A8" w:rsidP="00A031A8">
    <w:pPr>
      <w:widowControl w:val="0"/>
      <w:tabs>
        <w:tab w:val="center" w:pos="4320"/>
        <w:tab w:val="right" w:pos="8640"/>
      </w:tabs>
      <w:spacing w:after="0" w:line="240" w:lineRule="auto"/>
      <w:rPr>
        <w:rFonts w:ascii="Times New Roman" w:eastAsia="Times New Roman" w:hAnsi="Times New Roman" w:cs="Times New Roman"/>
        <w:b/>
        <w:bCs/>
        <w:snapToGrid w:val="0"/>
        <w:kern w:val="0"/>
        <w14:ligatures w14:val="none"/>
      </w:rPr>
    </w:pPr>
    <w:r w:rsidRPr="00A031A8">
      <w:rPr>
        <w:rFonts w:ascii="Times New Roman" w:eastAsia="Times New Roman" w:hAnsi="Times New Roman" w:cs="Times New Roman"/>
        <w:b/>
        <w:bCs/>
        <w:snapToGrid w:val="0"/>
        <w:kern w:val="0"/>
        <w14:ligatures w14:val="none"/>
      </w:rPr>
      <w:t>C 26004</w:t>
    </w:r>
    <w:r>
      <w:rPr>
        <w:rFonts w:ascii="Times New Roman" w:eastAsia="Times New Roman" w:hAnsi="Times New Roman" w:cs="Times New Roman"/>
        <w:b/>
        <w:bCs/>
        <w:snapToGrid w:val="0"/>
        <w:kern w:val="0"/>
        <w14:ligatures w14:val="none"/>
      </w:rPr>
      <w:t>2</w:t>
    </w:r>
    <w:r w:rsidRPr="00A031A8">
      <w:rPr>
        <w:rFonts w:ascii="Times New Roman" w:eastAsia="Times New Roman" w:hAnsi="Times New Roman" w:cs="Times New Roman"/>
        <w:b/>
        <w:bCs/>
        <w:snapToGrid w:val="0"/>
        <w:kern w:val="0"/>
        <w14:ligatures w14:val="none"/>
      </w:rPr>
      <w:t xml:space="preserve"> </w:t>
    </w:r>
    <w:r>
      <w:rPr>
        <w:rFonts w:ascii="Times New Roman" w:eastAsia="Times New Roman" w:hAnsi="Times New Roman" w:cs="Times New Roman"/>
        <w:b/>
        <w:bCs/>
        <w:snapToGrid w:val="0"/>
        <w:kern w:val="0"/>
        <w14:ligatures w14:val="none"/>
      </w:rPr>
      <w:t>PC</w:t>
    </w:r>
    <w:r w:rsidRPr="00A031A8">
      <w:rPr>
        <w:rFonts w:ascii="Times New Roman" w:eastAsia="Times New Roman" w:hAnsi="Times New Roman" w:cs="Times New Roman"/>
        <w:b/>
        <w:bCs/>
        <w:snapToGrid w:val="0"/>
        <w:kern w:val="0"/>
        <w14:ligatures w14:val="none"/>
      </w:rPr>
      <w:t>K</w:t>
    </w:r>
  </w:p>
  <w:p w14:paraId="3CB48ACB" w14:textId="77DDFCCD" w:rsidR="00A031A8" w:rsidRPr="00A031A8" w:rsidRDefault="00A031A8" w:rsidP="00A031A8">
    <w:pPr>
      <w:widowControl w:val="0"/>
      <w:tabs>
        <w:tab w:val="center" w:pos="4320"/>
        <w:tab w:val="right" w:pos="8640"/>
      </w:tabs>
      <w:spacing w:after="0" w:line="240" w:lineRule="auto"/>
      <w:rPr>
        <w:rFonts w:ascii="Times New Roman" w:eastAsia="Times New Roman" w:hAnsi="Times New Roman" w:cs="Times New Roman"/>
        <w:b/>
        <w:bCs/>
        <w:snapToGrid w:val="0"/>
        <w:kern w:val="0"/>
        <w14:ligatures w14:val="none"/>
      </w:rPr>
    </w:pPr>
    <w:r w:rsidRPr="00A031A8">
      <w:rPr>
        <w:rFonts w:ascii="Times New Roman" w:eastAsia="Times New Roman" w:hAnsi="Times New Roman" w:cs="Times New Roman"/>
        <w:b/>
        <w:bCs/>
        <w:snapToGrid w:val="0"/>
        <w:kern w:val="0"/>
        <w14:ligatures w14:val="none"/>
      </w:rPr>
      <w:t>Res. No. ___ (L.U. No. 1</w:t>
    </w:r>
    <w:r>
      <w:rPr>
        <w:rFonts w:ascii="Times New Roman" w:eastAsia="Times New Roman" w:hAnsi="Times New Roman" w:cs="Times New Roman"/>
        <w:b/>
        <w:bCs/>
        <w:snapToGrid w:val="0"/>
        <w:kern w:val="0"/>
        <w14:ligatures w14:val="none"/>
      </w:rPr>
      <w:t>6</w:t>
    </w:r>
    <w:r w:rsidRPr="00A031A8">
      <w:rPr>
        <w:rFonts w:ascii="Times New Roman" w:eastAsia="Times New Roman" w:hAnsi="Times New Roman" w:cs="Times New Roman"/>
        <w:b/>
        <w:bCs/>
        <w:snapToGrid w:val="0"/>
        <w:kern w:val="0"/>
        <w14:ligatures w14:val="none"/>
      </w:rPr>
      <w:t>)</w:t>
    </w:r>
  </w:p>
  <w:p w14:paraId="32D24650" w14:textId="568E9195" w:rsidR="00A031A8" w:rsidRDefault="00A031A8">
    <w:pPr>
      <w:pStyle w:val="Header"/>
    </w:pPr>
  </w:p>
  <w:p w14:paraId="71628349" w14:textId="77777777" w:rsidR="00A031A8" w:rsidRDefault="00A031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5FDF"/>
    <w:multiLevelType w:val="multilevel"/>
    <w:tmpl w:val="6E727A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340729"/>
    <w:multiLevelType w:val="multilevel"/>
    <w:tmpl w:val="D27EA7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EB853EC"/>
    <w:multiLevelType w:val="multilevel"/>
    <w:tmpl w:val="75A0088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135E2CDC"/>
    <w:multiLevelType w:val="multilevel"/>
    <w:tmpl w:val="74B84C94"/>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16526E72"/>
    <w:multiLevelType w:val="multilevel"/>
    <w:tmpl w:val="C8A2A3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120E1C"/>
    <w:multiLevelType w:val="multilevel"/>
    <w:tmpl w:val="E66A32F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1F0D5EBE"/>
    <w:multiLevelType w:val="multilevel"/>
    <w:tmpl w:val="D046B712"/>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15:restartNumberingAfterBreak="0">
    <w:nsid w:val="2A22036E"/>
    <w:multiLevelType w:val="multilevel"/>
    <w:tmpl w:val="8932C008"/>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30806820"/>
    <w:multiLevelType w:val="multilevel"/>
    <w:tmpl w:val="9E084A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C259C1"/>
    <w:multiLevelType w:val="multilevel"/>
    <w:tmpl w:val="F1BAFF96"/>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37544787"/>
    <w:multiLevelType w:val="multilevel"/>
    <w:tmpl w:val="906CFB0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39D1597B"/>
    <w:multiLevelType w:val="multilevel"/>
    <w:tmpl w:val="1250F984"/>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15:restartNumberingAfterBreak="0">
    <w:nsid w:val="3C387822"/>
    <w:multiLevelType w:val="multilevel"/>
    <w:tmpl w:val="1494DE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F03CDA"/>
    <w:multiLevelType w:val="multilevel"/>
    <w:tmpl w:val="78E44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A67128"/>
    <w:multiLevelType w:val="multilevel"/>
    <w:tmpl w:val="A336C4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47961B81"/>
    <w:multiLevelType w:val="multilevel"/>
    <w:tmpl w:val="B7B08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CB05A9"/>
    <w:multiLevelType w:val="multilevel"/>
    <w:tmpl w:val="A8601E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CA2A2A"/>
    <w:multiLevelType w:val="multilevel"/>
    <w:tmpl w:val="844E4AD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529A1895"/>
    <w:multiLevelType w:val="multilevel"/>
    <w:tmpl w:val="5E7C1F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AA3CEA"/>
    <w:multiLevelType w:val="multilevel"/>
    <w:tmpl w:val="26504F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9B5B98"/>
    <w:multiLevelType w:val="multilevel"/>
    <w:tmpl w:val="4D3AFE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A326106"/>
    <w:multiLevelType w:val="multilevel"/>
    <w:tmpl w:val="D0CCB4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C9B393F"/>
    <w:multiLevelType w:val="multilevel"/>
    <w:tmpl w:val="DF3A706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6F760E8D"/>
    <w:multiLevelType w:val="hybridMultilevel"/>
    <w:tmpl w:val="E24E6C10"/>
    <w:lvl w:ilvl="0" w:tplc="1D26B39A">
      <w:start w:val="1"/>
      <w:numFmt w:val="decimal"/>
      <w:lvlText w:val="%1."/>
      <w:lvlJc w:val="left"/>
      <w:pPr>
        <w:ind w:left="1080" w:hanging="360"/>
      </w:pPr>
      <w:rPr>
        <w:rFonts w:ascii="Times New Roman" w:hAnsi="Times New Roman" w:hint="default"/>
      </w:rPr>
    </w:lvl>
    <w:lvl w:ilvl="1" w:tplc="B7FE15C2">
      <w:start w:val="1"/>
      <w:numFmt w:val="lowerLetter"/>
      <w:lvlText w:val="%2."/>
      <w:lvlJc w:val="left"/>
      <w:pPr>
        <w:ind w:left="1440" w:hanging="360"/>
      </w:pPr>
    </w:lvl>
    <w:lvl w:ilvl="2" w:tplc="3828C5C2">
      <w:start w:val="1"/>
      <w:numFmt w:val="lowerRoman"/>
      <w:lvlText w:val="%3."/>
      <w:lvlJc w:val="right"/>
      <w:pPr>
        <w:ind w:left="2160" w:hanging="180"/>
      </w:pPr>
    </w:lvl>
    <w:lvl w:ilvl="3" w:tplc="611E4EE8">
      <w:start w:val="1"/>
      <w:numFmt w:val="decimal"/>
      <w:lvlText w:val="%4."/>
      <w:lvlJc w:val="left"/>
      <w:pPr>
        <w:ind w:left="2880" w:hanging="360"/>
      </w:pPr>
    </w:lvl>
    <w:lvl w:ilvl="4" w:tplc="753624E0">
      <w:start w:val="1"/>
      <w:numFmt w:val="lowerLetter"/>
      <w:lvlText w:val="%5."/>
      <w:lvlJc w:val="left"/>
      <w:pPr>
        <w:ind w:left="3600" w:hanging="360"/>
      </w:pPr>
    </w:lvl>
    <w:lvl w:ilvl="5" w:tplc="F500A186">
      <w:start w:val="1"/>
      <w:numFmt w:val="lowerRoman"/>
      <w:lvlText w:val="%6."/>
      <w:lvlJc w:val="right"/>
      <w:pPr>
        <w:ind w:left="4320" w:hanging="180"/>
      </w:pPr>
    </w:lvl>
    <w:lvl w:ilvl="6" w:tplc="1F66E92C">
      <w:start w:val="1"/>
      <w:numFmt w:val="decimal"/>
      <w:lvlText w:val="%7."/>
      <w:lvlJc w:val="left"/>
      <w:pPr>
        <w:ind w:left="5040" w:hanging="360"/>
      </w:pPr>
    </w:lvl>
    <w:lvl w:ilvl="7" w:tplc="CEF63A0E">
      <w:start w:val="1"/>
      <w:numFmt w:val="lowerLetter"/>
      <w:lvlText w:val="%8."/>
      <w:lvlJc w:val="left"/>
      <w:pPr>
        <w:ind w:left="5760" w:hanging="360"/>
      </w:pPr>
    </w:lvl>
    <w:lvl w:ilvl="8" w:tplc="7BAE4EA0">
      <w:start w:val="1"/>
      <w:numFmt w:val="lowerRoman"/>
      <w:lvlText w:val="%9."/>
      <w:lvlJc w:val="right"/>
      <w:pPr>
        <w:ind w:left="6480" w:hanging="180"/>
      </w:pPr>
    </w:lvl>
  </w:abstractNum>
  <w:abstractNum w:abstractNumId="24" w15:restartNumberingAfterBreak="0">
    <w:nsid w:val="732D4C14"/>
    <w:multiLevelType w:val="multilevel"/>
    <w:tmpl w:val="A3128DA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15:restartNumberingAfterBreak="0">
    <w:nsid w:val="73F66494"/>
    <w:multiLevelType w:val="multilevel"/>
    <w:tmpl w:val="9E3E4C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7723251">
    <w:abstractNumId w:val="23"/>
  </w:num>
  <w:num w:numId="2" w16cid:durableId="1647737607">
    <w:abstractNumId w:val="1"/>
  </w:num>
  <w:num w:numId="3" w16cid:durableId="657615189">
    <w:abstractNumId w:val="5"/>
  </w:num>
  <w:num w:numId="4" w16cid:durableId="2089183775">
    <w:abstractNumId w:val="10"/>
  </w:num>
  <w:num w:numId="5" w16cid:durableId="508376477">
    <w:abstractNumId w:val="22"/>
  </w:num>
  <w:num w:numId="6" w16cid:durableId="212273043">
    <w:abstractNumId w:val="3"/>
  </w:num>
  <w:num w:numId="7" w16cid:durableId="2036686259">
    <w:abstractNumId w:val="14"/>
  </w:num>
  <w:num w:numId="8" w16cid:durableId="64881708">
    <w:abstractNumId w:val="24"/>
  </w:num>
  <w:num w:numId="9" w16cid:durableId="1573852740">
    <w:abstractNumId w:val="13"/>
  </w:num>
  <w:num w:numId="10" w16cid:durableId="918514392">
    <w:abstractNumId w:val="25"/>
  </w:num>
  <w:num w:numId="11" w16cid:durableId="1695034596">
    <w:abstractNumId w:val="8"/>
  </w:num>
  <w:num w:numId="12" w16cid:durableId="1975673775">
    <w:abstractNumId w:val="21"/>
  </w:num>
  <w:num w:numId="13" w16cid:durableId="1121143131">
    <w:abstractNumId w:val="0"/>
  </w:num>
  <w:num w:numId="14" w16cid:durableId="1333488790">
    <w:abstractNumId w:val="20"/>
  </w:num>
  <w:num w:numId="15" w16cid:durableId="1463646521">
    <w:abstractNumId w:val="2"/>
  </w:num>
  <w:num w:numId="16" w16cid:durableId="1653680205">
    <w:abstractNumId w:val="17"/>
  </w:num>
  <w:num w:numId="17" w16cid:durableId="1815220095">
    <w:abstractNumId w:val="11"/>
  </w:num>
  <w:num w:numId="18" w16cid:durableId="1689719622">
    <w:abstractNumId w:val="6"/>
  </w:num>
  <w:num w:numId="19" w16cid:durableId="869075715">
    <w:abstractNumId w:val="7"/>
  </w:num>
  <w:num w:numId="20" w16cid:durableId="1592545793">
    <w:abstractNumId w:val="9"/>
  </w:num>
  <w:num w:numId="21" w16cid:durableId="728764371">
    <w:abstractNumId w:val="12"/>
  </w:num>
  <w:num w:numId="22" w16cid:durableId="449325123">
    <w:abstractNumId w:val="18"/>
  </w:num>
  <w:num w:numId="23" w16cid:durableId="1874883083">
    <w:abstractNumId w:val="19"/>
  </w:num>
  <w:num w:numId="24" w16cid:durableId="1135215576">
    <w:abstractNumId w:val="15"/>
  </w:num>
  <w:num w:numId="25" w16cid:durableId="69548233">
    <w:abstractNumId w:val="4"/>
  </w:num>
  <w:num w:numId="26" w16cid:durableId="19178631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63F"/>
    <w:rsid w:val="00044633"/>
    <w:rsid w:val="000A45F4"/>
    <w:rsid w:val="00143EDF"/>
    <w:rsid w:val="0039604D"/>
    <w:rsid w:val="004E763F"/>
    <w:rsid w:val="00607EFD"/>
    <w:rsid w:val="006E6B22"/>
    <w:rsid w:val="009662AE"/>
    <w:rsid w:val="009E6F9F"/>
    <w:rsid w:val="00A031A8"/>
    <w:rsid w:val="00D0772C"/>
    <w:rsid w:val="00D96890"/>
    <w:rsid w:val="00DC1BB3"/>
    <w:rsid w:val="00ED7FDD"/>
    <w:rsid w:val="039C91AE"/>
    <w:rsid w:val="0FC09E76"/>
    <w:rsid w:val="106C0D5C"/>
    <w:rsid w:val="12138227"/>
    <w:rsid w:val="1356CB56"/>
    <w:rsid w:val="157E3246"/>
    <w:rsid w:val="1C62CBE2"/>
    <w:rsid w:val="1EB07B86"/>
    <w:rsid w:val="2347EE3B"/>
    <w:rsid w:val="27F7119F"/>
    <w:rsid w:val="28F93986"/>
    <w:rsid w:val="298914C6"/>
    <w:rsid w:val="30F6868F"/>
    <w:rsid w:val="34B10BF2"/>
    <w:rsid w:val="383F4656"/>
    <w:rsid w:val="3B3BACAE"/>
    <w:rsid w:val="3E149E1F"/>
    <w:rsid w:val="43E02786"/>
    <w:rsid w:val="440450BC"/>
    <w:rsid w:val="477DD987"/>
    <w:rsid w:val="4DFAD196"/>
    <w:rsid w:val="4E0D6CD7"/>
    <w:rsid w:val="4FD5E97B"/>
    <w:rsid w:val="54C79289"/>
    <w:rsid w:val="556EABC6"/>
    <w:rsid w:val="57E78A77"/>
    <w:rsid w:val="59E3989D"/>
    <w:rsid w:val="5C68388F"/>
    <w:rsid w:val="5DA4E845"/>
    <w:rsid w:val="607BD184"/>
    <w:rsid w:val="608B5C0F"/>
    <w:rsid w:val="61CFC6D4"/>
    <w:rsid w:val="64DA6D4C"/>
    <w:rsid w:val="7106EA53"/>
    <w:rsid w:val="75E48BE4"/>
    <w:rsid w:val="768D5728"/>
    <w:rsid w:val="799354A3"/>
    <w:rsid w:val="7D1637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88D27"/>
  <w15:chartTrackingRefBased/>
  <w15:docId w15:val="{8B06D43B-7822-4373-8B49-4DB7B1281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76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76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76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76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76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76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76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76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76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76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76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76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76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76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76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76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76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763F"/>
    <w:rPr>
      <w:rFonts w:eastAsiaTheme="majorEastAsia" w:cstheme="majorBidi"/>
      <w:color w:val="272727" w:themeColor="text1" w:themeTint="D8"/>
    </w:rPr>
  </w:style>
  <w:style w:type="paragraph" w:styleId="Title">
    <w:name w:val="Title"/>
    <w:basedOn w:val="Normal"/>
    <w:next w:val="Normal"/>
    <w:link w:val="TitleChar"/>
    <w:uiPriority w:val="10"/>
    <w:qFormat/>
    <w:rsid w:val="004E76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76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76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76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763F"/>
    <w:pPr>
      <w:spacing w:before="160"/>
      <w:jc w:val="center"/>
    </w:pPr>
    <w:rPr>
      <w:i/>
      <w:iCs/>
      <w:color w:val="404040" w:themeColor="text1" w:themeTint="BF"/>
    </w:rPr>
  </w:style>
  <w:style w:type="character" w:customStyle="1" w:styleId="QuoteChar">
    <w:name w:val="Quote Char"/>
    <w:basedOn w:val="DefaultParagraphFont"/>
    <w:link w:val="Quote"/>
    <w:uiPriority w:val="29"/>
    <w:rsid w:val="004E763F"/>
    <w:rPr>
      <w:i/>
      <w:iCs/>
      <w:color w:val="404040" w:themeColor="text1" w:themeTint="BF"/>
    </w:rPr>
  </w:style>
  <w:style w:type="paragraph" w:styleId="ListParagraph">
    <w:name w:val="List Paragraph"/>
    <w:basedOn w:val="Normal"/>
    <w:uiPriority w:val="34"/>
    <w:qFormat/>
    <w:rsid w:val="004E763F"/>
    <w:pPr>
      <w:ind w:left="720"/>
      <w:contextualSpacing/>
    </w:pPr>
  </w:style>
  <w:style w:type="character" w:styleId="IntenseEmphasis">
    <w:name w:val="Intense Emphasis"/>
    <w:basedOn w:val="DefaultParagraphFont"/>
    <w:uiPriority w:val="21"/>
    <w:qFormat/>
    <w:rsid w:val="004E763F"/>
    <w:rPr>
      <w:i/>
      <w:iCs/>
      <w:color w:val="0F4761" w:themeColor="accent1" w:themeShade="BF"/>
    </w:rPr>
  </w:style>
  <w:style w:type="paragraph" w:styleId="IntenseQuote">
    <w:name w:val="Intense Quote"/>
    <w:basedOn w:val="Normal"/>
    <w:next w:val="Normal"/>
    <w:link w:val="IntenseQuoteChar"/>
    <w:uiPriority w:val="30"/>
    <w:qFormat/>
    <w:rsid w:val="004E76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763F"/>
    <w:rPr>
      <w:i/>
      <w:iCs/>
      <w:color w:val="0F4761" w:themeColor="accent1" w:themeShade="BF"/>
    </w:rPr>
  </w:style>
  <w:style w:type="character" w:styleId="IntenseReference">
    <w:name w:val="Intense Reference"/>
    <w:basedOn w:val="DefaultParagraphFont"/>
    <w:uiPriority w:val="32"/>
    <w:qFormat/>
    <w:rsid w:val="004E763F"/>
    <w:rPr>
      <w:b/>
      <w:bCs/>
      <w:smallCaps/>
      <w:color w:val="0F4761" w:themeColor="accent1" w:themeShade="BF"/>
      <w:spacing w:val="5"/>
    </w:rPr>
  </w:style>
  <w:style w:type="paragraph" w:customStyle="1" w:styleId="paragraph">
    <w:name w:val="paragraph"/>
    <w:basedOn w:val="Normal"/>
    <w:rsid w:val="004E763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4E763F"/>
  </w:style>
  <w:style w:type="character" w:customStyle="1" w:styleId="eop">
    <w:name w:val="eop"/>
    <w:basedOn w:val="DefaultParagraphFont"/>
    <w:rsid w:val="004E763F"/>
  </w:style>
  <w:style w:type="character" w:customStyle="1" w:styleId="tabchar">
    <w:name w:val="tabchar"/>
    <w:basedOn w:val="DefaultParagraphFont"/>
    <w:rsid w:val="004E763F"/>
  </w:style>
  <w:style w:type="paragraph" w:styleId="Header">
    <w:name w:val="header"/>
    <w:basedOn w:val="Normal"/>
    <w:link w:val="HeaderChar"/>
    <w:uiPriority w:val="99"/>
    <w:unhideWhenUsed/>
    <w:rsid w:val="00A031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31A8"/>
  </w:style>
  <w:style w:type="paragraph" w:styleId="Footer">
    <w:name w:val="footer"/>
    <w:basedOn w:val="Normal"/>
    <w:link w:val="FooterChar"/>
    <w:uiPriority w:val="99"/>
    <w:unhideWhenUsed/>
    <w:rsid w:val="00A031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31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C04F87-7A00-4A7F-8F6A-23CF11392A5E}">
  <ds:schemaRefs>
    <ds:schemaRef ds:uri="http://schemas.microsoft.com/sharepoint/v3/contenttype/forms"/>
  </ds:schemaRefs>
</ds:datastoreItem>
</file>

<file path=customXml/itemProps2.xml><?xml version="1.0" encoding="utf-8"?>
<ds:datastoreItem xmlns:ds="http://schemas.openxmlformats.org/officeDocument/2006/customXml" ds:itemID="{8B87B3A3-7F5A-45D8-888A-43F1471F1DA0}">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3.xml><?xml version="1.0" encoding="utf-8"?>
<ds:datastoreItem xmlns:ds="http://schemas.openxmlformats.org/officeDocument/2006/customXml" ds:itemID="{34287E3B-4FA7-46C0-AADF-A3CB984268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772</Words>
  <Characters>4407</Characters>
  <Application>Microsoft Office Word</Application>
  <DocSecurity>0</DocSecurity>
  <Lines>36</Lines>
  <Paragraphs>10</Paragraphs>
  <ScaleCrop>false</ScaleCrop>
  <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Sandy</dc:creator>
  <cp:keywords/>
  <dc:description/>
  <cp:lastModifiedBy>Jeffries, Jillian</cp:lastModifiedBy>
  <cp:revision>3</cp:revision>
  <dcterms:created xsi:type="dcterms:W3CDTF">2026-02-24T19:37:00Z</dcterms:created>
  <dcterms:modified xsi:type="dcterms:W3CDTF">2026-03-10T18:50:00Z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