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1137</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charter, in relation to the budgets of the equal employment practices commission and the commission on civil and human rights.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The Equal Employment Practices Commission (EEPC) is a vital defender of essential civil</w:t>
      </w:r>
    </w:p>
    <w:p w:rsidR="00000000" w:rsidDel="00000000" w:rsidP="00000000" w:rsidRDefault="00000000" w:rsidRPr="00000000" w14:paraId="00000013">
      <w:pPr>
        <w:rPr/>
      </w:pPr>
      <w:r w:rsidDel="00000000" w:rsidR="00000000" w:rsidRPr="00000000">
        <w:rPr>
          <w:rtl w:val="0"/>
        </w:rPr>
        <w:t xml:space="preserve">rights, providing indispensable and otherwise unavailable services to the people of New York. This small agency of less than a dozen employees assists 143 other City entities in ensuring equal employment opportunity (EEO) within our municipal workforce. Despite its significant responsibilities to over 300,000 New York City employees, EEPC is one of the smallest</w:t>
      </w:r>
    </w:p>
    <w:p w:rsidR="00000000" w:rsidDel="00000000" w:rsidP="00000000" w:rsidRDefault="00000000" w:rsidRPr="00000000" w14:paraId="00000014">
      <w:pPr>
        <w:rPr/>
      </w:pPr>
      <w:r w:rsidDel="00000000" w:rsidR="00000000" w:rsidRPr="00000000">
        <w:rPr>
          <w:rtl w:val="0"/>
        </w:rPr>
        <w:t xml:space="preserve">agencies in New York City. It is also rarely spared from the worst cuts of past budgets, including this one, while also never receiving adequate investments from past Administrations in more fiscally solvent times. This means today, years of disinvestment have had a significant impact on the EEPC's ability to fulfill its charter mandate and the requirements of Local Law 13 related to underutilization research and reporting. This also impacts their ability to ensure the City of New York identifies and acts on disparities before they become costly lawsuits. </w:t>
      </w:r>
    </w:p>
    <w:p w:rsidR="00000000" w:rsidDel="00000000" w:rsidP="00000000" w:rsidRDefault="00000000" w:rsidRPr="00000000" w14:paraId="00000015">
      <w:pPr>
        <w:rPr/>
      </w:pPr>
      <w:r w:rsidDel="00000000" w:rsidR="00000000" w:rsidRPr="00000000">
        <w:rPr>
          <w:rtl w:val="0"/>
        </w:rPr>
        <w:t xml:space="preserve">Similarly, the Commission on Civil and Human Rights (CCHR) has faced a staffing drop of 73% since 2018, while hate crimes and discrimination inquiries have surged. In 2024, CCHR resolved only 471 of their 12,190 inquiries in large part due to divestments from the Commission. With such divestments from EEPC and CCHR, pinning the Commissions’ operating budgets to the City’s personnel budget would free these understaffed agencies from the politically volatile budget negotiations process.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rl9XppCgTT1/CPUWWFcWZoKWuQ==">CgMxLjA4AHIhMVlxQjlaVzZPUnlBOVgxdUV6ODMxOVZuYmdUNDNPTDFo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