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0098</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administrative code of the city of New York, in relation to requiring the department of correction and correctional health services to establish a medical clinic to treat persons transported to a court facility.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In 1976, the United States Supreme Court case </w:t>
      </w:r>
      <w:r w:rsidDel="00000000" w:rsidR="00000000" w:rsidRPr="00000000">
        <w:rPr>
          <w:i w:val="1"/>
          <w:iCs w:val="1"/>
          <w:rtl w:val="0"/>
        </w:rPr>
        <w:t xml:space="preserve">Estelle v. Gamble</w:t>
      </w:r>
      <w:r w:rsidDel="00000000" w:rsidR="00000000" w:rsidRPr="00000000">
        <w:rPr>
          <w:rtl w:val="0"/>
        </w:rPr>
        <w:t xml:space="preserve"> found that deliberate indifference to an individual’s medical needs amounts to cruel and unusual punishment and thus violates the US Constitution. Despite this, our courts continue to neglect the medical needs of incarcerated people, resulting in the deaths of hundreds each year. One chilling example is that of 25 year old Leron Jones, who on February 9, 2024 after experiencing a seizure on the floor of a Manhattan courtroom died after not being able to get timely medical attention. Leron’s story is just one that underscores the necessity of medical professionals being present in our courts to address potential medical crises quickly.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hFUtfSTIOE0JoEPBH9LiHkWwlQ==">CgMxLjA4AHIhMWNiU3o3OTdfX0JvLU9GRU1hSXh4b1hwY3Q5eWZ0cGxi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