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B1A2" w14:textId="3BC95B2A" w:rsidR="006A3BF6" w:rsidRDefault="10A24637" w:rsidP="006A3BF6">
      <w:pPr>
        <w:ind w:firstLine="0"/>
        <w:jc w:val="center"/>
      </w:pPr>
      <w:r>
        <w:t>Int. No.</w:t>
      </w:r>
      <w:r w:rsidR="00D9380C">
        <w:t xml:space="preserve"> 50</w:t>
      </w:r>
    </w:p>
    <w:p w14:paraId="3BEE7F13" w14:textId="77777777" w:rsidR="006A3BF6" w:rsidRDefault="006A3BF6" w:rsidP="006A3BF6">
      <w:pPr>
        <w:ind w:firstLine="0"/>
        <w:jc w:val="center"/>
      </w:pPr>
    </w:p>
    <w:p w14:paraId="413FF644" w14:textId="77777777" w:rsidR="00B16095" w:rsidRDefault="00B16095" w:rsidP="00B16095">
      <w:pPr>
        <w:suppressLineNumbers/>
        <w:autoSpaceDE w:val="0"/>
        <w:autoSpaceDN w:val="0"/>
        <w:adjustRightInd w:val="0"/>
        <w:ind w:firstLine="0"/>
        <w:jc w:val="both"/>
        <w:rPr>
          <w:rFonts w:ascii="Calibri" w:eastAsiaTheme="minorHAnsi" w:hAnsi="Calibri" w:cs="Calibri"/>
          <w:sz w:val="28"/>
          <w:szCs w:val="28"/>
        </w:rPr>
      </w:pPr>
      <w:r>
        <w:rPr>
          <w:rFonts w:eastAsiaTheme="minorHAnsi"/>
        </w:rPr>
        <w:t xml:space="preserve">By Council Members </w:t>
      </w:r>
      <w:r>
        <w:rPr>
          <w:rFonts w:eastAsiaTheme="minorHAnsi"/>
          <w:color w:val="000000"/>
        </w:rPr>
        <w:t>Avilés, Louis, Brewer, Hudson and Hanif</w:t>
      </w:r>
    </w:p>
    <w:p w14:paraId="248140D0" w14:textId="77777777" w:rsidR="006A3BF6" w:rsidRDefault="006A3BF6" w:rsidP="006A3BF6">
      <w:pPr>
        <w:pStyle w:val="BodyText"/>
        <w:spacing w:line="240" w:lineRule="auto"/>
        <w:ind w:firstLine="0"/>
      </w:pPr>
    </w:p>
    <w:p w14:paraId="34FB4949" w14:textId="77777777" w:rsidR="00C23556" w:rsidRPr="00C23556" w:rsidRDefault="00C23556" w:rsidP="006A3BF6">
      <w:pPr>
        <w:pStyle w:val="BodyText"/>
        <w:spacing w:line="240" w:lineRule="auto"/>
        <w:ind w:firstLine="0"/>
        <w:rPr>
          <w:vanish/>
        </w:rPr>
      </w:pPr>
      <w:r w:rsidRPr="00C23556">
        <w:rPr>
          <w:vanish/>
        </w:rPr>
        <w:t>..Title</w:t>
      </w:r>
    </w:p>
    <w:p w14:paraId="0DA0203E" w14:textId="40ADAAA9" w:rsidR="006A3BF6" w:rsidRDefault="00C23556" w:rsidP="006A3BF6">
      <w:pPr>
        <w:pStyle w:val="BodyText"/>
        <w:spacing w:line="240" w:lineRule="auto"/>
        <w:ind w:firstLine="0"/>
      </w:pPr>
      <w:r>
        <w:t>A Local Law t</w:t>
      </w:r>
      <w:r w:rsidR="006A3BF6">
        <w:t>o amend the administrative code of the city of New York, in relation to the creation of a mobile application that provides information about electric vehicle charging stations</w:t>
      </w:r>
    </w:p>
    <w:p w14:paraId="6178E1F8" w14:textId="3AE88F38" w:rsidR="00C23556" w:rsidRPr="00C23556" w:rsidRDefault="00C23556" w:rsidP="006A3BF6">
      <w:pPr>
        <w:pStyle w:val="BodyText"/>
        <w:spacing w:line="240" w:lineRule="auto"/>
        <w:ind w:firstLine="0"/>
        <w:rPr>
          <w:vanish/>
        </w:rPr>
      </w:pPr>
      <w:r w:rsidRPr="00C23556">
        <w:rPr>
          <w:vanish/>
        </w:rPr>
        <w:t>..Body</w:t>
      </w:r>
    </w:p>
    <w:p w14:paraId="5301923C" w14:textId="77777777" w:rsidR="006A3BF6" w:rsidRDefault="006A3BF6" w:rsidP="006A3BF6">
      <w:pPr>
        <w:pStyle w:val="BodyText"/>
        <w:spacing w:line="240" w:lineRule="auto"/>
        <w:ind w:firstLine="0"/>
        <w:rPr>
          <w:u w:val="single"/>
        </w:rPr>
      </w:pPr>
    </w:p>
    <w:p w14:paraId="7E53EBF9" w14:textId="77777777" w:rsidR="006A3BF6" w:rsidRDefault="006A3BF6" w:rsidP="006A3BF6">
      <w:pPr>
        <w:ind w:firstLine="0"/>
        <w:jc w:val="both"/>
      </w:pPr>
      <w:r>
        <w:rPr>
          <w:u w:val="single"/>
        </w:rPr>
        <w:t>Be it enacted by the Council as follows</w:t>
      </w:r>
      <w:r w:rsidRPr="005B5DE4">
        <w:rPr>
          <w:u w:val="single"/>
        </w:rPr>
        <w:t>:</w:t>
      </w:r>
    </w:p>
    <w:p w14:paraId="7490AA09" w14:textId="77777777" w:rsidR="006A3BF6" w:rsidRDefault="006A3BF6" w:rsidP="006A3BF6">
      <w:pPr>
        <w:jc w:val="both"/>
      </w:pPr>
    </w:p>
    <w:p w14:paraId="3EBFFCC0" w14:textId="77777777" w:rsidR="006A3BF6" w:rsidRDefault="006A3BF6" w:rsidP="006A3BF6">
      <w:pPr>
        <w:spacing w:line="480" w:lineRule="auto"/>
        <w:jc w:val="both"/>
        <w:sectPr w:rsidR="006A3BF6" w:rsidSect="008F0B17">
          <w:footerReference w:type="default" r:id="rId9"/>
          <w:footerReference w:type="first" r:id="rId10"/>
          <w:pgSz w:w="12240" w:h="15840"/>
          <w:pgMar w:top="1440" w:right="1440" w:bottom="1440" w:left="1440" w:header="720" w:footer="720" w:gutter="0"/>
          <w:cols w:space="720"/>
          <w:docGrid w:linePitch="360"/>
        </w:sectPr>
      </w:pPr>
    </w:p>
    <w:p w14:paraId="665025F8" w14:textId="77777777" w:rsidR="006A3BF6" w:rsidRDefault="006A3BF6" w:rsidP="006A3BF6">
      <w:pPr>
        <w:spacing w:line="480" w:lineRule="auto"/>
        <w:jc w:val="both"/>
      </w:pPr>
      <w:r>
        <w:t>Section 1. Subchapter 1 of chapter 1 of title 19 of the administrative code of the city of New York is amended by adding a new section 19-159.7 to read as follows:</w:t>
      </w:r>
    </w:p>
    <w:p w14:paraId="2BCD7B3A" w14:textId="77777777" w:rsidR="006A3BF6" w:rsidRDefault="006A3BF6" w:rsidP="006A3BF6">
      <w:pPr>
        <w:spacing w:line="480" w:lineRule="auto"/>
        <w:jc w:val="both"/>
        <w:rPr>
          <w:u w:val="single"/>
        </w:rPr>
      </w:pPr>
      <w:r w:rsidRPr="00402423">
        <w:rPr>
          <w:u w:val="single"/>
        </w:rPr>
        <w:t>§ 19-</w:t>
      </w:r>
      <w:r>
        <w:rPr>
          <w:u w:val="single"/>
        </w:rPr>
        <w:t xml:space="preserve">159.7 </w:t>
      </w:r>
      <w:r w:rsidRPr="00402423">
        <w:rPr>
          <w:u w:val="single"/>
        </w:rPr>
        <w:t xml:space="preserve">Electric vehicle charging mobile application. a. </w:t>
      </w:r>
      <w:r>
        <w:rPr>
          <w:u w:val="single"/>
        </w:rPr>
        <w:t xml:space="preserve">Definition. For the purpose of this section, the following terms have the following meanings: </w:t>
      </w:r>
    </w:p>
    <w:p w14:paraId="04FD3BA3" w14:textId="53624ADE" w:rsidR="006A3BF6" w:rsidRDefault="00E747FB" w:rsidP="006A3BF6">
      <w:pPr>
        <w:spacing w:line="480" w:lineRule="auto"/>
        <w:jc w:val="both"/>
        <w:rPr>
          <w:u w:val="single"/>
        </w:rPr>
      </w:pPr>
      <w:r>
        <w:rPr>
          <w:u w:val="single"/>
        </w:rPr>
        <w:t>Bicycle with electric assist</w:t>
      </w:r>
      <w:r w:rsidR="006A3BF6">
        <w:rPr>
          <w:u w:val="single"/>
        </w:rPr>
        <w:t>. The term “</w:t>
      </w:r>
      <w:r>
        <w:rPr>
          <w:u w:val="single"/>
        </w:rPr>
        <w:t>bicycle with electric assist</w:t>
      </w:r>
      <w:r w:rsidR="006A3BF6">
        <w:rPr>
          <w:u w:val="single"/>
        </w:rPr>
        <w:t>” has the same meaning as in section 102-c of the vehicle and traffic law</w:t>
      </w:r>
      <w:r>
        <w:rPr>
          <w:u w:val="single"/>
        </w:rPr>
        <w:t xml:space="preserve"> or successor provision</w:t>
      </w:r>
      <w:r w:rsidR="006A3BF6">
        <w:rPr>
          <w:u w:val="single"/>
        </w:rPr>
        <w:t>.</w:t>
      </w:r>
    </w:p>
    <w:p w14:paraId="01E58E59" w14:textId="77777777" w:rsidR="006A3BF6" w:rsidRDefault="006A3BF6" w:rsidP="006A3BF6">
      <w:pPr>
        <w:spacing w:line="480" w:lineRule="auto"/>
        <w:jc w:val="both"/>
        <w:rPr>
          <w:u w:val="single"/>
        </w:rPr>
      </w:pPr>
      <w:r>
        <w:rPr>
          <w:u w:val="single"/>
        </w:rPr>
        <w:t>Electric vehicle. The term “electric vehicle” means a vehicle that can be powered by an electric motor that draws electricity from a battery and is capable of being charged from an external source.</w:t>
      </w:r>
    </w:p>
    <w:p w14:paraId="5E928D4D" w14:textId="7AE53009" w:rsidR="006A3BF6" w:rsidRDefault="006A3BF6" w:rsidP="006A3BF6">
      <w:pPr>
        <w:spacing w:line="480" w:lineRule="auto"/>
        <w:jc w:val="both"/>
        <w:rPr>
          <w:u w:val="single"/>
        </w:rPr>
      </w:pPr>
      <w:r>
        <w:rPr>
          <w:u w:val="single"/>
        </w:rPr>
        <w:t xml:space="preserve">Electric vehicle charging station. The term “electric vehicle charging station” means a location that contains an external source of power </w:t>
      </w:r>
      <w:r w:rsidR="00D17964">
        <w:rPr>
          <w:u w:val="single"/>
        </w:rPr>
        <w:t xml:space="preserve">that may be </w:t>
      </w:r>
      <w:r>
        <w:rPr>
          <w:u w:val="single"/>
        </w:rPr>
        <w:t>used to charge an electric vehicle.</w:t>
      </w:r>
    </w:p>
    <w:p w14:paraId="374399D1" w14:textId="77777777" w:rsidR="006A3BF6" w:rsidRDefault="006A3BF6" w:rsidP="006A3BF6">
      <w:pPr>
        <w:spacing w:line="480" w:lineRule="auto"/>
        <w:jc w:val="both"/>
        <w:rPr>
          <w:u w:val="single"/>
        </w:rPr>
      </w:pPr>
      <w:r>
        <w:rPr>
          <w:u w:val="single"/>
        </w:rPr>
        <w:t>Mobile application. The term “mobile application” means a type of application software designed to run on a mobile device, such as a smartphone or tablet computer.</w:t>
      </w:r>
    </w:p>
    <w:p w14:paraId="3770C569" w14:textId="77777777" w:rsidR="006A3BF6" w:rsidRDefault="006A3BF6" w:rsidP="006A3BF6">
      <w:pPr>
        <w:spacing w:line="480" w:lineRule="auto"/>
        <w:jc w:val="both"/>
        <w:rPr>
          <w:u w:val="single"/>
        </w:rPr>
      </w:pPr>
      <w:r>
        <w:rPr>
          <w:u w:val="single"/>
        </w:rPr>
        <w:t xml:space="preserve">b. Mobile application. No later than 180 days following the effective date of the local law that added this section, the department of information technology and telecommunications, in conjunction with the department and any other relevant agency, shall create a mobile application that provides information regarding all publicly accessible electric vehicle charging stations in the city and allows users to filter the electric vehicle charging stations based on such information. Such information shall include, at a minimum: </w:t>
      </w:r>
    </w:p>
    <w:p w14:paraId="7C5228DA" w14:textId="77777777" w:rsidR="006A3BF6" w:rsidRDefault="006A3BF6" w:rsidP="006A3BF6">
      <w:pPr>
        <w:spacing w:line="480" w:lineRule="auto"/>
        <w:jc w:val="both"/>
        <w:rPr>
          <w:u w:val="single"/>
        </w:rPr>
      </w:pPr>
      <w:r>
        <w:rPr>
          <w:u w:val="single"/>
        </w:rPr>
        <w:lastRenderedPageBreak/>
        <w:t xml:space="preserve">1. The locations of each electric vehicle charging station imposed on a map of the city; </w:t>
      </w:r>
    </w:p>
    <w:p w14:paraId="76F63FFC" w14:textId="310BC078" w:rsidR="006A3BF6" w:rsidRDefault="006A3BF6" w:rsidP="006A3BF6">
      <w:pPr>
        <w:spacing w:line="480" w:lineRule="auto"/>
        <w:jc w:val="both"/>
        <w:rPr>
          <w:u w:val="single"/>
        </w:rPr>
      </w:pPr>
      <w:r>
        <w:rPr>
          <w:u w:val="single"/>
        </w:rPr>
        <w:t xml:space="preserve">2. The voltage </w:t>
      </w:r>
      <w:r w:rsidR="00D80810">
        <w:rPr>
          <w:u w:val="single"/>
        </w:rPr>
        <w:t xml:space="preserve">and charging level </w:t>
      </w:r>
      <w:r>
        <w:rPr>
          <w:u w:val="single"/>
        </w:rPr>
        <w:t>of each electric vehicle charging station;</w:t>
      </w:r>
    </w:p>
    <w:p w14:paraId="60018C13" w14:textId="77777777" w:rsidR="006A3BF6" w:rsidRDefault="006A3BF6" w:rsidP="006A3BF6">
      <w:pPr>
        <w:spacing w:line="480" w:lineRule="auto"/>
        <w:jc w:val="both"/>
        <w:rPr>
          <w:u w:val="single"/>
        </w:rPr>
      </w:pPr>
      <w:r>
        <w:rPr>
          <w:u w:val="single"/>
        </w:rPr>
        <w:t>3. The electric vehicle connector types provided by each station;</w:t>
      </w:r>
    </w:p>
    <w:p w14:paraId="3667938A" w14:textId="6090978D" w:rsidR="006A3BF6" w:rsidRDefault="006A3BF6" w:rsidP="006A3BF6">
      <w:pPr>
        <w:spacing w:line="480" w:lineRule="auto"/>
        <w:jc w:val="both"/>
        <w:rPr>
          <w:u w:val="single"/>
        </w:rPr>
      </w:pPr>
      <w:r>
        <w:rPr>
          <w:u w:val="single"/>
        </w:rPr>
        <w:t xml:space="preserve">4. Whether each electric vehicle charging station can be used to charge </w:t>
      </w:r>
      <w:r w:rsidR="00D80810">
        <w:rPr>
          <w:u w:val="single"/>
        </w:rPr>
        <w:t>bicycles with electric assist</w:t>
      </w:r>
      <w:r>
        <w:rPr>
          <w:u w:val="single"/>
        </w:rPr>
        <w:t>; and</w:t>
      </w:r>
    </w:p>
    <w:p w14:paraId="3E93D86B" w14:textId="77777777" w:rsidR="006A3BF6" w:rsidRDefault="006A3BF6" w:rsidP="006A3BF6">
      <w:pPr>
        <w:spacing w:line="480" w:lineRule="auto"/>
        <w:jc w:val="both"/>
        <w:rPr>
          <w:u w:val="single"/>
        </w:rPr>
      </w:pPr>
      <w:r>
        <w:rPr>
          <w:u w:val="single"/>
        </w:rPr>
        <w:t>5. To the extent the city has or can reasonably obtain such information, a real time display indicating whether each electric vehicle charging station is available or in use.</w:t>
      </w:r>
    </w:p>
    <w:p w14:paraId="48E25F0E" w14:textId="77777777" w:rsidR="006A3BF6" w:rsidRDefault="006A3BF6" w:rsidP="006A3BF6">
      <w:pPr>
        <w:spacing w:line="480" w:lineRule="auto"/>
        <w:jc w:val="both"/>
        <w:rPr>
          <w:u w:val="single"/>
        </w:rPr>
      </w:pPr>
      <w:r>
        <w:rPr>
          <w:u w:val="single"/>
        </w:rPr>
        <w:t>c. Such mobile application shall not:</w:t>
      </w:r>
    </w:p>
    <w:p w14:paraId="2F65824A" w14:textId="41837A4D" w:rsidR="006A3BF6" w:rsidRDefault="006A3BF6" w:rsidP="006A3BF6">
      <w:pPr>
        <w:spacing w:line="480" w:lineRule="auto"/>
        <w:jc w:val="both"/>
        <w:rPr>
          <w:u w:val="single"/>
        </w:rPr>
      </w:pPr>
      <w:r>
        <w:rPr>
          <w:u w:val="single"/>
        </w:rPr>
        <w:t>1. Retain internet protocol addresses or data regarding the operation system</w:t>
      </w:r>
      <w:r w:rsidR="00023A84">
        <w:rPr>
          <w:u w:val="single"/>
        </w:rPr>
        <w:t xml:space="preserve"> of the device on which it is installed</w:t>
      </w:r>
      <w:r>
        <w:rPr>
          <w:u w:val="single"/>
        </w:rPr>
        <w:t xml:space="preserve">; </w:t>
      </w:r>
    </w:p>
    <w:p w14:paraId="6444216E" w14:textId="77777777" w:rsidR="006A3BF6" w:rsidRDefault="006A3BF6" w:rsidP="006A3BF6">
      <w:pPr>
        <w:spacing w:line="480" w:lineRule="auto"/>
        <w:jc w:val="both"/>
        <w:rPr>
          <w:u w:val="single"/>
        </w:rPr>
      </w:pPr>
      <w:r>
        <w:rPr>
          <w:u w:val="single"/>
        </w:rPr>
        <w:t xml:space="preserve">2. Have access to data or information stored on the mobile device; </w:t>
      </w:r>
    </w:p>
    <w:p w14:paraId="24C35CEB" w14:textId="77777777" w:rsidR="006A3BF6" w:rsidRDefault="006A3BF6" w:rsidP="006A3BF6">
      <w:pPr>
        <w:spacing w:line="480" w:lineRule="auto"/>
        <w:jc w:val="both"/>
        <w:rPr>
          <w:u w:val="single"/>
        </w:rPr>
      </w:pPr>
      <w:r>
        <w:rPr>
          <w:u w:val="single"/>
        </w:rPr>
        <w:t xml:space="preserve">3. Have access to microphones, cameras, or Bluetooth on the mobile device; or </w:t>
      </w:r>
    </w:p>
    <w:p w14:paraId="75D062AF" w14:textId="77777777" w:rsidR="006A3BF6" w:rsidRDefault="006A3BF6" w:rsidP="006A3BF6">
      <w:pPr>
        <w:spacing w:line="480" w:lineRule="auto"/>
        <w:jc w:val="both"/>
        <w:rPr>
          <w:u w:val="single"/>
        </w:rPr>
      </w:pPr>
      <w:r>
        <w:rPr>
          <w:u w:val="single"/>
        </w:rPr>
        <w:t>4. Be able to activate or deactivate Wi-Fi on the mobile device.</w:t>
      </w:r>
    </w:p>
    <w:p w14:paraId="5666C012" w14:textId="1EBCE032" w:rsidR="006A3BF6" w:rsidRDefault="006A3BF6" w:rsidP="006A3BF6">
      <w:pPr>
        <w:spacing w:line="480" w:lineRule="auto"/>
        <w:jc w:val="both"/>
        <w:rPr>
          <w:color w:val="000000"/>
          <w:u w:val="single"/>
          <w:shd w:val="clear" w:color="auto" w:fill="FFFFFF"/>
        </w:rPr>
      </w:pPr>
      <w:r>
        <w:rPr>
          <w:u w:val="single"/>
        </w:rPr>
        <w:t xml:space="preserve">d. </w:t>
      </w:r>
      <w:r>
        <w:rPr>
          <w:color w:val="000000"/>
          <w:u w:val="single"/>
          <w:shd w:val="clear" w:color="auto" w:fill="FFFFFF"/>
        </w:rPr>
        <w:t xml:space="preserve">Data collected by such mobile application shall not be retained for more than </w:t>
      </w:r>
      <w:r w:rsidR="00023A84">
        <w:rPr>
          <w:color w:val="000000"/>
          <w:u w:val="single"/>
          <w:shd w:val="clear" w:color="auto" w:fill="FFFFFF"/>
        </w:rPr>
        <w:t xml:space="preserve">6 </w:t>
      </w:r>
      <w:r>
        <w:rPr>
          <w:color w:val="000000"/>
          <w:u w:val="single"/>
          <w:shd w:val="clear" w:color="auto" w:fill="FFFFFF"/>
        </w:rPr>
        <w:t>months from the date of collection. Identifying information, as defined by section 23-1201, collected by such mobile application shall not be shared except with the affirmative consent of the user. The user’s consent to share personal identifying information shall not be required as a condition to access or use the mobile application.</w:t>
      </w:r>
    </w:p>
    <w:p w14:paraId="3EE34CFA" w14:textId="3FB77059" w:rsidR="006A3BF6" w:rsidRDefault="006A3BF6" w:rsidP="006A3BF6">
      <w:pPr>
        <w:spacing w:line="480" w:lineRule="auto"/>
        <w:jc w:val="both"/>
      </w:pPr>
      <w:r>
        <w:t>§ 2. This local law takes effect immediately.</w:t>
      </w:r>
    </w:p>
    <w:p w14:paraId="7B5DCF62" w14:textId="77777777" w:rsidR="00C23556" w:rsidRPr="008542B1" w:rsidRDefault="00C23556" w:rsidP="006A3BF6">
      <w:pPr>
        <w:spacing w:line="480" w:lineRule="auto"/>
        <w:jc w:val="both"/>
        <w:rPr>
          <w:u w:val="single"/>
        </w:rPr>
        <w:sectPr w:rsidR="00C23556" w:rsidRPr="008542B1" w:rsidSect="00AF39A5">
          <w:type w:val="continuous"/>
          <w:pgSz w:w="12240" w:h="15840"/>
          <w:pgMar w:top="1440" w:right="1440" w:bottom="1440" w:left="1440" w:header="720" w:footer="720" w:gutter="0"/>
          <w:lnNumType w:countBy="1"/>
          <w:cols w:space="720"/>
          <w:titlePg/>
          <w:docGrid w:linePitch="360"/>
        </w:sectPr>
      </w:pPr>
    </w:p>
    <w:p w14:paraId="310CF5E0" w14:textId="77777777" w:rsidR="006A3BF6" w:rsidRDefault="006A3BF6" w:rsidP="10A24637">
      <w:pPr>
        <w:ind w:firstLine="0"/>
        <w:jc w:val="center"/>
        <w:rPr>
          <w:sz w:val="18"/>
          <w:szCs w:val="18"/>
          <w:u w:val="single"/>
        </w:rPr>
      </w:pPr>
    </w:p>
    <w:p w14:paraId="527BC6AE" w14:textId="28B11EA9" w:rsidR="10A24637" w:rsidRDefault="10A24637" w:rsidP="10A24637">
      <w:pPr>
        <w:ind w:firstLine="0"/>
        <w:jc w:val="both"/>
      </w:pPr>
      <w:r w:rsidRPr="10A24637">
        <w:rPr>
          <w:sz w:val="18"/>
          <w:szCs w:val="18"/>
        </w:rPr>
        <w:t>EH</w:t>
      </w:r>
    </w:p>
    <w:p w14:paraId="60207AC2" w14:textId="77777777" w:rsidR="00C23556" w:rsidRDefault="10A24637" w:rsidP="77D80BA7">
      <w:pPr>
        <w:ind w:firstLine="0"/>
        <w:jc w:val="both"/>
        <w:rPr>
          <w:sz w:val="18"/>
          <w:szCs w:val="18"/>
        </w:rPr>
      </w:pPr>
      <w:r w:rsidRPr="10A24637">
        <w:rPr>
          <w:sz w:val="18"/>
          <w:szCs w:val="18"/>
        </w:rPr>
        <w:t>LS #11265</w:t>
      </w:r>
    </w:p>
    <w:p w14:paraId="697AD5F5" w14:textId="24BFB422" w:rsidR="10A24637" w:rsidRDefault="10A24637" w:rsidP="10A24637">
      <w:pPr>
        <w:ind w:firstLine="0"/>
        <w:jc w:val="both"/>
        <w:rPr>
          <w:color w:val="000000" w:themeColor="text1"/>
          <w:sz w:val="18"/>
          <w:szCs w:val="18"/>
        </w:rPr>
      </w:pPr>
      <w:r w:rsidRPr="10A24637">
        <w:rPr>
          <w:color w:val="000000" w:themeColor="text1"/>
          <w:sz w:val="18"/>
          <w:szCs w:val="18"/>
        </w:rPr>
        <w:t>Int. #0115-2024</w:t>
      </w:r>
    </w:p>
    <w:p w14:paraId="42DB728F" w14:textId="710BE222" w:rsidR="10A24637" w:rsidRPr="0011541E" w:rsidRDefault="10A24637" w:rsidP="0011541E">
      <w:pPr>
        <w:ind w:firstLine="0"/>
        <w:jc w:val="both"/>
        <w:rPr>
          <w:color w:val="000000" w:themeColor="text1"/>
          <w:sz w:val="18"/>
          <w:szCs w:val="18"/>
        </w:rPr>
      </w:pPr>
      <w:r w:rsidRPr="10A24637">
        <w:rPr>
          <w:color w:val="000000" w:themeColor="text1"/>
          <w:sz w:val="18"/>
          <w:szCs w:val="18"/>
        </w:rPr>
        <w:t>1/6/2026 2:01 PM</w:t>
      </w:r>
    </w:p>
    <w:sectPr w:rsidR="10A24637" w:rsidRPr="0011541E"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28CB" w14:textId="77777777" w:rsidR="001B0CFA" w:rsidRDefault="001B0CFA">
      <w:r>
        <w:separator/>
      </w:r>
    </w:p>
  </w:endnote>
  <w:endnote w:type="continuationSeparator" w:id="0">
    <w:p w14:paraId="623D9BB9" w14:textId="77777777" w:rsidR="001B0CFA" w:rsidRDefault="001B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14C5199" w14:textId="1FA54719" w:rsidR="0011541E" w:rsidRDefault="006A3BF6">
        <w:pPr>
          <w:pStyle w:val="Footer"/>
          <w:jc w:val="center"/>
        </w:pPr>
        <w:r>
          <w:fldChar w:fldCharType="begin"/>
        </w:r>
        <w:r>
          <w:instrText xml:space="preserve"> PAGE   \* MERGEFORMAT </w:instrText>
        </w:r>
        <w:r>
          <w:fldChar w:fldCharType="separate"/>
        </w:r>
        <w:r w:rsidR="00736248">
          <w:rPr>
            <w:noProof/>
          </w:rPr>
          <w:t>1</w:t>
        </w:r>
        <w:r>
          <w:rPr>
            <w:noProof/>
          </w:rPr>
          <w:fldChar w:fldCharType="end"/>
        </w:r>
      </w:p>
    </w:sdtContent>
  </w:sdt>
  <w:p w14:paraId="77E332FF" w14:textId="77777777" w:rsidR="0011541E" w:rsidRDefault="001154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E4695D3" w14:textId="77777777" w:rsidR="0011541E" w:rsidRDefault="006A3B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EE8DBB" w14:textId="77777777" w:rsidR="0011541E" w:rsidRDefault="00115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A1192" w14:textId="77777777" w:rsidR="001B0CFA" w:rsidRDefault="001B0CFA">
      <w:r>
        <w:separator/>
      </w:r>
    </w:p>
  </w:footnote>
  <w:footnote w:type="continuationSeparator" w:id="0">
    <w:p w14:paraId="0E9C5362" w14:textId="77777777" w:rsidR="001B0CFA" w:rsidRDefault="001B0C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F6"/>
    <w:rsid w:val="00023A84"/>
    <w:rsid w:val="000265FB"/>
    <w:rsid w:val="00080C18"/>
    <w:rsid w:val="00090F1D"/>
    <w:rsid w:val="000E42D2"/>
    <w:rsid w:val="0011541E"/>
    <w:rsid w:val="00120951"/>
    <w:rsid w:val="00145BA0"/>
    <w:rsid w:val="00145F1E"/>
    <w:rsid w:val="001A12A3"/>
    <w:rsid w:val="001B0CFA"/>
    <w:rsid w:val="002A14CB"/>
    <w:rsid w:val="00341DAB"/>
    <w:rsid w:val="00380CE6"/>
    <w:rsid w:val="003C350A"/>
    <w:rsid w:val="003F2451"/>
    <w:rsid w:val="00405963"/>
    <w:rsid w:val="004376D6"/>
    <w:rsid w:val="00446BEC"/>
    <w:rsid w:val="00480067"/>
    <w:rsid w:val="004C2D35"/>
    <w:rsid w:val="004F34F4"/>
    <w:rsid w:val="00531663"/>
    <w:rsid w:val="00561049"/>
    <w:rsid w:val="00586B9E"/>
    <w:rsid w:val="005B142A"/>
    <w:rsid w:val="005C46DF"/>
    <w:rsid w:val="005E7B8A"/>
    <w:rsid w:val="005F78F5"/>
    <w:rsid w:val="0065264E"/>
    <w:rsid w:val="00683FDD"/>
    <w:rsid w:val="006851F2"/>
    <w:rsid w:val="006A3BF6"/>
    <w:rsid w:val="006B787B"/>
    <w:rsid w:val="00736248"/>
    <w:rsid w:val="00767F0E"/>
    <w:rsid w:val="0077434A"/>
    <w:rsid w:val="00795305"/>
    <w:rsid w:val="007B77C5"/>
    <w:rsid w:val="008154EE"/>
    <w:rsid w:val="00832A26"/>
    <w:rsid w:val="008C7C2B"/>
    <w:rsid w:val="0090093E"/>
    <w:rsid w:val="0092062A"/>
    <w:rsid w:val="00955DDC"/>
    <w:rsid w:val="00A31147"/>
    <w:rsid w:val="00A47E65"/>
    <w:rsid w:val="00AC0424"/>
    <w:rsid w:val="00AF46C0"/>
    <w:rsid w:val="00B16095"/>
    <w:rsid w:val="00B40AE9"/>
    <w:rsid w:val="00BB437B"/>
    <w:rsid w:val="00BC02D1"/>
    <w:rsid w:val="00BC5461"/>
    <w:rsid w:val="00BD1254"/>
    <w:rsid w:val="00C018D7"/>
    <w:rsid w:val="00C060AD"/>
    <w:rsid w:val="00C23556"/>
    <w:rsid w:val="00C52023"/>
    <w:rsid w:val="00C73170"/>
    <w:rsid w:val="00C74874"/>
    <w:rsid w:val="00C854AD"/>
    <w:rsid w:val="00CF0895"/>
    <w:rsid w:val="00D17964"/>
    <w:rsid w:val="00D24B41"/>
    <w:rsid w:val="00D378E5"/>
    <w:rsid w:val="00D73E27"/>
    <w:rsid w:val="00D80810"/>
    <w:rsid w:val="00D83D5B"/>
    <w:rsid w:val="00D9380C"/>
    <w:rsid w:val="00DC5940"/>
    <w:rsid w:val="00E747FB"/>
    <w:rsid w:val="00F26908"/>
    <w:rsid w:val="00F4216E"/>
    <w:rsid w:val="00F428E8"/>
    <w:rsid w:val="00F53CDA"/>
    <w:rsid w:val="00F561B3"/>
    <w:rsid w:val="00F57C39"/>
    <w:rsid w:val="00F8355B"/>
    <w:rsid w:val="00FB1BA8"/>
    <w:rsid w:val="00FC1F8D"/>
    <w:rsid w:val="00FE4F3E"/>
    <w:rsid w:val="10A24637"/>
    <w:rsid w:val="1D6E1B31"/>
    <w:rsid w:val="24A6C0F8"/>
    <w:rsid w:val="49D33F3E"/>
    <w:rsid w:val="600B1E4E"/>
    <w:rsid w:val="77D80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9350"/>
  <w15:chartTrackingRefBased/>
  <w15:docId w15:val="{28A17DF0-E2DC-490B-B525-595C99F5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BF6"/>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3BF6"/>
    <w:pPr>
      <w:tabs>
        <w:tab w:val="center" w:pos="4320"/>
        <w:tab w:val="right" w:pos="8640"/>
      </w:tabs>
    </w:pPr>
  </w:style>
  <w:style w:type="character" w:customStyle="1" w:styleId="FooterChar">
    <w:name w:val="Footer Char"/>
    <w:basedOn w:val="DefaultParagraphFont"/>
    <w:link w:val="Footer"/>
    <w:uiPriority w:val="99"/>
    <w:rsid w:val="006A3BF6"/>
    <w:rPr>
      <w:rFonts w:ascii="Times New Roman" w:eastAsia="Times New Roman" w:hAnsi="Times New Roman" w:cs="Times New Roman"/>
      <w:sz w:val="24"/>
      <w:szCs w:val="24"/>
    </w:rPr>
  </w:style>
  <w:style w:type="paragraph" w:styleId="BodyText">
    <w:name w:val="Body Text"/>
    <w:basedOn w:val="Normal"/>
    <w:link w:val="BodyTextChar"/>
    <w:uiPriority w:val="99"/>
    <w:rsid w:val="006A3BF6"/>
    <w:pPr>
      <w:spacing w:line="480" w:lineRule="auto"/>
      <w:jc w:val="both"/>
    </w:pPr>
  </w:style>
  <w:style w:type="character" w:customStyle="1" w:styleId="BodyTextChar">
    <w:name w:val="Body Text Char"/>
    <w:basedOn w:val="DefaultParagraphFont"/>
    <w:link w:val="BodyText"/>
    <w:uiPriority w:val="99"/>
    <w:rsid w:val="006A3BF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A3BF6"/>
    <w:rPr>
      <w:sz w:val="16"/>
      <w:szCs w:val="16"/>
    </w:rPr>
  </w:style>
  <w:style w:type="paragraph" w:styleId="CommentText">
    <w:name w:val="annotation text"/>
    <w:basedOn w:val="Normal"/>
    <w:link w:val="CommentTextChar"/>
    <w:uiPriority w:val="99"/>
    <w:semiHidden/>
    <w:unhideWhenUsed/>
    <w:rsid w:val="006A3BF6"/>
    <w:rPr>
      <w:sz w:val="20"/>
      <w:szCs w:val="20"/>
    </w:rPr>
  </w:style>
  <w:style w:type="character" w:customStyle="1" w:styleId="CommentTextChar">
    <w:name w:val="Comment Text Char"/>
    <w:basedOn w:val="DefaultParagraphFont"/>
    <w:link w:val="CommentText"/>
    <w:uiPriority w:val="99"/>
    <w:semiHidden/>
    <w:rsid w:val="006A3BF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A3B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BF6"/>
    <w:rPr>
      <w:rFonts w:ascii="Segoe UI" w:eastAsia="Times New Roman" w:hAnsi="Segoe UI" w:cs="Segoe UI"/>
      <w:sz w:val="18"/>
      <w:szCs w:val="18"/>
    </w:rPr>
  </w:style>
  <w:style w:type="character" w:styleId="LineNumber">
    <w:name w:val="line number"/>
    <w:basedOn w:val="DefaultParagraphFont"/>
    <w:uiPriority w:val="99"/>
    <w:semiHidden/>
    <w:unhideWhenUsed/>
    <w:rsid w:val="006A3BF6"/>
  </w:style>
  <w:style w:type="paragraph" w:styleId="CommentSubject">
    <w:name w:val="annotation subject"/>
    <w:basedOn w:val="CommentText"/>
    <w:next w:val="CommentText"/>
    <w:link w:val="CommentSubjectChar"/>
    <w:uiPriority w:val="99"/>
    <w:semiHidden/>
    <w:unhideWhenUsed/>
    <w:rsid w:val="00D17964"/>
    <w:rPr>
      <w:b/>
      <w:bCs/>
    </w:rPr>
  </w:style>
  <w:style w:type="character" w:customStyle="1" w:styleId="CommentSubjectChar">
    <w:name w:val="Comment Subject Char"/>
    <w:basedOn w:val="CommentTextChar"/>
    <w:link w:val="CommentSubject"/>
    <w:uiPriority w:val="99"/>
    <w:semiHidden/>
    <w:rsid w:val="00D1796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47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B3570A-C0AC-4B4A-A0ED-5C5FA0757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73BB1D-8E5C-47B2-9489-6CCB01DECD76}">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6763E553-99FF-4B81-A682-31EE09A74C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2792</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10</cp:revision>
  <dcterms:created xsi:type="dcterms:W3CDTF">2026-02-03T21:21:00Z</dcterms:created>
  <dcterms:modified xsi:type="dcterms:W3CDTF">2026-02-27T13:32:00Z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