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F9431" w14:textId="77777777" w:rsidR="00544DCF" w:rsidRPr="004E1596" w:rsidRDefault="00544DCF" w:rsidP="00544DCF">
      <w:pPr>
        <w:jc w:val="right"/>
        <w:rPr>
          <w:sz w:val="18"/>
          <w:szCs w:val="18"/>
        </w:rPr>
      </w:pPr>
      <w:r w:rsidRPr="004E1596">
        <w:rPr>
          <w:sz w:val="18"/>
          <w:szCs w:val="18"/>
          <w:u w:val="single"/>
        </w:rPr>
        <w:t>Committee on Health</w:t>
      </w:r>
      <w:r w:rsidR="00AB0B66" w:rsidRPr="004E1596">
        <w:rPr>
          <w:sz w:val="18"/>
          <w:szCs w:val="18"/>
          <w:u w:val="single"/>
        </w:rPr>
        <w:t xml:space="preserve"> Staff</w:t>
      </w:r>
    </w:p>
    <w:p w14:paraId="77F4E2E8" w14:textId="77777777" w:rsidR="00544DCF" w:rsidRPr="004E1596" w:rsidRDefault="00544DCF" w:rsidP="00544DCF">
      <w:pPr>
        <w:jc w:val="right"/>
        <w:rPr>
          <w:sz w:val="18"/>
          <w:szCs w:val="18"/>
        </w:rPr>
      </w:pPr>
      <w:r w:rsidRPr="004E1596">
        <w:rPr>
          <w:sz w:val="18"/>
          <w:szCs w:val="18"/>
        </w:rPr>
        <w:t>Christopher Pepe,</w:t>
      </w:r>
      <w:r w:rsidRPr="004E1596">
        <w:rPr>
          <w:i/>
          <w:sz w:val="18"/>
          <w:szCs w:val="18"/>
        </w:rPr>
        <w:t xml:space="preserve"> Senior Legislative Counsel</w:t>
      </w:r>
    </w:p>
    <w:p w14:paraId="08B1C696" w14:textId="77777777" w:rsidR="00544DCF" w:rsidRPr="004E1596" w:rsidRDefault="00E13602" w:rsidP="2B6D8316">
      <w:pPr>
        <w:jc w:val="right"/>
        <w:rPr>
          <w:i/>
          <w:sz w:val="18"/>
          <w:szCs w:val="18"/>
        </w:rPr>
      </w:pPr>
      <w:r>
        <w:rPr>
          <w:sz w:val="18"/>
          <w:szCs w:val="18"/>
        </w:rPr>
        <w:t>Elizabeth Arzt</w:t>
      </w:r>
      <w:r w:rsidR="00544DCF" w:rsidRPr="004E1596">
        <w:rPr>
          <w:sz w:val="18"/>
          <w:szCs w:val="18"/>
        </w:rPr>
        <w:t xml:space="preserve">, </w:t>
      </w:r>
      <w:r w:rsidR="0012301F" w:rsidRPr="004E1596">
        <w:rPr>
          <w:i/>
          <w:sz w:val="18"/>
          <w:szCs w:val="18"/>
        </w:rPr>
        <w:t xml:space="preserve">Senior </w:t>
      </w:r>
      <w:r w:rsidR="00EA42EF">
        <w:rPr>
          <w:i/>
          <w:sz w:val="18"/>
          <w:szCs w:val="18"/>
        </w:rPr>
        <w:t xml:space="preserve">Legislative </w:t>
      </w:r>
      <w:r>
        <w:rPr>
          <w:i/>
          <w:sz w:val="18"/>
          <w:szCs w:val="18"/>
        </w:rPr>
        <w:t>Policy Analyst</w:t>
      </w:r>
    </w:p>
    <w:p w14:paraId="271C15FA" w14:textId="77777777" w:rsidR="0012301F" w:rsidRPr="004E1596" w:rsidRDefault="0012301F" w:rsidP="2B6D8316">
      <w:pPr>
        <w:jc w:val="right"/>
        <w:rPr>
          <w:i/>
          <w:sz w:val="18"/>
          <w:szCs w:val="18"/>
        </w:rPr>
      </w:pPr>
      <w:r w:rsidRPr="004E1596">
        <w:rPr>
          <w:sz w:val="18"/>
          <w:szCs w:val="18"/>
        </w:rPr>
        <w:t xml:space="preserve">Josh Newman, </w:t>
      </w:r>
      <w:r w:rsidRPr="004E1596">
        <w:rPr>
          <w:i/>
          <w:sz w:val="18"/>
          <w:szCs w:val="18"/>
        </w:rPr>
        <w:t>Legislative Policy Analyst</w:t>
      </w:r>
    </w:p>
    <w:p w14:paraId="7B83D51C" w14:textId="77777777" w:rsidR="00644F6F" w:rsidRDefault="004835C6" w:rsidP="001F3BA3">
      <w:pPr>
        <w:jc w:val="right"/>
        <w:rPr>
          <w:rStyle w:val="ui-provider"/>
          <w:sz w:val="18"/>
          <w:szCs w:val="18"/>
        </w:rPr>
      </w:pPr>
      <w:r>
        <w:rPr>
          <w:rStyle w:val="ui-provider"/>
          <w:sz w:val="18"/>
          <w:szCs w:val="18"/>
        </w:rPr>
        <w:t>Rose Martinez</w:t>
      </w:r>
      <w:r w:rsidR="00F40470">
        <w:rPr>
          <w:rStyle w:val="ui-provider"/>
          <w:sz w:val="18"/>
          <w:szCs w:val="18"/>
        </w:rPr>
        <w:t xml:space="preserve">, </w:t>
      </w:r>
      <w:r w:rsidR="00201940" w:rsidRPr="00201940">
        <w:rPr>
          <w:rStyle w:val="ui-provider"/>
          <w:i/>
          <w:sz w:val="18"/>
          <w:szCs w:val="18"/>
        </w:rPr>
        <w:t>Lead Data Scientist</w:t>
      </w:r>
      <w:r w:rsidR="00D52E84">
        <w:rPr>
          <w:rStyle w:val="ui-provider"/>
          <w:sz w:val="18"/>
          <w:szCs w:val="18"/>
        </w:rPr>
        <w:t xml:space="preserve"> </w:t>
      </w:r>
    </w:p>
    <w:p w14:paraId="0B938358" w14:textId="77777777" w:rsidR="001F3BA3" w:rsidRPr="004E1596" w:rsidRDefault="00A44CA8" w:rsidP="001F3BA3">
      <w:pPr>
        <w:jc w:val="right"/>
        <w:rPr>
          <w:rStyle w:val="ui-provider"/>
          <w:sz w:val="18"/>
          <w:szCs w:val="18"/>
        </w:rPr>
      </w:pPr>
      <w:r>
        <w:rPr>
          <w:rStyle w:val="ui-provider"/>
          <w:sz w:val="18"/>
          <w:szCs w:val="18"/>
        </w:rPr>
        <w:t>Lukas Lopez-Jensen</w:t>
      </w:r>
      <w:r w:rsidR="001F3BA3" w:rsidRPr="004E1596">
        <w:rPr>
          <w:rStyle w:val="ui-provider"/>
          <w:sz w:val="18"/>
          <w:szCs w:val="18"/>
        </w:rPr>
        <w:t xml:space="preserve">, </w:t>
      </w:r>
      <w:r w:rsidR="001F3BA3" w:rsidRPr="004E1596">
        <w:rPr>
          <w:rStyle w:val="ui-provider"/>
          <w:i/>
          <w:sz w:val="18"/>
          <w:szCs w:val="18"/>
        </w:rPr>
        <w:t>Data Scientist</w:t>
      </w:r>
    </w:p>
    <w:p w14:paraId="3522774C" w14:textId="77777777" w:rsidR="001F3BA3" w:rsidRPr="004E1596" w:rsidRDefault="001F3BA3" w:rsidP="001F3BA3">
      <w:pPr>
        <w:jc w:val="right"/>
        <w:rPr>
          <w:i/>
          <w:sz w:val="18"/>
          <w:szCs w:val="18"/>
        </w:rPr>
      </w:pPr>
      <w:r w:rsidRPr="004E1596">
        <w:rPr>
          <w:rStyle w:val="ui-provider"/>
          <w:sz w:val="18"/>
          <w:szCs w:val="18"/>
        </w:rPr>
        <w:t xml:space="preserve">Danylo Orlov, </w:t>
      </w:r>
      <w:r w:rsidRPr="004E1596">
        <w:rPr>
          <w:rStyle w:val="ui-provider"/>
          <w:i/>
          <w:sz w:val="18"/>
          <w:szCs w:val="18"/>
        </w:rPr>
        <w:t>Data Scientist</w:t>
      </w:r>
    </w:p>
    <w:p w14:paraId="06477E85" w14:textId="77777777" w:rsidR="001F3BA3" w:rsidRPr="004E1596" w:rsidRDefault="001F3BA3" w:rsidP="001F3BA3">
      <w:pPr>
        <w:jc w:val="right"/>
        <w:rPr>
          <w:i/>
          <w:sz w:val="18"/>
          <w:szCs w:val="18"/>
        </w:rPr>
      </w:pPr>
      <w:r w:rsidRPr="004E1596">
        <w:rPr>
          <w:sz w:val="18"/>
          <w:szCs w:val="18"/>
        </w:rPr>
        <w:t xml:space="preserve">Florentine Kabore, </w:t>
      </w:r>
      <w:r w:rsidR="006240E1">
        <w:rPr>
          <w:i/>
          <w:sz w:val="18"/>
          <w:szCs w:val="18"/>
        </w:rPr>
        <w:t>Assistant Director, Finance Division</w:t>
      </w:r>
    </w:p>
    <w:p w14:paraId="7FCD7AF8" w14:textId="77777777" w:rsidR="001F3BA3" w:rsidRPr="004E1596" w:rsidRDefault="001F3BA3" w:rsidP="001F3BA3">
      <w:pPr>
        <w:jc w:val="right"/>
        <w:rPr>
          <w:sz w:val="18"/>
          <w:szCs w:val="18"/>
        </w:rPr>
      </w:pPr>
      <w:r w:rsidRPr="004E1596">
        <w:rPr>
          <w:sz w:val="18"/>
          <w:szCs w:val="18"/>
        </w:rPr>
        <w:t xml:space="preserve">Valeria Lazaro-Rodriguez, </w:t>
      </w:r>
      <w:r w:rsidRPr="004E1596">
        <w:rPr>
          <w:i/>
          <w:sz w:val="18"/>
          <w:szCs w:val="18"/>
        </w:rPr>
        <w:t>Financial Analyst</w:t>
      </w:r>
    </w:p>
    <w:p w14:paraId="08F38750" w14:textId="77777777" w:rsidR="001F3BA3" w:rsidRDefault="001F3BA3" w:rsidP="2B6D8316">
      <w:pPr>
        <w:jc w:val="right"/>
        <w:rPr>
          <w:i/>
          <w:sz w:val="20"/>
          <w:szCs w:val="20"/>
        </w:rPr>
      </w:pPr>
    </w:p>
    <w:p w14:paraId="019ACE6D" w14:textId="77777777" w:rsidR="0012301F" w:rsidRPr="0012301F" w:rsidRDefault="0012301F" w:rsidP="2B6D8316">
      <w:pPr>
        <w:jc w:val="right"/>
        <w:rPr>
          <w:sz w:val="20"/>
          <w:szCs w:val="20"/>
        </w:rPr>
      </w:pPr>
    </w:p>
    <w:p w14:paraId="2AEDCE37" w14:textId="77777777" w:rsidR="00544DCF" w:rsidRPr="00AF6F75" w:rsidRDefault="00544DCF" w:rsidP="00544DCF">
      <w:pPr>
        <w:jc w:val="right"/>
        <w:rPr>
          <w:i/>
        </w:rPr>
      </w:pPr>
    </w:p>
    <w:p w14:paraId="000CEAAE" w14:textId="77777777" w:rsidR="00544DCF" w:rsidRPr="00F46BCF" w:rsidRDefault="00544DCF" w:rsidP="00544DCF">
      <w:pPr>
        <w:jc w:val="center"/>
      </w:pPr>
      <w:r w:rsidRPr="00F46BCF">
        <w:rPr>
          <w:noProof/>
        </w:rPr>
        <w:drawing>
          <wp:inline distT="0" distB="0" distL="0" distR="0" wp14:anchorId="640B6860" wp14:editId="53C75615">
            <wp:extent cx="1573602" cy="1613139"/>
            <wp:effectExtent l="0" t="0" r="7620" b="6350"/>
            <wp:docPr id="181002709" name="Picture 181002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596030" cy="1636130"/>
                    </a:xfrm>
                    <a:prstGeom prst="rect">
                      <a:avLst/>
                    </a:prstGeom>
                  </pic:spPr>
                </pic:pic>
              </a:graphicData>
            </a:graphic>
          </wp:inline>
        </w:drawing>
      </w:r>
      <w:r w:rsidRPr="00F46BCF">
        <w:rPr>
          <w:b/>
        </w:rPr>
        <w:t xml:space="preserve"> </w:t>
      </w:r>
    </w:p>
    <w:p w14:paraId="0A93B3E6" w14:textId="77777777" w:rsidR="00544DCF" w:rsidRPr="00395226" w:rsidRDefault="00544DCF" w:rsidP="00544DCF">
      <w:pPr>
        <w:jc w:val="center"/>
      </w:pPr>
      <w:r w:rsidRPr="00395226">
        <w:rPr>
          <w:b/>
        </w:rPr>
        <w:t>The Council of the City of New York</w:t>
      </w:r>
    </w:p>
    <w:p w14:paraId="5F692D7F" w14:textId="77777777" w:rsidR="00544DCF" w:rsidRPr="00382547" w:rsidRDefault="00544DCF" w:rsidP="00544DCF">
      <w:pPr>
        <w:tabs>
          <w:tab w:val="center" w:pos="4680"/>
        </w:tabs>
        <w:jc w:val="center"/>
        <w:rPr>
          <w:sz w:val="26"/>
          <w:szCs w:val="26"/>
        </w:rPr>
      </w:pPr>
      <w:r w:rsidRPr="00382547">
        <w:rPr>
          <w:sz w:val="26"/>
          <w:szCs w:val="26"/>
        </w:rPr>
        <w:t xml:space="preserve"> </w:t>
      </w:r>
    </w:p>
    <w:p w14:paraId="6103540E" w14:textId="77777777" w:rsidR="00544DCF" w:rsidRPr="0000327E" w:rsidRDefault="00544DCF" w:rsidP="00544DCF">
      <w:pPr>
        <w:tabs>
          <w:tab w:val="center" w:pos="4680"/>
        </w:tabs>
        <w:jc w:val="center"/>
      </w:pPr>
      <w:r w:rsidRPr="0000327E">
        <w:rPr>
          <w:b/>
          <w:u w:val="single"/>
        </w:rPr>
        <w:t xml:space="preserve">COMMITTEE REPORT OF THE </w:t>
      </w:r>
      <w:r w:rsidR="00F46BCF" w:rsidRPr="0000327E">
        <w:rPr>
          <w:b/>
          <w:u w:val="single"/>
        </w:rPr>
        <w:t>LEGISLATIVE</w:t>
      </w:r>
      <w:r w:rsidR="003416A1" w:rsidRPr="0000327E">
        <w:rPr>
          <w:b/>
          <w:u w:val="single"/>
        </w:rPr>
        <w:t xml:space="preserve"> </w:t>
      </w:r>
      <w:r w:rsidRPr="0000327E">
        <w:rPr>
          <w:b/>
          <w:u w:val="single"/>
        </w:rPr>
        <w:t>DIVISION</w:t>
      </w:r>
    </w:p>
    <w:p w14:paraId="57BC9738" w14:textId="77777777" w:rsidR="00544DCF" w:rsidRPr="0000327E" w:rsidRDefault="00544DCF" w:rsidP="00544DCF">
      <w:pPr>
        <w:tabs>
          <w:tab w:val="center" w:pos="4680"/>
        </w:tabs>
        <w:jc w:val="center"/>
      </w:pPr>
      <w:r w:rsidRPr="0000327E">
        <w:t xml:space="preserve">Andrea Vazquez, </w:t>
      </w:r>
      <w:r w:rsidRPr="0000327E">
        <w:rPr>
          <w:i/>
        </w:rPr>
        <w:t>Director</w:t>
      </w:r>
    </w:p>
    <w:p w14:paraId="79021C07" w14:textId="77777777" w:rsidR="00544DCF" w:rsidRPr="0000327E" w:rsidRDefault="00544DCF" w:rsidP="00544DCF">
      <w:pPr>
        <w:tabs>
          <w:tab w:val="center" w:pos="4680"/>
        </w:tabs>
        <w:jc w:val="center"/>
      </w:pPr>
      <w:r w:rsidRPr="0000327E">
        <w:t xml:space="preserve">Smita Deshmukh, </w:t>
      </w:r>
      <w:r w:rsidRPr="0000327E">
        <w:rPr>
          <w:i/>
        </w:rPr>
        <w:t xml:space="preserve">Deputy Director, Human </w:t>
      </w:r>
      <w:r w:rsidR="0012301F">
        <w:rPr>
          <w:i/>
        </w:rPr>
        <w:t xml:space="preserve">and Social </w:t>
      </w:r>
      <w:r w:rsidRPr="0000327E">
        <w:rPr>
          <w:i/>
        </w:rPr>
        <w:t>Services</w:t>
      </w:r>
    </w:p>
    <w:p w14:paraId="60FA2CD4" w14:textId="77777777" w:rsidR="00544DCF" w:rsidRPr="0000327E" w:rsidRDefault="00544DCF" w:rsidP="004B6D63">
      <w:pPr>
        <w:tabs>
          <w:tab w:val="center" w:pos="4680"/>
        </w:tabs>
        <w:jc w:val="center"/>
      </w:pPr>
      <w:r w:rsidRPr="0000327E">
        <w:rPr>
          <w:i/>
        </w:rPr>
        <w:t xml:space="preserve"> </w:t>
      </w:r>
    </w:p>
    <w:p w14:paraId="7896BD9E" w14:textId="77777777" w:rsidR="00544DCF" w:rsidRPr="0000327E" w:rsidRDefault="00544DCF" w:rsidP="00544DCF">
      <w:pPr>
        <w:jc w:val="center"/>
      </w:pPr>
      <w:r w:rsidRPr="0000327E">
        <w:rPr>
          <w:b/>
          <w:u w:val="single"/>
        </w:rPr>
        <w:t>COMMITTEE ON HEALTH</w:t>
      </w:r>
    </w:p>
    <w:p w14:paraId="49F55939" w14:textId="77777777" w:rsidR="00544DCF" w:rsidRPr="0000327E" w:rsidRDefault="00544DCF" w:rsidP="00544DCF">
      <w:pPr>
        <w:jc w:val="center"/>
      </w:pPr>
      <w:r w:rsidRPr="0000327E">
        <w:t xml:space="preserve">Hon. </w:t>
      </w:r>
      <w:r w:rsidR="008C3AB7" w:rsidRPr="0000327E">
        <w:t>Lynn Schulman</w:t>
      </w:r>
      <w:r w:rsidRPr="0000327E">
        <w:t>,</w:t>
      </w:r>
      <w:r w:rsidRPr="0000327E">
        <w:rPr>
          <w:i/>
        </w:rPr>
        <w:t xml:space="preserve"> Chair</w:t>
      </w:r>
    </w:p>
    <w:p w14:paraId="646CBF3D" w14:textId="77777777" w:rsidR="00544DCF" w:rsidRPr="0000327E" w:rsidRDefault="00544DCF" w:rsidP="00544DCF">
      <w:pPr>
        <w:jc w:val="both"/>
      </w:pPr>
    </w:p>
    <w:p w14:paraId="3AF177B4" w14:textId="2CF10D44" w:rsidR="00544DCF" w:rsidRPr="0000327E" w:rsidRDefault="006B577D" w:rsidP="3A06739B">
      <w:pPr>
        <w:jc w:val="center"/>
        <w:rPr>
          <w:b/>
        </w:rPr>
      </w:pPr>
      <w:r>
        <w:rPr>
          <w:b/>
        </w:rPr>
        <w:t>March 5,</w:t>
      </w:r>
      <w:r w:rsidR="00382547" w:rsidRPr="0000327E">
        <w:rPr>
          <w:b/>
        </w:rPr>
        <w:t xml:space="preserve"> 202</w:t>
      </w:r>
      <w:r w:rsidR="00E13602">
        <w:rPr>
          <w:b/>
        </w:rPr>
        <w:t>6</w:t>
      </w:r>
    </w:p>
    <w:p w14:paraId="5C8A077C" w14:textId="77777777" w:rsidR="00382547" w:rsidRPr="0000327E" w:rsidRDefault="00382547" w:rsidP="3A06739B">
      <w:pPr>
        <w:jc w:val="center"/>
        <w:rPr>
          <w:b/>
          <w:smallCaps/>
        </w:rPr>
      </w:pPr>
    </w:p>
    <w:p w14:paraId="364E0ABF" w14:textId="77777777" w:rsidR="00E13602" w:rsidRPr="00E13602" w:rsidRDefault="00382547" w:rsidP="00E13602">
      <w:pPr>
        <w:jc w:val="center"/>
        <w:rPr>
          <w:b/>
          <w:smallCaps/>
        </w:rPr>
      </w:pPr>
      <w:r w:rsidRPr="0000327E">
        <w:rPr>
          <w:b/>
          <w:smallCaps/>
        </w:rPr>
        <w:t xml:space="preserve">Oversight </w:t>
      </w:r>
      <w:r w:rsidR="0096591F">
        <w:rPr>
          <w:b/>
          <w:smallCaps/>
        </w:rPr>
        <w:t>–</w:t>
      </w:r>
      <w:r w:rsidRPr="0000327E">
        <w:rPr>
          <w:b/>
          <w:smallCaps/>
        </w:rPr>
        <w:t xml:space="preserve"> </w:t>
      </w:r>
      <w:r w:rsidR="00E13602" w:rsidRPr="00E13602">
        <w:rPr>
          <w:b/>
          <w:smallCaps/>
        </w:rPr>
        <w:t>Access to Childhood Vaccines in New York City</w:t>
      </w:r>
    </w:p>
    <w:p w14:paraId="6AFF0E09" w14:textId="77777777" w:rsidR="00744129" w:rsidRPr="00744129" w:rsidRDefault="00744129" w:rsidP="00744129">
      <w:pPr>
        <w:jc w:val="center"/>
        <w:rPr>
          <w:rFonts w:ascii="Times New Roman Bold" w:hAnsi="Times New Roman Bold"/>
          <w:b/>
          <w:smallCaps/>
          <w:sz w:val="26"/>
          <w:szCs w:val="26"/>
        </w:rPr>
      </w:pPr>
    </w:p>
    <w:p w14:paraId="55CA6881" w14:textId="77777777" w:rsidR="004E1596" w:rsidRDefault="00AB0B66" w:rsidP="004E1596">
      <w:pPr>
        <w:jc w:val="center"/>
        <w:rPr>
          <w:rFonts w:ascii="Times New Roman Bold" w:hAnsi="Times New Roman Bold"/>
          <w:b/>
          <w:smallCaps/>
        </w:rPr>
      </w:pPr>
      <w:r w:rsidRPr="01768335">
        <w:rPr>
          <w:rFonts w:ascii="Times New Roman Bold" w:hAnsi="Times New Roman Bold"/>
          <w:b/>
          <w:smallCaps/>
        </w:rPr>
        <w:t>Legislation:</w:t>
      </w:r>
    </w:p>
    <w:p w14:paraId="5117F2CE" w14:textId="77777777" w:rsidR="00296F43" w:rsidRPr="004E1596" w:rsidRDefault="00296F43" w:rsidP="004E1596">
      <w:pPr>
        <w:jc w:val="center"/>
        <w:rPr>
          <w:rFonts w:ascii="Times New Roman Bold" w:hAnsi="Times New Roman Bold"/>
          <w:b/>
          <w:smallCaps/>
        </w:rPr>
      </w:pPr>
    </w:p>
    <w:tbl>
      <w:tblPr>
        <w:tblStyle w:val="TableGridLight"/>
        <w:tblW w:w="95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0"/>
        <w:gridCol w:w="18"/>
        <w:gridCol w:w="6296"/>
        <w:gridCol w:w="90"/>
      </w:tblGrid>
      <w:tr w:rsidR="00544DCF" w:rsidRPr="00F46BCF" w14:paraId="3F3D6293" w14:textId="77777777" w:rsidTr="00326944">
        <w:trPr>
          <w:trHeight w:val="828"/>
        </w:trPr>
        <w:tc>
          <w:tcPr>
            <w:tcW w:w="3150" w:type="dxa"/>
          </w:tcPr>
          <w:p w14:paraId="1ECAAFCA" w14:textId="77777777" w:rsidR="00544DCF" w:rsidRPr="00ED12AD" w:rsidRDefault="006B5793" w:rsidP="00326944">
            <w:pPr>
              <w:ind w:left="-105"/>
              <w:contextualSpacing/>
              <w:jc w:val="both"/>
              <w:rPr>
                <w:b/>
                <w:smallCaps/>
                <w:color w:val="000000" w:themeColor="text1"/>
              </w:rPr>
            </w:pPr>
            <w:r w:rsidRPr="00151B5B">
              <w:rPr>
                <w:b/>
                <w:smallCaps/>
                <w:color w:val="000000" w:themeColor="text1"/>
              </w:rPr>
              <w:t xml:space="preserve">Proposed </w:t>
            </w:r>
            <w:r w:rsidR="00520662" w:rsidRPr="00151B5B">
              <w:rPr>
                <w:b/>
                <w:smallCaps/>
                <w:color w:val="000000" w:themeColor="text1"/>
              </w:rPr>
              <w:t>Int. No</w:t>
            </w:r>
            <w:r w:rsidR="00520662" w:rsidRPr="00151B5B">
              <w:rPr>
                <w:b/>
                <w:smallCaps/>
              </w:rPr>
              <w:t>.</w:t>
            </w:r>
            <w:r w:rsidR="00382547" w:rsidRPr="00151B5B">
              <w:rPr>
                <w:b/>
                <w:smallCaps/>
              </w:rPr>
              <w:t xml:space="preserve"> </w:t>
            </w:r>
            <w:r w:rsidRPr="00151B5B">
              <w:rPr>
                <w:b/>
                <w:smallCaps/>
              </w:rPr>
              <w:t>196</w:t>
            </w:r>
            <w:r w:rsidR="00382547" w:rsidRPr="00151B5B">
              <w:rPr>
                <w:b/>
                <w:smallCaps/>
              </w:rPr>
              <w:t>-</w:t>
            </w:r>
            <w:r w:rsidRPr="00151B5B">
              <w:rPr>
                <w:b/>
                <w:smallCaps/>
              </w:rPr>
              <w:t>A-</w:t>
            </w:r>
            <w:r w:rsidR="00382547" w:rsidRPr="00151B5B">
              <w:rPr>
                <w:b/>
                <w:smallCaps/>
              </w:rPr>
              <w:t>202</w:t>
            </w:r>
            <w:r w:rsidR="00E13602" w:rsidRPr="00151B5B">
              <w:rPr>
                <w:b/>
                <w:smallCaps/>
              </w:rPr>
              <w:t>6</w:t>
            </w:r>
            <w:r w:rsidR="0054185E" w:rsidRPr="00151B5B">
              <w:rPr>
                <w:b/>
                <w:smallCaps/>
                <w:color w:val="000000" w:themeColor="text1"/>
              </w:rPr>
              <w:t>:</w:t>
            </w:r>
          </w:p>
        </w:tc>
        <w:tc>
          <w:tcPr>
            <w:tcW w:w="6404" w:type="dxa"/>
            <w:gridSpan w:val="3"/>
          </w:tcPr>
          <w:p w14:paraId="60C6A1E3" w14:textId="0B46D85C" w:rsidR="0096591F" w:rsidRPr="0096591F" w:rsidRDefault="00D64366" w:rsidP="00093DEF">
            <w:pPr>
              <w:autoSpaceDE w:val="0"/>
              <w:autoSpaceDN w:val="0"/>
              <w:adjustRightInd w:val="0"/>
              <w:contextualSpacing/>
              <w:jc w:val="both"/>
              <w:rPr>
                <w:rFonts w:eastAsia="Calibri"/>
              </w:rPr>
            </w:pPr>
            <w:r w:rsidRPr="00382547">
              <w:rPr>
                <w:rFonts w:eastAsia="Calibri"/>
              </w:rPr>
              <w:t xml:space="preserve">By Council Members </w:t>
            </w:r>
            <w:r w:rsidR="00E13602">
              <w:rPr>
                <w:rFonts w:eastAsia="Calibri"/>
              </w:rPr>
              <w:t>Feliz, Schulman, Cabán, Marte</w:t>
            </w:r>
            <w:r w:rsidR="006948D9">
              <w:rPr>
                <w:rFonts w:eastAsia="Calibri"/>
              </w:rPr>
              <w:t>,</w:t>
            </w:r>
            <w:r w:rsidR="00BF098A">
              <w:rPr>
                <w:rFonts w:eastAsia="Calibri"/>
              </w:rPr>
              <w:t xml:space="preserve"> Joseph</w:t>
            </w:r>
            <w:r w:rsidR="006B577D">
              <w:rPr>
                <w:rFonts w:eastAsia="Calibri"/>
              </w:rPr>
              <w:t xml:space="preserve">, </w:t>
            </w:r>
            <w:r w:rsidR="006948D9">
              <w:rPr>
                <w:rFonts w:eastAsia="Calibri"/>
              </w:rPr>
              <w:t xml:space="preserve"> Louis</w:t>
            </w:r>
            <w:r w:rsidR="006B577D">
              <w:rPr>
                <w:rFonts w:eastAsia="Calibri"/>
              </w:rPr>
              <w:t>, Brooks-Powers and Lee</w:t>
            </w:r>
          </w:p>
        </w:tc>
      </w:tr>
      <w:tr w:rsidR="00544DCF" w:rsidRPr="00E13602" w14:paraId="54D9D62B" w14:textId="77777777" w:rsidTr="00326944">
        <w:trPr>
          <w:gridAfter w:val="1"/>
          <w:wAfter w:w="90" w:type="dxa"/>
          <w:trHeight w:val="795"/>
        </w:trPr>
        <w:tc>
          <w:tcPr>
            <w:tcW w:w="3168" w:type="dxa"/>
            <w:gridSpan w:val="2"/>
          </w:tcPr>
          <w:p w14:paraId="30FB6477" w14:textId="77777777" w:rsidR="00544DCF" w:rsidRPr="00F46BCF" w:rsidRDefault="00544DCF" w:rsidP="00326944">
            <w:pPr>
              <w:ind w:hanging="105"/>
              <w:contextualSpacing/>
              <w:jc w:val="both"/>
              <w:rPr>
                <w:b/>
                <w:smallCaps/>
                <w:color w:val="000000" w:themeColor="text1"/>
              </w:rPr>
            </w:pPr>
            <w:r w:rsidRPr="00F46BCF">
              <w:rPr>
                <w:b/>
                <w:smallCaps/>
                <w:color w:val="000000" w:themeColor="text1"/>
              </w:rPr>
              <w:t>Title:</w:t>
            </w:r>
          </w:p>
        </w:tc>
        <w:tc>
          <w:tcPr>
            <w:tcW w:w="6296" w:type="dxa"/>
          </w:tcPr>
          <w:p w14:paraId="3749F283" w14:textId="77777777" w:rsidR="00E13602" w:rsidRPr="00E13602" w:rsidRDefault="00E13602" w:rsidP="00093DEF">
            <w:pPr>
              <w:contextualSpacing/>
              <w:jc w:val="both"/>
              <w:rPr>
                <w:color w:val="000000"/>
              </w:rPr>
            </w:pPr>
            <w:r w:rsidRPr="00E13602">
              <w:rPr>
                <w:color w:val="000000"/>
              </w:rPr>
              <w:t>A Local Law to amend the administrative code of the city of New York, in relation to modifying the sodium warning at chain restaurants</w:t>
            </w:r>
          </w:p>
          <w:p w14:paraId="2AE957CB" w14:textId="77777777" w:rsidR="001D6381" w:rsidRPr="00E13602" w:rsidRDefault="00E13602" w:rsidP="00FD6E07">
            <w:pPr>
              <w:pStyle w:val="NormalWeb"/>
              <w:shd w:val="clear" w:color="auto" w:fill="FFFFFF" w:themeFill="background1"/>
              <w:spacing w:before="0" w:beforeAutospacing="0" w:after="0" w:afterAutospacing="0"/>
              <w:contextualSpacing/>
              <w:jc w:val="both"/>
              <w:rPr>
                <w:color w:val="000000" w:themeColor="text1"/>
              </w:rPr>
            </w:pPr>
            <w:r>
              <w:rPr>
                <w:color w:val="000000" w:themeColor="text1"/>
              </w:rPr>
              <w:t xml:space="preserve"> </w:t>
            </w:r>
          </w:p>
        </w:tc>
      </w:tr>
    </w:tbl>
    <w:p w14:paraId="43FA1E24" w14:textId="688DD07B" w:rsidR="0096591F" w:rsidRDefault="0096591F" w:rsidP="00093DEF">
      <w:pPr>
        <w:spacing w:line="264" w:lineRule="atLeast"/>
        <w:ind w:left="3240" w:hanging="3240"/>
        <w:jc w:val="both"/>
        <w:textAlignment w:val="baseline"/>
      </w:pPr>
      <w:r w:rsidRPr="007A50D7">
        <w:rPr>
          <w:rFonts w:ascii="Times New Roman Bold" w:hAnsi="Times New Roman Bold"/>
          <w:b/>
          <w:smallCaps/>
        </w:rPr>
        <w:t xml:space="preserve">Int. No. </w:t>
      </w:r>
      <w:r w:rsidR="00230B3F" w:rsidRPr="007A50D7">
        <w:rPr>
          <w:rFonts w:ascii="Times New Roman Bold" w:hAnsi="Times New Roman Bold"/>
          <w:b/>
          <w:smallCaps/>
        </w:rPr>
        <w:t>260-2026</w:t>
      </w:r>
      <w:r w:rsidR="00983815" w:rsidRPr="007A50D7">
        <w:rPr>
          <w:rFonts w:ascii="Times New Roman Bold" w:hAnsi="Times New Roman Bold"/>
          <w:b/>
          <w:smallCaps/>
        </w:rPr>
        <w:t>:</w:t>
      </w:r>
      <w:r w:rsidR="00983815" w:rsidRPr="007A50D7">
        <w:rPr>
          <w:b/>
        </w:rPr>
        <w:tab/>
      </w:r>
      <w:r w:rsidR="00983815" w:rsidRPr="007A50D7">
        <w:t xml:space="preserve">By Council </w:t>
      </w:r>
      <w:r w:rsidR="007F4BF1" w:rsidRPr="007A50D7">
        <w:t>Member</w:t>
      </w:r>
      <w:r w:rsidR="00230B3F" w:rsidRPr="007A50D7">
        <w:t>s</w:t>
      </w:r>
      <w:r w:rsidR="007F4BF1" w:rsidRPr="007A50D7">
        <w:t xml:space="preserve"> Krishnan</w:t>
      </w:r>
      <w:r w:rsidR="00230B3F" w:rsidRPr="007A50D7">
        <w:t>, Dinowitz</w:t>
      </w:r>
      <w:r w:rsidR="006B577D">
        <w:t xml:space="preserve">, </w:t>
      </w:r>
      <w:r w:rsidR="00230B3F" w:rsidRPr="007A50D7">
        <w:t>Louis</w:t>
      </w:r>
      <w:r w:rsidR="006B577D">
        <w:t>, Schulman, Banks and Lee</w:t>
      </w:r>
    </w:p>
    <w:p w14:paraId="6D6321D8" w14:textId="77777777" w:rsidR="00CD322F" w:rsidRPr="007A50D7" w:rsidRDefault="00CD322F" w:rsidP="00093DEF">
      <w:pPr>
        <w:ind w:left="3240" w:hanging="3240"/>
        <w:jc w:val="both"/>
      </w:pPr>
    </w:p>
    <w:p w14:paraId="0F164259" w14:textId="77777777" w:rsidR="00983815" w:rsidRDefault="00983815" w:rsidP="00C34E44">
      <w:pPr>
        <w:ind w:left="3240" w:hanging="3240"/>
        <w:jc w:val="both"/>
      </w:pPr>
      <w:r w:rsidRPr="007A50D7">
        <w:rPr>
          <w:b/>
          <w:smallCaps/>
        </w:rPr>
        <w:t>Title</w:t>
      </w:r>
      <w:r w:rsidRPr="007A50D7">
        <w:rPr>
          <w:smallCaps/>
        </w:rPr>
        <w:t>:</w:t>
      </w:r>
      <w:r w:rsidRPr="007A50D7">
        <w:tab/>
      </w:r>
      <w:r w:rsidR="0029544C" w:rsidRPr="007A50D7">
        <w:t>A Local Law to amend the administrative code of the city of New York, in relation to distributing information on vaccines to parents of students in New York city schools</w:t>
      </w:r>
    </w:p>
    <w:p w14:paraId="63FC12F1" w14:textId="77777777" w:rsidR="009368E5" w:rsidRPr="00032D69" w:rsidRDefault="009368E5" w:rsidP="00C34E44">
      <w:pPr>
        <w:ind w:left="3240" w:hanging="3240"/>
        <w:jc w:val="both"/>
        <w:rPr>
          <w:highlight w:val="yellow"/>
        </w:rPr>
      </w:pPr>
    </w:p>
    <w:p w14:paraId="586F93BF" w14:textId="753B5BE5" w:rsidR="008A2EB0" w:rsidRPr="00326944" w:rsidRDefault="00737ABF" w:rsidP="00093DEF">
      <w:pPr>
        <w:ind w:left="3240" w:hanging="3240"/>
        <w:jc w:val="both"/>
      </w:pPr>
      <w:r w:rsidRPr="00326944">
        <w:rPr>
          <w:rFonts w:ascii="Times New Roman Bold" w:hAnsi="Times New Roman Bold"/>
          <w:b/>
          <w:smallCaps/>
        </w:rPr>
        <w:t xml:space="preserve">Int. No. </w:t>
      </w:r>
      <w:r w:rsidR="00FE2375" w:rsidRPr="00326944">
        <w:rPr>
          <w:rFonts w:ascii="Times New Roman Bold" w:hAnsi="Times New Roman Bold"/>
          <w:b/>
          <w:smallCaps/>
        </w:rPr>
        <w:t>547-</w:t>
      </w:r>
      <w:r w:rsidR="008A2EB0" w:rsidRPr="00326944">
        <w:rPr>
          <w:rFonts w:ascii="Times New Roman Bold" w:hAnsi="Times New Roman Bold"/>
          <w:b/>
          <w:smallCaps/>
        </w:rPr>
        <w:t>2026</w:t>
      </w:r>
      <w:r w:rsidR="00FE2375" w:rsidRPr="00326944">
        <w:rPr>
          <w:rFonts w:ascii="Times New Roman Bold" w:hAnsi="Times New Roman Bold"/>
          <w:b/>
          <w:smallCaps/>
        </w:rPr>
        <w:t>:</w:t>
      </w:r>
      <w:r w:rsidR="008A2EB0" w:rsidRPr="00326944">
        <w:rPr>
          <w:b/>
        </w:rPr>
        <w:tab/>
      </w:r>
      <w:r w:rsidR="008A2EB0" w:rsidRPr="00326944">
        <w:t>By Council Members Feliz, Cabán, Abreu, Schulman, Stevens</w:t>
      </w:r>
      <w:r w:rsidR="006B577D">
        <w:t xml:space="preserve">, </w:t>
      </w:r>
      <w:r w:rsidR="008A2EB0" w:rsidRPr="00326944">
        <w:t>Louis</w:t>
      </w:r>
      <w:r w:rsidR="006B577D">
        <w:t xml:space="preserve"> and Lee</w:t>
      </w:r>
    </w:p>
    <w:p w14:paraId="4B83EB51" w14:textId="77777777" w:rsidR="008A2EB0" w:rsidRPr="00326944" w:rsidRDefault="008A2EB0" w:rsidP="00093DEF">
      <w:pPr>
        <w:ind w:left="3240" w:hanging="3240"/>
        <w:jc w:val="both"/>
      </w:pPr>
    </w:p>
    <w:p w14:paraId="1EE74F9B" w14:textId="77777777" w:rsidR="008A2EB0" w:rsidRDefault="008A2EB0" w:rsidP="00FD6E07">
      <w:pPr>
        <w:spacing w:line="264" w:lineRule="atLeast"/>
        <w:ind w:left="3240" w:hanging="3240"/>
        <w:jc w:val="both"/>
        <w:textAlignment w:val="baseline"/>
        <w:rPr>
          <w:color w:val="000000"/>
        </w:rPr>
      </w:pPr>
      <w:r w:rsidRPr="00326944">
        <w:rPr>
          <w:rFonts w:ascii="Times New Roman Bold" w:hAnsi="Times New Roman Bold"/>
          <w:b/>
          <w:smallCaps/>
        </w:rPr>
        <w:t>Title:</w:t>
      </w:r>
      <w:r w:rsidRPr="00326944">
        <w:rPr>
          <w:b/>
        </w:rPr>
        <w:tab/>
      </w:r>
      <w:r w:rsidRPr="00326944">
        <w:rPr>
          <w:color w:val="000000"/>
        </w:rPr>
        <w:t>A Local Law to amend the administrative code of the city of New York, in relation to amending the icon for added sugar warning labels and the amount for civil penalties</w:t>
      </w:r>
    </w:p>
    <w:p w14:paraId="27E75E27" w14:textId="77777777" w:rsidR="00947BC7" w:rsidRDefault="00947BC7" w:rsidP="00FD6E07">
      <w:pPr>
        <w:spacing w:line="264" w:lineRule="atLeast"/>
        <w:ind w:left="3240" w:hanging="3240"/>
        <w:jc w:val="both"/>
        <w:textAlignment w:val="baseline"/>
        <w:rPr>
          <w:color w:val="000000"/>
        </w:rPr>
      </w:pPr>
    </w:p>
    <w:tbl>
      <w:tblPr>
        <w:tblStyle w:val="TableGridLight"/>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0"/>
        <w:gridCol w:w="18"/>
        <w:gridCol w:w="6277"/>
        <w:gridCol w:w="19"/>
      </w:tblGrid>
      <w:tr w:rsidR="00E44C4F" w:rsidRPr="00F46BCF" w14:paraId="2C1A03D4" w14:textId="77777777" w:rsidTr="00326944">
        <w:trPr>
          <w:gridAfter w:val="1"/>
          <w:wAfter w:w="19" w:type="dxa"/>
          <w:trHeight w:val="828"/>
        </w:trPr>
        <w:tc>
          <w:tcPr>
            <w:tcW w:w="3150" w:type="dxa"/>
          </w:tcPr>
          <w:p w14:paraId="6B0E1C9A" w14:textId="15756E4C" w:rsidR="00E44C4F" w:rsidRPr="00ED12AD" w:rsidRDefault="00E44C4F" w:rsidP="009111AB">
            <w:pPr>
              <w:ind w:left="-105"/>
              <w:contextualSpacing/>
              <w:jc w:val="both"/>
              <w:rPr>
                <w:b/>
                <w:smallCaps/>
                <w:color w:val="000000" w:themeColor="text1"/>
              </w:rPr>
            </w:pPr>
            <w:r>
              <w:rPr>
                <w:b/>
                <w:smallCaps/>
                <w:color w:val="000000" w:themeColor="text1"/>
              </w:rPr>
              <w:t xml:space="preserve">Int. No. </w:t>
            </w:r>
            <w:r w:rsidR="006B577D">
              <w:rPr>
                <w:b/>
                <w:smallCaps/>
                <w:color w:val="000000" w:themeColor="text1"/>
              </w:rPr>
              <w:t>693</w:t>
            </w:r>
            <w:r w:rsidRPr="00151B5B">
              <w:rPr>
                <w:b/>
                <w:smallCaps/>
                <w:color w:val="000000" w:themeColor="text1"/>
              </w:rPr>
              <w:t>:</w:t>
            </w:r>
          </w:p>
        </w:tc>
        <w:tc>
          <w:tcPr>
            <w:tcW w:w="6295" w:type="dxa"/>
            <w:gridSpan w:val="2"/>
          </w:tcPr>
          <w:p w14:paraId="176C2D7E" w14:textId="60BE26E3" w:rsidR="00E44C4F" w:rsidRPr="0096591F" w:rsidRDefault="00947BC7" w:rsidP="009111AB">
            <w:pPr>
              <w:autoSpaceDE w:val="0"/>
              <w:autoSpaceDN w:val="0"/>
              <w:adjustRightInd w:val="0"/>
              <w:contextualSpacing/>
              <w:jc w:val="both"/>
              <w:rPr>
                <w:rFonts w:eastAsia="Calibri"/>
              </w:rPr>
            </w:pPr>
            <w:r w:rsidRPr="009111AB">
              <w:t>By Council Member</w:t>
            </w:r>
            <w:r w:rsidR="006B577D">
              <w:t>s</w:t>
            </w:r>
            <w:r w:rsidRPr="009111AB">
              <w:t xml:space="preserve"> Dinowitz</w:t>
            </w:r>
            <w:r w:rsidR="006B577D">
              <w:t>, Schulman and Louis</w:t>
            </w:r>
          </w:p>
        </w:tc>
      </w:tr>
      <w:tr w:rsidR="00E44C4F" w:rsidRPr="00E13602" w14:paraId="6D50BB16" w14:textId="77777777" w:rsidTr="00326944">
        <w:trPr>
          <w:trHeight w:val="747"/>
        </w:trPr>
        <w:tc>
          <w:tcPr>
            <w:tcW w:w="3168" w:type="dxa"/>
            <w:gridSpan w:val="2"/>
          </w:tcPr>
          <w:p w14:paraId="7D11B9AC" w14:textId="77777777" w:rsidR="00E44C4F" w:rsidRPr="00F46BCF" w:rsidRDefault="00E44C4F" w:rsidP="009111AB">
            <w:pPr>
              <w:ind w:hanging="105"/>
              <w:contextualSpacing/>
              <w:jc w:val="both"/>
              <w:rPr>
                <w:b/>
                <w:smallCaps/>
                <w:color w:val="000000" w:themeColor="text1"/>
              </w:rPr>
            </w:pPr>
            <w:r w:rsidRPr="00F46BCF">
              <w:rPr>
                <w:b/>
                <w:smallCaps/>
                <w:color w:val="000000" w:themeColor="text1"/>
              </w:rPr>
              <w:t>Title:</w:t>
            </w:r>
          </w:p>
        </w:tc>
        <w:tc>
          <w:tcPr>
            <w:tcW w:w="6296" w:type="dxa"/>
            <w:gridSpan w:val="2"/>
          </w:tcPr>
          <w:p w14:paraId="11AFF9D2" w14:textId="5E943B55" w:rsidR="00947BC7" w:rsidRPr="00326944" w:rsidRDefault="00E44C4F" w:rsidP="00326944">
            <w:pPr>
              <w:contextualSpacing/>
              <w:jc w:val="both"/>
              <w:rPr>
                <w:color w:val="000000"/>
              </w:rPr>
            </w:pPr>
            <w:r w:rsidRPr="00E13602">
              <w:rPr>
                <w:color w:val="000000"/>
              </w:rPr>
              <w:t xml:space="preserve">A </w:t>
            </w:r>
            <w:r w:rsidR="00947BC7" w:rsidRPr="00326944">
              <w:rPr>
                <w:color w:val="000000"/>
              </w:rPr>
              <w:t>Local Law to amend the administrative code of the city of New York, in relation to childhood and adolescent vaccinations</w:t>
            </w:r>
          </w:p>
          <w:p w14:paraId="2C0CFDA3" w14:textId="270FA543" w:rsidR="00E44C4F" w:rsidRPr="00E13602" w:rsidRDefault="00E44C4F" w:rsidP="009111AB">
            <w:pPr>
              <w:contextualSpacing/>
              <w:jc w:val="both"/>
              <w:rPr>
                <w:color w:val="000000"/>
              </w:rPr>
            </w:pPr>
          </w:p>
          <w:p w14:paraId="096B1D53" w14:textId="77777777" w:rsidR="00E44C4F" w:rsidRPr="00E13602" w:rsidRDefault="00E44C4F" w:rsidP="009111AB">
            <w:pPr>
              <w:pStyle w:val="NormalWeb"/>
              <w:shd w:val="clear" w:color="auto" w:fill="FFFFFF" w:themeFill="background1"/>
              <w:spacing w:before="0" w:beforeAutospacing="0" w:after="0" w:afterAutospacing="0"/>
              <w:contextualSpacing/>
              <w:jc w:val="both"/>
              <w:rPr>
                <w:color w:val="000000" w:themeColor="text1"/>
              </w:rPr>
            </w:pPr>
            <w:r>
              <w:rPr>
                <w:color w:val="000000" w:themeColor="text1"/>
              </w:rPr>
              <w:t xml:space="preserve"> </w:t>
            </w:r>
          </w:p>
        </w:tc>
      </w:tr>
      <w:tr w:rsidR="006B577D" w:rsidRPr="00E13602" w14:paraId="0DE043BB" w14:textId="77777777" w:rsidTr="00326944">
        <w:trPr>
          <w:trHeight w:val="747"/>
        </w:trPr>
        <w:tc>
          <w:tcPr>
            <w:tcW w:w="3168" w:type="dxa"/>
            <w:gridSpan w:val="2"/>
          </w:tcPr>
          <w:p w14:paraId="0108EB83" w14:textId="77777777" w:rsidR="006B577D" w:rsidRDefault="006B577D" w:rsidP="009111AB">
            <w:pPr>
              <w:ind w:hanging="105"/>
              <w:contextualSpacing/>
              <w:jc w:val="both"/>
              <w:rPr>
                <w:b/>
                <w:smallCaps/>
                <w:color w:val="000000" w:themeColor="text1"/>
              </w:rPr>
            </w:pPr>
            <w:r>
              <w:rPr>
                <w:b/>
                <w:smallCaps/>
                <w:color w:val="000000" w:themeColor="text1"/>
              </w:rPr>
              <w:t>Proposed Res. No. 243-A</w:t>
            </w:r>
          </w:p>
          <w:p w14:paraId="7EAC2DAC" w14:textId="77777777" w:rsidR="006B577D" w:rsidRDefault="006B577D" w:rsidP="009111AB">
            <w:pPr>
              <w:ind w:hanging="105"/>
              <w:contextualSpacing/>
              <w:jc w:val="both"/>
              <w:rPr>
                <w:b/>
                <w:smallCaps/>
                <w:color w:val="000000" w:themeColor="text1"/>
              </w:rPr>
            </w:pPr>
          </w:p>
          <w:p w14:paraId="4FD973BA" w14:textId="61145C56" w:rsidR="006B577D" w:rsidRPr="006B577D" w:rsidRDefault="006B577D" w:rsidP="009111AB">
            <w:pPr>
              <w:ind w:hanging="105"/>
              <w:contextualSpacing/>
              <w:jc w:val="both"/>
              <w:rPr>
                <w:b/>
                <w:smallCaps/>
                <w:color w:val="000000" w:themeColor="text1"/>
              </w:rPr>
            </w:pPr>
            <w:r>
              <w:rPr>
                <w:b/>
                <w:smallCaps/>
                <w:color w:val="000000" w:themeColor="text1"/>
              </w:rPr>
              <w:t>Title:</w:t>
            </w:r>
          </w:p>
        </w:tc>
        <w:tc>
          <w:tcPr>
            <w:tcW w:w="6296" w:type="dxa"/>
            <w:gridSpan w:val="2"/>
          </w:tcPr>
          <w:p w14:paraId="73877AA9" w14:textId="77777777" w:rsidR="006B577D" w:rsidRDefault="006B577D" w:rsidP="00326944">
            <w:pPr>
              <w:contextualSpacing/>
              <w:jc w:val="both"/>
              <w:rPr>
                <w:color w:val="000000"/>
              </w:rPr>
            </w:pPr>
            <w:r>
              <w:rPr>
                <w:color w:val="000000"/>
              </w:rPr>
              <w:t>By Council Members Hudson, Ossé, Cabán, Schulman and Carr</w:t>
            </w:r>
          </w:p>
          <w:p w14:paraId="6848B689" w14:textId="77777777" w:rsidR="006B577D" w:rsidRDefault="006B577D" w:rsidP="00326944">
            <w:pPr>
              <w:contextualSpacing/>
              <w:jc w:val="both"/>
              <w:rPr>
                <w:color w:val="000000"/>
              </w:rPr>
            </w:pPr>
          </w:p>
          <w:p w14:paraId="45FF5FBF" w14:textId="7E098297" w:rsidR="006B577D" w:rsidRDefault="006B577D" w:rsidP="00326944">
            <w:pPr>
              <w:contextualSpacing/>
              <w:jc w:val="both"/>
              <w:rPr>
                <w:color w:val="000000"/>
              </w:rPr>
            </w:pPr>
            <w:r>
              <w:rPr>
                <w:color w:val="000000"/>
              </w:rPr>
              <w:t>Resolution calling on the United States Department of Health and Huma Services to increase the number of mpox vaccines available and to prevent future outbreaks by ensuring that the amount of vaccines sent to New York City reflects its proportion of nationwide cases</w:t>
            </w:r>
          </w:p>
          <w:p w14:paraId="64398640" w14:textId="5AE8BCE5" w:rsidR="006B577D" w:rsidRPr="00E13602" w:rsidRDefault="006B577D" w:rsidP="00326944">
            <w:pPr>
              <w:contextualSpacing/>
              <w:jc w:val="both"/>
              <w:rPr>
                <w:color w:val="000000"/>
              </w:rPr>
            </w:pPr>
          </w:p>
        </w:tc>
      </w:tr>
    </w:tbl>
    <w:p w14:paraId="7DF5CA42" w14:textId="77777777" w:rsidR="006B577D" w:rsidRPr="00326944" w:rsidRDefault="006B577D" w:rsidP="006B577D">
      <w:pPr>
        <w:ind w:left="3240" w:hanging="3240"/>
        <w:jc w:val="both"/>
      </w:pPr>
      <w:r w:rsidRPr="00326944">
        <w:rPr>
          <w:rFonts w:ascii="Times New Roman Bold" w:hAnsi="Times New Roman Bold"/>
          <w:b/>
          <w:smallCaps/>
        </w:rPr>
        <w:t>Res. No 272-2026:</w:t>
      </w:r>
      <w:r w:rsidRPr="00326944">
        <w:tab/>
        <w:t>By Council Members Schulman and Louis</w:t>
      </w:r>
    </w:p>
    <w:p w14:paraId="595D3D7C" w14:textId="77777777" w:rsidR="006B577D" w:rsidRPr="00326944" w:rsidRDefault="006B577D" w:rsidP="006B577D">
      <w:pPr>
        <w:ind w:left="3240" w:hanging="3240"/>
        <w:jc w:val="both"/>
      </w:pPr>
    </w:p>
    <w:p w14:paraId="690CB375" w14:textId="77777777" w:rsidR="006B577D" w:rsidRDefault="006B577D" w:rsidP="006B577D">
      <w:pPr>
        <w:ind w:left="3240" w:hanging="3240"/>
        <w:jc w:val="both"/>
      </w:pPr>
      <w:r w:rsidRPr="00326944">
        <w:rPr>
          <w:rFonts w:ascii="Times New Roman Bold" w:hAnsi="Times New Roman Bold"/>
          <w:b/>
          <w:smallCaps/>
        </w:rPr>
        <w:t>Title</w:t>
      </w:r>
      <w:r w:rsidRPr="00326944">
        <w:t>:</w:t>
      </w:r>
      <w:r w:rsidRPr="00326944">
        <w:tab/>
        <w:t>Resolution calling on the New York State Legislature to pass, and the Governor to sign, A.9077 and a Senate companion bill, requiring pharmacies to offer appointments for Covid-19 and other vaccines without a prescription and based on nationally recognized clinical practice guidelines and best practices</w:t>
      </w:r>
    </w:p>
    <w:p w14:paraId="636F9CDE" w14:textId="77777777" w:rsidR="006B577D" w:rsidRDefault="006B577D" w:rsidP="006B577D">
      <w:pPr>
        <w:ind w:left="3240" w:hanging="3240"/>
        <w:jc w:val="both"/>
      </w:pPr>
    </w:p>
    <w:p w14:paraId="0A0370C9" w14:textId="33194807" w:rsidR="00983815" w:rsidRPr="00326944" w:rsidRDefault="00983815" w:rsidP="00093DEF">
      <w:pPr>
        <w:ind w:left="3240" w:hanging="3240"/>
        <w:jc w:val="both"/>
      </w:pPr>
      <w:r w:rsidRPr="00326944">
        <w:rPr>
          <w:rFonts w:ascii="Times New Roman Bold" w:hAnsi="Times New Roman Bold"/>
          <w:b/>
          <w:smallCaps/>
        </w:rPr>
        <w:t>Res. No</w:t>
      </w:r>
      <w:r w:rsidR="00FE2375" w:rsidRPr="00326944">
        <w:rPr>
          <w:rFonts w:ascii="Times New Roman Bold" w:hAnsi="Times New Roman Bold"/>
          <w:b/>
          <w:smallCaps/>
        </w:rPr>
        <w:t xml:space="preserve"> 273-2026:</w:t>
      </w:r>
      <w:r w:rsidRPr="00326944">
        <w:tab/>
        <w:t>By Council Member</w:t>
      </w:r>
      <w:r w:rsidR="00FF7420" w:rsidRPr="00326944">
        <w:t>s</w:t>
      </w:r>
      <w:r w:rsidR="007A50D7" w:rsidRPr="00326944">
        <w:t xml:space="preserve"> Schulman</w:t>
      </w:r>
      <w:r w:rsidR="00FF7420" w:rsidRPr="00326944">
        <w:t xml:space="preserve"> and Louis</w:t>
      </w:r>
    </w:p>
    <w:p w14:paraId="410A92FB" w14:textId="77777777" w:rsidR="00CD322F" w:rsidRPr="00326944" w:rsidRDefault="00CD322F" w:rsidP="00093DEF">
      <w:pPr>
        <w:ind w:left="3240" w:hanging="3240"/>
        <w:jc w:val="both"/>
      </w:pPr>
    </w:p>
    <w:p w14:paraId="4DB5775B" w14:textId="77777777" w:rsidR="00737ABF" w:rsidRPr="008C24D1" w:rsidRDefault="00983815" w:rsidP="00326944">
      <w:pPr>
        <w:ind w:left="3240" w:hanging="3240"/>
        <w:jc w:val="both"/>
      </w:pPr>
      <w:r w:rsidRPr="00326944">
        <w:rPr>
          <w:b/>
          <w:smallCaps/>
        </w:rPr>
        <w:t>Title</w:t>
      </w:r>
      <w:r w:rsidRPr="00326944">
        <w:rPr>
          <w:smallCaps/>
        </w:rPr>
        <w:t>:</w:t>
      </w:r>
      <w:r w:rsidRPr="00326944">
        <w:tab/>
      </w:r>
      <w:r w:rsidR="00737ABF" w:rsidRPr="00326944">
        <w:t>Resolution calling on the New York State Legislature to pass, and the Governor to sign, S.4548/A.3892 and S.6744A/A.3894A, legislation authorizing dentists to administer influenza vaccines, COVID-19 vaccines, human papillomavirus vaccines, or a vaccine related to a public health emergency</w:t>
      </w:r>
    </w:p>
    <w:p w14:paraId="45B0C589" w14:textId="77777777" w:rsidR="00485ABF" w:rsidRPr="008C24D1" w:rsidRDefault="00485ABF" w:rsidP="00326944">
      <w:pPr>
        <w:ind w:left="3240" w:hanging="3240"/>
        <w:jc w:val="both"/>
      </w:pPr>
    </w:p>
    <w:p w14:paraId="55B118A1" w14:textId="77777777" w:rsidR="004740CD" w:rsidRDefault="004740CD" w:rsidP="00737ABF">
      <w:pPr>
        <w:ind w:left="3240" w:hanging="3240"/>
      </w:pPr>
    </w:p>
    <w:p w14:paraId="2BFB8E74" w14:textId="77777777" w:rsidR="006B577D" w:rsidRDefault="006B577D" w:rsidP="00737ABF">
      <w:pPr>
        <w:ind w:left="3240" w:hanging="3240"/>
      </w:pPr>
    </w:p>
    <w:p w14:paraId="242B9D27" w14:textId="77777777" w:rsidR="006B577D" w:rsidRDefault="006B577D" w:rsidP="00737ABF">
      <w:pPr>
        <w:ind w:left="3240" w:hanging="3240"/>
      </w:pPr>
    </w:p>
    <w:p w14:paraId="6E074B79" w14:textId="77777777" w:rsidR="006B577D" w:rsidRDefault="006B577D" w:rsidP="00737ABF">
      <w:pPr>
        <w:ind w:left="3240" w:hanging="3240"/>
      </w:pPr>
    </w:p>
    <w:p w14:paraId="4CF21163" w14:textId="77777777" w:rsidR="006B577D" w:rsidRDefault="006B577D" w:rsidP="00737ABF">
      <w:pPr>
        <w:ind w:left="3240" w:hanging="3240"/>
      </w:pPr>
    </w:p>
    <w:p w14:paraId="5F1B84A7" w14:textId="77777777" w:rsidR="006B577D" w:rsidRDefault="006B577D" w:rsidP="00737ABF">
      <w:pPr>
        <w:ind w:left="3240" w:hanging="3240"/>
      </w:pPr>
    </w:p>
    <w:p w14:paraId="148C9EB9" w14:textId="77777777" w:rsidR="006B577D" w:rsidRPr="00775367" w:rsidRDefault="006B577D" w:rsidP="00737ABF">
      <w:pPr>
        <w:ind w:left="3240" w:hanging="3240"/>
      </w:pPr>
    </w:p>
    <w:p w14:paraId="060AADFC" w14:textId="77777777" w:rsidR="00493777" w:rsidRPr="00493777" w:rsidRDefault="43DDD9BB" w:rsidP="00493777">
      <w:pPr>
        <w:pStyle w:val="ListParagraph"/>
        <w:numPr>
          <w:ilvl w:val="0"/>
          <w:numId w:val="3"/>
        </w:numPr>
        <w:spacing w:line="480" w:lineRule="auto"/>
      </w:pPr>
      <w:r w:rsidRPr="00F46BCF">
        <w:rPr>
          <w:b/>
        </w:rPr>
        <w:lastRenderedPageBreak/>
        <w:t>INTRODUCTION</w:t>
      </w:r>
    </w:p>
    <w:p w14:paraId="62C159B0" w14:textId="5ACED5CA" w:rsidR="0004361E" w:rsidRDefault="0004361E" w:rsidP="004F2555">
      <w:pPr>
        <w:spacing w:line="480" w:lineRule="auto"/>
      </w:pPr>
      <w:r>
        <w:tab/>
      </w:r>
      <w:r w:rsidR="00520662">
        <w:t xml:space="preserve">On </w:t>
      </w:r>
      <w:r w:rsidR="006B577D">
        <w:t>March 5</w:t>
      </w:r>
      <w:r w:rsidR="001A7D69">
        <w:t>, 2026</w:t>
      </w:r>
      <w:r w:rsidR="0088052B">
        <w:t>,</w:t>
      </w:r>
      <w:r w:rsidR="00520662">
        <w:t xml:space="preserve"> the Committee on Health, chaired by Council Member Lynn Schulman</w:t>
      </w:r>
      <w:r w:rsidR="0088052B">
        <w:t xml:space="preserve">, will hold an oversight hearing titled </w:t>
      </w:r>
      <w:r w:rsidR="00284749">
        <w:t>“</w:t>
      </w:r>
      <w:r w:rsidR="00E13602">
        <w:t>Access to Childhood Vaccines in New York City</w:t>
      </w:r>
      <w:r w:rsidR="00CC56C6">
        <w:t>.</w:t>
      </w:r>
      <w:r w:rsidR="00284749">
        <w:t>”</w:t>
      </w:r>
      <w:r w:rsidR="00295E8A">
        <w:t xml:space="preserve"> </w:t>
      </w:r>
      <w:r w:rsidR="00C22567">
        <w:t xml:space="preserve">The Committee will also </w:t>
      </w:r>
      <w:r w:rsidR="000C1B6A">
        <w:t xml:space="preserve">consider </w:t>
      </w:r>
      <w:r w:rsidR="00C22567">
        <w:t xml:space="preserve">the following </w:t>
      </w:r>
      <w:r w:rsidR="00C22567" w:rsidRPr="00151B5B">
        <w:t>legislation:</w:t>
      </w:r>
      <w:r w:rsidR="009B7913">
        <w:t xml:space="preserve"> </w:t>
      </w:r>
    </w:p>
    <w:p w14:paraId="2E9A972B" w14:textId="3303625D" w:rsidR="0004361E" w:rsidRDefault="0004361E" w:rsidP="00326944">
      <w:pPr>
        <w:pStyle w:val="ListParagraph"/>
        <w:numPr>
          <w:ilvl w:val="0"/>
          <w:numId w:val="32"/>
        </w:numPr>
        <w:spacing w:line="480" w:lineRule="auto"/>
      </w:pPr>
      <w:r>
        <w:t>Proposed Int. No. 196-</w:t>
      </w:r>
      <w:r w:rsidR="00FE759C">
        <w:t>A-</w:t>
      </w:r>
      <w:r>
        <w:t>2026</w:t>
      </w:r>
      <w:r w:rsidR="00AE1D01">
        <w:t>, sponsored by Council Member Oswald Feliz</w:t>
      </w:r>
      <w:r w:rsidR="00FE759C">
        <w:t xml:space="preserve">, </w:t>
      </w:r>
      <w:r w:rsidR="00AF287D">
        <w:t>a</w:t>
      </w:r>
      <w:r w:rsidR="002D6EC6" w:rsidRPr="002D6EC6">
        <w:t xml:space="preserve"> Local Law to amend the administrative code of the city of New York, in relation to modifying the sodium warning at chain restaurants</w:t>
      </w:r>
      <w:r w:rsidR="00D24319">
        <w:t>;</w:t>
      </w:r>
    </w:p>
    <w:p w14:paraId="30DEE5E0" w14:textId="77777777" w:rsidR="007834BA" w:rsidRDefault="00E46733" w:rsidP="00326944">
      <w:pPr>
        <w:pStyle w:val="ListParagraph"/>
        <w:numPr>
          <w:ilvl w:val="0"/>
          <w:numId w:val="32"/>
        </w:numPr>
        <w:spacing w:line="480" w:lineRule="auto"/>
        <w:jc w:val="both"/>
      </w:pPr>
      <w:r>
        <w:t xml:space="preserve">Int. No. 260-2026, sponsored by Council Member </w:t>
      </w:r>
      <w:r w:rsidR="00975B86">
        <w:t xml:space="preserve">Shekar </w:t>
      </w:r>
      <w:r>
        <w:t xml:space="preserve">Krishnan, </w:t>
      </w:r>
      <w:r w:rsidR="00AF287D">
        <w:t>a</w:t>
      </w:r>
      <w:r w:rsidRPr="007A50D7">
        <w:t xml:space="preserve"> Local Law to amend the administrative code of the city of New York, in relation to distributing information on vaccines to parents of students in New York city schools</w:t>
      </w:r>
      <w:r w:rsidR="00975B86">
        <w:t>;</w:t>
      </w:r>
    </w:p>
    <w:p w14:paraId="73E90566" w14:textId="4A1DF1BC" w:rsidR="006B577D" w:rsidRPr="00151B5B" w:rsidRDefault="006B577D" w:rsidP="006B577D">
      <w:pPr>
        <w:pStyle w:val="ListParagraph"/>
        <w:numPr>
          <w:ilvl w:val="0"/>
          <w:numId w:val="32"/>
        </w:numPr>
        <w:spacing w:line="480" w:lineRule="auto"/>
        <w:jc w:val="both"/>
      </w:pPr>
      <w:r w:rsidRPr="00326944">
        <w:t>Int. No. 547-2026</w:t>
      </w:r>
      <w:r w:rsidRPr="00FE2375">
        <w:t>, sponsored</w:t>
      </w:r>
      <w:r>
        <w:t xml:space="preserve"> by Council Member Feliz, </w:t>
      </w:r>
      <w:r>
        <w:rPr>
          <w:color w:val="000000"/>
        </w:rPr>
        <w:t>a</w:t>
      </w:r>
      <w:r w:rsidRPr="00A431FD">
        <w:rPr>
          <w:color w:val="000000"/>
        </w:rPr>
        <w:t xml:space="preserve"> Local Law to amend the administrative code of the city of New York, in relation to amending the icon for added sugar warning labels and the amount for civil penalties</w:t>
      </w:r>
      <w:r>
        <w:rPr>
          <w:color w:val="000000"/>
        </w:rPr>
        <w:t>;</w:t>
      </w:r>
    </w:p>
    <w:p w14:paraId="72259445" w14:textId="14F7DDB6" w:rsidR="007834BA" w:rsidRDefault="006B577D" w:rsidP="00326944">
      <w:pPr>
        <w:pStyle w:val="ListParagraph"/>
        <w:numPr>
          <w:ilvl w:val="0"/>
          <w:numId w:val="32"/>
        </w:numPr>
        <w:spacing w:line="480" w:lineRule="auto"/>
        <w:jc w:val="both"/>
      </w:pPr>
      <w:r>
        <w:t>Int. No. 693-2026</w:t>
      </w:r>
      <w:r w:rsidR="006339FA" w:rsidRPr="00326944">
        <w:t xml:space="preserve">, sponsored by Council Member </w:t>
      </w:r>
      <w:r>
        <w:t xml:space="preserve">Eric </w:t>
      </w:r>
      <w:r w:rsidR="00FE2375" w:rsidRPr="00326944">
        <w:t>Dinowitz</w:t>
      </w:r>
      <w:r w:rsidR="006339FA" w:rsidRPr="00326944">
        <w:t>, A Local Law to amend the administrative code of the city of New York, in relation to childhood and adolescent vaccinations</w:t>
      </w:r>
      <w:r w:rsidR="00A9229F" w:rsidRPr="00326944">
        <w:t>;</w:t>
      </w:r>
    </w:p>
    <w:p w14:paraId="26ACC417" w14:textId="411D7376" w:rsidR="006B577D" w:rsidRDefault="006B577D" w:rsidP="00326944">
      <w:pPr>
        <w:pStyle w:val="ListParagraph"/>
        <w:numPr>
          <w:ilvl w:val="0"/>
          <w:numId w:val="32"/>
        </w:numPr>
        <w:spacing w:line="480" w:lineRule="auto"/>
        <w:jc w:val="both"/>
      </w:pPr>
      <w:r>
        <w:t>Proposed Res. No. 243-A</w:t>
      </w:r>
      <w:r w:rsidR="0041694F">
        <w:t>-2026</w:t>
      </w:r>
      <w:r>
        <w:t xml:space="preserve">, sponsored by Council Member Crystal Hudson, </w:t>
      </w:r>
      <w:r w:rsidRPr="006B577D">
        <w:t>calling on the United States Department of Health and Huma Services</w:t>
      </w:r>
      <w:r>
        <w:t xml:space="preserve"> </w:t>
      </w:r>
      <w:r w:rsidRPr="006B577D">
        <w:t>to increase the number of mpox vaccines available and to prevent future outbreaks by ensuring that the amount of vaccines sent to New York City reflects its proportion of nationwide cases</w:t>
      </w:r>
      <w:r>
        <w:t>;</w:t>
      </w:r>
    </w:p>
    <w:p w14:paraId="3DF9D491" w14:textId="7DD03771" w:rsidR="006B577D" w:rsidRPr="00326944" w:rsidRDefault="006B577D" w:rsidP="006B577D">
      <w:pPr>
        <w:pStyle w:val="ListParagraph"/>
        <w:numPr>
          <w:ilvl w:val="0"/>
          <w:numId w:val="32"/>
        </w:numPr>
        <w:spacing w:line="480" w:lineRule="auto"/>
        <w:jc w:val="both"/>
      </w:pPr>
      <w:r w:rsidRPr="00326944">
        <w:t>Res. No. 272-2026,</w:t>
      </w:r>
      <w:r w:rsidRPr="00FE2375">
        <w:t xml:space="preserve"> sponsored</w:t>
      </w:r>
      <w:r>
        <w:t xml:space="preserve"> by Council Member Schulman, </w:t>
      </w:r>
      <w:r w:rsidRPr="007322AE">
        <w:t xml:space="preserve">calling on the New York State Legislature to pass, and the Governor to sign, A.9077 and a Senate companion </w:t>
      </w:r>
      <w:r w:rsidRPr="007322AE">
        <w:lastRenderedPageBreak/>
        <w:t>bill, requiring pharmacies to offer appointments for Covid-19 and other vaccines without a prescription and based on nationally recognized clinical practice guidelines and best practices</w:t>
      </w:r>
      <w:r>
        <w:t>; and</w:t>
      </w:r>
    </w:p>
    <w:p w14:paraId="48EA5DE7" w14:textId="056C6310" w:rsidR="00F42055" w:rsidRPr="00F42055" w:rsidRDefault="00A9229F" w:rsidP="001B65E4">
      <w:pPr>
        <w:pStyle w:val="ListParagraph"/>
        <w:numPr>
          <w:ilvl w:val="0"/>
          <w:numId w:val="32"/>
        </w:numPr>
        <w:spacing w:line="480" w:lineRule="auto"/>
        <w:jc w:val="both"/>
      </w:pPr>
      <w:r w:rsidRPr="00326944">
        <w:t xml:space="preserve">Res. No. </w:t>
      </w:r>
      <w:r w:rsidR="00FE2375" w:rsidRPr="00326944">
        <w:t>273</w:t>
      </w:r>
      <w:r w:rsidRPr="00326944">
        <w:t>-2026,</w:t>
      </w:r>
      <w:r w:rsidRPr="00FE2375">
        <w:t xml:space="preserve"> sponsored</w:t>
      </w:r>
      <w:r>
        <w:t xml:space="preserve"> by Council Member Schulman, </w:t>
      </w:r>
      <w:r w:rsidRPr="00A9229F">
        <w:t>calling on the New York State Legislature to pass, and the Governor to sign, S.4548/A.3892 and S.6744A/A.3894A, legislation authorizing dentists to administer influenza vaccines, COVID-19 vaccines, human papillomavirus vaccines, or a vaccine related to a public health emergency</w:t>
      </w:r>
      <w:r w:rsidR="006B577D">
        <w:t>.</w:t>
      </w:r>
      <w:r w:rsidR="001B65E4">
        <w:t xml:space="preserve"> </w:t>
      </w:r>
    </w:p>
    <w:p w14:paraId="7EA9CB7C" w14:textId="5260AE35" w:rsidR="00496E09" w:rsidRPr="003171EA" w:rsidRDefault="001B65E4" w:rsidP="00511E73">
      <w:pPr>
        <w:pStyle w:val="ListParagraph"/>
        <w:spacing w:line="480" w:lineRule="auto"/>
        <w:ind w:left="0"/>
        <w:jc w:val="both"/>
      </w:pPr>
      <w:r>
        <w:tab/>
      </w:r>
      <w:r w:rsidR="00342CA1">
        <w:t>Witnesses invited to testify include representatives from the New York City (“NYC”) Department of Health and Mental Hygiene (</w:t>
      </w:r>
      <w:r w:rsidR="00555864">
        <w:t>“</w:t>
      </w:r>
      <w:r w:rsidR="00342CA1">
        <w:t>DOHMH</w:t>
      </w:r>
      <w:r w:rsidR="00555864">
        <w:t>”</w:t>
      </w:r>
      <w:r w:rsidR="00342CA1">
        <w:t xml:space="preserve">), </w:t>
      </w:r>
      <w:r w:rsidR="00FC62FF">
        <w:t xml:space="preserve">community organizations, advocates, and </w:t>
      </w:r>
      <w:r w:rsidR="00D27E75">
        <w:t>other interested stakeholders.</w:t>
      </w:r>
    </w:p>
    <w:p w14:paraId="52F043D7" w14:textId="77777777" w:rsidR="00511E73" w:rsidRPr="003171EA" w:rsidRDefault="00C438A1" w:rsidP="00151B5B">
      <w:pPr>
        <w:pStyle w:val="ListParagraph"/>
        <w:spacing w:line="480" w:lineRule="auto"/>
        <w:jc w:val="both"/>
        <w:rPr>
          <w:b/>
        </w:rPr>
      </w:pPr>
      <w:r>
        <w:rPr>
          <w:b/>
        </w:rPr>
        <w:t xml:space="preserve">I. </w:t>
      </w:r>
      <w:r w:rsidR="007F40BE">
        <w:rPr>
          <w:b/>
        </w:rPr>
        <w:t xml:space="preserve"> </w:t>
      </w:r>
      <w:r w:rsidR="220FAFA1" w:rsidRPr="00AF6F75">
        <w:rPr>
          <w:b/>
        </w:rPr>
        <w:t>BACKGROUND</w:t>
      </w:r>
      <w:r w:rsidR="001A7D69">
        <w:rPr>
          <w:b/>
        </w:rPr>
        <w:t xml:space="preserve"> </w:t>
      </w:r>
    </w:p>
    <w:p w14:paraId="6667693E" w14:textId="6BA0B7E7" w:rsidR="00511E73" w:rsidRPr="00F211AE" w:rsidRDefault="00511E73" w:rsidP="00151B5B">
      <w:pPr>
        <w:pStyle w:val="ListParagraph"/>
        <w:spacing w:line="480" w:lineRule="auto"/>
        <w:ind w:left="0"/>
      </w:pPr>
      <w:bookmarkStart w:id="0" w:name="_Hlk221183899"/>
      <w:bookmarkEnd w:id="0"/>
      <w:r>
        <w:tab/>
      </w:r>
      <w:r w:rsidR="00F211AE" w:rsidRPr="00F211AE">
        <w:t>On January 5</w:t>
      </w:r>
      <w:r w:rsidR="001A75D6">
        <w:t>th</w:t>
      </w:r>
      <w:r w:rsidR="00F211AE" w:rsidRPr="00F211AE">
        <w:t xml:space="preserve">, </w:t>
      </w:r>
      <w:r w:rsidR="0011443C">
        <w:t>2026</w:t>
      </w:r>
      <w:r w:rsidR="00F211AE" w:rsidRPr="00F211AE">
        <w:t xml:space="preserve">, the </w:t>
      </w:r>
      <w:r w:rsidR="00C3537A">
        <w:t xml:space="preserve">United States (U.S.) </w:t>
      </w:r>
      <w:r w:rsidR="00F211AE" w:rsidRPr="00F211AE">
        <w:t xml:space="preserve">Department of Health and Human </w:t>
      </w:r>
      <w:r w:rsidR="00F211AE" w:rsidRPr="00FE2375">
        <w:t>Services (HHS) issued a memo</w:t>
      </w:r>
      <w:r w:rsidR="002143F9" w:rsidRPr="00FE2375">
        <w:t xml:space="preserve"> directing the Centers for Disease Control (CDC) to </w:t>
      </w:r>
      <w:r w:rsidR="00FE2375" w:rsidRPr="00FE2375">
        <w:t>implement</w:t>
      </w:r>
      <w:r w:rsidR="00FE2375" w:rsidRPr="00326944">
        <w:rPr>
          <w:rStyle w:val="CommentReference"/>
          <w:sz w:val="24"/>
          <w:szCs w:val="24"/>
        </w:rPr>
        <w:t xml:space="preserve"> major</w:t>
      </w:r>
      <w:r w:rsidR="00F211AE" w:rsidRPr="00FE2375">
        <w:t xml:space="preserve"> changes</w:t>
      </w:r>
      <w:r w:rsidR="00F211AE" w:rsidRPr="00F211AE">
        <w:t xml:space="preserve"> to the </w:t>
      </w:r>
      <w:r w:rsidR="004D4FDF">
        <w:t xml:space="preserve">federal </w:t>
      </w:r>
      <w:r w:rsidR="00F211AE" w:rsidRPr="00F211AE">
        <w:t>government’s recommended vaccination schedule for children, adding to other changes previously made in 2025.</w:t>
      </w:r>
      <w:r w:rsidR="00F211AE" w:rsidRPr="00072DFB">
        <w:rPr>
          <w:vertAlign w:val="superscript"/>
        </w:rPr>
        <w:footnoteReference w:id="2"/>
      </w:r>
      <w:r w:rsidR="002A1588" w:rsidRPr="002A1588">
        <w:t xml:space="preserve"> </w:t>
      </w:r>
      <w:r w:rsidR="00F211AE" w:rsidRPr="00F211AE">
        <w:t>Collectively, these changes reduce the number of vaccines recommended for all children</w:t>
      </w:r>
      <w:r w:rsidR="00F11CAC">
        <w:t>.</w:t>
      </w:r>
      <w:r w:rsidR="00C34E44">
        <w:rPr>
          <w:rStyle w:val="FootnoteReference"/>
        </w:rPr>
        <w:footnoteReference w:id="3"/>
      </w:r>
      <w:r w:rsidR="00F211AE" w:rsidRPr="00F211AE">
        <w:t xml:space="preserve"> </w:t>
      </w:r>
      <w:r w:rsidR="00F11CAC">
        <w:t>The newly amended schedule has</w:t>
      </w:r>
      <w:r w:rsidR="00F211AE" w:rsidRPr="00F211AE">
        <w:t xml:space="preserve"> important implications for childhood immunization and U.S. public health broadly, especially </w:t>
      </w:r>
      <w:r w:rsidR="00F11CAC">
        <w:t>in</w:t>
      </w:r>
      <w:r w:rsidR="00F11CAC" w:rsidRPr="00F211AE">
        <w:t xml:space="preserve"> </w:t>
      </w:r>
      <w:r w:rsidR="00F211AE" w:rsidRPr="00F211AE">
        <w:t>the context of recent influenza and measles outbreaks.</w:t>
      </w:r>
      <w:r w:rsidR="00333113" w:rsidRPr="00072DFB">
        <w:rPr>
          <w:vertAlign w:val="superscript"/>
        </w:rPr>
        <w:footnoteReference w:id="4"/>
      </w:r>
      <w:r w:rsidR="00F211AE" w:rsidRPr="00F211AE">
        <w:t xml:space="preserve"> While states, not the federal government, </w:t>
      </w:r>
      <w:r w:rsidR="00F211AE" w:rsidRPr="00F211AE">
        <w:lastRenderedPageBreak/>
        <w:t xml:space="preserve">ultimately determine which vaccines are required for school </w:t>
      </w:r>
      <w:r w:rsidR="00BB0940">
        <w:t>and childcare attendance</w:t>
      </w:r>
      <w:r w:rsidR="00F211AE" w:rsidRPr="00F211AE">
        <w:t>, the federal government has significant influence over vaccine policy and access.</w:t>
      </w:r>
      <w:r w:rsidR="00F211AE" w:rsidRPr="00072DFB">
        <w:rPr>
          <w:vertAlign w:val="superscript"/>
        </w:rPr>
        <w:footnoteReference w:id="5"/>
      </w:r>
    </w:p>
    <w:p w14:paraId="283D5D12" w14:textId="08184D83" w:rsidR="00C3537A" w:rsidRPr="00F211AE" w:rsidRDefault="00511E73" w:rsidP="00151B5B">
      <w:pPr>
        <w:pStyle w:val="ListParagraph"/>
        <w:spacing w:line="480" w:lineRule="auto"/>
        <w:ind w:left="0"/>
      </w:pPr>
      <w:r>
        <w:tab/>
      </w:r>
      <w:r w:rsidR="00F211AE" w:rsidRPr="00F211AE">
        <w:t>Taken together, these changes represent a substantial narrowing of the routine childhood immunization schedule, both in the number of diseases targeted and the vaccines recommended for universal use.</w:t>
      </w:r>
      <w:r w:rsidR="00F211AE">
        <w:rPr>
          <w:rStyle w:val="FootnoteReference"/>
        </w:rPr>
        <w:footnoteReference w:id="6"/>
      </w:r>
      <w:r w:rsidR="00F211AE" w:rsidRPr="00F211AE">
        <w:t xml:space="preserve"> </w:t>
      </w:r>
      <w:r w:rsidR="00862651">
        <w:t>The</w:t>
      </w:r>
      <w:r w:rsidR="00F211AE" w:rsidRPr="00F211AE">
        <w:t xml:space="preserve"> number of diseases covered by the routine schedule has been reduced from </w:t>
      </w:r>
      <w:r w:rsidR="00F75409" w:rsidRPr="00F211AE">
        <w:t>1</w:t>
      </w:r>
      <w:r w:rsidR="00F75409">
        <w:t>8</w:t>
      </w:r>
      <w:r w:rsidR="00F211AE" w:rsidRPr="00F211AE">
        <w:t xml:space="preserve"> to 11, and the number of routinely recommended vaccines has </w:t>
      </w:r>
      <w:r w:rsidR="00F11CAC">
        <w:t>been reduced</w:t>
      </w:r>
      <w:r w:rsidR="00F211AE" w:rsidRPr="00F211AE">
        <w:t xml:space="preserve"> from 13 to 7.</w:t>
      </w:r>
      <w:r w:rsidR="00F211AE">
        <w:rPr>
          <w:rStyle w:val="FootnoteReference"/>
        </w:rPr>
        <w:footnoteReference w:id="7"/>
      </w:r>
      <w:r w:rsidR="00F211AE" w:rsidRPr="00F211AE">
        <w:t xml:space="preserve"> HHS no longer recommends six vaccines for routine administration to all children in the </w:t>
      </w:r>
      <w:r w:rsidR="00042087">
        <w:t>U.S.</w:t>
      </w:r>
      <w:r w:rsidR="00F11CAC">
        <w:t>, including the</w:t>
      </w:r>
      <w:r w:rsidR="00F211AE" w:rsidRPr="00F211AE">
        <w:t xml:space="preserve"> rotavirus, COVID-19, influenza, hepatitis A, hepatitis B, and meningococcal vaccines.</w:t>
      </w:r>
      <w:r w:rsidR="00F211AE">
        <w:rPr>
          <w:rStyle w:val="FootnoteReference"/>
        </w:rPr>
        <w:footnoteReference w:id="8"/>
      </w:r>
      <w:r w:rsidR="00F211AE" w:rsidRPr="00F211AE">
        <w:t xml:space="preserve"> Instead</w:t>
      </w:r>
      <w:r w:rsidR="00C72E74">
        <w:t xml:space="preserve"> of being </w:t>
      </w:r>
      <w:r w:rsidR="00FD6E07">
        <w:t xml:space="preserve">recommended for </w:t>
      </w:r>
      <w:r w:rsidR="00C72E74">
        <w:t>routine</w:t>
      </w:r>
      <w:r w:rsidR="00FD6E07">
        <w:t xml:space="preserve"> administration to all children</w:t>
      </w:r>
      <w:r w:rsidR="00F211AE" w:rsidRPr="00F211AE">
        <w:t xml:space="preserve">, these vaccines are now recommended only </w:t>
      </w:r>
      <w:r w:rsidR="005834BA">
        <w:t>to</w:t>
      </w:r>
      <w:r w:rsidR="00F211AE" w:rsidRPr="00F211AE">
        <w:t xml:space="preserve"> certain children based on specific risk factors or circumstances </w:t>
      </w:r>
      <w:r w:rsidR="007B5096">
        <w:t>or after</w:t>
      </w:r>
      <w:r w:rsidR="00F211AE" w:rsidRPr="00F211AE">
        <w:t xml:space="preserve"> “shared clinical decision making” (SCDM).</w:t>
      </w:r>
      <w:r w:rsidR="00F211AE">
        <w:rPr>
          <w:rStyle w:val="FootnoteReference"/>
        </w:rPr>
        <w:footnoteReference w:id="9"/>
      </w:r>
      <w:r w:rsidR="00F211AE" w:rsidRPr="00F211AE">
        <w:t xml:space="preserve"> According to the Centers for Disease Control and Prevention (CDC), SCDM is an individualized process informed by a discussion between a health care provider and the patient or the patient’s parent or guardian.</w:t>
      </w:r>
      <w:r w:rsidR="00F211AE">
        <w:rPr>
          <w:rStyle w:val="FootnoteReference"/>
        </w:rPr>
        <w:footnoteReference w:id="10"/>
      </w:r>
    </w:p>
    <w:p w14:paraId="6BB08521" w14:textId="0EE04F60" w:rsidR="003D0B62" w:rsidRDefault="00F211AE" w:rsidP="00326944">
      <w:pPr>
        <w:pStyle w:val="ListParagraph"/>
        <w:spacing w:line="480" w:lineRule="auto"/>
        <w:ind w:left="0" w:firstLine="720"/>
      </w:pPr>
      <w:r w:rsidRPr="00F211AE">
        <w:t>Under the revised guidance,</w:t>
      </w:r>
      <w:r w:rsidR="00FD6E07">
        <w:t xml:space="preserve"> the situations in which some previously routinely administered vaccines are recommended are limited.</w:t>
      </w:r>
      <w:r w:rsidRPr="00F211AE">
        <w:t xml:space="preserve"> </w:t>
      </w:r>
      <w:r w:rsidR="00FD6E07">
        <w:t xml:space="preserve">The </w:t>
      </w:r>
      <w:r w:rsidRPr="00F211AE">
        <w:t>hepatitis A vaccination is recommended for children traveling internationally to areas with high endemicity.</w:t>
      </w:r>
      <w:r>
        <w:rPr>
          <w:rStyle w:val="FootnoteReference"/>
        </w:rPr>
        <w:footnoteReference w:id="11"/>
      </w:r>
      <w:r w:rsidRPr="00F211AE">
        <w:t xml:space="preserve"> Hepatitis B vaccination is recommended for infants born to women who test positive for hepatitis B or whose hepatitis B status is unknown.</w:t>
      </w:r>
      <w:r>
        <w:rPr>
          <w:rStyle w:val="FootnoteReference"/>
        </w:rPr>
        <w:footnoteReference w:id="12"/>
      </w:r>
      <w:r w:rsidRPr="00F211AE">
        <w:t xml:space="preserve"> Meningococcal vaccination is recommended for high-risk groups, including individuals with anatomic or functional asplenia or HIV infection, those </w:t>
      </w:r>
      <w:r w:rsidRPr="00F211AE">
        <w:lastRenderedPageBreak/>
        <w:t>traveling to countries with hyperendemic or epidemic meningococcal disease, and first-year college students living in residential housing.</w:t>
      </w:r>
      <w:r>
        <w:rPr>
          <w:rStyle w:val="FootnoteReference"/>
        </w:rPr>
        <w:footnoteReference w:id="13"/>
      </w:r>
      <w:r w:rsidR="00FD6E07">
        <w:t xml:space="preserve"> </w:t>
      </w:r>
      <w:r w:rsidRPr="00F211AE">
        <w:t>In addition to these changes, while the human papillomavirus (HPV) vaccine remains routinely recommended, HHS has reduced the recommended number of doses from two or three, depending on age at initial vaccination, to a single dose.</w:t>
      </w:r>
      <w:r>
        <w:rPr>
          <w:rStyle w:val="FootnoteReference"/>
        </w:rPr>
        <w:footnoteReference w:id="14"/>
      </w:r>
      <w:r w:rsidRPr="00F211AE">
        <w:t xml:space="preserve"> </w:t>
      </w:r>
      <w:r w:rsidR="003D0B62">
        <w:t>The process used to make these changes marks a departure from past precedent.</w:t>
      </w:r>
      <w:r w:rsidR="003D0B62">
        <w:rPr>
          <w:rStyle w:val="FootnoteReference"/>
        </w:rPr>
        <w:footnoteReference w:id="15"/>
      </w:r>
      <w:r w:rsidR="003D0B62">
        <w:t xml:space="preserve"> </w:t>
      </w:r>
      <w:r w:rsidR="003D0B62" w:rsidRPr="00E36ED5">
        <w:t xml:space="preserve">Historically, any major changes to federal vaccine recommendations were </w:t>
      </w:r>
      <w:r w:rsidR="003D0B62">
        <w:t xml:space="preserve">made </w:t>
      </w:r>
      <w:r w:rsidR="003D0B62" w:rsidRPr="00E36ED5">
        <w:t xml:space="preserve">through an established, deliberative process that included internal government review with experts from the CDC and other agencies, as well as consideration via meetings of the Advisory Committee of Immunization Practices (ACIP), the external expert advisory group to </w:t>
      </w:r>
      <w:r w:rsidR="003D0B62">
        <w:t xml:space="preserve">the </w:t>
      </w:r>
      <w:r w:rsidR="003D0B62" w:rsidRPr="00E36ED5">
        <w:t>CDC.</w:t>
      </w:r>
      <w:r w:rsidR="003D0B62">
        <w:rPr>
          <w:rStyle w:val="FootnoteReference"/>
        </w:rPr>
        <w:footnoteReference w:id="16"/>
      </w:r>
      <w:r w:rsidR="003D0B62" w:rsidRPr="00E36ED5">
        <w:t xml:space="preserve"> </w:t>
      </w:r>
      <w:r w:rsidR="003D0B62">
        <w:t>H</w:t>
      </w:r>
      <w:r w:rsidR="003D0B62" w:rsidRPr="00E36ED5">
        <w:t xml:space="preserve">owever, </w:t>
      </w:r>
      <w:r w:rsidR="003D0B62">
        <w:t xml:space="preserve">these recent </w:t>
      </w:r>
      <w:r w:rsidR="003D0B62" w:rsidRPr="00E36ED5">
        <w:t xml:space="preserve">changes made under HHS Secretary </w:t>
      </w:r>
      <w:r w:rsidR="003D0B62">
        <w:t xml:space="preserve">Robert </w:t>
      </w:r>
      <w:r w:rsidR="003D0B62" w:rsidRPr="00E36ED5">
        <w:t>Kennedy</w:t>
      </w:r>
      <w:r w:rsidR="003D0B62">
        <w:t xml:space="preserve"> Jr</w:t>
      </w:r>
      <w:r w:rsidR="003D0B62" w:rsidRPr="00E36ED5">
        <w:t xml:space="preserve">, have </w:t>
      </w:r>
      <w:r w:rsidR="003D0B62">
        <w:t>instead bypassed ACIP and were</w:t>
      </w:r>
      <w:r w:rsidR="003D0B62" w:rsidRPr="00E36ED5">
        <w:t xml:space="preserve"> announced without much internal or external consultation, and withou</w:t>
      </w:r>
      <w:r w:rsidR="003D0B62">
        <w:t>t clear scientific justification.</w:t>
      </w:r>
      <w:r w:rsidR="003D0B62">
        <w:rPr>
          <w:rStyle w:val="FootnoteReference"/>
        </w:rPr>
        <w:footnoteReference w:id="17"/>
      </w:r>
    </w:p>
    <w:p w14:paraId="04D69924" w14:textId="3C679FAB" w:rsidR="00C3537A" w:rsidRPr="00151B5B" w:rsidRDefault="00D64193" w:rsidP="00151B5B">
      <w:pPr>
        <w:pStyle w:val="ListParagraph"/>
        <w:spacing w:line="480" w:lineRule="auto"/>
        <w:ind w:left="0"/>
        <w:rPr>
          <w:u w:val="single"/>
        </w:rPr>
      </w:pPr>
      <w:r>
        <w:rPr>
          <w:b/>
          <w:bCs/>
        </w:rPr>
        <w:tab/>
      </w:r>
      <w:r w:rsidR="00E96A9E" w:rsidRPr="00151B5B">
        <w:rPr>
          <w:u w:val="single"/>
        </w:rPr>
        <w:t>D</w:t>
      </w:r>
      <w:r w:rsidR="00F211AE" w:rsidRPr="00151B5B">
        <w:rPr>
          <w:u w:val="single"/>
        </w:rPr>
        <w:t xml:space="preserve">OHMH’s Response </w:t>
      </w:r>
    </w:p>
    <w:p w14:paraId="37BDB7BF" w14:textId="4C2B81FC" w:rsidR="00D64193" w:rsidRPr="00F211AE" w:rsidRDefault="00C3537A" w:rsidP="003171EA">
      <w:pPr>
        <w:pStyle w:val="ListParagraph"/>
        <w:spacing w:line="480" w:lineRule="auto"/>
        <w:ind w:left="0"/>
      </w:pPr>
      <w:r>
        <w:tab/>
      </w:r>
      <w:r w:rsidR="00F211AE" w:rsidRPr="3013297E">
        <w:t xml:space="preserve">In response to </w:t>
      </w:r>
      <w:r w:rsidR="00FD6E07">
        <w:t>HHS’</w:t>
      </w:r>
      <w:r w:rsidR="00F211AE" w:rsidRPr="3013297E">
        <w:t xml:space="preserve"> changes to the </w:t>
      </w:r>
      <w:r w:rsidR="00FD6E07">
        <w:t xml:space="preserve">recommended </w:t>
      </w:r>
      <w:r w:rsidR="00F211AE" w:rsidRPr="3013297E">
        <w:t xml:space="preserve">childhood vaccine schedule, </w:t>
      </w:r>
      <w:r w:rsidR="00BC648A">
        <w:t>DOHMH</w:t>
      </w:r>
      <w:r w:rsidR="00F211AE" w:rsidRPr="3013297E">
        <w:t xml:space="preserve"> issued a statement on January 6</w:t>
      </w:r>
      <w:r w:rsidR="000C1B6A">
        <w:t>th</w:t>
      </w:r>
      <w:r w:rsidR="00F211AE" w:rsidRPr="3013297E">
        <w:t xml:space="preserve"> warning that the changes could have “deadly consequences.”</w:t>
      </w:r>
      <w:r w:rsidR="00F211AE" w:rsidRPr="3013297E">
        <w:rPr>
          <w:rStyle w:val="FootnoteReference"/>
        </w:rPr>
        <w:footnoteReference w:id="18"/>
      </w:r>
      <w:r w:rsidR="00F211AE" w:rsidRPr="3013297E">
        <w:t xml:space="preserve"> </w:t>
      </w:r>
      <w:r w:rsidR="4B48EC9D" w:rsidRPr="3013297E">
        <w:t>DOHMH</w:t>
      </w:r>
      <w:r w:rsidR="00F211AE" w:rsidRPr="3013297E">
        <w:t xml:space="preserve"> cautioned that the revised recommendations “put the health and well-being of children and families at risk” and reaffirmed that </w:t>
      </w:r>
      <w:r w:rsidR="009C0F3D">
        <w:t>NYC</w:t>
      </w:r>
      <w:r w:rsidR="00F211AE" w:rsidRPr="3013297E">
        <w:t xml:space="preserve"> continues to recommend that children receive all vaccines previously recommended by the CDC.</w:t>
      </w:r>
      <w:r w:rsidR="00F211AE" w:rsidRPr="3013297E">
        <w:rPr>
          <w:rStyle w:val="FootnoteReference"/>
        </w:rPr>
        <w:footnoteReference w:id="19"/>
      </w:r>
    </w:p>
    <w:p w14:paraId="043EE0AC" w14:textId="0CEFF82B" w:rsidR="00D64193" w:rsidRPr="00F211AE" w:rsidRDefault="00D64193" w:rsidP="00843F6A">
      <w:pPr>
        <w:spacing w:line="480" w:lineRule="auto"/>
        <w:ind w:firstLine="360"/>
      </w:pPr>
      <w:r>
        <w:lastRenderedPageBreak/>
        <w:tab/>
      </w:r>
      <w:r w:rsidR="00F211AE" w:rsidRPr="3013297E">
        <w:t xml:space="preserve">On January </w:t>
      </w:r>
      <w:r w:rsidR="00624BEF" w:rsidRPr="3013297E">
        <w:t>2</w:t>
      </w:r>
      <w:r w:rsidR="00624BEF">
        <w:t>8th</w:t>
      </w:r>
      <w:r w:rsidR="00F211AE" w:rsidRPr="3013297E">
        <w:t xml:space="preserve">, DOHMH issued a </w:t>
      </w:r>
      <w:r w:rsidR="00624BEF">
        <w:t xml:space="preserve">joint statement with the New York State Department of Health (DOH) </w:t>
      </w:r>
      <w:r w:rsidR="00F211AE" w:rsidRPr="3013297E">
        <w:t xml:space="preserve">endorsing the American Academy of Pediatrics’ (AAP) childhood and adolescent immunization schedules and </w:t>
      </w:r>
      <w:r w:rsidR="00616F1E">
        <w:t>encouraged</w:t>
      </w:r>
      <w:r w:rsidR="00F211AE" w:rsidRPr="3013297E">
        <w:t xml:space="preserve"> families to continue following those guidelines.</w:t>
      </w:r>
      <w:r w:rsidR="00F211AE" w:rsidRPr="3013297E">
        <w:rPr>
          <w:rStyle w:val="FootnoteReference"/>
        </w:rPr>
        <w:footnoteReference w:id="20"/>
      </w:r>
      <w:r w:rsidR="00F211AE" w:rsidRPr="3013297E">
        <w:t xml:space="preserve"> </w:t>
      </w:r>
      <w:r w:rsidR="53E29EB3" w:rsidRPr="3013297E">
        <w:t>DOHMH</w:t>
      </w:r>
      <w:r w:rsidR="00F211AE" w:rsidRPr="3013297E">
        <w:t xml:space="preserve"> </w:t>
      </w:r>
      <w:r w:rsidR="00624BEF">
        <w:t xml:space="preserve">and DOH </w:t>
      </w:r>
      <w:r w:rsidR="00F211AE" w:rsidRPr="3013297E">
        <w:t>criticized the recent changes to the CDC immunization schedule as a departure from longstanding scientific evidence, describing the</w:t>
      </w:r>
      <w:r w:rsidR="00FD6E07">
        <w:t xml:space="preserve"> changes</w:t>
      </w:r>
      <w:r w:rsidR="00F211AE" w:rsidRPr="3013297E">
        <w:t xml:space="preserve"> as unfounded and unreliable.</w:t>
      </w:r>
      <w:r w:rsidR="00F211AE" w:rsidRPr="3013297E">
        <w:rPr>
          <w:rStyle w:val="FootnoteReference"/>
        </w:rPr>
        <w:footnoteReference w:id="21"/>
      </w:r>
      <w:r w:rsidR="00F211AE" w:rsidRPr="3013297E">
        <w:t xml:space="preserve"> By contrast, DOHMH</w:t>
      </w:r>
      <w:r w:rsidR="00624BEF">
        <w:t xml:space="preserve"> and DOH</w:t>
      </w:r>
      <w:r w:rsidR="00F211AE" w:rsidRPr="3013297E">
        <w:t xml:space="preserve"> emphasized that the AAP schedules continue to be grounded in rigorous research, disease-specific risk assessment, and established standards of health care delivery.</w:t>
      </w:r>
      <w:r w:rsidR="00F211AE" w:rsidRPr="3013297E">
        <w:rPr>
          <w:rStyle w:val="FootnoteReference"/>
        </w:rPr>
        <w:footnoteReference w:id="22"/>
      </w:r>
    </w:p>
    <w:p w14:paraId="7B3DE87E" w14:textId="6D104197" w:rsidR="00F211AE" w:rsidRPr="00326944" w:rsidRDefault="00D64193" w:rsidP="00843F6A">
      <w:pPr>
        <w:spacing w:line="480" w:lineRule="auto"/>
        <w:ind w:firstLine="360"/>
        <w:rPr>
          <w:u w:val="single"/>
        </w:rPr>
      </w:pPr>
      <w:r>
        <w:tab/>
      </w:r>
      <w:r w:rsidR="00F211AE" w:rsidRPr="00F211AE">
        <w:t>New York State</w:t>
      </w:r>
      <w:r w:rsidR="00B67EA0">
        <w:t xml:space="preserve"> (NYS)</w:t>
      </w:r>
      <w:r w:rsidR="00624BEF">
        <w:t xml:space="preserve"> and NYC</w:t>
      </w:r>
      <w:r w:rsidR="00F211AE" w:rsidRPr="00F211AE">
        <w:t xml:space="preserve"> </w:t>
      </w:r>
      <w:r w:rsidR="00624BEF">
        <w:t xml:space="preserve">are </w:t>
      </w:r>
      <w:r w:rsidR="00F211AE" w:rsidRPr="00F211AE">
        <w:t>not alone in this approach.</w:t>
      </w:r>
      <w:r w:rsidR="00F211AE">
        <w:rPr>
          <w:rStyle w:val="FootnoteReference"/>
        </w:rPr>
        <w:footnoteReference w:id="23"/>
      </w:r>
      <w:r w:rsidR="00F211AE" w:rsidRPr="00F211AE">
        <w:t xml:space="preserve"> According to KFF, </w:t>
      </w:r>
      <w:r w:rsidR="00CB40DD">
        <w:t xml:space="preserve">as of January 9, 2026, </w:t>
      </w:r>
      <w:r w:rsidR="00F211AE" w:rsidRPr="00F211AE">
        <w:t>24 states no longer rely on HHS or the CDC as their primary source for vaccine recommendations and instead turn to professional medical organizations, such as the AAP, for guidance.</w:t>
      </w:r>
      <w:r w:rsidR="00F211AE">
        <w:rPr>
          <w:rStyle w:val="FootnoteReference"/>
        </w:rPr>
        <w:footnoteReference w:id="24"/>
      </w:r>
      <w:r w:rsidR="00CB40DD">
        <w:t xml:space="preserve"> </w:t>
      </w:r>
      <w:r w:rsidR="000C1B6A">
        <w:t>In contrast, only</w:t>
      </w:r>
      <w:r w:rsidR="00CB40DD">
        <w:t xml:space="preserve"> 13 states followed non-governmental recommendations as of September 2025.</w:t>
      </w:r>
      <w:r w:rsidR="00CB40DD">
        <w:rPr>
          <w:rStyle w:val="FootnoteReference"/>
        </w:rPr>
        <w:footnoteReference w:id="25"/>
      </w:r>
    </w:p>
    <w:p w14:paraId="37E0870A" w14:textId="5C4E1F0A" w:rsidR="004E19E4" w:rsidRPr="00326944" w:rsidRDefault="004E19E4" w:rsidP="00326944">
      <w:pPr>
        <w:spacing w:line="480" w:lineRule="auto"/>
        <w:ind w:firstLine="720"/>
        <w:rPr>
          <w:u w:val="single"/>
        </w:rPr>
      </w:pPr>
      <w:r w:rsidRPr="00326944">
        <w:rPr>
          <w:u w:val="single"/>
        </w:rPr>
        <w:t xml:space="preserve">DOHMH </w:t>
      </w:r>
      <w:r w:rsidR="003D0B62" w:rsidRPr="00326944">
        <w:rPr>
          <w:u w:val="single"/>
        </w:rPr>
        <w:t xml:space="preserve">Vaccine </w:t>
      </w:r>
      <w:r w:rsidRPr="00326944">
        <w:rPr>
          <w:u w:val="single"/>
        </w:rPr>
        <w:t>Access and Guidance</w:t>
      </w:r>
    </w:p>
    <w:p w14:paraId="110D2AF4" w14:textId="23B131FF" w:rsidR="00F211AE" w:rsidRDefault="00D64193" w:rsidP="00843F6A">
      <w:pPr>
        <w:spacing w:line="480" w:lineRule="auto"/>
        <w:ind w:firstLine="360"/>
      </w:pPr>
      <w:r>
        <w:tab/>
      </w:r>
      <w:bookmarkStart w:id="1" w:name="_Hlk221794399"/>
      <w:r w:rsidR="00F211AE" w:rsidRPr="3013297E">
        <w:t>DOHMH and NYC Health + Hospitals provide low-cost or no-cost immunizations through multiple access points across the city</w:t>
      </w:r>
      <w:bookmarkEnd w:id="1"/>
      <w:r w:rsidR="00F211AE" w:rsidRPr="3013297E">
        <w:t>.</w:t>
      </w:r>
      <w:r w:rsidR="00D42943">
        <w:rPr>
          <w:rStyle w:val="FootnoteReference"/>
        </w:rPr>
        <w:footnoteReference w:id="26"/>
      </w:r>
      <w:r w:rsidR="00F211AE" w:rsidRPr="3013297E">
        <w:t xml:space="preserve"> Individuals may receive immunizations regardless of immigration status at </w:t>
      </w:r>
      <w:r w:rsidR="00B67EA0">
        <w:t>DOHMH’s</w:t>
      </w:r>
      <w:r w:rsidR="00F211AE" w:rsidRPr="3013297E">
        <w:t xml:space="preserve"> Fort Greene Health Center immunization clinic, which offers vaccines recommended for children ages four and older, as well as for teens and </w:t>
      </w:r>
      <w:r w:rsidR="00F211AE" w:rsidRPr="3013297E">
        <w:lastRenderedPageBreak/>
        <w:t>adults.</w:t>
      </w:r>
      <w:r w:rsidR="00F211AE" w:rsidRPr="3013297E">
        <w:rPr>
          <w:rStyle w:val="FootnoteReference"/>
        </w:rPr>
        <w:t xml:space="preserve"> </w:t>
      </w:r>
      <w:r w:rsidR="00F211AE" w:rsidRPr="3013297E">
        <w:rPr>
          <w:rStyle w:val="FootnoteReference"/>
        </w:rPr>
        <w:footnoteReference w:id="27"/>
      </w:r>
      <w:r w:rsidR="00F211AE" w:rsidRPr="3013297E">
        <w:t xml:space="preserve">  Vaccines are also periodically available at Neighborhood Health Action Centers, where DOHMH delivers public health and social services, and through community-based vaccination events.</w:t>
      </w:r>
      <w:r w:rsidR="00F211AE" w:rsidRPr="3013297E">
        <w:rPr>
          <w:rStyle w:val="FootnoteReference"/>
        </w:rPr>
        <w:footnoteReference w:id="28"/>
      </w:r>
      <w:r w:rsidR="00F211AE" w:rsidRPr="3013297E">
        <w:t xml:space="preserve"> In addition, DOHMH supplies free vaccines to eligible children through the federally</w:t>
      </w:r>
      <w:r w:rsidR="000C1B6A">
        <w:t>-</w:t>
      </w:r>
      <w:r w:rsidR="00F211AE" w:rsidRPr="3013297E">
        <w:t>funded Vaccines for Children (VFC) program, which supplies both public and private health care providers with vaccines for eligible children.</w:t>
      </w:r>
      <w:r w:rsidR="00F211AE" w:rsidRPr="3013297E">
        <w:rPr>
          <w:rStyle w:val="FootnoteReference"/>
        </w:rPr>
        <w:footnoteReference w:id="29"/>
      </w:r>
      <w:r w:rsidR="00F211AE" w:rsidRPr="3013297E">
        <w:t xml:space="preserve"> In N</w:t>
      </w:r>
      <w:r w:rsidR="45F83C23" w:rsidRPr="3013297E">
        <w:t>YC</w:t>
      </w:r>
      <w:r w:rsidR="00F211AE" w:rsidRPr="3013297E">
        <w:t xml:space="preserve">, children from birth through age 18 are eligible for the VFC program if they are Medicaid-eligible, uninsured, </w:t>
      </w:r>
      <w:r w:rsidR="000B5B2A">
        <w:t xml:space="preserve">or </w:t>
      </w:r>
      <w:r w:rsidR="00F211AE" w:rsidRPr="3013297E">
        <w:t xml:space="preserve">underinsured, </w:t>
      </w:r>
      <w:r w:rsidR="000B5B2A">
        <w:t>if their</w:t>
      </w:r>
      <w:r w:rsidR="00F211AE" w:rsidRPr="3013297E">
        <w:t xml:space="preserve"> private insurance does not cover vaccines, covers only certain vaccines, or limits vaccine coverage, or </w:t>
      </w:r>
      <w:r w:rsidR="006B4A56">
        <w:t xml:space="preserve">if they are </w:t>
      </w:r>
      <w:r w:rsidR="00F211AE" w:rsidRPr="3013297E">
        <w:t>enrolled in Child Health Plus B.</w:t>
      </w:r>
      <w:r w:rsidR="00F211AE" w:rsidRPr="3013297E">
        <w:rPr>
          <w:rStyle w:val="FootnoteReference"/>
        </w:rPr>
        <w:footnoteReference w:id="30"/>
      </w:r>
      <w:r w:rsidR="00F211AE" w:rsidRPr="3013297E">
        <w:t xml:space="preserve"> Children may also receive vaccinations at the 10 Gotham Health Centers across the city that offer pediatric services.</w:t>
      </w:r>
      <w:r w:rsidR="00F211AE" w:rsidRPr="3013297E">
        <w:rPr>
          <w:rStyle w:val="FootnoteReference"/>
        </w:rPr>
        <w:footnoteReference w:id="31"/>
      </w:r>
    </w:p>
    <w:p w14:paraId="41358BD0" w14:textId="77777777" w:rsidR="00B73608" w:rsidRDefault="00B73608" w:rsidP="00843F6A">
      <w:pPr>
        <w:spacing w:line="480" w:lineRule="auto"/>
        <w:ind w:firstLine="360"/>
      </w:pPr>
      <w:r>
        <w:tab/>
      </w:r>
      <w:r w:rsidR="0080602E" w:rsidRPr="00F636B4">
        <w:rPr>
          <w:u w:val="single"/>
        </w:rPr>
        <w:t xml:space="preserve">Trends in </w:t>
      </w:r>
      <w:r w:rsidR="00F636B4" w:rsidRPr="00F636B4">
        <w:rPr>
          <w:u w:val="single"/>
        </w:rPr>
        <w:t>in NYC Vaccination Rates</w:t>
      </w:r>
    </w:p>
    <w:p w14:paraId="3E4174BE" w14:textId="07F4DE48" w:rsidR="00591320" w:rsidRDefault="00B73608" w:rsidP="008B465F">
      <w:pPr>
        <w:spacing w:line="480" w:lineRule="auto"/>
        <w:ind w:firstLine="360"/>
      </w:pPr>
      <w:r>
        <w:tab/>
      </w:r>
      <w:r w:rsidR="00815E43">
        <w:t xml:space="preserve">To understand the potential impact of these federal changes in </w:t>
      </w:r>
      <w:r w:rsidR="006A7C17">
        <w:t>NYC</w:t>
      </w:r>
      <w:r w:rsidR="00815E43">
        <w:t xml:space="preserve">, it is important to examine recent trends in childhood vaccination rates across the city, using the most recently available data. </w:t>
      </w:r>
      <w:r w:rsidR="00591320" w:rsidRPr="000C1B6A">
        <w:t xml:space="preserve">The </w:t>
      </w:r>
      <w:r w:rsidR="000C1B6A" w:rsidRPr="000C1B6A">
        <w:t>“combined 7-vaccine series</w:t>
      </w:r>
      <w:r w:rsidR="000C1B6A">
        <w:t>”</w:t>
      </w:r>
      <w:r w:rsidR="00591320" w:rsidRPr="000C1B6A">
        <w:t xml:space="preserve"> </w:t>
      </w:r>
      <w:r w:rsidR="006336F1">
        <w:t>is</w:t>
      </w:r>
      <w:r w:rsidR="00591320">
        <w:t xml:space="preserve"> a </w:t>
      </w:r>
      <w:r w:rsidR="000C1B6A">
        <w:t xml:space="preserve">set </w:t>
      </w:r>
      <w:r w:rsidR="00591320">
        <w:t xml:space="preserve">of vaccines </w:t>
      </w:r>
      <w:r w:rsidR="000C1B6A">
        <w:t xml:space="preserve">that </w:t>
      </w:r>
      <w:r w:rsidR="00591320">
        <w:t>DOHMH recommends all infants receive by their second birthday.</w:t>
      </w:r>
      <w:r w:rsidR="00591320">
        <w:rPr>
          <w:rStyle w:val="FootnoteReference"/>
        </w:rPr>
        <w:footnoteReference w:id="32"/>
      </w:r>
      <w:r w:rsidR="00591320">
        <w:t xml:space="preserve"> The series includes </w:t>
      </w:r>
      <w:r w:rsidR="00CB40DD">
        <w:t>four</w:t>
      </w:r>
      <w:r w:rsidR="00591320">
        <w:t xml:space="preserve"> doses of the DTaP vaccine, which protects against diphtheria, tetanus, and acellular pertussis, </w:t>
      </w:r>
      <w:r w:rsidR="00CB40DD">
        <w:t>three</w:t>
      </w:r>
      <w:r w:rsidR="009C2B6D">
        <w:t xml:space="preserve"> </w:t>
      </w:r>
      <w:r w:rsidR="00591320">
        <w:t xml:space="preserve">doses of the Polio vaccine, </w:t>
      </w:r>
      <w:r w:rsidR="00CB40DD">
        <w:t>one</w:t>
      </w:r>
      <w:r w:rsidR="009C2B6D">
        <w:t xml:space="preserve"> </w:t>
      </w:r>
      <w:r w:rsidR="00591320">
        <w:t xml:space="preserve">dose of MMR vaccine, which protects against measles, mumps, and rubella, </w:t>
      </w:r>
      <w:r w:rsidR="00CB40DD">
        <w:t>three</w:t>
      </w:r>
      <w:r w:rsidR="009C2B6D">
        <w:t xml:space="preserve"> </w:t>
      </w:r>
      <w:r w:rsidR="00591320">
        <w:t xml:space="preserve">or </w:t>
      </w:r>
      <w:r w:rsidR="00CB40DD">
        <w:t>four</w:t>
      </w:r>
      <w:r w:rsidR="00591320">
        <w:t xml:space="preserve"> doses of the Hib vaccine, which protects against haemophilus influenza type b, </w:t>
      </w:r>
      <w:r w:rsidR="00CB40DD">
        <w:t>three</w:t>
      </w:r>
      <w:r w:rsidR="009C2B6D">
        <w:t xml:space="preserve"> </w:t>
      </w:r>
      <w:r w:rsidR="00591320">
        <w:lastRenderedPageBreak/>
        <w:t xml:space="preserve">doses of the HepB vaccine, which protects against hepatitis B, </w:t>
      </w:r>
      <w:r w:rsidR="00CB40DD">
        <w:t>one</w:t>
      </w:r>
      <w:r w:rsidR="009C2B6D">
        <w:t xml:space="preserve"> </w:t>
      </w:r>
      <w:r w:rsidR="00591320">
        <w:t xml:space="preserve">dose of the varicella vaccine, and </w:t>
      </w:r>
      <w:r w:rsidR="00CB40DD">
        <w:t>four</w:t>
      </w:r>
      <w:r w:rsidR="009C2B6D">
        <w:t xml:space="preserve"> </w:t>
      </w:r>
      <w:r w:rsidR="00591320">
        <w:t>doses of the PCV vaccine, which protects against pneumococcus.</w:t>
      </w:r>
      <w:r w:rsidR="00591320">
        <w:rPr>
          <w:rStyle w:val="FootnoteReference"/>
        </w:rPr>
        <w:footnoteReference w:id="33"/>
      </w:r>
    </w:p>
    <w:p w14:paraId="7028701E" w14:textId="68539346" w:rsidR="00591320" w:rsidRDefault="005E1692" w:rsidP="008B465F">
      <w:pPr>
        <w:spacing w:line="480" w:lineRule="auto"/>
        <w:ind w:firstLine="720"/>
      </w:pPr>
      <w:r>
        <w:t xml:space="preserve">According to </w:t>
      </w:r>
      <w:r w:rsidR="00CB40DD">
        <w:t xml:space="preserve">the </w:t>
      </w:r>
      <w:r>
        <w:t>DOHMH</w:t>
      </w:r>
      <w:r w:rsidR="00C95C5B">
        <w:t xml:space="preserve"> Citywide Immunization Registry,</w:t>
      </w:r>
      <w:r>
        <w:t xml:space="preserve"> </w:t>
      </w:r>
      <w:r w:rsidR="00C95C5B">
        <w:t>a</w:t>
      </w:r>
      <w:r w:rsidR="00591320">
        <w:t xml:space="preserve">cross the entirety of NYC, the percentage of children aged between 24 and 35 months who received all the recommended doses of the combined </w:t>
      </w:r>
      <w:r w:rsidR="00CB40DD">
        <w:t>seven</w:t>
      </w:r>
      <w:r w:rsidR="00591320">
        <w:t>-vaccine series by their second birthday has increased since 2018.</w:t>
      </w:r>
      <w:r w:rsidR="00591320">
        <w:rPr>
          <w:rStyle w:val="FootnoteReference"/>
        </w:rPr>
        <w:footnoteReference w:id="34"/>
      </w:r>
      <w:r w:rsidR="00591320">
        <w:t xml:space="preserve"> In 2018, 57</w:t>
      </w:r>
      <w:r w:rsidR="00FD455B">
        <w:t xml:space="preserve"> percent</w:t>
      </w:r>
      <w:r w:rsidR="00591320">
        <w:t xml:space="preserve"> of 24- to 35-month-old children had received all recommended doses.</w:t>
      </w:r>
      <w:r w:rsidR="00591320">
        <w:rPr>
          <w:rStyle w:val="FootnoteReference"/>
        </w:rPr>
        <w:footnoteReference w:id="35"/>
      </w:r>
      <w:r w:rsidR="00591320">
        <w:t xml:space="preserve"> That </w:t>
      </w:r>
      <w:r w:rsidR="001B65E4">
        <w:t>/</w:t>
      </w:r>
      <w:r w:rsidR="00591320">
        <w:t>number rose to 65</w:t>
      </w:r>
      <w:r w:rsidR="00FD455B">
        <w:t xml:space="preserve"> percent</w:t>
      </w:r>
      <w:r w:rsidR="00591320">
        <w:t xml:space="preserve"> in 2024, before falling slightly to 64</w:t>
      </w:r>
      <w:r w:rsidR="00FD455B">
        <w:t xml:space="preserve"> percent</w:t>
      </w:r>
      <w:r w:rsidR="00591320">
        <w:t xml:space="preserve"> in 2025.</w:t>
      </w:r>
      <w:r w:rsidR="00591320">
        <w:rPr>
          <w:rStyle w:val="FootnoteReference"/>
        </w:rPr>
        <w:footnoteReference w:id="36"/>
      </w:r>
      <w:r w:rsidR="00591320">
        <w:t xml:space="preserve"> </w:t>
      </w:r>
      <w:r w:rsidR="000C1B6A">
        <w:t>Yet, m</w:t>
      </w:r>
      <w:r w:rsidR="00591320">
        <w:t xml:space="preserve">ajor disparities </w:t>
      </w:r>
      <w:r w:rsidR="000C1B6A">
        <w:t xml:space="preserve">exist </w:t>
      </w:r>
      <w:r w:rsidR="00591320">
        <w:t xml:space="preserve">in vaccination rates </w:t>
      </w:r>
      <w:r w:rsidR="00CB40DD">
        <w:t>across</w:t>
      </w:r>
      <w:r w:rsidR="00591320">
        <w:t xml:space="preserve"> </w:t>
      </w:r>
      <w:r w:rsidR="00ED3994">
        <w:t>r</w:t>
      </w:r>
      <w:r w:rsidR="00591320">
        <w:t>ac</w:t>
      </w:r>
      <w:r w:rsidR="00CB40DD">
        <w:t xml:space="preserve">ial and </w:t>
      </w:r>
      <w:r w:rsidR="00ED3994">
        <w:t>e</w:t>
      </w:r>
      <w:r w:rsidR="00591320">
        <w:t>thnic</w:t>
      </w:r>
      <w:r w:rsidR="00CB40DD">
        <w:t xml:space="preserve"> groups</w:t>
      </w:r>
      <w:r w:rsidR="00591320">
        <w:t>.</w:t>
      </w:r>
      <w:r w:rsidR="00591320">
        <w:rPr>
          <w:rStyle w:val="FootnoteReference"/>
        </w:rPr>
        <w:footnoteReference w:id="37"/>
      </w:r>
      <w:r w:rsidR="00591320">
        <w:t xml:space="preserve"> </w:t>
      </w:r>
      <w:r w:rsidR="00CB40DD">
        <w:t>In 2025,</w:t>
      </w:r>
      <w:r w:rsidR="00CB40DD" w:rsidRPr="00CB40DD">
        <w:t xml:space="preserve"> vaccination coverage among 24–35-mon</w:t>
      </w:r>
      <w:r w:rsidR="00CB40DD">
        <w:t>th-olds was 48 percent for non-Hispanic white children and 58 percent</w:t>
      </w:r>
      <w:r w:rsidR="00CB40DD" w:rsidRPr="00CB40DD">
        <w:t xml:space="preserve"> for non-Hispanic B</w:t>
      </w:r>
      <w:r w:rsidR="00CB40DD">
        <w:t>lack children, compared with 89 percent</w:t>
      </w:r>
      <w:r w:rsidR="00CB40DD" w:rsidRPr="00CB40DD">
        <w:t xml:space="preserve"> for non</w:t>
      </w:r>
      <w:r w:rsidR="00CB40DD">
        <w:t>-Hispanic Asian children and 71 percent</w:t>
      </w:r>
      <w:r w:rsidR="00CB40DD" w:rsidRPr="00CB40DD">
        <w:t xml:space="preserve"> for Hispanic/Latino children</w:t>
      </w:r>
      <w:r w:rsidR="00591320">
        <w:t>.</w:t>
      </w:r>
      <w:r w:rsidR="00591320">
        <w:rPr>
          <w:rStyle w:val="FootnoteReference"/>
        </w:rPr>
        <w:footnoteReference w:id="38"/>
      </w:r>
      <w:r w:rsidR="00591320">
        <w:t xml:space="preserve"> Vaccination rates also vary greatly by </w:t>
      </w:r>
      <w:r w:rsidR="007067C9">
        <w:t>zip</w:t>
      </w:r>
      <w:r w:rsidR="00591320">
        <w:t xml:space="preserve"> code, with </w:t>
      </w:r>
      <w:r w:rsidR="00CB40DD">
        <w:t xml:space="preserve">vaccination rates in </w:t>
      </w:r>
      <w:r w:rsidR="00591320">
        <w:t xml:space="preserve">the following </w:t>
      </w:r>
      <w:r w:rsidR="00792AE5">
        <w:t xml:space="preserve">Brooklyn </w:t>
      </w:r>
      <w:r w:rsidR="00591320">
        <w:t>zip</w:t>
      </w:r>
      <w:r w:rsidR="00ED3994">
        <w:t xml:space="preserve"> </w:t>
      </w:r>
      <w:r w:rsidR="00591320">
        <w:t>codes all under 30</w:t>
      </w:r>
      <w:r w:rsidR="00FD455B">
        <w:t xml:space="preserve"> percent</w:t>
      </w:r>
      <w:r w:rsidR="00591320">
        <w:t>: 11211, 11206, and 11249 in Williamsburg, 11205 in Bedford-Stuyvesant, Clinton Hill, and Fort Greene, and 11219 in Borough Park.</w:t>
      </w:r>
      <w:r w:rsidR="00591320">
        <w:rPr>
          <w:rStyle w:val="FootnoteReference"/>
        </w:rPr>
        <w:footnoteReference w:id="39"/>
      </w:r>
      <w:r w:rsidR="00591320">
        <w:t xml:space="preserve"> Meanwhile, other zip</w:t>
      </w:r>
      <w:r w:rsidR="00861850">
        <w:t xml:space="preserve"> </w:t>
      </w:r>
      <w:r w:rsidR="00591320">
        <w:t>codes, such as some on the Upper East Side of Manhattan, see vaccination rates as high as 99</w:t>
      </w:r>
      <w:r w:rsidR="00FD455B">
        <w:t xml:space="preserve"> percent</w:t>
      </w:r>
      <w:r w:rsidR="00591320">
        <w:t>.</w:t>
      </w:r>
      <w:r w:rsidR="00CB40DD">
        <w:rPr>
          <w:rStyle w:val="FootnoteReference"/>
        </w:rPr>
        <w:footnoteReference w:id="40"/>
      </w:r>
    </w:p>
    <w:p w14:paraId="5A621998" w14:textId="250A8D08" w:rsidR="00591320" w:rsidRPr="00CD0B88" w:rsidRDefault="00591320" w:rsidP="008B465F">
      <w:pPr>
        <w:spacing w:line="480" w:lineRule="auto"/>
      </w:pPr>
      <w:r>
        <w:tab/>
      </w:r>
      <w:r w:rsidR="00CB40DD">
        <w:t xml:space="preserve">These trends are reinforced in rates of uptake for other childhood vaccines. </w:t>
      </w:r>
      <w:r>
        <w:t>The HPV vaccine protects against nine strains of the HPV, which can cause various cancers and genital warts.</w:t>
      </w:r>
      <w:r>
        <w:rPr>
          <w:rStyle w:val="FootnoteReference"/>
        </w:rPr>
        <w:footnoteReference w:id="41"/>
      </w:r>
      <w:r>
        <w:t xml:space="preserve"> </w:t>
      </w:r>
      <w:r w:rsidR="00D628AF">
        <w:t xml:space="preserve">NYS </w:t>
      </w:r>
      <w:r>
        <w:t xml:space="preserve"> recommend</w:t>
      </w:r>
      <w:r w:rsidR="00D628AF">
        <w:t>s</w:t>
      </w:r>
      <w:r>
        <w:t xml:space="preserve"> that adolescents receive what is known as the HPV vaccine series, which is either </w:t>
      </w:r>
      <w:r w:rsidR="00CB40DD">
        <w:t>two</w:t>
      </w:r>
      <w:r w:rsidR="001D4061">
        <w:t xml:space="preserve"> </w:t>
      </w:r>
      <w:r>
        <w:t xml:space="preserve">doses of the HPV vaccine at least </w:t>
      </w:r>
      <w:r w:rsidR="00CB40DD">
        <w:t>six</w:t>
      </w:r>
      <w:r w:rsidR="001D4061">
        <w:t xml:space="preserve"> </w:t>
      </w:r>
      <w:r>
        <w:t xml:space="preserve">months apart if the child begins the </w:t>
      </w:r>
      <w:r>
        <w:lastRenderedPageBreak/>
        <w:t xml:space="preserve">series before the age of 15 or three doses of the HPV vaccine over a span of </w:t>
      </w:r>
      <w:r w:rsidR="00CB40DD">
        <w:t>six</w:t>
      </w:r>
      <w:r w:rsidR="001D4061">
        <w:t xml:space="preserve"> </w:t>
      </w:r>
      <w:r>
        <w:t>months if immunization begins after the child has turned 15.</w:t>
      </w:r>
      <w:r>
        <w:rPr>
          <w:rStyle w:val="FootnoteReference"/>
        </w:rPr>
        <w:footnoteReference w:id="42"/>
      </w:r>
      <w:r>
        <w:t xml:space="preserve"> </w:t>
      </w:r>
      <w:r w:rsidR="00D628AF">
        <w:t xml:space="preserve">NYS </w:t>
      </w:r>
      <w:r>
        <w:t xml:space="preserve">recommends starting the vaccine series at age </w:t>
      </w:r>
      <w:r w:rsidR="00CB40DD">
        <w:t>nine</w:t>
      </w:r>
      <w:r>
        <w:t xml:space="preserve">, and considers the vaccine series to be on-time if a child receives the </w:t>
      </w:r>
      <w:r w:rsidR="009358C8">
        <w:t xml:space="preserve">full </w:t>
      </w:r>
      <w:r>
        <w:t>series by their 13</w:t>
      </w:r>
      <w:r>
        <w:rPr>
          <w:vertAlign w:val="superscript"/>
        </w:rPr>
        <w:t>th</w:t>
      </w:r>
      <w:r>
        <w:t xml:space="preserve"> birthday.</w:t>
      </w:r>
      <w:r>
        <w:rPr>
          <w:rStyle w:val="FootnoteReference"/>
        </w:rPr>
        <w:footnoteReference w:id="43"/>
      </w:r>
    </w:p>
    <w:p w14:paraId="007CCF3D" w14:textId="246224B5" w:rsidR="00591320" w:rsidRDefault="00591320" w:rsidP="008B465F">
      <w:pPr>
        <w:spacing w:line="480" w:lineRule="auto"/>
      </w:pPr>
      <w:r>
        <w:tab/>
        <w:t>The proportion of 13</w:t>
      </w:r>
      <w:r w:rsidR="002153AD">
        <w:t>-</w:t>
      </w:r>
      <w:r>
        <w:t xml:space="preserve">year-olds who </w:t>
      </w:r>
      <w:r w:rsidR="00CB40DD">
        <w:t xml:space="preserve">have </w:t>
      </w:r>
      <w:r>
        <w:t xml:space="preserve">received the HPV vaccine series has remained relatively steady since 2018, </w:t>
      </w:r>
      <w:r w:rsidR="00CB40DD">
        <w:t xml:space="preserve">with </w:t>
      </w:r>
      <w:r>
        <w:t>45</w:t>
      </w:r>
      <w:r w:rsidR="004E10E9">
        <w:t xml:space="preserve"> percent</w:t>
      </w:r>
      <w:r w:rsidR="009B35A6">
        <w:t xml:space="preserve"> in that year</w:t>
      </w:r>
      <w:r>
        <w:t xml:space="preserve"> versus 46</w:t>
      </w:r>
      <w:r w:rsidR="004E10E9">
        <w:t xml:space="preserve"> percent</w:t>
      </w:r>
      <w:r>
        <w:t xml:space="preserve"> in 2025.</w:t>
      </w:r>
      <w:r>
        <w:rPr>
          <w:rStyle w:val="FootnoteReference"/>
        </w:rPr>
        <w:footnoteReference w:id="44"/>
      </w:r>
      <w:r>
        <w:t xml:space="preserve"> The proportion of children aged 13 to 17 who have received the full series has risen since 2018, 69</w:t>
      </w:r>
      <w:r w:rsidR="004E10E9">
        <w:t xml:space="preserve"> percent</w:t>
      </w:r>
      <w:r>
        <w:t xml:space="preserve"> </w:t>
      </w:r>
      <w:r w:rsidR="009B35A6">
        <w:t>in that year</w:t>
      </w:r>
      <w:r>
        <w:t xml:space="preserve"> versus 75</w:t>
      </w:r>
      <w:r w:rsidR="004E10E9">
        <w:t xml:space="preserve"> percent</w:t>
      </w:r>
      <w:r>
        <w:t xml:space="preserve"> in 2025.</w:t>
      </w:r>
      <w:r>
        <w:rPr>
          <w:rStyle w:val="FootnoteReference"/>
        </w:rPr>
        <w:footnoteReference w:id="45"/>
      </w:r>
      <w:r>
        <w:t xml:space="preserve"> </w:t>
      </w:r>
      <w:r w:rsidR="000C1B6A">
        <w:t>O</w:t>
      </w:r>
      <w:r>
        <w:t xml:space="preserve">ver the last </w:t>
      </w:r>
      <w:r w:rsidR="00CB40DD">
        <w:t>two</w:t>
      </w:r>
      <w:r w:rsidR="009B35A6">
        <w:t xml:space="preserve"> </w:t>
      </w:r>
      <w:r>
        <w:t xml:space="preserve">years, </w:t>
      </w:r>
      <w:r w:rsidR="000C1B6A">
        <w:t xml:space="preserve">however, </w:t>
      </w:r>
      <w:r>
        <w:t xml:space="preserve">there has been a slight drop in the proportion of 13- to 17-year-olds who have received the full series, </w:t>
      </w:r>
      <w:r w:rsidR="00CB40DD">
        <w:t xml:space="preserve">with rates falling from </w:t>
      </w:r>
      <w:r>
        <w:t>77</w:t>
      </w:r>
      <w:r w:rsidR="004E10E9">
        <w:t xml:space="preserve"> percent</w:t>
      </w:r>
      <w:r>
        <w:t xml:space="preserve"> in 2023 and 76</w:t>
      </w:r>
      <w:r w:rsidR="004E10E9">
        <w:t xml:space="preserve"> percent</w:t>
      </w:r>
      <w:r>
        <w:t xml:space="preserve"> in 2024.</w:t>
      </w:r>
      <w:r>
        <w:rPr>
          <w:rStyle w:val="FootnoteReference"/>
        </w:rPr>
        <w:footnoteReference w:id="46"/>
      </w:r>
      <w:r>
        <w:t xml:space="preserve"> </w:t>
      </w:r>
    </w:p>
    <w:p w14:paraId="4F2703AB" w14:textId="735F5E8B" w:rsidR="00591320" w:rsidRDefault="00A95B57" w:rsidP="008B465F">
      <w:pPr>
        <w:spacing w:line="480" w:lineRule="auto"/>
        <w:ind w:firstLine="720"/>
      </w:pPr>
      <w:r>
        <w:t>W</w:t>
      </w:r>
      <w:r w:rsidR="00591320">
        <w:t xml:space="preserve">ide disparities </w:t>
      </w:r>
      <w:r>
        <w:t xml:space="preserve">among vaccine uptake rates are similarly seen </w:t>
      </w:r>
      <w:r w:rsidR="00591320">
        <w:t>when measuring rates</w:t>
      </w:r>
      <w:r w:rsidR="00D64B38">
        <w:t xml:space="preserve"> </w:t>
      </w:r>
      <w:r>
        <w:t>of HPV vaccination</w:t>
      </w:r>
      <w:r w:rsidR="00591320">
        <w:t xml:space="preserve"> by </w:t>
      </w:r>
      <w:r w:rsidR="009B35A6">
        <w:t>r</w:t>
      </w:r>
      <w:r w:rsidR="00591320">
        <w:t>ace</w:t>
      </w:r>
      <w:r>
        <w:t xml:space="preserve"> and </w:t>
      </w:r>
      <w:r w:rsidR="009B35A6">
        <w:t>e</w:t>
      </w:r>
      <w:r w:rsidR="00591320">
        <w:t>thnicity.</w:t>
      </w:r>
      <w:r w:rsidR="00591320">
        <w:rPr>
          <w:rStyle w:val="FootnoteReference"/>
        </w:rPr>
        <w:footnoteReference w:id="47"/>
      </w:r>
      <w:r w:rsidR="00591320">
        <w:t xml:space="preserve"> </w:t>
      </w:r>
      <w:r w:rsidR="00B8795C">
        <w:t>Once again,</w:t>
      </w:r>
      <w:r w:rsidR="00591320">
        <w:t xml:space="preserve"> Asian, non-Hispanic and Hispanic/Latino </w:t>
      </w:r>
      <w:r w:rsidR="00C34E44">
        <w:t xml:space="preserve">adolescents </w:t>
      </w:r>
      <w:r>
        <w:t xml:space="preserve">have </w:t>
      </w:r>
      <w:r w:rsidR="00591320">
        <w:t>the highest vaccination rates, with 65</w:t>
      </w:r>
      <w:r w:rsidR="004E10E9">
        <w:t xml:space="preserve"> percent</w:t>
      </w:r>
      <w:r w:rsidR="00591320">
        <w:t xml:space="preserve"> and 63</w:t>
      </w:r>
      <w:r w:rsidR="004E10E9">
        <w:t xml:space="preserve"> percent</w:t>
      </w:r>
      <w:r w:rsidR="00591320">
        <w:t xml:space="preserve"> of children in their communities having received the full HPV vaccine series by their 13</w:t>
      </w:r>
      <w:r w:rsidR="00591320">
        <w:rPr>
          <w:vertAlign w:val="superscript"/>
        </w:rPr>
        <w:t>th</w:t>
      </w:r>
      <w:r w:rsidR="00591320">
        <w:t xml:space="preserve"> birthdays</w:t>
      </w:r>
      <w:r w:rsidR="000C1B6A">
        <w:t>,</w:t>
      </w:r>
      <w:r w:rsidR="00591320">
        <w:t xml:space="preserve"> respectively.</w:t>
      </w:r>
      <w:r w:rsidR="00EB45FD">
        <w:rPr>
          <w:rStyle w:val="FootnoteReference"/>
        </w:rPr>
        <w:footnoteReference w:id="48"/>
      </w:r>
      <w:r w:rsidR="00591320">
        <w:t xml:space="preserve"> These numbers rise to 99</w:t>
      </w:r>
      <w:r w:rsidR="004E10E9">
        <w:t xml:space="preserve"> percent</w:t>
      </w:r>
      <w:r w:rsidR="00591320">
        <w:t xml:space="preserve"> and 87</w:t>
      </w:r>
      <w:r w:rsidR="004E10E9">
        <w:t xml:space="preserve"> percent</w:t>
      </w:r>
      <w:r w:rsidR="000C1B6A">
        <w:t>,</w:t>
      </w:r>
      <w:r w:rsidR="00591320">
        <w:t xml:space="preserve"> respectively</w:t>
      </w:r>
      <w:r w:rsidR="000C1B6A">
        <w:t>,</w:t>
      </w:r>
      <w:r w:rsidR="00591320">
        <w:t xml:space="preserve"> when measuring the rates for children aged 13 to 17 years old.</w:t>
      </w:r>
      <w:r w:rsidR="00E15205">
        <w:rPr>
          <w:rStyle w:val="FootnoteReference"/>
        </w:rPr>
        <w:footnoteReference w:id="49"/>
      </w:r>
      <w:r w:rsidR="00591320">
        <w:t xml:space="preserve"> </w:t>
      </w:r>
      <w:r>
        <w:t>Rates of HPV vaccination in the</w:t>
      </w:r>
      <w:r w:rsidR="00591320">
        <w:t xml:space="preserve"> Black, non-Hispanic community sit at around the same level as the citywide average</w:t>
      </w:r>
      <w:r>
        <w:t>;</w:t>
      </w:r>
      <w:r w:rsidR="00591320">
        <w:t xml:space="preserve"> 45</w:t>
      </w:r>
      <w:r w:rsidR="004E10E9">
        <w:t xml:space="preserve"> percent</w:t>
      </w:r>
      <w:r w:rsidR="00591320">
        <w:t xml:space="preserve"> of 13-year-olds had received the full vaccine series in 2025, and 71</w:t>
      </w:r>
      <w:r w:rsidR="004E10E9">
        <w:t xml:space="preserve"> percent</w:t>
      </w:r>
      <w:r w:rsidR="00591320">
        <w:t xml:space="preserve"> of 13- to 17-year-olds has received the full vaccine series in 2025.</w:t>
      </w:r>
      <w:r w:rsidR="00591320">
        <w:rPr>
          <w:rStyle w:val="FootnoteReference"/>
        </w:rPr>
        <w:footnoteReference w:id="50"/>
      </w:r>
      <w:r w:rsidR="00591320">
        <w:t xml:space="preserve"> </w:t>
      </w:r>
      <w:r w:rsidR="00F1595C">
        <w:t>In NYC, t</w:t>
      </w:r>
      <w:r w:rsidR="00591320">
        <w:t xml:space="preserve">he White, non-Hispanic community </w:t>
      </w:r>
      <w:r w:rsidR="00F1595C">
        <w:t xml:space="preserve">has </w:t>
      </w:r>
      <w:r w:rsidR="00591320">
        <w:t xml:space="preserve">the lowest rate of </w:t>
      </w:r>
      <w:r w:rsidR="00591320">
        <w:lastRenderedPageBreak/>
        <w:t>vaccination against HPV.</w:t>
      </w:r>
      <w:r w:rsidR="00591320">
        <w:rPr>
          <w:rStyle w:val="FootnoteReference"/>
        </w:rPr>
        <w:footnoteReference w:id="51"/>
      </w:r>
      <w:r w:rsidR="00591320">
        <w:t xml:space="preserve"> Only 14</w:t>
      </w:r>
      <w:r w:rsidR="004E10E9">
        <w:t xml:space="preserve"> percent</w:t>
      </w:r>
      <w:r w:rsidR="00591320">
        <w:t xml:space="preserve"> of White, non-Hispanic 13-year-olds had received the full vaccine series in 2025, and 33</w:t>
      </w:r>
      <w:r w:rsidR="004E10E9">
        <w:t xml:space="preserve"> percent</w:t>
      </w:r>
      <w:r w:rsidR="00591320">
        <w:t xml:space="preserve"> of 13- to 17-year-olds.</w:t>
      </w:r>
      <w:r w:rsidR="00591320">
        <w:rPr>
          <w:rStyle w:val="FootnoteReference"/>
        </w:rPr>
        <w:footnoteReference w:id="52"/>
      </w:r>
    </w:p>
    <w:p w14:paraId="26C48CEB" w14:textId="2CBAF588" w:rsidR="00591320" w:rsidRDefault="00591320" w:rsidP="008B465F">
      <w:pPr>
        <w:spacing w:line="480" w:lineRule="auto"/>
      </w:pPr>
      <w:r>
        <w:tab/>
        <w:t xml:space="preserve">DOHMH recommends that everyone older than </w:t>
      </w:r>
      <w:r w:rsidR="00F1595C">
        <w:t>six</w:t>
      </w:r>
      <w:r w:rsidR="004E10E9">
        <w:t xml:space="preserve"> </w:t>
      </w:r>
      <w:r>
        <w:t>months receive an annual influenza or flu vaccine.</w:t>
      </w:r>
      <w:r>
        <w:rPr>
          <w:rStyle w:val="FootnoteReference"/>
        </w:rPr>
        <w:footnoteReference w:id="53"/>
      </w:r>
      <w:r>
        <w:t xml:space="preserve"> In the 2024-2025 flu season, 34</w:t>
      </w:r>
      <w:r w:rsidR="000B0957">
        <w:t xml:space="preserve"> percent</w:t>
      </w:r>
      <w:r>
        <w:t xml:space="preserve"> of children between </w:t>
      </w:r>
      <w:r w:rsidR="00F1595C">
        <w:t>six</w:t>
      </w:r>
      <w:r w:rsidR="000B0957">
        <w:t xml:space="preserve"> </w:t>
      </w:r>
      <w:r>
        <w:t>months and 17 years old had received a flu vaccine by mid-season and 43</w:t>
      </w:r>
      <w:r w:rsidR="000B0957">
        <w:t xml:space="preserve"> percent</w:t>
      </w:r>
      <w:r>
        <w:t xml:space="preserve"> had received a vaccine by the end of the season.</w:t>
      </w:r>
      <w:r>
        <w:rPr>
          <w:rStyle w:val="FootnoteReference"/>
        </w:rPr>
        <w:footnoteReference w:id="54"/>
      </w:r>
      <w:r>
        <w:t xml:space="preserve"> </w:t>
      </w:r>
      <w:r w:rsidR="000C1B6A">
        <w:t>In comparison, the</w:t>
      </w:r>
      <w:r>
        <w:t xml:space="preserve"> 2020-2021 flu season</w:t>
      </w:r>
      <w:r w:rsidR="00FE2375">
        <w:t xml:space="preserve"> </w:t>
      </w:r>
      <w:r>
        <w:t>saw vaccination rates in the same age group at 43</w:t>
      </w:r>
      <w:r w:rsidR="000B0957">
        <w:t xml:space="preserve"> percent</w:t>
      </w:r>
      <w:r>
        <w:t xml:space="preserve"> mid-season and 51</w:t>
      </w:r>
      <w:r w:rsidR="000B0957">
        <w:t xml:space="preserve"> percent</w:t>
      </w:r>
      <w:r>
        <w:t xml:space="preserve"> at the end of the season.</w:t>
      </w:r>
      <w:r>
        <w:rPr>
          <w:rStyle w:val="FootnoteReference"/>
        </w:rPr>
        <w:footnoteReference w:id="55"/>
      </w:r>
      <w:r>
        <w:t xml:space="preserve"> This overall decline can be attributed to rates falling for children aged between </w:t>
      </w:r>
      <w:r w:rsidR="000B0957">
        <w:t xml:space="preserve">5 </w:t>
      </w:r>
      <w:r>
        <w:t>and 17 years old.</w:t>
      </w:r>
      <w:r>
        <w:rPr>
          <w:rStyle w:val="FootnoteReference"/>
        </w:rPr>
        <w:footnoteReference w:id="56"/>
      </w:r>
      <w:r>
        <w:t xml:space="preserve"> </w:t>
      </w:r>
      <w:r w:rsidR="00F1595C">
        <w:t>Across the same period, v</w:t>
      </w:r>
      <w:r>
        <w:t xml:space="preserve">accination rates for children under </w:t>
      </w:r>
      <w:r w:rsidR="00F1595C">
        <w:t>five</w:t>
      </w:r>
      <w:r>
        <w:t xml:space="preserve"> have remained steady.</w:t>
      </w:r>
      <w:r>
        <w:rPr>
          <w:rStyle w:val="FootnoteReference"/>
        </w:rPr>
        <w:footnoteReference w:id="57"/>
      </w:r>
      <w:r>
        <w:t xml:space="preserve"> </w:t>
      </w:r>
    </w:p>
    <w:p w14:paraId="5D5ED17C" w14:textId="54B851C1" w:rsidR="00FD7326" w:rsidRPr="000F424E" w:rsidRDefault="009E0FBF" w:rsidP="00151B5B">
      <w:pPr>
        <w:spacing w:line="480" w:lineRule="auto"/>
        <w:ind w:firstLine="720"/>
        <w:contextualSpacing/>
      </w:pPr>
      <w:r>
        <w:t>For the influ</w:t>
      </w:r>
      <w:r w:rsidR="00CE320A">
        <w:t>e</w:t>
      </w:r>
      <w:r>
        <w:t>nza vaccine, r</w:t>
      </w:r>
      <w:r w:rsidR="00591320">
        <w:t xml:space="preserve">ates have fallen across all </w:t>
      </w:r>
      <w:r w:rsidR="00CC2F88">
        <w:t>r</w:t>
      </w:r>
      <w:r w:rsidR="00591320">
        <w:t>aces</w:t>
      </w:r>
      <w:r w:rsidR="00F1595C">
        <w:t xml:space="preserve"> and </w:t>
      </w:r>
      <w:r w:rsidR="00CC2F88">
        <w:t>e</w:t>
      </w:r>
      <w:r w:rsidR="00591320">
        <w:t>thnicities.</w:t>
      </w:r>
      <w:r w:rsidR="00591320">
        <w:rPr>
          <w:rStyle w:val="FootnoteReference"/>
        </w:rPr>
        <w:footnoteReference w:id="58"/>
      </w:r>
      <w:r w:rsidR="00591320">
        <w:t xml:space="preserve"> </w:t>
      </w:r>
      <w:r w:rsidR="000C1B6A">
        <w:t>As in</w:t>
      </w:r>
      <w:r w:rsidR="00591320">
        <w:t xml:space="preserve"> the HPV vaccine series and the combined 7-vaccine series, White, non-Hispanic children and Black, non-Hispanic children </w:t>
      </w:r>
      <w:r w:rsidR="00F1595C">
        <w:t xml:space="preserve">have </w:t>
      </w:r>
      <w:r w:rsidR="00591320">
        <w:t>lower vaccination rates, 32</w:t>
      </w:r>
      <w:r w:rsidR="00CC2F88">
        <w:t xml:space="preserve"> percent</w:t>
      </w:r>
      <w:r w:rsidR="00591320">
        <w:t xml:space="preserve"> for both in the 2024-2025 season, than their Asian, non-Hispanic and Hispanic/Latino peers, 70</w:t>
      </w:r>
      <w:r w:rsidR="00CC2F88">
        <w:t xml:space="preserve"> percent</w:t>
      </w:r>
      <w:r w:rsidR="00591320">
        <w:t xml:space="preserve"> and 45</w:t>
      </w:r>
      <w:r w:rsidR="00CC2F88">
        <w:t xml:space="preserve"> percent</w:t>
      </w:r>
      <w:r w:rsidR="00591320">
        <w:t xml:space="preserve"> in the 2024-2025 flu season</w:t>
      </w:r>
      <w:r w:rsidR="000C1B6A">
        <w:t>,</w:t>
      </w:r>
      <w:r w:rsidR="00591320">
        <w:t xml:space="preserve"> respectively.</w:t>
      </w:r>
      <w:r w:rsidR="00591320">
        <w:rPr>
          <w:rStyle w:val="FootnoteReference"/>
        </w:rPr>
        <w:footnoteReference w:id="59"/>
      </w:r>
    </w:p>
    <w:p w14:paraId="19977224" w14:textId="77777777" w:rsidR="00CC2F88" w:rsidRDefault="0062797E" w:rsidP="00151B5B">
      <w:pPr>
        <w:pStyle w:val="ListParagraph"/>
        <w:numPr>
          <w:ilvl w:val="0"/>
          <w:numId w:val="3"/>
        </w:numPr>
        <w:spacing w:line="480" w:lineRule="auto"/>
        <w:jc w:val="both"/>
        <w:rPr>
          <w:b/>
        </w:rPr>
      </w:pPr>
      <w:r>
        <w:rPr>
          <w:b/>
        </w:rPr>
        <w:t>ISSUES AND CONCERNS</w:t>
      </w:r>
      <w:r w:rsidR="00B80062">
        <w:rPr>
          <w:b/>
        </w:rPr>
        <w:t xml:space="preserve"> </w:t>
      </w:r>
    </w:p>
    <w:p w14:paraId="62029EBA" w14:textId="77777777" w:rsidR="00CC2F88" w:rsidRPr="00A2630E" w:rsidRDefault="0066301A" w:rsidP="00151B5B">
      <w:pPr>
        <w:pStyle w:val="ListParagraph"/>
        <w:spacing w:line="480" w:lineRule="auto"/>
        <w:jc w:val="both"/>
      </w:pPr>
      <w:r w:rsidRPr="00504FE5">
        <w:rPr>
          <w:u w:val="single"/>
        </w:rPr>
        <w:t>Consequences of Vaccine Schedule Changes</w:t>
      </w:r>
    </w:p>
    <w:p w14:paraId="199022A2" w14:textId="14F793C8" w:rsidR="005D5FBF" w:rsidRPr="00F211AE" w:rsidRDefault="00CC2F88" w:rsidP="00151B5B">
      <w:pPr>
        <w:spacing w:line="480" w:lineRule="auto"/>
        <w:jc w:val="both"/>
        <w:rPr>
          <w:u w:val="single"/>
        </w:rPr>
      </w:pPr>
      <w:r>
        <w:tab/>
      </w:r>
      <w:r w:rsidR="005D5FBF">
        <w:t xml:space="preserve">In the context of </w:t>
      </w:r>
      <w:r w:rsidR="00FE7141">
        <w:t>declining</w:t>
      </w:r>
      <w:r w:rsidR="005D5FBF">
        <w:t xml:space="preserve"> childhood vaccination rates and ongoing outbreaks of diseases such as influenza and measles, H</w:t>
      </w:r>
      <w:r w:rsidR="788DCCB1">
        <w:t>H</w:t>
      </w:r>
      <w:r w:rsidR="005D5FBF">
        <w:t>S</w:t>
      </w:r>
      <w:r w:rsidR="00FE7141">
        <w:t>’ recent changes</w:t>
      </w:r>
      <w:r w:rsidR="005D5FBF">
        <w:t xml:space="preserve"> to the recommended vaccination schedule for children have important implications for both childhood immunization and public health </w:t>
      </w:r>
      <w:r w:rsidR="00FE7141">
        <w:lastRenderedPageBreak/>
        <w:t>nationwide</w:t>
      </w:r>
      <w:r w:rsidR="005D5FBF">
        <w:t>.</w:t>
      </w:r>
      <w:r w:rsidR="005D5FBF">
        <w:rPr>
          <w:rStyle w:val="FootnoteReference"/>
        </w:rPr>
        <w:footnoteReference w:id="60"/>
      </w:r>
      <w:r w:rsidR="005D5FBF">
        <w:t xml:space="preserve"> First, </w:t>
      </w:r>
      <w:r w:rsidR="00FE7141">
        <w:t xml:space="preserve">while </w:t>
      </w:r>
      <w:r w:rsidR="005D5FBF">
        <w:t xml:space="preserve">insurance coverage for childhood vaccinations is expected to remain mostly unchanged, </w:t>
      </w:r>
      <w:r w:rsidR="00FE7141">
        <w:t>there is</w:t>
      </w:r>
      <w:r w:rsidR="005D5FBF">
        <w:t xml:space="preserve"> one major exception.</w:t>
      </w:r>
      <w:r w:rsidR="005D5FBF">
        <w:rPr>
          <w:rStyle w:val="FootnoteReference"/>
        </w:rPr>
        <w:footnoteReference w:id="61"/>
      </w:r>
      <w:r w:rsidR="005D5FBF">
        <w:t xml:space="preserve"> Most insurers are required to cover the </w:t>
      </w:r>
      <w:r w:rsidR="00FE7141">
        <w:t>ACIP/CDC-</w:t>
      </w:r>
      <w:r w:rsidR="005D5FBF">
        <w:t>recommended vaccines</w:t>
      </w:r>
      <w:r w:rsidR="00FE7141">
        <w:t>,</w:t>
      </w:r>
      <w:r w:rsidR="005D5FBF">
        <w:t xml:space="preserve"> including vaccines on the schedule recommended through SCDM.</w:t>
      </w:r>
      <w:r w:rsidR="005D5FBF">
        <w:rPr>
          <w:rStyle w:val="FootnoteReference"/>
        </w:rPr>
        <w:footnoteReference w:id="62"/>
      </w:r>
      <w:r w:rsidR="005D5FBF">
        <w:t xml:space="preserve"> </w:t>
      </w:r>
      <w:r w:rsidR="000C1B6A">
        <w:t>Yet, b</w:t>
      </w:r>
      <w:r w:rsidR="005D5FBF">
        <w:t>ecause the federal government now only recommends one dose of the HPV vaccine, parents looking to provide their children with further doses may be faced with out-of-pocket costs</w:t>
      </w:r>
      <w:r w:rsidR="000D72E9">
        <w:t xml:space="preserve"> amounting to more than $300</w:t>
      </w:r>
      <w:r w:rsidR="005D5FBF">
        <w:t>.</w:t>
      </w:r>
      <w:r w:rsidR="005D5FBF">
        <w:rPr>
          <w:rStyle w:val="FootnoteReference"/>
        </w:rPr>
        <w:footnoteReference w:id="63"/>
      </w:r>
      <w:r w:rsidR="005D5FBF">
        <w:t xml:space="preserve"> Insurers have pledged to continue covering all vaccines that were recommended in the prior childhood vaccine schedule at least through 2026, saving parents any extra costs for now.</w:t>
      </w:r>
      <w:r w:rsidR="005D5FBF">
        <w:rPr>
          <w:rStyle w:val="FootnoteReference"/>
        </w:rPr>
        <w:footnoteReference w:id="64"/>
      </w:r>
    </w:p>
    <w:p w14:paraId="498D6B41" w14:textId="0040625E" w:rsidR="005D5FBF" w:rsidRPr="006346CB" w:rsidRDefault="005D5FBF" w:rsidP="00F211AE">
      <w:pPr>
        <w:spacing w:line="480" w:lineRule="auto"/>
        <w:jc w:val="both"/>
      </w:pPr>
      <w:r w:rsidRPr="006346CB">
        <w:tab/>
        <w:t xml:space="preserve">Second, HHS </w:t>
      </w:r>
      <w:r w:rsidR="00FE7141">
        <w:t>stated</w:t>
      </w:r>
      <w:r w:rsidR="00FE7141" w:rsidRPr="006346CB">
        <w:t xml:space="preserve"> </w:t>
      </w:r>
      <w:r w:rsidRPr="006346CB">
        <w:t>in its Decision Memo of January 5, 2026 that vaccines, like all drugs or medical interventions, cannot be stated to be 100</w:t>
      </w:r>
      <w:r w:rsidR="00FD455B">
        <w:t xml:space="preserve"> percent</w:t>
      </w:r>
      <w:r w:rsidRPr="006346CB">
        <w:t xml:space="preserve"> risk-free or 100</w:t>
      </w:r>
      <w:r w:rsidR="00FD455B">
        <w:t xml:space="preserve"> percent</w:t>
      </w:r>
      <w:r w:rsidRPr="006346CB">
        <w:t xml:space="preserve"> effective.</w:t>
      </w:r>
      <w:r>
        <w:rPr>
          <w:rStyle w:val="FootnoteReference"/>
        </w:rPr>
        <w:footnoteReference w:id="65"/>
      </w:r>
      <w:r w:rsidRPr="006346CB">
        <w:t xml:space="preserve"> HHS also </w:t>
      </w:r>
      <w:r w:rsidR="00FE7141">
        <w:t>stated</w:t>
      </w:r>
      <w:r w:rsidR="00FE7141" w:rsidRPr="006346CB">
        <w:t xml:space="preserve"> </w:t>
      </w:r>
      <w:r w:rsidRPr="006346CB">
        <w:t>that a knowledge gap exists due to a lack of “post-licensure infrastructure for monitoring potential adverse reactions and long-term chronic events” and a lack of randomized vaccine trials.</w:t>
      </w:r>
      <w:r>
        <w:rPr>
          <w:rStyle w:val="FootnoteReference"/>
        </w:rPr>
        <w:footnoteReference w:id="66"/>
      </w:r>
      <w:r w:rsidRPr="006346CB">
        <w:t xml:space="preserve"> </w:t>
      </w:r>
      <w:r w:rsidR="000C1B6A">
        <w:t>HHS</w:t>
      </w:r>
      <w:r w:rsidR="000C1B6A" w:rsidRPr="006346CB">
        <w:t xml:space="preserve"> </w:t>
      </w:r>
      <w:r w:rsidRPr="006346CB">
        <w:t xml:space="preserve">also </w:t>
      </w:r>
      <w:r w:rsidR="000C1B6A">
        <w:t>states</w:t>
      </w:r>
      <w:r w:rsidR="000C1B6A" w:rsidRPr="006346CB">
        <w:t xml:space="preserve"> </w:t>
      </w:r>
      <w:r w:rsidRPr="006346CB">
        <w:t xml:space="preserve">that the </w:t>
      </w:r>
      <w:r w:rsidR="00651B7C">
        <w:t>U.S.</w:t>
      </w:r>
      <w:r w:rsidRPr="006346CB">
        <w:t>, compared to 20 peer, developed nations, was a global outlier in both the number of diseases addressed in its routine childhood vaccination schedule and the total number of recommended doses.</w:t>
      </w:r>
      <w:r>
        <w:rPr>
          <w:rStyle w:val="FootnoteReference"/>
        </w:rPr>
        <w:footnoteReference w:id="67"/>
      </w:r>
      <w:r w:rsidRPr="006346CB">
        <w:t xml:space="preserve"> In 2024, the </w:t>
      </w:r>
      <w:r w:rsidR="007B1323">
        <w:t xml:space="preserve">U.S. </w:t>
      </w:r>
      <w:r w:rsidRPr="006346CB">
        <w:t xml:space="preserve">recommended 18 vaccinations according to the CDC, whereas Denmark only recommended children be immunized </w:t>
      </w:r>
      <w:r w:rsidRPr="006346CB">
        <w:lastRenderedPageBreak/>
        <w:t xml:space="preserve">against </w:t>
      </w:r>
      <w:r w:rsidR="007B1323">
        <w:t>ten</w:t>
      </w:r>
      <w:r w:rsidRPr="006346CB">
        <w:t>.</w:t>
      </w:r>
      <w:r>
        <w:rPr>
          <w:rStyle w:val="FootnoteReference"/>
        </w:rPr>
        <w:footnoteReference w:id="68"/>
      </w:r>
      <w:r w:rsidRPr="006346CB">
        <w:t xml:space="preserve"> HHS cites this as one of two “current problems” with childhood vaccinations, which prompted the review of and eventual changes to the recommended childhood vaccine schedule.</w:t>
      </w:r>
      <w:r>
        <w:rPr>
          <w:rStyle w:val="FootnoteReference"/>
        </w:rPr>
        <w:footnoteReference w:id="69"/>
      </w:r>
    </w:p>
    <w:p w14:paraId="5158849D" w14:textId="3CFAAEE2" w:rsidR="005D5FBF" w:rsidRPr="006346CB" w:rsidRDefault="005D5FBF" w:rsidP="00F211AE">
      <w:pPr>
        <w:spacing w:line="480" w:lineRule="auto"/>
        <w:jc w:val="both"/>
      </w:pPr>
      <w:r w:rsidRPr="006346CB">
        <w:tab/>
        <w:t>However, in response, experts such as those from the AAP state that the CDC’s recent changes depart from longstanding medical evidence.</w:t>
      </w:r>
      <w:r>
        <w:rPr>
          <w:rStyle w:val="FootnoteReference"/>
        </w:rPr>
        <w:footnoteReference w:id="70"/>
      </w:r>
      <w:r w:rsidRPr="006346CB">
        <w:t xml:space="preserve"> These experts argue that the CDC revisions may undermine decades of public health progress, result in a resurgence of preventable diseases, and complicate clinical care.</w:t>
      </w:r>
      <w:r>
        <w:rPr>
          <w:rStyle w:val="FootnoteReference"/>
        </w:rPr>
        <w:footnoteReference w:id="71"/>
      </w:r>
      <w:r w:rsidRPr="006346CB">
        <w:t xml:space="preserve"> </w:t>
      </w:r>
      <w:r w:rsidR="004A2F08">
        <w:t>AAP experts</w:t>
      </w:r>
      <w:r w:rsidRPr="006346CB">
        <w:t xml:space="preserve"> claim that their recommended vaccine schedule, which remains unchanged, is based on disease risk and U</w:t>
      </w:r>
      <w:r w:rsidR="004A2F08">
        <w:t>.</w:t>
      </w:r>
      <w:r w:rsidRPr="006346CB">
        <w:t>S</w:t>
      </w:r>
      <w:r w:rsidR="004A2F08">
        <w:t>.</w:t>
      </w:r>
      <w:r w:rsidRPr="006346CB">
        <w:t>-specific health care delivery considerations</w:t>
      </w:r>
      <w:r w:rsidR="00FE7141">
        <w:t xml:space="preserve"> that are not present in the context of Denmark</w:t>
      </w:r>
      <w:r w:rsidRPr="006346CB">
        <w:t>.</w:t>
      </w:r>
      <w:r>
        <w:rPr>
          <w:rStyle w:val="FootnoteReference"/>
        </w:rPr>
        <w:footnoteReference w:id="72"/>
      </w:r>
      <w:r w:rsidRPr="006346CB">
        <w:t xml:space="preserve"> Experts also argue that following Denmark’s example, which </w:t>
      </w:r>
      <w:r w:rsidR="003C2D21">
        <w:t xml:space="preserve">the </w:t>
      </w:r>
      <w:r w:rsidR="00A33CE4">
        <w:t xml:space="preserve">U.S. </w:t>
      </w:r>
      <w:r w:rsidRPr="006346CB">
        <w:t xml:space="preserve">appears to have </w:t>
      </w:r>
      <w:r w:rsidR="00FE7141">
        <w:t xml:space="preserve">largely </w:t>
      </w:r>
      <w:r w:rsidRPr="006346CB">
        <w:t>copied</w:t>
      </w:r>
      <w:r w:rsidR="00FE7141">
        <w:t xml:space="preserve"> in formulating the new recommendations,</w:t>
      </w:r>
      <w:r w:rsidRPr="006346CB">
        <w:t xml:space="preserve"> would make the </w:t>
      </w:r>
      <w:r w:rsidR="00A33CE4">
        <w:t>U.S.</w:t>
      </w:r>
      <w:r w:rsidRPr="006346CB">
        <w:t xml:space="preserve"> an outlier in the other direction.</w:t>
      </w:r>
      <w:r>
        <w:rPr>
          <w:rStyle w:val="FootnoteReference"/>
        </w:rPr>
        <w:footnoteReference w:id="73"/>
      </w:r>
      <w:r w:rsidRPr="006346CB">
        <w:t xml:space="preserve"> Among the 20 peer nations the HHS cites, none of them recommend as few vaccines as Denmark.</w:t>
      </w:r>
      <w:r>
        <w:rPr>
          <w:rStyle w:val="FootnoteReference"/>
        </w:rPr>
        <w:footnoteReference w:id="74"/>
      </w:r>
      <w:r w:rsidRPr="006346CB">
        <w:t xml:space="preserve"> Nations like Australia, Austria, Germany, Greece, Ireland, Italy, Japan, New Zealand, Spain, and the United Kingdom all recommend at least 14 </w:t>
      </w:r>
      <w:r w:rsidR="00FE7141">
        <w:t xml:space="preserve">routine childhood </w:t>
      </w:r>
      <w:r w:rsidRPr="006346CB">
        <w:t>vaccinations.</w:t>
      </w:r>
      <w:r>
        <w:rPr>
          <w:rStyle w:val="FootnoteReference"/>
        </w:rPr>
        <w:footnoteReference w:id="75"/>
      </w:r>
    </w:p>
    <w:p w14:paraId="4BE4595F" w14:textId="7813DFDA" w:rsidR="005D5FBF" w:rsidRPr="006346CB" w:rsidRDefault="005D5FBF" w:rsidP="00F211AE">
      <w:pPr>
        <w:spacing w:line="480" w:lineRule="auto"/>
        <w:jc w:val="both"/>
      </w:pPr>
      <w:r w:rsidRPr="006346CB">
        <w:tab/>
      </w:r>
      <w:r w:rsidR="000C1B6A">
        <w:t>B</w:t>
      </w:r>
      <w:r w:rsidRPr="006346CB">
        <w:t xml:space="preserve">asing </w:t>
      </w:r>
      <w:r w:rsidR="00F018ED">
        <w:t>U.S.</w:t>
      </w:r>
      <w:r w:rsidRPr="006346CB">
        <w:t xml:space="preserve"> childhood vaccine recommendations </w:t>
      </w:r>
      <w:r w:rsidR="00F018ED">
        <w:t xml:space="preserve">on those of </w:t>
      </w:r>
      <w:r w:rsidRPr="006346CB">
        <w:t>a nation such as Denmark</w:t>
      </w:r>
      <w:r w:rsidR="000C1B6A">
        <w:t xml:space="preserve"> raises questions, given </w:t>
      </w:r>
      <w:r w:rsidR="00D628AF">
        <w:t>significant</w:t>
      </w:r>
      <w:r w:rsidR="000C1B6A">
        <w:t xml:space="preserve"> differences between the two countries</w:t>
      </w:r>
      <w:r w:rsidRPr="006346CB">
        <w:t>.</w:t>
      </w:r>
      <w:r>
        <w:rPr>
          <w:rStyle w:val="FootnoteReference"/>
        </w:rPr>
        <w:footnoteReference w:id="76"/>
      </w:r>
      <w:r w:rsidRPr="006346CB">
        <w:t xml:space="preserve"> The </w:t>
      </w:r>
      <w:r w:rsidR="00F018ED">
        <w:t>U.S. population</w:t>
      </w:r>
      <w:r w:rsidRPr="006346CB">
        <w:t xml:space="preserve"> is about 330 million, with 27 million of those people uninsured, and there are major health </w:t>
      </w:r>
      <w:r w:rsidRPr="006346CB">
        <w:lastRenderedPageBreak/>
        <w:t>disparities.</w:t>
      </w:r>
      <w:r>
        <w:rPr>
          <w:rStyle w:val="FootnoteReference"/>
        </w:rPr>
        <w:footnoteReference w:id="77"/>
      </w:r>
      <w:r w:rsidRPr="006346CB">
        <w:t xml:space="preserve"> Denmark has a population of around 6 million, universal healthcare with guaranteed rapid access, and a robust public health infrastructure.</w:t>
      </w:r>
      <w:r>
        <w:rPr>
          <w:rStyle w:val="FootnoteReference"/>
        </w:rPr>
        <w:footnoteReference w:id="78"/>
      </w:r>
      <w:r w:rsidRPr="006346CB">
        <w:t xml:space="preserve"> </w:t>
      </w:r>
      <w:r w:rsidR="006B27B7">
        <w:t>H</w:t>
      </w:r>
      <w:r w:rsidRPr="006346CB">
        <w:t>epatitis B</w:t>
      </w:r>
      <w:r w:rsidR="006B27B7">
        <w:t xml:space="preserve"> provides an illustrative</w:t>
      </w:r>
      <w:r w:rsidRPr="006346CB">
        <w:t xml:space="preserve"> example</w:t>
      </w:r>
      <w:r w:rsidR="006B27B7">
        <w:t>:</w:t>
      </w:r>
      <w:r w:rsidRPr="006346CB">
        <w:t xml:space="preserve"> Denmark can reliably screen every pregnant woman for the disease and its Civil Registration System digitally links maternal test results to an infant’s health record.</w:t>
      </w:r>
      <w:r>
        <w:rPr>
          <w:rStyle w:val="FootnoteReference"/>
        </w:rPr>
        <w:footnoteReference w:id="79"/>
      </w:r>
      <w:r w:rsidRPr="006346CB">
        <w:t xml:space="preserve"> In the </w:t>
      </w:r>
      <w:r w:rsidR="008627A9">
        <w:t>U.S.</w:t>
      </w:r>
      <w:r w:rsidRPr="006346CB">
        <w:t>, approximately 15</w:t>
      </w:r>
      <w:r w:rsidR="008627A9">
        <w:t xml:space="preserve"> percent</w:t>
      </w:r>
      <w:r w:rsidRPr="006346CB">
        <w:t xml:space="preserve"> of pregnancies go unscreened for </w:t>
      </w:r>
      <w:r w:rsidR="008627A9">
        <w:t>h</w:t>
      </w:r>
      <w:r w:rsidRPr="006346CB">
        <w:t>epatitis B, and of women who test positive, only 35</w:t>
      </w:r>
      <w:r w:rsidR="008627A9">
        <w:t xml:space="preserve"> percent</w:t>
      </w:r>
      <w:r w:rsidRPr="006346CB">
        <w:t xml:space="preserve"> receive recommended follow-up care.</w:t>
      </w:r>
      <w:r>
        <w:rPr>
          <w:rStyle w:val="FootnoteReference"/>
        </w:rPr>
        <w:footnoteReference w:id="80"/>
      </w:r>
      <w:r w:rsidRPr="006346CB">
        <w:t xml:space="preserve"> The </w:t>
      </w:r>
      <w:r w:rsidR="008627A9">
        <w:t xml:space="preserve">U.S. </w:t>
      </w:r>
      <w:r w:rsidRPr="006346CB">
        <w:t>schedule was designed as a safety net to catch infants who may fall through this gap.</w:t>
      </w:r>
      <w:r>
        <w:rPr>
          <w:rStyle w:val="FootnoteReference"/>
        </w:rPr>
        <w:footnoteReference w:id="81"/>
      </w:r>
    </w:p>
    <w:p w14:paraId="12455F4A" w14:textId="70A6D288" w:rsidR="00F833D3" w:rsidRDefault="005D5FBF" w:rsidP="00F211AE">
      <w:pPr>
        <w:spacing w:line="480" w:lineRule="auto"/>
        <w:jc w:val="both"/>
      </w:pPr>
      <w:r w:rsidRPr="006346CB">
        <w:tab/>
      </w:r>
      <w:r w:rsidR="00E01CBA">
        <w:t>I</w:t>
      </w:r>
      <w:r w:rsidRPr="006346CB">
        <w:t xml:space="preserve">n its </w:t>
      </w:r>
      <w:r w:rsidR="00E01CBA">
        <w:t>d</w:t>
      </w:r>
      <w:r w:rsidRPr="006346CB">
        <w:t xml:space="preserve">ecision </w:t>
      </w:r>
      <w:r w:rsidR="00E01CBA">
        <w:t>m</w:t>
      </w:r>
      <w:r w:rsidRPr="006346CB">
        <w:t>emo</w:t>
      </w:r>
      <w:r w:rsidR="00E01CBA">
        <w:t>, HHS</w:t>
      </w:r>
      <w:r w:rsidRPr="006346CB">
        <w:t xml:space="preserve"> also cites falling childhood vaccination rates, such as in the</w:t>
      </w:r>
      <w:r w:rsidR="00E01CBA">
        <w:t xml:space="preserve"> case of</w:t>
      </w:r>
      <w:r w:rsidRPr="006346CB">
        <w:t xml:space="preserve"> MMR vaccination, and the loss of public trust in vaccinations as the other “current problem.”</w:t>
      </w:r>
      <w:r>
        <w:rPr>
          <w:rStyle w:val="FootnoteReference"/>
        </w:rPr>
        <w:footnoteReference w:id="82"/>
      </w:r>
      <w:r w:rsidRPr="006346CB">
        <w:t xml:space="preserve"> Experts argue that the changes to the vaccine schedule may worsen these problems, not help to solve them.</w:t>
      </w:r>
      <w:r>
        <w:rPr>
          <w:rStyle w:val="FootnoteReference"/>
        </w:rPr>
        <w:footnoteReference w:id="83"/>
      </w:r>
      <w:r w:rsidRPr="006346CB">
        <w:t xml:space="preserve"> If states follow </w:t>
      </w:r>
      <w:r w:rsidR="00A75651">
        <w:t>CDC guidance</w:t>
      </w:r>
      <w:r w:rsidRPr="006346CB">
        <w:t>, they may loosen vaccine requirements for school attendance, which may depress immunization rates.</w:t>
      </w:r>
      <w:r>
        <w:rPr>
          <w:rStyle w:val="FootnoteReference"/>
        </w:rPr>
        <w:footnoteReference w:id="84"/>
      </w:r>
      <w:r w:rsidRPr="006346CB">
        <w:t xml:space="preserve"> Furthermore, moving vaccines from universally recommended to SCDM may introduce barriers</w:t>
      </w:r>
      <w:r w:rsidR="00F8428B">
        <w:t xml:space="preserve"> to access</w:t>
      </w:r>
      <w:r w:rsidRPr="006346CB">
        <w:t>, especially for the 100 million Americans who lack usual access to primary care.</w:t>
      </w:r>
      <w:r>
        <w:rPr>
          <w:rStyle w:val="FootnoteReference"/>
        </w:rPr>
        <w:footnoteReference w:id="85"/>
      </w:r>
      <w:r w:rsidRPr="006346CB">
        <w:t xml:space="preserve"> SCDM also introduces a logistical bottleneck.</w:t>
      </w:r>
      <w:r>
        <w:rPr>
          <w:rStyle w:val="FootnoteReference"/>
        </w:rPr>
        <w:footnoteReference w:id="86"/>
      </w:r>
      <w:r w:rsidRPr="006346CB">
        <w:t xml:space="preserve"> Instead of an automatic prompt in electronic health records, a physician must be involved in every vaccination decision, which could reduce throughput in busy clinics.</w:t>
      </w:r>
      <w:r>
        <w:rPr>
          <w:rStyle w:val="FootnoteReference"/>
        </w:rPr>
        <w:footnoteReference w:id="87"/>
      </w:r>
      <w:r w:rsidRPr="006346CB">
        <w:t xml:space="preserve"> Finally, </w:t>
      </w:r>
      <w:r w:rsidR="00E01CBA">
        <w:t xml:space="preserve">while surveys indicate that </w:t>
      </w:r>
      <w:r w:rsidRPr="006346CB">
        <w:t xml:space="preserve">most parents in the </w:t>
      </w:r>
      <w:r w:rsidR="00730E55">
        <w:t xml:space="preserve">U.S. </w:t>
      </w:r>
      <w:r w:rsidRPr="006346CB">
        <w:t xml:space="preserve">do not believe there are </w:t>
      </w:r>
      <w:r w:rsidR="00E01CBA">
        <w:t xml:space="preserve">currently </w:t>
      </w:r>
      <w:r w:rsidRPr="006346CB">
        <w:t xml:space="preserve">too many </w:t>
      </w:r>
      <w:r w:rsidRPr="006346CB">
        <w:lastRenderedPageBreak/>
        <w:t>recommended vaccines</w:t>
      </w:r>
      <w:r w:rsidR="00730E55">
        <w:t>,</w:t>
      </w:r>
      <w:r w:rsidR="00E01CBA">
        <w:rPr>
          <w:rStyle w:val="FootnoteReference"/>
        </w:rPr>
        <w:footnoteReference w:id="88"/>
      </w:r>
      <w:r w:rsidRPr="006346CB">
        <w:t xml:space="preserve"> many states and expert groups, like the </w:t>
      </w:r>
      <w:r w:rsidR="00730E55">
        <w:t>AAP</w:t>
      </w:r>
      <w:r w:rsidRPr="006346CB">
        <w:t xml:space="preserve">, are making </w:t>
      </w:r>
      <w:r w:rsidR="00E01CBA">
        <w:t>conflicting</w:t>
      </w:r>
      <w:r w:rsidR="00E01CBA" w:rsidRPr="006346CB">
        <w:t xml:space="preserve"> </w:t>
      </w:r>
      <w:r w:rsidRPr="006346CB">
        <w:t>vaccine recommendations.</w:t>
      </w:r>
      <w:r>
        <w:rPr>
          <w:rStyle w:val="FootnoteReference"/>
        </w:rPr>
        <w:footnoteReference w:id="89"/>
      </w:r>
      <w:r w:rsidRPr="006346CB">
        <w:t xml:space="preserve"> Experts argue that these conflicting messages may only serve to confuse parents, which may further depress trust and childhood vaccine rates.</w:t>
      </w:r>
      <w:r>
        <w:rPr>
          <w:rStyle w:val="FootnoteReference"/>
        </w:rPr>
        <w:footnoteReference w:id="90"/>
      </w:r>
    </w:p>
    <w:p w14:paraId="0A656231" w14:textId="77777777" w:rsidR="0066301A" w:rsidRPr="00952DFE" w:rsidRDefault="00747200" w:rsidP="00416A33">
      <w:pPr>
        <w:spacing w:line="480" w:lineRule="auto"/>
        <w:ind w:firstLine="720"/>
        <w:rPr>
          <w:u w:val="single"/>
        </w:rPr>
      </w:pPr>
      <w:r w:rsidRPr="00952DFE">
        <w:rPr>
          <w:u w:val="single"/>
        </w:rPr>
        <w:t>Changes in Immunization Reporting Requirements</w:t>
      </w:r>
      <w:r w:rsidR="0066301A" w:rsidRPr="00952DFE">
        <w:rPr>
          <w:u w:val="single"/>
        </w:rPr>
        <w:t xml:space="preserve"> </w:t>
      </w:r>
    </w:p>
    <w:p w14:paraId="6E74B023" w14:textId="7264D02B" w:rsidR="009A1093" w:rsidRPr="009A1093" w:rsidRDefault="008275A5" w:rsidP="00151B5B">
      <w:pPr>
        <w:pStyle w:val="NoSpacing"/>
        <w:spacing w:line="480" w:lineRule="auto"/>
        <w:contextualSpacing/>
      </w:pPr>
      <w:r w:rsidRPr="008275A5">
        <w:tab/>
        <w:t xml:space="preserve">The Child Core Set and Adult Core Set are various measures of health care compiled by the Centers for Medicare &amp; Medicaid Services (CMS) through state reporting that track health outcomes for those enrolled in Medicaid and </w:t>
      </w:r>
      <w:r w:rsidR="00ED1815">
        <w:t xml:space="preserve">the </w:t>
      </w:r>
      <w:r w:rsidRPr="008275A5">
        <w:t>Children’s Health Insurance Program (CHIP).</w:t>
      </w:r>
      <w:r>
        <w:rPr>
          <w:rStyle w:val="FootnoteReference"/>
        </w:rPr>
        <w:footnoteReference w:id="91"/>
      </w:r>
      <w:r w:rsidRPr="008275A5">
        <w:t xml:space="preserve"> On December 30, 2025, CMS published </w:t>
      </w:r>
      <w:r w:rsidR="006F2F40">
        <w:t>policy guidance</w:t>
      </w:r>
      <w:r w:rsidRPr="008275A5">
        <w:t xml:space="preserve"> which removed four measures related to pediatric and prenatal immunization from the 2026 Child and Adult Core Sets.</w:t>
      </w:r>
      <w:r>
        <w:rPr>
          <w:rStyle w:val="FootnoteReference"/>
        </w:rPr>
        <w:footnoteReference w:id="92"/>
      </w:r>
      <w:r w:rsidRPr="008275A5">
        <w:t xml:space="preserve"> These measures are Childhood Immunization Status, Immunizations for Adolescents, Prenatal Immunization Status: Under Age 21, and Prenatal Immunization Status: Age 21 and Older.</w:t>
      </w:r>
      <w:r>
        <w:rPr>
          <w:rStyle w:val="FootnoteReference"/>
        </w:rPr>
        <w:footnoteReference w:id="93"/>
      </w:r>
      <w:r w:rsidRPr="008275A5">
        <w:t xml:space="preserve"> States may still voluntarily provide this information.</w:t>
      </w:r>
      <w:r>
        <w:rPr>
          <w:rStyle w:val="FootnoteReference"/>
        </w:rPr>
        <w:footnoteReference w:id="94"/>
      </w:r>
      <w:r w:rsidRPr="008275A5">
        <w:t xml:space="preserve"> Experts are concerned that the removal of these reporting requirements may make it more difficult to monitor and understand vaccination trends.</w:t>
      </w:r>
      <w:r>
        <w:rPr>
          <w:rStyle w:val="FootnoteReference"/>
        </w:rPr>
        <w:footnoteReference w:id="95"/>
      </w:r>
      <w:r w:rsidRPr="008275A5">
        <w:t xml:space="preserve"> In 2024, 44.3</w:t>
      </w:r>
      <w:r w:rsidR="00C85A04">
        <w:t xml:space="preserve"> percent</w:t>
      </w:r>
      <w:r w:rsidRPr="008275A5">
        <w:t xml:space="preserve"> of children aged zero to 18 years were covered under Medicaid in </w:t>
      </w:r>
      <w:r w:rsidR="00C85A04">
        <w:lastRenderedPageBreak/>
        <w:t>NYS</w:t>
      </w:r>
      <w:r w:rsidRPr="008275A5">
        <w:t>.</w:t>
      </w:r>
      <w:r>
        <w:rPr>
          <w:rStyle w:val="FootnoteReference"/>
        </w:rPr>
        <w:footnoteReference w:id="96"/>
      </w:r>
      <w:r w:rsidRPr="008275A5">
        <w:t xml:space="preserve"> Experts warn that even small changes to this program may be relevant to broader children’s health trends.</w:t>
      </w:r>
      <w:r>
        <w:rPr>
          <w:rStyle w:val="FootnoteReference"/>
        </w:rPr>
        <w:footnoteReference w:id="97"/>
      </w:r>
    </w:p>
    <w:p w14:paraId="0D9633B7" w14:textId="77777777" w:rsidR="000F424E" w:rsidRDefault="000F424E" w:rsidP="00151B5B">
      <w:pPr>
        <w:pStyle w:val="ListParagraph"/>
        <w:numPr>
          <w:ilvl w:val="0"/>
          <w:numId w:val="3"/>
        </w:numPr>
        <w:spacing w:line="480" w:lineRule="auto"/>
        <w:jc w:val="both"/>
        <w:rPr>
          <w:b/>
        </w:rPr>
      </w:pPr>
      <w:r w:rsidRPr="0066301A">
        <w:rPr>
          <w:b/>
        </w:rPr>
        <w:t>LEGISLATIVE ANALYSIS</w:t>
      </w:r>
    </w:p>
    <w:p w14:paraId="564AB6D7" w14:textId="2602B30D" w:rsidR="00DC5C32" w:rsidRPr="00151B5B" w:rsidRDefault="00EB2FBA" w:rsidP="006B577D">
      <w:pPr>
        <w:pStyle w:val="ListParagraph"/>
        <w:numPr>
          <w:ilvl w:val="4"/>
          <w:numId w:val="3"/>
        </w:numPr>
        <w:spacing w:line="480" w:lineRule="auto"/>
        <w:jc w:val="both"/>
        <w:rPr>
          <w:b/>
        </w:rPr>
      </w:pPr>
      <w:r w:rsidRPr="00151B5B">
        <w:rPr>
          <w:b/>
        </w:rPr>
        <w:t>Proposed Int. No. 196-A</w:t>
      </w:r>
      <w:r w:rsidR="0041694F">
        <w:rPr>
          <w:b/>
        </w:rPr>
        <w:t xml:space="preserve"> (Feliz)</w:t>
      </w:r>
    </w:p>
    <w:p w14:paraId="0B553B43" w14:textId="3184D490" w:rsidR="001B4225" w:rsidRPr="001B4225" w:rsidRDefault="001B4225" w:rsidP="00151B5B">
      <w:pPr>
        <w:spacing w:line="480" w:lineRule="auto"/>
        <w:contextualSpacing/>
        <w:rPr>
          <w:bCs/>
        </w:rPr>
      </w:pPr>
      <w:r>
        <w:rPr>
          <w:bCs/>
        </w:rPr>
        <w:tab/>
      </w:r>
      <w:r w:rsidR="001B7B0B" w:rsidRPr="006C6B46">
        <w:rPr>
          <w:bCs/>
        </w:rPr>
        <w:t xml:space="preserve">The </w:t>
      </w:r>
      <w:r w:rsidR="001B7B0B">
        <w:rPr>
          <w:bCs/>
        </w:rPr>
        <w:t xml:space="preserve">NYC </w:t>
      </w:r>
      <w:r w:rsidR="001B7B0B" w:rsidRPr="006C6B46">
        <w:rPr>
          <w:bCs/>
        </w:rPr>
        <w:t xml:space="preserve">Health Code </w:t>
      </w:r>
      <w:r w:rsidR="001B7B0B">
        <w:rPr>
          <w:bCs/>
        </w:rPr>
        <w:t>establishes</w:t>
      </w:r>
      <w:r w:rsidR="001B7B0B" w:rsidRPr="006C6B46">
        <w:rPr>
          <w:bCs/>
        </w:rPr>
        <w:t xml:space="preserve"> rules that are promulgated by the Board of Health (BOH), which operates and is nested under the purview of D</w:t>
      </w:r>
      <w:r w:rsidR="001B7B0B">
        <w:rPr>
          <w:bCs/>
        </w:rPr>
        <w:t>OHMH</w:t>
      </w:r>
      <w:r w:rsidR="001B7B0B" w:rsidRPr="006C6B46">
        <w:rPr>
          <w:bCs/>
        </w:rPr>
        <w:t>.</w:t>
      </w:r>
      <w:r w:rsidR="001B7B0B" w:rsidRPr="006C6B46">
        <w:rPr>
          <w:bCs/>
          <w:vertAlign w:val="superscript"/>
        </w:rPr>
        <w:footnoteReference w:id="98"/>
      </w:r>
      <w:r w:rsidR="001B7B0B" w:rsidRPr="006C6B46">
        <w:rPr>
          <w:bCs/>
        </w:rPr>
        <w:t xml:space="preserve"> </w:t>
      </w:r>
      <w:r w:rsidR="001B7B0B">
        <w:rPr>
          <w:bCs/>
        </w:rPr>
        <w:t>The NYC Health Code requires</w:t>
      </w:r>
      <w:r w:rsidR="001B7B0B" w:rsidRPr="006C6B46">
        <w:rPr>
          <w:bCs/>
        </w:rPr>
        <w:t xml:space="preserve"> restaurants that are a part of a chain of</w:t>
      </w:r>
      <w:r w:rsidR="001B7B0B">
        <w:rPr>
          <w:bCs/>
        </w:rPr>
        <w:t xml:space="preserve"> 15</w:t>
      </w:r>
      <w:r w:rsidR="001B7B0B" w:rsidRPr="006C6B46">
        <w:rPr>
          <w:bCs/>
        </w:rPr>
        <w:t xml:space="preserve"> or more locations to post a sodium warning icon for food items that contain 2,300 m</w:t>
      </w:r>
      <w:r w:rsidR="001B7B0B">
        <w:rPr>
          <w:bCs/>
        </w:rPr>
        <w:t>illi</w:t>
      </w:r>
      <w:r w:rsidR="001B7B0B" w:rsidRPr="006C6B46">
        <w:rPr>
          <w:bCs/>
        </w:rPr>
        <w:t>g</w:t>
      </w:r>
      <w:r w:rsidR="001B7B0B">
        <w:rPr>
          <w:bCs/>
        </w:rPr>
        <w:t>rams</w:t>
      </w:r>
      <w:r w:rsidR="001B7B0B" w:rsidRPr="006C6B46">
        <w:rPr>
          <w:bCs/>
        </w:rPr>
        <w:t xml:space="preserve"> </w:t>
      </w:r>
      <w:r w:rsidR="006F2F40">
        <w:rPr>
          <w:bCs/>
        </w:rPr>
        <w:t xml:space="preserve">or more </w:t>
      </w:r>
      <w:r w:rsidR="001B7B0B" w:rsidRPr="006C6B46">
        <w:rPr>
          <w:bCs/>
        </w:rPr>
        <w:t>of sodium.</w:t>
      </w:r>
      <w:r w:rsidR="001B7B0B" w:rsidRPr="006C6B46">
        <w:rPr>
          <w:bCs/>
          <w:vertAlign w:val="superscript"/>
        </w:rPr>
        <w:footnoteReference w:id="99"/>
      </w:r>
      <w:r w:rsidR="001B7B0B" w:rsidRPr="006C6B46">
        <w:rPr>
          <w:bCs/>
        </w:rPr>
        <w:t xml:space="preserve"> </w:t>
      </w:r>
      <w:r w:rsidR="001B7B0B">
        <w:rPr>
          <w:bCs/>
        </w:rPr>
        <w:t>2,300 milligrams of sodium</w:t>
      </w:r>
      <w:r w:rsidR="001B7B0B" w:rsidRPr="006C6B46">
        <w:rPr>
          <w:bCs/>
        </w:rPr>
        <w:t xml:space="preserve"> is an individual’s daily recommended sodium intake</w:t>
      </w:r>
      <w:r w:rsidR="001B7B0B">
        <w:rPr>
          <w:bCs/>
        </w:rPr>
        <w:t>, per the U.S. Food and Drug Administration (“FDA”)</w:t>
      </w:r>
      <w:r w:rsidR="001B7B0B" w:rsidRPr="006C6B46">
        <w:rPr>
          <w:bCs/>
        </w:rPr>
        <w:t>.</w:t>
      </w:r>
      <w:r w:rsidR="001B7B0B" w:rsidRPr="006C6B46">
        <w:rPr>
          <w:bCs/>
          <w:vertAlign w:val="superscript"/>
        </w:rPr>
        <w:footnoteReference w:id="100"/>
      </w:r>
    </w:p>
    <w:p w14:paraId="5FCF350E" w14:textId="34D77BAC" w:rsidR="00132295" w:rsidRDefault="001B4225" w:rsidP="00151B5B">
      <w:pPr>
        <w:spacing w:line="480" w:lineRule="auto"/>
        <w:contextualSpacing/>
        <w:rPr>
          <w:bCs/>
        </w:rPr>
      </w:pPr>
      <w:r w:rsidRPr="001B4225">
        <w:rPr>
          <w:bCs/>
        </w:rPr>
        <w:tab/>
      </w:r>
      <w:r w:rsidR="002B4C86">
        <w:rPr>
          <w:bCs/>
        </w:rPr>
        <w:t>Proposed Int. No. 196-A</w:t>
      </w:r>
      <w:r w:rsidRPr="001B4225">
        <w:rPr>
          <w:bCs/>
        </w:rPr>
        <w:t xml:space="preserve"> </w:t>
      </w:r>
      <w:r w:rsidR="002B4C86" w:rsidRPr="002B4C86">
        <w:rPr>
          <w:bCs/>
        </w:rPr>
        <w:t xml:space="preserve">would require food service establishments to display a red triangular symbol with the words </w:t>
      </w:r>
      <w:r w:rsidR="002669A9">
        <w:rPr>
          <w:bCs/>
        </w:rPr>
        <w:t>“</w:t>
      </w:r>
      <w:r w:rsidR="002B4C86" w:rsidRPr="002B4C86">
        <w:rPr>
          <w:bCs/>
        </w:rPr>
        <w:t>HIGH SODIUM</w:t>
      </w:r>
      <w:r w:rsidR="002669A9">
        <w:rPr>
          <w:bCs/>
        </w:rPr>
        <w:t>”</w:t>
      </w:r>
      <w:r w:rsidR="002B4C86" w:rsidRPr="002B4C86">
        <w:rPr>
          <w:bCs/>
        </w:rPr>
        <w:t xml:space="preserve"> in capital letters, bold type, and red color, displayed next to or below the triangle, on menus and menu boards or on a tag next to any food item that contains 1,800</w:t>
      </w:r>
      <w:r w:rsidR="006F2F40">
        <w:rPr>
          <w:bCs/>
        </w:rPr>
        <w:t xml:space="preserve"> or more</w:t>
      </w:r>
      <w:r w:rsidR="002B4C86" w:rsidRPr="002B4C86">
        <w:rPr>
          <w:bCs/>
        </w:rPr>
        <w:t xml:space="preserve"> milligrams of sodium. This bill would also require a warning statement about high intake of sodium to be displayed at the point of purchase.</w:t>
      </w:r>
      <w:r w:rsidR="00312990">
        <w:rPr>
          <w:bCs/>
        </w:rPr>
        <w:t xml:space="preserve"> The bill would take effect 90 days after it becomes law.</w:t>
      </w:r>
    </w:p>
    <w:p w14:paraId="2B942432" w14:textId="4183281D" w:rsidR="001B65E4" w:rsidRPr="001B65E4" w:rsidRDefault="001B65E4" w:rsidP="001B65E4">
      <w:pPr>
        <w:pStyle w:val="ListParagraph"/>
        <w:spacing w:line="480" w:lineRule="auto"/>
        <w:ind w:left="0"/>
        <w:jc w:val="both"/>
      </w:pPr>
      <w:r>
        <w:tab/>
        <w:t>Proposed Int. No. 196-A was previously heard</w:t>
      </w:r>
      <w:r w:rsidRPr="00F42055">
        <w:t xml:space="preserve"> as Int. No. </w:t>
      </w:r>
      <w:r>
        <w:t>1465-2025</w:t>
      </w:r>
      <w:r w:rsidRPr="00F42055">
        <w:t xml:space="preserve"> in Session 13 at a Committee on </w:t>
      </w:r>
      <w:r>
        <w:t>Health</w:t>
      </w:r>
      <w:r w:rsidRPr="00F42055">
        <w:t xml:space="preserve"> hearing on </w:t>
      </w:r>
      <w:r>
        <w:t>December 12</w:t>
      </w:r>
      <w:r w:rsidRPr="00F42055">
        <w:t>, 2025. The testimony from that hearing will be incorporated by reference into today's hearing testimony, for consideration by the Committee.</w:t>
      </w:r>
      <w:r>
        <w:t xml:space="preserve"> </w:t>
      </w:r>
    </w:p>
    <w:p w14:paraId="43EE539D" w14:textId="36587E01" w:rsidR="006B577D" w:rsidRPr="00151B5B" w:rsidRDefault="006B577D" w:rsidP="006B577D">
      <w:pPr>
        <w:pStyle w:val="ListParagraph"/>
        <w:numPr>
          <w:ilvl w:val="4"/>
          <w:numId w:val="3"/>
        </w:numPr>
        <w:spacing w:line="480" w:lineRule="auto"/>
        <w:rPr>
          <w:b/>
        </w:rPr>
      </w:pPr>
      <w:r w:rsidRPr="00151B5B">
        <w:rPr>
          <w:b/>
        </w:rPr>
        <w:lastRenderedPageBreak/>
        <w:t>Int. No. 260</w:t>
      </w:r>
      <w:r w:rsidR="0041694F">
        <w:rPr>
          <w:b/>
        </w:rPr>
        <w:t xml:space="preserve"> (Krishnan)</w:t>
      </w:r>
    </w:p>
    <w:p w14:paraId="290A887A" w14:textId="77777777" w:rsidR="006B577D" w:rsidRDefault="006B577D" w:rsidP="006B577D">
      <w:pPr>
        <w:spacing w:line="480" w:lineRule="auto"/>
        <w:rPr>
          <w:bCs/>
        </w:rPr>
      </w:pPr>
      <w:r>
        <w:rPr>
          <w:bCs/>
        </w:rPr>
        <w:tab/>
      </w:r>
      <w:r w:rsidRPr="008D5B40">
        <w:rPr>
          <w:bCs/>
        </w:rPr>
        <w:t>Children attending day care and pre-K through grade</w:t>
      </w:r>
      <w:r>
        <w:rPr>
          <w:bCs/>
        </w:rPr>
        <w:t xml:space="preserve"> 12</w:t>
      </w:r>
      <w:r w:rsidRPr="008D5B40">
        <w:rPr>
          <w:bCs/>
        </w:rPr>
        <w:t xml:space="preserve"> in </w:t>
      </w:r>
      <w:r>
        <w:rPr>
          <w:bCs/>
        </w:rPr>
        <w:t>NYS, including DOE schools,</w:t>
      </w:r>
      <w:r w:rsidRPr="008D5B40">
        <w:rPr>
          <w:bCs/>
        </w:rPr>
        <w:t xml:space="preserve"> must receive all required doses of vaccines on the recommended schedule in order to attend or remain in school.</w:t>
      </w:r>
      <w:r>
        <w:rPr>
          <w:rStyle w:val="FootnoteReference"/>
          <w:bCs/>
        </w:rPr>
        <w:footnoteReference w:id="101"/>
      </w:r>
      <w:r w:rsidRPr="008D5B40">
        <w:rPr>
          <w:bCs/>
        </w:rPr>
        <w:t xml:space="preserve"> This is true unless they have a valid medical exemption to immunization.</w:t>
      </w:r>
      <w:r>
        <w:rPr>
          <w:rStyle w:val="FootnoteReference"/>
          <w:bCs/>
        </w:rPr>
        <w:footnoteReference w:id="102"/>
      </w:r>
      <w:r w:rsidRPr="008D5B40">
        <w:rPr>
          <w:bCs/>
        </w:rPr>
        <w:t xml:space="preserve"> This includes all public, private, and religious schools.</w:t>
      </w:r>
      <w:r>
        <w:rPr>
          <w:rStyle w:val="FootnoteReference"/>
          <w:bCs/>
        </w:rPr>
        <w:footnoteReference w:id="103"/>
      </w:r>
      <w:r w:rsidRPr="008D5B40">
        <w:rPr>
          <w:bCs/>
        </w:rPr>
        <w:t xml:space="preserve"> There are no nonmedical exemptions to school vaccine requirements in NYS.</w:t>
      </w:r>
      <w:r>
        <w:rPr>
          <w:rStyle w:val="FootnoteReference"/>
          <w:bCs/>
        </w:rPr>
        <w:footnoteReference w:id="104"/>
      </w:r>
      <w:r w:rsidRPr="008D5B40">
        <w:rPr>
          <w:bCs/>
        </w:rPr>
        <w:t xml:space="preserve"> </w:t>
      </w:r>
    </w:p>
    <w:p w14:paraId="1F82B92D" w14:textId="77777777" w:rsidR="006B577D" w:rsidRDefault="006B577D" w:rsidP="006B577D">
      <w:pPr>
        <w:spacing w:line="480" w:lineRule="auto"/>
        <w:contextualSpacing/>
        <w:rPr>
          <w:bCs/>
        </w:rPr>
      </w:pPr>
      <w:r>
        <w:rPr>
          <w:bCs/>
        </w:rPr>
        <w:tab/>
      </w:r>
      <w:r w:rsidRPr="001F7C9D">
        <w:rPr>
          <w:bCs/>
        </w:rPr>
        <w:t>This bill would require DOE, in collaboration with DOHMH, to develop informational materials about vaccines, which the DOE would also be required to distribute to parents of all NYC public school students, including those enrolled in early childhood programs such as 3-K and pre-K. At a minimum, these materials must include general information on how vaccines work, their public health benefits, their safety, and where to access vaccines required for school attendance.</w:t>
      </w:r>
      <w:r>
        <w:rPr>
          <w:bCs/>
        </w:rPr>
        <w:t xml:space="preserve"> The bill would take effect immediately.</w:t>
      </w:r>
    </w:p>
    <w:p w14:paraId="49BA490C" w14:textId="7DA63B88" w:rsidR="001B65E4" w:rsidRDefault="001B65E4" w:rsidP="006B577D">
      <w:pPr>
        <w:spacing w:line="480" w:lineRule="auto"/>
        <w:contextualSpacing/>
        <w:rPr>
          <w:bCs/>
        </w:rPr>
      </w:pPr>
      <w:r>
        <w:tab/>
        <w:t xml:space="preserve">Int. No. 260 was previously heard as Int. No. 1337-2025 in Session 13 at a Committee on Education hearing on September 30, 2025. </w:t>
      </w:r>
      <w:r w:rsidRPr="00F42055">
        <w:t>The testimony from that hearing will be incorporated by reference into today's hearing testimony, for consideration by the Committee</w:t>
      </w:r>
      <w:r>
        <w:t>.</w:t>
      </w:r>
    </w:p>
    <w:p w14:paraId="6AC589F1" w14:textId="535DDF7A" w:rsidR="00B06CB2" w:rsidRPr="006B577D" w:rsidRDefault="00B06CB2" w:rsidP="00B06CB2">
      <w:pPr>
        <w:pStyle w:val="ListParagraph"/>
        <w:numPr>
          <w:ilvl w:val="4"/>
          <w:numId w:val="3"/>
        </w:numPr>
        <w:spacing w:line="480" w:lineRule="auto"/>
        <w:rPr>
          <w:bCs/>
        </w:rPr>
      </w:pPr>
      <w:r w:rsidRPr="006B577D">
        <w:rPr>
          <w:b/>
        </w:rPr>
        <w:t>Int. No.</w:t>
      </w:r>
      <w:r w:rsidR="00326944" w:rsidRPr="006B577D">
        <w:rPr>
          <w:b/>
        </w:rPr>
        <w:t xml:space="preserve">  547-</w:t>
      </w:r>
      <w:r w:rsidRPr="006B577D">
        <w:rPr>
          <w:b/>
        </w:rPr>
        <w:t>2026</w:t>
      </w:r>
      <w:r w:rsidR="00F72D2D" w:rsidRPr="006B577D">
        <w:rPr>
          <w:b/>
        </w:rPr>
        <w:t xml:space="preserve"> (Feliz)</w:t>
      </w:r>
    </w:p>
    <w:p w14:paraId="3749D9FD" w14:textId="77E0F509" w:rsidR="00917D74" w:rsidRDefault="001422A6" w:rsidP="008D73FC">
      <w:pPr>
        <w:spacing w:line="480" w:lineRule="auto"/>
        <w:contextualSpacing/>
        <w:rPr>
          <w:bCs/>
        </w:rPr>
      </w:pPr>
      <w:r>
        <w:tab/>
      </w:r>
      <w:r w:rsidR="00AD6548">
        <w:rPr>
          <w:bCs/>
        </w:rPr>
        <w:t xml:space="preserve">In 2023, the Council enacted </w:t>
      </w:r>
      <w:r w:rsidR="004D0E0B">
        <w:rPr>
          <w:bCs/>
        </w:rPr>
        <w:t>Local Law</w:t>
      </w:r>
      <w:r w:rsidR="00DE7046">
        <w:rPr>
          <w:bCs/>
        </w:rPr>
        <w:t xml:space="preserve"> (“L.L.”)</w:t>
      </w:r>
      <w:r w:rsidR="004D0E0B">
        <w:rPr>
          <w:bCs/>
        </w:rPr>
        <w:t xml:space="preserve"> 150</w:t>
      </w:r>
      <w:r w:rsidR="006845AB">
        <w:rPr>
          <w:bCs/>
        </w:rPr>
        <w:t xml:space="preserve">, which </w:t>
      </w:r>
      <w:r w:rsidR="002217AF" w:rsidRPr="002217AF">
        <w:rPr>
          <w:bCs/>
        </w:rPr>
        <w:t>require</w:t>
      </w:r>
      <w:r w:rsidR="002217AF">
        <w:rPr>
          <w:bCs/>
        </w:rPr>
        <w:t>s</w:t>
      </w:r>
      <w:r w:rsidR="002217AF" w:rsidRPr="002217AF">
        <w:rPr>
          <w:bCs/>
        </w:rPr>
        <w:t xml:space="preserve"> chain restaurants with 15 or more locations to conspicuously post added sugar icons and factual warning statements on menus or menu boards next to menu items and on or near food items on display that exceed a specified level of added sugars as determined by the U.S. Food &amp; Drug </w:t>
      </w:r>
      <w:r w:rsidR="002217AF" w:rsidRPr="002217AF">
        <w:rPr>
          <w:bCs/>
        </w:rPr>
        <w:lastRenderedPageBreak/>
        <w:t>Administration</w:t>
      </w:r>
      <w:r w:rsidR="00F92A4F">
        <w:rPr>
          <w:bCs/>
        </w:rPr>
        <w:t xml:space="preserve"> (</w:t>
      </w:r>
      <w:r w:rsidR="00DE7046">
        <w:rPr>
          <w:bCs/>
        </w:rPr>
        <w:t>“</w:t>
      </w:r>
      <w:r w:rsidR="00F92A4F">
        <w:rPr>
          <w:bCs/>
        </w:rPr>
        <w:t>FDA</w:t>
      </w:r>
      <w:r w:rsidR="00DE7046">
        <w:rPr>
          <w:bCs/>
        </w:rPr>
        <w:t>”</w:t>
      </w:r>
      <w:r w:rsidR="00F92A4F">
        <w:rPr>
          <w:bCs/>
        </w:rPr>
        <w:t>)</w:t>
      </w:r>
      <w:r w:rsidR="002217AF" w:rsidRPr="002217AF">
        <w:rPr>
          <w:bCs/>
        </w:rPr>
        <w:t xml:space="preserve"> or another amount specified by </w:t>
      </w:r>
      <w:r w:rsidR="00F92A4F">
        <w:rPr>
          <w:bCs/>
        </w:rPr>
        <w:t>DOHMH</w:t>
      </w:r>
      <w:r w:rsidR="002217AF" w:rsidRPr="002217AF">
        <w:rPr>
          <w:bCs/>
        </w:rPr>
        <w:t>.</w:t>
      </w:r>
      <w:r w:rsidR="005A111E">
        <w:rPr>
          <w:rStyle w:val="FootnoteReference"/>
          <w:bCs/>
        </w:rPr>
        <w:footnoteReference w:id="105"/>
      </w:r>
      <w:r w:rsidR="000136EB">
        <w:rPr>
          <w:bCs/>
        </w:rPr>
        <w:t xml:space="preserve"> DOHMH promulgated rules </w:t>
      </w:r>
      <w:r w:rsidR="00DE7046">
        <w:rPr>
          <w:bCs/>
        </w:rPr>
        <w:t>pursuant to L.L. 150 on October 4, 2025.</w:t>
      </w:r>
      <w:r w:rsidR="00DE7046">
        <w:rPr>
          <w:rStyle w:val="FootnoteReference"/>
          <w:bCs/>
        </w:rPr>
        <w:footnoteReference w:id="106"/>
      </w:r>
      <w:r w:rsidR="00DE7046">
        <w:rPr>
          <w:bCs/>
        </w:rPr>
        <w:t xml:space="preserve"> </w:t>
      </w:r>
      <w:r w:rsidR="00921E47">
        <w:rPr>
          <w:bCs/>
        </w:rPr>
        <w:t>The Health Code now requires</w:t>
      </w:r>
      <w:r w:rsidR="006D19E9" w:rsidRPr="002217AF">
        <w:rPr>
          <w:bCs/>
        </w:rPr>
        <w:t xml:space="preserve"> chain restaurants with 15 or more locations to post added sugar icons and factual warning statements on menus or menu boards next to menu items that exceed a specified level of added sugars as determined by the </w:t>
      </w:r>
      <w:r w:rsidR="004D0592">
        <w:rPr>
          <w:bCs/>
        </w:rPr>
        <w:t>FDA</w:t>
      </w:r>
      <w:r w:rsidR="00E96398">
        <w:rPr>
          <w:bCs/>
        </w:rPr>
        <w:t>.</w:t>
      </w:r>
      <w:r w:rsidR="00EF4DD1">
        <w:rPr>
          <w:rStyle w:val="FootnoteReference"/>
          <w:bCs/>
        </w:rPr>
        <w:footnoteReference w:id="107"/>
      </w:r>
      <w:r w:rsidR="00033A64">
        <w:rPr>
          <w:bCs/>
        </w:rPr>
        <w:t xml:space="preserve"> The Health Code requires restaurants to display a black and white</w:t>
      </w:r>
      <w:r w:rsidR="008A2134">
        <w:rPr>
          <w:bCs/>
        </w:rPr>
        <w:t xml:space="preserve"> triangular symbol</w:t>
      </w:r>
      <w:r w:rsidR="006F2F40">
        <w:rPr>
          <w:bCs/>
        </w:rPr>
        <w:t xml:space="preserve"> next to such items</w:t>
      </w:r>
      <w:r w:rsidR="008A2134">
        <w:rPr>
          <w:bCs/>
        </w:rPr>
        <w:t>.</w:t>
      </w:r>
      <w:r w:rsidR="008A2134">
        <w:rPr>
          <w:rStyle w:val="FootnoteReference"/>
          <w:bCs/>
        </w:rPr>
        <w:footnoteReference w:id="108"/>
      </w:r>
    </w:p>
    <w:p w14:paraId="58166DF1" w14:textId="7E92EECF" w:rsidR="001B1D81" w:rsidRDefault="00917D74" w:rsidP="00326944">
      <w:pPr>
        <w:spacing w:line="480" w:lineRule="auto"/>
        <w:contextualSpacing/>
        <w:rPr>
          <w:bCs/>
        </w:rPr>
      </w:pPr>
      <w:r>
        <w:rPr>
          <w:bCs/>
        </w:rPr>
        <w:tab/>
      </w:r>
      <w:r w:rsidR="008D73FC" w:rsidRPr="008D73FC">
        <w:rPr>
          <w:bCs/>
        </w:rPr>
        <w:t xml:space="preserve">This bill would require </w:t>
      </w:r>
      <w:r w:rsidR="008D73FC">
        <w:rPr>
          <w:bCs/>
        </w:rPr>
        <w:t>DOHMH</w:t>
      </w:r>
      <w:r w:rsidR="008D73FC" w:rsidRPr="008D73FC">
        <w:rPr>
          <w:bCs/>
        </w:rPr>
        <w:t xml:space="preserve"> to change the design of the required high-sugar warning symbol to be a red triangular symbol with the words </w:t>
      </w:r>
      <w:r w:rsidR="00F72566">
        <w:rPr>
          <w:bCs/>
        </w:rPr>
        <w:t>“</w:t>
      </w:r>
      <w:r w:rsidR="008D73FC" w:rsidRPr="008D73FC">
        <w:rPr>
          <w:bCs/>
        </w:rPr>
        <w:t>HIGH SUGAR</w:t>
      </w:r>
      <w:r w:rsidR="00F72566">
        <w:rPr>
          <w:bCs/>
        </w:rPr>
        <w:t>”</w:t>
      </w:r>
      <w:r w:rsidR="008D73FC" w:rsidRPr="008D73FC">
        <w:rPr>
          <w:bCs/>
        </w:rPr>
        <w:t xml:space="preserve"> in capital letters, bold type, and red color, displayed next to or below the triangle. The bill would also require DOHMH to increase the civil penalty for violating the law from $200 to $1,000.</w:t>
      </w:r>
      <w:r w:rsidR="003E0525">
        <w:rPr>
          <w:bCs/>
        </w:rPr>
        <w:t xml:space="preserve"> The bill would take effect 90 days after it becomes law.</w:t>
      </w:r>
    </w:p>
    <w:p w14:paraId="6D306F83" w14:textId="5F7FE985" w:rsidR="00326944" w:rsidRPr="00326944" w:rsidRDefault="006B577D" w:rsidP="006B577D">
      <w:pPr>
        <w:pStyle w:val="ListParagraph"/>
        <w:numPr>
          <w:ilvl w:val="4"/>
          <w:numId w:val="3"/>
        </w:numPr>
        <w:spacing w:line="480" w:lineRule="auto"/>
        <w:rPr>
          <w:bCs/>
        </w:rPr>
      </w:pPr>
      <w:r>
        <w:rPr>
          <w:b/>
        </w:rPr>
        <w:t>Int. No. 693</w:t>
      </w:r>
      <w:r w:rsidR="0041694F">
        <w:rPr>
          <w:b/>
        </w:rPr>
        <w:t xml:space="preserve"> (Dinowitz)</w:t>
      </w:r>
    </w:p>
    <w:p w14:paraId="6F849D6D" w14:textId="77777777" w:rsidR="00FD3676" w:rsidRDefault="005554D8" w:rsidP="00151B5B">
      <w:pPr>
        <w:pStyle w:val="NoSpacing"/>
        <w:spacing w:line="480" w:lineRule="auto"/>
        <w:contextualSpacing/>
        <w:jc w:val="both"/>
        <w:rPr>
          <w:rFonts w:eastAsia="Calibri" w:cs="Times New Roman"/>
          <w:szCs w:val="24"/>
        </w:rPr>
      </w:pPr>
      <w:r>
        <w:rPr>
          <w:rFonts w:eastAsia="Calibri" w:cs="Times New Roman"/>
          <w:szCs w:val="24"/>
        </w:rPr>
        <w:tab/>
      </w:r>
      <w:r w:rsidR="00841F48" w:rsidRPr="00A322BA">
        <w:rPr>
          <w:rFonts w:eastAsia="Calibri" w:cs="Times New Roman"/>
          <w:szCs w:val="24"/>
        </w:rPr>
        <w:t xml:space="preserve">This bill would require </w:t>
      </w:r>
      <w:r w:rsidR="00841F48" w:rsidRPr="00C30CB3">
        <w:rPr>
          <w:rFonts w:eastAsia="Calibri" w:cs="Times New Roman"/>
          <w:szCs w:val="24"/>
        </w:rPr>
        <w:t>the DOHMH</w:t>
      </w:r>
      <w:r>
        <w:rPr>
          <w:rFonts w:eastAsia="Calibri" w:cs="Times New Roman"/>
          <w:szCs w:val="24"/>
        </w:rPr>
        <w:t>,</w:t>
      </w:r>
      <w:r w:rsidR="00841F48" w:rsidRPr="00C30CB3">
        <w:rPr>
          <w:rFonts w:eastAsia="Calibri" w:cs="Times New Roman"/>
          <w:szCs w:val="24"/>
        </w:rPr>
        <w:t xml:space="preserve"> in collaboration with relevant agencies, to develop and implement a plan</w:t>
      </w:r>
      <w:r w:rsidR="00841F48">
        <w:rPr>
          <w:rFonts w:eastAsia="Calibri" w:cs="Times New Roman"/>
          <w:szCs w:val="24"/>
        </w:rPr>
        <w:t xml:space="preserve"> by no later than January 1, 2027</w:t>
      </w:r>
      <w:r w:rsidR="00841F48" w:rsidRPr="00C30CB3">
        <w:rPr>
          <w:rFonts w:eastAsia="Calibri" w:cs="Times New Roman"/>
          <w:szCs w:val="24"/>
        </w:rPr>
        <w:t xml:space="preserve"> to </w:t>
      </w:r>
      <w:r w:rsidR="00841F48">
        <w:rPr>
          <w:rFonts w:eastAsia="Calibri" w:cs="Times New Roman"/>
          <w:szCs w:val="24"/>
        </w:rPr>
        <w:t>educate the public regarding the benefits and importance of</w:t>
      </w:r>
      <w:r w:rsidR="00841F48" w:rsidRPr="00C30CB3">
        <w:rPr>
          <w:rFonts w:eastAsia="Calibri" w:cs="Times New Roman"/>
          <w:szCs w:val="24"/>
        </w:rPr>
        <w:t xml:space="preserve"> childhood </w:t>
      </w:r>
      <w:r w:rsidR="00841F48">
        <w:rPr>
          <w:rFonts w:eastAsia="Calibri" w:cs="Times New Roman"/>
          <w:szCs w:val="24"/>
        </w:rPr>
        <w:t xml:space="preserve">and adolescent </w:t>
      </w:r>
      <w:r w:rsidR="00841F48" w:rsidRPr="00C30CB3">
        <w:rPr>
          <w:rFonts w:eastAsia="Calibri" w:cs="Times New Roman"/>
          <w:szCs w:val="24"/>
        </w:rPr>
        <w:t>vaccination</w:t>
      </w:r>
      <w:r w:rsidR="00841F48">
        <w:rPr>
          <w:rFonts w:eastAsia="Calibri" w:cs="Times New Roman"/>
          <w:szCs w:val="24"/>
        </w:rPr>
        <w:t>s</w:t>
      </w:r>
      <w:r w:rsidR="00841F48" w:rsidRPr="00C30CB3">
        <w:rPr>
          <w:rFonts w:eastAsia="Calibri" w:cs="Times New Roman"/>
          <w:szCs w:val="24"/>
        </w:rPr>
        <w:t xml:space="preserve"> for individuals 18 years old or younger in accordance with recommendations </w:t>
      </w:r>
      <w:r w:rsidR="00841F48">
        <w:rPr>
          <w:rFonts w:eastAsia="Calibri" w:cs="Times New Roman"/>
          <w:szCs w:val="24"/>
        </w:rPr>
        <w:t>adopted by</w:t>
      </w:r>
      <w:r w:rsidR="00841F48" w:rsidRPr="00C30CB3">
        <w:rPr>
          <w:rFonts w:eastAsia="Calibri" w:cs="Times New Roman"/>
          <w:szCs w:val="24"/>
        </w:rPr>
        <w:t xml:space="preserve"> major medical organizations, including </w:t>
      </w:r>
      <w:r w:rsidR="0073171A">
        <w:rPr>
          <w:rFonts w:eastAsia="Calibri" w:cs="Times New Roman"/>
          <w:szCs w:val="24"/>
        </w:rPr>
        <w:t>AAP.</w:t>
      </w:r>
      <w:r w:rsidR="00841F48" w:rsidRPr="00C30CB3">
        <w:rPr>
          <w:rFonts w:eastAsia="Calibri" w:cs="Times New Roman"/>
          <w:szCs w:val="24"/>
        </w:rPr>
        <w:t xml:space="preserve"> The plan would include multiple outreach efforts to the public and to medical providers </w:t>
      </w:r>
      <w:r w:rsidR="00841F48">
        <w:rPr>
          <w:rFonts w:eastAsia="Calibri" w:cs="Times New Roman"/>
          <w:szCs w:val="24"/>
        </w:rPr>
        <w:t>regarding the benefits and importance of</w:t>
      </w:r>
      <w:r w:rsidR="00841F48" w:rsidRPr="00C30CB3">
        <w:rPr>
          <w:rFonts w:eastAsia="Calibri" w:cs="Times New Roman"/>
          <w:szCs w:val="24"/>
        </w:rPr>
        <w:t xml:space="preserve"> childhood and adolescent vaccinations.</w:t>
      </w:r>
      <w:r w:rsidR="00841F48">
        <w:rPr>
          <w:rFonts w:eastAsia="Calibri" w:cs="Times New Roman"/>
          <w:szCs w:val="24"/>
        </w:rPr>
        <w:t xml:space="preserve"> No later than January 1, 2028 and every January 1 thereafter, the DOHMH Commissioner would be required to submit a report on the implementation of the plan.</w:t>
      </w:r>
    </w:p>
    <w:p w14:paraId="515F741E" w14:textId="77777777" w:rsidR="001B65E4" w:rsidRPr="00151B5B" w:rsidRDefault="001B65E4" w:rsidP="00151B5B">
      <w:pPr>
        <w:pStyle w:val="NoSpacing"/>
        <w:spacing w:line="480" w:lineRule="auto"/>
        <w:contextualSpacing/>
        <w:jc w:val="both"/>
        <w:rPr>
          <w:rFonts w:eastAsia="Calibri" w:cs="Times New Roman"/>
          <w:szCs w:val="24"/>
        </w:rPr>
      </w:pPr>
    </w:p>
    <w:p w14:paraId="2178CE8C" w14:textId="77777777" w:rsidR="004867C7" w:rsidRPr="00151B5B" w:rsidRDefault="0088052B" w:rsidP="00151B5B">
      <w:pPr>
        <w:pStyle w:val="ListParagraph"/>
        <w:numPr>
          <w:ilvl w:val="0"/>
          <w:numId w:val="3"/>
        </w:numPr>
        <w:spacing w:line="480" w:lineRule="auto"/>
        <w:rPr>
          <w:b/>
        </w:rPr>
        <w:sectPr w:rsidR="004867C7" w:rsidRPr="00151B5B" w:rsidSect="008733BE">
          <w:headerReference w:type="default" r:id="rId9"/>
          <w:footerReference w:type="default" r:id="rId10"/>
          <w:pgSz w:w="12240" w:h="15840"/>
          <w:pgMar w:top="1440" w:right="1440" w:bottom="1440" w:left="1440" w:header="720" w:footer="433" w:gutter="0"/>
          <w:cols w:space="720"/>
        </w:sectPr>
      </w:pPr>
      <w:r w:rsidRPr="00504FE5">
        <w:rPr>
          <w:b/>
        </w:rPr>
        <w:lastRenderedPageBreak/>
        <w:t>CONCLUSION</w:t>
      </w:r>
    </w:p>
    <w:p w14:paraId="32988B4E" w14:textId="04C1D5BB" w:rsidR="002A2CA6" w:rsidRDefault="002A2CA6" w:rsidP="00CE2F74">
      <w:pPr>
        <w:spacing w:line="480" w:lineRule="auto"/>
        <w:ind w:firstLine="720"/>
        <w:contextualSpacing/>
      </w:pPr>
      <w:r>
        <w:t>The CDC</w:t>
      </w:r>
      <w:r w:rsidR="00A17E8E">
        <w:t>’s</w:t>
      </w:r>
      <w:r>
        <w:t xml:space="preserve"> recent changes to the recommended childhood immunization schedule represent a significant shift in national vaccine policy and have important implications for public health in </w:t>
      </w:r>
      <w:r w:rsidR="00E8068B">
        <w:t>NYC</w:t>
      </w:r>
      <w:r>
        <w:t xml:space="preserve">. While </w:t>
      </w:r>
      <w:r w:rsidR="00E8068B">
        <w:t>DOHMH</w:t>
      </w:r>
      <w:r>
        <w:t xml:space="preserve"> continues to recommend adherence to the full immunization schedules endorsed by </w:t>
      </w:r>
      <w:r w:rsidR="00795432">
        <w:t>AAP</w:t>
      </w:r>
      <w:r>
        <w:t xml:space="preserve">, childhood vaccination rates across the </w:t>
      </w:r>
      <w:r w:rsidR="000C1B6A">
        <w:t xml:space="preserve">city </w:t>
      </w:r>
      <w:r>
        <w:t>remain uneven, with persistent disparities by race, ethnicity, and geography.</w:t>
      </w:r>
      <w:r w:rsidR="00BE58FB">
        <w:rPr>
          <w:rStyle w:val="FootnoteReference"/>
        </w:rPr>
        <w:footnoteReference w:id="109"/>
      </w:r>
      <w:r>
        <w:t xml:space="preserve"> The Committee looks forward to hearing from DOHMH regarding its ongoing efforts to promote childhood immunization citywide, as well as the agency’s feedback on the legislation under consideration.</w:t>
      </w:r>
    </w:p>
    <w:p w14:paraId="2124FCE4" w14:textId="77777777" w:rsidR="008F1A17" w:rsidRDefault="008F1A17">
      <w:pPr>
        <w:spacing w:after="160" w:line="259" w:lineRule="auto"/>
      </w:pPr>
      <w:r>
        <w:br w:type="page"/>
      </w:r>
    </w:p>
    <w:p w14:paraId="23066A3B" w14:textId="77777777" w:rsidR="008F1A17" w:rsidRPr="008F1A17" w:rsidRDefault="008F1A17" w:rsidP="008F1A17">
      <w:pPr>
        <w:jc w:val="center"/>
      </w:pPr>
      <w:r w:rsidRPr="008F1A17">
        <w:lastRenderedPageBreak/>
        <w:t>Proposed Int. No. 196-A</w:t>
      </w:r>
    </w:p>
    <w:p w14:paraId="479C5974" w14:textId="77777777" w:rsidR="006B577D" w:rsidRDefault="006B577D" w:rsidP="006B577D">
      <w:pPr>
        <w:autoSpaceDE w:val="0"/>
        <w:autoSpaceDN w:val="0"/>
        <w:adjustRightInd w:val="0"/>
        <w:contextualSpacing/>
        <w:jc w:val="both"/>
        <w:rPr>
          <w:rFonts w:eastAsia="Calibri"/>
        </w:rPr>
      </w:pPr>
    </w:p>
    <w:p w14:paraId="7A453039" w14:textId="265748CE" w:rsidR="008F1A17" w:rsidRPr="008F1A17" w:rsidRDefault="006B577D" w:rsidP="008F1A17">
      <w:pPr>
        <w:autoSpaceDE w:val="0"/>
        <w:autoSpaceDN w:val="0"/>
        <w:adjustRightInd w:val="0"/>
        <w:contextualSpacing/>
        <w:jc w:val="both"/>
        <w:rPr>
          <w:rFonts w:eastAsia="Calibri"/>
        </w:rPr>
      </w:pPr>
      <w:r w:rsidRPr="00382547">
        <w:rPr>
          <w:rFonts w:eastAsia="Calibri"/>
        </w:rPr>
        <w:t xml:space="preserve">By Council Members </w:t>
      </w:r>
      <w:r>
        <w:rPr>
          <w:rFonts w:eastAsia="Calibri"/>
        </w:rPr>
        <w:t>Feliz, Schulman, Cabán, Marte, Joseph,  Louis, Brooks-Powers and Lee</w:t>
      </w:r>
    </w:p>
    <w:p w14:paraId="4B57EEEC" w14:textId="77777777" w:rsidR="008F1A17" w:rsidRPr="008F1A17" w:rsidRDefault="008F1A17" w:rsidP="008F1A17">
      <w:pPr>
        <w:jc w:val="center"/>
      </w:pPr>
    </w:p>
    <w:p w14:paraId="0775A316" w14:textId="77777777" w:rsidR="008F1A17" w:rsidRPr="008F1A17" w:rsidRDefault="008F1A17" w:rsidP="008F1A17">
      <w:pPr>
        <w:jc w:val="both"/>
        <w:rPr>
          <w:vanish/>
        </w:rPr>
      </w:pPr>
      <w:r w:rsidRPr="008F1A17">
        <w:rPr>
          <w:vanish/>
        </w:rPr>
        <w:t>..Title</w:t>
      </w:r>
    </w:p>
    <w:p w14:paraId="46FE442E" w14:textId="77777777" w:rsidR="008F1A17" w:rsidRPr="008F1A17" w:rsidRDefault="008F1A17" w:rsidP="008F1A17">
      <w:pPr>
        <w:jc w:val="both"/>
      </w:pPr>
      <w:r w:rsidRPr="008F1A17">
        <w:t>A Local Law to amend the administrative code of the city of New York, in relation to modifying the sodium warning at chain restaurants.</w:t>
      </w:r>
    </w:p>
    <w:p w14:paraId="238A739A" w14:textId="77777777" w:rsidR="008F1A17" w:rsidRPr="008F1A17" w:rsidRDefault="008F1A17" w:rsidP="008F1A17">
      <w:pPr>
        <w:jc w:val="both"/>
        <w:rPr>
          <w:vanish/>
        </w:rPr>
      </w:pPr>
      <w:r w:rsidRPr="008F1A17">
        <w:rPr>
          <w:vanish/>
        </w:rPr>
        <w:t>..Body</w:t>
      </w:r>
    </w:p>
    <w:p w14:paraId="11819B16" w14:textId="77777777" w:rsidR="008F1A17" w:rsidRPr="008F1A17" w:rsidRDefault="008F1A17" w:rsidP="008F1A17">
      <w:pPr>
        <w:jc w:val="both"/>
        <w:rPr>
          <w:u w:val="single"/>
        </w:rPr>
      </w:pPr>
    </w:p>
    <w:p w14:paraId="3427610D" w14:textId="77777777" w:rsidR="008F1A17" w:rsidRPr="008F1A17" w:rsidRDefault="008F1A17" w:rsidP="008F1A17">
      <w:pPr>
        <w:jc w:val="both"/>
      </w:pPr>
      <w:r w:rsidRPr="008F1A17">
        <w:rPr>
          <w:u w:val="single"/>
        </w:rPr>
        <w:t>Be it enacted by the Council as follows:</w:t>
      </w:r>
    </w:p>
    <w:p w14:paraId="65C30331" w14:textId="77777777" w:rsidR="008F1A17" w:rsidRPr="008F1A17" w:rsidRDefault="008F1A17" w:rsidP="008F1A17">
      <w:pPr>
        <w:ind w:firstLine="720"/>
        <w:jc w:val="both"/>
      </w:pPr>
    </w:p>
    <w:p w14:paraId="055E55FB" w14:textId="77777777" w:rsidR="008F1A17" w:rsidRPr="008F1A17" w:rsidRDefault="008F1A17" w:rsidP="008F1A17">
      <w:pPr>
        <w:spacing w:line="480" w:lineRule="auto"/>
        <w:sectPr w:rsidR="008F1A17" w:rsidRPr="008F1A17" w:rsidSect="008F1A17">
          <w:type w:val="continuous"/>
          <w:pgSz w:w="12240" w:h="15840"/>
          <w:pgMar w:top="1440" w:right="1440" w:bottom="1440" w:left="1440" w:header="720" w:footer="720" w:gutter="0"/>
          <w:cols w:space="720"/>
        </w:sectPr>
      </w:pPr>
    </w:p>
    <w:p w14:paraId="0F15363C" w14:textId="77777777" w:rsidR="008F1A17" w:rsidRPr="008F1A17" w:rsidRDefault="008F1A17" w:rsidP="008F1A17">
      <w:pPr>
        <w:spacing w:line="480" w:lineRule="auto"/>
        <w:ind w:firstLine="720"/>
        <w:jc w:val="both"/>
      </w:pPr>
      <w:r w:rsidRPr="008F1A17">
        <w:t xml:space="preserve">Section 1. Chapter 1 of title 17 of the administrative code of the city of New York is amended by adding a new section 17-199.18.1 to read as follows: </w:t>
      </w:r>
    </w:p>
    <w:p w14:paraId="3BCE4A2E" w14:textId="77777777" w:rsidR="008F1A17" w:rsidRPr="008F1A17" w:rsidRDefault="008F1A17" w:rsidP="008F1A17">
      <w:pPr>
        <w:spacing w:line="480" w:lineRule="auto"/>
        <w:ind w:right="14" w:firstLine="720"/>
        <w:jc w:val="both"/>
        <w:rPr>
          <w:u w:val="single"/>
        </w:rPr>
      </w:pPr>
      <w:r w:rsidRPr="008F1A17">
        <w:rPr>
          <w:u w:val="single"/>
        </w:rPr>
        <w:t>17-199.18.1 Sodium notifications. a. Definitions. For purposes of this section, the following terms have the following meanings:</w:t>
      </w:r>
    </w:p>
    <w:p w14:paraId="74008AE5" w14:textId="77777777" w:rsidR="008F1A17" w:rsidRPr="008F1A17" w:rsidRDefault="008F1A17" w:rsidP="008F1A17">
      <w:pPr>
        <w:spacing w:line="480" w:lineRule="auto"/>
        <w:ind w:right="14" w:firstLine="720"/>
        <w:jc w:val="both"/>
        <w:rPr>
          <w:u w:val="single"/>
        </w:rPr>
      </w:pPr>
      <w:r w:rsidRPr="008F1A17">
        <w:rPr>
          <w:u w:val="single"/>
        </w:rPr>
        <w:t>Covered establishment. The term "covered establishment" means any food service establishment inspected pursuant to the restaurant grading program established pursuant to subdivision a of section 81.51 of the New York city health code that is part of a chain with 15 or more locations doing business under the same name and offering for sale substantially the same food items.</w:t>
      </w:r>
    </w:p>
    <w:p w14:paraId="53DD5845" w14:textId="77777777" w:rsidR="008F1A17" w:rsidRPr="008F1A17" w:rsidRDefault="008F1A17" w:rsidP="008F1A17">
      <w:pPr>
        <w:spacing w:line="480" w:lineRule="auto"/>
        <w:ind w:right="14" w:firstLine="720"/>
        <w:jc w:val="both"/>
        <w:rPr>
          <w:u w:val="single"/>
        </w:rPr>
      </w:pPr>
      <w:r w:rsidRPr="008F1A17">
        <w:rPr>
          <w:u w:val="single"/>
        </w:rPr>
        <w:t>Food service establishment. The term “food service establishment” has the same meaning as in section 81.03 of the New York city health code.</w:t>
      </w:r>
    </w:p>
    <w:p w14:paraId="6D902A40" w14:textId="77777777" w:rsidR="008F1A17" w:rsidRPr="008F1A17" w:rsidRDefault="008F1A17" w:rsidP="008F1A17">
      <w:pPr>
        <w:spacing w:line="480" w:lineRule="auto"/>
        <w:ind w:right="14" w:firstLine="720"/>
        <w:jc w:val="both"/>
        <w:rPr>
          <w:u w:val="single"/>
        </w:rPr>
      </w:pPr>
      <w:r w:rsidRPr="008F1A17">
        <w:rPr>
          <w:u w:val="single"/>
        </w:rPr>
        <w:t>Icon. The term “icon” means a triangular warning symbol, displayed in a conspicuous red color, with the words HIGH SODIUM in capital letters, bold typeface, and red coloring displayed adjacent to or directly below the triangular symbol.</w:t>
      </w:r>
    </w:p>
    <w:p w14:paraId="4EB1DBA0" w14:textId="77777777" w:rsidR="008F1A17" w:rsidRPr="008F1A17" w:rsidRDefault="008F1A17" w:rsidP="008F1A17">
      <w:pPr>
        <w:spacing w:line="480" w:lineRule="auto"/>
        <w:ind w:right="14" w:firstLine="720"/>
        <w:jc w:val="both"/>
        <w:rPr>
          <w:u w:val="single"/>
        </w:rPr>
      </w:pPr>
      <w:r w:rsidRPr="008F1A17">
        <w:rPr>
          <w:u w:val="single"/>
        </w:rPr>
        <w:t>Menu or menu board. The term “menu or menu board” has the same meaning as in section 81.49 of the New York city health code.</w:t>
      </w:r>
    </w:p>
    <w:p w14:paraId="18436511" w14:textId="77777777" w:rsidR="008F1A17" w:rsidRPr="008F1A17" w:rsidRDefault="008F1A17" w:rsidP="008F1A17">
      <w:pPr>
        <w:spacing w:line="480" w:lineRule="auto"/>
        <w:ind w:right="14" w:firstLine="720"/>
        <w:jc w:val="both"/>
        <w:rPr>
          <w:u w:val="single"/>
        </w:rPr>
      </w:pPr>
      <w:r w:rsidRPr="008F1A17">
        <w:rPr>
          <w:u w:val="single"/>
        </w:rPr>
        <w:t>Point of purchase means any place where a customer may order food within an establishment.</w:t>
      </w:r>
    </w:p>
    <w:p w14:paraId="6C88EBC7" w14:textId="77777777" w:rsidR="008F1A17" w:rsidRPr="008F1A17" w:rsidRDefault="008F1A17" w:rsidP="008F1A17">
      <w:pPr>
        <w:spacing w:line="480" w:lineRule="auto"/>
        <w:ind w:left="125" w:right="14" w:firstLine="595"/>
        <w:jc w:val="both"/>
        <w:rPr>
          <w:u w:val="single"/>
        </w:rPr>
      </w:pPr>
      <w:r w:rsidRPr="008F1A17">
        <w:rPr>
          <w:u w:val="single"/>
        </w:rPr>
        <w:lastRenderedPageBreak/>
        <w:t>b. Warning statement. No later than 6 months after the effective date of the local law that added this section, the department shall issue a rule designating an icon comprised of a red and white equilateral triangle to be displayed in a clear and conspicuous manner on (i) menus or menu boards adjacent to the listed food items and (ii) on a tag next to any food item on display, on such food items that contain per discrete serving unit more than or equal to 1,800 milligrams of sodium. Such rule shall also provide a factual warning statement about high sodium intake which shall state that the icon “indicates that the sodium (salt) content of this item is higher than 1,800 mg. High sodium intake can increase blood pressure and risk of heart disease and stroke.”</w:t>
      </w:r>
    </w:p>
    <w:p w14:paraId="5BCA30BF" w14:textId="77777777" w:rsidR="008F1A17" w:rsidRPr="008F1A17" w:rsidRDefault="008F1A17" w:rsidP="008F1A17">
      <w:pPr>
        <w:spacing w:line="480" w:lineRule="auto"/>
        <w:ind w:right="14" w:firstLine="720"/>
        <w:jc w:val="both"/>
        <w:rPr>
          <w:u w:val="single"/>
        </w:rPr>
      </w:pPr>
      <w:r w:rsidRPr="008F1A17">
        <w:rPr>
          <w:u w:val="single"/>
        </w:rPr>
        <w:t>c. No later than 6 months after the department issues the rule required pursuant to subdivision b of this section, a covered establishment shall, for any food item that contains per discrete serving unit more than or equal to 1,800 milligrams of sodium, in accordance with rules promulgated by the department:</w:t>
      </w:r>
    </w:p>
    <w:p w14:paraId="76BCE82C" w14:textId="77777777" w:rsidR="008F1A17" w:rsidRPr="008F1A17" w:rsidRDefault="008F1A17" w:rsidP="008F1A17">
      <w:pPr>
        <w:spacing w:line="480" w:lineRule="auto"/>
        <w:ind w:right="14" w:firstLine="720"/>
        <w:jc w:val="both"/>
      </w:pPr>
      <w:r w:rsidRPr="008F1A17">
        <w:rPr>
          <w:u w:val="single"/>
        </w:rPr>
        <w:t>1. Post a clearly visible icon on a menu or menu board next to any such food item wherever such item appears, or on a tag next to any such food item on display; and</w:t>
      </w:r>
    </w:p>
    <w:p w14:paraId="4823E98D" w14:textId="77777777" w:rsidR="008F1A17" w:rsidRPr="008F1A17" w:rsidRDefault="008F1A17" w:rsidP="008F1A17">
      <w:pPr>
        <w:spacing w:line="480" w:lineRule="auto"/>
        <w:ind w:right="14" w:firstLine="720"/>
        <w:jc w:val="both"/>
      </w:pPr>
      <w:r w:rsidRPr="008F1A17">
        <w:rPr>
          <w:u w:val="single"/>
        </w:rPr>
        <w:t>2. Post the factual warning statement required pursuant to subdivision b of this section prominently and conspicuously at the point of purchase.</w:t>
      </w:r>
    </w:p>
    <w:p w14:paraId="24C3B2F2" w14:textId="77777777" w:rsidR="008F1A17" w:rsidRPr="008F1A17" w:rsidRDefault="008F1A17" w:rsidP="008F1A17">
      <w:pPr>
        <w:spacing w:line="480" w:lineRule="auto"/>
        <w:ind w:right="14" w:firstLine="720"/>
        <w:jc w:val="both"/>
      </w:pPr>
      <w:r w:rsidRPr="008F1A17">
        <w:rPr>
          <w:u w:val="single"/>
        </w:rPr>
        <w:t>d. Any covered establishment that violates any of the provisions of this section shall be liable for a civil penalty of $1000 for a violation thereof.</w:t>
      </w:r>
    </w:p>
    <w:p w14:paraId="02B4B6E6" w14:textId="77777777" w:rsidR="008F1A17" w:rsidRPr="008F1A17" w:rsidRDefault="008F1A17" w:rsidP="008F1A17">
      <w:pPr>
        <w:spacing w:line="480" w:lineRule="auto"/>
        <w:ind w:right="14" w:firstLine="720"/>
        <w:jc w:val="both"/>
      </w:pPr>
      <w:r w:rsidRPr="008F1A17">
        <w:rPr>
          <w:u w:val="single"/>
        </w:rPr>
        <w:t>e. No later than three months after the department issues the rule required by subdivision b of this section, the department shall conduct public outreach to educate covered establishments about the requirements of this local law.</w:t>
      </w:r>
    </w:p>
    <w:p w14:paraId="69D945E2" w14:textId="77777777" w:rsidR="008F1A17" w:rsidRPr="008F1A17" w:rsidRDefault="008F1A17" w:rsidP="008F1A17">
      <w:pPr>
        <w:spacing w:line="480" w:lineRule="auto"/>
        <w:ind w:right="14" w:firstLine="720"/>
        <w:jc w:val="both"/>
      </w:pPr>
      <w:r w:rsidRPr="008F1A17">
        <w:rPr>
          <w:u w:val="single"/>
        </w:rPr>
        <w:t>f. Nothing in this local law prohibits the department from requiring an icon or warning statement regarding additional foods, ingredients, or nutrients of concern.</w:t>
      </w:r>
    </w:p>
    <w:p w14:paraId="4F5ACF03" w14:textId="77777777" w:rsidR="008F1A17" w:rsidRPr="008F1A17" w:rsidRDefault="008F1A17" w:rsidP="008F1A17">
      <w:pPr>
        <w:spacing w:line="480" w:lineRule="auto"/>
        <w:ind w:firstLine="720"/>
        <w:jc w:val="both"/>
      </w:pPr>
      <w:r w:rsidRPr="008F1A17">
        <w:lastRenderedPageBreak/>
        <w:t>§ 2. This local law takes effect 90 days after it becomes law.</w:t>
      </w:r>
    </w:p>
    <w:p w14:paraId="69C483BF" w14:textId="77777777" w:rsidR="008F1A17" w:rsidRPr="008F1A17" w:rsidRDefault="008F1A17" w:rsidP="008F1A17">
      <w:pPr>
        <w:spacing w:line="480" w:lineRule="auto"/>
        <w:sectPr w:rsidR="008F1A17" w:rsidRPr="008F1A17" w:rsidSect="008F1A17">
          <w:type w:val="continuous"/>
          <w:pgSz w:w="12240" w:h="15840"/>
          <w:pgMar w:top="1440" w:right="1440" w:bottom="1440" w:left="1440" w:header="720" w:footer="720" w:gutter="0"/>
          <w:lnNumType w:countBy="1"/>
          <w:cols w:space="720"/>
        </w:sectPr>
      </w:pPr>
    </w:p>
    <w:p w14:paraId="32FF388A" w14:textId="77777777" w:rsidR="008F1A17" w:rsidRPr="008F1A17" w:rsidRDefault="008F1A17" w:rsidP="008F1A17">
      <w:pPr>
        <w:jc w:val="both"/>
        <w:rPr>
          <w:sz w:val="18"/>
          <w:szCs w:val="18"/>
        </w:rPr>
      </w:pPr>
    </w:p>
    <w:p w14:paraId="0428CD2B" w14:textId="77777777" w:rsidR="008F1A17" w:rsidRPr="008F1A17" w:rsidRDefault="008F1A17" w:rsidP="008F1A17">
      <w:pPr>
        <w:jc w:val="both"/>
        <w:rPr>
          <w:sz w:val="18"/>
          <w:szCs w:val="18"/>
        </w:rPr>
      </w:pPr>
      <w:r w:rsidRPr="008F1A17">
        <w:rPr>
          <w:sz w:val="18"/>
          <w:szCs w:val="18"/>
        </w:rPr>
        <w:t>LH/SOS</w:t>
      </w:r>
    </w:p>
    <w:p w14:paraId="2C53A597" w14:textId="77777777" w:rsidR="008F1A17" w:rsidRPr="008F1A17" w:rsidRDefault="008F1A17" w:rsidP="008F1A17">
      <w:pPr>
        <w:jc w:val="both"/>
        <w:rPr>
          <w:sz w:val="18"/>
          <w:szCs w:val="18"/>
        </w:rPr>
      </w:pPr>
      <w:r w:rsidRPr="008F1A17">
        <w:rPr>
          <w:sz w:val="18"/>
          <w:szCs w:val="18"/>
        </w:rPr>
        <w:t>LS #20153</w:t>
      </w:r>
    </w:p>
    <w:p w14:paraId="200469D3" w14:textId="77777777" w:rsidR="008F1A17" w:rsidRPr="008F1A17" w:rsidRDefault="008F1A17" w:rsidP="008F1A17">
      <w:pPr>
        <w:jc w:val="both"/>
        <w:rPr>
          <w:sz w:val="18"/>
          <w:szCs w:val="18"/>
        </w:rPr>
      </w:pPr>
      <w:r w:rsidRPr="008F1A17">
        <w:rPr>
          <w:sz w:val="18"/>
          <w:szCs w:val="18"/>
        </w:rPr>
        <w:t>Int. #1465-2025</w:t>
      </w:r>
    </w:p>
    <w:p w14:paraId="645C8091" w14:textId="77777777" w:rsidR="008F1A17" w:rsidRPr="008F1A17" w:rsidRDefault="008F1A17" w:rsidP="008F1A17">
      <w:pPr>
        <w:rPr>
          <w:sz w:val="18"/>
          <w:szCs w:val="18"/>
        </w:rPr>
      </w:pPr>
      <w:r w:rsidRPr="008F1A17">
        <w:rPr>
          <w:sz w:val="18"/>
          <w:szCs w:val="18"/>
        </w:rPr>
        <w:t>2/5/26 12:30pm</w:t>
      </w:r>
    </w:p>
    <w:p w14:paraId="4BBD2E5D" w14:textId="77777777" w:rsidR="002A2CA6" w:rsidRDefault="002A2CA6" w:rsidP="00151B5B">
      <w:pPr>
        <w:spacing w:line="480" w:lineRule="auto"/>
        <w:ind w:firstLine="720"/>
        <w:contextualSpacing/>
        <w:jc w:val="both"/>
      </w:pPr>
    </w:p>
    <w:p w14:paraId="33A89102" w14:textId="77777777" w:rsidR="00844E05" w:rsidRDefault="00844E05" w:rsidP="00151B5B">
      <w:pPr>
        <w:jc w:val="both"/>
      </w:pPr>
    </w:p>
    <w:p w14:paraId="64CFD0CB" w14:textId="77777777" w:rsidR="0063722E" w:rsidRDefault="0063722E" w:rsidP="00151B5B">
      <w:pPr>
        <w:jc w:val="both"/>
        <w:rPr>
          <w:sz w:val="18"/>
          <w:szCs w:val="18"/>
        </w:rPr>
      </w:pPr>
      <w:r>
        <w:rPr>
          <w:sz w:val="18"/>
          <w:szCs w:val="18"/>
        </w:rPr>
        <w:br w:type="page"/>
      </w:r>
    </w:p>
    <w:p w14:paraId="1389D823" w14:textId="77777777" w:rsidR="0037744D" w:rsidRPr="0037744D" w:rsidRDefault="0037744D" w:rsidP="0037744D">
      <w:pPr>
        <w:jc w:val="center"/>
      </w:pPr>
      <w:r w:rsidRPr="0037744D">
        <w:lastRenderedPageBreak/>
        <w:t>Int. No. 260</w:t>
      </w:r>
    </w:p>
    <w:p w14:paraId="2A3568C5" w14:textId="77777777" w:rsidR="0037744D" w:rsidRPr="0037744D" w:rsidRDefault="0037744D" w:rsidP="0037744D">
      <w:pPr>
        <w:jc w:val="center"/>
      </w:pPr>
    </w:p>
    <w:p w14:paraId="69803E6C" w14:textId="0E904022" w:rsidR="0037744D" w:rsidRDefault="006B577D" w:rsidP="0037744D">
      <w:pPr>
        <w:jc w:val="both"/>
      </w:pPr>
      <w:r w:rsidRPr="007A50D7">
        <w:t>By Council Members Krishnan, Dinowitz</w:t>
      </w:r>
      <w:r>
        <w:t xml:space="preserve">, </w:t>
      </w:r>
      <w:r w:rsidRPr="007A50D7">
        <w:t>Louis</w:t>
      </w:r>
      <w:r>
        <w:t>, Schulman, Banks and Lee</w:t>
      </w:r>
    </w:p>
    <w:p w14:paraId="2B5F2BF5" w14:textId="77777777" w:rsidR="006B577D" w:rsidRPr="0037744D" w:rsidRDefault="006B577D" w:rsidP="0037744D">
      <w:pPr>
        <w:jc w:val="both"/>
      </w:pPr>
    </w:p>
    <w:p w14:paraId="77E7A2B4" w14:textId="77777777" w:rsidR="0037744D" w:rsidRPr="0037744D" w:rsidRDefault="0037744D" w:rsidP="0037744D">
      <w:pPr>
        <w:jc w:val="both"/>
        <w:rPr>
          <w:vanish/>
        </w:rPr>
      </w:pPr>
      <w:r w:rsidRPr="0037744D">
        <w:rPr>
          <w:vanish/>
        </w:rPr>
        <w:t>..Title</w:t>
      </w:r>
    </w:p>
    <w:p w14:paraId="0C59BBB2" w14:textId="77777777" w:rsidR="0037744D" w:rsidRPr="0037744D" w:rsidRDefault="0037744D" w:rsidP="0037744D">
      <w:pPr>
        <w:jc w:val="both"/>
      </w:pPr>
      <w:r w:rsidRPr="0037744D">
        <w:t>A Local Law to amend the administrative code of the city of New York, in relation to distributing information on vaccines to parents of students in New York city schools</w:t>
      </w:r>
    </w:p>
    <w:p w14:paraId="69824925" w14:textId="77777777" w:rsidR="0037744D" w:rsidRPr="0037744D" w:rsidRDefault="0037744D" w:rsidP="0037744D">
      <w:pPr>
        <w:jc w:val="both"/>
        <w:rPr>
          <w:vanish/>
        </w:rPr>
      </w:pPr>
      <w:r w:rsidRPr="0037744D">
        <w:rPr>
          <w:vanish/>
        </w:rPr>
        <w:t>..Body</w:t>
      </w:r>
    </w:p>
    <w:p w14:paraId="463CF419" w14:textId="77777777" w:rsidR="0037744D" w:rsidRPr="0037744D" w:rsidRDefault="0037744D" w:rsidP="0037744D">
      <w:pPr>
        <w:jc w:val="both"/>
        <w:rPr>
          <w:u w:val="single"/>
        </w:rPr>
      </w:pPr>
    </w:p>
    <w:p w14:paraId="2B6D2CE3" w14:textId="77777777" w:rsidR="0037744D" w:rsidRPr="0037744D" w:rsidRDefault="0037744D" w:rsidP="0037744D">
      <w:pPr>
        <w:jc w:val="both"/>
      </w:pPr>
      <w:r w:rsidRPr="0037744D">
        <w:rPr>
          <w:u w:val="single"/>
        </w:rPr>
        <w:t>Be it enacted by the Council as follows:</w:t>
      </w:r>
    </w:p>
    <w:p w14:paraId="165FD716" w14:textId="77777777" w:rsidR="0037744D" w:rsidRPr="0037744D" w:rsidRDefault="0037744D" w:rsidP="0037744D">
      <w:pPr>
        <w:ind w:firstLine="720"/>
        <w:jc w:val="both"/>
      </w:pPr>
    </w:p>
    <w:p w14:paraId="75CB1991" w14:textId="77777777" w:rsidR="0037744D" w:rsidRPr="0037744D" w:rsidRDefault="0037744D" w:rsidP="0037744D">
      <w:pPr>
        <w:spacing w:line="480" w:lineRule="auto"/>
        <w:sectPr w:rsidR="0037744D" w:rsidRPr="0037744D" w:rsidSect="0037744D">
          <w:type w:val="continuous"/>
          <w:pgSz w:w="12240" w:h="15840"/>
          <w:pgMar w:top="1440" w:right="1440" w:bottom="1440" w:left="1440" w:header="720" w:footer="720" w:gutter="0"/>
          <w:cols w:space="720"/>
        </w:sectPr>
      </w:pPr>
    </w:p>
    <w:p w14:paraId="0BA0C0D2" w14:textId="77777777" w:rsidR="0037744D" w:rsidRPr="0037744D" w:rsidRDefault="0037744D" w:rsidP="0037744D">
      <w:pPr>
        <w:spacing w:line="480" w:lineRule="auto"/>
        <w:ind w:firstLine="720"/>
        <w:jc w:val="both"/>
      </w:pPr>
      <w:r w:rsidRPr="0037744D">
        <w:t>Section 1. Chapter 8 of title 21-A of the administrative code of the city of New York is amended by adding a new section 21-969.3 to read as follows:</w:t>
      </w:r>
    </w:p>
    <w:p w14:paraId="3111F68E" w14:textId="77777777" w:rsidR="0037744D" w:rsidRPr="0037744D" w:rsidRDefault="0037744D" w:rsidP="0037744D">
      <w:pPr>
        <w:spacing w:line="480" w:lineRule="auto"/>
        <w:ind w:firstLine="720"/>
        <w:jc w:val="both"/>
        <w:rPr>
          <w:u w:val="single"/>
        </w:rPr>
      </w:pPr>
      <w:r w:rsidRPr="0037744D">
        <w:rPr>
          <w:u w:val="single"/>
        </w:rPr>
        <w:t>§ 21-969.3 Distribution of informational materials on vaccines. a. Definitions. For purposes of this section, the following terms have the following meanings:</w:t>
      </w:r>
    </w:p>
    <w:p w14:paraId="192C7D41" w14:textId="77777777" w:rsidR="0037744D" w:rsidRPr="0037744D" w:rsidRDefault="0037744D" w:rsidP="0037744D">
      <w:pPr>
        <w:spacing w:line="480" w:lineRule="auto"/>
        <w:ind w:firstLine="720"/>
        <w:jc w:val="both"/>
        <w:rPr>
          <w:u w:val="single"/>
        </w:rPr>
      </w:pPr>
      <w:r w:rsidRPr="0037744D">
        <w:rPr>
          <w:u w:val="single"/>
        </w:rPr>
        <w:t>Home language. The term “home language” means the language most frequently used in the student's home, as indicated by the response provided by the parent or person in parental relation on the home language questionnaire as that term is defined in section 154-2.2 of title 8 of the New York codes, rules and regulations, regarding services for English language learners, or a successor provision.</w:t>
      </w:r>
    </w:p>
    <w:p w14:paraId="5ACDEE05" w14:textId="77777777" w:rsidR="0037744D" w:rsidRPr="0037744D" w:rsidRDefault="0037744D" w:rsidP="0037744D">
      <w:pPr>
        <w:spacing w:line="480" w:lineRule="auto"/>
        <w:ind w:firstLine="720"/>
        <w:jc w:val="both"/>
        <w:rPr>
          <w:u w:val="single"/>
        </w:rPr>
      </w:pPr>
      <w:r w:rsidRPr="0037744D">
        <w:rPr>
          <w:u w:val="single"/>
        </w:rPr>
        <w:t>Preschool. The term “preschool” means an early childhood education program operated by, or pursuant to a contract with, the department that serves children aged two to five not enrolled in kindergarten.</w:t>
      </w:r>
    </w:p>
    <w:p w14:paraId="293113A1" w14:textId="77777777" w:rsidR="0037744D" w:rsidRPr="0037744D" w:rsidRDefault="0037744D" w:rsidP="0037744D">
      <w:pPr>
        <w:spacing w:line="480" w:lineRule="auto"/>
        <w:ind w:firstLine="720"/>
        <w:jc w:val="both"/>
        <w:rPr>
          <w:u w:val="single"/>
        </w:rPr>
      </w:pPr>
      <w:r w:rsidRPr="0037744D">
        <w:rPr>
          <w:u w:val="single"/>
        </w:rPr>
        <w:t>School. The term “school” means a school of the city school district of the city of New York that contains any combination of grades from and including preschool through grade 12.</w:t>
      </w:r>
    </w:p>
    <w:p w14:paraId="5ACACAD9" w14:textId="77777777" w:rsidR="0037744D" w:rsidRPr="0037744D" w:rsidRDefault="0037744D" w:rsidP="0037744D">
      <w:pPr>
        <w:spacing w:line="480" w:lineRule="auto"/>
        <w:ind w:firstLine="720"/>
        <w:jc w:val="both"/>
        <w:rPr>
          <w:u w:val="single"/>
        </w:rPr>
      </w:pPr>
      <w:r w:rsidRPr="0037744D">
        <w:rPr>
          <w:u w:val="single"/>
        </w:rPr>
        <w:t>School-based health center. The term “school-based health center” means a facility located within a school building that provides on-site health care services to students within such school building and is operated by independent institutions, including, but not limited to, hospitals and community based organizations.</w:t>
      </w:r>
    </w:p>
    <w:p w14:paraId="30D4CBFD" w14:textId="77777777" w:rsidR="0037744D" w:rsidRPr="0037744D" w:rsidRDefault="0037744D" w:rsidP="0037744D">
      <w:pPr>
        <w:spacing w:line="480" w:lineRule="auto"/>
        <w:ind w:firstLine="720"/>
        <w:jc w:val="both"/>
        <w:rPr>
          <w:u w:val="single"/>
        </w:rPr>
      </w:pPr>
      <w:r w:rsidRPr="0037744D">
        <w:rPr>
          <w:u w:val="single"/>
        </w:rPr>
        <w:lastRenderedPageBreak/>
        <w:t>b. Development of materials. The department, in collaboration with the department of health and mental hygiene, shall develop informational materials about vaccines. At a minimum, such materials shall include:</w:t>
      </w:r>
      <w:r w:rsidRPr="0037744D">
        <w:rPr>
          <w:highlight w:val="yellow"/>
          <w:u w:val="single"/>
        </w:rPr>
        <w:t xml:space="preserve"> </w:t>
      </w:r>
    </w:p>
    <w:p w14:paraId="6EA264A0" w14:textId="77777777" w:rsidR="0037744D" w:rsidRPr="0037744D" w:rsidRDefault="0037744D" w:rsidP="0037744D">
      <w:pPr>
        <w:spacing w:line="480" w:lineRule="auto"/>
        <w:ind w:firstLine="720"/>
        <w:jc w:val="both"/>
        <w:rPr>
          <w:u w:val="single"/>
        </w:rPr>
      </w:pPr>
      <w:r w:rsidRPr="0037744D">
        <w:rPr>
          <w:u w:val="single"/>
        </w:rPr>
        <w:t>1. General information on how vaccines work;</w:t>
      </w:r>
    </w:p>
    <w:p w14:paraId="66FB4569" w14:textId="77777777" w:rsidR="0037744D" w:rsidRPr="0037744D" w:rsidRDefault="0037744D" w:rsidP="0037744D">
      <w:pPr>
        <w:spacing w:line="480" w:lineRule="auto"/>
        <w:ind w:firstLine="720"/>
        <w:jc w:val="both"/>
        <w:rPr>
          <w:u w:val="single"/>
        </w:rPr>
      </w:pPr>
      <w:r w:rsidRPr="0037744D">
        <w:rPr>
          <w:u w:val="single"/>
        </w:rPr>
        <w:t>2. Information on the public health benefits of vaccines, including their role in disease prevention;</w:t>
      </w:r>
    </w:p>
    <w:p w14:paraId="50A2AD94" w14:textId="77777777" w:rsidR="0037744D" w:rsidRPr="0037744D" w:rsidRDefault="0037744D" w:rsidP="0037744D">
      <w:pPr>
        <w:spacing w:line="480" w:lineRule="auto"/>
        <w:ind w:firstLine="720"/>
        <w:jc w:val="both"/>
        <w:rPr>
          <w:u w:val="single"/>
        </w:rPr>
      </w:pPr>
      <w:r w:rsidRPr="0037744D">
        <w:rPr>
          <w:u w:val="single"/>
        </w:rPr>
        <w:t>3. Information on the safety of vaccines, including information addressing common misconceptions about vaccine safety; and</w:t>
      </w:r>
    </w:p>
    <w:p w14:paraId="0BE9D7D7" w14:textId="77777777" w:rsidR="0037744D" w:rsidRPr="0037744D" w:rsidRDefault="0037744D" w:rsidP="0037744D">
      <w:pPr>
        <w:spacing w:line="480" w:lineRule="auto"/>
        <w:ind w:firstLine="720"/>
        <w:jc w:val="both"/>
        <w:rPr>
          <w:u w:val="single"/>
        </w:rPr>
      </w:pPr>
      <w:r w:rsidRPr="0037744D">
        <w:rPr>
          <w:u w:val="single"/>
        </w:rPr>
        <w:t>4. Information on locations where vaccines required for school attendance may be obtained, including city-run facilities.</w:t>
      </w:r>
    </w:p>
    <w:p w14:paraId="250A1B1D" w14:textId="77777777" w:rsidR="0037744D" w:rsidRPr="0037744D" w:rsidRDefault="0037744D" w:rsidP="0037744D">
      <w:pPr>
        <w:spacing w:line="480" w:lineRule="auto"/>
        <w:ind w:firstLine="720"/>
        <w:jc w:val="both"/>
        <w:rPr>
          <w:u w:val="single"/>
        </w:rPr>
      </w:pPr>
      <w:r w:rsidRPr="0037744D">
        <w:rPr>
          <w:u w:val="single"/>
        </w:rPr>
        <w:t>c. Distribution of materials. No later than 90 days after the effective date of the local law that added this section, and by September 1 in each academic year thereafter, the department shall distribute to each school, for distribution to the parents of each student attending such school, the materials developed pursuant to subdivision b of this section. Such distribution shall be in hard copy or electronically, if distribution of other similar documents occurs electronically, using plain and simple language. Hard copies of the materials shall also be made available in the main or central office of each school and in each school-based health center.</w:t>
      </w:r>
    </w:p>
    <w:p w14:paraId="0FBEF05E" w14:textId="77777777" w:rsidR="0037744D" w:rsidRPr="0037744D" w:rsidRDefault="0037744D" w:rsidP="0037744D">
      <w:pPr>
        <w:spacing w:line="480" w:lineRule="auto"/>
        <w:ind w:firstLine="720"/>
        <w:jc w:val="both"/>
        <w:rPr>
          <w:u w:val="single"/>
        </w:rPr>
      </w:pPr>
      <w:r w:rsidRPr="0037744D">
        <w:rPr>
          <w:u w:val="single"/>
        </w:rPr>
        <w:t>d. Language accessibility. The materials required to be distributed pursuant to subdivision c of this section shall be made available in English, the 9 most common home languages of students enrolled in schools, and any additional languages as determined by the department.</w:t>
      </w:r>
    </w:p>
    <w:p w14:paraId="2B180EE8" w14:textId="77777777" w:rsidR="0037744D" w:rsidRPr="0037744D" w:rsidRDefault="0037744D" w:rsidP="0037744D">
      <w:pPr>
        <w:spacing w:line="480" w:lineRule="auto"/>
        <w:ind w:firstLine="720"/>
        <w:jc w:val="both"/>
        <w:rPr>
          <w:u w:val="single"/>
        </w:rPr>
      </w:pPr>
      <w:r w:rsidRPr="0037744D">
        <w:t>§ 2. This local law takes effect immediately.</w:t>
      </w:r>
    </w:p>
    <w:p w14:paraId="55009C11" w14:textId="77777777" w:rsidR="0037744D" w:rsidRPr="0037744D" w:rsidRDefault="0037744D" w:rsidP="0037744D">
      <w:pPr>
        <w:jc w:val="both"/>
        <w:rPr>
          <w:sz w:val="18"/>
          <w:szCs w:val="18"/>
        </w:rPr>
      </w:pPr>
    </w:p>
    <w:p w14:paraId="13702473" w14:textId="77777777" w:rsidR="0037744D" w:rsidRPr="0037744D" w:rsidRDefault="0037744D" w:rsidP="0037744D">
      <w:pPr>
        <w:rPr>
          <w:sz w:val="18"/>
          <w:szCs w:val="18"/>
        </w:rPr>
        <w:sectPr w:rsidR="0037744D" w:rsidRPr="0037744D" w:rsidSect="0037744D">
          <w:type w:val="continuous"/>
          <w:pgSz w:w="12240" w:h="15840"/>
          <w:pgMar w:top="1440" w:right="1440" w:bottom="1440" w:left="1440" w:header="720" w:footer="720" w:gutter="0"/>
          <w:lnNumType w:countBy="1"/>
          <w:cols w:space="720"/>
        </w:sectPr>
      </w:pPr>
    </w:p>
    <w:p w14:paraId="5033154F" w14:textId="77777777" w:rsidR="0037744D" w:rsidRPr="0037744D" w:rsidRDefault="0037744D" w:rsidP="0037744D">
      <w:pPr>
        <w:jc w:val="both"/>
        <w:rPr>
          <w:sz w:val="18"/>
          <w:szCs w:val="18"/>
        </w:rPr>
      </w:pPr>
    </w:p>
    <w:p w14:paraId="52C5671E" w14:textId="77777777" w:rsidR="0037744D" w:rsidRPr="0037744D" w:rsidRDefault="0037744D" w:rsidP="0037744D">
      <w:pPr>
        <w:jc w:val="both"/>
        <w:rPr>
          <w:sz w:val="18"/>
          <w:szCs w:val="18"/>
        </w:rPr>
      </w:pPr>
      <w:r w:rsidRPr="0037744D">
        <w:rPr>
          <w:sz w:val="18"/>
          <w:szCs w:val="18"/>
        </w:rPr>
        <w:t>NJF</w:t>
      </w:r>
    </w:p>
    <w:p w14:paraId="7A11C78E" w14:textId="77777777" w:rsidR="0037744D" w:rsidRPr="0037744D" w:rsidRDefault="0037744D" w:rsidP="0037744D">
      <w:pPr>
        <w:jc w:val="both"/>
        <w:rPr>
          <w:sz w:val="18"/>
          <w:szCs w:val="18"/>
        </w:rPr>
      </w:pPr>
      <w:r w:rsidRPr="0037744D">
        <w:rPr>
          <w:sz w:val="18"/>
          <w:szCs w:val="18"/>
        </w:rPr>
        <w:t>LS #18433</w:t>
      </w:r>
    </w:p>
    <w:p w14:paraId="172194BD" w14:textId="77777777" w:rsidR="0037744D" w:rsidRPr="0037744D" w:rsidRDefault="0037744D" w:rsidP="0037744D">
      <w:pPr>
        <w:jc w:val="both"/>
        <w:rPr>
          <w:sz w:val="18"/>
          <w:szCs w:val="18"/>
        </w:rPr>
      </w:pPr>
      <w:r w:rsidRPr="0037744D">
        <w:rPr>
          <w:sz w:val="18"/>
          <w:szCs w:val="18"/>
        </w:rPr>
        <w:t>Int. #1337-2025</w:t>
      </w:r>
    </w:p>
    <w:p w14:paraId="7E53DDC3" w14:textId="77777777" w:rsidR="0037744D" w:rsidRPr="0037744D" w:rsidRDefault="0037744D" w:rsidP="00504FE5">
      <w:pPr>
        <w:rPr>
          <w:sz w:val="18"/>
          <w:szCs w:val="18"/>
        </w:rPr>
      </w:pPr>
      <w:r w:rsidRPr="0037744D">
        <w:rPr>
          <w:sz w:val="18"/>
          <w:szCs w:val="18"/>
        </w:rPr>
        <w:t>1/7/2026 4:52 PM</w:t>
      </w:r>
    </w:p>
    <w:p w14:paraId="3D0778B5" w14:textId="7BEE0304" w:rsidR="00822893" w:rsidRDefault="00326944" w:rsidP="00822893">
      <w:pPr>
        <w:jc w:val="center"/>
      </w:pPr>
      <w:r>
        <w:lastRenderedPageBreak/>
        <w:t>Int. No. 547</w:t>
      </w:r>
    </w:p>
    <w:p w14:paraId="44503083" w14:textId="77777777" w:rsidR="00326944" w:rsidRPr="00822893" w:rsidRDefault="00326944" w:rsidP="00822893">
      <w:pPr>
        <w:jc w:val="center"/>
      </w:pPr>
    </w:p>
    <w:p w14:paraId="62AE9B7B" w14:textId="6953BE8B" w:rsidR="00822893" w:rsidRPr="00822893" w:rsidRDefault="006B577D" w:rsidP="00822893">
      <w:pPr>
        <w:rPr>
          <w:rFonts w:eastAsia="Calibri"/>
        </w:rPr>
      </w:pPr>
      <w:r w:rsidRPr="00326944">
        <w:t>By Council Members Feliz, Cabán, Abreu, Schulman, Stevens</w:t>
      </w:r>
      <w:r>
        <w:t xml:space="preserve">, </w:t>
      </w:r>
      <w:r w:rsidRPr="00326944">
        <w:t>Louis</w:t>
      </w:r>
      <w:r>
        <w:t xml:space="preserve"> and Lee</w:t>
      </w:r>
    </w:p>
    <w:p w14:paraId="5F8FB4D1" w14:textId="77777777" w:rsidR="00822893" w:rsidRPr="00822893" w:rsidRDefault="00822893" w:rsidP="00822893"/>
    <w:p w14:paraId="2718AEC9" w14:textId="77777777" w:rsidR="00822893" w:rsidRPr="00822893" w:rsidRDefault="00822893" w:rsidP="00822893">
      <w:pPr>
        <w:jc w:val="both"/>
        <w:rPr>
          <w:vanish/>
        </w:rPr>
      </w:pPr>
      <w:r w:rsidRPr="00822893">
        <w:rPr>
          <w:vanish/>
        </w:rPr>
        <w:t>..Title</w:t>
      </w:r>
    </w:p>
    <w:p w14:paraId="78F62E55" w14:textId="77777777" w:rsidR="00822893" w:rsidRPr="00822893" w:rsidRDefault="00822893" w:rsidP="00822893">
      <w:pPr>
        <w:jc w:val="both"/>
      </w:pPr>
      <w:r w:rsidRPr="00822893">
        <w:t>A Local Law to amend the administrative code of the city of New York, in relation to amending the icon for added sugar warning labels and the amount for civil penalties</w:t>
      </w:r>
    </w:p>
    <w:p w14:paraId="175C6080" w14:textId="77777777" w:rsidR="00822893" w:rsidRPr="00822893" w:rsidRDefault="00822893" w:rsidP="00822893">
      <w:pPr>
        <w:jc w:val="both"/>
        <w:rPr>
          <w:vanish/>
        </w:rPr>
      </w:pPr>
      <w:r w:rsidRPr="00822893">
        <w:rPr>
          <w:vanish/>
        </w:rPr>
        <w:t>..Body</w:t>
      </w:r>
    </w:p>
    <w:p w14:paraId="4DEEDE73" w14:textId="77777777" w:rsidR="00822893" w:rsidRPr="00822893" w:rsidRDefault="00822893" w:rsidP="00822893">
      <w:pPr>
        <w:jc w:val="both"/>
        <w:rPr>
          <w:u w:val="single"/>
        </w:rPr>
      </w:pPr>
    </w:p>
    <w:p w14:paraId="5FD8B459" w14:textId="77777777" w:rsidR="00822893" w:rsidRPr="00822893" w:rsidRDefault="00822893" w:rsidP="00822893">
      <w:pPr>
        <w:jc w:val="both"/>
      </w:pPr>
      <w:r w:rsidRPr="00822893">
        <w:rPr>
          <w:u w:val="single"/>
        </w:rPr>
        <w:t>Be it enacted by the Council as follows:</w:t>
      </w:r>
    </w:p>
    <w:p w14:paraId="178B9A9E" w14:textId="77777777" w:rsidR="00822893" w:rsidRPr="00822893" w:rsidRDefault="00822893" w:rsidP="00822893">
      <w:pPr>
        <w:ind w:firstLine="720"/>
        <w:jc w:val="both"/>
      </w:pPr>
    </w:p>
    <w:p w14:paraId="61B76288" w14:textId="77777777" w:rsidR="00822893" w:rsidRPr="00822893" w:rsidRDefault="00822893" w:rsidP="00822893">
      <w:pPr>
        <w:spacing w:line="480" w:lineRule="auto"/>
        <w:sectPr w:rsidR="00822893" w:rsidRPr="00822893" w:rsidSect="00822893">
          <w:type w:val="continuous"/>
          <w:pgSz w:w="12240" w:h="15840"/>
          <w:pgMar w:top="1440" w:right="1440" w:bottom="1440" w:left="1440" w:header="720" w:footer="720" w:gutter="0"/>
          <w:cols w:space="720"/>
        </w:sectPr>
      </w:pPr>
    </w:p>
    <w:p w14:paraId="534BF204" w14:textId="77777777" w:rsidR="00822893" w:rsidRPr="00822893" w:rsidRDefault="00822893" w:rsidP="00822893">
      <w:pPr>
        <w:spacing w:line="480" w:lineRule="auto"/>
        <w:ind w:firstLine="720"/>
        <w:jc w:val="both"/>
      </w:pPr>
      <w:r w:rsidRPr="00822893">
        <w:t>Section 1. The definition of “icon” set forth in subdivision a of section 17-199.18 of the administrative code of the city of New York, as added by local law number 33 for the year 2022, is amended to read as follows:</w:t>
      </w:r>
    </w:p>
    <w:p w14:paraId="239071E6" w14:textId="77777777" w:rsidR="00822893" w:rsidRPr="00822893" w:rsidRDefault="00822893" w:rsidP="00822893">
      <w:pPr>
        <w:spacing w:line="480" w:lineRule="auto"/>
        <w:ind w:left="97" w:right="14" w:firstLine="623"/>
        <w:rPr>
          <w:u w:val="single"/>
        </w:rPr>
      </w:pPr>
      <w:r w:rsidRPr="00822893">
        <w:t xml:space="preserve">Icon. The term "icon" means [a graphic or illustrated image, with or without accompanying text.] </w:t>
      </w:r>
      <w:r w:rsidRPr="00822893">
        <w:rPr>
          <w:u w:val="single"/>
        </w:rPr>
        <w:t>a triangular warning symbol, displayed in a conspicuous red color, with the words HIGH SUGAR in capital letters, bold typeface, and red coloring displayed adjacent to or directly below the triangular symbol.</w:t>
      </w:r>
    </w:p>
    <w:p w14:paraId="776E545A" w14:textId="77777777" w:rsidR="00822893" w:rsidRPr="00822893" w:rsidRDefault="00822893" w:rsidP="00822893">
      <w:pPr>
        <w:spacing w:line="480" w:lineRule="auto"/>
        <w:ind w:left="139" w:right="14" w:firstLine="581"/>
      </w:pPr>
      <w:r w:rsidRPr="00822893">
        <w:t>§ 2. Subdivision d of section 17-199.18 of the administrative code of the city of New York, as amended by local law number 150 for the year 2023, is amended to read as follows:</w:t>
      </w:r>
    </w:p>
    <w:p w14:paraId="5EA6EBB1" w14:textId="77777777" w:rsidR="00822893" w:rsidRPr="00822893" w:rsidRDefault="00822893" w:rsidP="00822893">
      <w:pPr>
        <w:spacing w:line="480" w:lineRule="auto"/>
        <w:ind w:left="5" w:right="14" w:firstLine="715"/>
      </w:pPr>
      <w:r w:rsidRPr="00822893">
        <w:t xml:space="preserve">d. Any covered establishment that violates any of the provisions of this section shall be liable for a civil penalty of [$200] </w:t>
      </w:r>
      <w:r w:rsidRPr="00822893">
        <w:rPr>
          <w:u w:val="single"/>
        </w:rPr>
        <w:t>$1000</w:t>
      </w:r>
      <w:r w:rsidRPr="00822893">
        <w:t xml:space="preserve"> for a violation thereof.</w:t>
      </w:r>
    </w:p>
    <w:p w14:paraId="44ACCDD3" w14:textId="77777777" w:rsidR="00822893" w:rsidRPr="00822893" w:rsidRDefault="00822893" w:rsidP="00822893">
      <w:pPr>
        <w:spacing w:line="480" w:lineRule="auto"/>
        <w:ind w:firstLine="720"/>
        <w:jc w:val="both"/>
        <w:rPr>
          <w:u w:val="single"/>
        </w:rPr>
      </w:pPr>
      <w:r w:rsidRPr="00822893">
        <w:t>§ 3. This local law takes effect 90 days after it becomes law.</w:t>
      </w:r>
    </w:p>
    <w:p w14:paraId="34610067" w14:textId="77777777" w:rsidR="00822893" w:rsidRPr="00822893" w:rsidRDefault="00822893" w:rsidP="00822893">
      <w:pPr>
        <w:rPr>
          <w:sz w:val="18"/>
          <w:szCs w:val="18"/>
        </w:rPr>
        <w:sectPr w:rsidR="00822893" w:rsidRPr="00822893" w:rsidSect="00822893">
          <w:type w:val="continuous"/>
          <w:pgSz w:w="12240" w:h="15840"/>
          <w:pgMar w:top="1440" w:right="1440" w:bottom="1440" w:left="1440" w:header="720" w:footer="720" w:gutter="0"/>
          <w:lnNumType w:countBy="1"/>
          <w:cols w:space="720"/>
        </w:sectPr>
      </w:pPr>
    </w:p>
    <w:p w14:paraId="085946B7" w14:textId="77777777" w:rsidR="00822893" w:rsidRPr="00822893" w:rsidRDefault="00822893" w:rsidP="00822893">
      <w:pPr>
        <w:jc w:val="both"/>
        <w:rPr>
          <w:sz w:val="18"/>
          <w:szCs w:val="18"/>
        </w:rPr>
      </w:pPr>
      <w:r w:rsidRPr="00822893">
        <w:rPr>
          <w:sz w:val="18"/>
          <w:szCs w:val="18"/>
        </w:rPr>
        <w:t>SOS</w:t>
      </w:r>
    </w:p>
    <w:p w14:paraId="63FA7F0B" w14:textId="77777777" w:rsidR="00822893" w:rsidRPr="00822893" w:rsidRDefault="00822893" w:rsidP="00822893">
      <w:pPr>
        <w:jc w:val="both"/>
        <w:rPr>
          <w:sz w:val="18"/>
          <w:szCs w:val="18"/>
        </w:rPr>
      </w:pPr>
      <w:r w:rsidRPr="00822893">
        <w:rPr>
          <w:sz w:val="18"/>
          <w:szCs w:val="18"/>
        </w:rPr>
        <w:t>LS #21006/20995</w:t>
      </w:r>
    </w:p>
    <w:p w14:paraId="1BE8BB6A" w14:textId="77777777" w:rsidR="00822893" w:rsidRPr="00822893" w:rsidRDefault="00822893" w:rsidP="00822893">
      <w:pPr>
        <w:rPr>
          <w:sz w:val="18"/>
          <w:szCs w:val="18"/>
        </w:rPr>
      </w:pPr>
      <w:r w:rsidRPr="00822893">
        <w:rPr>
          <w:sz w:val="18"/>
          <w:szCs w:val="18"/>
        </w:rPr>
        <w:t>2/5/26 12:30pm</w:t>
      </w:r>
    </w:p>
    <w:p w14:paraId="4A6A92FF" w14:textId="77777777" w:rsidR="00822893" w:rsidRPr="00822893" w:rsidRDefault="00822893" w:rsidP="00822893">
      <w:pPr>
        <w:rPr>
          <w:sz w:val="18"/>
          <w:szCs w:val="18"/>
        </w:rPr>
      </w:pPr>
    </w:p>
    <w:p w14:paraId="75961108" w14:textId="77777777" w:rsidR="00822893" w:rsidRDefault="00822893">
      <w:pPr>
        <w:spacing w:after="160" w:line="259" w:lineRule="auto"/>
        <w:rPr>
          <w:sz w:val="18"/>
          <w:szCs w:val="18"/>
        </w:rPr>
      </w:pPr>
      <w:r>
        <w:rPr>
          <w:sz w:val="18"/>
          <w:szCs w:val="18"/>
        </w:rPr>
        <w:br w:type="page"/>
      </w:r>
    </w:p>
    <w:p w14:paraId="19185C4A" w14:textId="47049835" w:rsidR="0038658B" w:rsidRPr="0038658B" w:rsidRDefault="002D1561" w:rsidP="0038658B">
      <w:pPr>
        <w:jc w:val="center"/>
      </w:pPr>
      <w:r>
        <w:lastRenderedPageBreak/>
        <w:t>Int. No. 693</w:t>
      </w:r>
    </w:p>
    <w:p w14:paraId="51C9966F" w14:textId="601E2A18" w:rsidR="0038658B" w:rsidRDefault="0038658B" w:rsidP="0038658B">
      <w:pPr>
        <w:autoSpaceDE w:val="0"/>
        <w:autoSpaceDN w:val="0"/>
        <w:adjustRightInd w:val="0"/>
        <w:jc w:val="both"/>
      </w:pPr>
    </w:p>
    <w:p w14:paraId="2082453B" w14:textId="4BEA9230" w:rsidR="00326944" w:rsidRPr="0038658B" w:rsidRDefault="002D1561" w:rsidP="0038658B">
      <w:pPr>
        <w:autoSpaceDE w:val="0"/>
        <w:autoSpaceDN w:val="0"/>
        <w:adjustRightInd w:val="0"/>
        <w:contextualSpacing/>
        <w:jc w:val="both"/>
        <w:rPr>
          <w:rFonts w:eastAsia="Calibri"/>
        </w:rPr>
      </w:pPr>
      <w:r w:rsidRPr="009111AB">
        <w:t>By Council Member</w:t>
      </w:r>
      <w:r>
        <w:t>s</w:t>
      </w:r>
      <w:r w:rsidRPr="009111AB">
        <w:t xml:space="preserve"> Dinowitz</w:t>
      </w:r>
      <w:r>
        <w:t>, Schulman and Louis</w:t>
      </w:r>
    </w:p>
    <w:p w14:paraId="3D9D01CE" w14:textId="77777777" w:rsidR="0038658B" w:rsidRPr="0038658B" w:rsidRDefault="0038658B" w:rsidP="0038658B">
      <w:pPr>
        <w:jc w:val="center"/>
      </w:pPr>
    </w:p>
    <w:p w14:paraId="4B5B21BD" w14:textId="77777777" w:rsidR="0038658B" w:rsidRPr="0038658B" w:rsidRDefault="0038658B" w:rsidP="0038658B">
      <w:pPr>
        <w:jc w:val="both"/>
        <w:rPr>
          <w:vanish/>
        </w:rPr>
      </w:pPr>
      <w:r w:rsidRPr="0038658B">
        <w:rPr>
          <w:vanish/>
        </w:rPr>
        <w:t>..Title</w:t>
      </w:r>
    </w:p>
    <w:p w14:paraId="022A2AB4" w14:textId="77777777" w:rsidR="0038658B" w:rsidRPr="0038658B" w:rsidRDefault="0038658B" w:rsidP="0038658B">
      <w:pPr>
        <w:jc w:val="both"/>
        <w:rPr>
          <w:bCs/>
        </w:rPr>
      </w:pPr>
      <w:r w:rsidRPr="0038658B">
        <w:t>A Local Law to amend the administrative code of the city of New York, in relation to</w:t>
      </w:r>
      <w:r w:rsidRPr="0038658B">
        <w:rPr>
          <w:bCs/>
        </w:rPr>
        <w:t xml:space="preserve"> childhood and adolescent vaccinations</w:t>
      </w:r>
    </w:p>
    <w:p w14:paraId="26B4E31B" w14:textId="77777777" w:rsidR="0038658B" w:rsidRPr="0038658B" w:rsidRDefault="0038658B" w:rsidP="0038658B">
      <w:pPr>
        <w:jc w:val="both"/>
        <w:rPr>
          <w:vanish/>
        </w:rPr>
      </w:pPr>
      <w:r w:rsidRPr="0038658B">
        <w:rPr>
          <w:bCs/>
          <w:vanish/>
        </w:rPr>
        <w:t>..Body</w:t>
      </w:r>
    </w:p>
    <w:p w14:paraId="047940A1" w14:textId="77777777" w:rsidR="0038658B" w:rsidRPr="0038658B" w:rsidRDefault="0038658B" w:rsidP="0038658B">
      <w:pPr>
        <w:jc w:val="both"/>
        <w:rPr>
          <w:u w:val="single"/>
        </w:rPr>
      </w:pPr>
    </w:p>
    <w:p w14:paraId="3AB12559" w14:textId="77777777" w:rsidR="0038658B" w:rsidRPr="0038658B" w:rsidRDefault="0038658B" w:rsidP="0038658B">
      <w:pPr>
        <w:jc w:val="both"/>
      </w:pPr>
      <w:r w:rsidRPr="0038658B">
        <w:rPr>
          <w:u w:val="single"/>
        </w:rPr>
        <w:t>Be it enacted by the Council as follows:</w:t>
      </w:r>
    </w:p>
    <w:p w14:paraId="38F29E66" w14:textId="77777777" w:rsidR="0038658B" w:rsidRPr="0038658B" w:rsidRDefault="0038658B" w:rsidP="0038658B">
      <w:pPr>
        <w:ind w:firstLine="720"/>
        <w:jc w:val="both"/>
      </w:pPr>
    </w:p>
    <w:p w14:paraId="4EB38B71" w14:textId="77777777" w:rsidR="0038658B" w:rsidRPr="0038658B" w:rsidRDefault="0038658B" w:rsidP="0038658B">
      <w:pPr>
        <w:spacing w:line="480" w:lineRule="auto"/>
        <w:ind w:firstLine="720"/>
        <w:jc w:val="both"/>
        <w:sectPr w:rsidR="0038658B" w:rsidRPr="0038658B" w:rsidSect="0038658B">
          <w:footerReference w:type="default" r:id="rId11"/>
          <w:footerReference w:type="first" r:id="rId12"/>
          <w:type w:val="continuous"/>
          <w:pgSz w:w="12240" w:h="15840"/>
          <w:pgMar w:top="1440" w:right="1440" w:bottom="1440" w:left="1440" w:header="720" w:footer="720" w:gutter="0"/>
          <w:cols w:space="720"/>
          <w:docGrid w:linePitch="360"/>
        </w:sectPr>
      </w:pPr>
    </w:p>
    <w:p w14:paraId="58F94677" w14:textId="77777777" w:rsidR="0038658B" w:rsidRPr="0038658B" w:rsidRDefault="0038658B" w:rsidP="0038658B">
      <w:pPr>
        <w:spacing w:line="480" w:lineRule="auto"/>
        <w:ind w:firstLine="720"/>
        <w:jc w:val="both"/>
      </w:pPr>
      <w:r w:rsidRPr="0038658B">
        <w:t>Section 1. Chapter 1 of title 17 of the administrative code of the city of New York is amended by adding a new section 17-199.4.1 to read as follows:</w:t>
      </w:r>
    </w:p>
    <w:p w14:paraId="6E1129F4" w14:textId="77777777" w:rsidR="0038658B" w:rsidRPr="0038658B" w:rsidRDefault="0038658B" w:rsidP="0038658B">
      <w:pPr>
        <w:spacing w:line="480" w:lineRule="auto"/>
        <w:ind w:firstLine="720"/>
        <w:jc w:val="both"/>
        <w:rPr>
          <w:bCs/>
          <w:u w:val="single"/>
        </w:rPr>
      </w:pPr>
      <w:r w:rsidRPr="0038658B">
        <w:rPr>
          <w:u w:val="single"/>
        </w:rPr>
        <w:t xml:space="preserve">§ 17-199.4.1 Education on </w:t>
      </w:r>
      <w:r w:rsidRPr="0038658B">
        <w:rPr>
          <w:bCs/>
          <w:u w:val="single"/>
        </w:rPr>
        <w:t>childhood vaccination.</w:t>
      </w:r>
      <w:r w:rsidRPr="0038658B">
        <w:rPr>
          <w:color w:val="0D0D0D"/>
          <w:u w:val="single"/>
        </w:rPr>
        <w:t xml:space="preserve"> a. Public education and outreach </w:t>
      </w:r>
      <w:r w:rsidRPr="0038658B">
        <w:rPr>
          <w:bCs/>
          <w:u w:val="single"/>
        </w:rPr>
        <w:t>plan. No later than January 1, 2027, the department, in coordination with relevant agencies, shall develop and implement a plan to educate the public on the benefits and importance of childhood and adolescent vaccinations for individuals 18 years old or younger in accordance with recommendations adopted by the American Academy of Pediatrics, American Academy of Family Physicians, American College of Obstetricians and Gynecologists, American College of Physicians, the Advisory Committee On Immunization Practices, or other similar nationally or internationally recognized nongovernmental scientific organizations. Such plan shall include, at minimum, the establishment of the following:</w:t>
      </w:r>
    </w:p>
    <w:p w14:paraId="238376F8" w14:textId="77777777" w:rsidR="0038658B" w:rsidRPr="0038658B" w:rsidRDefault="0038658B" w:rsidP="0038658B">
      <w:pPr>
        <w:spacing w:line="480" w:lineRule="auto"/>
        <w:ind w:firstLine="720"/>
        <w:jc w:val="both"/>
        <w:rPr>
          <w:bCs/>
          <w:u w:val="single"/>
        </w:rPr>
      </w:pPr>
      <w:r w:rsidRPr="0038658B">
        <w:rPr>
          <w:bCs/>
          <w:u w:val="single"/>
        </w:rPr>
        <w:t>1. Culturally and linguistically competent public education and outreach campaigns on the benefits and importance of childhood and adolescent vaccinations in ZIP codes determined by the department to have the lowest childhood or adolescent vaccination rates;</w:t>
      </w:r>
    </w:p>
    <w:p w14:paraId="0577CF5B" w14:textId="77777777" w:rsidR="0038658B" w:rsidRPr="0038658B" w:rsidRDefault="0038658B" w:rsidP="0038658B">
      <w:pPr>
        <w:spacing w:line="480" w:lineRule="auto"/>
        <w:ind w:firstLine="720"/>
        <w:jc w:val="both"/>
        <w:rPr>
          <w:bCs/>
          <w:u w:val="single"/>
        </w:rPr>
      </w:pPr>
      <w:r w:rsidRPr="0038658B">
        <w:rPr>
          <w:bCs/>
          <w:u w:val="single"/>
        </w:rPr>
        <w:t>2. Culturally and linguistically competent outreach efforts to relevant medical providers and practices in the city on the benefits and importance of childhood and adolescent vaccinations;</w:t>
      </w:r>
    </w:p>
    <w:p w14:paraId="605A7F91" w14:textId="77777777" w:rsidR="0038658B" w:rsidRPr="0038658B" w:rsidRDefault="0038658B" w:rsidP="0038658B">
      <w:pPr>
        <w:spacing w:line="480" w:lineRule="auto"/>
        <w:ind w:firstLine="720"/>
        <w:jc w:val="both"/>
        <w:rPr>
          <w:bCs/>
          <w:u w:val="single"/>
        </w:rPr>
      </w:pPr>
      <w:r w:rsidRPr="0038658B">
        <w:rPr>
          <w:bCs/>
          <w:u w:val="single"/>
        </w:rPr>
        <w:t xml:space="preserve">3. Culturally and linguistically competent outreach efforts through social media platforms and other means as deemed appropriate by the department to individuals 14 to 17 years of age </w:t>
      </w:r>
      <w:r w:rsidRPr="0038658B">
        <w:rPr>
          <w:bCs/>
          <w:u w:val="single"/>
        </w:rPr>
        <w:lastRenderedPageBreak/>
        <w:t>informing them of the importance of vaccination, how to find a healthcare provider for more information on vaccinations, and guidance on how to talk to a parent, guardian, or consenting adult about obtaining any such vaccination in consultation with a medical provider; and</w:t>
      </w:r>
    </w:p>
    <w:p w14:paraId="0ADCCFA5" w14:textId="77777777" w:rsidR="0038658B" w:rsidRPr="0038658B" w:rsidRDefault="0038658B" w:rsidP="0038658B">
      <w:pPr>
        <w:spacing w:line="480" w:lineRule="auto"/>
        <w:ind w:firstLine="720"/>
        <w:jc w:val="both"/>
        <w:rPr>
          <w:bCs/>
          <w:u w:val="single"/>
        </w:rPr>
      </w:pPr>
      <w:r w:rsidRPr="0038658B">
        <w:rPr>
          <w:bCs/>
          <w:u w:val="single"/>
        </w:rPr>
        <w:t>4. An online or web-based portal with information on locations, including locations operated by or contracted with the department, where individuals may obtain any such recommended vaccinations or related information, and accompanying information regarding whether any such locations provide any such vaccinations regardless of insurance status.</w:t>
      </w:r>
    </w:p>
    <w:p w14:paraId="5416AAFB" w14:textId="77777777" w:rsidR="0038658B" w:rsidRPr="0038658B" w:rsidRDefault="0038658B" w:rsidP="0038658B">
      <w:pPr>
        <w:spacing w:line="480" w:lineRule="auto"/>
        <w:contextualSpacing/>
        <w:jc w:val="both"/>
        <w:rPr>
          <w:bCs/>
          <w:u w:val="single"/>
        </w:rPr>
      </w:pPr>
      <w:r w:rsidRPr="0038658B">
        <w:rPr>
          <w:bCs/>
        </w:rPr>
        <w:tab/>
      </w:r>
      <w:r w:rsidRPr="0038658B">
        <w:rPr>
          <w:bCs/>
          <w:u w:val="single"/>
        </w:rPr>
        <w:t xml:space="preserve">b. Publication. The commissioner shall post the informational materials created through the plan established under subdivision a of this section on the department’s website and on the 311 citizen center website in English and in the designated citywide languages, as such term is defined in section 23-1101. </w:t>
      </w:r>
    </w:p>
    <w:p w14:paraId="04AA4850" w14:textId="77777777" w:rsidR="0038658B" w:rsidRPr="0038658B" w:rsidRDefault="0038658B" w:rsidP="0038658B">
      <w:pPr>
        <w:spacing w:line="480" w:lineRule="auto"/>
        <w:ind w:firstLine="720"/>
        <w:jc w:val="both"/>
        <w:rPr>
          <w:bCs/>
          <w:u w:val="single"/>
        </w:rPr>
      </w:pPr>
      <w:r w:rsidRPr="0038658B">
        <w:rPr>
          <w:bCs/>
          <w:u w:val="single"/>
        </w:rPr>
        <w:t>c. Report. No later than January 1, 2028, and every January 1 thereafter, the commissioner shall submit to the mayor and the speaker of the council and post on its website, a report on the implementation of the plan established pursuant to subdivision a of this section. Such report shall include a description of the strategies used by the department during the prior year to implement such plan, as well as a detailed description of the strategies employed by the department to maintain or increase childhood and adolescent vaccination rates. Such report may include policy recommendations to improve childhood and adolescent vaccination rates.</w:t>
      </w:r>
    </w:p>
    <w:p w14:paraId="13A4D279" w14:textId="77777777" w:rsidR="0038658B" w:rsidRPr="0038658B" w:rsidRDefault="0038658B" w:rsidP="0038658B">
      <w:pPr>
        <w:spacing w:line="480" w:lineRule="auto"/>
        <w:ind w:firstLine="720"/>
        <w:jc w:val="both"/>
        <w:rPr>
          <w:u w:val="single"/>
        </w:rPr>
        <w:sectPr w:rsidR="0038658B" w:rsidRPr="0038658B" w:rsidSect="0038658B">
          <w:type w:val="continuous"/>
          <w:pgSz w:w="12240" w:h="15840"/>
          <w:pgMar w:top="1440" w:right="1440" w:bottom="1440" w:left="1440" w:header="720" w:footer="720" w:gutter="0"/>
          <w:lnNumType w:countBy="1"/>
          <w:cols w:space="720"/>
          <w:titlePg/>
          <w:docGrid w:linePitch="360"/>
        </w:sectPr>
      </w:pPr>
      <w:r w:rsidRPr="0038658B">
        <w:t>§ 2. This local law takes effect immediately.</w:t>
      </w:r>
    </w:p>
    <w:p w14:paraId="352B2248" w14:textId="77777777" w:rsidR="0038658B" w:rsidRPr="0038658B" w:rsidRDefault="0038658B" w:rsidP="0038658B">
      <w:pPr>
        <w:jc w:val="both"/>
        <w:rPr>
          <w:sz w:val="18"/>
          <w:szCs w:val="18"/>
        </w:rPr>
      </w:pPr>
      <w:r w:rsidRPr="0038658B">
        <w:rPr>
          <w:sz w:val="18"/>
          <w:szCs w:val="18"/>
        </w:rPr>
        <w:t>CP</w:t>
      </w:r>
    </w:p>
    <w:p w14:paraId="52CEF215" w14:textId="77777777" w:rsidR="0038658B" w:rsidRPr="0038658B" w:rsidRDefault="0038658B" w:rsidP="0038658B">
      <w:pPr>
        <w:jc w:val="both"/>
        <w:rPr>
          <w:sz w:val="18"/>
          <w:szCs w:val="18"/>
        </w:rPr>
      </w:pPr>
      <w:r w:rsidRPr="0038658B">
        <w:rPr>
          <w:sz w:val="18"/>
          <w:szCs w:val="18"/>
        </w:rPr>
        <w:t>LS #16266</w:t>
      </w:r>
    </w:p>
    <w:p w14:paraId="6829E5DF" w14:textId="77777777" w:rsidR="0038658B" w:rsidRPr="0038658B" w:rsidRDefault="0038658B" w:rsidP="0038658B">
      <w:pPr>
        <w:rPr>
          <w:sz w:val="18"/>
          <w:szCs w:val="18"/>
        </w:rPr>
      </w:pPr>
      <w:r w:rsidRPr="0038658B">
        <w:rPr>
          <w:sz w:val="18"/>
          <w:szCs w:val="18"/>
        </w:rPr>
        <w:t>2/9/2026 3:44 PM</w:t>
      </w:r>
    </w:p>
    <w:p w14:paraId="2A64787A" w14:textId="77777777" w:rsidR="0089319B" w:rsidRDefault="0089319B">
      <w:pPr>
        <w:spacing w:after="160" w:line="259" w:lineRule="auto"/>
        <w:rPr>
          <w:sz w:val="18"/>
          <w:szCs w:val="18"/>
        </w:rPr>
      </w:pPr>
      <w:r>
        <w:rPr>
          <w:sz w:val="18"/>
          <w:szCs w:val="18"/>
        </w:rPr>
        <w:br w:type="page"/>
      </w:r>
    </w:p>
    <w:p w14:paraId="3FE42B72" w14:textId="77777777" w:rsidR="002D1561" w:rsidRPr="002D1561" w:rsidRDefault="002D1561" w:rsidP="002D1561">
      <w:pPr>
        <w:jc w:val="center"/>
        <w:rPr>
          <w:kern w:val="2"/>
        </w:rPr>
      </w:pPr>
      <w:r w:rsidRPr="002D1561">
        <w:rPr>
          <w:kern w:val="2"/>
        </w:rPr>
        <w:lastRenderedPageBreak/>
        <w:t>Proposed Res. No. 243-A</w:t>
      </w:r>
    </w:p>
    <w:p w14:paraId="2F63973F" w14:textId="77777777" w:rsidR="002D1561" w:rsidRPr="002D1561" w:rsidRDefault="002D1561" w:rsidP="002D1561">
      <w:pPr>
        <w:rPr>
          <w:kern w:val="2"/>
        </w:rPr>
      </w:pPr>
    </w:p>
    <w:p w14:paraId="1AAE15C5" w14:textId="77777777" w:rsidR="002D1561" w:rsidRPr="002D1561" w:rsidRDefault="002D1561" w:rsidP="002D1561">
      <w:pPr>
        <w:rPr>
          <w:kern w:val="2"/>
        </w:rPr>
      </w:pPr>
      <w:r w:rsidRPr="002D1561">
        <w:rPr>
          <w:kern w:val="2"/>
        </w:rPr>
        <w:t>Resolution calling on the United States Department of Health and Human Services to increase the number of mpox vaccines available and to prevent future outbreaks by ensuring that the number of vaccines sent to New York City reflects its proportion of nationwide cases</w:t>
      </w:r>
    </w:p>
    <w:p w14:paraId="2385DDCA" w14:textId="77777777" w:rsidR="002D1561" w:rsidRPr="002D1561" w:rsidRDefault="002D1561" w:rsidP="002D1561">
      <w:pPr>
        <w:rPr>
          <w:kern w:val="2"/>
        </w:rPr>
      </w:pPr>
    </w:p>
    <w:p w14:paraId="619A6333" w14:textId="77777777" w:rsidR="002D1561" w:rsidRPr="002D1561" w:rsidRDefault="002D1561" w:rsidP="002D1561">
      <w:pPr>
        <w:rPr>
          <w:kern w:val="2"/>
        </w:rPr>
      </w:pPr>
      <w:r w:rsidRPr="002D1561">
        <w:rPr>
          <w:kern w:val="2"/>
        </w:rPr>
        <w:t>By Council Members Hudson, Ossé, Cabán, Schulman, and Carr</w:t>
      </w:r>
    </w:p>
    <w:p w14:paraId="7ADC8D0A" w14:textId="77777777" w:rsidR="002D1561" w:rsidRPr="002D1561" w:rsidRDefault="002D1561" w:rsidP="002D1561">
      <w:pPr>
        <w:rPr>
          <w:kern w:val="2"/>
        </w:rPr>
      </w:pPr>
    </w:p>
    <w:p w14:paraId="7A1BBFF3" w14:textId="229D71EA" w:rsidR="002D1561" w:rsidRPr="002D1561" w:rsidRDefault="002D1561" w:rsidP="002D1561">
      <w:pPr>
        <w:spacing w:line="480" w:lineRule="auto"/>
        <w:rPr>
          <w:kern w:val="2"/>
        </w:rPr>
      </w:pPr>
      <w:r w:rsidRPr="002D1561">
        <w:rPr>
          <w:kern w:val="2"/>
        </w:rPr>
        <w:tab/>
        <w:t xml:space="preserve">Whereas, Mpox or monkeypox is a viral disease caused by the mpox virus, a zoonotic </w:t>
      </w:r>
      <w:r w:rsidR="0041694F" w:rsidRPr="002D1561">
        <w:rPr>
          <w:kern w:val="2"/>
        </w:rPr>
        <w:t>orthopoxviral</w:t>
      </w:r>
      <w:r w:rsidRPr="002D1561">
        <w:rPr>
          <w:kern w:val="2"/>
        </w:rPr>
        <w:t>, that has gained increased global attention due to recent outbreaks; and</w:t>
      </w:r>
    </w:p>
    <w:p w14:paraId="159FCF48" w14:textId="77777777" w:rsidR="002D1561" w:rsidRPr="002D1561" w:rsidRDefault="002D1561" w:rsidP="002D1561">
      <w:pPr>
        <w:spacing w:line="480" w:lineRule="auto"/>
        <w:rPr>
          <w:kern w:val="2"/>
        </w:rPr>
      </w:pPr>
      <w:r w:rsidRPr="002D1561">
        <w:rPr>
          <w:kern w:val="2"/>
        </w:rPr>
        <w:tab/>
        <w:t>Whereas, According to the Centers for Disease Control and Prevention (CDC), zoonotic diseases are very common diseases, with an estimated six out of every ten known infectious diseases falling into this category, caused by viruses, bacteria, parasites, and fungi that are spread from animals to humans; and</w:t>
      </w:r>
    </w:p>
    <w:p w14:paraId="2EDFB654" w14:textId="77777777" w:rsidR="002D1561" w:rsidRPr="002D1561" w:rsidRDefault="002D1561" w:rsidP="002D1561">
      <w:pPr>
        <w:spacing w:line="480" w:lineRule="auto"/>
        <w:rPr>
          <w:kern w:val="2"/>
        </w:rPr>
      </w:pPr>
      <w:r w:rsidRPr="002D1561">
        <w:rPr>
          <w:kern w:val="2"/>
        </w:rPr>
        <w:tab/>
        <w:t>Whereas, According to the Cleveland Clinic, orthopoxviruses are a group of viruses that cause a raised, bumpy rash, with smallpox and mpox being the most famous examples, and with mpox causing further symptoms such as fever, headache, and muscle-pain for infected individuals; and</w:t>
      </w:r>
    </w:p>
    <w:p w14:paraId="57627EB2" w14:textId="77777777" w:rsidR="002D1561" w:rsidRPr="002D1561" w:rsidRDefault="002D1561" w:rsidP="002D1561">
      <w:pPr>
        <w:spacing w:line="480" w:lineRule="auto"/>
        <w:rPr>
          <w:kern w:val="2"/>
        </w:rPr>
      </w:pPr>
      <w:r w:rsidRPr="002D1561">
        <w:rPr>
          <w:kern w:val="2"/>
        </w:rPr>
        <w:tab/>
        <w:t>Whereas, Mpox can be spread through close contact with someone who is infected, contact with contaminated materials, contact with infected animals, or from mothers to fetuses or newborns during or after birth, according to the World Health Organization (WHO); and</w:t>
      </w:r>
    </w:p>
    <w:p w14:paraId="78A345C2" w14:textId="77777777" w:rsidR="002D1561" w:rsidRPr="002D1561" w:rsidRDefault="002D1561" w:rsidP="002D1561">
      <w:pPr>
        <w:spacing w:line="480" w:lineRule="auto"/>
        <w:rPr>
          <w:kern w:val="2"/>
        </w:rPr>
      </w:pPr>
      <w:r w:rsidRPr="002D1561">
        <w:rPr>
          <w:kern w:val="2"/>
        </w:rPr>
        <w:tab/>
        <w:t>Whereas, A significant public health crisis unfolded due to the mpox virus between 2022 and 2024, with almost 120,000 infections globally and the WHO declaring a public health emergency of international concern twice, in July 2022 and August 2024, with the 2024 resurgence caused by the more severe and deadly Ib strain, as opposed to the IIb strain which caused the initial outbreak in 2022; and</w:t>
      </w:r>
    </w:p>
    <w:p w14:paraId="2AB80E2D" w14:textId="77777777" w:rsidR="002D1561" w:rsidRPr="002D1561" w:rsidRDefault="002D1561" w:rsidP="002D1561">
      <w:pPr>
        <w:spacing w:line="480" w:lineRule="auto"/>
        <w:rPr>
          <w:kern w:val="2"/>
        </w:rPr>
      </w:pPr>
      <w:r w:rsidRPr="002D1561">
        <w:rPr>
          <w:kern w:val="2"/>
        </w:rPr>
        <w:tab/>
        <w:t xml:space="preserve">Whereas, In the United States, New York City (NYC) was the national epicenter during the 2022 mpox outbreak, with, according to data collected by the NYC Department of Health </w:t>
      </w:r>
      <w:r w:rsidRPr="002D1561">
        <w:rPr>
          <w:kern w:val="2"/>
        </w:rPr>
        <w:lastRenderedPageBreak/>
        <w:t>and Mental Hygiene (DOHMH), a total of 3,821 reported cases between May 19, 2022 and December 31, 2022; and</w:t>
      </w:r>
    </w:p>
    <w:p w14:paraId="7204A0FF" w14:textId="77777777" w:rsidR="002D1561" w:rsidRPr="002D1561" w:rsidRDefault="002D1561" w:rsidP="002D1561">
      <w:pPr>
        <w:spacing w:line="480" w:lineRule="auto"/>
        <w:rPr>
          <w:kern w:val="2"/>
        </w:rPr>
      </w:pPr>
      <w:r w:rsidRPr="002D1561">
        <w:rPr>
          <w:kern w:val="2"/>
        </w:rPr>
        <w:tab/>
        <w:t>Whereas, Mpox is still spreading in NYC, with DOHMH reporting 28 cases this year as of February 12, 2026 in NYC; and</w:t>
      </w:r>
    </w:p>
    <w:p w14:paraId="36A14FDF" w14:textId="77777777" w:rsidR="002D1561" w:rsidRPr="002D1561" w:rsidRDefault="002D1561" w:rsidP="002D1561">
      <w:pPr>
        <w:spacing w:line="480" w:lineRule="auto"/>
        <w:rPr>
          <w:kern w:val="2"/>
        </w:rPr>
      </w:pPr>
      <w:r w:rsidRPr="002D1561">
        <w:rPr>
          <w:kern w:val="2"/>
        </w:rPr>
        <w:tab/>
        <w:t>Whereas, Despite the continued risk, the CDC’s recommended vaccine schedule no longer recommends the mpox vaccination for at risk 18-year-olds, while the recommended schedule from the American Academy of Pediatrics, which is the schedule utilized by both New York State and NYC, still does; and</w:t>
      </w:r>
    </w:p>
    <w:p w14:paraId="6581F3F4" w14:textId="77777777" w:rsidR="002D1561" w:rsidRPr="002D1561" w:rsidRDefault="002D1561" w:rsidP="002D1561">
      <w:pPr>
        <w:spacing w:line="480" w:lineRule="auto"/>
        <w:rPr>
          <w:kern w:val="2"/>
        </w:rPr>
      </w:pPr>
      <w:r w:rsidRPr="002D1561">
        <w:rPr>
          <w:kern w:val="2"/>
        </w:rPr>
        <w:tab/>
        <w:t>Whereas, Both the CDC and DOHMH still recommend the mpox vaccine for at risk adults, with DOHMH stating that those who are at risk include those who identify as male, trans, nonbinary, genderqueer, or gender non-conforming and have sex with men, those who plan to visit a country where clade I mpox virus is spreading and who anticipate sex with a new partner while traveling regardless of sexual orientation or gender identity, those who consider themselves to be at risk for mpox through sex or other intimate contact now or in the future, or anyone who has or may have been in close contact with someone who has mpox in the past 14 days; and</w:t>
      </w:r>
    </w:p>
    <w:p w14:paraId="4578BE98" w14:textId="77777777" w:rsidR="002D1561" w:rsidRPr="002D1561" w:rsidRDefault="002D1561" w:rsidP="002D1561">
      <w:pPr>
        <w:spacing w:line="480" w:lineRule="auto"/>
        <w:rPr>
          <w:kern w:val="2"/>
        </w:rPr>
      </w:pPr>
      <w:r w:rsidRPr="002D1561">
        <w:rPr>
          <w:kern w:val="2"/>
        </w:rPr>
        <w:tab/>
        <w:t>Whereas, According to the CDC, JYNNEOS is a 2-dose vaccine developed to protect against mpox and smallpox, where the second dose should be administered four weeks after the first dose; and</w:t>
      </w:r>
    </w:p>
    <w:p w14:paraId="443496B9" w14:textId="77777777" w:rsidR="002D1561" w:rsidRPr="002D1561" w:rsidRDefault="002D1561" w:rsidP="002D1561">
      <w:pPr>
        <w:spacing w:line="480" w:lineRule="auto"/>
        <w:rPr>
          <w:kern w:val="2"/>
        </w:rPr>
      </w:pPr>
      <w:r w:rsidRPr="002D1561">
        <w:rPr>
          <w:kern w:val="2"/>
        </w:rPr>
        <w:tab/>
        <w:t>Whereas, During the outbreak, in July 2022, NYC received about 26,000 doses of the JYNNEOS vaccines, according to DOHMH, of the 200,000 distributed nationally at the time according to the United States Department of Health and Human Services (HHS), about 13 percent, despite having had the highest infection rate in the country at the time; and</w:t>
      </w:r>
    </w:p>
    <w:p w14:paraId="30871851" w14:textId="77777777" w:rsidR="002D1561" w:rsidRPr="002D1561" w:rsidRDefault="002D1561" w:rsidP="002D1561">
      <w:pPr>
        <w:spacing w:line="480" w:lineRule="auto"/>
        <w:rPr>
          <w:kern w:val="2"/>
        </w:rPr>
      </w:pPr>
      <w:r w:rsidRPr="002D1561">
        <w:rPr>
          <w:kern w:val="2"/>
        </w:rPr>
        <w:lastRenderedPageBreak/>
        <w:tab/>
        <w:t>Whereas, On July 11, 2022, then-NYC Mayor Eric Adams wrote an open letter to then-United States President Joseph Biden requesting an equity-driven allocation of mpox vaccinations and highlighting that the number of vaccines NYC had been allocated were not enough to meet demand, stating that in less than 10 minutes of releasing new appointments at NYC’s vaccine clinics all appointments were taken; and</w:t>
      </w:r>
    </w:p>
    <w:p w14:paraId="49BC9E7D" w14:textId="77777777" w:rsidR="002D1561" w:rsidRPr="002D1561" w:rsidRDefault="002D1561" w:rsidP="002D1561">
      <w:pPr>
        <w:spacing w:line="480" w:lineRule="auto"/>
        <w:rPr>
          <w:kern w:val="2"/>
        </w:rPr>
      </w:pPr>
      <w:r w:rsidRPr="002D1561">
        <w:rPr>
          <w:kern w:val="2"/>
        </w:rPr>
        <w:tab/>
        <w:t>Whereas, According to an article published in the journal Viruses, the evolving epidemiology, or nature, of mpox has raised concern about the disease’ increasing spread and emphasized the need for control and prevention; and</w:t>
      </w:r>
    </w:p>
    <w:p w14:paraId="6418EAB0" w14:textId="77777777" w:rsidR="002D1561" w:rsidRPr="002D1561" w:rsidRDefault="002D1561" w:rsidP="002D1561">
      <w:pPr>
        <w:spacing w:line="480" w:lineRule="auto"/>
        <w:rPr>
          <w:kern w:val="2"/>
        </w:rPr>
      </w:pPr>
      <w:r w:rsidRPr="002D1561">
        <w:rPr>
          <w:kern w:val="2"/>
        </w:rPr>
        <w:tab/>
        <w:t>Whereas, HHS and DOHMH must ensure that NYC has an adequate number of vaccines to prevent the spread and future outbreaks of mpox; now, therefore, be it</w:t>
      </w:r>
    </w:p>
    <w:p w14:paraId="2AF05481" w14:textId="77777777" w:rsidR="002D1561" w:rsidRPr="002D1561" w:rsidRDefault="002D1561" w:rsidP="002D1561">
      <w:pPr>
        <w:spacing w:line="480" w:lineRule="auto"/>
        <w:rPr>
          <w:kern w:val="2"/>
        </w:rPr>
      </w:pPr>
      <w:r w:rsidRPr="002D1561">
        <w:rPr>
          <w:kern w:val="2"/>
        </w:rPr>
        <w:tab/>
        <w:t>Resolved, That the Council of the City of New York calls on the United States Department of Health and Human Services to increase the number of mpox vaccines available and to prevent future outbreaks by ensuring that the number of vaccines sent to New York City reflects its proportion of nationwide cases.</w:t>
      </w:r>
    </w:p>
    <w:p w14:paraId="60E6A849" w14:textId="77777777" w:rsidR="002D1561" w:rsidRPr="002D1561" w:rsidRDefault="002D1561" w:rsidP="002D1561">
      <w:pPr>
        <w:rPr>
          <w:kern w:val="2"/>
          <w:sz w:val="18"/>
          <w:szCs w:val="18"/>
        </w:rPr>
      </w:pPr>
      <w:r w:rsidRPr="002D1561">
        <w:rPr>
          <w:kern w:val="2"/>
          <w:sz w:val="18"/>
          <w:szCs w:val="18"/>
        </w:rPr>
        <w:t>MB/JN</w:t>
      </w:r>
    </w:p>
    <w:p w14:paraId="0BD2E70B" w14:textId="77777777" w:rsidR="002D1561" w:rsidRPr="002D1561" w:rsidRDefault="002D1561" w:rsidP="002D1561">
      <w:pPr>
        <w:rPr>
          <w:kern w:val="2"/>
          <w:sz w:val="18"/>
          <w:szCs w:val="18"/>
        </w:rPr>
      </w:pPr>
      <w:r w:rsidRPr="002D1561">
        <w:rPr>
          <w:kern w:val="2"/>
          <w:sz w:val="18"/>
          <w:szCs w:val="18"/>
        </w:rPr>
        <w:t>LS 10092</w:t>
      </w:r>
    </w:p>
    <w:p w14:paraId="34F64167" w14:textId="77777777" w:rsidR="002D1561" w:rsidRPr="002D1561" w:rsidRDefault="002D1561" w:rsidP="002D1561">
      <w:pPr>
        <w:rPr>
          <w:kern w:val="2"/>
          <w:sz w:val="18"/>
          <w:szCs w:val="18"/>
        </w:rPr>
      </w:pPr>
      <w:r w:rsidRPr="002D1561">
        <w:rPr>
          <w:kern w:val="2"/>
          <w:sz w:val="18"/>
          <w:szCs w:val="18"/>
        </w:rPr>
        <w:t>3/2/26</w:t>
      </w:r>
    </w:p>
    <w:p w14:paraId="07D6425B" w14:textId="77777777" w:rsidR="002D1561" w:rsidRDefault="002D1561" w:rsidP="002D1561">
      <w:pPr>
        <w:spacing w:line="480" w:lineRule="auto"/>
        <w:jc w:val="center"/>
        <w:rPr>
          <w:rFonts w:eastAsia="Calibri"/>
        </w:rPr>
      </w:pPr>
    </w:p>
    <w:p w14:paraId="33D77FBA" w14:textId="6D37AFA6" w:rsidR="002D1561" w:rsidRDefault="002D1561">
      <w:pPr>
        <w:spacing w:after="160" w:line="259" w:lineRule="auto"/>
        <w:rPr>
          <w:rFonts w:eastAsia="Calibri"/>
        </w:rPr>
      </w:pPr>
      <w:r>
        <w:rPr>
          <w:rFonts w:eastAsia="Calibri"/>
        </w:rPr>
        <w:br w:type="page"/>
      </w:r>
    </w:p>
    <w:p w14:paraId="0812FE4E" w14:textId="5C7FF499" w:rsidR="002D1561" w:rsidRPr="00D10BF4" w:rsidRDefault="002D1561" w:rsidP="002D1561">
      <w:pPr>
        <w:spacing w:line="480" w:lineRule="auto"/>
        <w:jc w:val="center"/>
        <w:rPr>
          <w:rFonts w:eastAsia="Calibri"/>
        </w:rPr>
      </w:pPr>
      <w:r>
        <w:rPr>
          <w:rFonts w:eastAsia="Calibri"/>
        </w:rPr>
        <w:lastRenderedPageBreak/>
        <w:t>Res. No. 272</w:t>
      </w:r>
    </w:p>
    <w:p w14:paraId="5BB2AADC" w14:textId="77777777" w:rsidR="002D1561" w:rsidRPr="00D10BF4" w:rsidRDefault="002D1561" w:rsidP="002D1561">
      <w:pPr>
        <w:jc w:val="both"/>
        <w:rPr>
          <w:rFonts w:eastAsia="Calibri"/>
          <w:vanish/>
        </w:rPr>
      </w:pPr>
      <w:r w:rsidRPr="00D10BF4">
        <w:rPr>
          <w:rFonts w:eastAsia="Calibri"/>
          <w:vanish/>
        </w:rPr>
        <w:t>..Title</w:t>
      </w:r>
    </w:p>
    <w:p w14:paraId="7051A06C" w14:textId="77777777" w:rsidR="002D1561" w:rsidRPr="00D10BF4" w:rsidRDefault="002D1561" w:rsidP="002D1561">
      <w:pPr>
        <w:jc w:val="both"/>
        <w:rPr>
          <w:rFonts w:eastAsia="Calibri"/>
        </w:rPr>
      </w:pPr>
      <w:r w:rsidRPr="00D10BF4">
        <w:rPr>
          <w:rFonts w:eastAsia="Calibri"/>
        </w:rPr>
        <w:t>Resolution calling on the New York State Legislature to pass, and the Governor to sign, A.9077 and a Senate companion bill, requiring pharmacies to offer appointments for Covid-19 and other vaccines without a prescription and based on nationally recognized clinical practice guidelines and best practices.</w:t>
      </w:r>
    </w:p>
    <w:p w14:paraId="06843BA9" w14:textId="77777777" w:rsidR="002D1561" w:rsidRPr="00D10BF4" w:rsidRDefault="002D1561" w:rsidP="002D1561">
      <w:pPr>
        <w:jc w:val="both"/>
        <w:rPr>
          <w:rFonts w:eastAsia="Calibri"/>
          <w:vanish/>
        </w:rPr>
      </w:pPr>
      <w:r w:rsidRPr="00D10BF4">
        <w:rPr>
          <w:rFonts w:eastAsia="Calibri"/>
          <w:vanish/>
        </w:rPr>
        <w:t>..Body</w:t>
      </w:r>
    </w:p>
    <w:p w14:paraId="19F16F94" w14:textId="77777777" w:rsidR="002D1561" w:rsidRPr="00D10BF4" w:rsidRDefault="002D1561" w:rsidP="002D1561">
      <w:pPr>
        <w:jc w:val="both"/>
        <w:rPr>
          <w:rFonts w:eastAsia="Calibri"/>
        </w:rPr>
      </w:pPr>
    </w:p>
    <w:p w14:paraId="5E52488C" w14:textId="77777777" w:rsidR="002D1561" w:rsidRPr="00D10BF4" w:rsidRDefault="002D1561" w:rsidP="002D1561">
      <w:pPr>
        <w:autoSpaceDE w:val="0"/>
        <w:autoSpaceDN w:val="0"/>
        <w:adjustRightInd w:val="0"/>
        <w:spacing w:line="480" w:lineRule="auto"/>
        <w:jc w:val="both"/>
        <w:rPr>
          <w:rFonts w:eastAsia="Calibri"/>
        </w:rPr>
      </w:pPr>
      <w:r w:rsidRPr="00D10BF4">
        <w:rPr>
          <w:rFonts w:eastAsia="Calibri"/>
        </w:rPr>
        <w:t>By Council Members Schulman and Louis</w:t>
      </w:r>
    </w:p>
    <w:p w14:paraId="15B5FD27" w14:textId="77777777" w:rsidR="002D1561" w:rsidRPr="00D10BF4" w:rsidRDefault="002D1561" w:rsidP="002D1561">
      <w:pPr>
        <w:spacing w:line="480" w:lineRule="auto"/>
        <w:jc w:val="both"/>
        <w:rPr>
          <w:rFonts w:eastAsia="Calibri"/>
        </w:rPr>
      </w:pPr>
      <w:r w:rsidRPr="00D10BF4">
        <w:rPr>
          <w:rFonts w:eastAsia="Calibri"/>
        </w:rPr>
        <w:tab/>
        <w:t>Whereas, Covid-19 is still a threat to New York City, with data provided by the Department of Health and Mental Hygiene showing that in the middle of September, 2025, about 34 people per 100,000 were contracting Covid-19 each week; and</w:t>
      </w:r>
    </w:p>
    <w:p w14:paraId="01BD6FED" w14:textId="77777777" w:rsidR="002D1561" w:rsidRPr="00D10BF4" w:rsidRDefault="002D1561" w:rsidP="002D1561">
      <w:pPr>
        <w:spacing w:line="480" w:lineRule="auto"/>
        <w:jc w:val="both"/>
        <w:rPr>
          <w:rFonts w:eastAsia="Calibri"/>
        </w:rPr>
      </w:pPr>
      <w:r w:rsidRPr="00D10BF4">
        <w:rPr>
          <w:rFonts w:eastAsia="Calibri"/>
        </w:rPr>
        <w:tab/>
        <w:t>Whereas, According to Stanford Medicine, dangerous diseases such as measles, rubella, and polio could become endemic to the United States again if vaccine rates decline; and</w:t>
      </w:r>
    </w:p>
    <w:p w14:paraId="5B7B97C2" w14:textId="77777777" w:rsidR="002D1561" w:rsidRPr="00D10BF4" w:rsidRDefault="002D1561" w:rsidP="002D1561">
      <w:pPr>
        <w:spacing w:line="480" w:lineRule="auto"/>
        <w:jc w:val="both"/>
        <w:rPr>
          <w:rFonts w:eastAsia="Calibri"/>
        </w:rPr>
      </w:pPr>
      <w:r w:rsidRPr="00D10BF4">
        <w:rPr>
          <w:rFonts w:eastAsia="Calibri"/>
        </w:rPr>
        <w:tab/>
        <w:t>Whereas, While facing questions at the Senate Finance Committee hearing on September 4, 2025, United States Health and Human Services Secretary Robert F. Kennedy Jr. claimed that anyone can get a Covid-19 vaccine at their pharmacy for free, but confusion as to current regulations have left some pharmacies reticent and selective in their provision of vaccines, according to ABC News; and</w:t>
      </w:r>
    </w:p>
    <w:p w14:paraId="2F79E451" w14:textId="77777777" w:rsidR="002D1561" w:rsidRPr="00D10BF4" w:rsidRDefault="002D1561" w:rsidP="002D1561">
      <w:pPr>
        <w:spacing w:line="480" w:lineRule="auto"/>
        <w:jc w:val="both"/>
        <w:rPr>
          <w:rFonts w:eastAsia="Calibri"/>
        </w:rPr>
      </w:pPr>
      <w:r w:rsidRPr="00D10BF4">
        <w:rPr>
          <w:rFonts w:eastAsia="Calibri"/>
        </w:rPr>
        <w:tab/>
        <w:t>Whereas, According to the New York Times, CVS was only offering Covid-19 vaccines to patients in New York if they had a prescription from an authorized prescriber, limiting vaccine access for vulnerable people in New York City; and</w:t>
      </w:r>
    </w:p>
    <w:p w14:paraId="7238C50C" w14:textId="77777777" w:rsidR="002D1561" w:rsidRPr="00D10BF4" w:rsidRDefault="002D1561" w:rsidP="002D1561">
      <w:pPr>
        <w:spacing w:line="480" w:lineRule="auto"/>
        <w:jc w:val="both"/>
        <w:rPr>
          <w:rFonts w:eastAsia="Calibri"/>
        </w:rPr>
      </w:pPr>
      <w:r w:rsidRPr="00D10BF4">
        <w:rPr>
          <w:rFonts w:eastAsia="Calibri"/>
        </w:rPr>
        <w:tab/>
        <w:t>Whereas, In order to temporarily ensure New Yorkers continued to have access to Covid-19 vaccines, Governor Kathy Hochul signed Executive Order 52 (EO 52) on September 5, 2025, which declared recent federal actions related to vaccine access an emergency and ensured that pharmacies would be able to administer Covid-19 vaccines; and</w:t>
      </w:r>
    </w:p>
    <w:p w14:paraId="06EC6475" w14:textId="77777777" w:rsidR="002D1561" w:rsidRPr="00D10BF4" w:rsidRDefault="002D1561" w:rsidP="002D1561">
      <w:pPr>
        <w:spacing w:line="480" w:lineRule="auto"/>
        <w:jc w:val="both"/>
        <w:rPr>
          <w:rFonts w:eastAsia="Calibri"/>
        </w:rPr>
      </w:pPr>
      <w:r w:rsidRPr="00D10BF4">
        <w:rPr>
          <w:rFonts w:eastAsia="Calibri"/>
        </w:rPr>
        <w:lastRenderedPageBreak/>
        <w:tab/>
        <w:t>Whereas, EO 52 was slated to stand for at least 30 days, and, according to the Governor’s Office, was only a temporary measure while a long-term legislative solution is developed to address access to all vaccines; and</w:t>
      </w:r>
    </w:p>
    <w:p w14:paraId="35D6A32A" w14:textId="77777777" w:rsidR="002D1561" w:rsidRPr="00D10BF4" w:rsidRDefault="002D1561" w:rsidP="002D1561">
      <w:pPr>
        <w:spacing w:line="480" w:lineRule="auto"/>
        <w:jc w:val="both"/>
        <w:rPr>
          <w:rFonts w:eastAsia="Calibri"/>
        </w:rPr>
      </w:pPr>
      <w:r w:rsidRPr="00D10BF4">
        <w:rPr>
          <w:rFonts w:eastAsia="Calibri"/>
        </w:rPr>
        <w:tab/>
        <w:t>Whereas, EO 52 has not been extended; and</w:t>
      </w:r>
      <w:r w:rsidRPr="00D10BF4">
        <w:rPr>
          <w:rFonts w:eastAsia="Calibri"/>
        </w:rPr>
        <w:tab/>
      </w:r>
    </w:p>
    <w:p w14:paraId="063E40C0" w14:textId="77777777" w:rsidR="002D1561" w:rsidRPr="00D10BF4" w:rsidRDefault="002D1561" w:rsidP="002D1561">
      <w:pPr>
        <w:spacing w:line="480" w:lineRule="auto"/>
        <w:jc w:val="both"/>
        <w:rPr>
          <w:rFonts w:eastAsia="Calibri"/>
        </w:rPr>
      </w:pPr>
      <w:r w:rsidRPr="00D10BF4">
        <w:rPr>
          <w:rFonts w:eastAsia="Calibri"/>
        </w:rPr>
        <w:tab/>
        <w:t>Whereas, In order to provide a long-term solution, Assemblymember Jenifer Rajkumar, a representative of Queens, introduced A.9077, also known as the Robert F. Kennedy, Sr. Vaccine Access Act, in the New York State Assembly on September 12, 2025; and</w:t>
      </w:r>
    </w:p>
    <w:p w14:paraId="1D46CBF6" w14:textId="77777777" w:rsidR="002D1561" w:rsidRPr="00D10BF4" w:rsidRDefault="002D1561" w:rsidP="002D1561">
      <w:pPr>
        <w:spacing w:line="480" w:lineRule="auto"/>
        <w:jc w:val="both"/>
        <w:rPr>
          <w:rFonts w:eastAsia="Calibri"/>
        </w:rPr>
      </w:pPr>
      <w:r w:rsidRPr="00D10BF4">
        <w:rPr>
          <w:rFonts w:eastAsia="Calibri"/>
        </w:rPr>
        <w:tab/>
        <w:t>Whereas, The proposed legislation would mandate that pharmacies offer appointments without a prescription for Covid-19 and other vaccines, responding to both current threats to Covid-19 vaccine access and potential future restrictions on RSV, influenza, measles, and polio vaccines; and</w:t>
      </w:r>
    </w:p>
    <w:p w14:paraId="400B5769" w14:textId="77777777" w:rsidR="002D1561" w:rsidRPr="00D10BF4" w:rsidRDefault="002D1561" w:rsidP="002D1561">
      <w:pPr>
        <w:spacing w:line="480" w:lineRule="auto"/>
        <w:jc w:val="both"/>
        <w:rPr>
          <w:rFonts w:eastAsia="Calibri"/>
        </w:rPr>
      </w:pPr>
      <w:r w:rsidRPr="00D10BF4">
        <w:rPr>
          <w:rFonts w:eastAsia="Calibri"/>
        </w:rPr>
        <w:tab/>
        <w:t>Whereas, A.9077 would, beyond ensuring vaccine access for New Yorkers, eliminate the role of the of the Centers for Disease Control and Prevention and other federal agencies, which under the current Presidential Administration many view as untrustworthy, from determining the public health policies of New York; and</w:t>
      </w:r>
    </w:p>
    <w:p w14:paraId="0E253615" w14:textId="77777777" w:rsidR="002D1561" w:rsidRPr="00D10BF4" w:rsidRDefault="002D1561" w:rsidP="002D1561">
      <w:pPr>
        <w:spacing w:line="480" w:lineRule="auto"/>
        <w:jc w:val="both"/>
        <w:rPr>
          <w:rFonts w:eastAsia="Calibri"/>
        </w:rPr>
      </w:pPr>
      <w:r w:rsidRPr="00D10BF4">
        <w:rPr>
          <w:rFonts w:eastAsia="Calibri"/>
        </w:rPr>
        <w:tab/>
        <w:t>Whereas, New Yorkers have the right to access vaccines and other forms of healthcare that keep them healthy and safe, and the passage of A.9077 would ensure that vaccine access is not threatened by the political maneuvering of any administration; now, therefore be it</w:t>
      </w:r>
    </w:p>
    <w:p w14:paraId="44987C6D" w14:textId="77777777" w:rsidR="002D1561" w:rsidRPr="00D10BF4" w:rsidRDefault="002D1561" w:rsidP="002D1561">
      <w:pPr>
        <w:spacing w:line="480" w:lineRule="auto"/>
        <w:jc w:val="both"/>
        <w:rPr>
          <w:rFonts w:eastAsia="Calibri"/>
        </w:rPr>
      </w:pPr>
      <w:r w:rsidRPr="00D10BF4">
        <w:rPr>
          <w:rFonts w:eastAsia="Calibri"/>
        </w:rPr>
        <w:tab/>
        <w:t>Resolved, that the Council of the City of New York calls on the New York State Legislature to pass, and the Governor to sign, A.9077 and a Senate companion bill, requiring pharmacies to offer appointments for Covid-19 and other vaccines without a prescription and based on nationally recognized clinical practice guidelines and best practices.</w:t>
      </w:r>
    </w:p>
    <w:p w14:paraId="28EA2F4D" w14:textId="77777777" w:rsidR="002D1561" w:rsidRPr="00D10BF4" w:rsidRDefault="002D1561" w:rsidP="002D1561">
      <w:pPr>
        <w:jc w:val="both"/>
        <w:rPr>
          <w:rFonts w:eastAsia="Calibri"/>
          <w:sz w:val="20"/>
          <w:szCs w:val="20"/>
        </w:rPr>
      </w:pPr>
      <w:r w:rsidRPr="00D10BF4">
        <w:rPr>
          <w:rFonts w:eastAsia="Calibri"/>
          <w:sz w:val="20"/>
          <w:szCs w:val="20"/>
        </w:rPr>
        <w:t>JN</w:t>
      </w:r>
    </w:p>
    <w:p w14:paraId="3B255E50" w14:textId="77777777" w:rsidR="002D1561" w:rsidRPr="00D10BF4" w:rsidRDefault="002D1561" w:rsidP="002D1561">
      <w:pPr>
        <w:jc w:val="both"/>
        <w:rPr>
          <w:rFonts w:eastAsia="Calibri"/>
          <w:sz w:val="20"/>
          <w:szCs w:val="20"/>
        </w:rPr>
      </w:pPr>
      <w:r w:rsidRPr="00D10BF4">
        <w:rPr>
          <w:rFonts w:eastAsia="Calibri"/>
          <w:sz w:val="20"/>
          <w:szCs w:val="20"/>
        </w:rPr>
        <w:t>LS 20370</w:t>
      </w:r>
    </w:p>
    <w:p w14:paraId="239FE587" w14:textId="77777777" w:rsidR="002D1561" w:rsidRPr="00D10BF4" w:rsidRDefault="002D1561" w:rsidP="002D1561">
      <w:pPr>
        <w:jc w:val="both"/>
        <w:rPr>
          <w:rFonts w:eastAsia="Calibri"/>
          <w:sz w:val="20"/>
          <w:szCs w:val="20"/>
        </w:rPr>
      </w:pPr>
      <w:r w:rsidRPr="00D10BF4">
        <w:rPr>
          <w:rFonts w:eastAsia="Calibri"/>
          <w:sz w:val="20"/>
          <w:szCs w:val="20"/>
        </w:rPr>
        <w:t>10/28/2025</w:t>
      </w:r>
    </w:p>
    <w:p w14:paraId="483523F0" w14:textId="77777777" w:rsidR="002D1561" w:rsidRPr="004130F5" w:rsidRDefault="002D1561" w:rsidP="002D1561">
      <w:pPr>
        <w:pStyle w:val="NoSpacing"/>
        <w:rPr>
          <w:rFonts w:eastAsia="Times New Roman" w:cs="Times New Roman"/>
          <w:sz w:val="18"/>
          <w:szCs w:val="18"/>
        </w:rPr>
      </w:pPr>
    </w:p>
    <w:p w14:paraId="09F77623" w14:textId="77777777" w:rsidR="002D1561" w:rsidRDefault="002D1561">
      <w:pPr>
        <w:spacing w:after="160" w:line="259" w:lineRule="auto"/>
        <w:rPr>
          <w:rFonts w:eastAsia="Calibri"/>
        </w:rPr>
      </w:pPr>
      <w:r>
        <w:rPr>
          <w:rFonts w:eastAsia="Calibri"/>
        </w:rPr>
        <w:br w:type="page"/>
      </w:r>
    </w:p>
    <w:p w14:paraId="0CFD8137" w14:textId="56F4D761" w:rsidR="00146F47" w:rsidRDefault="00326944" w:rsidP="00326944">
      <w:pPr>
        <w:jc w:val="center"/>
        <w:rPr>
          <w:rFonts w:eastAsia="Calibri"/>
        </w:rPr>
      </w:pPr>
      <w:r>
        <w:rPr>
          <w:rFonts w:eastAsia="Calibri"/>
        </w:rPr>
        <w:lastRenderedPageBreak/>
        <w:t>Res. No. 273</w:t>
      </w:r>
      <w:r w:rsidR="00146F47" w:rsidRPr="00146F47">
        <w:rPr>
          <w:rFonts w:eastAsia="Calibri"/>
          <w:vanish/>
        </w:rPr>
        <w:t>..Title</w:t>
      </w:r>
    </w:p>
    <w:p w14:paraId="47731CB1" w14:textId="77777777" w:rsidR="00326944" w:rsidRDefault="00326944" w:rsidP="00146F47">
      <w:pPr>
        <w:jc w:val="both"/>
        <w:rPr>
          <w:rFonts w:eastAsia="Calibri"/>
        </w:rPr>
      </w:pPr>
    </w:p>
    <w:p w14:paraId="2C94DDFC" w14:textId="77777777" w:rsidR="00326944" w:rsidRPr="00146F47" w:rsidRDefault="00326944" w:rsidP="00146F47">
      <w:pPr>
        <w:jc w:val="both"/>
        <w:rPr>
          <w:rFonts w:eastAsia="Calibri"/>
          <w:vanish/>
        </w:rPr>
      </w:pPr>
    </w:p>
    <w:p w14:paraId="7452CFF4" w14:textId="77777777" w:rsidR="00146F47" w:rsidRPr="00146F47" w:rsidRDefault="00146F47" w:rsidP="00146F47">
      <w:pPr>
        <w:jc w:val="both"/>
        <w:rPr>
          <w:rFonts w:eastAsia="Calibri"/>
        </w:rPr>
      </w:pPr>
      <w:r w:rsidRPr="00146F47">
        <w:rPr>
          <w:rFonts w:eastAsia="Calibri"/>
        </w:rPr>
        <w:t>Resolution calling on the New York State Legislature to pass, and the Governor to sign, S.4548/A.3892 and S.6744A/A.3894A, legislation authorizing dentists to administer influenza vaccines, COVID-19 vaccines, human papillomavirus vaccines, or a vaccine related to a public health emergency</w:t>
      </w:r>
    </w:p>
    <w:p w14:paraId="2800AD97" w14:textId="77777777" w:rsidR="00146F47" w:rsidRPr="00146F47" w:rsidRDefault="00146F47" w:rsidP="00146F47">
      <w:pPr>
        <w:jc w:val="both"/>
        <w:rPr>
          <w:rFonts w:eastAsia="Calibri"/>
          <w:vanish/>
        </w:rPr>
      </w:pPr>
      <w:r w:rsidRPr="00146F47">
        <w:rPr>
          <w:rFonts w:eastAsia="Calibri"/>
          <w:vanish/>
        </w:rPr>
        <w:t>..Body</w:t>
      </w:r>
    </w:p>
    <w:p w14:paraId="3D104DB3" w14:textId="77777777" w:rsidR="00146F47" w:rsidRPr="00146F47" w:rsidRDefault="00146F47" w:rsidP="00146F47">
      <w:pPr>
        <w:jc w:val="both"/>
        <w:rPr>
          <w:rFonts w:eastAsia="Calibri"/>
        </w:rPr>
      </w:pPr>
    </w:p>
    <w:p w14:paraId="3581AFAF" w14:textId="77777777" w:rsidR="00146F47" w:rsidRPr="00146F47" w:rsidRDefault="00146F47" w:rsidP="00146F47">
      <w:pPr>
        <w:autoSpaceDE w:val="0"/>
        <w:autoSpaceDN w:val="0"/>
        <w:adjustRightInd w:val="0"/>
        <w:spacing w:line="480" w:lineRule="auto"/>
        <w:jc w:val="both"/>
        <w:rPr>
          <w:rFonts w:eastAsia="Calibri"/>
        </w:rPr>
      </w:pPr>
      <w:r w:rsidRPr="00146F47">
        <w:rPr>
          <w:rFonts w:eastAsia="Calibri"/>
        </w:rPr>
        <w:t>By Council Members Schulman and Louis</w:t>
      </w:r>
    </w:p>
    <w:p w14:paraId="4B3D9661" w14:textId="77777777" w:rsidR="00146F47" w:rsidRPr="00146F47" w:rsidRDefault="00146F47" w:rsidP="00146F47">
      <w:pPr>
        <w:spacing w:line="480" w:lineRule="auto"/>
        <w:jc w:val="both"/>
        <w:rPr>
          <w:rFonts w:eastAsia="Calibri"/>
        </w:rPr>
      </w:pPr>
      <w:r w:rsidRPr="00146F47">
        <w:rPr>
          <w:rFonts w:eastAsia="Calibri"/>
        </w:rPr>
        <w:tab/>
        <w:t>Whereas, COVID-19 is still a threat to New York City (NYC), with the New York State Department of Health (DOH) finding that there were 178 positive COVID-19 tests on January 28, 2026 in NYC, and that at its 2025 peak on March 20, there were 657 positive tests and a concurrent seven-day average cases per 100,000 rate of 8.0 in NYC; and</w:t>
      </w:r>
    </w:p>
    <w:p w14:paraId="14BEDDDC" w14:textId="77777777" w:rsidR="00146F47" w:rsidRPr="00146F47" w:rsidRDefault="00146F47" w:rsidP="00146F47">
      <w:pPr>
        <w:spacing w:line="480" w:lineRule="auto"/>
        <w:jc w:val="both"/>
        <w:rPr>
          <w:rFonts w:eastAsia="Calibri"/>
        </w:rPr>
      </w:pPr>
      <w:r w:rsidRPr="00146F47">
        <w:rPr>
          <w:rFonts w:eastAsia="Calibri"/>
        </w:rPr>
        <w:tab/>
        <w:t>Whereas, According to the NYC Department of Health and Mental Hygiene (DOHMH), influenza, or the flu, kills 1,500 to 2,000 NYC residents each year; and</w:t>
      </w:r>
    </w:p>
    <w:p w14:paraId="7951F37F" w14:textId="77777777" w:rsidR="00146F47" w:rsidRPr="00146F47" w:rsidRDefault="00146F47" w:rsidP="00146F47">
      <w:pPr>
        <w:spacing w:line="480" w:lineRule="auto"/>
        <w:jc w:val="both"/>
        <w:rPr>
          <w:rFonts w:eastAsia="Calibri"/>
        </w:rPr>
      </w:pPr>
      <w:r w:rsidRPr="00146F47">
        <w:rPr>
          <w:rFonts w:eastAsia="Calibri"/>
        </w:rPr>
        <w:tab/>
        <w:t>Whereas, According to DOHMH, the human papillomavirus (HPV) is the most common sexually transmitted infection in the United States, with over 40 million people currently infected; and</w:t>
      </w:r>
    </w:p>
    <w:p w14:paraId="57F74047" w14:textId="77777777" w:rsidR="00146F47" w:rsidRPr="00146F47" w:rsidRDefault="00146F47" w:rsidP="00146F47">
      <w:pPr>
        <w:spacing w:line="480" w:lineRule="auto"/>
        <w:jc w:val="both"/>
        <w:rPr>
          <w:rFonts w:eastAsia="Calibri"/>
        </w:rPr>
      </w:pPr>
      <w:r w:rsidRPr="00146F47">
        <w:rPr>
          <w:rFonts w:eastAsia="Calibri"/>
        </w:rPr>
        <w:tab/>
        <w:t>Whereas, According to DOHMH, before the HPV vaccine became available, 80% to 90% of people were infected with HPV at some point in their lives, increasing their risk of various cancers including; (1) cervical; (2) anal; (3) vaginal: (4) oropharyngeal; (5) vulvar; and (6) penile; and</w:t>
      </w:r>
    </w:p>
    <w:p w14:paraId="4369C86C" w14:textId="77777777" w:rsidR="00146F47" w:rsidRPr="00146F47" w:rsidRDefault="00146F47" w:rsidP="00146F47">
      <w:pPr>
        <w:spacing w:line="480" w:lineRule="auto"/>
        <w:jc w:val="both"/>
        <w:rPr>
          <w:rFonts w:eastAsia="Calibri"/>
        </w:rPr>
      </w:pPr>
      <w:r w:rsidRPr="00146F47">
        <w:rPr>
          <w:rFonts w:eastAsia="Calibri"/>
        </w:rPr>
        <w:tab/>
        <w:t>Whereas, According to an article published in the Journal of the American Medical Association, childhood vaccination rates are still below pre-COVID-19 pandemic levels; and</w:t>
      </w:r>
    </w:p>
    <w:p w14:paraId="4C3AAEE6" w14:textId="77777777" w:rsidR="00146F47" w:rsidRPr="00146F47" w:rsidRDefault="00146F47" w:rsidP="00146F47">
      <w:pPr>
        <w:spacing w:line="480" w:lineRule="auto"/>
        <w:jc w:val="both"/>
        <w:rPr>
          <w:rFonts w:eastAsia="Calibri"/>
        </w:rPr>
      </w:pPr>
      <w:r w:rsidRPr="00146F47">
        <w:rPr>
          <w:rFonts w:eastAsia="Calibri"/>
        </w:rPr>
        <w:tab/>
        <w:t>Whereas, In NYC, for example, according to DOHMH, influenza vaccination rates for children aged six months to 17 years have fallen from 51% at the end of 2020-2021 flu season to just 43% at the end of the 2024-2025 flu season; and</w:t>
      </w:r>
    </w:p>
    <w:p w14:paraId="02549B54" w14:textId="77777777" w:rsidR="00146F47" w:rsidRPr="00146F47" w:rsidRDefault="00146F47" w:rsidP="00146F47">
      <w:pPr>
        <w:spacing w:line="480" w:lineRule="auto"/>
        <w:jc w:val="both"/>
        <w:rPr>
          <w:rFonts w:eastAsia="Calibri"/>
        </w:rPr>
      </w:pPr>
      <w:r w:rsidRPr="00146F47">
        <w:rPr>
          <w:rFonts w:eastAsia="Calibri"/>
        </w:rPr>
        <w:lastRenderedPageBreak/>
        <w:tab/>
        <w:t>Whereas, This decline is particularly concerning given that NYC is seeing a record-breaking flu season according to DOHMH, and that last flu season was the deadliest for children on record, with 289 dying from the virus nationwide, 89% of whom were unvaccinated; and</w:t>
      </w:r>
    </w:p>
    <w:p w14:paraId="02D79CF7" w14:textId="77777777" w:rsidR="00146F47" w:rsidRPr="00146F47" w:rsidRDefault="00146F47" w:rsidP="00146F47">
      <w:pPr>
        <w:spacing w:line="480" w:lineRule="auto"/>
        <w:jc w:val="both"/>
        <w:rPr>
          <w:rFonts w:eastAsia="Calibri"/>
        </w:rPr>
      </w:pPr>
      <w:r w:rsidRPr="00146F47">
        <w:rPr>
          <w:rFonts w:eastAsia="Calibri"/>
        </w:rPr>
        <w:tab/>
        <w:t>Whereas, According to an article published in the Journal of the American Dental Association (JADA), prior to the COVID-19 pandemic, four states authorized dentists to administer influenza vaccines including: (1) Illinois; (2) Louisiana; (3) Minnesota; and (4) Oregon; and</w:t>
      </w:r>
    </w:p>
    <w:p w14:paraId="24AD7318" w14:textId="77777777" w:rsidR="00146F47" w:rsidRPr="00146F47" w:rsidRDefault="00146F47" w:rsidP="00146F47">
      <w:pPr>
        <w:spacing w:line="480" w:lineRule="auto"/>
        <w:jc w:val="both"/>
        <w:rPr>
          <w:rFonts w:eastAsia="Calibri"/>
        </w:rPr>
      </w:pPr>
      <w:r w:rsidRPr="00146F47">
        <w:rPr>
          <w:rFonts w:eastAsia="Calibri"/>
        </w:rPr>
        <w:tab/>
        <w:t>Whereas, During the COVID-19 pandemic, all 50 states authorized dentists to administer the COVID-19 vaccine to patients due to urgent need and high demand, and while the end of the public health emergency meant that these special provisions were lifted, several states, including New Jersey, passed legislation which authorized dentists to administer vaccines even outside of a health emergency; and</w:t>
      </w:r>
    </w:p>
    <w:p w14:paraId="2D253582" w14:textId="77777777" w:rsidR="00146F47" w:rsidRPr="00146F47" w:rsidRDefault="00146F47" w:rsidP="00146F47">
      <w:pPr>
        <w:spacing w:line="480" w:lineRule="auto"/>
        <w:jc w:val="both"/>
        <w:rPr>
          <w:rFonts w:eastAsia="Calibri"/>
        </w:rPr>
      </w:pPr>
      <w:r w:rsidRPr="00146F47">
        <w:rPr>
          <w:rFonts w:eastAsia="Calibri"/>
        </w:rPr>
        <w:tab/>
        <w:t>Whereas, While the vaccines dentists are authorized to administer vary by state, with some allowing dentists to administer any vaccine and others only allowing for the administration of specific vaccines, such as the COVID-19, HPV, or influenza vaccines, it is expected that more states will follow suit and authorize dentists to administer at least some vaccines; and</w:t>
      </w:r>
    </w:p>
    <w:p w14:paraId="07828D9A" w14:textId="143E88CE" w:rsidR="00146F47" w:rsidRPr="00146F47" w:rsidRDefault="00146F47" w:rsidP="00146F47">
      <w:pPr>
        <w:spacing w:line="480" w:lineRule="auto"/>
        <w:jc w:val="both"/>
        <w:rPr>
          <w:rFonts w:eastAsia="Calibri"/>
        </w:rPr>
      </w:pPr>
      <w:r w:rsidRPr="00146F47">
        <w:rPr>
          <w:rFonts w:eastAsia="Calibri"/>
        </w:rPr>
        <w:tab/>
        <w:t>Whereas, According to the New York State Education Department (NYSED), the educational requirements for licensure as a dentist in NYS include 60 semester hours of preprofessional education and a program of professional education of at least four academic years, or the equivalent thereof, in a program registered by NYSED as licensure qualifying, accredited by an organization acceptable to NYSED, or recognized by the appropriate civil authorities of the country in which the school is located; and</w:t>
      </w:r>
    </w:p>
    <w:p w14:paraId="367F0A76" w14:textId="77777777" w:rsidR="00146F47" w:rsidRPr="00146F47" w:rsidRDefault="00146F47" w:rsidP="00146F47">
      <w:pPr>
        <w:spacing w:line="480" w:lineRule="auto"/>
        <w:jc w:val="both"/>
        <w:rPr>
          <w:rFonts w:eastAsia="Calibri"/>
        </w:rPr>
      </w:pPr>
      <w:r w:rsidRPr="00146F47">
        <w:rPr>
          <w:rFonts w:eastAsia="Calibri"/>
        </w:rPr>
        <w:tab/>
        <w:t xml:space="preserve">Whereas, This is roughly equivalent to the educational requirements for licensure as a pharmacist in NYC, which, according to NYSED, require one to complete a program in pharmacy </w:t>
      </w:r>
      <w:r w:rsidRPr="00146F47">
        <w:rPr>
          <w:rFonts w:eastAsia="Calibri"/>
        </w:rPr>
        <w:lastRenderedPageBreak/>
        <w:t>leading to a bachelor’s degree or higher from a pharmacy program accredited by the Accreditation Council for Pharmacy Education or the appropriate civil authority of the jurisdiction in which the school is located; and</w:t>
      </w:r>
    </w:p>
    <w:p w14:paraId="42C12F94" w14:textId="77777777" w:rsidR="00146F47" w:rsidRPr="00146F47" w:rsidRDefault="00146F47" w:rsidP="00146F47">
      <w:pPr>
        <w:spacing w:line="480" w:lineRule="auto"/>
        <w:jc w:val="both"/>
        <w:rPr>
          <w:rFonts w:eastAsia="Calibri"/>
        </w:rPr>
      </w:pPr>
      <w:r w:rsidRPr="00146F47">
        <w:rPr>
          <w:rFonts w:eastAsia="Calibri"/>
        </w:rPr>
        <w:tab/>
        <w:t>Whereas, NYS education laws permit licensed pharmacists who obtain an additional certification to administer influenza vaccines to anyone aged two years or older and HPV and COVID-19 vaccines to anyone aged 18 years or older; and</w:t>
      </w:r>
    </w:p>
    <w:p w14:paraId="084B0B06" w14:textId="77777777" w:rsidR="00146F47" w:rsidRPr="00146F47" w:rsidRDefault="00146F47" w:rsidP="00146F47">
      <w:pPr>
        <w:spacing w:line="480" w:lineRule="auto"/>
        <w:jc w:val="both"/>
        <w:rPr>
          <w:rFonts w:eastAsia="Calibri"/>
        </w:rPr>
      </w:pPr>
      <w:r w:rsidRPr="00146F47">
        <w:rPr>
          <w:rFonts w:eastAsia="Calibri"/>
        </w:rPr>
        <w:tab/>
        <w:t>Whereas, According to ABC News, despite assurances from Health and Human Services Secretary Robert F. Kennedy Jr. about COVID-19 vaccine access, confusion as to current regulations left some pharmacies reticent and selective in their provision of vaccines, threatening access and highlighting the need for more points of access; and</w:t>
      </w:r>
    </w:p>
    <w:p w14:paraId="41F298E1" w14:textId="77777777" w:rsidR="00146F47" w:rsidRPr="00146F47" w:rsidRDefault="00146F47" w:rsidP="00146F47">
      <w:pPr>
        <w:spacing w:line="480" w:lineRule="auto"/>
        <w:jc w:val="both"/>
        <w:rPr>
          <w:rFonts w:eastAsia="Calibri"/>
        </w:rPr>
      </w:pPr>
      <w:r w:rsidRPr="00146F47">
        <w:rPr>
          <w:rFonts w:eastAsia="Calibri"/>
        </w:rPr>
        <w:tab/>
        <w:t>Whereas, In order to provide more points of access to vaccinations, State Senator Toby Anne Stavisky and Assemblymember David I. Weprin introduced two bills in the New York State Senate and Assembly respectively; and</w:t>
      </w:r>
    </w:p>
    <w:p w14:paraId="12DFD651" w14:textId="77777777" w:rsidR="00146F47" w:rsidRPr="00146F47" w:rsidRDefault="00146F47" w:rsidP="00146F47">
      <w:pPr>
        <w:spacing w:line="480" w:lineRule="auto"/>
        <w:jc w:val="both"/>
        <w:rPr>
          <w:rFonts w:eastAsia="Calibri"/>
        </w:rPr>
      </w:pPr>
      <w:r w:rsidRPr="00146F47">
        <w:rPr>
          <w:rFonts w:eastAsia="Calibri"/>
        </w:rPr>
        <w:tab/>
        <w:t>Whereas, The first bill, S.4548/A.3892, would authorize dentists to administer vaccinations preventing HPV; and</w:t>
      </w:r>
    </w:p>
    <w:p w14:paraId="302DAE74" w14:textId="77777777" w:rsidR="00146F47" w:rsidRPr="00146F47" w:rsidRDefault="00146F47" w:rsidP="00146F47">
      <w:pPr>
        <w:spacing w:line="480" w:lineRule="auto"/>
        <w:jc w:val="both"/>
        <w:rPr>
          <w:rFonts w:eastAsia="Calibri"/>
        </w:rPr>
      </w:pPr>
      <w:r w:rsidRPr="00146F47">
        <w:rPr>
          <w:rFonts w:eastAsia="Calibri"/>
        </w:rPr>
        <w:tab/>
        <w:t>Whereas, The second bill, S.6744A/A.3894A, would authorize dentists to administer influenza vaccines, COVID-19 vaccines, and any vaccination related to a declared public health emergency; and</w:t>
      </w:r>
    </w:p>
    <w:p w14:paraId="638A677D" w14:textId="77777777" w:rsidR="00146F47" w:rsidRPr="00146F47" w:rsidRDefault="00146F47" w:rsidP="00146F47">
      <w:pPr>
        <w:spacing w:line="480" w:lineRule="auto"/>
        <w:jc w:val="both"/>
        <w:rPr>
          <w:rFonts w:eastAsia="Calibri"/>
        </w:rPr>
      </w:pPr>
      <w:r w:rsidRPr="00146F47">
        <w:rPr>
          <w:rFonts w:eastAsia="Calibri"/>
        </w:rPr>
        <w:tab/>
        <w:t>Whereas, Both bills, which had passed the Senate but were returned after lapsing in the Assembly, would expand access to vaccines, which are crucial to the protection of NYC and its residents’ health and wellness; now, therefore, be it</w:t>
      </w:r>
    </w:p>
    <w:p w14:paraId="4FB10DF6" w14:textId="77777777" w:rsidR="00146F47" w:rsidRPr="00146F47" w:rsidRDefault="00146F47" w:rsidP="00146F47">
      <w:pPr>
        <w:spacing w:line="480" w:lineRule="auto"/>
        <w:jc w:val="both"/>
        <w:rPr>
          <w:rFonts w:eastAsia="Calibri"/>
        </w:rPr>
      </w:pPr>
      <w:r w:rsidRPr="00146F47">
        <w:rPr>
          <w:rFonts w:eastAsia="Calibri"/>
        </w:rPr>
        <w:tab/>
        <w:t xml:space="preserve">Resolved, that the Council of the City of New York calls on the New York State Legislature to pass, and the Governor to sign, S.4548/A.3892 and S.6744A/A.3894A, legislation authorizing </w:t>
      </w:r>
      <w:r w:rsidRPr="00146F47">
        <w:rPr>
          <w:rFonts w:eastAsia="Calibri"/>
        </w:rPr>
        <w:lastRenderedPageBreak/>
        <w:t>dentists to administer influenza vaccines, COVID-19 vaccines, human papillomavirus vaccines, or a vaccine related to a public health emergency.</w:t>
      </w:r>
    </w:p>
    <w:p w14:paraId="56717141" w14:textId="77777777" w:rsidR="00146F47" w:rsidRPr="00146F47" w:rsidRDefault="00146F47" w:rsidP="00146F47">
      <w:pPr>
        <w:jc w:val="both"/>
        <w:rPr>
          <w:rFonts w:eastAsia="Calibri"/>
          <w:sz w:val="20"/>
          <w:szCs w:val="20"/>
        </w:rPr>
      </w:pPr>
      <w:r w:rsidRPr="00146F47">
        <w:rPr>
          <w:rFonts w:eastAsia="Calibri"/>
          <w:sz w:val="20"/>
          <w:szCs w:val="20"/>
        </w:rPr>
        <w:t>JN</w:t>
      </w:r>
    </w:p>
    <w:p w14:paraId="5912B11D" w14:textId="77777777" w:rsidR="00146F47" w:rsidRPr="00146F47" w:rsidRDefault="00146F47" w:rsidP="00146F47">
      <w:pPr>
        <w:jc w:val="both"/>
        <w:rPr>
          <w:rFonts w:eastAsia="Calibri"/>
          <w:sz w:val="20"/>
          <w:szCs w:val="20"/>
        </w:rPr>
      </w:pPr>
      <w:r w:rsidRPr="00146F47">
        <w:rPr>
          <w:rFonts w:eastAsia="Calibri"/>
          <w:sz w:val="20"/>
          <w:szCs w:val="20"/>
        </w:rPr>
        <w:t>LS 20718</w:t>
      </w:r>
    </w:p>
    <w:p w14:paraId="3D2191F5" w14:textId="77777777" w:rsidR="00146F47" w:rsidRPr="00146F47" w:rsidRDefault="00146F47" w:rsidP="00146F47">
      <w:pPr>
        <w:jc w:val="both"/>
        <w:rPr>
          <w:rFonts w:eastAsia="Calibri"/>
          <w:sz w:val="20"/>
          <w:szCs w:val="20"/>
        </w:rPr>
      </w:pPr>
      <w:r w:rsidRPr="00146F47">
        <w:rPr>
          <w:rFonts w:eastAsia="Calibri"/>
          <w:sz w:val="20"/>
          <w:szCs w:val="20"/>
        </w:rPr>
        <w:t>2/3/2026</w:t>
      </w:r>
    </w:p>
    <w:p w14:paraId="4BE93779" w14:textId="4476E6B6" w:rsidR="00146F47" w:rsidRPr="004130F5" w:rsidRDefault="00146F47">
      <w:pPr>
        <w:spacing w:after="160" w:line="259" w:lineRule="auto"/>
        <w:rPr>
          <w:sz w:val="18"/>
          <w:szCs w:val="18"/>
        </w:rPr>
      </w:pPr>
    </w:p>
    <w:sectPr w:rsidR="00146F47" w:rsidRPr="004130F5" w:rsidSect="004130F5">
      <w:headerReference w:type="default" r:id="rId13"/>
      <w:footerReference w:type="default" r:id="rId14"/>
      <w:type w:val="continuous"/>
      <w:pgSz w:w="12240" w:h="15840"/>
      <w:pgMar w:top="117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E6248" w14:textId="77777777" w:rsidR="008666B9" w:rsidRDefault="008666B9">
      <w:r>
        <w:separator/>
      </w:r>
    </w:p>
  </w:endnote>
  <w:endnote w:type="continuationSeparator" w:id="0">
    <w:p w14:paraId="60253288" w14:textId="77777777" w:rsidR="008666B9" w:rsidRDefault="008666B9">
      <w:r>
        <w:continuationSeparator/>
      </w:r>
    </w:p>
  </w:endnote>
  <w:endnote w:type="continuationNotice" w:id="1">
    <w:p w14:paraId="25D25605" w14:textId="77777777" w:rsidR="008666B9" w:rsidRDefault="00866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4540100"/>
      <w:docPartObj>
        <w:docPartGallery w:val="Page Numbers (Bottom of Page)"/>
        <w:docPartUnique/>
      </w:docPartObj>
    </w:sdtPr>
    <w:sdtEndPr>
      <w:rPr>
        <w:noProof/>
      </w:rPr>
    </w:sdtEndPr>
    <w:sdtContent>
      <w:p w14:paraId="4C2CDDDB" w14:textId="40AEC61E" w:rsidR="00D54FC6" w:rsidRDefault="00D54FC6">
        <w:pPr>
          <w:pStyle w:val="Footer"/>
          <w:jc w:val="center"/>
        </w:pPr>
        <w:r w:rsidRPr="00C56AED">
          <w:fldChar w:fldCharType="begin"/>
        </w:r>
        <w:r w:rsidRPr="00C56AED">
          <w:instrText xml:space="preserve"> PAGE   \* MERGEFORMAT </w:instrText>
        </w:r>
        <w:r w:rsidRPr="00C56AED">
          <w:fldChar w:fldCharType="separate"/>
        </w:r>
        <w:r w:rsidR="00C05495">
          <w:rPr>
            <w:noProof/>
          </w:rPr>
          <w:t>24</w:t>
        </w:r>
        <w:r w:rsidRPr="00C56AED">
          <w:rPr>
            <w:noProof/>
          </w:rPr>
          <w:fldChar w:fldCharType="end"/>
        </w:r>
      </w:p>
    </w:sdtContent>
  </w:sdt>
  <w:p w14:paraId="70480375" w14:textId="77777777" w:rsidR="00D54FC6" w:rsidRDefault="00D54F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925E310" w14:textId="1741E9A2" w:rsidR="0038658B" w:rsidRDefault="0038658B">
        <w:pPr>
          <w:pStyle w:val="Footer"/>
          <w:jc w:val="center"/>
        </w:pPr>
        <w:r>
          <w:fldChar w:fldCharType="begin"/>
        </w:r>
        <w:r>
          <w:instrText xml:space="preserve"> PAGE   \* MERGEFORMAT </w:instrText>
        </w:r>
        <w:r>
          <w:fldChar w:fldCharType="separate"/>
        </w:r>
        <w:r w:rsidR="00C05495">
          <w:rPr>
            <w:noProof/>
          </w:rPr>
          <w:t>26</w:t>
        </w:r>
        <w:r>
          <w:rPr>
            <w:noProof/>
          </w:rPr>
          <w:fldChar w:fldCharType="end"/>
        </w:r>
      </w:p>
    </w:sdtContent>
  </w:sdt>
  <w:p w14:paraId="0D848A39" w14:textId="77777777" w:rsidR="0038658B" w:rsidRDefault="0038658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65EF7D6" w14:textId="77777777" w:rsidR="0038658B" w:rsidRDefault="003865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567CA0" w14:textId="77777777" w:rsidR="0038658B" w:rsidRDefault="0038658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6841977"/>
      <w:docPartObj>
        <w:docPartGallery w:val="Page Numbers (Bottom of Page)"/>
        <w:docPartUnique/>
      </w:docPartObj>
    </w:sdtPr>
    <w:sdtEndPr>
      <w:rPr>
        <w:noProof/>
      </w:rPr>
    </w:sdtEndPr>
    <w:sdtContent>
      <w:p w14:paraId="1D6122B5" w14:textId="59651575" w:rsidR="00D54FC6" w:rsidRDefault="00D54FC6" w:rsidP="004130F5">
        <w:pPr>
          <w:pStyle w:val="Footer"/>
          <w:ind w:firstLine="0"/>
          <w:jc w:val="center"/>
        </w:pPr>
        <w:r>
          <w:fldChar w:fldCharType="begin"/>
        </w:r>
        <w:r>
          <w:instrText xml:space="preserve"> PAGE   \* MERGEFORMAT </w:instrText>
        </w:r>
        <w:r>
          <w:fldChar w:fldCharType="separate"/>
        </w:r>
        <w:r w:rsidR="00C05495">
          <w:rPr>
            <w:noProof/>
          </w:rPr>
          <w:t>27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4A925" w14:textId="77777777" w:rsidR="008666B9" w:rsidRDefault="008666B9">
      <w:r>
        <w:separator/>
      </w:r>
    </w:p>
  </w:footnote>
  <w:footnote w:type="continuationSeparator" w:id="0">
    <w:p w14:paraId="472BA280" w14:textId="77777777" w:rsidR="008666B9" w:rsidRDefault="008666B9">
      <w:r>
        <w:continuationSeparator/>
      </w:r>
    </w:p>
  </w:footnote>
  <w:footnote w:type="continuationNotice" w:id="1">
    <w:p w14:paraId="2CF6F336" w14:textId="77777777" w:rsidR="008666B9" w:rsidRDefault="008666B9"/>
  </w:footnote>
  <w:footnote w:id="2">
    <w:p w14:paraId="34B7DE51" w14:textId="00F69BAA" w:rsidR="00F211AE" w:rsidRDefault="00F211AE" w:rsidP="00F211AE">
      <w:pPr>
        <w:pStyle w:val="FootnoteText"/>
      </w:pPr>
      <w:r>
        <w:rPr>
          <w:rStyle w:val="FootnoteReference"/>
        </w:rPr>
        <w:footnoteRef/>
      </w:r>
      <w:r>
        <w:t xml:space="preserve"> Jennifer Kates and Josh Michaud, “The New Federal Vaccine Schedule for Children: What Changed and What </w:t>
      </w:r>
      <w:r w:rsidR="00802B1C">
        <w:t xml:space="preserve">Are </w:t>
      </w:r>
      <w:r>
        <w:t>the Implications?” KFF (Jan.</w:t>
      </w:r>
      <w:r w:rsidR="000E7EC4">
        <w:t xml:space="preserve"> </w:t>
      </w:r>
      <w:r>
        <w:t xml:space="preserve">9, 2026), </w:t>
      </w:r>
      <w:r w:rsidRPr="00DD2018">
        <w:rPr>
          <w:i/>
          <w:iCs/>
        </w:rPr>
        <w:t>available at:</w:t>
      </w:r>
      <w:r>
        <w:t xml:space="preserve"> </w:t>
      </w:r>
      <w:hyperlink r:id="rId1" w:history="1">
        <w:r w:rsidRPr="00AF6F86">
          <w:rPr>
            <w:rStyle w:val="Hyperlink"/>
            <w:rFonts w:ascii="Times New Roman" w:hAnsi="Times New Roman"/>
            <w:sz w:val="20"/>
            <w:szCs w:val="20"/>
          </w:rPr>
          <w:t>https://www.kff.org/other-health/the-new-federal-vaccine-schedule-what-changed/</w:t>
        </w:r>
      </w:hyperlink>
      <w:r>
        <w:t xml:space="preserve"> (last visited Feb. 5, 2026) </w:t>
      </w:r>
    </w:p>
  </w:footnote>
  <w:footnote w:id="3">
    <w:p w14:paraId="209E5A17" w14:textId="71CF1ED9" w:rsidR="00C34E44" w:rsidRDefault="00C34E44">
      <w:pPr>
        <w:pStyle w:val="FootnoteText"/>
      </w:pPr>
      <w:r>
        <w:rPr>
          <w:rStyle w:val="FootnoteReference"/>
        </w:rPr>
        <w:footnoteRef/>
      </w:r>
      <w:r>
        <w:t xml:space="preserve"> </w:t>
      </w:r>
      <w:r w:rsidR="003E0812" w:rsidRPr="00215EE7">
        <w:rPr>
          <w:i/>
          <w:iCs/>
        </w:rPr>
        <w:t>Id.</w:t>
      </w:r>
    </w:p>
  </w:footnote>
  <w:footnote w:id="4">
    <w:p w14:paraId="0CD89AE0" w14:textId="77777777" w:rsidR="00333113" w:rsidRDefault="00333113" w:rsidP="00333113">
      <w:pPr>
        <w:pStyle w:val="FootnoteText"/>
      </w:pPr>
      <w:r>
        <w:rPr>
          <w:rStyle w:val="FootnoteReference"/>
        </w:rPr>
        <w:footnoteRef/>
      </w:r>
      <w:r>
        <w:t xml:space="preserve"> </w:t>
      </w:r>
      <w:r w:rsidRPr="00215EE7">
        <w:rPr>
          <w:i/>
          <w:iCs/>
        </w:rPr>
        <w:t>Id.</w:t>
      </w:r>
    </w:p>
  </w:footnote>
  <w:footnote w:id="5">
    <w:p w14:paraId="6CBA47DB" w14:textId="77777777" w:rsidR="00F211AE" w:rsidRDefault="00F211AE" w:rsidP="00F211AE">
      <w:pPr>
        <w:pStyle w:val="FootnoteText"/>
      </w:pPr>
      <w:r>
        <w:rPr>
          <w:rStyle w:val="FootnoteReference"/>
        </w:rPr>
        <w:footnoteRef/>
      </w:r>
      <w:r>
        <w:t xml:space="preserve"> </w:t>
      </w:r>
      <w:r w:rsidRPr="00215EE7">
        <w:rPr>
          <w:i/>
          <w:iCs/>
        </w:rPr>
        <w:t>Id.</w:t>
      </w:r>
    </w:p>
  </w:footnote>
  <w:footnote w:id="6">
    <w:p w14:paraId="41639D83" w14:textId="77777777" w:rsidR="00F211AE" w:rsidRDefault="00F211AE" w:rsidP="00F211AE">
      <w:pPr>
        <w:pStyle w:val="FootnoteText"/>
      </w:pPr>
      <w:r>
        <w:rPr>
          <w:rStyle w:val="FootnoteReference"/>
        </w:rPr>
        <w:footnoteRef/>
      </w:r>
      <w:r>
        <w:t xml:space="preserve"> </w:t>
      </w:r>
      <w:r w:rsidRPr="00215EE7">
        <w:rPr>
          <w:i/>
          <w:iCs/>
        </w:rPr>
        <w:t>Id.</w:t>
      </w:r>
    </w:p>
  </w:footnote>
  <w:footnote w:id="7">
    <w:p w14:paraId="259E754C" w14:textId="77777777" w:rsidR="00F211AE" w:rsidRDefault="00F211AE" w:rsidP="00F211AE">
      <w:pPr>
        <w:pStyle w:val="FootnoteText"/>
      </w:pPr>
      <w:r>
        <w:rPr>
          <w:rStyle w:val="FootnoteReference"/>
        </w:rPr>
        <w:footnoteRef/>
      </w:r>
      <w:r>
        <w:t xml:space="preserve"> </w:t>
      </w:r>
      <w:r w:rsidRPr="00215EE7">
        <w:rPr>
          <w:i/>
          <w:iCs/>
        </w:rPr>
        <w:t>Id.</w:t>
      </w:r>
    </w:p>
  </w:footnote>
  <w:footnote w:id="8">
    <w:p w14:paraId="4B069BC2" w14:textId="77777777" w:rsidR="00F211AE" w:rsidRDefault="00F211AE" w:rsidP="00F211AE">
      <w:pPr>
        <w:pStyle w:val="FootnoteText"/>
      </w:pPr>
      <w:r>
        <w:rPr>
          <w:rStyle w:val="FootnoteReference"/>
        </w:rPr>
        <w:footnoteRef/>
      </w:r>
      <w:r>
        <w:t xml:space="preserve"> </w:t>
      </w:r>
      <w:r w:rsidRPr="00215EE7">
        <w:rPr>
          <w:i/>
          <w:iCs/>
        </w:rPr>
        <w:t>Id.</w:t>
      </w:r>
    </w:p>
  </w:footnote>
  <w:footnote w:id="9">
    <w:p w14:paraId="57922F53" w14:textId="77777777" w:rsidR="00F211AE" w:rsidRDefault="00F211AE" w:rsidP="00F211AE">
      <w:pPr>
        <w:pStyle w:val="FootnoteText"/>
      </w:pPr>
      <w:r>
        <w:rPr>
          <w:rStyle w:val="FootnoteReference"/>
        </w:rPr>
        <w:footnoteRef/>
      </w:r>
      <w:r>
        <w:t xml:space="preserve"> </w:t>
      </w:r>
      <w:r w:rsidRPr="00215EE7">
        <w:rPr>
          <w:i/>
          <w:iCs/>
        </w:rPr>
        <w:t>Id.</w:t>
      </w:r>
    </w:p>
  </w:footnote>
  <w:footnote w:id="10">
    <w:p w14:paraId="1E2E78CB" w14:textId="77777777" w:rsidR="00F211AE" w:rsidRDefault="00F211AE" w:rsidP="00F211AE">
      <w:pPr>
        <w:pStyle w:val="FootnoteText"/>
      </w:pPr>
      <w:r>
        <w:rPr>
          <w:rStyle w:val="FootnoteReference"/>
        </w:rPr>
        <w:footnoteRef/>
      </w:r>
      <w:r>
        <w:t xml:space="preserve"> </w:t>
      </w:r>
      <w:r w:rsidRPr="00215EE7">
        <w:rPr>
          <w:i/>
          <w:iCs/>
        </w:rPr>
        <w:t>Id.</w:t>
      </w:r>
    </w:p>
  </w:footnote>
  <w:footnote w:id="11">
    <w:p w14:paraId="77DCBDF6" w14:textId="77777777" w:rsidR="00F211AE" w:rsidRDefault="00F211AE" w:rsidP="00F211AE">
      <w:pPr>
        <w:pStyle w:val="FootnoteText"/>
      </w:pPr>
      <w:r>
        <w:rPr>
          <w:rStyle w:val="FootnoteReference"/>
        </w:rPr>
        <w:footnoteRef/>
      </w:r>
      <w:r>
        <w:t xml:space="preserve"> </w:t>
      </w:r>
      <w:r w:rsidRPr="00215EE7">
        <w:rPr>
          <w:i/>
          <w:iCs/>
        </w:rPr>
        <w:t>Id.</w:t>
      </w:r>
    </w:p>
  </w:footnote>
  <w:footnote w:id="12">
    <w:p w14:paraId="6A708BBD" w14:textId="77777777" w:rsidR="00F211AE" w:rsidRDefault="00F211AE" w:rsidP="00F211AE">
      <w:pPr>
        <w:pStyle w:val="FootnoteText"/>
      </w:pPr>
      <w:r>
        <w:rPr>
          <w:rStyle w:val="FootnoteReference"/>
        </w:rPr>
        <w:footnoteRef/>
      </w:r>
      <w:r>
        <w:t xml:space="preserve"> </w:t>
      </w:r>
      <w:r w:rsidRPr="00215EE7">
        <w:rPr>
          <w:i/>
          <w:iCs/>
        </w:rPr>
        <w:t>Id.</w:t>
      </w:r>
    </w:p>
  </w:footnote>
  <w:footnote w:id="13">
    <w:p w14:paraId="7AADB7C9" w14:textId="77777777" w:rsidR="00F211AE" w:rsidRDefault="00F211AE" w:rsidP="00F211AE">
      <w:pPr>
        <w:pStyle w:val="FootnoteText"/>
      </w:pPr>
      <w:r>
        <w:rPr>
          <w:rStyle w:val="FootnoteReference"/>
        </w:rPr>
        <w:footnoteRef/>
      </w:r>
      <w:r>
        <w:t xml:space="preserve"> </w:t>
      </w:r>
      <w:r w:rsidRPr="00215EE7">
        <w:rPr>
          <w:i/>
          <w:iCs/>
        </w:rPr>
        <w:t>Id.</w:t>
      </w:r>
    </w:p>
  </w:footnote>
  <w:footnote w:id="14">
    <w:p w14:paraId="757089F6" w14:textId="77777777" w:rsidR="00F211AE" w:rsidRDefault="00F211AE" w:rsidP="00F211AE">
      <w:pPr>
        <w:pStyle w:val="FootnoteText"/>
      </w:pPr>
      <w:r>
        <w:rPr>
          <w:rStyle w:val="FootnoteReference"/>
        </w:rPr>
        <w:footnoteRef/>
      </w:r>
      <w:r>
        <w:t xml:space="preserve"> </w:t>
      </w:r>
      <w:r w:rsidRPr="00215EE7">
        <w:rPr>
          <w:i/>
          <w:iCs/>
        </w:rPr>
        <w:t>Id.</w:t>
      </w:r>
    </w:p>
  </w:footnote>
  <w:footnote w:id="15">
    <w:p w14:paraId="745B4640" w14:textId="77777777" w:rsidR="003D0B62" w:rsidRDefault="003D0B62" w:rsidP="003D0B62">
      <w:pPr>
        <w:pStyle w:val="FootnoteText"/>
      </w:pPr>
      <w:r>
        <w:rPr>
          <w:rStyle w:val="FootnoteReference"/>
        </w:rPr>
        <w:footnoteRef/>
      </w:r>
      <w:r>
        <w:t xml:space="preserve"> </w:t>
      </w:r>
      <w:r w:rsidRPr="00215EE7">
        <w:rPr>
          <w:i/>
          <w:iCs/>
        </w:rPr>
        <w:t>Id.</w:t>
      </w:r>
    </w:p>
  </w:footnote>
  <w:footnote w:id="16">
    <w:p w14:paraId="6CA30A3F" w14:textId="77777777" w:rsidR="003D0B62" w:rsidRDefault="003D0B62" w:rsidP="003D0B62">
      <w:pPr>
        <w:pStyle w:val="FootnoteText"/>
      </w:pPr>
      <w:r>
        <w:rPr>
          <w:rStyle w:val="FootnoteReference"/>
        </w:rPr>
        <w:footnoteRef/>
      </w:r>
      <w:r>
        <w:t xml:space="preserve"> </w:t>
      </w:r>
      <w:r w:rsidRPr="00215EE7">
        <w:rPr>
          <w:i/>
          <w:iCs/>
        </w:rPr>
        <w:t>Id.</w:t>
      </w:r>
    </w:p>
  </w:footnote>
  <w:footnote w:id="17">
    <w:p w14:paraId="45CCFC9C" w14:textId="77777777" w:rsidR="003D0B62" w:rsidRDefault="003D0B62" w:rsidP="003D0B62">
      <w:pPr>
        <w:pStyle w:val="FootnoteText"/>
      </w:pPr>
      <w:r>
        <w:rPr>
          <w:rStyle w:val="FootnoteReference"/>
        </w:rPr>
        <w:footnoteRef/>
      </w:r>
      <w:r>
        <w:t xml:space="preserve"> </w:t>
      </w:r>
      <w:r w:rsidRPr="00215EE7">
        <w:rPr>
          <w:i/>
          <w:iCs/>
        </w:rPr>
        <w:t>Id.</w:t>
      </w:r>
      <w:r>
        <w:rPr>
          <w:i/>
          <w:iCs/>
        </w:rPr>
        <w:t xml:space="preserve"> </w:t>
      </w:r>
    </w:p>
  </w:footnote>
  <w:footnote w:id="18">
    <w:p w14:paraId="79698A97" w14:textId="77777777" w:rsidR="00F211AE" w:rsidRDefault="00F211AE" w:rsidP="00F211AE">
      <w:pPr>
        <w:pStyle w:val="FootnoteText"/>
      </w:pPr>
      <w:r>
        <w:rPr>
          <w:rStyle w:val="FootnoteReference"/>
        </w:rPr>
        <w:footnoteRef/>
      </w:r>
      <w:r>
        <w:t xml:space="preserve"> New York City Department of Health and Mental Hygiene (DOHMH), “Statement from Acting NYC Health Commissioner Dr. Michelle Morse on RFK’s Revised Childhood Vaccine Schedule,” (Jan. 6, 2026) </w:t>
      </w:r>
      <w:r w:rsidRPr="00633FB7">
        <w:rPr>
          <w:i/>
          <w:iCs/>
        </w:rPr>
        <w:t>available at:</w:t>
      </w:r>
      <w:r w:rsidRPr="00633FB7">
        <w:t xml:space="preserve"> </w:t>
      </w:r>
      <w:hyperlink r:id="rId2" w:history="1">
        <w:r w:rsidRPr="00AF6F86">
          <w:rPr>
            <w:rStyle w:val="Hyperlink"/>
            <w:rFonts w:ascii="Times New Roman" w:hAnsi="Times New Roman"/>
            <w:sz w:val="20"/>
            <w:szCs w:val="20"/>
          </w:rPr>
          <w:t>https://www.nyc.gov/assets/doh/downloads/pdf/press/2026/01062026-childhood-vaccine-schedule.pdf</w:t>
        </w:r>
      </w:hyperlink>
      <w:r>
        <w:t xml:space="preserve"> (last visited Feb. 5, 2026)</w:t>
      </w:r>
    </w:p>
  </w:footnote>
  <w:footnote w:id="19">
    <w:p w14:paraId="60F6B62B" w14:textId="77777777" w:rsidR="00F211AE" w:rsidRDefault="00F211AE" w:rsidP="00F211AE">
      <w:pPr>
        <w:pStyle w:val="FootnoteText"/>
      </w:pPr>
      <w:r>
        <w:rPr>
          <w:rStyle w:val="FootnoteReference"/>
        </w:rPr>
        <w:footnoteRef/>
      </w:r>
      <w:r>
        <w:t xml:space="preserve"> </w:t>
      </w:r>
      <w:r w:rsidRPr="00633FB7">
        <w:rPr>
          <w:i/>
          <w:iCs/>
        </w:rPr>
        <w:t>Id.</w:t>
      </w:r>
    </w:p>
  </w:footnote>
  <w:footnote w:id="20">
    <w:p w14:paraId="73B77E70" w14:textId="77777777" w:rsidR="00F211AE" w:rsidRDefault="00F211AE" w:rsidP="00F211AE">
      <w:pPr>
        <w:pStyle w:val="FootnoteText"/>
      </w:pPr>
      <w:r>
        <w:rPr>
          <w:rStyle w:val="FootnoteReference"/>
        </w:rPr>
        <w:footnoteRef/>
      </w:r>
      <w:r>
        <w:t xml:space="preserve"> New York City Department of Health and Mental Hygiene (DOHMH), “New York City and State Health Departments Endorse 2026 American Academy of Pediatrics Recommended Childhood and Adolescent Immunization Schedule,” (Jan. 29, 2026) </w:t>
      </w:r>
      <w:r w:rsidRPr="00633FB7">
        <w:rPr>
          <w:i/>
          <w:iCs/>
        </w:rPr>
        <w:t>available at</w:t>
      </w:r>
      <w:r>
        <w:t xml:space="preserve">: </w:t>
      </w:r>
      <w:hyperlink r:id="rId3" w:history="1">
        <w:r w:rsidRPr="00AF6F86">
          <w:rPr>
            <w:rStyle w:val="Hyperlink"/>
            <w:rFonts w:ascii="Times New Roman" w:hAnsi="Times New Roman"/>
            <w:sz w:val="20"/>
            <w:szCs w:val="20"/>
          </w:rPr>
          <w:t>https://www.nyc.gov/site/doh/about/press/pr2026/nyc-and-nys-health-departments-endorse-2026-aap-immunization-schedule.page</w:t>
        </w:r>
      </w:hyperlink>
      <w:r>
        <w:t xml:space="preserve"> (last visited Feb. 5, 2026)</w:t>
      </w:r>
    </w:p>
  </w:footnote>
  <w:footnote w:id="21">
    <w:p w14:paraId="617A8153" w14:textId="77777777" w:rsidR="00F211AE" w:rsidRDefault="00F211AE" w:rsidP="00F211AE">
      <w:pPr>
        <w:pStyle w:val="FootnoteText"/>
      </w:pPr>
      <w:r>
        <w:rPr>
          <w:rStyle w:val="FootnoteReference"/>
        </w:rPr>
        <w:footnoteRef/>
      </w:r>
      <w:r>
        <w:t xml:space="preserve"> </w:t>
      </w:r>
      <w:r w:rsidRPr="00633FB7">
        <w:rPr>
          <w:i/>
          <w:iCs/>
        </w:rPr>
        <w:t>Id.</w:t>
      </w:r>
    </w:p>
  </w:footnote>
  <w:footnote w:id="22">
    <w:p w14:paraId="33C04A0F" w14:textId="77777777" w:rsidR="00F211AE" w:rsidRDefault="00F211AE" w:rsidP="00F211AE">
      <w:pPr>
        <w:pStyle w:val="FootnoteText"/>
      </w:pPr>
      <w:r>
        <w:rPr>
          <w:rStyle w:val="FootnoteReference"/>
        </w:rPr>
        <w:footnoteRef/>
      </w:r>
      <w:r>
        <w:t xml:space="preserve"> </w:t>
      </w:r>
      <w:r w:rsidRPr="00633FB7">
        <w:rPr>
          <w:i/>
          <w:iCs/>
        </w:rPr>
        <w:t>Id.</w:t>
      </w:r>
    </w:p>
  </w:footnote>
  <w:footnote w:id="23">
    <w:p w14:paraId="72E5F36B" w14:textId="77777777" w:rsidR="00F211AE" w:rsidRDefault="00F211AE" w:rsidP="00F211AE">
      <w:pPr>
        <w:pStyle w:val="FootnoteText"/>
      </w:pPr>
      <w:r>
        <w:rPr>
          <w:rStyle w:val="FootnoteReference"/>
        </w:rPr>
        <w:footnoteRef/>
      </w:r>
      <w:r>
        <w:t xml:space="preserve"> </w:t>
      </w:r>
      <w:r w:rsidRPr="00633FB7">
        <w:rPr>
          <w:i/>
          <w:iCs/>
        </w:rPr>
        <w:t>Supra</w:t>
      </w:r>
      <w:r>
        <w:t>, note 1</w:t>
      </w:r>
    </w:p>
  </w:footnote>
  <w:footnote w:id="24">
    <w:p w14:paraId="7AB84521" w14:textId="77777777" w:rsidR="00F211AE" w:rsidRDefault="00F211AE" w:rsidP="00F211AE">
      <w:pPr>
        <w:pStyle w:val="FootnoteText"/>
      </w:pPr>
      <w:r>
        <w:rPr>
          <w:rStyle w:val="FootnoteReference"/>
        </w:rPr>
        <w:footnoteRef/>
      </w:r>
      <w:r>
        <w:t xml:space="preserve"> </w:t>
      </w:r>
      <w:r w:rsidRPr="00633FB7">
        <w:rPr>
          <w:i/>
          <w:iCs/>
        </w:rPr>
        <w:t>Id.</w:t>
      </w:r>
    </w:p>
  </w:footnote>
  <w:footnote w:id="25">
    <w:p w14:paraId="0A410D89" w14:textId="77777777" w:rsidR="00CB40DD" w:rsidRPr="00624BEF" w:rsidRDefault="00CB40DD">
      <w:pPr>
        <w:pStyle w:val="FootnoteText"/>
        <w:rPr>
          <w:i/>
        </w:rPr>
      </w:pPr>
      <w:r>
        <w:rPr>
          <w:rStyle w:val="FootnoteReference"/>
        </w:rPr>
        <w:footnoteRef/>
      </w:r>
      <w:r>
        <w:t xml:space="preserve"> </w:t>
      </w:r>
      <w:r>
        <w:rPr>
          <w:i/>
        </w:rPr>
        <w:t>Id.</w:t>
      </w:r>
    </w:p>
  </w:footnote>
  <w:footnote w:id="26">
    <w:p w14:paraId="7CB0EEB2" w14:textId="3C2C2111" w:rsidR="00D42943" w:rsidRDefault="00D42943">
      <w:pPr>
        <w:pStyle w:val="FootnoteText"/>
      </w:pPr>
      <w:r>
        <w:rPr>
          <w:rStyle w:val="FootnoteReference"/>
        </w:rPr>
        <w:footnoteRef/>
      </w:r>
      <w:r>
        <w:t xml:space="preserve"> </w:t>
      </w:r>
      <w:r w:rsidR="00E41707">
        <w:t>New York City Department of Health and Mental Hygiene (DOHMH), “Immunization Clinics</w:t>
      </w:r>
      <w:r w:rsidR="00A52B22">
        <w:t>,</w:t>
      </w:r>
      <w:r w:rsidR="00E41707">
        <w:t>”</w:t>
      </w:r>
      <w:r w:rsidR="001B5920">
        <w:t xml:space="preserve"> </w:t>
      </w:r>
      <w:r w:rsidR="00A52B22" w:rsidRPr="00B25E8B">
        <w:rPr>
          <w:i/>
          <w:iCs/>
        </w:rPr>
        <w:t>available at:</w:t>
      </w:r>
      <w:r w:rsidR="001B5920" w:rsidRPr="00B25E8B">
        <w:rPr>
          <w:i/>
          <w:iCs/>
        </w:rPr>
        <w:t xml:space="preserve"> </w:t>
      </w:r>
      <w:hyperlink r:id="rId4" w:history="1">
        <w:r w:rsidR="001B5920" w:rsidRPr="00EC0D77">
          <w:rPr>
            <w:rStyle w:val="Hyperlink"/>
            <w:rFonts w:ascii="Times New Roman" w:hAnsi="Times New Roman"/>
            <w:sz w:val="20"/>
            <w:szCs w:val="20"/>
          </w:rPr>
          <w:t>https://www.nyc.gov/site/doh/services/immunization-clinics.page</w:t>
        </w:r>
      </w:hyperlink>
      <w:r w:rsidR="001B5920">
        <w:t xml:space="preserve"> (last visited Feb</w:t>
      </w:r>
      <w:r w:rsidR="000C1B6A">
        <w:t>.</w:t>
      </w:r>
      <w:r w:rsidR="001B5920">
        <w:t xml:space="preserve"> 5, 2026).</w:t>
      </w:r>
    </w:p>
  </w:footnote>
  <w:footnote w:id="27">
    <w:p w14:paraId="2AC23021" w14:textId="77777777" w:rsidR="00F211AE" w:rsidRDefault="00F211AE" w:rsidP="00F211AE">
      <w:pPr>
        <w:pStyle w:val="FootnoteText"/>
      </w:pPr>
      <w:r>
        <w:rPr>
          <w:rStyle w:val="FootnoteReference"/>
        </w:rPr>
        <w:footnoteRef/>
      </w:r>
      <w:r>
        <w:t xml:space="preserve"> New York City Department of Health and Mental Hygiene (DOHMH), “Immunization Clinics,” </w:t>
      </w:r>
      <w:r w:rsidRPr="00633FB7">
        <w:rPr>
          <w:i/>
          <w:iCs/>
        </w:rPr>
        <w:t xml:space="preserve">available at: </w:t>
      </w:r>
      <w:hyperlink r:id="rId5" w:history="1">
        <w:r w:rsidRPr="00AF6F86">
          <w:rPr>
            <w:rStyle w:val="Hyperlink"/>
            <w:rFonts w:ascii="Times New Roman" w:hAnsi="Times New Roman"/>
            <w:sz w:val="20"/>
            <w:szCs w:val="20"/>
          </w:rPr>
          <w:t>https://www.nyc.gov/site/doh/services/immunization-clinics.page</w:t>
        </w:r>
      </w:hyperlink>
      <w:r>
        <w:t xml:space="preserve"> (last visited Feb. 5, 2026).</w:t>
      </w:r>
    </w:p>
  </w:footnote>
  <w:footnote w:id="28">
    <w:p w14:paraId="76BD396D" w14:textId="77777777" w:rsidR="00F211AE" w:rsidRDefault="00F211AE" w:rsidP="00F211AE">
      <w:pPr>
        <w:pStyle w:val="FootnoteText"/>
      </w:pPr>
      <w:r>
        <w:rPr>
          <w:rStyle w:val="FootnoteReference"/>
        </w:rPr>
        <w:footnoteRef/>
      </w:r>
      <w:r>
        <w:t xml:space="preserve"> New York City Department of Health and Mental Hygiene (DOHMH), “Neighborhood Health Services,” </w:t>
      </w:r>
      <w:r w:rsidRPr="00207566">
        <w:rPr>
          <w:i/>
          <w:iCs/>
        </w:rPr>
        <w:t>available at:</w:t>
      </w:r>
      <w:r>
        <w:t xml:space="preserve"> </w:t>
      </w:r>
      <w:hyperlink r:id="rId6" w:history="1">
        <w:r w:rsidRPr="00AF6F86">
          <w:rPr>
            <w:rStyle w:val="Hyperlink"/>
            <w:rFonts w:ascii="Times New Roman" w:hAnsi="Times New Roman"/>
            <w:sz w:val="20"/>
            <w:szCs w:val="20"/>
          </w:rPr>
          <w:t>https://www.nyc.gov/site/doh/health/neighborhood-health/neighborhood-health-action-centers.page</w:t>
        </w:r>
      </w:hyperlink>
      <w:r>
        <w:t xml:space="preserve"> (last visited Feb. 5, 2026).</w:t>
      </w:r>
    </w:p>
  </w:footnote>
  <w:footnote w:id="29">
    <w:p w14:paraId="545109D3" w14:textId="77777777" w:rsidR="00F211AE" w:rsidRDefault="00F211AE" w:rsidP="00F211AE">
      <w:pPr>
        <w:pStyle w:val="FootnoteText"/>
      </w:pPr>
      <w:r>
        <w:rPr>
          <w:rStyle w:val="FootnoteReference"/>
        </w:rPr>
        <w:footnoteRef/>
      </w:r>
      <w:r>
        <w:t xml:space="preserve"> New York City Department of Health and Mental Hygiene (DOHMH), “Vaccines for Children (VFC)” </w:t>
      </w:r>
      <w:r w:rsidRPr="006251D9">
        <w:rPr>
          <w:i/>
          <w:iCs/>
        </w:rPr>
        <w:t>available at:</w:t>
      </w:r>
      <w:r>
        <w:t xml:space="preserve"> </w:t>
      </w:r>
      <w:hyperlink r:id="rId7" w:history="1">
        <w:r w:rsidRPr="00AF6F86">
          <w:rPr>
            <w:rStyle w:val="Hyperlink"/>
            <w:rFonts w:ascii="Times New Roman" w:hAnsi="Times New Roman"/>
            <w:sz w:val="20"/>
            <w:szCs w:val="20"/>
          </w:rPr>
          <w:t>https://www.nyc.gov/site/doh/providers/nyc-med-cir/vaccines-for-children-program.page</w:t>
        </w:r>
      </w:hyperlink>
      <w:r>
        <w:t xml:space="preserve"> (last visited Feb. 5, 2026). </w:t>
      </w:r>
    </w:p>
  </w:footnote>
  <w:footnote w:id="30">
    <w:p w14:paraId="43F2CDFA" w14:textId="77777777" w:rsidR="00F211AE" w:rsidRDefault="00F211AE" w:rsidP="00F211AE">
      <w:pPr>
        <w:pStyle w:val="FootnoteText"/>
      </w:pPr>
      <w:r>
        <w:rPr>
          <w:rStyle w:val="FootnoteReference"/>
        </w:rPr>
        <w:footnoteRef/>
      </w:r>
      <w:r>
        <w:t xml:space="preserve"> </w:t>
      </w:r>
      <w:r w:rsidRPr="00633FB7">
        <w:rPr>
          <w:i/>
          <w:iCs/>
        </w:rPr>
        <w:t>Id.</w:t>
      </w:r>
    </w:p>
  </w:footnote>
  <w:footnote w:id="31">
    <w:p w14:paraId="54D4BFFE" w14:textId="77777777" w:rsidR="00F211AE" w:rsidRDefault="00F211AE" w:rsidP="00F211AE">
      <w:pPr>
        <w:pStyle w:val="FootnoteText"/>
      </w:pPr>
      <w:r>
        <w:rPr>
          <w:rStyle w:val="FootnoteReference"/>
        </w:rPr>
        <w:footnoteRef/>
      </w:r>
      <w:r>
        <w:t xml:space="preserve"> NYC Health + Hospitals Gotham Health, “Pediatric Services,” </w:t>
      </w:r>
      <w:r w:rsidRPr="006251D9">
        <w:rPr>
          <w:i/>
          <w:iCs/>
        </w:rPr>
        <w:t>available at:</w:t>
      </w:r>
      <w:r>
        <w:t xml:space="preserve"> </w:t>
      </w:r>
      <w:hyperlink r:id="rId8" w:history="1">
        <w:r w:rsidRPr="00AF6F86">
          <w:rPr>
            <w:rStyle w:val="Hyperlink"/>
            <w:rFonts w:ascii="Times New Roman" w:hAnsi="Times New Roman"/>
            <w:sz w:val="20"/>
            <w:szCs w:val="20"/>
          </w:rPr>
          <w:t>https://www.nychealthandhospitals.org/gotham-health/our-services/pediatric-services/</w:t>
        </w:r>
      </w:hyperlink>
      <w:r>
        <w:t xml:space="preserve"> (last visited Feb. 5, 2026). </w:t>
      </w:r>
    </w:p>
  </w:footnote>
  <w:footnote w:id="32">
    <w:p w14:paraId="00D65AC1" w14:textId="77777777" w:rsidR="00591320" w:rsidRPr="00C948E9" w:rsidRDefault="00591320" w:rsidP="00591320">
      <w:pPr>
        <w:pStyle w:val="FootnoteText"/>
        <w:rPr>
          <w:i/>
          <w:iCs/>
        </w:rPr>
      </w:pPr>
      <w:r w:rsidRPr="00C948E9">
        <w:rPr>
          <w:rStyle w:val="FootnoteReference"/>
        </w:rPr>
        <w:footnoteRef/>
      </w:r>
      <w:r w:rsidRPr="00C948E9">
        <w:t xml:space="preserve"> Department of Health and Mental Hygiene, “Childhood Vaccination Data Explorer”, </w:t>
      </w:r>
      <w:r w:rsidRPr="00C948E9">
        <w:rPr>
          <w:i/>
          <w:iCs/>
        </w:rPr>
        <w:t>available at</w:t>
      </w:r>
      <w:r w:rsidRPr="00C948E9">
        <w:t xml:space="preserve">: </w:t>
      </w:r>
      <w:hyperlink r:id="rId9" w:history="1">
        <w:r w:rsidRPr="00C948E9">
          <w:rPr>
            <w:rStyle w:val="Hyperlink"/>
            <w:rFonts w:ascii="Times New Roman" w:hAnsi="Times New Roman"/>
            <w:sz w:val="20"/>
            <w:szCs w:val="20"/>
          </w:rPr>
          <w:t>https://www.nyc.gov/site/doh/data/data-sets/childhood-vaccination-data.page</w:t>
        </w:r>
      </w:hyperlink>
      <w:r w:rsidRPr="00C948E9">
        <w:t xml:space="preserve"> (last visited Feb. 5, 2026).</w:t>
      </w:r>
    </w:p>
  </w:footnote>
  <w:footnote w:id="33">
    <w:p w14:paraId="3A644BAC" w14:textId="77777777" w:rsidR="00591320" w:rsidRPr="00692E51" w:rsidRDefault="00591320" w:rsidP="00591320">
      <w:pPr>
        <w:pStyle w:val="FootnoteText"/>
      </w:pPr>
      <w:r w:rsidRPr="00C948E9">
        <w:rPr>
          <w:rStyle w:val="FootnoteReference"/>
        </w:rPr>
        <w:footnoteRef/>
      </w:r>
      <w:r w:rsidRPr="00C948E9">
        <w:t xml:space="preserve"> </w:t>
      </w:r>
      <w:r w:rsidRPr="00C948E9">
        <w:rPr>
          <w:i/>
          <w:iCs/>
        </w:rPr>
        <w:t>Id</w:t>
      </w:r>
      <w:r w:rsidRPr="00C948E9">
        <w:t>.</w:t>
      </w:r>
    </w:p>
  </w:footnote>
  <w:footnote w:id="34">
    <w:p w14:paraId="34B7C9BF" w14:textId="77777777" w:rsidR="00591320" w:rsidRPr="00203E06" w:rsidRDefault="00591320" w:rsidP="00591320">
      <w:pPr>
        <w:pStyle w:val="FootnoteText"/>
      </w:pPr>
      <w:r>
        <w:rPr>
          <w:rStyle w:val="FootnoteReference"/>
        </w:rPr>
        <w:footnoteRef/>
      </w:r>
      <w:r>
        <w:t xml:space="preserve"> </w:t>
      </w:r>
      <w:r>
        <w:rPr>
          <w:i/>
          <w:iCs/>
        </w:rPr>
        <w:t>Id</w:t>
      </w:r>
      <w:r>
        <w:t>.</w:t>
      </w:r>
    </w:p>
  </w:footnote>
  <w:footnote w:id="35">
    <w:p w14:paraId="09C3758A" w14:textId="77777777" w:rsidR="00591320" w:rsidRPr="00AE6D49" w:rsidRDefault="00591320" w:rsidP="00591320">
      <w:pPr>
        <w:pStyle w:val="FootnoteText"/>
      </w:pPr>
      <w:r>
        <w:rPr>
          <w:rStyle w:val="FootnoteReference"/>
        </w:rPr>
        <w:footnoteRef/>
      </w:r>
      <w:r>
        <w:t xml:space="preserve"> </w:t>
      </w:r>
      <w:r>
        <w:rPr>
          <w:i/>
          <w:iCs/>
        </w:rPr>
        <w:t>Id</w:t>
      </w:r>
      <w:r>
        <w:t>.</w:t>
      </w:r>
    </w:p>
  </w:footnote>
  <w:footnote w:id="36">
    <w:p w14:paraId="2A80D7BF" w14:textId="77777777" w:rsidR="00591320" w:rsidRPr="00AE6D49" w:rsidRDefault="00591320" w:rsidP="00591320">
      <w:pPr>
        <w:pStyle w:val="FootnoteText"/>
      </w:pPr>
      <w:r>
        <w:rPr>
          <w:rStyle w:val="FootnoteReference"/>
        </w:rPr>
        <w:footnoteRef/>
      </w:r>
      <w:r>
        <w:t xml:space="preserve"> </w:t>
      </w:r>
      <w:r>
        <w:rPr>
          <w:i/>
          <w:iCs/>
        </w:rPr>
        <w:t>Id</w:t>
      </w:r>
      <w:r>
        <w:t>.</w:t>
      </w:r>
    </w:p>
  </w:footnote>
  <w:footnote w:id="37">
    <w:p w14:paraId="2BE17F19" w14:textId="77777777" w:rsidR="00591320" w:rsidRPr="00B65D95" w:rsidRDefault="00591320" w:rsidP="00591320">
      <w:pPr>
        <w:pStyle w:val="FootnoteText"/>
      </w:pPr>
      <w:r>
        <w:rPr>
          <w:rStyle w:val="FootnoteReference"/>
        </w:rPr>
        <w:footnoteRef/>
      </w:r>
      <w:r>
        <w:t xml:space="preserve"> </w:t>
      </w:r>
      <w:r>
        <w:rPr>
          <w:i/>
          <w:iCs/>
        </w:rPr>
        <w:t>Id</w:t>
      </w:r>
      <w:r>
        <w:t>.</w:t>
      </w:r>
    </w:p>
  </w:footnote>
  <w:footnote w:id="38">
    <w:p w14:paraId="04D5AB37" w14:textId="77777777" w:rsidR="00591320" w:rsidRPr="00AB5422" w:rsidRDefault="00591320" w:rsidP="00591320">
      <w:pPr>
        <w:pStyle w:val="FootnoteText"/>
      </w:pPr>
      <w:r>
        <w:rPr>
          <w:rStyle w:val="FootnoteReference"/>
        </w:rPr>
        <w:footnoteRef/>
      </w:r>
      <w:r>
        <w:t xml:space="preserve"> </w:t>
      </w:r>
      <w:r>
        <w:rPr>
          <w:i/>
          <w:iCs/>
        </w:rPr>
        <w:t>Id</w:t>
      </w:r>
      <w:r>
        <w:t>.</w:t>
      </w:r>
    </w:p>
  </w:footnote>
  <w:footnote w:id="39">
    <w:p w14:paraId="14161B40" w14:textId="77777777" w:rsidR="00591320" w:rsidRPr="00D702A4" w:rsidRDefault="00591320" w:rsidP="00591320">
      <w:pPr>
        <w:pStyle w:val="FootnoteText"/>
      </w:pPr>
      <w:r>
        <w:rPr>
          <w:rStyle w:val="FootnoteReference"/>
        </w:rPr>
        <w:footnoteRef/>
      </w:r>
      <w:r>
        <w:t xml:space="preserve"> </w:t>
      </w:r>
      <w:r>
        <w:rPr>
          <w:i/>
          <w:iCs/>
        </w:rPr>
        <w:t>Id</w:t>
      </w:r>
      <w:r>
        <w:t>.</w:t>
      </w:r>
    </w:p>
  </w:footnote>
  <w:footnote w:id="40">
    <w:p w14:paraId="2F20178E" w14:textId="77777777" w:rsidR="00CB40DD" w:rsidRPr="001A75D6" w:rsidRDefault="00CB40DD">
      <w:pPr>
        <w:pStyle w:val="FootnoteText"/>
        <w:rPr>
          <w:i/>
        </w:rPr>
      </w:pPr>
      <w:r>
        <w:rPr>
          <w:rStyle w:val="FootnoteReference"/>
        </w:rPr>
        <w:footnoteRef/>
      </w:r>
      <w:r>
        <w:t xml:space="preserve"> </w:t>
      </w:r>
      <w:r>
        <w:rPr>
          <w:i/>
        </w:rPr>
        <w:t>Id.</w:t>
      </w:r>
    </w:p>
  </w:footnote>
  <w:footnote w:id="41">
    <w:p w14:paraId="7D3469FD" w14:textId="77777777" w:rsidR="00591320" w:rsidRPr="00DA7A3B" w:rsidRDefault="00591320" w:rsidP="00591320">
      <w:pPr>
        <w:pStyle w:val="FootnoteText"/>
      </w:pPr>
      <w:r>
        <w:rPr>
          <w:rStyle w:val="FootnoteReference"/>
        </w:rPr>
        <w:footnoteRef/>
      </w:r>
      <w:r>
        <w:t xml:space="preserve"> </w:t>
      </w:r>
      <w:r>
        <w:rPr>
          <w:i/>
          <w:iCs/>
        </w:rPr>
        <w:t>Id</w:t>
      </w:r>
      <w:r>
        <w:t>.</w:t>
      </w:r>
    </w:p>
  </w:footnote>
  <w:footnote w:id="42">
    <w:p w14:paraId="5ED31315" w14:textId="77777777" w:rsidR="00591320" w:rsidRPr="001B4B25" w:rsidRDefault="00591320" w:rsidP="00591320">
      <w:pPr>
        <w:pStyle w:val="FootnoteText"/>
      </w:pPr>
      <w:r>
        <w:rPr>
          <w:rStyle w:val="FootnoteReference"/>
        </w:rPr>
        <w:footnoteRef/>
      </w:r>
      <w:r>
        <w:t xml:space="preserve"> </w:t>
      </w:r>
      <w:r>
        <w:rPr>
          <w:i/>
          <w:iCs/>
        </w:rPr>
        <w:t>Id</w:t>
      </w:r>
      <w:r>
        <w:t>.</w:t>
      </w:r>
    </w:p>
  </w:footnote>
  <w:footnote w:id="43">
    <w:p w14:paraId="628FF65A" w14:textId="77777777" w:rsidR="00591320" w:rsidRPr="00CD0B88" w:rsidRDefault="00591320" w:rsidP="00591320">
      <w:pPr>
        <w:pStyle w:val="FootnoteText"/>
      </w:pPr>
      <w:r>
        <w:rPr>
          <w:rStyle w:val="FootnoteReference"/>
        </w:rPr>
        <w:footnoteRef/>
      </w:r>
      <w:r>
        <w:t xml:space="preserve"> </w:t>
      </w:r>
      <w:r>
        <w:rPr>
          <w:i/>
          <w:iCs/>
        </w:rPr>
        <w:t>Id</w:t>
      </w:r>
      <w:r>
        <w:t>.</w:t>
      </w:r>
    </w:p>
  </w:footnote>
  <w:footnote w:id="44">
    <w:p w14:paraId="47EABFD9" w14:textId="77777777" w:rsidR="00591320" w:rsidRPr="003877A8" w:rsidRDefault="00591320" w:rsidP="00591320">
      <w:pPr>
        <w:pStyle w:val="FootnoteText"/>
      </w:pPr>
      <w:r>
        <w:rPr>
          <w:rStyle w:val="FootnoteReference"/>
        </w:rPr>
        <w:footnoteRef/>
      </w:r>
      <w:r>
        <w:t xml:space="preserve"> </w:t>
      </w:r>
      <w:r>
        <w:rPr>
          <w:i/>
          <w:iCs/>
        </w:rPr>
        <w:t>Id</w:t>
      </w:r>
      <w:r>
        <w:t>.</w:t>
      </w:r>
    </w:p>
  </w:footnote>
  <w:footnote w:id="45">
    <w:p w14:paraId="13CEC9EB" w14:textId="77777777" w:rsidR="00591320" w:rsidRPr="00661AD2" w:rsidRDefault="00591320" w:rsidP="00591320">
      <w:pPr>
        <w:pStyle w:val="FootnoteText"/>
      </w:pPr>
      <w:r>
        <w:rPr>
          <w:rStyle w:val="FootnoteReference"/>
        </w:rPr>
        <w:footnoteRef/>
      </w:r>
      <w:r>
        <w:t xml:space="preserve"> </w:t>
      </w:r>
      <w:r>
        <w:rPr>
          <w:i/>
          <w:iCs/>
        </w:rPr>
        <w:t>Id</w:t>
      </w:r>
      <w:r>
        <w:t>.</w:t>
      </w:r>
    </w:p>
  </w:footnote>
  <w:footnote w:id="46">
    <w:p w14:paraId="7F24E6ED" w14:textId="77777777" w:rsidR="00591320" w:rsidRPr="0036677C" w:rsidRDefault="00591320" w:rsidP="00591320">
      <w:pPr>
        <w:pStyle w:val="FootnoteText"/>
      </w:pPr>
      <w:r>
        <w:rPr>
          <w:rStyle w:val="FootnoteReference"/>
        </w:rPr>
        <w:footnoteRef/>
      </w:r>
      <w:r>
        <w:t xml:space="preserve"> </w:t>
      </w:r>
      <w:r>
        <w:rPr>
          <w:i/>
          <w:iCs/>
        </w:rPr>
        <w:t>Id</w:t>
      </w:r>
      <w:r>
        <w:t>.</w:t>
      </w:r>
    </w:p>
  </w:footnote>
  <w:footnote w:id="47">
    <w:p w14:paraId="45BC18E5" w14:textId="77777777" w:rsidR="00591320" w:rsidRPr="0067317C" w:rsidRDefault="00591320" w:rsidP="00591320">
      <w:pPr>
        <w:pStyle w:val="FootnoteText"/>
      </w:pPr>
      <w:r>
        <w:rPr>
          <w:rStyle w:val="FootnoteReference"/>
        </w:rPr>
        <w:footnoteRef/>
      </w:r>
      <w:r>
        <w:t xml:space="preserve"> </w:t>
      </w:r>
      <w:r>
        <w:rPr>
          <w:i/>
          <w:iCs/>
        </w:rPr>
        <w:t>Id</w:t>
      </w:r>
      <w:r>
        <w:t>.</w:t>
      </w:r>
    </w:p>
  </w:footnote>
  <w:footnote w:id="48">
    <w:p w14:paraId="3F09C9D0" w14:textId="26A1828C" w:rsidR="00EB45FD" w:rsidRDefault="00EB45FD">
      <w:pPr>
        <w:pStyle w:val="FootnoteText"/>
      </w:pPr>
      <w:r>
        <w:rPr>
          <w:rStyle w:val="FootnoteReference"/>
        </w:rPr>
        <w:footnoteRef/>
      </w:r>
      <w:r>
        <w:t xml:space="preserve"> </w:t>
      </w:r>
      <w:r>
        <w:rPr>
          <w:i/>
          <w:iCs/>
        </w:rPr>
        <w:t>Id</w:t>
      </w:r>
      <w:r>
        <w:t>.</w:t>
      </w:r>
    </w:p>
  </w:footnote>
  <w:footnote w:id="49">
    <w:p w14:paraId="5C13DA56" w14:textId="77777777" w:rsidR="00E15205" w:rsidRPr="00E15205" w:rsidRDefault="00E15205">
      <w:pPr>
        <w:pStyle w:val="FootnoteText"/>
      </w:pPr>
      <w:r>
        <w:rPr>
          <w:rStyle w:val="FootnoteReference"/>
        </w:rPr>
        <w:footnoteRef/>
      </w:r>
      <w:r>
        <w:t xml:space="preserve"> </w:t>
      </w:r>
      <w:r>
        <w:rPr>
          <w:i/>
          <w:iCs/>
        </w:rPr>
        <w:t>Id</w:t>
      </w:r>
      <w:r>
        <w:t>.</w:t>
      </w:r>
    </w:p>
  </w:footnote>
  <w:footnote w:id="50">
    <w:p w14:paraId="00AC0A96" w14:textId="77777777" w:rsidR="00591320" w:rsidRPr="00C735A1" w:rsidRDefault="00591320" w:rsidP="00591320">
      <w:pPr>
        <w:pStyle w:val="FootnoteText"/>
      </w:pPr>
      <w:r>
        <w:rPr>
          <w:rStyle w:val="FootnoteReference"/>
        </w:rPr>
        <w:footnoteRef/>
      </w:r>
      <w:r>
        <w:t xml:space="preserve"> </w:t>
      </w:r>
      <w:r>
        <w:rPr>
          <w:i/>
          <w:iCs/>
        </w:rPr>
        <w:t>Id</w:t>
      </w:r>
      <w:r>
        <w:t>.</w:t>
      </w:r>
    </w:p>
  </w:footnote>
  <w:footnote w:id="51">
    <w:p w14:paraId="631EBAD6" w14:textId="77777777" w:rsidR="00591320" w:rsidRPr="006D4A0D" w:rsidRDefault="00591320" w:rsidP="00591320">
      <w:pPr>
        <w:pStyle w:val="FootnoteText"/>
      </w:pPr>
      <w:r>
        <w:rPr>
          <w:rStyle w:val="FootnoteReference"/>
        </w:rPr>
        <w:footnoteRef/>
      </w:r>
      <w:r>
        <w:t xml:space="preserve"> </w:t>
      </w:r>
      <w:r>
        <w:rPr>
          <w:i/>
          <w:iCs/>
        </w:rPr>
        <w:t>Id</w:t>
      </w:r>
      <w:r>
        <w:t>.</w:t>
      </w:r>
    </w:p>
  </w:footnote>
  <w:footnote w:id="52">
    <w:p w14:paraId="2CF2933D" w14:textId="77777777" w:rsidR="00591320" w:rsidRPr="008A36CC" w:rsidRDefault="00591320" w:rsidP="00591320">
      <w:pPr>
        <w:pStyle w:val="FootnoteText"/>
      </w:pPr>
      <w:r>
        <w:rPr>
          <w:rStyle w:val="FootnoteReference"/>
        </w:rPr>
        <w:footnoteRef/>
      </w:r>
      <w:r>
        <w:t xml:space="preserve"> </w:t>
      </w:r>
      <w:r>
        <w:rPr>
          <w:i/>
          <w:iCs/>
        </w:rPr>
        <w:t>Id</w:t>
      </w:r>
      <w:r>
        <w:t>.</w:t>
      </w:r>
    </w:p>
  </w:footnote>
  <w:footnote w:id="53">
    <w:p w14:paraId="710754E3" w14:textId="77777777" w:rsidR="00591320" w:rsidRPr="006B3C14" w:rsidRDefault="00591320" w:rsidP="00591320">
      <w:pPr>
        <w:pStyle w:val="FootnoteText"/>
      </w:pPr>
      <w:r>
        <w:rPr>
          <w:rStyle w:val="FootnoteReference"/>
        </w:rPr>
        <w:footnoteRef/>
      </w:r>
      <w:r>
        <w:t xml:space="preserve"> </w:t>
      </w:r>
      <w:r>
        <w:rPr>
          <w:i/>
          <w:iCs/>
        </w:rPr>
        <w:t>Id</w:t>
      </w:r>
      <w:r>
        <w:t>.</w:t>
      </w:r>
    </w:p>
  </w:footnote>
  <w:footnote w:id="54">
    <w:p w14:paraId="41507E7A" w14:textId="77777777" w:rsidR="00591320" w:rsidRPr="007B3761" w:rsidRDefault="00591320" w:rsidP="00591320">
      <w:pPr>
        <w:pStyle w:val="FootnoteText"/>
      </w:pPr>
      <w:r>
        <w:rPr>
          <w:rStyle w:val="FootnoteReference"/>
        </w:rPr>
        <w:footnoteRef/>
      </w:r>
      <w:r>
        <w:t xml:space="preserve"> </w:t>
      </w:r>
      <w:r>
        <w:rPr>
          <w:i/>
          <w:iCs/>
        </w:rPr>
        <w:t>Id</w:t>
      </w:r>
      <w:r>
        <w:t>.</w:t>
      </w:r>
    </w:p>
  </w:footnote>
  <w:footnote w:id="55">
    <w:p w14:paraId="4810EB75" w14:textId="77777777" w:rsidR="00591320" w:rsidRPr="003B275F" w:rsidRDefault="00591320" w:rsidP="00591320">
      <w:pPr>
        <w:pStyle w:val="FootnoteText"/>
      </w:pPr>
      <w:r>
        <w:rPr>
          <w:rStyle w:val="FootnoteReference"/>
        </w:rPr>
        <w:footnoteRef/>
      </w:r>
      <w:r>
        <w:t xml:space="preserve"> </w:t>
      </w:r>
      <w:r>
        <w:rPr>
          <w:i/>
          <w:iCs/>
        </w:rPr>
        <w:t>Id</w:t>
      </w:r>
      <w:r>
        <w:t>.</w:t>
      </w:r>
    </w:p>
  </w:footnote>
  <w:footnote w:id="56">
    <w:p w14:paraId="4C25B8E0" w14:textId="77777777" w:rsidR="00591320" w:rsidRPr="00110066" w:rsidRDefault="00591320" w:rsidP="00591320">
      <w:pPr>
        <w:pStyle w:val="FootnoteText"/>
      </w:pPr>
      <w:r>
        <w:rPr>
          <w:rStyle w:val="FootnoteReference"/>
        </w:rPr>
        <w:footnoteRef/>
      </w:r>
      <w:r>
        <w:t xml:space="preserve"> </w:t>
      </w:r>
      <w:r>
        <w:rPr>
          <w:i/>
          <w:iCs/>
        </w:rPr>
        <w:t>Id</w:t>
      </w:r>
      <w:r>
        <w:t>.</w:t>
      </w:r>
    </w:p>
  </w:footnote>
  <w:footnote w:id="57">
    <w:p w14:paraId="5E324D41" w14:textId="77777777" w:rsidR="00591320" w:rsidRPr="00110066" w:rsidRDefault="00591320" w:rsidP="00591320">
      <w:pPr>
        <w:pStyle w:val="FootnoteText"/>
      </w:pPr>
      <w:r>
        <w:rPr>
          <w:rStyle w:val="FootnoteReference"/>
        </w:rPr>
        <w:footnoteRef/>
      </w:r>
      <w:r>
        <w:t xml:space="preserve"> </w:t>
      </w:r>
      <w:r>
        <w:rPr>
          <w:i/>
          <w:iCs/>
        </w:rPr>
        <w:t>Id</w:t>
      </w:r>
      <w:r>
        <w:t>.</w:t>
      </w:r>
    </w:p>
  </w:footnote>
  <w:footnote w:id="58">
    <w:p w14:paraId="4ACA9553" w14:textId="77777777" w:rsidR="00591320" w:rsidRPr="003834C4" w:rsidRDefault="00591320" w:rsidP="00591320">
      <w:pPr>
        <w:pStyle w:val="FootnoteText"/>
      </w:pPr>
      <w:r>
        <w:rPr>
          <w:rStyle w:val="FootnoteReference"/>
        </w:rPr>
        <w:footnoteRef/>
      </w:r>
      <w:r>
        <w:t xml:space="preserve"> </w:t>
      </w:r>
      <w:r>
        <w:rPr>
          <w:i/>
          <w:iCs/>
        </w:rPr>
        <w:t>Id</w:t>
      </w:r>
      <w:r>
        <w:t>.</w:t>
      </w:r>
    </w:p>
  </w:footnote>
  <w:footnote w:id="59">
    <w:p w14:paraId="58CF5B68" w14:textId="77777777" w:rsidR="00591320" w:rsidRPr="004A4938" w:rsidRDefault="00591320" w:rsidP="00591320">
      <w:pPr>
        <w:pStyle w:val="FootnoteText"/>
      </w:pPr>
      <w:r>
        <w:rPr>
          <w:rStyle w:val="FootnoteReference"/>
        </w:rPr>
        <w:footnoteRef/>
      </w:r>
      <w:r>
        <w:t xml:space="preserve"> </w:t>
      </w:r>
      <w:r>
        <w:rPr>
          <w:i/>
          <w:iCs/>
        </w:rPr>
        <w:t>Id</w:t>
      </w:r>
      <w:r>
        <w:t>.</w:t>
      </w:r>
    </w:p>
  </w:footnote>
  <w:footnote w:id="60">
    <w:p w14:paraId="25F27ED9" w14:textId="77777777" w:rsidR="005D5FBF" w:rsidRPr="009E7485" w:rsidRDefault="005D5FBF" w:rsidP="005D5FBF">
      <w:pPr>
        <w:pStyle w:val="FootnoteText"/>
      </w:pPr>
      <w:r>
        <w:rPr>
          <w:rStyle w:val="FootnoteReference"/>
        </w:rPr>
        <w:footnoteRef/>
      </w:r>
      <w:r>
        <w:t xml:space="preserve"> </w:t>
      </w:r>
      <w:r w:rsidR="00663885">
        <w:rPr>
          <w:i/>
          <w:iCs/>
        </w:rPr>
        <w:t>Supra,</w:t>
      </w:r>
      <w:r w:rsidR="00663885">
        <w:t xml:space="preserve"> note 1</w:t>
      </w:r>
      <w:r>
        <w:t>.</w:t>
      </w:r>
    </w:p>
  </w:footnote>
  <w:footnote w:id="61">
    <w:p w14:paraId="62F90B0B" w14:textId="77777777" w:rsidR="005D5FBF" w:rsidRPr="00F505C7" w:rsidRDefault="005D5FBF" w:rsidP="005D5FBF">
      <w:pPr>
        <w:pStyle w:val="FootnoteText"/>
      </w:pPr>
      <w:r>
        <w:rPr>
          <w:rStyle w:val="FootnoteReference"/>
        </w:rPr>
        <w:footnoteRef/>
      </w:r>
      <w:r>
        <w:t xml:space="preserve"> </w:t>
      </w:r>
      <w:r>
        <w:rPr>
          <w:i/>
          <w:iCs/>
        </w:rPr>
        <w:t>Id</w:t>
      </w:r>
      <w:r>
        <w:t>.</w:t>
      </w:r>
    </w:p>
  </w:footnote>
  <w:footnote w:id="62">
    <w:p w14:paraId="07299864" w14:textId="77777777" w:rsidR="005D5FBF" w:rsidRPr="0003431C" w:rsidRDefault="005D5FBF" w:rsidP="005D5FBF">
      <w:pPr>
        <w:pStyle w:val="FootnoteText"/>
      </w:pPr>
      <w:r>
        <w:rPr>
          <w:rStyle w:val="FootnoteReference"/>
        </w:rPr>
        <w:footnoteRef/>
      </w:r>
      <w:r>
        <w:t xml:space="preserve"> </w:t>
      </w:r>
      <w:r>
        <w:rPr>
          <w:i/>
          <w:iCs/>
        </w:rPr>
        <w:t>Id</w:t>
      </w:r>
      <w:r>
        <w:t>.</w:t>
      </w:r>
    </w:p>
  </w:footnote>
  <w:footnote w:id="63">
    <w:p w14:paraId="61C7DD50" w14:textId="77777777" w:rsidR="005D5FBF" w:rsidRPr="000653D8" w:rsidRDefault="005D5FBF" w:rsidP="005D5FBF">
      <w:pPr>
        <w:pStyle w:val="FootnoteText"/>
      </w:pPr>
      <w:r w:rsidRPr="000653D8">
        <w:rPr>
          <w:rStyle w:val="FootnoteReference"/>
        </w:rPr>
        <w:footnoteRef/>
      </w:r>
      <w:r w:rsidRPr="000653D8">
        <w:t xml:space="preserve"> </w:t>
      </w:r>
      <w:r w:rsidRPr="000653D8">
        <w:rPr>
          <w:i/>
          <w:iCs/>
        </w:rPr>
        <w:t>Id</w:t>
      </w:r>
      <w:r w:rsidRPr="000653D8">
        <w:t>.</w:t>
      </w:r>
    </w:p>
  </w:footnote>
  <w:footnote w:id="64">
    <w:p w14:paraId="4B822D9D" w14:textId="77777777" w:rsidR="005D5FBF" w:rsidRPr="000653D8" w:rsidRDefault="005D5FBF" w:rsidP="005D5FBF">
      <w:pPr>
        <w:pStyle w:val="FootnoteText"/>
      </w:pPr>
      <w:r w:rsidRPr="000653D8">
        <w:rPr>
          <w:rStyle w:val="FootnoteReference"/>
        </w:rPr>
        <w:footnoteRef/>
      </w:r>
      <w:r w:rsidRPr="000653D8">
        <w:t xml:space="preserve"> </w:t>
      </w:r>
      <w:r w:rsidRPr="000653D8">
        <w:rPr>
          <w:i/>
          <w:iCs/>
        </w:rPr>
        <w:t>Id</w:t>
      </w:r>
      <w:r w:rsidRPr="000653D8">
        <w:t>.</w:t>
      </w:r>
    </w:p>
  </w:footnote>
  <w:footnote w:id="65">
    <w:p w14:paraId="5C1CBAEC" w14:textId="77777777" w:rsidR="005D5FBF" w:rsidRPr="000653D8" w:rsidRDefault="005D5FBF" w:rsidP="005D5FBF">
      <w:pPr>
        <w:pStyle w:val="FootnoteText"/>
      </w:pPr>
      <w:r w:rsidRPr="000653D8">
        <w:rPr>
          <w:rStyle w:val="FootnoteReference"/>
        </w:rPr>
        <w:footnoteRef/>
      </w:r>
      <w:r w:rsidRPr="000653D8">
        <w:t xml:space="preserve"> Department of Health and Human Services. </w:t>
      </w:r>
      <w:r w:rsidRPr="000653D8">
        <w:rPr>
          <w:i/>
          <w:iCs/>
        </w:rPr>
        <w:t>Decision Memo</w:t>
      </w:r>
      <w:r w:rsidRPr="000653D8">
        <w:t xml:space="preserve">, (Jan. 5, 2026), </w:t>
      </w:r>
      <w:r w:rsidRPr="000653D8">
        <w:rPr>
          <w:i/>
          <w:iCs/>
        </w:rPr>
        <w:t>available at</w:t>
      </w:r>
      <w:r w:rsidRPr="000653D8">
        <w:t xml:space="preserve">: </w:t>
      </w:r>
      <w:hyperlink r:id="rId10" w:history="1">
        <w:r w:rsidRPr="000653D8">
          <w:rPr>
            <w:rStyle w:val="Hyperlink"/>
            <w:rFonts w:ascii="Times New Roman" w:hAnsi="Times New Roman"/>
          </w:rPr>
          <w:t>https://www.hhs.gov/sites/default/files/decision-memo-adopting-revised-childhood-adolescent-immunization-schedule.pdf</w:t>
        </w:r>
      </w:hyperlink>
      <w:r w:rsidRPr="000653D8">
        <w:t xml:space="preserve"> (last visited Feb. 4, 2026).</w:t>
      </w:r>
    </w:p>
  </w:footnote>
  <w:footnote w:id="66">
    <w:p w14:paraId="553BD63C" w14:textId="77777777" w:rsidR="005D5FBF" w:rsidRPr="000653D8" w:rsidRDefault="005D5FBF" w:rsidP="005D5FBF">
      <w:pPr>
        <w:pStyle w:val="FootnoteText"/>
      </w:pPr>
      <w:r w:rsidRPr="000653D8">
        <w:rPr>
          <w:rStyle w:val="FootnoteReference"/>
        </w:rPr>
        <w:footnoteRef/>
      </w:r>
      <w:r w:rsidRPr="000653D8">
        <w:t xml:space="preserve"> </w:t>
      </w:r>
      <w:r w:rsidRPr="000653D8">
        <w:rPr>
          <w:i/>
          <w:iCs/>
        </w:rPr>
        <w:t>Id</w:t>
      </w:r>
      <w:r w:rsidRPr="000653D8">
        <w:t>.</w:t>
      </w:r>
    </w:p>
  </w:footnote>
  <w:footnote w:id="67">
    <w:p w14:paraId="7396A837" w14:textId="77777777" w:rsidR="005D5FBF" w:rsidRPr="000653D8" w:rsidRDefault="005D5FBF" w:rsidP="005D5FBF">
      <w:pPr>
        <w:pStyle w:val="FootnoteText"/>
      </w:pPr>
      <w:r w:rsidRPr="000653D8">
        <w:rPr>
          <w:rStyle w:val="FootnoteReference"/>
        </w:rPr>
        <w:footnoteRef/>
      </w:r>
      <w:r w:rsidRPr="000653D8">
        <w:t xml:space="preserve"> Centers for Disease Control and Prevention, “CDC Acts on Presidential Memorandum to Update Childhood Immunization Schedule”, </w:t>
      </w:r>
      <w:r w:rsidRPr="000653D8">
        <w:rPr>
          <w:i/>
          <w:iCs/>
        </w:rPr>
        <w:t>available at</w:t>
      </w:r>
      <w:r w:rsidRPr="000653D8">
        <w:t xml:space="preserve">: </w:t>
      </w:r>
      <w:hyperlink r:id="rId11" w:history="1">
        <w:r w:rsidRPr="000653D8">
          <w:rPr>
            <w:rStyle w:val="Hyperlink"/>
            <w:rFonts w:ascii="Times New Roman" w:hAnsi="Times New Roman"/>
          </w:rPr>
          <w:t>https://www.cdc.gov/media/releases/2026/2026-cdc-acts-on-presidential-memorandum-to-update-childhood-immunization-schedule.html</w:t>
        </w:r>
      </w:hyperlink>
      <w:r w:rsidRPr="000653D8">
        <w:t xml:space="preserve"> (last visited Feb. 4, 2026).</w:t>
      </w:r>
    </w:p>
  </w:footnote>
  <w:footnote w:id="68">
    <w:p w14:paraId="75C03FD0" w14:textId="77777777" w:rsidR="005D5FBF" w:rsidRPr="000653D8" w:rsidRDefault="005D5FBF" w:rsidP="005D5FBF">
      <w:pPr>
        <w:pStyle w:val="FootnoteText"/>
      </w:pPr>
      <w:r w:rsidRPr="000653D8">
        <w:rPr>
          <w:rStyle w:val="FootnoteReference"/>
        </w:rPr>
        <w:footnoteRef/>
      </w:r>
      <w:r w:rsidRPr="000653D8">
        <w:t xml:space="preserve"> </w:t>
      </w:r>
      <w:r w:rsidRPr="000653D8">
        <w:rPr>
          <w:i/>
          <w:iCs/>
        </w:rPr>
        <w:t>Id</w:t>
      </w:r>
      <w:r w:rsidRPr="000653D8">
        <w:t>.</w:t>
      </w:r>
    </w:p>
  </w:footnote>
  <w:footnote w:id="69">
    <w:p w14:paraId="6B5CF5E3" w14:textId="77777777" w:rsidR="005D5FBF" w:rsidRPr="000653D8" w:rsidRDefault="005D5FBF" w:rsidP="005D5FBF">
      <w:pPr>
        <w:pStyle w:val="FootnoteText"/>
      </w:pPr>
      <w:r w:rsidRPr="000653D8">
        <w:rPr>
          <w:rStyle w:val="FootnoteReference"/>
        </w:rPr>
        <w:footnoteRef/>
      </w:r>
      <w:r w:rsidRPr="000653D8">
        <w:t xml:space="preserve"> </w:t>
      </w:r>
      <w:r w:rsidRPr="000653D8">
        <w:rPr>
          <w:i/>
          <w:iCs/>
        </w:rPr>
        <w:t>Id</w:t>
      </w:r>
      <w:r w:rsidRPr="000653D8">
        <w:t>.</w:t>
      </w:r>
    </w:p>
  </w:footnote>
  <w:footnote w:id="70">
    <w:p w14:paraId="6851F1E2" w14:textId="01784AC2" w:rsidR="005D5FBF" w:rsidRPr="001D78ED" w:rsidRDefault="005D5FBF" w:rsidP="005D5FBF">
      <w:pPr>
        <w:pStyle w:val="FootnoteText"/>
      </w:pPr>
      <w:r w:rsidRPr="000653D8">
        <w:rPr>
          <w:rStyle w:val="FootnoteReference"/>
        </w:rPr>
        <w:footnoteRef/>
      </w:r>
      <w:r w:rsidRPr="000653D8">
        <w:t xml:space="preserve"> Brooke McCormick, “Experts Warn that CDC Childhood </w:t>
      </w:r>
      <w:r w:rsidR="001F3F66" w:rsidRPr="000653D8">
        <w:t>Immunization</w:t>
      </w:r>
      <w:r w:rsidRPr="000653D8">
        <w:t xml:space="preserve"> Schedule Revisions Could Reduce Uptake, Erode Public Trust,” (Jan</w:t>
      </w:r>
      <w:r w:rsidR="000C1B6A">
        <w:t>.</w:t>
      </w:r>
      <w:r w:rsidRPr="000653D8">
        <w:t xml:space="preserve"> 27, 2026), </w:t>
      </w:r>
      <w:r w:rsidRPr="000653D8">
        <w:rPr>
          <w:i/>
          <w:iCs/>
        </w:rPr>
        <w:t>available at</w:t>
      </w:r>
      <w:r w:rsidRPr="000653D8">
        <w:t xml:space="preserve">: </w:t>
      </w:r>
      <w:hyperlink r:id="rId12" w:history="1">
        <w:r w:rsidRPr="000653D8">
          <w:rPr>
            <w:rStyle w:val="Hyperlink"/>
            <w:rFonts w:ascii="Times New Roman" w:hAnsi="Times New Roman"/>
          </w:rPr>
          <w:t>https://www.ajmc.com/view/experts-warn-cdc-childhood-immunization-schedule-revisions-could-reduce-uptake-erode-public-trust</w:t>
        </w:r>
      </w:hyperlink>
      <w:r w:rsidRPr="000653D8">
        <w:t xml:space="preserve"> (last visited Feb. 4, 2026).</w:t>
      </w:r>
    </w:p>
  </w:footnote>
  <w:footnote w:id="71">
    <w:p w14:paraId="2AB96503" w14:textId="77777777" w:rsidR="005D5FBF" w:rsidRPr="000653D8" w:rsidRDefault="005D5FBF" w:rsidP="005D5FBF">
      <w:pPr>
        <w:pStyle w:val="FootnoteText"/>
      </w:pPr>
      <w:r w:rsidRPr="000653D8">
        <w:rPr>
          <w:rStyle w:val="FootnoteReference"/>
        </w:rPr>
        <w:footnoteRef/>
      </w:r>
      <w:r w:rsidRPr="000653D8">
        <w:t xml:space="preserve"> </w:t>
      </w:r>
      <w:r w:rsidRPr="000653D8">
        <w:rPr>
          <w:i/>
          <w:iCs/>
        </w:rPr>
        <w:t>Id</w:t>
      </w:r>
      <w:r w:rsidRPr="000653D8">
        <w:t>.</w:t>
      </w:r>
    </w:p>
  </w:footnote>
  <w:footnote w:id="72">
    <w:p w14:paraId="2564EBE0" w14:textId="77777777" w:rsidR="005D5FBF" w:rsidRPr="000653D8" w:rsidRDefault="005D5FBF" w:rsidP="005D5FBF">
      <w:pPr>
        <w:pStyle w:val="FootnoteText"/>
      </w:pPr>
      <w:r w:rsidRPr="000653D8">
        <w:rPr>
          <w:rStyle w:val="FootnoteReference"/>
        </w:rPr>
        <w:footnoteRef/>
      </w:r>
      <w:r w:rsidRPr="000653D8">
        <w:t xml:space="preserve"> </w:t>
      </w:r>
      <w:r w:rsidRPr="000653D8">
        <w:rPr>
          <w:i/>
          <w:iCs/>
        </w:rPr>
        <w:t>Id</w:t>
      </w:r>
      <w:r w:rsidRPr="000653D8">
        <w:t>.</w:t>
      </w:r>
    </w:p>
  </w:footnote>
  <w:footnote w:id="73">
    <w:p w14:paraId="2BB9A44D" w14:textId="77777777" w:rsidR="005D5FBF" w:rsidRPr="000653D8" w:rsidRDefault="005D5FBF" w:rsidP="005D5FBF">
      <w:pPr>
        <w:pStyle w:val="FootnoteText"/>
      </w:pPr>
      <w:r w:rsidRPr="000653D8">
        <w:rPr>
          <w:rStyle w:val="FootnoteReference"/>
        </w:rPr>
        <w:footnoteRef/>
      </w:r>
      <w:r>
        <w:t xml:space="preserve"> </w:t>
      </w:r>
      <w:r>
        <w:rPr>
          <w:i/>
          <w:iCs/>
        </w:rPr>
        <w:t>Supra</w:t>
      </w:r>
      <w:r>
        <w:t xml:space="preserve">, </w:t>
      </w:r>
      <w:r w:rsidR="00663885">
        <w:t>note 1</w:t>
      </w:r>
      <w:r>
        <w:t>.</w:t>
      </w:r>
    </w:p>
  </w:footnote>
  <w:footnote w:id="74">
    <w:p w14:paraId="0BE0F318" w14:textId="77777777" w:rsidR="005D5FBF" w:rsidRPr="000653D8" w:rsidRDefault="005D5FBF" w:rsidP="005D5FBF">
      <w:pPr>
        <w:pStyle w:val="FootnoteText"/>
      </w:pPr>
      <w:r w:rsidRPr="000653D8">
        <w:rPr>
          <w:rStyle w:val="FootnoteReference"/>
        </w:rPr>
        <w:footnoteRef/>
      </w:r>
      <w:r w:rsidRPr="000653D8">
        <w:t xml:space="preserve"> </w:t>
      </w:r>
      <w:r w:rsidRPr="000653D8">
        <w:rPr>
          <w:i/>
          <w:iCs/>
        </w:rPr>
        <w:t>Id</w:t>
      </w:r>
      <w:r w:rsidRPr="000653D8">
        <w:t>.</w:t>
      </w:r>
    </w:p>
  </w:footnote>
  <w:footnote w:id="75">
    <w:p w14:paraId="4FDAA062" w14:textId="77777777" w:rsidR="005D5FBF" w:rsidRPr="000653D8" w:rsidRDefault="005D5FBF" w:rsidP="005D5FBF">
      <w:pPr>
        <w:pStyle w:val="FootnoteText"/>
      </w:pPr>
      <w:r w:rsidRPr="000653D8">
        <w:rPr>
          <w:rStyle w:val="FootnoteReference"/>
        </w:rPr>
        <w:footnoteRef/>
      </w:r>
      <w:r w:rsidRPr="000653D8">
        <w:t xml:space="preserve"> </w:t>
      </w:r>
      <w:r w:rsidRPr="000653D8">
        <w:rPr>
          <w:i/>
          <w:iCs/>
        </w:rPr>
        <w:t>Id</w:t>
      </w:r>
      <w:r w:rsidRPr="000653D8">
        <w:t>.</w:t>
      </w:r>
    </w:p>
  </w:footnote>
  <w:footnote w:id="76">
    <w:p w14:paraId="1147A014" w14:textId="77777777" w:rsidR="005D5FBF" w:rsidRPr="000653D8" w:rsidRDefault="005D5FBF" w:rsidP="005D5FBF">
      <w:pPr>
        <w:pStyle w:val="FootnoteText"/>
      </w:pPr>
      <w:r w:rsidRPr="000653D8">
        <w:rPr>
          <w:rStyle w:val="FootnoteReference"/>
        </w:rPr>
        <w:footnoteRef/>
      </w:r>
      <w:r w:rsidRPr="000653D8">
        <w:t xml:space="preserve"> Jake Scott, “CIDRAP Op-Ed: Quiet Dismantling: How ‘shared decision-making’ weakens vaccine policy and harms kids,” </w:t>
      </w:r>
      <w:r w:rsidRPr="000653D8">
        <w:rPr>
          <w:i/>
          <w:iCs/>
        </w:rPr>
        <w:t>University of Minnesota, Center for Infectious Disease Research and Policy</w:t>
      </w:r>
      <w:r w:rsidRPr="000653D8">
        <w:t xml:space="preserve">, (Jan. 6, 2026), </w:t>
      </w:r>
      <w:r w:rsidRPr="000653D8">
        <w:rPr>
          <w:i/>
          <w:iCs/>
        </w:rPr>
        <w:t>available at</w:t>
      </w:r>
      <w:r w:rsidRPr="000653D8">
        <w:t xml:space="preserve">: </w:t>
      </w:r>
      <w:hyperlink r:id="rId13" w:history="1">
        <w:r w:rsidRPr="00151B5B">
          <w:rPr>
            <w:rStyle w:val="Hyperlink"/>
            <w:rFonts w:ascii="Times New Roman" w:hAnsi="Times New Roman"/>
            <w:sz w:val="20"/>
            <w:szCs w:val="20"/>
          </w:rPr>
          <w:t>https://www.cidrap.umn.edu/childhood-vaccines/cidrap-op-ed-quiet-dismantling-how-shared-decision-making-weakens-vaccine-policy</w:t>
        </w:r>
      </w:hyperlink>
      <w:r w:rsidRPr="000653D8">
        <w:t xml:space="preserve"> (last visited Feb. 4, 2026).</w:t>
      </w:r>
    </w:p>
  </w:footnote>
  <w:footnote w:id="77">
    <w:p w14:paraId="03D4D5E4" w14:textId="77777777" w:rsidR="005D5FBF" w:rsidRPr="000653D8" w:rsidRDefault="005D5FBF" w:rsidP="005D5FBF">
      <w:pPr>
        <w:pStyle w:val="FootnoteText"/>
      </w:pPr>
      <w:r w:rsidRPr="000653D8">
        <w:rPr>
          <w:rStyle w:val="FootnoteReference"/>
        </w:rPr>
        <w:footnoteRef/>
      </w:r>
      <w:r w:rsidRPr="000653D8">
        <w:t xml:space="preserve"> </w:t>
      </w:r>
      <w:r w:rsidRPr="000653D8">
        <w:rPr>
          <w:i/>
          <w:iCs/>
        </w:rPr>
        <w:t>Id</w:t>
      </w:r>
      <w:r w:rsidRPr="000653D8">
        <w:t>.</w:t>
      </w:r>
    </w:p>
  </w:footnote>
  <w:footnote w:id="78">
    <w:p w14:paraId="171E4F44" w14:textId="77777777" w:rsidR="005D5FBF" w:rsidRPr="000653D8" w:rsidRDefault="005D5FBF" w:rsidP="005D5FBF">
      <w:pPr>
        <w:pStyle w:val="FootnoteText"/>
      </w:pPr>
      <w:r w:rsidRPr="000653D8">
        <w:rPr>
          <w:rStyle w:val="FootnoteReference"/>
        </w:rPr>
        <w:footnoteRef/>
      </w:r>
      <w:r w:rsidRPr="000653D8">
        <w:t xml:space="preserve"> </w:t>
      </w:r>
      <w:r w:rsidRPr="000653D8">
        <w:rPr>
          <w:i/>
          <w:iCs/>
        </w:rPr>
        <w:t>Id</w:t>
      </w:r>
      <w:r w:rsidRPr="000653D8">
        <w:t>.</w:t>
      </w:r>
    </w:p>
  </w:footnote>
  <w:footnote w:id="79">
    <w:p w14:paraId="00D3A977" w14:textId="77777777" w:rsidR="005D5FBF" w:rsidRPr="008C31BC" w:rsidRDefault="005D5FBF" w:rsidP="005D5FBF">
      <w:pPr>
        <w:pStyle w:val="FootnoteText"/>
      </w:pPr>
      <w:r w:rsidRPr="000653D8">
        <w:rPr>
          <w:rStyle w:val="FootnoteReference"/>
        </w:rPr>
        <w:footnoteRef/>
      </w:r>
      <w:r w:rsidRPr="000653D8">
        <w:t xml:space="preserve"> </w:t>
      </w:r>
      <w:r w:rsidRPr="000653D8">
        <w:rPr>
          <w:i/>
          <w:iCs/>
        </w:rPr>
        <w:t>Id</w:t>
      </w:r>
      <w:r w:rsidRPr="000653D8">
        <w:t>.</w:t>
      </w:r>
    </w:p>
  </w:footnote>
  <w:footnote w:id="80">
    <w:p w14:paraId="5318F1D4" w14:textId="77777777" w:rsidR="005D5FBF" w:rsidRPr="000653D8" w:rsidRDefault="005D5FBF" w:rsidP="005D5FBF">
      <w:pPr>
        <w:pStyle w:val="FootnoteText"/>
      </w:pPr>
      <w:r w:rsidRPr="000653D8">
        <w:rPr>
          <w:rStyle w:val="FootnoteReference"/>
        </w:rPr>
        <w:footnoteRef/>
      </w:r>
      <w:r w:rsidRPr="000653D8">
        <w:t xml:space="preserve"> </w:t>
      </w:r>
      <w:r w:rsidRPr="000653D8">
        <w:rPr>
          <w:i/>
          <w:iCs/>
        </w:rPr>
        <w:t>Id</w:t>
      </w:r>
      <w:r w:rsidRPr="000653D8">
        <w:t>.</w:t>
      </w:r>
    </w:p>
  </w:footnote>
  <w:footnote w:id="81">
    <w:p w14:paraId="7F02234F" w14:textId="77777777" w:rsidR="005D5FBF" w:rsidRPr="000653D8" w:rsidRDefault="005D5FBF" w:rsidP="005D5FBF">
      <w:pPr>
        <w:pStyle w:val="FootnoteText"/>
      </w:pPr>
      <w:r w:rsidRPr="000653D8">
        <w:rPr>
          <w:rStyle w:val="FootnoteReference"/>
        </w:rPr>
        <w:footnoteRef/>
      </w:r>
      <w:r w:rsidRPr="000653D8">
        <w:t xml:space="preserve"> </w:t>
      </w:r>
      <w:r w:rsidRPr="000653D8">
        <w:rPr>
          <w:i/>
          <w:iCs/>
        </w:rPr>
        <w:t>Id</w:t>
      </w:r>
      <w:r w:rsidRPr="000653D8">
        <w:t>.</w:t>
      </w:r>
    </w:p>
  </w:footnote>
  <w:footnote w:id="82">
    <w:p w14:paraId="10119C71" w14:textId="77777777" w:rsidR="005D5FBF" w:rsidRPr="006B577D" w:rsidRDefault="005D5FBF" w:rsidP="005D5FBF">
      <w:pPr>
        <w:pStyle w:val="FootnoteText"/>
        <w:rPr>
          <w:lang w:val="es-ES"/>
        </w:rPr>
      </w:pPr>
      <w:r w:rsidRPr="000653D8">
        <w:rPr>
          <w:rStyle w:val="FootnoteReference"/>
        </w:rPr>
        <w:footnoteRef/>
      </w:r>
      <w:r w:rsidRPr="006B577D">
        <w:rPr>
          <w:lang w:val="es-ES"/>
        </w:rPr>
        <w:t xml:space="preserve"> </w:t>
      </w:r>
      <w:r w:rsidRPr="006B577D">
        <w:rPr>
          <w:i/>
          <w:iCs/>
          <w:lang w:val="es-ES"/>
        </w:rPr>
        <w:t>Supra</w:t>
      </w:r>
      <w:r w:rsidRPr="006B577D">
        <w:rPr>
          <w:lang w:val="es-ES"/>
        </w:rPr>
        <w:t xml:space="preserve">, </w:t>
      </w:r>
      <w:r w:rsidR="00F9489B" w:rsidRPr="006B577D">
        <w:rPr>
          <w:lang w:val="es-ES"/>
        </w:rPr>
        <w:t>note 57</w:t>
      </w:r>
      <w:r w:rsidRPr="006B577D">
        <w:rPr>
          <w:lang w:val="es-ES"/>
        </w:rPr>
        <w:t>.</w:t>
      </w:r>
    </w:p>
  </w:footnote>
  <w:footnote w:id="83">
    <w:p w14:paraId="0EAB4F94" w14:textId="77777777" w:rsidR="005D5FBF" w:rsidRPr="006B577D" w:rsidRDefault="005D5FBF" w:rsidP="005D5FBF">
      <w:pPr>
        <w:pStyle w:val="FootnoteText"/>
        <w:rPr>
          <w:lang w:val="es-ES"/>
        </w:rPr>
      </w:pPr>
      <w:r w:rsidRPr="000653D8">
        <w:rPr>
          <w:rStyle w:val="FootnoteReference"/>
        </w:rPr>
        <w:footnoteRef/>
      </w:r>
      <w:r w:rsidRPr="006B577D">
        <w:rPr>
          <w:lang w:val="es-ES"/>
        </w:rPr>
        <w:t xml:space="preserve"> </w:t>
      </w:r>
      <w:r w:rsidRPr="006B577D">
        <w:rPr>
          <w:i/>
          <w:iCs/>
          <w:lang w:val="es-ES"/>
        </w:rPr>
        <w:t>Supra</w:t>
      </w:r>
      <w:r w:rsidRPr="006B577D">
        <w:rPr>
          <w:lang w:val="es-ES"/>
        </w:rPr>
        <w:t xml:space="preserve">, </w:t>
      </w:r>
      <w:r w:rsidR="00663885" w:rsidRPr="006B577D">
        <w:rPr>
          <w:lang w:val="es-ES"/>
        </w:rPr>
        <w:t>note 1.</w:t>
      </w:r>
    </w:p>
  </w:footnote>
  <w:footnote w:id="84">
    <w:p w14:paraId="5D18A0E7" w14:textId="77777777" w:rsidR="005D5FBF" w:rsidRPr="006B577D" w:rsidRDefault="005D5FBF" w:rsidP="005D5FBF">
      <w:pPr>
        <w:pStyle w:val="FootnoteText"/>
        <w:rPr>
          <w:lang w:val="es-ES"/>
        </w:rPr>
      </w:pPr>
      <w:r w:rsidRPr="000653D8">
        <w:rPr>
          <w:rStyle w:val="FootnoteReference"/>
        </w:rPr>
        <w:footnoteRef/>
      </w:r>
      <w:r w:rsidRPr="006B577D">
        <w:rPr>
          <w:lang w:val="es-ES"/>
        </w:rPr>
        <w:t xml:space="preserve"> </w:t>
      </w:r>
      <w:r w:rsidRPr="006B577D">
        <w:rPr>
          <w:i/>
          <w:iCs/>
          <w:lang w:val="es-ES"/>
        </w:rPr>
        <w:t>Id</w:t>
      </w:r>
      <w:r w:rsidRPr="006B577D">
        <w:rPr>
          <w:lang w:val="es-ES"/>
        </w:rPr>
        <w:t>.</w:t>
      </w:r>
    </w:p>
  </w:footnote>
  <w:footnote w:id="85">
    <w:p w14:paraId="14E1AA58" w14:textId="77777777" w:rsidR="005D5FBF" w:rsidRPr="000653D8" w:rsidRDefault="005D5FBF" w:rsidP="005D5FBF">
      <w:pPr>
        <w:pStyle w:val="FootnoteText"/>
      </w:pPr>
      <w:r w:rsidRPr="000653D8">
        <w:rPr>
          <w:rStyle w:val="FootnoteReference"/>
        </w:rPr>
        <w:footnoteRef/>
      </w:r>
      <w:r w:rsidRPr="000653D8">
        <w:t xml:space="preserve"> </w:t>
      </w:r>
      <w:r w:rsidRPr="000653D8">
        <w:rPr>
          <w:i/>
          <w:iCs/>
        </w:rPr>
        <w:t>Supra</w:t>
      </w:r>
      <w:r w:rsidRPr="000653D8">
        <w:t xml:space="preserve">, </w:t>
      </w:r>
      <w:r w:rsidR="00410892">
        <w:t>note 68</w:t>
      </w:r>
      <w:r w:rsidRPr="000653D8">
        <w:t>.</w:t>
      </w:r>
    </w:p>
  </w:footnote>
  <w:footnote w:id="86">
    <w:p w14:paraId="30509F14" w14:textId="77777777" w:rsidR="005D5FBF" w:rsidRPr="000653D8" w:rsidRDefault="005D5FBF" w:rsidP="005D5FBF">
      <w:pPr>
        <w:pStyle w:val="FootnoteText"/>
      </w:pPr>
      <w:r w:rsidRPr="000653D8">
        <w:rPr>
          <w:rStyle w:val="FootnoteReference"/>
        </w:rPr>
        <w:footnoteRef/>
      </w:r>
      <w:r w:rsidRPr="000653D8">
        <w:t xml:space="preserve"> </w:t>
      </w:r>
      <w:r w:rsidRPr="000653D8">
        <w:rPr>
          <w:i/>
          <w:iCs/>
        </w:rPr>
        <w:t>Id</w:t>
      </w:r>
      <w:r w:rsidRPr="000653D8">
        <w:t>.</w:t>
      </w:r>
    </w:p>
  </w:footnote>
  <w:footnote w:id="87">
    <w:p w14:paraId="1FF38315" w14:textId="77777777" w:rsidR="005D5FBF" w:rsidRPr="000653D8" w:rsidRDefault="005D5FBF" w:rsidP="005D5FBF">
      <w:pPr>
        <w:pStyle w:val="FootnoteText"/>
      </w:pPr>
      <w:r w:rsidRPr="000653D8">
        <w:rPr>
          <w:rStyle w:val="FootnoteReference"/>
        </w:rPr>
        <w:footnoteRef/>
      </w:r>
      <w:r w:rsidRPr="000653D8">
        <w:t xml:space="preserve"> </w:t>
      </w:r>
      <w:r w:rsidRPr="000653D8">
        <w:rPr>
          <w:i/>
          <w:iCs/>
        </w:rPr>
        <w:t>Id</w:t>
      </w:r>
      <w:r w:rsidRPr="000653D8">
        <w:t>.</w:t>
      </w:r>
    </w:p>
  </w:footnote>
  <w:footnote w:id="88">
    <w:p w14:paraId="5BF874AD" w14:textId="77777777" w:rsidR="00E01CBA" w:rsidRPr="00E01CBA" w:rsidRDefault="00E01CBA">
      <w:pPr>
        <w:pStyle w:val="FootnoteText"/>
      </w:pPr>
      <w:r>
        <w:rPr>
          <w:rStyle w:val="FootnoteReference"/>
        </w:rPr>
        <w:footnoteRef/>
      </w:r>
      <w:r>
        <w:t xml:space="preserve"> </w:t>
      </w:r>
      <w:r w:rsidRPr="00E01CBA">
        <w:t>Audrey Kearney, Alex Montero, Isabelle Valdes, Liz Hamel, and Ashley Kirzinger</w:t>
      </w:r>
      <w:r>
        <w:t>, “</w:t>
      </w:r>
      <w:r w:rsidRPr="00E01CBA">
        <w:t>KFF/The Washington Post Survey of Parents</w:t>
      </w:r>
      <w:r>
        <w:t xml:space="preserve">,” </w:t>
      </w:r>
      <w:r>
        <w:rPr>
          <w:i/>
        </w:rPr>
        <w:t>KFF</w:t>
      </w:r>
      <w:r>
        <w:t xml:space="preserve">, (Oct. 10, 2025), </w:t>
      </w:r>
      <w:r>
        <w:rPr>
          <w:i/>
        </w:rPr>
        <w:t xml:space="preserve">available at: </w:t>
      </w:r>
      <w:hyperlink r:id="rId14" w:history="1">
        <w:r w:rsidRPr="00EB45FD">
          <w:rPr>
            <w:rStyle w:val="Hyperlink"/>
            <w:rFonts w:ascii="Times New Roman" w:hAnsi="Times New Roman"/>
            <w:sz w:val="20"/>
            <w:szCs w:val="20"/>
          </w:rPr>
          <w:t>https://www.kff.org/public-opinion/kff-the-washington-post-survey-of-parents/</w:t>
        </w:r>
      </w:hyperlink>
      <w:r>
        <w:t xml:space="preserve"> (last visited Feb. 11, 2026). </w:t>
      </w:r>
    </w:p>
  </w:footnote>
  <w:footnote w:id="89">
    <w:p w14:paraId="65A0E597" w14:textId="77777777" w:rsidR="005D5FBF" w:rsidRPr="000653D8" w:rsidRDefault="005D5FBF" w:rsidP="005D5FBF">
      <w:pPr>
        <w:pStyle w:val="FootnoteText"/>
      </w:pPr>
      <w:r w:rsidRPr="000653D8">
        <w:rPr>
          <w:rStyle w:val="FootnoteReference"/>
        </w:rPr>
        <w:footnoteRef/>
      </w:r>
      <w:r w:rsidRPr="000653D8">
        <w:t xml:space="preserve"> </w:t>
      </w:r>
      <w:r w:rsidRPr="000653D8">
        <w:rPr>
          <w:i/>
          <w:iCs/>
        </w:rPr>
        <w:t>Supra</w:t>
      </w:r>
      <w:r w:rsidRPr="000653D8">
        <w:t xml:space="preserve">, </w:t>
      </w:r>
      <w:r w:rsidR="00663885">
        <w:t>note 1.</w:t>
      </w:r>
    </w:p>
  </w:footnote>
  <w:footnote w:id="90">
    <w:p w14:paraId="6894BC67" w14:textId="77777777" w:rsidR="005D5FBF" w:rsidRPr="00F91AA5" w:rsidRDefault="005D5FBF" w:rsidP="005D5FBF">
      <w:pPr>
        <w:pStyle w:val="FootnoteText"/>
      </w:pPr>
      <w:r w:rsidRPr="000653D8">
        <w:rPr>
          <w:rStyle w:val="FootnoteReference"/>
        </w:rPr>
        <w:footnoteRef/>
      </w:r>
      <w:r w:rsidRPr="000653D8">
        <w:t xml:space="preserve"> </w:t>
      </w:r>
      <w:r w:rsidRPr="000653D8">
        <w:rPr>
          <w:i/>
          <w:iCs/>
        </w:rPr>
        <w:t>Id</w:t>
      </w:r>
      <w:r w:rsidRPr="000653D8">
        <w:t>.</w:t>
      </w:r>
    </w:p>
  </w:footnote>
  <w:footnote w:id="91">
    <w:p w14:paraId="2D0CA07F" w14:textId="77777777" w:rsidR="008275A5" w:rsidRPr="000653D8" w:rsidRDefault="008275A5" w:rsidP="008275A5">
      <w:pPr>
        <w:pStyle w:val="FootnoteText"/>
      </w:pPr>
      <w:r w:rsidRPr="000653D8">
        <w:rPr>
          <w:rStyle w:val="FootnoteReference"/>
        </w:rPr>
        <w:footnoteRef/>
      </w:r>
      <w:r w:rsidRPr="000653D8">
        <w:t xml:space="preserve"> Elizabeth Williams, “Trump Administration Drops Medicaid Vaccine Reporting Requirements,” </w:t>
      </w:r>
      <w:r w:rsidRPr="000653D8">
        <w:rPr>
          <w:i/>
          <w:iCs/>
        </w:rPr>
        <w:t>KFF</w:t>
      </w:r>
      <w:r w:rsidRPr="000653D8">
        <w:t xml:space="preserve">, (Jan. 9, 2026), </w:t>
      </w:r>
      <w:r w:rsidRPr="000653D8">
        <w:rPr>
          <w:i/>
          <w:iCs/>
        </w:rPr>
        <w:t>available at</w:t>
      </w:r>
      <w:r w:rsidRPr="000653D8">
        <w:t xml:space="preserve">: </w:t>
      </w:r>
      <w:hyperlink r:id="rId15" w:history="1">
        <w:r w:rsidRPr="000653D8">
          <w:rPr>
            <w:rStyle w:val="Hyperlink"/>
            <w:rFonts w:ascii="Times New Roman" w:hAnsi="Times New Roman"/>
          </w:rPr>
          <w:t>https://www.kff.org/medicaid/trump-administration-drops-medicaid-vaccine-reporting-requirements/</w:t>
        </w:r>
      </w:hyperlink>
      <w:r w:rsidRPr="000653D8">
        <w:t xml:space="preserve"> (last visited Feb. 4, 2026).</w:t>
      </w:r>
    </w:p>
  </w:footnote>
  <w:footnote w:id="92">
    <w:p w14:paraId="58760340" w14:textId="77777777" w:rsidR="008275A5" w:rsidRPr="000653D8" w:rsidRDefault="008275A5" w:rsidP="008275A5">
      <w:pPr>
        <w:pStyle w:val="FootnoteText"/>
      </w:pPr>
      <w:r w:rsidRPr="000653D8">
        <w:rPr>
          <w:rStyle w:val="FootnoteReference"/>
        </w:rPr>
        <w:footnoteRef/>
      </w:r>
      <w:r w:rsidRPr="000653D8">
        <w:t xml:space="preserve"> Centers for Medicare &amp; Medicaid Services. </w:t>
      </w:r>
      <w:r w:rsidRPr="000653D8">
        <w:rPr>
          <w:i/>
          <w:iCs/>
        </w:rPr>
        <w:t>2027 Updates to the Child and Adult Core Health Care Quality Measurement Sets and Mandatory Reporting Guidelines</w:t>
      </w:r>
      <w:r w:rsidRPr="000653D8">
        <w:t xml:space="preserve">, (Dec. 30, 2025), </w:t>
      </w:r>
      <w:r w:rsidRPr="000653D8">
        <w:rPr>
          <w:i/>
          <w:iCs/>
        </w:rPr>
        <w:t>available at</w:t>
      </w:r>
      <w:r w:rsidRPr="000653D8">
        <w:t xml:space="preserve">: </w:t>
      </w:r>
      <w:hyperlink r:id="rId16" w:history="1">
        <w:r w:rsidRPr="000653D8">
          <w:rPr>
            <w:rStyle w:val="Hyperlink"/>
            <w:rFonts w:ascii="Times New Roman" w:hAnsi="Times New Roman"/>
          </w:rPr>
          <w:t>https://www.medicaid.gov/federal-policy-guidance/downloads/sho25005.pdf</w:t>
        </w:r>
      </w:hyperlink>
      <w:r w:rsidRPr="000653D8">
        <w:t xml:space="preserve"> (last visited Feb. 4, 2026).</w:t>
      </w:r>
    </w:p>
  </w:footnote>
  <w:footnote w:id="93">
    <w:p w14:paraId="4267834B" w14:textId="77777777" w:rsidR="008275A5" w:rsidRPr="000653D8" w:rsidRDefault="008275A5" w:rsidP="008275A5">
      <w:pPr>
        <w:pStyle w:val="FootnoteText"/>
      </w:pPr>
      <w:r w:rsidRPr="000653D8">
        <w:rPr>
          <w:rStyle w:val="FootnoteReference"/>
        </w:rPr>
        <w:footnoteRef/>
      </w:r>
      <w:r w:rsidRPr="000653D8">
        <w:t xml:space="preserve"> </w:t>
      </w:r>
      <w:r w:rsidRPr="000653D8">
        <w:rPr>
          <w:i/>
          <w:iCs/>
        </w:rPr>
        <w:t>Id</w:t>
      </w:r>
      <w:r w:rsidRPr="000653D8">
        <w:t>.</w:t>
      </w:r>
    </w:p>
  </w:footnote>
  <w:footnote w:id="94">
    <w:p w14:paraId="1824B44F" w14:textId="77777777" w:rsidR="008275A5" w:rsidRPr="000653D8" w:rsidRDefault="008275A5" w:rsidP="008275A5">
      <w:pPr>
        <w:pStyle w:val="FootnoteText"/>
      </w:pPr>
      <w:r w:rsidRPr="000653D8">
        <w:rPr>
          <w:rStyle w:val="FootnoteReference"/>
        </w:rPr>
        <w:footnoteRef/>
      </w:r>
      <w:r w:rsidRPr="000653D8">
        <w:t xml:space="preserve"> </w:t>
      </w:r>
      <w:r w:rsidRPr="000653D8">
        <w:rPr>
          <w:i/>
          <w:iCs/>
        </w:rPr>
        <w:t>Id</w:t>
      </w:r>
      <w:r w:rsidRPr="000653D8">
        <w:t>.</w:t>
      </w:r>
    </w:p>
  </w:footnote>
  <w:footnote w:id="95">
    <w:p w14:paraId="5325E8EE" w14:textId="77777777" w:rsidR="008275A5" w:rsidRPr="000653D8" w:rsidRDefault="008275A5" w:rsidP="008275A5">
      <w:pPr>
        <w:pStyle w:val="FootnoteText"/>
      </w:pPr>
      <w:r w:rsidRPr="000653D8">
        <w:rPr>
          <w:rStyle w:val="FootnoteReference"/>
        </w:rPr>
        <w:footnoteRef/>
      </w:r>
      <w:r>
        <w:t xml:space="preserve"> </w:t>
      </w:r>
      <w:r>
        <w:rPr>
          <w:i/>
          <w:iCs/>
        </w:rPr>
        <w:t>Supra</w:t>
      </w:r>
      <w:r>
        <w:t xml:space="preserve">, </w:t>
      </w:r>
      <w:r w:rsidR="00617944">
        <w:t>note 82</w:t>
      </w:r>
      <w:r>
        <w:t>.</w:t>
      </w:r>
    </w:p>
  </w:footnote>
  <w:footnote w:id="96">
    <w:p w14:paraId="7065CF12" w14:textId="77777777" w:rsidR="008275A5" w:rsidRPr="000653D8" w:rsidRDefault="008275A5" w:rsidP="008275A5">
      <w:pPr>
        <w:pStyle w:val="FootnoteText"/>
      </w:pPr>
      <w:r w:rsidRPr="000653D8">
        <w:rPr>
          <w:rStyle w:val="FootnoteReference"/>
        </w:rPr>
        <w:footnoteRef/>
      </w:r>
      <w:r w:rsidRPr="000653D8">
        <w:t xml:space="preserve"> “Health Insurance Coverage of Children 0-18,” </w:t>
      </w:r>
      <w:r w:rsidRPr="000653D8">
        <w:rPr>
          <w:i/>
          <w:iCs/>
        </w:rPr>
        <w:t>KFF</w:t>
      </w:r>
      <w:r w:rsidRPr="000653D8">
        <w:t xml:space="preserve">, </w:t>
      </w:r>
      <w:r w:rsidRPr="000653D8">
        <w:rPr>
          <w:i/>
          <w:iCs/>
        </w:rPr>
        <w:t>available at</w:t>
      </w:r>
      <w:r w:rsidRPr="000653D8">
        <w:t xml:space="preserve">: </w:t>
      </w:r>
      <w:hyperlink r:id="rId17" w:history="1">
        <w:r w:rsidRPr="000653D8">
          <w:rPr>
            <w:rStyle w:val="Hyperlink"/>
            <w:rFonts w:ascii="Times New Roman" w:hAnsi="Times New Roman"/>
          </w:rPr>
          <w:t>https://www.kff.org/state-health-policy-data/state-indicator/children-0-18/?currentTimeframe=0&amp;sortModel=%7B%22colId%22:%22Location%22,%22sort%22:%22asc%22%7D</w:t>
        </w:r>
      </w:hyperlink>
      <w:r w:rsidRPr="000653D8">
        <w:t xml:space="preserve"> (last visited Feb. 4, 2026).</w:t>
      </w:r>
    </w:p>
  </w:footnote>
  <w:footnote w:id="97">
    <w:p w14:paraId="0CC5D2DD" w14:textId="77777777" w:rsidR="008275A5" w:rsidRPr="0070260B" w:rsidRDefault="008275A5" w:rsidP="008275A5">
      <w:pPr>
        <w:pStyle w:val="FootnoteText"/>
      </w:pPr>
      <w:r w:rsidRPr="000653D8">
        <w:rPr>
          <w:rStyle w:val="FootnoteReference"/>
        </w:rPr>
        <w:footnoteRef/>
      </w:r>
      <w:r>
        <w:t xml:space="preserve"> </w:t>
      </w:r>
      <w:r>
        <w:rPr>
          <w:i/>
          <w:iCs/>
        </w:rPr>
        <w:t>Supra</w:t>
      </w:r>
      <w:r>
        <w:t xml:space="preserve">, </w:t>
      </w:r>
      <w:r w:rsidR="00410892">
        <w:t>note 82</w:t>
      </w:r>
      <w:r>
        <w:t>.</w:t>
      </w:r>
    </w:p>
  </w:footnote>
  <w:footnote w:id="98">
    <w:p w14:paraId="1C371C5D" w14:textId="77777777" w:rsidR="001B7B0B" w:rsidRPr="001136F3" w:rsidRDefault="001B7B0B" w:rsidP="001B7B0B">
      <w:pPr>
        <w:pStyle w:val="FootnoteText"/>
      </w:pPr>
      <w:r w:rsidRPr="001136F3">
        <w:rPr>
          <w:rStyle w:val="FootnoteReference"/>
        </w:rPr>
        <w:footnoteRef/>
      </w:r>
      <w:r w:rsidRPr="001136F3">
        <w:t xml:space="preserve"> </w:t>
      </w:r>
      <w:r>
        <w:t>Charter § 553.</w:t>
      </w:r>
    </w:p>
  </w:footnote>
  <w:footnote w:id="99">
    <w:p w14:paraId="0947D87B" w14:textId="77777777" w:rsidR="001B7B0B" w:rsidRPr="001136F3" w:rsidRDefault="001B7B0B" w:rsidP="001B7B0B">
      <w:pPr>
        <w:pStyle w:val="FootnoteText"/>
      </w:pPr>
      <w:r w:rsidRPr="001136F3">
        <w:rPr>
          <w:rStyle w:val="FootnoteReference"/>
        </w:rPr>
        <w:footnoteRef/>
      </w:r>
      <w:r w:rsidRPr="001136F3">
        <w:t xml:space="preserve"> 24 RCNY </w:t>
      </w:r>
      <w:r>
        <w:t xml:space="preserve">§ </w:t>
      </w:r>
      <w:r w:rsidRPr="001136F3">
        <w:t>81.49.</w:t>
      </w:r>
    </w:p>
  </w:footnote>
  <w:footnote w:id="100">
    <w:p w14:paraId="24489F1B" w14:textId="77777777" w:rsidR="001B7B0B" w:rsidRPr="001136F3" w:rsidRDefault="001B7B0B" w:rsidP="001B7B0B">
      <w:pPr>
        <w:pStyle w:val="FootnoteText"/>
      </w:pPr>
      <w:r w:rsidRPr="001136F3">
        <w:rPr>
          <w:rStyle w:val="FootnoteReference"/>
        </w:rPr>
        <w:footnoteRef/>
      </w:r>
      <w:r w:rsidRPr="001136F3">
        <w:t xml:space="preserve"> </w:t>
      </w:r>
      <w:r>
        <w:t>U.S. Food and</w:t>
      </w:r>
      <w:r w:rsidRPr="001136F3">
        <w:t xml:space="preserve"> Drug </w:t>
      </w:r>
      <w:r>
        <w:t>Administration</w:t>
      </w:r>
      <w:r w:rsidRPr="001136F3">
        <w:t xml:space="preserve">, </w:t>
      </w:r>
      <w:r>
        <w:t>“</w:t>
      </w:r>
      <w:r w:rsidRPr="00857FF4">
        <w:rPr>
          <w:iCs/>
        </w:rPr>
        <w:t>Sodium in Your Diet</w:t>
      </w:r>
      <w:r>
        <w:t xml:space="preserve">,” </w:t>
      </w:r>
      <w:r w:rsidRPr="001136F3">
        <w:t xml:space="preserve">(Mar. 5, 2024), </w:t>
      </w:r>
      <w:r>
        <w:rPr>
          <w:i/>
        </w:rPr>
        <w:t>available at</w:t>
      </w:r>
      <w:r>
        <w:t xml:space="preserve">: </w:t>
      </w:r>
      <w:hyperlink r:id="rId18" w:tgtFrame="_new" w:history="1">
        <w:r w:rsidRPr="001136F3">
          <w:rPr>
            <w:rStyle w:val="Hyperlink"/>
            <w:rFonts w:ascii="Times New Roman" w:hAnsi="Times New Roman"/>
            <w:sz w:val="20"/>
            <w:szCs w:val="20"/>
          </w:rPr>
          <w:t>https://www.fda.gov/food/nutrition-education-resources-materials/sodium-your-diet</w:t>
        </w:r>
      </w:hyperlink>
      <w:r w:rsidRPr="001136F3">
        <w:t>. (last visited Dec. 4, 2025)</w:t>
      </w:r>
    </w:p>
  </w:footnote>
  <w:footnote w:id="101">
    <w:p w14:paraId="07BCEAE1" w14:textId="77777777" w:rsidR="006B577D" w:rsidRDefault="006B577D" w:rsidP="006B577D">
      <w:pPr>
        <w:pStyle w:val="FootnoteText"/>
      </w:pPr>
      <w:r>
        <w:rPr>
          <w:rStyle w:val="FootnoteReference"/>
        </w:rPr>
        <w:footnoteRef/>
      </w:r>
      <w:r>
        <w:t xml:space="preserve"> N.Y. PHL § 2164.</w:t>
      </w:r>
    </w:p>
  </w:footnote>
  <w:footnote w:id="102">
    <w:p w14:paraId="758B6498" w14:textId="77777777" w:rsidR="006B577D" w:rsidRPr="00BE473D" w:rsidRDefault="006B577D" w:rsidP="006B577D">
      <w:pPr>
        <w:pStyle w:val="FootnoteText"/>
      </w:pPr>
      <w:r>
        <w:rPr>
          <w:rStyle w:val="FootnoteReference"/>
        </w:rPr>
        <w:footnoteRef/>
      </w:r>
      <w:r>
        <w:t xml:space="preserve"> </w:t>
      </w:r>
      <w:hyperlink r:id="rId19" w:history="1">
        <w:r w:rsidRPr="0093317C">
          <w:rPr>
            <w:rStyle w:val="Hyperlink"/>
            <w:rFonts w:ascii="Times New Roman" w:hAnsi="Times New Roman"/>
            <w:sz w:val="20"/>
            <w:szCs w:val="20"/>
          </w:rPr>
          <w:t>https://www.health.ny.gov/prevention/immunization/schools/school_vaccines/</w:t>
        </w:r>
      </w:hyperlink>
      <w:r>
        <w:t xml:space="preserve">. </w:t>
      </w:r>
    </w:p>
  </w:footnote>
  <w:footnote w:id="103">
    <w:p w14:paraId="7F9F1785" w14:textId="77777777" w:rsidR="006B577D" w:rsidRPr="006B577D" w:rsidRDefault="006B577D" w:rsidP="006B577D">
      <w:pPr>
        <w:pStyle w:val="FootnoteText"/>
        <w:rPr>
          <w:lang w:val="es-ES"/>
        </w:rPr>
      </w:pPr>
      <w:r>
        <w:rPr>
          <w:rStyle w:val="FootnoteReference"/>
        </w:rPr>
        <w:footnoteRef/>
      </w:r>
      <w:r w:rsidRPr="006B577D">
        <w:rPr>
          <w:lang w:val="es-ES"/>
        </w:rPr>
        <w:t xml:space="preserve"> </w:t>
      </w:r>
      <w:r w:rsidRPr="006B577D">
        <w:rPr>
          <w:i/>
          <w:iCs/>
          <w:lang w:val="es-ES"/>
        </w:rPr>
        <w:t>Supra</w:t>
      </w:r>
      <w:r w:rsidRPr="006B577D">
        <w:rPr>
          <w:lang w:val="es-ES"/>
        </w:rPr>
        <w:t>,</w:t>
      </w:r>
      <w:r w:rsidRPr="006B577D">
        <w:rPr>
          <w:i/>
          <w:iCs/>
          <w:lang w:val="es-ES"/>
        </w:rPr>
        <w:t xml:space="preserve"> </w:t>
      </w:r>
      <w:r w:rsidRPr="006B577D">
        <w:rPr>
          <w:lang w:val="es-ES"/>
        </w:rPr>
        <w:t>note 102.</w:t>
      </w:r>
    </w:p>
  </w:footnote>
  <w:footnote w:id="104">
    <w:p w14:paraId="155656B6" w14:textId="77777777" w:rsidR="006B577D" w:rsidRPr="006B577D" w:rsidRDefault="006B577D" w:rsidP="006B577D">
      <w:pPr>
        <w:pStyle w:val="FootnoteText"/>
        <w:rPr>
          <w:lang w:val="es-ES"/>
        </w:rPr>
      </w:pPr>
      <w:r>
        <w:rPr>
          <w:rStyle w:val="FootnoteReference"/>
        </w:rPr>
        <w:footnoteRef/>
      </w:r>
      <w:r w:rsidRPr="006B577D">
        <w:rPr>
          <w:lang w:val="es-ES"/>
        </w:rPr>
        <w:t xml:space="preserve"> </w:t>
      </w:r>
      <w:r w:rsidRPr="006B577D">
        <w:rPr>
          <w:i/>
          <w:iCs/>
          <w:lang w:val="es-ES"/>
        </w:rPr>
        <w:t>Supra</w:t>
      </w:r>
      <w:r w:rsidRPr="006B577D">
        <w:rPr>
          <w:lang w:val="es-ES"/>
        </w:rPr>
        <w:t>,</w:t>
      </w:r>
      <w:r w:rsidRPr="006B577D">
        <w:rPr>
          <w:i/>
          <w:iCs/>
          <w:lang w:val="es-ES"/>
        </w:rPr>
        <w:t xml:space="preserve"> </w:t>
      </w:r>
      <w:r w:rsidRPr="006B577D">
        <w:rPr>
          <w:lang w:val="es-ES"/>
        </w:rPr>
        <w:t>note 103.</w:t>
      </w:r>
    </w:p>
  </w:footnote>
  <w:footnote w:id="105">
    <w:p w14:paraId="110CA009" w14:textId="77777777" w:rsidR="005A111E" w:rsidRPr="006B577D" w:rsidRDefault="005A111E">
      <w:pPr>
        <w:pStyle w:val="FootnoteText"/>
        <w:rPr>
          <w:lang w:val="es-ES"/>
        </w:rPr>
      </w:pPr>
      <w:r>
        <w:rPr>
          <w:rStyle w:val="FootnoteReference"/>
        </w:rPr>
        <w:footnoteRef/>
      </w:r>
      <w:r w:rsidRPr="006B577D">
        <w:rPr>
          <w:lang w:val="es-ES"/>
        </w:rPr>
        <w:t xml:space="preserve"> LL 150/2023.</w:t>
      </w:r>
    </w:p>
  </w:footnote>
  <w:footnote w:id="106">
    <w:p w14:paraId="2C6428DA" w14:textId="77777777" w:rsidR="00DE7046" w:rsidRPr="00F42055" w:rsidRDefault="00DE7046">
      <w:pPr>
        <w:pStyle w:val="FootnoteText"/>
        <w:rPr>
          <w:lang w:val="es-ES"/>
        </w:rPr>
      </w:pPr>
      <w:r>
        <w:rPr>
          <w:rStyle w:val="FootnoteReference"/>
        </w:rPr>
        <w:footnoteRef/>
      </w:r>
      <w:r w:rsidRPr="00F42055">
        <w:rPr>
          <w:lang w:val="es-ES"/>
        </w:rPr>
        <w:t xml:space="preserve"> </w:t>
      </w:r>
      <w:hyperlink r:id="rId20" w:history="1">
        <w:r w:rsidR="00F771A8" w:rsidRPr="00F42055">
          <w:rPr>
            <w:rStyle w:val="Hyperlink"/>
            <w:rFonts w:ascii="Times New Roman" w:hAnsi="Times New Roman"/>
            <w:sz w:val="20"/>
            <w:szCs w:val="20"/>
            <w:lang w:val="es-ES"/>
          </w:rPr>
          <w:t>https://www.nyc.gov/site/doh/about/press/pr2025/new-added-sugars-warning-rule-goes-into-effect-2025.page</w:t>
        </w:r>
      </w:hyperlink>
      <w:r w:rsidR="00F771A8" w:rsidRPr="00F42055">
        <w:rPr>
          <w:lang w:val="es-ES"/>
        </w:rPr>
        <w:t xml:space="preserve">. </w:t>
      </w:r>
    </w:p>
  </w:footnote>
  <w:footnote w:id="107">
    <w:p w14:paraId="197FF3C9" w14:textId="77777777" w:rsidR="00EF4DD1" w:rsidRDefault="00EF4DD1">
      <w:pPr>
        <w:pStyle w:val="FootnoteText"/>
      </w:pPr>
      <w:r>
        <w:rPr>
          <w:rStyle w:val="FootnoteReference"/>
        </w:rPr>
        <w:footnoteRef/>
      </w:r>
      <w:r>
        <w:t xml:space="preserve"> </w:t>
      </w:r>
      <w:r w:rsidR="000B77CE">
        <w:t xml:space="preserve">24 RCNY </w:t>
      </w:r>
      <w:r w:rsidR="00A50300">
        <w:t xml:space="preserve">§ </w:t>
      </w:r>
      <w:r w:rsidR="00CF16B8">
        <w:t>39.01.</w:t>
      </w:r>
    </w:p>
  </w:footnote>
  <w:footnote w:id="108">
    <w:p w14:paraId="5CB82F86" w14:textId="77777777" w:rsidR="008A2134" w:rsidRPr="008A2134" w:rsidRDefault="008A2134">
      <w:pPr>
        <w:pStyle w:val="FootnoteText"/>
      </w:pPr>
      <w:r>
        <w:rPr>
          <w:rStyle w:val="FootnoteReference"/>
        </w:rPr>
        <w:footnoteRef/>
      </w:r>
      <w:r>
        <w:t xml:space="preserve"> </w:t>
      </w:r>
      <w:r>
        <w:rPr>
          <w:i/>
          <w:iCs/>
        </w:rPr>
        <w:t>Id.</w:t>
      </w:r>
    </w:p>
  </w:footnote>
  <w:footnote w:id="109">
    <w:p w14:paraId="1F47AA13" w14:textId="77777777" w:rsidR="00BE58FB" w:rsidRPr="006B577D" w:rsidRDefault="00BE58FB">
      <w:pPr>
        <w:pStyle w:val="FootnoteText"/>
        <w:rPr>
          <w:lang w:val="es-ES"/>
        </w:rPr>
      </w:pPr>
      <w:r>
        <w:rPr>
          <w:rStyle w:val="FootnoteReference"/>
        </w:rPr>
        <w:footnoteRef/>
      </w:r>
      <w:r w:rsidRPr="006B577D">
        <w:rPr>
          <w:i/>
          <w:iCs/>
          <w:lang w:val="es-ES"/>
        </w:rPr>
        <w:t xml:space="preserve"> </w:t>
      </w:r>
      <w:r w:rsidR="006B057B" w:rsidRPr="006B577D">
        <w:rPr>
          <w:i/>
          <w:iCs/>
          <w:lang w:val="es-ES"/>
        </w:rPr>
        <w:t>Supra</w:t>
      </w:r>
      <w:r w:rsidR="00137846" w:rsidRPr="006B577D">
        <w:rPr>
          <w:lang w:val="es-ES"/>
        </w:rPr>
        <w:t>,</w:t>
      </w:r>
      <w:r w:rsidR="006B057B" w:rsidRPr="006B577D">
        <w:rPr>
          <w:i/>
          <w:iCs/>
          <w:lang w:val="es-ES"/>
        </w:rPr>
        <w:t xml:space="preserve"> </w:t>
      </w:r>
      <w:r w:rsidR="006B057B" w:rsidRPr="006B577D">
        <w:rPr>
          <w:lang w:val="es-ES"/>
        </w:rPr>
        <w:t>note 26</w:t>
      </w:r>
      <w:r w:rsidR="00CE2F74" w:rsidRPr="006B577D">
        <w:rPr>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46310" w14:textId="77777777" w:rsidR="002B53A5" w:rsidRDefault="002B53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CB618" w14:textId="77777777" w:rsidR="00D74E17" w:rsidRDefault="00D74E17">
    <w:r>
      <w:cr/>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E5C386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11421"/>
    <w:multiLevelType w:val="multilevel"/>
    <w:tmpl w:val="25B60042"/>
    <w:lvl w:ilvl="0">
      <w:start w:val="1"/>
      <w:numFmt w:val="decimal"/>
      <w:lvlText w:val="%1)"/>
      <w:lvlJc w:val="left"/>
      <w:pPr>
        <w:ind w:left="360" w:hanging="360"/>
      </w:pPr>
    </w:lvl>
    <w:lvl w:ilvl="1">
      <w:start w:val="1"/>
      <w:numFmt w:val="decimal"/>
      <w:lvlText w:val="%2."/>
      <w:lvlJc w:val="left"/>
      <w:pPr>
        <w:ind w:left="54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7E0F41"/>
    <w:multiLevelType w:val="hybridMultilevel"/>
    <w:tmpl w:val="C6AAF0CC"/>
    <w:lvl w:ilvl="0" w:tplc="FFFFFFFF">
      <w:start w:val="1"/>
      <w:numFmt w:val="lowerLetter"/>
      <w:lvlText w:val="%1."/>
      <w:lvlJc w:val="left"/>
      <w:pPr>
        <w:ind w:left="1440" w:hanging="720"/>
      </w:pPr>
    </w:lvl>
    <w:lvl w:ilvl="1" w:tplc="FFFFFFFF">
      <w:start w:val="1"/>
      <w:numFmt w:val="lowerLetter"/>
      <w:lvlText w:val="%2."/>
      <w:lvlJc w:val="left"/>
      <w:pPr>
        <w:ind w:left="6210" w:hanging="360"/>
      </w:pPr>
      <w:rPr>
        <w:b/>
        <w:sz w:val="24"/>
        <w:szCs w:val="24"/>
      </w:rPr>
    </w:lvl>
    <w:lvl w:ilvl="2" w:tplc="FFFFFFFF">
      <w:start w:val="1"/>
      <w:numFmt w:val="lowerRoman"/>
      <w:lvlText w:val="%3."/>
      <w:lvlJc w:val="right"/>
      <w:pPr>
        <w:ind w:left="2520" w:hanging="180"/>
      </w:pPr>
    </w:lvl>
    <w:lvl w:ilvl="3" w:tplc="FFFFFFFF">
      <w:start w:val="1"/>
      <w:numFmt w:val="decimal"/>
      <w:lvlText w:val="%4."/>
      <w:lvlJc w:val="left"/>
      <w:pPr>
        <w:ind w:left="324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8636DEA"/>
    <w:multiLevelType w:val="hybridMultilevel"/>
    <w:tmpl w:val="2362D4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367248"/>
    <w:multiLevelType w:val="hybridMultilevel"/>
    <w:tmpl w:val="012AFACE"/>
    <w:lvl w:ilvl="0" w:tplc="FFFFFFFF">
      <w:start w:val="1"/>
      <w:numFmt w:val="upperRoman"/>
      <w:lvlText w:val="%1."/>
      <w:lvlJc w:val="left"/>
      <w:pPr>
        <w:ind w:left="1080" w:hanging="720"/>
      </w:pPr>
    </w:lvl>
    <w:lvl w:ilvl="1" w:tplc="AB929622">
      <w:start w:val="1"/>
      <w:numFmt w:val="lowerLetter"/>
      <w:lvlText w:val="%2."/>
      <w:lvlJc w:val="left"/>
      <w:pPr>
        <w:ind w:left="5850" w:hanging="360"/>
      </w:pPr>
      <w:rPr>
        <w:b/>
        <w:sz w:val="24"/>
        <w:szCs w:val="24"/>
      </w:r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AE6932"/>
    <w:multiLevelType w:val="hybridMultilevel"/>
    <w:tmpl w:val="D2E428B8"/>
    <w:lvl w:ilvl="0" w:tplc="E0801076">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79719F"/>
    <w:multiLevelType w:val="hybridMultilevel"/>
    <w:tmpl w:val="B83C6246"/>
    <w:lvl w:ilvl="0" w:tplc="DD0EDA7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953CCE"/>
    <w:multiLevelType w:val="hybridMultilevel"/>
    <w:tmpl w:val="F1665FB6"/>
    <w:lvl w:ilvl="0" w:tplc="E0801076">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55B06ED"/>
    <w:multiLevelType w:val="hybridMultilevel"/>
    <w:tmpl w:val="C8CCC6FA"/>
    <w:lvl w:ilvl="0" w:tplc="1276870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0A5A16"/>
    <w:multiLevelType w:val="hybridMultilevel"/>
    <w:tmpl w:val="F1EA3F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6F3031"/>
    <w:multiLevelType w:val="hybridMultilevel"/>
    <w:tmpl w:val="564872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1A0089"/>
    <w:multiLevelType w:val="hybridMultilevel"/>
    <w:tmpl w:val="7DE64B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F96826"/>
    <w:multiLevelType w:val="hybridMultilevel"/>
    <w:tmpl w:val="68307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566785"/>
    <w:multiLevelType w:val="hybridMultilevel"/>
    <w:tmpl w:val="C6AAF0CC"/>
    <w:lvl w:ilvl="0" w:tplc="04090019">
      <w:start w:val="1"/>
      <w:numFmt w:val="lowerLetter"/>
      <w:lvlText w:val="%1."/>
      <w:lvlJc w:val="left"/>
      <w:pPr>
        <w:ind w:left="1440" w:hanging="720"/>
      </w:pPr>
    </w:lvl>
    <w:lvl w:ilvl="1" w:tplc="AB929622">
      <w:start w:val="1"/>
      <w:numFmt w:val="lowerLetter"/>
      <w:lvlText w:val="%2."/>
      <w:lvlJc w:val="left"/>
      <w:pPr>
        <w:ind w:left="6210" w:hanging="360"/>
      </w:pPr>
      <w:rPr>
        <w:b/>
        <w:sz w:val="24"/>
        <w:szCs w:val="24"/>
      </w:rPr>
    </w:lvl>
    <w:lvl w:ilvl="2" w:tplc="0409001B">
      <w:start w:val="1"/>
      <w:numFmt w:val="lowerRoman"/>
      <w:lvlText w:val="%3."/>
      <w:lvlJc w:val="right"/>
      <w:pPr>
        <w:ind w:left="2520" w:hanging="180"/>
      </w:pPr>
    </w:lvl>
    <w:lvl w:ilvl="3" w:tplc="B7501798">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09D4378"/>
    <w:multiLevelType w:val="hybridMultilevel"/>
    <w:tmpl w:val="4BAED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3562CF"/>
    <w:multiLevelType w:val="multilevel"/>
    <w:tmpl w:val="297018AE"/>
    <w:lvl w:ilvl="0">
      <w:start w:val="1"/>
      <w:numFmt w:val="decimal"/>
      <w:lvlText w:val="%1)"/>
      <w:lvlJc w:val="left"/>
      <w:pPr>
        <w:ind w:left="360" w:hanging="360"/>
      </w:pPr>
    </w:lvl>
    <w:lvl w:ilvl="1">
      <w:start w:val="1"/>
      <w:numFmt w:val="lowerLetter"/>
      <w:lvlText w:val="%2)"/>
      <w:lvlJc w:val="left"/>
      <w:pPr>
        <w:ind w:left="720" w:hanging="360"/>
      </w:pPr>
      <w:rPr>
        <w:b w:val="0"/>
        <w:bCs w:val="0"/>
      </w:rPr>
    </w:lvl>
    <w:lvl w:ilvl="2">
      <w:start w:val="1"/>
      <w:numFmt w:val="lowerRoman"/>
      <w:lvlText w:val="%3)"/>
      <w:lvlJc w:val="left"/>
      <w:pPr>
        <w:ind w:left="1080" w:hanging="360"/>
      </w:pPr>
      <w:rPr>
        <w:i w:val="0"/>
        <w:iCs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78113F7"/>
    <w:multiLevelType w:val="hybridMultilevel"/>
    <w:tmpl w:val="500AE774"/>
    <w:lvl w:ilvl="0" w:tplc="04090019">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4AC4515"/>
    <w:multiLevelType w:val="hybridMultilevel"/>
    <w:tmpl w:val="55227B88"/>
    <w:lvl w:ilvl="0" w:tplc="9698BA22">
      <w:start w:val="1"/>
      <w:numFmt w:val="decimal"/>
      <w:lvlText w:val="%1)"/>
      <w:lvlJc w:val="left"/>
      <w:pPr>
        <w:ind w:left="720" w:hanging="360"/>
      </w:pPr>
      <w:rPr>
        <w:rFonts w:ascii="Times New Roman" w:eastAsiaTheme="minorHAnsi" w:hAnsi="Times New Roman" w:cs="Times New Roman"/>
        <w:u w:val="none"/>
      </w:rPr>
    </w:lvl>
    <w:lvl w:ilvl="1" w:tplc="04090019">
      <w:start w:val="1"/>
      <w:numFmt w:val="lowerLetter"/>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505793"/>
    <w:multiLevelType w:val="hybridMultilevel"/>
    <w:tmpl w:val="EA86A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580AFD"/>
    <w:multiLevelType w:val="hybridMultilevel"/>
    <w:tmpl w:val="1752079A"/>
    <w:lvl w:ilvl="0" w:tplc="81BA1B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0F708D"/>
    <w:multiLevelType w:val="hybridMultilevel"/>
    <w:tmpl w:val="2CF8A74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8E93796"/>
    <w:multiLevelType w:val="hybridMultilevel"/>
    <w:tmpl w:val="36E8E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4C6A8A"/>
    <w:multiLevelType w:val="hybridMultilevel"/>
    <w:tmpl w:val="ABC64DFA"/>
    <w:lvl w:ilvl="0" w:tplc="BEEC1DFA">
      <w:start w:val="1"/>
      <w:numFmt w:val="decimal"/>
      <w:lvlText w:val="%1."/>
      <w:lvlJc w:val="left"/>
      <w:pPr>
        <w:ind w:left="720" w:hanging="360"/>
      </w:pPr>
    </w:lvl>
    <w:lvl w:ilvl="1" w:tplc="88CA3144">
      <w:start w:val="1"/>
      <w:numFmt w:val="lowerLetter"/>
      <w:lvlText w:val="%2."/>
      <w:lvlJc w:val="left"/>
      <w:pPr>
        <w:ind w:left="1440" w:hanging="360"/>
      </w:pPr>
    </w:lvl>
    <w:lvl w:ilvl="2" w:tplc="62469EB4">
      <w:start w:val="1"/>
      <w:numFmt w:val="lowerRoman"/>
      <w:lvlText w:val="%3."/>
      <w:lvlJc w:val="right"/>
      <w:pPr>
        <w:ind w:left="2160" w:hanging="180"/>
      </w:pPr>
    </w:lvl>
    <w:lvl w:ilvl="3" w:tplc="CA8C0C04">
      <w:start w:val="1"/>
      <w:numFmt w:val="decimal"/>
      <w:lvlText w:val="%4."/>
      <w:lvlJc w:val="left"/>
      <w:pPr>
        <w:ind w:left="2880" w:hanging="360"/>
      </w:pPr>
    </w:lvl>
    <w:lvl w:ilvl="4" w:tplc="54407008">
      <w:start w:val="1"/>
      <w:numFmt w:val="lowerLetter"/>
      <w:lvlText w:val="%5."/>
      <w:lvlJc w:val="left"/>
      <w:pPr>
        <w:ind w:left="3600" w:hanging="360"/>
      </w:pPr>
    </w:lvl>
    <w:lvl w:ilvl="5" w:tplc="594C3648">
      <w:start w:val="1"/>
      <w:numFmt w:val="lowerRoman"/>
      <w:lvlText w:val="%6."/>
      <w:lvlJc w:val="right"/>
      <w:pPr>
        <w:ind w:left="4320" w:hanging="180"/>
      </w:pPr>
    </w:lvl>
    <w:lvl w:ilvl="6" w:tplc="F76C814C">
      <w:start w:val="1"/>
      <w:numFmt w:val="decimal"/>
      <w:lvlText w:val="%7."/>
      <w:lvlJc w:val="left"/>
      <w:pPr>
        <w:ind w:left="5040" w:hanging="360"/>
      </w:pPr>
    </w:lvl>
    <w:lvl w:ilvl="7" w:tplc="B1F0D690">
      <w:start w:val="1"/>
      <w:numFmt w:val="lowerLetter"/>
      <w:lvlText w:val="%8."/>
      <w:lvlJc w:val="left"/>
      <w:pPr>
        <w:ind w:left="5760" w:hanging="360"/>
      </w:pPr>
    </w:lvl>
    <w:lvl w:ilvl="8" w:tplc="FCC005AC">
      <w:start w:val="1"/>
      <w:numFmt w:val="lowerRoman"/>
      <w:lvlText w:val="%9."/>
      <w:lvlJc w:val="right"/>
      <w:pPr>
        <w:ind w:left="6480" w:hanging="180"/>
      </w:pPr>
    </w:lvl>
  </w:abstractNum>
  <w:abstractNum w:abstractNumId="23" w15:restartNumberingAfterBreak="0">
    <w:nsid w:val="606B4076"/>
    <w:multiLevelType w:val="multilevel"/>
    <w:tmpl w:val="297018AE"/>
    <w:lvl w:ilvl="0">
      <w:start w:val="1"/>
      <w:numFmt w:val="decimal"/>
      <w:lvlText w:val="%1)"/>
      <w:lvlJc w:val="left"/>
      <w:pPr>
        <w:ind w:left="360" w:hanging="360"/>
      </w:pPr>
    </w:lvl>
    <w:lvl w:ilvl="1">
      <w:start w:val="1"/>
      <w:numFmt w:val="lowerLetter"/>
      <w:lvlText w:val="%2)"/>
      <w:lvlJc w:val="left"/>
      <w:pPr>
        <w:ind w:left="720" w:hanging="360"/>
      </w:pPr>
      <w:rPr>
        <w:b w:val="0"/>
        <w:bCs w:val="0"/>
      </w:rPr>
    </w:lvl>
    <w:lvl w:ilvl="2">
      <w:start w:val="1"/>
      <w:numFmt w:val="lowerRoman"/>
      <w:lvlText w:val="%3)"/>
      <w:lvlJc w:val="left"/>
      <w:pPr>
        <w:ind w:left="1080" w:hanging="360"/>
      </w:pPr>
      <w:rPr>
        <w:i w:val="0"/>
        <w:iCs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4BB22C4"/>
    <w:multiLevelType w:val="hybridMultilevel"/>
    <w:tmpl w:val="1086496A"/>
    <w:lvl w:ilvl="0" w:tplc="E42266FA">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CA54BA"/>
    <w:multiLevelType w:val="hybridMultilevel"/>
    <w:tmpl w:val="77FEC7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9523AAA"/>
    <w:multiLevelType w:val="hybridMultilevel"/>
    <w:tmpl w:val="8E74A34C"/>
    <w:lvl w:ilvl="0" w:tplc="FFFFFFFF">
      <w:start w:val="1"/>
      <w:numFmt w:val="low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99A762F"/>
    <w:multiLevelType w:val="hybridMultilevel"/>
    <w:tmpl w:val="21B2FB96"/>
    <w:lvl w:ilvl="0" w:tplc="0E60FD82">
      <w:start w:val="2"/>
      <w:numFmt w:val="lowerLetter"/>
      <w:lvlText w:val="%1."/>
      <w:lvlJc w:val="left"/>
      <w:pPr>
        <w:ind w:left="5850" w:hanging="360"/>
      </w:pPr>
      <w:rPr>
        <w:rFonts w:hint="default"/>
      </w:rPr>
    </w:lvl>
    <w:lvl w:ilvl="1" w:tplc="04090019" w:tentative="1">
      <w:start w:val="1"/>
      <w:numFmt w:val="lowerLetter"/>
      <w:lvlText w:val="%2."/>
      <w:lvlJc w:val="left"/>
      <w:pPr>
        <w:ind w:left="6570" w:hanging="360"/>
      </w:pPr>
    </w:lvl>
    <w:lvl w:ilvl="2" w:tplc="0409001B" w:tentative="1">
      <w:start w:val="1"/>
      <w:numFmt w:val="lowerRoman"/>
      <w:lvlText w:val="%3."/>
      <w:lvlJc w:val="right"/>
      <w:pPr>
        <w:ind w:left="7290" w:hanging="180"/>
      </w:pPr>
    </w:lvl>
    <w:lvl w:ilvl="3" w:tplc="0409000F" w:tentative="1">
      <w:start w:val="1"/>
      <w:numFmt w:val="decimal"/>
      <w:lvlText w:val="%4."/>
      <w:lvlJc w:val="left"/>
      <w:pPr>
        <w:ind w:left="8010" w:hanging="360"/>
      </w:pPr>
    </w:lvl>
    <w:lvl w:ilvl="4" w:tplc="04090019" w:tentative="1">
      <w:start w:val="1"/>
      <w:numFmt w:val="lowerLetter"/>
      <w:lvlText w:val="%5."/>
      <w:lvlJc w:val="left"/>
      <w:pPr>
        <w:ind w:left="8730" w:hanging="360"/>
      </w:pPr>
    </w:lvl>
    <w:lvl w:ilvl="5" w:tplc="0409001B" w:tentative="1">
      <w:start w:val="1"/>
      <w:numFmt w:val="lowerRoman"/>
      <w:lvlText w:val="%6."/>
      <w:lvlJc w:val="right"/>
      <w:pPr>
        <w:ind w:left="9450" w:hanging="180"/>
      </w:pPr>
    </w:lvl>
    <w:lvl w:ilvl="6" w:tplc="0409000F" w:tentative="1">
      <w:start w:val="1"/>
      <w:numFmt w:val="decimal"/>
      <w:lvlText w:val="%7."/>
      <w:lvlJc w:val="left"/>
      <w:pPr>
        <w:ind w:left="10170" w:hanging="360"/>
      </w:pPr>
    </w:lvl>
    <w:lvl w:ilvl="7" w:tplc="04090019" w:tentative="1">
      <w:start w:val="1"/>
      <w:numFmt w:val="lowerLetter"/>
      <w:lvlText w:val="%8."/>
      <w:lvlJc w:val="left"/>
      <w:pPr>
        <w:ind w:left="10890" w:hanging="360"/>
      </w:pPr>
    </w:lvl>
    <w:lvl w:ilvl="8" w:tplc="0409001B" w:tentative="1">
      <w:start w:val="1"/>
      <w:numFmt w:val="lowerRoman"/>
      <w:lvlText w:val="%9."/>
      <w:lvlJc w:val="right"/>
      <w:pPr>
        <w:ind w:left="11610" w:hanging="180"/>
      </w:pPr>
    </w:lvl>
  </w:abstractNum>
  <w:abstractNum w:abstractNumId="28" w15:restartNumberingAfterBreak="0">
    <w:nsid w:val="6A045794"/>
    <w:multiLevelType w:val="hybridMultilevel"/>
    <w:tmpl w:val="C53AD0B8"/>
    <w:lvl w:ilvl="0" w:tplc="216ED07A">
      <w:start w:val="1"/>
      <w:numFmt w:val="upperRoman"/>
      <w:lvlText w:val="%1."/>
      <w:lvlJc w:val="left"/>
      <w:pPr>
        <w:ind w:left="1080" w:hanging="720"/>
      </w:pPr>
      <w:rPr>
        <w:b/>
        <w:bCs/>
      </w:rPr>
    </w:lvl>
    <w:lvl w:ilvl="1" w:tplc="FFFFFFFF">
      <w:start w:val="1"/>
      <w:numFmt w:val="upperRoman"/>
      <w:lvlText w:val="%2."/>
      <w:lvlJc w:val="left"/>
      <w:pPr>
        <w:ind w:left="5850" w:hanging="360"/>
      </w:pPr>
    </w:lvl>
    <w:lvl w:ilvl="2" w:tplc="0409001B">
      <w:start w:val="1"/>
      <w:numFmt w:val="lowerRoman"/>
      <w:lvlText w:val="%3."/>
      <w:lvlJc w:val="right"/>
      <w:pPr>
        <w:ind w:left="2160" w:hanging="180"/>
      </w:pPr>
    </w:lvl>
    <w:lvl w:ilvl="3" w:tplc="B7501798">
      <w:start w:val="1"/>
      <w:numFmt w:val="decimal"/>
      <w:lvlText w:val="%4."/>
      <w:lvlJc w:val="left"/>
      <w:pPr>
        <w:ind w:left="2880" w:hanging="360"/>
      </w:pPr>
      <w:rPr>
        <w:rFonts w:hint="default"/>
      </w:rPr>
    </w:lvl>
    <w:lvl w:ilvl="4" w:tplc="980C9B4E">
      <w:start w:val="1"/>
      <w:numFmt w:val="lowerLetter"/>
      <w:lvlText w:val="%5."/>
      <w:lvlJc w:val="left"/>
      <w:pPr>
        <w:ind w:left="810" w:hanging="360"/>
      </w:pPr>
      <w:rPr>
        <w:b/>
        <w:bCs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984244"/>
    <w:multiLevelType w:val="hybridMultilevel"/>
    <w:tmpl w:val="70E21E62"/>
    <w:lvl w:ilvl="0" w:tplc="F5AAFDF2">
      <w:start w:val="1"/>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C50607"/>
    <w:multiLevelType w:val="hybridMultilevel"/>
    <w:tmpl w:val="9866F354"/>
    <w:lvl w:ilvl="0" w:tplc="D7A6B0AE">
      <w:start w:val="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E86FB4"/>
    <w:multiLevelType w:val="hybridMultilevel"/>
    <w:tmpl w:val="3642D5FE"/>
    <w:lvl w:ilvl="0" w:tplc="F306AC28">
      <w:start w:val="5"/>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183CE6"/>
    <w:multiLevelType w:val="multilevel"/>
    <w:tmpl w:val="FC5E2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0418368">
    <w:abstractNumId w:val="22"/>
  </w:num>
  <w:num w:numId="2" w16cid:durableId="2020112709">
    <w:abstractNumId w:val="8"/>
  </w:num>
  <w:num w:numId="3" w16cid:durableId="1867670475">
    <w:abstractNumId w:val="28"/>
  </w:num>
  <w:num w:numId="4" w16cid:durableId="2130541467">
    <w:abstractNumId w:val="32"/>
  </w:num>
  <w:num w:numId="5" w16cid:durableId="1674608561">
    <w:abstractNumId w:val="12"/>
  </w:num>
  <w:num w:numId="6" w16cid:durableId="1637494017">
    <w:abstractNumId w:val="4"/>
  </w:num>
  <w:num w:numId="7" w16cid:durableId="798719522">
    <w:abstractNumId w:val="13"/>
  </w:num>
  <w:num w:numId="8" w16cid:durableId="1336492217">
    <w:abstractNumId w:val="21"/>
  </w:num>
  <w:num w:numId="9" w16cid:durableId="1400011897">
    <w:abstractNumId w:val="27"/>
  </w:num>
  <w:num w:numId="10" w16cid:durableId="1458455424">
    <w:abstractNumId w:val="16"/>
  </w:num>
  <w:num w:numId="11" w16cid:durableId="1060712671">
    <w:abstractNumId w:val="2"/>
  </w:num>
  <w:num w:numId="12" w16cid:durableId="258761358">
    <w:abstractNumId w:val="0"/>
  </w:num>
  <w:num w:numId="13" w16cid:durableId="1532301942">
    <w:abstractNumId w:val="14"/>
  </w:num>
  <w:num w:numId="14" w16cid:durableId="2098751527">
    <w:abstractNumId w:val="24"/>
  </w:num>
  <w:num w:numId="15" w16cid:durableId="153497216">
    <w:abstractNumId w:val="10"/>
  </w:num>
  <w:num w:numId="16" w16cid:durableId="1546065394">
    <w:abstractNumId w:val="11"/>
  </w:num>
  <w:num w:numId="17" w16cid:durableId="1032462543">
    <w:abstractNumId w:val="20"/>
  </w:num>
  <w:num w:numId="18" w16cid:durableId="37972216">
    <w:abstractNumId w:val="15"/>
  </w:num>
  <w:num w:numId="19" w16cid:durableId="1325165121">
    <w:abstractNumId w:val="9"/>
  </w:num>
  <w:num w:numId="20" w16cid:durableId="648246824">
    <w:abstractNumId w:val="3"/>
  </w:num>
  <w:num w:numId="21" w16cid:durableId="1061708467">
    <w:abstractNumId w:val="25"/>
  </w:num>
  <w:num w:numId="22" w16cid:durableId="5522882">
    <w:abstractNumId w:val="6"/>
  </w:num>
  <w:num w:numId="23" w16cid:durableId="1043672766">
    <w:abstractNumId w:val="19"/>
  </w:num>
  <w:num w:numId="24" w16cid:durableId="722143560">
    <w:abstractNumId w:val="30"/>
  </w:num>
  <w:num w:numId="25" w16cid:durableId="1018969535">
    <w:abstractNumId w:val="1"/>
  </w:num>
  <w:num w:numId="26" w16cid:durableId="1801023868">
    <w:abstractNumId w:val="17"/>
  </w:num>
  <w:num w:numId="27" w16cid:durableId="387459667">
    <w:abstractNumId w:val="23"/>
  </w:num>
  <w:num w:numId="28" w16cid:durableId="1335719144">
    <w:abstractNumId w:val="31"/>
  </w:num>
  <w:num w:numId="29" w16cid:durableId="1717310951">
    <w:abstractNumId w:val="7"/>
  </w:num>
  <w:num w:numId="30" w16cid:durableId="679431892">
    <w:abstractNumId w:val="5"/>
  </w:num>
  <w:num w:numId="31" w16cid:durableId="682053845">
    <w:abstractNumId w:val="29"/>
  </w:num>
  <w:num w:numId="32" w16cid:durableId="3170859">
    <w:abstractNumId w:val="18"/>
  </w:num>
  <w:num w:numId="33" w16cid:durableId="111050915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E5C"/>
    <w:rsid w:val="00001DDA"/>
    <w:rsid w:val="00002644"/>
    <w:rsid w:val="0000327E"/>
    <w:rsid w:val="000034D8"/>
    <w:rsid w:val="00004994"/>
    <w:rsid w:val="00005D67"/>
    <w:rsid w:val="0000649C"/>
    <w:rsid w:val="000067AE"/>
    <w:rsid w:val="00007A54"/>
    <w:rsid w:val="000102C9"/>
    <w:rsid w:val="00010640"/>
    <w:rsid w:val="000112A9"/>
    <w:rsid w:val="000113EF"/>
    <w:rsid w:val="0001156D"/>
    <w:rsid w:val="00011907"/>
    <w:rsid w:val="000136EB"/>
    <w:rsid w:val="00013966"/>
    <w:rsid w:val="00013D1D"/>
    <w:rsid w:val="000153A4"/>
    <w:rsid w:val="000155A1"/>
    <w:rsid w:val="00015DE1"/>
    <w:rsid w:val="00015F61"/>
    <w:rsid w:val="00016613"/>
    <w:rsid w:val="00016D34"/>
    <w:rsid w:val="000176CD"/>
    <w:rsid w:val="000223C5"/>
    <w:rsid w:val="0002240C"/>
    <w:rsid w:val="00024671"/>
    <w:rsid w:val="00024679"/>
    <w:rsid w:val="00024D68"/>
    <w:rsid w:val="000267B6"/>
    <w:rsid w:val="0003070D"/>
    <w:rsid w:val="0003169B"/>
    <w:rsid w:val="0003176B"/>
    <w:rsid w:val="00032D69"/>
    <w:rsid w:val="00032D72"/>
    <w:rsid w:val="000338ED"/>
    <w:rsid w:val="00033A64"/>
    <w:rsid w:val="0003481D"/>
    <w:rsid w:val="00035AAF"/>
    <w:rsid w:val="00035B4B"/>
    <w:rsid w:val="00036149"/>
    <w:rsid w:val="0003709A"/>
    <w:rsid w:val="00041B7A"/>
    <w:rsid w:val="00042087"/>
    <w:rsid w:val="0004361E"/>
    <w:rsid w:val="00043F7F"/>
    <w:rsid w:val="00045696"/>
    <w:rsid w:val="00046563"/>
    <w:rsid w:val="00046625"/>
    <w:rsid w:val="00047460"/>
    <w:rsid w:val="000517F2"/>
    <w:rsid w:val="00052C91"/>
    <w:rsid w:val="000551A3"/>
    <w:rsid w:val="000553CC"/>
    <w:rsid w:val="00055513"/>
    <w:rsid w:val="0005578A"/>
    <w:rsid w:val="00055EAA"/>
    <w:rsid w:val="0005640C"/>
    <w:rsid w:val="00061495"/>
    <w:rsid w:val="00061CE0"/>
    <w:rsid w:val="000621CD"/>
    <w:rsid w:val="00062209"/>
    <w:rsid w:val="00062463"/>
    <w:rsid w:val="0006307A"/>
    <w:rsid w:val="0006366E"/>
    <w:rsid w:val="000639EF"/>
    <w:rsid w:val="000640EE"/>
    <w:rsid w:val="000650CC"/>
    <w:rsid w:val="000653D8"/>
    <w:rsid w:val="000660BF"/>
    <w:rsid w:val="0006658D"/>
    <w:rsid w:val="0006664E"/>
    <w:rsid w:val="00067DBA"/>
    <w:rsid w:val="00070AC3"/>
    <w:rsid w:val="00070DBE"/>
    <w:rsid w:val="00071344"/>
    <w:rsid w:val="000716DF"/>
    <w:rsid w:val="00071AAC"/>
    <w:rsid w:val="000725FC"/>
    <w:rsid w:val="00072DFB"/>
    <w:rsid w:val="00073953"/>
    <w:rsid w:val="00074190"/>
    <w:rsid w:val="000759DB"/>
    <w:rsid w:val="00076202"/>
    <w:rsid w:val="00077928"/>
    <w:rsid w:val="00080C54"/>
    <w:rsid w:val="00081679"/>
    <w:rsid w:val="00081818"/>
    <w:rsid w:val="00081A44"/>
    <w:rsid w:val="00082513"/>
    <w:rsid w:val="000838BC"/>
    <w:rsid w:val="00083C1B"/>
    <w:rsid w:val="00084113"/>
    <w:rsid w:val="0008589D"/>
    <w:rsid w:val="00086C87"/>
    <w:rsid w:val="0008705E"/>
    <w:rsid w:val="000870F1"/>
    <w:rsid w:val="000877E0"/>
    <w:rsid w:val="000906A5"/>
    <w:rsid w:val="00091BBD"/>
    <w:rsid w:val="00092B48"/>
    <w:rsid w:val="00092F18"/>
    <w:rsid w:val="0009346F"/>
    <w:rsid w:val="00093DEF"/>
    <w:rsid w:val="000A10EE"/>
    <w:rsid w:val="000A2D7C"/>
    <w:rsid w:val="000A2F4E"/>
    <w:rsid w:val="000A34A2"/>
    <w:rsid w:val="000A3FDC"/>
    <w:rsid w:val="000A4F5A"/>
    <w:rsid w:val="000A50F2"/>
    <w:rsid w:val="000A5481"/>
    <w:rsid w:val="000A6198"/>
    <w:rsid w:val="000A7A63"/>
    <w:rsid w:val="000A7A8C"/>
    <w:rsid w:val="000A7F28"/>
    <w:rsid w:val="000A7F74"/>
    <w:rsid w:val="000B052B"/>
    <w:rsid w:val="000B0867"/>
    <w:rsid w:val="000B0957"/>
    <w:rsid w:val="000B1945"/>
    <w:rsid w:val="000B1C72"/>
    <w:rsid w:val="000B22B7"/>
    <w:rsid w:val="000B3B90"/>
    <w:rsid w:val="000B50F9"/>
    <w:rsid w:val="000B5B2A"/>
    <w:rsid w:val="000B5C59"/>
    <w:rsid w:val="000B5E95"/>
    <w:rsid w:val="000B5F64"/>
    <w:rsid w:val="000B6139"/>
    <w:rsid w:val="000B69F3"/>
    <w:rsid w:val="000B6A96"/>
    <w:rsid w:val="000B7268"/>
    <w:rsid w:val="000B77CE"/>
    <w:rsid w:val="000B7D48"/>
    <w:rsid w:val="000B7F4E"/>
    <w:rsid w:val="000B7F5F"/>
    <w:rsid w:val="000B7FB2"/>
    <w:rsid w:val="000C09DA"/>
    <w:rsid w:val="000C1B06"/>
    <w:rsid w:val="000C1B6A"/>
    <w:rsid w:val="000C21BD"/>
    <w:rsid w:val="000C3248"/>
    <w:rsid w:val="000C3C5E"/>
    <w:rsid w:val="000C45CD"/>
    <w:rsid w:val="000C58C3"/>
    <w:rsid w:val="000C5D12"/>
    <w:rsid w:val="000C6451"/>
    <w:rsid w:val="000C66EE"/>
    <w:rsid w:val="000C739A"/>
    <w:rsid w:val="000D0398"/>
    <w:rsid w:val="000D0F75"/>
    <w:rsid w:val="000D15BE"/>
    <w:rsid w:val="000D27D8"/>
    <w:rsid w:val="000D432F"/>
    <w:rsid w:val="000D5E1D"/>
    <w:rsid w:val="000D6667"/>
    <w:rsid w:val="000D677A"/>
    <w:rsid w:val="000D6D4C"/>
    <w:rsid w:val="000D72E9"/>
    <w:rsid w:val="000E0B9D"/>
    <w:rsid w:val="000E17B7"/>
    <w:rsid w:val="000E1A2C"/>
    <w:rsid w:val="000E1F2E"/>
    <w:rsid w:val="000E2F69"/>
    <w:rsid w:val="000E4C0E"/>
    <w:rsid w:val="000E6093"/>
    <w:rsid w:val="000E7EC4"/>
    <w:rsid w:val="000F05D6"/>
    <w:rsid w:val="000F0859"/>
    <w:rsid w:val="000F091D"/>
    <w:rsid w:val="000F0BA9"/>
    <w:rsid w:val="000F10BA"/>
    <w:rsid w:val="000F21B9"/>
    <w:rsid w:val="000F3BCF"/>
    <w:rsid w:val="000F3CA1"/>
    <w:rsid w:val="000F424E"/>
    <w:rsid w:val="000F5927"/>
    <w:rsid w:val="000F7B71"/>
    <w:rsid w:val="00100017"/>
    <w:rsid w:val="00100601"/>
    <w:rsid w:val="00101628"/>
    <w:rsid w:val="00101691"/>
    <w:rsid w:val="00101E85"/>
    <w:rsid w:val="00104012"/>
    <w:rsid w:val="001041B2"/>
    <w:rsid w:val="0010472B"/>
    <w:rsid w:val="00106749"/>
    <w:rsid w:val="00107492"/>
    <w:rsid w:val="001103D7"/>
    <w:rsid w:val="0011162B"/>
    <w:rsid w:val="00113478"/>
    <w:rsid w:val="001136F3"/>
    <w:rsid w:val="001142B2"/>
    <w:rsid w:val="0011443C"/>
    <w:rsid w:val="00115B45"/>
    <w:rsid w:val="00116E4A"/>
    <w:rsid w:val="0011724E"/>
    <w:rsid w:val="00120138"/>
    <w:rsid w:val="00121F2B"/>
    <w:rsid w:val="001223E9"/>
    <w:rsid w:val="0012301F"/>
    <w:rsid w:val="001231B6"/>
    <w:rsid w:val="001250D3"/>
    <w:rsid w:val="001263FE"/>
    <w:rsid w:val="00126CDC"/>
    <w:rsid w:val="001276D1"/>
    <w:rsid w:val="00127895"/>
    <w:rsid w:val="00127ACA"/>
    <w:rsid w:val="00127FF7"/>
    <w:rsid w:val="00132295"/>
    <w:rsid w:val="00133A32"/>
    <w:rsid w:val="0013540C"/>
    <w:rsid w:val="00135627"/>
    <w:rsid w:val="00136E0E"/>
    <w:rsid w:val="00137846"/>
    <w:rsid w:val="00140A86"/>
    <w:rsid w:val="001422A6"/>
    <w:rsid w:val="001425FF"/>
    <w:rsid w:val="00142792"/>
    <w:rsid w:val="00143E4C"/>
    <w:rsid w:val="00145834"/>
    <w:rsid w:val="00146F47"/>
    <w:rsid w:val="0015095A"/>
    <w:rsid w:val="001509FF"/>
    <w:rsid w:val="00150F81"/>
    <w:rsid w:val="00151B5B"/>
    <w:rsid w:val="0015216A"/>
    <w:rsid w:val="00152AD8"/>
    <w:rsid w:val="00155FF4"/>
    <w:rsid w:val="0015707A"/>
    <w:rsid w:val="00157664"/>
    <w:rsid w:val="0016038F"/>
    <w:rsid w:val="00161539"/>
    <w:rsid w:val="00163F10"/>
    <w:rsid w:val="00165807"/>
    <w:rsid w:val="00165C81"/>
    <w:rsid w:val="00166341"/>
    <w:rsid w:val="00166A28"/>
    <w:rsid w:val="00166EA6"/>
    <w:rsid w:val="0017074A"/>
    <w:rsid w:val="00172676"/>
    <w:rsid w:val="00172999"/>
    <w:rsid w:val="00172B0C"/>
    <w:rsid w:val="00172C65"/>
    <w:rsid w:val="00174AC7"/>
    <w:rsid w:val="00175138"/>
    <w:rsid w:val="0017600C"/>
    <w:rsid w:val="00176992"/>
    <w:rsid w:val="00180513"/>
    <w:rsid w:val="00181E38"/>
    <w:rsid w:val="00183326"/>
    <w:rsid w:val="00183857"/>
    <w:rsid w:val="00185926"/>
    <w:rsid w:val="001859D5"/>
    <w:rsid w:val="001911C9"/>
    <w:rsid w:val="00191CF6"/>
    <w:rsid w:val="001928C0"/>
    <w:rsid w:val="001937AB"/>
    <w:rsid w:val="001937D6"/>
    <w:rsid w:val="0019421B"/>
    <w:rsid w:val="00194ED2"/>
    <w:rsid w:val="001958F1"/>
    <w:rsid w:val="00195F6A"/>
    <w:rsid w:val="00196017"/>
    <w:rsid w:val="001963ED"/>
    <w:rsid w:val="001969A8"/>
    <w:rsid w:val="001A20A2"/>
    <w:rsid w:val="001A243F"/>
    <w:rsid w:val="001A2A96"/>
    <w:rsid w:val="001A44C2"/>
    <w:rsid w:val="001A47A2"/>
    <w:rsid w:val="001A526B"/>
    <w:rsid w:val="001A5ED5"/>
    <w:rsid w:val="001A75D6"/>
    <w:rsid w:val="001A7AED"/>
    <w:rsid w:val="001A7D69"/>
    <w:rsid w:val="001B00B1"/>
    <w:rsid w:val="001B1030"/>
    <w:rsid w:val="001B1D81"/>
    <w:rsid w:val="001B34D5"/>
    <w:rsid w:val="001B4225"/>
    <w:rsid w:val="001B50A4"/>
    <w:rsid w:val="001B5920"/>
    <w:rsid w:val="001B65E4"/>
    <w:rsid w:val="001B7142"/>
    <w:rsid w:val="001B7308"/>
    <w:rsid w:val="001B7B0B"/>
    <w:rsid w:val="001C06EB"/>
    <w:rsid w:val="001C07F7"/>
    <w:rsid w:val="001C19CE"/>
    <w:rsid w:val="001C23AD"/>
    <w:rsid w:val="001C3D36"/>
    <w:rsid w:val="001C4640"/>
    <w:rsid w:val="001C477F"/>
    <w:rsid w:val="001C5432"/>
    <w:rsid w:val="001D0291"/>
    <w:rsid w:val="001D1E51"/>
    <w:rsid w:val="001D248B"/>
    <w:rsid w:val="001D4061"/>
    <w:rsid w:val="001D41D5"/>
    <w:rsid w:val="001D5562"/>
    <w:rsid w:val="001D580B"/>
    <w:rsid w:val="001D5AE7"/>
    <w:rsid w:val="001D600E"/>
    <w:rsid w:val="001D6381"/>
    <w:rsid w:val="001D6C83"/>
    <w:rsid w:val="001E040F"/>
    <w:rsid w:val="001E1AE0"/>
    <w:rsid w:val="001E3416"/>
    <w:rsid w:val="001E415A"/>
    <w:rsid w:val="001E430E"/>
    <w:rsid w:val="001E553E"/>
    <w:rsid w:val="001E56D1"/>
    <w:rsid w:val="001E5ABC"/>
    <w:rsid w:val="001E5EEE"/>
    <w:rsid w:val="001E7204"/>
    <w:rsid w:val="001F0DE7"/>
    <w:rsid w:val="001F1558"/>
    <w:rsid w:val="001F1B08"/>
    <w:rsid w:val="001F1C59"/>
    <w:rsid w:val="001F3BA3"/>
    <w:rsid w:val="001F3ED0"/>
    <w:rsid w:val="001F3F66"/>
    <w:rsid w:val="001F4F9D"/>
    <w:rsid w:val="001F5FEE"/>
    <w:rsid w:val="001F7C9D"/>
    <w:rsid w:val="00201073"/>
    <w:rsid w:val="00201940"/>
    <w:rsid w:val="0020365A"/>
    <w:rsid w:val="00203C90"/>
    <w:rsid w:val="00203D37"/>
    <w:rsid w:val="00203DD6"/>
    <w:rsid w:val="00204548"/>
    <w:rsid w:val="00205AA1"/>
    <w:rsid w:val="00206214"/>
    <w:rsid w:val="00206954"/>
    <w:rsid w:val="002143F9"/>
    <w:rsid w:val="002153AD"/>
    <w:rsid w:val="0021628B"/>
    <w:rsid w:val="00216C7C"/>
    <w:rsid w:val="002217AF"/>
    <w:rsid w:val="00221E7E"/>
    <w:rsid w:val="00222A0F"/>
    <w:rsid w:val="0022442F"/>
    <w:rsid w:val="002255D6"/>
    <w:rsid w:val="002256F7"/>
    <w:rsid w:val="002308E3"/>
    <w:rsid w:val="00230B3F"/>
    <w:rsid w:val="00230C0B"/>
    <w:rsid w:val="002322C7"/>
    <w:rsid w:val="0023253E"/>
    <w:rsid w:val="002325BE"/>
    <w:rsid w:val="00234F4A"/>
    <w:rsid w:val="00235C58"/>
    <w:rsid w:val="00236839"/>
    <w:rsid w:val="0023694C"/>
    <w:rsid w:val="002404D0"/>
    <w:rsid w:val="0024097D"/>
    <w:rsid w:val="00241336"/>
    <w:rsid w:val="00242865"/>
    <w:rsid w:val="0024417D"/>
    <w:rsid w:val="0024503B"/>
    <w:rsid w:val="0024517D"/>
    <w:rsid w:val="00245BE5"/>
    <w:rsid w:val="00250764"/>
    <w:rsid w:val="00250BBB"/>
    <w:rsid w:val="00252D6D"/>
    <w:rsid w:val="00253BEC"/>
    <w:rsid w:val="00254A29"/>
    <w:rsid w:val="0025687C"/>
    <w:rsid w:val="00256C9E"/>
    <w:rsid w:val="002602AF"/>
    <w:rsid w:val="00260380"/>
    <w:rsid w:val="00260479"/>
    <w:rsid w:val="002614FA"/>
    <w:rsid w:val="00262C4A"/>
    <w:rsid w:val="002635F8"/>
    <w:rsid w:val="002638AC"/>
    <w:rsid w:val="00263F35"/>
    <w:rsid w:val="00265963"/>
    <w:rsid w:val="00265DAD"/>
    <w:rsid w:val="002669A9"/>
    <w:rsid w:val="00267D39"/>
    <w:rsid w:val="002703CA"/>
    <w:rsid w:val="0027153A"/>
    <w:rsid w:val="00272B0D"/>
    <w:rsid w:val="00272C8E"/>
    <w:rsid w:val="00277480"/>
    <w:rsid w:val="0027793D"/>
    <w:rsid w:val="00277B82"/>
    <w:rsid w:val="002802C4"/>
    <w:rsid w:val="00280578"/>
    <w:rsid w:val="002822FF"/>
    <w:rsid w:val="0028374A"/>
    <w:rsid w:val="002842BA"/>
    <w:rsid w:val="00284566"/>
    <w:rsid w:val="00284749"/>
    <w:rsid w:val="00285B22"/>
    <w:rsid w:val="00285DC3"/>
    <w:rsid w:val="00286700"/>
    <w:rsid w:val="002869C6"/>
    <w:rsid w:val="00287DF9"/>
    <w:rsid w:val="002900C9"/>
    <w:rsid w:val="002905CF"/>
    <w:rsid w:val="00291E4F"/>
    <w:rsid w:val="00293194"/>
    <w:rsid w:val="002932C8"/>
    <w:rsid w:val="00293400"/>
    <w:rsid w:val="0029386A"/>
    <w:rsid w:val="00294EF3"/>
    <w:rsid w:val="0029544C"/>
    <w:rsid w:val="0029552C"/>
    <w:rsid w:val="00295BB6"/>
    <w:rsid w:val="00295E8A"/>
    <w:rsid w:val="002969AB"/>
    <w:rsid w:val="00296B3F"/>
    <w:rsid w:val="00296CCC"/>
    <w:rsid w:val="00296F43"/>
    <w:rsid w:val="0029739E"/>
    <w:rsid w:val="002A060E"/>
    <w:rsid w:val="002A0C8C"/>
    <w:rsid w:val="002A10FB"/>
    <w:rsid w:val="002A1357"/>
    <w:rsid w:val="002A1588"/>
    <w:rsid w:val="002A27CB"/>
    <w:rsid w:val="002A29EF"/>
    <w:rsid w:val="002A2BE4"/>
    <w:rsid w:val="002A2CA6"/>
    <w:rsid w:val="002A59AF"/>
    <w:rsid w:val="002A66E9"/>
    <w:rsid w:val="002A6F7C"/>
    <w:rsid w:val="002B1341"/>
    <w:rsid w:val="002B24BF"/>
    <w:rsid w:val="002B4047"/>
    <w:rsid w:val="002B47EB"/>
    <w:rsid w:val="002B4C86"/>
    <w:rsid w:val="002B4F0D"/>
    <w:rsid w:val="002B5180"/>
    <w:rsid w:val="002B53A5"/>
    <w:rsid w:val="002B60B0"/>
    <w:rsid w:val="002B63EA"/>
    <w:rsid w:val="002B64EA"/>
    <w:rsid w:val="002B736E"/>
    <w:rsid w:val="002B7C2B"/>
    <w:rsid w:val="002C011C"/>
    <w:rsid w:val="002C080B"/>
    <w:rsid w:val="002C0F7C"/>
    <w:rsid w:val="002C3153"/>
    <w:rsid w:val="002C5E4E"/>
    <w:rsid w:val="002C6E6B"/>
    <w:rsid w:val="002D0378"/>
    <w:rsid w:val="002D1561"/>
    <w:rsid w:val="002D20E3"/>
    <w:rsid w:val="002D22A0"/>
    <w:rsid w:val="002D2CE6"/>
    <w:rsid w:val="002D3208"/>
    <w:rsid w:val="002D36AA"/>
    <w:rsid w:val="002D3B24"/>
    <w:rsid w:val="002D42A7"/>
    <w:rsid w:val="002D4952"/>
    <w:rsid w:val="002D6EC6"/>
    <w:rsid w:val="002D70AF"/>
    <w:rsid w:val="002D736D"/>
    <w:rsid w:val="002E0975"/>
    <w:rsid w:val="002E15E6"/>
    <w:rsid w:val="002E19FB"/>
    <w:rsid w:val="002E293A"/>
    <w:rsid w:val="002E297C"/>
    <w:rsid w:val="002E2DDB"/>
    <w:rsid w:val="002E2FF2"/>
    <w:rsid w:val="002E5340"/>
    <w:rsid w:val="002E5946"/>
    <w:rsid w:val="002E5B32"/>
    <w:rsid w:val="002E624E"/>
    <w:rsid w:val="002F050B"/>
    <w:rsid w:val="002F0876"/>
    <w:rsid w:val="002F0CF1"/>
    <w:rsid w:val="002F23AB"/>
    <w:rsid w:val="002F28CB"/>
    <w:rsid w:val="002F2A6C"/>
    <w:rsid w:val="002F45B2"/>
    <w:rsid w:val="002F5267"/>
    <w:rsid w:val="002F5367"/>
    <w:rsid w:val="002F604D"/>
    <w:rsid w:val="002F6C4A"/>
    <w:rsid w:val="002F72C2"/>
    <w:rsid w:val="002F7B21"/>
    <w:rsid w:val="002F7FA3"/>
    <w:rsid w:val="00300638"/>
    <w:rsid w:val="00301973"/>
    <w:rsid w:val="00301BA9"/>
    <w:rsid w:val="00301E83"/>
    <w:rsid w:val="003050A0"/>
    <w:rsid w:val="003061F8"/>
    <w:rsid w:val="003064A3"/>
    <w:rsid w:val="00306A68"/>
    <w:rsid w:val="00307310"/>
    <w:rsid w:val="0030763C"/>
    <w:rsid w:val="003076B7"/>
    <w:rsid w:val="003106AB"/>
    <w:rsid w:val="003115D1"/>
    <w:rsid w:val="00312990"/>
    <w:rsid w:val="00312AD2"/>
    <w:rsid w:val="00312D54"/>
    <w:rsid w:val="003131EA"/>
    <w:rsid w:val="003163A5"/>
    <w:rsid w:val="003170E2"/>
    <w:rsid w:val="003171EA"/>
    <w:rsid w:val="0031739A"/>
    <w:rsid w:val="00317C79"/>
    <w:rsid w:val="00317DE6"/>
    <w:rsid w:val="00320FAD"/>
    <w:rsid w:val="0032110C"/>
    <w:rsid w:val="00321869"/>
    <w:rsid w:val="0032541B"/>
    <w:rsid w:val="00325F70"/>
    <w:rsid w:val="00326944"/>
    <w:rsid w:val="00327908"/>
    <w:rsid w:val="003316D8"/>
    <w:rsid w:val="00333113"/>
    <w:rsid w:val="0033322F"/>
    <w:rsid w:val="00333BC2"/>
    <w:rsid w:val="00334164"/>
    <w:rsid w:val="0033546A"/>
    <w:rsid w:val="003365C5"/>
    <w:rsid w:val="00336DAF"/>
    <w:rsid w:val="00336ED3"/>
    <w:rsid w:val="00337261"/>
    <w:rsid w:val="003404B4"/>
    <w:rsid w:val="003409F9"/>
    <w:rsid w:val="00340ABA"/>
    <w:rsid w:val="00341259"/>
    <w:rsid w:val="003416A1"/>
    <w:rsid w:val="00342CA1"/>
    <w:rsid w:val="003438CA"/>
    <w:rsid w:val="00343F78"/>
    <w:rsid w:val="0034513A"/>
    <w:rsid w:val="00345F03"/>
    <w:rsid w:val="003460FB"/>
    <w:rsid w:val="00346D71"/>
    <w:rsid w:val="003501EE"/>
    <w:rsid w:val="0035082C"/>
    <w:rsid w:val="00351375"/>
    <w:rsid w:val="003513B1"/>
    <w:rsid w:val="00351F93"/>
    <w:rsid w:val="00352538"/>
    <w:rsid w:val="00352852"/>
    <w:rsid w:val="00354189"/>
    <w:rsid w:val="00354D90"/>
    <w:rsid w:val="003552AB"/>
    <w:rsid w:val="00357C21"/>
    <w:rsid w:val="00360360"/>
    <w:rsid w:val="00361A99"/>
    <w:rsid w:val="00361C8B"/>
    <w:rsid w:val="003628E2"/>
    <w:rsid w:val="0036360A"/>
    <w:rsid w:val="00364130"/>
    <w:rsid w:val="003644D4"/>
    <w:rsid w:val="0036451C"/>
    <w:rsid w:val="00364E63"/>
    <w:rsid w:val="0036597B"/>
    <w:rsid w:val="00365DAA"/>
    <w:rsid w:val="00365E45"/>
    <w:rsid w:val="00366166"/>
    <w:rsid w:val="00367BC9"/>
    <w:rsid w:val="003704F0"/>
    <w:rsid w:val="00370B02"/>
    <w:rsid w:val="00370D44"/>
    <w:rsid w:val="0037138D"/>
    <w:rsid w:val="003736C2"/>
    <w:rsid w:val="00374584"/>
    <w:rsid w:val="00375E63"/>
    <w:rsid w:val="0037744D"/>
    <w:rsid w:val="0037766B"/>
    <w:rsid w:val="00381999"/>
    <w:rsid w:val="003820DC"/>
    <w:rsid w:val="0038218B"/>
    <w:rsid w:val="00382547"/>
    <w:rsid w:val="00382CEE"/>
    <w:rsid w:val="003835EB"/>
    <w:rsid w:val="00383D8E"/>
    <w:rsid w:val="00384721"/>
    <w:rsid w:val="00384E2A"/>
    <w:rsid w:val="0038658B"/>
    <w:rsid w:val="00387C8D"/>
    <w:rsid w:val="00394094"/>
    <w:rsid w:val="00394839"/>
    <w:rsid w:val="003949FC"/>
    <w:rsid w:val="00394BB6"/>
    <w:rsid w:val="00394DD2"/>
    <w:rsid w:val="00395226"/>
    <w:rsid w:val="00395B69"/>
    <w:rsid w:val="0039666E"/>
    <w:rsid w:val="003A070E"/>
    <w:rsid w:val="003A16FD"/>
    <w:rsid w:val="003A1AE2"/>
    <w:rsid w:val="003A2055"/>
    <w:rsid w:val="003A3203"/>
    <w:rsid w:val="003A32F6"/>
    <w:rsid w:val="003A3946"/>
    <w:rsid w:val="003A3A81"/>
    <w:rsid w:val="003A576B"/>
    <w:rsid w:val="003A57D0"/>
    <w:rsid w:val="003A6F3B"/>
    <w:rsid w:val="003A7818"/>
    <w:rsid w:val="003A7C11"/>
    <w:rsid w:val="003A7C90"/>
    <w:rsid w:val="003B087A"/>
    <w:rsid w:val="003B0F96"/>
    <w:rsid w:val="003B2E29"/>
    <w:rsid w:val="003B552E"/>
    <w:rsid w:val="003B562F"/>
    <w:rsid w:val="003B57A5"/>
    <w:rsid w:val="003B616D"/>
    <w:rsid w:val="003B6A9C"/>
    <w:rsid w:val="003B7570"/>
    <w:rsid w:val="003C0C05"/>
    <w:rsid w:val="003C1950"/>
    <w:rsid w:val="003C1C9F"/>
    <w:rsid w:val="003C1EDB"/>
    <w:rsid w:val="003C2D21"/>
    <w:rsid w:val="003C337D"/>
    <w:rsid w:val="003C4801"/>
    <w:rsid w:val="003C4C5E"/>
    <w:rsid w:val="003C5E9D"/>
    <w:rsid w:val="003C7BE8"/>
    <w:rsid w:val="003D0372"/>
    <w:rsid w:val="003D0B62"/>
    <w:rsid w:val="003D0FBC"/>
    <w:rsid w:val="003D152C"/>
    <w:rsid w:val="003D2B25"/>
    <w:rsid w:val="003D3101"/>
    <w:rsid w:val="003D3902"/>
    <w:rsid w:val="003D7E66"/>
    <w:rsid w:val="003E04DE"/>
    <w:rsid w:val="003E0525"/>
    <w:rsid w:val="003E0812"/>
    <w:rsid w:val="003E1B43"/>
    <w:rsid w:val="003E230A"/>
    <w:rsid w:val="003E2668"/>
    <w:rsid w:val="003E2766"/>
    <w:rsid w:val="003E43A2"/>
    <w:rsid w:val="003E4F3C"/>
    <w:rsid w:val="003E507F"/>
    <w:rsid w:val="003E69A4"/>
    <w:rsid w:val="003E7A38"/>
    <w:rsid w:val="003F0172"/>
    <w:rsid w:val="003F06DB"/>
    <w:rsid w:val="003F1310"/>
    <w:rsid w:val="003F23D9"/>
    <w:rsid w:val="003F2A75"/>
    <w:rsid w:val="003F4CDE"/>
    <w:rsid w:val="003F4D4F"/>
    <w:rsid w:val="003F5029"/>
    <w:rsid w:val="003F5063"/>
    <w:rsid w:val="003F54D4"/>
    <w:rsid w:val="003F722B"/>
    <w:rsid w:val="004005EB"/>
    <w:rsid w:val="00400BF9"/>
    <w:rsid w:val="004019CB"/>
    <w:rsid w:val="0040331B"/>
    <w:rsid w:val="0040421F"/>
    <w:rsid w:val="00404660"/>
    <w:rsid w:val="0040529F"/>
    <w:rsid w:val="004058EF"/>
    <w:rsid w:val="0040591D"/>
    <w:rsid w:val="00405B0D"/>
    <w:rsid w:val="004061E4"/>
    <w:rsid w:val="0041058B"/>
    <w:rsid w:val="00410892"/>
    <w:rsid w:val="004126D6"/>
    <w:rsid w:val="004130F5"/>
    <w:rsid w:val="00413C1F"/>
    <w:rsid w:val="00413D93"/>
    <w:rsid w:val="00414F34"/>
    <w:rsid w:val="0041503E"/>
    <w:rsid w:val="0041694F"/>
    <w:rsid w:val="00416A33"/>
    <w:rsid w:val="00416B19"/>
    <w:rsid w:val="00417595"/>
    <w:rsid w:val="00420E20"/>
    <w:rsid w:val="0042399A"/>
    <w:rsid w:val="00425DF7"/>
    <w:rsid w:val="00426C59"/>
    <w:rsid w:val="00427461"/>
    <w:rsid w:val="00427678"/>
    <w:rsid w:val="00427D04"/>
    <w:rsid w:val="00427F72"/>
    <w:rsid w:val="004307E1"/>
    <w:rsid w:val="00432DA3"/>
    <w:rsid w:val="00433165"/>
    <w:rsid w:val="00434835"/>
    <w:rsid w:val="004356F5"/>
    <w:rsid w:val="004363B9"/>
    <w:rsid w:val="004363CF"/>
    <w:rsid w:val="00436D99"/>
    <w:rsid w:val="00437A91"/>
    <w:rsid w:val="004403CB"/>
    <w:rsid w:val="004409CB"/>
    <w:rsid w:val="004440C1"/>
    <w:rsid w:val="00444B05"/>
    <w:rsid w:val="0044511B"/>
    <w:rsid w:val="00446A3E"/>
    <w:rsid w:val="00447124"/>
    <w:rsid w:val="0044764E"/>
    <w:rsid w:val="0045005F"/>
    <w:rsid w:val="004507B4"/>
    <w:rsid w:val="0045212D"/>
    <w:rsid w:val="00452652"/>
    <w:rsid w:val="0045265A"/>
    <w:rsid w:val="00452FA4"/>
    <w:rsid w:val="004542CA"/>
    <w:rsid w:val="0045442F"/>
    <w:rsid w:val="00455ED4"/>
    <w:rsid w:val="0045623D"/>
    <w:rsid w:val="00456D4F"/>
    <w:rsid w:val="0046097D"/>
    <w:rsid w:val="0046101D"/>
    <w:rsid w:val="00461988"/>
    <w:rsid w:val="00463E14"/>
    <w:rsid w:val="00465907"/>
    <w:rsid w:val="004662A6"/>
    <w:rsid w:val="00466318"/>
    <w:rsid w:val="00467971"/>
    <w:rsid w:val="0047092D"/>
    <w:rsid w:val="004718E3"/>
    <w:rsid w:val="00471B52"/>
    <w:rsid w:val="00471BB9"/>
    <w:rsid w:val="0047295C"/>
    <w:rsid w:val="00472FE9"/>
    <w:rsid w:val="00473924"/>
    <w:rsid w:val="004740CD"/>
    <w:rsid w:val="00476707"/>
    <w:rsid w:val="0047715E"/>
    <w:rsid w:val="00477D18"/>
    <w:rsid w:val="0048156F"/>
    <w:rsid w:val="00482E25"/>
    <w:rsid w:val="004835C6"/>
    <w:rsid w:val="00483AED"/>
    <w:rsid w:val="00483CB0"/>
    <w:rsid w:val="00483F4F"/>
    <w:rsid w:val="004845EC"/>
    <w:rsid w:val="00484AA1"/>
    <w:rsid w:val="00485416"/>
    <w:rsid w:val="00485ABF"/>
    <w:rsid w:val="00486113"/>
    <w:rsid w:val="004867C7"/>
    <w:rsid w:val="00486DB9"/>
    <w:rsid w:val="00490897"/>
    <w:rsid w:val="00491DC8"/>
    <w:rsid w:val="00492AD0"/>
    <w:rsid w:val="004933B0"/>
    <w:rsid w:val="00493530"/>
    <w:rsid w:val="00493777"/>
    <w:rsid w:val="004948BE"/>
    <w:rsid w:val="00494E3C"/>
    <w:rsid w:val="00494EA5"/>
    <w:rsid w:val="00496E09"/>
    <w:rsid w:val="004A14B6"/>
    <w:rsid w:val="004A2366"/>
    <w:rsid w:val="004A2C88"/>
    <w:rsid w:val="004A2F08"/>
    <w:rsid w:val="004A2F3D"/>
    <w:rsid w:val="004A3145"/>
    <w:rsid w:val="004A3E8E"/>
    <w:rsid w:val="004A4422"/>
    <w:rsid w:val="004A5A68"/>
    <w:rsid w:val="004A6449"/>
    <w:rsid w:val="004A72A3"/>
    <w:rsid w:val="004B0E79"/>
    <w:rsid w:val="004B25A0"/>
    <w:rsid w:val="004B31C0"/>
    <w:rsid w:val="004B4078"/>
    <w:rsid w:val="004B4F5B"/>
    <w:rsid w:val="004B6D63"/>
    <w:rsid w:val="004B6F80"/>
    <w:rsid w:val="004B756A"/>
    <w:rsid w:val="004B7EB7"/>
    <w:rsid w:val="004C5CE3"/>
    <w:rsid w:val="004C5FC1"/>
    <w:rsid w:val="004C75B6"/>
    <w:rsid w:val="004C78BA"/>
    <w:rsid w:val="004C7DDC"/>
    <w:rsid w:val="004D0592"/>
    <w:rsid w:val="004D0E0B"/>
    <w:rsid w:val="004D1E9F"/>
    <w:rsid w:val="004D204F"/>
    <w:rsid w:val="004D225E"/>
    <w:rsid w:val="004D37E1"/>
    <w:rsid w:val="004D4FDF"/>
    <w:rsid w:val="004D51EA"/>
    <w:rsid w:val="004D5655"/>
    <w:rsid w:val="004D7B37"/>
    <w:rsid w:val="004E0065"/>
    <w:rsid w:val="004E0B6F"/>
    <w:rsid w:val="004E0EB4"/>
    <w:rsid w:val="004E0FD3"/>
    <w:rsid w:val="004E10E9"/>
    <w:rsid w:val="004E1596"/>
    <w:rsid w:val="004E1730"/>
    <w:rsid w:val="004E19E4"/>
    <w:rsid w:val="004E579F"/>
    <w:rsid w:val="004E6181"/>
    <w:rsid w:val="004E68FF"/>
    <w:rsid w:val="004F1380"/>
    <w:rsid w:val="004F2555"/>
    <w:rsid w:val="004F27F3"/>
    <w:rsid w:val="004F58D9"/>
    <w:rsid w:val="004F5B56"/>
    <w:rsid w:val="004F6222"/>
    <w:rsid w:val="004F6364"/>
    <w:rsid w:val="004F63FC"/>
    <w:rsid w:val="004F6E07"/>
    <w:rsid w:val="00500A24"/>
    <w:rsid w:val="00501A3C"/>
    <w:rsid w:val="00502F7D"/>
    <w:rsid w:val="00504009"/>
    <w:rsid w:val="00504C68"/>
    <w:rsid w:val="00504FE5"/>
    <w:rsid w:val="00505054"/>
    <w:rsid w:val="00507CD6"/>
    <w:rsid w:val="00507D39"/>
    <w:rsid w:val="00510A3A"/>
    <w:rsid w:val="00511E73"/>
    <w:rsid w:val="0051287C"/>
    <w:rsid w:val="005133FD"/>
    <w:rsid w:val="0051344A"/>
    <w:rsid w:val="00513458"/>
    <w:rsid w:val="00513FCB"/>
    <w:rsid w:val="00514ECE"/>
    <w:rsid w:val="00515A6F"/>
    <w:rsid w:val="00515BBC"/>
    <w:rsid w:val="00516086"/>
    <w:rsid w:val="00516292"/>
    <w:rsid w:val="0051652C"/>
    <w:rsid w:val="0051671C"/>
    <w:rsid w:val="00520662"/>
    <w:rsid w:val="00520ED7"/>
    <w:rsid w:val="005210C9"/>
    <w:rsid w:val="00521C48"/>
    <w:rsid w:val="00522023"/>
    <w:rsid w:val="00524B5C"/>
    <w:rsid w:val="00525D5E"/>
    <w:rsid w:val="00526930"/>
    <w:rsid w:val="00526C87"/>
    <w:rsid w:val="00527E98"/>
    <w:rsid w:val="0053048A"/>
    <w:rsid w:val="00530726"/>
    <w:rsid w:val="00531FC9"/>
    <w:rsid w:val="0053348B"/>
    <w:rsid w:val="0053359A"/>
    <w:rsid w:val="00535A50"/>
    <w:rsid w:val="00535EC1"/>
    <w:rsid w:val="00536497"/>
    <w:rsid w:val="00541069"/>
    <w:rsid w:val="0054185E"/>
    <w:rsid w:val="005428FC"/>
    <w:rsid w:val="00543AA0"/>
    <w:rsid w:val="00544DCF"/>
    <w:rsid w:val="00545A2E"/>
    <w:rsid w:val="00551477"/>
    <w:rsid w:val="00551D30"/>
    <w:rsid w:val="00552358"/>
    <w:rsid w:val="00552942"/>
    <w:rsid w:val="00552FE9"/>
    <w:rsid w:val="00554CFB"/>
    <w:rsid w:val="00555065"/>
    <w:rsid w:val="005554D8"/>
    <w:rsid w:val="00555864"/>
    <w:rsid w:val="00556854"/>
    <w:rsid w:val="00556ACE"/>
    <w:rsid w:val="00557378"/>
    <w:rsid w:val="0056088E"/>
    <w:rsid w:val="0056117E"/>
    <w:rsid w:val="0056256E"/>
    <w:rsid w:val="0056258A"/>
    <w:rsid w:val="00562C10"/>
    <w:rsid w:val="00562EAD"/>
    <w:rsid w:val="00563E5C"/>
    <w:rsid w:val="0056429B"/>
    <w:rsid w:val="005647CC"/>
    <w:rsid w:val="00564BF5"/>
    <w:rsid w:val="00565AD4"/>
    <w:rsid w:val="00565D23"/>
    <w:rsid w:val="0056657E"/>
    <w:rsid w:val="00570506"/>
    <w:rsid w:val="00570E12"/>
    <w:rsid w:val="00570EF7"/>
    <w:rsid w:val="005735EB"/>
    <w:rsid w:val="00574D25"/>
    <w:rsid w:val="0057522F"/>
    <w:rsid w:val="00577682"/>
    <w:rsid w:val="00583316"/>
    <w:rsid w:val="005834BA"/>
    <w:rsid w:val="00584B63"/>
    <w:rsid w:val="005855C0"/>
    <w:rsid w:val="005856B5"/>
    <w:rsid w:val="00585915"/>
    <w:rsid w:val="00585C28"/>
    <w:rsid w:val="00586C5A"/>
    <w:rsid w:val="00587241"/>
    <w:rsid w:val="00590147"/>
    <w:rsid w:val="00591320"/>
    <w:rsid w:val="0059358E"/>
    <w:rsid w:val="0059380A"/>
    <w:rsid w:val="00594029"/>
    <w:rsid w:val="00594A03"/>
    <w:rsid w:val="00595622"/>
    <w:rsid w:val="00596709"/>
    <w:rsid w:val="00597BA5"/>
    <w:rsid w:val="005A01FE"/>
    <w:rsid w:val="005A0A00"/>
    <w:rsid w:val="005A111E"/>
    <w:rsid w:val="005A12E0"/>
    <w:rsid w:val="005A2934"/>
    <w:rsid w:val="005A31EF"/>
    <w:rsid w:val="005A39F7"/>
    <w:rsid w:val="005A3E78"/>
    <w:rsid w:val="005A4B8B"/>
    <w:rsid w:val="005A5102"/>
    <w:rsid w:val="005A53FE"/>
    <w:rsid w:val="005A5E25"/>
    <w:rsid w:val="005A6A89"/>
    <w:rsid w:val="005A75C9"/>
    <w:rsid w:val="005A7606"/>
    <w:rsid w:val="005A7C95"/>
    <w:rsid w:val="005A7FF2"/>
    <w:rsid w:val="005A7FF3"/>
    <w:rsid w:val="005B01EE"/>
    <w:rsid w:val="005B0C1B"/>
    <w:rsid w:val="005B2068"/>
    <w:rsid w:val="005B4AC5"/>
    <w:rsid w:val="005B4CDF"/>
    <w:rsid w:val="005B4ECA"/>
    <w:rsid w:val="005B741D"/>
    <w:rsid w:val="005C0F91"/>
    <w:rsid w:val="005C2621"/>
    <w:rsid w:val="005C4CF5"/>
    <w:rsid w:val="005D0A8F"/>
    <w:rsid w:val="005D3293"/>
    <w:rsid w:val="005D4A3C"/>
    <w:rsid w:val="005D4A62"/>
    <w:rsid w:val="005D5A7F"/>
    <w:rsid w:val="005D5FBF"/>
    <w:rsid w:val="005D6252"/>
    <w:rsid w:val="005D714A"/>
    <w:rsid w:val="005D7E06"/>
    <w:rsid w:val="005E04EA"/>
    <w:rsid w:val="005E0909"/>
    <w:rsid w:val="005E142C"/>
    <w:rsid w:val="005E1692"/>
    <w:rsid w:val="005E278C"/>
    <w:rsid w:val="005E40EF"/>
    <w:rsid w:val="005E489C"/>
    <w:rsid w:val="005E527A"/>
    <w:rsid w:val="005E5E60"/>
    <w:rsid w:val="005E68DD"/>
    <w:rsid w:val="005E6D1A"/>
    <w:rsid w:val="005F0F9F"/>
    <w:rsid w:val="005F1271"/>
    <w:rsid w:val="005F1A5D"/>
    <w:rsid w:val="005F1E59"/>
    <w:rsid w:val="005F230E"/>
    <w:rsid w:val="005F2FD5"/>
    <w:rsid w:val="005F4B18"/>
    <w:rsid w:val="005F4C11"/>
    <w:rsid w:val="005F51E5"/>
    <w:rsid w:val="005F7217"/>
    <w:rsid w:val="005F72EA"/>
    <w:rsid w:val="006009E3"/>
    <w:rsid w:val="00601540"/>
    <w:rsid w:val="006019C6"/>
    <w:rsid w:val="00602874"/>
    <w:rsid w:val="00604503"/>
    <w:rsid w:val="00605B45"/>
    <w:rsid w:val="006063BF"/>
    <w:rsid w:val="0061075E"/>
    <w:rsid w:val="00610F31"/>
    <w:rsid w:val="00611424"/>
    <w:rsid w:val="00611A37"/>
    <w:rsid w:val="00612063"/>
    <w:rsid w:val="006131EC"/>
    <w:rsid w:val="00615334"/>
    <w:rsid w:val="00615434"/>
    <w:rsid w:val="00616F1E"/>
    <w:rsid w:val="00617944"/>
    <w:rsid w:val="0062016A"/>
    <w:rsid w:val="00620258"/>
    <w:rsid w:val="00620B16"/>
    <w:rsid w:val="006232B4"/>
    <w:rsid w:val="006238F7"/>
    <w:rsid w:val="00623EB2"/>
    <w:rsid w:val="006240E1"/>
    <w:rsid w:val="00624432"/>
    <w:rsid w:val="00624BEF"/>
    <w:rsid w:val="00624C41"/>
    <w:rsid w:val="00624DED"/>
    <w:rsid w:val="0062605A"/>
    <w:rsid w:val="00626243"/>
    <w:rsid w:val="00626327"/>
    <w:rsid w:val="00627856"/>
    <w:rsid w:val="0062797E"/>
    <w:rsid w:val="006305E4"/>
    <w:rsid w:val="00630A5F"/>
    <w:rsid w:val="00630EA0"/>
    <w:rsid w:val="0063189A"/>
    <w:rsid w:val="00632E31"/>
    <w:rsid w:val="006336F1"/>
    <w:rsid w:val="006337B4"/>
    <w:rsid w:val="006339FA"/>
    <w:rsid w:val="00633DF4"/>
    <w:rsid w:val="006340DD"/>
    <w:rsid w:val="006346CB"/>
    <w:rsid w:val="006351E2"/>
    <w:rsid w:val="00635B9B"/>
    <w:rsid w:val="00636A15"/>
    <w:rsid w:val="0063722E"/>
    <w:rsid w:val="00637E5C"/>
    <w:rsid w:val="00640A4A"/>
    <w:rsid w:val="00642632"/>
    <w:rsid w:val="00642FFC"/>
    <w:rsid w:val="00644962"/>
    <w:rsid w:val="00644F6F"/>
    <w:rsid w:val="0064506A"/>
    <w:rsid w:val="00645410"/>
    <w:rsid w:val="00647364"/>
    <w:rsid w:val="00647490"/>
    <w:rsid w:val="00650A8C"/>
    <w:rsid w:val="00650F96"/>
    <w:rsid w:val="00651B7C"/>
    <w:rsid w:val="00651EBD"/>
    <w:rsid w:val="00652976"/>
    <w:rsid w:val="00654C2D"/>
    <w:rsid w:val="00656CE5"/>
    <w:rsid w:val="0065700F"/>
    <w:rsid w:val="00657688"/>
    <w:rsid w:val="006602B5"/>
    <w:rsid w:val="006604DF"/>
    <w:rsid w:val="00660AD8"/>
    <w:rsid w:val="00660E36"/>
    <w:rsid w:val="00660E6F"/>
    <w:rsid w:val="006610B2"/>
    <w:rsid w:val="00661D22"/>
    <w:rsid w:val="0066230E"/>
    <w:rsid w:val="006625CE"/>
    <w:rsid w:val="0066301A"/>
    <w:rsid w:val="00663885"/>
    <w:rsid w:val="00664037"/>
    <w:rsid w:val="00664DF5"/>
    <w:rsid w:val="00665A17"/>
    <w:rsid w:val="006662E5"/>
    <w:rsid w:val="006663F2"/>
    <w:rsid w:val="00666C75"/>
    <w:rsid w:val="00667167"/>
    <w:rsid w:val="0066732C"/>
    <w:rsid w:val="006705FB"/>
    <w:rsid w:val="0067138B"/>
    <w:rsid w:val="00671EA9"/>
    <w:rsid w:val="0067209E"/>
    <w:rsid w:val="00672F81"/>
    <w:rsid w:val="0067329A"/>
    <w:rsid w:val="00673377"/>
    <w:rsid w:val="006749D9"/>
    <w:rsid w:val="00674B7C"/>
    <w:rsid w:val="00674DBC"/>
    <w:rsid w:val="00675613"/>
    <w:rsid w:val="00676ECA"/>
    <w:rsid w:val="00677154"/>
    <w:rsid w:val="006801D3"/>
    <w:rsid w:val="00680473"/>
    <w:rsid w:val="006821A3"/>
    <w:rsid w:val="00682C89"/>
    <w:rsid w:val="00683488"/>
    <w:rsid w:val="006845AB"/>
    <w:rsid w:val="0068469F"/>
    <w:rsid w:val="00685A75"/>
    <w:rsid w:val="00686F07"/>
    <w:rsid w:val="0069128C"/>
    <w:rsid w:val="006930F5"/>
    <w:rsid w:val="006948D9"/>
    <w:rsid w:val="00695506"/>
    <w:rsid w:val="00695C40"/>
    <w:rsid w:val="00695CFF"/>
    <w:rsid w:val="00696B30"/>
    <w:rsid w:val="006A0877"/>
    <w:rsid w:val="006A0B1C"/>
    <w:rsid w:val="006A1005"/>
    <w:rsid w:val="006A21C6"/>
    <w:rsid w:val="006A3311"/>
    <w:rsid w:val="006A3387"/>
    <w:rsid w:val="006A5045"/>
    <w:rsid w:val="006A5E27"/>
    <w:rsid w:val="006A6837"/>
    <w:rsid w:val="006A6EB8"/>
    <w:rsid w:val="006A7C17"/>
    <w:rsid w:val="006A7E48"/>
    <w:rsid w:val="006B057B"/>
    <w:rsid w:val="006B1DFD"/>
    <w:rsid w:val="006B1E68"/>
    <w:rsid w:val="006B27B7"/>
    <w:rsid w:val="006B3105"/>
    <w:rsid w:val="006B323E"/>
    <w:rsid w:val="006B3598"/>
    <w:rsid w:val="006B387C"/>
    <w:rsid w:val="006B43C3"/>
    <w:rsid w:val="006B4A56"/>
    <w:rsid w:val="006B577D"/>
    <w:rsid w:val="006B5793"/>
    <w:rsid w:val="006B6C76"/>
    <w:rsid w:val="006B7BF2"/>
    <w:rsid w:val="006C052F"/>
    <w:rsid w:val="006C086E"/>
    <w:rsid w:val="006C0AB0"/>
    <w:rsid w:val="006C2455"/>
    <w:rsid w:val="006C417D"/>
    <w:rsid w:val="006C4EFF"/>
    <w:rsid w:val="006C5C46"/>
    <w:rsid w:val="006C62E0"/>
    <w:rsid w:val="006C6B46"/>
    <w:rsid w:val="006C7674"/>
    <w:rsid w:val="006C7FD8"/>
    <w:rsid w:val="006D19E9"/>
    <w:rsid w:val="006D214A"/>
    <w:rsid w:val="006D384C"/>
    <w:rsid w:val="006D4E88"/>
    <w:rsid w:val="006D50DD"/>
    <w:rsid w:val="006D5878"/>
    <w:rsid w:val="006D67BB"/>
    <w:rsid w:val="006E204F"/>
    <w:rsid w:val="006E2254"/>
    <w:rsid w:val="006E4891"/>
    <w:rsid w:val="006E530B"/>
    <w:rsid w:val="006E55D1"/>
    <w:rsid w:val="006E643C"/>
    <w:rsid w:val="006E70F3"/>
    <w:rsid w:val="006F28A4"/>
    <w:rsid w:val="006F2F40"/>
    <w:rsid w:val="006F3529"/>
    <w:rsid w:val="006F3931"/>
    <w:rsid w:val="006F3F95"/>
    <w:rsid w:val="006F508A"/>
    <w:rsid w:val="006F55FB"/>
    <w:rsid w:val="007002FE"/>
    <w:rsid w:val="00700C8D"/>
    <w:rsid w:val="0070254C"/>
    <w:rsid w:val="007027BD"/>
    <w:rsid w:val="00703BDF"/>
    <w:rsid w:val="007067C9"/>
    <w:rsid w:val="00706C31"/>
    <w:rsid w:val="0070789B"/>
    <w:rsid w:val="007119D1"/>
    <w:rsid w:val="00711A62"/>
    <w:rsid w:val="00711B8A"/>
    <w:rsid w:val="007122C6"/>
    <w:rsid w:val="00712FD8"/>
    <w:rsid w:val="00714965"/>
    <w:rsid w:val="00714F4F"/>
    <w:rsid w:val="00716E5C"/>
    <w:rsid w:val="0072156B"/>
    <w:rsid w:val="00723428"/>
    <w:rsid w:val="00723F17"/>
    <w:rsid w:val="00723F2C"/>
    <w:rsid w:val="007248FA"/>
    <w:rsid w:val="00730B02"/>
    <w:rsid w:val="00730E55"/>
    <w:rsid w:val="00730F1B"/>
    <w:rsid w:val="007313DF"/>
    <w:rsid w:val="0073171A"/>
    <w:rsid w:val="00731D89"/>
    <w:rsid w:val="007322AE"/>
    <w:rsid w:val="0073238E"/>
    <w:rsid w:val="00732CDF"/>
    <w:rsid w:val="0073368C"/>
    <w:rsid w:val="007338FF"/>
    <w:rsid w:val="00735208"/>
    <w:rsid w:val="0073546C"/>
    <w:rsid w:val="00735C6A"/>
    <w:rsid w:val="00736DDC"/>
    <w:rsid w:val="00737527"/>
    <w:rsid w:val="00737673"/>
    <w:rsid w:val="00737ABF"/>
    <w:rsid w:val="00737C87"/>
    <w:rsid w:val="00740228"/>
    <w:rsid w:val="007406EF"/>
    <w:rsid w:val="007407E8"/>
    <w:rsid w:val="007410A7"/>
    <w:rsid w:val="00741411"/>
    <w:rsid w:val="00741542"/>
    <w:rsid w:val="00742531"/>
    <w:rsid w:val="00742EDD"/>
    <w:rsid w:val="00744129"/>
    <w:rsid w:val="00745E57"/>
    <w:rsid w:val="00747200"/>
    <w:rsid w:val="00751004"/>
    <w:rsid w:val="00752E05"/>
    <w:rsid w:val="00753165"/>
    <w:rsid w:val="0075323A"/>
    <w:rsid w:val="007535A2"/>
    <w:rsid w:val="007536C0"/>
    <w:rsid w:val="00753CCC"/>
    <w:rsid w:val="0075406D"/>
    <w:rsid w:val="007540A0"/>
    <w:rsid w:val="00755ED8"/>
    <w:rsid w:val="007577E6"/>
    <w:rsid w:val="00757C5A"/>
    <w:rsid w:val="00761431"/>
    <w:rsid w:val="00761487"/>
    <w:rsid w:val="007615DE"/>
    <w:rsid w:val="00761A5B"/>
    <w:rsid w:val="00762EDD"/>
    <w:rsid w:val="007633A2"/>
    <w:rsid w:val="00764012"/>
    <w:rsid w:val="00765944"/>
    <w:rsid w:val="0076658B"/>
    <w:rsid w:val="00767BA4"/>
    <w:rsid w:val="00772A30"/>
    <w:rsid w:val="007732CB"/>
    <w:rsid w:val="00773507"/>
    <w:rsid w:val="00774D76"/>
    <w:rsid w:val="007752BA"/>
    <w:rsid w:val="00775367"/>
    <w:rsid w:val="00775B1D"/>
    <w:rsid w:val="0077630C"/>
    <w:rsid w:val="00776C91"/>
    <w:rsid w:val="00777617"/>
    <w:rsid w:val="0077799B"/>
    <w:rsid w:val="007779C0"/>
    <w:rsid w:val="007806AE"/>
    <w:rsid w:val="0078141C"/>
    <w:rsid w:val="00782A96"/>
    <w:rsid w:val="007834BA"/>
    <w:rsid w:val="00784152"/>
    <w:rsid w:val="00785A27"/>
    <w:rsid w:val="0078747D"/>
    <w:rsid w:val="00792AE5"/>
    <w:rsid w:val="00792E24"/>
    <w:rsid w:val="00793057"/>
    <w:rsid w:val="007940FA"/>
    <w:rsid w:val="00794F94"/>
    <w:rsid w:val="00795365"/>
    <w:rsid w:val="00795432"/>
    <w:rsid w:val="00795A56"/>
    <w:rsid w:val="00797A95"/>
    <w:rsid w:val="007A01C6"/>
    <w:rsid w:val="007A1416"/>
    <w:rsid w:val="007A1BA1"/>
    <w:rsid w:val="007A2CF7"/>
    <w:rsid w:val="007A4AF6"/>
    <w:rsid w:val="007A4FA1"/>
    <w:rsid w:val="007A50D7"/>
    <w:rsid w:val="007A5337"/>
    <w:rsid w:val="007A5435"/>
    <w:rsid w:val="007A61C6"/>
    <w:rsid w:val="007A6E25"/>
    <w:rsid w:val="007A7AB2"/>
    <w:rsid w:val="007B0DE5"/>
    <w:rsid w:val="007B1323"/>
    <w:rsid w:val="007B19A7"/>
    <w:rsid w:val="007B2EFF"/>
    <w:rsid w:val="007B2FD6"/>
    <w:rsid w:val="007B3396"/>
    <w:rsid w:val="007B38C8"/>
    <w:rsid w:val="007B4868"/>
    <w:rsid w:val="007B5096"/>
    <w:rsid w:val="007C0DBE"/>
    <w:rsid w:val="007C2AAA"/>
    <w:rsid w:val="007C2E0E"/>
    <w:rsid w:val="007C34B7"/>
    <w:rsid w:val="007C767E"/>
    <w:rsid w:val="007D07CC"/>
    <w:rsid w:val="007D0EA7"/>
    <w:rsid w:val="007D1D38"/>
    <w:rsid w:val="007D2C1E"/>
    <w:rsid w:val="007D356D"/>
    <w:rsid w:val="007D3BC5"/>
    <w:rsid w:val="007D58EC"/>
    <w:rsid w:val="007D66EA"/>
    <w:rsid w:val="007D716A"/>
    <w:rsid w:val="007D7323"/>
    <w:rsid w:val="007D7588"/>
    <w:rsid w:val="007D7B14"/>
    <w:rsid w:val="007E076C"/>
    <w:rsid w:val="007E1330"/>
    <w:rsid w:val="007E34CB"/>
    <w:rsid w:val="007E4940"/>
    <w:rsid w:val="007E511B"/>
    <w:rsid w:val="007E5A6F"/>
    <w:rsid w:val="007E684B"/>
    <w:rsid w:val="007E6A9A"/>
    <w:rsid w:val="007E6B31"/>
    <w:rsid w:val="007E6B78"/>
    <w:rsid w:val="007E7046"/>
    <w:rsid w:val="007F28B0"/>
    <w:rsid w:val="007F3243"/>
    <w:rsid w:val="007F40BE"/>
    <w:rsid w:val="007F4BF1"/>
    <w:rsid w:val="007F4CBD"/>
    <w:rsid w:val="008001DC"/>
    <w:rsid w:val="00800347"/>
    <w:rsid w:val="008003AA"/>
    <w:rsid w:val="00800AD7"/>
    <w:rsid w:val="00800CE4"/>
    <w:rsid w:val="00801163"/>
    <w:rsid w:val="00801A12"/>
    <w:rsid w:val="00802100"/>
    <w:rsid w:val="00802562"/>
    <w:rsid w:val="0080277C"/>
    <w:rsid w:val="008028BC"/>
    <w:rsid w:val="008028E4"/>
    <w:rsid w:val="00802B1C"/>
    <w:rsid w:val="00802EE3"/>
    <w:rsid w:val="008036C9"/>
    <w:rsid w:val="00803B06"/>
    <w:rsid w:val="00804EB5"/>
    <w:rsid w:val="00804F7D"/>
    <w:rsid w:val="0080602E"/>
    <w:rsid w:val="00806150"/>
    <w:rsid w:val="0080618C"/>
    <w:rsid w:val="00807F7A"/>
    <w:rsid w:val="00810AD8"/>
    <w:rsid w:val="00810AE1"/>
    <w:rsid w:val="00810D74"/>
    <w:rsid w:val="00810DA3"/>
    <w:rsid w:val="008114BD"/>
    <w:rsid w:val="0081350F"/>
    <w:rsid w:val="008138B9"/>
    <w:rsid w:val="00814110"/>
    <w:rsid w:val="0081517F"/>
    <w:rsid w:val="0081568B"/>
    <w:rsid w:val="00815E43"/>
    <w:rsid w:val="008161E9"/>
    <w:rsid w:val="0081667A"/>
    <w:rsid w:val="0082008B"/>
    <w:rsid w:val="00820E0D"/>
    <w:rsid w:val="00821DFB"/>
    <w:rsid w:val="008225CE"/>
    <w:rsid w:val="00822893"/>
    <w:rsid w:val="00822ABD"/>
    <w:rsid w:val="008246F8"/>
    <w:rsid w:val="00825415"/>
    <w:rsid w:val="008256C3"/>
    <w:rsid w:val="00826623"/>
    <w:rsid w:val="0082707E"/>
    <w:rsid w:val="008275A5"/>
    <w:rsid w:val="0082763F"/>
    <w:rsid w:val="00831029"/>
    <w:rsid w:val="008318CB"/>
    <w:rsid w:val="00832184"/>
    <w:rsid w:val="008335C0"/>
    <w:rsid w:val="0083438F"/>
    <w:rsid w:val="0083459A"/>
    <w:rsid w:val="008346BB"/>
    <w:rsid w:val="008353D5"/>
    <w:rsid w:val="00835A2D"/>
    <w:rsid w:val="00837026"/>
    <w:rsid w:val="008379E6"/>
    <w:rsid w:val="0084063F"/>
    <w:rsid w:val="00840C56"/>
    <w:rsid w:val="00841F48"/>
    <w:rsid w:val="00843F6A"/>
    <w:rsid w:val="008440B6"/>
    <w:rsid w:val="00844229"/>
    <w:rsid w:val="00844E05"/>
    <w:rsid w:val="008464E8"/>
    <w:rsid w:val="00850B42"/>
    <w:rsid w:val="00851884"/>
    <w:rsid w:val="00852118"/>
    <w:rsid w:val="00852325"/>
    <w:rsid w:val="00852C41"/>
    <w:rsid w:val="00852E4D"/>
    <w:rsid w:val="0085567B"/>
    <w:rsid w:val="00856F24"/>
    <w:rsid w:val="00856F48"/>
    <w:rsid w:val="00857FF4"/>
    <w:rsid w:val="0086043E"/>
    <w:rsid w:val="00860B42"/>
    <w:rsid w:val="00860BAE"/>
    <w:rsid w:val="00861850"/>
    <w:rsid w:val="008619FC"/>
    <w:rsid w:val="00862651"/>
    <w:rsid w:val="008627A9"/>
    <w:rsid w:val="00862C3E"/>
    <w:rsid w:val="00863A83"/>
    <w:rsid w:val="00863BD7"/>
    <w:rsid w:val="00863E4A"/>
    <w:rsid w:val="00864D54"/>
    <w:rsid w:val="008650C8"/>
    <w:rsid w:val="00865372"/>
    <w:rsid w:val="00865441"/>
    <w:rsid w:val="00865575"/>
    <w:rsid w:val="008666B9"/>
    <w:rsid w:val="00870125"/>
    <w:rsid w:val="00870BF7"/>
    <w:rsid w:val="00870C5E"/>
    <w:rsid w:val="00872D0A"/>
    <w:rsid w:val="00872FDD"/>
    <w:rsid w:val="008733BE"/>
    <w:rsid w:val="00874291"/>
    <w:rsid w:val="0087478B"/>
    <w:rsid w:val="00874CB7"/>
    <w:rsid w:val="0087749D"/>
    <w:rsid w:val="0088008E"/>
    <w:rsid w:val="0088052B"/>
    <w:rsid w:val="0088100F"/>
    <w:rsid w:val="00881243"/>
    <w:rsid w:val="008817F7"/>
    <w:rsid w:val="0088230A"/>
    <w:rsid w:val="00882BA3"/>
    <w:rsid w:val="00883361"/>
    <w:rsid w:val="00890183"/>
    <w:rsid w:val="0089319B"/>
    <w:rsid w:val="00893FB3"/>
    <w:rsid w:val="00894351"/>
    <w:rsid w:val="008947A1"/>
    <w:rsid w:val="00896134"/>
    <w:rsid w:val="0089724A"/>
    <w:rsid w:val="0089798E"/>
    <w:rsid w:val="008A0118"/>
    <w:rsid w:val="008A0F8F"/>
    <w:rsid w:val="008A2134"/>
    <w:rsid w:val="008A23B4"/>
    <w:rsid w:val="008A285F"/>
    <w:rsid w:val="008A290F"/>
    <w:rsid w:val="008A29A5"/>
    <w:rsid w:val="008A2EB0"/>
    <w:rsid w:val="008A3226"/>
    <w:rsid w:val="008A4668"/>
    <w:rsid w:val="008A4A0D"/>
    <w:rsid w:val="008A5BAE"/>
    <w:rsid w:val="008A5D09"/>
    <w:rsid w:val="008A5D47"/>
    <w:rsid w:val="008A66B5"/>
    <w:rsid w:val="008A6C55"/>
    <w:rsid w:val="008A7B4A"/>
    <w:rsid w:val="008B07A8"/>
    <w:rsid w:val="008B0BB2"/>
    <w:rsid w:val="008B1610"/>
    <w:rsid w:val="008B17E1"/>
    <w:rsid w:val="008B183E"/>
    <w:rsid w:val="008B1C24"/>
    <w:rsid w:val="008B27CB"/>
    <w:rsid w:val="008B29CA"/>
    <w:rsid w:val="008B2E61"/>
    <w:rsid w:val="008B2F64"/>
    <w:rsid w:val="008B343D"/>
    <w:rsid w:val="008B34FB"/>
    <w:rsid w:val="008B4457"/>
    <w:rsid w:val="008B465F"/>
    <w:rsid w:val="008B46F9"/>
    <w:rsid w:val="008B4967"/>
    <w:rsid w:val="008C24D1"/>
    <w:rsid w:val="008C3AB7"/>
    <w:rsid w:val="008C4A53"/>
    <w:rsid w:val="008C69EA"/>
    <w:rsid w:val="008D34A0"/>
    <w:rsid w:val="008D48F6"/>
    <w:rsid w:val="008D4BF4"/>
    <w:rsid w:val="008D5B40"/>
    <w:rsid w:val="008D61B7"/>
    <w:rsid w:val="008D661A"/>
    <w:rsid w:val="008D6F2E"/>
    <w:rsid w:val="008D73FC"/>
    <w:rsid w:val="008E0D80"/>
    <w:rsid w:val="008E228E"/>
    <w:rsid w:val="008E2B8D"/>
    <w:rsid w:val="008E5A41"/>
    <w:rsid w:val="008E7541"/>
    <w:rsid w:val="008F0D8F"/>
    <w:rsid w:val="008F0F86"/>
    <w:rsid w:val="008F1A17"/>
    <w:rsid w:val="008F20B8"/>
    <w:rsid w:val="008F2313"/>
    <w:rsid w:val="008F5964"/>
    <w:rsid w:val="008F731A"/>
    <w:rsid w:val="009000AC"/>
    <w:rsid w:val="00902850"/>
    <w:rsid w:val="00903912"/>
    <w:rsid w:val="00904B61"/>
    <w:rsid w:val="00905BF3"/>
    <w:rsid w:val="009064E6"/>
    <w:rsid w:val="00907ADC"/>
    <w:rsid w:val="00907F12"/>
    <w:rsid w:val="00910197"/>
    <w:rsid w:val="00911CD1"/>
    <w:rsid w:val="0091447B"/>
    <w:rsid w:val="00914BFB"/>
    <w:rsid w:val="0091558B"/>
    <w:rsid w:val="00917D74"/>
    <w:rsid w:val="00920331"/>
    <w:rsid w:val="00921E3E"/>
    <w:rsid w:val="00921E47"/>
    <w:rsid w:val="00922E5D"/>
    <w:rsid w:val="009276F8"/>
    <w:rsid w:val="00927A27"/>
    <w:rsid w:val="0093004B"/>
    <w:rsid w:val="009317C2"/>
    <w:rsid w:val="00931F4E"/>
    <w:rsid w:val="009333DD"/>
    <w:rsid w:val="00935810"/>
    <w:rsid w:val="009358C8"/>
    <w:rsid w:val="00936408"/>
    <w:rsid w:val="009368E5"/>
    <w:rsid w:val="00936DB5"/>
    <w:rsid w:val="009379ED"/>
    <w:rsid w:val="009419B2"/>
    <w:rsid w:val="00942B9E"/>
    <w:rsid w:val="00944912"/>
    <w:rsid w:val="009461D3"/>
    <w:rsid w:val="00946E76"/>
    <w:rsid w:val="00947BC7"/>
    <w:rsid w:val="00950D78"/>
    <w:rsid w:val="0095120B"/>
    <w:rsid w:val="00951BFF"/>
    <w:rsid w:val="00952363"/>
    <w:rsid w:val="009527BA"/>
    <w:rsid w:val="00952D4D"/>
    <w:rsid w:val="00952DF3"/>
    <w:rsid w:val="00952DFE"/>
    <w:rsid w:val="0095381A"/>
    <w:rsid w:val="00955036"/>
    <w:rsid w:val="00955946"/>
    <w:rsid w:val="00955D4F"/>
    <w:rsid w:val="00956E72"/>
    <w:rsid w:val="009603AA"/>
    <w:rsid w:val="009609FA"/>
    <w:rsid w:val="00962FDA"/>
    <w:rsid w:val="00963531"/>
    <w:rsid w:val="00963F53"/>
    <w:rsid w:val="0096532B"/>
    <w:rsid w:val="0096591F"/>
    <w:rsid w:val="009668F3"/>
    <w:rsid w:val="00972029"/>
    <w:rsid w:val="009737B2"/>
    <w:rsid w:val="009737F4"/>
    <w:rsid w:val="009754A5"/>
    <w:rsid w:val="00975B86"/>
    <w:rsid w:val="009760D0"/>
    <w:rsid w:val="00981143"/>
    <w:rsid w:val="009822E9"/>
    <w:rsid w:val="00983815"/>
    <w:rsid w:val="0098547C"/>
    <w:rsid w:val="009855D5"/>
    <w:rsid w:val="00985CA1"/>
    <w:rsid w:val="00986189"/>
    <w:rsid w:val="00986E73"/>
    <w:rsid w:val="00990321"/>
    <w:rsid w:val="00990670"/>
    <w:rsid w:val="009923B3"/>
    <w:rsid w:val="00992E2F"/>
    <w:rsid w:val="00993118"/>
    <w:rsid w:val="00993237"/>
    <w:rsid w:val="00993E2E"/>
    <w:rsid w:val="00994D5C"/>
    <w:rsid w:val="00994DAD"/>
    <w:rsid w:val="00994DF8"/>
    <w:rsid w:val="00995AAC"/>
    <w:rsid w:val="00996041"/>
    <w:rsid w:val="00996318"/>
    <w:rsid w:val="00996D13"/>
    <w:rsid w:val="00997A50"/>
    <w:rsid w:val="009A1093"/>
    <w:rsid w:val="009A28DA"/>
    <w:rsid w:val="009A366B"/>
    <w:rsid w:val="009A38AF"/>
    <w:rsid w:val="009A4CFD"/>
    <w:rsid w:val="009A62BA"/>
    <w:rsid w:val="009A69FF"/>
    <w:rsid w:val="009A6FA4"/>
    <w:rsid w:val="009A70C3"/>
    <w:rsid w:val="009A734C"/>
    <w:rsid w:val="009A7D75"/>
    <w:rsid w:val="009B0A1E"/>
    <w:rsid w:val="009B1DB5"/>
    <w:rsid w:val="009B25F8"/>
    <w:rsid w:val="009B3554"/>
    <w:rsid w:val="009B35A6"/>
    <w:rsid w:val="009B42A5"/>
    <w:rsid w:val="009B5164"/>
    <w:rsid w:val="009B53D1"/>
    <w:rsid w:val="009B55E5"/>
    <w:rsid w:val="009B5676"/>
    <w:rsid w:val="009B5814"/>
    <w:rsid w:val="009B6729"/>
    <w:rsid w:val="009B6840"/>
    <w:rsid w:val="009B6EF3"/>
    <w:rsid w:val="009B7572"/>
    <w:rsid w:val="009B7913"/>
    <w:rsid w:val="009B7B62"/>
    <w:rsid w:val="009C0A1D"/>
    <w:rsid w:val="009C0F3D"/>
    <w:rsid w:val="009C2B6D"/>
    <w:rsid w:val="009C4A9C"/>
    <w:rsid w:val="009C4FC3"/>
    <w:rsid w:val="009C528A"/>
    <w:rsid w:val="009C59D9"/>
    <w:rsid w:val="009C60E4"/>
    <w:rsid w:val="009C670A"/>
    <w:rsid w:val="009C6A43"/>
    <w:rsid w:val="009C797F"/>
    <w:rsid w:val="009D11A2"/>
    <w:rsid w:val="009D1329"/>
    <w:rsid w:val="009D43BA"/>
    <w:rsid w:val="009D729B"/>
    <w:rsid w:val="009E0FBF"/>
    <w:rsid w:val="009E1A11"/>
    <w:rsid w:val="009E3755"/>
    <w:rsid w:val="009E3ECB"/>
    <w:rsid w:val="009E7E19"/>
    <w:rsid w:val="009F042D"/>
    <w:rsid w:val="009F0B3F"/>
    <w:rsid w:val="009F0F49"/>
    <w:rsid w:val="009F24F9"/>
    <w:rsid w:val="009F2710"/>
    <w:rsid w:val="009F4C23"/>
    <w:rsid w:val="009F4E1D"/>
    <w:rsid w:val="009F5236"/>
    <w:rsid w:val="009F70E3"/>
    <w:rsid w:val="009F7185"/>
    <w:rsid w:val="009F7364"/>
    <w:rsid w:val="00A00B12"/>
    <w:rsid w:val="00A01988"/>
    <w:rsid w:val="00A020D0"/>
    <w:rsid w:val="00A02374"/>
    <w:rsid w:val="00A0348F"/>
    <w:rsid w:val="00A03790"/>
    <w:rsid w:val="00A03AFC"/>
    <w:rsid w:val="00A03EEF"/>
    <w:rsid w:val="00A047C2"/>
    <w:rsid w:val="00A04BB5"/>
    <w:rsid w:val="00A05E7D"/>
    <w:rsid w:val="00A06520"/>
    <w:rsid w:val="00A07F47"/>
    <w:rsid w:val="00A10F33"/>
    <w:rsid w:val="00A11C62"/>
    <w:rsid w:val="00A1252A"/>
    <w:rsid w:val="00A125B0"/>
    <w:rsid w:val="00A12606"/>
    <w:rsid w:val="00A12893"/>
    <w:rsid w:val="00A139C3"/>
    <w:rsid w:val="00A14263"/>
    <w:rsid w:val="00A14842"/>
    <w:rsid w:val="00A14A41"/>
    <w:rsid w:val="00A15DC4"/>
    <w:rsid w:val="00A16273"/>
    <w:rsid w:val="00A17857"/>
    <w:rsid w:val="00A17E8E"/>
    <w:rsid w:val="00A206E4"/>
    <w:rsid w:val="00A21AD7"/>
    <w:rsid w:val="00A236EC"/>
    <w:rsid w:val="00A23F35"/>
    <w:rsid w:val="00A2403A"/>
    <w:rsid w:val="00A2493B"/>
    <w:rsid w:val="00A249E3"/>
    <w:rsid w:val="00A24C2E"/>
    <w:rsid w:val="00A25B52"/>
    <w:rsid w:val="00A25EDE"/>
    <w:rsid w:val="00A2630E"/>
    <w:rsid w:val="00A26D1A"/>
    <w:rsid w:val="00A26E5A"/>
    <w:rsid w:val="00A27D3E"/>
    <w:rsid w:val="00A3042C"/>
    <w:rsid w:val="00A30816"/>
    <w:rsid w:val="00A30FB2"/>
    <w:rsid w:val="00A31CE3"/>
    <w:rsid w:val="00A31E91"/>
    <w:rsid w:val="00A3220D"/>
    <w:rsid w:val="00A33CE4"/>
    <w:rsid w:val="00A33F19"/>
    <w:rsid w:val="00A34AE6"/>
    <w:rsid w:val="00A36DC2"/>
    <w:rsid w:val="00A36FEB"/>
    <w:rsid w:val="00A37A4E"/>
    <w:rsid w:val="00A37F5D"/>
    <w:rsid w:val="00A4112A"/>
    <w:rsid w:val="00A42EF5"/>
    <w:rsid w:val="00A431FD"/>
    <w:rsid w:val="00A43BE3"/>
    <w:rsid w:val="00A43F0B"/>
    <w:rsid w:val="00A43FFD"/>
    <w:rsid w:val="00A4494A"/>
    <w:rsid w:val="00A44CA8"/>
    <w:rsid w:val="00A45223"/>
    <w:rsid w:val="00A45277"/>
    <w:rsid w:val="00A4545E"/>
    <w:rsid w:val="00A45CF3"/>
    <w:rsid w:val="00A46E8E"/>
    <w:rsid w:val="00A47A15"/>
    <w:rsid w:val="00A50300"/>
    <w:rsid w:val="00A50673"/>
    <w:rsid w:val="00A508E6"/>
    <w:rsid w:val="00A52B22"/>
    <w:rsid w:val="00A52E42"/>
    <w:rsid w:val="00A537EC"/>
    <w:rsid w:val="00A543EF"/>
    <w:rsid w:val="00A55322"/>
    <w:rsid w:val="00A55709"/>
    <w:rsid w:val="00A55F2C"/>
    <w:rsid w:val="00A56565"/>
    <w:rsid w:val="00A572B2"/>
    <w:rsid w:val="00A57721"/>
    <w:rsid w:val="00A57BDA"/>
    <w:rsid w:val="00A60842"/>
    <w:rsid w:val="00A61574"/>
    <w:rsid w:val="00A615D2"/>
    <w:rsid w:val="00A61643"/>
    <w:rsid w:val="00A6250C"/>
    <w:rsid w:val="00A631A2"/>
    <w:rsid w:val="00A654D0"/>
    <w:rsid w:val="00A6583B"/>
    <w:rsid w:val="00A676C3"/>
    <w:rsid w:val="00A72509"/>
    <w:rsid w:val="00A73507"/>
    <w:rsid w:val="00A738A7"/>
    <w:rsid w:val="00A738D1"/>
    <w:rsid w:val="00A745FC"/>
    <w:rsid w:val="00A75651"/>
    <w:rsid w:val="00A75752"/>
    <w:rsid w:val="00A76AEC"/>
    <w:rsid w:val="00A76B68"/>
    <w:rsid w:val="00A77DAD"/>
    <w:rsid w:val="00A80613"/>
    <w:rsid w:val="00A81A3B"/>
    <w:rsid w:val="00A82ED3"/>
    <w:rsid w:val="00A831DB"/>
    <w:rsid w:val="00A84F08"/>
    <w:rsid w:val="00A87526"/>
    <w:rsid w:val="00A878FD"/>
    <w:rsid w:val="00A87952"/>
    <w:rsid w:val="00A9083B"/>
    <w:rsid w:val="00A9229F"/>
    <w:rsid w:val="00A92B79"/>
    <w:rsid w:val="00A92C30"/>
    <w:rsid w:val="00A955D3"/>
    <w:rsid w:val="00A95B57"/>
    <w:rsid w:val="00A9670F"/>
    <w:rsid w:val="00A97D83"/>
    <w:rsid w:val="00AA0519"/>
    <w:rsid w:val="00AA1524"/>
    <w:rsid w:val="00AA1AFA"/>
    <w:rsid w:val="00AA2DA3"/>
    <w:rsid w:val="00AA6D81"/>
    <w:rsid w:val="00AB0796"/>
    <w:rsid w:val="00AB0B66"/>
    <w:rsid w:val="00AB1BED"/>
    <w:rsid w:val="00AB38CB"/>
    <w:rsid w:val="00AB3F76"/>
    <w:rsid w:val="00AB4BB0"/>
    <w:rsid w:val="00AB4C1B"/>
    <w:rsid w:val="00AB609A"/>
    <w:rsid w:val="00AC070B"/>
    <w:rsid w:val="00AC2BDD"/>
    <w:rsid w:val="00AC3CA2"/>
    <w:rsid w:val="00AC5338"/>
    <w:rsid w:val="00AC5830"/>
    <w:rsid w:val="00AC76B4"/>
    <w:rsid w:val="00AC7C19"/>
    <w:rsid w:val="00AD2C5B"/>
    <w:rsid w:val="00AD3875"/>
    <w:rsid w:val="00AD50EC"/>
    <w:rsid w:val="00AD5416"/>
    <w:rsid w:val="00AD551E"/>
    <w:rsid w:val="00AD55C6"/>
    <w:rsid w:val="00AD6548"/>
    <w:rsid w:val="00AD774C"/>
    <w:rsid w:val="00AE1D01"/>
    <w:rsid w:val="00AE246D"/>
    <w:rsid w:val="00AE320B"/>
    <w:rsid w:val="00AE38B8"/>
    <w:rsid w:val="00AE47EE"/>
    <w:rsid w:val="00AE4E24"/>
    <w:rsid w:val="00AE5714"/>
    <w:rsid w:val="00AE6527"/>
    <w:rsid w:val="00AE70FD"/>
    <w:rsid w:val="00AF0F79"/>
    <w:rsid w:val="00AF1085"/>
    <w:rsid w:val="00AF1498"/>
    <w:rsid w:val="00AF21DF"/>
    <w:rsid w:val="00AF26C2"/>
    <w:rsid w:val="00AF287D"/>
    <w:rsid w:val="00AF2A12"/>
    <w:rsid w:val="00AF3231"/>
    <w:rsid w:val="00AF5819"/>
    <w:rsid w:val="00AF67A6"/>
    <w:rsid w:val="00AF6B34"/>
    <w:rsid w:val="00AF6F75"/>
    <w:rsid w:val="00B01BEC"/>
    <w:rsid w:val="00B01FD5"/>
    <w:rsid w:val="00B0298F"/>
    <w:rsid w:val="00B030AE"/>
    <w:rsid w:val="00B03EFB"/>
    <w:rsid w:val="00B04FB4"/>
    <w:rsid w:val="00B06CB2"/>
    <w:rsid w:val="00B10DB0"/>
    <w:rsid w:val="00B11369"/>
    <w:rsid w:val="00B1149D"/>
    <w:rsid w:val="00B11DEE"/>
    <w:rsid w:val="00B138A6"/>
    <w:rsid w:val="00B14748"/>
    <w:rsid w:val="00B14F57"/>
    <w:rsid w:val="00B15752"/>
    <w:rsid w:val="00B17344"/>
    <w:rsid w:val="00B173BE"/>
    <w:rsid w:val="00B17545"/>
    <w:rsid w:val="00B176EF"/>
    <w:rsid w:val="00B17D67"/>
    <w:rsid w:val="00B20EE6"/>
    <w:rsid w:val="00B21011"/>
    <w:rsid w:val="00B23092"/>
    <w:rsid w:val="00B231E6"/>
    <w:rsid w:val="00B239A3"/>
    <w:rsid w:val="00B24506"/>
    <w:rsid w:val="00B2468E"/>
    <w:rsid w:val="00B25E8B"/>
    <w:rsid w:val="00B27316"/>
    <w:rsid w:val="00B3044F"/>
    <w:rsid w:val="00B3133F"/>
    <w:rsid w:val="00B31B6E"/>
    <w:rsid w:val="00B34B64"/>
    <w:rsid w:val="00B354C6"/>
    <w:rsid w:val="00B35FF8"/>
    <w:rsid w:val="00B36B8D"/>
    <w:rsid w:val="00B3744D"/>
    <w:rsid w:val="00B37EC1"/>
    <w:rsid w:val="00B41D78"/>
    <w:rsid w:val="00B42143"/>
    <w:rsid w:val="00B42454"/>
    <w:rsid w:val="00B42BAA"/>
    <w:rsid w:val="00B43768"/>
    <w:rsid w:val="00B43A9D"/>
    <w:rsid w:val="00B44144"/>
    <w:rsid w:val="00B46A6D"/>
    <w:rsid w:val="00B46E29"/>
    <w:rsid w:val="00B47B89"/>
    <w:rsid w:val="00B47E4A"/>
    <w:rsid w:val="00B5007D"/>
    <w:rsid w:val="00B5067C"/>
    <w:rsid w:val="00B512E0"/>
    <w:rsid w:val="00B52F6A"/>
    <w:rsid w:val="00B53FF0"/>
    <w:rsid w:val="00B54437"/>
    <w:rsid w:val="00B56CED"/>
    <w:rsid w:val="00B56D90"/>
    <w:rsid w:val="00B573FB"/>
    <w:rsid w:val="00B57431"/>
    <w:rsid w:val="00B576A2"/>
    <w:rsid w:val="00B610E0"/>
    <w:rsid w:val="00B617D4"/>
    <w:rsid w:val="00B63958"/>
    <w:rsid w:val="00B63C38"/>
    <w:rsid w:val="00B64681"/>
    <w:rsid w:val="00B64BC7"/>
    <w:rsid w:val="00B64CE5"/>
    <w:rsid w:val="00B64F6F"/>
    <w:rsid w:val="00B676E2"/>
    <w:rsid w:val="00B67936"/>
    <w:rsid w:val="00B67EA0"/>
    <w:rsid w:val="00B71014"/>
    <w:rsid w:val="00B71544"/>
    <w:rsid w:val="00B7196F"/>
    <w:rsid w:val="00B72275"/>
    <w:rsid w:val="00B7343E"/>
    <w:rsid w:val="00B73608"/>
    <w:rsid w:val="00B75136"/>
    <w:rsid w:val="00B75DC0"/>
    <w:rsid w:val="00B76C26"/>
    <w:rsid w:val="00B77831"/>
    <w:rsid w:val="00B80062"/>
    <w:rsid w:val="00B80387"/>
    <w:rsid w:val="00B805D9"/>
    <w:rsid w:val="00B80EE9"/>
    <w:rsid w:val="00B817D1"/>
    <w:rsid w:val="00B8480B"/>
    <w:rsid w:val="00B84867"/>
    <w:rsid w:val="00B84BCE"/>
    <w:rsid w:val="00B853A4"/>
    <w:rsid w:val="00B85AC2"/>
    <w:rsid w:val="00B85D8A"/>
    <w:rsid w:val="00B85EDD"/>
    <w:rsid w:val="00B877A0"/>
    <w:rsid w:val="00B8795C"/>
    <w:rsid w:val="00B87DE8"/>
    <w:rsid w:val="00B87E98"/>
    <w:rsid w:val="00B90F9F"/>
    <w:rsid w:val="00B91AF6"/>
    <w:rsid w:val="00B91C12"/>
    <w:rsid w:val="00B926EC"/>
    <w:rsid w:val="00B93477"/>
    <w:rsid w:val="00B93DCC"/>
    <w:rsid w:val="00B94290"/>
    <w:rsid w:val="00B97618"/>
    <w:rsid w:val="00BA02DB"/>
    <w:rsid w:val="00BA0AF0"/>
    <w:rsid w:val="00BA1A48"/>
    <w:rsid w:val="00BA3566"/>
    <w:rsid w:val="00BA3FB8"/>
    <w:rsid w:val="00BA429D"/>
    <w:rsid w:val="00BA6070"/>
    <w:rsid w:val="00BA7141"/>
    <w:rsid w:val="00BA7BD6"/>
    <w:rsid w:val="00BA7F14"/>
    <w:rsid w:val="00BB0940"/>
    <w:rsid w:val="00BB2CF3"/>
    <w:rsid w:val="00BB30CA"/>
    <w:rsid w:val="00BB3AF4"/>
    <w:rsid w:val="00BB4AC2"/>
    <w:rsid w:val="00BB4CB3"/>
    <w:rsid w:val="00BB5266"/>
    <w:rsid w:val="00BB5847"/>
    <w:rsid w:val="00BB665F"/>
    <w:rsid w:val="00BC02F7"/>
    <w:rsid w:val="00BC31D2"/>
    <w:rsid w:val="00BC3CE7"/>
    <w:rsid w:val="00BC5E15"/>
    <w:rsid w:val="00BC648A"/>
    <w:rsid w:val="00BC79A3"/>
    <w:rsid w:val="00BD1CA8"/>
    <w:rsid w:val="00BD268B"/>
    <w:rsid w:val="00BD2DE3"/>
    <w:rsid w:val="00BD43B8"/>
    <w:rsid w:val="00BD4E5F"/>
    <w:rsid w:val="00BD671B"/>
    <w:rsid w:val="00BD79DB"/>
    <w:rsid w:val="00BE01B7"/>
    <w:rsid w:val="00BE0BDB"/>
    <w:rsid w:val="00BE13DA"/>
    <w:rsid w:val="00BE1466"/>
    <w:rsid w:val="00BE19C1"/>
    <w:rsid w:val="00BE1FDF"/>
    <w:rsid w:val="00BE2008"/>
    <w:rsid w:val="00BE22F5"/>
    <w:rsid w:val="00BE275D"/>
    <w:rsid w:val="00BE27A5"/>
    <w:rsid w:val="00BE2B8D"/>
    <w:rsid w:val="00BE38A1"/>
    <w:rsid w:val="00BE3923"/>
    <w:rsid w:val="00BE473D"/>
    <w:rsid w:val="00BE58FB"/>
    <w:rsid w:val="00BE7207"/>
    <w:rsid w:val="00BF098A"/>
    <w:rsid w:val="00BF1A36"/>
    <w:rsid w:val="00BF2A2E"/>
    <w:rsid w:val="00BF32AD"/>
    <w:rsid w:val="00BF3419"/>
    <w:rsid w:val="00BF3952"/>
    <w:rsid w:val="00BF3AC4"/>
    <w:rsid w:val="00BF3DB4"/>
    <w:rsid w:val="00BF3F0C"/>
    <w:rsid w:val="00BF3FEF"/>
    <w:rsid w:val="00BF4BC7"/>
    <w:rsid w:val="00BF54AF"/>
    <w:rsid w:val="00BF598E"/>
    <w:rsid w:val="00BF67C0"/>
    <w:rsid w:val="00C00C61"/>
    <w:rsid w:val="00C00D6A"/>
    <w:rsid w:val="00C02144"/>
    <w:rsid w:val="00C03231"/>
    <w:rsid w:val="00C05495"/>
    <w:rsid w:val="00C0590E"/>
    <w:rsid w:val="00C0637F"/>
    <w:rsid w:val="00C067EC"/>
    <w:rsid w:val="00C07698"/>
    <w:rsid w:val="00C07BF1"/>
    <w:rsid w:val="00C1078D"/>
    <w:rsid w:val="00C10882"/>
    <w:rsid w:val="00C10EF4"/>
    <w:rsid w:val="00C10FE1"/>
    <w:rsid w:val="00C1114B"/>
    <w:rsid w:val="00C11EF0"/>
    <w:rsid w:val="00C12C49"/>
    <w:rsid w:val="00C132F1"/>
    <w:rsid w:val="00C13392"/>
    <w:rsid w:val="00C145FD"/>
    <w:rsid w:val="00C14B6C"/>
    <w:rsid w:val="00C15AFB"/>
    <w:rsid w:val="00C16FAC"/>
    <w:rsid w:val="00C171B2"/>
    <w:rsid w:val="00C171B8"/>
    <w:rsid w:val="00C2018B"/>
    <w:rsid w:val="00C20688"/>
    <w:rsid w:val="00C2084A"/>
    <w:rsid w:val="00C22567"/>
    <w:rsid w:val="00C22A96"/>
    <w:rsid w:val="00C22CB6"/>
    <w:rsid w:val="00C2365D"/>
    <w:rsid w:val="00C23975"/>
    <w:rsid w:val="00C2426F"/>
    <w:rsid w:val="00C2491D"/>
    <w:rsid w:val="00C2543B"/>
    <w:rsid w:val="00C25C47"/>
    <w:rsid w:val="00C261D5"/>
    <w:rsid w:val="00C26B78"/>
    <w:rsid w:val="00C27C36"/>
    <w:rsid w:val="00C27D93"/>
    <w:rsid w:val="00C303F5"/>
    <w:rsid w:val="00C32578"/>
    <w:rsid w:val="00C32810"/>
    <w:rsid w:val="00C33D9C"/>
    <w:rsid w:val="00C3406A"/>
    <w:rsid w:val="00C34E44"/>
    <w:rsid w:val="00C3537A"/>
    <w:rsid w:val="00C3763A"/>
    <w:rsid w:val="00C37BA4"/>
    <w:rsid w:val="00C413E1"/>
    <w:rsid w:val="00C415E8"/>
    <w:rsid w:val="00C438A1"/>
    <w:rsid w:val="00C43C5B"/>
    <w:rsid w:val="00C44E4B"/>
    <w:rsid w:val="00C455DE"/>
    <w:rsid w:val="00C4688C"/>
    <w:rsid w:val="00C510B1"/>
    <w:rsid w:val="00C51463"/>
    <w:rsid w:val="00C51FD8"/>
    <w:rsid w:val="00C537BC"/>
    <w:rsid w:val="00C54132"/>
    <w:rsid w:val="00C5547F"/>
    <w:rsid w:val="00C5551D"/>
    <w:rsid w:val="00C56AED"/>
    <w:rsid w:val="00C56E37"/>
    <w:rsid w:val="00C604B0"/>
    <w:rsid w:val="00C622F5"/>
    <w:rsid w:val="00C624C1"/>
    <w:rsid w:val="00C62531"/>
    <w:rsid w:val="00C626DD"/>
    <w:rsid w:val="00C62825"/>
    <w:rsid w:val="00C62BEB"/>
    <w:rsid w:val="00C65083"/>
    <w:rsid w:val="00C65867"/>
    <w:rsid w:val="00C66709"/>
    <w:rsid w:val="00C6721C"/>
    <w:rsid w:val="00C72E74"/>
    <w:rsid w:val="00C72F3B"/>
    <w:rsid w:val="00C732DC"/>
    <w:rsid w:val="00C73CA7"/>
    <w:rsid w:val="00C73F03"/>
    <w:rsid w:val="00C74114"/>
    <w:rsid w:val="00C75AED"/>
    <w:rsid w:val="00C764B0"/>
    <w:rsid w:val="00C76659"/>
    <w:rsid w:val="00C76D98"/>
    <w:rsid w:val="00C7736E"/>
    <w:rsid w:val="00C80481"/>
    <w:rsid w:val="00C80D2E"/>
    <w:rsid w:val="00C8213C"/>
    <w:rsid w:val="00C839E0"/>
    <w:rsid w:val="00C83D6A"/>
    <w:rsid w:val="00C84B8A"/>
    <w:rsid w:val="00C84FB1"/>
    <w:rsid w:val="00C85A04"/>
    <w:rsid w:val="00C861A1"/>
    <w:rsid w:val="00C86E7F"/>
    <w:rsid w:val="00C870C0"/>
    <w:rsid w:val="00C87283"/>
    <w:rsid w:val="00C8737A"/>
    <w:rsid w:val="00C87CF2"/>
    <w:rsid w:val="00C9021F"/>
    <w:rsid w:val="00C90304"/>
    <w:rsid w:val="00C91C43"/>
    <w:rsid w:val="00C93450"/>
    <w:rsid w:val="00C948E9"/>
    <w:rsid w:val="00C94D30"/>
    <w:rsid w:val="00C95388"/>
    <w:rsid w:val="00C95C5B"/>
    <w:rsid w:val="00C95DEB"/>
    <w:rsid w:val="00C97010"/>
    <w:rsid w:val="00C9741B"/>
    <w:rsid w:val="00C97E23"/>
    <w:rsid w:val="00CA06E9"/>
    <w:rsid w:val="00CA28C4"/>
    <w:rsid w:val="00CA2C6D"/>
    <w:rsid w:val="00CA4866"/>
    <w:rsid w:val="00CA52AA"/>
    <w:rsid w:val="00CA664F"/>
    <w:rsid w:val="00CA6C93"/>
    <w:rsid w:val="00CA7325"/>
    <w:rsid w:val="00CB1296"/>
    <w:rsid w:val="00CB1B1E"/>
    <w:rsid w:val="00CB1DDA"/>
    <w:rsid w:val="00CB1F68"/>
    <w:rsid w:val="00CB22A9"/>
    <w:rsid w:val="00CB301D"/>
    <w:rsid w:val="00CB3F64"/>
    <w:rsid w:val="00CB40DD"/>
    <w:rsid w:val="00CB4C15"/>
    <w:rsid w:val="00CB511B"/>
    <w:rsid w:val="00CB52BF"/>
    <w:rsid w:val="00CB7E7D"/>
    <w:rsid w:val="00CC2F88"/>
    <w:rsid w:val="00CC45E3"/>
    <w:rsid w:val="00CC49B9"/>
    <w:rsid w:val="00CC5378"/>
    <w:rsid w:val="00CC56C6"/>
    <w:rsid w:val="00CC6B88"/>
    <w:rsid w:val="00CD0647"/>
    <w:rsid w:val="00CD1193"/>
    <w:rsid w:val="00CD1BA7"/>
    <w:rsid w:val="00CD1EE0"/>
    <w:rsid w:val="00CD25E9"/>
    <w:rsid w:val="00CD2AEC"/>
    <w:rsid w:val="00CD2DD1"/>
    <w:rsid w:val="00CD322F"/>
    <w:rsid w:val="00CD51D7"/>
    <w:rsid w:val="00CD5499"/>
    <w:rsid w:val="00CD6409"/>
    <w:rsid w:val="00CD6E86"/>
    <w:rsid w:val="00CD7484"/>
    <w:rsid w:val="00CD7C35"/>
    <w:rsid w:val="00CE0ED0"/>
    <w:rsid w:val="00CE2F74"/>
    <w:rsid w:val="00CE320A"/>
    <w:rsid w:val="00CE336A"/>
    <w:rsid w:val="00CE3EFB"/>
    <w:rsid w:val="00CE4791"/>
    <w:rsid w:val="00CE5119"/>
    <w:rsid w:val="00CE5605"/>
    <w:rsid w:val="00CE60F2"/>
    <w:rsid w:val="00CE6A41"/>
    <w:rsid w:val="00CE6FFE"/>
    <w:rsid w:val="00CE7929"/>
    <w:rsid w:val="00CE7943"/>
    <w:rsid w:val="00CF0D1E"/>
    <w:rsid w:val="00CF16B8"/>
    <w:rsid w:val="00CF2EFB"/>
    <w:rsid w:val="00CF3AE4"/>
    <w:rsid w:val="00CF41FA"/>
    <w:rsid w:val="00CF607D"/>
    <w:rsid w:val="00CF651B"/>
    <w:rsid w:val="00CF6A61"/>
    <w:rsid w:val="00CF6E39"/>
    <w:rsid w:val="00CF7981"/>
    <w:rsid w:val="00D01AF3"/>
    <w:rsid w:val="00D01B62"/>
    <w:rsid w:val="00D033D5"/>
    <w:rsid w:val="00D03C38"/>
    <w:rsid w:val="00D03FA9"/>
    <w:rsid w:val="00D04C57"/>
    <w:rsid w:val="00D052AF"/>
    <w:rsid w:val="00D057C7"/>
    <w:rsid w:val="00D07565"/>
    <w:rsid w:val="00D10523"/>
    <w:rsid w:val="00D10BF4"/>
    <w:rsid w:val="00D12CDE"/>
    <w:rsid w:val="00D148AE"/>
    <w:rsid w:val="00D1546A"/>
    <w:rsid w:val="00D20173"/>
    <w:rsid w:val="00D22B0D"/>
    <w:rsid w:val="00D22B33"/>
    <w:rsid w:val="00D23F48"/>
    <w:rsid w:val="00D24319"/>
    <w:rsid w:val="00D26A36"/>
    <w:rsid w:val="00D26D1E"/>
    <w:rsid w:val="00D26FE3"/>
    <w:rsid w:val="00D27E75"/>
    <w:rsid w:val="00D3063D"/>
    <w:rsid w:val="00D30D62"/>
    <w:rsid w:val="00D30F52"/>
    <w:rsid w:val="00D31408"/>
    <w:rsid w:val="00D32063"/>
    <w:rsid w:val="00D32205"/>
    <w:rsid w:val="00D32B02"/>
    <w:rsid w:val="00D32ECB"/>
    <w:rsid w:val="00D354E9"/>
    <w:rsid w:val="00D36448"/>
    <w:rsid w:val="00D4115D"/>
    <w:rsid w:val="00D42943"/>
    <w:rsid w:val="00D43966"/>
    <w:rsid w:val="00D4585D"/>
    <w:rsid w:val="00D459B4"/>
    <w:rsid w:val="00D45B18"/>
    <w:rsid w:val="00D4635C"/>
    <w:rsid w:val="00D47E07"/>
    <w:rsid w:val="00D501C7"/>
    <w:rsid w:val="00D51406"/>
    <w:rsid w:val="00D51B1F"/>
    <w:rsid w:val="00D52E84"/>
    <w:rsid w:val="00D53AF2"/>
    <w:rsid w:val="00D54FC6"/>
    <w:rsid w:val="00D553D3"/>
    <w:rsid w:val="00D55742"/>
    <w:rsid w:val="00D5577A"/>
    <w:rsid w:val="00D55AC3"/>
    <w:rsid w:val="00D56461"/>
    <w:rsid w:val="00D57CF4"/>
    <w:rsid w:val="00D60243"/>
    <w:rsid w:val="00D62457"/>
    <w:rsid w:val="00D628AF"/>
    <w:rsid w:val="00D62E73"/>
    <w:rsid w:val="00D635E0"/>
    <w:rsid w:val="00D63D2B"/>
    <w:rsid w:val="00D63E27"/>
    <w:rsid w:val="00D64193"/>
    <w:rsid w:val="00D64366"/>
    <w:rsid w:val="00D64B38"/>
    <w:rsid w:val="00D65951"/>
    <w:rsid w:val="00D66232"/>
    <w:rsid w:val="00D66DD7"/>
    <w:rsid w:val="00D70E0C"/>
    <w:rsid w:val="00D71062"/>
    <w:rsid w:val="00D71D1D"/>
    <w:rsid w:val="00D72E98"/>
    <w:rsid w:val="00D74417"/>
    <w:rsid w:val="00D74E17"/>
    <w:rsid w:val="00D76BD2"/>
    <w:rsid w:val="00D7737D"/>
    <w:rsid w:val="00D8055C"/>
    <w:rsid w:val="00D8220B"/>
    <w:rsid w:val="00D843C1"/>
    <w:rsid w:val="00D84C9F"/>
    <w:rsid w:val="00D867B8"/>
    <w:rsid w:val="00D87F66"/>
    <w:rsid w:val="00D90440"/>
    <w:rsid w:val="00D909EC"/>
    <w:rsid w:val="00D913BA"/>
    <w:rsid w:val="00D94028"/>
    <w:rsid w:val="00D944C9"/>
    <w:rsid w:val="00D95AE6"/>
    <w:rsid w:val="00D96147"/>
    <w:rsid w:val="00D96B12"/>
    <w:rsid w:val="00D97750"/>
    <w:rsid w:val="00D97BEC"/>
    <w:rsid w:val="00DA1DC4"/>
    <w:rsid w:val="00DA25B7"/>
    <w:rsid w:val="00DA2904"/>
    <w:rsid w:val="00DA4632"/>
    <w:rsid w:val="00DA4B53"/>
    <w:rsid w:val="00DA6AE6"/>
    <w:rsid w:val="00DA7909"/>
    <w:rsid w:val="00DB0E29"/>
    <w:rsid w:val="00DB1B03"/>
    <w:rsid w:val="00DB1F3F"/>
    <w:rsid w:val="00DB37D6"/>
    <w:rsid w:val="00DB4A24"/>
    <w:rsid w:val="00DB4BE7"/>
    <w:rsid w:val="00DB65AE"/>
    <w:rsid w:val="00DB65BA"/>
    <w:rsid w:val="00DB77AD"/>
    <w:rsid w:val="00DC0038"/>
    <w:rsid w:val="00DC115A"/>
    <w:rsid w:val="00DC1D2C"/>
    <w:rsid w:val="00DC259E"/>
    <w:rsid w:val="00DC2E22"/>
    <w:rsid w:val="00DC5BB9"/>
    <w:rsid w:val="00DC5C32"/>
    <w:rsid w:val="00DC5FFE"/>
    <w:rsid w:val="00DC6000"/>
    <w:rsid w:val="00DC605A"/>
    <w:rsid w:val="00DD18B5"/>
    <w:rsid w:val="00DD18BE"/>
    <w:rsid w:val="00DD1E44"/>
    <w:rsid w:val="00DD3576"/>
    <w:rsid w:val="00DD3BAB"/>
    <w:rsid w:val="00DD3DB5"/>
    <w:rsid w:val="00DD4CE4"/>
    <w:rsid w:val="00DD6B83"/>
    <w:rsid w:val="00DD6D47"/>
    <w:rsid w:val="00DD7935"/>
    <w:rsid w:val="00DD7F4D"/>
    <w:rsid w:val="00DE0038"/>
    <w:rsid w:val="00DE0C90"/>
    <w:rsid w:val="00DE1C92"/>
    <w:rsid w:val="00DE26A9"/>
    <w:rsid w:val="00DE3945"/>
    <w:rsid w:val="00DE4319"/>
    <w:rsid w:val="00DE5803"/>
    <w:rsid w:val="00DE5B83"/>
    <w:rsid w:val="00DE6743"/>
    <w:rsid w:val="00DE6C9C"/>
    <w:rsid w:val="00DE7046"/>
    <w:rsid w:val="00DE7718"/>
    <w:rsid w:val="00DF01F0"/>
    <w:rsid w:val="00DF1A8B"/>
    <w:rsid w:val="00DF2021"/>
    <w:rsid w:val="00DF2332"/>
    <w:rsid w:val="00DF3587"/>
    <w:rsid w:val="00DF6550"/>
    <w:rsid w:val="00DF718A"/>
    <w:rsid w:val="00DF7A61"/>
    <w:rsid w:val="00E019C3"/>
    <w:rsid w:val="00E01CBA"/>
    <w:rsid w:val="00E01FCB"/>
    <w:rsid w:val="00E031FB"/>
    <w:rsid w:val="00E033A3"/>
    <w:rsid w:val="00E04255"/>
    <w:rsid w:val="00E04501"/>
    <w:rsid w:val="00E0497D"/>
    <w:rsid w:val="00E06A36"/>
    <w:rsid w:val="00E07014"/>
    <w:rsid w:val="00E07E97"/>
    <w:rsid w:val="00E07FDE"/>
    <w:rsid w:val="00E1227A"/>
    <w:rsid w:val="00E13602"/>
    <w:rsid w:val="00E13E9A"/>
    <w:rsid w:val="00E14071"/>
    <w:rsid w:val="00E147BF"/>
    <w:rsid w:val="00E15205"/>
    <w:rsid w:val="00E1639D"/>
    <w:rsid w:val="00E16B4F"/>
    <w:rsid w:val="00E16C9A"/>
    <w:rsid w:val="00E17314"/>
    <w:rsid w:val="00E17AA9"/>
    <w:rsid w:val="00E21843"/>
    <w:rsid w:val="00E219FF"/>
    <w:rsid w:val="00E21B92"/>
    <w:rsid w:val="00E2232F"/>
    <w:rsid w:val="00E2591F"/>
    <w:rsid w:val="00E25F23"/>
    <w:rsid w:val="00E267E7"/>
    <w:rsid w:val="00E3076A"/>
    <w:rsid w:val="00E33299"/>
    <w:rsid w:val="00E33FB1"/>
    <w:rsid w:val="00E34736"/>
    <w:rsid w:val="00E349AE"/>
    <w:rsid w:val="00E35B1E"/>
    <w:rsid w:val="00E35D59"/>
    <w:rsid w:val="00E3686F"/>
    <w:rsid w:val="00E36968"/>
    <w:rsid w:val="00E36ED5"/>
    <w:rsid w:val="00E40034"/>
    <w:rsid w:val="00E41707"/>
    <w:rsid w:val="00E41CF4"/>
    <w:rsid w:val="00E42142"/>
    <w:rsid w:val="00E44C4F"/>
    <w:rsid w:val="00E46733"/>
    <w:rsid w:val="00E46AF8"/>
    <w:rsid w:val="00E503CF"/>
    <w:rsid w:val="00E504EA"/>
    <w:rsid w:val="00E51DD6"/>
    <w:rsid w:val="00E528B3"/>
    <w:rsid w:val="00E5474F"/>
    <w:rsid w:val="00E5485D"/>
    <w:rsid w:val="00E57060"/>
    <w:rsid w:val="00E57937"/>
    <w:rsid w:val="00E57E24"/>
    <w:rsid w:val="00E602A7"/>
    <w:rsid w:val="00E61BD9"/>
    <w:rsid w:val="00E61F6B"/>
    <w:rsid w:val="00E636F1"/>
    <w:rsid w:val="00E648D5"/>
    <w:rsid w:val="00E654CF"/>
    <w:rsid w:val="00E65D89"/>
    <w:rsid w:val="00E65F7F"/>
    <w:rsid w:val="00E66EA3"/>
    <w:rsid w:val="00E678A5"/>
    <w:rsid w:val="00E67D3B"/>
    <w:rsid w:val="00E719F8"/>
    <w:rsid w:val="00E722A4"/>
    <w:rsid w:val="00E73C90"/>
    <w:rsid w:val="00E73E72"/>
    <w:rsid w:val="00E75A81"/>
    <w:rsid w:val="00E76074"/>
    <w:rsid w:val="00E76BF6"/>
    <w:rsid w:val="00E7776F"/>
    <w:rsid w:val="00E8068B"/>
    <w:rsid w:val="00E80F60"/>
    <w:rsid w:val="00E83BD8"/>
    <w:rsid w:val="00E84E39"/>
    <w:rsid w:val="00E865D8"/>
    <w:rsid w:val="00E86A66"/>
    <w:rsid w:val="00E86A8D"/>
    <w:rsid w:val="00E87B56"/>
    <w:rsid w:val="00E87C85"/>
    <w:rsid w:val="00E9141F"/>
    <w:rsid w:val="00E915E8"/>
    <w:rsid w:val="00E934F1"/>
    <w:rsid w:val="00E9355F"/>
    <w:rsid w:val="00E94163"/>
    <w:rsid w:val="00E94A3E"/>
    <w:rsid w:val="00E95329"/>
    <w:rsid w:val="00E95869"/>
    <w:rsid w:val="00E95941"/>
    <w:rsid w:val="00E96398"/>
    <w:rsid w:val="00E96A9E"/>
    <w:rsid w:val="00EA01CC"/>
    <w:rsid w:val="00EA1809"/>
    <w:rsid w:val="00EA264C"/>
    <w:rsid w:val="00EA26E9"/>
    <w:rsid w:val="00EA42EF"/>
    <w:rsid w:val="00EA5129"/>
    <w:rsid w:val="00EA69B6"/>
    <w:rsid w:val="00EB134E"/>
    <w:rsid w:val="00EB218F"/>
    <w:rsid w:val="00EB2F61"/>
    <w:rsid w:val="00EB2FBA"/>
    <w:rsid w:val="00EB36DC"/>
    <w:rsid w:val="00EB376F"/>
    <w:rsid w:val="00EB45FD"/>
    <w:rsid w:val="00EB4B82"/>
    <w:rsid w:val="00EB669B"/>
    <w:rsid w:val="00EB786E"/>
    <w:rsid w:val="00EB7FFA"/>
    <w:rsid w:val="00EC03E4"/>
    <w:rsid w:val="00EC0837"/>
    <w:rsid w:val="00EC21B9"/>
    <w:rsid w:val="00EC2858"/>
    <w:rsid w:val="00EC2B55"/>
    <w:rsid w:val="00EC3182"/>
    <w:rsid w:val="00EC3BB1"/>
    <w:rsid w:val="00EC45C7"/>
    <w:rsid w:val="00EC47D9"/>
    <w:rsid w:val="00EC6386"/>
    <w:rsid w:val="00EC6745"/>
    <w:rsid w:val="00EC7B10"/>
    <w:rsid w:val="00EC7EAE"/>
    <w:rsid w:val="00ED12AD"/>
    <w:rsid w:val="00ED15A3"/>
    <w:rsid w:val="00ED1600"/>
    <w:rsid w:val="00ED1815"/>
    <w:rsid w:val="00ED2DE8"/>
    <w:rsid w:val="00ED3994"/>
    <w:rsid w:val="00ED5B7D"/>
    <w:rsid w:val="00EE220A"/>
    <w:rsid w:val="00EE278D"/>
    <w:rsid w:val="00EE3887"/>
    <w:rsid w:val="00EE3D94"/>
    <w:rsid w:val="00EE4D2F"/>
    <w:rsid w:val="00EE52DD"/>
    <w:rsid w:val="00EE653F"/>
    <w:rsid w:val="00EE6C77"/>
    <w:rsid w:val="00EE719D"/>
    <w:rsid w:val="00EF0173"/>
    <w:rsid w:val="00EF174F"/>
    <w:rsid w:val="00EF234B"/>
    <w:rsid w:val="00EF342D"/>
    <w:rsid w:val="00EF3B47"/>
    <w:rsid w:val="00EF4317"/>
    <w:rsid w:val="00EF4DD1"/>
    <w:rsid w:val="00EF67A9"/>
    <w:rsid w:val="00EF6F57"/>
    <w:rsid w:val="00EF6F6B"/>
    <w:rsid w:val="00EF7050"/>
    <w:rsid w:val="00EF7A1D"/>
    <w:rsid w:val="00F0011F"/>
    <w:rsid w:val="00F002D5"/>
    <w:rsid w:val="00F009D9"/>
    <w:rsid w:val="00F01360"/>
    <w:rsid w:val="00F01878"/>
    <w:rsid w:val="00F018ED"/>
    <w:rsid w:val="00F01F24"/>
    <w:rsid w:val="00F04B7E"/>
    <w:rsid w:val="00F053AB"/>
    <w:rsid w:val="00F05445"/>
    <w:rsid w:val="00F0573C"/>
    <w:rsid w:val="00F05838"/>
    <w:rsid w:val="00F0631C"/>
    <w:rsid w:val="00F06E47"/>
    <w:rsid w:val="00F07022"/>
    <w:rsid w:val="00F074F4"/>
    <w:rsid w:val="00F077D7"/>
    <w:rsid w:val="00F112E6"/>
    <w:rsid w:val="00F11CAC"/>
    <w:rsid w:val="00F1203C"/>
    <w:rsid w:val="00F13EB9"/>
    <w:rsid w:val="00F1466A"/>
    <w:rsid w:val="00F153EA"/>
    <w:rsid w:val="00F1595C"/>
    <w:rsid w:val="00F16BB3"/>
    <w:rsid w:val="00F16E3F"/>
    <w:rsid w:val="00F17118"/>
    <w:rsid w:val="00F211AE"/>
    <w:rsid w:val="00F21ED5"/>
    <w:rsid w:val="00F22213"/>
    <w:rsid w:val="00F23298"/>
    <w:rsid w:val="00F233F7"/>
    <w:rsid w:val="00F24109"/>
    <w:rsid w:val="00F24954"/>
    <w:rsid w:val="00F24FFE"/>
    <w:rsid w:val="00F27365"/>
    <w:rsid w:val="00F276D0"/>
    <w:rsid w:val="00F3048E"/>
    <w:rsid w:val="00F30819"/>
    <w:rsid w:val="00F308B7"/>
    <w:rsid w:val="00F30F15"/>
    <w:rsid w:val="00F317A0"/>
    <w:rsid w:val="00F31E26"/>
    <w:rsid w:val="00F322D2"/>
    <w:rsid w:val="00F323CB"/>
    <w:rsid w:val="00F330CC"/>
    <w:rsid w:val="00F33EB1"/>
    <w:rsid w:val="00F34301"/>
    <w:rsid w:val="00F359C7"/>
    <w:rsid w:val="00F35DD9"/>
    <w:rsid w:val="00F37614"/>
    <w:rsid w:val="00F37736"/>
    <w:rsid w:val="00F37E27"/>
    <w:rsid w:val="00F401F7"/>
    <w:rsid w:val="00F40470"/>
    <w:rsid w:val="00F40BAA"/>
    <w:rsid w:val="00F40D90"/>
    <w:rsid w:val="00F41D13"/>
    <w:rsid w:val="00F42055"/>
    <w:rsid w:val="00F43524"/>
    <w:rsid w:val="00F4449D"/>
    <w:rsid w:val="00F448D4"/>
    <w:rsid w:val="00F44997"/>
    <w:rsid w:val="00F44F07"/>
    <w:rsid w:val="00F45315"/>
    <w:rsid w:val="00F45595"/>
    <w:rsid w:val="00F462A5"/>
    <w:rsid w:val="00F469D5"/>
    <w:rsid w:val="00F46BCF"/>
    <w:rsid w:val="00F47698"/>
    <w:rsid w:val="00F47F19"/>
    <w:rsid w:val="00F50BF3"/>
    <w:rsid w:val="00F50E7C"/>
    <w:rsid w:val="00F53559"/>
    <w:rsid w:val="00F53DEE"/>
    <w:rsid w:val="00F600B0"/>
    <w:rsid w:val="00F60661"/>
    <w:rsid w:val="00F60AF7"/>
    <w:rsid w:val="00F60D99"/>
    <w:rsid w:val="00F629D5"/>
    <w:rsid w:val="00F62A2C"/>
    <w:rsid w:val="00F62C5A"/>
    <w:rsid w:val="00F62E56"/>
    <w:rsid w:val="00F636B4"/>
    <w:rsid w:val="00F6426C"/>
    <w:rsid w:val="00F647A6"/>
    <w:rsid w:val="00F6545B"/>
    <w:rsid w:val="00F66E15"/>
    <w:rsid w:val="00F670BC"/>
    <w:rsid w:val="00F67E42"/>
    <w:rsid w:val="00F70212"/>
    <w:rsid w:val="00F7068A"/>
    <w:rsid w:val="00F706E8"/>
    <w:rsid w:val="00F709D5"/>
    <w:rsid w:val="00F70F68"/>
    <w:rsid w:val="00F71103"/>
    <w:rsid w:val="00F72566"/>
    <w:rsid w:val="00F72D2D"/>
    <w:rsid w:val="00F7307F"/>
    <w:rsid w:val="00F75409"/>
    <w:rsid w:val="00F771A8"/>
    <w:rsid w:val="00F77F8A"/>
    <w:rsid w:val="00F8319B"/>
    <w:rsid w:val="00F833D3"/>
    <w:rsid w:val="00F8367C"/>
    <w:rsid w:val="00F8428B"/>
    <w:rsid w:val="00F86034"/>
    <w:rsid w:val="00F86E73"/>
    <w:rsid w:val="00F87609"/>
    <w:rsid w:val="00F87CF3"/>
    <w:rsid w:val="00F90431"/>
    <w:rsid w:val="00F90C68"/>
    <w:rsid w:val="00F91162"/>
    <w:rsid w:val="00F9144D"/>
    <w:rsid w:val="00F915C6"/>
    <w:rsid w:val="00F9232E"/>
    <w:rsid w:val="00F92A4F"/>
    <w:rsid w:val="00F92EA6"/>
    <w:rsid w:val="00F939FF"/>
    <w:rsid w:val="00F94712"/>
    <w:rsid w:val="00F9489B"/>
    <w:rsid w:val="00F95AD0"/>
    <w:rsid w:val="00F96933"/>
    <w:rsid w:val="00FA04CE"/>
    <w:rsid w:val="00FA070C"/>
    <w:rsid w:val="00FA1CC8"/>
    <w:rsid w:val="00FA33B7"/>
    <w:rsid w:val="00FA4FA0"/>
    <w:rsid w:val="00FB07DF"/>
    <w:rsid w:val="00FB19AC"/>
    <w:rsid w:val="00FB2B2B"/>
    <w:rsid w:val="00FB2FF9"/>
    <w:rsid w:val="00FB3E31"/>
    <w:rsid w:val="00FB4881"/>
    <w:rsid w:val="00FB52A7"/>
    <w:rsid w:val="00FB53F8"/>
    <w:rsid w:val="00FB77F8"/>
    <w:rsid w:val="00FB7B9D"/>
    <w:rsid w:val="00FC0832"/>
    <w:rsid w:val="00FC15E5"/>
    <w:rsid w:val="00FC1AE8"/>
    <w:rsid w:val="00FC2180"/>
    <w:rsid w:val="00FC2EDA"/>
    <w:rsid w:val="00FC30E9"/>
    <w:rsid w:val="00FC3DEE"/>
    <w:rsid w:val="00FC40A8"/>
    <w:rsid w:val="00FC51CF"/>
    <w:rsid w:val="00FC51E2"/>
    <w:rsid w:val="00FC62FF"/>
    <w:rsid w:val="00FD18AF"/>
    <w:rsid w:val="00FD2A5A"/>
    <w:rsid w:val="00FD325E"/>
    <w:rsid w:val="00FD3676"/>
    <w:rsid w:val="00FD455B"/>
    <w:rsid w:val="00FD4824"/>
    <w:rsid w:val="00FD6566"/>
    <w:rsid w:val="00FD6E07"/>
    <w:rsid w:val="00FD7326"/>
    <w:rsid w:val="00FE0186"/>
    <w:rsid w:val="00FE0552"/>
    <w:rsid w:val="00FE2234"/>
    <w:rsid w:val="00FE2375"/>
    <w:rsid w:val="00FE316E"/>
    <w:rsid w:val="00FE4215"/>
    <w:rsid w:val="00FE5324"/>
    <w:rsid w:val="00FE67FB"/>
    <w:rsid w:val="00FE7141"/>
    <w:rsid w:val="00FE759C"/>
    <w:rsid w:val="00FF3501"/>
    <w:rsid w:val="00FF4997"/>
    <w:rsid w:val="00FF7420"/>
    <w:rsid w:val="00FF7C3C"/>
    <w:rsid w:val="0118C895"/>
    <w:rsid w:val="015C5EF6"/>
    <w:rsid w:val="0167CC14"/>
    <w:rsid w:val="01768335"/>
    <w:rsid w:val="0213F643"/>
    <w:rsid w:val="03578A0C"/>
    <w:rsid w:val="05AC5826"/>
    <w:rsid w:val="063BE8BF"/>
    <w:rsid w:val="068F2ACE"/>
    <w:rsid w:val="0947E87D"/>
    <w:rsid w:val="09F5B62F"/>
    <w:rsid w:val="0A9E6665"/>
    <w:rsid w:val="0B15CB59"/>
    <w:rsid w:val="0B1DC428"/>
    <w:rsid w:val="0CB5E8C2"/>
    <w:rsid w:val="0D22E0C9"/>
    <w:rsid w:val="0D51434D"/>
    <w:rsid w:val="0DBB7E04"/>
    <w:rsid w:val="0EA2FE57"/>
    <w:rsid w:val="0EDF8D28"/>
    <w:rsid w:val="0F3A07E7"/>
    <w:rsid w:val="0F62F40B"/>
    <w:rsid w:val="1011F2A0"/>
    <w:rsid w:val="10220EEA"/>
    <w:rsid w:val="128E8716"/>
    <w:rsid w:val="1322594D"/>
    <w:rsid w:val="13EDE7F5"/>
    <w:rsid w:val="158BC153"/>
    <w:rsid w:val="17EBE886"/>
    <w:rsid w:val="18C87780"/>
    <w:rsid w:val="1997BA79"/>
    <w:rsid w:val="1C001842"/>
    <w:rsid w:val="1CCC71FF"/>
    <w:rsid w:val="1DBFCF7F"/>
    <w:rsid w:val="1F7816BF"/>
    <w:rsid w:val="200412C1"/>
    <w:rsid w:val="200F8B50"/>
    <w:rsid w:val="207921B3"/>
    <w:rsid w:val="20ABDC1E"/>
    <w:rsid w:val="2126CB74"/>
    <w:rsid w:val="217E2109"/>
    <w:rsid w:val="2209EC5D"/>
    <w:rsid w:val="220FAFA1"/>
    <w:rsid w:val="223E5774"/>
    <w:rsid w:val="22C29BD5"/>
    <w:rsid w:val="23B1288D"/>
    <w:rsid w:val="245E6C36"/>
    <w:rsid w:val="24B54DCF"/>
    <w:rsid w:val="25FA3C97"/>
    <w:rsid w:val="28F4B640"/>
    <w:rsid w:val="2B073B7F"/>
    <w:rsid w:val="2B35251E"/>
    <w:rsid w:val="2B4DE7D9"/>
    <w:rsid w:val="2B6D8316"/>
    <w:rsid w:val="2C3A885B"/>
    <w:rsid w:val="2CA730DD"/>
    <w:rsid w:val="2D27F093"/>
    <w:rsid w:val="2D5FC743"/>
    <w:rsid w:val="2F06282D"/>
    <w:rsid w:val="2FFC9151"/>
    <w:rsid w:val="3013297E"/>
    <w:rsid w:val="31FB61B6"/>
    <w:rsid w:val="332CBB35"/>
    <w:rsid w:val="34788CAE"/>
    <w:rsid w:val="34CFA44C"/>
    <w:rsid w:val="356852F3"/>
    <w:rsid w:val="35E64E51"/>
    <w:rsid w:val="363FEDC8"/>
    <w:rsid w:val="398BD2DD"/>
    <w:rsid w:val="39A2C5A4"/>
    <w:rsid w:val="39FDF7A8"/>
    <w:rsid w:val="3A06739B"/>
    <w:rsid w:val="3AB4DA73"/>
    <w:rsid w:val="3B3469CD"/>
    <w:rsid w:val="3C50E360"/>
    <w:rsid w:val="3D208D11"/>
    <w:rsid w:val="3F1D398B"/>
    <w:rsid w:val="42826EC1"/>
    <w:rsid w:val="43DDD9BB"/>
    <w:rsid w:val="450774DA"/>
    <w:rsid w:val="45209186"/>
    <w:rsid w:val="45F83C23"/>
    <w:rsid w:val="460D35B9"/>
    <w:rsid w:val="4665C36A"/>
    <w:rsid w:val="478E7FE3"/>
    <w:rsid w:val="47EFD947"/>
    <w:rsid w:val="4960F140"/>
    <w:rsid w:val="4B48EC9D"/>
    <w:rsid w:val="4B661FEA"/>
    <w:rsid w:val="4BDC7D6A"/>
    <w:rsid w:val="4BFA77C2"/>
    <w:rsid w:val="4C696D4E"/>
    <w:rsid w:val="4C96A6FC"/>
    <w:rsid w:val="4DAF8A79"/>
    <w:rsid w:val="52FCBE20"/>
    <w:rsid w:val="531CD815"/>
    <w:rsid w:val="531FFA4F"/>
    <w:rsid w:val="53E29EB3"/>
    <w:rsid w:val="560399CF"/>
    <w:rsid w:val="56F17839"/>
    <w:rsid w:val="5AD67D06"/>
    <w:rsid w:val="5C0173B7"/>
    <w:rsid w:val="5C72DB53"/>
    <w:rsid w:val="5DEA8C87"/>
    <w:rsid w:val="5E4CE40D"/>
    <w:rsid w:val="5F2136D1"/>
    <w:rsid w:val="5F38B97A"/>
    <w:rsid w:val="60E33CA5"/>
    <w:rsid w:val="62610EBF"/>
    <w:rsid w:val="63C7C0D1"/>
    <w:rsid w:val="6B1E40A7"/>
    <w:rsid w:val="6FEBFB4D"/>
    <w:rsid w:val="7012AE68"/>
    <w:rsid w:val="701B0056"/>
    <w:rsid w:val="703F881F"/>
    <w:rsid w:val="7056425C"/>
    <w:rsid w:val="70A1ACBE"/>
    <w:rsid w:val="7447EC81"/>
    <w:rsid w:val="765A1458"/>
    <w:rsid w:val="770D5710"/>
    <w:rsid w:val="77C999EC"/>
    <w:rsid w:val="788DCCB1"/>
    <w:rsid w:val="78D35BF5"/>
    <w:rsid w:val="79634116"/>
    <w:rsid w:val="79768E13"/>
    <w:rsid w:val="7AC9ACB9"/>
    <w:rsid w:val="7C019C52"/>
    <w:rsid w:val="7C1C2575"/>
    <w:rsid w:val="7EF94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B18DD"/>
  <w15:chartTrackingRefBased/>
  <w15:docId w15:val="{08B57DEF-4EAC-4EF4-94A6-36F960AFF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E43"/>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74291"/>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6A6EB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44DCF"/>
    <w:pPr>
      <w:spacing w:before="100" w:beforeAutospacing="1" w:after="100" w:afterAutospacing="1"/>
    </w:pPr>
  </w:style>
  <w:style w:type="paragraph" w:styleId="ListParagraph">
    <w:name w:val="List Paragraph"/>
    <w:basedOn w:val="Normal"/>
    <w:uiPriority w:val="34"/>
    <w:qFormat/>
    <w:rsid w:val="00544DCF"/>
    <w:pPr>
      <w:ind w:left="720"/>
      <w:contextualSpacing/>
    </w:pPr>
  </w:style>
  <w:style w:type="table" w:styleId="TableGridLight">
    <w:name w:val="Grid Table Light"/>
    <w:basedOn w:val="TableNormal"/>
    <w:uiPriority w:val="40"/>
    <w:rsid w:val="00544DCF"/>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er">
    <w:name w:val="footer"/>
    <w:basedOn w:val="Normal"/>
    <w:link w:val="FooterChar"/>
    <w:uiPriority w:val="99"/>
    <w:rsid w:val="00544DCF"/>
    <w:pPr>
      <w:tabs>
        <w:tab w:val="center" w:pos="4320"/>
        <w:tab w:val="right" w:pos="8640"/>
      </w:tabs>
      <w:ind w:firstLine="720"/>
    </w:pPr>
  </w:style>
  <w:style w:type="character" w:customStyle="1" w:styleId="FooterChar">
    <w:name w:val="Footer Char"/>
    <w:basedOn w:val="DefaultParagraphFont"/>
    <w:link w:val="Footer"/>
    <w:uiPriority w:val="99"/>
    <w:rsid w:val="00544DCF"/>
    <w:rPr>
      <w:rFonts w:ascii="Times New Roman" w:eastAsia="Times New Roman" w:hAnsi="Times New Roman" w:cs="Times New Roman"/>
      <w:sz w:val="24"/>
      <w:szCs w:val="24"/>
    </w:rPr>
  </w:style>
  <w:style w:type="paragraph" w:styleId="BodyText">
    <w:name w:val="Body Text"/>
    <w:basedOn w:val="Normal"/>
    <w:link w:val="BodyTextChar"/>
    <w:uiPriority w:val="99"/>
    <w:rsid w:val="00544DCF"/>
    <w:pPr>
      <w:spacing w:line="480" w:lineRule="auto"/>
      <w:ind w:firstLine="720"/>
      <w:jc w:val="both"/>
    </w:pPr>
  </w:style>
  <w:style w:type="character" w:customStyle="1" w:styleId="BodyTextChar">
    <w:name w:val="Body Text Char"/>
    <w:basedOn w:val="DefaultParagraphFont"/>
    <w:link w:val="BodyText"/>
    <w:uiPriority w:val="99"/>
    <w:rsid w:val="00544DCF"/>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544DCF"/>
  </w:style>
  <w:style w:type="paragraph" w:styleId="FootnoteText">
    <w:name w:val="footnote text"/>
    <w:aliases w:val="FT"/>
    <w:basedOn w:val="Normal"/>
    <w:link w:val="FootnoteTextChar"/>
    <w:uiPriority w:val="99"/>
    <w:rsid w:val="00D10523"/>
    <w:rPr>
      <w:sz w:val="20"/>
      <w:szCs w:val="20"/>
    </w:rPr>
  </w:style>
  <w:style w:type="character" w:customStyle="1" w:styleId="FootnoteTextChar">
    <w:name w:val="Footnote Text Char"/>
    <w:aliases w:val="FT Char"/>
    <w:basedOn w:val="DefaultParagraphFont"/>
    <w:link w:val="FootnoteText"/>
    <w:uiPriority w:val="99"/>
    <w:rsid w:val="00D10523"/>
    <w:rPr>
      <w:rFonts w:ascii="Times New Roman" w:eastAsia="Times New Roman" w:hAnsi="Times New Roman" w:cs="Times New Roman"/>
      <w:sz w:val="20"/>
      <w:szCs w:val="20"/>
    </w:rPr>
  </w:style>
  <w:style w:type="character" w:styleId="FootnoteReference">
    <w:name w:val="footnote reference"/>
    <w:uiPriority w:val="99"/>
    <w:rsid w:val="00D10523"/>
    <w:rPr>
      <w:vertAlign w:val="superscript"/>
    </w:rPr>
  </w:style>
  <w:style w:type="character" w:styleId="Hyperlink">
    <w:name w:val="Hyperlink"/>
    <w:rsid w:val="00D10523"/>
    <w:rPr>
      <w:rFonts w:ascii="Verdana" w:hAnsi="Verdana" w:hint="default"/>
      <w:color w:val="0066CC"/>
      <w:sz w:val="17"/>
      <w:szCs w:val="17"/>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paragraph" w:styleId="Header">
    <w:name w:val="header"/>
    <w:basedOn w:val="Normal"/>
    <w:link w:val="HeaderChar"/>
    <w:uiPriority w:val="99"/>
    <w:unhideWhenUsed/>
    <w:pPr>
      <w:tabs>
        <w:tab w:val="center" w:pos="4680"/>
        <w:tab w:val="right" w:pos="9360"/>
      </w:tabs>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A16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6FD"/>
    <w:rPr>
      <w:rFonts w:ascii="Segoe UI" w:eastAsia="Times New Roman" w:hAnsi="Segoe UI" w:cs="Segoe UI"/>
      <w:sz w:val="18"/>
      <w:szCs w:val="18"/>
    </w:rPr>
  </w:style>
  <w:style w:type="character" w:styleId="Strong">
    <w:name w:val="Strong"/>
    <w:basedOn w:val="DefaultParagraphFont"/>
    <w:uiPriority w:val="22"/>
    <w:qFormat/>
    <w:rsid w:val="002B736E"/>
    <w:rPr>
      <w:b/>
      <w:bCs/>
    </w:rPr>
  </w:style>
  <w:style w:type="character" w:styleId="Emphasis">
    <w:name w:val="Emphasis"/>
    <w:basedOn w:val="DefaultParagraphFont"/>
    <w:uiPriority w:val="20"/>
    <w:qFormat/>
    <w:rsid w:val="00F9232E"/>
    <w:rPr>
      <w:i/>
      <w:iCs/>
    </w:rPr>
  </w:style>
  <w:style w:type="character" w:styleId="FollowedHyperlink">
    <w:name w:val="FollowedHyperlink"/>
    <w:basedOn w:val="DefaultParagraphFont"/>
    <w:uiPriority w:val="99"/>
    <w:semiHidden/>
    <w:unhideWhenUsed/>
    <w:rsid w:val="00172B0C"/>
    <w:rPr>
      <w:color w:val="954F72" w:themeColor="followedHyperlink"/>
      <w:u w:val="single"/>
    </w:rPr>
  </w:style>
  <w:style w:type="paragraph" w:customStyle="1" w:styleId="paragraph">
    <w:name w:val="paragraph"/>
    <w:basedOn w:val="Normal"/>
    <w:rsid w:val="00A2493B"/>
    <w:pPr>
      <w:spacing w:before="100" w:beforeAutospacing="1" w:after="100" w:afterAutospacing="1"/>
    </w:pPr>
  </w:style>
  <w:style w:type="character" w:customStyle="1" w:styleId="normaltextrun">
    <w:name w:val="normaltextrun"/>
    <w:basedOn w:val="DefaultParagraphFont"/>
    <w:rsid w:val="00A2493B"/>
  </w:style>
  <w:style w:type="character" w:customStyle="1" w:styleId="eop">
    <w:name w:val="eop"/>
    <w:basedOn w:val="DefaultParagraphFont"/>
    <w:rsid w:val="00A2493B"/>
  </w:style>
  <w:style w:type="paragraph" w:styleId="CommentSubject">
    <w:name w:val="annotation subject"/>
    <w:basedOn w:val="CommentText"/>
    <w:next w:val="CommentText"/>
    <w:link w:val="CommentSubjectChar"/>
    <w:uiPriority w:val="99"/>
    <w:semiHidden/>
    <w:unhideWhenUsed/>
    <w:rsid w:val="002A29EF"/>
    <w:rPr>
      <w:b/>
      <w:bCs/>
    </w:rPr>
  </w:style>
  <w:style w:type="character" w:customStyle="1" w:styleId="CommentSubjectChar">
    <w:name w:val="Comment Subject Char"/>
    <w:basedOn w:val="CommentTextChar"/>
    <w:link w:val="CommentSubject"/>
    <w:uiPriority w:val="99"/>
    <w:semiHidden/>
    <w:rsid w:val="002A29EF"/>
    <w:rPr>
      <w:rFonts w:ascii="Times New Roman" w:eastAsia="Times New Roman" w:hAnsi="Times New Roman" w:cs="Times New Roman"/>
      <w:b/>
      <w:bCs/>
      <w:sz w:val="20"/>
      <w:szCs w:val="20"/>
    </w:rPr>
  </w:style>
  <w:style w:type="character" w:customStyle="1" w:styleId="ui-provider">
    <w:name w:val="ui-provider"/>
    <w:basedOn w:val="DefaultParagraphFont"/>
    <w:rsid w:val="00EA69B6"/>
  </w:style>
  <w:style w:type="paragraph" w:styleId="NoSpacing">
    <w:name w:val="No Spacing"/>
    <w:uiPriority w:val="1"/>
    <w:qFormat/>
    <w:rsid w:val="00F308B7"/>
    <w:pPr>
      <w:spacing w:after="0" w:line="240" w:lineRule="auto"/>
    </w:pPr>
    <w:rPr>
      <w:rFonts w:ascii="Times New Roman" w:hAnsi="Times New Roman"/>
      <w:sz w:val="24"/>
    </w:rPr>
  </w:style>
  <w:style w:type="character" w:customStyle="1" w:styleId="UnresolvedMention1">
    <w:name w:val="Unresolved Mention1"/>
    <w:basedOn w:val="DefaultParagraphFont"/>
    <w:uiPriority w:val="99"/>
    <w:semiHidden/>
    <w:unhideWhenUsed/>
    <w:rsid w:val="00BB3AF4"/>
    <w:rPr>
      <w:color w:val="605E5C"/>
      <w:shd w:val="clear" w:color="auto" w:fill="E1DFDD"/>
    </w:rPr>
  </w:style>
  <w:style w:type="character" w:customStyle="1" w:styleId="UnresolvedMention2">
    <w:name w:val="Unresolved Mention2"/>
    <w:basedOn w:val="DefaultParagraphFont"/>
    <w:uiPriority w:val="99"/>
    <w:semiHidden/>
    <w:unhideWhenUsed/>
    <w:rsid w:val="0096591F"/>
    <w:rPr>
      <w:color w:val="605E5C"/>
      <w:shd w:val="clear" w:color="auto" w:fill="E1DFDD"/>
    </w:rPr>
  </w:style>
  <w:style w:type="character" w:customStyle="1" w:styleId="Heading1Char">
    <w:name w:val="Heading 1 Char"/>
    <w:basedOn w:val="DefaultParagraphFont"/>
    <w:link w:val="Heading1"/>
    <w:uiPriority w:val="9"/>
    <w:rsid w:val="00874291"/>
    <w:rPr>
      <w:rFonts w:ascii="Times New Roman" w:eastAsia="Times New Roman" w:hAnsi="Times New Roman" w:cs="Times New Roman"/>
      <w:b/>
      <w:bCs/>
      <w:kern w:val="36"/>
      <w:sz w:val="48"/>
      <w:szCs w:val="48"/>
    </w:rPr>
  </w:style>
  <w:style w:type="paragraph" w:styleId="Revision">
    <w:name w:val="Revision"/>
    <w:hidden/>
    <w:uiPriority w:val="99"/>
    <w:semiHidden/>
    <w:rsid w:val="004C5CE3"/>
    <w:pPr>
      <w:spacing w:after="0" w:line="240" w:lineRule="auto"/>
    </w:pPr>
    <w:rPr>
      <w:rFonts w:ascii="Times New Roman" w:hAnsi="Times New Roman"/>
      <w:sz w:val="24"/>
    </w:rPr>
  </w:style>
  <w:style w:type="character" w:customStyle="1" w:styleId="UnresolvedMention3">
    <w:name w:val="Unresolved Mention3"/>
    <w:basedOn w:val="DefaultParagraphFont"/>
    <w:uiPriority w:val="99"/>
    <w:semiHidden/>
    <w:unhideWhenUsed/>
    <w:rsid w:val="00562C10"/>
    <w:rPr>
      <w:color w:val="605E5C"/>
      <w:shd w:val="clear" w:color="auto" w:fill="E1DFDD"/>
    </w:rPr>
  </w:style>
  <w:style w:type="character" w:customStyle="1" w:styleId="UnresolvedMention4">
    <w:name w:val="Unresolved Mention4"/>
    <w:basedOn w:val="DefaultParagraphFont"/>
    <w:uiPriority w:val="99"/>
    <w:semiHidden/>
    <w:unhideWhenUsed/>
    <w:rsid w:val="009A1093"/>
    <w:rPr>
      <w:color w:val="605E5C"/>
      <w:shd w:val="clear" w:color="auto" w:fill="E1DFDD"/>
    </w:rPr>
  </w:style>
  <w:style w:type="character" w:customStyle="1" w:styleId="Heading2Char">
    <w:name w:val="Heading 2 Char"/>
    <w:basedOn w:val="DefaultParagraphFont"/>
    <w:link w:val="Heading2"/>
    <w:uiPriority w:val="9"/>
    <w:semiHidden/>
    <w:rsid w:val="006A6EB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1631">
      <w:bodyDiv w:val="1"/>
      <w:marLeft w:val="0"/>
      <w:marRight w:val="0"/>
      <w:marTop w:val="0"/>
      <w:marBottom w:val="0"/>
      <w:divBdr>
        <w:top w:val="none" w:sz="0" w:space="0" w:color="auto"/>
        <w:left w:val="none" w:sz="0" w:space="0" w:color="auto"/>
        <w:bottom w:val="none" w:sz="0" w:space="0" w:color="auto"/>
        <w:right w:val="none" w:sz="0" w:space="0" w:color="auto"/>
      </w:divBdr>
    </w:div>
    <w:div w:id="23404846">
      <w:bodyDiv w:val="1"/>
      <w:marLeft w:val="0"/>
      <w:marRight w:val="0"/>
      <w:marTop w:val="0"/>
      <w:marBottom w:val="0"/>
      <w:divBdr>
        <w:top w:val="none" w:sz="0" w:space="0" w:color="auto"/>
        <w:left w:val="none" w:sz="0" w:space="0" w:color="auto"/>
        <w:bottom w:val="none" w:sz="0" w:space="0" w:color="auto"/>
        <w:right w:val="none" w:sz="0" w:space="0" w:color="auto"/>
      </w:divBdr>
    </w:div>
    <w:div w:id="172497844">
      <w:bodyDiv w:val="1"/>
      <w:marLeft w:val="0"/>
      <w:marRight w:val="0"/>
      <w:marTop w:val="0"/>
      <w:marBottom w:val="0"/>
      <w:divBdr>
        <w:top w:val="none" w:sz="0" w:space="0" w:color="auto"/>
        <w:left w:val="none" w:sz="0" w:space="0" w:color="auto"/>
        <w:bottom w:val="none" w:sz="0" w:space="0" w:color="auto"/>
        <w:right w:val="none" w:sz="0" w:space="0" w:color="auto"/>
      </w:divBdr>
    </w:div>
    <w:div w:id="259684373">
      <w:bodyDiv w:val="1"/>
      <w:marLeft w:val="0"/>
      <w:marRight w:val="0"/>
      <w:marTop w:val="0"/>
      <w:marBottom w:val="0"/>
      <w:divBdr>
        <w:top w:val="none" w:sz="0" w:space="0" w:color="auto"/>
        <w:left w:val="none" w:sz="0" w:space="0" w:color="auto"/>
        <w:bottom w:val="none" w:sz="0" w:space="0" w:color="auto"/>
        <w:right w:val="none" w:sz="0" w:space="0" w:color="auto"/>
      </w:divBdr>
    </w:div>
    <w:div w:id="266621555">
      <w:bodyDiv w:val="1"/>
      <w:marLeft w:val="0"/>
      <w:marRight w:val="0"/>
      <w:marTop w:val="0"/>
      <w:marBottom w:val="0"/>
      <w:divBdr>
        <w:top w:val="none" w:sz="0" w:space="0" w:color="auto"/>
        <w:left w:val="none" w:sz="0" w:space="0" w:color="auto"/>
        <w:bottom w:val="none" w:sz="0" w:space="0" w:color="auto"/>
        <w:right w:val="none" w:sz="0" w:space="0" w:color="auto"/>
      </w:divBdr>
    </w:div>
    <w:div w:id="352077961">
      <w:bodyDiv w:val="1"/>
      <w:marLeft w:val="0"/>
      <w:marRight w:val="0"/>
      <w:marTop w:val="0"/>
      <w:marBottom w:val="0"/>
      <w:divBdr>
        <w:top w:val="none" w:sz="0" w:space="0" w:color="auto"/>
        <w:left w:val="none" w:sz="0" w:space="0" w:color="auto"/>
        <w:bottom w:val="none" w:sz="0" w:space="0" w:color="auto"/>
        <w:right w:val="none" w:sz="0" w:space="0" w:color="auto"/>
      </w:divBdr>
    </w:div>
    <w:div w:id="598441195">
      <w:bodyDiv w:val="1"/>
      <w:marLeft w:val="0"/>
      <w:marRight w:val="0"/>
      <w:marTop w:val="0"/>
      <w:marBottom w:val="0"/>
      <w:divBdr>
        <w:top w:val="none" w:sz="0" w:space="0" w:color="auto"/>
        <w:left w:val="none" w:sz="0" w:space="0" w:color="auto"/>
        <w:bottom w:val="none" w:sz="0" w:space="0" w:color="auto"/>
        <w:right w:val="none" w:sz="0" w:space="0" w:color="auto"/>
      </w:divBdr>
      <w:divsChild>
        <w:div w:id="313686603">
          <w:marLeft w:val="0"/>
          <w:marRight w:val="0"/>
          <w:marTop w:val="0"/>
          <w:marBottom w:val="0"/>
          <w:divBdr>
            <w:top w:val="none" w:sz="0" w:space="0" w:color="auto"/>
            <w:left w:val="none" w:sz="0" w:space="0" w:color="auto"/>
            <w:bottom w:val="none" w:sz="0" w:space="0" w:color="auto"/>
            <w:right w:val="none" w:sz="0" w:space="0" w:color="auto"/>
          </w:divBdr>
        </w:div>
        <w:div w:id="338771316">
          <w:marLeft w:val="0"/>
          <w:marRight w:val="0"/>
          <w:marTop w:val="0"/>
          <w:marBottom w:val="0"/>
          <w:divBdr>
            <w:top w:val="none" w:sz="0" w:space="0" w:color="auto"/>
            <w:left w:val="none" w:sz="0" w:space="0" w:color="auto"/>
            <w:bottom w:val="none" w:sz="0" w:space="0" w:color="auto"/>
            <w:right w:val="none" w:sz="0" w:space="0" w:color="auto"/>
          </w:divBdr>
        </w:div>
        <w:div w:id="462432817">
          <w:marLeft w:val="0"/>
          <w:marRight w:val="0"/>
          <w:marTop w:val="0"/>
          <w:marBottom w:val="0"/>
          <w:divBdr>
            <w:top w:val="none" w:sz="0" w:space="0" w:color="auto"/>
            <w:left w:val="none" w:sz="0" w:space="0" w:color="auto"/>
            <w:bottom w:val="none" w:sz="0" w:space="0" w:color="auto"/>
            <w:right w:val="none" w:sz="0" w:space="0" w:color="auto"/>
          </w:divBdr>
        </w:div>
        <w:div w:id="468740729">
          <w:marLeft w:val="0"/>
          <w:marRight w:val="0"/>
          <w:marTop w:val="0"/>
          <w:marBottom w:val="0"/>
          <w:divBdr>
            <w:top w:val="none" w:sz="0" w:space="0" w:color="auto"/>
            <w:left w:val="none" w:sz="0" w:space="0" w:color="auto"/>
            <w:bottom w:val="none" w:sz="0" w:space="0" w:color="auto"/>
            <w:right w:val="none" w:sz="0" w:space="0" w:color="auto"/>
          </w:divBdr>
        </w:div>
        <w:div w:id="524825381">
          <w:marLeft w:val="0"/>
          <w:marRight w:val="0"/>
          <w:marTop w:val="0"/>
          <w:marBottom w:val="0"/>
          <w:divBdr>
            <w:top w:val="none" w:sz="0" w:space="0" w:color="auto"/>
            <w:left w:val="none" w:sz="0" w:space="0" w:color="auto"/>
            <w:bottom w:val="none" w:sz="0" w:space="0" w:color="auto"/>
            <w:right w:val="none" w:sz="0" w:space="0" w:color="auto"/>
          </w:divBdr>
        </w:div>
        <w:div w:id="612711489">
          <w:marLeft w:val="0"/>
          <w:marRight w:val="0"/>
          <w:marTop w:val="0"/>
          <w:marBottom w:val="0"/>
          <w:divBdr>
            <w:top w:val="none" w:sz="0" w:space="0" w:color="auto"/>
            <w:left w:val="none" w:sz="0" w:space="0" w:color="auto"/>
            <w:bottom w:val="none" w:sz="0" w:space="0" w:color="auto"/>
            <w:right w:val="none" w:sz="0" w:space="0" w:color="auto"/>
          </w:divBdr>
        </w:div>
        <w:div w:id="725766391">
          <w:marLeft w:val="0"/>
          <w:marRight w:val="0"/>
          <w:marTop w:val="0"/>
          <w:marBottom w:val="0"/>
          <w:divBdr>
            <w:top w:val="none" w:sz="0" w:space="0" w:color="auto"/>
            <w:left w:val="none" w:sz="0" w:space="0" w:color="auto"/>
            <w:bottom w:val="none" w:sz="0" w:space="0" w:color="auto"/>
            <w:right w:val="none" w:sz="0" w:space="0" w:color="auto"/>
          </w:divBdr>
        </w:div>
        <w:div w:id="843280779">
          <w:marLeft w:val="0"/>
          <w:marRight w:val="0"/>
          <w:marTop w:val="0"/>
          <w:marBottom w:val="0"/>
          <w:divBdr>
            <w:top w:val="none" w:sz="0" w:space="0" w:color="auto"/>
            <w:left w:val="none" w:sz="0" w:space="0" w:color="auto"/>
            <w:bottom w:val="none" w:sz="0" w:space="0" w:color="auto"/>
            <w:right w:val="none" w:sz="0" w:space="0" w:color="auto"/>
          </w:divBdr>
        </w:div>
        <w:div w:id="916482343">
          <w:marLeft w:val="0"/>
          <w:marRight w:val="0"/>
          <w:marTop w:val="0"/>
          <w:marBottom w:val="0"/>
          <w:divBdr>
            <w:top w:val="none" w:sz="0" w:space="0" w:color="auto"/>
            <w:left w:val="none" w:sz="0" w:space="0" w:color="auto"/>
            <w:bottom w:val="none" w:sz="0" w:space="0" w:color="auto"/>
            <w:right w:val="none" w:sz="0" w:space="0" w:color="auto"/>
          </w:divBdr>
        </w:div>
        <w:div w:id="937980359">
          <w:marLeft w:val="0"/>
          <w:marRight w:val="0"/>
          <w:marTop w:val="0"/>
          <w:marBottom w:val="0"/>
          <w:divBdr>
            <w:top w:val="none" w:sz="0" w:space="0" w:color="auto"/>
            <w:left w:val="none" w:sz="0" w:space="0" w:color="auto"/>
            <w:bottom w:val="none" w:sz="0" w:space="0" w:color="auto"/>
            <w:right w:val="none" w:sz="0" w:space="0" w:color="auto"/>
          </w:divBdr>
        </w:div>
        <w:div w:id="990718738">
          <w:marLeft w:val="0"/>
          <w:marRight w:val="0"/>
          <w:marTop w:val="0"/>
          <w:marBottom w:val="0"/>
          <w:divBdr>
            <w:top w:val="none" w:sz="0" w:space="0" w:color="auto"/>
            <w:left w:val="none" w:sz="0" w:space="0" w:color="auto"/>
            <w:bottom w:val="none" w:sz="0" w:space="0" w:color="auto"/>
            <w:right w:val="none" w:sz="0" w:space="0" w:color="auto"/>
          </w:divBdr>
        </w:div>
        <w:div w:id="1262032511">
          <w:marLeft w:val="0"/>
          <w:marRight w:val="0"/>
          <w:marTop w:val="0"/>
          <w:marBottom w:val="0"/>
          <w:divBdr>
            <w:top w:val="none" w:sz="0" w:space="0" w:color="auto"/>
            <w:left w:val="none" w:sz="0" w:space="0" w:color="auto"/>
            <w:bottom w:val="none" w:sz="0" w:space="0" w:color="auto"/>
            <w:right w:val="none" w:sz="0" w:space="0" w:color="auto"/>
          </w:divBdr>
        </w:div>
        <w:div w:id="1424103924">
          <w:marLeft w:val="0"/>
          <w:marRight w:val="0"/>
          <w:marTop w:val="0"/>
          <w:marBottom w:val="0"/>
          <w:divBdr>
            <w:top w:val="none" w:sz="0" w:space="0" w:color="auto"/>
            <w:left w:val="none" w:sz="0" w:space="0" w:color="auto"/>
            <w:bottom w:val="none" w:sz="0" w:space="0" w:color="auto"/>
            <w:right w:val="none" w:sz="0" w:space="0" w:color="auto"/>
          </w:divBdr>
        </w:div>
        <w:div w:id="1454130439">
          <w:marLeft w:val="0"/>
          <w:marRight w:val="0"/>
          <w:marTop w:val="0"/>
          <w:marBottom w:val="0"/>
          <w:divBdr>
            <w:top w:val="none" w:sz="0" w:space="0" w:color="auto"/>
            <w:left w:val="none" w:sz="0" w:space="0" w:color="auto"/>
            <w:bottom w:val="none" w:sz="0" w:space="0" w:color="auto"/>
            <w:right w:val="none" w:sz="0" w:space="0" w:color="auto"/>
          </w:divBdr>
        </w:div>
        <w:div w:id="1851523656">
          <w:marLeft w:val="0"/>
          <w:marRight w:val="0"/>
          <w:marTop w:val="0"/>
          <w:marBottom w:val="0"/>
          <w:divBdr>
            <w:top w:val="none" w:sz="0" w:space="0" w:color="auto"/>
            <w:left w:val="none" w:sz="0" w:space="0" w:color="auto"/>
            <w:bottom w:val="none" w:sz="0" w:space="0" w:color="auto"/>
            <w:right w:val="none" w:sz="0" w:space="0" w:color="auto"/>
          </w:divBdr>
        </w:div>
        <w:div w:id="2057505487">
          <w:marLeft w:val="0"/>
          <w:marRight w:val="0"/>
          <w:marTop w:val="0"/>
          <w:marBottom w:val="0"/>
          <w:divBdr>
            <w:top w:val="none" w:sz="0" w:space="0" w:color="auto"/>
            <w:left w:val="none" w:sz="0" w:space="0" w:color="auto"/>
            <w:bottom w:val="none" w:sz="0" w:space="0" w:color="auto"/>
            <w:right w:val="none" w:sz="0" w:space="0" w:color="auto"/>
          </w:divBdr>
        </w:div>
        <w:div w:id="2094617899">
          <w:marLeft w:val="0"/>
          <w:marRight w:val="0"/>
          <w:marTop w:val="0"/>
          <w:marBottom w:val="0"/>
          <w:divBdr>
            <w:top w:val="none" w:sz="0" w:space="0" w:color="auto"/>
            <w:left w:val="none" w:sz="0" w:space="0" w:color="auto"/>
            <w:bottom w:val="none" w:sz="0" w:space="0" w:color="auto"/>
            <w:right w:val="none" w:sz="0" w:space="0" w:color="auto"/>
          </w:divBdr>
        </w:div>
      </w:divsChild>
    </w:div>
    <w:div w:id="635648721">
      <w:bodyDiv w:val="1"/>
      <w:marLeft w:val="0"/>
      <w:marRight w:val="0"/>
      <w:marTop w:val="0"/>
      <w:marBottom w:val="0"/>
      <w:divBdr>
        <w:top w:val="none" w:sz="0" w:space="0" w:color="auto"/>
        <w:left w:val="none" w:sz="0" w:space="0" w:color="auto"/>
        <w:bottom w:val="none" w:sz="0" w:space="0" w:color="auto"/>
        <w:right w:val="none" w:sz="0" w:space="0" w:color="auto"/>
      </w:divBdr>
      <w:divsChild>
        <w:div w:id="18632021">
          <w:marLeft w:val="0"/>
          <w:marRight w:val="0"/>
          <w:marTop w:val="0"/>
          <w:marBottom w:val="0"/>
          <w:divBdr>
            <w:top w:val="none" w:sz="0" w:space="0" w:color="auto"/>
            <w:left w:val="none" w:sz="0" w:space="0" w:color="auto"/>
            <w:bottom w:val="none" w:sz="0" w:space="0" w:color="auto"/>
            <w:right w:val="none" w:sz="0" w:space="0" w:color="auto"/>
          </w:divBdr>
        </w:div>
        <w:div w:id="24066185">
          <w:marLeft w:val="0"/>
          <w:marRight w:val="0"/>
          <w:marTop w:val="0"/>
          <w:marBottom w:val="0"/>
          <w:divBdr>
            <w:top w:val="none" w:sz="0" w:space="0" w:color="auto"/>
            <w:left w:val="none" w:sz="0" w:space="0" w:color="auto"/>
            <w:bottom w:val="none" w:sz="0" w:space="0" w:color="auto"/>
            <w:right w:val="none" w:sz="0" w:space="0" w:color="auto"/>
          </w:divBdr>
        </w:div>
        <w:div w:id="44379484">
          <w:marLeft w:val="0"/>
          <w:marRight w:val="0"/>
          <w:marTop w:val="0"/>
          <w:marBottom w:val="0"/>
          <w:divBdr>
            <w:top w:val="none" w:sz="0" w:space="0" w:color="auto"/>
            <w:left w:val="none" w:sz="0" w:space="0" w:color="auto"/>
            <w:bottom w:val="none" w:sz="0" w:space="0" w:color="auto"/>
            <w:right w:val="none" w:sz="0" w:space="0" w:color="auto"/>
          </w:divBdr>
        </w:div>
        <w:div w:id="206725384">
          <w:marLeft w:val="0"/>
          <w:marRight w:val="0"/>
          <w:marTop w:val="0"/>
          <w:marBottom w:val="0"/>
          <w:divBdr>
            <w:top w:val="none" w:sz="0" w:space="0" w:color="auto"/>
            <w:left w:val="none" w:sz="0" w:space="0" w:color="auto"/>
            <w:bottom w:val="none" w:sz="0" w:space="0" w:color="auto"/>
            <w:right w:val="none" w:sz="0" w:space="0" w:color="auto"/>
          </w:divBdr>
        </w:div>
        <w:div w:id="334919459">
          <w:marLeft w:val="0"/>
          <w:marRight w:val="0"/>
          <w:marTop w:val="0"/>
          <w:marBottom w:val="0"/>
          <w:divBdr>
            <w:top w:val="none" w:sz="0" w:space="0" w:color="auto"/>
            <w:left w:val="none" w:sz="0" w:space="0" w:color="auto"/>
            <w:bottom w:val="none" w:sz="0" w:space="0" w:color="auto"/>
            <w:right w:val="none" w:sz="0" w:space="0" w:color="auto"/>
          </w:divBdr>
        </w:div>
        <w:div w:id="423192471">
          <w:marLeft w:val="0"/>
          <w:marRight w:val="0"/>
          <w:marTop w:val="0"/>
          <w:marBottom w:val="0"/>
          <w:divBdr>
            <w:top w:val="none" w:sz="0" w:space="0" w:color="auto"/>
            <w:left w:val="none" w:sz="0" w:space="0" w:color="auto"/>
            <w:bottom w:val="none" w:sz="0" w:space="0" w:color="auto"/>
            <w:right w:val="none" w:sz="0" w:space="0" w:color="auto"/>
          </w:divBdr>
        </w:div>
        <w:div w:id="511451615">
          <w:marLeft w:val="0"/>
          <w:marRight w:val="0"/>
          <w:marTop w:val="0"/>
          <w:marBottom w:val="0"/>
          <w:divBdr>
            <w:top w:val="none" w:sz="0" w:space="0" w:color="auto"/>
            <w:left w:val="none" w:sz="0" w:space="0" w:color="auto"/>
            <w:bottom w:val="none" w:sz="0" w:space="0" w:color="auto"/>
            <w:right w:val="none" w:sz="0" w:space="0" w:color="auto"/>
          </w:divBdr>
        </w:div>
        <w:div w:id="511846017">
          <w:marLeft w:val="0"/>
          <w:marRight w:val="0"/>
          <w:marTop w:val="0"/>
          <w:marBottom w:val="0"/>
          <w:divBdr>
            <w:top w:val="none" w:sz="0" w:space="0" w:color="auto"/>
            <w:left w:val="none" w:sz="0" w:space="0" w:color="auto"/>
            <w:bottom w:val="none" w:sz="0" w:space="0" w:color="auto"/>
            <w:right w:val="none" w:sz="0" w:space="0" w:color="auto"/>
          </w:divBdr>
        </w:div>
        <w:div w:id="563107520">
          <w:marLeft w:val="0"/>
          <w:marRight w:val="0"/>
          <w:marTop w:val="0"/>
          <w:marBottom w:val="0"/>
          <w:divBdr>
            <w:top w:val="none" w:sz="0" w:space="0" w:color="auto"/>
            <w:left w:val="none" w:sz="0" w:space="0" w:color="auto"/>
            <w:bottom w:val="none" w:sz="0" w:space="0" w:color="auto"/>
            <w:right w:val="none" w:sz="0" w:space="0" w:color="auto"/>
          </w:divBdr>
        </w:div>
        <w:div w:id="577595070">
          <w:marLeft w:val="0"/>
          <w:marRight w:val="0"/>
          <w:marTop w:val="0"/>
          <w:marBottom w:val="0"/>
          <w:divBdr>
            <w:top w:val="none" w:sz="0" w:space="0" w:color="auto"/>
            <w:left w:val="none" w:sz="0" w:space="0" w:color="auto"/>
            <w:bottom w:val="none" w:sz="0" w:space="0" w:color="auto"/>
            <w:right w:val="none" w:sz="0" w:space="0" w:color="auto"/>
          </w:divBdr>
        </w:div>
        <w:div w:id="905803079">
          <w:marLeft w:val="0"/>
          <w:marRight w:val="0"/>
          <w:marTop w:val="0"/>
          <w:marBottom w:val="0"/>
          <w:divBdr>
            <w:top w:val="none" w:sz="0" w:space="0" w:color="auto"/>
            <w:left w:val="none" w:sz="0" w:space="0" w:color="auto"/>
            <w:bottom w:val="none" w:sz="0" w:space="0" w:color="auto"/>
            <w:right w:val="none" w:sz="0" w:space="0" w:color="auto"/>
          </w:divBdr>
        </w:div>
        <w:div w:id="975986805">
          <w:marLeft w:val="0"/>
          <w:marRight w:val="0"/>
          <w:marTop w:val="0"/>
          <w:marBottom w:val="0"/>
          <w:divBdr>
            <w:top w:val="none" w:sz="0" w:space="0" w:color="auto"/>
            <w:left w:val="none" w:sz="0" w:space="0" w:color="auto"/>
            <w:bottom w:val="none" w:sz="0" w:space="0" w:color="auto"/>
            <w:right w:val="none" w:sz="0" w:space="0" w:color="auto"/>
          </w:divBdr>
        </w:div>
        <w:div w:id="1063017504">
          <w:marLeft w:val="0"/>
          <w:marRight w:val="0"/>
          <w:marTop w:val="0"/>
          <w:marBottom w:val="0"/>
          <w:divBdr>
            <w:top w:val="none" w:sz="0" w:space="0" w:color="auto"/>
            <w:left w:val="none" w:sz="0" w:space="0" w:color="auto"/>
            <w:bottom w:val="none" w:sz="0" w:space="0" w:color="auto"/>
            <w:right w:val="none" w:sz="0" w:space="0" w:color="auto"/>
          </w:divBdr>
        </w:div>
        <w:div w:id="1130126212">
          <w:marLeft w:val="0"/>
          <w:marRight w:val="0"/>
          <w:marTop w:val="0"/>
          <w:marBottom w:val="0"/>
          <w:divBdr>
            <w:top w:val="none" w:sz="0" w:space="0" w:color="auto"/>
            <w:left w:val="none" w:sz="0" w:space="0" w:color="auto"/>
            <w:bottom w:val="none" w:sz="0" w:space="0" w:color="auto"/>
            <w:right w:val="none" w:sz="0" w:space="0" w:color="auto"/>
          </w:divBdr>
        </w:div>
        <w:div w:id="1232229696">
          <w:marLeft w:val="0"/>
          <w:marRight w:val="0"/>
          <w:marTop w:val="0"/>
          <w:marBottom w:val="0"/>
          <w:divBdr>
            <w:top w:val="none" w:sz="0" w:space="0" w:color="auto"/>
            <w:left w:val="none" w:sz="0" w:space="0" w:color="auto"/>
            <w:bottom w:val="none" w:sz="0" w:space="0" w:color="auto"/>
            <w:right w:val="none" w:sz="0" w:space="0" w:color="auto"/>
          </w:divBdr>
        </w:div>
        <w:div w:id="1302727868">
          <w:marLeft w:val="0"/>
          <w:marRight w:val="0"/>
          <w:marTop w:val="0"/>
          <w:marBottom w:val="0"/>
          <w:divBdr>
            <w:top w:val="none" w:sz="0" w:space="0" w:color="auto"/>
            <w:left w:val="none" w:sz="0" w:space="0" w:color="auto"/>
            <w:bottom w:val="none" w:sz="0" w:space="0" w:color="auto"/>
            <w:right w:val="none" w:sz="0" w:space="0" w:color="auto"/>
          </w:divBdr>
        </w:div>
        <w:div w:id="1377242304">
          <w:marLeft w:val="0"/>
          <w:marRight w:val="0"/>
          <w:marTop w:val="0"/>
          <w:marBottom w:val="0"/>
          <w:divBdr>
            <w:top w:val="none" w:sz="0" w:space="0" w:color="auto"/>
            <w:left w:val="none" w:sz="0" w:space="0" w:color="auto"/>
            <w:bottom w:val="none" w:sz="0" w:space="0" w:color="auto"/>
            <w:right w:val="none" w:sz="0" w:space="0" w:color="auto"/>
          </w:divBdr>
        </w:div>
        <w:div w:id="1831293589">
          <w:marLeft w:val="0"/>
          <w:marRight w:val="0"/>
          <w:marTop w:val="0"/>
          <w:marBottom w:val="0"/>
          <w:divBdr>
            <w:top w:val="none" w:sz="0" w:space="0" w:color="auto"/>
            <w:left w:val="none" w:sz="0" w:space="0" w:color="auto"/>
            <w:bottom w:val="none" w:sz="0" w:space="0" w:color="auto"/>
            <w:right w:val="none" w:sz="0" w:space="0" w:color="auto"/>
          </w:divBdr>
        </w:div>
        <w:div w:id="1977489253">
          <w:marLeft w:val="0"/>
          <w:marRight w:val="0"/>
          <w:marTop w:val="0"/>
          <w:marBottom w:val="0"/>
          <w:divBdr>
            <w:top w:val="none" w:sz="0" w:space="0" w:color="auto"/>
            <w:left w:val="none" w:sz="0" w:space="0" w:color="auto"/>
            <w:bottom w:val="none" w:sz="0" w:space="0" w:color="auto"/>
            <w:right w:val="none" w:sz="0" w:space="0" w:color="auto"/>
          </w:divBdr>
        </w:div>
      </w:divsChild>
    </w:div>
    <w:div w:id="679506235">
      <w:bodyDiv w:val="1"/>
      <w:marLeft w:val="0"/>
      <w:marRight w:val="0"/>
      <w:marTop w:val="0"/>
      <w:marBottom w:val="0"/>
      <w:divBdr>
        <w:top w:val="none" w:sz="0" w:space="0" w:color="auto"/>
        <w:left w:val="none" w:sz="0" w:space="0" w:color="auto"/>
        <w:bottom w:val="none" w:sz="0" w:space="0" w:color="auto"/>
        <w:right w:val="none" w:sz="0" w:space="0" w:color="auto"/>
      </w:divBdr>
      <w:divsChild>
        <w:div w:id="122307688">
          <w:marLeft w:val="0"/>
          <w:marRight w:val="0"/>
          <w:marTop w:val="0"/>
          <w:marBottom w:val="0"/>
          <w:divBdr>
            <w:top w:val="none" w:sz="0" w:space="0" w:color="auto"/>
            <w:left w:val="none" w:sz="0" w:space="0" w:color="auto"/>
            <w:bottom w:val="none" w:sz="0" w:space="0" w:color="auto"/>
            <w:right w:val="none" w:sz="0" w:space="0" w:color="auto"/>
          </w:divBdr>
        </w:div>
        <w:div w:id="192307792">
          <w:marLeft w:val="0"/>
          <w:marRight w:val="0"/>
          <w:marTop w:val="0"/>
          <w:marBottom w:val="0"/>
          <w:divBdr>
            <w:top w:val="none" w:sz="0" w:space="0" w:color="auto"/>
            <w:left w:val="none" w:sz="0" w:space="0" w:color="auto"/>
            <w:bottom w:val="none" w:sz="0" w:space="0" w:color="auto"/>
            <w:right w:val="none" w:sz="0" w:space="0" w:color="auto"/>
          </w:divBdr>
        </w:div>
        <w:div w:id="196704543">
          <w:marLeft w:val="0"/>
          <w:marRight w:val="0"/>
          <w:marTop w:val="0"/>
          <w:marBottom w:val="0"/>
          <w:divBdr>
            <w:top w:val="none" w:sz="0" w:space="0" w:color="auto"/>
            <w:left w:val="none" w:sz="0" w:space="0" w:color="auto"/>
            <w:bottom w:val="none" w:sz="0" w:space="0" w:color="auto"/>
            <w:right w:val="none" w:sz="0" w:space="0" w:color="auto"/>
          </w:divBdr>
        </w:div>
        <w:div w:id="247692316">
          <w:marLeft w:val="0"/>
          <w:marRight w:val="0"/>
          <w:marTop w:val="0"/>
          <w:marBottom w:val="0"/>
          <w:divBdr>
            <w:top w:val="none" w:sz="0" w:space="0" w:color="auto"/>
            <w:left w:val="none" w:sz="0" w:space="0" w:color="auto"/>
            <w:bottom w:val="none" w:sz="0" w:space="0" w:color="auto"/>
            <w:right w:val="none" w:sz="0" w:space="0" w:color="auto"/>
          </w:divBdr>
        </w:div>
        <w:div w:id="501697276">
          <w:marLeft w:val="0"/>
          <w:marRight w:val="0"/>
          <w:marTop w:val="0"/>
          <w:marBottom w:val="0"/>
          <w:divBdr>
            <w:top w:val="none" w:sz="0" w:space="0" w:color="auto"/>
            <w:left w:val="none" w:sz="0" w:space="0" w:color="auto"/>
            <w:bottom w:val="none" w:sz="0" w:space="0" w:color="auto"/>
            <w:right w:val="none" w:sz="0" w:space="0" w:color="auto"/>
          </w:divBdr>
        </w:div>
        <w:div w:id="587731298">
          <w:marLeft w:val="0"/>
          <w:marRight w:val="0"/>
          <w:marTop w:val="0"/>
          <w:marBottom w:val="0"/>
          <w:divBdr>
            <w:top w:val="none" w:sz="0" w:space="0" w:color="auto"/>
            <w:left w:val="none" w:sz="0" w:space="0" w:color="auto"/>
            <w:bottom w:val="none" w:sz="0" w:space="0" w:color="auto"/>
            <w:right w:val="none" w:sz="0" w:space="0" w:color="auto"/>
          </w:divBdr>
        </w:div>
        <w:div w:id="660701096">
          <w:marLeft w:val="0"/>
          <w:marRight w:val="0"/>
          <w:marTop w:val="0"/>
          <w:marBottom w:val="0"/>
          <w:divBdr>
            <w:top w:val="none" w:sz="0" w:space="0" w:color="auto"/>
            <w:left w:val="none" w:sz="0" w:space="0" w:color="auto"/>
            <w:bottom w:val="none" w:sz="0" w:space="0" w:color="auto"/>
            <w:right w:val="none" w:sz="0" w:space="0" w:color="auto"/>
          </w:divBdr>
        </w:div>
        <w:div w:id="873545438">
          <w:marLeft w:val="0"/>
          <w:marRight w:val="0"/>
          <w:marTop w:val="0"/>
          <w:marBottom w:val="0"/>
          <w:divBdr>
            <w:top w:val="none" w:sz="0" w:space="0" w:color="auto"/>
            <w:left w:val="none" w:sz="0" w:space="0" w:color="auto"/>
            <w:bottom w:val="none" w:sz="0" w:space="0" w:color="auto"/>
            <w:right w:val="none" w:sz="0" w:space="0" w:color="auto"/>
          </w:divBdr>
        </w:div>
        <w:div w:id="1112162711">
          <w:marLeft w:val="0"/>
          <w:marRight w:val="0"/>
          <w:marTop w:val="0"/>
          <w:marBottom w:val="0"/>
          <w:divBdr>
            <w:top w:val="none" w:sz="0" w:space="0" w:color="auto"/>
            <w:left w:val="none" w:sz="0" w:space="0" w:color="auto"/>
            <w:bottom w:val="none" w:sz="0" w:space="0" w:color="auto"/>
            <w:right w:val="none" w:sz="0" w:space="0" w:color="auto"/>
          </w:divBdr>
        </w:div>
        <w:div w:id="1225290013">
          <w:marLeft w:val="0"/>
          <w:marRight w:val="0"/>
          <w:marTop w:val="0"/>
          <w:marBottom w:val="0"/>
          <w:divBdr>
            <w:top w:val="none" w:sz="0" w:space="0" w:color="auto"/>
            <w:left w:val="none" w:sz="0" w:space="0" w:color="auto"/>
            <w:bottom w:val="none" w:sz="0" w:space="0" w:color="auto"/>
            <w:right w:val="none" w:sz="0" w:space="0" w:color="auto"/>
          </w:divBdr>
        </w:div>
        <w:div w:id="1317143763">
          <w:marLeft w:val="0"/>
          <w:marRight w:val="0"/>
          <w:marTop w:val="0"/>
          <w:marBottom w:val="0"/>
          <w:divBdr>
            <w:top w:val="none" w:sz="0" w:space="0" w:color="auto"/>
            <w:left w:val="none" w:sz="0" w:space="0" w:color="auto"/>
            <w:bottom w:val="none" w:sz="0" w:space="0" w:color="auto"/>
            <w:right w:val="none" w:sz="0" w:space="0" w:color="auto"/>
          </w:divBdr>
        </w:div>
        <w:div w:id="1357657603">
          <w:marLeft w:val="0"/>
          <w:marRight w:val="0"/>
          <w:marTop w:val="0"/>
          <w:marBottom w:val="0"/>
          <w:divBdr>
            <w:top w:val="none" w:sz="0" w:space="0" w:color="auto"/>
            <w:left w:val="none" w:sz="0" w:space="0" w:color="auto"/>
            <w:bottom w:val="none" w:sz="0" w:space="0" w:color="auto"/>
            <w:right w:val="none" w:sz="0" w:space="0" w:color="auto"/>
          </w:divBdr>
        </w:div>
        <w:div w:id="1690135931">
          <w:marLeft w:val="0"/>
          <w:marRight w:val="0"/>
          <w:marTop w:val="0"/>
          <w:marBottom w:val="0"/>
          <w:divBdr>
            <w:top w:val="none" w:sz="0" w:space="0" w:color="auto"/>
            <w:left w:val="none" w:sz="0" w:space="0" w:color="auto"/>
            <w:bottom w:val="none" w:sz="0" w:space="0" w:color="auto"/>
            <w:right w:val="none" w:sz="0" w:space="0" w:color="auto"/>
          </w:divBdr>
        </w:div>
        <w:div w:id="1765493434">
          <w:marLeft w:val="0"/>
          <w:marRight w:val="0"/>
          <w:marTop w:val="0"/>
          <w:marBottom w:val="0"/>
          <w:divBdr>
            <w:top w:val="none" w:sz="0" w:space="0" w:color="auto"/>
            <w:left w:val="none" w:sz="0" w:space="0" w:color="auto"/>
            <w:bottom w:val="none" w:sz="0" w:space="0" w:color="auto"/>
            <w:right w:val="none" w:sz="0" w:space="0" w:color="auto"/>
          </w:divBdr>
        </w:div>
        <w:div w:id="1871600750">
          <w:marLeft w:val="0"/>
          <w:marRight w:val="0"/>
          <w:marTop w:val="0"/>
          <w:marBottom w:val="0"/>
          <w:divBdr>
            <w:top w:val="none" w:sz="0" w:space="0" w:color="auto"/>
            <w:left w:val="none" w:sz="0" w:space="0" w:color="auto"/>
            <w:bottom w:val="none" w:sz="0" w:space="0" w:color="auto"/>
            <w:right w:val="none" w:sz="0" w:space="0" w:color="auto"/>
          </w:divBdr>
        </w:div>
        <w:div w:id="1971788160">
          <w:marLeft w:val="0"/>
          <w:marRight w:val="0"/>
          <w:marTop w:val="0"/>
          <w:marBottom w:val="0"/>
          <w:divBdr>
            <w:top w:val="none" w:sz="0" w:space="0" w:color="auto"/>
            <w:left w:val="none" w:sz="0" w:space="0" w:color="auto"/>
            <w:bottom w:val="none" w:sz="0" w:space="0" w:color="auto"/>
            <w:right w:val="none" w:sz="0" w:space="0" w:color="auto"/>
          </w:divBdr>
        </w:div>
        <w:div w:id="1972592937">
          <w:marLeft w:val="0"/>
          <w:marRight w:val="0"/>
          <w:marTop w:val="0"/>
          <w:marBottom w:val="0"/>
          <w:divBdr>
            <w:top w:val="none" w:sz="0" w:space="0" w:color="auto"/>
            <w:left w:val="none" w:sz="0" w:space="0" w:color="auto"/>
            <w:bottom w:val="none" w:sz="0" w:space="0" w:color="auto"/>
            <w:right w:val="none" w:sz="0" w:space="0" w:color="auto"/>
          </w:divBdr>
        </w:div>
        <w:div w:id="1978995317">
          <w:marLeft w:val="0"/>
          <w:marRight w:val="0"/>
          <w:marTop w:val="0"/>
          <w:marBottom w:val="0"/>
          <w:divBdr>
            <w:top w:val="none" w:sz="0" w:space="0" w:color="auto"/>
            <w:left w:val="none" w:sz="0" w:space="0" w:color="auto"/>
            <w:bottom w:val="none" w:sz="0" w:space="0" w:color="auto"/>
            <w:right w:val="none" w:sz="0" w:space="0" w:color="auto"/>
          </w:divBdr>
        </w:div>
        <w:div w:id="2055544130">
          <w:marLeft w:val="0"/>
          <w:marRight w:val="0"/>
          <w:marTop w:val="0"/>
          <w:marBottom w:val="0"/>
          <w:divBdr>
            <w:top w:val="none" w:sz="0" w:space="0" w:color="auto"/>
            <w:left w:val="none" w:sz="0" w:space="0" w:color="auto"/>
            <w:bottom w:val="none" w:sz="0" w:space="0" w:color="auto"/>
            <w:right w:val="none" w:sz="0" w:space="0" w:color="auto"/>
          </w:divBdr>
        </w:div>
      </w:divsChild>
    </w:div>
    <w:div w:id="819539299">
      <w:bodyDiv w:val="1"/>
      <w:marLeft w:val="0"/>
      <w:marRight w:val="0"/>
      <w:marTop w:val="0"/>
      <w:marBottom w:val="0"/>
      <w:divBdr>
        <w:top w:val="none" w:sz="0" w:space="0" w:color="auto"/>
        <w:left w:val="none" w:sz="0" w:space="0" w:color="auto"/>
        <w:bottom w:val="none" w:sz="0" w:space="0" w:color="auto"/>
        <w:right w:val="none" w:sz="0" w:space="0" w:color="auto"/>
      </w:divBdr>
      <w:divsChild>
        <w:div w:id="867184542">
          <w:marLeft w:val="0"/>
          <w:marRight w:val="0"/>
          <w:marTop w:val="0"/>
          <w:marBottom w:val="0"/>
          <w:divBdr>
            <w:top w:val="none" w:sz="0" w:space="0" w:color="auto"/>
            <w:left w:val="none" w:sz="0" w:space="0" w:color="auto"/>
            <w:bottom w:val="none" w:sz="0" w:space="0" w:color="auto"/>
            <w:right w:val="none" w:sz="0" w:space="0" w:color="auto"/>
          </w:divBdr>
        </w:div>
        <w:div w:id="1393115714">
          <w:marLeft w:val="0"/>
          <w:marRight w:val="0"/>
          <w:marTop w:val="0"/>
          <w:marBottom w:val="0"/>
          <w:divBdr>
            <w:top w:val="none" w:sz="0" w:space="0" w:color="auto"/>
            <w:left w:val="none" w:sz="0" w:space="0" w:color="auto"/>
            <w:bottom w:val="none" w:sz="0" w:space="0" w:color="auto"/>
            <w:right w:val="none" w:sz="0" w:space="0" w:color="auto"/>
          </w:divBdr>
        </w:div>
        <w:div w:id="2130126819">
          <w:marLeft w:val="0"/>
          <w:marRight w:val="0"/>
          <w:marTop w:val="0"/>
          <w:marBottom w:val="0"/>
          <w:divBdr>
            <w:top w:val="none" w:sz="0" w:space="0" w:color="auto"/>
            <w:left w:val="none" w:sz="0" w:space="0" w:color="auto"/>
            <w:bottom w:val="none" w:sz="0" w:space="0" w:color="auto"/>
            <w:right w:val="none" w:sz="0" w:space="0" w:color="auto"/>
          </w:divBdr>
        </w:div>
      </w:divsChild>
    </w:div>
    <w:div w:id="878737265">
      <w:bodyDiv w:val="1"/>
      <w:marLeft w:val="0"/>
      <w:marRight w:val="0"/>
      <w:marTop w:val="0"/>
      <w:marBottom w:val="0"/>
      <w:divBdr>
        <w:top w:val="none" w:sz="0" w:space="0" w:color="auto"/>
        <w:left w:val="none" w:sz="0" w:space="0" w:color="auto"/>
        <w:bottom w:val="none" w:sz="0" w:space="0" w:color="auto"/>
        <w:right w:val="none" w:sz="0" w:space="0" w:color="auto"/>
      </w:divBdr>
      <w:divsChild>
        <w:div w:id="26759343">
          <w:marLeft w:val="0"/>
          <w:marRight w:val="0"/>
          <w:marTop w:val="0"/>
          <w:marBottom w:val="0"/>
          <w:divBdr>
            <w:top w:val="none" w:sz="0" w:space="0" w:color="auto"/>
            <w:left w:val="none" w:sz="0" w:space="0" w:color="auto"/>
            <w:bottom w:val="none" w:sz="0" w:space="0" w:color="auto"/>
            <w:right w:val="none" w:sz="0" w:space="0" w:color="auto"/>
          </w:divBdr>
        </w:div>
        <w:div w:id="62026358">
          <w:marLeft w:val="0"/>
          <w:marRight w:val="0"/>
          <w:marTop w:val="0"/>
          <w:marBottom w:val="0"/>
          <w:divBdr>
            <w:top w:val="none" w:sz="0" w:space="0" w:color="auto"/>
            <w:left w:val="none" w:sz="0" w:space="0" w:color="auto"/>
            <w:bottom w:val="none" w:sz="0" w:space="0" w:color="auto"/>
            <w:right w:val="none" w:sz="0" w:space="0" w:color="auto"/>
          </w:divBdr>
        </w:div>
        <w:div w:id="179517646">
          <w:marLeft w:val="0"/>
          <w:marRight w:val="0"/>
          <w:marTop w:val="0"/>
          <w:marBottom w:val="0"/>
          <w:divBdr>
            <w:top w:val="none" w:sz="0" w:space="0" w:color="auto"/>
            <w:left w:val="none" w:sz="0" w:space="0" w:color="auto"/>
            <w:bottom w:val="none" w:sz="0" w:space="0" w:color="auto"/>
            <w:right w:val="none" w:sz="0" w:space="0" w:color="auto"/>
          </w:divBdr>
        </w:div>
        <w:div w:id="190655845">
          <w:marLeft w:val="0"/>
          <w:marRight w:val="0"/>
          <w:marTop w:val="0"/>
          <w:marBottom w:val="0"/>
          <w:divBdr>
            <w:top w:val="none" w:sz="0" w:space="0" w:color="auto"/>
            <w:left w:val="none" w:sz="0" w:space="0" w:color="auto"/>
            <w:bottom w:val="none" w:sz="0" w:space="0" w:color="auto"/>
            <w:right w:val="none" w:sz="0" w:space="0" w:color="auto"/>
          </w:divBdr>
        </w:div>
        <w:div w:id="247227130">
          <w:marLeft w:val="0"/>
          <w:marRight w:val="0"/>
          <w:marTop w:val="0"/>
          <w:marBottom w:val="0"/>
          <w:divBdr>
            <w:top w:val="none" w:sz="0" w:space="0" w:color="auto"/>
            <w:left w:val="none" w:sz="0" w:space="0" w:color="auto"/>
            <w:bottom w:val="none" w:sz="0" w:space="0" w:color="auto"/>
            <w:right w:val="none" w:sz="0" w:space="0" w:color="auto"/>
          </w:divBdr>
        </w:div>
        <w:div w:id="350498885">
          <w:marLeft w:val="0"/>
          <w:marRight w:val="0"/>
          <w:marTop w:val="0"/>
          <w:marBottom w:val="0"/>
          <w:divBdr>
            <w:top w:val="none" w:sz="0" w:space="0" w:color="auto"/>
            <w:left w:val="none" w:sz="0" w:space="0" w:color="auto"/>
            <w:bottom w:val="none" w:sz="0" w:space="0" w:color="auto"/>
            <w:right w:val="none" w:sz="0" w:space="0" w:color="auto"/>
          </w:divBdr>
        </w:div>
        <w:div w:id="631520454">
          <w:marLeft w:val="0"/>
          <w:marRight w:val="0"/>
          <w:marTop w:val="0"/>
          <w:marBottom w:val="0"/>
          <w:divBdr>
            <w:top w:val="none" w:sz="0" w:space="0" w:color="auto"/>
            <w:left w:val="none" w:sz="0" w:space="0" w:color="auto"/>
            <w:bottom w:val="none" w:sz="0" w:space="0" w:color="auto"/>
            <w:right w:val="none" w:sz="0" w:space="0" w:color="auto"/>
          </w:divBdr>
        </w:div>
        <w:div w:id="668871871">
          <w:marLeft w:val="0"/>
          <w:marRight w:val="0"/>
          <w:marTop w:val="0"/>
          <w:marBottom w:val="0"/>
          <w:divBdr>
            <w:top w:val="none" w:sz="0" w:space="0" w:color="auto"/>
            <w:left w:val="none" w:sz="0" w:space="0" w:color="auto"/>
            <w:bottom w:val="none" w:sz="0" w:space="0" w:color="auto"/>
            <w:right w:val="none" w:sz="0" w:space="0" w:color="auto"/>
          </w:divBdr>
        </w:div>
        <w:div w:id="743180987">
          <w:marLeft w:val="0"/>
          <w:marRight w:val="0"/>
          <w:marTop w:val="0"/>
          <w:marBottom w:val="0"/>
          <w:divBdr>
            <w:top w:val="none" w:sz="0" w:space="0" w:color="auto"/>
            <w:left w:val="none" w:sz="0" w:space="0" w:color="auto"/>
            <w:bottom w:val="none" w:sz="0" w:space="0" w:color="auto"/>
            <w:right w:val="none" w:sz="0" w:space="0" w:color="auto"/>
          </w:divBdr>
        </w:div>
        <w:div w:id="1010332563">
          <w:marLeft w:val="0"/>
          <w:marRight w:val="0"/>
          <w:marTop w:val="0"/>
          <w:marBottom w:val="0"/>
          <w:divBdr>
            <w:top w:val="none" w:sz="0" w:space="0" w:color="auto"/>
            <w:left w:val="none" w:sz="0" w:space="0" w:color="auto"/>
            <w:bottom w:val="none" w:sz="0" w:space="0" w:color="auto"/>
            <w:right w:val="none" w:sz="0" w:space="0" w:color="auto"/>
          </w:divBdr>
        </w:div>
        <w:div w:id="1103453687">
          <w:marLeft w:val="0"/>
          <w:marRight w:val="0"/>
          <w:marTop w:val="0"/>
          <w:marBottom w:val="0"/>
          <w:divBdr>
            <w:top w:val="none" w:sz="0" w:space="0" w:color="auto"/>
            <w:left w:val="none" w:sz="0" w:space="0" w:color="auto"/>
            <w:bottom w:val="none" w:sz="0" w:space="0" w:color="auto"/>
            <w:right w:val="none" w:sz="0" w:space="0" w:color="auto"/>
          </w:divBdr>
        </w:div>
        <w:div w:id="1194853267">
          <w:marLeft w:val="0"/>
          <w:marRight w:val="0"/>
          <w:marTop w:val="0"/>
          <w:marBottom w:val="0"/>
          <w:divBdr>
            <w:top w:val="none" w:sz="0" w:space="0" w:color="auto"/>
            <w:left w:val="none" w:sz="0" w:space="0" w:color="auto"/>
            <w:bottom w:val="none" w:sz="0" w:space="0" w:color="auto"/>
            <w:right w:val="none" w:sz="0" w:space="0" w:color="auto"/>
          </w:divBdr>
        </w:div>
        <w:div w:id="1547376162">
          <w:marLeft w:val="0"/>
          <w:marRight w:val="0"/>
          <w:marTop w:val="0"/>
          <w:marBottom w:val="0"/>
          <w:divBdr>
            <w:top w:val="none" w:sz="0" w:space="0" w:color="auto"/>
            <w:left w:val="none" w:sz="0" w:space="0" w:color="auto"/>
            <w:bottom w:val="none" w:sz="0" w:space="0" w:color="auto"/>
            <w:right w:val="none" w:sz="0" w:space="0" w:color="auto"/>
          </w:divBdr>
        </w:div>
        <w:div w:id="1633829279">
          <w:marLeft w:val="0"/>
          <w:marRight w:val="0"/>
          <w:marTop w:val="0"/>
          <w:marBottom w:val="0"/>
          <w:divBdr>
            <w:top w:val="none" w:sz="0" w:space="0" w:color="auto"/>
            <w:left w:val="none" w:sz="0" w:space="0" w:color="auto"/>
            <w:bottom w:val="none" w:sz="0" w:space="0" w:color="auto"/>
            <w:right w:val="none" w:sz="0" w:space="0" w:color="auto"/>
          </w:divBdr>
        </w:div>
        <w:div w:id="1725832046">
          <w:marLeft w:val="0"/>
          <w:marRight w:val="0"/>
          <w:marTop w:val="0"/>
          <w:marBottom w:val="0"/>
          <w:divBdr>
            <w:top w:val="none" w:sz="0" w:space="0" w:color="auto"/>
            <w:left w:val="none" w:sz="0" w:space="0" w:color="auto"/>
            <w:bottom w:val="none" w:sz="0" w:space="0" w:color="auto"/>
            <w:right w:val="none" w:sz="0" w:space="0" w:color="auto"/>
          </w:divBdr>
        </w:div>
        <w:div w:id="1764107165">
          <w:marLeft w:val="0"/>
          <w:marRight w:val="0"/>
          <w:marTop w:val="0"/>
          <w:marBottom w:val="0"/>
          <w:divBdr>
            <w:top w:val="none" w:sz="0" w:space="0" w:color="auto"/>
            <w:left w:val="none" w:sz="0" w:space="0" w:color="auto"/>
            <w:bottom w:val="none" w:sz="0" w:space="0" w:color="auto"/>
            <w:right w:val="none" w:sz="0" w:space="0" w:color="auto"/>
          </w:divBdr>
        </w:div>
        <w:div w:id="1916547836">
          <w:marLeft w:val="0"/>
          <w:marRight w:val="0"/>
          <w:marTop w:val="0"/>
          <w:marBottom w:val="0"/>
          <w:divBdr>
            <w:top w:val="none" w:sz="0" w:space="0" w:color="auto"/>
            <w:left w:val="none" w:sz="0" w:space="0" w:color="auto"/>
            <w:bottom w:val="none" w:sz="0" w:space="0" w:color="auto"/>
            <w:right w:val="none" w:sz="0" w:space="0" w:color="auto"/>
          </w:divBdr>
        </w:div>
        <w:div w:id="2098357952">
          <w:marLeft w:val="0"/>
          <w:marRight w:val="0"/>
          <w:marTop w:val="0"/>
          <w:marBottom w:val="0"/>
          <w:divBdr>
            <w:top w:val="none" w:sz="0" w:space="0" w:color="auto"/>
            <w:left w:val="none" w:sz="0" w:space="0" w:color="auto"/>
            <w:bottom w:val="none" w:sz="0" w:space="0" w:color="auto"/>
            <w:right w:val="none" w:sz="0" w:space="0" w:color="auto"/>
          </w:divBdr>
        </w:div>
        <w:div w:id="2111853701">
          <w:marLeft w:val="0"/>
          <w:marRight w:val="0"/>
          <w:marTop w:val="0"/>
          <w:marBottom w:val="0"/>
          <w:divBdr>
            <w:top w:val="none" w:sz="0" w:space="0" w:color="auto"/>
            <w:left w:val="none" w:sz="0" w:space="0" w:color="auto"/>
            <w:bottom w:val="none" w:sz="0" w:space="0" w:color="auto"/>
            <w:right w:val="none" w:sz="0" w:space="0" w:color="auto"/>
          </w:divBdr>
        </w:div>
      </w:divsChild>
    </w:div>
    <w:div w:id="884949178">
      <w:bodyDiv w:val="1"/>
      <w:marLeft w:val="0"/>
      <w:marRight w:val="0"/>
      <w:marTop w:val="0"/>
      <w:marBottom w:val="0"/>
      <w:divBdr>
        <w:top w:val="none" w:sz="0" w:space="0" w:color="auto"/>
        <w:left w:val="none" w:sz="0" w:space="0" w:color="auto"/>
        <w:bottom w:val="none" w:sz="0" w:space="0" w:color="auto"/>
        <w:right w:val="none" w:sz="0" w:space="0" w:color="auto"/>
      </w:divBdr>
      <w:divsChild>
        <w:div w:id="412505829">
          <w:marLeft w:val="0"/>
          <w:marRight w:val="0"/>
          <w:marTop w:val="0"/>
          <w:marBottom w:val="0"/>
          <w:divBdr>
            <w:top w:val="none" w:sz="0" w:space="0" w:color="auto"/>
            <w:left w:val="none" w:sz="0" w:space="0" w:color="auto"/>
            <w:bottom w:val="none" w:sz="0" w:space="0" w:color="auto"/>
            <w:right w:val="none" w:sz="0" w:space="0" w:color="auto"/>
          </w:divBdr>
        </w:div>
        <w:div w:id="468789467">
          <w:marLeft w:val="0"/>
          <w:marRight w:val="0"/>
          <w:marTop w:val="0"/>
          <w:marBottom w:val="0"/>
          <w:divBdr>
            <w:top w:val="none" w:sz="0" w:space="0" w:color="auto"/>
            <w:left w:val="none" w:sz="0" w:space="0" w:color="auto"/>
            <w:bottom w:val="none" w:sz="0" w:space="0" w:color="auto"/>
            <w:right w:val="none" w:sz="0" w:space="0" w:color="auto"/>
          </w:divBdr>
        </w:div>
        <w:div w:id="556478198">
          <w:marLeft w:val="0"/>
          <w:marRight w:val="0"/>
          <w:marTop w:val="0"/>
          <w:marBottom w:val="0"/>
          <w:divBdr>
            <w:top w:val="none" w:sz="0" w:space="0" w:color="auto"/>
            <w:left w:val="none" w:sz="0" w:space="0" w:color="auto"/>
            <w:bottom w:val="none" w:sz="0" w:space="0" w:color="auto"/>
            <w:right w:val="none" w:sz="0" w:space="0" w:color="auto"/>
          </w:divBdr>
        </w:div>
        <w:div w:id="678578444">
          <w:marLeft w:val="0"/>
          <w:marRight w:val="0"/>
          <w:marTop w:val="0"/>
          <w:marBottom w:val="0"/>
          <w:divBdr>
            <w:top w:val="none" w:sz="0" w:space="0" w:color="auto"/>
            <w:left w:val="none" w:sz="0" w:space="0" w:color="auto"/>
            <w:bottom w:val="none" w:sz="0" w:space="0" w:color="auto"/>
            <w:right w:val="none" w:sz="0" w:space="0" w:color="auto"/>
          </w:divBdr>
        </w:div>
        <w:div w:id="969282611">
          <w:marLeft w:val="0"/>
          <w:marRight w:val="0"/>
          <w:marTop w:val="0"/>
          <w:marBottom w:val="0"/>
          <w:divBdr>
            <w:top w:val="none" w:sz="0" w:space="0" w:color="auto"/>
            <w:left w:val="none" w:sz="0" w:space="0" w:color="auto"/>
            <w:bottom w:val="none" w:sz="0" w:space="0" w:color="auto"/>
            <w:right w:val="none" w:sz="0" w:space="0" w:color="auto"/>
          </w:divBdr>
        </w:div>
        <w:div w:id="1073703674">
          <w:marLeft w:val="0"/>
          <w:marRight w:val="0"/>
          <w:marTop w:val="0"/>
          <w:marBottom w:val="0"/>
          <w:divBdr>
            <w:top w:val="none" w:sz="0" w:space="0" w:color="auto"/>
            <w:left w:val="none" w:sz="0" w:space="0" w:color="auto"/>
            <w:bottom w:val="none" w:sz="0" w:space="0" w:color="auto"/>
            <w:right w:val="none" w:sz="0" w:space="0" w:color="auto"/>
          </w:divBdr>
        </w:div>
        <w:div w:id="1529027830">
          <w:marLeft w:val="0"/>
          <w:marRight w:val="0"/>
          <w:marTop w:val="0"/>
          <w:marBottom w:val="0"/>
          <w:divBdr>
            <w:top w:val="none" w:sz="0" w:space="0" w:color="auto"/>
            <w:left w:val="none" w:sz="0" w:space="0" w:color="auto"/>
            <w:bottom w:val="none" w:sz="0" w:space="0" w:color="auto"/>
            <w:right w:val="none" w:sz="0" w:space="0" w:color="auto"/>
          </w:divBdr>
        </w:div>
        <w:div w:id="1651867434">
          <w:marLeft w:val="0"/>
          <w:marRight w:val="0"/>
          <w:marTop w:val="0"/>
          <w:marBottom w:val="0"/>
          <w:divBdr>
            <w:top w:val="none" w:sz="0" w:space="0" w:color="auto"/>
            <w:left w:val="none" w:sz="0" w:space="0" w:color="auto"/>
            <w:bottom w:val="none" w:sz="0" w:space="0" w:color="auto"/>
            <w:right w:val="none" w:sz="0" w:space="0" w:color="auto"/>
          </w:divBdr>
        </w:div>
        <w:div w:id="1783301045">
          <w:marLeft w:val="0"/>
          <w:marRight w:val="0"/>
          <w:marTop w:val="0"/>
          <w:marBottom w:val="0"/>
          <w:divBdr>
            <w:top w:val="none" w:sz="0" w:space="0" w:color="auto"/>
            <w:left w:val="none" w:sz="0" w:space="0" w:color="auto"/>
            <w:bottom w:val="none" w:sz="0" w:space="0" w:color="auto"/>
            <w:right w:val="none" w:sz="0" w:space="0" w:color="auto"/>
          </w:divBdr>
        </w:div>
      </w:divsChild>
    </w:div>
    <w:div w:id="905452092">
      <w:bodyDiv w:val="1"/>
      <w:marLeft w:val="0"/>
      <w:marRight w:val="0"/>
      <w:marTop w:val="0"/>
      <w:marBottom w:val="0"/>
      <w:divBdr>
        <w:top w:val="none" w:sz="0" w:space="0" w:color="auto"/>
        <w:left w:val="none" w:sz="0" w:space="0" w:color="auto"/>
        <w:bottom w:val="none" w:sz="0" w:space="0" w:color="auto"/>
        <w:right w:val="none" w:sz="0" w:space="0" w:color="auto"/>
      </w:divBdr>
      <w:divsChild>
        <w:div w:id="123427922">
          <w:marLeft w:val="0"/>
          <w:marRight w:val="0"/>
          <w:marTop w:val="0"/>
          <w:marBottom w:val="0"/>
          <w:divBdr>
            <w:top w:val="none" w:sz="0" w:space="0" w:color="auto"/>
            <w:left w:val="none" w:sz="0" w:space="0" w:color="auto"/>
            <w:bottom w:val="none" w:sz="0" w:space="0" w:color="auto"/>
            <w:right w:val="none" w:sz="0" w:space="0" w:color="auto"/>
          </w:divBdr>
        </w:div>
        <w:div w:id="224532844">
          <w:marLeft w:val="0"/>
          <w:marRight w:val="0"/>
          <w:marTop w:val="0"/>
          <w:marBottom w:val="0"/>
          <w:divBdr>
            <w:top w:val="none" w:sz="0" w:space="0" w:color="auto"/>
            <w:left w:val="none" w:sz="0" w:space="0" w:color="auto"/>
            <w:bottom w:val="none" w:sz="0" w:space="0" w:color="auto"/>
            <w:right w:val="none" w:sz="0" w:space="0" w:color="auto"/>
          </w:divBdr>
        </w:div>
        <w:div w:id="350423205">
          <w:marLeft w:val="0"/>
          <w:marRight w:val="0"/>
          <w:marTop w:val="0"/>
          <w:marBottom w:val="0"/>
          <w:divBdr>
            <w:top w:val="none" w:sz="0" w:space="0" w:color="auto"/>
            <w:left w:val="none" w:sz="0" w:space="0" w:color="auto"/>
            <w:bottom w:val="none" w:sz="0" w:space="0" w:color="auto"/>
            <w:right w:val="none" w:sz="0" w:space="0" w:color="auto"/>
          </w:divBdr>
        </w:div>
        <w:div w:id="545946800">
          <w:marLeft w:val="0"/>
          <w:marRight w:val="0"/>
          <w:marTop w:val="0"/>
          <w:marBottom w:val="0"/>
          <w:divBdr>
            <w:top w:val="none" w:sz="0" w:space="0" w:color="auto"/>
            <w:left w:val="none" w:sz="0" w:space="0" w:color="auto"/>
            <w:bottom w:val="none" w:sz="0" w:space="0" w:color="auto"/>
            <w:right w:val="none" w:sz="0" w:space="0" w:color="auto"/>
          </w:divBdr>
        </w:div>
        <w:div w:id="709767115">
          <w:marLeft w:val="0"/>
          <w:marRight w:val="0"/>
          <w:marTop w:val="0"/>
          <w:marBottom w:val="0"/>
          <w:divBdr>
            <w:top w:val="none" w:sz="0" w:space="0" w:color="auto"/>
            <w:left w:val="none" w:sz="0" w:space="0" w:color="auto"/>
            <w:bottom w:val="none" w:sz="0" w:space="0" w:color="auto"/>
            <w:right w:val="none" w:sz="0" w:space="0" w:color="auto"/>
          </w:divBdr>
        </w:div>
        <w:div w:id="875626562">
          <w:marLeft w:val="0"/>
          <w:marRight w:val="0"/>
          <w:marTop w:val="0"/>
          <w:marBottom w:val="0"/>
          <w:divBdr>
            <w:top w:val="none" w:sz="0" w:space="0" w:color="auto"/>
            <w:left w:val="none" w:sz="0" w:space="0" w:color="auto"/>
            <w:bottom w:val="none" w:sz="0" w:space="0" w:color="auto"/>
            <w:right w:val="none" w:sz="0" w:space="0" w:color="auto"/>
          </w:divBdr>
        </w:div>
        <w:div w:id="927615745">
          <w:marLeft w:val="0"/>
          <w:marRight w:val="0"/>
          <w:marTop w:val="0"/>
          <w:marBottom w:val="0"/>
          <w:divBdr>
            <w:top w:val="none" w:sz="0" w:space="0" w:color="auto"/>
            <w:left w:val="none" w:sz="0" w:space="0" w:color="auto"/>
            <w:bottom w:val="none" w:sz="0" w:space="0" w:color="auto"/>
            <w:right w:val="none" w:sz="0" w:space="0" w:color="auto"/>
          </w:divBdr>
        </w:div>
        <w:div w:id="1086343098">
          <w:marLeft w:val="0"/>
          <w:marRight w:val="0"/>
          <w:marTop w:val="0"/>
          <w:marBottom w:val="0"/>
          <w:divBdr>
            <w:top w:val="none" w:sz="0" w:space="0" w:color="auto"/>
            <w:left w:val="none" w:sz="0" w:space="0" w:color="auto"/>
            <w:bottom w:val="none" w:sz="0" w:space="0" w:color="auto"/>
            <w:right w:val="none" w:sz="0" w:space="0" w:color="auto"/>
          </w:divBdr>
        </w:div>
        <w:div w:id="1306348620">
          <w:marLeft w:val="0"/>
          <w:marRight w:val="0"/>
          <w:marTop w:val="0"/>
          <w:marBottom w:val="0"/>
          <w:divBdr>
            <w:top w:val="none" w:sz="0" w:space="0" w:color="auto"/>
            <w:left w:val="none" w:sz="0" w:space="0" w:color="auto"/>
            <w:bottom w:val="none" w:sz="0" w:space="0" w:color="auto"/>
            <w:right w:val="none" w:sz="0" w:space="0" w:color="auto"/>
          </w:divBdr>
        </w:div>
        <w:div w:id="1568608378">
          <w:marLeft w:val="0"/>
          <w:marRight w:val="0"/>
          <w:marTop w:val="0"/>
          <w:marBottom w:val="0"/>
          <w:divBdr>
            <w:top w:val="none" w:sz="0" w:space="0" w:color="auto"/>
            <w:left w:val="none" w:sz="0" w:space="0" w:color="auto"/>
            <w:bottom w:val="none" w:sz="0" w:space="0" w:color="auto"/>
            <w:right w:val="none" w:sz="0" w:space="0" w:color="auto"/>
          </w:divBdr>
        </w:div>
        <w:div w:id="2076976962">
          <w:marLeft w:val="0"/>
          <w:marRight w:val="0"/>
          <w:marTop w:val="0"/>
          <w:marBottom w:val="0"/>
          <w:divBdr>
            <w:top w:val="none" w:sz="0" w:space="0" w:color="auto"/>
            <w:left w:val="none" w:sz="0" w:space="0" w:color="auto"/>
            <w:bottom w:val="none" w:sz="0" w:space="0" w:color="auto"/>
            <w:right w:val="none" w:sz="0" w:space="0" w:color="auto"/>
          </w:divBdr>
        </w:div>
      </w:divsChild>
    </w:div>
    <w:div w:id="948658279">
      <w:bodyDiv w:val="1"/>
      <w:marLeft w:val="0"/>
      <w:marRight w:val="0"/>
      <w:marTop w:val="0"/>
      <w:marBottom w:val="0"/>
      <w:divBdr>
        <w:top w:val="none" w:sz="0" w:space="0" w:color="auto"/>
        <w:left w:val="none" w:sz="0" w:space="0" w:color="auto"/>
        <w:bottom w:val="none" w:sz="0" w:space="0" w:color="auto"/>
        <w:right w:val="none" w:sz="0" w:space="0" w:color="auto"/>
      </w:divBdr>
    </w:div>
    <w:div w:id="964770727">
      <w:bodyDiv w:val="1"/>
      <w:marLeft w:val="0"/>
      <w:marRight w:val="0"/>
      <w:marTop w:val="0"/>
      <w:marBottom w:val="0"/>
      <w:divBdr>
        <w:top w:val="none" w:sz="0" w:space="0" w:color="auto"/>
        <w:left w:val="none" w:sz="0" w:space="0" w:color="auto"/>
        <w:bottom w:val="none" w:sz="0" w:space="0" w:color="auto"/>
        <w:right w:val="none" w:sz="0" w:space="0" w:color="auto"/>
      </w:divBdr>
    </w:div>
    <w:div w:id="995112071">
      <w:bodyDiv w:val="1"/>
      <w:marLeft w:val="0"/>
      <w:marRight w:val="0"/>
      <w:marTop w:val="0"/>
      <w:marBottom w:val="0"/>
      <w:divBdr>
        <w:top w:val="none" w:sz="0" w:space="0" w:color="auto"/>
        <w:left w:val="none" w:sz="0" w:space="0" w:color="auto"/>
        <w:bottom w:val="none" w:sz="0" w:space="0" w:color="auto"/>
        <w:right w:val="none" w:sz="0" w:space="0" w:color="auto"/>
      </w:divBdr>
    </w:div>
    <w:div w:id="1041591124">
      <w:bodyDiv w:val="1"/>
      <w:marLeft w:val="0"/>
      <w:marRight w:val="0"/>
      <w:marTop w:val="0"/>
      <w:marBottom w:val="0"/>
      <w:divBdr>
        <w:top w:val="none" w:sz="0" w:space="0" w:color="auto"/>
        <w:left w:val="none" w:sz="0" w:space="0" w:color="auto"/>
        <w:bottom w:val="none" w:sz="0" w:space="0" w:color="auto"/>
        <w:right w:val="none" w:sz="0" w:space="0" w:color="auto"/>
      </w:divBdr>
      <w:divsChild>
        <w:div w:id="27487671">
          <w:marLeft w:val="0"/>
          <w:marRight w:val="0"/>
          <w:marTop w:val="0"/>
          <w:marBottom w:val="0"/>
          <w:divBdr>
            <w:top w:val="none" w:sz="0" w:space="0" w:color="auto"/>
            <w:left w:val="none" w:sz="0" w:space="0" w:color="auto"/>
            <w:bottom w:val="none" w:sz="0" w:space="0" w:color="auto"/>
            <w:right w:val="none" w:sz="0" w:space="0" w:color="auto"/>
          </w:divBdr>
        </w:div>
        <w:div w:id="112601635">
          <w:marLeft w:val="0"/>
          <w:marRight w:val="0"/>
          <w:marTop w:val="0"/>
          <w:marBottom w:val="0"/>
          <w:divBdr>
            <w:top w:val="none" w:sz="0" w:space="0" w:color="auto"/>
            <w:left w:val="none" w:sz="0" w:space="0" w:color="auto"/>
            <w:bottom w:val="none" w:sz="0" w:space="0" w:color="auto"/>
            <w:right w:val="none" w:sz="0" w:space="0" w:color="auto"/>
          </w:divBdr>
        </w:div>
        <w:div w:id="154145877">
          <w:marLeft w:val="0"/>
          <w:marRight w:val="0"/>
          <w:marTop w:val="0"/>
          <w:marBottom w:val="0"/>
          <w:divBdr>
            <w:top w:val="none" w:sz="0" w:space="0" w:color="auto"/>
            <w:left w:val="none" w:sz="0" w:space="0" w:color="auto"/>
            <w:bottom w:val="none" w:sz="0" w:space="0" w:color="auto"/>
            <w:right w:val="none" w:sz="0" w:space="0" w:color="auto"/>
          </w:divBdr>
        </w:div>
        <w:div w:id="167255191">
          <w:marLeft w:val="0"/>
          <w:marRight w:val="0"/>
          <w:marTop w:val="0"/>
          <w:marBottom w:val="0"/>
          <w:divBdr>
            <w:top w:val="none" w:sz="0" w:space="0" w:color="auto"/>
            <w:left w:val="none" w:sz="0" w:space="0" w:color="auto"/>
            <w:bottom w:val="none" w:sz="0" w:space="0" w:color="auto"/>
            <w:right w:val="none" w:sz="0" w:space="0" w:color="auto"/>
          </w:divBdr>
        </w:div>
        <w:div w:id="198933594">
          <w:marLeft w:val="0"/>
          <w:marRight w:val="0"/>
          <w:marTop w:val="0"/>
          <w:marBottom w:val="0"/>
          <w:divBdr>
            <w:top w:val="none" w:sz="0" w:space="0" w:color="auto"/>
            <w:left w:val="none" w:sz="0" w:space="0" w:color="auto"/>
            <w:bottom w:val="none" w:sz="0" w:space="0" w:color="auto"/>
            <w:right w:val="none" w:sz="0" w:space="0" w:color="auto"/>
          </w:divBdr>
        </w:div>
        <w:div w:id="218826680">
          <w:marLeft w:val="0"/>
          <w:marRight w:val="0"/>
          <w:marTop w:val="0"/>
          <w:marBottom w:val="0"/>
          <w:divBdr>
            <w:top w:val="none" w:sz="0" w:space="0" w:color="auto"/>
            <w:left w:val="none" w:sz="0" w:space="0" w:color="auto"/>
            <w:bottom w:val="none" w:sz="0" w:space="0" w:color="auto"/>
            <w:right w:val="none" w:sz="0" w:space="0" w:color="auto"/>
          </w:divBdr>
        </w:div>
        <w:div w:id="304815322">
          <w:marLeft w:val="0"/>
          <w:marRight w:val="0"/>
          <w:marTop w:val="0"/>
          <w:marBottom w:val="0"/>
          <w:divBdr>
            <w:top w:val="none" w:sz="0" w:space="0" w:color="auto"/>
            <w:left w:val="none" w:sz="0" w:space="0" w:color="auto"/>
            <w:bottom w:val="none" w:sz="0" w:space="0" w:color="auto"/>
            <w:right w:val="none" w:sz="0" w:space="0" w:color="auto"/>
          </w:divBdr>
        </w:div>
        <w:div w:id="448429896">
          <w:marLeft w:val="0"/>
          <w:marRight w:val="0"/>
          <w:marTop w:val="0"/>
          <w:marBottom w:val="0"/>
          <w:divBdr>
            <w:top w:val="none" w:sz="0" w:space="0" w:color="auto"/>
            <w:left w:val="none" w:sz="0" w:space="0" w:color="auto"/>
            <w:bottom w:val="none" w:sz="0" w:space="0" w:color="auto"/>
            <w:right w:val="none" w:sz="0" w:space="0" w:color="auto"/>
          </w:divBdr>
        </w:div>
        <w:div w:id="626855404">
          <w:marLeft w:val="0"/>
          <w:marRight w:val="0"/>
          <w:marTop w:val="0"/>
          <w:marBottom w:val="0"/>
          <w:divBdr>
            <w:top w:val="none" w:sz="0" w:space="0" w:color="auto"/>
            <w:left w:val="none" w:sz="0" w:space="0" w:color="auto"/>
            <w:bottom w:val="none" w:sz="0" w:space="0" w:color="auto"/>
            <w:right w:val="none" w:sz="0" w:space="0" w:color="auto"/>
          </w:divBdr>
        </w:div>
        <w:div w:id="651376388">
          <w:marLeft w:val="0"/>
          <w:marRight w:val="0"/>
          <w:marTop w:val="0"/>
          <w:marBottom w:val="0"/>
          <w:divBdr>
            <w:top w:val="none" w:sz="0" w:space="0" w:color="auto"/>
            <w:left w:val="none" w:sz="0" w:space="0" w:color="auto"/>
            <w:bottom w:val="none" w:sz="0" w:space="0" w:color="auto"/>
            <w:right w:val="none" w:sz="0" w:space="0" w:color="auto"/>
          </w:divBdr>
        </w:div>
        <w:div w:id="659499451">
          <w:marLeft w:val="0"/>
          <w:marRight w:val="0"/>
          <w:marTop w:val="0"/>
          <w:marBottom w:val="0"/>
          <w:divBdr>
            <w:top w:val="none" w:sz="0" w:space="0" w:color="auto"/>
            <w:left w:val="none" w:sz="0" w:space="0" w:color="auto"/>
            <w:bottom w:val="none" w:sz="0" w:space="0" w:color="auto"/>
            <w:right w:val="none" w:sz="0" w:space="0" w:color="auto"/>
          </w:divBdr>
        </w:div>
        <w:div w:id="662977422">
          <w:marLeft w:val="0"/>
          <w:marRight w:val="0"/>
          <w:marTop w:val="0"/>
          <w:marBottom w:val="0"/>
          <w:divBdr>
            <w:top w:val="none" w:sz="0" w:space="0" w:color="auto"/>
            <w:left w:val="none" w:sz="0" w:space="0" w:color="auto"/>
            <w:bottom w:val="none" w:sz="0" w:space="0" w:color="auto"/>
            <w:right w:val="none" w:sz="0" w:space="0" w:color="auto"/>
          </w:divBdr>
        </w:div>
        <w:div w:id="732773177">
          <w:marLeft w:val="0"/>
          <w:marRight w:val="0"/>
          <w:marTop w:val="0"/>
          <w:marBottom w:val="0"/>
          <w:divBdr>
            <w:top w:val="none" w:sz="0" w:space="0" w:color="auto"/>
            <w:left w:val="none" w:sz="0" w:space="0" w:color="auto"/>
            <w:bottom w:val="none" w:sz="0" w:space="0" w:color="auto"/>
            <w:right w:val="none" w:sz="0" w:space="0" w:color="auto"/>
          </w:divBdr>
        </w:div>
        <w:div w:id="735587466">
          <w:marLeft w:val="0"/>
          <w:marRight w:val="0"/>
          <w:marTop w:val="0"/>
          <w:marBottom w:val="0"/>
          <w:divBdr>
            <w:top w:val="none" w:sz="0" w:space="0" w:color="auto"/>
            <w:left w:val="none" w:sz="0" w:space="0" w:color="auto"/>
            <w:bottom w:val="none" w:sz="0" w:space="0" w:color="auto"/>
            <w:right w:val="none" w:sz="0" w:space="0" w:color="auto"/>
          </w:divBdr>
        </w:div>
        <w:div w:id="778794969">
          <w:marLeft w:val="0"/>
          <w:marRight w:val="0"/>
          <w:marTop w:val="0"/>
          <w:marBottom w:val="0"/>
          <w:divBdr>
            <w:top w:val="none" w:sz="0" w:space="0" w:color="auto"/>
            <w:left w:val="none" w:sz="0" w:space="0" w:color="auto"/>
            <w:bottom w:val="none" w:sz="0" w:space="0" w:color="auto"/>
            <w:right w:val="none" w:sz="0" w:space="0" w:color="auto"/>
          </w:divBdr>
        </w:div>
        <w:div w:id="887843563">
          <w:marLeft w:val="0"/>
          <w:marRight w:val="0"/>
          <w:marTop w:val="0"/>
          <w:marBottom w:val="0"/>
          <w:divBdr>
            <w:top w:val="none" w:sz="0" w:space="0" w:color="auto"/>
            <w:left w:val="none" w:sz="0" w:space="0" w:color="auto"/>
            <w:bottom w:val="none" w:sz="0" w:space="0" w:color="auto"/>
            <w:right w:val="none" w:sz="0" w:space="0" w:color="auto"/>
          </w:divBdr>
        </w:div>
        <w:div w:id="902833701">
          <w:marLeft w:val="0"/>
          <w:marRight w:val="0"/>
          <w:marTop w:val="0"/>
          <w:marBottom w:val="0"/>
          <w:divBdr>
            <w:top w:val="none" w:sz="0" w:space="0" w:color="auto"/>
            <w:left w:val="none" w:sz="0" w:space="0" w:color="auto"/>
            <w:bottom w:val="none" w:sz="0" w:space="0" w:color="auto"/>
            <w:right w:val="none" w:sz="0" w:space="0" w:color="auto"/>
          </w:divBdr>
        </w:div>
        <w:div w:id="1098913418">
          <w:marLeft w:val="0"/>
          <w:marRight w:val="0"/>
          <w:marTop w:val="0"/>
          <w:marBottom w:val="0"/>
          <w:divBdr>
            <w:top w:val="none" w:sz="0" w:space="0" w:color="auto"/>
            <w:left w:val="none" w:sz="0" w:space="0" w:color="auto"/>
            <w:bottom w:val="none" w:sz="0" w:space="0" w:color="auto"/>
            <w:right w:val="none" w:sz="0" w:space="0" w:color="auto"/>
          </w:divBdr>
        </w:div>
        <w:div w:id="1116413847">
          <w:marLeft w:val="0"/>
          <w:marRight w:val="0"/>
          <w:marTop w:val="0"/>
          <w:marBottom w:val="0"/>
          <w:divBdr>
            <w:top w:val="none" w:sz="0" w:space="0" w:color="auto"/>
            <w:left w:val="none" w:sz="0" w:space="0" w:color="auto"/>
            <w:bottom w:val="none" w:sz="0" w:space="0" w:color="auto"/>
            <w:right w:val="none" w:sz="0" w:space="0" w:color="auto"/>
          </w:divBdr>
        </w:div>
        <w:div w:id="1297174235">
          <w:marLeft w:val="0"/>
          <w:marRight w:val="0"/>
          <w:marTop w:val="0"/>
          <w:marBottom w:val="0"/>
          <w:divBdr>
            <w:top w:val="none" w:sz="0" w:space="0" w:color="auto"/>
            <w:left w:val="none" w:sz="0" w:space="0" w:color="auto"/>
            <w:bottom w:val="none" w:sz="0" w:space="0" w:color="auto"/>
            <w:right w:val="none" w:sz="0" w:space="0" w:color="auto"/>
          </w:divBdr>
        </w:div>
        <w:div w:id="1376079958">
          <w:marLeft w:val="0"/>
          <w:marRight w:val="0"/>
          <w:marTop w:val="0"/>
          <w:marBottom w:val="0"/>
          <w:divBdr>
            <w:top w:val="none" w:sz="0" w:space="0" w:color="auto"/>
            <w:left w:val="none" w:sz="0" w:space="0" w:color="auto"/>
            <w:bottom w:val="none" w:sz="0" w:space="0" w:color="auto"/>
            <w:right w:val="none" w:sz="0" w:space="0" w:color="auto"/>
          </w:divBdr>
        </w:div>
        <w:div w:id="1408068615">
          <w:marLeft w:val="0"/>
          <w:marRight w:val="0"/>
          <w:marTop w:val="0"/>
          <w:marBottom w:val="0"/>
          <w:divBdr>
            <w:top w:val="none" w:sz="0" w:space="0" w:color="auto"/>
            <w:left w:val="none" w:sz="0" w:space="0" w:color="auto"/>
            <w:bottom w:val="none" w:sz="0" w:space="0" w:color="auto"/>
            <w:right w:val="none" w:sz="0" w:space="0" w:color="auto"/>
          </w:divBdr>
        </w:div>
        <w:div w:id="1543057869">
          <w:marLeft w:val="0"/>
          <w:marRight w:val="0"/>
          <w:marTop w:val="0"/>
          <w:marBottom w:val="0"/>
          <w:divBdr>
            <w:top w:val="none" w:sz="0" w:space="0" w:color="auto"/>
            <w:left w:val="none" w:sz="0" w:space="0" w:color="auto"/>
            <w:bottom w:val="none" w:sz="0" w:space="0" w:color="auto"/>
            <w:right w:val="none" w:sz="0" w:space="0" w:color="auto"/>
          </w:divBdr>
        </w:div>
        <w:div w:id="1549954562">
          <w:marLeft w:val="0"/>
          <w:marRight w:val="0"/>
          <w:marTop w:val="0"/>
          <w:marBottom w:val="0"/>
          <w:divBdr>
            <w:top w:val="none" w:sz="0" w:space="0" w:color="auto"/>
            <w:left w:val="none" w:sz="0" w:space="0" w:color="auto"/>
            <w:bottom w:val="none" w:sz="0" w:space="0" w:color="auto"/>
            <w:right w:val="none" w:sz="0" w:space="0" w:color="auto"/>
          </w:divBdr>
        </w:div>
        <w:div w:id="1705864006">
          <w:marLeft w:val="0"/>
          <w:marRight w:val="0"/>
          <w:marTop w:val="0"/>
          <w:marBottom w:val="0"/>
          <w:divBdr>
            <w:top w:val="none" w:sz="0" w:space="0" w:color="auto"/>
            <w:left w:val="none" w:sz="0" w:space="0" w:color="auto"/>
            <w:bottom w:val="none" w:sz="0" w:space="0" w:color="auto"/>
            <w:right w:val="none" w:sz="0" w:space="0" w:color="auto"/>
          </w:divBdr>
        </w:div>
        <w:div w:id="1706757564">
          <w:marLeft w:val="0"/>
          <w:marRight w:val="0"/>
          <w:marTop w:val="0"/>
          <w:marBottom w:val="0"/>
          <w:divBdr>
            <w:top w:val="none" w:sz="0" w:space="0" w:color="auto"/>
            <w:left w:val="none" w:sz="0" w:space="0" w:color="auto"/>
            <w:bottom w:val="none" w:sz="0" w:space="0" w:color="auto"/>
            <w:right w:val="none" w:sz="0" w:space="0" w:color="auto"/>
          </w:divBdr>
        </w:div>
        <w:div w:id="1711951985">
          <w:marLeft w:val="0"/>
          <w:marRight w:val="0"/>
          <w:marTop w:val="0"/>
          <w:marBottom w:val="0"/>
          <w:divBdr>
            <w:top w:val="none" w:sz="0" w:space="0" w:color="auto"/>
            <w:left w:val="none" w:sz="0" w:space="0" w:color="auto"/>
            <w:bottom w:val="none" w:sz="0" w:space="0" w:color="auto"/>
            <w:right w:val="none" w:sz="0" w:space="0" w:color="auto"/>
          </w:divBdr>
        </w:div>
        <w:div w:id="1770464640">
          <w:marLeft w:val="0"/>
          <w:marRight w:val="0"/>
          <w:marTop w:val="0"/>
          <w:marBottom w:val="0"/>
          <w:divBdr>
            <w:top w:val="none" w:sz="0" w:space="0" w:color="auto"/>
            <w:left w:val="none" w:sz="0" w:space="0" w:color="auto"/>
            <w:bottom w:val="none" w:sz="0" w:space="0" w:color="auto"/>
            <w:right w:val="none" w:sz="0" w:space="0" w:color="auto"/>
          </w:divBdr>
        </w:div>
        <w:div w:id="1822379500">
          <w:marLeft w:val="0"/>
          <w:marRight w:val="0"/>
          <w:marTop w:val="0"/>
          <w:marBottom w:val="0"/>
          <w:divBdr>
            <w:top w:val="none" w:sz="0" w:space="0" w:color="auto"/>
            <w:left w:val="none" w:sz="0" w:space="0" w:color="auto"/>
            <w:bottom w:val="none" w:sz="0" w:space="0" w:color="auto"/>
            <w:right w:val="none" w:sz="0" w:space="0" w:color="auto"/>
          </w:divBdr>
        </w:div>
        <w:div w:id="1847787986">
          <w:marLeft w:val="0"/>
          <w:marRight w:val="0"/>
          <w:marTop w:val="0"/>
          <w:marBottom w:val="0"/>
          <w:divBdr>
            <w:top w:val="none" w:sz="0" w:space="0" w:color="auto"/>
            <w:left w:val="none" w:sz="0" w:space="0" w:color="auto"/>
            <w:bottom w:val="none" w:sz="0" w:space="0" w:color="auto"/>
            <w:right w:val="none" w:sz="0" w:space="0" w:color="auto"/>
          </w:divBdr>
        </w:div>
        <w:div w:id="1863010123">
          <w:marLeft w:val="0"/>
          <w:marRight w:val="0"/>
          <w:marTop w:val="0"/>
          <w:marBottom w:val="0"/>
          <w:divBdr>
            <w:top w:val="none" w:sz="0" w:space="0" w:color="auto"/>
            <w:left w:val="none" w:sz="0" w:space="0" w:color="auto"/>
            <w:bottom w:val="none" w:sz="0" w:space="0" w:color="auto"/>
            <w:right w:val="none" w:sz="0" w:space="0" w:color="auto"/>
          </w:divBdr>
        </w:div>
        <w:div w:id="1967077482">
          <w:marLeft w:val="0"/>
          <w:marRight w:val="0"/>
          <w:marTop w:val="0"/>
          <w:marBottom w:val="0"/>
          <w:divBdr>
            <w:top w:val="none" w:sz="0" w:space="0" w:color="auto"/>
            <w:left w:val="none" w:sz="0" w:space="0" w:color="auto"/>
            <w:bottom w:val="none" w:sz="0" w:space="0" w:color="auto"/>
            <w:right w:val="none" w:sz="0" w:space="0" w:color="auto"/>
          </w:divBdr>
        </w:div>
        <w:div w:id="2016612180">
          <w:marLeft w:val="0"/>
          <w:marRight w:val="0"/>
          <w:marTop w:val="0"/>
          <w:marBottom w:val="0"/>
          <w:divBdr>
            <w:top w:val="none" w:sz="0" w:space="0" w:color="auto"/>
            <w:left w:val="none" w:sz="0" w:space="0" w:color="auto"/>
            <w:bottom w:val="none" w:sz="0" w:space="0" w:color="auto"/>
            <w:right w:val="none" w:sz="0" w:space="0" w:color="auto"/>
          </w:divBdr>
        </w:div>
        <w:div w:id="2027169813">
          <w:marLeft w:val="0"/>
          <w:marRight w:val="0"/>
          <w:marTop w:val="0"/>
          <w:marBottom w:val="0"/>
          <w:divBdr>
            <w:top w:val="none" w:sz="0" w:space="0" w:color="auto"/>
            <w:left w:val="none" w:sz="0" w:space="0" w:color="auto"/>
            <w:bottom w:val="none" w:sz="0" w:space="0" w:color="auto"/>
            <w:right w:val="none" w:sz="0" w:space="0" w:color="auto"/>
          </w:divBdr>
        </w:div>
        <w:div w:id="2076735667">
          <w:marLeft w:val="0"/>
          <w:marRight w:val="0"/>
          <w:marTop w:val="0"/>
          <w:marBottom w:val="0"/>
          <w:divBdr>
            <w:top w:val="none" w:sz="0" w:space="0" w:color="auto"/>
            <w:left w:val="none" w:sz="0" w:space="0" w:color="auto"/>
            <w:bottom w:val="none" w:sz="0" w:space="0" w:color="auto"/>
            <w:right w:val="none" w:sz="0" w:space="0" w:color="auto"/>
          </w:divBdr>
        </w:div>
      </w:divsChild>
    </w:div>
    <w:div w:id="1088117131">
      <w:bodyDiv w:val="1"/>
      <w:marLeft w:val="0"/>
      <w:marRight w:val="0"/>
      <w:marTop w:val="0"/>
      <w:marBottom w:val="0"/>
      <w:divBdr>
        <w:top w:val="none" w:sz="0" w:space="0" w:color="auto"/>
        <w:left w:val="none" w:sz="0" w:space="0" w:color="auto"/>
        <w:bottom w:val="none" w:sz="0" w:space="0" w:color="auto"/>
        <w:right w:val="none" w:sz="0" w:space="0" w:color="auto"/>
      </w:divBdr>
    </w:div>
    <w:div w:id="1098216823">
      <w:bodyDiv w:val="1"/>
      <w:marLeft w:val="0"/>
      <w:marRight w:val="0"/>
      <w:marTop w:val="0"/>
      <w:marBottom w:val="0"/>
      <w:divBdr>
        <w:top w:val="none" w:sz="0" w:space="0" w:color="auto"/>
        <w:left w:val="none" w:sz="0" w:space="0" w:color="auto"/>
        <w:bottom w:val="none" w:sz="0" w:space="0" w:color="auto"/>
        <w:right w:val="none" w:sz="0" w:space="0" w:color="auto"/>
      </w:divBdr>
    </w:div>
    <w:div w:id="1169978360">
      <w:bodyDiv w:val="1"/>
      <w:marLeft w:val="0"/>
      <w:marRight w:val="0"/>
      <w:marTop w:val="0"/>
      <w:marBottom w:val="0"/>
      <w:divBdr>
        <w:top w:val="none" w:sz="0" w:space="0" w:color="auto"/>
        <w:left w:val="none" w:sz="0" w:space="0" w:color="auto"/>
        <w:bottom w:val="none" w:sz="0" w:space="0" w:color="auto"/>
        <w:right w:val="none" w:sz="0" w:space="0" w:color="auto"/>
      </w:divBdr>
    </w:div>
    <w:div w:id="1209150100">
      <w:bodyDiv w:val="1"/>
      <w:marLeft w:val="0"/>
      <w:marRight w:val="0"/>
      <w:marTop w:val="0"/>
      <w:marBottom w:val="0"/>
      <w:divBdr>
        <w:top w:val="none" w:sz="0" w:space="0" w:color="auto"/>
        <w:left w:val="none" w:sz="0" w:space="0" w:color="auto"/>
        <w:bottom w:val="none" w:sz="0" w:space="0" w:color="auto"/>
        <w:right w:val="none" w:sz="0" w:space="0" w:color="auto"/>
      </w:divBdr>
    </w:div>
    <w:div w:id="1249575486">
      <w:bodyDiv w:val="1"/>
      <w:marLeft w:val="0"/>
      <w:marRight w:val="0"/>
      <w:marTop w:val="0"/>
      <w:marBottom w:val="0"/>
      <w:divBdr>
        <w:top w:val="none" w:sz="0" w:space="0" w:color="auto"/>
        <w:left w:val="none" w:sz="0" w:space="0" w:color="auto"/>
        <w:bottom w:val="none" w:sz="0" w:space="0" w:color="auto"/>
        <w:right w:val="none" w:sz="0" w:space="0" w:color="auto"/>
      </w:divBdr>
      <w:divsChild>
        <w:div w:id="33581072">
          <w:marLeft w:val="0"/>
          <w:marRight w:val="0"/>
          <w:marTop w:val="0"/>
          <w:marBottom w:val="0"/>
          <w:divBdr>
            <w:top w:val="none" w:sz="0" w:space="0" w:color="auto"/>
            <w:left w:val="none" w:sz="0" w:space="0" w:color="auto"/>
            <w:bottom w:val="none" w:sz="0" w:space="0" w:color="auto"/>
            <w:right w:val="none" w:sz="0" w:space="0" w:color="auto"/>
          </w:divBdr>
        </w:div>
        <w:div w:id="207188406">
          <w:marLeft w:val="0"/>
          <w:marRight w:val="0"/>
          <w:marTop w:val="0"/>
          <w:marBottom w:val="0"/>
          <w:divBdr>
            <w:top w:val="none" w:sz="0" w:space="0" w:color="auto"/>
            <w:left w:val="none" w:sz="0" w:space="0" w:color="auto"/>
            <w:bottom w:val="none" w:sz="0" w:space="0" w:color="auto"/>
            <w:right w:val="none" w:sz="0" w:space="0" w:color="auto"/>
          </w:divBdr>
        </w:div>
        <w:div w:id="276377371">
          <w:marLeft w:val="0"/>
          <w:marRight w:val="0"/>
          <w:marTop w:val="0"/>
          <w:marBottom w:val="0"/>
          <w:divBdr>
            <w:top w:val="none" w:sz="0" w:space="0" w:color="auto"/>
            <w:left w:val="none" w:sz="0" w:space="0" w:color="auto"/>
            <w:bottom w:val="none" w:sz="0" w:space="0" w:color="auto"/>
            <w:right w:val="none" w:sz="0" w:space="0" w:color="auto"/>
          </w:divBdr>
        </w:div>
        <w:div w:id="654990521">
          <w:marLeft w:val="0"/>
          <w:marRight w:val="0"/>
          <w:marTop w:val="0"/>
          <w:marBottom w:val="0"/>
          <w:divBdr>
            <w:top w:val="none" w:sz="0" w:space="0" w:color="auto"/>
            <w:left w:val="none" w:sz="0" w:space="0" w:color="auto"/>
            <w:bottom w:val="none" w:sz="0" w:space="0" w:color="auto"/>
            <w:right w:val="none" w:sz="0" w:space="0" w:color="auto"/>
          </w:divBdr>
        </w:div>
        <w:div w:id="674381501">
          <w:marLeft w:val="0"/>
          <w:marRight w:val="0"/>
          <w:marTop w:val="0"/>
          <w:marBottom w:val="0"/>
          <w:divBdr>
            <w:top w:val="none" w:sz="0" w:space="0" w:color="auto"/>
            <w:left w:val="none" w:sz="0" w:space="0" w:color="auto"/>
            <w:bottom w:val="none" w:sz="0" w:space="0" w:color="auto"/>
            <w:right w:val="none" w:sz="0" w:space="0" w:color="auto"/>
          </w:divBdr>
        </w:div>
        <w:div w:id="818693474">
          <w:marLeft w:val="0"/>
          <w:marRight w:val="0"/>
          <w:marTop w:val="0"/>
          <w:marBottom w:val="0"/>
          <w:divBdr>
            <w:top w:val="none" w:sz="0" w:space="0" w:color="auto"/>
            <w:left w:val="none" w:sz="0" w:space="0" w:color="auto"/>
            <w:bottom w:val="none" w:sz="0" w:space="0" w:color="auto"/>
            <w:right w:val="none" w:sz="0" w:space="0" w:color="auto"/>
          </w:divBdr>
        </w:div>
        <w:div w:id="894779654">
          <w:marLeft w:val="0"/>
          <w:marRight w:val="0"/>
          <w:marTop w:val="0"/>
          <w:marBottom w:val="0"/>
          <w:divBdr>
            <w:top w:val="none" w:sz="0" w:space="0" w:color="auto"/>
            <w:left w:val="none" w:sz="0" w:space="0" w:color="auto"/>
            <w:bottom w:val="none" w:sz="0" w:space="0" w:color="auto"/>
            <w:right w:val="none" w:sz="0" w:space="0" w:color="auto"/>
          </w:divBdr>
        </w:div>
        <w:div w:id="1091201793">
          <w:marLeft w:val="0"/>
          <w:marRight w:val="0"/>
          <w:marTop w:val="0"/>
          <w:marBottom w:val="0"/>
          <w:divBdr>
            <w:top w:val="none" w:sz="0" w:space="0" w:color="auto"/>
            <w:left w:val="none" w:sz="0" w:space="0" w:color="auto"/>
            <w:bottom w:val="none" w:sz="0" w:space="0" w:color="auto"/>
            <w:right w:val="none" w:sz="0" w:space="0" w:color="auto"/>
          </w:divBdr>
        </w:div>
        <w:div w:id="1099981205">
          <w:marLeft w:val="0"/>
          <w:marRight w:val="0"/>
          <w:marTop w:val="0"/>
          <w:marBottom w:val="0"/>
          <w:divBdr>
            <w:top w:val="none" w:sz="0" w:space="0" w:color="auto"/>
            <w:left w:val="none" w:sz="0" w:space="0" w:color="auto"/>
            <w:bottom w:val="none" w:sz="0" w:space="0" w:color="auto"/>
            <w:right w:val="none" w:sz="0" w:space="0" w:color="auto"/>
          </w:divBdr>
        </w:div>
        <w:div w:id="1130710697">
          <w:marLeft w:val="0"/>
          <w:marRight w:val="0"/>
          <w:marTop w:val="0"/>
          <w:marBottom w:val="0"/>
          <w:divBdr>
            <w:top w:val="none" w:sz="0" w:space="0" w:color="auto"/>
            <w:left w:val="none" w:sz="0" w:space="0" w:color="auto"/>
            <w:bottom w:val="none" w:sz="0" w:space="0" w:color="auto"/>
            <w:right w:val="none" w:sz="0" w:space="0" w:color="auto"/>
          </w:divBdr>
        </w:div>
        <w:div w:id="1188445618">
          <w:marLeft w:val="0"/>
          <w:marRight w:val="0"/>
          <w:marTop w:val="0"/>
          <w:marBottom w:val="0"/>
          <w:divBdr>
            <w:top w:val="none" w:sz="0" w:space="0" w:color="auto"/>
            <w:left w:val="none" w:sz="0" w:space="0" w:color="auto"/>
            <w:bottom w:val="none" w:sz="0" w:space="0" w:color="auto"/>
            <w:right w:val="none" w:sz="0" w:space="0" w:color="auto"/>
          </w:divBdr>
        </w:div>
        <w:div w:id="1249191099">
          <w:marLeft w:val="0"/>
          <w:marRight w:val="0"/>
          <w:marTop w:val="0"/>
          <w:marBottom w:val="0"/>
          <w:divBdr>
            <w:top w:val="none" w:sz="0" w:space="0" w:color="auto"/>
            <w:left w:val="none" w:sz="0" w:space="0" w:color="auto"/>
            <w:bottom w:val="none" w:sz="0" w:space="0" w:color="auto"/>
            <w:right w:val="none" w:sz="0" w:space="0" w:color="auto"/>
          </w:divBdr>
        </w:div>
        <w:div w:id="1401516270">
          <w:marLeft w:val="0"/>
          <w:marRight w:val="0"/>
          <w:marTop w:val="0"/>
          <w:marBottom w:val="0"/>
          <w:divBdr>
            <w:top w:val="none" w:sz="0" w:space="0" w:color="auto"/>
            <w:left w:val="none" w:sz="0" w:space="0" w:color="auto"/>
            <w:bottom w:val="none" w:sz="0" w:space="0" w:color="auto"/>
            <w:right w:val="none" w:sz="0" w:space="0" w:color="auto"/>
          </w:divBdr>
        </w:div>
        <w:div w:id="1527016259">
          <w:marLeft w:val="0"/>
          <w:marRight w:val="0"/>
          <w:marTop w:val="0"/>
          <w:marBottom w:val="0"/>
          <w:divBdr>
            <w:top w:val="none" w:sz="0" w:space="0" w:color="auto"/>
            <w:left w:val="none" w:sz="0" w:space="0" w:color="auto"/>
            <w:bottom w:val="none" w:sz="0" w:space="0" w:color="auto"/>
            <w:right w:val="none" w:sz="0" w:space="0" w:color="auto"/>
          </w:divBdr>
        </w:div>
        <w:div w:id="1663459835">
          <w:marLeft w:val="0"/>
          <w:marRight w:val="0"/>
          <w:marTop w:val="0"/>
          <w:marBottom w:val="0"/>
          <w:divBdr>
            <w:top w:val="none" w:sz="0" w:space="0" w:color="auto"/>
            <w:left w:val="none" w:sz="0" w:space="0" w:color="auto"/>
            <w:bottom w:val="none" w:sz="0" w:space="0" w:color="auto"/>
            <w:right w:val="none" w:sz="0" w:space="0" w:color="auto"/>
          </w:divBdr>
        </w:div>
        <w:div w:id="1681200715">
          <w:marLeft w:val="0"/>
          <w:marRight w:val="0"/>
          <w:marTop w:val="0"/>
          <w:marBottom w:val="0"/>
          <w:divBdr>
            <w:top w:val="none" w:sz="0" w:space="0" w:color="auto"/>
            <w:left w:val="none" w:sz="0" w:space="0" w:color="auto"/>
            <w:bottom w:val="none" w:sz="0" w:space="0" w:color="auto"/>
            <w:right w:val="none" w:sz="0" w:space="0" w:color="auto"/>
          </w:divBdr>
        </w:div>
        <w:div w:id="1937788558">
          <w:marLeft w:val="0"/>
          <w:marRight w:val="0"/>
          <w:marTop w:val="0"/>
          <w:marBottom w:val="0"/>
          <w:divBdr>
            <w:top w:val="none" w:sz="0" w:space="0" w:color="auto"/>
            <w:left w:val="none" w:sz="0" w:space="0" w:color="auto"/>
            <w:bottom w:val="none" w:sz="0" w:space="0" w:color="auto"/>
            <w:right w:val="none" w:sz="0" w:space="0" w:color="auto"/>
          </w:divBdr>
        </w:div>
        <w:div w:id="1954510562">
          <w:marLeft w:val="0"/>
          <w:marRight w:val="0"/>
          <w:marTop w:val="0"/>
          <w:marBottom w:val="0"/>
          <w:divBdr>
            <w:top w:val="none" w:sz="0" w:space="0" w:color="auto"/>
            <w:left w:val="none" w:sz="0" w:space="0" w:color="auto"/>
            <w:bottom w:val="none" w:sz="0" w:space="0" w:color="auto"/>
            <w:right w:val="none" w:sz="0" w:space="0" w:color="auto"/>
          </w:divBdr>
        </w:div>
        <w:div w:id="2124764489">
          <w:marLeft w:val="0"/>
          <w:marRight w:val="0"/>
          <w:marTop w:val="0"/>
          <w:marBottom w:val="0"/>
          <w:divBdr>
            <w:top w:val="none" w:sz="0" w:space="0" w:color="auto"/>
            <w:left w:val="none" w:sz="0" w:space="0" w:color="auto"/>
            <w:bottom w:val="none" w:sz="0" w:space="0" w:color="auto"/>
            <w:right w:val="none" w:sz="0" w:space="0" w:color="auto"/>
          </w:divBdr>
        </w:div>
      </w:divsChild>
    </w:div>
    <w:div w:id="1262028980">
      <w:bodyDiv w:val="1"/>
      <w:marLeft w:val="0"/>
      <w:marRight w:val="0"/>
      <w:marTop w:val="0"/>
      <w:marBottom w:val="0"/>
      <w:divBdr>
        <w:top w:val="none" w:sz="0" w:space="0" w:color="auto"/>
        <w:left w:val="none" w:sz="0" w:space="0" w:color="auto"/>
        <w:bottom w:val="none" w:sz="0" w:space="0" w:color="auto"/>
        <w:right w:val="none" w:sz="0" w:space="0" w:color="auto"/>
      </w:divBdr>
    </w:div>
    <w:div w:id="1269775249">
      <w:bodyDiv w:val="1"/>
      <w:marLeft w:val="0"/>
      <w:marRight w:val="0"/>
      <w:marTop w:val="0"/>
      <w:marBottom w:val="0"/>
      <w:divBdr>
        <w:top w:val="none" w:sz="0" w:space="0" w:color="auto"/>
        <w:left w:val="none" w:sz="0" w:space="0" w:color="auto"/>
        <w:bottom w:val="none" w:sz="0" w:space="0" w:color="auto"/>
        <w:right w:val="none" w:sz="0" w:space="0" w:color="auto"/>
      </w:divBdr>
      <w:divsChild>
        <w:div w:id="1817718879">
          <w:marLeft w:val="0"/>
          <w:marRight w:val="0"/>
          <w:marTop w:val="0"/>
          <w:marBottom w:val="0"/>
          <w:divBdr>
            <w:top w:val="none" w:sz="0" w:space="0" w:color="auto"/>
            <w:left w:val="none" w:sz="0" w:space="0" w:color="auto"/>
            <w:bottom w:val="none" w:sz="0" w:space="0" w:color="auto"/>
            <w:right w:val="none" w:sz="0" w:space="0" w:color="auto"/>
          </w:divBdr>
        </w:div>
      </w:divsChild>
    </w:div>
    <w:div w:id="1367490423">
      <w:bodyDiv w:val="1"/>
      <w:marLeft w:val="0"/>
      <w:marRight w:val="0"/>
      <w:marTop w:val="0"/>
      <w:marBottom w:val="0"/>
      <w:divBdr>
        <w:top w:val="none" w:sz="0" w:space="0" w:color="auto"/>
        <w:left w:val="none" w:sz="0" w:space="0" w:color="auto"/>
        <w:bottom w:val="none" w:sz="0" w:space="0" w:color="auto"/>
        <w:right w:val="none" w:sz="0" w:space="0" w:color="auto"/>
      </w:divBdr>
    </w:div>
    <w:div w:id="1487014694">
      <w:bodyDiv w:val="1"/>
      <w:marLeft w:val="0"/>
      <w:marRight w:val="0"/>
      <w:marTop w:val="0"/>
      <w:marBottom w:val="0"/>
      <w:divBdr>
        <w:top w:val="none" w:sz="0" w:space="0" w:color="auto"/>
        <w:left w:val="none" w:sz="0" w:space="0" w:color="auto"/>
        <w:bottom w:val="none" w:sz="0" w:space="0" w:color="auto"/>
        <w:right w:val="none" w:sz="0" w:space="0" w:color="auto"/>
      </w:divBdr>
      <w:divsChild>
        <w:div w:id="281885182">
          <w:marLeft w:val="0"/>
          <w:marRight w:val="0"/>
          <w:marTop w:val="0"/>
          <w:marBottom w:val="0"/>
          <w:divBdr>
            <w:top w:val="none" w:sz="0" w:space="0" w:color="auto"/>
            <w:left w:val="none" w:sz="0" w:space="0" w:color="auto"/>
            <w:bottom w:val="none" w:sz="0" w:space="0" w:color="auto"/>
            <w:right w:val="none" w:sz="0" w:space="0" w:color="auto"/>
          </w:divBdr>
        </w:div>
        <w:div w:id="575476244">
          <w:marLeft w:val="0"/>
          <w:marRight w:val="0"/>
          <w:marTop w:val="0"/>
          <w:marBottom w:val="0"/>
          <w:divBdr>
            <w:top w:val="none" w:sz="0" w:space="0" w:color="auto"/>
            <w:left w:val="none" w:sz="0" w:space="0" w:color="auto"/>
            <w:bottom w:val="none" w:sz="0" w:space="0" w:color="auto"/>
            <w:right w:val="none" w:sz="0" w:space="0" w:color="auto"/>
          </w:divBdr>
        </w:div>
        <w:div w:id="1324507261">
          <w:marLeft w:val="0"/>
          <w:marRight w:val="0"/>
          <w:marTop w:val="0"/>
          <w:marBottom w:val="0"/>
          <w:divBdr>
            <w:top w:val="none" w:sz="0" w:space="0" w:color="auto"/>
            <w:left w:val="none" w:sz="0" w:space="0" w:color="auto"/>
            <w:bottom w:val="none" w:sz="0" w:space="0" w:color="auto"/>
            <w:right w:val="none" w:sz="0" w:space="0" w:color="auto"/>
          </w:divBdr>
        </w:div>
        <w:div w:id="1347948813">
          <w:marLeft w:val="0"/>
          <w:marRight w:val="0"/>
          <w:marTop w:val="0"/>
          <w:marBottom w:val="0"/>
          <w:divBdr>
            <w:top w:val="none" w:sz="0" w:space="0" w:color="auto"/>
            <w:left w:val="none" w:sz="0" w:space="0" w:color="auto"/>
            <w:bottom w:val="none" w:sz="0" w:space="0" w:color="auto"/>
            <w:right w:val="none" w:sz="0" w:space="0" w:color="auto"/>
          </w:divBdr>
        </w:div>
        <w:div w:id="1759407033">
          <w:marLeft w:val="0"/>
          <w:marRight w:val="0"/>
          <w:marTop w:val="0"/>
          <w:marBottom w:val="0"/>
          <w:divBdr>
            <w:top w:val="none" w:sz="0" w:space="0" w:color="auto"/>
            <w:left w:val="none" w:sz="0" w:space="0" w:color="auto"/>
            <w:bottom w:val="none" w:sz="0" w:space="0" w:color="auto"/>
            <w:right w:val="none" w:sz="0" w:space="0" w:color="auto"/>
          </w:divBdr>
        </w:div>
      </w:divsChild>
    </w:div>
    <w:div w:id="1546794159">
      <w:bodyDiv w:val="1"/>
      <w:marLeft w:val="0"/>
      <w:marRight w:val="0"/>
      <w:marTop w:val="0"/>
      <w:marBottom w:val="0"/>
      <w:divBdr>
        <w:top w:val="none" w:sz="0" w:space="0" w:color="auto"/>
        <w:left w:val="none" w:sz="0" w:space="0" w:color="auto"/>
        <w:bottom w:val="none" w:sz="0" w:space="0" w:color="auto"/>
        <w:right w:val="none" w:sz="0" w:space="0" w:color="auto"/>
      </w:divBdr>
    </w:div>
    <w:div w:id="1557859125">
      <w:bodyDiv w:val="1"/>
      <w:marLeft w:val="0"/>
      <w:marRight w:val="0"/>
      <w:marTop w:val="0"/>
      <w:marBottom w:val="0"/>
      <w:divBdr>
        <w:top w:val="none" w:sz="0" w:space="0" w:color="auto"/>
        <w:left w:val="none" w:sz="0" w:space="0" w:color="auto"/>
        <w:bottom w:val="none" w:sz="0" w:space="0" w:color="auto"/>
        <w:right w:val="none" w:sz="0" w:space="0" w:color="auto"/>
      </w:divBdr>
    </w:div>
    <w:div w:id="1684669668">
      <w:bodyDiv w:val="1"/>
      <w:marLeft w:val="0"/>
      <w:marRight w:val="0"/>
      <w:marTop w:val="0"/>
      <w:marBottom w:val="0"/>
      <w:divBdr>
        <w:top w:val="none" w:sz="0" w:space="0" w:color="auto"/>
        <w:left w:val="none" w:sz="0" w:space="0" w:color="auto"/>
        <w:bottom w:val="none" w:sz="0" w:space="0" w:color="auto"/>
        <w:right w:val="none" w:sz="0" w:space="0" w:color="auto"/>
      </w:divBdr>
    </w:div>
    <w:div w:id="1723170321">
      <w:bodyDiv w:val="1"/>
      <w:marLeft w:val="0"/>
      <w:marRight w:val="0"/>
      <w:marTop w:val="0"/>
      <w:marBottom w:val="0"/>
      <w:divBdr>
        <w:top w:val="none" w:sz="0" w:space="0" w:color="auto"/>
        <w:left w:val="none" w:sz="0" w:space="0" w:color="auto"/>
        <w:bottom w:val="none" w:sz="0" w:space="0" w:color="auto"/>
        <w:right w:val="none" w:sz="0" w:space="0" w:color="auto"/>
      </w:divBdr>
    </w:div>
    <w:div w:id="1769349371">
      <w:bodyDiv w:val="1"/>
      <w:marLeft w:val="0"/>
      <w:marRight w:val="0"/>
      <w:marTop w:val="0"/>
      <w:marBottom w:val="0"/>
      <w:divBdr>
        <w:top w:val="none" w:sz="0" w:space="0" w:color="auto"/>
        <w:left w:val="none" w:sz="0" w:space="0" w:color="auto"/>
        <w:bottom w:val="none" w:sz="0" w:space="0" w:color="auto"/>
        <w:right w:val="none" w:sz="0" w:space="0" w:color="auto"/>
      </w:divBdr>
    </w:div>
    <w:div w:id="1770462853">
      <w:bodyDiv w:val="1"/>
      <w:marLeft w:val="0"/>
      <w:marRight w:val="0"/>
      <w:marTop w:val="0"/>
      <w:marBottom w:val="0"/>
      <w:divBdr>
        <w:top w:val="none" w:sz="0" w:space="0" w:color="auto"/>
        <w:left w:val="none" w:sz="0" w:space="0" w:color="auto"/>
        <w:bottom w:val="none" w:sz="0" w:space="0" w:color="auto"/>
        <w:right w:val="none" w:sz="0" w:space="0" w:color="auto"/>
      </w:divBdr>
      <w:divsChild>
        <w:div w:id="89590691">
          <w:marLeft w:val="0"/>
          <w:marRight w:val="0"/>
          <w:marTop w:val="0"/>
          <w:marBottom w:val="0"/>
          <w:divBdr>
            <w:top w:val="none" w:sz="0" w:space="0" w:color="auto"/>
            <w:left w:val="none" w:sz="0" w:space="0" w:color="auto"/>
            <w:bottom w:val="none" w:sz="0" w:space="0" w:color="auto"/>
            <w:right w:val="none" w:sz="0" w:space="0" w:color="auto"/>
          </w:divBdr>
        </w:div>
        <w:div w:id="174197830">
          <w:marLeft w:val="0"/>
          <w:marRight w:val="0"/>
          <w:marTop w:val="0"/>
          <w:marBottom w:val="0"/>
          <w:divBdr>
            <w:top w:val="none" w:sz="0" w:space="0" w:color="auto"/>
            <w:left w:val="none" w:sz="0" w:space="0" w:color="auto"/>
            <w:bottom w:val="none" w:sz="0" w:space="0" w:color="auto"/>
            <w:right w:val="none" w:sz="0" w:space="0" w:color="auto"/>
          </w:divBdr>
        </w:div>
        <w:div w:id="204485262">
          <w:marLeft w:val="0"/>
          <w:marRight w:val="0"/>
          <w:marTop w:val="0"/>
          <w:marBottom w:val="0"/>
          <w:divBdr>
            <w:top w:val="none" w:sz="0" w:space="0" w:color="auto"/>
            <w:left w:val="none" w:sz="0" w:space="0" w:color="auto"/>
            <w:bottom w:val="none" w:sz="0" w:space="0" w:color="auto"/>
            <w:right w:val="none" w:sz="0" w:space="0" w:color="auto"/>
          </w:divBdr>
        </w:div>
        <w:div w:id="403113933">
          <w:marLeft w:val="0"/>
          <w:marRight w:val="0"/>
          <w:marTop w:val="0"/>
          <w:marBottom w:val="0"/>
          <w:divBdr>
            <w:top w:val="none" w:sz="0" w:space="0" w:color="auto"/>
            <w:left w:val="none" w:sz="0" w:space="0" w:color="auto"/>
            <w:bottom w:val="none" w:sz="0" w:space="0" w:color="auto"/>
            <w:right w:val="none" w:sz="0" w:space="0" w:color="auto"/>
          </w:divBdr>
        </w:div>
        <w:div w:id="701176768">
          <w:marLeft w:val="0"/>
          <w:marRight w:val="0"/>
          <w:marTop w:val="0"/>
          <w:marBottom w:val="0"/>
          <w:divBdr>
            <w:top w:val="none" w:sz="0" w:space="0" w:color="auto"/>
            <w:left w:val="none" w:sz="0" w:space="0" w:color="auto"/>
            <w:bottom w:val="none" w:sz="0" w:space="0" w:color="auto"/>
            <w:right w:val="none" w:sz="0" w:space="0" w:color="auto"/>
          </w:divBdr>
        </w:div>
        <w:div w:id="701830196">
          <w:marLeft w:val="0"/>
          <w:marRight w:val="0"/>
          <w:marTop w:val="0"/>
          <w:marBottom w:val="0"/>
          <w:divBdr>
            <w:top w:val="none" w:sz="0" w:space="0" w:color="auto"/>
            <w:left w:val="none" w:sz="0" w:space="0" w:color="auto"/>
            <w:bottom w:val="none" w:sz="0" w:space="0" w:color="auto"/>
            <w:right w:val="none" w:sz="0" w:space="0" w:color="auto"/>
          </w:divBdr>
        </w:div>
        <w:div w:id="701903929">
          <w:marLeft w:val="0"/>
          <w:marRight w:val="0"/>
          <w:marTop w:val="0"/>
          <w:marBottom w:val="0"/>
          <w:divBdr>
            <w:top w:val="none" w:sz="0" w:space="0" w:color="auto"/>
            <w:left w:val="none" w:sz="0" w:space="0" w:color="auto"/>
            <w:bottom w:val="none" w:sz="0" w:space="0" w:color="auto"/>
            <w:right w:val="none" w:sz="0" w:space="0" w:color="auto"/>
          </w:divBdr>
        </w:div>
        <w:div w:id="1154957419">
          <w:marLeft w:val="0"/>
          <w:marRight w:val="0"/>
          <w:marTop w:val="0"/>
          <w:marBottom w:val="0"/>
          <w:divBdr>
            <w:top w:val="none" w:sz="0" w:space="0" w:color="auto"/>
            <w:left w:val="none" w:sz="0" w:space="0" w:color="auto"/>
            <w:bottom w:val="none" w:sz="0" w:space="0" w:color="auto"/>
            <w:right w:val="none" w:sz="0" w:space="0" w:color="auto"/>
          </w:divBdr>
        </w:div>
        <w:div w:id="1179152709">
          <w:marLeft w:val="0"/>
          <w:marRight w:val="0"/>
          <w:marTop w:val="0"/>
          <w:marBottom w:val="0"/>
          <w:divBdr>
            <w:top w:val="none" w:sz="0" w:space="0" w:color="auto"/>
            <w:left w:val="none" w:sz="0" w:space="0" w:color="auto"/>
            <w:bottom w:val="none" w:sz="0" w:space="0" w:color="auto"/>
            <w:right w:val="none" w:sz="0" w:space="0" w:color="auto"/>
          </w:divBdr>
        </w:div>
        <w:div w:id="1572042150">
          <w:marLeft w:val="0"/>
          <w:marRight w:val="0"/>
          <w:marTop w:val="0"/>
          <w:marBottom w:val="0"/>
          <w:divBdr>
            <w:top w:val="none" w:sz="0" w:space="0" w:color="auto"/>
            <w:left w:val="none" w:sz="0" w:space="0" w:color="auto"/>
            <w:bottom w:val="none" w:sz="0" w:space="0" w:color="auto"/>
            <w:right w:val="none" w:sz="0" w:space="0" w:color="auto"/>
          </w:divBdr>
        </w:div>
        <w:div w:id="1649476056">
          <w:marLeft w:val="0"/>
          <w:marRight w:val="0"/>
          <w:marTop w:val="0"/>
          <w:marBottom w:val="0"/>
          <w:divBdr>
            <w:top w:val="none" w:sz="0" w:space="0" w:color="auto"/>
            <w:left w:val="none" w:sz="0" w:space="0" w:color="auto"/>
            <w:bottom w:val="none" w:sz="0" w:space="0" w:color="auto"/>
            <w:right w:val="none" w:sz="0" w:space="0" w:color="auto"/>
          </w:divBdr>
        </w:div>
        <w:div w:id="1779569343">
          <w:marLeft w:val="0"/>
          <w:marRight w:val="0"/>
          <w:marTop w:val="0"/>
          <w:marBottom w:val="0"/>
          <w:divBdr>
            <w:top w:val="none" w:sz="0" w:space="0" w:color="auto"/>
            <w:left w:val="none" w:sz="0" w:space="0" w:color="auto"/>
            <w:bottom w:val="none" w:sz="0" w:space="0" w:color="auto"/>
            <w:right w:val="none" w:sz="0" w:space="0" w:color="auto"/>
          </w:divBdr>
        </w:div>
        <w:div w:id="1928229904">
          <w:marLeft w:val="0"/>
          <w:marRight w:val="0"/>
          <w:marTop w:val="0"/>
          <w:marBottom w:val="0"/>
          <w:divBdr>
            <w:top w:val="none" w:sz="0" w:space="0" w:color="auto"/>
            <w:left w:val="none" w:sz="0" w:space="0" w:color="auto"/>
            <w:bottom w:val="none" w:sz="0" w:space="0" w:color="auto"/>
            <w:right w:val="none" w:sz="0" w:space="0" w:color="auto"/>
          </w:divBdr>
        </w:div>
        <w:div w:id="1956056511">
          <w:marLeft w:val="0"/>
          <w:marRight w:val="0"/>
          <w:marTop w:val="0"/>
          <w:marBottom w:val="0"/>
          <w:divBdr>
            <w:top w:val="none" w:sz="0" w:space="0" w:color="auto"/>
            <w:left w:val="none" w:sz="0" w:space="0" w:color="auto"/>
            <w:bottom w:val="none" w:sz="0" w:space="0" w:color="auto"/>
            <w:right w:val="none" w:sz="0" w:space="0" w:color="auto"/>
          </w:divBdr>
        </w:div>
        <w:div w:id="2103868174">
          <w:marLeft w:val="0"/>
          <w:marRight w:val="0"/>
          <w:marTop w:val="0"/>
          <w:marBottom w:val="0"/>
          <w:divBdr>
            <w:top w:val="none" w:sz="0" w:space="0" w:color="auto"/>
            <w:left w:val="none" w:sz="0" w:space="0" w:color="auto"/>
            <w:bottom w:val="none" w:sz="0" w:space="0" w:color="auto"/>
            <w:right w:val="none" w:sz="0" w:space="0" w:color="auto"/>
          </w:divBdr>
        </w:div>
      </w:divsChild>
    </w:div>
    <w:div w:id="1812290453">
      <w:bodyDiv w:val="1"/>
      <w:marLeft w:val="0"/>
      <w:marRight w:val="0"/>
      <w:marTop w:val="0"/>
      <w:marBottom w:val="0"/>
      <w:divBdr>
        <w:top w:val="none" w:sz="0" w:space="0" w:color="auto"/>
        <w:left w:val="none" w:sz="0" w:space="0" w:color="auto"/>
        <w:bottom w:val="none" w:sz="0" w:space="0" w:color="auto"/>
        <w:right w:val="none" w:sz="0" w:space="0" w:color="auto"/>
      </w:divBdr>
    </w:div>
    <w:div w:id="1936010098">
      <w:bodyDiv w:val="1"/>
      <w:marLeft w:val="0"/>
      <w:marRight w:val="0"/>
      <w:marTop w:val="0"/>
      <w:marBottom w:val="0"/>
      <w:divBdr>
        <w:top w:val="none" w:sz="0" w:space="0" w:color="auto"/>
        <w:left w:val="none" w:sz="0" w:space="0" w:color="auto"/>
        <w:bottom w:val="none" w:sz="0" w:space="0" w:color="auto"/>
        <w:right w:val="none" w:sz="0" w:space="0" w:color="auto"/>
      </w:divBdr>
    </w:div>
    <w:div w:id="2023166450">
      <w:bodyDiv w:val="1"/>
      <w:marLeft w:val="0"/>
      <w:marRight w:val="0"/>
      <w:marTop w:val="0"/>
      <w:marBottom w:val="0"/>
      <w:divBdr>
        <w:top w:val="none" w:sz="0" w:space="0" w:color="auto"/>
        <w:left w:val="none" w:sz="0" w:space="0" w:color="auto"/>
        <w:bottom w:val="none" w:sz="0" w:space="0" w:color="auto"/>
        <w:right w:val="none" w:sz="0" w:space="0" w:color="auto"/>
      </w:divBdr>
    </w:div>
    <w:div w:id="2081443549">
      <w:bodyDiv w:val="1"/>
      <w:marLeft w:val="0"/>
      <w:marRight w:val="0"/>
      <w:marTop w:val="0"/>
      <w:marBottom w:val="0"/>
      <w:divBdr>
        <w:top w:val="none" w:sz="0" w:space="0" w:color="auto"/>
        <w:left w:val="none" w:sz="0" w:space="0" w:color="auto"/>
        <w:bottom w:val="none" w:sz="0" w:space="0" w:color="auto"/>
        <w:right w:val="none" w:sz="0" w:space="0" w:color="auto"/>
      </w:divBdr>
    </w:div>
    <w:div w:id="2101440760">
      <w:bodyDiv w:val="1"/>
      <w:marLeft w:val="0"/>
      <w:marRight w:val="0"/>
      <w:marTop w:val="0"/>
      <w:marBottom w:val="0"/>
      <w:divBdr>
        <w:top w:val="none" w:sz="0" w:space="0" w:color="auto"/>
        <w:left w:val="none" w:sz="0" w:space="0" w:color="auto"/>
        <w:bottom w:val="none" w:sz="0" w:space="0" w:color="auto"/>
        <w:right w:val="none" w:sz="0" w:space="0" w:color="auto"/>
      </w:divBdr>
    </w:div>
    <w:div w:id="212075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8" Type="http://schemas.openxmlformats.org/officeDocument/2006/relationships/hyperlink" Target="https://www.nychealthandhospitals.org/gotham-health/our-services/pediatric-services/" TargetMode="External"/><Relationship Id="rId13" Type="http://schemas.openxmlformats.org/officeDocument/2006/relationships/hyperlink" Target="https://www.cidrap.umn.edu/childhood-vaccines/cidrap-op-ed-quiet-dismantling-how-shared-decision-making-weakens-vaccine-policy" TargetMode="External"/><Relationship Id="rId18" Type="http://schemas.openxmlformats.org/officeDocument/2006/relationships/hyperlink" Target="https://www.fda.gov/food/nutrition-education-resources-materials/sodium-your-diet?utm_source=chatgpt.com" TargetMode="External"/><Relationship Id="rId3" Type="http://schemas.openxmlformats.org/officeDocument/2006/relationships/hyperlink" Target="https://www.nyc.gov/site/doh/about/press/pr2026/nyc-and-nys-health-departments-endorse-2026-aap-immunization-schedule.page" TargetMode="External"/><Relationship Id="rId7" Type="http://schemas.openxmlformats.org/officeDocument/2006/relationships/hyperlink" Target="https://www.nyc.gov/site/doh/providers/nyc-med-cir/vaccines-for-children-program.page" TargetMode="External"/><Relationship Id="rId12" Type="http://schemas.openxmlformats.org/officeDocument/2006/relationships/hyperlink" Target="https://www.ajmc.com/view/experts-warn-cdc-childhood-immunization-schedule-revisions-could-reduce-uptake-erode-public-trust" TargetMode="External"/><Relationship Id="rId17" Type="http://schemas.openxmlformats.org/officeDocument/2006/relationships/hyperlink" Target="https://www.kff.org/state-health-policy-data/state-indicator/children-0-18/?currentTimeframe=0&amp;sortModel=%7B%22colId%22:%22Location%22,%22sort%22:%22asc%22%7D" TargetMode="External"/><Relationship Id="rId2" Type="http://schemas.openxmlformats.org/officeDocument/2006/relationships/hyperlink" Target="https://www.nyc.gov/assets/doh/downloads/pdf/press/2026/01062026-childhood-vaccine-schedule.pdf" TargetMode="External"/><Relationship Id="rId16" Type="http://schemas.openxmlformats.org/officeDocument/2006/relationships/hyperlink" Target="https://www.medicaid.gov/federal-policy-guidance/downloads/sho25005.pdf" TargetMode="External"/><Relationship Id="rId20" Type="http://schemas.openxmlformats.org/officeDocument/2006/relationships/hyperlink" Target="https://www.nyc.gov/site/doh/about/press/pr2025/new-added-sugars-warning-rule-goes-into-effect-2025.page" TargetMode="External"/><Relationship Id="rId1" Type="http://schemas.openxmlformats.org/officeDocument/2006/relationships/hyperlink" Target="https://www.kff.org/other-health/the-new-federal-vaccine-schedule-what-changed/" TargetMode="External"/><Relationship Id="rId6" Type="http://schemas.openxmlformats.org/officeDocument/2006/relationships/hyperlink" Target="https://www.nyc.gov/site/doh/health/neighborhood-health/neighborhood-health-action-centers.page" TargetMode="External"/><Relationship Id="rId11" Type="http://schemas.openxmlformats.org/officeDocument/2006/relationships/hyperlink" Target="https://www.cdc.gov/media/releases/2026/2026-cdc-acts-on-presidential-memorandum-to-update-childhood-immunization-schedule.html" TargetMode="External"/><Relationship Id="rId5" Type="http://schemas.openxmlformats.org/officeDocument/2006/relationships/hyperlink" Target="https://www.nyc.gov/site/doh/services/immunization-clinics.page" TargetMode="External"/><Relationship Id="rId15" Type="http://schemas.openxmlformats.org/officeDocument/2006/relationships/hyperlink" Target="https://www.kff.org/medicaid/trump-administration-drops-medicaid-vaccine-reporting-requirements/" TargetMode="External"/><Relationship Id="rId10" Type="http://schemas.openxmlformats.org/officeDocument/2006/relationships/hyperlink" Target="https://www.hhs.gov/sites/default/files/decision-memo-adopting-revised-childhood-adolescent-immunization-schedule.pdf" TargetMode="External"/><Relationship Id="rId19" Type="http://schemas.openxmlformats.org/officeDocument/2006/relationships/hyperlink" Target="https://www.health.ny.gov/prevention/immunization/schools/school_vaccines/" TargetMode="External"/><Relationship Id="rId4" Type="http://schemas.openxmlformats.org/officeDocument/2006/relationships/hyperlink" Target="https://www.nyc.gov/site/doh/services/immunization-clinics.page" TargetMode="External"/><Relationship Id="rId9" Type="http://schemas.openxmlformats.org/officeDocument/2006/relationships/hyperlink" Target="https://www.nyc.gov/site/doh/data/data-sets/childhood-vaccination-data.page" TargetMode="External"/><Relationship Id="rId14" Type="http://schemas.openxmlformats.org/officeDocument/2006/relationships/hyperlink" Target="https://www.kff.org/public-opinion/kff-the-washington-post-survey-of-par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1FC8F-67A7-4385-9B94-843317FC4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7937</Words>
  <Characters>45246</Characters>
  <Application>Microsoft Office Word</Application>
  <DocSecurity>4</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53077</CharactersWithSpaces>
  <SharedDoc>false</SharedDoc>
  <HLinks>
    <vt:vector size="114" baseType="variant">
      <vt:variant>
        <vt:i4>7929883</vt:i4>
      </vt:variant>
      <vt:variant>
        <vt:i4>54</vt:i4>
      </vt:variant>
      <vt:variant>
        <vt:i4>0</vt:i4>
      </vt:variant>
      <vt:variant>
        <vt:i4>5</vt:i4>
      </vt:variant>
      <vt:variant>
        <vt:lpwstr>https://www.health.ny.gov/prevention/immunization/schools/school_vaccines/</vt:lpwstr>
      </vt:variant>
      <vt:variant>
        <vt:lpwstr/>
      </vt:variant>
      <vt:variant>
        <vt:i4>5636171</vt:i4>
      </vt:variant>
      <vt:variant>
        <vt:i4>51</vt:i4>
      </vt:variant>
      <vt:variant>
        <vt:i4>0</vt:i4>
      </vt:variant>
      <vt:variant>
        <vt:i4>5</vt:i4>
      </vt:variant>
      <vt:variant>
        <vt:lpwstr>https://www.nyc.gov/site/doh/about/press/pr2025/new-added-sugars-warning-rule-goes-into-effect-2025.page</vt:lpwstr>
      </vt:variant>
      <vt:variant>
        <vt:lpwstr/>
      </vt:variant>
      <vt:variant>
        <vt:i4>7733332</vt:i4>
      </vt:variant>
      <vt:variant>
        <vt:i4>48</vt:i4>
      </vt:variant>
      <vt:variant>
        <vt:i4>0</vt:i4>
      </vt:variant>
      <vt:variant>
        <vt:i4>5</vt:i4>
      </vt:variant>
      <vt:variant>
        <vt:lpwstr>https://www.fda.gov/food/nutrition-education-resources-materials/sodium-your-diet?utm_source=chatgpt.com</vt:lpwstr>
      </vt:variant>
      <vt:variant>
        <vt:lpwstr/>
      </vt:variant>
      <vt:variant>
        <vt:i4>7733354</vt:i4>
      </vt:variant>
      <vt:variant>
        <vt:i4>45</vt:i4>
      </vt:variant>
      <vt:variant>
        <vt:i4>0</vt:i4>
      </vt:variant>
      <vt:variant>
        <vt:i4>5</vt:i4>
      </vt:variant>
      <vt:variant>
        <vt:lpwstr>https://www.kff.org/state-health-policy-data/state-indicator/children-0-18/?currentTimeframe=0&amp;sortModel=%7B%22colId%22:%22Location%22,%22sort%22:%22asc%22%7D</vt:lpwstr>
      </vt:variant>
      <vt:variant>
        <vt:lpwstr/>
      </vt:variant>
      <vt:variant>
        <vt:i4>3801143</vt:i4>
      </vt:variant>
      <vt:variant>
        <vt:i4>42</vt:i4>
      </vt:variant>
      <vt:variant>
        <vt:i4>0</vt:i4>
      </vt:variant>
      <vt:variant>
        <vt:i4>5</vt:i4>
      </vt:variant>
      <vt:variant>
        <vt:lpwstr>https://www.medicaid.gov/federal-policy-guidance/downloads/sho25005.pdf</vt:lpwstr>
      </vt:variant>
      <vt:variant>
        <vt:lpwstr/>
      </vt:variant>
      <vt:variant>
        <vt:i4>21</vt:i4>
      </vt:variant>
      <vt:variant>
        <vt:i4>39</vt:i4>
      </vt:variant>
      <vt:variant>
        <vt:i4>0</vt:i4>
      </vt:variant>
      <vt:variant>
        <vt:i4>5</vt:i4>
      </vt:variant>
      <vt:variant>
        <vt:lpwstr>https://www.kff.org/medicaid/trump-administration-drops-medicaid-vaccine-reporting-requirements/</vt:lpwstr>
      </vt:variant>
      <vt:variant>
        <vt:lpwstr/>
      </vt:variant>
      <vt:variant>
        <vt:i4>3014713</vt:i4>
      </vt:variant>
      <vt:variant>
        <vt:i4>36</vt:i4>
      </vt:variant>
      <vt:variant>
        <vt:i4>0</vt:i4>
      </vt:variant>
      <vt:variant>
        <vt:i4>5</vt:i4>
      </vt:variant>
      <vt:variant>
        <vt:lpwstr>https://www.cidrap.umn.edu/childhood-vaccines/cidrap-op-ed-quiet-dismantling-how-shared-decision-making-weakens-vaccine-policy</vt:lpwstr>
      </vt:variant>
      <vt:variant>
        <vt:lpwstr/>
      </vt:variant>
      <vt:variant>
        <vt:i4>6291508</vt:i4>
      </vt:variant>
      <vt:variant>
        <vt:i4>33</vt:i4>
      </vt:variant>
      <vt:variant>
        <vt:i4>0</vt:i4>
      </vt:variant>
      <vt:variant>
        <vt:i4>5</vt:i4>
      </vt:variant>
      <vt:variant>
        <vt:lpwstr>https://www.ajmc.com/view/experts-warn-cdc-childhood-immunization-schedule-revisions-could-reduce-uptake-erode-public-trust</vt:lpwstr>
      </vt:variant>
      <vt:variant>
        <vt:lpwstr/>
      </vt:variant>
      <vt:variant>
        <vt:i4>2097185</vt:i4>
      </vt:variant>
      <vt:variant>
        <vt:i4>30</vt:i4>
      </vt:variant>
      <vt:variant>
        <vt:i4>0</vt:i4>
      </vt:variant>
      <vt:variant>
        <vt:i4>5</vt:i4>
      </vt:variant>
      <vt:variant>
        <vt:lpwstr>https://www.cdc.gov/media/releases/2026/2026-cdc-acts-on-presidential-memorandum-to-update-childhood-immunization-schedule.html</vt:lpwstr>
      </vt:variant>
      <vt:variant>
        <vt:lpwstr/>
      </vt:variant>
      <vt:variant>
        <vt:i4>4587521</vt:i4>
      </vt:variant>
      <vt:variant>
        <vt:i4>27</vt:i4>
      </vt:variant>
      <vt:variant>
        <vt:i4>0</vt:i4>
      </vt:variant>
      <vt:variant>
        <vt:i4>5</vt:i4>
      </vt:variant>
      <vt:variant>
        <vt:lpwstr>https://www.hhs.gov/sites/default/files/decision-memo-adopting-revised-childhood-adolescent-immunization-schedule.pdf</vt:lpwstr>
      </vt:variant>
      <vt:variant>
        <vt:lpwstr/>
      </vt:variant>
      <vt:variant>
        <vt:i4>2818111</vt:i4>
      </vt:variant>
      <vt:variant>
        <vt:i4>24</vt:i4>
      </vt:variant>
      <vt:variant>
        <vt:i4>0</vt:i4>
      </vt:variant>
      <vt:variant>
        <vt:i4>5</vt:i4>
      </vt:variant>
      <vt:variant>
        <vt:lpwstr>https://www.nyc.gov/site/doh/data/data-sets/childhood-vaccination-data.page</vt:lpwstr>
      </vt:variant>
      <vt:variant>
        <vt:lpwstr/>
      </vt:variant>
      <vt:variant>
        <vt:i4>1572884</vt:i4>
      </vt:variant>
      <vt:variant>
        <vt:i4>21</vt:i4>
      </vt:variant>
      <vt:variant>
        <vt:i4>0</vt:i4>
      </vt:variant>
      <vt:variant>
        <vt:i4>5</vt:i4>
      </vt:variant>
      <vt:variant>
        <vt:lpwstr>https://www.nychealthandhospitals.org/gotham-health/our-services/pediatric-services/</vt:lpwstr>
      </vt:variant>
      <vt:variant>
        <vt:lpwstr/>
      </vt:variant>
      <vt:variant>
        <vt:i4>5439557</vt:i4>
      </vt:variant>
      <vt:variant>
        <vt:i4>18</vt:i4>
      </vt:variant>
      <vt:variant>
        <vt:i4>0</vt:i4>
      </vt:variant>
      <vt:variant>
        <vt:i4>5</vt:i4>
      </vt:variant>
      <vt:variant>
        <vt:lpwstr>https://www.nyc.gov/site/doh/providers/nyc-med-cir/vaccines-for-children-program.page</vt:lpwstr>
      </vt:variant>
      <vt:variant>
        <vt:lpwstr/>
      </vt:variant>
      <vt:variant>
        <vt:i4>6750254</vt:i4>
      </vt:variant>
      <vt:variant>
        <vt:i4>15</vt:i4>
      </vt:variant>
      <vt:variant>
        <vt:i4>0</vt:i4>
      </vt:variant>
      <vt:variant>
        <vt:i4>5</vt:i4>
      </vt:variant>
      <vt:variant>
        <vt:lpwstr>https://www.nyc.gov/site/doh/health/neighborhood-health/neighborhood-health-action-centers.page</vt:lpwstr>
      </vt:variant>
      <vt:variant>
        <vt:lpwstr/>
      </vt:variant>
      <vt:variant>
        <vt:i4>7143487</vt:i4>
      </vt:variant>
      <vt:variant>
        <vt:i4>12</vt:i4>
      </vt:variant>
      <vt:variant>
        <vt:i4>0</vt:i4>
      </vt:variant>
      <vt:variant>
        <vt:i4>5</vt:i4>
      </vt:variant>
      <vt:variant>
        <vt:lpwstr>https://www.nyc.gov/site/doh/services/immunization-clinics.page</vt:lpwstr>
      </vt:variant>
      <vt:variant>
        <vt:lpwstr/>
      </vt:variant>
      <vt:variant>
        <vt:i4>7143487</vt:i4>
      </vt:variant>
      <vt:variant>
        <vt:i4>9</vt:i4>
      </vt:variant>
      <vt:variant>
        <vt:i4>0</vt:i4>
      </vt:variant>
      <vt:variant>
        <vt:i4>5</vt:i4>
      </vt:variant>
      <vt:variant>
        <vt:lpwstr>https://www.nyc.gov/site/doh/services/immunization-clinics.page</vt:lpwstr>
      </vt:variant>
      <vt:variant>
        <vt:lpwstr/>
      </vt:variant>
      <vt:variant>
        <vt:i4>7405616</vt:i4>
      </vt:variant>
      <vt:variant>
        <vt:i4>6</vt:i4>
      </vt:variant>
      <vt:variant>
        <vt:i4>0</vt:i4>
      </vt:variant>
      <vt:variant>
        <vt:i4>5</vt:i4>
      </vt:variant>
      <vt:variant>
        <vt:lpwstr>https://www.nyc.gov/site/doh/about/press/pr2026/nyc-and-nys-health-departments-endorse-2026-aap-immunization-schedule.page</vt:lpwstr>
      </vt:variant>
      <vt:variant>
        <vt:lpwstr/>
      </vt:variant>
      <vt:variant>
        <vt:i4>2097207</vt:i4>
      </vt:variant>
      <vt:variant>
        <vt:i4>3</vt:i4>
      </vt:variant>
      <vt:variant>
        <vt:i4>0</vt:i4>
      </vt:variant>
      <vt:variant>
        <vt:i4>5</vt:i4>
      </vt:variant>
      <vt:variant>
        <vt:lpwstr>https://www.nyc.gov/assets/doh/downloads/pdf/press/2026/01062026-childhood-vaccine-schedule.pdf</vt:lpwstr>
      </vt:variant>
      <vt:variant>
        <vt:lpwstr/>
      </vt:variant>
      <vt:variant>
        <vt:i4>3014700</vt:i4>
      </vt:variant>
      <vt:variant>
        <vt:i4>0</vt:i4>
      </vt:variant>
      <vt:variant>
        <vt:i4>0</vt:i4>
      </vt:variant>
      <vt:variant>
        <vt:i4>5</vt:i4>
      </vt:variant>
      <vt:variant>
        <vt:lpwstr>https://www.kff.org/other-health/the-new-federal-vaccine-schedule-what-changed/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 Ogasawara</dc:creator>
  <cp:keywords/>
  <dc:description/>
  <cp:lastModifiedBy>Jeffries, Jillian</cp:lastModifiedBy>
  <cp:revision>2</cp:revision>
  <cp:lastPrinted>2025-12-04T06:22:00Z</cp:lastPrinted>
  <dcterms:created xsi:type="dcterms:W3CDTF">2026-03-02T18:14:00Z</dcterms:created>
  <dcterms:modified xsi:type="dcterms:W3CDTF">2026-03-02T18:14:00Z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13adcf17b01200c8448257aac2ee042e90852179b9ee80be3f801fe22e53c9e8</vt:lpwstr>
  </property>
</Properties>
</file>