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0293-2026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requiring the police department to report on missing persons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spacing w:after="240" w:before="240" w:lineRule="auto"/>
        <w:rPr/>
      </w:pPr>
      <w:r w:rsidDel="00000000" w:rsidR="00000000" w:rsidRPr="00000000">
        <w:rPr>
          <w:rtl w:val="0"/>
        </w:rPr>
        <w:t xml:space="preserve">This legislation seeks to improve transparency, accountability, and public understanding of missing persons cases in New York City by requiring the Police Department to regularly report data relating to missing persons investigations. Every year, thousands of individuals are reported missing in New York City, leaving families and communities searching for answers and relying on law enforcement agencies to conduct timely and effective investigations. Despite the significance of these cases, comprehensive public data regarding missing persons reports, investigative outcomes, and demographic trends remains limited.</w:t>
      </w:r>
    </w:p>
    <w:p w:rsidR="00000000" w:rsidDel="00000000" w:rsidP="00000000" w:rsidRDefault="00000000" w:rsidRPr="00000000" w14:paraId="00000013">
      <w:pPr>
        <w:spacing w:after="240" w:before="240" w:lineRule="auto"/>
        <w:rPr/>
      </w:pPr>
      <w:r w:rsidDel="00000000" w:rsidR="00000000" w:rsidRPr="00000000">
        <w:rPr>
          <w:rtl w:val="0"/>
        </w:rPr>
        <w:t xml:space="preserve">Missing persons cases often disproportionately affect vulnerable populations, including children, older adults, individuals with disabilities, survivors of domestic violence, members of the LGBTQ+ community, and people experiencing mental health crises or housing instability. Without consistent reporting, policymakers and the public lack the information necessary to identify trends, allocate resources, and evaluate whether existing response systems are effectively serving those most at risk.</w:t>
      </w:r>
    </w:p>
    <w:p w:rsidR="00000000" w:rsidDel="00000000" w:rsidP="00000000" w:rsidRDefault="00000000" w:rsidRPr="00000000" w14:paraId="00000014">
      <w:pPr>
        <w:spacing w:after="240" w:before="240" w:lineRule="auto"/>
        <w:rPr/>
      </w:pPr>
      <w:r w:rsidDel="00000000" w:rsidR="00000000" w:rsidRPr="00000000">
        <w:rPr>
          <w:rtl w:val="0"/>
        </w:rPr>
        <w:t xml:space="preserve">By requiring regular reporting on missing persons cases, this legislation would provide greater insight into the scope and nature of the issue, including information on case volume, demographics, recovery rates, and case resolution timelines. Increased transparency would help inform future policy decisions, strengthen public confidence in investigative efforts, and support more targeted interventions to prevent disappearances and improve outcomes for missing individuals and their families. This measure reflects the City's commitment to protecting vulnerable residents and ensuring that missing persons cases receive the attention and oversight they deserve.</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6rV1S1RpO4bvu7PLSnCf+pZSQw==">CgMxLjA4AHIhMUQ5UklKb1QzVENYcDE0cUxXZXd5ZV9zY1pMVHdfT3lH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