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pPr>
      <w:r w:rsidDel="00000000" w:rsidR="00000000" w:rsidRPr="00000000">
        <w:rPr>
          <w:rtl w:val="0"/>
        </w:rPr>
        <w:t xml:space="preserve">New York City Council</w:t>
      </w:r>
    </w:p>
    <w:p w:rsidR="00000000" w:rsidDel="00000000" w:rsidP="00000000" w:rsidRDefault="00000000" w:rsidRPr="00000000" w14:paraId="00000002">
      <w:pPr>
        <w:pStyle w:val="Title"/>
        <w:rPr/>
      </w:pPr>
      <w:r w:rsidDel="00000000" w:rsidR="00000000" w:rsidRPr="00000000">
        <w:rPr>
          <w:rtl w:val="0"/>
        </w:rPr>
        <w:t xml:space="preserve">Memorandum in Support of Legislation</w:t>
      </w:r>
    </w:p>
    <w:p w:rsidR="00000000" w:rsidDel="00000000" w:rsidP="00000000" w:rsidRDefault="00000000" w:rsidRPr="00000000" w14:paraId="00000003">
      <w:pPr>
        <w:rPr>
          <w:i w:val="1"/>
          <w:iCs w:val="1"/>
        </w:rPr>
      </w:pPr>
      <w:r w:rsidDel="00000000" w:rsidR="00000000" w:rsidRPr="00000000">
        <w:rPr>
          <w:i w:val="1"/>
          <w:iCs w:val="1"/>
          <w:rtl w:val="0"/>
        </w:rPr>
        <w:t xml:space="preserve">This memorandum is authored by the sponsor and explains the need for the legislation referenced below, in accordance with Rule 6.00(d) of the Rules of the Council.</w:t>
      </w:r>
    </w:p>
    <w:p w:rsidR="00000000" w:rsidDel="00000000" w:rsidP="00000000" w:rsidRDefault="00000000" w:rsidRPr="00000000" w14:paraId="00000004">
      <w:pPr>
        <w:rPr>
          <w:i w:val="1"/>
          <w:iCs w:val="1"/>
        </w:rPr>
      </w:pPr>
      <w:r w:rsidDel="00000000" w:rsidR="00000000" w:rsidRPr="00000000">
        <w:rPr>
          <w:rtl w:val="0"/>
        </w:rPr>
      </w:r>
    </w:p>
    <w:p w:rsidR="00000000" w:rsidDel="00000000" w:rsidP="00000000" w:rsidRDefault="00000000" w:rsidRPr="00000000" w14:paraId="00000005">
      <w:pPr>
        <w:pStyle w:val="Heading1"/>
        <w:rPr/>
      </w:pPr>
      <w:r w:rsidDel="00000000" w:rsidR="00000000" w:rsidRPr="00000000">
        <w:rPr>
          <w:rtl w:val="0"/>
        </w:rPr>
        <w:t xml:space="preserve">Introduction Number:</w:t>
      </w:r>
    </w:p>
    <w:p w:rsidR="00000000" w:rsidDel="00000000" w:rsidP="00000000" w:rsidRDefault="00000000" w:rsidRPr="00000000" w14:paraId="00000006">
      <w:pPr>
        <w:rPr/>
      </w:pPr>
      <w:r w:rsidDel="00000000" w:rsidR="00000000" w:rsidRPr="00000000">
        <w:rPr>
          <w:rtl w:val="0"/>
        </w:rPr>
        <w:t xml:space="preserve">Int. No. 0287-2026</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pStyle w:val="Heading1"/>
        <w:rPr>
          <w:u w:val="none"/>
        </w:rPr>
      </w:pPr>
      <w:r w:rsidDel="00000000" w:rsidR="00000000" w:rsidRPr="00000000">
        <w:rPr>
          <w:rtl w:val="0"/>
        </w:rPr>
        <w:t xml:space="preserve">Prime Sponsors:</w:t>
      </w: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Council Member Louis</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pStyle w:val="Heading1"/>
        <w:rPr/>
      </w:pPr>
      <w:r w:rsidDel="00000000" w:rsidR="00000000" w:rsidRPr="00000000">
        <w:rPr>
          <w:rtl w:val="0"/>
        </w:rPr>
        <w:t xml:space="preserve">Bill Title:</w:t>
      </w:r>
    </w:p>
    <w:p w:rsidR="00000000" w:rsidDel="00000000" w:rsidP="00000000" w:rsidRDefault="00000000" w:rsidRPr="00000000" w14:paraId="0000000C">
      <w:pPr>
        <w:rPr/>
      </w:pPr>
      <w:r w:rsidDel="00000000" w:rsidR="00000000" w:rsidRPr="00000000">
        <w:rPr>
          <w:rtl w:val="0"/>
        </w:rPr>
        <w:t xml:space="preserve">A Local Law to </w:t>
      </w:r>
      <w:r w:rsidDel="00000000" w:rsidR="00000000" w:rsidRPr="00000000">
        <w:rPr>
          <w:rtl w:val="0"/>
        </w:rPr>
        <w:t xml:space="preserve">a</w:t>
      </w:r>
      <w:r w:rsidDel="00000000" w:rsidR="00000000" w:rsidRPr="00000000">
        <w:rPr>
          <w:rtl w:val="0"/>
        </w:rPr>
        <w:t xml:space="preserve">mend </w:t>
      </w:r>
      <w:r w:rsidDel="00000000" w:rsidR="00000000" w:rsidRPr="00000000">
        <w:rPr>
          <w:rtl w:val="0"/>
        </w:rPr>
        <w:t xml:space="preserve">the</w:t>
      </w:r>
      <w:r w:rsidDel="00000000" w:rsidR="00000000" w:rsidRPr="00000000">
        <w:rPr>
          <w:rtl w:val="0"/>
        </w:rPr>
        <w:t xml:space="preserve"> </w:t>
      </w:r>
      <w:r w:rsidDel="00000000" w:rsidR="00000000" w:rsidRPr="00000000">
        <w:rPr>
          <w:rtl w:val="0"/>
        </w:rPr>
        <w:t xml:space="preserve">a</w:t>
      </w:r>
      <w:r w:rsidDel="00000000" w:rsidR="00000000" w:rsidRPr="00000000">
        <w:rPr>
          <w:rtl w:val="0"/>
        </w:rPr>
        <w:t xml:space="preserve">dm</w:t>
      </w:r>
      <w:r w:rsidDel="00000000" w:rsidR="00000000" w:rsidRPr="00000000">
        <w:rPr>
          <w:rtl w:val="0"/>
        </w:rPr>
        <w:t xml:space="preserve">in</w:t>
      </w:r>
      <w:r w:rsidDel="00000000" w:rsidR="00000000" w:rsidRPr="00000000">
        <w:rPr>
          <w:rtl w:val="0"/>
        </w:rPr>
        <w:t xml:space="preserve">istr</w:t>
      </w:r>
      <w:r w:rsidDel="00000000" w:rsidR="00000000" w:rsidRPr="00000000">
        <w:rPr>
          <w:rtl w:val="0"/>
        </w:rPr>
        <w:t xml:space="preserve">a</w:t>
      </w:r>
      <w:r w:rsidDel="00000000" w:rsidR="00000000" w:rsidRPr="00000000">
        <w:rPr>
          <w:rtl w:val="0"/>
        </w:rPr>
        <w:t xml:space="preserve">tive </w:t>
      </w:r>
      <w:r w:rsidDel="00000000" w:rsidR="00000000" w:rsidRPr="00000000">
        <w:rPr>
          <w:rtl w:val="0"/>
        </w:rPr>
        <w:t xml:space="preserve">code</w:t>
      </w:r>
      <w:r w:rsidDel="00000000" w:rsidR="00000000" w:rsidRPr="00000000">
        <w:rPr>
          <w:rtl w:val="0"/>
        </w:rPr>
        <w:t xml:space="preserve"> </w:t>
      </w:r>
      <w:r w:rsidDel="00000000" w:rsidR="00000000" w:rsidRPr="00000000">
        <w:rPr>
          <w:rtl w:val="0"/>
        </w:rPr>
        <w:t xml:space="preserve">of</w:t>
      </w:r>
      <w:r w:rsidDel="00000000" w:rsidR="00000000" w:rsidRPr="00000000">
        <w:rPr>
          <w:rtl w:val="0"/>
        </w:rPr>
        <w:t xml:space="preserve"> </w:t>
      </w:r>
      <w:r w:rsidDel="00000000" w:rsidR="00000000" w:rsidRPr="00000000">
        <w:rPr>
          <w:rtl w:val="0"/>
        </w:rPr>
        <w:t xml:space="preserve">the</w:t>
      </w:r>
      <w:r w:rsidDel="00000000" w:rsidR="00000000" w:rsidRPr="00000000">
        <w:rPr>
          <w:rtl w:val="0"/>
        </w:rPr>
        <w:t xml:space="preserve"> </w:t>
      </w:r>
      <w:r w:rsidDel="00000000" w:rsidR="00000000" w:rsidRPr="00000000">
        <w:rPr>
          <w:rtl w:val="0"/>
        </w:rPr>
        <w:t xml:space="preserve">city</w:t>
      </w:r>
      <w:r w:rsidDel="00000000" w:rsidR="00000000" w:rsidRPr="00000000">
        <w:rPr>
          <w:rtl w:val="0"/>
        </w:rPr>
        <w:t xml:space="preserve"> </w:t>
      </w:r>
      <w:r w:rsidDel="00000000" w:rsidR="00000000" w:rsidRPr="00000000">
        <w:rPr>
          <w:rtl w:val="0"/>
        </w:rPr>
        <w:t xml:space="preserve">of</w:t>
      </w:r>
      <w:r w:rsidDel="00000000" w:rsidR="00000000" w:rsidRPr="00000000">
        <w:rPr>
          <w:rtl w:val="0"/>
        </w:rPr>
        <w:t xml:space="preserve"> </w:t>
      </w:r>
      <w:r w:rsidDel="00000000" w:rsidR="00000000" w:rsidRPr="00000000">
        <w:rPr>
          <w:rtl w:val="0"/>
        </w:rPr>
        <w:t xml:space="preserve">New</w:t>
      </w:r>
      <w:r w:rsidDel="00000000" w:rsidR="00000000" w:rsidRPr="00000000">
        <w:rPr>
          <w:rtl w:val="0"/>
        </w:rPr>
        <w:t xml:space="preserve"> </w:t>
      </w:r>
      <w:r w:rsidDel="00000000" w:rsidR="00000000" w:rsidRPr="00000000">
        <w:rPr>
          <w:rtl w:val="0"/>
        </w:rPr>
        <w:t xml:space="preserve">York,</w:t>
      </w:r>
      <w:r w:rsidDel="00000000" w:rsidR="00000000" w:rsidRPr="00000000">
        <w:rPr>
          <w:rtl w:val="0"/>
        </w:rPr>
        <w:t xml:space="preserve"> </w:t>
      </w:r>
      <w:r w:rsidDel="00000000" w:rsidR="00000000" w:rsidRPr="00000000">
        <w:rPr>
          <w:rtl w:val="0"/>
        </w:rPr>
        <w:t xml:space="preserve">in</w:t>
      </w:r>
      <w:r w:rsidDel="00000000" w:rsidR="00000000" w:rsidRPr="00000000">
        <w:rPr>
          <w:rtl w:val="0"/>
        </w:rPr>
        <w:t xml:space="preserve"> </w:t>
      </w:r>
      <w:r w:rsidDel="00000000" w:rsidR="00000000" w:rsidRPr="00000000">
        <w:rPr>
          <w:rtl w:val="0"/>
        </w:rPr>
        <w:t xml:space="preserve">relation</w:t>
      </w:r>
      <w:r w:rsidDel="00000000" w:rsidR="00000000" w:rsidRPr="00000000">
        <w:rPr>
          <w:rtl w:val="0"/>
        </w:rPr>
        <w:t xml:space="preserve"> </w:t>
      </w:r>
      <w:r w:rsidDel="00000000" w:rsidR="00000000" w:rsidRPr="00000000">
        <w:rPr>
          <w:rtl w:val="0"/>
        </w:rPr>
        <w:t xml:space="preserve">to</w:t>
      </w:r>
      <w:r w:rsidDel="00000000" w:rsidR="00000000" w:rsidRPr="00000000">
        <w:rPr>
          <w:rtl w:val="0"/>
        </w:rPr>
        <w:t xml:space="preserve"> </w:t>
      </w:r>
      <w:r w:rsidDel="00000000" w:rsidR="00000000" w:rsidRPr="00000000">
        <w:rPr>
          <w:rtl w:val="0"/>
        </w:rPr>
        <w:t xml:space="preserve">a</w:t>
      </w:r>
      <w:r w:rsidDel="00000000" w:rsidR="00000000" w:rsidRPr="00000000">
        <w:rPr>
          <w:rtl w:val="0"/>
        </w:rPr>
        <w:t xml:space="preserve">n </w:t>
      </w:r>
      <w:r w:rsidDel="00000000" w:rsidR="00000000" w:rsidRPr="00000000">
        <w:rPr>
          <w:rtl w:val="0"/>
        </w:rPr>
        <w:t xml:space="preserve">in</w:t>
      </w:r>
      <w:r w:rsidDel="00000000" w:rsidR="00000000" w:rsidRPr="00000000">
        <w:rPr>
          <w:rtl w:val="0"/>
        </w:rPr>
        <w:t xml:space="preserve">ter</w:t>
      </w:r>
      <w:r w:rsidDel="00000000" w:rsidR="00000000" w:rsidRPr="00000000">
        <w:rPr>
          <w:rtl w:val="0"/>
        </w:rPr>
        <w:t xml:space="preserve">a</w:t>
      </w:r>
      <w:r w:rsidDel="00000000" w:rsidR="00000000" w:rsidRPr="00000000">
        <w:rPr>
          <w:rtl w:val="0"/>
        </w:rPr>
        <w:t xml:space="preserve">gency </w:t>
      </w:r>
      <w:r w:rsidDel="00000000" w:rsidR="00000000" w:rsidRPr="00000000">
        <w:rPr>
          <w:rtl w:val="0"/>
        </w:rPr>
        <w:t xml:space="preserve">taskforce</w:t>
      </w:r>
      <w:r w:rsidDel="00000000" w:rsidR="00000000" w:rsidRPr="00000000">
        <w:rPr>
          <w:rtl w:val="0"/>
        </w:rPr>
        <w:t xml:space="preserve"> </w:t>
      </w:r>
      <w:r w:rsidDel="00000000" w:rsidR="00000000" w:rsidRPr="00000000">
        <w:rPr>
          <w:rtl w:val="0"/>
        </w:rPr>
        <w:t xml:space="preserve">a</w:t>
      </w:r>
      <w:r w:rsidDel="00000000" w:rsidR="00000000" w:rsidRPr="00000000">
        <w:rPr>
          <w:rtl w:val="0"/>
        </w:rPr>
        <w:t xml:space="preserve">nd </w:t>
      </w:r>
      <w:r w:rsidDel="00000000" w:rsidR="00000000" w:rsidRPr="00000000">
        <w:rPr>
          <w:rtl w:val="0"/>
        </w:rPr>
        <w:t xml:space="preserve">reporting</w:t>
      </w:r>
      <w:r w:rsidDel="00000000" w:rsidR="00000000" w:rsidRPr="00000000">
        <w:rPr>
          <w:rtl w:val="0"/>
        </w:rPr>
        <w:t xml:space="preserve"> </w:t>
      </w:r>
      <w:r w:rsidDel="00000000" w:rsidR="00000000" w:rsidRPr="00000000">
        <w:rPr>
          <w:rtl w:val="0"/>
        </w:rPr>
        <w:t xml:space="preserve">on</w:t>
      </w:r>
      <w:r w:rsidDel="00000000" w:rsidR="00000000" w:rsidRPr="00000000">
        <w:rPr>
          <w:rtl w:val="0"/>
        </w:rPr>
        <w:t xml:space="preserve"> </w:t>
      </w:r>
      <w:r w:rsidDel="00000000" w:rsidR="00000000" w:rsidRPr="00000000">
        <w:rPr>
          <w:rtl w:val="0"/>
        </w:rPr>
        <w:t xml:space="preserve">a</w:t>
      </w:r>
      <w:r w:rsidDel="00000000" w:rsidR="00000000" w:rsidRPr="00000000">
        <w:rPr>
          <w:rtl w:val="0"/>
        </w:rPr>
        <w:t xml:space="preserve"> </w:t>
      </w:r>
      <w:r w:rsidDel="00000000" w:rsidR="00000000" w:rsidRPr="00000000">
        <w:rPr>
          <w:rtl w:val="0"/>
        </w:rPr>
        <w:t xml:space="preserve">gendered</w:t>
      </w:r>
      <w:r w:rsidDel="00000000" w:rsidR="00000000" w:rsidRPr="00000000">
        <w:rPr>
          <w:rtl w:val="0"/>
        </w:rPr>
        <w:t xml:space="preserve"> </w:t>
      </w:r>
      <w:r w:rsidDel="00000000" w:rsidR="00000000" w:rsidRPr="00000000">
        <w:rPr>
          <w:rtl w:val="0"/>
        </w:rPr>
        <w:t xml:space="preserve">impact</w:t>
      </w:r>
      <w:r w:rsidDel="00000000" w:rsidR="00000000" w:rsidRPr="00000000">
        <w:rPr>
          <w:rtl w:val="0"/>
        </w:rPr>
        <w:t xml:space="preserve"> </w:t>
      </w:r>
      <w:r w:rsidDel="00000000" w:rsidR="00000000" w:rsidRPr="00000000">
        <w:rPr>
          <w:rtl w:val="0"/>
        </w:rPr>
        <w:t xml:space="preserve">a</w:t>
      </w:r>
      <w:r w:rsidDel="00000000" w:rsidR="00000000" w:rsidRPr="00000000">
        <w:rPr>
          <w:rtl w:val="0"/>
        </w:rPr>
        <w:t xml:space="preserve">ssessment </w:t>
      </w:r>
      <w:r w:rsidDel="00000000" w:rsidR="00000000" w:rsidRPr="00000000">
        <w:rPr>
          <w:rtl w:val="0"/>
        </w:rPr>
        <w:t xml:space="preserve">of</w:t>
      </w:r>
      <w:r w:rsidDel="00000000" w:rsidR="00000000" w:rsidRPr="00000000">
        <w:rPr>
          <w:rtl w:val="0"/>
        </w:rPr>
        <w:t xml:space="preserve"> </w:t>
      </w:r>
      <w:r w:rsidDel="00000000" w:rsidR="00000000" w:rsidRPr="00000000">
        <w:rPr>
          <w:rtl w:val="0"/>
        </w:rPr>
        <w:t xml:space="preserve">a</w:t>
      </w:r>
      <w:r w:rsidDel="00000000" w:rsidR="00000000" w:rsidRPr="00000000">
        <w:rPr>
          <w:rtl w:val="0"/>
        </w:rPr>
        <w:t xml:space="preserve">rtifici</w:t>
      </w:r>
      <w:r w:rsidDel="00000000" w:rsidR="00000000" w:rsidRPr="00000000">
        <w:rPr>
          <w:rtl w:val="0"/>
        </w:rPr>
        <w:t xml:space="preserve">a</w:t>
      </w:r>
      <w:r w:rsidDel="00000000" w:rsidR="00000000" w:rsidRPr="00000000">
        <w:rPr>
          <w:rtl w:val="0"/>
        </w:rPr>
        <w:t xml:space="preserve">l </w:t>
      </w:r>
      <w:r w:rsidDel="00000000" w:rsidR="00000000" w:rsidRPr="00000000">
        <w:rPr>
          <w:rtl w:val="0"/>
        </w:rPr>
        <w:t xml:space="preserve">in</w:t>
      </w:r>
      <w:r w:rsidDel="00000000" w:rsidR="00000000" w:rsidRPr="00000000">
        <w:rPr>
          <w:rtl w:val="0"/>
        </w:rPr>
        <w:t xml:space="preserve">telligence</w:t>
      </w:r>
      <w:r w:rsidDel="00000000" w:rsidR="00000000" w:rsidRPr="00000000">
        <w:rPr>
          <w:rtl w:val="0"/>
        </w:rPr>
        <w:t xml:space="preserve"> </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pStyle w:val="Heading1"/>
        <w:rPr/>
      </w:pPr>
      <w:r w:rsidDel="00000000" w:rsidR="00000000" w:rsidRPr="00000000">
        <w:rPr>
          <w:rtl w:val="0"/>
        </w:rPr>
        <w:t xml:space="preserve">Submitted by:</w:t>
      </w:r>
    </w:p>
    <w:p w:rsidR="00000000" w:rsidDel="00000000" w:rsidP="00000000" w:rsidRDefault="00000000" w:rsidRPr="00000000" w14:paraId="0000000F">
      <w:pPr>
        <w:rPr/>
      </w:pPr>
      <w:r w:rsidDel="00000000" w:rsidR="00000000" w:rsidRPr="00000000">
        <w:rPr>
          <w:rtl w:val="0"/>
        </w:rPr>
        <w:t xml:space="preserve">Council Member Louis</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pStyle w:val="Heading1"/>
        <w:rPr/>
      </w:pPr>
      <w:r w:rsidDel="00000000" w:rsidR="00000000" w:rsidRPr="00000000">
        <w:rPr>
          <w:rtl w:val="0"/>
        </w:rPr>
        <w:t xml:space="preserve">Justification:</w:t>
      </w:r>
    </w:p>
    <w:p w:rsidR="00000000" w:rsidDel="00000000" w:rsidP="00000000" w:rsidRDefault="00000000" w:rsidRPr="00000000" w14:paraId="00000012">
      <w:pPr>
        <w:rPr>
          <w:color w:val="1f1f1f"/>
          <w:highlight w:val="white"/>
        </w:rPr>
      </w:pPr>
      <w:r w:rsidDel="00000000" w:rsidR="00000000" w:rsidRPr="00000000">
        <w:rPr>
          <w:color w:val="1f1f1f"/>
          <w:highlight w:val="white"/>
          <w:rtl w:val="0"/>
        </w:rPr>
        <w:t xml:space="preserve">This legislation seeks to strengthen the City’s ability to promote equity in the digital age by requiring an interagency taskforce and biennial gendered impact assessments for artificial intelligence tools used by city agencies. Women, nonbinary individuals, and gender-expansive workers in public service already face persistent disparities in pay, advancement, and leadership representation and these gaps must not be exacerbated by automated systems that replicate and deepen these existing biases.</w:t>
      </w:r>
    </w:p>
    <w:p w:rsidR="00000000" w:rsidDel="00000000" w:rsidP="00000000" w:rsidRDefault="00000000" w:rsidRPr="00000000" w14:paraId="00000013">
      <w:pPr>
        <w:shd w:fill="ffffff" w:val="clear"/>
        <w:rPr>
          <w:color w:val="1f1f1f"/>
        </w:rPr>
      </w:pPr>
      <w:r w:rsidDel="00000000" w:rsidR="00000000" w:rsidRPr="00000000">
        <w:rPr>
          <w:rtl w:val="0"/>
        </w:rPr>
      </w:r>
    </w:p>
    <w:p w:rsidR="00000000" w:rsidDel="00000000" w:rsidP="00000000" w:rsidRDefault="00000000" w:rsidRPr="00000000" w14:paraId="00000014">
      <w:pPr>
        <w:rPr>
          <w:color w:val="1f1f1f"/>
          <w:highlight w:val="white"/>
        </w:rPr>
      </w:pPr>
      <w:r w:rsidDel="00000000" w:rsidR="00000000" w:rsidRPr="00000000">
        <w:rPr>
          <w:color w:val="1f1f1f"/>
          <w:highlight w:val="white"/>
          <w:rtl w:val="0"/>
        </w:rPr>
        <w:t xml:space="preserve">Evaluating algorithmic tools in municipal operations presents unique challenges. As artificial intelligence becomes routine in hiring, workforce management, and service, many of these systems operate with no evaluation or transparency. Without a formal and mandated assessment process, the City reinforces inequities in areas like hiring, promotion, and disciplinary outcomes, entrenching gender-based disparities into the foundation of municipal policy and practice.</w:t>
      </w:r>
    </w:p>
    <w:p w:rsidR="00000000" w:rsidDel="00000000" w:rsidP="00000000" w:rsidRDefault="00000000" w:rsidRPr="00000000" w14:paraId="00000015">
      <w:pPr>
        <w:shd w:fill="ffffff" w:val="clear"/>
        <w:rPr>
          <w:color w:val="1f1f1f"/>
        </w:rPr>
      </w:pPr>
      <w:r w:rsidDel="00000000" w:rsidR="00000000" w:rsidRPr="00000000">
        <w:rPr>
          <w:rtl w:val="0"/>
        </w:rPr>
      </w:r>
    </w:p>
    <w:p w:rsidR="00000000" w:rsidDel="00000000" w:rsidP="00000000" w:rsidRDefault="00000000" w:rsidRPr="00000000" w14:paraId="00000016">
      <w:pPr>
        <w:rPr/>
      </w:pPr>
      <w:r w:rsidDel="00000000" w:rsidR="00000000" w:rsidRPr="00000000">
        <w:rPr>
          <w:color w:val="1f1f1f"/>
          <w:highlight w:val="white"/>
          <w:rtl w:val="0"/>
        </w:rPr>
        <w:t xml:space="preserve">This legislation improves the quality and integrity of our technological oversight by establishing a coordinated approach to gender equity. By requiring regular assessments in consultation with labor organizations, gender equity experts, and affected communities, the City can identify disparate impacts before they become systemic. This measure advances accountability, transparency, and the protection of all workers, ensuring that our technological decision-making aligns with our commitment to a fair and inclusive municipal workforce</w:t>
      </w:r>
      <w:r w:rsidDel="00000000" w:rsidR="00000000" w:rsidRPr="00000000">
        <w:rPr>
          <w:rtl w:val="0"/>
        </w:rPr>
        <w:t xml:space="preserve">.</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Play">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after="120" w:before="120" w:lineRule="auto"/>
    </w:pPr>
    <w:rPr>
      <w:b w:val="1"/>
      <w:bCs w:val="1"/>
      <w:u w:val="single"/>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before="40" w:lineRule="auto"/>
    </w:pPr>
    <w:rPr>
      <w:i w:val="1"/>
      <w:iCs w:val="1"/>
      <w:color w:val="595959"/>
    </w:rPr>
  </w:style>
  <w:style w:type="paragraph" w:styleId="Title">
    <w:name w:val="Title"/>
    <w:basedOn w:val="Normal"/>
    <w:next w:val="Normal"/>
    <w:pPr>
      <w:spacing w:after="120" w:lineRule="auto"/>
      <w:jc w:val="center"/>
    </w:pPr>
    <w:rPr>
      <w:b w:val="1"/>
      <w:bCs w:val="1"/>
      <w:sz w:val="28"/>
      <w:szCs w:val="28"/>
      <w:u w:val="single"/>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BwdgOZMp4GVQSkm5kO/r+IYam+g==">CgMxLjA4AHIhMW1xY2dlSzA2Q1FfcllwWEx5cnhoMlp0NWtzUXBnUUl0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