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rPr/>
      </w:pPr>
      <w:r w:rsidDel="00000000" w:rsidR="00000000" w:rsidRPr="00000000">
        <w:rPr>
          <w:rtl w:val="0"/>
        </w:rPr>
        <w:t xml:space="preserve">New York City Council</w:t>
      </w:r>
    </w:p>
    <w:p w:rsidR="00000000" w:rsidDel="00000000" w:rsidP="00000000" w:rsidRDefault="00000000" w:rsidRPr="00000000" w14:paraId="00000002">
      <w:pPr>
        <w:pStyle w:val="Title"/>
        <w:rPr/>
      </w:pPr>
      <w:r w:rsidDel="00000000" w:rsidR="00000000" w:rsidRPr="00000000">
        <w:rPr>
          <w:rtl w:val="0"/>
        </w:rPr>
        <w:t xml:space="preserve">Memorandum in Support of Legislation</w:t>
      </w:r>
    </w:p>
    <w:p w:rsidR="00000000" w:rsidDel="00000000" w:rsidP="00000000" w:rsidRDefault="00000000" w:rsidRPr="00000000" w14:paraId="00000003">
      <w:pPr>
        <w:rPr>
          <w:i w:val="1"/>
          <w:iCs w:val="1"/>
        </w:rPr>
      </w:pPr>
      <w:r w:rsidDel="00000000" w:rsidR="00000000" w:rsidRPr="00000000">
        <w:rPr>
          <w:i w:val="1"/>
          <w:iCs w:val="1"/>
          <w:rtl w:val="0"/>
        </w:rPr>
        <w:t xml:space="preserve">This memorandum is authored by the sponsor and explains the need for the legislation referenced below, in accordance with Rule 6.00(d) of the Rules of the Council.</w:t>
      </w:r>
    </w:p>
    <w:p w:rsidR="00000000" w:rsidDel="00000000" w:rsidP="00000000" w:rsidRDefault="00000000" w:rsidRPr="00000000" w14:paraId="00000004">
      <w:pPr>
        <w:rPr>
          <w:i w:val="1"/>
          <w:iCs w:val="1"/>
        </w:rPr>
      </w:pPr>
      <w:r w:rsidDel="00000000" w:rsidR="00000000" w:rsidRPr="00000000">
        <w:rPr>
          <w:rtl w:val="0"/>
        </w:rPr>
      </w:r>
    </w:p>
    <w:p w:rsidR="00000000" w:rsidDel="00000000" w:rsidP="00000000" w:rsidRDefault="00000000" w:rsidRPr="00000000" w14:paraId="00000005">
      <w:pPr>
        <w:pStyle w:val="Heading1"/>
        <w:rPr/>
      </w:pPr>
      <w:r w:rsidDel="00000000" w:rsidR="00000000" w:rsidRPr="00000000">
        <w:rPr>
          <w:rtl w:val="0"/>
        </w:rPr>
        <w:t xml:space="preserve">Introduction Number:</w:t>
      </w:r>
    </w:p>
    <w:p w:rsidR="00000000" w:rsidDel="00000000" w:rsidP="00000000" w:rsidRDefault="00000000" w:rsidRPr="00000000" w14:paraId="00000006">
      <w:pPr>
        <w:rPr/>
      </w:pPr>
      <w:r w:rsidDel="00000000" w:rsidR="00000000" w:rsidRPr="00000000">
        <w:rPr>
          <w:rtl w:val="0"/>
        </w:rPr>
        <w:t xml:space="preserve">Int. No. 0286-2026</w:t>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pStyle w:val="Heading1"/>
        <w:rPr>
          <w:u w:val="none"/>
        </w:rPr>
      </w:pPr>
      <w:r w:rsidDel="00000000" w:rsidR="00000000" w:rsidRPr="00000000">
        <w:rPr>
          <w:rtl w:val="0"/>
        </w:rPr>
        <w:t xml:space="preserve">Prime Sponsors:</w:t>
      </w:r>
      <w:r w:rsidDel="00000000" w:rsidR="00000000" w:rsidRPr="00000000">
        <w:rPr>
          <w:rtl w:val="0"/>
        </w:rPr>
      </w:r>
    </w:p>
    <w:p w:rsidR="00000000" w:rsidDel="00000000" w:rsidP="00000000" w:rsidRDefault="00000000" w:rsidRPr="00000000" w14:paraId="00000009">
      <w:pPr>
        <w:rPr/>
      </w:pPr>
      <w:r w:rsidDel="00000000" w:rsidR="00000000" w:rsidRPr="00000000">
        <w:rPr>
          <w:rtl w:val="0"/>
        </w:rPr>
        <w:t xml:space="preserve">Council Member Louis</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pStyle w:val="Heading1"/>
        <w:rPr/>
      </w:pPr>
      <w:r w:rsidDel="00000000" w:rsidR="00000000" w:rsidRPr="00000000">
        <w:rPr>
          <w:rtl w:val="0"/>
        </w:rPr>
        <w:t xml:space="preserve">Bill Title:</w:t>
      </w:r>
    </w:p>
    <w:p w:rsidR="00000000" w:rsidDel="00000000" w:rsidP="00000000" w:rsidRDefault="00000000" w:rsidRPr="00000000" w14:paraId="0000000C">
      <w:pPr>
        <w:rPr/>
      </w:pPr>
      <w:r w:rsidDel="00000000" w:rsidR="00000000" w:rsidRPr="00000000">
        <w:rPr>
          <w:rtl w:val="0"/>
        </w:rPr>
        <w:t xml:space="preserve">A Local Law to </w:t>
      </w:r>
      <w:r w:rsidDel="00000000" w:rsidR="00000000" w:rsidRPr="00000000">
        <w:rPr>
          <w:highlight w:val="white"/>
          <w:rtl w:val="0"/>
        </w:rPr>
        <w:t xml:space="preserve">amend the administrative code of the city of New York, in relation to outreach and education regarding deceptive and unconscionable trade practices involving cryptocurrency and other digital assets</w:t>
      </w:r>
      <w:r w:rsidDel="00000000" w:rsidR="00000000" w:rsidRPr="00000000">
        <w:rPr>
          <w:rtl w:val="0"/>
        </w:rPr>
        <w:t xml:space="preserve"> </w:t>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pStyle w:val="Heading1"/>
        <w:rPr/>
      </w:pPr>
      <w:r w:rsidDel="00000000" w:rsidR="00000000" w:rsidRPr="00000000">
        <w:rPr>
          <w:rtl w:val="0"/>
        </w:rPr>
        <w:t xml:space="preserve">Submitted by:</w:t>
      </w:r>
    </w:p>
    <w:p w:rsidR="00000000" w:rsidDel="00000000" w:rsidP="00000000" w:rsidRDefault="00000000" w:rsidRPr="00000000" w14:paraId="0000000F">
      <w:pPr>
        <w:rPr/>
      </w:pPr>
      <w:r w:rsidDel="00000000" w:rsidR="00000000" w:rsidRPr="00000000">
        <w:rPr>
          <w:rtl w:val="0"/>
        </w:rPr>
        <w:t xml:space="preserve">Council Member Louis</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pStyle w:val="Heading1"/>
        <w:rPr/>
      </w:pPr>
      <w:r w:rsidDel="00000000" w:rsidR="00000000" w:rsidRPr="00000000">
        <w:rPr>
          <w:rtl w:val="0"/>
        </w:rPr>
        <w:t xml:space="preserve">Justification:</w:t>
      </w:r>
    </w:p>
    <w:p w:rsidR="00000000" w:rsidDel="00000000" w:rsidP="00000000" w:rsidRDefault="00000000" w:rsidRPr="00000000" w14:paraId="00000012">
      <w:pPr>
        <w:rPr>
          <w:highlight w:val="white"/>
        </w:rPr>
      </w:pPr>
      <w:r w:rsidDel="00000000" w:rsidR="00000000" w:rsidRPr="00000000">
        <w:rPr>
          <w:highlight w:val="white"/>
          <w:rtl w:val="0"/>
        </w:rPr>
        <w:t xml:space="preserve">This legislation seeks to strengthen the City’s ability to protect consumers and workers from risks posed by volatile and often opaque digital financial markets by requiring the Commissioner of Consumer and Worker Protection to develop and conduct comprehensive outreach and education regarding deceptive and unconscionable trade practices in cryptocurrency and other digital assets. Vulnerable populations including young people, seniors, and immigrant communities are frequently targeted by predatory schemes and misleading marketing in the digital asset space, and clear, accessible public communication is essential to prevent financial harm and ensure consumer safety.</w:t>
      </w:r>
    </w:p>
    <w:p w:rsidR="00000000" w:rsidDel="00000000" w:rsidP="00000000" w:rsidRDefault="00000000" w:rsidRPr="00000000" w14:paraId="00000013">
      <w:pPr>
        <w:shd w:fill="ffffff" w:val="clear"/>
        <w:rPr/>
      </w:pPr>
      <w:r w:rsidDel="00000000" w:rsidR="00000000" w:rsidRPr="00000000">
        <w:rPr>
          <w:rtl w:val="0"/>
        </w:rPr>
      </w:r>
    </w:p>
    <w:p w:rsidR="00000000" w:rsidDel="00000000" w:rsidP="00000000" w:rsidRDefault="00000000" w:rsidRPr="00000000" w14:paraId="00000014">
      <w:pPr>
        <w:rPr>
          <w:highlight w:val="white"/>
        </w:rPr>
      </w:pPr>
      <w:r w:rsidDel="00000000" w:rsidR="00000000" w:rsidRPr="00000000">
        <w:rPr>
          <w:highlight w:val="white"/>
          <w:rtl w:val="0"/>
        </w:rPr>
        <w:t xml:space="preserve">Navigating the landscape of cryptocurrency and digital assets presents unique challenges. Many individuals may be unfamiliar with the risks associated with these investments, struggle to identify deceptive trade practices, or face barriers in accessing trustworthy information regarding legal protections and reporting procedures. Without specialized, highly visible, and culturally competent educational initiatives, residents may remain susceptible to fraud, market manipulation, or irreversible financial loss. Establishing a mandated framework for outreach and education would help ensure that information regarding digital asset safety is disseminated consistently, thoroughly, and in accordance with best practices across the City.</w:t>
      </w:r>
    </w:p>
    <w:p w:rsidR="00000000" w:rsidDel="00000000" w:rsidP="00000000" w:rsidRDefault="00000000" w:rsidRPr="00000000" w14:paraId="00000015">
      <w:pPr>
        <w:shd w:fill="ffffff" w:val="clear"/>
        <w:rPr/>
      </w:pPr>
      <w:r w:rsidDel="00000000" w:rsidR="00000000" w:rsidRPr="00000000">
        <w:rPr>
          <w:rtl w:val="0"/>
        </w:rPr>
      </w:r>
    </w:p>
    <w:p w:rsidR="00000000" w:rsidDel="00000000" w:rsidP="00000000" w:rsidRDefault="00000000" w:rsidRPr="00000000" w14:paraId="00000016">
      <w:pPr>
        <w:rPr/>
      </w:pPr>
      <w:r w:rsidDel="00000000" w:rsidR="00000000" w:rsidRPr="00000000">
        <w:rPr>
          <w:highlight w:val="white"/>
          <w:rtl w:val="0"/>
        </w:rPr>
        <w:t xml:space="preserve">This legislation would improve the quality and integrity of our consumer protection efforts by equipping residents with the knowledge and tools necessary to make informed decisions and detect potential predatory behavior. Enhanced public awareness can help increase financial literacy, strengthen public trust in municipal consumer protection oversight, improve outcomes for individuals navigating the digital economy, and reinforce the City’s commitment to maintaining safe and accessible markets for all. By creating a formal mechanism for annual updates to these programs and ensuring materials are available in designated citywide languages, this measure advances accountability, transparency, and the protection of individuals utilizing digital assets.</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Play">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spacing w:after="120" w:before="120" w:lineRule="auto"/>
    </w:pPr>
    <w:rPr>
      <w:b w:val="1"/>
      <w:bCs w:val="1"/>
      <w:u w:val="single"/>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before="40" w:lineRule="auto"/>
    </w:pPr>
    <w:rPr>
      <w:i w:val="1"/>
      <w:iCs w:val="1"/>
      <w:color w:val="595959"/>
    </w:rPr>
  </w:style>
  <w:style w:type="paragraph" w:styleId="Title">
    <w:name w:val="Title"/>
    <w:basedOn w:val="Normal"/>
    <w:next w:val="Normal"/>
    <w:pPr>
      <w:spacing w:after="120" w:lineRule="auto"/>
      <w:jc w:val="center"/>
    </w:pPr>
    <w:rPr>
      <w:b w:val="1"/>
      <w:bCs w:val="1"/>
      <w:sz w:val="28"/>
      <w:szCs w:val="28"/>
      <w:u w:val="single"/>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hbc0YDGNl18RErKcwUdp/XHILyw==">CgMxLjA4AHIhMU1UU0V5OXJweUVCdEE5VkNqM1dHTWowV0dVXzhreTVC</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