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1197</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New York city charter, in relation to requiring the department of investigation to investigate the fire department's compliance with laws and policies relating to discrimination, harassment, and equal employment opportunity.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For far too long, the New York City Fire Department (FDNY) has operated as a closed institution, resistant to diversity and plagued by systemic racial and gender bias. Black, brown, and female firefighters have been forced to navigate a culture that repeatedly obstructs their professional advancement, while white male firefighters benefit from an unaccountable and opaque promotional system. A recent $30 million class action settlement goes to reiterate that firefighters of color are treated unfairly within the department. In this settlement, more than 300 Black and Hispanic FDNY members alleged that they were repeatedly passed over for promotions in favor of less-qualified white colleagues. With this context, it is necessary that the city requires the Department of Investigation to conduct an ongoing investigation into the FDNY’s compliance with federal, state and local laws regarding discrimination, harassment and equal employment opportunity.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1y+jZ2vDfBZFEzbWxiXNOxC+Dw==">CgMxLjA4AHIhMXlnTk1tVFlhYVRrb2FBSHZUQ3dFejdWdUFpVjU4NVR2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