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1324</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New York city charter, in relation to providing stipends for community board members.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Community Boards and Community Education Councils struggle to sustain participation from people outside of retirement age due to the taxing schedule and the conflicting priorities of younger demographics. This means an important space for community feedback is not accurately reflecting the demographics of the community they represent. We believe economics plays a role in discouraging younger activists from prioritizing this space as they must seek an income to cover their cost of living. With stipends for Community Board members, we will allow for more diverse Community Boards that more accurately represent their districts.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oO8I0mzVBA6SVFhGsHmiJuAHA==">CgMxLjA4AHIhMTgwN2RfcHBqMTFMUmxLeDh6YTZNOFM2V0hienBQbnYt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