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9A81F" w14:textId="5149CC57" w:rsidR="00DA0EEE" w:rsidRDefault="00DA0EEE" w:rsidP="00DA0EEE">
      <w:pPr>
        <w:jc w:val="center"/>
      </w:pPr>
      <w:r>
        <w:t xml:space="preserve">Res. No. </w:t>
      </w:r>
      <w:r w:rsidR="008C47D7">
        <w:t>200</w:t>
      </w:r>
    </w:p>
    <w:p w14:paraId="64A368C1" w14:textId="77777777" w:rsidR="00DA0EEE" w:rsidRDefault="00DA0EEE" w:rsidP="00DA0EEE"/>
    <w:p w14:paraId="07FA666E" w14:textId="77777777" w:rsidR="003E4BD4" w:rsidRPr="003E4BD4" w:rsidRDefault="003E4BD4" w:rsidP="008B461D">
      <w:pPr>
        <w:rPr>
          <w:vanish/>
        </w:rPr>
      </w:pPr>
      <w:r w:rsidRPr="003E4BD4">
        <w:rPr>
          <w:vanish/>
        </w:rPr>
        <w:t>..Title</w:t>
      </w:r>
    </w:p>
    <w:p w14:paraId="7ED6FD6C" w14:textId="026D242A" w:rsidR="008B461D" w:rsidRDefault="008B461D" w:rsidP="008B461D">
      <w:r>
        <w:t xml:space="preserve">Resolution calling on the </w:t>
      </w:r>
      <w:r w:rsidR="00AB4FBA">
        <w:t xml:space="preserve">New York </w:t>
      </w:r>
      <w:r>
        <w:t xml:space="preserve">State </w:t>
      </w:r>
      <w:r w:rsidR="00092F41">
        <w:t xml:space="preserve">Legislature </w:t>
      </w:r>
      <w:r>
        <w:t xml:space="preserve">to pass, and the Governor to sign, </w:t>
      </w:r>
      <w:r w:rsidR="00F40367">
        <w:t>S.1152/A.3218</w:t>
      </w:r>
      <w:r>
        <w:t>, in relation to excluding social security payments and supplemental security income from the definition of “income” for the purposes of determining eligibility under the senior citizen rent increase exemption (SCRIE)</w:t>
      </w:r>
    </w:p>
    <w:p w14:paraId="4E1009E9" w14:textId="0CA55B18" w:rsidR="003E4BD4" w:rsidRPr="003E4BD4" w:rsidRDefault="003E4BD4" w:rsidP="008B461D">
      <w:pPr>
        <w:rPr>
          <w:vanish/>
        </w:rPr>
      </w:pPr>
      <w:r w:rsidRPr="003E4BD4">
        <w:rPr>
          <w:vanish/>
        </w:rPr>
        <w:t>..Body</w:t>
      </w:r>
    </w:p>
    <w:p w14:paraId="6DF85808" w14:textId="77777777" w:rsidR="00DA0EEE" w:rsidRDefault="00DA0EEE" w:rsidP="00DA0EEE"/>
    <w:p w14:paraId="1CDBB70D" w14:textId="7A03927C" w:rsidR="00D17576" w:rsidRDefault="00D17576" w:rsidP="00D17576">
      <w:pPr>
        <w:autoSpaceDE w:val="0"/>
        <w:autoSpaceDN w:val="0"/>
        <w:adjustRightInd w:val="0"/>
      </w:pPr>
      <w:r>
        <w:t xml:space="preserve">By Council Members </w:t>
      </w:r>
      <w:r w:rsidR="00D3369F" w:rsidRPr="00D3369F">
        <w:t>Gutiérrez</w:t>
      </w:r>
      <w:r w:rsidR="008C47D7">
        <w:t>,</w:t>
      </w:r>
      <w:r w:rsidR="00D3369F" w:rsidRPr="00D3369F">
        <w:t xml:space="preserve"> Hudson</w:t>
      </w:r>
      <w:r w:rsidR="00FA03C9">
        <w:t>,</w:t>
      </w:r>
      <w:r w:rsidR="008C47D7">
        <w:t xml:space="preserve"> Louis</w:t>
      </w:r>
      <w:r w:rsidR="00FA03C9">
        <w:t xml:space="preserve"> and Aldebol</w:t>
      </w:r>
    </w:p>
    <w:p w14:paraId="59176F88" w14:textId="77777777" w:rsidR="009056DD" w:rsidRDefault="009056DD" w:rsidP="00DA0EEE"/>
    <w:p w14:paraId="7B26CEDD" w14:textId="0471B2FB" w:rsidR="00826B6C" w:rsidRDefault="00DA0EEE">
      <w:pPr>
        <w:spacing w:line="480" w:lineRule="auto"/>
        <w:ind w:firstLine="720"/>
      </w:pPr>
      <w:r>
        <w:rPr>
          <w:rFonts w:eastAsia="Calibri"/>
        </w:rPr>
        <w:t xml:space="preserve">Whereas, According to the 2021 </w:t>
      </w:r>
      <w:r w:rsidR="003D4408">
        <w:rPr>
          <w:rFonts w:eastAsia="Calibri"/>
        </w:rPr>
        <w:t>American Community Survey (ACS)</w:t>
      </w:r>
      <w:r w:rsidR="00C8149A">
        <w:rPr>
          <w:rFonts w:eastAsia="Calibri"/>
        </w:rPr>
        <w:t>,</w:t>
      </w:r>
      <w:r w:rsidR="003D4408">
        <w:rPr>
          <w:rFonts w:eastAsia="Calibri"/>
        </w:rPr>
        <w:t xml:space="preserve"> conducted by the U.S. Census Bureau,</w:t>
      </w:r>
      <w:r w:rsidR="00271DBA">
        <w:rPr>
          <w:rFonts w:eastAsia="Calibri"/>
        </w:rPr>
        <w:t xml:space="preserve"> </w:t>
      </w:r>
      <w:r w:rsidR="001C6E28">
        <w:rPr>
          <w:rFonts w:eastAsia="Calibri"/>
        </w:rPr>
        <w:t xml:space="preserve">over 1.3 million people </w:t>
      </w:r>
      <w:r w:rsidR="00271DBA">
        <w:rPr>
          <w:rFonts w:eastAsia="Calibri"/>
        </w:rPr>
        <w:t xml:space="preserve">ages 65 and older </w:t>
      </w:r>
      <w:r w:rsidR="001C6E28">
        <w:rPr>
          <w:rFonts w:eastAsia="Calibri"/>
        </w:rPr>
        <w:t>live in New York City</w:t>
      </w:r>
      <w:r w:rsidR="00FB4234">
        <w:rPr>
          <w:rFonts w:eastAsia="Calibri"/>
        </w:rPr>
        <w:t xml:space="preserve"> (NYC)</w:t>
      </w:r>
      <w:r w:rsidR="001C6E28">
        <w:rPr>
          <w:rFonts w:eastAsia="Calibri"/>
        </w:rPr>
        <w:t xml:space="preserve">, </w:t>
      </w:r>
      <w:r w:rsidR="00271DBA">
        <w:rPr>
          <w:rFonts w:eastAsia="Calibri"/>
        </w:rPr>
        <w:t>account</w:t>
      </w:r>
      <w:r w:rsidR="002F374D">
        <w:rPr>
          <w:rFonts w:eastAsia="Calibri"/>
        </w:rPr>
        <w:t xml:space="preserve">ing </w:t>
      </w:r>
      <w:r w:rsidR="00271DBA">
        <w:rPr>
          <w:rFonts w:eastAsia="Calibri"/>
        </w:rPr>
        <w:t>for 16.2 percent of New York City’s population in 2021, up from 12.3 percent in 2011</w:t>
      </w:r>
      <w:r w:rsidR="002F374D">
        <w:rPr>
          <w:rFonts w:eastAsia="Calibri"/>
        </w:rPr>
        <w:t>; and</w:t>
      </w:r>
    </w:p>
    <w:p w14:paraId="6AC07FD3" w14:textId="05CE21B9" w:rsidR="00DA0EEE" w:rsidRDefault="002F374D" w:rsidP="00DA0EEE">
      <w:pPr>
        <w:spacing w:line="480" w:lineRule="auto"/>
        <w:ind w:firstLine="720"/>
        <w:rPr>
          <w:rFonts w:eastAsia="Calibri"/>
        </w:rPr>
      </w:pPr>
      <w:r>
        <w:rPr>
          <w:rFonts w:eastAsia="Calibri"/>
        </w:rPr>
        <w:t>Whereas,</w:t>
      </w:r>
      <w:r w:rsidR="007D1A89">
        <w:rPr>
          <w:rFonts w:eastAsia="Calibri"/>
        </w:rPr>
        <w:t xml:space="preserve"> 2021 ACS data</w:t>
      </w:r>
      <w:r w:rsidR="000322E7">
        <w:rPr>
          <w:rFonts w:eastAsia="Calibri"/>
        </w:rPr>
        <w:t xml:space="preserve"> also showed</w:t>
      </w:r>
      <w:r w:rsidR="007D1A89">
        <w:rPr>
          <w:rFonts w:eastAsia="Calibri"/>
        </w:rPr>
        <w:t xml:space="preserve"> that </w:t>
      </w:r>
      <w:r w:rsidR="00BC508C">
        <w:rPr>
          <w:rFonts w:eastAsia="Calibri"/>
        </w:rPr>
        <w:t>about 17</w:t>
      </w:r>
      <w:r w:rsidR="00C969AC">
        <w:rPr>
          <w:rFonts w:eastAsia="Calibri"/>
        </w:rPr>
        <w:t xml:space="preserve"> percent of NYC</w:t>
      </w:r>
      <w:r w:rsidR="00C8149A">
        <w:rPr>
          <w:rFonts w:eastAsia="Calibri"/>
        </w:rPr>
        <w:t>’s older adults</w:t>
      </w:r>
      <w:r w:rsidR="00C969AC">
        <w:rPr>
          <w:rFonts w:eastAsia="Calibri"/>
        </w:rPr>
        <w:t xml:space="preserve"> live below the poverty line,</w:t>
      </w:r>
      <w:r w:rsidR="00BC508C">
        <w:rPr>
          <w:rFonts w:eastAsia="Calibri"/>
        </w:rPr>
        <w:t xml:space="preserve"> with an additional 8.9 percent living at 100 to 149 percent of the poverty level</w:t>
      </w:r>
      <w:r w:rsidR="00C969AC">
        <w:rPr>
          <w:rFonts w:eastAsia="Calibri"/>
        </w:rPr>
        <w:t>; and</w:t>
      </w:r>
      <w:r w:rsidR="00DA0EEE">
        <w:rPr>
          <w:rFonts w:eastAsia="Calibri"/>
        </w:rPr>
        <w:t xml:space="preserve"> </w:t>
      </w:r>
    </w:p>
    <w:p w14:paraId="412F5234" w14:textId="18EBF125" w:rsidR="00E85BBB" w:rsidRDefault="00DA0EEE" w:rsidP="00DA0EEE">
      <w:pPr>
        <w:spacing w:line="480" w:lineRule="auto"/>
        <w:ind w:firstLine="720"/>
        <w:rPr>
          <w:rFonts w:eastAsia="Calibri"/>
        </w:rPr>
      </w:pPr>
      <w:r>
        <w:rPr>
          <w:rFonts w:eastAsia="Calibri"/>
        </w:rPr>
        <w:t>Whereas</w:t>
      </w:r>
      <w:r w:rsidR="00167463">
        <w:rPr>
          <w:rFonts w:eastAsia="Calibri"/>
        </w:rPr>
        <w:t>, The</w:t>
      </w:r>
      <w:r w:rsidR="00C90210">
        <w:rPr>
          <w:rFonts w:eastAsia="Calibri"/>
        </w:rPr>
        <w:t xml:space="preserve"> Senior Citizen Rent Increase Exemption (SCRIE) program </w:t>
      </w:r>
      <w:r w:rsidR="002E3D34">
        <w:rPr>
          <w:rFonts w:eastAsia="Calibri"/>
        </w:rPr>
        <w:t xml:space="preserve">is </w:t>
      </w:r>
      <w:r w:rsidR="00C90210">
        <w:rPr>
          <w:rFonts w:eastAsia="Calibri"/>
        </w:rPr>
        <w:t xml:space="preserve">administered by the New York City Department of Finance (DOF) and Department of Housing Preservation and Development (HPD), </w:t>
      </w:r>
      <w:r w:rsidR="009922B9">
        <w:rPr>
          <w:rFonts w:eastAsia="Calibri"/>
        </w:rPr>
        <w:t>and protects</w:t>
      </w:r>
      <w:r w:rsidR="00C90210">
        <w:rPr>
          <w:rFonts w:eastAsia="Calibri"/>
        </w:rPr>
        <w:t xml:space="preserve"> low-income tenants aged 62 and older from rent increases in rent-regulated apartments and certain cooperative apartments</w:t>
      </w:r>
      <w:r w:rsidR="000C7E0B">
        <w:rPr>
          <w:rFonts w:eastAsia="Calibri"/>
        </w:rPr>
        <w:t xml:space="preserve"> by freezing their rents at a set amount and </w:t>
      </w:r>
      <w:r w:rsidR="000C7E0B" w:rsidRPr="000C7E0B">
        <w:rPr>
          <w:rFonts w:eastAsia="Calibri"/>
        </w:rPr>
        <w:t xml:space="preserve">applying credits </w:t>
      </w:r>
      <w:r w:rsidR="000C7E0B">
        <w:rPr>
          <w:rFonts w:eastAsia="Calibri"/>
        </w:rPr>
        <w:t xml:space="preserve">for the difference </w:t>
      </w:r>
      <w:r w:rsidR="000C7E0B" w:rsidRPr="000C7E0B">
        <w:rPr>
          <w:rFonts w:eastAsia="Calibri"/>
        </w:rPr>
        <w:t>to the</w:t>
      </w:r>
      <w:r w:rsidR="000C7E0B">
        <w:rPr>
          <w:rFonts w:eastAsia="Calibri"/>
        </w:rPr>
        <w:t xml:space="preserve"> property owner’s</w:t>
      </w:r>
      <w:r w:rsidR="000C7E0B" w:rsidRPr="000C7E0B">
        <w:rPr>
          <w:rFonts w:eastAsia="Calibri"/>
        </w:rPr>
        <w:t xml:space="preserve"> property tax bill</w:t>
      </w:r>
      <w:r w:rsidR="0066758D">
        <w:rPr>
          <w:rFonts w:eastAsia="Calibri"/>
        </w:rPr>
        <w:t>; and</w:t>
      </w:r>
    </w:p>
    <w:p w14:paraId="4A42715F" w14:textId="0A887519" w:rsidR="00CC740A" w:rsidRDefault="00E85BBB" w:rsidP="00DA0EEE">
      <w:pPr>
        <w:spacing w:line="480" w:lineRule="auto"/>
        <w:ind w:firstLine="720"/>
        <w:rPr>
          <w:rFonts w:eastAsia="Calibri"/>
        </w:rPr>
      </w:pPr>
      <w:r>
        <w:rPr>
          <w:rFonts w:eastAsia="Calibri"/>
        </w:rPr>
        <w:t>Whereas,</w:t>
      </w:r>
      <w:r w:rsidR="003C4E95">
        <w:rPr>
          <w:rFonts w:eastAsia="Calibri"/>
        </w:rPr>
        <w:t xml:space="preserve"> Eligibility requirements for SCRIE include</w:t>
      </w:r>
      <w:r w:rsidR="0067628F">
        <w:rPr>
          <w:rFonts w:eastAsia="Calibri"/>
        </w:rPr>
        <w:t>:</w:t>
      </w:r>
      <w:r w:rsidR="003C4E95">
        <w:rPr>
          <w:rFonts w:eastAsia="Calibri"/>
        </w:rPr>
        <w:t xml:space="preserve"> </w:t>
      </w:r>
      <w:r w:rsidR="00691903">
        <w:rPr>
          <w:rFonts w:eastAsia="Calibri"/>
        </w:rPr>
        <w:t xml:space="preserve">not </w:t>
      </w:r>
      <w:r w:rsidR="000C7E0B">
        <w:rPr>
          <w:rFonts w:eastAsia="Calibri"/>
        </w:rPr>
        <w:t xml:space="preserve">being a participant </w:t>
      </w:r>
      <w:r w:rsidR="00691903">
        <w:rPr>
          <w:rFonts w:eastAsia="Calibri"/>
        </w:rPr>
        <w:t>in any other rent</w:t>
      </w:r>
      <w:r w:rsidR="000C7E0B">
        <w:rPr>
          <w:rFonts w:eastAsia="Calibri"/>
        </w:rPr>
        <w:t>,</w:t>
      </w:r>
      <w:r w:rsidR="00691903">
        <w:rPr>
          <w:rFonts w:eastAsia="Calibri"/>
        </w:rPr>
        <w:t xml:space="preserve"> or carrying charge</w:t>
      </w:r>
      <w:r w:rsidR="000C7E0B">
        <w:rPr>
          <w:rFonts w:eastAsia="Calibri"/>
        </w:rPr>
        <w:t>,</w:t>
      </w:r>
      <w:r w:rsidR="00691903">
        <w:rPr>
          <w:rFonts w:eastAsia="Calibri"/>
        </w:rPr>
        <w:t xml:space="preserve"> subsidy program</w:t>
      </w:r>
      <w:r w:rsidR="0067628F">
        <w:rPr>
          <w:rFonts w:eastAsia="Calibri"/>
        </w:rPr>
        <w:t>,</w:t>
      </w:r>
      <w:r w:rsidR="00691903">
        <w:rPr>
          <w:rFonts w:eastAsia="Calibri"/>
        </w:rPr>
        <w:t xml:space="preserve"> such as Section 8</w:t>
      </w:r>
      <w:r w:rsidR="0067628F">
        <w:rPr>
          <w:rFonts w:eastAsia="Calibri"/>
        </w:rPr>
        <w:t>;</w:t>
      </w:r>
      <w:r w:rsidR="003C4E95">
        <w:rPr>
          <w:rFonts w:eastAsia="Calibri"/>
        </w:rPr>
        <w:t xml:space="preserve"> spending more than one-third of monthly household income on rent</w:t>
      </w:r>
      <w:r w:rsidR="0067628F">
        <w:rPr>
          <w:rFonts w:eastAsia="Calibri"/>
        </w:rPr>
        <w:t>;</w:t>
      </w:r>
      <w:r w:rsidR="003C4E95">
        <w:rPr>
          <w:rFonts w:eastAsia="Calibri"/>
        </w:rPr>
        <w:t xml:space="preserve"> and</w:t>
      </w:r>
      <w:r w:rsidR="00691903">
        <w:rPr>
          <w:rFonts w:eastAsia="Calibri"/>
        </w:rPr>
        <w:t xml:space="preserve"> having a combined household income </w:t>
      </w:r>
      <w:r w:rsidR="00C55D56">
        <w:rPr>
          <w:rFonts w:eastAsia="Calibri"/>
        </w:rPr>
        <w:t xml:space="preserve">of </w:t>
      </w:r>
      <w:r w:rsidR="00691903">
        <w:rPr>
          <w:rFonts w:eastAsia="Calibri"/>
        </w:rPr>
        <w:t>less than $50,000</w:t>
      </w:r>
      <w:r w:rsidR="00F51DF8">
        <w:rPr>
          <w:rFonts w:eastAsia="Calibri"/>
        </w:rPr>
        <w:t>, which takes into account sources</w:t>
      </w:r>
      <w:r w:rsidR="0067628F">
        <w:rPr>
          <w:rFonts w:eastAsia="Calibri"/>
        </w:rPr>
        <w:t xml:space="preserve"> of income</w:t>
      </w:r>
      <w:r w:rsidR="00F51DF8">
        <w:rPr>
          <w:rFonts w:eastAsia="Calibri"/>
        </w:rPr>
        <w:t xml:space="preserve"> like Social Security, Supplementary Security Income (SSI), </w:t>
      </w:r>
      <w:r w:rsidR="00A25A4F">
        <w:rPr>
          <w:rFonts w:eastAsia="Calibri"/>
        </w:rPr>
        <w:t>pension</w:t>
      </w:r>
      <w:r w:rsidR="00F51DF8">
        <w:rPr>
          <w:rFonts w:eastAsia="Calibri"/>
        </w:rPr>
        <w:t xml:space="preserve">, and </w:t>
      </w:r>
      <w:r w:rsidR="00A25A4F">
        <w:rPr>
          <w:rFonts w:eastAsia="Calibri"/>
        </w:rPr>
        <w:t>other public assistance benefits</w:t>
      </w:r>
      <w:r w:rsidR="003C4E95">
        <w:rPr>
          <w:rFonts w:eastAsia="Calibri"/>
        </w:rPr>
        <w:t>; and</w:t>
      </w:r>
      <w:r w:rsidR="00167463">
        <w:rPr>
          <w:rFonts w:eastAsia="Calibri"/>
        </w:rPr>
        <w:t xml:space="preserve"> </w:t>
      </w:r>
    </w:p>
    <w:p w14:paraId="3A236378" w14:textId="22AB19CF" w:rsidR="00AE1C5C" w:rsidRDefault="0009432B" w:rsidP="00DA0EEE">
      <w:pPr>
        <w:spacing w:line="480" w:lineRule="auto"/>
        <w:ind w:firstLine="720"/>
        <w:rPr>
          <w:rFonts w:eastAsia="Calibri"/>
        </w:rPr>
      </w:pPr>
      <w:r>
        <w:rPr>
          <w:rFonts w:eastAsia="Calibri"/>
        </w:rPr>
        <w:t>Whereas</w:t>
      </w:r>
      <w:r w:rsidR="00AE1C5C">
        <w:rPr>
          <w:rFonts w:eastAsia="Calibri"/>
        </w:rPr>
        <w:t>, Th</w:t>
      </w:r>
      <w:r w:rsidR="00134491">
        <w:rPr>
          <w:rFonts w:eastAsia="Calibri"/>
        </w:rPr>
        <w:t xml:space="preserve">e U.S. has been experiencing a cost-of-living </w:t>
      </w:r>
      <w:r w:rsidR="000F732D">
        <w:rPr>
          <w:rFonts w:eastAsia="Calibri"/>
        </w:rPr>
        <w:t xml:space="preserve">crisis, </w:t>
      </w:r>
      <w:r>
        <w:rPr>
          <w:rFonts w:eastAsia="Calibri"/>
        </w:rPr>
        <w:t>with inflation reaching record highs</w:t>
      </w:r>
      <w:r w:rsidR="00144C7D">
        <w:rPr>
          <w:rFonts w:eastAsia="Calibri"/>
        </w:rPr>
        <w:t xml:space="preserve"> of </w:t>
      </w:r>
      <w:r w:rsidR="00C55D56">
        <w:rPr>
          <w:rFonts w:eastAsia="Calibri"/>
        </w:rPr>
        <w:t xml:space="preserve">7 </w:t>
      </w:r>
      <w:r w:rsidR="006B3CA2">
        <w:rPr>
          <w:rFonts w:eastAsia="Calibri"/>
        </w:rPr>
        <w:t xml:space="preserve">to </w:t>
      </w:r>
      <w:r w:rsidR="00C55D56">
        <w:rPr>
          <w:rFonts w:eastAsia="Calibri"/>
        </w:rPr>
        <w:t xml:space="preserve">9 </w:t>
      </w:r>
      <w:r w:rsidR="006B3CA2">
        <w:rPr>
          <w:rFonts w:eastAsia="Calibri"/>
        </w:rPr>
        <w:t>percent</w:t>
      </w:r>
      <w:r w:rsidR="00A8726A">
        <w:rPr>
          <w:rFonts w:eastAsia="Calibri"/>
        </w:rPr>
        <w:t xml:space="preserve"> in the wake </w:t>
      </w:r>
      <w:r>
        <w:rPr>
          <w:rFonts w:eastAsia="Calibri"/>
        </w:rPr>
        <w:t>of the COVID-19 pandemic</w:t>
      </w:r>
      <w:r w:rsidR="00C24F9D">
        <w:rPr>
          <w:rFonts w:eastAsia="Calibri"/>
        </w:rPr>
        <w:t xml:space="preserve">, while the U.S. Bureau of </w:t>
      </w:r>
      <w:r w:rsidR="00C24F9D">
        <w:rPr>
          <w:rFonts w:eastAsia="Calibri"/>
        </w:rPr>
        <w:lastRenderedPageBreak/>
        <w:t>Labor Statistics has found consumer prices remaining high for crucial categories like food and rent</w:t>
      </w:r>
      <w:r w:rsidR="00C45D83">
        <w:rPr>
          <w:rFonts w:eastAsia="Calibri"/>
        </w:rPr>
        <w:t>, reporting a month-to-month increase of 10% and 8.2%, respectively, in February 2023</w:t>
      </w:r>
      <w:r>
        <w:rPr>
          <w:rFonts w:eastAsia="Calibri"/>
        </w:rPr>
        <w:t>; and</w:t>
      </w:r>
    </w:p>
    <w:p w14:paraId="216228CF" w14:textId="7257BA5E" w:rsidR="00D361BB" w:rsidRDefault="00AE736B" w:rsidP="00DA0EEE">
      <w:pPr>
        <w:spacing w:line="480" w:lineRule="auto"/>
        <w:ind w:firstLine="720"/>
        <w:rPr>
          <w:rFonts w:eastAsia="Calibri"/>
        </w:rPr>
      </w:pPr>
      <w:r w:rsidRPr="00157243">
        <w:rPr>
          <w:rFonts w:eastAsia="Calibri"/>
        </w:rPr>
        <w:t>Whereas</w:t>
      </w:r>
      <w:r w:rsidR="00D361BB">
        <w:rPr>
          <w:rFonts w:eastAsia="Calibri"/>
        </w:rPr>
        <w:t xml:space="preserve">, </w:t>
      </w:r>
      <w:r w:rsidR="0067628F">
        <w:rPr>
          <w:rFonts w:eastAsia="Calibri"/>
        </w:rPr>
        <w:t xml:space="preserve">Older adults </w:t>
      </w:r>
      <w:r w:rsidR="000F732D">
        <w:rPr>
          <w:rFonts w:eastAsia="Calibri"/>
        </w:rPr>
        <w:t xml:space="preserve">in NYC are being particularly affected by this crisis, </w:t>
      </w:r>
      <w:r w:rsidR="00772B06">
        <w:rPr>
          <w:rFonts w:eastAsia="Calibri"/>
        </w:rPr>
        <w:t xml:space="preserve">because </w:t>
      </w:r>
      <w:r w:rsidR="000F732D">
        <w:rPr>
          <w:rFonts w:eastAsia="Calibri"/>
        </w:rPr>
        <w:t>w</w:t>
      </w:r>
      <w:r w:rsidR="005E7CE5">
        <w:rPr>
          <w:rFonts w:eastAsia="Calibri"/>
        </w:rPr>
        <w:t xml:space="preserve">hile Social Security benefits are given cost-of-living adjustments so that the monthly payments can keep pace with inflation, </w:t>
      </w:r>
      <w:r w:rsidR="00EF3EF0">
        <w:rPr>
          <w:rFonts w:eastAsia="Calibri"/>
        </w:rPr>
        <w:t>as of June 2023 the average monthly benefit was $1,701.62 while SSI’s monthly average payment was $677.26, meaning they</w:t>
      </w:r>
      <w:r w:rsidR="005E7CE5">
        <w:rPr>
          <w:rFonts w:eastAsia="Calibri"/>
        </w:rPr>
        <w:t xml:space="preserve"> have still been outpaced by the rising cost of living</w:t>
      </w:r>
      <w:r w:rsidR="00DC7713">
        <w:rPr>
          <w:rFonts w:eastAsia="Calibri"/>
        </w:rPr>
        <w:t xml:space="preserve"> in New York City, where median rent prices </w:t>
      </w:r>
      <w:r w:rsidR="00DE6643">
        <w:rPr>
          <w:rFonts w:eastAsia="Calibri"/>
        </w:rPr>
        <w:t xml:space="preserve">continued to </w:t>
      </w:r>
      <w:r w:rsidR="00DC7713">
        <w:rPr>
          <w:rFonts w:eastAsia="Calibri"/>
        </w:rPr>
        <w:t xml:space="preserve">hit record levels </w:t>
      </w:r>
      <w:r w:rsidR="00DE6643">
        <w:rPr>
          <w:rFonts w:eastAsia="Calibri"/>
        </w:rPr>
        <w:t xml:space="preserve">in 2023, </w:t>
      </w:r>
      <w:r w:rsidR="00DC7713">
        <w:rPr>
          <w:rFonts w:eastAsia="Calibri"/>
        </w:rPr>
        <w:t xml:space="preserve">with </w:t>
      </w:r>
      <w:r>
        <w:rPr>
          <w:rFonts w:eastAsia="Calibri"/>
        </w:rPr>
        <w:t xml:space="preserve">some estimates </w:t>
      </w:r>
      <w:r w:rsidR="00003B90">
        <w:rPr>
          <w:rFonts w:eastAsia="Calibri"/>
        </w:rPr>
        <w:t>finding the median asking rent for a one-bedroom apartment to be $3,900 per month; and</w:t>
      </w:r>
    </w:p>
    <w:p w14:paraId="3EE564F7" w14:textId="1909EE59" w:rsidR="00BD5667" w:rsidRDefault="00244841" w:rsidP="00DA0EEE">
      <w:pPr>
        <w:spacing w:line="480" w:lineRule="auto"/>
        <w:ind w:firstLine="720"/>
        <w:rPr>
          <w:rFonts w:eastAsia="Calibri"/>
        </w:rPr>
      </w:pPr>
      <w:r>
        <w:rPr>
          <w:rFonts w:eastAsia="Calibri"/>
        </w:rPr>
        <w:t>Whereas</w:t>
      </w:r>
      <w:r w:rsidR="009200EA">
        <w:rPr>
          <w:rFonts w:eastAsia="Calibri"/>
        </w:rPr>
        <w:t xml:space="preserve">, </w:t>
      </w:r>
      <w:r w:rsidR="00570A36">
        <w:rPr>
          <w:rFonts w:eastAsia="Calibri"/>
        </w:rPr>
        <w:t>R</w:t>
      </w:r>
      <w:r w:rsidR="009200EA">
        <w:rPr>
          <w:rFonts w:eastAsia="Calibri"/>
        </w:rPr>
        <w:t>ent r</w:t>
      </w:r>
      <w:r w:rsidR="00570A36">
        <w:rPr>
          <w:rFonts w:eastAsia="Calibri"/>
        </w:rPr>
        <w:t>egulated apartments in NYC have been no exception to these rising costs, as</w:t>
      </w:r>
      <w:r>
        <w:rPr>
          <w:rFonts w:eastAsia="Calibri"/>
        </w:rPr>
        <w:t xml:space="preserve"> in June 2023</w:t>
      </w:r>
      <w:r w:rsidR="00570A36">
        <w:rPr>
          <w:rFonts w:eastAsia="Calibri"/>
        </w:rPr>
        <w:t xml:space="preserve"> the New York City Rent Guidelines Board</w:t>
      </w:r>
      <w:r w:rsidR="00055603">
        <w:rPr>
          <w:rFonts w:eastAsia="Calibri"/>
        </w:rPr>
        <w:t xml:space="preserve"> (RGB)</w:t>
      </w:r>
      <w:r w:rsidR="00570A36">
        <w:rPr>
          <w:rFonts w:eastAsia="Calibri"/>
        </w:rPr>
        <w:t xml:space="preserve"> voted to increase rents on rent-stabilized units </w:t>
      </w:r>
      <w:r>
        <w:rPr>
          <w:rFonts w:eastAsia="Calibri"/>
        </w:rPr>
        <w:t>for the second consecutive year</w:t>
      </w:r>
      <w:r w:rsidR="00BD5667">
        <w:rPr>
          <w:rFonts w:eastAsia="Calibri"/>
        </w:rPr>
        <w:t>; and</w:t>
      </w:r>
    </w:p>
    <w:p w14:paraId="792C3036" w14:textId="605F1B09" w:rsidR="00D7122B" w:rsidRDefault="00C174F2" w:rsidP="00DA0EEE">
      <w:pPr>
        <w:spacing w:line="480" w:lineRule="auto"/>
        <w:ind w:firstLine="720"/>
        <w:rPr>
          <w:rFonts w:eastAsia="Calibri"/>
        </w:rPr>
      </w:pPr>
      <w:r>
        <w:rPr>
          <w:rFonts w:eastAsia="Calibri"/>
        </w:rPr>
        <w:t>Whereas</w:t>
      </w:r>
      <w:r w:rsidR="00BD5667">
        <w:rPr>
          <w:rFonts w:eastAsia="Calibri"/>
        </w:rPr>
        <w:t xml:space="preserve">, </w:t>
      </w:r>
      <w:r w:rsidR="0067628F">
        <w:rPr>
          <w:rFonts w:eastAsia="Calibri"/>
        </w:rPr>
        <w:t>T</w:t>
      </w:r>
      <w:r w:rsidR="00C47030">
        <w:rPr>
          <w:rFonts w:eastAsia="Calibri"/>
        </w:rPr>
        <w:t xml:space="preserve">he RGB’s 2023 Income and Affordability study reported an increase of rent-burdened households in NYC in 2021, at 54.1 percent of renting households, meaning that at least 30 percent of their household income was going towards rent, while </w:t>
      </w:r>
      <w:r w:rsidR="000708DE">
        <w:rPr>
          <w:rFonts w:eastAsia="Calibri"/>
        </w:rPr>
        <w:t xml:space="preserve">the 2021 </w:t>
      </w:r>
      <w:r w:rsidR="0038068A">
        <w:rPr>
          <w:rFonts w:eastAsia="Calibri"/>
        </w:rPr>
        <w:t>NYC Housing Vacancy Survey, conducted by HPD in partnership with the U.S. Census Bureau,</w:t>
      </w:r>
      <w:r w:rsidR="00C47030">
        <w:rPr>
          <w:rFonts w:eastAsia="Calibri"/>
        </w:rPr>
        <w:t xml:space="preserve"> </w:t>
      </w:r>
      <w:r w:rsidR="0038068A" w:rsidRPr="00AB4FBA">
        <w:rPr>
          <w:rStyle w:val="CommentReference"/>
          <w:sz w:val="24"/>
          <w:szCs w:val="24"/>
        </w:rPr>
        <w:t>reported that</w:t>
      </w:r>
      <w:r w:rsidR="00425A72" w:rsidRPr="00AB4FBA">
        <w:rPr>
          <w:rStyle w:val="CommentReference"/>
          <w:sz w:val="24"/>
          <w:szCs w:val="24"/>
        </w:rPr>
        <w:t xml:space="preserve"> 40 percent of</w:t>
      </w:r>
      <w:r w:rsidR="0038068A" w:rsidRPr="00AB4FBA">
        <w:rPr>
          <w:rStyle w:val="CommentReference"/>
          <w:sz w:val="24"/>
          <w:szCs w:val="24"/>
        </w:rPr>
        <w:t xml:space="preserve"> </w:t>
      </w:r>
      <w:r w:rsidR="00163D2B" w:rsidRPr="00AB4FBA">
        <w:rPr>
          <w:rStyle w:val="CommentReference"/>
          <w:sz w:val="24"/>
          <w:szCs w:val="24"/>
        </w:rPr>
        <w:t xml:space="preserve">NYC households with </w:t>
      </w:r>
      <w:r w:rsidR="00425A72">
        <w:rPr>
          <w:rStyle w:val="CommentReference"/>
          <w:sz w:val="24"/>
          <w:szCs w:val="24"/>
        </w:rPr>
        <w:t xml:space="preserve">at least </w:t>
      </w:r>
      <w:r w:rsidR="00163D2B" w:rsidRPr="00AB4FBA">
        <w:rPr>
          <w:rStyle w:val="CommentReference"/>
          <w:sz w:val="24"/>
          <w:szCs w:val="24"/>
        </w:rPr>
        <w:t xml:space="preserve">one or more older adult were paying </w:t>
      </w:r>
      <w:r w:rsidR="00425A72">
        <w:rPr>
          <w:rStyle w:val="CommentReference"/>
          <w:sz w:val="24"/>
          <w:szCs w:val="24"/>
        </w:rPr>
        <w:t>over half their household income toward rent, while another 2</w:t>
      </w:r>
      <w:r w:rsidR="009E6B0C">
        <w:rPr>
          <w:rStyle w:val="CommentReference"/>
          <w:sz w:val="24"/>
          <w:szCs w:val="24"/>
        </w:rPr>
        <w:t>1</w:t>
      </w:r>
      <w:r w:rsidR="00425A72">
        <w:rPr>
          <w:rStyle w:val="CommentReference"/>
          <w:sz w:val="24"/>
          <w:szCs w:val="24"/>
        </w:rPr>
        <w:t xml:space="preserve"> percent of those households were paying 30 to 50 percent of their income toward rent</w:t>
      </w:r>
      <w:r w:rsidR="00C47030">
        <w:rPr>
          <w:rFonts w:eastAsia="Calibri"/>
        </w:rPr>
        <w:t xml:space="preserve">; and </w:t>
      </w:r>
    </w:p>
    <w:p w14:paraId="067B325F" w14:textId="1EF15990" w:rsidR="00055603" w:rsidRDefault="00055603" w:rsidP="00DA0EEE">
      <w:pPr>
        <w:spacing w:line="480" w:lineRule="auto"/>
        <w:ind w:firstLine="720"/>
        <w:rPr>
          <w:rFonts w:eastAsia="Calibri"/>
        </w:rPr>
      </w:pPr>
      <w:r>
        <w:rPr>
          <w:rFonts w:eastAsia="Calibri"/>
        </w:rPr>
        <w:t xml:space="preserve">Whereas, </w:t>
      </w:r>
      <w:r w:rsidR="003659F6" w:rsidRPr="009831B6">
        <w:rPr>
          <w:rFonts w:eastAsia="Calibri"/>
        </w:rPr>
        <w:t>Because so many older New Yorkers are rent burdened, and so many rely on a fixed income that can be</w:t>
      </w:r>
      <w:r w:rsidR="003659F6">
        <w:rPr>
          <w:rFonts w:eastAsia="Calibri"/>
        </w:rPr>
        <w:t xml:space="preserve"> sourced from different entities, such as Social Security and a pension plan, </w:t>
      </w:r>
      <w:r w:rsidR="00A923FA">
        <w:rPr>
          <w:rFonts w:eastAsia="Calibri"/>
        </w:rPr>
        <w:t>their checks can arrive at different times</w:t>
      </w:r>
      <w:r w:rsidR="0067628F">
        <w:rPr>
          <w:rFonts w:eastAsia="Calibri"/>
        </w:rPr>
        <w:t xml:space="preserve"> during the month, or even</w:t>
      </w:r>
      <w:r w:rsidR="00A923FA">
        <w:rPr>
          <w:rFonts w:eastAsia="Calibri"/>
        </w:rPr>
        <w:t xml:space="preserve"> late, making </w:t>
      </w:r>
      <w:r w:rsidR="003659F6">
        <w:rPr>
          <w:rFonts w:eastAsia="Calibri"/>
        </w:rPr>
        <w:t>paying rent each month in a timel</w:t>
      </w:r>
      <w:r w:rsidR="00BE7BD4">
        <w:rPr>
          <w:rFonts w:eastAsia="Calibri"/>
        </w:rPr>
        <w:t>y</w:t>
      </w:r>
      <w:r w:rsidR="003659F6">
        <w:rPr>
          <w:rFonts w:eastAsia="Calibri"/>
        </w:rPr>
        <w:t xml:space="preserve"> manner </w:t>
      </w:r>
      <w:r w:rsidR="00A923FA">
        <w:rPr>
          <w:rFonts w:eastAsia="Calibri"/>
        </w:rPr>
        <w:t>a</w:t>
      </w:r>
      <w:r w:rsidR="0067628F">
        <w:rPr>
          <w:rFonts w:eastAsia="Calibri"/>
        </w:rPr>
        <w:t>n increasingly</w:t>
      </w:r>
      <w:r w:rsidR="00A923FA">
        <w:rPr>
          <w:rFonts w:eastAsia="Calibri"/>
        </w:rPr>
        <w:t xml:space="preserve"> </w:t>
      </w:r>
      <w:r w:rsidR="0067628F">
        <w:rPr>
          <w:rFonts w:eastAsia="Calibri"/>
        </w:rPr>
        <w:t xml:space="preserve">difficult </w:t>
      </w:r>
      <w:r w:rsidR="00A923FA">
        <w:rPr>
          <w:rFonts w:eastAsia="Calibri"/>
        </w:rPr>
        <w:t>experience</w:t>
      </w:r>
      <w:r w:rsidR="00A07567">
        <w:rPr>
          <w:rFonts w:eastAsia="Calibri"/>
        </w:rPr>
        <w:t xml:space="preserve"> </w:t>
      </w:r>
      <w:r w:rsidR="007C51F2">
        <w:rPr>
          <w:rFonts w:eastAsia="Calibri"/>
        </w:rPr>
        <w:t xml:space="preserve">as rents </w:t>
      </w:r>
      <w:r w:rsidR="0067628F">
        <w:rPr>
          <w:rFonts w:eastAsia="Calibri"/>
        </w:rPr>
        <w:t>increase</w:t>
      </w:r>
      <w:r>
        <w:rPr>
          <w:rFonts w:eastAsia="Calibri"/>
        </w:rPr>
        <w:t>; and</w:t>
      </w:r>
    </w:p>
    <w:p w14:paraId="6FCA3A4E" w14:textId="75586F54" w:rsidR="00055603" w:rsidRDefault="00055603" w:rsidP="00DA0EEE">
      <w:pPr>
        <w:spacing w:line="480" w:lineRule="auto"/>
        <w:ind w:firstLine="720"/>
        <w:rPr>
          <w:rFonts w:eastAsia="Calibri"/>
        </w:rPr>
      </w:pPr>
      <w:r>
        <w:rPr>
          <w:rFonts w:eastAsia="Calibri"/>
        </w:rPr>
        <w:lastRenderedPageBreak/>
        <w:t xml:space="preserve">Whereas, </w:t>
      </w:r>
      <w:r w:rsidR="00DF25BF">
        <w:rPr>
          <w:rFonts w:eastAsia="Calibri"/>
        </w:rPr>
        <w:t xml:space="preserve">In addition, </w:t>
      </w:r>
      <w:r w:rsidR="0067628F">
        <w:rPr>
          <w:rFonts w:eastAsia="Calibri"/>
        </w:rPr>
        <w:t xml:space="preserve">some </w:t>
      </w:r>
      <w:r w:rsidR="00DF25BF">
        <w:rPr>
          <w:rFonts w:eastAsia="Calibri"/>
        </w:rPr>
        <w:t>older New Yorkers</w:t>
      </w:r>
      <w:r w:rsidR="0067628F">
        <w:rPr>
          <w:rFonts w:eastAsia="Calibri"/>
        </w:rPr>
        <w:t xml:space="preserve"> may</w:t>
      </w:r>
      <w:r w:rsidR="00DF25BF">
        <w:rPr>
          <w:rFonts w:eastAsia="Calibri"/>
        </w:rPr>
        <w:t xml:space="preserve"> find themselves </w:t>
      </w:r>
      <w:r w:rsidR="00B93CA8">
        <w:rPr>
          <w:rFonts w:eastAsia="Calibri"/>
        </w:rPr>
        <w:t>in</w:t>
      </w:r>
      <w:r w:rsidR="00DF25BF">
        <w:rPr>
          <w:rFonts w:eastAsia="Calibri"/>
        </w:rPr>
        <w:t xml:space="preserve">eligible for SCRIE because their Social Security payments </w:t>
      </w:r>
      <w:r w:rsidR="00B93CA8">
        <w:rPr>
          <w:rFonts w:eastAsia="Calibri"/>
        </w:rPr>
        <w:t xml:space="preserve">can </w:t>
      </w:r>
      <w:r w:rsidR="00DF25BF">
        <w:rPr>
          <w:rFonts w:eastAsia="Calibri"/>
        </w:rPr>
        <w:t>end u</w:t>
      </w:r>
      <w:r w:rsidR="00B93CA8">
        <w:rPr>
          <w:rFonts w:eastAsia="Calibri"/>
        </w:rPr>
        <w:t>p placing them just beyond the income threshold to qualify for SCRIE</w:t>
      </w:r>
      <w:r w:rsidR="00A07567">
        <w:rPr>
          <w:rFonts w:eastAsia="Calibri"/>
        </w:rPr>
        <w:t xml:space="preserve">, leading to </w:t>
      </w:r>
      <w:r w:rsidR="00527065">
        <w:rPr>
          <w:rFonts w:eastAsia="Calibri"/>
        </w:rPr>
        <w:t>housing insecurity</w:t>
      </w:r>
      <w:r w:rsidR="00B24466">
        <w:rPr>
          <w:rFonts w:eastAsia="Calibri"/>
        </w:rPr>
        <w:t xml:space="preserve"> where </w:t>
      </w:r>
      <w:r w:rsidR="002A6550">
        <w:rPr>
          <w:rFonts w:eastAsia="Calibri"/>
        </w:rPr>
        <w:t>these older adults may be</w:t>
      </w:r>
      <w:r w:rsidR="00B24466">
        <w:rPr>
          <w:rFonts w:eastAsia="Calibri"/>
        </w:rPr>
        <w:t xml:space="preserve"> displaced into an adult home or the city’s homeless shelter system,</w:t>
      </w:r>
      <w:r w:rsidR="00527065">
        <w:rPr>
          <w:rFonts w:eastAsia="Calibri"/>
        </w:rPr>
        <w:t xml:space="preserve"> as well as situations where </w:t>
      </w:r>
      <w:r w:rsidR="002A6550">
        <w:rPr>
          <w:rFonts w:eastAsia="Calibri"/>
        </w:rPr>
        <w:t xml:space="preserve">older adult </w:t>
      </w:r>
      <w:r w:rsidR="00527065">
        <w:rPr>
          <w:rFonts w:eastAsia="Calibri"/>
        </w:rPr>
        <w:t>tenants have to make dire choices such as choosing between groceries or making rent</w:t>
      </w:r>
      <w:r>
        <w:rPr>
          <w:rFonts w:eastAsia="Calibri"/>
        </w:rPr>
        <w:t>; and</w:t>
      </w:r>
    </w:p>
    <w:p w14:paraId="641513C9" w14:textId="38C631E7" w:rsidR="00C50838" w:rsidRDefault="00C50838" w:rsidP="00DA0EEE">
      <w:pPr>
        <w:spacing w:line="480" w:lineRule="auto"/>
        <w:ind w:firstLine="720"/>
      </w:pPr>
      <w:r w:rsidRPr="00C50838">
        <w:t>Whereas, New York State Senate Bill S.</w:t>
      </w:r>
      <w:r w:rsidR="00F27233">
        <w:t>1152</w:t>
      </w:r>
      <w:r w:rsidRPr="00C50838">
        <w:t xml:space="preserve">, sponsored by State Senator </w:t>
      </w:r>
      <w:r w:rsidR="00EF5806">
        <w:t>Cordell Cleare</w:t>
      </w:r>
      <w:r w:rsidRPr="00C50838">
        <w:t xml:space="preserve">, and New York </w:t>
      </w:r>
      <w:r w:rsidR="002A6550">
        <w:t xml:space="preserve">State </w:t>
      </w:r>
      <w:r w:rsidRPr="00C50838">
        <w:t>Assembly Bill A.</w:t>
      </w:r>
      <w:r w:rsidR="003F465A">
        <w:t>3218</w:t>
      </w:r>
      <w:r w:rsidRPr="00C50838">
        <w:t xml:space="preserve">, sponsored by State Assemblymember </w:t>
      </w:r>
      <w:r w:rsidR="003F465A">
        <w:t>Daniel J. O’Donnell</w:t>
      </w:r>
      <w:r w:rsidRPr="00C50838">
        <w:t xml:space="preserve">, would </w:t>
      </w:r>
      <w:r w:rsidR="00CF640E">
        <w:t>permit a municipality to make all social security income exempt from the calculation for SCRIE program eligibility; and</w:t>
      </w:r>
    </w:p>
    <w:p w14:paraId="7BAB2FB8" w14:textId="5CB3D244" w:rsidR="00DA0EEE" w:rsidRDefault="00F00BBF" w:rsidP="00C24125">
      <w:pPr>
        <w:spacing w:line="480" w:lineRule="auto"/>
        <w:ind w:firstLine="720"/>
      </w:pPr>
      <w:r>
        <w:t>Whereas, S.1152</w:t>
      </w:r>
      <w:r w:rsidR="00C50838">
        <w:t>/A.3218</w:t>
      </w:r>
      <w:r>
        <w:t xml:space="preserve"> would </w:t>
      </w:r>
      <w:r w:rsidR="00C24125">
        <w:t xml:space="preserve">allow </w:t>
      </w:r>
      <w:r w:rsidR="002A6550">
        <w:t xml:space="preserve">New York </w:t>
      </w:r>
      <w:r w:rsidR="00C24125">
        <w:t xml:space="preserve">City to qualify more seniors for SCRIE, thus enabling more older New Yorkers to be more secure in their housing and potentially free up more of their </w:t>
      </w:r>
      <w:r w:rsidR="00864A7E">
        <w:t xml:space="preserve">fixed </w:t>
      </w:r>
      <w:r w:rsidR="00C24125">
        <w:t xml:space="preserve">income towards </w:t>
      </w:r>
      <w:r w:rsidR="001B7096">
        <w:t xml:space="preserve">other </w:t>
      </w:r>
      <w:r w:rsidR="00116B47">
        <w:t>necessities</w:t>
      </w:r>
      <w:r w:rsidR="001B7096">
        <w:t xml:space="preserve"> </w:t>
      </w:r>
      <w:r w:rsidR="005E4F48">
        <w:t>including</w:t>
      </w:r>
      <w:r w:rsidR="001B7096">
        <w:t xml:space="preserve"> groceries, medication</w:t>
      </w:r>
      <w:r w:rsidR="00C24125">
        <w:t>, internet acc</w:t>
      </w:r>
      <w:r w:rsidR="00105475">
        <w:t>ess, and emergency expenses;</w:t>
      </w:r>
      <w:r w:rsidR="005B09D8">
        <w:t xml:space="preserve"> </w:t>
      </w:r>
      <w:r w:rsidR="00DA0EEE">
        <w:t>now, therefore, be it</w:t>
      </w:r>
    </w:p>
    <w:p w14:paraId="715290B0" w14:textId="7EACCEE4" w:rsidR="00DA0EEE" w:rsidRPr="00431E88" w:rsidRDefault="00DA0EEE" w:rsidP="00DA0EEE">
      <w:pPr>
        <w:spacing w:line="480" w:lineRule="auto"/>
        <w:ind w:firstLine="720"/>
      </w:pPr>
      <w:r w:rsidRPr="00DD468C">
        <w:t>Resolved</w:t>
      </w:r>
      <w:r>
        <w:t>, That the Council of the City of New York calls</w:t>
      </w:r>
      <w:r w:rsidR="008B461D">
        <w:t xml:space="preserve"> on the</w:t>
      </w:r>
      <w:r>
        <w:t xml:space="preserve"> </w:t>
      </w:r>
      <w:r w:rsidR="00781B84">
        <w:t xml:space="preserve">New York </w:t>
      </w:r>
      <w:r w:rsidR="008B461D" w:rsidRPr="008B461D">
        <w:t>State</w:t>
      </w:r>
      <w:r w:rsidR="00F666EA">
        <w:t xml:space="preserve"> Legislature</w:t>
      </w:r>
      <w:r w:rsidR="008B461D" w:rsidRPr="008B461D">
        <w:t xml:space="preserve"> to pass, and the Governor to sign, </w:t>
      </w:r>
      <w:r w:rsidR="006D028F">
        <w:t>S.1152/A.3218</w:t>
      </w:r>
      <w:r w:rsidR="008B461D" w:rsidRPr="008B461D">
        <w:t>, in relation to excluding social security payments and supplemental security income from the definition of “income” for the purposes of determining eligibility under the senior citizen rent increase exemption (SCRIE)</w:t>
      </w:r>
      <w:r w:rsidRPr="00431E88">
        <w:t>.</w:t>
      </w:r>
      <w:r w:rsidR="00B7224D">
        <w:t xml:space="preserve"> </w:t>
      </w:r>
    </w:p>
    <w:p w14:paraId="3B0243B3" w14:textId="77777777" w:rsidR="00DA0EEE" w:rsidRDefault="00DA0EEE" w:rsidP="00DA0EEE"/>
    <w:p w14:paraId="60EBF8A0" w14:textId="77777777" w:rsidR="00DA0EEE" w:rsidRDefault="00DA0EEE" w:rsidP="00DA0EEE">
      <w:pPr>
        <w:rPr>
          <w:sz w:val="18"/>
          <w:szCs w:val="18"/>
        </w:rPr>
      </w:pPr>
      <w:r>
        <w:rPr>
          <w:sz w:val="18"/>
          <w:szCs w:val="18"/>
        </w:rPr>
        <w:t>CCK</w:t>
      </w:r>
    </w:p>
    <w:p w14:paraId="323131C2" w14:textId="00685A7C" w:rsidR="0026453B" w:rsidRDefault="00DA0EEE" w:rsidP="00D3369F">
      <w:pPr>
        <w:rPr>
          <w:sz w:val="18"/>
          <w:szCs w:val="18"/>
        </w:rPr>
      </w:pPr>
      <w:r>
        <w:rPr>
          <w:sz w:val="18"/>
          <w:szCs w:val="18"/>
        </w:rPr>
        <w:t>LS #</w:t>
      </w:r>
      <w:r w:rsidR="00B85D3E">
        <w:rPr>
          <w:sz w:val="18"/>
          <w:szCs w:val="18"/>
        </w:rPr>
        <w:t>13012</w:t>
      </w:r>
    </w:p>
    <w:p w14:paraId="1BC58169" w14:textId="109C918F" w:rsidR="00D3369F" w:rsidRDefault="00D3369F" w:rsidP="00D3369F">
      <w:pPr>
        <w:rPr>
          <w:sz w:val="18"/>
          <w:szCs w:val="18"/>
        </w:rPr>
      </w:pPr>
      <w:r>
        <w:rPr>
          <w:sz w:val="18"/>
          <w:szCs w:val="18"/>
        </w:rPr>
        <w:t>Res. #0278-2024</w:t>
      </w:r>
    </w:p>
    <w:p w14:paraId="5A6965FD" w14:textId="187A8DC7" w:rsidR="00D3369F" w:rsidRPr="00EC7DC7" w:rsidRDefault="00D3369F" w:rsidP="00D3369F">
      <w:pPr>
        <w:rPr>
          <w:sz w:val="18"/>
          <w:szCs w:val="18"/>
        </w:rPr>
      </w:pPr>
      <w:r>
        <w:rPr>
          <w:sz w:val="18"/>
          <w:szCs w:val="18"/>
        </w:rPr>
        <w:t>1/2/2026 10:50 AM</w:t>
      </w:r>
    </w:p>
    <w:sectPr w:rsidR="00D3369F" w:rsidRPr="00EC7DC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D9218" w14:textId="77777777" w:rsidR="0082520A" w:rsidRDefault="0082520A">
      <w:r>
        <w:separator/>
      </w:r>
    </w:p>
  </w:endnote>
  <w:endnote w:type="continuationSeparator" w:id="0">
    <w:p w14:paraId="37A852DD" w14:textId="77777777" w:rsidR="0082520A" w:rsidRDefault="0082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66705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25CDF9" w14:textId="2C414D54" w:rsidR="005D0281" w:rsidRDefault="005D02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57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10E907E" w14:textId="6B76FEA0" w:rsidR="005D0281" w:rsidRDefault="005D02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82DF9" w14:textId="77777777" w:rsidR="0082520A" w:rsidRDefault="0082520A">
      <w:r>
        <w:separator/>
      </w:r>
    </w:p>
  </w:footnote>
  <w:footnote w:type="continuationSeparator" w:id="0">
    <w:p w14:paraId="53FBB144" w14:textId="77777777" w:rsidR="0082520A" w:rsidRDefault="00825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A0EFC" w14:textId="65D34BE8" w:rsidR="00D3369F" w:rsidRDefault="00D336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53B"/>
    <w:rsid w:val="00003B90"/>
    <w:rsid w:val="00012EF4"/>
    <w:rsid w:val="000153A3"/>
    <w:rsid w:val="00017EDB"/>
    <w:rsid w:val="00023106"/>
    <w:rsid w:val="000322E7"/>
    <w:rsid w:val="0003754C"/>
    <w:rsid w:val="00055603"/>
    <w:rsid w:val="00055DC4"/>
    <w:rsid w:val="000708DE"/>
    <w:rsid w:val="00092F41"/>
    <w:rsid w:val="0009432B"/>
    <w:rsid w:val="000A5109"/>
    <w:rsid w:val="000B5A25"/>
    <w:rsid w:val="000C79F0"/>
    <w:rsid w:val="000C7E0B"/>
    <w:rsid w:val="000D7F28"/>
    <w:rsid w:val="000F732D"/>
    <w:rsid w:val="0010092B"/>
    <w:rsid w:val="00104F0F"/>
    <w:rsid w:val="00105475"/>
    <w:rsid w:val="00116B47"/>
    <w:rsid w:val="00134491"/>
    <w:rsid w:val="00144C7D"/>
    <w:rsid w:val="00163D2B"/>
    <w:rsid w:val="00167463"/>
    <w:rsid w:val="001751D3"/>
    <w:rsid w:val="001776C0"/>
    <w:rsid w:val="001A0B32"/>
    <w:rsid w:val="001B4C85"/>
    <w:rsid w:val="001B7096"/>
    <w:rsid w:val="001C6E28"/>
    <w:rsid w:val="001E50CC"/>
    <w:rsid w:val="002135DA"/>
    <w:rsid w:val="00221153"/>
    <w:rsid w:val="00226D9A"/>
    <w:rsid w:val="00244841"/>
    <w:rsid w:val="0026453B"/>
    <w:rsid w:val="00271CEA"/>
    <w:rsid w:val="00271DBA"/>
    <w:rsid w:val="002A2BA9"/>
    <w:rsid w:val="002A6550"/>
    <w:rsid w:val="002C50C3"/>
    <w:rsid w:val="002D0AE7"/>
    <w:rsid w:val="002E3D34"/>
    <w:rsid w:val="002F374D"/>
    <w:rsid w:val="00305B84"/>
    <w:rsid w:val="0034214B"/>
    <w:rsid w:val="003458D6"/>
    <w:rsid w:val="003659F6"/>
    <w:rsid w:val="0038068A"/>
    <w:rsid w:val="003A2CBD"/>
    <w:rsid w:val="003C0C4B"/>
    <w:rsid w:val="003C4E95"/>
    <w:rsid w:val="003D2998"/>
    <w:rsid w:val="003D4408"/>
    <w:rsid w:val="003D47A7"/>
    <w:rsid w:val="003D5698"/>
    <w:rsid w:val="003E4BD4"/>
    <w:rsid w:val="003F465A"/>
    <w:rsid w:val="003F4C5C"/>
    <w:rsid w:val="004209FD"/>
    <w:rsid w:val="00425A72"/>
    <w:rsid w:val="00451A2F"/>
    <w:rsid w:val="00463768"/>
    <w:rsid w:val="004825F0"/>
    <w:rsid w:val="00494943"/>
    <w:rsid w:val="004A103F"/>
    <w:rsid w:val="004A5DF6"/>
    <w:rsid w:val="004C21FE"/>
    <w:rsid w:val="004C5989"/>
    <w:rsid w:val="004D2BBB"/>
    <w:rsid w:val="00502685"/>
    <w:rsid w:val="00527065"/>
    <w:rsid w:val="00557662"/>
    <w:rsid w:val="005645F5"/>
    <w:rsid w:val="00565F95"/>
    <w:rsid w:val="00570A36"/>
    <w:rsid w:val="00575DAC"/>
    <w:rsid w:val="005B09D8"/>
    <w:rsid w:val="005D0281"/>
    <w:rsid w:val="005E3BC9"/>
    <w:rsid w:val="005E4F48"/>
    <w:rsid w:val="005E7CE5"/>
    <w:rsid w:val="00617442"/>
    <w:rsid w:val="00631D88"/>
    <w:rsid w:val="00642D53"/>
    <w:rsid w:val="0066758D"/>
    <w:rsid w:val="0067628F"/>
    <w:rsid w:val="00687BFF"/>
    <w:rsid w:val="00691903"/>
    <w:rsid w:val="006A6F88"/>
    <w:rsid w:val="006B1E31"/>
    <w:rsid w:val="006B3CA2"/>
    <w:rsid w:val="006D028F"/>
    <w:rsid w:val="006E1CEB"/>
    <w:rsid w:val="0071255A"/>
    <w:rsid w:val="007159E4"/>
    <w:rsid w:val="00725FBB"/>
    <w:rsid w:val="00734934"/>
    <w:rsid w:val="0073503C"/>
    <w:rsid w:val="00754152"/>
    <w:rsid w:val="00760728"/>
    <w:rsid w:val="00772B06"/>
    <w:rsid w:val="007804F5"/>
    <w:rsid w:val="00781B84"/>
    <w:rsid w:val="00790E68"/>
    <w:rsid w:val="007C51F2"/>
    <w:rsid w:val="007D1A89"/>
    <w:rsid w:val="007D1C5A"/>
    <w:rsid w:val="007E7072"/>
    <w:rsid w:val="00815203"/>
    <w:rsid w:val="0082520A"/>
    <w:rsid w:val="00826B6C"/>
    <w:rsid w:val="00831558"/>
    <w:rsid w:val="00831E91"/>
    <w:rsid w:val="00833246"/>
    <w:rsid w:val="00856D51"/>
    <w:rsid w:val="00864A7E"/>
    <w:rsid w:val="00886AA5"/>
    <w:rsid w:val="008B461D"/>
    <w:rsid w:val="008B6D90"/>
    <w:rsid w:val="008C47D7"/>
    <w:rsid w:val="008D563C"/>
    <w:rsid w:val="008E103F"/>
    <w:rsid w:val="008E2102"/>
    <w:rsid w:val="008E2C35"/>
    <w:rsid w:val="008E73C9"/>
    <w:rsid w:val="009056DD"/>
    <w:rsid w:val="009200EA"/>
    <w:rsid w:val="009225B4"/>
    <w:rsid w:val="00925A00"/>
    <w:rsid w:val="009831B6"/>
    <w:rsid w:val="009922B9"/>
    <w:rsid w:val="009C02D4"/>
    <w:rsid w:val="009C216A"/>
    <w:rsid w:val="009C25C3"/>
    <w:rsid w:val="009D6ED7"/>
    <w:rsid w:val="009E00C3"/>
    <w:rsid w:val="009E2C6A"/>
    <w:rsid w:val="009E6B0C"/>
    <w:rsid w:val="009F2B96"/>
    <w:rsid w:val="00A061C4"/>
    <w:rsid w:val="00A07567"/>
    <w:rsid w:val="00A25A4F"/>
    <w:rsid w:val="00A35851"/>
    <w:rsid w:val="00A44E1F"/>
    <w:rsid w:val="00A52239"/>
    <w:rsid w:val="00A573E0"/>
    <w:rsid w:val="00A8726A"/>
    <w:rsid w:val="00A923FA"/>
    <w:rsid w:val="00A92C41"/>
    <w:rsid w:val="00A94C7F"/>
    <w:rsid w:val="00AB4FBA"/>
    <w:rsid w:val="00AD532E"/>
    <w:rsid w:val="00AE1C5C"/>
    <w:rsid w:val="00AE736B"/>
    <w:rsid w:val="00AF1011"/>
    <w:rsid w:val="00B00708"/>
    <w:rsid w:val="00B036DD"/>
    <w:rsid w:val="00B06961"/>
    <w:rsid w:val="00B232F7"/>
    <w:rsid w:val="00B237B9"/>
    <w:rsid w:val="00B24466"/>
    <w:rsid w:val="00B51976"/>
    <w:rsid w:val="00B7224D"/>
    <w:rsid w:val="00B85D3E"/>
    <w:rsid w:val="00B909D5"/>
    <w:rsid w:val="00B93CA8"/>
    <w:rsid w:val="00BB1DF8"/>
    <w:rsid w:val="00BB2EB4"/>
    <w:rsid w:val="00BC4A58"/>
    <w:rsid w:val="00BC508C"/>
    <w:rsid w:val="00BD5667"/>
    <w:rsid w:val="00BE7BD4"/>
    <w:rsid w:val="00C107F6"/>
    <w:rsid w:val="00C174F2"/>
    <w:rsid w:val="00C211BB"/>
    <w:rsid w:val="00C24125"/>
    <w:rsid w:val="00C24F9D"/>
    <w:rsid w:val="00C315BA"/>
    <w:rsid w:val="00C4363E"/>
    <w:rsid w:val="00C45D83"/>
    <w:rsid w:val="00C47030"/>
    <w:rsid w:val="00C50838"/>
    <w:rsid w:val="00C551DF"/>
    <w:rsid w:val="00C55D56"/>
    <w:rsid w:val="00C7470D"/>
    <w:rsid w:val="00C74F6E"/>
    <w:rsid w:val="00C8149A"/>
    <w:rsid w:val="00C90210"/>
    <w:rsid w:val="00C92F38"/>
    <w:rsid w:val="00C94A50"/>
    <w:rsid w:val="00C969AC"/>
    <w:rsid w:val="00CA1F51"/>
    <w:rsid w:val="00CC27E4"/>
    <w:rsid w:val="00CC740A"/>
    <w:rsid w:val="00CE222D"/>
    <w:rsid w:val="00CE54E9"/>
    <w:rsid w:val="00CF640E"/>
    <w:rsid w:val="00D04A6E"/>
    <w:rsid w:val="00D16A72"/>
    <w:rsid w:val="00D17576"/>
    <w:rsid w:val="00D25143"/>
    <w:rsid w:val="00D27C38"/>
    <w:rsid w:val="00D3369F"/>
    <w:rsid w:val="00D361BB"/>
    <w:rsid w:val="00D70C7F"/>
    <w:rsid w:val="00D7122B"/>
    <w:rsid w:val="00D91ED3"/>
    <w:rsid w:val="00DA0EEE"/>
    <w:rsid w:val="00DC7713"/>
    <w:rsid w:val="00DE4E46"/>
    <w:rsid w:val="00DE6643"/>
    <w:rsid w:val="00DF25BF"/>
    <w:rsid w:val="00E10E9C"/>
    <w:rsid w:val="00E11ABE"/>
    <w:rsid w:val="00E144E7"/>
    <w:rsid w:val="00E24AD2"/>
    <w:rsid w:val="00E35201"/>
    <w:rsid w:val="00E6093C"/>
    <w:rsid w:val="00E60A72"/>
    <w:rsid w:val="00E60C18"/>
    <w:rsid w:val="00E71475"/>
    <w:rsid w:val="00E73343"/>
    <w:rsid w:val="00E76845"/>
    <w:rsid w:val="00E85BBB"/>
    <w:rsid w:val="00E86B43"/>
    <w:rsid w:val="00E9510C"/>
    <w:rsid w:val="00EC056A"/>
    <w:rsid w:val="00EC7DC7"/>
    <w:rsid w:val="00EF050F"/>
    <w:rsid w:val="00EF3EF0"/>
    <w:rsid w:val="00EF5806"/>
    <w:rsid w:val="00F00BBF"/>
    <w:rsid w:val="00F0774B"/>
    <w:rsid w:val="00F169B4"/>
    <w:rsid w:val="00F246E1"/>
    <w:rsid w:val="00F27233"/>
    <w:rsid w:val="00F3327D"/>
    <w:rsid w:val="00F40367"/>
    <w:rsid w:val="00F51DF8"/>
    <w:rsid w:val="00F525D8"/>
    <w:rsid w:val="00F63769"/>
    <w:rsid w:val="00F666EA"/>
    <w:rsid w:val="00F67718"/>
    <w:rsid w:val="00F84FC9"/>
    <w:rsid w:val="00FA03C9"/>
    <w:rsid w:val="00FA227F"/>
    <w:rsid w:val="00FA4837"/>
    <w:rsid w:val="00FA750C"/>
    <w:rsid w:val="00FB4234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B0DA5"/>
  <w15:chartTrackingRefBased/>
  <w15:docId w15:val="{E5328466-06C2-494F-8744-C106C5DC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EE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E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EEE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A0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0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0EEE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A0EE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E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EE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05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056A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814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1255A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E6B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B0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8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5" ma:contentTypeDescription="Create a new document." ma:contentTypeScope="" ma:versionID="1877a6cd332e63ef6b16994bc8a28417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d41c89f121dad8597ee236edf9de4663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AC21AC-34DD-49F7-9633-97337ACA6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E174DD-80A9-4A2C-AB68-1ED7EEA613CA}">
  <ds:schemaRefs>
    <ds:schemaRef ds:uri="http://schemas.microsoft.com/office/2006/metadata/properties"/>
    <ds:schemaRef ds:uri="http://schemas.microsoft.com/office/infopath/2007/PartnerControls"/>
    <ds:schemaRef ds:uri="0a89be48-00c3-4dce-a54e-5fa37f38efab"/>
  </ds:schemaRefs>
</ds:datastoreItem>
</file>

<file path=customXml/itemProps3.xml><?xml version="1.0" encoding="utf-8"?>
<ds:datastoreItem xmlns:ds="http://schemas.openxmlformats.org/officeDocument/2006/customXml" ds:itemID="{0E851DED-65D8-4787-ACD9-48331B98AA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1E85EB-374C-49C7-9D09-8472983FBD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Kim</dc:creator>
  <cp:keywords/>
  <dc:description/>
  <cp:lastModifiedBy>Martin, William</cp:lastModifiedBy>
  <cp:revision>4</cp:revision>
  <dcterms:created xsi:type="dcterms:W3CDTF">2026-03-09T14:21:00Z</dcterms:created>
  <dcterms:modified xsi:type="dcterms:W3CDTF">2026-03-23T13:58:00Z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