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9ECA6" w14:textId="77777777" w:rsidR="00B862BA" w:rsidRDefault="005E4CED">
      <w:pPr>
        <w:pStyle w:val="Title"/>
        <w:pBdr>
          <w:bottom w:val="none" w:sz="0" w:space="0" w:color="auto"/>
        </w:pBdr>
        <w:spacing w:after="120"/>
        <w:jc w:val="center"/>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bCs/>
          <w:color w:val="000000"/>
          <w:sz w:val="28"/>
          <w:szCs w:val="28"/>
          <w:u w:val="single"/>
        </w:rPr>
        <w:t>New York City Council</w:t>
      </w:r>
    </w:p>
    <w:p w14:paraId="0DB9ECA7" w14:textId="77777777" w:rsidR="00B862BA" w:rsidRDefault="005E4CED">
      <w:pPr>
        <w:pStyle w:val="Title"/>
        <w:pBdr>
          <w:bottom w:val="none" w:sz="0" w:space="0" w:color="auto"/>
        </w:pBdr>
        <w:spacing w:after="120"/>
        <w:jc w:val="center"/>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bCs/>
          <w:color w:val="000000"/>
          <w:sz w:val="28"/>
          <w:szCs w:val="28"/>
          <w:u w:val="single"/>
        </w:rPr>
        <w:t>Memorandum in Support of Legislation</w:t>
      </w:r>
    </w:p>
    <w:p w14:paraId="0DB9ECA8" w14:textId="77777777" w:rsidR="00B862BA" w:rsidRDefault="005E4CED">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This memorandum is authored by the sponsor and explains the need for the legislation referenced below, in accordance with Rule 6.00(d) of the Rules of the Council.</w:t>
      </w:r>
    </w:p>
    <w:p w14:paraId="0DB9ECA9" w14:textId="77777777" w:rsidR="00B862BA" w:rsidRDefault="00B862BA">
      <w:pPr>
        <w:spacing w:after="0" w:line="240" w:lineRule="auto"/>
        <w:rPr>
          <w:rFonts w:ascii="Times New Roman" w:eastAsia="Times New Roman" w:hAnsi="Times New Roman" w:cs="Times New Roman"/>
          <w:i/>
          <w:iCs/>
          <w:sz w:val="24"/>
          <w:szCs w:val="24"/>
        </w:rPr>
      </w:pPr>
    </w:p>
    <w:p w14:paraId="0DB9ECAA" w14:textId="77777777" w:rsidR="00B862BA" w:rsidRDefault="005E4CED">
      <w:pPr>
        <w:pStyle w:val="Heading1"/>
        <w:keepNext w:val="0"/>
        <w:keepLines w:val="0"/>
        <w:spacing w:before="120" w:after="120" w:line="240" w:lineRule="auto"/>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Introduction Number:</w:t>
      </w:r>
    </w:p>
    <w:p w14:paraId="0DB9ECAB" w14:textId="77777777" w:rsidR="00B862BA" w:rsidRDefault="005E4CE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 No. 785</w:t>
      </w:r>
    </w:p>
    <w:p w14:paraId="0DB9ECAC" w14:textId="77777777" w:rsidR="00B862BA" w:rsidRDefault="00B862BA">
      <w:pPr>
        <w:spacing w:after="0" w:line="240" w:lineRule="auto"/>
        <w:rPr>
          <w:rFonts w:ascii="Times New Roman" w:eastAsia="Times New Roman" w:hAnsi="Times New Roman" w:cs="Times New Roman"/>
          <w:sz w:val="24"/>
          <w:szCs w:val="24"/>
        </w:rPr>
      </w:pPr>
    </w:p>
    <w:p w14:paraId="0DB9ECAD" w14:textId="77777777" w:rsidR="00B862BA" w:rsidRDefault="005E4CED">
      <w:pPr>
        <w:pStyle w:val="Heading1"/>
        <w:keepNext w:val="0"/>
        <w:keepLines w:val="0"/>
        <w:spacing w:before="120"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Prime Sponsors:</w:t>
      </w:r>
    </w:p>
    <w:p w14:paraId="0DB9ECAE" w14:textId="77777777" w:rsidR="00B862BA" w:rsidRDefault="005E4CE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By the Public Advocate (Mr. Williams) and Council Members Won and Restler</w:t>
      </w:r>
    </w:p>
    <w:p w14:paraId="0DB9ECAF" w14:textId="77777777" w:rsidR="00B862BA" w:rsidRDefault="00B862BA">
      <w:pPr>
        <w:spacing w:after="0" w:line="240" w:lineRule="auto"/>
        <w:rPr>
          <w:rFonts w:ascii="Times New Roman" w:eastAsia="Times New Roman" w:hAnsi="Times New Roman" w:cs="Times New Roman"/>
          <w:sz w:val="24"/>
          <w:szCs w:val="24"/>
        </w:rPr>
      </w:pPr>
    </w:p>
    <w:p w14:paraId="0DB9ECB0" w14:textId="77777777" w:rsidR="00B862BA" w:rsidRDefault="005E4CED">
      <w:pPr>
        <w:pStyle w:val="Heading1"/>
        <w:keepNext w:val="0"/>
        <w:keepLines w:val="0"/>
        <w:spacing w:before="120" w:after="120" w:line="240" w:lineRule="auto"/>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Bill Title:</w:t>
      </w:r>
    </w:p>
    <w:p w14:paraId="0DB9ECB1" w14:textId="77777777" w:rsidR="00B862BA" w:rsidRDefault="005E4C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Local Law to amend the administrative code of the city of New York, in relation to distressed property consultant disclosures and homeowner foreclosure prevention education</w:t>
      </w:r>
    </w:p>
    <w:p w14:paraId="0DB9ECB2" w14:textId="77777777" w:rsidR="00B862BA" w:rsidRDefault="00B862BA">
      <w:pPr>
        <w:spacing w:after="0" w:line="240" w:lineRule="auto"/>
        <w:jc w:val="both"/>
        <w:rPr>
          <w:rFonts w:ascii="Times New Roman" w:eastAsia="Times New Roman" w:hAnsi="Times New Roman" w:cs="Times New Roman"/>
          <w:sz w:val="24"/>
          <w:szCs w:val="24"/>
        </w:rPr>
      </w:pPr>
    </w:p>
    <w:p w14:paraId="0DB9ECB3" w14:textId="77777777" w:rsidR="00B862BA" w:rsidRDefault="005E4CED">
      <w:pPr>
        <w:pStyle w:val="Heading1"/>
        <w:keepNext w:val="0"/>
        <w:keepLines w:val="0"/>
        <w:spacing w:before="120" w:after="120" w:line="240" w:lineRule="auto"/>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Submitted by:</w:t>
      </w:r>
    </w:p>
    <w:p w14:paraId="0DB9ECB4" w14:textId="77777777" w:rsidR="00B862BA" w:rsidRDefault="005E4CE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Public Advocate Williams</w:t>
      </w:r>
    </w:p>
    <w:p w14:paraId="0DB9ECB5" w14:textId="77777777" w:rsidR="00B862BA" w:rsidRDefault="00B862BA">
      <w:pPr>
        <w:spacing w:after="0" w:line="240" w:lineRule="auto"/>
        <w:rPr>
          <w:rFonts w:ascii="Times New Roman" w:eastAsia="Times New Roman" w:hAnsi="Times New Roman" w:cs="Times New Roman"/>
          <w:sz w:val="24"/>
          <w:szCs w:val="24"/>
        </w:rPr>
      </w:pPr>
    </w:p>
    <w:p w14:paraId="0DB9ECB6" w14:textId="77777777" w:rsidR="00B862BA" w:rsidRDefault="005E4CED">
      <w:pPr>
        <w:pStyle w:val="Heading1"/>
        <w:keepNext w:val="0"/>
        <w:keepLines w:val="0"/>
        <w:spacing w:before="120" w:after="120" w:line="240" w:lineRule="auto"/>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Justification:</w:t>
      </w:r>
    </w:p>
    <w:p w14:paraId="0DB9ECB7" w14:textId="77777777" w:rsidR="00B862BA" w:rsidRDefault="005E4CED">
      <w:pPr>
        <w:rPr>
          <w:rFonts w:ascii="Times New Roman" w:eastAsia="Times New Roman" w:hAnsi="Times New Roman" w:cs="Times New Roman"/>
          <w:sz w:val="24"/>
          <w:szCs w:val="24"/>
        </w:rPr>
      </w:pPr>
      <w:r>
        <w:rPr>
          <w:rFonts w:ascii="Times New Roman" w:eastAsia="Times New Roman" w:hAnsi="Times New Roman" w:cs="Times New Roman"/>
          <w:sz w:val="24"/>
          <w:szCs w:val="24"/>
        </w:rPr>
        <w:t>Distressed property consultants, in theory, provide assistance to homeowners at risk of foreclosure. However, past City Council hearing reports have found that individuals conspiring to commit deed theft frequently pose as distressed property consultants.</w:t>
      </w:r>
      <w:r>
        <w:rPr>
          <w:rFonts w:ascii="Times New Roman" w:eastAsia="Times New Roman" w:hAnsi="Times New Roman" w:cs="Times New Roman"/>
          <w:sz w:val="24"/>
          <w:szCs w:val="24"/>
          <w:vertAlign w:val="superscript"/>
        </w:rPr>
        <w:footnoteReference w:id="1"/>
      </w:r>
      <w:r>
        <w:rPr>
          <w:rFonts w:ascii="Times New Roman" w:eastAsia="Times New Roman" w:hAnsi="Times New Roman" w:cs="Times New Roman"/>
          <w:sz w:val="24"/>
          <w:szCs w:val="24"/>
        </w:rPr>
        <w:t xml:space="preserve"> In 2024, New York State strengthened its law regarding deed theft and the Office of Attorney General Leticia James filed the first criminal charges under the updated law in August 2025.</w:t>
      </w:r>
      <w:r>
        <w:rPr>
          <w:rFonts w:ascii="Times New Roman" w:eastAsia="Times New Roman" w:hAnsi="Times New Roman" w:cs="Times New Roman"/>
          <w:sz w:val="24"/>
          <w:szCs w:val="24"/>
          <w:vertAlign w:val="superscript"/>
        </w:rPr>
        <w:footnoteReference w:id="2"/>
      </w:r>
      <w:r>
        <w:rPr>
          <w:rFonts w:ascii="Times New Roman" w:eastAsia="Times New Roman" w:hAnsi="Times New Roman" w:cs="Times New Roman"/>
          <w:sz w:val="24"/>
          <w:szCs w:val="24"/>
        </w:rPr>
        <w:t xml:space="preserve"> While it is vital that government hold those who commit criminal deed theft responsible, it is important too that legal and educational measures exist to prevent deed theft before it can occur.</w:t>
      </w:r>
    </w:p>
    <w:p w14:paraId="0DB9ECB8" w14:textId="77777777" w:rsidR="00B862BA" w:rsidRDefault="005E4CE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bill would protect both homeowners and legitimate distressed property consultants by strengthening consultants’ disclosure requirements, such that homeowners are made aware of deceptive or illegal practices that have been used to facilitate deed theft. Consultants would have to disclose that they are prohibited from inducing a deed transfer, placing a lien on the property without legal basis, or simulating undue legal authority, </w:t>
      </w:r>
      <w:r>
        <w:rPr>
          <w:rFonts w:ascii="Times New Roman" w:eastAsia="Times New Roman" w:hAnsi="Times New Roman" w:cs="Times New Roman"/>
          <w:sz w:val="24"/>
          <w:szCs w:val="24"/>
        </w:rPr>
        <w:lastRenderedPageBreak/>
        <w:t>among other measures. The Department of Consumer and Worker Protection would be tasked with creating a sample disclosure and, in partnership with the Departments of Finance and of Housing Preservation and Development, writing a housing foreclosure prevention education guide.</w:t>
      </w:r>
    </w:p>
    <w:sectPr w:rsidR="00B862BA">
      <w:headerReference w:type="default" r:id="rId6"/>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9ECBB" w14:textId="77777777" w:rsidR="00FB6E1E" w:rsidRDefault="00FB6E1E">
      <w:pPr>
        <w:spacing w:after="0" w:line="240" w:lineRule="auto"/>
      </w:pPr>
      <w:r>
        <w:separator/>
      </w:r>
    </w:p>
  </w:endnote>
  <w:endnote w:type="continuationSeparator" w:id="0">
    <w:p w14:paraId="0DB9ECBC" w14:textId="77777777" w:rsidR="00FB6E1E" w:rsidRDefault="00FB6E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embedRegular r:id="rId1" w:fontKey="{001FACA9-C94D-4682-ADE2-4086086FA38C}"/>
  </w:font>
  <w:font w:name="Calibri">
    <w:panose1 w:val="020F0502020204030204"/>
    <w:charset w:val="00"/>
    <w:family w:val="swiss"/>
    <w:pitch w:val="variable"/>
    <w:sig w:usb0="E4002EFF" w:usb1="C200247B" w:usb2="00000009" w:usb3="00000000" w:csb0="000001FF" w:csb1="00000000"/>
    <w:embedRegular r:id="rId2" w:fontKey="{2373CAA5-6583-4210-8F8A-968C6AB1AF91}"/>
    <w:embedBold r:id="rId3" w:fontKey="{A455FE9F-752B-414A-A98E-E5A34D2964C4}"/>
    <w:embedItalic r:id="rId4" w:fontKey="{96C41E26-0E72-4AC0-8470-89836B18A172}"/>
    <w:embedBoldItalic r:id="rId5" w:fontKey="{B1433C24-B7DE-48DC-9872-BB34DA89541D}"/>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9ECB9" w14:textId="77777777" w:rsidR="00FB6E1E" w:rsidRDefault="00FB6E1E">
      <w:pPr>
        <w:spacing w:after="0" w:line="240" w:lineRule="auto"/>
      </w:pPr>
      <w:r>
        <w:separator/>
      </w:r>
    </w:p>
  </w:footnote>
  <w:footnote w:type="continuationSeparator" w:id="0">
    <w:p w14:paraId="0DB9ECBA" w14:textId="77777777" w:rsidR="00FB6E1E" w:rsidRDefault="00FB6E1E">
      <w:pPr>
        <w:spacing w:after="0" w:line="240" w:lineRule="auto"/>
      </w:pPr>
      <w:r>
        <w:continuationSeparator/>
      </w:r>
    </w:p>
  </w:footnote>
  <w:footnote w:id="1">
    <w:p w14:paraId="0DB9ECBE" w14:textId="77777777" w:rsidR="00B862BA" w:rsidRDefault="005E4CED">
      <w:pPr>
        <w:keepNext/>
        <w:widowControl w:val="0"/>
        <w:spacing w:after="0" w:line="240" w:lineRule="auto"/>
        <w:rPr>
          <w:rFonts w:ascii="Times New Roman" w:eastAsia="Times New Roman" w:hAnsi="Times New Roman" w:cs="Times New Roman"/>
          <w:sz w:val="20"/>
          <w:szCs w:val="20"/>
        </w:rPr>
      </w:pPr>
      <w:r>
        <w:rPr>
          <w:vertAlign w:val="superscript"/>
        </w:rPr>
        <w:footnoteRef/>
      </w:r>
      <w:hyperlink r:id="rId1">
        <w:r w:rsidR="00B862BA">
          <w:rPr>
            <w:rFonts w:ascii="Times New Roman" w:eastAsia="Times New Roman" w:hAnsi="Times New Roman" w:cs="Times New Roman"/>
            <w:color w:val="1155CC"/>
            <w:sz w:val="20"/>
            <w:szCs w:val="20"/>
            <w:u w:val="single"/>
          </w:rPr>
          <w:t>https://legistar.council.nyc.gov/LegislationDetail.aspx?ID=4654879&amp;GUID=26FA38E4-019A-4B9B-9ED2-55CA88018DE2</w:t>
        </w:r>
      </w:hyperlink>
    </w:p>
  </w:footnote>
  <w:footnote w:id="2">
    <w:p w14:paraId="0DB9ECBF" w14:textId="77777777" w:rsidR="00B862BA" w:rsidRDefault="005E4CED">
      <w:pPr>
        <w:spacing w:after="0" w:line="240" w:lineRule="auto"/>
        <w:rPr>
          <w:sz w:val="20"/>
          <w:szCs w:val="20"/>
        </w:rPr>
      </w:pPr>
      <w:r>
        <w:rPr>
          <w:vertAlign w:val="superscript"/>
        </w:rPr>
        <w:footnoteRef/>
      </w:r>
      <w:hyperlink r:id="rId2">
        <w:r w:rsidR="00B862BA">
          <w:rPr>
            <w:color w:val="1155CC"/>
            <w:sz w:val="20"/>
            <w:szCs w:val="20"/>
            <w:u w:val="single"/>
          </w:rPr>
          <w:t>https://www.citybarjusticecenter.org/news/new-york-state-strengthens-homeowner-protections-with-new-deed-theft-law/</w:t>
        </w:r>
      </w:hyperlink>
      <w:r>
        <w:rPr>
          <w:sz w:val="20"/>
          <w:szCs w:val="20"/>
        </w:rPr>
        <w:t xml:space="preserve">, </w:t>
      </w:r>
      <w:hyperlink r:id="rId3">
        <w:r w:rsidR="00B862BA">
          <w:rPr>
            <w:color w:val="1155CC"/>
            <w:sz w:val="20"/>
            <w:szCs w:val="20"/>
            <w:u w:val="single"/>
          </w:rPr>
          <w:t>https://abc7ny.com/post/nyc-deed-theft-laws-2-queens-are-first-prosecuted-allegedly-stealing-dying-womans-home/17463923/</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9ECBD" w14:textId="77777777" w:rsidR="00B862BA" w:rsidRDefault="00B862B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2BA"/>
    <w:rsid w:val="005E4CED"/>
    <w:rsid w:val="008E4EB1"/>
    <w:rsid w:val="009248A6"/>
    <w:rsid w:val="00B862BA"/>
    <w:rsid w:val="00C66C40"/>
    <w:rsid w:val="00FB6E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9ECA6"/>
  <w15:docId w15:val="{5B10E01E-07FE-4304-8541-FA3508006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0"/>
      <w:outlineLvl w:val="0"/>
    </w:pPr>
    <w:rPr>
      <w:rFonts w:ascii="Calibri" w:eastAsia="Calibri" w:hAnsi="Calibri" w:cs="Calibri"/>
      <w:b/>
      <w:bCs/>
      <w:color w:val="366091"/>
      <w:sz w:val="28"/>
      <w:szCs w:val="28"/>
    </w:rPr>
  </w:style>
  <w:style w:type="paragraph" w:styleId="Heading2">
    <w:name w:val="heading 2"/>
    <w:basedOn w:val="Normal"/>
    <w:next w:val="Normal"/>
    <w:uiPriority w:val="9"/>
    <w:semiHidden/>
    <w:unhideWhenUsed/>
    <w:qFormat/>
    <w:pPr>
      <w:keepNext/>
      <w:keepLines/>
      <w:spacing w:before="200" w:after="0"/>
      <w:outlineLvl w:val="1"/>
    </w:pPr>
    <w:rPr>
      <w:rFonts w:ascii="Calibri" w:eastAsia="Calibri" w:hAnsi="Calibri" w:cs="Calibri"/>
      <w:b/>
      <w:bCs/>
      <w:color w:val="4F81BD"/>
      <w:sz w:val="26"/>
      <w:szCs w:val="26"/>
    </w:rPr>
  </w:style>
  <w:style w:type="paragraph" w:styleId="Heading3">
    <w:name w:val="heading 3"/>
    <w:basedOn w:val="Normal"/>
    <w:next w:val="Normal"/>
    <w:uiPriority w:val="9"/>
    <w:semiHidden/>
    <w:unhideWhenUsed/>
    <w:qFormat/>
    <w:pPr>
      <w:keepNext/>
      <w:keepLines/>
      <w:spacing w:before="200" w:after="0"/>
      <w:outlineLvl w:val="2"/>
    </w:pPr>
    <w:rPr>
      <w:rFonts w:ascii="Calibri" w:eastAsia="Calibri" w:hAnsi="Calibri" w:cs="Calibri"/>
      <w:b/>
      <w:bCs/>
      <w:color w:val="4F81BD"/>
    </w:rPr>
  </w:style>
  <w:style w:type="paragraph" w:styleId="Heading4">
    <w:name w:val="heading 4"/>
    <w:basedOn w:val="Normal"/>
    <w:next w:val="Normal"/>
    <w:uiPriority w:val="9"/>
    <w:semiHidden/>
    <w:unhideWhenUsed/>
    <w:qFormat/>
    <w:pPr>
      <w:keepNext/>
      <w:keepLines/>
      <w:spacing w:before="200" w:after="0"/>
      <w:outlineLvl w:val="3"/>
    </w:pPr>
    <w:rPr>
      <w:rFonts w:ascii="Calibri" w:eastAsia="Calibri" w:hAnsi="Calibri" w:cs="Calibri"/>
      <w:b/>
      <w:bCs/>
      <w:i/>
      <w:iCs/>
      <w:color w:val="4F81BD"/>
    </w:rPr>
  </w:style>
  <w:style w:type="paragraph" w:styleId="Heading5">
    <w:name w:val="heading 5"/>
    <w:basedOn w:val="Normal"/>
    <w:next w:val="Normal"/>
    <w:uiPriority w:val="9"/>
    <w:semiHidden/>
    <w:unhideWhenUsed/>
    <w:qFormat/>
    <w:pPr>
      <w:keepNext/>
      <w:keepLines/>
      <w:spacing w:before="200" w:after="0"/>
      <w:outlineLvl w:val="4"/>
    </w:pPr>
    <w:rPr>
      <w:rFonts w:ascii="Calibri" w:eastAsia="Calibri" w:hAnsi="Calibri" w:cs="Calibri"/>
      <w:color w:val="243F61"/>
    </w:rPr>
  </w:style>
  <w:style w:type="paragraph" w:styleId="Heading6">
    <w:name w:val="heading 6"/>
    <w:basedOn w:val="Normal"/>
    <w:next w:val="Normal"/>
    <w:uiPriority w:val="9"/>
    <w:semiHidden/>
    <w:unhideWhenUsed/>
    <w:qFormat/>
    <w:pPr>
      <w:keepNext/>
      <w:keepLines/>
      <w:spacing w:before="200" w:after="0"/>
      <w:outlineLvl w:val="5"/>
    </w:pPr>
    <w:rPr>
      <w:rFonts w:ascii="Calibri" w:eastAsia="Calibri" w:hAnsi="Calibri" w:cs="Calibri"/>
      <w:i/>
      <w:iCs/>
      <w:color w:val="243F6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bottom w:val="single" w:sz="8" w:space="4" w:color="4F81BD"/>
      </w:pBdr>
      <w:spacing w:after="300" w:line="240" w:lineRule="auto"/>
    </w:pPr>
    <w:rPr>
      <w:rFonts w:ascii="Calibri" w:eastAsia="Calibri" w:hAnsi="Calibri" w:cs="Calibri"/>
      <w:color w:val="17365D"/>
      <w:sz w:val="52"/>
      <w:szCs w:val="52"/>
    </w:rPr>
  </w:style>
  <w:style w:type="paragraph" w:styleId="Subtitle">
    <w:name w:val="Subtitle"/>
    <w:basedOn w:val="Normal"/>
    <w:next w:val="Normal"/>
    <w:uiPriority w:val="11"/>
    <w:qFormat/>
    <w:rPr>
      <w:rFonts w:ascii="Calibri" w:eastAsia="Calibri" w:hAnsi="Calibri" w:cs="Calibri"/>
      <w:i/>
      <w:iCs/>
      <w:color w:val="4F81B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3" Type="http://schemas.openxmlformats.org/officeDocument/2006/relationships/hyperlink" Target="https://abc7ny.com/post/nyc-deed-theft-laws-2-queens-are-first-prosecuted-allegedly-stealing-dying-womans-home/17463923/" TargetMode="External"/><Relationship Id="rId2" Type="http://schemas.openxmlformats.org/officeDocument/2006/relationships/hyperlink" Target="https://www.citybarjusticecenter.org/news/new-york-state-strengthens-homeowner-protections-with-new-deed-theft-law/" TargetMode="External"/><Relationship Id="rId1" Type="http://schemas.openxmlformats.org/officeDocument/2006/relationships/hyperlink" Target="https://legistar.council.nyc.gov/LegislationDetail.aspx?ID=4654879&amp;GUID=26FA38E4-019A-4B9B-9ED2-55CA88018DE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290</Words>
  <Characters>1655</Characters>
  <Application>Microsoft Office Word</Application>
  <DocSecurity>0</DocSecurity>
  <Lines>13</Lines>
  <Paragraphs>3</Paragraphs>
  <ScaleCrop>false</ScaleCrop>
  <Company/>
  <LinksUpToDate>false</LinksUpToDate>
  <CharactersWithSpaces>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Rosaura Mendez</dc:creator>
  <cp:lastModifiedBy>Delancey, Thaddea</cp:lastModifiedBy>
  <cp:revision>2</cp:revision>
  <dcterms:created xsi:type="dcterms:W3CDTF">2026-03-12T14:26:00Z</dcterms:created>
  <dcterms:modified xsi:type="dcterms:W3CDTF">2026-03-12T14:26:00Z</dcterms:modified>
</cp:coreProperties>
</file>