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D7739" w14:textId="66303D80" w:rsidR="007C0AE0" w:rsidRDefault="007C0AE0" w:rsidP="001F1BEF">
      <w:pPr>
        <w:jc w:val="center"/>
        <w:rPr>
          <w:rFonts w:ascii="Times New Roman" w:hAnsi="Times New Roman" w:cs="Times New Roman"/>
          <w:sz w:val="24"/>
          <w:szCs w:val="24"/>
        </w:rPr>
      </w:pPr>
      <w:r w:rsidRPr="007C0AE0">
        <w:rPr>
          <w:rFonts w:ascii="Times New Roman" w:hAnsi="Times New Roman" w:cs="Times New Roman"/>
          <w:sz w:val="24"/>
          <w:szCs w:val="24"/>
        </w:rPr>
        <w:t>Res. No.</w:t>
      </w:r>
      <w:r w:rsidR="005B5C45">
        <w:rPr>
          <w:rFonts w:ascii="Times New Roman" w:hAnsi="Times New Roman" w:cs="Times New Roman"/>
          <w:sz w:val="24"/>
          <w:szCs w:val="24"/>
        </w:rPr>
        <w:t xml:space="preserve"> </w:t>
      </w:r>
      <w:r w:rsidR="00943461">
        <w:rPr>
          <w:rFonts w:ascii="Times New Roman" w:hAnsi="Times New Roman" w:cs="Times New Roman"/>
          <w:sz w:val="24"/>
          <w:szCs w:val="24"/>
        </w:rPr>
        <w:t>112</w:t>
      </w:r>
    </w:p>
    <w:p w14:paraId="362BE46D" w14:textId="77777777" w:rsidR="005B5C45" w:rsidRPr="005B5C45" w:rsidRDefault="005B5C45" w:rsidP="00B052AE">
      <w:pPr>
        <w:jc w:val="both"/>
        <w:rPr>
          <w:rFonts w:ascii="Times New Roman" w:hAnsi="Times New Roman" w:cs="Times New Roman"/>
          <w:vanish/>
          <w:sz w:val="24"/>
          <w:szCs w:val="24"/>
        </w:rPr>
      </w:pPr>
      <w:r w:rsidRPr="005B5C45">
        <w:rPr>
          <w:rFonts w:ascii="Times New Roman" w:hAnsi="Times New Roman" w:cs="Times New Roman"/>
          <w:vanish/>
          <w:sz w:val="24"/>
          <w:szCs w:val="24"/>
        </w:rPr>
        <w:t>..Title</w:t>
      </w:r>
    </w:p>
    <w:p w14:paraId="7C138CF6" w14:textId="4CE70622" w:rsidR="007C0AE0" w:rsidRDefault="007C0AE0" w:rsidP="00B052AE">
      <w:pPr>
        <w:jc w:val="both"/>
        <w:rPr>
          <w:rFonts w:ascii="Times New Roman" w:hAnsi="Times New Roman" w:cs="Times New Roman"/>
          <w:sz w:val="24"/>
          <w:szCs w:val="24"/>
        </w:rPr>
      </w:pPr>
      <w:r>
        <w:rPr>
          <w:rFonts w:ascii="Times New Roman" w:hAnsi="Times New Roman" w:cs="Times New Roman"/>
          <w:sz w:val="24"/>
          <w:szCs w:val="24"/>
        </w:rPr>
        <w:t>Resolution</w:t>
      </w:r>
      <w:r w:rsidR="00BE026D">
        <w:rPr>
          <w:rFonts w:ascii="Times New Roman" w:hAnsi="Times New Roman" w:cs="Times New Roman"/>
          <w:sz w:val="24"/>
          <w:szCs w:val="24"/>
        </w:rPr>
        <w:t xml:space="preserve"> </w:t>
      </w:r>
      <w:r w:rsidR="009F5C94">
        <w:rPr>
          <w:rFonts w:ascii="Times New Roman" w:hAnsi="Times New Roman" w:cs="Times New Roman"/>
          <w:sz w:val="24"/>
          <w:szCs w:val="24"/>
        </w:rPr>
        <w:t xml:space="preserve">calling on the New York State Legislature to </w:t>
      </w:r>
      <w:r w:rsidR="00D151F9">
        <w:rPr>
          <w:rFonts w:ascii="Times New Roman" w:hAnsi="Times New Roman" w:cs="Times New Roman"/>
          <w:sz w:val="24"/>
          <w:szCs w:val="24"/>
        </w:rPr>
        <w:t>pass</w:t>
      </w:r>
      <w:r w:rsidR="009F5C94">
        <w:rPr>
          <w:rFonts w:ascii="Times New Roman" w:hAnsi="Times New Roman" w:cs="Times New Roman"/>
          <w:sz w:val="24"/>
          <w:szCs w:val="24"/>
        </w:rPr>
        <w:t>, and the Governor to sign</w:t>
      </w:r>
      <w:r w:rsidR="00210BC9">
        <w:rPr>
          <w:rFonts w:ascii="Times New Roman" w:hAnsi="Times New Roman" w:cs="Times New Roman"/>
          <w:sz w:val="24"/>
          <w:szCs w:val="24"/>
        </w:rPr>
        <w:t>,</w:t>
      </w:r>
      <w:r w:rsidR="009F5C94">
        <w:rPr>
          <w:rFonts w:ascii="Times New Roman" w:hAnsi="Times New Roman" w:cs="Times New Roman"/>
          <w:sz w:val="24"/>
          <w:szCs w:val="24"/>
        </w:rPr>
        <w:t xml:space="preserve"> legislation requiring private developers </w:t>
      </w:r>
      <w:r w:rsidR="00F8141B">
        <w:rPr>
          <w:rFonts w:ascii="Times New Roman" w:hAnsi="Times New Roman" w:cs="Times New Roman"/>
          <w:sz w:val="24"/>
          <w:szCs w:val="24"/>
        </w:rPr>
        <w:t>of</w:t>
      </w:r>
      <w:r w:rsidR="009F5C94">
        <w:rPr>
          <w:rFonts w:ascii="Times New Roman" w:hAnsi="Times New Roman" w:cs="Times New Roman"/>
          <w:sz w:val="24"/>
          <w:szCs w:val="24"/>
        </w:rPr>
        <w:t xml:space="preserve"> battery energy storage systems to provide liability insurance and financial support to nearby property owners, covering </w:t>
      </w:r>
      <w:r w:rsidR="007863BF">
        <w:rPr>
          <w:rFonts w:ascii="Times New Roman" w:hAnsi="Times New Roman" w:cs="Times New Roman"/>
          <w:sz w:val="24"/>
          <w:szCs w:val="24"/>
        </w:rPr>
        <w:t>losses</w:t>
      </w:r>
      <w:r w:rsidR="009F5C94">
        <w:rPr>
          <w:rFonts w:ascii="Times New Roman" w:hAnsi="Times New Roman" w:cs="Times New Roman"/>
          <w:sz w:val="24"/>
          <w:szCs w:val="24"/>
        </w:rPr>
        <w:t xml:space="preserve"> related to battery fires</w:t>
      </w:r>
    </w:p>
    <w:p w14:paraId="55E32CB4" w14:textId="292D1691" w:rsidR="005B5C45" w:rsidRPr="005B5C45" w:rsidRDefault="005B5C45" w:rsidP="00B052AE">
      <w:pPr>
        <w:jc w:val="both"/>
        <w:rPr>
          <w:rFonts w:ascii="Times New Roman" w:hAnsi="Times New Roman" w:cs="Times New Roman"/>
          <w:vanish/>
          <w:sz w:val="24"/>
          <w:szCs w:val="24"/>
        </w:rPr>
      </w:pPr>
      <w:r w:rsidRPr="005B5C45">
        <w:rPr>
          <w:rFonts w:ascii="Times New Roman" w:hAnsi="Times New Roman" w:cs="Times New Roman"/>
          <w:vanish/>
          <w:sz w:val="24"/>
          <w:szCs w:val="24"/>
        </w:rPr>
        <w:t>..Body</w:t>
      </w:r>
    </w:p>
    <w:p w14:paraId="702B662D" w14:textId="77777777" w:rsidR="003A5A74" w:rsidRDefault="003A5A74" w:rsidP="003A5A74">
      <w:pPr>
        <w:autoSpaceDE w:val="0"/>
        <w:autoSpaceDN w:val="0"/>
        <w:adjustRightInd w:val="0"/>
        <w:spacing w:line="252" w:lineRule="auto"/>
        <w:jc w:val="both"/>
        <w:rPr>
          <w:rFonts w:ascii="Times New Roman" w:hAnsi="Times New Roman" w:cs="Times New Roman"/>
          <w:vanish/>
          <w:sz w:val="24"/>
          <w:szCs w:val="24"/>
        </w:rPr>
      </w:pPr>
      <w:r>
        <w:rPr>
          <w:rFonts w:ascii="Times New Roman" w:hAnsi="Times New Roman" w:cs="Times New Roman"/>
          <w:vanish/>
          <w:sz w:val="24"/>
          <w:szCs w:val="24"/>
        </w:rPr>
        <w:t>..Body</w:t>
      </w:r>
    </w:p>
    <w:p w14:paraId="122B81F7" w14:textId="77777777" w:rsidR="002D1946" w:rsidRDefault="002D1946" w:rsidP="002D1946">
      <w:pPr>
        <w:autoSpaceDE w:val="0"/>
        <w:autoSpaceDN w:val="0"/>
        <w:adjustRightInd w:val="0"/>
        <w:spacing w:line="252" w:lineRule="auto"/>
        <w:jc w:val="both"/>
        <w:rPr>
          <w:rFonts w:ascii="Times New Roman" w:hAnsi="Times New Roman" w:cs="Times New Roman"/>
          <w:vanish/>
          <w:sz w:val="24"/>
          <w:szCs w:val="24"/>
        </w:rPr>
      </w:pPr>
      <w:r>
        <w:rPr>
          <w:rFonts w:ascii="Times New Roman" w:hAnsi="Times New Roman" w:cs="Times New Roman"/>
          <w:vanish/>
          <w:sz w:val="24"/>
          <w:szCs w:val="24"/>
        </w:rPr>
        <w:t>..Body</w:t>
      </w:r>
    </w:p>
    <w:p w14:paraId="2CF16CAE" w14:textId="77777777" w:rsidR="00017772" w:rsidRDefault="00017772" w:rsidP="00017772">
      <w:pPr>
        <w:autoSpaceDE w:val="0"/>
        <w:autoSpaceDN w:val="0"/>
        <w:adjustRightInd w:val="0"/>
        <w:spacing w:line="252" w:lineRule="auto"/>
        <w:jc w:val="both"/>
        <w:rPr>
          <w:rFonts w:ascii="Times New Roman" w:hAnsi="Times New Roman" w:cs="Times New Roman"/>
          <w:vanish/>
          <w:sz w:val="24"/>
          <w:szCs w:val="24"/>
        </w:rPr>
      </w:pPr>
      <w:r>
        <w:rPr>
          <w:rFonts w:ascii="Times New Roman" w:hAnsi="Times New Roman" w:cs="Times New Roman"/>
          <w:vanish/>
          <w:sz w:val="24"/>
          <w:szCs w:val="24"/>
        </w:rPr>
        <w:t>..Body</w:t>
      </w:r>
    </w:p>
    <w:p w14:paraId="44E3192A" w14:textId="77B963A0" w:rsidR="00017772" w:rsidRDefault="00017772" w:rsidP="00017772">
      <w:pPr>
        <w:shd w:val="clear" w:color="auto" w:fill="FFFFFF"/>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By Council Member</w:t>
      </w:r>
      <w:r w:rsidR="001B12D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B7766A" w:rsidRPr="00B7766A">
        <w:rPr>
          <w:rFonts w:ascii="Times New Roman" w:hAnsi="Times New Roman" w:cs="Times New Roman"/>
          <w:color w:val="000000"/>
          <w:sz w:val="24"/>
          <w:szCs w:val="24"/>
        </w:rPr>
        <w:t>Narcisse</w:t>
      </w:r>
      <w:r w:rsidR="001B12DA">
        <w:rPr>
          <w:rFonts w:ascii="Times New Roman" w:hAnsi="Times New Roman" w:cs="Times New Roman"/>
          <w:color w:val="000000"/>
          <w:sz w:val="24"/>
          <w:szCs w:val="24"/>
        </w:rPr>
        <w:t>, Louis and Morano</w:t>
      </w:r>
    </w:p>
    <w:p w14:paraId="2B4FA34E" w14:textId="3C808801" w:rsidR="00C72559" w:rsidRDefault="00C72559" w:rsidP="00C72559">
      <w:pPr>
        <w:pStyle w:val="NormalWeb"/>
        <w:shd w:val="clear" w:color="auto" w:fill="FFFFFF"/>
        <w:spacing w:before="0" w:beforeAutospacing="0" w:after="0" w:afterAutospacing="0" w:line="480" w:lineRule="auto"/>
        <w:ind w:firstLine="720"/>
        <w:jc w:val="both"/>
        <w:rPr>
          <w:color w:val="000000"/>
        </w:rPr>
      </w:pPr>
      <w:r w:rsidRPr="00C72559">
        <w:rPr>
          <w:color w:val="000000"/>
        </w:rPr>
        <w:t>Whereas, In 2019</w:t>
      </w:r>
      <w:r w:rsidR="00D151F9">
        <w:rPr>
          <w:color w:val="000000"/>
        </w:rPr>
        <w:t>,</w:t>
      </w:r>
      <w:r w:rsidRPr="00C72559">
        <w:rPr>
          <w:color w:val="000000"/>
        </w:rPr>
        <w:t xml:space="preserve"> the New York State </w:t>
      </w:r>
      <w:r w:rsidR="00DE26DD">
        <w:rPr>
          <w:color w:val="000000"/>
        </w:rPr>
        <w:t xml:space="preserve">(NYS) </w:t>
      </w:r>
      <w:r w:rsidRPr="00C72559">
        <w:rPr>
          <w:color w:val="000000"/>
        </w:rPr>
        <w:t xml:space="preserve">Legislature passed the Climate Leadership and Community Protection Act (CLCPA), committing </w:t>
      </w:r>
      <w:r w:rsidR="00DE26DD">
        <w:rPr>
          <w:color w:val="000000"/>
        </w:rPr>
        <w:t>NYS</w:t>
      </w:r>
      <w:r w:rsidRPr="00C72559">
        <w:rPr>
          <w:color w:val="000000"/>
        </w:rPr>
        <w:t xml:space="preserve"> to a net-zero carbon economy by 2050, 100</w:t>
      </w:r>
      <w:r w:rsidR="00D151F9">
        <w:rPr>
          <w:color w:val="000000"/>
        </w:rPr>
        <w:t xml:space="preserve"> percent</w:t>
      </w:r>
      <w:r w:rsidRPr="00C72559">
        <w:rPr>
          <w:color w:val="000000"/>
        </w:rPr>
        <w:t xml:space="preserve"> zero emission electrical generation by 2040, a 40</w:t>
      </w:r>
      <w:r w:rsidR="00D151F9">
        <w:rPr>
          <w:color w:val="000000"/>
        </w:rPr>
        <w:t xml:space="preserve"> percent</w:t>
      </w:r>
      <w:r w:rsidRPr="00C72559">
        <w:rPr>
          <w:color w:val="000000"/>
        </w:rPr>
        <w:t xml:space="preserve"> reduction from 1990 levels in statewide greenhouse gas emissions by 2030, and 70</w:t>
      </w:r>
      <w:r w:rsidR="00D151F9">
        <w:rPr>
          <w:color w:val="000000"/>
        </w:rPr>
        <w:t xml:space="preserve"> percent</w:t>
      </w:r>
      <w:r w:rsidRPr="00C72559">
        <w:rPr>
          <w:color w:val="000000"/>
        </w:rPr>
        <w:t xml:space="preserve"> renewable energy by 2030; and</w:t>
      </w:r>
    </w:p>
    <w:p w14:paraId="27B1464B" w14:textId="39E6E726" w:rsidR="0054454E" w:rsidRDefault="00AF77E0" w:rsidP="00C801F9">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w:t>
      </w:r>
      <w:r w:rsidR="0073639B">
        <w:rPr>
          <w:rFonts w:ascii="Times New Roman" w:hAnsi="Times New Roman" w:cs="Times New Roman"/>
          <w:sz w:val="24"/>
          <w:szCs w:val="24"/>
        </w:rPr>
        <w:t xml:space="preserve"> In 2015, </w:t>
      </w:r>
      <w:r w:rsidR="00456CEA">
        <w:rPr>
          <w:rFonts w:ascii="Times New Roman" w:hAnsi="Times New Roman" w:cs="Times New Roman"/>
          <w:sz w:val="24"/>
          <w:szCs w:val="24"/>
        </w:rPr>
        <w:t xml:space="preserve">the </w:t>
      </w:r>
      <w:r w:rsidR="00D151F9">
        <w:rPr>
          <w:rFonts w:ascii="Times New Roman" w:hAnsi="Times New Roman" w:cs="Times New Roman"/>
          <w:sz w:val="24"/>
          <w:szCs w:val="24"/>
        </w:rPr>
        <w:t xml:space="preserve">administration of then-Mayor Bill </w:t>
      </w:r>
      <w:r w:rsidR="00456CEA">
        <w:rPr>
          <w:rFonts w:ascii="Times New Roman" w:hAnsi="Times New Roman" w:cs="Times New Roman"/>
          <w:sz w:val="24"/>
          <w:szCs w:val="24"/>
        </w:rPr>
        <w:t xml:space="preserve">de Blasio released </w:t>
      </w:r>
      <w:r w:rsidR="00DE26DD">
        <w:rPr>
          <w:rFonts w:ascii="Times New Roman" w:hAnsi="Times New Roman" w:cs="Times New Roman"/>
          <w:sz w:val="24"/>
          <w:szCs w:val="24"/>
        </w:rPr>
        <w:t>“</w:t>
      </w:r>
      <w:r w:rsidR="0073639B" w:rsidRPr="0073639B">
        <w:rPr>
          <w:rFonts w:ascii="Times New Roman" w:hAnsi="Times New Roman" w:cs="Times New Roman"/>
          <w:sz w:val="24"/>
          <w:szCs w:val="24"/>
        </w:rPr>
        <w:t>One New York: the Plan for a Strong and Just City</w:t>
      </w:r>
      <w:r w:rsidR="0073639B">
        <w:rPr>
          <w:rFonts w:ascii="Times New Roman" w:hAnsi="Times New Roman" w:cs="Times New Roman"/>
          <w:sz w:val="24"/>
          <w:szCs w:val="24"/>
        </w:rPr>
        <w:t>,</w:t>
      </w:r>
      <w:r w:rsidR="00DE26DD">
        <w:rPr>
          <w:rFonts w:ascii="Times New Roman" w:hAnsi="Times New Roman" w:cs="Times New Roman"/>
          <w:sz w:val="24"/>
          <w:szCs w:val="24"/>
        </w:rPr>
        <w:t>”</w:t>
      </w:r>
      <w:r w:rsidR="0073639B">
        <w:rPr>
          <w:rFonts w:ascii="Times New Roman" w:hAnsi="Times New Roman" w:cs="Times New Roman"/>
          <w:sz w:val="24"/>
          <w:szCs w:val="24"/>
        </w:rPr>
        <w:t xml:space="preserve"> </w:t>
      </w:r>
      <w:r w:rsidR="00456CEA">
        <w:rPr>
          <w:rFonts w:ascii="Times New Roman" w:hAnsi="Times New Roman" w:cs="Times New Roman"/>
          <w:sz w:val="24"/>
          <w:szCs w:val="24"/>
        </w:rPr>
        <w:t>which established a goal of</w:t>
      </w:r>
      <w:r w:rsidR="0073639B">
        <w:rPr>
          <w:rFonts w:ascii="Times New Roman" w:hAnsi="Times New Roman" w:cs="Times New Roman"/>
          <w:sz w:val="24"/>
          <w:szCs w:val="24"/>
        </w:rPr>
        <w:t xml:space="preserve"> reducing</w:t>
      </w:r>
      <w:r w:rsidR="00456CEA">
        <w:rPr>
          <w:rFonts w:ascii="Times New Roman" w:hAnsi="Times New Roman" w:cs="Times New Roman"/>
          <w:sz w:val="24"/>
          <w:szCs w:val="24"/>
        </w:rPr>
        <w:t xml:space="preserve"> New York City’s</w:t>
      </w:r>
      <w:r w:rsidR="00DE26DD">
        <w:rPr>
          <w:rFonts w:ascii="Times New Roman" w:hAnsi="Times New Roman" w:cs="Times New Roman"/>
          <w:sz w:val="24"/>
          <w:szCs w:val="24"/>
        </w:rPr>
        <w:t xml:space="preserve"> (NYC or City)</w:t>
      </w:r>
      <w:r w:rsidR="0073639B">
        <w:rPr>
          <w:rFonts w:ascii="Times New Roman" w:hAnsi="Times New Roman" w:cs="Times New Roman"/>
          <w:sz w:val="24"/>
          <w:szCs w:val="24"/>
        </w:rPr>
        <w:t xml:space="preserve"> greenhouse gas emissions by 80</w:t>
      </w:r>
      <w:r w:rsidR="00DE26DD">
        <w:rPr>
          <w:rFonts w:ascii="Times New Roman" w:hAnsi="Times New Roman" w:cs="Times New Roman"/>
          <w:sz w:val="24"/>
          <w:szCs w:val="24"/>
        </w:rPr>
        <w:t xml:space="preserve"> percent</w:t>
      </w:r>
      <w:r w:rsidR="0073639B">
        <w:rPr>
          <w:rFonts w:ascii="Times New Roman" w:hAnsi="Times New Roman" w:cs="Times New Roman"/>
          <w:sz w:val="24"/>
          <w:szCs w:val="24"/>
        </w:rPr>
        <w:t xml:space="preserve"> compared to 2005 levels by 2050</w:t>
      </w:r>
      <w:r w:rsidR="0054454E" w:rsidRPr="0054454E">
        <w:rPr>
          <w:rFonts w:ascii="Times New Roman" w:hAnsi="Times New Roman" w:cs="Times New Roman"/>
          <w:sz w:val="24"/>
          <w:szCs w:val="24"/>
        </w:rPr>
        <w:t>; and</w:t>
      </w:r>
    </w:p>
    <w:p w14:paraId="2C26ADBC" w14:textId="43D379C5" w:rsidR="0073639B" w:rsidRDefault="00CC4365" w:rsidP="00B052AE">
      <w:pPr>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3639B">
        <w:rPr>
          <w:rFonts w:ascii="Times New Roman" w:hAnsi="Times New Roman" w:cs="Times New Roman"/>
          <w:sz w:val="24"/>
          <w:szCs w:val="24"/>
        </w:rPr>
        <w:t xml:space="preserve">Whereas, As part of the effort to </w:t>
      </w:r>
      <w:r w:rsidR="00531084">
        <w:rPr>
          <w:rFonts w:ascii="Times New Roman" w:hAnsi="Times New Roman" w:cs="Times New Roman"/>
          <w:sz w:val="24"/>
          <w:szCs w:val="24"/>
        </w:rPr>
        <w:t>meet these emissions reduction goals</w:t>
      </w:r>
      <w:r w:rsidR="00054102">
        <w:rPr>
          <w:rFonts w:ascii="Times New Roman" w:hAnsi="Times New Roman" w:cs="Times New Roman"/>
          <w:sz w:val="24"/>
          <w:szCs w:val="24"/>
        </w:rPr>
        <w:t>,</w:t>
      </w:r>
      <w:r w:rsidR="00F764F5">
        <w:rPr>
          <w:rFonts w:ascii="Times New Roman" w:hAnsi="Times New Roman" w:cs="Times New Roman"/>
          <w:sz w:val="24"/>
          <w:szCs w:val="24"/>
        </w:rPr>
        <w:t xml:space="preserve"> </w:t>
      </w:r>
      <w:r w:rsidR="00DE26DD">
        <w:rPr>
          <w:rFonts w:ascii="Times New Roman" w:hAnsi="Times New Roman" w:cs="Times New Roman"/>
          <w:sz w:val="24"/>
          <w:szCs w:val="24"/>
        </w:rPr>
        <w:t>NYC</w:t>
      </w:r>
      <w:r w:rsidR="00F764F5">
        <w:rPr>
          <w:rFonts w:ascii="Times New Roman" w:hAnsi="Times New Roman" w:cs="Times New Roman"/>
          <w:sz w:val="24"/>
          <w:szCs w:val="24"/>
        </w:rPr>
        <w:t xml:space="preserve"> has established a target of 500 megawatts</w:t>
      </w:r>
      <w:r w:rsidR="00054102">
        <w:rPr>
          <w:rFonts w:ascii="Times New Roman" w:hAnsi="Times New Roman" w:cs="Times New Roman"/>
          <w:sz w:val="24"/>
          <w:szCs w:val="24"/>
        </w:rPr>
        <w:t xml:space="preserve"> (MW)</w:t>
      </w:r>
      <w:r w:rsidR="00F764F5">
        <w:rPr>
          <w:rFonts w:ascii="Times New Roman" w:hAnsi="Times New Roman" w:cs="Times New Roman"/>
          <w:sz w:val="24"/>
          <w:szCs w:val="24"/>
        </w:rPr>
        <w:t xml:space="preserve"> of battery storage capacity by 2025</w:t>
      </w:r>
      <w:r w:rsidR="00054102">
        <w:rPr>
          <w:rFonts w:ascii="Times New Roman" w:hAnsi="Times New Roman" w:cs="Times New Roman"/>
          <w:sz w:val="24"/>
          <w:szCs w:val="24"/>
        </w:rPr>
        <w:t xml:space="preserve">, with the </w:t>
      </w:r>
      <w:r w:rsidR="00DE26DD">
        <w:rPr>
          <w:rFonts w:ascii="Times New Roman" w:hAnsi="Times New Roman" w:cs="Times New Roman"/>
          <w:sz w:val="24"/>
          <w:szCs w:val="24"/>
        </w:rPr>
        <w:t xml:space="preserve">NYC </w:t>
      </w:r>
      <w:r w:rsidR="00054102">
        <w:rPr>
          <w:rFonts w:ascii="Times New Roman" w:hAnsi="Times New Roman" w:cs="Times New Roman"/>
          <w:sz w:val="24"/>
          <w:szCs w:val="24"/>
        </w:rPr>
        <w:t>Industrial Development Agency</w:t>
      </w:r>
      <w:r>
        <w:rPr>
          <w:rFonts w:ascii="Times New Roman" w:hAnsi="Times New Roman" w:cs="Times New Roman"/>
          <w:sz w:val="24"/>
          <w:szCs w:val="24"/>
        </w:rPr>
        <w:t>, a NYS public benefit corporation established to facilitate economic development,</w:t>
      </w:r>
      <w:r w:rsidR="00054102">
        <w:rPr>
          <w:rFonts w:ascii="Times New Roman" w:hAnsi="Times New Roman" w:cs="Times New Roman"/>
          <w:sz w:val="24"/>
          <w:szCs w:val="24"/>
        </w:rPr>
        <w:t xml:space="preserve"> stating that it has </w:t>
      </w:r>
      <w:r w:rsidR="00531084">
        <w:rPr>
          <w:rFonts w:ascii="Times New Roman" w:hAnsi="Times New Roman" w:cs="Times New Roman"/>
          <w:sz w:val="24"/>
          <w:szCs w:val="24"/>
        </w:rPr>
        <w:t>supported projects totaling</w:t>
      </w:r>
      <w:r w:rsidR="00054102">
        <w:rPr>
          <w:rFonts w:ascii="Times New Roman" w:hAnsi="Times New Roman" w:cs="Times New Roman"/>
          <w:sz w:val="24"/>
          <w:szCs w:val="24"/>
        </w:rPr>
        <w:t xml:space="preserve"> approximately 254 MW of battery storage capacity as of April 2024</w:t>
      </w:r>
      <w:r w:rsidR="00F764F5">
        <w:rPr>
          <w:rFonts w:ascii="Times New Roman" w:hAnsi="Times New Roman" w:cs="Times New Roman"/>
          <w:sz w:val="24"/>
          <w:szCs w:val="24"/>
        </w:rPr>
        <w:t>: and</w:t>
      </w:r>
    </w:p>
    <w:p w14:paraId="099C8B59" w14:textId="77CA2F95" w:rsidR="00CC4365" w:rsidRDefault="00CC4365" w:rsidP="00CC4365">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Batter</w:t>
      </w:r>
      <w:r w:rsidR="006E0B3D">
        <w:rPr>
          <w:rFonts w:ascii="Times New Roman" w:hAnsi="Times New Roman" w:cs="Times New Roman"/>
          <w:sz w:val="24"/>
          <w:szCs w:val="24"/>
        </w:rPr>
        <w:t>y</w:t>
      </w:r>
      <w:r>
        <w:rPr>
          <w:rFonts w:ascii="Times New Roman" w:hAnsi="Times New Roman" w:cs="Times New Roman"/>
          <w:sz w:val="24"/>
          <w:szCs w:val="24"/>
        </w:rPr>
        <w:t xml:space="preserve"> energy storage systems (BESS) foster grid reliability by storing surplus renewable energy produced during peak generation periods for use when demand outpaces </w:t>
      </w:r>
      <w:r>
        <w:rPr>
          <w:rFonts w:ascii="Times New Roman" w:hAnsi="Times New Roman" w:cs="Times New Roman"/>
          <w:sz w:val="24"/>
          <w:szCs w:val="24"/>
        </w:rPr>
        <w:lastRenderedPageBreak/>
        <w:t xml:space="preserve">generation, and </w:t>
      </w:r>
      <w:r w:rsidRPr="00CC4365">
        <w:rPr>
          <w:rFonts w:ascii="Times New Roman" w:hAnsi="Times New Roman" w:cs="Times New Roman"/>
          <w:sz w:val="24"/>
          <w:szCs w:val="24"/>
        </w:rPr>
        <w:t>can consist of  large banks of multiple battery packs linked together with safety monitoring equipment and climate control systems</w:t>
      </w:r>
      <w:r>
        <w:rPr>
          <w:rFonts w:ascii="Times New Roman" w:hAnsi="Times New Roman" w:cs="Times New Roman"/>
          <w:sz w:val="24"/>
          <w:szCs w:val="24"/>
        </w:rPr>
        <w:t>; and</w:t>
      </w:r>
    </w:p>
    <w:p w14:paraId="7DC62318" w14:textId="0DDF1CD8" w:rsidR="00323B3F" w:rsidRPr="00531084" w:rsidRDefault="00F764F5" w:rsidP="00C801F9">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D979BF">
        <w:rPr>
          <w:rFonts w:ascii="Times New Roman" w:hAnsi="Times New Roman" w:cs="Times New Roman"/>
          <w:sz w:val="24"/>
          <w:szCs w:val="24"/>
        </w:rPr>
        <w:t xml:space="preserve">Many of the BESS </w:t>
      </w:r>
      <w:r w:rsidR="00323B3F">
        <w:rPr>
          <w:rFonts w:ascii="Times New Roman" w:hAnsi="Times New Roman" w:cs="Times New Roman"/>
          <w:sz w:val="24"/>
          <w:szCs w:val="24"/>
        </w:rPr>
        <w:t xml:space="preserve">installations that have been announced for </w:t>
      </w:r>
      <w:r w:rsidR="00C11E70">
        <w:rPr>
          <w:rFonts w:ascii="Times New Roman" w:hAnsi="Times New Roman" w:cs="Times New Roman"/>
          <w:sz w:val="24"/>
          <w:szCs w:val="24"/>
        </w:rPr>
        <w:t>the</w:t>
      </w:r>
      <w:r w:rsidR="00323B3F">
        <w:rPr>
          <w:rFonts w:ascii="Times New Roman" w:hAnsi="Times New Roman" w:cs="Times New Roman"/>
          <w:sz w:val="24"/>
          <w:szCs w:val="24"/>
        </w:rPr>
        <w:t xml:space="preserve"> City are located in </w:t>
      </w:r>
      <w:r w:rsidR="00CC4365">
        <w:rPr>
          <w:rFonts w:ascii="Times New Roman" w:hAnsi="Times New Roman" w:cs="Times New Roman"/>
          <w:sz w:val="24"/>
          <w:szCs w:val="24"/>
        </w:rPr>
        <w:t>residential</w:t>
      </w:r>
      <w:r w:rsidR="00323B3F">
        <w:rPr>
          <w:rFonts w:ascii="Times New Roman" w:hAnsi="Times New Roman" w:cs="Times New Roman"/>
          <w:sz w:val="24"/>
          <w:szCs w:val="24"/>
        </w:rPr>
        <w:t xml:space="preserve"> neighborhoods, like the Ninedot Energy projects planned for</w:t>
      </w:r>
      <w:r w:rsidR="00613E90">
        <w:rPr>
          <w:rFonts w:ascii="Times New Roman" w:hAnsi="Times New Roman" w:cs="Times New Roman"/>
          <w:sz w:val="24"/>
          <w:szCs w:val="24"/>
        </w:rPr>
        <w:t xml:space="preserve"> the</w:t>
      </w:r>
      <w:r w:rsidR="00323B3F">
        <w:rPr>
          <w:rFonts w:ascii="Times New Roman" w:hAnsi="Times New Roman" w:cs="Times New Roman"/>
          <w:sz w:val="24"/>
          <w:szCs w:val="24"/>
        </w:rPr>
        <w:t xml:space="preserve"> Manor Heights neighborhood in Staten Island and </w:t>
      </w:r>
      <w:r w:rsidR="008661E4">
        <w:rPr>
          <w:rFonts w:ascii="Times New Roman" w:hAnsi="Times New Roman" w:cs="Times New Roman"/>
          <w:sz w:val="24"/>
          <w:szCs w:val="24"/>
        </w:rPr>
        <w:t xml:space="preserve">the </w:t>
      </w:r>
      <w:r w:rsidR="00323B3F">
        <w:rPr>
          <w:rFonts w:ascii="Times New Roman" w:hAnsi="Times New Roman" w:cs="Times New Roman"/>
          <w:sz w:val="24"/>
          <w:szCs w:val="24"/>
        </w:rPr>
        <w:t xml:space="preserve">Marine Park </w:t>
      </w:r>
      <w:r w:rsidR="00531084">
        <w:rPr>
          <w:rFonts w:ascii="Times New Roman" w:hAnsi="Times New Roman" w:cs="Times New Roman"/>
          <w:sz w:val="24"/>
          <w:szCs w:val="24"/>
        </w:rPr>
        <w:t xml:space="preserve">neighborhood </w:t>
      </w:r>
      <w:r w:rsidR="00323B3F">
        <w:rPr>
          <w:rFonts w:ascii="Times New Roman" w:hAnsi="Times New Roman" w:cs="Times New Roman"/>
          <w:sz w:val="24"/>
          <w:szCs w:val="24"/>
        </w:rPr>
        <w:t xml:space="preserve">in Brooklyn, both of which </w:t>
      </w:r>
      <w:r w:rsidR="00613E90">
        <w:rPr>
          <w:rFonts w:ascii="Times New Roman" w:hAnsi="Times New Roman" w:cs="Times New Roman"/>
          <w:sz w:val="24"/>
          <w:szCs w:val="24"/>
        </w:rPr>
        <w:t>are sited adjacent</w:t>
      </w:r>
      <w:r w:rsidR="00323B3F">
        <w:rPr>
          <w:rFonts w:ascii="Times New Roman" w:hAnsi="Times New Roman" w:cs="Times New Roman"/>
          <w:sz w:val="24"/>
          <w:szCs w:val="24"/>
        </w:rPr>
        <w:t xml:space="preserve"> </w:t>
      </w:r>
      <w:r w:rsidR="00613E90">
        <w:rPr>
          <w:rFonts w:ascii="Times New Roman" w:hAnsi="Times New Roman" w:cs="Times New Roman"/>
          <w:sz w:val="24"/>
          <w:szCs w:val="24"/>
        </w:rPr>
        <w:t xml:space="preserve">to </w:t>
      </w:r>
      <w:r w:rsidR="00323B3F">
        <w:rPr>
          <w:rFonts w:ascii="Times New Roman" w:hAnsi="Times New Roman" w:cs="Times New Roman"/>
          <w:sz w:val="24"/>
          <w:szCs w:val="24"/>
        </w:rPr>
        <w:t xml:space="preserve">homes; </w:t>
      </w:r>
      <w:r w:rsidR="00323B3F" w:rsidRPr="00531084">
        <w:rPr>
          <w:rFonts w:ascii="Times New Roman" w:hAnsi="Times New Roman" w:cs="Times New Roman"/>
          <w:sz w:val="24"/>
          <w:szCs w:val="24"/>
        </w:rPr>
        <w:t>and</w:t>
      </w:r>
      <w:r w:rsidR="00531084" w:rsidRPr="00531084">
        <w:rPr>
          <w:rFonts w:ascii="Times New Roman" w:hAnsi="Times New Roman" w:cs="Times New Roman"/>
          <w:sz w:val="24"/>
          <w:szCs w:val="24"/>
        </w:rPr>
        <w:t xml:space="preserve"> </w:t>
      </w:r>
    </w:p>
    <w:p w14:paraId="1EF7071C" w14:textId="6CAAE243" w:rsidR="00531084" w:rsidRDefault="00DA521A"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w:t>
      </w:r>
      <w:r w:rsidR="00323B3F">
        <w:rPr>
          <w:rFonts w:ascii="Times New Roman" w:hAnsi="Times New Roman" w:cs="Times New Roman"/>
          <w:sz w:val="24"/>
          <w:szCs w:val="24"/>
        </w:rPr>
        <w:t xml:space="preserve"> </w:t>
      </w:r>
      <w:r w:rsidR="00531084">
        <w:rPr>
          <w:rFonts w:ascii="Times New Roman" w:hAnsi="Times New Roman" w:cs="Times New Roman"/>
          <w:sz w:val="24"/>
          <w:szCs w:val="24"/>
        </w:rPr>
        <w:t>Due to their high energy density, long lifespan</w:t>
      </w:r>
      <w:r w:rsidR="007F5739">
        <w:rPr>
          <w:rFonts w:ascii="Times New Roman" w:hAnsi="Times New Roman" w:cs="Times New Roman"/>
          <w:sz w:val="24"/>
          <w:szCs w:val="24"/>
        </w:rPr>
        <w:t>,</w:t>
      </w:r>
      <w:r>
        <w:rPr>
          <w:rFonts w:ascii="Times New Roman" w:hAnsi="Times New Roman" w:cs="Times New Roman"/>
          <w:sz w:val="24"/>
          <w:szCs w:val="24"/>
        </w:rPr>
        <w:t xml:space="preserve"> and</w:t>
      </w:r>
      <w:r w:rsidR="00531084">
        <w:rPr>
          <w:rFonts w:ascii="Times New Roman" w:hAnsi="Times New Roman" w:cs="Times New Roman"/>
          <w:sz w:val="24"/>
          <w:szCs w:val="24"/>
        </w:rPr>
        <w:t xml:space="preserve"> </w:t>
      </w:r>
      <w:r w:rsidR="00531084" w:rsidRPr="00531084">
        <w:rPr>
          <w:rFonts w:ascii="Times New Roman" w:hAnsi="Times New Roman" w:cs="Times New Roman"/>
          <w:sz w:val="24"/>
          <w:szCs w:val="24"/>
        </w:rPr>
        <w:t>fast charge</w:t>
      </w:r>
      <w:r w:rsidR="007F5739">
        <w:rPr>
          <w:rFonts w:ascii="Times New Roman" w:hAnsi="Times New Roman" w:cs="Times New Roman"/>
          <w:sz w:val="24"/>
          <w:szCs w:val="24"/>
        </w:rPr>
        <w:t xml:space="preserve"> and </w:t>
      </w:r>
      <w:r w:rsidR="00531084" w:rsidRPr="00531084">
        <w:rPr>
          <w:rFonts w:ascii="Times New Roman" w:hAnsi="Times New Roman" w:cs="Times New Roman"/>
          <w:sz w:val="24"/>
          <w:szCs w:val="24"/>
        </w:rPr>
        <w:t>discharge times</w:t>
      </w:r>
      <w:r w:rsidR="007F5739">
        <w:rPr>
          <w:rFonts w:ascii="Times New Roman" w:hAnsi="Times New Roman" w:cs="Times New Roman"/>
          <w:sz w:val="24"/>
          <w:szCs w:val="24"/>
        </w:rPr>
        <w:t>,</w:t>
      </w:r>
      <w:r w:rsidR="00531084" w:rsidRPr="00531084">
        <w:rPr>
          <w:rFonts w:ascii="Times New Roman" w:hAnsi="Times New Roman" w:cs="Times New Roman"/>
          <w:sz w:val="24"/>
          <w:szCs w:val="24"/>
        </w:rPr>
        <w:t xml:space="preserve"> lithium ion batteries have become the most popular</w:t>
      </w:r>
      <w:r>
        <w:rPr>
          <w:rFonts w:ascii="Times New Roman" w:hAnsi="Times New Roman" w:cs="Times New Roman"/>
          <w:sz w:val="24"/>
          <w:szCs w:val="24"/>
        </w:rPr>
        <w:t xml:space="preserve"> battery chemistry utilized in </w:t>
      </w:r>
      <w:r w:rsidR="001D5D26">
        <w:rPr>
          <w:rFonts w:ascii="Times New Roman" w:hAnsi="Times New Roman" w:cs="Times New Roman"/>
          <w:sz w:val="24"/>
          <w:szCs w:val="24"/>
        </w:rPr>
        <w:t>BESS installations</w:t>
      </w:r>
      <w:r w:rsidR="002E152A">
        <w:rPr>
          <w:rFonts w:ascii="Times New Roman" w:hAnsi="Times New Roman" w:cs="Times New Roman"/>
          <w:sz w:val="24"/>
          <w:szCs w:val="24"/>
        </w:rPr>
        <w:t xml:space="preserve">; and </w:t>
      </w:r>
    </w:p>
    <w:p w14:paraId="48E78A03" w14:textId="54EC46C4" w:rsidR="0072187C" w:rsidRDefault="002E152A"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5C206F">
        <w:rPr>
          <w:rFonts w:ascii="Times New Roman" w:hAnsi="Times New Roman" w:cs="Times New Roman"/>
          <w:sz w:val="24"/>
          <w:szCs w:val="24"/>
        </w:rPr>
        <w:t>A</w:t>
      </w:r>
      <w:r w:rsidR="008B7C5F">
        <w:rPr>
          <w:rFonts w:ascii="Times New Roman" w:hAnsi="Times New Roman" w:cs="Times New Roman"/>
          <w:sz w:val="24"/>
          <w:szCs w:val="24"/>
        </w:rPr>
        <w:t xml:space="preserve">ppropriately designed BESS installations </w:t>
      </w:r>
      <w:r w:rsidR="0054084E">
        <w:rPr>
          <w:rFonts w:ascii="Times New Roman" w:hAnsi="Times New Roman" w:cs="Times New Roman"/>
          <w:sz w:val="24"/>
          <w:szCs w:val="24"/>
        </w:rPr>
        <w:t xml:space="preserve">have </w:t>
      </w:r>
      <w:r w:rsidR="005C206F">
        <w:rPr>
          <w:rFonts w:ascii="Times New Roman" w:hAnsi="Times New Roman" w:cs="Times New Roman"/>
          <w:sz w:val="24"/>
          <w:szCs w:val="24"/>
        </w:rPr>
        <w:t>seen safety improvements in the last 5 years</w:t>
      </w:r>
      <w:r w:rsidR="0054084E">
        <w:rPr>
          <w:rFonts w:ascii="Times New Roman" w:hAnsi="Times New Roman" w:cs="Times New Roman"/>
          <w:sz w:val="24"/>
          <w:szCs w:val="24"/>
        </w:rPr>
        <w:t xml:space="preserve"> as industry best practices </w:t>
      </w:r>
      <w:r w:rsidR="00AD767E">
        <w:rPr>
          <w:rFonts w:ascii="Times New Roman" w:hAnsi="Times New Roman" w:cs="Times New Roman"/>
          <w:sz w:val="24"/>
          <w:szCs w:val="24"/>
        </w:rPr>
        <w:t xml:space="preserve">have been </w:t>
      </w:r>
      <w:r w:rsidR="0054084E">
        <w:rPr>
          <w:rFonts w:ascii="Times New Roman" w:hAnsi="Times New Roman" w:cs="Times New Roman"/>
          <w:sz w:val="24"/>
          <w:szCs w:val="24"/>
        </w:rPr>
        <w:t>established</w:t>
      </w:r>
      <w:r w:rsidR="008B7C5F">
        <w:rPr>
          <w:rFonts w:ascii="Times New Roman" w:hAnsi="Times New Roman" w:cs="Times New Roman"/>
          <w:sz w:val="24"/>
          <w:szCs w:val="24"/>
        </w:rPr>
        <w:t>, with</w:t>
      </w:r>
      <w:r w:rsidR="00A417F2">
        <w:rPr>
          <w:rFonts w:ascii="Times New Roman" w:hAnsi="Times New Roman" w:cs="Times New Roman"/>
          <w:sz w:val="24"/>
          <w:szCs w:val="24"/>
        </w:rPr>
        <w:t xml:space="preserve"> the</w:t>
      </w:r>
      <w:r w:rsidR="008B7C5F">
        <w:rPr>
          <w:rFonts w:ascii="Times New Roman" w:hAnsi="Times New Roman" w:cs="Times New Roman"/>
          <w:sz w:val="24"/>
          <w:szCs w:val="24"/>
        </w:rPr>
        <w:t xml:space="preserve"> failure rate</w:t>
      </w:r>
      <w:r w:rsidR="00A417F2">
        <w:rPr>
          <w:rFonts w:ascii="Times New Roman" w:hAnsi="Times New Roman" w:cs="Times New Roman"/>
          <w:sz w:val="24"/>
          <w:szCs w:val="24"/>
        </w:rPr>
        <w:t xml:space="preserve"> of grid</w:t>
      </w:r>
      <w:r w:rsidR="00AD767E">
        <w:rPr>
          <w:rFonts w:ascii="Times New Roman" w:hAnsi="Times New Roman" w:cs="Times New Roman"/>
          <w:sz w:val="24"/>
          <w:szCs w:val="24"/>
        </w:rPr>
        <w:t>-</w:t>
      </w:r>
      <w:r w:rsidR="00A417F2">
        <w:rPr>
          <w:rFonts w:ascii="Times New Roman" w:hAnsi="Times New Roman" w:cs="Times New Roman"/>
          <w:sz w:val="24"/>
          <w:szCs w:val="24"/>
        </w:rPr>
        <w:t>scale energy storage systems</w:t>
      </w:r>
      <w:r w:rsidR="008B7C5F">
        <w:rPr>
          <w:rFonts w:ascii="Times New Roman" w:hAnsi="Times New Roman" w:cs="Times New Roman"/>
          <w:sz w:val="24"/>
          <w:szCs w:val="24"/>
        </w:rPr>
        <w:t xml:space="preserve"> dropping by 98</w:t>
      </w:r>
      <w:r w:rsidR="00AD767E">
        <w:rPr>
          <w:rFonts w:ascii="Times New Roman" w:hAnsi="Times New Roman" w:cs="Times New Roman"/>
          <w:sz w:val="24"/>
          <w:szCs w:val="24"/>
        </w:rPr>
        <w:t xml:space="preserve"> percent</w:t>
      </w:r>
      <w:r w:rsidR="008B7C5F">
        <w:rPr>
          <w:rFonts w:ascii="Times New Roman" w:hAnsi="Times New Roman" w:cs="Times New Roman"/>
          <w:sz w:val="24"/>
          <w:szCs w:val="24"/>
        </w:rPr>
        <w:t xml:space="preserve"> between 2018 and 2024 despite a significant increase in global deployed capacity</w:t>
      </w:r>
      <w:r w:rsidR="0072187C">
        <w:rPr>
          <w:rFonts w:ascii="Times New Roman" w:hAnsi="Times New Roman" w:cs="Times New Roman"/>
          <w:sz w:val="24"/>
          <w:szCs w:val="24"/>
        </w:rPr>
        <w:t>; and</w:t>
      </w:r>
    </w:p>
    <w:p w14:paraId="1F4C7DE4" w14:textId="17E641D2" w:rsidR="002E152A" w:rsidRDefault="0072187C"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Despite those safety improvements, any </w:t>
      </w:r>
      <w:r w:rsidR="00850EBD">
        <w:rPr>
          <w:rFonts w:ascii="Times New Roman" w:hAnsi="Times New Roman" w:cs="Times New Roman"/>
          <w:sz w:val="24"/>
          <w:szCs w:val="24"/>
        </w:rPr>
        <w:t>system failure can come with significant consequences; and</w:t>
      </w:r>
    </w:p>
    <w:p w14:paraId="232D3ECC" w14:textId="27124286" w:rsidR="00850EBD" w:rsidRDefault="00850EBD"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8C51EA">
        <w:rPr>
          <w:rFonts w:ascii="Times New Roman" w:hAnsi="Times New Roman" w:cs="Times New Roman"/>
          <w:sz w:val="24"/>
          <w:szCs w:val="24"/>
        </w:rPr>
        <w:t xml:space="preserve">When subjected to mechanical damage or when </w:t>
      </w:r>
      <w:r w:rsidR="00C00C89">
        <w:rPr>
          <w:rFonts w:ascii="Times New Roman" w:hAnsi="Times New Roman" w:cs="Times New Roman"/>
          <w:sz w:val="24"/>
          <w:szCs w:val="24"/>
        </w:rPr>
        <w:t>exposed to</w:t>
      </w:r>
      <w:r w:rsidR="008C51EA">
        <w:rPr>
          <w:rFonts w:ascii="Times New Roman" w:hAnsi="Times New Roman" w:cs="Times New Roman"/>
          <w:sz w:val="24"/>
          <w:szCs w:val="24"/>
        </w:rPr>
        <w:t xml:space="preserve"> unsafe temperatures, lithium ion batteries can undergo a process known as thermal runaway, in which an internal short circuit </w:t>
      </w:r>
      <w:r w:rsidR="00013E5E">
        <w:rPr>
          <w:rFonts w:ascii="Times New Roman" w:hAnsi="Times New Roman" w:cs="Times New Roman"/>
          <w:sz w:val="24"/>
          <w:szCs w:val="24"/>
        </w:rPr>
        <w:t>converts stored chemical energy</w:t>
      </w:r>
      <w:r w:rsidR="008C51EA">
        <w:rPr>
          <w:rFonts w:ascii="Times New Roman" w:hAnsi="Times New Roman" w:cs="Times New Roman"/>
          <w:sz w:val="24"/>
          <w:szCs w:val="24"/>
        </w:rPr>
        <w:t xml:space="preserve"> </w:t>
      </w:r>
      <w:r w:rsidR="00013E5E">
        <w:rPr>
          <w:rFonts w:ascii="Times New Roman" w:hAnsi="Times New Roman" w:cs="Times New Roman"/>
          <w:sz w:val="24"/>
          <w:szCs w:val="24"/>
        </w:rPr>
        <w:t>to</w:t>
      </w:r>
      <w:r w:rsidR="008C51EA">
        <w:rPr>
          <w:rFonts w:ascii="Times New Roman" w:hAnsi="Times New Roman" w:cs="Times New Roman"/>
          <w:sz w:val="24"/>
          <w:szCs w:val="24"/>
        </w:rPr>
        <w:t xml:space="preserve"> heat energy, intensifying chemical reactions </w:t>
      </w:r>
      <w:r w:rsidR="009D3DE8">
        <w:rPr>
          <w:rFonts w:ascii="Times New Roman" w:hAnsi="Times New Roman" w:cs="Times New Roman"/>
          <w:sz w:val="24"/>
          <w:szCs w:val="24"/>
        </w:rPr>
        <w:t xml:space="preserve">and leading </w:t>
      </w:r>
      <w:r w:rsidR="008C51EA">
        <w:rPr>
          <w:rFonts w:ascii="Times New Roman" w:hAnsi="Times New Roman" w:cs="Times New Roman"/>
          <w:sz w:val="24"/>
          <w:szCs w:val="24"/>
        </w:rPr>
        <w:t>to the release of additional heat energy, potentially resulting in the release of flammable gases, fires, or explosion</w:t>
      </w:r>
      <w:r w:rsidR="00810E7B">
        <w:rPr>
          <w:rFonts w:ascii="Times New Roman" w:hAnsi="Times New Roman" w:cs="Times New Roman"/>
          <w:sz w:val="24"/>
          <w:szCs w:val="24"/>
        </w:rPr>
        <w:t>s</w:t>
      </w:r>
      <w:r w:rsidR="008C51EA">
        <w:rPr>
          <w:rFonts w:ascii="Times New Roman" w:hAnsi="Times New Roman" w:cs="Times New Roman"/>
          <w:sz w:val="24"/>
          <w:szCs w:val="24"/>
        </w:rPr>
        <w:t xml:space="preserve">; and </w:t>
      </w:r>
    </w:p>
    <w:p w14:paraId="1265AFDA" w14:textId="4D68AA51" w:rsidR="008C51EA" w:rsidRDefault="008C51EA"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9D3DE8">
        <w:rPr>
          <w:rFonts w:ascii="Times New Roman" w:hAnsi="Times New Roman" w:cs="Times New Roman"/>
          <w:sz w:val="24"/>
          <w:szCs w:val="24"/>
        </w:rPr>
        <w:t xml:space="preserve">In the event of a fire, lithium ion batteries can release toxic emissions like </w:t>
      </w:r>
      <w:r w:rsidR="00810E7B">
        <w:rPr>
          <w:rFonts w:ascii="Times New Roman" w:hAnsi="Times New Roman" w:cs="Times New Roman"/>
          <w:sz w:val="24"/>
          <w:szCs w:val="24"/>
        </w:rPr>
        <w:t xml:space="preserve">carbon monoxide, heavy metals, and </w:t>
      </w:r>
      <w:r w:rsidR="009D3DE8">
        <w:rPr>
          <w:rFonts w:ascii="Times New Roman" w:hAnsi="Times New Roman" w:cs="Times New Roman"/>
          <w:sz w:val="24"/>
          <w:szCs w:val="24"/>
        </w:rPr>
        <w:t xml:space="preserve">hydrogen fluoride, which </w:t>
      </w:r>
      <w:r w:rsidR="00810E7B">
        <w:rPr>
          <w:rFonts w:ascii="Times New Roman" w:hAnsi="Times New Roman" w:cs="Times New Roman"/>
          <w:sz w:val="24"/>
          <w:szCs w:val="24"/>
        </w:rPr>
        <w:t>have the potential to</w:t>
      </w:r>
      <w:r w:rsidR="009D3DE8">
        <w:rPr>
          <w:rFonts w:ascii="Times New Roman" w:hAnsi="Times New Roman" w:cs="Times New Roman"/>
          <w:sz w:val="24"/>
          <w:szCs w:val="24"/>
        </w:rPr>
        <w:t xml:space="preserve"> damage skin and </w:t>
      </w:r>
      <w:r w:rsidR="009D3DE8">
        <w:rPr>
          <w:rFonts w:ascii="Times New Roman" w:hAnsi="Times New Roman" w:cs="Times New Roman"/>
          <w:sz w:val="24"/>
          <w:szCs w:val="24"/>
        </w:rPr>
        <w:lastRenderedPageBreak/>
        <w:t xml:space="preserve">respiratory organs, cause severe burns, lead to </w:t>
      </w:r>
      <w:r w:rsidR="00810E7B">
        <w:rPr>
          <w:rFonts w:ascii="Times New Roman" w:hAnsi="Times New Roman" w:cs="Times New Roman"/>
          <w:sz w:val="24"/>
          <w:szCs w:val="24"/>
        </w:rPr>
        <w:t>cardiac arrhythmia and renal failure,</w:t>
      </w:r>
      <w:r w:rsidR="009D3DE8">
        <w:rPr>
          <w:rFonts w:ascii="Times New Roman" w:hAnsi="Times New Roman" w:cs="Times New Roman"/>
          <w:sz w:val="24"/>
          <w:szCs w:val="24"/>
        </w:rPr>
        <w:t xml:space="preserve"> </w:t>
      </w:r>
      <w:r w:rsidR="00687DA7">
        <w:rPr>
          <w:rFonts w:ascii="Times New Roman" w:hAnsi="Times New Roman" w:cs="Times New Roman"/>
          <w:sz w:val="24"/>
          <w:szCs w:val="24"/>
        </w:rPr>
        <w:t>and can also release</w:t>
      </w:r>
      <w:r w:rsidR="00810E7B">
        <w:rPr>
          <w:rFonts w:ascii="Times New Roman" w:hAnsi="Times New Roman" w:cs="Times New Roman"/>
          <w:sz w:val="24"/>
          <w:szCs w:val="24"/>
        </w:rPr>
        <w:t xml:space="preserve"> potentially harmful</w:t>
      </w:r>
      <w:r w:rsidR="009D3DE8">
        <w:rPr>
          <w:rFonts w:ascii="Times New Roman" w:hAnsi="Times New Roman" w:cs="Times New Roman"/>
          <w:sz w:val="24"/>
          <w:szCs w:val="24"/>
        </w:rPr>
        <w:t xml:space="preserve"> fluorinated compounds</w:t>
      </w:r>
      <w:r w:rsidR="00810E7B">
        <w:rPr>
          <w:rFonts w:ascii="Times New Roman" w:hAnsi="Times New Roman" w:cs="Times New Roman"/>
          <w:sz w:val="24"/>
          <w:szCs w:val="24"/>
        </w:rPr>
        <w:t xml:space="preserve">; and </w:t>
      </w:r>
    </w:p>
    <w:p w14:paraId="722B09E6" w14:textId="739E15EF" w:rsidR="00810E7B" w:rsidRDefault="00976D81"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A fire on January 16, 2025 at the Vistra Energy Moss Landing battery storage facility in California</w:t>
      </w:r>
      <w:r w:rsidR="00F372C1">
        <w:rPr>
          <w:rFonts w:ascii="Times New Roman" w:hAnsi="Times New Roman" w:cs="Times New Roman"/>
          <w:sz w:val="24"/>
          <w:szCs w:val="24"/>
        </w:rPr>
        <w:t xml:space="preserve"> caused approximately 1,500 nearby residents to be temporarily evacuated from their homes, and led to widespread school closures </w:t>
      </w:r>
      <w:r w:rsidR="00603DE8">
        <w:rPr>
          <w:rFonts w:ascii="Times New Roman" w:hAnsi="Times New Roman" w:cs="Times New Roman"/>
          <w:sz w:val="24"/>
          <w:szCs w:val="24"/>
        </w:rPr>
        <w:t>due</w:t>
      </w:r>
      <w:r w:rsidR="00F372C1">
        <w:rPr>
          <w:rFonts w:ascii="Times New Roman" w:hAnsi="Times New Roman" w:cs="Times New Roman"/>
          <w:sz w:val="24"/>
          <w:szCs w:val="24"/>
        </w:rPr>
        <w:t xml:space="preserve"> to concerns over hazardous materials and potential</w:t>
      </w:r>
      <w:r w:rsidR="00603DE8">
        <w:rPr>
          <w:rFonts w:ascii="Times New Roman" w:hAnsi="Times New Roman" w:cs="Times New Roman"/>
          <w:sz w:val="24"/>
          <w:szCs w:val="24"/>
        </w:rPr>
        <w:t xml:space="preserve"> toxic exposures</w:t>
      </w:r>
      <w:r w:rsidR="00CC023D">
        <w:rPr>
          <w:rFonts w:ascii="Times New Roman" w:hAnsi="Times New Roman" w:cs="Times New Roman"/>
          <w:sz w:val="24"/>
          <w:szCs w:val="24"/>
        </w:rPr>
        <w:t xml:space="preserve">; and </w:t>
      </w:r>
    </w:p>
    <w:p w14:paraId="2AAFF16E" w14:textId="0D3FD02B" w:rsidR="00CC023D" w:rsidRDefault="00CC023D"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After the Moss Landing fire, residents of the nearby Prunedale and Castroville communities submitted over 100 dust samples </w:t>
      </w:r>
      <w:r w:rsidR="003C728F">
        <w:rPr>
          <w:rFonts w:ascii="Times New Roman" w:hAnsi="Times New Roman" w:cs="Times New Roman"/>
          <w:sz w:val="24"/>
          <w:szCs w:val="24"/>
        </w:rPr>
        <w:t xml:space="preserve">collected by volunteers </w:t>
      </w:r>
      <w:r>
        <w:rPr>
          <w:rFonts w:ascii="Times New Roman" w:hAnsi="Times New Roman" w:cs="Times New Roman"/>
          <w:sz w:val="24"/>
          <w:szCs w:val="24"/>
        </w:rPr>
        <w:t>for testing at a private lab, with results showing elevated levels of nickel, cobalt, and manganese</w:t>
      </w:r>
      <w:r w:rsidR="008E39EC">
        <w:rPr>
          <w:rFonts w:ascii="Times New Roman" w:hAnsi="Times New Roman" w:cs="Times New Roman"/>
          <w:sz w:val="24"/>
          <w:szCs w:val="24"/>
        </w:rPr>
        <w:t xml:space="preserve">, </w:t>
      </w:r>
      <w:r w:rsidR="00AA4951">
        <w:rPr>
          <w:rFonts w:ascii="Times New Roman" w:hAnsi="Times New Roman" w:cs="Times New Roman"/>
          <w:sz w:val="24"/>
          <w:szCs w:val="24"/>
        </w:rPr>
        <w:t xml:space="preserve">the </w:t>
      </w:r>
      <w:r w:rsidR="003C728F">
        <w:rPr>
          <w:rFonts w:ascii="Times New Roman" w:hAnsi="Times New Roman" w:cs="Times New Roman"/>
          <w:sz w:val="24"/>
          <w:szCs w:val="24"/>
        </w:rPr>
        <w:t xml:space="preserve">3 </w:t>
      </w:r>
      <w:r w:rsidR="008E39EC">
        <w:rPr>
          <w:rFonts w:ascii="Times New Roman" w:hAnsi="Times New Roman" w:cs="Times New Roman"/>
          <w:sz w:val="24"/>
          <w:szCs w:val="24"/>
        </w:rPr>
        <w:t xml:space="preserve">major components of lithium ion batteries; and </w:t>
      </w:r>
    </w:p>
    <w:p w14:paraId="41FD08BF" w14:textId="6421C355" w:rsidR="008E39EC" w:rsidRDefault="008E39EC"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Nickel is a known carcinogen, and manganese and cobalt </w:t>
      </w:r>
      <w:r w:rsidR="0093060F">
        <w:rPr>
          <w:rFonts w:ascii="Times New Roman" w:hAnsi="Times New Roman" w:cs="Times New Roman"/>
          <w:sz w:val="24"/>
          <w:szCs w:val="24"/>
        </w:rPr>
        <w:t>can act as</w:t>
      </w:r>
      <w:r>
        <w:rPr>
          <w:rFonts w:ascii="Times New Roman" w:hAnsi="Times New Roman" w:cs="Times New Roman"/>
          <w:sz w:val="24"/>
          <w:szCs w:val="24"/>
        </w:rPr>
        <w:t xml:space="preserve"> neurotoxins, with environmental exposure potentially resulting in respiratory inflammation and other long and short term negative health effects, according to </w:t>
      </w:r>
      <w:r w:rsidRPr="008E39EC">
        <w:rPr>
          <w:rFonts w:ascii="Times New Roman" w:hAnsi="Times New Roman" w:cs="Times New Roman"/>
          <w:sz w:val="24"/>
          <w:szCs w:val="24"/>
        </w:rPr>
        <w:t>Don Smith, an environmental toxicologist at</w:t>
      </w:r>
      <w:r w:rsidR="00866B1D">
        <w:rPr>
          <w:rFonts w:ascii="Times New Roman" w:hAnsi="Times New Roman" w:cs="Times New Roman"/>
          <w:sz w:val="24"/>
          <w:szCs w:val="24"/>
        </w:rPr>
        <w:t xml:space="preserve"> the University of</w:t>
      </w:r>
      <w:r w:rsidRPr="008E39EC">
        <w:rPr>
          <w:rFonts w:ascii="Times New Roman" w:hAnsi="Times New Roman" w:cs="Times New Roman"/>
          <w:sz w:val="24"/>
          <w:szCs w:val="24"/>
        </w:rPr>
        <w:t xml:space="preserve"> </w:t>
      </w:r>
      <w:r w:rsidR="00866B1D">
        <w:rPr>
          <w:rFonts w:ascii="Times New Roman" w:hAnsi="Times New Roman" w:cs="Times New Roman"/>
          <w:sz w:val="24"/>
          <w:szCs w:val="24"/>
        </w:rPr>
        <w:t>California,</w:t>
      </w:r>
      <w:r w:rsidRPr="008E39EC">
        <w:rPr>
          <w:rFonts w:ascii="Times New Roman" w:hAnsi="Times New Roman" w:cs="Times New Roman"/>
          <w:sz w:val="24"/>
          <w:szCs w:val="24"/>
        </w:rPr>
        <w:t xml:space="preserve"> Santa Cruz</w:t>
      </w:r>
      <w:r>
        <w:rPr>
          <w:rFonts w:ascii="Times New Roman" w:hAnsi="Times New Roman" w:cs="Times New Roman"/>
          <w:sz w:val="24"/>
          <w:szCs w:val="24"/>
        </w:rPr>
        <w:t xml:space="preserve">; and </w:t>
      </w:r>
    </w:p>
    <w:p w14:paraId="64A07AC7" w14:textId="6BB90B43" w:rsidR="0093060F" w:rsidRDefault="0093060F"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Some </w:t>
      </w:r>
      <w:r w:rsidR="00603DE8">
        <w:rPr>
          <w:rFonts w:ascii="Times New Roman" w:hAnsi="Times New Roman" w:cs="Times New Roman"/>
          <w:sz w:val="24"/>
          <w:szCs w:val="24"/>
        </w:rPr>
        <w:t>residents of the Prunedale and Castroville communities reported being forced to leave their home</w:t>
      </w:r>
      <w:r w:rsidR="00866B1D">
        <w:rPr>
          <w:rFonts w:ascii="Times New Roman" w:hAnsi="Times New Roman" w:cs="Times New Roman"/>
          <w:sz w:val="24"/>
          <w:szCs w:val="24"/>
        </w:rPr>
        <w:t>s</w:t>
      </w:r>
      <w:r w:rsidR="00603DE8">
        <w:rPr>
          <w:rFonts w:ascii="Times New Roman" w:hAnsi="Times New Roman" w:cs="Times New Roman"/>
          <w:sz w:val="24"/>
          <w:szCs w:val="24"/>
        </w:rPr>
        <w:t xml:space="preserve"> due to respiratory symptoms in the aftermath of the fire, while </w:t>
      </w:r>
      <w:r w:rsidR="00AA4951">
        <w:rPr>
          <w:rFonts w:ascii="Times New Roman" w:hAnsi="Times New Roman" w:cs="Times New Roman"/>
          <w:sz w:val="24"/>
          <w:szCs w:val="24"/>
        </w:rPr>
        <w:t>at least one restaurant was</w:t>
      </w:r>
      <w:r w:rsidR="000B6D29">
        <w:rPr>
          <w:rFonts w:ascii="Times New Roman" w:hAnsi="Times New Roman" w:cs="Times New Roman"/>
          <w:sz w:val="24"/>
          <w:szCs w:val="24"/>
        </w:rPr>
        <w:t xml:space="preserve"> forced to close due to lingering health concerns and reduced foot traffic following the fire; and </w:t>
      </w:r>
    </w:p>
    <w:p w14:paraId="3E7005BD" w14:textId="22906C5B" w:rsidR="00E673CB" w:rsidRDefault="00E673CB" w:rsidP="00531084">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The experiences of Prunedale and Castroville residents, and other communities near the Moss Landing fire</w:t>
      </w:r>
      <w:r w:rsidR="006E0B3D">
        <w:rPr>
          <w:rFonts w:ascii="Times New Roman" w:hAnsi="Times New Roman" w:cs="Times New Roman"/>
          <w:sz w:val="24"/>
          <w:szCs w:val="24"/>
        </w:rPr>
        <w:t>,</w:t>
      </w:r>
      <w:r>
        <w:rPr>
          <w:rFonts w:ascii="Times New Roman" w:hAnsi="Times New Roman" w:cs="Times New Roman"/>
          <w:sz w:val="24"/>
          <w:szCs w:val="24"/>
        </w:rPr>
        <w:t xml:space="preserve"> underscore the urgent importance of ensuring that BESS facilities are constructed with the safety of surrounding communities in mind, but also with robust protections for local residents and businesses in the event of a catastrophic failure; and</w:t>
      </w:r>
    </w:p>
    <w:p w14:paraId="73783B69" w14:textId="34F20C3E" w:rsidR="00F764F5" w:rsidRPr="0032797A" w:rsidRDefault="007863BF" w:rsidP="0032797A">
      <w:pPr>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While BESS are </w:t>
      </w:r>
      <w:r w:rsidR="0032797A">
        <w:rPr>
          <w:rFonts w:ascii="Times New Roman" w:hAnsi="Times New Roman" w:cs="Times New Roman"/>
          <w:sz w:val="24"/>
          <w:szCs w:val="24"/>
        </w:rPr>
        <w:t>a vital</w:t>
      </w:r>
      <w:r>
        <w:rPr>
          <w:rFonts w:ascii="Times New Roman" w:hAnsi="Times New Roman" w:cs="Times New Roman"/>
          <w:sz w:val="24"/>
          <w:szCs w:val="24"/>
        </w:rPr>
        <w:t xml:space="preserve"> component of </w:t>
      </w:r>
      <w:r w:rsidR="000D6C9B">
        <w:rPr>
          <w:rFonts w:ascii="Times New Roman" w:hAnsi="Times New Roman" w:cs="Times New Roman"/>
          <w:sz w:val="24"/>
          <w:szCs w:val="24"/>
        </w:rPr>
        <w:t>the</w:t>
      </w:r>
      <w:r w:rsidR="0032797A">
        <w:rPr>
          <w:rFonts w:ascii="Times New Roman" w:hAnsi="Times New Roman" w:cs="Times New Roman"/>
          <w:sz w:val="24"/>
          <w:szCs w:val="24"/>
        </w:rPr>
        <w:t xml:space="preserve"> City’s clean energy and emissions reduction goals, it is important to ensure that the communities that house these facilities have financial and liability protections in the event that a battery fire occurs; now, therefore, be it</w:t>
      </w:r>
    </w:p>
    <w:p w14:paraId="0DF7C42C" w14:textId="44CC6696" w:rsidR="00BE026D" w:rsidRDefault="00BE026D" w:rsidP="009F5C94">
      <w:pPr>
        <w:pStyle w:val="NormalWeb"/>
        <w:shd w:val="clear" w:color="auto" w:fill="FFFFFF"/>
        <w:spacing w:before="0" w:beforeAutospacing="0" w:after="0" w:afterAutospacing="0" w:line="480" w:lineRule="auto"/>
        <w:ind w:firstLine="720"/>
        <w:contextualSpacing/>
        <w:jc w:val="both"/>
        <w:rPr>
          <w:color w:val="000000"/>
        </w:rPr>
      </w:pPr>
      <w:r>
        <w:rPr>
          <w:color w:val="000000"/>
        </w:rPr>
        <w:t xml:space="preserve">Resolved, </w:t>
      </w:r>
      <w:r w:rsidR="00604415">
        <w:rPr>
          <w:color w:val="000000"/>
        </w:rPr>
        <w:t>T</w:t>
      </w:r>
      <w:r>
        <w:rPr>
          <w:color w:val="000000"/>
        </w:rPr>
        <w:t xml:space="preserve">hat the City </w:t>
      </w:r>
      <w:r w:rsidR="00557DAF" w:rsidRPr="00557DAF">
        <w:rPr>
          <w:color w:val="000000"/>
        </w:rPr>
        <w:t xml:space="preserve">of </w:t>
      </w:r>
      <w:r>
        <w:rPr>
          <w:color w:val="000000"/>
        </w:rPr>
        <w:t>New York</w:t>
      </w:r>
      <w:r w:rsidR="009F5C94">
        <w:rPr>
          <w:color w:val="000000"/>
        </w:rPr>
        <w:t xml:space="preserve"> calls</w:t>
      </w:r>
      <w:r w:rsidR="00557DAF" w:rsidRPr="00557DAF">
        <w:rPr>
          <w:color w:val="000000"/>
        </w:rPr>
        <w:t xml:space="preserve"> </w:t>
      </w:r>
      <w:r w:rsidR="009F5C94" w:rsidRPr="009F5C94">
        <w:rPr>
          <w:color w:val="000000"/>
        </w:rPr>
        <w:t xml:space="preserve">on the New York State Legislature to </w:t>
      </w:r>
      <w:r w:rsidR="000D6C9B">
        <w:rPr>
          <w:color w:val="000000"/>
        </w:rPr>
        <w:t>pass</w:t>
      </w:r>
      <w:r w:rsidR="009F5C94" w:rsidRPr="009F5C94">
        <w:rPr>
          <w:color w:val="000000"/>
        </w:rPr>
        <w:t>, and the Governor to sign</w:t>
      </w:r>
      <w:r w:rsidR="000D6C9B">
        <w:rPr>
          <w:color w:val="000000"/>
        </w:rPr>
        <w:t>,</w:t>
      </w:r>
      <w:r w:rsidR="009F5C94" w:rsidRPr="009F5C94">
        <w:rPr>
          <w:color w:val="000000"/>
        </w:rPr>
        <w:t xml:space="preserve"> legislation requiring private developers of  battery energy storage systems to provide liability insurance and financial support to nearby property owners, covering </w:t>
      </w:r>
      <w:r w:rsidR="007863BF">
        <w:rPr>
          <w:color w:val="000000"/>
        </w:rPr>
        <w:t>losses</w:t>
      </w:r>
      <w:r w:rsidR="009F5C94" w:rsidRPr="009F5C94">
        <w:rPr>
          <w:color w:val="000000"/>
        </w:rPr>
        <w:t xml:space="preserve"> related to battery fires</w:t>
      </w:r>
      <w:r w:rsidR="009F5C94">
        <w:rPr>
          <w:color w:val="000000"/>
        </w:rPr>
        <w:t>.</w:t>
      </w:r>
    </w:p>
    <w:p w14:paraId="6D7C372A" w14:textId="77777777" w:rsidR="003A6FF7" w:rsidRPr="00C801F9" w:rsidRDefault="003A6FF7" w:rsidP="003A6FF7">
      <w:pPr>
        <w:pStyle w:val="NormalWeb"/>
        <w:shd w:val="clear" w:color="auto" w:fill="FFFFFF"/>
        <w:spacing w:before="0" w:beforeAutospacing="0" w:after="0" w:afterAutospacing="0"/>
        <w:contextualSpacing/>
        <w:jc w:val="both"/>
        <w:rPr>
          <w:color w:val="000000"/>
          <w:sz w:val="18"/>
          <w:szCs w:val="18"/>
        </w:rPr>
      </w:pPr>
      <w:r w:rsidRPr="00C801F9">
        <w:rPr>
          <w:color w:val="000000"/>
          <w:sz w:val="18"/>
          <w:szCs w:val="18"/>
        </w:rPr>
        <w:t>NRC</w:t>
      </w:r>
    </w:p>
    <w:p w14:paraId="515D3287" w14:textId="4F57600E" w:rsidR="003A6FF7" w:rsidRDefault="009F5C94" w:rsidP="003A6FF7">
      <w:pPr>
        <w:pStyle w:val="NormalWeb"/>
        <w:shd w:val="clear" w:color="auto" w:fill="FFFFFF"/>
        <w:spacing w:before="0" w:beforeAutospacing="0" w:after="0" w:afterAutospacing="0"/>
        <w:contextualSpacing/>
        <w:jc w:val="both"/>
        <w:rPr>
          <w:color w:val="000000"/>
          <w:sz w:val="18"/>
          <w:szCs w:val="18"/>
        </w:rPr>
      </w:pPr>
      <w:r>
        <w:rPr>
          <w:color w:val="000000"/>
          <w:sz w:val="18"/>
          <w:szCs w:val="18"/>
        </w:rPr>
        <w:t>LS#19276</w:t>
      </w:r>
    </w:p>
    <w:p w14:paraId="28A22BB6" w14:textId="23214495" w:rsidR="00B7766A" w:rsidRPr="00C801F9" w:rsidRDefault="00B7766A" w:rsidP="003A6FF7">
      <w:pPr>
        <w:pStyle w:val="NormalWeb"/>
        <w:shd w:val="clear" w:color="auto" w:fill="FFFFFF"/>
        <w:spacing w:before="0" w:beforeAutospacing="0" w:after="0" w:afterAutospacing="0"/>
        <w:contextualSpacing/>
        <w:jc w:val="both"/>
        <w:rPr>
          <w:color w:val="000000"/>
          <w:sz w:val="18"/>
          <w:szCs w:val="18"/>
        </w:rPr>
      </w:pPr>
      <w:r>
        <w:rPr>
          <w:color w:val="000000"/>
          <w:sz w:val="18"/>
          <w:szCs w:val="18"/>
        </w:rPr>
        <w:t>Res. #0890-2025</w:t>
      </w:r>
    </w:p>
    <w:p w14:paraId="4EC0D715" w14:textId="0D50776B" w:rsidR="007C0AE0" w:rsidRPr="00B7766A" w:rsidRDefault="00B7766A" w:rsidP="00B7766A">
      <w:pPr>
        <w:pStyle w:val="NormalWeb"/>
        <w:shd w:val="clear" w:color="auto" w:fill="FFFFFF"/>
        <w:spacing w:before="0" w:beforeAutospacing="0" w:after="0" w:afterAutospacing="0"/>
        <w:contextualSpacing/>
        <w:jc w:val="both"/>
        <w:rPr>
          <w:color w:val="000000"/>
          <w:sz w:val="18"/>
          <w:szCs w:val="18"/>
        </w:rPr>
      </w:pPr>
      <w:r>
        <w:rPr>
          <w:color w:val="000000"/>
          <w:sz w:val="18"/>
          <w:szCs w:val="18"/>
        </w:rPr>
        <w:t>1/5/2026 4:30 PM</w:t>
      </w:r>
    </w:p>
    <w:sectPr w:rsidR="007C0AE0" w:rsidRPr="00B7766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9069" w14:textId="77777777" w:rsidR="004C0C2D" w:rsidRDefault="004C0C2D" w:rsidP="004642D0">
      <w:pPr>
        <w:spacing w:after="0" w:line="240" w:lineRule="auto"/>
      </w:pPr>
      <w:r>
        <w:separator/>
      </w:r>
    </w:p>
  </w:endnote>
  <w:endnote w:type="continuationSeparator" w:id="0">
    <w:p w14:paraId="32F51F4F" w14:textId="77777777" w:rsidR="004C0C2D" w:rsidRDefault="004C0C2D" w:rsidP="0046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944222"/>
      <w:docPartObj>
        <w:docPartGallery w:val="Page Numbers (Bottom of Page)"/>
        <w:docPartUnique/>
      </w:docPartObj>
    </w:sdtPr>
    <w:sdtEndPr>
      <w:rPr>
        <w:noProof/>
      </w:rPr>
    </w:sdtEndPr>
    <w:sdtContent>
      <w:p w14:paraId="3F619D42" w14:textId="4718F37B" w:rsidR="004642D0" w:rsidRDefault="004642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0297B" w14:textId="77777777" w:rsidR="004642D0" w:rsidRDefault="00464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7FFC" w14:textId="77777777" w:rsidR="004C0C2D" w:rsidRDefault="004C0C2D" w:rsidP="004642D0">
      <w:pPr>
        <w:spacing w:after="0" w:line="240" w:lineRule="auto"/>
      </w:pPr>
      <w:r>
        <w:separator/>
      </w:r>
    </w:p>
  </w:footnote>
  <w:footnote w:type="continuationSeparator" w:id="0">
    <w:p w14:paraId="1D4E6ABE" w14:textId="77777777" w:rsidR="004C0C2D" w:rsidRDefault="004C0C2D" w:rsidP="004642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AE0"/>
    <w:rsid w:val="00013E5E"/>
    <w:rsid w:val="00017772"/>
    <w:rsid w:val="0002173C"/>
    <w:rsid w:val="000254A7"/>
    <w:rsid w:val="000436B5"/>
    <w:rsid w:val="000534DB"/>
    <w:rsid w:val="00054102"/>
    <w:rsid w:val="000B6D29"/>
    <w:rsid w:val="000C41FA"/>
    <w:rsid w:val="000D6C9B"/>
    <w:rsid w:val="000F4CE7"/>
    <w:rsid w:val="001957D6"/>
    <w:rsid w:val="001972B4"/>
    <w:rsid w:val="001A3DB8"/>
    <w:rsid w:val="001B12DA"/>
    <w:rsid w:val="001D1690"/>
    <w:rsid w:val="001D5D26"/>
    <w:rsid w:val="001F1BEF"/>
    <w:rsid w:val="00202710"/>
    <w:rsid w:val="00210BC9"/>
    <w:rsid w:val="00225A16"/>
    <w:rsid w:val="002761F3"/>
    <w:rsid w:val="002D1946"/>
    <w:rsid w:val="002E152A"/>
    <w:rsid w:val="002F04D5"/>
    <w:rsid w:val="00323B3F"/>
    <w:rsid w:val="0032797A"/>
    <w:rsid w:val="0035621E"/>
    <w:rsid w:val="003739FE"/>
    <w:rsid w:val="003A5A74"/>
    <w:rsid w:val="003A6FF7"/>
    <w:rsid w:val="003C728F"/>
    <w:rsid w:val="003E7F6D"/>
    <w:rsid w:val="00415328"/>
    <w:rsid w:val="00456CEA"/>
    <w:rsid w:val="004642D0"/>
    <w:rsid w:val="004A35B9"/>
    <w:rsid w:val="004C0C2D"/>
    <w:rsid w:val="004D5851"/>
    <w:rsid w:val="004E7407"/>
    <w:rsid w:val="00531084"/>
    <w:rsid w:val="0054084E"/>
    <w:rsid w:val="0054454E"/>
    <w:rsid w:val="00557DAF"/>
    <w:rsid w:val="00594FEB"/>
    <w:rsid w:val="005B1EBD"/>
    <w:rsid w:val="005B5C45"/>
    <w:rsid w:val="005C206F"/>
    <w:rsid w:val="00603DE8"/>
    <w:rsid w:val="00604415"/>
    <w:rsid w:val="00613E90"/>
    <w:rsid w:val="00635E46"/>
    <w:rsid w:val="00647779"/>
    <w:rsid w:val="00687DA7"/>
    <w:rsid w:val="006D6BF0"/>
    <w:rsid w:val="006E0B3D"/>
    <w:rsid w:val="0070614B"/>
    <w:rsid w:val="0071462A"/>
    <w:rsid w:val="0072187C"/>
    <w:rsid w:val="0073639B"/>
    <w:rsid w:val="007858E6"/>
    <w:rsid w:val="007863BF"/>
    <w:rsid w:val="007A1489"/>
    <w:rsid w:val="007C0AE0"/>
    <w:rsid w:val="007F5739"/>
    <w:rsid w:val="008061BF"/>
    <w:rsid w:val="00810E7B"/>
    <w:rsid w:val="00850EBD"/>
    <w:rsid w:val="008661E4"/>
    <w:rsid w:val="00866B1D"/>
    <w:rsid w:val="008A41C4"/>
    <w:rsid w:val="008A7686"/>
    <w:rsid w:val="008B7C5F"/>
    <w:rsid w:val="008C51EA"/>
    <w:rsid w:val="008E39EC"/>
    <w:rsid w:val="0093060F"/>
    <w:rsid w:val="00941AD0"/>
    <w:rsid w:val="00943461"/>
    <w:rsid w:val="00976D81"/>
    <w:rsid w:val="009D3DE8"/>
    <w:rsid w:val="009F5C94"/>
    <w:rsid w:val="00A17272"/>
    <w:rsid w:val="00A175FB"/>
    <w:rsid w:val="00A417F2"/>
    <w:rsid w:val="00AA0B89"/>
    <w:rsid w:val="00AA4951"/>
    <w:rsid w:val="00AD767E"/>
    <w:rsid w:val="00AE272A"/>
    <w:rsid w:val="00AF3F15"/>
    <w:rsid w:val="00AF77E0"/>
    <w:rsid w:val="00B052AE"/>
    <w:rsid w:val="00B7766A"/>
    <w:rsid w:val="00BE026D"/>
    <w:rsid w:val="00BF7E23"/>
    <w:rsid w:val="00C00C89"/>
    <w:rsid w:val="00C075B7"/>
    <w:rsid w:val="00C11E70"/>
    <w:rsid w:val="00C1551F"/>
    <w:rsid w:val="00C36DB8"/>
    <w:rsid w:val="00C72559"/>
    <w:rsid w:val="00C801F9"/>
    <w:rsid w:val="00C85E31"/>
    <w:rsid w:val="00CC023D"/>
    <w:rsid w:val="00CC1C50"/>
    <w:rsid w:val="00CC4365"/>
    <w:rsid w:val="00D151F9"/>
    <w:rsid w:val="00D252BE"/>
    <w:rsid w:val="00D553BB"/>
    <w:rsid w:val="00D979BF"/>
    <w:rsid w:val="00DA521A"/>
    <w:rsid w:val="00DC7967"/>
    <w:rsid w:val="00DE26DD"/>
    <w:rsid w:val="00DE7C06"/>
    <w:rsid w:val="00E152E1"/>
    <w:rsid w:val="00E538FC"/>
    <w:rsid w:val="00E673CB"/>
    <w:rsid w:val="00F372C1"/>
    <w:rsid w:val="00F70CDF"/>
    <w:rsid w:val="00F764F5"/>
    <w:rsid w:val="00F8141B"/>
    <w:rsid w:val="00FE78A6"/>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0FEF"/>
  <w15:chartTrackingRefBased/>
  <w15:docId w15:val="{A804130B-BDAB-4ED2-BB71-25B7D1F6A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0AE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70CDF"/>
    <w:rPr>
      <w:sz w:val="16"/>
      <w:szCs w:val="16"/>
    </w:rPr>
  </w:style>
  <w:style w:type="paragraph" w:styleId="CommentText">
    <w:name w:val="annotation text"/>
    <w:basedOn w:val="Normal"/>
    <w:link w:val="CommentTextChar"/>
    <w:uiPriority w:val="99"/>
    <w:semiHidden/>
    <w:unhideWhenUsed/>
    <w:rsid w:val="00F70CDF"/>
    <w:pPr>
      <w:spacing w:line="240" w:lineRule="auto"/>
    </w:pPr>
    <w:rPr>
      <w:sz w:val="20"/>
      <w:szCs w:val="20"/>
    </w:rPr>
  </w:style>
  <w:style w:type="character" w:customStyle="1" w:styleId="CommentTextChar">
    <w:name w:val="Comment Text Char"/>
    <w:basedOn w:val="DefaultParagraphFont"/>
    <w:link w:val="CommentText"/>
    <w:uiPriority w:val="99"/>
    <w:semiHidden/>
    <w:rsid w:val="00F70CDF"/>
    <w:rPr>
      <w:sz w:val="20"/>
      <w:szCs w:val="20"/>
    </w:rPr>
  </w:style>
  <w:style w:type="paragraph" w:styleId="CommentSubject">
    <w:name w:val="annotation subject"/>
    <w:basedOn w:val="CommentText"/>
    <w:next w:val="CommentText"/>
    <w:link w:val="CommentSubjectChar"/>
    <w:uiPriority w:val="99"/>
    <w:semiHidden/>
    <w:unhideWhenUsed/>
    <w:rsid w:val="00F70CDF"/>
    <w:rPr>
      <w:b/>
      <w:bCs/>
    </w:rPr>
  </w:style>
  <w:style w:type="character" w:customStyle="1" w:styleId="CommentSubjectChar">
    <w:name w:val="Comment Subject Char"/>
    <w:basedOn w:val="CommentTextChar"/>
    <w:link w:val="CommentSubject"/>
    <w:uiPriority w:val="99"/>
    <w:semiHidden/>
    <w:rsid w:val="00F70CDF"/>
    <w:rPr>
      <w:b/>
      <w:bCs/>
      <w:sz w:val="20"/>
      <w:szCs w:val="20"/>
    </w:rPr>
  </w:style>
  <w:style w:type="paragraph" w:styleId="BalloonText">
    <w:name w:val="Balloon Text"/>
    <w:basedOn w:val="Normal"/>
    <w:link w:val="BalloonTextChar"/>
    <w:uiPriority w:val="99"/>
    <w:semiHidden/>
    <w:unhideWhenUsed/>
    <w:rsid w:val="00F70C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0CDF"/>
    <w:rPr>
      <w:rFonts w:ascii="Segoe UI" w:hAnsi="Segoe UI" w:cs="Segoe UI"/>
      <w:sz w:val="18"/>
      <w:szCs w:val="18"/>
    </w:rPr>
  </w:style>
  <w:style w:type="character" w:styleId="Hyperlink">
    <w:name w:val="Hyperlink"/>
    <w:basedOn w:val="DefaultParagraphFont"/>
    <w:uiPriority w:val="99"/>
    <w:unhideWhenUsed/>
    <w:rsid w:val="003739FE"/>
    <w:rPr>
      <w:color w:val="0563C1" w:themeColor="hyperlink"/>
      <w:u w:val="single"/>
    </w:rPr>
  </w:style>
  <w:style w:type="character" w:customStyle="1" w:styleId="UnresolvedMention1">
    <w:name w:val="Unresolved Mention1"/>
    <w:basedOn w:val="DefaultParagraphFont"/>
    <w:uiPriority w:val="99"/>
    <w:semiHidden/>
    <w:unhideWhenUsed/>
    <w:rsid w:val="00603DE8"/>
    <w:rPr>
      <w:color w:val="605E5C"/>
      <w:shd w:val="clear" w:color="auto" w:fill="E1DFDD"/>
    </w:rPr>
  </w:style>
  <w:style w:type="character" w:styleId="FollowedHyperlink">
    <w:name w:val="FollowedHyperlink"/>
    <w:basedOn w:val="DefaultParagraphFont"/>
    <w:uiPriority w:val="99"/>
    <w:semiHidden/>
    <w:unhideWhenUsed/>
    <w:rsid w:val="00AA4951"/>
    <w:rPr>
      <w:color w:val="954F72" w:themeColor="followedHyperlink"/>
      <w:u w:val="single"/>
    </w:rPr>
  </w:style>
  <w:style w:type="paragraph" w:styleId="Header">
    <w:name w:val="header"/>
    <w:basedOn w:val="Normal"/>
    <w:link w:val="HeaderChar"/>
    <w:uiPriority w:val="99"/>
    <w:unhideWhenUsed/>
    <w:rsid w:val="00464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2D0"/>
  </w:style>
  <w:style w:type="paragraph" w:styleId="Footer">
    <w:name w:val="footer"/>
    <w:basedOn w:val="Normal"/>
    <w:link w:val="FooterChar"/>
    <w:uiPriority w:val="99"/>
    <w:unhideWhenUsed/>
    <w:rsid w:val="00464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44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2</cp:revision>
  <dcterms:created xsi:type="dcterms:W3CDTF">2026-02-26T15:04:00Z</dcterms:created>
  <dcterms:modified xsi:type="dcterms:W3CDTF">2026-02-26T15:04:00Z</dcterms:modified>
</cp:coreProperties>
</file>