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6BC300" w14:textId="14406C11" w:rsidR="004E1CF2" w:rsidRDefault="004E1CF2" w:rsidP="00E97376">
      <w:pPr>
        <w:ind w:firstLine="0"/>
        <w:jc w:val="center"/>
      </w:pPr>
      <w:r>
        <w:t>Int. No.</w:t>
      </w:r>
      <w:r w:rsidR="002F0EF0">
        <w:t xml:space="preserve"> </w:t>
      </w:r>
      <w:r w:rsidR="0037642B">
        <w:t>662</w:t>
      </w:r>
    </w:p>
    <w:p w14:paraId="3124A3CD" w14:textId="77777777" w:rsidR="00E97376" w:rsidRDefault="00E97376" w:rsidP="00E97376">
      <w:pPr>
        <w:ind w:firstLine="0"/>
        <w:jc w:val="center"/>
      </w:pPr>
    </w:p>
    <w:p w14:paraId="76A1B61F" w14:textId="74536A34" w:rsidR="005112EA" w:rsidRDefault="005112EA" w:rsidP="005112EA">
      <w:pPr>
        <w:autoSpaceDE w:val="0"/>
        <w:autoSpaceDN w:val="0"/>
        <w:adjustRightInd w:val="0"/>
        <w:ind w:firstLine="0"/>
        <w:jc w:val="both"/>
        <w:rPr>
          <w:rFonts w:eastAsia="Calibri"/>
        </w:rPr>
      </w:pPr>
      <w:r>
        <w:rPr>
          <w:rFonts w:eastAsia="Calibri"/>
        </w:rPr>
        <w:t>By Council Members Williams, Brooks-Powers, Louis, Hudson, Hanif</w:t>
      </w:r>
      <w:r w:rsidR="007629F6">
        <w:rPr>
          <w:rFonts w:eastAsia="Calibri"/>
        </w:rPr>
        <w:t xml:space="preserve">, </w:t>
      </w:r>
      <w:r>
        <w:rPr>
          <w:rFonts w:eastAsia="Calibri"/>
        </w:rPr>
        <w:t>Ung</w:t>
      </w:r>
      <w:r w:rsidR="00537CF2">
        <w:rPr>
          <w:rFonts w:eastAsia="Calibri"/>
        </w:rPr>
        <w:t>, Salaam</w:t>
      </w:r>
      <w:r w:rsidR="007629F6">
        <w:rPr>
          <w:rFonts w:eastAsia="Calibri"/>
        </w:rPr>
        <w:t xml:space="preserve"> and Morano</w:t>
      </w:r>
    </w:p>
    <w:p w14:paraId="3F6F6775" w14:textId="77777777" w:rsidR="009226D3" w:rsidRDefault="009226D3" w:rsidP="007101A2">
      <w:pPr>
        <w:pStyle w:val="BodyText"/>
        <w:spacing w:line="240" w:lineRule="auto"/>
        <w:ind w:firstLine="0"/>
      </w:pPr>
    </w:p>
    <w:p w14:paraId="0355BB62" w14:textId="77777777" w:rsidR="005505F6" w:rsidRPr="005505F6" w:rsidRDefault="005505F6" w:rsidP="007101A2">
      <w:pPr>
        <w:pStyle w:val="BodyText"/>
        <w:spacing w:line="240" w:lineRule="auto"/>
        <w:ind w:firstLine="0"/>
        <w:rPr>
          <w:vanish/>
        </w:rPr>
      </w:pPr>
      <w:proofErr w:type="gramStart"/>
      <w:r w:rsidRPr="005505F6">
        <w:rPr>
          <w:vanish/>
        </w:rPr>
        <w:t>..</w:t>
      </w:r>
      <w:proofErr w:type="gramEnd"/>
      <w:r w:rsidRPr="005505F6">
        <w:rPr>
          <w:vanish/>
        </w:rPr>
        <w:t>Title</w:t>
      </w:r>
    </w:p>
    <w:p w14:paraId="61D21653" w14:textId="4FDCDF06" w:rsidR="004E1CF2" w:rsidRDefault="005505F6" w:rsidP="007101A2">
      <w:pPr>
        <w:pStyle w:val="BodyText"/>
        <w:spacing w:line="240" w:lineRule="auto"/>
        <w:ind w:firstLine="0"/>
      </w:pPr>
      <w:r>
        <w:t>A Local Law t</w:t>
      </w:r>
      <w:r w:rsidR="004E1CF2">
        <w:t xml:space="preserve">o </w:t>
      </w:r>
      <w:r w:rsidR="00E310B4">
        <w:t>amend the</w:t>
      </w:r>
      <w:r w:rsidR="00FC547E">
        <w:t xml:space="preserve"> </w:t>
      </w:r>
      <w:r w:rsidR="00D46C01">
        <w:t>administrative code of the City of New York</w:t>
      </w:r>
      <w:r w:rsidR="0036403A">
        <w:t xml:space="preserve"> and the New York city building code</w:t>
      </w:r>
      <w:r w:rsidR="004E1CF2">
        <w:t>, in relation to</w:t>
      </w:r>
      <w:r w:rsidR="00D46C01" w:rsidRPr="00D46C01">
        <w:t xml:space="preserve"> the creation of a groundwater flood risk area map</w:t>
      </w:r>
    </w:p>
    <w:p w14:paraId="6764BDEC" w14:textId="0A21E2EE" w:rsidR="005505F6" w:rsidRPr="005505F6" w:rsidRDefault="005505F6" w:rsidP="007101A2">
      <w:pPr>
        <w:pStyle w:val="BodyText"/>
        <w:spacing w:line="240" w:lineRule="auto"/>
        <w:ind w:firstLine="0"/>
        <w:rPr>
          <w:vanish/>
        </w:rPr>
      </w:pPr>
      <w:proofErr w:type="gramStart"/>
      <w:r w:rsidRPr="005505F6">
        <w:rPr>
          <w:vanish/>
        </w:rPr>
        <w:t>..</w:t>
      </w:r>
      <w:proofErr w:type="gramEnd"/>
      <w:r w:rsidRPr="005505F6">
        <w:rPr>
          <w:vanish/>
        </w:rPr>
        <w:t>Body</w:t>
      </w:r>
    </w:p>
    <w:p w14:paraId="53AF625E" w14:textId="77777777" w:rsidR="004E1CF2" w:rsidRDefault="004E1CF2" w:rsidP="007101A2">
      <w:pPr>
        <w:pStyle w:val="BodyText"/>
        <w:spacing w:line="240" w:lineRule="auto"/>
        <w:ind w:firstLine="0"/>
        <w:rPr>
          <w:u w:val="single"/>
        </w:rPr>
      </w:pPr>
    </w:p>
    <w:p w14:paraId="0A5D7F6D" w14:textId="77777777" w:rsidR="004E1CF2" w:rsidRDefault="004E1CF2" w:rsidP="007101A2">
      <w:pPr>
        <w:ind w:firstLine="0"/>
        <w:jc w:val="both"/>
      </w:pPr>
      <w:r>
        <w:rPr>
          <w:u w:val="single"/>
        </w:rPr>
        <w:t>Be it enacted by the Council as follows</w:t>
      </w:r>
      <w:r w:rsidRPr="005B5DE4">
        <w:rPr>
          <w:u w:val="single"/>
        </w:rPr>
        <w:t>:</w:t>
      </w:r>
    </w:p>
    <w:p w14:paraId="3FEE32D1" w14:textId="77777777" w:rsidR="004E1CF2" w:rsidRDefault="004E1CF2" w:rsidP="006662DF">
      <w:pPr>
        <w:jc w:val="both"/>
      </w:pPr>
    </w:p>
    <w:p w14:paraId="30205AF0" w14:textId="77777777" w:rsidR="006A691C" w:rsidRDefault="006A691C" w:rsidP="007101A2">
      <w:pPr>
        <w:spacing w:line="480" w:lineRule="auto"/>
        <w:jc w:val="both"/>
        <w:sectPr w:rsidR="006A691C" w:rsidSect="008F0B17">
          <w:footerReference w:type="default" r:id="rId8"/>
          <w:footerReference w:type="first" r:id="rId9"/>
          <w:pgSz w:w="12240" w:h="15840"/>
          <w:pgMar w:top="1440" w:right="1440" w:bottom="1440" w:left="1440" w:header="720" w:footer="720" w:gutter="0"/>
          <w:cols w:space="720"/>
          <w:docGrid w:linePitch="360"/>
        </w:sectPr>
      </w:pPr>
    </w:p>
    <w:p w14:paraId="644D68F3" w14:textId="2AAECDDB" w:rsidR="00D46C01" w:rsidRPr="00C547A4" w:rsidRDefault="007101A2" w:rsidP="00D46C01">
      <w:pPr>
        <w:spacing w:line="480" w:lineRule="auto"/>
        <w:jc w:val="both"/>
      </w:pPr>
      <w:r>
        <w:t>S</w:t>
      </w:r>
      <w:r w:rsidR="004E1CF2">
        <w:t>ection 1.</w:t>
      </w:r>
      <w:r w:rsidR="007E79D5">
        <w:t xml:space="preserve"> </w:t>
      </w:r>
      <w:r w:rsidR="0036403A">
        <w:t>Subdivision a of s</w:t>
      </w:r>
      <w:r w:rsidR="00D46C01">
        <w:t xml:space="preserve">ection 24-809 of the administrative code of the city of New York is amended </w:t>
      </w:r>
      <w:r w:rsidR="0036403A">
        <w:t xml:space="preserve">by adding a definition of “groundwater flood risk area” in alphabetical order </w:t>
      </w:r>
      <w:r w:rsidR="00D46C01">
        <w:t>to read as follows:</w:t>
      </w:r>
    </w:p>
    <w:p w14:paraId="1016730C" w14:textId="5D0C06F7" w:rsidR="00D46C01" w:rsidRPr="00C46526" w:rsidRDefault="00D46C01" w:rsidP="00D46C01">
      <w:pPr>
        <w:spacing w:line="480" w:lineRule="auto"/>
        <w:jc w:val="both"/>
        <w:rPr>
          <w:u w:val="single"/>
        </w:rPr>
      </w:pPr>
      <w:r w:rsidRPr="00C46526">
        <w:rPr>
          <w:u w:val="single"/>
        </w:rPr>
        <w:t>Groundwater flood risk area. The term “groundwater flood risk area” means an area designated on a map promulgated by the department that represents l</w:t>
      </w:r>
      <w:r>
        <w:rPr>
          <w:u w:val="single"/>
        </w:rPr>
        <w:t xml:space="preserve">ocations in the city where the depth to the water table is less than 10 feet, incorporating the impacts of </w:t>
      </w:r>
      <w:r w:rsidRPr="00F327BA">
        <w:rPr>
          <w:u w:val="single"/>
        </w:rPr>
        <w:t xml:space="preserve">the projected 2050 sea level rise </w:t>
      </w:r>
      <w:r>
        <w:rPr>
          <w:u w:val="single"/>
        </w:rPr>
        <w:t>on groundwater table depths as projected by the United States geological survey</w:t>
      </w:r>
      <w:r w:rsidRPr="00C46526">
        <w:rPr>
          <w:u w:val="single"/>
        </w:rPr>
        <w:t>.</w:t>
      </w:r>
      <w:r>
        <w:rPr>
          <w:u w:val="single"/>
        </w:rPr>
        <w:t xml:space="preserve"> </w:t>
      </w:r>
    </w:p>
    <w:p w14:paraId="2C2DA159" w14:textId="29345EA0" w:rsidR="004B63F4" w:rsidRDefault="004B63F4" w:rsidP="00D46C01">
      <w:pPr>
        <w:spacing w:line="480" w:lineRule="auto"/>
        <w:jc w:val="both"/>
      </w:pPr>
      <w:r>
        <w:t>§ 2. Paragraphs 2 and 3 of subdivision b of section 24-809 of the administrative code of the city of New York, as added by local law number 124 for the year 2024, are amended to read as follows:</w:t>
      </w:r>
    </w:p>
    <w:p w14:paraId="18EC04BE" w14:textId="7DBD4113" w:rsidR="00D46C01" w:rsidRPr="00C547A4" w:rsidRDefault="00D46C01" w:rsidP="00D46C01">
      <w:pPr>
        <w:spacing w:line="480" w:lineRule="auto"/>
        <w:jc w:val="both"/>
      </w:pPr>
      <w:r w:rsidRPr="00C547A4">
        <w:t>2. (a) No later than January 1, 2028, the department, in consultation with the department of buildings, the office of long-term planning and sustainability, and other relevant agencies</w:t>
      </w:r>
      <w:r w:rsidR="006E6704">
        <w:rPr>
          <w:u w:val="single"/>
        </w:rPr>
        <w:t>,</w:t>
      </w:r>
      <w:r w:rsidRPr="00C547A4">
        <w:t xml:space="preserve"> shall adopt by rule and post on the city’s website, an updated flood risk area map, showing </w:t>
      </w:r>
      <w:r>
        <w:rPr>
          <w:u w:val="single"/>
        </w:rPr>
        <w:t>the groundwater flood risk area, and</w:t>
      </w:r>
      <w:r w:rsidRPr="00F327BA">
        <w:t xml:space="preserve"> </w:t>
      </w:r>
      <w:r w:rsidRPr="00C547A4">
        <w:t>an updated 10-year rainfall risk area to replace such risk area adopted pursuant to paragraph 1 of this subdivision.</w:t>
      </w:r>
    </w:p>
    <w:p w14:paraId="317EB22F" w14:textId="25279A1C" w:rsidR="00D46C01" w:rsidRPr="00C547A4" w:rsidRDefault="00D46C01" w:rsidP="00D46C01">
      <w:pPr>
        <w:spacing w:line="480" w:lineRule="auto"/>
        <w:jc w:val="both"/>
        <w:rPr>
          <w:rFonts w:eastAsia="Calibri"/>
          <w:kern w:val="2"/>
        </w:rPr>
      </w:pPr>
      <w:r w:rsidRPr="00C547A4">
        <w:t xml:space="preserve">(b) </w:t>
      </w:r>
      <w:r w:rsidRPr="00C547A4">
        <w:rPr>
          <w:rFonts w:eastAsia="Calibri"/>
          <w:kern w:val="2"/>
        </w:rPr>
        <w:t xml:space="preserve">Within 1 year of the issuance of new effective flood insurance rate maps for the city of New York by the federal emergency management agency, the department, in consultation with the department of buildings, the office of long-term planning and sustainability, and other relevant </w:t>
      </w:r>
      <w:r w:rsidRPr="00C547A4">
        <w:rPr>
          <w:rFonts w:eastAsia="Calibri"/>
          <w:kern w:val="2"/>
        </w:rPr>
        <w:lastRenderedPageBreak/>
        <w:t xml:space="preserve">agencies, may consider whether the coastal flood risk area should be updated to replace the interim coastal flood risk area established pursuant to paragraph 1 of this </w:t>
      </w:r>
      <w:r w:rsidR="00A5545F">
        <w:rPr>
          <w:rFonts w:eastAsia="Calibri"/>
          <w:kern w:val="2"/>
        </w:rPr>
        <w:t>[</w:t>
      </w:r>
      <w:r w:rsidRPr="00C547A4">
        <w:rPr>
          <w:rFonts w:eastAsia="Calibri"/>
          <w:kern w:val="2"/>
        </w:rPr>
        <w:t>section</w:t>
      </w:r>
      <w:r w:rsidR="00A5545F">
        <w:rPr>
          <w:rFonts w:eastAsia="Calibri"/>
          <w:kern w:val="2"/>
        </w:rPr>
        <w:t xml:space="preserve">] </w:t>
      </w:r>
      <w:r w:rsidR="00A5545F">
        <w:rPr>
          <w:rFonts w:eastAsia="Calibri"/>
          <w:kern w:val="2"/>
          <w:u w:val="single"/>
        </w:rPr>
        <w:t>subdivision</w:t>
      </w:r>
      <w:r w:rsidRPr="00C547A4">
        <w:rPr>
          <w:rFonts w:eastAsia="Calibri"/>
          <w:kern w:val="2"/>
        </w:rPr>
        <w:t>, based on projections of the New York city panel on climate change and any other data such agencies determine to be reasonable. The department shall adopt any such updated coastal flood risk area by rule and post such updated map with the flood risk area map adopted in accordance with this paragraph.</w:t>
      </w:r>
    </w:p>
    <w:p w14:paraId="648681A6" w14:textId="77777777" w:rsidR="00D46C01" w:rsidRDefault="00D46C01" w:rsidP="00D46C01">
      <w:pPr>
        <w:spacing w:line="480" w:lineRule="auto"/>
        <w:ind w:firstLine="0"/>
        <w:jc w:val="both"/>
        <w:rPr>
          <w:rFonts w:eastAsia="Calibri"/>
          <w:kern w:val="2"/>
        </w:rPr>
      </w:pPr>
      <w:r w:rsidRPr="00C547A4">
        <w:rPr>
          <w:rFonts w:eastAsia="Calibri"/>
          <w:kern w:val="2"/>
        </w:rPr>
        <w:tab/>
        <w:t xml:space="preserve">(c) Within 1 year of the issuance of new projections by the New York city panel on climate change, pursuant to subdivision 2 of section 3-122, the department may, in consultation with the department of buildings, the office of long-term planning and sustainability, and other relevant agencies, consider whether the 10-year rainfall risk area adopted pursuant to subparagraph (a) of this paragraph should be updated based on such projections, and any other data such agencies determine to be reasonable. The department shall adopt </w:t>
      </w:r>
      <w:proofErr w:type="gramStart"/>
      <w:r w:rsidRPr="00C547A4">
        <w:rPr>
          <w:rFonts w:eastAsia="Calibri"/>
          <w:kern w:val="2"/>
        </w:rPr>
        <w:t>any such</w:t>
      </w:r>
      <w:proofErr w:type="gramEnd"/>
      <w:r w:rsidRPr="00C547A4">
        <w:rPr>
          <w:rFonts w:eastAsia="Calibri"/>
          <w:kern w:val="2"/>
        </w:rPr>
        <w:t xml:space="preserve"> updated 10-year rainfall risk area by rule and post on the city’s website an updated flood risk area map showing such updated 10-year rainfall risk area to replace such risk area adopted pursuant to subparagraph (a) of this paragraph.</w:t>
      </w:r>
    </w:p>
    <w:p w14:paraId="1728AF93" w14:textId="204083AE" w:rsidR="00D46C01" w:rsidRPr="00A7503A" w:rsidRDefault="00D46C01" w:rsidP="00D46C01">
      <w:pPr>
        <w:spacing w:line="480" w:lineRule="auto"/>
        <w:ind w:firstLine="0"/>
        <w:jc w:val="both"/>
        <w:rPr>
          <w:u w:val="single"/>
        </w:rPr>
      </w:pPr>
      <w:r>
        <w:rPr>
          <w:rFonts w:eastAsia="Calibri"/>
          <w:kern w:val="2"/>
        </w:rPr>
        <w:tab/>
      </w:r>
      <w:r>
        <w:rPr>
          <w:rFonts w:eastAsia="Calibri"/>
          <w:kern w:val="2"/>
          <w:u w:val="single"/>
        </w:rPr>
        <w:t xml:space="preserve">(d) </w:t>
      </w:r>
      <w:r w:rsidRPr="00A7503A">
        <w:rPr>
          <w:rFonts w:eastAsia="Calibri"/>
          <w:kern w:val="2"/>
          <w:u w:val="single"/>
        </w:rPr>
        <w:t xml:space="preserve">Within 1 year of the </w:t>
      </w:r>
      <w:r>
        <w:rPr>
          <w:rFonts w:eastAsia="Calibri"/>
          <w:kern w:val="2"/>
          <w:u w:val="single"/>
        </w:rPr>
        <w:t>completion of a citywide groundwater table survey conducted by the department and the United States geological survey,</w:t>
      </w:r>
      <w:r w:rsidRPr="00A7503A">
        <w:rPr>
          <w:rFonts w:eastAsia="Calibri"/>
          <w:kern w:val="2"/>
          <w:u w:val="single"/>
        </w:rPr>
        <w:t xml:space="preserve"> the department may, in consultation with the department of buildings, the office of long-term planning and sustainability, and other relevant agencies, consider whether the </w:t>
      </w:r>
      <w:r>
        <w:rPr>
          <w:rFonts w:eastAsia="Calibri"/>
          <w:kern w:val="2"/>
          <w:u w:val="single"/>
        </w:rPr>
        <w:t>groundwater flood risk area</w:t>
      </w:r>
      <w:r w:rsidR="006E6704">
        <w:rPr>
          <w:rFonts w:eastAsia="Calibri"/>
          <w:kern w:val="2"/>
          <w:u w:val="single"/>
        </w:rPr>
        <w:t xml:space="preserve"> adopted</w:t>
      </w:r>
      <w:r>
        <w:rPr>
          <w:rFonts w:eastAsia="Calibri"/>
          <w:kern w:val="2"/>
          <w:u w:val="single"/>
        </w:rPr>
        <w:t xml:space="preserve"> </w:t>
      </w:r>
      <w:r w:rsidRPr="00A7503A">
        <w:rPr>
          <w:rFonts w:eastAsia="Calibri"/>
          <w:kern w:val="2"/>
          <w:u w:val="single"/>
        </w:rPr>
        <w:t xml:space="preserve">pursuant to subparagraph (a) of this paragraph should be updated based on such </w:t>
      </w:r>
      <w:r>
        <w:rPr>
          <w:rFonts w:eastAsia="Calibri"/>
          <w:kern w:val="2"/>
          <w:u w:val="single"/>
        </w:rPr>
        <w:t>survey</w:t>
      </w:r>
      <w:r w:rsidRPr="00A7503A">
        <w:rPr>
          <w:rFonts w:eastAsia="Calibri"/>
          <w:kern w:val="2"/>
          <w:u w:val="single"/>
        </w:rPr>
        <w:t xml:space="preserve">, and any other data such agencies determine to be reasonable. The department shall adopt </w:t>
      </w:r>
      <w:proofErr w:type="gramStart"/>
      <w:r w:rsidRPr="00A7503A">
        <w:rPr>
          <w:rFonts w:eastAsia="Calibri"/>
          <w:kern w:val="2"/>
          <w:u w:val="single"/>
        </w:rPr>
        <w:t>any such</w:t>
      </w:r>
      <w:proofErr w:type="gramEnd"/>
      <w:r w:rsidRPr="00A7503A">
        <w:rPr>
          <w:rFonts w:eastAsia="Calibri"/>
          <w:kern w:val="2"/>
          <w:u w:val="single"/>
        </w:rPr>
        <w:t xml:space="preserve"> updated </w:t>
      </w:r>
      <w:r>
        <w:rPr>
          <w:rFonts w:eastAsia="Calibri"/>
          <w:kern w:val="2"/>
          <w:u w:val="single"/>
        </w:rPr>
        <w:t>groundwater flood</w:t>
      </w:r>
      <w:r w:rsidRPr="00A7503A">
        <w:rPr>
          <w:rFonts w:eastAsia="Calibri"/>
          <w:kern w:val="2"/>
          <w:u w:val="single"/>
        </w:rPr>
        <w:t xml:space="preserve"> risk area by rule and post on the city’s website an updated flood risk area map showing such updated </w:t>
      </w:r>
      <w:r>
        <w:rPr>
          <w:rFonts w:eastAsia="Calibri"/>
          <w:kern w:val="2"/>
          <w:u w:val="single"/>
        </w:rPr>
        <w:lastRenderedPageBreak/>
        <w:t>groundwater flood</w:t>
      </w:r>
      <w:r w:rsidRPr="00A7503A">
        <w:rPr>
          <w:rFonts w:eastAsia="Calibri"/>
          <w:kern w:val="2"/>
          <w:u w:val="single"/>
        </w:rPr>
        <w:t xml:space="preserve"> risk area to replace such risk area adopted pursuant to subparagraph (a) of this paragraph.</w:t>
      </w:r>
    </w:p>
    <w:p w14:paraId="0EE44DF5" w14:textId="77777777" w:rsidR="00D46C01" w:rsidRPr="00C547A4" w:rsidRDefault="00D46C01" w:rsidP="00D46C01">
      <w:pPr>
        <w:spacing w:line="480" w:lineRule="auto"/>
        <w:jc w:val="both"/>
      </w:pPr>
      <w:r w:rsidRPr="00C547A4">
        <w:t>3. Any such updated maps, and to the extent practicable such interim maps, shall:</w:t>
      </w:r>
    </w:p>
    <w:p w14:paraId="678F6247" w14:textId="252B9952" w:rsidR="00D46C01" w:rsidRPr="00C547A4" w:rsidRDefault="00D46C01" w:rsidP="00D46C01">
      <w:pPr>
        <w:spacing w:line="480" w:lineRule="auto"/>
        <w:jc w:val="both"/>
      </w:pPr>
      <w:r w:rsidRPr="00C547A4">
        <w:t xml:space="preserve">(a) indicate the </w:t>
      </w:r>
      <w:r w:rsidR="00F3337B">
        <w:t>[</w:t>
      </w:r>
      <w:r w:rsidRPr="00C547A4">
        <w:t>location</w:t>
      </w:r>
      <w:r w:rsidR="00F3337B">
        <w:t xml:space="preserve">] </w:t>
      </w:r>
      <w:r w:rsidR="00F3337B">
        <w:rPr>
          <w:u w:val="single"/>
        </w:rPr>
        <w:t>locations</w:t>
      </w:r>
      <w:r w:rsidRPr="00C547A4">
        <w:t xml:space="preserve"> of the special flood hazard area and the flood hazard area, as such terms are defined in section 202 of the New York city building code and as adopted pursuant to section G102.2 of appendix G of the New York city building code, provided that inclusion of such areas in such map shall not require adoption by rule pursuant to this subdivision to determine their boundaries; </w:t>
      </w:r>
    </w:p>
    <w:p w14:paraId="02BA396E" w14:textId="3525D22C" w:rsidR="00D46C01" w:rsidRPr="00C547A4" w:rsidRDefault="00D46C01" w:rsidP="00D46C01">
      <w:pPr>
        <w:spacing w:line="480" w:lineRule="auto"/>
        <w:jc w:val="both"/>
      </w:pPr>
      <w:r w:rsidRPr="00C547A4">
        <w:t xml:space="preserve">(b) represent the 10-year rainfall flood risk area </w:t>
      </w:r>
      <w:r>
        <w:rPr>
          <w:u w:val="single"/>
        </w:rPr>
        <w:t>and groundwater flood risk area</w:t>
      </w:r>
      <w:r w:rsidRPr="00F327BA">
        <w:t xml:space="preserve"> </w:t>
      </w:r>
      <w:r w:rsidRPr="00C547A4">
        <w:t xml:space="preserve">using bounds at either the block or individual property level, such that the inclusion or exclusion of a property from such </w:t>
      </w:r>
      <w:r w:rsidR="00F3337B">
        <w:t>[</w:t>
      </w:r>
      <w:r w:rsidRPr="00C547A4">
        <w:t>area</w:t>
      </w:r>
      <w:r w:rsidR="00F3337B">
        <w:t xml:space="preserve">] </w:t>
      </w:r>
      <w:r w:rsidR="00F3337B">
        <w:rPr>
          <w:u w:val="single"/>
        </w:rPr>
        <w:t>areas</w:t>
      </w:r>
      <w:r w:rsidRPr="00C547A4">
        <w:t xml:space="preserve"> can clearly be determined; and</w:t>
      </w:r>
    </w:p>
    <w:p w14:paraId="3D39D933" w14:textId="4FF4A348" w:rsidR="00595589" w:rsidRDefault="00D46C01" w:rsidP="00D46C01">
      <w:pPr>
        <w:spacing w:line="480" w:lineRule="auto"/>
        <w:jc w:val="both"/>
      </w:pPr>
      <w:r w:rsidRPr="00C547A4">
        <w:t xml:space="preserve">(c) include any relevant information on the 10-year rainfall flood risk area </w:t>
      </w:r>
      <w:r>
        <w:t>[</w:t>
      </w:r>
      <w:r w:rsidRPr="00C547A4">
        <w:t>and</w:t>
      </w:r>
      <w:r>
        <w:t>]</w:t>
      </w:r>
      <w:r w:rsidR="00F3337B">
        <w:rPr>
          <w:u w:val="single"/>
        </w:rPr>
        <w:t>,</w:t>
      </w:r>
      <w:r w:rsidRPr="00C547A4">
        <w:t xml:space="preserve"> coastal flood risk area,</w:t>
      </w:r>
      <w:r w:rsidRPr="00F327BA">
        <w:t xml:space="preserve"> </w:t>
      </w:r>
      <w:r>
        <w:rPr>
          <w:u w:val="single"/>
        </w:rPr>
        <w:t>and groundwater flood risk area,</w:t>
      </w:r>
      <w:r w:rsidRPr="00C547A4">
        <w:t xml:space="preserve"> such as general elevation or topography indicators, to the extent available to the department. </w:t>
      </w:r>
    </w:p>
    <w:p w14:paraId="7EBB7591" w14:textId="6031C19A" w:rsidR="00471544" w:rsidRDefault="00471544" w:rsidP="00D46C01">
      <w:pPr>
        <w:spacing w:line="480" w:lineRule="auto"/>
        <w:jc w:val="both"/>
      </w:pPr>
      <w:r w:rsidRPr="00471544">
        <w:t>§</w:t>
      </w:r>
      <w:r w:rsidR="00CA05AB">
        <w:t xml:space="preserve"> </w:t>
      </w:r>
      <w:r w:rsidR="002D4C54">
        <w:t>3</w:t>
      </w:r>
      <w:r w:rsidR="00CA05AB">
        <w:t>. Section U202.2 of a</w:t>
      </w:r>
      <w:r>
        <w:t>ppendix U of the New York city building code</w:t>
      </w:r>
      <w:r w:rsidR="009F4290">
        <w:t xml:space="preserve"> </w:t>
      </w:r>
      <w:r>
        <w:t xml:space="preserve">is amended </w:t>
      </w:r>
      <w:r w:rsidR="00CA05AB">
        <w:t>by adding a new definition of “groundwater flood risk area” in alphabetical order to read as follows</w:t>
      </w:r>
      <w:r>
        <w:t xml:space="preserve">: </w:t>
      </w:r>
    </w:p>
    <w:p w14:paraId="15C1C019" w14:textId="179567DF" w:rsidR="00471544" w:rsidRPr="00471544" w:rsidRDefault="00471544" w:rsidP="00471544">
      <w:pPr>
        <w:spacing w:before="120" w:after="120"/>
        <w:ind w:firstLine="0"/>
        <w:jc w:val="both"/>
        <w:rPr>
          <w:rFonts w:eastAsia="Calibri"/>
          <w:bCs/>
          <w:i/>
          <w:kern w:val="2"/>
          <w:u w:val="single"/>
        </w:rPr>
      </w:pPr>
      <w:r>
        <w:rPr>
          <w:rFonts w:eastAsia="Calibri"/>
          <w:b/>
          <w:bCs/>
          <w:kern w:val="2"/>
          <w:u w:val="single"/>
        </w:rPr>
        <w:t>GROUNDWATER FLOOD RISK AREA.</w:t>
      </w:r>
      <w:r>
        <w:rPr>
          <w:rFonts w:eastAsia="Calibri"/>
          <w:bCs/>
          <w:kern w:val="2"/>
          <w:u w:val="single"/>
        </w:rPr>
        <w:t xml:space="preserve"> Shall have the same definition as such term is defined in Section 24-809 of the </w:t>
      </w:r>
      <w:r>
        <w:rPr>
          <w:rFonts w:eastAsia="Calibri"/>
          <w:bCs/>
          <w:i/>
          <w:kern w:val="2"/>
          <w:u w:val="single"/>
        </w:rPr>
        <w:t>Administrative Code.</w:t>
      </w:r>
    </w:p>
    <w:p w14:paraId="38816B38" w14:textId="39C26B6F" w:rsidR="00471544" w:rsidRDefault="00471544" w:rsidP="00F13AC8">
      <w:pPr>
        <w:spacing w:before="240" w:line="480" w:lineRule="auto"/>
        <w:ind w:firstLine="0"/>
        <w:jc w:val="both"/>
      </w:pPr>
      <w:r>
        <w:tab/>
      </w:r>
      <w:r w:rsidRPr="00471544">
        <w:t>§</w:t>
      </w:r>
      <w:r>
        <w:t xml:space="preserve"> </w:t>
      </w:r>
      <w:r w:rsidR="00C35670">
        <w:t>4</w:t>
      </w:r>
      <w:r>
        <w:t xml:space="preserve">. </w:t>
      </w:r>
      <w:r w:rsidR="00251724">
        <w:t>Section U202.3</w:t>
      </w:r>
      <w:r w:rsidR="00CA05AB">
        <w:t xml:space="preserve"> of a</w:t>
      </w:r>
      <w:r w:rsidRPr="00471544">
        <w:t xml:space="preserve">ppendix U of the New York city building code, as </w:t>
      </w:r>
      <w:r w:rsidR="00416884">
        <w:t>added</w:t>
      </w:r>
      <w:r w:rsidR="00416884" w:rsidRPr="00471544">
        <w:t xml:space="preserve"> </w:t>
      </w:r>
      <w:r w:rsidRPr="00471544">
        <w:t>by local law</w:t>
      </w:r>
      <w:r w:rsidR="00D848D9">
        <w:t xml:space="preserve"> </w:t>
      </w:r>
      <w:r w:rsidR="00416884">
        <w:t xml:space="preserve">number </w:t>
      </w:r>
      <w:r w:rsidR="00D848D9">
        <w:t>127</w:t>
      </w:r>
      <w:r w:rsidRPr="00471544">
        <w:t xml:space="preserve"> </w:t>
      </w:r>
      <w:r w:rsidR="00416884">
        <w:t>for</w:t>
      </w:r>
      <w:r w:rsidR="00416884" w:rsidRPr="00471544">
        <w:t xml:space="preserve"> </w:t>
      </w:r>
      <w:r w:rsidRPr="00471544">
        <w:t>the year 2024, is amended to read as follows</w:t>
      </w:r>
      <w:r>
        <w:t>:</w:t>
      </w:r>
    </w:p>
    <w:p w14:paraId="10FEFB7E" w14:textId="77777777" w:rsidR="00471544" w:rsidRPr="00471544" w:rsidRDefault="00471544" w:rsidP="00471544">
      <w:pPr>
        <w:spacing w:before="120" w:after="120"/>
        <w:ind w:firstLine="0"/>
        <w:jc w:val="both"/>
        <w:rPr>
          <w:rFonts w:eastAsia="Calibri"/>
          <w:kern w:val="2"/>
        </w:rPr>
      </w:pPr>
      <w:r w:rsidRPr="00471544">
        <w:rPr>
          <w:rFonts w:eastAsia="Calibri"/>
          <w:b/>
          <w:bCs/>
          <w:kern w:val="2"/>
        </w:rPr>
        <w:t>U202.3 Prohibited locations.</w:t>
      </w:r>
      <w:r w:rsidRPr="00471544">
        <w:rPr>
          <w:rFonts w:eastAsia="Calibri"/>
          <w:kern w:val="2"/>
        </w:rPr>
        <w:t xml:space="preserve"> An ADU shall not be permitted in a basement or cellar of a building in the following locations, except as otherwise provided pursuant to the </w:t>
      </w:r>
      <w:r w:rsidRPr="00471544">
        <w:rPr>
          <w:rFonts w:eastAsia="Calibri"/>
          <w:i/>
          <w:iCs/>
          <w:kern w:val="2"/>
        </w:rPr>
        <w:t>New York City</w:t>
      </w:r>
      <w:r w:rsidRPr="00471544">
        <w:rPr>
          <w:rFonts w:eastAsia="Calibri"/>
          <w:kern w:val="2"/>
        </w:rPr>
        <w:t xml:space="preserve"> </w:t>
      </w:r>
      <w:r w:rsidRPr="00471544">
        <w:rPr>
          <w:rFonts w:eastAsia="Calibri"/>
          <w:i/>
          <w:iCs/>
          <w:kern w:val="2"/>
        </w:rPr>
        <w:t>Zoning Resolution</w:t>
      </w:r>
      <w:r w:rsidRPr="00471544">
        <w:rPr>
          <w:rFonts w:eastAsia="Calibri"/>
          <w:kern w:val="2"/>
        </w:rPr>
        <w:t>:</w:t>
      </w:r>
    </w:p>
    <w:p w14:paraId="2102D868" w14:textId="77777777" w:rsidR="00471544" w:rsidRPr="00471544" w:rsidRDefault="00471544" w:rsidP="00471544">
      <w:pPr>
        <w:spacing w:before="120" w:after="120"/>
        <w:ind w:left="360" w:firstLine="0"/>
        <w:jc w:val="both"/>
        <w:rPr>
          <w:rFonts w:eastAsia="Calibri"/>
          <w:kern w:val="2"/>
        </w:rPr>
      </w:pPr>
      <w:r w:rsidRPr="00471544">
        <w:rPr>
          <w:rFonts w:eastAsia="Calibri"/>
          <w:kern w:val="2"/>
        </w:rPr>
        <w:t xml:space="preserve">1. Within the special flood hazard area in accordance with Appendix G. </w:t>
      </w:r>
    </w:p>
    <w:p w14:paraId="0534DA23" w14:textId="77777777" w:rsidR="00471544" w:rsidRPr="00471544" w:rsidRDefault="00471544" w:rsidP="00471544">
      <w:pPr>
        <w:spacing w:before="120" w:after="120"/>
        <w:ind w:firstLine="360"/>
        <w:jc w:val="both"/>
        <w:rPr>
          <w:rFonts w:eastAsia="Calibri"/>
          <w:kern w:val="2"/>
        </w:rPr>
      </w:pPr>
      <w:r w:rsidRPr="00471544">
        <w:rPr>
          <w:rFonts w:eastAsia="Calibri"/>
          <w:kern w:val="2"/>
        </w:rPr>
        <w:t xml:space="preserve">2. Within the 10-year rainfall flood risk area. </w:t>
      </w:r>
    </w:p>
    <w:p w14:paraId="57A127B6" w14:textId="6A6FF175" w:rsidR="00471544" w:rsidRDefault="00471544" w:rsidP="00471544">
      <w:pPr>
        <w:spacing w:before="120" w:after="120"/>
        <w:ind w:firstLine="360"/>
        <w:jc w:val="both"/>
        <w:rPr>
          <w:rFonts w:eastAsia="Calibri"/>
          <w:kern w:val="2"/>
        </w:rPr>
      </w:pPr>
      <w:r w:rsidRPr="00471544">
        <w:rPr>
          <w:rFonts w:eastAsia="Calibri"/>
          <w:kern w:val="2"/>
        </w:rPr>
        <w:lastRenderedPageBreak/>
        <w:t>3. Within the coastal flood risk area.</w:t>
      </w:r>
    </w:p>
    <w:p w14:paraId="638F16AE" w14:textId="76DED8DF" w:rsidR="00471544" w:rsidRPr="00471544" w:rsidRDefault="00471544" w:rsidP="00471544">
      <w:pPr>
        <w:spacing w:before="120" w:after="120"/>
        <w:ind w:firstLine="360"/>
        <w:jc w:val="both"/>
        <w:rPr>
          <w:rFonts w:eastAsia="Calibri"/>
          <w:kern w:val="2"/>
        </w:rPr>
      </w:pPr>
      <w:r w:rsidRPr="00014412">
        <w:rPr>
          <w:rFonts w:eastAsia="Calibri"/>
          <w:kern w:val="2"/>
          <w:u w:val="single"/>
        </w:rPr>
        <w:t xml:space="preserve">4. </w:t>
      </w:r>
      <w:r w:rsidRPr="00D848D9">
        <w:rPr>
          <w:rFonts w:eastAsia="Calibri"/>
          <w:kern w:val="2"/>
          <w:u w:val="single"/>
        </w:rPr>
        <w:t xml:space="preserve">Within the </w:t>
      </w:r>
      <w:r w:rsidR="00D848D9" w:rsidRPr="00D848D9">
        <w:rPr>
          <w:rFonts w:eastAsia="Calibri"/>
          <w:kern w:val="2"/>
          <w:u w:val="single"/>
        </w:rPr>
        <w:t>groundwater flood risk area.</w:t>
      </w:r>
    </w:p>
    <w:p w14:paraId="5C7D5765" w14:textId="77777777" w:rsidR="00471544" w:rsidRPr="00471544" w:rsidRDefault="00471544" w:rsidP="00471544">
      <w:pPr>
        <w:spacing w:before="120" w:after="120"/>
        <w:ind w:left="360" w:firstLine="0"/>
        <w:jc w:val="both"/>
        <w:rPr>
          <w:rFonts w:eastAsia="Calibri"/>
          <w:kern w:val="2"/>
        </w:rPr>
      </w:pPr>
      <w:r w:rsidRPr="00471544">
        <w:rPr>
          <w:rFonts w:eastAsia="Calibri"/>
          <w:b/>
          <w:bCs/>
          <w:kern w:val="2"/>
        </w:rPr>
        <w:t>U202.3.1 Identification of flood hazard areas</w:t>
      </w:r>
      <w:r w:rsidRPr="00471544">
        <w:rPr>
          <w:rFonts w:eastAsia="Calibri"/>
          <w:b/>
          <w:kern w:val="2"/>
        </w:rPr>
        <w:t>.</w:t>
      </w:r>
      <w:r w:rsidRPr="00471544">
        <w:rPr>
          <w:rFonts w:eastAsia="Calibri"/>
          <w:kern w:val="2"/>
        </w:rPr>
        <w:t xml:space="preserve"> Where an ADU is permitted in accordance with Section U202.3, the construction documents for the ADU shall include a statement to certify that the premises are not located in any one of the following flood hazard areas:</w:t>
      </w:r>
    </w:p>
    <w:p w14:paraId="4F8E9535" w14:textId="77777777" w:rsidR="00471544" w:rsidRPr="00471544" w:rsidRDefault="00471544" w:rsidP="00471544">
      <w:pPr>
        <w:spacing w:before="120" w:after="120"/>
        <w:ind w:left="720" w:firstLine="0"/>
        <w:jc w:val="both"/>
        <w:rPr>
          <w:rFonts w:eastAsia="Calibri"/>
          <w:kern w:val="2"/>
        </w:rPr>
      </w:pPr>
      <w:r w:rsidRPr="00471544">
        <w:rPr>
          <w:rFonts w:eastAsia="Calibri"/>
          <w:kern w:val="2"/>
        </w:rPr>
        <w:t>1. Special flood hazard area, in accordance with Section G201.</w:t>
      </w:r>
    </w:p>
    <w:p w14:paraId="2BFEF217" w14:textId="77777777" w:rsidR="00471544" w:rsidRPr="00471544" w:rsidRDefault="00471544" w:rsidP="00471544">
      <w:pPr>
        <w:spacing w:before="120" w:after="120"/>
        <w:ind w:left="1080" w:firstLine="0"/>
        <w:jc w:val="both"/>
        <w:rPr>
          <w:rFonts w:eastAsia="Calibri"/>
          <w:kern w:val="2"/>
        </w:rPr>
      </w:pPr>
      <w:r w:rsidRPr="00471544">
        <w:rPr>
          <w:rFonts w:eastAsia="Calibri"/>
          <w:kern w:val="2"/>
        </w:rPr>
        <w:t>1.1 Coastal A-zone.</w:t>
      </w:r>
    </w:p>
    <w:p w14:paraId="6E9A1C0B" w14:textId="77777777" w:rsidR="00471544" w:rsidRPr="00471544" w:rsidRDefault="00471544" w:rsidP="00471544">
      <w:pPr>
        <w:spacing w:before="120" w:after="120"/>
        <w:ind w:left="1080" w:firstLine="0"/>
        <w:jc w:val="both"/>
        <w:rPr>
          <w:rFonts w:eastAsia="Calibri"/>
          <w:kern w:val="2"/>
        </w:rPr>
      </w:pPr>
      <w:r w:rsidRPr="00471544">
        <w:rPr>
          <w:rFonts w:eastAsia="Calibri"/>
          <w:kern w:val="2"/>
        </w:rPr>
        <w:t>1.2 Coastal high-hazard area.</w:t>
      </w:r>
    </w:p>
    <w:p w14:paraId="2932BAF9" w14:textId="77777777" w:rsidR="00471544" w:rsidRPr="00471544" w:rsidRDefault="00471544" w:rsidP="00471544">
      <w:pPr>
        <w:spacing w:before="120" w:after="120"/>
        <w:ind w:left="1080" w:firstLine="0"/>
        <w:jc w:val="both"/>
        <w:rPr>
          <w:rFonts w:eastAsia="Calibri"/>
          <w:kern w:val="2"/>
        </w:rPr>
      </w:pPr>
      <w:r w:rsidRPr="00471544">
        <w:rPr>
          <w:rFonts w:eastAsia="Calibri"/>
          <w:kern w:val="2"/>
        </w:rPr>
        <w:t>1.3 A-zone.</w:t>
      </w:r>
    </w:p>
    <w:p w14:paraId="1A3BA85E" w14:textId="77777777" w:rsidR="00471544" w:rsidRPr="00471544" w:rsidRDefault="00471544" w:rsidP="00471544">
      <w:pPr>
        <w:spacing w:before="120" w:after="120"/>
        <w:ind w:left="720" w:firstLine="0"/>
        <w:jc w:val="both"/>
        <w:rPr>
          <w:rFonts w:eastAsia="Calibri"/>
          <w:kern w:val="2"/>
        </w:rPr>
      </w:pPr>
      <w:r w:rsidRPr="00471544">
        <w:rPr>
          <w:rFonts w:eastAsia="Calibri"/>
          <w:kern w:val="2"/>
        </w:rPr>
        <w:t>2. 10-year rainfall flood risk area.</w:t>
      </w:r>
    </w:p>
    <w:p w14:paraId="7DB6E3AE" w14:textId="51704F56" w:rsidR="00471544" w:rsidRDefault="00471544" w:rsidP="00471544">
      <w:pPr>
        <w:spacing w:before="120" w:after="120"/>
        <w:ind w:left="720" w:firstLine="0"/>
        <w:jc w:val="both"/>
        <w:rPr>
          <w:rFonts w:eastAsia="Calibri"/>
          <w:kern w:val="2"/>
        </w:rPr>
      </w:pPr>
      <w:r w:rsidRPr="00471544">
        <w:rPr>
          <w:rFonts w:eastAsia="Calibri"/>
          <w:kern w:val="2"/>
        </w:rPr>
        <w:t xml:space="preserve">3. Coastal </w:t>
      </w:r>
      <w:proofErr w:type="gramStart"/>
      <w:r w:rsidRPr="00471544">
        <w:rPr>
          <w:rFonts w:eastAsia="Calibri"/>
          <w:kern w:val="2"/>
        </w:rPr>
        <w:t>flood risk</w:t>
      </w:r>
      <w:proofErr w:type="gramEnd"/>
      <w:r w:rsidRPr="00471544">
        <w:rPr>
          <w:rFonts w:eastAsia="Calibri"/>
          <w:kern w:val="2"/>
        </w:rPr>
        <w:t xml:space="preserve"> area.</w:t>
      </w:r>
    </w:p>
    <w:p w14:paraId="5CA0728D" w14:textId="33462EF6" w:rsidR="00D848D9" w:rsidRPr="00471544" w:rsidRDefault="00D848D9" w:rsidP="00471544">
      <w:pPr>
        <w:spacing w:before="120" w:after="120"/>
        <w:ind w:left="720" w:firstLine="0"/>
        <w:jc w:val="both"/>
        <w:rPr>
          <w:rFonts w:eastAsia="Calibri"/>
          <w:kern w:val="2"/>
        </w:rPr>
      </w:pPr>
      <w:r w:rsidRPr="00014412">
        <w:rPr>
          <w:rFonts w:eastAsia="Calibri"/>
          <w:kern w:val="2"/>
          <w:u w:val="single"/>
        </w:rPr>
        <w:t xml:space="preserve">4. </w:t>
      </w:r>
      <w:r w:rsidRPr="00D848D9">
        <w:rPr>
          <w:rFonts w:eastAsia="Calibri"/>
          <w:kern w:val="2"/>
          <w:u w:val="single"/>
        </w:rPr>
        <w:t>Groundwater flood risk area.</w:t>
      </w:r>
    </w:p>
    <w:p w14:paraId="6513ECDF" w14:textId="1FD16E69" w:rsidR="00471544" w:rsidRDefault="00471544" w:rsidP="00D848D9">
      <w:pPr>
        <w:spacing w:before="120" w:after="120"/>
        <w:ind w:left="360" w:firstLine="0"/>
        <w:jc w:val="both"/>
        <w:rPr>
          <w:rFonts w:eastAsia="Calibri"/>
          <w:kern w:val="2"/>
        </w:rPr>
      </w:pPr>
      <w:r w:rsidRPr="00471544">
        <w:rPr>
          <w:rFonts w:eastAsia="Calibri"/>
          <w:kern w:val="2"/>
        </w:rPr>
        <w:t xml:space="preserve">Each such statement shall be accompanied </w:t>
      </w:r>
      <w:proofErr w:type="gramStart"/>
      <w:r w:rsidRPr="00471544">
        <w:rPr>
          <w:rFonts w:eastAsia="Calibri"/>
          <w:kern w:val="2"/>
        </w:rPr>
        <w:t>with</w:t>
      </w:r>
      <w:proofErr w:type="gramEnd"/>
      <w:r w:rsidRPr="00471544">
        <w:rPr>
          <w:rFonts w:eastAsia="Calibri"/>
          <w:kern w:val="2"/>
        </w:rPr>
        <w:t xml:space="preserve"> the applicable flood area map.</w:t>
      </w:r>
    </w:p>
    <w:p w14:paraId="7F882EFE" w14:textId="67E51B32" w:rsidR="00D848D9" w:rsidRDefault="00D848D9" w:rsidP="00CA05AB">
      <w:pPr>
        <w:spacing w:before="100" w:beforeAutospacing="1" w:line="480" w:lineRule="auto"/>
        <w:ind w:firstLine="0"/>
        <w:jc w:val="both"/>
      </w:pPr>
      <w:r>
        <w:rPr>
          <w:rFonts w:eastAsia="Calibri"/>
          <w:kern w:val="2"/>
        </w:rPr>
        <w:tab/>
      </w:r>
      <w:r w:rsidRPr="00D848D9">
        <w:rPr>
          <w:rFonts w:eastAsia="Calibri"/>
          <w:kern w:val="2"/>
        </w:rPr>
        <w:t>§</w:t>
      </w:r>
      <w:r>
        <w:rPr>
          <w:rFonts w:eastAsia="Calibri"/>
          <w:kern w:val="2"/>
        </w:rPr>
        <w:t xml:space="preserve"> </w:t>
      </w:r>
      <w:r w:rsidR="005C6A3A">
        <w:rPr>
          <w:rFonts w:eastAsia="Calibri"/>
          <w:kern w:val="2"/>
        </w:rPr>
        <w:t>5</w:t>
      </w:r>
      <w:r>
        <w:rPr>
          <w:rFonts w:eastAsia="Calibri"/>
          <w:kern w:val="2"/>
        </w:rPr>
        <w:t xml:space="preserve">. </w:t>
      </w:r>
      <w:r>
        <w:t>Section U203.7</w:t>
      </w:r>
      <w:r w:rsidR="00CA05AB">
        <w:t xml:space="preserve"> of a</w:t>
      </w:r>
      <w:r w:rsidRPr="00471544">
        <w:t xml:space="preserve">ppendix U of the New York city building code, as </w:t>
      </w:r>
      <w:r w:rsidR="008667D1">
        <w:t>added</w:t>
      </w:r>
      <w:r w:rsidR="008667D1" w:rsidRPr="00471544">
        <w:t xml:space="preserve"> </w:t>
      </w:r>
      <w:r w:rsidRPr="00471544">
        <w:t>by local law</w:t>
      </w:r>
      <w:r>
        <w:t xml:space="preserve"> </w:t>
      </w:r>
      <w:r w:rsidR="008667D1">
        <w:t xml:space="preserve">number </w:t>
      </w:r>
      <w:r>
        <w:t>127</w:t>
      </w:r>
      <w:r w:rsidRPr="00471544">
        <w:t xml:space="preserve"> </w:t>
      </w:r>
      <w:r w:rsidR="008667D1">
        <w:t>for</w:t>
      </w:r>
      <w:r w:rsidR="008667D1" w:rsidRPr="00471544">
        <w:t xml:space="preserve"> </w:t>
      </w:r>
      <w:r w:rsidRPr="00471544">
        <w:t>the year 2024, is amended to read as follows</w:t>
      </w:r>
      <w:r>
        <w:t>:</w:t>
      </w:r>
    </w:p>
    <w:p w14:paraId="40857BE0" w14:textId="6AE5B8B9" w:rsidR="00D848D9" w:rsidRPr="00D848D9" w:rsidRDefault="00D848D9" w:rsidP="00CA05AB">
      <w:pPr>
        <w:spacing w:before="120" w:after="120"/>
        <w:ind w:firstLine="0"/>
        <w:jc w:val="both"/>
        <w:rPr>
          <w:rFonts w:eastAsia="Calibri"/>
          <w:kern w:val="2"/>
        </w:rPr>
      </w:pPr>
      <w:r w:rsidRPr="00D848D9">
        <w:rPr>
          <w:rFonts w:eastAsia="Calibri"/>
          <w:b/>
          <w:bCs/>
          <w:kern w:val="2"/>
        </w:rPr>
        <w:t>U203.7 Flood mitigation.</w:t>
      </w:r>
      <w:r w:rsidRPr="00D848D9">
        <w:rPr>
          <w:rFonts w:eastAsia="Calibri"/>
          <w:kern w:val="2"/>
        </w:rPr>
        <w:t xml:space="preserve"> The department may promulgate rules relating to requirements for flood mitigation applicable to an ADU in the </w:t>
      </w:r>
      <w:r>
        <w:rPr>
          <w:rFonts w:eastAsia="Calibri"/>
          <w:kern w:val="2"/>
          <w:u w:val="single"/>
        </w:rPr>
        <w:t>groundwater flood risk area,</w:t>
      </w:r>
      <w:r w:rsidRPr="00014412">
        <w:rPr>
          <w:rFonts w:eastAsia="Calibri"/>
          <w:kern w:val="2"/>
        </w:rPr>
        <w:t xml:space="preserve"> </w:t>
      </w:r>
      <w:r w:rsidRPr="00D848D9">
        <w:rPr>
          <w:rFonts w:eastAsia="Calibri"/>
          <w:kern w:val="2"/>
        </w:rPr>
        <w:t>coastal flood risk area</w:t>
      </w:r>
      <w:r w:rsidR="00F13AC8">
        <w:rPr>
          <w:rFonts w:eastAsia="Calibri"/>
          <w:kern w:val="2"/>
          <w:u w:val="single"/>
        </w:rPr>
        <w:t>,</w:t>
      </w:r>
      <w:r w:rsidRPr="00D848D9">
        <w:rPr>
          <w:rFonts w:eastAsia="Calibri"/>
          <w:kern w:val="2"/>
        </w:rPr>
        <w:t xml:space="preserve"> or 10-year rainfall flood risk area.</w:t>
      </w:r>
    </w:p>
    <w:p w14:paraId="283DA437" w14:textId="6FDD1DBD" w:rsidR="002F196D" w:rsidRDefault="00CA05AB" w:rsidP="00F13AC8">
      <w:pPr>
        <w:spacing w:line="480" w:lineRule="auto"/>
        <w:jc w:val="both"/>
        <w:rPr>
          <w:sz w:val="18"/>
          <w:szCs w:val="18"/>
        </w:rPr>
        <w:sectPr w:rsidR="002F196D" w:rsidSect="00AF39A5">
          <w:type w:val="continuous"/>
          <w:pgSz w:w="12240" w:h="15840"/>
          <w:pgMar w:top="1440" w:right="1440" w:bottom="1440" w:left="1440" w:header="720" w:footer="720" w:gutter="0"/>
          <w:lnNumType w:countBy="1"/>
          <w:cols w:space="720"/>
          <w:titlePg/>
          <w:docGrid w:linePitch="360"/>
        </w:sectPr>
      </w:pPr>
      <w:r>
        <w:t xml:space="preserve">§ </w:t>
      </w:r>
      <w:r w:rsidR="005C6A3A">
        <w:t>6</w:t>
      </w:r>
      <w:r w:rsidR="00595589">
        <w:t>.</w:t>
      </w:r>
      <w:r w:rsidR="00D46C01">
        <w:t xml:space="preserve"> This loc</w:t>
      </w:r>
      <w:r w:rsidR="00251724">
        <w:t xml:space="preserve">al law takes effect immediately, except </w:t>
      </w:r>
      <w:proofErr w:type="gramStart"/>
      <w:r w:rsidR="00251724">
        <w:t>that sections three</w:t>
      </w:r>
      <w:proofErr w:type="gramEnd"/>
      <w:r w:rsidR="00251724">
        <w:t>, four</w:t>
      </w:r>
      <w:r w:rsidR="005C6A3A">
        <w:t>, and five</w:t>
      </w:r>
      <w:r w:rsidR="00251724">
        <w:t xml:space="preserve"> </w:t>
      </w:r>
      <w:r w:rsidR="0024647D">
        <w:t xml:space="preserve">of this local law </w:t>
      </w:r>
      <w:r w:rsidR="00251724">
        <w:t>take effect</w:t>
      </w:r>
      <w:r w:rsidR="00F13AC8">
        <w:t xml:space="preserve"> </w:t>
      </w:r>
      <w:r w:rsidR="00014412">
        <w:t>90 days after</w:t>
      </w:r>
      <w:r w:rsidR="00F13AC8">
        <w:t xml:space="preserve"> the department of environmental protection adopts the </w:t>
      </w:r>
      <w:r w:rsidR="00F13AC8" w:rsidRPr="00F13AC8">
        <w:t xml:space="preserve">rule </w:t>
      </w:r>
      <w:r w:rsidR="00F13AC8">
        <w:t>updating the flood risk area map</w:t>
      </w:r>
      <w:r w:rsidR="00F13AC8" w:rsidRPr="00F13AC8">
        <w:t xml:space="preserve"> showing </w:t>
      </w:r>
      <w:r w:rsidR="00F13AC8">
        <w:t>the groundwater flood risk area</w:t>
      </w:r>
      <w:r w:rsidR="007C10AA">
        <w:t xml:space="preserve">, as required by section </w:t>
      </w:r>
      <w:r w:rsidR="005C6A3A">
        <w:t>one</w:t>
      </w:r>
      <w:r w:rsidR="007C10AA">
        <w:t xml:space="preserve"> of this local law.</w:t>
      </w:r>
    </w:p>
    <w:p w14:paraId="5FD1ABD1" w14:textId="77777777" w:rsidR="00B47730" w:rsidRDefault="00B47730" w:rsidP="007101A2">
      <w:pPr>
        <w:ind w:firstLine="0"/>
        <w:jc w:val="both"/>
        <w:rPr>
          <w:sz w:val="18"/>
          <w:szCs w:val="18"/>
        </w:rPr>
      </w:pPr>
    </w:p>
    <w:p w14:paraId="09B968F7" w14:textId="77777777" w:rsidR="00EB262D" w:rsidRDefault="00D46C01" w:rsidP="007101A2">
      <w:pPr>
        <w:ind w:firstLine="0"/>
        <w:jc w:val="both"/>
        <w:rPr>
          <w:sz w:val="18"/>
          <w:szCs w:val="18"/>
        </w:rPr>
      </w:pPr>
      <w:r>
        <w:rPr>
          <w:sz w:val="18"/>
          <w:szCs w:val="18"/>
        </w:rPr>
        <w:t>NNB</w:t>
      </w:r>
    </w:p>
    <w:p w14:paraId="28FC7EC2" w14:textId="77777777" w:rsidR="004E1CF2" w:rsidRDefault="004E1CF2" w:rsidP="007101A2">
      <w:pPr>
        <w:ind w:firstLine="0"/>
        <w:jc w:val="both"/>
        <w:rPr>
          <w:sz w:val="18"/>
          <w:szCs w:val="18"/>
        </w:rPr>
      </w:pPr>
      <w:r>
        <w:rPr>
          <w:sz w:val="18"/>
          <w:szCs w:val="18"/>
        </w:rPr>
        <w:t xml:space="preserve">LS </w:t>
      </w:r>
      <w:r w:rsidR="00B47730">
        <w:rPr>
          <w:sz w:val="18"/>
          <w:szCs w:val="18"/>
        </w:rPr>
        <w:t>#</w:t>
      </w:r>
      <w:r w:rsidR="00D46C01">
        <w:rPr>
          <w:sz w:val="18"/>
          <w:szCs w:val="18"/>
        </w:rPr>
        <w:t>18524</w:t>
      </w:r>
    </w:p>
    <w:p w14:paraId="1F59C98F" w14:textId="08DF885B" w:rsidR="004E056A" w:rsidRDefault="004E056A" w:rsidP="007101A2">
      <w:pPr>
        <w:ind w:firstLine="0"/>
        <w:jc w:val="both"/>
        <w:rPr>
          <w:sz w:val="18"/>
          <w:szCs w:val="18"/>
        </w:rPr>
      </w:pPr>
      <w:proofErr w:type="gramStart"/>
      <w:r>
        <w:rPr>
          <w:sz w:val="18"/>
          <w:szCs w:val="18"/>
        </w:rPr>
        <w:t>Int. #</w:t>
      </w:r>
      <w:proofErr w:type="gramEnd"/>
      <w:r>
        <w:rPr>
          <w:sz w:val="18"/>
          <w:szCs w:val="18"/>
        </w:rPr>
        <w:t>1244-2025</w:t>
      </w:r>
    </w:p>
    <w:p w14:paraId="49E31325" w14:textId="491F0100" w:rsidR="00AE212E" w:rsidRDefault="004E056A" w:rsidP="007101A2">
      <w:pPr>
        <w:ind w:firstLine="0"/>
        <w:rPr>
          <w:sz w:val="18"/>
          <w:szCs w:val="18"/>
        </w:rPr>
      </w:pPr>
      <w:r>
        <w:rPr>
          <w:sz w:val="18"/>
          <w:szCs w:val="18"/>
        </w:rPr>
        <w:t>1/7/2026 3:37 PM</w:t>
      </w:r>
    </w:p>
    <w:p w14:paraId="27623E7F" w14:textId="77777777" w:rsidR="002D5F4F" w:rsidRDefault="002D5F4F" w:rsidP="007101A2">
      <w:pPr>
        <w:ind w:firstLine="0"/>
        <w:rPr>
          <w:sz w:val="18"/>
          <w:szCs w:val="18"/>
        </w:rPr>
      </w:pPr>
    </w:p>
    <w:sectPr w:rsidR="002D5F4F" w:rsidSect="002F196D">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C8AACB" w14:textId="77777777" w:rsidR="004E529C" w:rsidRDefault="004E529C">
      <w:r>
        <w:separator/>
      </w:r>
    </w:p>
    <w:p w14:paraId="514D2542" w14:textId="77777777" w:rsidR="004E529C" w:rsidRDefault="004E529C"/>
  </w:endnote>
  <w:endnote w:type="continuationSeparator" w:id="0">
    <w:p w14:paraId="35C1EC39" w14:textId="77777777" w:rsidR="004E529C" w:rsidRDefault="004E529C">
      <w:r>
        <w:continuationSeparator/>
      </w:r>
    </w:p>
    <w:p w14:paraId="6B900BB7" w14:textId="77777777" w:rsidR="004E529C" w:rsidRDefault="004E529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12964DAC" w14:textId="13F7E403" w:rsidR="008F0B17" w:rsidRDefault="008F0B17">
        <w:pPr>
          <w:pStyle w:val="Footer"/>
          <w:jc w:val="center"/>
        </w:pPr>
        <w:r>
          <w:fldChar w:fldCharType="begin"/>
        </w:r>
        <w:r>
          <w:instrText xml:space="preserve"> PAGE   \* MERGEFORMAT </w:instrText>
        </w:r>
        <w:r>
          <w:fldChar w:fldCharType="separate"/>
        </w:r>
        <w:r w:rsidR="009556FF">
          <w:rPr>
            <w:noProof/>
          </w:rPr>
          <w:t>2</w:t>
        </w:r>
        <w:r>
          <w:rPr>
            <w:noProof/>
          </w:rPr>
          <w:fldChar w:fldCharType="end"/>
        </w:r>
      </w:p>
    </w:sdtContent>
  </w:sdt>
  <w:p w14:paraId="2B2E6C98" w14:textId="77777777" w:rsidR="00292C42" w:rsidRDefault="00292C4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7E554550" w14:textId="10677FAD" w:rsidR="008F0B17" w:rsidRDefault="008F0B17">
        <w:pPr>
          <w:pStyle w:val="Footer"/>
          <w:jc w:val="center"/>
        </w:pPr>
        <w:r>
          <w:fldChar w:fldCharType="begin"/>
        </w:r>
        <w:r>
          <w:instrText xml:space="preserve"> PAGE   \* MERGEFORMAT </w:instrText>
        </w:r>
        <w:r>
          <w:fldChar w:fldCharType="separate"/>
        </w:r>
        <w:r w:rsidR="00ED0045">
          <w:rPr>
            <w:noProof/>
          </w:rPr>
          <w:t>5</w:t>
        </w:r>
        <w:r>
          <w:rPr>
            <w:noProof/>
          </w:rPr>
          <w:fldChar w:fldCharType="end"/>
        </w:r>
      </w:p>
    </w:sdtContent>
  </w:sdt>
  <w:p w14:paraId="2851092C" w14:textId="77777777" w:rsidR="008F0B17" w:rsidRDefault="008F0B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4AA7D1" w14:textId="77777777" w:rsidR="004E529C" w:rsidRDefault="004E529C">
      <w:r>
        <w:separator/>
      </w:r>
    </w:p>
    <w:p w14:paraId="6214B1C0" w14:textId="77777777" w:rsidR="004E529C" w:rsidRDefault="004E529C"/>
  </w:footnote>
  <w:footnote w:type="continuationSeparator" w:id="0">
    <w:p w14:paraId="7F1BA1C7" w14:textId="77777777" w:rsidR="004E529C" w:rsidRDefault="004E529C">
      <w:r>
        <w:continuationSeparator/>
      </w:r>
    </w:p>
    <w:p w14:paraId="621A418F" w14:textId="77777777" w:rsidR="004E529C" w:rsidRDefault="004E529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600438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6C01"/>
    <w:rsid w:val="000135A3"/>
    <w:rsid w:val="00014412"/>
    <w:rsid w:val="00035181"/>
    <w:rsid w:val="000502BC"/>
    <w:rsid w:val="00056BB0"/>
    <w:rsid w:val="00060F07"/>
    <w:rsid w:val="00064AFB"/>
    <w:rsid w:val="0009173E"/>
    <w:rsid w:val="00094A70"/>
    <w:rsid w:val="000A53B1"/>
    <w:rsid w:val="000D4A7F"/>
    <w:rsid w:val="001073BD"/>
    <w:rsid w:val="00113C59"/>
    <w:rsid w:val="00115B31"/>
    <w:rsid w:val="00136C71"/>
    <w:rsid w:val="001509BF"/>
    <w:rsid w:val="00150A27"/>
    <w:rsid w:val="0015676B"/>
    <w:rsid w:val="00162FC0"/>
    <w:rsid w:val="00165627"/>
    <w:rsid w:val="00167107"/>
    <w:rsid w:val="00177850"/>
    <w:rsid w:val="00180BD2"/>
    <w:rsid w:val="00195A80"/>
    <w:rsid w:val="001C1CF8"/>
    <w:rsid w:val="001D4249"/>
    <w:rsid w:val="001E3BD1"/>
    <w:rsid w:val="00205741"/>
    <w:rsid w:val="00205BE7"/>
    <w:rsid w:val="00207323"/>
    <w:rsid w:val="0021642E"/>
    <w:rsid w:val="0022099D"/>
    <w:rsid w:val="00241F94"/>
    <w:rsid w:val="0024647D"/>
    <w:rsid w:val="00251724"/>
    <w:rsid w:val="002538E1"/>
    <w:rsid w:val="00270162"/>
    <w:rsid w:val="00280955"/>
    <w:rsid w:val="00292C42"/>
    <w:rsid w:val="002A778D"/>
    <w:rsid w:val="002C4435"/>
    <w:rsid w:val="002D4C54"/>
    <w:rsid w:val="002D5F4F"/>
    <w:rsid w:val="002F0EF0"/>
    <w:rsid w:val="002F196D"/>
    <w:rsid w:val="002F269C"/>
    <w:rsid w:val="00301E5D"/>
    <w:rsid w:val="0031738D"/>
    <w:rsid w:val="00320D3B"/>
    <w:rsid w:val="0033027F"/>
    <w:rsid w:val="003447CD"/>
    <w:rsid w:val="00352CA7"/>
    <w:rsid w:val="0036403A"/>
    <w:rsid w:val="003720CF"/>
    <w:rsid w:val="0037642B"/>
    <w:rsid w:val="003874A1"/>
    <w:rsid w:val="00387754"/>
    <w:rsid w:val="003A29EF"/>
    <w:rsid w:val="003A75C2"/>
    <w:rsid w:val="003C3EA5"/>
    <w:rsid w:val="003D4CBD"/>
    <w:rsid w:val="003F26F9"/>
    <w:rsid w:val="003F3109"/>
    <w:rsid w:val="00410ADA"/>
    <w:rsid w:val="00416884"/>
    <w:rsid w:val="00432688"/>
    <w:rsid w:val="00444642"/>
    <w:rsid w:val="00445449"/>
    <w:rsid w:val="00447A01"/>
    <w:rsid w:val="00465293"/>
    <w:rsid w:val="00471544"/>
    <w:rsid w:val="004720AD"/>
    <w:rsid w:val="004724D7"/>
    <w:rsid w:val="004948B5"/>
    <w:rsid w:val="004955A0"/>
    <w:rsid w:val="00497233"/>
    <w:rsid w:val="004B097C"/>
    <w:rsid w:val="004B63F4"/>
    <w:rsid w:val="004E056A"/>
    <w:rsid w:val="004E1CF2"/>
    <w:rsid w:val="004E529C"/>
    <w:rsid w:val="004F3343"/>
    <w:rsid w:val="0050134E"/>
    <w:rsid w:val="005020E8"/>
    <w:rsid w:val="005112EA"/>
    <w:rsid w:val="00537CF2"/>
    <w:rsid w:val="005505F6"/>
    <w:rsid w:val="00550E96"/>
    <w:rsid w:val="00554C35"/>
    <w:rsid w:val="0057235A"/>
    <w:rsid w:val="00586366"/>
    <w:rsid w:val="00586E28"/>
    <w:rsid w:val="00595589"/>
    <w:rsid w:val="005A1EBD"/>
    <w:rsid w:val="005B5DE4"/>
    <w:rsid w:val="005C6980"/>
    <w:rsid w:val="005C6A3A"/>
    <w:rsid w:val="005D11D6"/>
    <w:rsid w:val="005D4A03"/>
    <w:rsid w:val="005D59FD"/>
    <w:rsid w:val="005E655A"/>
    <w:rsid w:val="005E7681"/>
    <w:rsid w:val="005F3AA6"/>
    <w:rsid w:val="00630AB3"/>
    <w:rsid w:val="00650B99"/>
    <w:rsid w:val="006662DF"/>
    <w:rsid w:val="006714E4"/>
    <w:rsid w:val="00677FBF"/>
    <w:rsid w:val="00681A93"/>
    <w:rsid w:val="00687344"/>
    <w:rsid w:val="006A691C"/>
    <w:rsid w:val="006B26AF"/>
    <w:rsid w:val="006B590A"/>
    <w:rsid w:val="006B5AB9"/>
    <w:rsid w:val="006C29D8"/>
    <w:rsid w:val="006C5BC1"/>
    <w:rsid w:val="006D3E3C"/>
    <w:rsid w:val="006D562C"/>
    <w:rsid w:val="006E6704"/>
    <w:rsid w:val="006F46E8"/>
    <w:rsid w:val="006F5CC7"/>
    <w:rsid w:val="00702AD6"/>
    <w:rsid w:val="007101A2"/>
    <w:rsid w:val="00716A0C"/>
    <w:rsid w:val="007218EB"/>
    <w:rsid w:val="0072551E"/>
    <w:rsid w:val="00727F04"/>
    <w:rsid w:val="00733769"/>
    <w:rsid w:val="00750030"/>
    <w:rsid w:val="007629F6"/>
    <w:rsid w:val="00765DA5"/>
    <w:rsid w:val="00767CD4"/>
    <w:rsid w:val="00770B9A"/>
    <w:rsid w:val="00790940"/>
    <w:rsid w:val="007A1A40"/>
    <w:rsid w:val="007B293E"/>
    <w:rsid w:val="007B6497"/>
    <w:rsid w:val="007C10AA"/>
    <w:rsid w:val="007C1D9D"/>
    <w:rsid w:val="007C6893"/>
    <w:rsid w:val="007E73C5"/>
    <w:rsid w:val="007E79D5"/>
    <w:rsid w:val="007F0A63"/>
    <w:rsid w:val="007F1D27"/>
    <w:rsid w:val="007F4087"/>
    <w:rsid w:val="0080043C"/>
    <w:rsid w:val="00806569"/>
    <w:rsid w:val="008167F4"/>
    <w:rsid w:val="0082196C"/>
    <w:rsid w:val="0083646C"/>
    <w:rsid w:val="00837CEC"/>
    <w:rsid w:val="0085260B"/>
    <w:rsid w:val="00853E42"/>
    <w:rsid w:val="008667D1"/>
    <w:rsid w:val="00872BFD"/>
    <w:rsid w:val="00873B26"/>
    <w:rsid w:val="00880099"/>
    <w:rsid w:val="008A7841"/>
    <w:rsid w:val="008E28FA"/>
    <w:rsid w:val="008F0B17"/>
    <w:rsid w:val="00900ACB"/>
    <w:rsid w:val="00920853"/>
    <w:rsid w:val="009226D3"/>
    <w:rsid w:val="00925D71"/>
    <w:rsid w:val="00927DF8"/>
    <w:rsid w:val="0094029B"/>
    <w:rsid w:val="00954B68"/>
    <w:rsid w:val="009556FF"/>
    <w:rsid w:val="00957BD7"/>
    <w:rsid w:val="009822E5"/>
    <w:rsid w:val="00990ECE"/>
    <w:rsid w:val="009E3B05"/>
    <w:rsid w:val="009F4290"/>
    <w:rsid w:val="00A03635"/>
    <w:rsid w:val="00A10451"/>
    <w:rsid w:val="00A269C2"/>
    <w:rsid w:val="00A46ACE"/>
    <w:rsid w:val="00A531EC"/>
    <w:rsid w:val="00A5545F"/>
    <w:rsid w:val="00A654D0"/>
    <w:rsid w:val="00AC2070"/>
    <w:rsid w:val="00AD1005"/>
    <w:rsid w:val="00AD1881"/>
    <w:rsid w:val="00AE212E"/>
    <w:rsid w:val="00AF39A5"/>
    <w:rsid w:val="00B00F1F"/>
    <w:rsid w:val="00B15D83"/>
    <w:rsid w:val="00B1635A"/>
    <w:rsid w:val="00B30100"/>
    <w:rsid w:val="00B32A0C"/>
    <w:rsid w:val="00B47730"/>
    <w:rsid w:val="00B74E5F"/>
    <w:rsid w:val="00B90E91"/>
    <w:rsid w:val="00B92783"/>
    <w:rsid w:val="00BA4408"/>
    <w:rsid w:val="00BA599A"/>
    <w:rsid w:val="00BB0F0E"/>
    <w:rsid w:val="00BB6434"/>
    <w:rsid w:val="00BC1806"/>
    <w:rsid w:val="00BD4E49"/>
    <w:rsid w:val="00BF76F0"/>
    <w:rsid w:val="00C35670"/>
    <w:rsid w:val="00C42DE2"/>
    <w:rsid w:val="00C66787"/>
    <w:rsid w:val="00C667CB"/>
    <w:rsid w:val="00C92A35"/>
    <w:rsid w:val="00C93F56"/>
    <w:rsid w:val="00C96CEE"/>
    <w:rsid w:val="00CA05AB"/>
    <w:rsid w:val="00CA09E2"/>
    <w:rsid w:val="00CA136C"/>
    <w:rsid w:val="00CA2899"/>
    <w:rsid w:val="00CA30A1"/>
    <w:rsid w:val="00CA6B5C"/>
    <w:rsid w:val="00CB023A"/>
    <w:rsid w:val="00CC4ED3"/>
    <w:rsid w:val="00CE602C"/>
    <w:rsid w:val="00CF1435"/>
    <w:rsid w:val="00CF17D2"/>
    <w:rsid w:val="00D30A34"/>
    <w:rsid w:val="00D46C01"/>
    <w:rsid w:val="00D52CE9"/>
    <w:rsid w:val="00D762B8"/>
    <w:rsid w:val="00D76EBE"/>
    <w:rsid w:val="00D848D9"/>
    <w:rsid w:val="00D929DF"/>
    <w:rsid w:val="00D94395"/>
    <w:rsid w:val="00D975BE"/>
    <w:rsid w:val="00DB16FE"/>
    <w:rsid w:val="00DB6BFB"/>
    <w:rsid w:val="00DC57C0"/>
    <w:rsid w:val="00DE6E46"/>
    <w:rsid w:val="00DF1E93"/>
    <w:rsid w:val="00DF2FD2"/>
    <w:rsid w:val="00DF7976"/>
    <w:rsid w:val="00E0423E"/>
    <w:rsid w:val="00E06550"/>
    <w:rsid w:val="00E13406"/>
    <w:rsid w:val="00E310B4"/>
    <w:rsid w:val="00E34500"/>
    <w:rsid w:val="00E36E7F"/>
    <w:rsid w:val="00E37C8F"/>
    <w:rsid w:val="00E42EF6"/>
    <w:rsid w:val="00E611AD"/>
    <w:rsid w:val="00E611DE"/>
    <w:rsid w:val="00E7264F"/>
    <w:rsid w:val="00E84A4E"/>
    <w:rsid w:val="00E96AB4"/>
    <w:rsid w:val="00E97376"/>
    <w:rsid w:val="00EB262D"/>
    <w:rsid w:val="00EB4969"/>
    <w:rsid w:val="00EB4F54"/>
    <w:rsid w:val="00EB5A95"/>
    <w:rsid w:val="00ED0045"/>
    <w:rsid w:val="00ED266D"/>
    <w:rsid w:val="00ED2846"/>
    <w:rsid w:val="00ED6ADF"/>
    <w:rsid w:val="00EF1E62"/>
    <w:rsid w:val="00F01C1E"/>
    <w:rsid w:val="00F0418B"/>
    <w:rsid w:val="00F076A8"/>
    <w:rsid w:val="00F12CB7"/>
    <w:rsid w:val="00F1371E"/>
    <w:rsid w:val="00F13AC8"/>
    <w:rsid w:val="00F22C80"/>
    <w:rsid w:val="00F23C44"/>
    <w:rsid w:val="00F2694E"/>
    <w:rsid w:val="00F33321"/>
    <w:rsid w:val="00F3337B"/>
    <w:rsid w:val="00F34140"/>
    <w:rsid w:val="00F50107"/>
    <w:rsid w:val="00F5613F"/>
    <w:rsid w:val="00F60349"/>
    <w:rsid w:val="00F96ECA"/>
    <w:rsid w:val="00FA5BBD"/>
    <w:rsid w:val="00FA63F7"/>
    <w:rsid w:val="00FB2FD6"/>
    <w:rsid w:val="00FC547E"/>
    <w:rsid w:val="00FE7BCA"/>
    <w:rsid w:val="00FF41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EAFE0E"/>
  <w15:docId w15:val="{B5A1C48D-2918-47C5-93A9-C3BCA1ABCD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48D9"/>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basedOn w:val="DefaultParagraphFont"/>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basedOn w:val="DefaultParagraphFon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basedOn w:val="DefaultParagraphFont"/>
    <w:link w:val="Header"/>
    <w:uiPriority w:val="99"/>
    <w:rsid w:val="008F0B17"/>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D46C01"/>
    <w:rPr>
      <w:sz w:val="16"/>
      <w:szCs w:val="16"/>
    </w:rPr>
  </w:style>
  <w:style w:type="paragraph" w:styleId="CommentText">
    <w:name w:val="annotation text"/>
    <w:basedOn w:val="Normal"/>
    <w:link w:val="CommentTextChar"/>
    <w:uiPriority w:val="99"/>
    <w:unhideWhenUsed/>
    <w:rsid w:val="00D46C01"/>
    <w:rPr>
      <w:sz w:val="20"/>
      <w:szCs w:val="20"/>
    </w:rPr>
  </w:style>
  <w:style w:type="character" w:customStyle="1" w:styleId="CommentTextChar">
    <w:name w:val="Comment Text Char"/>
    <w:basedOn w:val="DefaultParagraphFont"/>
    <w:link w:val="CommentText"/>
    <w:uiPriority w:val="99"/>
    <w:rsid w:val="00D46C01"/>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F5613F"/>
    <w:rPr>
      <w:b/>
      <w:bCs/>
    </w:rPr>
  </w:style>
  <w:style w:type="character" w:customStyle="1" w:styleId="CommentSubjectChar">
    <w:name w:val="Comment Subject Char"/>
    <w:basedOn w:val="CommentTextChar"/>
    <w:link w:val="CommentSubject"/>
    <w:uiPriority w:val="99"/>
    <w:semiHidden/>
    <w:rsid w:val="00F5613F"/>
    <w:rPr>
      <w:rFonts w:ascii="Times New Roman" w:eastAsia="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7580223">
      <w:bodyDiv w:val="1"/>
      <w:marLeft w:val="0"/>
      <w:marRight w:val="0"/>
      <w:marTop w:val="0"/>
      <w:marBottom w:val="0"/>
      <w:divBdr>
        <w:top w:val="none" w:sz="0" w:space="0" w:color="auto"/>
        <w:left w:val="none" w:sz="0" w:space="0" w:color="auto"/>
        <w:bottom w:val="none" w:sz="0" w:space="0" w:color="auto"/>
        <w:right w:val="none" w:sz="0" w:space="0" w:color="auto"/>
      </w:divBdr>
    </w:div>
    <w:div w:id="873620036">
      <w:bodyDiv w:val="1"/>
      <w:marLeft w:val="0"/>
      <w:marRight w:val="0"/>
      <w:marTop w:val="0"/>
      <w:marBottom w:val="0"/>
      <w:divBdr>
        <w:top w:val="none" w:sz="0" w:space="0" w:color="auto"/>
        <w:left w:val="none" w:sz="0" w:space="0" w:color="auto"/>
        <w:bottom w:val="none" w:sz="0" w:space="0" w:color="auto"/>
        <w:right w:val="none" w:sz="0" w:space="0" w:color="auto"/>
      </w:divBdr>
    </w:div>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25C6AE-FB07-47ED-83AF-D61097E552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1048</Words>
  <Characters>5977</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Int</vt:lpstr>
    </vt:vector>
  </TitlesOfParts>
  <Company>Gateway</Company>
  <LinksUpToDate>false</LinksUpToDate>
  <CharactersWithSpaces>7011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dc:title>
  <dc:subject/>
  <dc:creator>Bynum, Natasha</dc:creator>
  <cp:keywords/>
  <dc:description/>
  <cp:lastModifiedBy>Delancey, Thaddea</cp:lastModifiedBy>
  <cp:revision>8</cp:revision>
  <cp:lastPrinted>2025-03-11T21:07:00Z</cp:lastPrinted>
  <dcterms:created xsi:type="dcterms:W3CDTF">2026-03-03T19:45:00Z</dcterms:created>
  <dcterms:modified xsi:type="dcterms:W3CDTF">2026-03-27T18:23:00Z</dcterms:modified>
</cp:coreProperties>
</file>