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w:t>
      </w:r>
      <w:r w:rsidDel="00000000" w:rsidR="00000000" w:rsidRPr="00000000">
        <w:rPr>
          <w:rtl w:val="0"/>
        </w:rPr>
        <w:t xml:space="preserve">. No. 1405</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w:t>
      </w:r>
      <w:r w:rsidDel="00000000" w:rsidR="00000000" w:rsidRPr="00000000">
        <w:rPr>
          <w:rtl w:val="0"/>
        </w:rPr>
        <w:t xml:space="preserve">er Dr. Nantasha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in relation to a public education campaign on HPV, expanding access to HPV self-testing kits, and healthcare provider training on cultural competency and implicit bias.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Dr. Nantasha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Cervical cancer, though highly preventable through HPV vaccination and treatable when detected early, disproportionately affects Black and Latina women. Black women specifically experience significantly higher incidence and mortality rates, largely due to systemic disparities including lower HPV vaccination rates, inconsistent access to cervical cancer screenings, delayed diagnosis, and unequal treatment. Contributing factors include healthcare access barriers, cultural stigma, medical misinformation, implicit provider biases, historical medical mistreatment, and lack of culturally competent healthcare initiatives.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T8K8xiwPz6YWbYsVAi7aRF8K5g==">CgMxLjA4AHIhMWE1UkpPc3Q0ZndnekhBemxKT2NXMFM1T2RGVmJudlZh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